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40C24">
      <w:pPr>
        <w:pStyle w:val="26"/>
        <w:jc w:val="both"/>
        <w:rPr>
          <w:rFonts w:hint="eastAsia" w:ascii="宋体" w:hAnsi="宋体" w:cs="宋体"/>
          <w:b/>
          <w:bCs/>
          <w:color w:val="auto"/>
          <w:sz w:val="56"/>
          <w:szCs w:val="56"/>
          <w:lang w:eastAsia="zh-CN"/>
        </w:rPr>
      </w:pPr>
      <w:r>
        <w:rPr>
          <w:rFonts w:hint="eastAsia" w:ascii="宋体" w:hAnsi="宋体" w:eastAsia="宋体" w:cs="宋体"/>
          <w:b/>
          <w:bCs/>
          <w:color w:val="auto"/>
          <w:sz w:val="28"/>
          <w:szCs w:val="28"/>
        </w:rPr>
        <w:t>采购项目编号：ZCSP-府谷县-2025-01829</w:t>
      </w:r>
    </w:p>
    <w:p w14:paraId="44F53A1C">
      <w:pPr>
        <w:pStyle w:val="26"/>
        <w:jc w:val="center"/>
        <w:rPr>
          <w:rFonts w:hint="eastAsia" w:ascii="宋体" w:hAnsi="宋体" w:cs="宋体"/>
          <w:b/>
          <w:bCs/>
          <w:color w:val="auto"/>
          <w:sz w:val="56"/>
          <w:szCs w:val="56"/>
          <w:lang w:eastAsia="zh-CN"/>
        </w:rPr>
      </w:pPr>
    </w:p>
    <w:p w14:paraId="14C3A16E">
      <w:pPr>
        <w:pStyle w:val="4"/>
        <w:rPr>
          <w:rFonts w:hint="eastAsia" w:ascii="宋体" w:hAnsi="宋体" w:cs="宋体"/>
          <w:b/>
          <w:bCs/>
          <w:color w:val="auto"/>
          <w:sz w:val="72"/>
          <w:szCs w:val="72"/>
          <w:lang w:eastAsia="zh-CN"/>
        </w:rPr>
      </w:pPr>
    </w:p>
    <w:p w14:paraId="4921304B">
      <w:pPr>
        <w:pStyle w:val="4"/>
        <w:rPr>
          <w:rFonts w:hint="eastAsia" w:ascii="宋体" w:hAnsi="宋体" w:cs="宋体"/>
          <w:b/>
          <w:bCs/>
          <w:color w:val="auto"/>
          <w:sz w:val="72"/>
          <w:szCs w:val="72"/>
          <w:lang w:eastAsia="zh-CN"/>
        </w:rPr>
      </w:pPr>
      <w:r>
        <w:rPr>
          <w:rFonts w:hint="eastAsia" w:ascii="宋体" w:hAnsi="宋体" w:cs="宋体"/>
          <w:b/>
          <w:bCs/>
          <w:color w:val="auto"/>
          <w:sz w:val="72"/>
          <w:szCs w:val="72"/>
          <w:lang w:eastAsia="zh-CN"/>
        </w:rPr>
        <w:t>府谷县流动党员服务中心</w:t>
      </w:r>
    </w:p>
    <w:p w14:paraId="38F7E75D">
      <w:pPr>
        <w:pStyle w:val="4"/>
        <w:rPr>
          <w:rFonts w:hint="eastAsia"/>
          <w:color w:val="auto"/>
          <w:sz w:val="32"/>
          <w:szCs w:val="24"/>
        </w:rPr>
      </w:pPr>
      <w:r>
        <w:rPr>
          <w:rFonts w:hint="eastAsia" w:ascii="宋体" w:hAnsi="宋体" w:cs="宋体"/>
          <w:b/>
          <w:bCs/>
          <w:color w:val="auto"/>
          <w:sz w:val="72"/>
          <w:szCs w:val="72"/>
          <w:lang w:eastAsia="zh-CN"/>
        </w:rPr>
        <w:t>提升工程</w:t>
      </w:r>
    </w:p>
    <w:p w14:paraId="7FEEC889">
      <w:pPr>
        <w:jc w:val="center"/>
        <w:rPr>
          <w:rFonts w:hint="eastAsia" w:ascii="宋体" w:hAnsi="宋体" w:eastAsia="宋体" w:cs="宋体"/>
          <w:b/>
          <w:color w:val="auto"/>
          <w:sz w:val="56"/>
          <w:szCs w:val="56"/>
        </w:rPr>
      </w:pPr>
    </w:p>
    <w:p w14:paraId="3C883ECE">
      <w:pPr>
        <w:pStyle w:val="25"/>
        <w:rPr>
          <w:rFonts w:hint="eastAsia" w:ascii="宋体" w:hAnsi="宋体" w:eastAsia="宋体" w:cs="宋体"/>
          <w:b/>
          <w:color w:val="auto"/>
          <w:sz w:val="56"/>
          <w:szCs w:val="56"/>
        </w:rPr>
      </w:pPr>
    </w:p>
    <w:p w14:paraId="5D341AF1">
      <w:pPr>
        <w:pStyle w:val="25"/>
        <w:rPr>
          <w:rFonts w:hint="eastAsia" w:ascii="宋体" w:hAnsi="宋体" w:eastAsia="宋体" w:cs="宋体"/>
          <w:b/>
          <w:color w:val="auto"/>
          <w:sz w:val="56"/>
          <w:szCs w:val="56"/>
        </w:rPr>
      </w:pPr>
    </w:p>
    <w:p w14:paraId="03738F77">
      <w:pPr>
        <w:jc w:val="center"/>
        <w:rPr>
          <w:rFonts w:hint="eastAsia" w:ascii="宋体" w:hAnsi="宋体" w:eastAsia="宋体" w:cs="宋体"/>
          <w:b/>
          <w:bCs/>
          <w:color w:val="auto"/>
          <w:sz w:val="72"/>
          <w:szCs w:val="72"/>
        </w:rPr>
      </w:pPr>
      <w:r>
        <w:rPr>
          <w:rFonts w:hint="eastAsia" w:ascii="宋体" w:hAnsi="宋体" w:eastAsia="宋体" w:cs="宋体"/>
          <w:b/>
          <w:color w:val="auto"/>
          <w:sz w:val="56"/>
          <w:szCs w:val="56"/>
        </w:rPr>
        <w:t>竞争性磋商文件</w:t>
      </w:r>
    </w:p>
    <w:p w14:paraId="4A9DEE7B">
      <w:pPr>
        <w:jc w:val="center"/>
        <w:rPr>
          <w:rFonts w:hint="eastAsia" w:ascii="宋体" w:hAnsi="宋体" w:eastAsia="宋体" w:cs="宋体"/>
          <w:b/>
          <w:bCs/>
          <w:color w:val="auto"/>
          <w:sz w:val="28"/>
          <w:szCs w:val="28"/>
        </w:rPr>
      </w:pPr>
    </w:p>
    <w:p w14:paraId="598E0ADD">
      <w:pPr>
        <w:jc w:val="center"/>
        <w:rPr>
          <w:rFonts w:hint="eastAsia" w:ascii="宋体" w:hAnsi="宋体" w:eastAsia="宋体" w:cs="宋体"/>
          <w:b/>
          <w:bCs/>
          <w:color w:val="auto"/>
          <w:sz w:val="28"/>
          <w:szCs w:val="28"/>
          <w:lang w:eastAsia="zh-CN"/>
        </w:rPr>
      </w:pPr>
    </w:p>
    <w:p w14:paraId="6CC5C15E">
      <w:pPr>
        <w:jc w:val="center"/>
        <w:rPr>
          <w:rFonts w:hint="eastAsia" w:ascii="宋体" w:hAnsi="宋体" w:eastAsia="宋体" w:cs="宋体"/>
          <w:b/>
          <w:bCs/>
          <w:color w:val="auto"/>
          <w:sz w:val="28"/>
          <w:szCs w:val="28"/>
        </w:rPr>
      </w:pPr>
    </w:p>
    <w:p w14:paraId="1B32BB5C">
      <w:pPr>
        <w:pStyle w:val="25"/>
        <w:rPr>
          <w:rFonts w:hint="eastAsia"/>
        </w:rPr>
      </w:pPr>
    </w:p>
    <w:p w14:paraId="07EA922F">
      <w:pPr>
        <w:keepNext w:val="0"/>
        <w:keepLines w:val="0"/>
        <w:widowControl/>
        <w:suppressLineNumbers w:val="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ab/>
      </w:r>
    </w:p>
    <w:p w14:paraId="3F8D4F22">
      <w:pPr>
        <w:keepNext w:val="0"/>
        <w:keepLines w:val="0"/>
        <w:widowControl/>
        <w:suppressLineNumbers w:val="0"/>
        <w:jc w:val="left"/>
        <w:rPr>
          <w:rFonts w:hint="eastAsia" w:ascii="宋体" w:hAnsi="宋体" w:eastAsia="宋体" w:cs="宋体"/>
          <w:color w:val="auto"/>
        </w:rPr>
      </w:pPr>
    </w:p>
    <w:p w14:paraId="61D4C4F3">
      <w:pPr>
        <w:spacing w:line="720" w:lineRule="auto"/>
        <w:ind w:firstLine="964" w:firstLineChars="300"/>
        <w:rPr>
          <w:rFonts w:hint="eastAsia" w:ascii="宋体" w:hAnsi="宋体" w:eastAsia="宋体" w:cs="宋体"/>
          <w:color w:val="auto"/>
          <w:sz w:val="32"/>
          <w:szCs w:val="32"/>
          <w:u w:val="none"/>
        </w:rPr>
      </w:pPr>
      <w:r>
        <w:rPr>
          <w:rFonts w:hint="eastAsia" w:ascii="宋体" w:hAnsi="宋体" w:eastAsia="宋体" w:cs="宋体"/>
          <w:b/>
          <w:bCs/>
          <w:color w:val="auto"/>
          <w:sz w:val="32"/>
          <w:szCs w:val="32"/>
          <w:u w:val="none"/>
        </w:rPr>
        <w:t>采   购   人：</w:t>
      </w:r>
      <w:r>
        <w:rPr>
          <w:rFonts w:hint="eastAsia" w:ascii="宋体" w:hAnsi="宋体" w:eastAsia="宋体" w:cs="宋体"/>
          <w:b/>
          <w:bCs/>
          <w:color w:val="auto"/>
          <w:sz w:val="32"/>
          <w:szCs w:val="32"/>
          <w:u w:val="none"/>
          <w:lang w:val="en-US" w:eastAsia="zh-CN"/>
        </w:rPr>
        <w:t>府谷县府谷镇人民政府</w:t>
      </w:r>
      <w:r>
        <w:rPr>
          <w:rFonts w:hint="eastAsia" w:ascii="宋体" w:hAnsi="宋体" w:eastAsia="宋体" w:cs="宋体"/>
          <w:b/>
          <w:bCs/>
          <w:color w:val="auto"/>
          <w:sz w:val="32"/>
          <w:szCs w:val="32"/>
          <w:u w:val="none"/>
        </w:rPr>
        <w:t xml:space="preserve">   </w:t>
      </w:r>
    </w:p>
    <w:p w14:paraId="5475E740">
      <w:pPr>
        <w:spacing w:line="720" w:lineRule="auto"/>
        <w:ind w:firstLine="964" w:firstLineChars="300"/>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rPr>
        <w:t>采购代理机构：</w:t>
      </w:r>
      <w:r>
        <w:rPr>
          <w:rFonts w:hint="eastAsia" w:ascii="宋体" w:hAnsi="宋体" w:eastAsia="宋体" w:cs="宋体"/>
          <w:b/>
          <w:bCs/>
          <w:color w:val="auto"/>
          <w:sz w:val="32"/>
          <w:szCs w:val="32"/>
          <w:u w:val="none"/>
          <w:lang w:eastAsia="zh-CN"/>
        </w:rPr>
        <w:t>陕西众鼎互联项目管理有限公司</w:t>
      </w:r>
      <w:r>
        <w:rPr>
          <w:rFonts w:hint="eastAsia" w:ascii="宋体" w:hAnsi="宋体" w:eastAsia="宋体" w:cs="宋体"/>
          <w:b/>
          <w:bCs/>
          <w:color w:val="auto"/>
          <w:sz w:val="32"/>
          <w:szCs w:val="32"/>
          <w:u w:val="none"/>
        </w:rPr>
        <w:t xml:space="preserve">  </w:t>
      </w:r>
    </w:p>
    <w:p w14:paraId="2F2CC941">
      <w:pPr>
        <w:jc w:val="center"/>
        <w:rPr>
          <w:rFonts w:hint="eastAsia" w:ascii="宋体" w:hAnsi="宋体" w:eastAsia="宋体" w:cs="宋体"/>
          <w:b/>
          <w:bCs/>
          <w:color w:val="auto"/>
          <w:sz w:val="32"/>
          <w:szCs w:val="32"/>
          <w:u w:val="none"/>
        </w:rPr>
      </w:pPr>
      <w:r>
        <w:rPr>
          <w:rFonts w:hint="eastAsia" w:ascii="宋体" w:hAnsi="宋体" w:eastAsia="宋体" w:cs="宋体"/>
          <w:b/>
          <w:bCs/>
          <w:color w:val="auto"/>
          <w:sz w:val="32"/>
          <w:szCs w:val="32"/>
          <w:u w:val="none"/>
          <w:lang w:val="en-US" w:eastAsia="zh-CN"/>
        </w:rPr>
        <w:t>二〇二五</w:t>
      </w:r>
      <w:r>
        <w:rPr>
          <w:rFonts w:hint="eastAsia" w:ascii="宋体" w:hAnsi="宋体" w:eastAsia="宋体" w:cs="宋体"/>
          <w:b/>
          <w:bCs/>
          <w:color w:val="auto"/>
          <w:sz w:val="32"/>
          <w:szCs w:val="32"/>
          <w:u w:val="none"/>
        </w:rPr>
        <w:t>年</w:t>
      </w:r>
      <w:r>
        <w:rPr>
          <w:rFonts w:hint="eastAsia" w:ascii="宋体" w:hAnsi="宋体" w:eastAsia="宋体" w:cs="宋体"/>
          <w:b/>
          <w:bCs/>
          <w:color w:val="auto"/>
          <w:sz w:val="32"/>
          <w:szCs w:val="32"/>
          <w:u w:val="none"/>
          <w:lang w:val="en-US" w:eastAsia="zh-CN"/>
        </w:rPr>
        <w:t>十一月</w:t>
      </w:r>
    </w:p>
    <w:sdt>
      <w:sdtPr>
        <w:rPr>
          <w:rFonts w:hint="eastAsia" w:ascii="宋体" w:hAnsi="宋体" w:eastAsia="宋体" w:cs="宋体"/>
          <w:color w:val="auto"/>
          <w:kern w:val="2"/>
          <w:sz w:val="36"/>
          <w:szCs w:val="36"/>
          <w:lang w:val="en-US" w:eastAsia="zh-CN" w:bidi="ar-SA"/>
        </w:rPr>
        <w:id w:val="147476632"/>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sdt>
          <w:sdtPr>
            <w:rPr>
              <w:rFonts w:hint="eastAsia" w:ascii="宋体" w:hAnsi="宋体" w:eastAsia="宋体" w:cs="宋体"/>
              <w:color w:val="auto"/>
              <w:kern w:val="2"/>
              <w:sz w:val="36"/>
              <w:szCs w:val="36"/>
              <w:lang w:val="en-US" w:eastAsia="zh-CN" w:bidi="ar-SA"/>
            </w:rPr>
            <w:id w:val="147468977"/>
            <w15:color w:val="DBDBDB"/>
            <w:docPartObj>
              <w:docPartGallery w:val="Table of Contents"/>
              <w:docPartUnique/>
            </w:docPartObj>
          </w:sdtPr>
          <w:sdtEndPr>
            <w:rPr>
              <w:rFonts w:hint="eastAsia" w:ascii="宋体" w:hAnsi="宋体" w:eastAsia="宋体" w:cs="宋体"/>
              <w:color w:val="auto"/>
              <w:kern w:val="2"/>
              <w:sz w:val="24"/>
              <w:szCs w:val="21"/>
              <w:lang w:val="en-US" w:eastAsia="zh-CN" w:bidi="ar-SA"/>
            </w:rPr>
          </w:sdtEndPr>
          <w:sdtContent>
            <w:p w14:paraId="35F11454">
              <w:pPr>
                <w:spacing w:before="0" w:beforeLines="0" w:after="0" w:afterLines="0" w:line="240" w:lineRule="auto"/>
                <w:ind w:left="0" w:leftChars="0" w:right="0" w:rightChars="0" w:firstLine="0" w:firstLineChars="0"/>
                <w:jc w:val="center"/>
                <w:rPr>
                  <w:rFonts w:hint="eastAsia"/>
                  <w:color w:val="auto"/>
                </w:rPr>
              </w:pPr>
              <w:r>
                <w:rPr>
                  <w:rFonts w:hint="eastAsia" w:ascii="宋体" w:hAnsi="宋体" w:eastAsia="宋体" w:cs="宋体"/>
                  <w:color w:val="auto"/>
                  <w:sz w:val="36"/>
                  <w:szCs w:val="36"/>
                </w:rPr>
                <w:t>目</w:t>
              </w:r>
              <w:r>
                <w:rPr>
                  <w:rFonts w:hint="eastAsia" w:ascii="宋体" w:hAnsi="宋体" w:eastAsia="宋体" w:cs="宋体"/>
                  <w:color w:val="auto"/>
                  <w:sz w:val="36"/>
                  <w:szCs w:val="36"/>
                  <w:lang w:val="en-US" w:eastAsia="zh-CN"/>
                </w:rPr>
                <w:t xml:space="preserve"> </w:t>
              </w:r>
              <w:r>
                <w:rPr>
                  <w:rFonts w:hint="eastAsia" w:ascii="宋体" w:hAnsi="宋体" w:eastAsia="宋体" w:cs="宋体"/>
                  <w:color w:val="auto"/>
                  <w:sz w:val="36"/>
                  <w:szCs w:val="36"/>
                </w:rPr>
                <w:t>录</w:t>
              </w:r>
            </w:p>
            <w:p w14:paraId="717901FD">
              <w:pPr>
                <w:pStyle w:val="16"/>
                <w:tabs>
                  <w:tab w:val="right" w:leader="dot" w:pos="9360"/>
                </w:tabs>
                <w:spacing w:line="600" w:lineRule="auto"/>
                <w:rPr>
                  <w:color w:val="auto"/>
                  <w:sz w:val="28"/>
                  <w:szCs w:val="28"/>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TOC \o "1-1" \h \u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_Toc2362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第一章  竞争性磋商公告</w:t>
              </w:r>
              <w:r>
                <w:rPr>
                  <w:color w:val="auto"/>
                  <w:sz w:val="28"/>
                  <w:szCs w:val="28"/>
                </w:rPr>
                <w:tab/>
              </w:r>
              <w:r>
                <w:rPr>
                  <w:color w:val="auto"/>
                  <w:sz w:val="28"/>
                  <w:szCs w:val="28"/>
                </w:rPr>
                <w:fldChar w:fldCharType="begin"/>
              </w:r>
              <w:r>
                <w:rPr>
                  <w:color w:val="auto"/>
                  <w:sz w:val="28"/>
                  <w:szCs w:val="28"/>
                </w:rPr>
                <w:instrText xml:space="preserve"> PAGEREF _Toc2362 \h </w:instrText>
              </w:r>
              <w:r>
                <w:rPr>
                  <w:color w:val="auto"/>
                  <w:sz w:val="28"/>
                  <w:szCs w:val="28"/>
                </w:rPr>
                <w:fldChar w:fldCharType="separate"/>
              </w:r>
              <w:r>
                <w:rPr>
                  <w:color w:val="auto"/>
                  <w:sz w:val="28"/>
                  <w:szCs w:val="28"/>
                </w:rPr>
                <w:t>1</w:t>
              </w:r>
              <w:r>
                <w:rPr>
                  <w:color w:val="auto"/>
                  <w:sz w:val="28"/>
                  <w:szCs w:val="28"/>
                </w:rPr>
                <w:fldChar w:fldCharType="end"/>
              </w:r>
              <w:r>
                <w:rPr>
                  <w:rFonts w:hint="eastAsia" w:ascii="宋体" w:hAnsi="宋体" w:eastAsia="宋体" w:cs="宋体"/>
                  <w:color w:val="auto"/>
                  <w:sz w:val="28"/>
                  <w:szCs w:val="22"/>
                </w:rPr>
                <w:fldChar w:fldCharType="end"/>
              </w:r>
            </w:p>
            <w:p w14:paraId="41CCA877">
              <w:pPr>
                <w:pStyle w:val="16"/>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_Toc2544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第二章  供应商须知</w:t>
              </w:r>
              <w:r>
                <w:rPr>
                  <w:color w:val="auto"/>
                  <w:sz w:val="28"/>
                  <w:szCs w:val="28"/>
                </w:rPr>
                <w:tab/>
              </w:r>
              <w:r>
                <w:rPr>
                  <w:color w:val="auto"/>
                  <w:sz w:val="28"/>
                  <w:szCs w:val="28"/>
                </w:rPr>
                <w:fldChar w:fldCharType="begin"/>
              </w:r>
              <w:r>
                <w:rPr>
                  <w:color w:val="auto"/>
                  <w:sz w:val="28"/>
                  <w:szCs w:val="28"/>
                </w:rPr>
                <w:instrText xml:space="preserve"> PAGEREF _Toc2544 \h </w:instrText>
              </w:r>
              <w:r>
                <w:rPr>
                  <w:color w:val="auto"/>
                  <w:sz w:val="28"/>
                  <w:szCs w:val="28"/>
                </w:rPr>
                <w:fldChar w:fldCharType="separate"/>
              </w:r>
              <w:r>
                <w:rPr>
                  <w:color w:val="auto"/>
                  <w:sz w:val="28"/>
                  <w:szCs w:val="28"/>
                </w:rPr>
                <w:t>6</w:t>
              </w:r>
              <w:r>
                <w:rPr>
                  <w:color w:val="auto"/>
                  <w:sz w:val="28"/>
                  <w:szCs w:val="28"/>
                </w:rPr>
                <w:fldChar w:fldCharType="end"/>
              </w:r>
              <w:r>
                <w:rPr>
                  <w:rFonts w:hint="eastAsia" w:ascii="宋体" w:hAnsi="宋体" w:eastAsia="宋体" w:cs="宋体"/>
                  <w:color w:val="auto"/>
                  <w:sz w:val="28"/>
                  <w:szCs w:val="22"/>
                </w:rPr>
                <w:fldChar w:fldCharType="end"/>
              </w:r>
            </w:p>
            <w:p w14:paraId="11AA1380">
              <w:pPr>
                <w:pStyle w:val="16"/>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_Toc4918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32"/>
                  <w:highlight w:val="none"/>
                </w:rPr>
                <w:t>第三章  评审办法</w:t>
              </w:r>
              <w:r>
                <w:rPr>
                  <w:color w:val="auto"/>
                  <w:sz w:val="28"/>
                  <w:szCs w:val="28"/>
                </w:rPr>
                <w:tab/>
              </w:r>
              <w:r>
                <w:rPr>
                  <w:color w:val="auto"/>
                  <w:sz w:val="28"/>
                  <w:szCs w:val="28"/>
                </w:rPr>
                <w:fldChar w:fldCharType="begin"/>
              </w:r>
              <w:r>
                <w:rPr>
                  <w:color w:val="auto"/>
                  <w:sz w:val="28"/>
                  <w:szCs w:val="28"/>
                </w:rPr>
                <w:instrText xml:space="preserve"> PAGEREF _Toc4918 \h </w:instrText>
              </w:r>
              <w:r>
                <w:rPr>
                  <w:color w:val="auto"/>
                  <w:sz w:val="28"/>
                  <w:szCs w:val="28"/>
                </w:rPr>
                <w:fldChar w:fldCharType="separate"/>
              </w:r>
              <w:r>
                <w:rPr>
                  <w:color w:val="auto"/>
                  <w:sz w:val="28"/>
                  <w:szCs w:val="28"/>
                </w:rPr>
                <w:t>24</w:t>
              </w:r>
              <w:r>
                <w:rPr>
                  <w:color w:val="auto"/>
                  <w:sz w:val="28"/>
                  <w:szCs w:val="28"/>
                </w:rPr>
                <w:fldChar w:fldCharType="end"/>
              </w:r>
              <w:r>
                <w:rPr>
                  <w:rFonts w:hint="eastAsia" w:ascii="宋体" w:hAnsi="宋体" w:eastAsia="宋体" w:cs="宋体"/>
                  <w:color w:val="auto"/>
                  <w:sz w:val="28"/>
                  <w:szCs w:val="22"/>
                </w:rPr>
                <w:fldChar w:fldCharType="end"/>
              </w:r>
            </w:p>
            <w:p w14:paraId="3FDDBC37">
              <w:pPr>
                <w:pStyle w:val="16"/>
                <w:tabs>
                  <w:tab w:val="right" w:leader="dot" w:pos="9360"/>
                </w:tabs>
                <w:spacing w:line="600" w:lineRule="auto"/>
                <w:rPr>
                  <w:color w:val="auto"/>
                  <w:sz w:val="28"/>
                  <w:szCs w:val="28"/>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_Toc27781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rPr>
                <w:t>第四章  合同条款及格式</w:t>
              </w:r>
              <w:r>
                <w:rPr>
                  <w:color w:val="auto"/>
                  <w:sz w:val="28"/>
                  <w:szCs w:val="28"/>
                </w:rPr>
                <w:tab/>
              </w:r>
              <w:r>
                <w:rPr>
                  <w:color w:val="auto"/>
                  <w:sz w:val="28"/>
                  <w:szCs w:val="28"/>
                </w:rPr>
                <w:fldChar w:fldCharType="begin"/>
              </w:r>
              <w:r>
                <w:rPr>
                  <w:color w:val="auto"/>
                  <w:sz w:val="28"/>
                  <w:szCs w:val="28"/>
                </w:rPr>
                <w:instrText xml:space="preserve"> PAGEREF _Toc27781 \h </w:instrText>
              </w:r>
              <w:r>
                <w:rPr>
                  <w:color w:val="auto"/>
                  <w:sz w:val="28"/>
                  <w:szCs w:val="28"/>
                </w:rPr>
                <w:fldChar w:fldCharType="separate"/>
              </w:r>
              <w:r>
                <w:rPr>
                  <w:color w:val="auto"/>
                  <w:sz w:val="28"/>
                  <w:szCs w:val="28"/>
                </w:rPr>
                <w:t>29</w:t>
              </w:r>
              <w:r>
                <w:rPr>
                  <w:color w:val="auto"/>
                  <w:sz w:val="28"/>
                  <w:szCs w:val="28"/>
                </w:rPr>
                <w:fldChar w:fldCharType="end"/>
              </w:r>
              <w:r>
                <w:rPr>
                  <w:rFonts w:hint="eastAsia" w:ascii="宋体" w:hAnsi="宋体" w:eastAsia="宋体" w:cs="宋体"/>
                  <w:color w:val="auto"/>
                  <w:sz w:val="28"/>
                  <w:szCs w:val="22"/>
                </w:rPr>
                <w:fldChar w:fldCharType="end"/>
              </w:r>
            </w:p>
            <w:p w14:paraId="5BBC540E">
              <w:pPr>
                <w:pStyle w:val="16"/>
                <w:tabs>
                  <w:tab w:val="right" w:leader="dot" w:pos="9360"/>
                </w:tabs>
                <w:spacing w:line="600" w:lineRule="auto"/>
                <w:rPr>
                  <w:rFonts w:hint="eastAsia" w:ascii="宋体" w:hAnsi="宋体" w:eastAsia="宋体" w:cs="宋体"/>
                  <w:color w:val="auto"/>
                  <w:sz w:val="28"/>
                  <w:szCs w:val="22"/>
                </w:rPr>
              </w:pPr>
              <w:r>
                <w:rPr>
                  <w:rFonts w:hint="eastAsia" w:ascii="宋体" w:hAnsi="宋体" w:eastAsia="宋体" w:cs="宋体"/>
                  <w:color w:val="auto"/>
                  <w:sz w:val="28"/>
                  <w:szCs w:val="22"/>
                </w:rPr>
                <w:fldChar w:fldCharType="begin"/>
              </w:r>
              <w:r>
                <w:rPr>
                  <w:rFonts w:hint="eastAsia" w:ascii="宋体" w:hAnsi="宋体" w:eastAsia="宋体" w:cs="宋体"/>
                  <w:color w:val="auto"/>
                  <w:sz w:val="28"/>
                  <w:szCs w:val="22"/>
                </w:rPr>
                <w:instrText xml:space="preserve"> HYPERLINK \l _Toc17060 </w:instrText>
              </w:r>
              <w:r>
                <w:rPr>
                  <w:rFonts w:hint="eastAsia" w:ascii="宋体" w:hAnsi="宋体" w:eastAsia="宋体" w:cs="宋体"/>
                  <w:color w:val="auto"/>
                  <w:sz w:val="28"/>
                  <w:szCs w:val="22"/>
                </w:rPr>
                <w:fldChar w:fldCharType="separate"/>
              </w:r>
              <w:r>
                <w:rPr>
                  <w:rFonts w:hint="eastAsia" w:ascii="宋体" w:hAnsi="宋体" w:eastAsia="宋体" w:cs="宋体"/>
                  <w:color w:val="auto"/>
                  <w:sz w:val="28"/>
                  <w:szCs w:val="28"/>
                  <w:highlight w:val="none"/>
                  <w:lang w:eastAsia="zh-CN"/>
                </w:rPr>
                <w:t>第</w:t>
              </w:r>
              <w:r>
                <w:rPr>
                  <w:rFonts w:hint="eastAsia" w:ascii="宋体" w:hAnsi="宋体" w:eastAsia="宋体" w:cs="宋体"/>
                  <w:color w:val="auto"/>
                  <w:sz w:val="28"/>
                  <w:szCs w:val="28"/>
                  <w:highlight w:val="none"/>
                </w:rPr>
                <w:t>五章  采购需求</w:t>
              </w:r>
              <w:r>
                <w:rPr>
                  <w:color w:val="auto"/>
                  <w:sz w:val="28"/>
                  <w:szCs w:val="28"/>
                </w:rPr>
                <w:tab/>
              </w:r>
              <w:r>
                <w:rPr>
                  <w:color w:val="auto"/>
                  <w:sz w:val="28"/>
                  <w:szCs w:val="28"/>
                </w:rPr>
                <w:fldChar w:fldCharType="begin"/>
              </w:r>
              <w:r>
                <w:rPr>
                  <w:color w:val="auto"/>
                  <w:sz w:val="28"/>
                  <w:szCs w:val="28"/>
                </w:rPr>
                <w:instrText xml:space="preserve"> PAGEREF _Toc17060 \h </w:instrText>
              </w:r>
              <w:r>
                <w:rPr>
                  <w:color w:val="auto"/>
                  <w:sz w:val="28"/>
                  <w:szCs w:val="28"/>
                </w:rPr>
                <w:fldChar w:fldCharType="separate"/>
              </w:r>
              <w:r>
                <w:rPr>
                  <w:color w:val="auto"/>
                  <w:sz w:val="28"/>
                  <w:szCs w:val="28"/>
                </w:rPr>
                <w:t>34</w:t>
              </w:r>
              <w:r>
                <w:rPr>
                  <w:color w:val="auto"/>
                  <w:sz w:val="28"/>
                  <w:szCs w:val="28"/>
                </w:rPr>
                <w:fldChar w:fldCharType="end"/>
              </w:r>
              <w:r>
                <w:rPr>
                  <w:rFonts w:hint="eastAsia" w:ascii="宋体" w:hAnsi="宋体" w:eastAsia="宋体" w:cs="宋体"/>
                  <w:color w:val="auto"/>
                  <w:sz w:val="28"/>
                  <w:szCs w:val="22"/>
                </w:rPr>
                <w:fldChar w:fldCharType="end"/>
              </w:r>
            </w:p>
            <w:p w14:paraId="573185E1">
              <w:pPr>
                <w:pStyle w:val="16"/>
                <w:tabs>
                  <w:tab w:val="right" w:leader="dot" w:pos="9360"/>
                </w:tabs>
                <w:spacing w:line="600" w:lineRule="auto"/>
                <w:rPr>
                  <w:rFonts w:hint="eastAsia"/>
                  <w:color w:val="auto"/>
                  <w:sz w:val="28"/>
                  <w:szCs w:val="28"/>
                  <w:lang w:val="en-US" w:eastAsia="zh-CN"/>
                </w:rPr>
              </w:pPr>
              <w:r>
                <w:rPr>
                  <w:rFonts w:hint="eastAsia"/>
                  <w:color w:val="auto"/>
                  <w:sz w:val="28"/>
                  <w:szCs w:val="28"/>
                </w:rPr>
                <w:fldChar w:fldCharType="begin"/>
              </w:r>
              <w:r>
                <w:rPr>
                  <w:rFonts w:hint="eastAsia"/>
                  <w:color w:val="auto"/>
                  <w:sz w:val="28"/>
                  <w:szCs w:val="28"/>
                </w:rPr>
                <w:instrText xml:space="preserve"> HYPERLINK \l _Toc17060 </w:instrText>
              </w:r>
              <w:r>
                <w:rPr>
                  <w:rFonts w:hint="eastAsia"/>
                  <w:color w:val="auto"/>
                  <w:sz w:val="28"/>
                  <w:szCs w:val="28"/>
                </w:rPr>
                <w:fldChar w:fldCharType="separate"/>
              </w:r>
              <w:r>
                <w:rPr>
                  <w:rFonts w:hint="eastAsia"/>
                  <w:color w:val="auto"/>
                  <w:sz w:val="28"/>
                  <w:szCs w:val="28"/>
                  <w:lang w:eastAsia="zh-CN"/>
                </w:rPr>
                <w:t>第</w:t>
              </w:r>
              <w:r>
                <w:rPr>
                  <w:rFonts w:hint="eastAsia"/>
                  <w:color w:val="auto"/>
                  <w:sz w:val="28"/>
                  <w:szCs w:val="28"/>
                  <w:lang w:val="en-US" w:eastAsia="zh-CN"/>
                </w:rPr>
                <w:t>六</w:t>
              </w:r>
              <w:r>
                <w:rPr>
                  <w:rFonts w:hint="eastAsia"/>
                  <w:color w:val="auto"/>
                  <w:sz w:val="28"/>
                  <w:szCs w:val="28"/>
                </w:rPr>
                <w:t>章  工程量清单</w:t>
              </w:r>
              <w:r>
                <w:rPr>
                  <w:color w:val="auto"/>
                  <w:sz w:val="28"/>
                  <w:szCs w:val="28"/>
                </w:rPr>
                <w:tab/>
              </w:r>
              <w:r>
                <w:rPr>
                  <w:color w:val="auto"/>
                  <w:sz w:val="28"/>
                  <w:szCs w:val="28"/>
                </w:rPr>
                <w:fldChar w:fldCharType="begin"/>
              </w:r>
              <w:r>
                <w:rPr>
                  <w:color w:val="auto"/>
                  <w:sz w:val="28"/>
                  <w:szCs w:val="28"/>
                </w:rPr>
                <w:instrText xml:space="preserve"> PAGEREF _Toc17060 \h </w:instrText>
              </w:r>
              <w:r>
                <w:rPr>
                  <w:color w:val="auto"/>
                  <w:sz w:val="28"/>
                  <w:szCs w:val="28"/>
                </w:rPr>
                <w:fldChar w:fldCharType="separate"/>
              </w:r>
              <w:r>
                <w:rPr>
                  <w:color w:val="auto"/>
                  <w:sz w:val="28"/>
                  <w:szCs w:val="28"/>
                </w:rPr>
                <w:t>3</w:t>
              </w:r>
              <w:r>
                <w:rPr>
                  <w:color w:val="auto"/>
                  <w:sz w:val="28"/>
                  <w:szCs w:val="28"/>
                </w:rPr>
                <w:fldChar w:fldCharType="end"/>
              </w:r>
              <w:r>
                <w:rPr>
                  <w:rFonts w:hint="eastAsia"/>
                  <w:color w:val="auto"/>
                  <w:sz w:val="28"/>
                  <w:szCs w:val="28"/>
                </w:rPr>
                <w:fldChar w:fldCharType="end"/>
              </w:r>
              <w:r>
                <w:rPr>
                  <w:rFonts w:hint="eastAsia"/>
                  <w:color w:val="auto"/>
                  <w:sz w:val="28"/>
                  <w:szCs w:val="28"/>
                  <w:lang w:val="en-US" w:eastAsia="zh-CN"/>
                </w:rPr>
                <w:t>4</w:t>
              </w:r>
            </w:p>
            <w:p w14:paraId="500A33EC">
              <w:pPr>
                <w:pStyle w:val="16"/>
                <w:tabs>
                  <w:tab w:val="right" w:leader="dot" w:pos="9360"/>
                </w:tabs>
                <w:spacing w:line="600" w:lineRule="auto"/>
                <w:rPr>
                  <w:rFonts w:hint="eastAsia"/>
                  <w:color w:val="auto"/>
                  <w:sz w:val="28"/>
                  <w:szCs w:val="28"/>
                  <w:lang w:val="en-US" w:eastAsia="zh-CN"/>
                </w:rPr>
              </w:pPr>
              <w:r>
                <w:rPr>
                  <w:rFonts w:hint="eastAsia"/>
                  <w:color w:val="auto"/>
                  <w:sz w:val="28"/>
                  <w:szCs w:val="28"/>
                </w:rPr>
                <w:fldChar w:fldCharType="begin"/>
              </w:r>
              <w:r>
                <w:rPr>
                  <w:rFonts w:hint="eastAsia"/>
                  <w:color w:val="auto"/>
                  <w:sz w:val="28"/>
                  <w:szCs w:val="28"/>
                </w:rPr>
                <w:instrText xml:space="preserve"> HYPERLINK \l _Toc5590 </w:instrText>
              </w:r>
              <w:r>
                <w:rPr>
                  <w:rFonts w:hint="eastAsia"/>
                  <w:color w:val="auto"/>
                  <w:sz w:val="28"/>
                  <w:szCs w:val="28"/>
                </w:rPr>
                <w:fldChar w:fldCharType="separate"/>
              </w:r>
              <w:r>
                <w:rPr>
                  <w:rFonts w:hint="eastAsia"/>
                  <w:color w:val="auto"/>
                  <w:sz w:val="28"/>
                  <w:szCs w:val="28"/>
                </w:rPr>
                <w:t>第</w:t>
              </w:r>
              <w:r>
                <w:rPr>
                  <w:rFonts w:hint="eastAsia"/>
                  <w:color w:val="auto"/>
                  <w:sz w:val="28"/>
                  <w:szCs w:val="28"/>
                  <w:lang w:val="en-US" w:eastAsia="zh-CN"/>
                </w:rPr>
                <w:t>七</w:t>
              </w:r>
              <w:r>
                <w:rPr>
                  <w:rFonts w:hint="eastAsia"/>
                  <w:color w:val="auto"/>
                  <w:sz w:val="28"/>
                  <w:szCs w:val="28"/>
                </w:rPr>
                <w:t>章  竞争性磋商响应文件参考格式</w:t>
              </w:r>
              <w:r>
                <w:rPr>
                  <w:rFonts w:hint="eastAsia"/>
                  <w:color w:val="auto"/>
                  <w:sz w:val="28"/>
                  <w:szCs w:val="28"/>
                </w:rPr>
                <w:tab/>
              </w:r>
              <w:r>
                <w:rPr>
                  <w:rFonts w:hint="eastAsia"/>
                  <w:color w:val="auto"/>
                  <w:sz w:val="28"/>
                  <w:szCs w:val="28"/>
                  <w:lang w:val="en-US" w:eastAsia="zh-CN"/>
                </w:rPr>
                <w:t>7</w:t>
              </w:r>
              <w:r>
                <w:rPr>
                  <w:rFonts w:hint="eastAsia"/>
                  <w:color w:val="auto"/>
                  <w:sz w:val="28"/>
                  <w:szCs w:val="28"/>
                </w:rPr>
                <w:fldChar w:fldCharType="end"/>
              </w:r>
              <w:r>
                <w:rPr>
                  <w:rFonts w:hint="eastAsia"/>
                  <w:color w:val="auto"/>
                  <w:sz w:val="28"/>
                  <w:szCs w:val="28"/>
                  <w:lang w:val="en-US" w:eastAsia="zh-CN"/>
                </w:rPr>
                <w:t>3</w:t>
              </w:r>
            </w:p>
            <w:p w14:paraId="1D919F05">
              <w:pPr>
                <w:pStyle w:val="16"/>
                <w:tabs>
                  <w:tab w:val="right" w:leader="dot" w:pos="9360"/>
                </w:tabs>
                <w:rPr>
                  <w:color w:val="auto"/>
                </w:rPr>
              </w:pPr>
            </w:p>
            <w:p w14:paraId="557E6445">
              <w:pPr>
                <w:rPr>
                  <w:rFonts w:hint="eastAsia" w:ascii="宋体" w:hAnsi="宋体" w:eastAsia="宋体" w:cs="宋体"/>
                  <w:color w:val="auto"/>
                  <w:kern w:val="2"/>
                  <w:sz w:val="24"/>
                  <w:szCs w:val="21"/>
                  <w:lang w:val="en-US" w:eastAsia="zh-CN" w:bidi="ar-SA"/>
                </w:rPr>
              </w:pPr>
              <w:r>
                <w:rPr>
                  <w:rFonts w:hint="eastAsia" w:ascii="宋体" w:hAnsi="宋体" w:eastAsia="宋体" w:cs="宋体"/>
                  <w:color w:val="auto"/>
                  <w:szCs w:val="21"/>
                </w:rPr>
                <w:fldChar w:fldCharType="end"/>
              </w:r>
            </w:p>
          </w:sdtContent>
        </w:sdt>
        <w:p w14:paraId="772E111B">
          <w:pPr>
            <w:rPr>
              <w:rFonts w:hint="eastAsia" w:ascii="宋体" w:hAnsi="宋体" w:eastAsia="宋体" w:cs="宋体"/>
              <w:color w:val="auto"/>
              <w:sz w:val="21"/>
              <w:szCs w:val="21"/>
            </w:rPr>
            <w:sectPr>
              <w:pgSz w:w="11906" w:h="16838"/>
              <w:pgMar w:top="1440" w:right="1226" w:bottom="1440" w:left="1320" w:header="851" w:footer="992" w:gutter="0"/>
              <w:pgNumType w:fmt="decimal"/>
              <w:cols w:space="425" w:num="1"/>
              <w:docGrid w:type="lines" w:linePitch="312" w:charSpace="0"/>
            </w:sectPr>
          </w:pPr>
        </w:p>
      </w:sdtContent>
    </w:sdt>
    <w:p w14:paraId="28665B47">
      <w:pPr>
        <w:pStyle w:val="3"/>
        <w:pageBreakBefore w:val="0"/>
        <w:kinsoku/>
        <w:overflowPunct/>
        <w:topLinePunct w:val="0"/>
        <w:autoSpaceDN/>
        <w:bidi w:val="0"/>
        <w:adjustRightInd/>
        <w:snapToGrid/>
        <w:spacing w:line="360" w:lineRule="auto"/>
        <w:rPr>
          <w:rFonts w:hint="eastAsia" w:ascii="宋体" w:hAnsi="宋体" w:eastAsia="宋体" w:cs="宋体"/>
          <w:color w:val="auto"/>
        </w:rPr>
      </w:pPr>
      <w:bookmarkStart w:id="0" w:name="_Toc30697"/>
      <w:bookmarkStart w:id="1" w:name="_Toc2362"/>
      <w:bookmarkStart w:id="2" w:name="_Toc10447"/>
      <w:bookmarkStart w:id="3" w:name="_Toc30007"/>
      <w:r>
        <w:rPr>
          <w:rFonts w:hint="eastAsia" w:ascii="宋体" w:hAnsi="宋体" w:eastAsia="宋体" w:cs="宋体"/>
          <w:color w:val="auto"/>
        </w:rPr>
        <w:t>第一章  竞争性磋商公告</w:t>
      </w:r>
      <w:bookmarkEnd w:id="0"/>
      <w:bookmarkEnd w:id="1"/>
      <w:bookmarkEnd w:id="2"/>
      <w:bookmarkEnd w:id="3"/>
    </w:p>
    <w:p w14:paraId="18E2176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left="0" w:right="0" w:firstLine="0"/>
        <w:textAlignment w:val="baseline"/>
        <w:rPr>
          <w:rFonts w:hint="eastAsia" w:ascii="宋体" w:hAnsi="宋体" w:eastAsia="宋体" w:cs="宋体"/>
          <w:b/>
          <w:bCs/>
          <w:i w:val="0"/>
          <w:iCs w:val="0"/>
          <w:caps w:val="0"/>
          <w:color w:val="auto"/>
          <w:spacing w:val="0"/>
          <w:sz w:val="24"/>
          <w:szCs w:val="24"/>
        </w:rPr>
      </w:pPr>
      <w:bookmarkStart w:id="4" w:name="_Toc27312"/>
      <w:r>
        <w:rPr>
          <w:rFonts w:hint="eastAsia" w:ascii="宋体" w:hAnsi="宋体" w:cs="宋体"/>
          <w:b/>
          <w:bCs/>
          <w:i w:val="0"/>
          <w:iCs w:val="0"/>
          <w:caps w:val="0"/>
          <w:color w:val="auto"/>
          <w:spacing w:val="0"/>
          <w:sz w:val="24"/>
          <w:szCs w:val="24"/>
          <w:shd w:val="clear" w:fill="FFFFFF"/>
          <w:vertAlign w:val="baseline"/>
          <w:lang w:eastAsia="zh-CN"/>
        </w:rPr>
        <w:t>府谷县流动党员服务中心提升工程</w:t>
      </w:r>
      <w:r>
        <w:rPr>
          <w:rFonts w:hint="eastAsia" w:ascii="宋体" w:hAnsi="宋体" w:eastAsia="宋体" w:cs="宋体"/>
          <w:b/>
          <w:bCs/>
          <w:i w:val="0"/>
          <w:iCs w:val="0"/>
          <w:caps w:val="0"/>
          <w:color w:val="auto"/>
          <w:spacing w:val="0"/>
          <w:sz w:val="24"/>
          <w:szCs w:val="24"/>
          <w:shd w:val="clear" w:fill="FFFFFF"/>
          <w:vertAlign w:val="baseline"/>
        </w:rPr>
        <w:t>竞争性磋商公告</w:t>
      </w:r>
      <w:bookmarkEnd w:id="4"/>
    </w:p>
    <w:p w14:paraId="5BCCAB1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项目概况</w:t>
      </w:r>
    </w:p>
    <w:p w14:paraId="4375F41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eastAsia="zh-CN"/>
        </w:rPr>
        <w:t>府谷县流动党员服务中心提升工程采购项目</w:t>
      </w:r>
      <w:r>
        <w:rPr>
          <w:rFonts w:hint="eastAsia" w:ascii="宋体" w:hAnsi="宋体" w:eastAsia="宋体" w:cs="宋体"/>
          <w:i w:val="0"/>
          <w:iCs w:val="0"/>
          <w:caps w:val="0"/>
          <w:color w:val="auto"/>
          <w:spacing w:val="0"/>
          <w:sz w:val="24"/>
          <w:szCs w:val="24"/>
          <w:shd w:val="clear" w:fill="FFFFFF"/>
          <w:vertAlign w:val="baseline"/>
        </w:rPr>
        <w:t>的潜在供应商应在全国公共资源交易中心平台（陕西省）【http://www.sxggzyjy.cn】使用CA锁报名后自行下载获取</w:t>
      </w:r>
      <w:r>
        <w:rPr>
          <w:rFonts w:hint="eastAsia" w:ascii="宋体" w:hAnsi="宋体" w:eastAsia="宋体" w:cs="宋体"/>
          <w:i w:val="0"/>
          <w:iCs w:val="0"/>
          <w:caps w:val="0"/>
          <w:color w:val="auto"/>
          <w:spacing w:val="0"/>
          <w:sz w:val="24"/>
          <w:szCs w:val="24"/>
          <w:shd w:val="clear" w:fill="FFFFFF"/>
          <w:vertAlign w:val="baseline"/>
          <w:lang w:val="en-US" w:eastAsia="zh-CN"/>
        </w:rPr>
        <w:t>磋商</w:t>
      </w:r>
      <w:r>
        <w:rPr>
          <w:rFonts w:hint="eastAsia" w:ascii="宋体" w:hAnsi="宋体" w:eastAsia="宋体" w:cs="宋体"/>
          <w:i w:val="0"/>
          <w:iCs w:val="0"/>
          <w:caps w:val="0"/>
          <w:color w:val="auto"/>
          <w:spacing w:val="0"/>
          <w:sz w:val="24"/>
          <w:szCs w:val="24"/>
          <w:shd w:val="clear" w:fill="FFFFFF"/>
          <w:vertAlign w:val="baseline"/>
        </w:rPr>
        <w:t>文件，</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并于</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2025年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12</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01</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日</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14</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时</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0</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0分</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（北</w:t>
      </w:r>
      <w:r>
        <w:rPr>
          <w:rFonts w:hint="eastAsia" w:ascii="宋体" w:hAnsi="宋体" w:eastAsia="宋体" w:cs="宋体"/>
          <w:i w:val="0"/>
          <w:iCs w:val="0"/>
          <w:caps w:val="0"/>
          <w:color w:val="auto"/>
          <w:spacing w:val="0"/>
          <w:sz w:val="24"/>
          <w:szCs w:val="24"/>
          <w:shd w:val="clear" w:fill="FFFFFF"/>
          <w:vertAlign w:val="baseline"/>
        </w:rPr>
        <w:t>京时间）前提交响应文件。</w:t>
      </w:r>
    </w:p>
    <w:p w14:paraId="7A958A3F">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一、项目基本情况</w:t>
      </w:r>
    </w:p>
    <w:p w14:paraId="17142E5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项目编号：ZCSP-府谷县-2025-01829</w:t>
      </w:r>
    </w:p>
    <w:p w14:paraId="6BFD26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项目名称：</w:t>
      </w:r>
      <w:r>
        <w:rPr>
          <w:rFonts w:hint="eastAsia" w:ascii="宋体" w:hAnsi="宋体" w:eastAsia="宋体" w:cs="宋体"/>
          <w:i w:val="0"/>
          <w:iCs w:val="0"/>
          <w:caps w:val="0"/>
          <w:color w:val="auto"/>
          <w:spacing w:val="0"/>
          <w:sz w:val="24"/>
          <w:szCs w:val="24"/>
          <w:shd w:val="clear" w:fill="FFFFFF"/>
          <w:vertAlign w:val="baseline"/>
          <w:lang w:eastAsia="zh-CN"/>
        </w:rPr>
        <w:t>府谷县流动党员服务中心提升工程</w:t>
      </w:r>
    </w:p>
    <w:p w14:paraId="11147A7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采购方式：竞争性磋商</w:t>
      </w:r>
    </w:p>
    <w:p w14:paraId="4015C9B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预算金额：</w:t>
      </w:r>
      <w:r>
        <w:rPr>
          <w:rFonts w:hint="eastAsia" w:ascii="宋体" w:hAnsi="宋体" w:eastAsia="宋体" w:cs="宋体"/>
          <w:i w:val="0"/>
          <w:iCs w:val="0"/>
          <w:caps w:val="0"/>
          <w:color w:val="auto"/>
          <w:spacing w:val="0"/>
          <w:sz w:val="24"/>
          <w:szCs w:val="24"/>
          <w:shd w:val="clear" w:fill="FFFFFF"/>
          <w:vertAlign w:val="baseline"/>
          <w:lang w:val="en-US" w:eastAsia="zh-CN"/>
        </w:rPr>
        <w:t>1711206.68</w:t>
      </w:r>
      <w:r>
        <w:rPr>
          <w:rFonts w:hint="eastAsia" w:ascii="宋体" w:hAnsi="宋体" w:eastAsia="宋体" w:cs="宋体"/>
          <w:i w:val="0"/>
          <w:iCs w:val="0"/>
          <w:caps w:val="0"/>
          <w:color w:val="auto"/>
          <w:spacing w:val="0"/>
          <w:sz w:val="24"/>
          <w:szCs w:val="24"/>
          <w:shd w:val="clear" w:fill="FFFFFF"/>
          <w:vertAlign w:val="baseline"/>
        </w:rPr>
        <w:t>元</w:t>
      </w:r>
    </w:p>
    <w:p w14:paraId="4130198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采购需求：</w:t>
      </w:r>
    </w:p>
    <w:p w14:paraId="7051EB6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府谷县流动党员服务中心提升工程</w:t>
      </w:r>
      <w:r>
        <w:rPr>
          <w:rFonts w:hint="eastAsia" w:ascii="宋体" w:hAnsi="宋体" w:eastAsia="宋体" w:cs="宋体"/>
          <w:i w:val="0"/>
          <w:iCs w:val="0"/>
          <w:caps w:val="0"/>
          <w:color w:val="auto"/>
          <w:spacing w:val="0"/>
          <w:sz w:val="24"/>
          <w:szCs w:val="24"/>
          <w:shd w:val="clear" w:fill="FFFFFF"/>
          <w:vertAlign w:val="baseline"/>
        </w:rPr>
        <w:t>):</w:t>
      </w:r>
    </w:p>
    <w:p w14:paraId="26329A2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合同包预算金额：</w:t>
      </w:r>
      <w:r>
        <w:rPr>
          <w:rFonts w:hint="eastAsia" w:ascii="宋体" w:hAnsi="宋体" w:eastAsia="宋体" w:cs="宋体"/>
          <w:i w:val="0"/>
          <w:iCs w:val="0"/>
          <w:caps w:val="0"/>
          <w:color w:val="auto"/>
          <w:spacing w:val="0"/>
          <w:sz w:val="24"/>
          <w:szCs w:val="24"/>
          <w:shd w:val="clear" w:fill="FFFFFF"/>
          <w:vertAlign w:val="baseline"/>
          <w:lang w:val="en-US" w:eastAsia="zh-CN"/>
        </w:rPr>
        <w:t>1711206.68</w:t>
      </w:r>
      <w:r>
        <w:rPr>
          <w:rFonts w:hint="eastAsia" w:ascii="宋体" w:hAnsi="宋体" w:eastAsia="宋体" w:cs="宋体"/>
          <w:i w:val="0"/>
          <w:iCs w:val="0"/>
          <w:caps w:val="0"/>
          <w:color w:val="auto"/>
          <w:spacing w:val="0"/>
          <w:sz w:val="24"/>
          <w:szCs w:val="24"/>
          <w:shd w:val="clear" w:fill="FFFFFF"/>
          <w:vertAlign w:val="baseline"/>
        </w:rPr>
        <w:t>元</w:t>
      </w:r>
    </w:p>
    <w:p w14:paraId="0D4B8DD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合同包最高限价：</w:t>
      </w:r>
      <w:r>
        <w:rPr>
          <w:rFonts w:hint="eastAsia" w:ascii="宋体" w:hAnsi="宋体" w:eastAsia="宋体" w:cs="宋体"/>
          <w:i w:val="0"/>
          <w:iCs w:val="0"/>
          <w:caps w:val="0"/>
          <w:color w:val="auto"/>
          <w:spacing w:val="0"/>
          <w:sz w:val="24"/>
          <w:szCs w:val="24"/>
          <w:shd w:val="clear" w:fill="FFFFFF"/>
          <w:vertAlign w:val="baseline"/>
          <w:lang w:val="en-US" w:eastAsia="zh-CN"/>
        </w:rPr>
        <w:t>1711206.68</w:t>
      </w:r>
      <w:r>
        <w:rPr>
          <w:rFonts w:hint="eastAsia" w:ascii="宋体" w:hAnsi="宋体" w:eastAsia="宋体" w:cs="宋体"/>
          <w:i w:val="0"/>
          <w:iCs w:val="0"/>
          <w:caps w:val="0"/>
          <w:color w:val="auto"/>
          <w:spacing w:val="0"/>
          <w:sz w:val="24"/>
          <w:szCs w:val="24"/>
          <w:shd w:val="clear" w:fill="FFFFFF"/>
          <w:vertAlign w:val="baseline"/>
        </w:rPr>
        <w:t>元</w:t>
      </w:r>
    </w:p>
    <w:tbl>
      <w:tblPr>
        <w:tblStyle w:val="21"/>
        <w:tblW w:w="96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45"/>
        <w:gridCol w:w="1436"/>
        <w:gridCol w:w="1794"/>
        <w:gridCol w:w="995"/>
        <w:gridCol w:w="1624"/>
        <w:gridCol w:w="1511"/>
        <w:gridCol w:w="1512"/>
      </w:tblGrid>
      <w:tr w14:paraId="5F83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08" w:hRule="atLeast"/>
          <w:tblHeader/>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80A8EE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品目号</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E0D5B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品目名称</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70D9D8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采购标的</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CEFC51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数量（单位）</w:t>
            </w:r>
          </w:p>
        </w:tc>
        <w:tc>
          <w:tcPr>
            <w:tcW w:w="145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5030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技术规格、参数及要求</w:t>
            </w:r>
          </w:p>
        </w:tc>
        <w:tc>
          <w:tcPr>
            <w:tcW w:w="151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57D65F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品目预算(元)</w:t>
            </w:r>
          </w:p>
        </w:tc>
        <w:tc>
          <w:tcPr>
            <w:tcW w:w="151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4C9ABB4">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lang w:val="en-US" w:eastAsia="zh-CN" w:bidi="ar"/>
              </w:rPr>
              <w:t>最高限价(元)</w:t>
            </w:r>
          </w:p>
        </w:tc>
      </w:tr>
      <w:tr w14:paraId="2D5E4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13" w:hRule="atLeast"/>
        </w:trPr>
        <w:tc>
          <w:tcPr>
            <w:tcW w:w="75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CA8A4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1-1</w:t>
            </w:r>
          </w:p>
        </w:tc>
        <w:tc>
          <w:tcPr>
            <w:tcW w:w="149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09335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center"/>
              <w:textAlignment w:val="center"/>
              <w:rPr>
                <w:rFonts w:hint="default"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pPr>
            <w:r>
              <w:rPr>
                <w:rFonts w:hint="default"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其他建筑工程</w:t>
            </w:r>
          </w:p>
        </w:tc>
        <w:tc>
          <w:tcPr>
            <w:tcW w:w="187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E22CA3D">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府谷县流动党员服务中心提升工程</w:t>
            </w:r>
          </w:p>
        </w:tc>
        <w:tc>
          <w:tcPr>
            <w:tcW w:w="10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C931B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31FE2F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center"/>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FCBA69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宋体" w:hAnsi="宋体" w:eastAsia="宋体" w:cs="宋体"/>
                <w:i w:val="0"/>
                <w:iCs w:val="0"/>
                <w:caps w:val="0"/>
                <w:color w:val="auto"/>
                <w:spacing w:val="0"/>
                <w:sz w:val="24"/>
                <w:szCs w:val="24"/>
                <w:shd w:val="clear" w:fill="FFFFFF"/>
                <w:vertAlign w:val="baseline"/>
                <w:lang w:val="en-US" w:eastAsia="zh-CN"/>
              </w:rPr>
            </w:pPr>
            <w:r>
              <w:rPr>
                <w:rFonts w:hint="eastAsia" w:ascii="宋体" w:hAnsi="宋体" w:eastAsia="宋体" w:cs="宋体"/>
                <w:i w:val="0"/>
                <w:iCs w:val="0"/>
                <w:caps w:val="0"/>
                <w:color w:val="auto"/>
                <w:spacing w:val="0"/>
                <w:sz w:val="24"/>
                <w:szCs w:val="24"/>
                <w:shd w:val="clear" w:fill="FFFFFF"/>
                <w:vertAlign w:val="baseline"/>
                <w:lang w:val="en-US" w:eastAsia="zh-CN"/>
              </w:rPr>
              <w:t>1711206.68</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5C4DB9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lang w:val="en-US" w:eastAsia="zh-CN"/>
              </w:rPr>
              <w:t>1711206.68</w:t>
            </w:r>
          </w:p>
        </w:tc>
      </w:tr>
    </w:tbl>
    <w:p w14:paraId="379FED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63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本合同包不接受联合体投标</w:t>
      </w:r>
    </w:p>
    <w:p w14:paraId="4A69CE3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Autospacing="0" w:afterAutospacing="0" w:line="360" w:lineRule="auto"/>
        <w:ind w:left="0" w:right="0" w:firstLine="630"/>
        <w:jc w:val="both"/>
        <w:textAlignment w:val="baseline"/>
        <w:rPr>
          <w:rFonts w:hint="default" w:ascii="宋体" w:hAnsi="宋体" w:eastAsia="宋体" w:cs="宋体"/>
          <w:color w:val="auto"/>
          <w:sz w:val="24"/>
          <w:szCs w:val="24"/>
          <w:lang w:val="en-US"/>
        </w:rPr>
      </w:pPr>
      <w:r>
        <w:rPr>
          <w:rFonts w:hint="eastAsia" w:ascii="宋体" w:hAnsi="宋体" w:eastAsia="宋体" w:cs="宋体"/>
          <w:i w:val="0"/>
          <w:iCs w:val="0"/>
          <w:caps w:val="0"/>
          <w:color w:val="auto"/>
          <w:spacing w:val="0"/>
          <w:sz w:val="24"/>
          <w:szCs w:val="24"/>
          <w:shd w:val="clear" w:fill="FFFFFF"/>
          <w:vertAlign w:val="baseline"/>
        </w:rPr>
        <w:t>合同履行期限：</w:t>
      </w:r>
      <w:r>
        <w:rPr>
          <w:rFonts w:hint="eastAsia" w:asciiTheme="majorEastAsia" w:hAnsiTheme="majorEastAsia" w:eastAsiaTheme="majorEastAsia" w:cstheme="majorEastAsia"/>
          <w:color w:val="auto"/>
          <w:sz w:val="24"/>
          <w:szCs w:val="24"/>
          <w:lang w:val="en-US" w:eastAsia="zh-CN"/>
        </w:rPr>
        <w:t>30日历天</w:t>
      </w:r>
    </w:p>
    <w:p w14:paraId="529FA3F7">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二、申请人的资格要求：</w:t>
      </w:r>
    </w:p>
    <w:p w14:paraId="1E3487F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1.满足《中华人民共和国政府采购法》第二十二条规定;</w:t>
      </w:r>
    </w:p>
    <w:p w14:paraId="09A7468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2.落实政府采购政策需满足的资格要求：</w:t>
      </w:r>
    </w:p>
    <w:p w14:paraId="14C9DD6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府谷县流动党员服务中心提升工程</w:t>
      </w:r>
      <w:r>
        <w:rPr>
          <w:rFonts w:hint="eastAsia" w:ascii="宋体" w:hAnsi="宋体" w:eastAsia="宋体" w:cs="宋体"/>
          <w:i w:val="0"/>
          <w:iCs w:val="0"/>
          <w:caps w:val="0"/>
          <w:color w:val="auto"/>
          <w:spacing w:val="0"/>
          <w:sz w:val="24"/>
          <w:szCs w:val="24"/>
          <w:shd w:val="clear" w:fill="FFFFFF"/>
          <w:vertAlign w:val="baseline"/>
        </w:rPr>
        <w:t>)落实政府采购政策需满足的资格要求如下:</w:t>
      </w:r>
    </w:p>
    <w:p w14:paraId="7FA7507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①、《政府采购促进中小企业发展管理办法》（财库〔2020〕46号）； </w:t>
      </w:r>
    </w:p>
    <w:p w14:paraId="6B86B82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②、《三部门联合发布关于促进残疾人就业政府采购政策的通知》（财库[2017]141号）； </w:t>
      </w:r>
    </w:p>
    <w:p w14:paraId="545A46F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③、《财政部司法部关于政府采购支持监狱企业发展有关问题的通知》（财库〔2014〕68号）；</w:t>
      </w:r>
    </w:p>
    <w:p w14:paraId="2FE68F2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④、《国务院办公厅关于建立政府强制采购节能产品制度的通知》（国办发[2007]51号）； </w:t>
      </w:r>
    </w:p>
    <w:p w14:paraId="4C3051C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⑤、《环境标志产品政府采购实施的意见》（财库[2006]90号）； </w:t>
      </w:r>
    </w:p>
    <w:p w14:paraId="040A558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⑥、《节能产品政府采购实施意见》（财库[2004]185号）；</w:t>
      </w:r>
    </w:p>
    <w:p w14:paraId="3280720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⑦、《财政部发展改革委生态环境部市场监管总局关于调整优化节能产品、环境标志产品政府采购执行机制的通知》（财库〔2019〕9号）；</w:t>
      </w:r>
    </w:p>
    <w:p w14:paraId="55A57D1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⑧、《陕西省中小企业政府采购信用融资办法》（陕财办采〔2018〕23号）；</w:t>
      </w:r>
    </w:p>
    <w:p w14:paraId="5D3093D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i w:val="0"/>
          <w:iCs w:val="0"/>
          <w:caps w:val="0"/>
          <w:color w:val="auto"/>
          <w:spacing w:val="0"/>
          <w:sz w:val="24"/>
          <w:szCs w:val="24"/>
          <w:shd w:val="clear" w:fill="FFFFFF"/>
          <w:vertAlign w:val="baseline"/>
          <w:lang w:eastAsia="zh-CN"/>
        </w:rPr>
      </w:pPr>
      <w:r>
        <w:rPr>
          <w:rFonts w:hint="eastAsia" w:ascii="宋体" w:hAnsi="宋体" w:eastAsia="宋体" w:cs="宋体"/>
          <w:i w:val="0"/>
          <w:iCs w:val="0"/>
          <w:caps w:val="0"/>
          <w:color w:val="auto"/>
          <w:spacing w:val="0"/>
          <w:sz w:val="24"/>
          <w:szCs w:val="24"/>
          <w:shd w:val="clear" w:fill="FFFFFF"/>
          <w:vertAlign w:val="baseline"/>
        </w:rPr>
        <w:t>⑨、《关于进一步加大政府采购支持中小企业力度的通知》（财库〔2022〕19号）；</w:t>
      </w:r>
    </w:p>
    <w:p w14:paraId="4057ECD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480" w:right="0" w:firstLine="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⑩、 落实其它相关政策。</w:t>
      </w:r>
    </w:p>
    <w:p w14:paraId="46190FA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3.本项目的特定资格要求：</w:t>
      </w:r>
    </w:p>
    <w:p w14:paraId="5569BF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合同包1(</w:t>
      </w:r>
      <w:r>
        <w:rPr>
          <w:rFonts w:hint="eastAsia" w:ascii="宋体" w:hAnsi="宋体" w:eastAsia="宋体" w:cs="宋体"/>
          <w:i w:val="0"/>
          <w:iCs w:val="0"/>
          <w:caps w:val="0"/>
          <w:color w:val="auto"/>
          <w:spacing w:val="0"/>
          <w:sz w:val="24"/>
          <w:szCs w:val="24"/>
          <w:shd w:val="clear" w:fill="FFFFFF"/>
          <w:vertAlign w:val="baseline"/>
          <w:lang w:eastAsia="zh-CN"/>
        </w:rPr>
        <w:t>府谷县流动党员服务中心提升工程</w:t>
      </w:r>
      <w:r>
        <w:rPr>
          <w:rFonts w:hint="eastAsia" w:ascii="宋体" w:hAnsi="宋体" w:eastAsia="宋体" w:cs="宋体"/>
          <w:i w:val="0"/>
          <w:iCs w:val="0"/>
          <w:caps w:val="0"/>
          <w:color w:val="auto"/>
          <w:spacing w:val="0"/>
          <w:sz w:val="24"/>
          <w:szCs w:val="24"/>
          <w:shd w:val="clear" w:fill="FFFFFF"/>
          <w:vertAlign w:val="baseline"/>
        </w:rPr>
        <w:t>)特定资格要求如下:</w:t>
      </w:r>
    </w:p>
    <w:p w14:paraId="3DE83B42">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shd w:val="clear"/>
          <w:lang w:val="en-US" w:eastAsia="zh-CN" w:bidi="ar-SA"/>
        </w:rPr>
        <w:t>1、</w:t>
      </w:r>
      <w:r>
        <w:rPr>
          <w:rFonts w:hint="eastAsia" w:asciiTheme="majorEastAsia" w:hAnsiTheme="majorEastAsia" w:eastAsiaTheme="majorEastAsia" w:cstheme="majorEastAsia"/>
          <w:color w:val="auto"/>
          <w:sz w:val="24"/>
          <w:szCs w:val="24"/>
          <w:shd w:val="clear"/>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shd w:val="clear"/>
          <w:lang w:val="en-US" w:eastAsia="zh-CN"/>
        </w:rPr>
        <w:t>2024年</w:t>
      </w:r>
      <w:r>
        <w:rPr>
          <w:rFonts w:hint="eastAsia" w:asciiTheme="majorEastAsia" w:hAnsiTheme="majorEastAsia" w:eastAsiaTheme="majorEastAsia" w:cstheme="majorEastAsia"/>
          <w:color w:val="auto"/>
          <w:sz w:val="24"/>
          <w:szCs w:val="24"/>
          <w:shd w:val="clear"/>
          <w:lang w:eastAsia="zh-CN"/>
        </w:rPr>
        <w:t>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5E315A3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建筑工程施工总承包三级</w:t>
      </w:r>
      <w:r>
        <w:rPr>
          <w:rFonts w:hint="eastAsia" w:ascii="宋体" w:hAnsi="宋体" w:eastAsia="宋体" w:cs="宋体"/>
          <w:color w:val="auto"/>
          <w:sz w:val="24"/>
          <w:szCs w:val="24"/>
          <w:highlight w:val="none"/>
          <w:lang w:val="en-US" w:eastAsia="zh-CN"/>
        </w:rPr>
        <w:t>及其以上资质的独立企业法人，并具备有效的安全生产许可证，并在人员、设备、资金等方面有相应的施工能力。</w:t>
      </w:r>
    </w:p>
    <w:p w14:paraId="5B417997">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3、拟派往本工程项目负责人需具备建筑工程专业二级及以上注册建造师注册证书和有效的安全生产考核合格证书（建安B证），且未担任其他在建工程项目的项目负责人、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w:t>
      </w:r>
    </w:p>
    <w:p w14:paraId="45FCA933">
      <w:pPr>
        <w:pStyle w:val="14"/>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440313E">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4DA81BBD">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5337C7C6">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p w14:paraId="4BC840A3">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2EBC530F">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1BBC5B0F">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0A024845">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2A89C8F5">
      <w:pPr>
        <w:pStyle w:val="14"/>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15C56469">
      <w:pPr>
        <w:pageBreakBefore w:val="0"/>
        <w:shd w:val="clear"/>
        <w:kinsoku/>
        <w:overflowPunct/>
        <w:topLinePunct w:val="0"/>
        <w:autoSpaceDN/>
        <w:bidi w:val="0"/>
        <w:adjustRightInd/>
        <w:snapToGrid/>
        <w:spacing w:line="360" w:lineRule="auto"/>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13、拟投入项目管理人员情况应配备合理，包括但不限于安全员；</w:t>
      </w:r>
    </w:p>
    <w:p w14:paraId="5B1317F0">
      <w:pPr>
        <w:pageBreakBefore w:val="0"/>
        <w:shd w:val="clear"/>
        <w:kinsoku/>
        <w:overflowPunct/>
        <w:topLinePunct w:val="0"/>
        <w:autoSpaceDN/>
        <w:bidi w:val="0"/>
        <w:adjustRightInd/>
        <w:snapToGrid/>
        <w:spacing w:line="360" w:lineRule="auto"/>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1）安全员应持有有效的安全生产考核合格证书（建安C证）及身份证复印件。</w:t>
      </w:r>
    </w:p>
    <w:p w14:paraId="591C7A5C">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三、获取采购文件</w:t>
      </w:r>
    </w:p>
    <w:p w14:paraId="24BF086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20</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日至202</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ascii="宋体" w:hAnsi="宋体" w:eastAsia="宋体" w:cs="宋体"/>
          <w:i w:val="0"/>
          <w:iCs w:val="0"/>
          <w:caps w:val="0"/>
          <w:color w:val="auto"/>
          <w:spacing w:val="0"/>
          <w:sz w:val="24"/>
          <w:szCs w:val="24"/>
          <w:shd w:val="clear" w:fill="FFFFFF"/>
          <w:vertAlign w:val="baseline"/>
        </w:rPr>
        <w:t>每天上午</w:t>
      </w:r>
      <w:r>
        <w:rPr>
          <w:rFonts w:hint="eastAsia" w:ascii="宋体" w:hAnsi="宋体" w:eastAsia="宋体" w:cs="宋体"/>
          <w:i w:val="0"/>
          <w:iCs w:val="0"/>
          <w:caps w:val="0"/>
          <w:color w:val="auto"/>
          <w:spacing w:val="0"/>
          <w:sz w:val="24"/>
          <w:szCs w:val="24"/>
          <w:shd w:val="clear" w:color="auto" w:fill="FFFFFF"/>
        </w:rPr>
        <w:t>0</w:t>
      </w:r>
      <w:r>
        <w:rPr>
          <w:rFonts w:hint="eastAsia" w:ascii="宋体" w:hAnsi="宋体" w:eastAsia="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1</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sz w:val="24"/>
          <w:szCs w:val="24"/>
          <w:shd w:val="clear" w:fill="FFFFFF"/>
          <w:vertAlign w:val="baseline"/>
        </w:rPr>
        <w:t>（北京时间,</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双休日、</w:t>
      </w:r>
      <w:r>
        <w:rPr>
          <w:rFonts w:hint="eastAsia" w:ascii="宋体" w:hAnsi="宋体" w:eastAsia="宋体" w:cs="宋体"/>
          <w:i w:val="0"/>
          <w:iCs w:val="0"/>
          <w:caps w:val="0"/>
          <w:color w:val="auto"/>
          <w:spacing w:val="0"/>
          <w:sz w:val="24"/>
          <w:szCs w:val="24"/>
          <w:shd w:val="clear" w:fill="FFFFFF"/>
          <w:vertAlign w:val="baseline"/>
        </w:rPr>
        <w:t>法定节假日除外）</w:t>
      </w:r>
    </w:p>
    <w:p w14:paraId="70B0AC9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地点：全国公共资源交易中心平台（陕西省）【http://www.sxggzyjy.cn】使用CA锁报名后自行下载</w:t>
      </w:r>
    </w:p>
    <w:p w14:paraId="79500D9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方式：在线获取</w:t>
      </w:r>
    </w:p>
    <w:p w14:paraId="3D1DE69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售价：免费获取</w:t>
      </w:r>
    </w:p>
    <w:p w14:paraId="375D83A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四、响应文件提交</w:t>
      </w:r>
    </w:p>
    <w:p w14:paraId="574BF6A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截止时间：</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2025年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12</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01</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日</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14</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时</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0</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0分</w:t>
      </w:r>
      <w:r>
        <w:rPr>
          <w:rFonts w:hint="eastAsia" w:ascii="宋体" w:hAnsi="宋体" w:eastAsia="宋体" w:cs="宋体"/>
          <w:i w:val="0"/>
          <w:iCs w:val="0"/>
          <w:caps w:val="0"/>
          <w:color w:val="auto"/>
          <w:spacing w:val="0"/>
          <w:sz w:val="24"/>
          <w:szCs w:val="24"/>
          <w:shd w:val="clear" w:fill="FFFFFF"/>
          <w:vertAlign w:val="baseline"/>
        </w:rPr>
        <w:t>（北京时间）</w:t>
      </w:r>
    </w:p>
    <w:p w14:paraId="4912ED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val="en-US" w:eastAsia="zh-CN"/>
        </w:rPr>
        <w:t>陕西省榆林市府谷县经济适用房一期2号楼西商铺黄河文苑</w:t>
      </w:r>
    </w:p>
    <w:p w14:paraId="7B373114">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五、开启</w:t>
      </w:r>
    </w:p>
    <w:p w14:paraId="240B93C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时间：</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2025年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12</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01</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日</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14</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时</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0</w:t>
      </w:r>
      <w:r>
        <w:rPr>
          <w:rFonts w:hint="eastAsia" w:ascii="宋体" w:hAnsi="宋体" w:eastAsia="宋体" w:cs="宋体"/>
          <w:i w:val="0"/>
          <w:iCs w:val="0"/>
          <w:caps w:val="0"/>
          <w:color w:val="000000" w:themeColor="text1"/>
          <w:spacing w:val="0"/>
          <w:sz w:val="24"/>
          <w:szCs w:val="24"/>
          <w:shd w:val="clear" w:fill="FFFFFF"/>
          <w:vertAlign w:val="baseline"/>
          <w:lang w:eastAsia="zh-CN"/>
          <w14:textFill>
            <w14:solidFill>
              <w14:schemeClr w14:val="tx1"/>
            </w14:solidFill>
          </w14:textFill>
        </w:rPr>
        <w:t>0分</w:t>
      </w:r>
      <w:r>
        <w:rPr>
          <w:rFonts w:hint="eastAsia" w:ascii="宋体" w:hAnsi="宋体" w:eastAsia="宋体" w:cs="宋体"/>
          <w:i w:val="0"/>
          <w:iCs w:val="0"/>
          <w:caps w:val="0"/>
          <w:color w:val="auto"/>
          <w:spacing w:val="0"/>
          <w:sz w:val="24"/>
          <w:szCs w:val="24"/>
          <w:shd w:val="clear" w:fill="FFFFFF"/>
          <w:vertAlign w:val="baseline"/>
        </w:rPr>
        <w:t>（北京时间）</w:t>
      </w:r>
    </w:p>
    <w:p w14:paraId="2178D5F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rPr>
        <w:t>地点：</w:t>
      </w:r>
      <w:r>
        <w:rPr>
          <w:rFonts w:hint="eastAsia" w:ascii="宋体" w:hAnsi="宋体" w:eastAsia="宋体" w:cs="宋体"/>
          <w:i w:val="0"/>
          <w:iCs w:val="0"/>
          <w:caps w:val="0"/>
          <w:color w:val="auto"/>
          <w:spacing w:val="0"/>
          <w:sz w:val="24"/>
          <w:szCs w:val="24"/>
          <w:shd w:val="clear" w:fill="FFFFFF"/>
          <w:vertAlign w:val="baseline"/>
          <w:lang w:eastAsia="zh-CN"/>
        </w:rPr>
        <w:t>陕西省榆林市府谷县经济适用房一期2号楼西商铺黄河文苑</w:t>
      </w:r>
    </w:p>
    <w:p w14:paraId="0910FD42">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六、公告期限</w:t>
      </w:r>
    </w:p>
    <w:p w14:paraId="36CD846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自本公告发布之日起</w:t>
      </w:r>
      <w:r>
        <w:rPr>
          <w:rFonts w:hint="eastAsia" w:ascii="宋体" w:hAnsi="宋体" w:eastAsia="宋体" w:cs="宋体"/>
          <w:i w:val="0"/>
          <w:iCs w:val="0"/>
          <w:caps w:val="0"/>
          <w:color w:val="auto"/>
          <w:spacing w:val="0"/>
          <w:sz w:val="24"/>
          <w:szCs w:val="24"/>
          <w:shd w:val="clear" w:fill="FFFFFF"/>
          <w:vertAlign w:val="baseline"/>
          <w:lang w:val="en-US" w:eastAsia="zh-CN"/>
        </w:rPr>
        <w:t>5</w:t>
      </w:r>
      <w:r>
        <w:rPr>
          <w:rFonts w:hint="eastAsia" w:ascii="宋体" w:hAnsi="宋体" w:eastAsia="宋体" w:cs="宋体"/>
          <w:i w:val="0"/>
          <w:iCs w:val="0"/>
          <w:caps w:val="0"/>
          <w:color w:val="auto"/>
          <w:spacing w:val="0"/>
          <w:sz w:val="24"/>
          <w:szCs w:val="24"/>
          <w:shd w:val="clear" w:fill="FFFFFF"/>
          <w:vertAlign w:val="baseline"/>
        </w:rPr>
        <w:t>个工作日。</w:t>
      </w:r>
    </w:p>
    <w:p w14:paraId="70ADDCFE">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482" w:firstLineChars="2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七、其他补充事宜</w:t>
      </w:r>
    </w:p>
    <w:p w14:paraId="2E31AA4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sz w:val="24"/>
          <w:szCs w:val="24"/>
          <w:shd w:val="clear" w:fill="FFFFFF"/>
          <w:vertAlign w:val="baseline"/>
        </w:rPr>
        <w:t>线上与线下需同时报名，二者缺一不可，否则视为报名无效；</w:t>
      </w:r>
    </w:p>
    <w:p w14:paraId="6D88C16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1、供应商可登录全国公共资源交易中心平台（陕西省） （http://www.sxggzyjy.cn/）,选择“电子交易平台-政府采购交易系统-企业端进行登录，登录后选择“交易乙方”身份进入供应商界面进行报名并免费下载采购文件。</w:t>
      </w:r>
    </w:p>
    <w:p w14:paraId="2006446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2、线上报名与线下报名需同时进行，线上报名成功后请携带网上报名回执单、单位介绍信原件、经办人身份证原件、复印件加盖公章到陕西众鼎互联项目管理有限公司(陕西省榆林市府谷县经济适用房一期2号楼西商铺黄河文苑）进行线下报名，线上与线下报名信息须一致，否则视为报名无效。本工程所属行业为建筑业，报名时间：</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202</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20</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日至202</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5</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年</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11</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月</w:t>
      </w:r>
      <w:r>
        <w:rPr>
          <w:rFonts w:hint="eastAsia" w:ascii="宋体" w:hAnsi="宋体" w:eastAsia="宋体" w:cs="宋体"/>
          <w:i w:val="0"/>
          <w:iCs w:val="0"/>
          <w:caps w:val="0"/>
          <w:color w:val="000000" w:themeColor="text1"/>
          <w:spacing w:val="0"/>
          <w:sz w:val="24"/>
          <w:szCs w:val="24"/>
          <w:shd w:val="clear" w:fill="FFFFFF"/>
          <w:vertAlign w:val="baseline"/>
          <w:lang w:val="en-US" w:eastAsia="zh-CN"/>
          <w14:textFill>
            <w14:solidFill>
              <w14:schemeClr w14:val="tx1"/>
            </w14:solidFill>
          </w14:textFill>
        </w:rPr>
        <w:t>26</w:t>
      </w:r>
      <w:r>
        <w:rPr>
          <w:rFonts w:hint="eastAsia" w:ascii="宋体" w:hAnsi="宋体" w:eastAsia="宋体" w:cs="宋体"/>
          <w:i w:val="0"/>
          <w:iCs w:val="0"/>
          <w:caps w:val="0"/>
          <w:color w:val="000000" w:themeColor="text1"/>
          <w:spacing w:val="0"/>
          <w:sz w:val="24"/>
          <w:szCs w:val="24"/>
          <w:shd w:val="clear" w:fill="FFFFFF"/>
          <w:vertAlign w:val="baseline"/>
          <w14:textFill>
            <w14:solidFill>
              <w14:schemeClr w14:val="tx1"/>
            </w14:solidFill>
          </w14:textFill>
        </w:rPr>
        <w:t>日</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（双休日、法定节假日除外）上午09:00:00至11:30:00,下午</w:t>
      </w:r>
      <w:r>
        <w:rPr>
          <w:rFonts w:hint="eastAsia" w:ascii="宋体" w:hAnsi="宋体" w:eastAsia="宋体" w:cs="宋体"/>
          <w:i w:val="0"/>
          <w:iCs w:val="0"/>
          <w:caps w:val="0"/>
          <w:color w:val="auto"/>
          <w:spacing w:val="0"/>
          <w:sz w:val="24"/>
          <w:szCs w:val="24"/>
          <w:shd w:val="clear" w:color="auto" w:fill="FFFFFF"/>
          <w:lang w:val="en-US" w:eastAsia="zh-CN"/>
        </w:rPr>
        <w:t>15</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00</w:t>
      </w:r>
      <w:r>
        <w:rPr>
          <w:rFonts w:hint="eastAsia" w:ascii="宋体" w:hAnsi="宋体" w:eastAsia="宋体" w:cs="宋体"/>
          <w:i w:val="0"/>
          <w:iCs w:val="0"/>
          <w:caps w:val="0"/>
          <w:color w:val="auto"/>
          <w:spacing w:val="0"/>
          <w:sz w:val="24"/>
          <w:szCs w:val="24"/>
          <w:shd w:val="clear" w:color="auto" w:fill="FFFFFF"/>
        </w:rPr>
        <w:t>:00至1</w:t>
      </w:r>
      <w:r>
        <w:rPr>
          <w:rFonts w:hint="eastAsia" w:ascii="宋体" w:hAnsi="宋体" w:eastAsia="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30</w:t>
      </w:r>
      <w:r>
        <w:rPr>
          <w:rFonts w:hint="eastAsia" w:ascii="宋体" w:hAnsi="宋体" w:eastAsia="宋体" w:cs="宋体"/>
          <w:i w:val="0"/>
          <w:iCs w:val="0"/>
          <w:caps w:val="0"/>
          <w:color w:val="auto"/>
          <w:spacing w:val="0"/>
          <w:sz w:val="24"/>
          <w:szCs w:val="24"/>
          <w:shd w:val="clear" w:color="auto" w:fill="FFFFFF"/>
        </w:rPr>
        <w:t>:00</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（谢绝邮寄）。自本公告发布之日起以5个工作日为准。</w:t>
      </w:r>
    </w:p>
    <w:p w14:paraId="581C842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3、办理CA锁方式（仅供参考）：榆林市市民大厦三楼窗口,电话：0912-3515031。</w:t>
      </w:r>
    </w:p>
    <w:p w14:paraId="1B2B6FE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both"/>
        <w:textAlignment w:val="baseline"/>
        <w:rPr>
          <w:rFonts w:hint="eastAsia" w:ascii="宋体" w:hAnsi="宋体" w:eastAsia="宋体" w:cs="宋体"/>
          <w:color w:val="auto"/>
          <w:sz w:val="24"/>
          <w:szCs w:val="24"/>
        </w:rPr>
      </w:pPr>
      <w:r>
        <w:rPr>
          <w:rFonts w:hint="eastAsia" w:ascii="宋体" w:hAnsi="宋体" w:eastAsia="宋体" w:cs="宋体"/>
          <w:i w:val="0"/>
          <w:iCs w:val="0"/>
          <w:caps w:val="0"/>
          <w:color w:val="auto"/>
          <w:spacing w:val="0"/>
          <w:kern w:val="0"/>
          <w:sz w:val="24"/>
          <w:szCs w:val="24"/>
          <w:shd w:val="clear" w:fill="FFFFFF"/>
          <w:vertAlign w:val="baseline"/>
          <w:lang w:val="en-US" w:eastAsia="zh-CN" w:bidi="ar"/>
        </w:rPr>
        <w:t>4、请供应商按照陕西省财政厅关于政府采购供应商注册登记有关事项的通知中的要求，通过陕西省政府采购网（http://www.ccgp-shaanxi.gov.cn/）注册登记加入陕西省政府采购供应商库。</w:t>
      </w:r>
    </w:p>
    <w:p w14:paraId="4DA4D835">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Lines="0" w:beforeAutospacing="0" w:afterLines="0" w:afterAutospacing="0" w:line="360" w:lineRule="auto"/>
        <w:ind w:left="-375" w:leftChars="0" w:right="0" w:rightChars="0" w:firstLine="241" w:firstLineChars="100"/>
        <w:jc w:val="left"/>
        <w:textAlignment w:val="baseline"/>
        <w:rPr>
          <w:rFonts w:hint="eastAsia" w:ascii="宋体" w:hAnsi="宋体" w:eastAsia="宋体" w:cs="宋体"/>
          <w:b w:val="0"/>
          <w:bCs w:val="0"/>
          <w:color w:val="auto"/>
          <w:sz w:val="24"/>
          <w:szCs w:val="24"/>
        </w:rPr>
      </w:pPr>
      <w:r>
        <w:rPr>
          <w:rStyle w:val="24"/>
          <w:rFonts w:hint="eastAsia" w:ascii="宋体" w:hAnsi="宋体" w:eastAsia="宋体" w:cs="宋体"/>
          <w:b/>
          <w:bCs/>
          <w:i w:val="0"/>
          <w:iCs w:val="0"/>
          <w:caps w:val="0"/>
          <w:color w:val="auto"/>
          <w:spacing w:val="0"/>
          <w:sz w:val="24"/>
          <w:szCs w:val="24"/>
          <w:shd w:val="clear" w:fill="FFFFFF"/>
          <w:vertAlign w:val="baseline"/>
        </w:rPr>
        <w:t>八、凡对本次采购提出询问，请按以下方式联系。</w:t>
      </w:r>
    </w:p>
    <w:p w14:paraId="2D2DC2F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left"/>
        <w:rPr>
          <w:rFonts w:hint="eastAsia" w:ascii="宋体" w:hAnsi="宋体" w:eastAsia="宋体" w:cs="宋体"/>
          <w:b w:val="0"/>
          <w:color w:val="auto"/>
          <w:kern w:val="0"/>
          <w:sz w:val="24"/>
          <w:szCs w:val="24"/>
        </w:rPr>
      </w:pPr>
      <w:r>
        <w:rPr>
          <w:rFonts w:hint="eastAsia" w:ascii="宋体" w:hAnsi="宋体" w:eastAsia="宋体" w:cs="宋体"/>
          <w:b w:val="0"/>
          <w:i w:val="0"/>
          <w:caps w:val="0"/>
          <w:color w:val="auto"/>
          <w:spacing w:val="0"/>
          <w:kern w:val="0"/>
          <w:sz w:val="24"/>
          <w:szCs w:val="24"/>
          <w:shd w:val="clear" w:color="auto" w:fill="FFFFFF"/>
        </w:rPr>
        <w:t>1.采购人信息</w:t>
      </w:r>
    </w:p>
    <w:p w14:paraId="5AAC9A7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both"/>
        <w:rPr>
          <w:rFonts w:hint="eastAsia" w:ascii="宋体" w:hAnsi="宋体" w:eastAsia="宋体" w:cs="宋体"/>
          <w:i w:val="0"/>
          <w:caps w:val="0"/>
          <w:color w:val="auto"/>
          <w:spacing w:val="0"/>
          <w:kern w:val="0"/>
          <w:sz w:val="24"/>
          <w:szCs w:val="24"/>
          <w:shd w:val="clear" w:color="auto" w:fill="FFFFFF"/>
        </w:rPr>
      </w:pPr>
      <w:r>
        <w:rPr>
          <w:rFonts w:hint="eastAsia" w:ascii="宋体" w:hAnsi="宋体" w:eastAsia="宋体" w:cs="宋体"/>
          <w:i w:val="0"/>
          <w:caps w:val="0"/>
          <w:color w:val="auto"/>
          <w:spacing w:val="0"/>
          <w:kern w:val="0"/>
          <w:sz w:val="24"/>
          <w:szCs w:val="24"/>
          <w:shd w:val="clear" w:color="auto" w:fill="FFFFFF"/>
          <w:lang w:val="en-US" w:eastAsia="zh-CN" w:bidi="ar"/>
        </w:rPr>
        <w:t>名称：府谷县府谷镇人民政府</w:t>
      </w:r>
    </w:p>
    <w:p w14:paraId="654C1DC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both"/>
        <w:rPr>
          <w:rFonts w:hint="eastAsia" w:ascii="宋体" w:hAnsi="宋体" w:eastAsia="宋体" w:cs="宋体"/>
          <w:i w:val="0"/>
          <w:caps w:val="0"/>
          <w:color w:val="auto"/>
          <w:spacing w:val="0"/>
          <w:kern w:val="0"/>
          <w:sz w:val="24"/>
          <w:szCs w:val="24"/>
          <w:shd w:val="clear" w:color="auto" w:fill="FFFFFF"/>
          <w:lang w:val="en-US" w:eastAsia="zh-CN" w:bidi="ar"/>
        </w:rPr>
      </w:pPr>
      <w:r>
        <w:rPr>
          <w:rFonts w:hint="eastAsia" w:ascii="宋体" w:hAnsi="宋体" w:eastAsia="宋体" w:cs="宋体"/>
          <w:i w:val="0"/>
          <w:caps w:val="0"/>
          <w:color w:val="auto"/>
          <w:spacing w:val="0"/>
          <w:kern w:val="0"/>
          <w:sz w:val="24"/>
          <w:szCs w:val="24"/>
          <w:shd w:val="clear" w:color="auto" w:fill="FFFFFF"/>
          <w:lang w:val="en-US" w:eastAsia="zh-CN" w:bidi="ar"/>
        </w:rPr>
        <w:t>地址：陕西省榆林市府谷县府谷镇</w:t>
      </w:r>
    </w:p>
    <w:p w14:paraId="31C4997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联系方式：13991062885</w:t>
      </w:r>
    </w:p>
    <w:p w14:paraId="142F4F7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left"/>
        <w:rPr>
          <w:rFonts w:hint="eastAsia" w:ascii="宋体" w:hAnsi="宋体" w:eastAsia="宋体" w:cs="宋体"/>
          <w:b w:val="0"/>
          <w:color w:val="auto"/>
          <w:kern w:val="0"/>
          <w:sz w:val="24"/>
          <w:szCs w:val="24"/>
        </w:rPr>
      </w:pPr>
      <w:r>
        <w:rPr>
          <w:rFonts w:hint="eastAsia" w:ascii="宋体" w:hAnsi="宋体" w:eastAsia="宋体" w:cs="宋体"/>
          <w:b w:val="0"/>
          <w:i w:val="0"/>
          <w:caps w:val="0"/>
          <w:color w:val="auto"/>
          <w:spacing w:val="0"/>
          <w:kern w:val="0"/>
          <w:sz w:val="24"/>
          <w:szCs w:val="24"/>
          <w:shd w:val="clear" w:color="auto" w:fill="FFFFFF"/>
        </w:rPr>
        <w:t>2.采购代理机构信息</w:t>
      </w:r>
    </w:p>
    <w:p w14:paraId="230A303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名称：陕西众鼎互联项目管理有限公司</w:t>
      </w:r>
    </w:p>
    <w:p w14:paraId="6413036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地址：</w:t>
      </w:r>
      <w:r>
        <w:rPr>
          <w:rFonts w:hint="eastAsia" w:ascii="宋体" w:hAnsi="宋体" w:eastAsia="宋体" w:cs="宋体"/>
          <w:i w:val="0"/>
          <w:iCs w:val="0"/>
          <w:caps w:val="0"/>
          <w:color w:val="auto"/>
          <w:spacing w:val="0"/>
          <w:kern w:val="0"/>
          <w:sz w:val="24"/>
          <w:szCs w:val="24"/>
          <w:shd w:val="clear" w:fill="FFFFFF"/>
          <w:vertAlign w:val="baseline"/>
          <w:lang w:val="en-US" w:eastAsia="zh-CN" w:bidi="ar"/>
        </w:rPr>
        <w:t>陕西省榆林市府谷县经济适用房一期2号楼西商铺黄河文苑</w:t>
      </w:r>
    </w:p>
    <w:p w14:paraId="5BB7167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left"/>
        <w:rPr>
          <w:rFonts w:hint="eastAsia" w:ascii="宋体" w:hAnsi="宋体" w:eastAsia="宋体" w:cs="宋体"/>
          <w:b w:val="0"/>
          <w:color w:val="auto"/>
          <w:kern w:val="0"/>
          <w:sz w:val="24"/>
          <w:szCs w:val="24"/>
        </w:rPr>
      </w:pPr>
      <w:r>
        <w:rPr>
          <w:rFonts w:hint="eastAsia" w:ascii="宋体" w:hAnsi="宋体" w:eastAsia="宋体" w:cs="宋体"/>
          <w:b w:val="0"/>
          <w:i w:val="0"/>
          <w:caps w:val="0"/>
          <w:color w:val="auto"/>
          <w:spacing w:val="0"/>
          <w:kern w:val="0"/>
          <w:sz w:val="24"/>
          <w:szCs w:val="24"/>
          <w:shd w:val="clear" w:color="auto" w:fill="FFFFFF"/>
        </w:rPr>
        <w:t>3.项目联系方式</w:t>
      </w:r>
    </w:p>
    <w:p w14:paraId="457C926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4"/>
          <w:szCs w:val="24"/>
          <w:shd w:val="clear" w:color="auto" w:fill="FFFFFF"/>
          <w:lang w:val="en-US" w:eastAsia="zh-CN" w:bidi="ar"/>
        </w:rPr>
        <w:t>项目联系人：韩工</w:t>
      </w:r>
    </w:p>
    <w:p w14:paraId="6F421CB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360" w:lineRule="auto"/>
        <w:ind w:left="0" w:right="0" w:firstLine="480" w:firstLineChars="200"/>
        <w:jc w:val="both"/>
        <w:rPr>
          <w:rFonts w:hint="default" w:ascii="宋体" w:hAnsi="宋体" w:eastAsia="宋体" w:cs="宋体"/>
          <w:color w:val="auto"/>
          <w:kern w:val="0"/>
          <w:sz w:val="24"/>
          <w:szCs w:val="24"/>
          <w:lang w:val="en-US"/>
        </w:rPr>
      </w:pPr>
      <w:r>
        <w:rPr>
          <w:rFonts w:hint="eastAsia" w:ascii="宋体" w:hAnsi="宋体" w:eastAsia="宋体" w:cs="宋体"/>
          <w:i w:val="0"/>
          <w:caps w:val="0"/>
          <w:color w:val="auto"/>
          <w:spacing w:val="0"/>
          <w:kern w:val="0"/>
          <w:sz w:val="24"/>
          <w:szCs w:val="24"/>
          <w:shd w:val="clear" w:color="auto" w:fill="FFFFFF"/>
          <w:lang w:val="en-US" w:eastAsia="zh-CN" w:bidi="ar"/>
        </w:rPr>
        <w:t>电话：0912-8808176</w:t>
      </w:r>
    </w:p>
    <w:p w14:paraId="269B447F">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right="0" w:firstLine="480"/>
        <w:jc w:val="right"/>
        <w:textAlignment w:val="baseline"/>
        <w:rPr>
          <w:rFonts w:hint="eastAsia" w:ascii="宋体" w:hAnsi="宋体" w:eastAsia="宋体" w:cs="宋体"/>
          <w:color w:val="auto"/>
          <w:sz w:val="24"/>
          <w:szCs w:val="24"/>
          <w:lang w:eastAsia="zh-CN"/>
        </w:rPr>
      </w:pPr>
      <w:r>
        <w:rPr>
          <w:rFonts w:hint="eastAsia" w:ascii="宋体" w:hAnsi="宋体" w:eastAsia="宋体" w:cs="宋体"/>
          <w:i w:val="0"/>
          <w:iCs w:val="0"/>
          <w:caps w:val="0"/>
          <w:color w:val="auto"/>
          <w:spacing w:val="0"/>
          <w:sz w:val="24"/>
          <w:szCs w:val="24"/>
          <w:shd w:val="clear" w:fill="FFFFFF"/>
          <w:vertAlign w:val="baseline"/>
          <w:lang w:eastAsia="zh-CN"/>
        </w:rPr>
        <w:t>陕西众鼎互联项目管理有限公司</w:t>
      </w:r>
    </w:p>
    <w:p w14:paraId="030D5153">
      <w:pPr>
        <w:keepNext w:val="0"/>
        <w:keepLines w:val="0"/>
        <w:pageBreakBefore w:val="0"/>
        <w:kinsoku/>
        <w:overflowPunct/>
        <w:topLinePunct w:val="0"/>
        <w:autoSpaceDE/>
        <w:autoSpaceDN/>
        <w:bidi w:val="0"/>
        <w:adjustRightInd/>
        <w:snapToGrid/>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52B2E759">
      <w:pPr>
        <w:pStyle w:val="3"/>
        <w:rPr>
          <w:rFonts w:hint="eastAsia" w:ascii="宋体" w:hAnsi="宋体" w:eastAsia="宋体" w:cs="宋体"/>
          <w:color w:val="auto"/>
        </w:rPr>
      </w:pPr>
      <w:bookmarkStart w:id="5" w:name="_Toc2544"/>
      <w:bookmarkStart w:id="6" w:name="_Toc3201"/>
      <w:bookmarkStart w:id="7" w:name="_Toc4593"/>
      <w:bookmarkStart w:id="8" w:name="_Toc5013"/>
      <w:bookmarkStart w:id="9" w:name="_Toc8674"/>
      <w:r>
        <w:rPr>
          <w:rFonts w:hint="eastAsia" w:ascii="宋体" w:hAnsi="宋体" w:eastAsia="宋体" w:cs="宋体"/>
          <w:color w:val="auto"/>
        </w:rPr>
        <w:t>第二章  供应商须知</w:t>
      </w:r>
      <w:bookmarkEnd w:id="5"/>
      <w:bookmarkEnd w:id="6"/>
      <w:bookmarkEnd w:id="7"/>
      <w:bookmarkEnd w:id="8"/>
      <w:bookmarkEnd w:id="9"/>
    </w:p>
    <w:p w14:paraId="30817D10">
      <w:pPr>
        <w:pStyle w:val="4"/>
        <w:rPr>
          <w:rFonts w:hint="eastAsia" w:ascii="宋体" w:hAnsi="宋体" w:eastAsia="宋体" w:cs="宋体"/>
          <w:color w:val="auto"/>
        </w:rPr>
      </w:pPr>
      <w:bookmarkStart w:id="10" w:name="_Toc24884"/>
      <w:bookmarkStart w:id="11" w:name="_Toc926"/>
      <w:bookmarkStart w:id="12" w:name="_Toc24366"/>
      <w:bookmarkStart w:id="13" w:name="_Toc518821208"/>
      <w:bookmarkStart w:id="14" w:name="_Toc6896"/>
      <w:r>
        <w:rPr>
          <w:rFonts w:hint="eastAsia" w:ascii="宋体" w:hAnsi="宋体" w:eastAsia="宋体" w:cs="宋体"/>
          <w:color w:val="auto"/>
        </w:rPr>
        <w:t>供应商须知前附表</w:t>
      </w:r>
      <w:bookmarkEnd w:id="10"/>
      <w:bookmarkEnd w:id="11"/>
      <w:bookmarkEnd w:id="12"/>
      <w:bookmarkEnd w:id="13"/>
    </w:p>
    <w:tbl>
      <w:tblPr>
        <w:tblStyle w:val="21"/>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20"/>
        <w:gridCol w:w="7307"/>
      </w:tblGrid>
      <w:tr w14:paraId="1ABF2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950" w:type="dxa"/>
            <w:shd w:val="clear" w:color="auto" w:fill="auto"/>
            <w:vAlign w:val="center"/>
          </w:tcPr>
          <w:p w14:paraId="25862C9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条款号</w:t>
            </w:r>
          </w:p>
        </w:tc>
        <w:tc>
          <w:tcPr>
            <w:tcW w:w="1320" w:type="dxa"/>
            <w:shd w:val="clear" w:color="auto" w:fill="auto"/>
            <w:vAlign w:val="center"/>
          </w:tcPr>
          <w:p w14:paraId="11DF243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内容</w:t>
            </w:r>
          </w:p>
        </w:tc>
        <w:tc>
          <w:tcPr>
            <w:tcW w:w="7307" w:type="dxa"/>
            <w:shd w:val="clear" w:color="auto" w:fill="auto"/>
            <w:vAlign w:val="center"/>
          </w:tcPr>
          <w:p w14:paraId="5FCA301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说明与要求</w:t>
            </w:r>
          </w:p>
        </w:tc>
      </w:tr>
      <w:tr w14:paraId="1B533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398E97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1.1.2 </w:t>
            </w:r>
          </w:p>
        </w:tc>
        <w:tc>
          <w:tcPr>
            <w:tcW w:w="1320" w:type="dxa"/>
            <w:vAlign w:val="center"/>
          </w:tcPr>
          <w:p w14:paraId="182293C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采购人</w:t>
            </w:r>
          </w:p>
        </w:tc>
        <w:tc>
          <w:tcPr>
            <w:tcW w:w="7307" w:type="dxa"/>
            <w:vAlign w:val="center"/>
          </w:tcPr>
          <w:p w14:paraId="1896C556">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名称：府谷县府谷镇人民政府</w:t>
            </w:r>
          </w:p>
          <w:p w14:paraId="565A93D7">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eastAsia="zh-CN"/>
              </w:rPr>
              <w:t>地址：</w:t>
            </w:r>
            <w:r>
              <w:rPr>
                <w:rFonts w:hint="eastAsia" w:asciiTheme="majorEastAsia" w:hAnsiTheme="majorEastAsia" w:eastAsiaTheme="majorEastAsia" w:cstheme="majorEastAsia"/>
                <w:color w:val="auto"/>
                <w:sz w:val="24"/>
                <w:szCs w:val="24"/>
                <w:lang w:val="en-US" w:eastAsia="zh-CN"/>
              </w:rPr>
              <w:t>陕西省榆林市府谷县府谷镇</w:t>
            </w:r>
          </w:p>
          <w:p w14:paraId="7743F50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jc w:val="both"/>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eastAsia="zh-CN"/>
              </w:rPr>
              <w:t>联系方式：</w:t>
            </w:r>
            <w:r>
              <w:rPr>
                <w:rFonts w:hint="eastAsia" w:ascii="宋体" w:hAnsi="宋体" w:eastAsia="宋体" w:cs="宋体"/>
                <w:i w:val="0"/>
                <w:caps w:val="0"/>
                <w:color w:val="auto"/>
                <w:spacing w:val="0"/>
                <w:kern w:val="0"/>
                <w:sz w:val="22"/>
                <w:szCs w:val="22"/>
                <w:shd w:val="clear" w:color="auto" w:fill="FFFFFF"/>
                <w:lang w:val="en-US" w:eastAsia="zh-CN" w:bidi="ar"/>
              </w:rPr>
              <w:t>13991062885</w:t>
            </w:r>
          </w:p>
        </w:tc>
      </w:tr>
      <w:tr w14:paraId="78AEB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60A43D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1.1.3</w:t>
            </w:r>
          </w:p>
        </w:tc>
        <w:tc>
          <w:tcPr>
            <w:tcW w:w="1320" w:type="dxa"/>
            <w:vAlign w:val="center"/>
          </w:tcPr>
          <w:p w14:paraId="0A68C89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采购代理</w:t>
            </w:r>
          </w:p>
          <w:p w14:paraId="6AFD6A2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机构</w:t>
            </w:r>
          </w:p>
        </w:tc>
        <w:tc>
          <w:tcPr>
            <w:tcW w:w="7307" w:type="dxa"/>
            <w:vAlign w:val="center"/>
          </w:tcPr>
          <w:p w14:paraId="0A9BE5D5">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名  称：</w:t>
            </w:r>
            <w:r>
              <w:rPr>
                <w:rFonts w:hint="eastAsia" w:asciiTheme="majorEastAsia" w:hAnsiTheme="majorEastAsia" w:eastAsiaTheme="majorEastAsia" w:cstheme="majorEastAsia"/>
                <w:color w:val="auto"/>
                <w:sz w:val="24"/>
                <w:szCs w:val="24"/>
                <w:lang w:eastAsia="zh-CN"/>
              </w:rPr>
              <w:t>陕西众鼎互联项目管理有限公司</w:t>
            </w:r>
          </w:p>
          <w:p w14:paraId="33AC2E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rPr>
              <w:t>地  址：</w:t>
            </w:r>
            <w:r>
              <w:rPr>
                <w:rFonts w:hint="eastAsia" w:asciiTheme="majorEastAsia" w:hAnsiTheme="majorEastAsia" w:eastAsiaTheme="majorEastAsia" w:cstheme="majorEastAsia"/>
                <w:color w:val="auto"/>
                <w:sz w:val="24"/>
                <w:szCs w:val="24"/>
                <w:lang w:eastAsia="zh-CN"/>
              </w:rPr>
              <w:t>陕西省榆林市府谷县经济适用房一期2号楼西商铺黄河文苑</w:t>
            </w:r>
          </w:p>
          <w:p w14:paraId="0B427A39">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联系人：</w:t>
            </w:r>
            <w:r>
              <w:rPr>
                <w:rFonts w:hint="eastAsia" w:asciiTheme="majorEastAsia" w:hAnsiTheme="majorEastAsia" w:eastAsiaTheme="majorEastAsia" w:cstheme="majorEastAsia"/>
                <w:color w:val="auto"/>
                <w:sz w:val="24"/>
                <w:szCs w:val="24"/>
                <w:lang w:val="en-US" w:eastAsia="zh-CN"/>
              </w:rPr>
              <w:t>韩工</w:t>
            </w:r>
          </w:p>
          <w:p w14:paraId="241A928F">
            <w:pPr>
              <w:keepNext w:val="0"/>
              <w:keepLines w:val="0"/>
              <w:pageBreakBefore w:val="0"/>
              <w:widowControl w:val="0"/>
              <w:kinsoku/>
              <w:wordWrap/>
              <w:overflowPunct/>
              <w:bidi w:val="0"/>
              <w:spacing w:line="440" w:lineRule="exact"/>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电  话：</w:t>
            </w:r>
            <w:r>
              <w:rPr>
                <w:rFonts w:hint="eastAsia" w:asciiTheme="majorEastAsia" w:hAnsiTheme="majorEastAsia" w:eastAsiaTheme="majorEastAsia" w:cstheme="majorEastAsia"/>
                <w:color w:val="auto"/>
                <w:sz w:val="24"/>
                <w:szCs w:val="24"/>
                <w:lang w:val="en-US" w:eastAsia="zh-CN"/>
              </w:rPr>
              <w:t>0912-8808176</w:t>
            </w:r>
          </w:p>
        </w:tc>
      </w:tr>
      <w:tr w14:paraId="5B78A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324E5EF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1.1.4</w:t>
            </w:r>
          </w:p>
        </w:tc>
        <w:tc>
          <w:tcPr>
            <w:tcW w:w="1320" w:type="dxa"/>
            <w:vAlign w:val="center"/>
          </w:tcPr>
          <w:p w14:paraId="1D3C136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lang w:val="en-US" w:eastAsia="zh-CN"/>
              </w:rPr>
              <w:t>磋商</w:t>
            </w:r>
            <w:r>
              <w:rPr>
                <w:rFonts w:hint="eastAsia" w:asciiTheme="majorEastAsia" w:hAnsiTheme="majorEastAsia" w:eastAsiaTheme="majorEastAsia" w:cstheme="majorEastAsia"/>
                <w:color w:val="auto"/>
                <w:sz w:val="24"/>
                <w:szCs w:val="24"/>
                <w:highlight w:val="none"/>
              </w:rPr>
              <w:t>项目</w:t>
            </w:r>
          </w:p>
          <w:p w14:paraId="4FC3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highlight w:val="none"/>
              </w:rPr>
            </w:pPr>
            <w:r>
              <w:rPr>
                <w:rFonts w:hint="eastAsia" w:asciiTheme="majorEastAsia" w:hAnsiTheme="majorEastAsia" w:eastAsiaTheme="majorEastAsia" w:cstheme="majorEastAsia"/>
                <w:color w:val="auto"/>
                <w:sz w:val="24"/>
                <w:szCs w:val="24"/>
                <w:highlight w:val="none"/>
              </w:rPr>
              <w:t>名称</w:t>
            </w:r>
          </w:p>
        </w:tc>
        <w:tc>
          <w:tcPr>
            <w:tcW w:w="7307" w:type="dxa"/>
            <w:vAlign w:val="center"/>
          </w:tcPr>
          <w:p w14:paraId="31BCC3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sz w:val="24"/>
                <w:szCs w:val="24"/>
                <w:highlight w:val="none"/>
                <w:lang w:eastAsia="zh-CN"/>
              </w:rPr>
            </w:pPr>
            <w:r>
              <w:rPr>
                <w:rFonts w:hint="eastAsia" w:asciiTheme="majorEastAsia" w:hAnsiTheme="majorEastAsia" w:eastAsiaTheme="majorEastAsia" w:cstheme="majorEastAsia"/>
                <w:color w:val="auto"/>
                <w:sz w:val="24"/>
                <w:szCs w:val="24"/>
                <w:highlight w:val="none"/>
                <w:lang w:eastAsia="zh-CN"/>
              </w:rPr>
              <w:t>府谷县流动党员服务中心提升工程</w:t>
            </w:r>
          </w:p>
        </w:tc>
      </w:tr>
      <w:tr w14:paraId="1E3C9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0A4C2B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1.2 </w:t>
            </w:r>
          </w:p>
        </w:tc>
        <w:tc>
          <w:tcPr>
            <w:tcW w:w="1320" w:type="dxa"/>
            <w:vAlign w:val="center"/>
          </w:tcPr>
          <w:p w14:paraId="7EAB8D3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资金来源及落实</w:t>
            </w:r>
          </w:p>
        </w:tc>
        <w:tc>
          <w:tcPr>
            <w:tcW w:w="7307" w:type="dxa"/>
            <w:vAlign w:val="center"/>
          </w:tcPr>
          <w:p w14:paraId="15145A98">
            <w:pPr>
              <w:keepNext w:val="0"/>
              <w:keepLines w:val="0"/>
              <w:pageBreakBefore w:val="0"/>
              <w:widowControl w:val="0"/>
              <w:kinsoku/>
              <w:wordWrap/>
              <w:overflowPunct/>
              <w:bidi w:val="0"/>
              <w:adjustRightInd w:val="0"/>
              <w:snapToGrid w:val="0"/>
              <w:spacing w:line="440" w:lineRule="exact"/>
              <w:ind w:left="17" w:hanging="19" w:hangingChars="8"/>
              <w:textAlignment w:val="baseline"/>
              <w:rPr>
                <w:rFonts w:hint="eastAsia"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sz w:val="24"/>
                <w:szCs w:val="24"/>
                <w:lang w:eastAsia="zh-CN"/>
              </w:rPr>
              <w:t>财政资金</w:t>
            </w:r>
            <w:r>
              <w:rPr>
                <w:rFonts w:hint="eastAsia" w:asciiTheme="majorEastAsia" w:hAnsiTheme="majorEastAsia" w:eastAsiaTheme="majorEastAsia" w:cstheme="majorEastAsia"/>
                <w:color w:val="auto"/>
                <w:sz w:val="24"/>
                <w:szCs w:val="24"/>
              </w:rPr>
              <w:t>，已落实</w:t>
            </w:r>
          </w:p>
        </w:tc>
      </w:tr>
      <w:tr w14:paraId="4A6A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950" w:type="dxa"/>
            <w:vMerge w:val="restart"/>
            <w:vAlign w:val="center"/>
          </w:tcPr>
          <w:p w14:paraId="38378D0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1.3.1</w:t>
            </w:r>
          </w:p>
        </w:tc>
        <w:tc>
          <w:tcPr>
            <w:tcW w:w="1320" w:type="dxa"/>
            <w:vMerge w:val="restart"/>
            <w:vAlign w:val="center"/>
          </w:tcPr>
          <w:p w14:paraId="1034182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采购内容及质量要求</w:t>
            </w:r>
          </w:p>
        </w:tc>
        <w:tc>
          <w:tcPr>
            <w:tcW w:w="7307" w:type="dxa"/>
            <w:vAlign w:val="center"/>
          </w:tcPr>
          <w:p w14:paraId="4CDCDFDA">
            <w:pPr>
              <w:numPr>
                <w:ilvl w:val="0"/>
                <w:numId w:val="0"/>
              </w:numPr>
              <w:spacing w:line="360" w:lineRule="auto"/>
              <w:rPr>
                <w:rFonts w:hint="eastAsia" w:asciiTheme="majorEastAsia" w:hAnsiTheme="majorEastAsia" w:eastAsiaTheme="majorEastAsia" w:cstheme="majorEastAsia"/>
                <w:color w:val="auto"/>
                <w:kern w:val="0"/>
                <w:sz w:val="24"/>
                <w:szCs w:val="24"/>
                <w:lang w:val="en-US"/>
              </w:rPr>
            </w:pPr>
            <w:r>
              <w:rPr>
                <w:rFonts w:hint="eastAsia" w:asciiTheme="majorEastAsia" w:hAnsiTheme="majorEastAsia" w:eastAsiaTheme="majorEastAsia" w:cstheme="majorEastAsia"/>
                <w:color w:val="auto"/>
                <w:sz w:val="24"/>
                <w:szCs w:val="24"/>
              </w:rPr>
              <w:t>采购内</w:t>
            </w:r>
            <w:r>
              <w:rPr>
                <w:rFonts w:hint="eastAsia" w:asciiTheme="majorEastAsia" w:hAnsiTheme="majorEastAsia" w:eastAsiaTheme="majorEastAsia" w:cstheme="majorEastAsia"/>
                <w:color w:val="auto"/>
                <w:sz w:val="24"/>
                <w:szCs w:val="24"/>
                <w:highlight w:val="none"/>
              </w:rPr>
              <w:t>容：</w:t>
            </w:r>
            <w:r>
              <w:rPr>
                <w:rFonts w:hint="eastAsia" w:asciiTheme="minorEastAsia" w:hAnsiTheme="minorEastAsia" w:eastAsiaTheme="minorEastAsia" w:cstheme="minorEastAsia"/>
                <w:spacing w:val="-5"/>
                <w:lang w:val="en-US" w:eastAsia="zh-CN"/>
              </w:rPr>
              <w:t>项目装修面积1300平方米。打造两厅一堂十室两空间一长廊，两厅为综合服务大厅、红色影厅，一堂为大讲堂，十室为乡情联络站、“双报到”党员干部工作室、老党员工作室、党员活动室、党性体检室、先锋模范室、健康能量室(医疗室、心理辅导室)、灯塔书屋直播间、健身房，两空间为洗衣间、洗澡问、一长廊为党建长廊。配套实施所有房向的供热、消防、给排水及电气设备安装工程。</w:t>
            </w:r>
            <w:r>
              <w:rPr>
                <w:rFonts w:hint="eastAsia" w:asciiTheme="majorEastAsia" w:hAnsiTheme="majorEastAsia" w:eastAsiaTheme="majorEastAsia" w:cstheme="majorEastAsia"/>
                <w:color w:val="auto"/>
                <w:sz w:val="24"/>
                <w:szCs w:val="24"/>
                <w:highlight w:val="none"/>
              </w:rPr>
              <w:t>（详见采购预算清单）。</w:t>
            </w:r>
          </w:p>
        </w:tc>
      </w:tr>
      <w:tr w14:paraId="30E8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3F0FBC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Merge w:val="continue"/>
            <w:vAlign w:val="center"/>
          </w:tcPr>
          <w:p w14:paraId="770F0D4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7307" w:type="dxa"/>
            <w:vAlign w:val="center"/>
          </w:tcPr>
          <w:p w14:paraId="30FF386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质量要求：符合国家及</w:t>
            </w:r>
            <w:r>
              <w:rPr>
                <w:rFonts w:hint="eastAsia" w:asciiTheme="majorEastAsia" w:hAnsiTheme="majorEastAsia" w:eastAsiaTheme="majorEastAsia" w:cstheme="majorEastAsia"/>
                <w:color w:val="auto"/>
                <w:sz w:val="24"/>
                <w:szCs w:val="24"/>
                <w:lang w:val="en-US" w:eastAsia="zh-CN"/>
              </w:rPr>
              <w:t>行业</w:t>
            </w:r>
            <w:r>
              <w:rPr>
                <w:rFonts w:hint="eastAsia" w:asciiTheme="majorEastAsia" w:hAnsiTheme="majorEastAsia" w:eastAsiaTheme="majorEastAsia" w:cstheme="majorEastAsia"/>
                <w:color w:val="auto"/>
                <w:sz w:val="24"/>
                <w:szCs w:val="24"/>
              </w:rPr>
              <w:t>相关部门规定的验收合格标准</w:t>
            </w:r>
          </w:p>
        </w:tc>
      </w:tr>
      <w:tr w14:paraId="7536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shd w:val="clear" w:color="auto" w:fill="auto"/>
            <w:vAlign w:val="center"/>
          </w:tcPr>
          <w:p w14:paraId="3633FB5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1.3.2</w:t>
            </w:r>
          </w:p>
        </w:tc>
        <w:tc>
          <w:tcPr>
            <w:tcW w:w="1320" w:type="dxa"/>
            <w:shd w:val="clear" w:color="auto" w:fill="auto"/>
            <w:vAlign w:val="center"/>
          </w:tcPr>
          <w:p w14:paraId="1618034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合同履行期限（</w:t>
            </w:r>
            <w:r>
              <w:rPr>
                <w:rFonts w:hint="eastAsia" w:asciiTheme="majorEastAsia" w:hAnsiTheme="majorEastAsia" w:eastAsiaTheme="majorEastAsia" w:cstheme="majorEastAsia"/>
                <w:color w:val="auto"/>
                <w:sz w:val="24"/>
                <w:szCs w:val="24"/>
                <w:lang w:eastAsia="zh-CN"/>
              </w:rPr>
              <w:t>工期</w:t>
            </w:r>
            <w:r>
              <w:rPr>
                <w:rFonts w:hint="eastAsia" w:asciiTheme="majorEastAsia" w:hAnsiTheme="majorEastAsia" w:eastAsiaTheme="majorEastAsia" w:cstheme="majorEastAsia"/>
                <w:color w:val="auto"/>
                <w:sz w:val="24"/>
                <w:szCs w:val="24"/>
              </w:rPr>
              <w:t>）</w:t>
            </w:r>
          </w:p>
        </w:tc>
        <w:tc>
          <w:tcPr>
            <w:tcW w:w="7307" w:type="dxa"/>
            <w:shd w:val="clear" w:color="auto" w:fill="auto"/>
            <w:vAlign w:val="center"/>
          </w:tcPr>
          <w:p w14:paraId="3B81263B">
            <w:pPr>
              <w:keepNext w:val="0"/>
              <w:keepLines w:val="0"/>
              <w:pageBreakBefore w:val="0"/>
              <w:widowControl w:val="0"/>
              <w:kinsoku/>
              <w:wordWrap/>
              <w:overflowPunct/>
              <w:bidi w:val="0"/>
              <w:adjustRightInd w:val="0"/>
              <w:snapToGrid w:val="0"/>
              <w:spacing w:line="440" w:lineRule="exact"/>
              <w:jc w:val="left"/>
              <w:textAlignment w:val="baseline"/>
              <w:rPr>
                <w:rFonts w:hint="default"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30日历天</w:t>
            </w:r>
          </w:p>
        </w:tc>
      </w:tr>
      <w:tr w14:paraId="3E38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0" w:type="dxa"/>
            <w:vAlign w:val="center"/>
          </w:tcPr>
          <w:p w14:paraId="54439AA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1.4.1</w:t>
            </w:r>
          </w:p>
        </w:tc>
        <w:tc>
          <w:tcPr>
            <w:tcW w:w="1320" w:type="dxa"/>
            <w:shd w:val="clear" w:color="auto" w:fill="auto"/>
            <w:vAlign w:val="center"/>
          </w:tcPr>
          <w:p w14:paraId="60DA93D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w:t>
            </w:r>
          </w:p>
          <w:p w14:paraId="0A4FE031">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资质条件</w:t>
            </w:r>
          </w:p>
        </w:tc>
        <w:tc>
          <w:tcPr>
            <w:tcW w:w="7307" w:type="dxa"/>
            <w:shd w:val="clear" w:color="auto" w:fill="auto"/>
            <w:vAlign w:val="center"/>
          </w:tcPr>
          <w:p w14:paraId="3731CE85">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(1)</w:t>
            </w:r>
            <w:r>
              <w:rPr>
                <w:rFonts w:hint="eastAsia" w:asciiTheme="majorEastAsia" w:hAnsiTheme="majorEastAsia" w:eastAsiaTheme="majorEastAsia" w:cstheme="majorEastAsia"/>
                <w:color w:val="auto"/>
                <w:sz w:val="24"/>
                <w:szCs w:val="24"/>
              </w:rPr>
              <w:t>、基本资格条件：符合《中华人民共和国政府采购法》第二十二条的规定（提供承诺</w:t>
            </w:r>
            <w:r>
              <w:rPr>
                <w:rFonts w:hint="eastAsia" w:asciiTheme="majorEastAsia" w:hAnsiTheme="majorEastAsia" w:eastAsiaTheme="majorEastAsia" w:cstheme="majorEastAsia"/>
                <w:color w:val="auto"/>
                <w:sz w:val="24"/>
                <w:szCs w:val="24"/>
                <w:lang w:val="en-US" w:eastAsia="zh-CN"/>
              </w:rPr>
              <w:t>书</w:t>
            </w:r>
            <w:r>
              <w:rPr>
                <w:rFonts w:hint="eastAsia" w:asciiTheme="majorEastAsia" w:hAnsiTheme="majorEastAsia" w:eastAsiaTheme="majorEastAsia" w:cstheme="majorEastAsia"/>
                <w:color w:val="auto"/>
                <w:sz w:val="24"/>
                <w:szCs w:val="24"/>
              </w:rPr>
              <w:t>）。</w:t>
            </w:r>
          </w:p>
          <w:p w14:paraId="359935E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rPr>
              <w:t>、特定资格条件：</w:t>
            </w:r>
          </w:p>
          <w:p w14:paraId="78BC9C8B">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1、</w:t>
            </w:r>
            <w:r>
              <w:rPr>
                <w:rFonts w:hint="eastAsia" w:asciiTheme="majorEastAsia" w:hAnsiTheme="majorEastAsia" w:eastAsiaTheme="majorEastAsia" w:cstheme="majorEastAsia"/>
                <w:color w:val="auto"/>
                <w:sz w:val="24"/>
                <w:szCs w:val="24"/>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lang w:val="en-US" w:eastAsia="zh-CN"/>
              </w:rPr>
              <w:t>2024年企业年度报告书</w:t>
            </w:r>
            <w:r>
              <w:rPr>
                <w:rFonts w:hint="eastAsia" w:asciiTheme="majorEastAsia" w:hAnsiTheme="majorEastAsia" w:eastAsiaTheme="majorEastAsia" w:cstheme="majorEastAsia"/>
                <w:color w:val="auto"/>
                <w:sz w:val="24"/>
                <w:szCs w:val="24"/>
                <w:lang w:eastAsia="zh-CN"/>
              </w:rPr>
              <w:t>）或事业单位法人证书等国家规定的相关证明，自然人参与的提供其身份证明；</w:t>
            </w:r>
          </w:p>
          <w:p w14:paraId="2D923C20">
            <w:pPr>
              <w:pStyle w:val="14"/>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建筑工程施工总承包三级</w:t>
            </w:r>
            <w:r>
              <w:rPr>
                <w:rFonts w:hint="eastAsia" w:ascii="宋体" w:hAnsi="宋体" w:eastAsia="宋体" w:cs="宋体"/>
                <w:color w:val="auto"/>
                <w:sz w:val="24"/>
                <w:szCs w:val="24"/>
                <w:highlight w:val="none"/>
                <w:lang w:val="en-US" w:eastAsia="zh-CN"/>
              </w:rPr>
              <w:t>及其以上资质的独立企业法人，并具备有效的安全生产许可证，并在人员、设备、资金等方面有相应的施工能力。</w:t>
            </w:r>
          </w:p>
          <w:p w14:paraId="6986392A">
            <w:pPr>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3、拟派往本工程项目负责人需具备建筑工程专业二级及以上注册建造师注册证书和有效的安全生产考核合格证书(建安B证），且未担任其他在建工程项目的项目负责人、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w:t>
            </w:r>
          </w:p>
          <w:p w14:paraId="28C6E923">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47E5A352">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356C9ED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030BA5D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p w14:paraId="67C58CE1">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59024DC6">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36539A88">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42AD08C8">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5F6723A6">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53B1A906">
            <w:pP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13、拟投入项目管理人员情况应配备合理，包括但不限于安全员；</w:t>
            </w:r>
          </w:p>
          <w:p w14:paraId="7CCA4E83">
            <w:pPr>
              <w:ind w:firstLine="240" w:firstLineChars="100"/>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kern w:val="2"/>
                <w:sz w:val="24"/>
                <w:szCs w:val="24"/>
                <w:lang w:val="en-US" w:eastAsia="zh-CN" w:bidi="ar-SA"/>
              </w:rPr>
              <w:t>1）安全员应持有有效的安全生产考核合格证书（建安C证）及身份证复印件。</w:t>
            </w:r>
          </w:p>
          <w:p w14:paraId="21A377FE">
            <w:pPr>
              <w:keepNext w:val="0"/>
              <w:keepLines w:val="0"/>
              <w:pageBreakBefore w:val="0"/>
              <w:widowControl w:val="0"/>
              <w:kinsoku/>
              <w:wordWrap/>
              <w:overflowPunct/>
              <w:bidi w:val="0"/>
              <w:spacing w:line="440" w:lineRule="exact"/>
              <w:ind w:left="1" w:firstLine="482" w:firstLineChars="200"/>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以上资格条件为必备资格条件，</w:t>
            </w:r>
            <w:r>
              <w:rPr>
                <w:rFonts w:hint="eastAsia" w:asciiTheme="majorEastAsia" w:hAnsiTheme="majorEastAsia" w:eastAsiaTheme="majorEastAsia" w:cstheme="majorEastAsia"/>
                <w:b/>
                <w:bCs/>
                <w:color w:val="auto"/>
                <w:sz w:val="24"/>
                <w:szCs w:val="24"/>
                <w:lang w:val="en-US" w:eastAsia="zh-CN"/>
              </w:rPr>
              <w:t>应单独密封资格证明文件内，</w:t>
            </w:r>
            <w:r>
              <w:rPr>
                <w:rFonts w:hint="eastAsia" w:asciiTheme="majorEastAsia" w:hAnsiTheme="majorEastAsia" w:eastAsiaTheme="majorEastAsia" w:cstheme="majorEastAsia"/>
                <w:b/>
                <w:bCs/>
                <w:color w:val="auto"/>
                <w:sz w:val="24"/>
                <w:szCs w:val="24"/>
              </w:rPr>
              <w:t>缺一项或某项达不到要求，按无效文件处理，资格证明文件</w:t>
            </w:r>
            <w:r>
              <w:rPr>
                <w:rFonts w:hint="eastAsia" w:asciiTheme="majorEastAsia" w:hAnsiTheme="majorEastAsia" w:eastAsiaTheme="majorEastAsia" w:cstheme="majorEastAsia"/>
                <w:b/>
                <w:bCs/>
                <w:color w:val="auto"/>
                <w:sz w:val="24"/>
                <w:szCs w:val="24"/>
                <w:lang w:val="en-US" w:eastAsia="zh-CN"/>
              </w:rPr>
              <w:t>复印件</w:t>
            </w:r>
            <w:r>
              <w:rPr>
                <w:rFonts w:hint="eastAsia" w:asciiTheme="majorEastAsia" w:hAnsiTheme="majorEastAsia" w:eastAsiaTheme="majorEastAsia" w:cstheme="majorEastAsia"/>
                <w:b/>
                <w:bCs/>
                <w:color w:val="auto"/>
                <w:sz w:val="24"/>
                <w:szCs w:val="24"/>
              </w:rPr>
              <w:t>谈判现场同谈判响应文件一并递交</w:t>
            </w:r>
            <w:r>
              <w:rPr>
                <w:rFonts w:hint="eastAsia" w:asciiTheme="majorEastAsia" w:hAnsiTheme="majorEastAsia" w:eastAsiaTheme="majorEastAsia" w:cstheme="majorEastAsia"/>
                <w:b/>
                <w:bCs/>
                <w:color w:val="auto"/>
                <w:sz w:val="24"/>
                <w:szCs w:val="24"/>
                <w:lang w:eastAsia="zh-CN"/>
              </w:rPr>
              <w:t>，</w:t>
            </w:r>
            <w:r>
              <w:rPr>
                <w:rFonts w:hint="eastAsia" w:asciiTheme="majorEastAsia" w:hAnsiTheme="majorEastAsia" w:eastAsiaTheme="majorEastAsia" w:cstheme="majorEastAsia"/>
                <w:b/>
                <w:bCs/>
                <w:color w:val="auto"/>
                <w:sz w:val="24"/>
                <w:szCs w:val="24"/>
                <w:lang w:val="en-US" w:eastAsia="zh-CN"/>
              </w:rPr>
              <w:t>过时不接受任何补充资料。</w:t>
            </w:r>
          </w:p>
          <w:p w14:paraId="2766361B">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备注：</w:t>
            </w:r>
          </w:p>
          <w:p w14:paraId="42BA00FB">
            <w:pPr>
              <w:pStyle w:val="25"/>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以上证件</w:t>
            </w:r>
            <w:r>
              <w:rPr>
                <w:rFonts w:hint="eastAsia" w:asciiTheme="majorEastAsia" w:hAnsiTheme="majorEastAsia" w:eastAsiaTheme="majorEastAsia" w:cstheme="majorEastAsia"/>
                <w:color w:val="auto"/>
                <w:sz w:val="24"/>
                <w:szCs w:val="24"/>
                <w:lang w:val="en-US" w:eastAsia="zh-CN"/>
              </w:rPr>
              <w:t>均</w:t>
            </w:r>
            <w:r>
              <w:rPr>
                <w:rFonts w:hint="eastAsia" w:asciiTheme="majorEastAsia" w:hAnsiTheme="majorEastAsia" w:eastAsiaTheme="majorEastAsia" w:cstheme="majorEastAsia"/>
                <w:color w:val="auto"/>
                <w:sz w:val="24"/>
                <w:szCs w:val="24"/>
              </w:rPr>
              <w:t>提供加盖</w:t>
            </w:r>
            <w:r>
              <w:rPr>
                <w:rFonts w:hint="eastAsia" w:asciiTheme="majorEastAsia" w:hAnsiTheme="majorEastAsia" w:eastAsiaTheme="majorEastAsia" w:cstheme="majorEastAsia"/>
                <w:color w:val="auto"/>
                <w:sz w:val="24"/>
                <w:szCs w:val="24"/>
                <w:lang w:eastAsia="zh-CN"/>
              </w:rPr>
              <w:t>供应商鲜章</w:t>
            </w:r>
            <w:r>
              <w:rPr>
                <w:rFonts w:hint="eastAsia" w:asciiTheme="majorEastAsia" w:hAnsiTheme="majorEastAsia" w:eastAsiaTheme="majorEastAsia" w:cstheme="majorEastAsia"/>
                <w:color w:val="auto"/>
                <w:sz w:val="24"/>
                <w:szCs w:val="24"/>
              </w:rPr>
              <w:t>的</w:t>
            </w:r>
            <w:r>
              <w:rPr>
                <w:rFonts w:hint="eastAsia" w:asciiTheme="majorEastAsia" w:hAnsiTheme="majorEastAsia" w:eastAsiaTheme="majorEastAsia" w:cstheme="majorEastAsia"/>
                <w:color w:val="auto"/>
                <w:sz w:val="24"/>
                <w:szCs w:val="24"/>
                <w:lang w:val="en-US" w:eastAsia="zh-CN"/>
              </w:rPr>
              <w:t>复印件。</w:t>
            </w:r>
          </w:p>
        </w:tc>
      </w:tr>
      <w:tr w14:paraId="5A96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EAA22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1.9.1</w:t>
            </w:r>
          </w:p>
        </w:tc>
        <w:tc>
          <w:tcPr>
            <w:tcW w:w="1320" w:type="dxa"/>
            <w:vAlign w:val="center"/>
          </w:tcPr>
          <w:p w14:paraId="4BC506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踏勘现场</w:t>
            </w:r>
          </w:p>
        </w:tc>
        <w:tc>
          <w:tcPr>
            <w:tcW w:w="7307" w:type="dxa"/>
            <w:vAlign w:val="center"/>
          </w:tcPr>
          <w:p w14:paraId="0209AF9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□组织</w:t>
            </w:r>
          </w:p>
          <w:p w14:paraId="575FA87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不组织</w:t>
            </w:r>
          </w:p>
          <w:p w14:paraId="427774D7">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说明：采购人不统一组织踏勘，供应商可自行前往现场进行踏勘；供应商应充分了解项目及其它任何足以影响投标和报价的情况，任何因忽视或误解项目情况而导致的费用索赔申请不获批准。</w:t>
            </w:r>
          </w:p>
        </w:tc>
      </w:tr>
      <w:tr w14:paraId="7F23C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C5B0E3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2.2.4</w:t>
            </w:r>
          </w:p>
          <w:p w14:paraId="1E33262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2.3.3</w:t>
            </w:r>
          </w:p>
        </w:tc>
        <w:tc>
          <w:tcPr>
            <w:tcW w:w="1320" w:type="dxa"/>
            <w:vAlign w:val="bottom"/>
          </w:tcPr>
          <w:p w14:paraId="611EB48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供应商确认及回复时间</w:t>
            </w:r>
          </w:p>
        </w:tc>
        <w:tc>
          <w:tcPr>
            <w:tcW w:w="7307" w:type="dxa"/>
            <w:vAlign w:val="center"/>
          </w:tcPr>
          <w:p w14:paraId="21801418">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收到相应澄清、修改或答疑文件1日内</w:t>
            </w:r>
          </w:p>
        </w:tc>
      </w:tr>
      <w:tr w14:paraId="15D5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2EAE3C9E">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3.3.1</w:t>
            </w:r>
          </w:p>
        </w:tc>
        <w:tc>
          <w:tcPr>
            <w:tcW w:w="1320" w:type="dxa"/>
            <w:vAlign w:val="center"/>
          </w:tcPr>
          <w:p w14:paraId="4D456D80">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磋商有效期</w:t>
            </w:r>
          </w:p>
        </w:tc>
        <w:tc>
          <w:tcPr>
            <w:tcW w:w="7307" w:type="dxa"/>
            <w:vAlign w:val="center"/>
          </w:tcPr>
          <w:p w14:paraId="0B9B9CE7">
            <w:pPr>
              <w:keepNext w:val="0"/>
              <w:keepLines w:val="0"/>
              <w:pageBreakBefore w:val="0"/>
              <w:widowControl w:val="0"/>
              <w:kinsoku/>
              <w:wordWrap/>
              <w:overflowPunct/>
              <w:bidi w:val="0"/>
              <w:adjustRightInd w:val="0"/>
              <w:snapToGrid w:val="0"/>
              <w:spacing w:line="440" w:lineRule="exact"/>
              <w:jc w:val="lef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自磋商初次报价时间之日起90日历天</w:t>
            </w:r>
          </w:p>
        </w:tc>
      </w:tr>
      <w:tr w14:paraId="23944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764874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3.7.3</w:t>
            </w:r>
          </w:p>
        </w:tc>
        <w:tc>
          <w:tcPr>
            <w:tcW w:w="1320" w:type="dxa"/>
            <w:vAlign w:val="center"/>
          </w:tcPr>
          <w:p w14:paraId="4532679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签字或盖章要求</w:t>
            </w:r>
          </w:p>
        </w:tc>
        <w:tc>
          <w:tcPr>
            <w:tcW w:w="7307" w:type="dxa"/>
            <w:vAlign w:val="center"/>
          </w:tcPr>
          <w:p w14:paraId="4ADB5712">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根据采购文件要求加盖供应商公章和法人印章或签字或授权代表签字。</w:t>
            </w:r>
          </w:p>
        </w:tc>
      </w:tr>
      <w:tr w14:paraId="448B0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39CA5FE5">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3.7.4 </w:t>
            </w:r>
          </w:p>
        </w:tc>
        <w:tc>
          <w:tcPr>
            <w:tcW w:w="1320" w:type="dxa"/>
            <w:vAlign w:val="center"/>
          </w:tcPr>
          <w:p w14:paraId="2EBE1BB3">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竞争性磋商响应文件数量</w:t>
            </w:r>
          </w:p>
        </w:tc>
        <w:tc>
          <w:tcPr>
            <w:tcW w:w="7307" w:type="dxa"/>
            <w:vAlign w:val="center"/>
          </w:tcPr>
          <w:p w14:paraId="162D0DC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b/>
                <w:bCs/>
                <w:color w:val="auto"/>
                <w:sz w:val="24"/>
                <w:szCs w:val="24"/>
                <w:u w:val="single"/>
              </w:rPr>
              <w:t>壹</w:t>
            </w:r>
            <w:r>
              <w:rPr>
                <w:rFonts w:hint="eastAsia" w:asciiTheme="majorEastAsia" w:hAnsiTheme="majorEastAsia" w:eastAsiaTheme="majorEastAsia" w:cstheme="majorEastAsia"/>
                <w:b/>
                <w:bCs/>
                <w:color w:val="auto"/>
                <w:sz w:val="24"/>
                <w:szCs w:val="24"/>
              </w:rPr>
              <w:t>正</w:t>
            </w:r>
            <w:r>
              <w:rPr>
                <w:rFonts w:hint="eastAsia" w:asciiTheme="majorEastAsia" w:hAnsiTheme="majorEastAsia" w:eastAsiaTheme="majorEastAsia" w:cstheme="majorEastAsia"/>
                <w:b/>
                <w:bCs/>
                <w:color w:val="auto"/>
                <w:sz w:val="24"/>
                <w:szCs w:val="24"/>
                <w:u w:val="single"/>
                <w:lang w:val="en-US" w:eastAsia="zh-CN"/>
              </w:rPr>
              <w:t>贰</w:t>
            </w:r>
            <w:r>
              <w:rPr>
                <w:rFonts w:hint="eastAsia" w:asciiTheme="majorEastAsia" w:hAnsiTheme="majorEastAsia" w:eastAsiaTheme="majorEastAsia" w:cstheme="majorEastAsia"/>
                <w:b/>
                <w:bCs/>
                <w:color w:val="auto"/>
                <w:sz w:val="24"/>
                <w:szCs w:val="24"/>
              </w:rPr>
              <w:t>副，电子文件（U盘）</w:t>
            </w:r>
            <w:r>
              <w:rPr>
                <w:rFonts w:hint="eastAsia" w:asciiTheme="majorEastAsia" w:hAnsiTheme="majorEastAsia" w:eastAsiaTheme="majorEastAsia" w:cstheme="majorEastAsia"/>
                <w:b/>
                <w:bCs/>
                <w:color w:val="auto"/>
                <w:sz w:val="24"/>
                <w:szCs w:val="24"/>
                <w:lang w:val="en-US" w:eastAsia="zh-CN"/>
              </w:rPr>
              <w:t>贰</w:t>
            </w:r>
            <w:r>
              <w:rPr>
                <w:rFonts w:hint="eastAsia" w:asciiTheme="majorEastAsia" w:hAnsiTheme="majorEastAsia" w:eastAsiaTheme="majorEastAsia" w:cstheme="majorEastAsia"/>
                <w:b/>
                <w:bCs/>
                <w:color w:val="auto"/>
                <w:sz w:val="24"/>
                <w:szCs w:val="24"/>
              </w:rPr>
              <w:t>份</w:t>
            </w:r>
            <w:r>
              <w:rPr>
                <w:rFonts w:hint="eastAsia" w:asciiTheme="majorEastAsia" w:hAnsiTheme="majorEastAsia" w:eastAsiaTheme="majorEastAsia" w:cstheme="majorEastAsia"/>
                <w:color w:val="auto"/>
                <w:sz w:val="24"/>
                <w:szCs w:val="24"/>
              </w:rPr>
              <w:t>（电子版磋商响应文件必须与正本完全一致，</w:t>
            </w:r>
            <w:r>
              <w:rPr>
                <w:rFonts w:hint="eastAsia" w:asciiTheme="majorEastAsia" w:hAnsiTheme="majorEastAsia" w:eastAsiaTheme="majorEastAsia" w:cstheme="majorEastAsia"/>
                <w:color w:val="auto"/>
                <w:sz w:val="24"/>
                <w:szCs w:val="24"/>
                <w:shd w:val="clear"/>
              </w:rPr>
              <w:t>电子版包括： word版磋商响应文件。</w:t>
            </w:r>
            <w:r>
              <w:rPr>
                <w:rFonts w:hint="eastAsia" w:asciiTheme="majorEastAsia" w:hAnsiTheme="majorEastAsia" w:eastAsiaTheme="majorEastAsia" w:cstheme="majorEastAsia"/>
                <w:color w:val="auto"/>
                <w:sz w:val="24"/>
                <w:szCs w:val="24"/>
                <w:shd w:val="clear"/>
                <w:lang w:eastAsia="zh-CN"/>
              </w:rPr>
              <w:t>）</w:t>
            </w:r>
          </w:p>
        </w:tc>
      </w:tr>
      <w:tr w14:paraId="21EB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41AF4A3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8E431E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竞争性磋商响应文件（纸质版）装订</w:t>
            </w:r>
          </w:p>
        </w:tc>
        <w:tc>
          <w:tcPr>
            <w:tcW w:w="7307" w:type="dxa"/>
            <w:vAlign w:val="center"/>
          </w:tcPr>
          <w:p w14:paraId="6912D380">
            <w:pPr>
              <w:keepNext w:val="0"/>
              <w:keepLines w:val="0"/>
              <w:pageBreakBefore w:val="0"/>
              <w:widowControl w:val="0"/>
              <w:kinsoku/>
              <w:wordWrap/>
              <w:overflowPunct/>
              <w:autoSpaceDE w:val="0"/>
              <w:autoSpaceDN w:val="0"/>
              <w:bidi w:val="0"/>
              <w:adjustRightInd w:val="0"/>
              <w:spacing w:line="440" w:lineRule="exact"/>
              <w:rPr>
                <w:rFonts w:hint="eastAsia" w:asciiTheme="majorEastAsia" w:hAnsiTheme="majorEastAsia" w:eastAsiaTheme="majorEastAsia" w:cstheme="majorEastAsia"/>
                <w:b/>
                <w:bCs/>
                <w:color w:val="auto"/>
                <w:sz w:val="24"/>
                <w:szCs w:val="24"/>
              </w:rPr>
            </w:pPr>
            <w:r>
              <w:rPr>
                <w:rFonts w:hint="eastAsia" w:asciiTheme="majorEastAsia" w:hAnsiTheme="majorEastAsia" w:eastAsiaTheme="majorEastAsia" w:cstheme="majorEastAsia"/>
                <w:b/>
                <w:bCs/>
                <w:color w:val="auto"/>
                <w:sz w:val="24"/>
                <w:szCs w:val="24"/>
              </w:rPr>
              <w:t>磋商响应文件（纸质版）连续编码并牢固装订成册，不可插页抽页。</w:t>
            </w:r>
          </w:p>
          <w:p w14:paraId="48CF8423">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牢固装订成册是指书脊涂有胶粘剂以保证磋商响应文件不至于散开或用简单办法不能将任何一页在没有任何损坏的情况下取出或插入。各种用活页夹、文件夹、塑料方便式书脊（插入式或穿孔式）装订均不认为是牢固装订。</w:t>
            </w:r>
          </w:p>
        </w:tc>
      </w:tr>
      <w:tr w14:paraId="4DCA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109FD8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3.8.2</w:t>
            </w:r>
          </w:p>
        </w:tc>
        <w:tc>
          <w:tcPr>
            <w:tcW w:w="1320" w:type="dxa"/>
            <w:vAlign w:val="center"/>
          </w:tcPr>
          <w:p w14:paraId="1137A40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封套上写明</w:t>
            </w:r>
          </w:p>
        </w:tc>
        <w:tc>
          <w:tcPr>
            <w:tcW w:w="7307" w:type="dxa"/>
            <w:vAlign w:val="center"/>
          </w:tcPr>
          <w:p w14:paraId="3F510CF8">
            <w:pPr>
              <w:keepNext w:val="0"/>
              <w:keepLines w:val="0"/>
              <w:pageBreakBefore w:val="0"/>
              <w:widowControl w:val="0"/>
              <w:kinsoku/>
              <w:wordWrap/>
              <w:overflowPunct/>
              <w:bidi w:val="0"/>
              <w:spacing w:line="440" w:lineRule="exact"/>
              <w:jc w:val="center"/>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rPr>
              <w:t>磋商响应文件</w:t>
            </w:r>
            <w:r>
              <w:rPr>
                <w:rFonts w:hint="eastAsia" w:asciiTheme="majorEastAsia" w:hAnsiTheme="majorEastAsia" w:eastAsiaTheme="majorEastAsia" w:cstheme="majorEastAsia"/>
                <w:b/>
                <w:bCs/>
                <w:color w:val="auto"/>
                <w:sz w:val="24"/>
                <w:szCs w:val="24"/>
                <w:lang w:val="en-US" w:eastAsia="zh-CN"/>
              </w:rPr>
              <w:t>或资格证明部分或电子版U盘</w:t>
            </w:r>
          </w:p>
          <w:p w14:paraId="4F5EADB2">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密封袋上应注明下列识别标志：</w:t>
            </w:r>
          </w:p>
          <w:p w14:paraId="65C68CF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采购项目编号：</w:t>
            </w:r>
          </w:p>
          <w:p w14:paraId="53864919">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采购项目名称：</w:t>
            </w:r>
          </w:p>
          <w:p w14:paraId="75E06A8B">
            <w:pPr>
              <w:keepNext w:val="0"/>
              <w:keepLines w:val="0"/>
              <w:pageBreakBefore w:val="0"/>
              <w:widowControl w:val="0"/>
              <w:tabs>
                <w:tab w:val="left" w:pos="900"/>
                <w:tab w:val="left" w:pos="132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供应商的名称：</w:t>
            </w:r>
          </w:p>
          <w:p w14:paraId="7717182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密封袋的封口处注明      年   月   日    时    分以前不得开封。</w:t>
            </w:r>
          </w:p>
        </w:tc>
      </w:tr>
      <w:tr w14:paraId="077D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jc w:val="center"/>
        </w:trPr>
        <w:tc>
          <w:tcPr>
            <w:tcW w:w="950" w:type="dxa"/>
            <w:vAlign w:val="center"/>
          </w:tcPr>
          <w:p w14:paraId="6BF2077C">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3.9.2</w:t>
            </w:r>
          </w:p>
        </w:tc>
        <w:tc>
          <w:tcPr>
            <w:tcW w:w="1320" w:type="dxa"/>
            <w:vAlign w:val="center"/>
          </w:tcPr>
          <w:p w14:paraId="6AFDF47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递交磋商响应文件的地点</w:t>
            </w:r>
          </w:p>
        </w:tc>
        <w:tc>
          <w:tcPr>
            <w:tcW w:w="7307" w:type="dxa"/>
            <w:vAlign w:val="center"/>
          </w:tcPr>
          <w:p w14:paraId="0710B9F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见竞争性磋商公告</w:t>
            </w:r>
          </w:p>
        </w:tc>
      </w:tr>
      <w:tr w14:paraId="61875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91F45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3.9.3</w:t>
            </w:r>
          </w:p>
        </w:tc>
        <w:tc>
          <w:tcPr>
            <w:tcW w:w="1320" w:type="dxa"/>
            <w:vAlign w:val="center"/>
          </w:tcPr>
          <w:p w14:paraId="0D79A5C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是否退还磋商文件</w:t>
            </w:r>
          </w:p>
        </w:tc>
        <w:tc>
          <w:tcPr>
            <w:tcW w:w="7307" w:type="dxa"/>
            <w:vAlign w:val="center"/>
          </w:tcPr>
          <w:p w14:paraId="49D3A4D3">
            <w:pPr>
              <w:pStyle w:val="10"/>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w:t>
            </w:r>
          </w:p>
          <w:p w14:paraId="05FD8C4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tc>
      </w:tr>
      <w:tr w14:paraId="193CA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408AC13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4.1</w:t>
            </w:r>
          </w:p>
        </w:tc>
        <w:tc>
          <w:tcPr>
            <w:tcW w:w="1320" w:type="dxa"/>
            <w:vAlign w:val="center"/>
          </w:tcPr>
          <w:p w14:paraId="159CDE84">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磋商时间和地点</w:t>
            </w:r>
          </w:p>
        </w:tc>
        <w:tc>
          <w:tcPr>
            <w:tcW w:w="7307" w:type="dxa"/>
            <w:vAlign w:val="center"/>
          </w:tcPr>
          <w:p w14:paraId="7A0762D0">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rPr>
              <w:t>磋商时间：</w:t>
            </w:r>
            <w:r>
              <w:rPr>
                <w:rFonts w:hint="eastAsia" w:asciiTheme="majorEastAsia" w:hAnsiTheme="majorEastAsia" w:eastAsiaTheme="majorEastAsia" w:cstheme="majorEastAsia"/>
                <w:color w:val="auto"/>
                <w:sz w:val="24"/>
                <w:szCs w:val="24"/>
                <w:lang w:val="en-US" w:eastAsia="zh-CN"/>
              </w:rPr>
              <w:t>见竞争性磋商公告</w:t>
            </w:r>
          </w:p>
          <w:p w14:paraId="703BF564">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磋商地点：同递交磋商响应文件的地点</w:t>
            </w:r>
          </w:p>
        </w:tc>
      </w:tr>
      <w:tr w14:paraId="5DD59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92C42EB">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4.3.1</w:t>
            </w:r>
          </w:p>
        </w:tc>
        <w:tc>
          <w:tcPr>
            <w:tcW w:w="1320" w:type="dxa"/>
            <w:vAlign w:val="center"/>
          </w:tcPr>
          <w:p w14:paraId="109028C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磋商小组的组建</w:t>
            </w:r>
          </w:p>
        </w:tc>
        <w:tc>
          <w:tcPr>
            <w:tcW w:w="7307" w:type="dxa"/>
            <w:vAlign w:val="center"/>
          </w:tcPr>
          <w:p w14:paraId="1A40B4EB">
            <w:pPr>
              <w:keepNext w:val="0"/>
              <w:keepLines w:val="0"/>
              <w:pageBreakBefore w:val="0"/>
              <w:widowControl w:val="0"/>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磋商小组构成：3人，其中采购人代表 1人，专家2 人；</w:t>
            </w:r>
          </w:p>
          <w:p w14:paraId="337EA246">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评审专家确定方式：磋商大会前24小时内从《陕西省政府采购评审专家库》中随机抽取。</w:t>
            </w:r>
          </w:p>
        </w:tc>
      </w:tr>
      <w:tr w14:paraId="075E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restart"/>
            <w:vAlign w:val="center"/>
          </w:tcPr>
          <w:p w14:paraId="4158B6E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5.1</w:t>
            </w:r>
          </w:p>
        </w:tc>
        <w:tc>
          <w:tcPr>
            <w:tcW w:w="1320" w:type="dxa"/>
            <w:vAlign w:val="center"/>
          </w:tcPr>
          <w:p w14:paraId="6533A80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评审方法</w:t>
            </w:r>
          </w:p>
        </w:tc>
        <w:tc>
          <w:tcPr>
            <w:tcW w:w="7307" w:type="dxa"/>
            <w:vAlign w:val="center"/>
          </w:tcPr>
          <w:p w14:paraId="6AD3698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综合评分法。</w:t>
            </w:r>
          </w:p>
        </w:tc>
      </w:tr>
      <w:tr w14:paraId="5EBA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5A431972">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1C1639A8">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特殊情况处理</w:t>
            </w:r>
          </w:p>
        </w:tc>
        <w:tc>
          <w:tcPr>
            <w:tcW w:w="7307" w:type="dxa"/>
            <w:vAlign w:val="center"/>
          </w:tcPr>
          <w:p w14:paraId="092B602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有效供应商不足三家的，按照《政府采购竞争性磋商采购方式管理暂行办法》等有关规定本次采购活动终止重新组织采购(除第七章第4条外)。</w:t>
            </w:r>
          </w:p>
        </w:tc>
      </w:tr>
      <w:tr w14:paraId="47667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A84D4B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p>
        </w:tc>
        <w:tc>
          <w:tcPr>
            <w:tcW w:w="1320" w:type="dxa"/>
            <w:vAlign w:val="center"/>
          </w:tcPr>
          <w:p w14:paraId="07349107">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是否授权磋商小组确定成交人</w:t>
            </w:r>
          </w:p>
        </w:tc>
        <w:tc>
          <w:tcPr>
            <w:tcW w:w="7307" w:type="dxa"/>
            <w:vAlign w:val="center"/>
          </w:tcPr>
          <w:p w14:paraId="2440B0C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w:t>
            </w:r>
          </w:p>
          <w:p w14:paraId="30B3DBBE">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否，推荐的成交候选人数：3个</w:t>
            </w:r>
          </w:p>
        </w:tc>
      </w:tr>
      <w:tr w14:paraId="410C6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77" w:type="dxa"/>
            <w:gridSpan w:val="3"/>
            <w:vAlign w:val="center"/>
          </w:tcPr>
          <w:p w14:paraId="1A14D296">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sz w:val="24"/>
                <w:szCs w:val="24"/>
              </w:rPr>
              <w:t>9.需要补充的其他内容</w:t>
            </w:r>
          </w:p>
        </w:tc>
      </w:tr>
      <w:tr w14:paraId="4B41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8CE9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9.2</w:t>
            </w:r>
          </w:p>
        </w:tc>
        <w:tc>
          <w:tcPr>
            <w:tcW w:w="1320" w:type="dxa"/>
            <w:vAlign w:val="center"/>
          </w:tcPr>
          <w:p w14:paraId="2F2DED4D">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质疑提出与答复</w:t>
            </w:r>
          </w:p>
        </w:tc>
        <w:tc>
          <w:tcPr>
            <w:tcW w:w="7307" w:type="dxa"/>
            <w:vAlign w:val="center"/>
          </w:tcPr>
          <w:p w14:paraId="647C8DA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供应商认为采购文件、采购过程、成交或者成交结果使自己的权益受到损害的，可以在知道或者应知其权益受到损害之日起7个工作日内，以书面形式向采购人、采购代理机构提出质疑。 </w:t>
            </w:r>
          </w:p>
          <w:p w14:paraId="235834B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质疑注意事项：</w:t>
            </w:r>
          </w:p>
          <w:p w14:paraId="3397D7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1、供应商必须在法定质疑期内一次性提出针对同一采购程序环节的质疑，否则采购人及采购代理机构有权拒绝。 </w:t>
            </w:r>
          </w:p>
          <w:p w14:paraId="7CABDE9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2、潜在供应商已依法获取其可质疑的采购文件的，可以对该文件提出质疑。对采购文件提出质疑的，应当在采购文件公告期限届满之日起7个工作日内提出。 </w:t>
            </w:r>
          </w:p>
          <w:p w14:paraId="1689C5AD">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3、供应商提出质疑应当提交质疑函和必要的证明材料。质疑函应当包括下列内容： </w:t>
            </w:r>
          </w:p>
          <w:p w14:paraId="371B63B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（一）供应商的姓名或者名称、地址、邮编、联系人及联系电话； </w:t>
            </w:r>
          </w:p>
          <w:p w14:paraId="566F631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（二）质疑项目的名称、编号； </w:t>
            </w:r>
          </w:p>
          <w:p w14:paraId="7D2BCB0A">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（三）具体、明确的质疑事项和与质疑事项相关的请求； </w:t>
            </w:r>
          </w:p>
          <w:p w14:paraId="2946DE3B">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（四）事实依据； </w:t>
            </w:r>
          </w:p>
          <w:p w14:paraId="3F12DD2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（五）必要的法律依据； </w:t>
            </w:r>
          </w:p>
          <w:p w14:paraId="78A6F93F">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（六）提出质疑的日期。 </w:t>
            </w:r>
          </w:p>
          <w:p w14:paraId="26BDE079">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供应商为自然人的，应当由本人签字；供应商为法人或者其他组织的，应当由法定代表人、主要负责人，或者其授权代表签字或者盖章，并加盖公章。</w:t>
            </w:r>
          </w:p>
          <w:p w14:paraId="204776A5">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 xml:space="preserve">4、采购人、采购代理机构在收到质疑函后7个工作日内作出答复，并以书面形式通知质疑供应商和其他有关供应商。 </w:t>
            </w:r>
          </w:p>
        </w:tc>
      </w:tr>
      <w:tr w14:paraId="28CD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6A745B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9.3</w:t>
            </w:r>
          </w:p>
        </w:tc>
        <w:tc>
          <w:tcPr>
            <w:tcW w:w="1320" w:type="dxa"/>
            <w:vAlign w:val="center"/>
          </w:tcPr>
          <w:p w14:paraId="24C1648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是否允许递交备选磋商方案</w:t>
            </w:r>
          </w:p>
        </w:tc>
        <w:tc>
          <w:tcPr>
            <w:tcW w:w="7307" w:type="dxa"/>
            <w:vAlign w:val="center"/>
          </w:tcPr>
          <w:p w14:paraId="4B16680B">
            <w:pPr>
              <w:pStyle w:val="10"/>
              <w:keepNext w:val="0"/>
              <w:keepLines w:val="0"/>
              <w:pageBreakBefore w:val="0"/>
              <w:widowControl w:val="0"/>
              <w:kinsoku/>
              <w:wordWrap/>
              <w:overflowPunct/>
              <w:topLine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color w:val="auto"/>
                <w:sz w:val="24"/>
                <w:szCs w:val="24"/>
              </w:rPr>
              <w:sym w:font="Wingdings 2" w:char="F052"/>
            </w:r>
            <w:r>
              <w:rPr>
                <w:rFonts w:hint="eastAsia" w:asciiTheme="majorEastAsia" w:hAnsiTheme="majorEastAsia" w:eastAsiaTheme="majorEastAsia" w:cstheme="majorEastAsia"/>
                <w:color w:val="auto"/>
                <w:sz w:val="24"/>
                <w:szCs w:val="24"/>
              </w:rPr>
              <w:t>不允许</w:t>
            </w:r>
          </w:p>
          <w:p w14:paraId="75602E08">
            <w:pPr>
              <w:keepNext w:val="0"/>
              <w:keepLines w:val="0"/>
              <w:pageBreakBefore w:val="0"/>
              <w:widowControl w:val="0"/>
              <w:kinsoku/>
              <w:wordWrap/>
              <w:overflowPunct/>
              <w:bidi w:val="0"/>
              <w:adjustRightInd w:val="0"/>
              <w:snapToGrid w:val="0"/>
              <w:spacing w:line="440" w:lineRule="exact"/>
              <w:textAlignment w:val="baseline"/>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□允许</w:t>
            </w:r>
          </w:p>
        </w:tc>
      </w:tr>
      <w:tr w14:paraId="48D76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50" w:type="dxa"/>
            <w:vMerge w:val="restart"/>
            <w:vAlign w:val="center"/>
          </w:tcPr>
          <w:p w14:paraId="7E170BF9">
            <w:pPr>
              <w:pStyle w:val="14"/>
              <w:keepNext w:val="0"/>
              <w:keepLines w:val="0"/>
              <w:pageBreakBefore w:val="0"/>
              <w:widowControl w:val="0"/>
              <w:numPr>
                <w:ilvl w:val="0"/>
                <w:numId w:val="0"/>
              </w:numPr>
              <w:kinsoku/>
              <w:wordWrap/>
              <w:overflowPunct/>
              <w:bidi w:val="0"/>
              <w:spacing w:line="440" w:lineRule="exact"/>
              <w:ind w:leftChars="0"/>
              <w:jc w:val="center"/>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9.4</w:t>
            </w:r>
          </w:p>
        </w:tc>
        <w:tc>
          <w:tcPr>
            <w:tcW w:w="1320" w:type="dxa"/>
            <w:vMerge w:val="restart"/>
            <w:vAlign w:val="center"/>
          </w:tcPr>
          <w:p w14:paraId="1D9F989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kern w:val="2"/>
                <w:sz w:val="24"/>
                <w:szCs w:val="24"/>
                <w:lang w:val="en-US" w:eastAsia="zh-CN" w:bidi="ar-SA"/>
              </w:rPr>
              <w:t>支持中小企业</w:t>
            </w:r>
          </w:p>
        </w:tc>
        <w:tc>
          <w:tcPr>
            <w:tcW w:w="7307" w:type="dxa"/>
            <w:vAlign w:val="center"/>
          </w:tcPr>
          <w:p w14:paraId="3879D0C8">
            <w:pPr>
              <w:pStyle w:val="13"/>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14:paraId="7901B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Merge w:val="continue"/>
            <w:vAlign w:val="center"/>
          </w:tcPr>
          <w:p w14:paraId="60F8761D">
            <w:pPr>
              <w:pStyle w:val="14"/>
              <w:keepNext w:val="0"/>
              <w:keepLines w:val="0"/>
              <w:pageBreakBefore w:val="0"/>
              <w:widowControl w:val="0"/>
              <w:numPr>
                <w:ilvl w:val="0"/>
                <w:numId w:val="2"/>
              </w:numPr>
              <w:kinsoku/>
              <w:wordWrap/>
              <w:overflowPunct/>
              <w:bidi w:val="0"/>
              <w:spacing w:line="440" w:lineRule="exact"/>
              <w:ind w:left="420" w:leftChars="0" w:hanging="420" w:firstLineChars="0"/>
              <w:jc w:val="center"/>
              <w:rPr>
                <w:rFonts w:hint="eastAsia" w:asciiTheme="majorEastAsia" w:hAnsiTheme="majorEastAsia" w:eastAsiaTheme="majorEastAsia" w:cstheme="majorEastAsia"/>
                <w:color w:val="auto"/>
                <w:sz w:val="24"/>
                <w:szCs w:val="24"/>
              </w:rPr>
            </w:pPr>
          </w:p>
        </w:tc>
        <w:tc>
          <w:tcPr>
            <w:tcW w:w="1320" w:type="dxa"/>
            <w:vMerge w:val="continue"/>
            <w:vAlign w:val="center"/>
          </w:tcPr>
          <w:p w14:paraId="4965AEE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p>
        </w:tc>
        <w:tc>
          <w:tcPr>
            <w:tcW w:w="7307" w:type="dxa"/>
            <w:vAlign w:val="center"/>
          </w:tcPr>
          <w:p w14:paraId="23DEF2C6">
            <w:pPr>
              <w:keepNext w:val="0"/>
              <w:keepLines w:val="0"/>
              <w:pageBreakBefore w:val="0"/>
              <w:widowControl w:val="0"/>
              <w:kinsoku/>
              <w:wordWrap/>
              <w:overflowPunct/>
              <w:bidi w:val="0"/>
              <w:adjustRightInd w:val="0"/>
              <w:snapToGrid w:val="0"/>
              <w:spacing w:line="440" w:lineRule="exact"/>
              <w:textAlignment w:val="baseline"/>
              <w:rPr>
                <w:rFonts w:hint="default" w:asciiTheme="majorEastAsia" w:hAnsiTheme="majorEastAsia" w:eastAsiaTheme="majorEastAsia" w:cstheme="majorEastAsia"/>
                <w:color w:val="auto"/>
                <w:sz w:val="24"/>
                <w:szCs w:val="24"/>
                <w:lang w:val="en-US"/>
              </w:rPr>
            </w:pPr>
            <w:r>
              <w:rPr>
                <w:rFonts w:hint="eastAsia" w:asciiTheme="majorEastAsia" w:hAnsiTheme="majorEastAsia" w:eastAsiaTheme="majorEastAsia" w:cstheme="majorEastAsia"/>
                <w:color w:val="auto"/>
                <w:sz w:val="24"/>
                <w:szCs w:val="24"/>
              </w:rPr>
              <w:t>采购标的对应的中小企业划分标准所属行业：</w:t>
            </w:r>
            <w:r>
              <w:rPr>
                <w:rFonts w:hint="eastAsia" w:asciiTheme="majorEastAsia" w:hAnsiTheme="majorEastAsia" w:eastAsiaTheme="majorEastAsia" w:cstheme="majorEastAsia"/>
                <w:b/>
                <w:bCs/>
                <w:color w:val="auto"/>
                <w:sz w:val="24"/>
                <w:szCs w:val="24"/>
                <w:lang w:val="en-US" w:eastAsia="zh-CN"/>
              </w:rPr>
              <w:t>建筑业</w:t>
            </w:r>
          </w:p>
        </w:tc>
      </w:tr>
      <w:tr w14:paraId="2F99D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C27DBF9">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9.</w:t>
            </w:r>
            <w:r>
              <w:rPr>
                <w:rFonts w:hint="eastAsia" w:asciiTheme="majorEastAsia" w:hAnsiTheme="majorEastAsia" w:eastAsiaTheme="majorEastAsia" w:cstheme="majorEastAsia"/>
                <w:color w:val="auto"/>
                <w:sz w:val="24"/>
                <w:szCs w:val="24"/>
                <w:lang w:val="en-US" w:eastAsia="zh-CN"/>
              </w:rPr>
              <w:t>5</w:t>
            </w:r>
          </w:p>
        </w:tc>
        <w:tc>
          <w:tcPr>
            <w:tcW w:w="1320" w:type="dxa"/>
            <w:vAlign w:val="center"/>
          </w:tcPr>
          <w:p w14:paraId="77C0C30F">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rPr>
              <w:t>采购代理服务费</w:t>
            </w:r>
          </w:p>
        </w:tc>
        <w:tc>
          <w:tcPr>
            <w:tcW w:w="7307" w:type="dxa"/>
            <w:vAlign w:val="center"/>
          </w:tcPr>
          <w:p w14:paraId="3E318E09">
            <w:pPr>
              <w:keepNext w:val="0"/>
              <w:keepLines w:val="0"/>
              <w:pageBreakBefore w:val="0"/>
              <w:widowControl w:val="0"/>
              <w:kinsoku/>
              <w:wordWrap/>
              <w:overflowPunct/>
              <w:bidi w:val="0"/>
              <w:adjustRightInd w:val="0"/>
              <w:snapToGrid w:val="0"/>
              <w:spacing w:line="440" w:lineRule="exact"/>
              <w:ind w:firstLine="240" w:firstLineChars="100"/>
              <w:textAlignment w:val="baseline"/>
              <w:rPr>
                <w:rFonts w:hint="eastAsia" w:asciiTheme="majorEastAsia" w:hAnsiTheme="majorEastAsia" w:eastAsiaTheme="majorEastAsia" w:cstheme="majorEastAsia"/>
                <w:color w:val="auto"/>
                <w:kern w:val="2"/>
                <w:sz w:val="24"/>
                <w:szCs w:val="24"/>
                <w:lang w:val="en-US" w:eastAsia="zh-CN" w:bidi="ar-SA"/>
              </w:rPr>
            </w:pPr>
            <w:r>
              <w:rPr>
                <w:rFonts w:hint="eastAsia" w:asciiTheme="majorEastAsia" w:hAnsiTheme="majorEastAsia" w:eastAsiaTheme="majorEastAsia" w:cstheme="majorEastAsia"/>
                <w:color w:val="auto"/>
                <w:sz w:val="24"/>
                <w:szCs w:val="24"/>
                <w:shd w:val="clear"/>
              </w:rPr>
              <w:t>根据《国家发展改革委关于进一步放开建设项目专业服务价格的通知》（发改价格〔2015〕299号）</w:t>
            </w:r>
            <w:bookmarkStart w:id="363" w:name="_GoBack"/>
            <w:bookmarkEnd w:id="363"/>
            <w:r>
              <w:rPr>
                <w:rFonts w:hint="eastAsia" w:asciiTheme="majorEastAsia" w:hAnsiTheme="majorEastAsia" w:eastAsiaTheme="majorEastAsia" w:cstheme="majorEastAsia"/>
                <w:color w:val="auto"/>
                <w:sz w:val="24"/>
                <w:szCs w:val="24"/>
                <w:shd w:val="clear"/>
              </w:rPr>
              <w:t>规定及甲乙双方协商。</w:t>
            </w:r>
          </w:p>
        </w:tc>
      </w:tr>
      <w:tr w14:paraId="1028D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50" w:type="dxa"/>
            <w:vAlign w:val="center"/>
          </w:tcPr>
          <w:p w14:paraId="5E83DFDA">
            <w:pPr>
              <w:keepNext w:val="0"/>
              <w:keepLines w:val="0"/>
              <w:pageBreakBefore w:val="0"/>
              <w:widowControl w:val="0"/>
              <w:kinsoku/>
              <w:wordWrap/>
              <w:overflowPunct/>
              <w:bidi w:val="0"/>
              <w:adjustRightInd w:val="0"/>
              <w:snapToGrid w:val="0"/>
              <w:spacing w:line="440" w:lineRule="exact"/>
              <w:jc w:val="center"/>
              <w:textAlignment w:val="baseline"/>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9.6</w:t>
            </w:r>
          </w:p>
        </w:tc>
        <w:tc>
          <w:tcPr>
            <w:tcW w:w="1320" w:type="dxa"/>
            <w:vAlign w:val="center"/>
          </w:tcPr>
          <w:p w14:paraId="0AB2DD49">
            <w:pPr>
              <w:pStyle w:val="14"/>
              <w:keepNext w:val="0"/>
              <w:keepLines w:val="0"/>
              <w:pageBreakBefore w:val="0"/>
              <w:widowControl w:val="0"/>
              <w:kinsoku/>
              <w:wordWrap/>
              <w:overflowPunct/>
              <w:bidi w:val="0"/>
              <w:spacing w:line="440" w:lineRule="exact"/>
              <w:jc w:val="lef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其他</w:t>
            </w:r>
          </w:p>
        </w:tc>
        <w:tc>
          <w:tcPr>
            <w:tcW w:w="7307" w:type="dxa"/>
            <w:vAlign w:val="center"/>
          </w:tcPr>
          <w:p w14:paraId="7E08750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b/>
                <w:bCs/>
                <w:color w:val="auto"/>
                <w:sz w:val="24"/>
                <w:szCs w:val="24"/>
                <w:lang w:val="en-US" w:eastAsia="zh-CN"/>
              </w:rPr>
            </w:pPr>
            <w:r>
              <w:rPr>
                <w:rFonts w:hint="eastAsia" w:asciiTheme="majorEastAsia" w:hAnsiTheme="majorEastAsia" w:eastAsiaTheme="majorEastAsia" w:cstheme="majorEastAsia"/>
                <w:b/>
                <w:bCs/>
                <w:color w:val="auto"/>
                <w:sz w:val="24"/>
                <w:szCs w:val="24"/>
                <w:lang w:val="en-US" w:eastAsia="zh-CN"/>
              </w:rPr>
              <w:t>该项目采取线下开标的形式，供应商必须到达开标现场，直接参与开标活动。</w:t>
            </w:r>
          </w:p>
          <w:p w14:paraId="3EACDD0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相关注意事项如下：</w:t>
            </w:r>
          </w:p>
          <w:p w14:paraId="5B8F5CC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1、开标当日，请各供应商在开标截止时间前至少提前十分钟进入开标现场；</w:t>
            </w:r>
          </w:p>
          <w:p w14:paraId="31D0741F">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lang w:val="en-US" w:eastAsia="zh-CN"/>
              </w:rPr>
              <w:t>2、</w:t>
            </w:r>
            <w:r>
              <w:rPr>
                <w:rFonts w:hint="eastAsia" w:asciiTheme="majorEastAsia" w:hAnsiTheme="majorEastAsia" w:eastAsiaTheme="majorEastAsia" w:cstheme="majorEastAsia"/>
                <w:color w:val="auto"/>
                <w:sz w:val="24"/>
                <w:szCs w:val="24"/>
                <w:lang w:eastAsia="zh-CN"/>
              </w:rPr>
              <w:t>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lang w:eastAsia="zh-CN"/>
              </w:rPr>
              <w:t>代表</w:t>
            </w:r>
            <w:r>
              <w:rPr>
                <w:rFonts w:hint="eastAsia" w:asciiTheme="majorEastAsia" w:hAnsiTheme="majorEastAsia" w:eastAsiaTheme="majorEastAsia" w:cstheme="majorEastAsia"/>
                <w:color w:val="auto"/>
                <w:sz w:val="24"/>
                <w:szCs w:val="24"/>
              </w:rPr>
              <w:t>现场资格核验：</w:t>
            </w:r>
          </w:p>
          <w:p w14:paraId="519055B7">
            <w:pPr>
              <w:keepNext w:val="0"/>
              <w:keepLines w:val="0"/>
              <w:pageBreakBefore w:val="0"/>
              <w:widowControl w:val="0"/>
              <w:tabs>
                <w:tab w:val="left" w:pos="840"/>
              </w:tabs>
              <w:kinsoku/>
              <w:wordWrap/>
              <w:overflowPunct/>
              <w:bidi w:val="0"/>
              <w:spacing w:line="440" w:lineRule="exact"/>
              <w:rPr>
                <w:rFonts w:hint="eastAsia" w:asciiTheme="majorEastAsia" w:hAnsiTheme="majorEastAsia" w:eastAsiaTheme="majorEastAsia" w:cstheme="majorEastAsia"/>
                <w:color w:val="auto"/>
                <w:sz w:val="24"/>
                <w:szCs w:val="24"/>
              </w:rPr>
            </w:pPr>
            <w:r>
              <w:rPr>
                <w:rFonts w:hint="eastAsia" w:asciiTheme="majorEastAsia" w:hAnsiTheme="majorEastAsia" w:eastAsiaTheme="majorEastAsia" w:cstheme="majorEastAsia"/>
                <w:color w:val="auto"/>
                <w:sz w:val="24"/>
                <w:szCs w:val="24"/>
              </w:rPr>
              <w:t>开标时投标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应携带下列</w:t>
            </w:r>
            <w:r>
              <w:rPr>
                <w:rFonts w:hint="eastAsia" w:asciiTheme="majorEastAsia" w:hAnsiTheme="majorEastAsia" w:eastAsiaTheme="majorEastAsia" w:cstheme="majorEastAsia"/>
                <w:color w:val="auto"/>
                <w:sz w:val="24"/>
                <w:szCs w:val="24"/>
                <w:lang w:eastAsia="zh-CN"/>
              </w:rPr>
              <w:t>材料</w:t>
            </w:r>
            <w:r>
              <w:rPr>
                <w:rFonts w:hint="eastAsia" w:asciiTheme="majorEastAsia" w:hAnsiTheme="majorEastAsia" w:eastAsiaTheme="majorEastAsia" w:cstheme="majorEastAsia"/>
                <w:color w:val="auto"/>
                <w:sz w:val="24"/>
                <w:szCs w:val="24"/>
              </w:rPr>
              <w:t>：</w:t>
            </w:r>
            <w:r>
              <w:rPr>
                <w:rFonts w:hint="eastAsia" w:asciiTheme="majorEastAsia" w:hAnsiTheme="majorEastAsia" w:eastAsiaTheme="majorEastAsia" w:cstheme="majorEastAsia"/>
                <w:b/>
                <w:bCs/>
                <w:color w:val="auto"/>
                <w:sz w:val="24"/>
                <w:szCs w:val="24"/>
              </w:rPr>
              <w:t>法定代表人参加投标的，提供法定代表人证明书、本人身份证原件及复印件；法定代表人授权他人参加投标的，提供法定代表人授权委托书、被委托人身份证原件及复印件，被委托人的社保经办机构出具的2025年10月、11月、12月份至少一个月的本企业社保缴纳证明材料（五险一金其中一项即可，应可查询）复印件加盖公章。</w:t>
            </w:r>
            <w:r>
              <w:rPr>
                <w:rFonts w:hint="eastAsia" w:asciiTheme="majorEastAsia" w:hAnsiTheme="majorEastAsia" w:eastAsiaTheme="majorEastAsia" w:cstheme="majorEastAsia"/>
                <w:color w:val="auto"/>
                <w:sz w:val="24"/>
                <w:szCs w:val="24"/>
              </w:rPr>
              <w:t>由监</w:t>
            </w:r>
            <w:r>
              <w:rPr>
                <w:rFonts w:hint="eastAsia" w:asciiTheme="majorEastAsia" w:hAnsiTheme="majorEastAsia" w:eastAsiaTheme="majorEastAsia" w:cstheme="majorEastAsia"/>
                <w:color w:val="auto"/>
                <w:sz w:val="24"/>
                <w:szCs w:val="24"/>
                <w:lang w:eastAsia="zh-CN"/>
              </w:rPr>
              <w:t>标人</w:t>
            </w:r>
            <w:r>
              <w:rPr>
                <w:rFonts w:hint="eastAsia" w:asciiTheme="majorEastAsia" w:hAnsiTheme="majorEastAsia" w:eastAsiaTheme="majorEastAsia" w:cstheme="majorEastAsia"/>
                <w:color w:val="auto"/>
                <w:sz w:val="24"/>
                <w:szCs w:val="24"/>
              </w:rPr>
              <w:t>查验确认投标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代表是否到场。若投标</w:t>
            </w:r>
            <w:r>
              <w:rPr>
                <w:rFonts w:hint="eastAsia" w:asciiTheme="majorEastAsia" w:hAnsiTheme="majorEastAsia" w:eastAsiaTheme="majorEastAsia" w:cstheme="majorEastAsia"/>
                <w:color w:val="auto"/>
                <w:sz w:val="24"/>
                <w:szCs w:val="24"/>
                <w:lang w:val="en-US" w:eastAsia="zh-CN"/>
              </w:rPr>
              <w:t>供应商</w:t>
            </w:r>
            <w:r>
              <w:rPr>
                <w:rFonts w:hint="eastAsia" w:asciiTheme="majorEastAsia" w:hAnsiTheme="majorEastAsia" w:eastAsiaTheme="majorEastAsia" w:cstheme="majorEastAsia"/>
                <w:color w:val="auto"/>
                <w:sz w:val="24"/>
                <w:szCs w:val="24"/>
              </w:rPr>
              <w:t>未派代表出席开标会议或提供的证件不全或不能确认其代表身份的，则可宣布其已放弃投标或按无效标处理。</w:t>
            </w:r>
          </w:p>
        </w:tc>
      </w:tr>
    </w:tbl>
    <w:p w14:paraId="65FA18E4">
      <w:pPr>
        <w:rPr>
          <w:rFonts w:hint="eastAsia" w:ascii="宋体" w:hAnsi="宋体" w:eastAsia="宋体" w:cs="宋体"/>
          <w:color w:val="auto"/>
          <w:sz w:val="21"/>
          <w:szCs w:val="21"/>
        </w:rPr>
      </w:pPr>
    </w:p>
    <w:p w14:paraId="25E3957F">
      <w:pPr>
        <w:rPr>
          <w:rFonts w:hint="eastAsia" w:ascii="宋体" w:hAnsi="宋体" w:eastAsia="宋体" w:cs="宋体"/>
          <w:color w:val="auto"/>
          <w:sz w:val="21"/>
          <w:szCs w:val="21"/>
        </w:rPr>
      </w:pPr>
      <w:bookmarkStart w:id="15" w:name="_Toc26314"/>
      <w:r>
        <w:rPr>
          <w:rFonts w:hint="eastAsia" w:ascii="宋体" w:hAnsi="宋体" w:eastAsia="宋体" w:cs="宋体"/>
          <w:color w:val="auto"/>
          <w:sz w:val="21"/>
          <w:szCs w:val="21"/>
        </w:rPr>
        <w:br w:type="page"/>
      </w:r>
    </w:p>
    <w:bookmarkEnd w:id="15"/>
    <w:p w14:paraId="4E4EE5FC">
      <w:pPr>
        <w:pStyle w:val="4"/>
        <w:rPr>
          <w:rFonts w:hint="eastAsia" w:ascii="宋体" w:hAnsi="宋体" w:eastAsia="宋体" w:cs="宋体"/>
          <w:color w:val="auto"/>
          <w:sz w:val="36"/>
          <w:szCs w:val="28"/>
        </w:rPr>
      </w:pPr>
      <w:bookmarkStart w:id="16" w:name="_Toc23794"/>
      <w:bookmarkStart w:id="17" w:name="_Toc22342"/>
      <w:r>
        <w:rPr>
          <w:rFonts w:hint="eastAsia" w:ascii="宋体" w:hAnsi="宋体" w:eastAsia="宋体" w:cs="宋体"/>
          <w:color w:val="auto"/>
          <w:sz w:val="36"/>
          <w:szCs w:val="28"/>
        </w:rPr>
        <w:t>否决性条款摘要</w:t>
      </w:r>
      <w:bookmarkEnd w:id="16"/>
      <w:bookmarkEnd w:id="17"/>
    </w:p>
    <w:p w14:paraId="07B08E9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章节是竞争性磋商文件(含竞争性磋商文件的澄清、答疑、补充文件等)中涉及的所有否决性条款的摘要，否决性条款包括：竞争性磋商响应文件不予受理（开标会），围标、串标的判定与处理（初步评审）无效响应文件的判定与处理（详细评审）条款。竞争性磋商文件中有关否决性条款的阐述与本附件不一致的，以本附件内容为准。</w:t>
      </w:r>
    </w:p>
    <w:p w14:paraId="7C53B2B6">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1、磋商阶段的不予受理的情形：</w:t>
      </w:r>
    </w:p>
    <w:p w14:paraId="1F0A899A">
      <w:pPr>
        <w:rPr>
          <w:rFonts w:hint="eastAsia" w:ascii="宋体" w:hAnsi="宋体" w:eastAsia="宋体" w:cs="宋体"/>
          <w:color w:val="auto"/>
          <w:sz w:val="22"/>
          <w:szCs w:val="22"/>
        </w:rPr>
      </w:pPr>
      <w:bookmarkStart w:id="18" w:name="_Toc246221337"/>
      <w:bookmarkStart w:id="19" w:name="_Toc246144208"/>
      <w:bookmarkStart w:id="20" w:name="_Toc246133765"/>
      <w:r>
        <w:rPr>
          <w:rFonts w:hint="eastAsia" w:ascii="宋体" w:hAnsi="宋体" w:eastAsia="宋体" w:cs="宋体"/>
          <w:color w:val="auto"/>
          <w:sz w:val="22"/>
          <w:szCs w:val="22"/>
        </w:rPr>
        <w:t>1）在供应商须知前附表规定的截止时间以后逾期送达的或者未送达指定地点的；</w:t>
      </w:r>
    </w:p>
    <w:p w14:paraId="377F8967">
      <w:pPr>
        <w:rPr>
          <w:rFonts w:hint="eastAsia" w:ascii="宋体" w:hAnsi="宋体" w:eastAsia="宋体" w:cs="宋体"/>
          <w:color w:val="auto"/>
          <w:sz w:val="22"/>
          <w:szCs w:val="22"/>
        </w:rPr>
      </w:pPr>
      <w:r>
        <w:rPr>
          <w:rFonts w:hint="eastAsia" w:ascii="宋体" w:hAnsi="宋体" w:eastAsia="宋体" w:cs="宋体"/>
          <w:color w:val="auto"/>
          <w:sz w:val="22"/>
          <w:szCs w:val="22"/>
        </w:rPr>
        <w:t>2）未按本竞争性磋商文件的规定进行密封、标记和加盖供应商公章的；</w:t>
      </w:r>
    </w:p>
    <w:p w14:paraId="3DFAF664">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2、围标、串标与无效响应文件的判定与处理</w:t>
      </w:r>
      <w:bookmarkEnd w:id="18"/>
      <w:bookmarkEnd w:id="19"/>
      <w:bookmarkEnd w:id="20"/>
    </w:p>
    <w:p w14:paraId="2D535D2F">
      <w:pPr>
        <w:rPr>
          <w:rFonts w:hint="eastAsia" w:ascii="宋体" w:hAnsi="宋体" w:eastAsia="宋体" w:cs="宋体"/>
          <w:color w:val="auto"/>
          <w:sz w:val="22"/>
          <w:szCs w:val="22"/>
        </w:rPr>
      </w:pPr>
      <w:r>
        <w:rPr>
          <w:rFonts w:hint="eastAsia" w:ascii="宋体" w:hAnsi="宋体" w:eastAsia="宋体" w:cs="宋体"/>
          <w:color w:val="auto"/>
          <w:sz w:val="22"/>
          <w:szCs w:val="22"/>
        </w:rPr>
        <w:t>1）围标、串标的判定与处理</w:t>
      </w:r>
    </w:p>
    <w:p w14:paraId="09AACC17">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有下列情形之一的，经磋商小组遵循少数服从多数的原则集体表决认定后，按围标、串标行为对待，除按无效响应文件处理外，采购人将提请有关行政管理部门根据情况依法做出处罚：</w:t>
      </w:r>
    </w:p>
    <w:p w14:paraId="36BE21D3">
      <w:pPr>
        <w:rPr>
          <w:rFonts w:hint="eastAsia" w:ascii="宋体" w:hAnsi="宋体" w:eastAsia="宋体" w:cs="宋体"/>
          <w:color w:val="auto"/>
          <w:sz w:val="22"/>
          <w:szCs w:val="22"/>
        </w:rPr>
      </w:pPr>
      <w:r>
        <w:rPr>
          <w:rFonts w:hint="eastAsia" w:ascii="宋体" w:hAnsi="宋体" w:eastAsia="宋体" w:cs="宋体"/>
          <w:color w:val="auto"/>
          <w:sz w:val="22"/>
          <w:szCs w:val="22"/>
        </w:rPr>
        <w:t>（1）不同供应商的竞争性磋商响应文件内容存在非正常一致；</w:t>
      </w:r>
    </w:p>
    <w:p w14:paraId="117E4EC4">
      <w:pPr>
        <w:rPr>
          <w:rFonts w:hint="eastAsia" w:ascii="宋体" w:hAnsi="宋体" w:eastAsia="宋体" w:cs="宋体"/>
          <w:color w:val="auto"/>
          <w:sz w:val="22"/>
          <w:szCs w:val="22"/>
        </w:rPr>
      </w:pPr>
      <w:r>
        <w:rPr>
          <w:rFonts w:hint="eastAsia" w:ascii="宋体" w:hAnsi="宋体" w:eastAsia="宋体" w:cs="宋体"/>
          <w:color w:val="auto"/>
          <w:sz w:val="22"/>
          <w:szCs w:val="22"/>
        </w:rPr>
        <w:t>（2）不同供应商的竞争性磋商响应文件错漏之处一致的；</w:t>
      </w:r>
    </w:p>
    <w:p w14:paraId="0678D433">
      <w:pPr>
        <w:rPr>
          <w:rFonts w:hint="eastAsia" w:ascii="宋体" w:hAnsi="宋体" w:eastAsia="宋体" w:cs="宋体"/>
          <w:color w:val="auto"/>
          <w:sz w:val="22"/>
          <w:szCs w:val="22"/>
        </w:rPr>
      </w:pPr>
      <w:r>
        <w:rPr>
          <w:rFonts w:hint="eastAsia" w:ascii="宋体" w:hAnsi="宋体" w:eastAsia="宋体" w:cs="宋体"/>
          <w:color w:val="auto"/>
          <w:sz w:val="22"/>
          <w:szCs w:val="22"/>
        </w:rPr>
        <w:t>（3）不同供应商的竞争性磋商响应文件由同一单位或者同一人编制的；</w:t>
      </w:r>
    </w:p>
    <w:p w14:paraId="5C1D7207">
      <w:pPr>
        <w:rPr>
          <w:rFonts w:hint="eastAsia" w:ascii="宋体" w:hAnsi="宋体" w:eastAsia="宋体" w:cs="宋体"/>
          <w:color w:val="auto"/>
          <w:sz w:val="22"/>
          <w:szCs w:val="22"/>
        </w:rPr>
      </w:pPr>
      <w:r>
        <w:rPr>
          <w:rFonts w:hint="eastAsia" w:ascii="宋体" w:hAnsi="宋体" w:eastAsia="宋体" w:cs="宋体"/>
          <w:color w:val="auto"/>
          <w:sz w:val="22"/>
          <w:szCs w:val="22"/>
        </w:rPr>
        <w:t>（4）不同供应商的竞争性磋商响应文件载明的项目组机构成员出现同一人的；</w:t>
      </w:r>
    </w:p>
    <w:p w14:paraId="7FFC64F4">
      <w:pPr>
        <w:rPr>
          <w:rFonts w:hint="eastAsia" w:ascii="宋体" w:hAnsi="宋体" w:eastAsia="宋体" w:cs="宋体"/>
          <w:color w:val="auto"/>
          <w:sz w:val="22"/>
          <w:szCs w:val="22"/>
        </w:rPr>
      </w:pPr>
      <w:r>
        <w:rPr>
          <w:rFonts w:hint="eastAsia" w:ascii="宋体" w:hAnsi="宋体" w:eastAsia="宋体" w:cs="宋体"/>
          <w:color w:val="auto"/>
          <w:sz w:val="22"/>
          <w:szCs w:val="22"/>
        </w:rPr>
        <w:t>（5）不同供应商的竞争性磋商响应文件相互混装的；</w:t>
      </w:r>
    </w:p>
    <w:p w14:paraId="288F619F">
      <w:pPr>
        <w:rPr>
          <w:rFonts w:hint="eastAsia" w:ascii="宋体" w:hAnsi="宋体" w:eastAsia="宋体" w:cs="宋体"/>
          <w:color w:val="auto"/>
          <w:sz w:val="22"/>
          <w:szCs w:val="22"/>
        </w:rPr>
      </w:pPr>
      <w:r>
        <w:rPr>
          <w:rFonts w:hint="eastAsia" w:ascii="宋体" w:hAnsi="宋体" w:eastAsia="宋体" w:cs="宋体"/>
          <w:color w:val="auto"/>
          <w:sz w:val="22"/>
          <w:szCs w:val="22"/>
        </w:rPr>
        <w:t>（6）不同供应商委托同一人提交竞争性磋商响应文件的；</w:t>
      </w:r>
    </w:p>
    <w:p w14:paraId="4A31AC88">
      <w:pPr>
        <w:rPr>
          <w:rFonts w:hint="eastAsia" w:ascii="宋体" w:hAnsi="宋体" w:eastAsia="宋体" w:cs="宋体"/>
          <w:color w:val="auto"/>
          <w:sz w:val="22"/>
          <w:szCs w:val="22"/>
        </w:rPr>
      </w:pPr>
      <w:r>
        <w:rPr>
          <w:rFonts w:hint="eastAsia" w:ascii="宋体" w:hAnsi="宋体" w:eastAsia="宋体" w:cs="宋体"/>
          <w:color w:val="auto"/>
          <w:sz w:val="22"/>
          <w:szCs w:val="22"/>
        </w:rPr>
        <w:t>（7）磋商小组认定的其他围标、串通投标情形。</w:t>
      </w:r>
    </w:p>
    <w:p w14:paraId="52A2524C">
      <w:pPr>
        <w:rPr>
          <w:rFonts w:hint="eastAsia" w:ascii="宋体" w:hAnsi="宋体" w:eastAsia="宋体" w:cs="宋体"/>
          <w:color w:val="auto"/>
          <w:sz w:val="22"/>
          <w:szCs w:val="22"/>
        </w:rPr>
      </w:pPr>
      <w:r>
        <w:rPr>
          <w:rFonts w:hint="eastAsia" w:ascii="宋体" w:hAnsi="宋体" w:eastAsia="宋体" w:cs="宋体"/>
          <w:color w:val="auto"/>
          <w:sz w:val="22"/>
          <w:szCs w:val="22"/>
        </w:rPr>
        <w:t>2）无效磋商响应文件的判定与处理（包括但不限于）</w:t>
      </w:r>
    </w:p>
    <w:p w14:paraId="75492F5C">
      <w:pPr>
        <w:rPr>
          <w:rFonts w:hint="eastAsia" w:ascii="宋体" w:hAnsi="宋体" w:eastAsia="宋体" w:cs="宋体"/>
          <w:color w:val="auto"/>
          <w:sz w:val="22"/>
          <w:szCs w:val="22"/>
        </w:rPr>
      </w:pPr>
      <w:r>
        <w:rPr>
          <w:rFonts w:hint="eastAsia" w:ascii="宋体" w:hAnsi="宋体" w:eastAsia="宋体" w:cs="宋体"/>
          <w:color w:val="auto"/>
          <w:sz w:val="22"/>
          <w:szCs w:val="22"/>
        </w:rPr>
        <w:t>有下列情形之一的，经磋商小组遵循少数服从多数的原则集体表决认定后，按无效响应文件处理而让该磋商响应文件退出评标程序。</w:t>
      </w:r>
    </w:p>
    <w:p w14:paraId="082EFB32">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响应文件没有法定代表人授权书（法人直接参与除外）或授权书的合法性或有效性不符合竞争性磋商文件规定；或由供应商授权代表签字的,但未随竞争性磋商响应文件一起提交有效的“授权委托书”原件的；</w:t>
      </w:r>
    </w:p>
    <w:p w14:paraId="0B4AAC2F">
      <w:pPr>
        <w:rPr>
          <w:rFonts w:hint="eastAsia" w:ascii="宋体" w:hAnsi="宋体" w:eastAsia="宋体" w:cs="宋体"/>
          <w:color w:val="auto"/>
          <w:sz w:val="22"/>
          <w:szCs w:val="22"/>
        </w:rPr>
      </w:pPr>
      <w:r>
        <w:rPr>
          <w:rFonts w:hint="eastAsia" w:ascii="宋体" w:hAnsi="宋体" w:eastAsia="宋体" w:cs="宋体"/>
          <w:color w:val="auto"/>
          <w:sz w:val="22"/>
          <w:szCs w:val="22"/>
        </w:rPr>
        <w:t>（2）供应商递交两份或多份内容不同的竞争性磋商响应文件，或在一份竞争性磋商响应文件中，有两个或多个报价且根据竞争性磋商文件评审办法规定的修正原则无法确定哪一个有效的，按竞争性磋商文件规定提供可选择性方案报价的除外；</w:t>
      </w:r>
    </w:p>
    <w:p w14:paraId="622CB250">
      <w:pPr>
        <w:rPr>
          <w:rFonts w:hint="eastAsia" w:ascii="宋体" w:hAnsi="宋体" w:eastAsia="宋体" w:cs="宋体"/>
          <w:color w:val="auto"/>
          <w:sz w:val="22"/>
          <w:szCs w:val="22"/>
        </w:rPr>
      </w:pPr>
      <w:r>
        <w:rPr>
          <w:rFonts w:hint="eastAsia" w:ascii="宋体" w:hAnsi="宋体" w:eastAsia="宋体" w:cs="宋体"/>
          <w:color w:val="auto"/>
          <w:sz w:val="22"/>
          <w:szCs w:val="22"/>
        </w:rPr>
        <w:t>（3）供应商未能按竞争性磋商文件要求提交足额有效的投标担保的；</w:t>
      </w:r>
    </w:p>
    <w:p w14:paraId="02806905">
      <w:pPr>
        <w:rPr>
          <w:rFonts w:hint="eastAsia" w:ascii="宋体" w:hAnsi="宋体" w:eastAsia="宋体" w:cs="宋体"/>
          <w:color w:val="auto"/>
          <w:sz w:val="22"/>
          <w:szCs w:val="22"/>
        </w:rPr>
      </w:pPr>
      <w:r>
        <w:rPr>
          <w:rFonts w:hint="eastAsia" w:ascii="宋体" w:hAnsi="宋体" w:eastAsia="宋体" w:cs="宋体"/>
          <w:color w:val="auto"/>
          <w:sz w:val="22"/>
          <w:szCs w:val="22"/>
        </w:rPr>
        <w:t>（4）供应商资格条件不满足竞争性磋商文件要求的；</w:t>
      </w:r>
    </w:p>
    <w:p w14:paraId="3F979B60">
      <w:pPr>
        <w:rPr>
          <w:rFonts w:hint="eastAsia" w:ascii="宋体" w:hAnsi="宋体" w:eastAsia="宋体" w:cs="宋体"/>
          <w:color w:val="auto"/>
          <w:sz w:val="22"/>
          <w:szCs w:val="22"/>
        </w:rPr>
      </w:pPr>
      <w:r>
        <w:rPr>
          <w:rFonts w:hint="eastAsia" w:ascii="宋体" w:hAnsi="宋体" w:eastAsia="宋体" w:cs="宋体"/>
          <w:color w:val="auto"/>
          <w:sz w:val="22"/>
          <w:szCs w:val="22"/>
        </w:rPr>
        <w:t>（5）供应商以他人名义投标，串通投标，以行贿手段谋取成交或者以其他弄虚作假方式投标的；</w:t>
      </w:r>
    </w:p>
    <w:p w14:paraId="618DB14F">
      <w:pPr>
        <w:rPr>
          <w:rFonts w:hint="eastAsia" w:ascii="宋体" w:hAnsi="宋体" w:eastAsia="宋体" w:cs="宋体"/>
          <w:color w:val="auto"/>
          <w:sz w:val="22"/>
          <w:szCs w:val="22"/>
        </w:rPr>
      </w:pPr>
      <w:r>
        <w:rPr>
          <w:rFonts w:hint="eastAsia" w:ascii="宋体" w:hAnsi="宋体" w:eastAsia="宋体" w:cs="宋体"/>
          <w:color w:val="auto"/>
          <w:sz w:val="22"/>
          <w:szCs w:val="22"/>
        </w:rPr>
        <w:t>（6）对竞争性磋商文件提出的实质性要求和条件未作出响应的或不满足的；</w:t>
      </w:r>
    </w:p>
    <w:p w14:paraId="413B4198">
      <w:pPr>
        <w:rPr>
          <w:rFonts w:hint="eastAsia" w:ascii="宋体" w:hAnsi="宋体" w:eastAsia="宋体" w:cs="宋体"/>
          <w:color w:val="auto"/>
          <w:sz w:val="22"/>
          <w:szCs w:val="22"/>
        </w:rPr>
      </w:pPr>
      <w:r>
        <w:rPr>
          <w:rFonts w:hint="eastAsia" w:ascii="宋体" w:hAnsi="宋体" w:eastAsia="宋体" w:cs="宋体"/>
          <w:color w:val="auto"/>
          <w:sz w:val="22"/>
          <w:szCs w:val="22"/>
        </w:rPr>
        <w:t>（7）供应商未能按照磋商小组要求，对其磋商响应文件进行澄清、说明和补正的，或供应商不接受根据竞争性磋商文件规定对投标报价进行算术修正的；</w:t>
      </w:r>
    </w:p>
    <w:p w14:paraId="70A99BAB">
      <w:pPr>
        <w:rPr>
          <w:rFonts w:hint="eastAsia" w:ascii="宋体" w:hAnsi="宋体" w:eastAsia="宋体" w:cs="宋体"/>
          <w:color w:val="auto"/>
          <w:sz w:val="22"/>
          <w:szCs w:val="22"/>
        </w:rPr>
      </w:pPr>
      <w:r>
        <w:rPr>
          <w:rFonts w:hint="eastAsia" w:ascii="宋体" w:hAnsi="宋体" w:eastAsia="宋体" w:cs="宋体"/>
          <w:color w:val="auto"/>
          <w:sz w:val="22"/>
          <w:szCs w:val="22"/>
        </w:rPr>
        <w:t>（8）磋商响应文件附有采购人不能接受的条件；</w:t>
      </w:r>
    </w:p>
    <w:p w14:paraId="73D57586">
      <w:pPr>
        <w:rPr>
          <w:rFonts w:hint="eastAsia" w:ascii="宋体" w:hAnsi="宋体" w:eastAsia="宋体" w:cs="宋体"/>
          <w:color w:val="auto"/>
          <w:sz w:val="22"/>
          <w:szCs w:val="22"/>
        </w:rPr>
      </w:pPr>
      <w:r>
        <w:rPr>
          <w:rFonts w:hint="eastAsia" w:ascii="宋体" w:hAnsi="宋体" w:eastAsia="宋体" w:cs="宋体"/>
          <w:color w:val="auto"/>
          <w:sz w:val="22"/>
          <w:szCs w:val="22"/>
        </w:rPr>
        <w:t>（9）单位负责人为同一人或者存在控股、管理关系的不同单位，参加同一标包投标或者未划分标包的同一采购项目投标；</w:t>
      </w:r>
    </w:p>
    <w:p w14:paraId="1C81FBFA">
      <w:pPr>
        <w:rPr>
          <w:rFonts w:hint="eastAsia" w:ascii="宋体" w:hAnsi="宋体" w:eastAsia="宋体" w:cs="宋体"/>
          <w:color w:val="auto"/>
          <w:sz w:val="22"/>
          <w:szCs w:val="22"/>
        </w:rPr>
      </w:pPr>
      <w:r>
        <w:rPr>
          <w:rFonts w:hint="eastAsia" w:ascii="宋体" w:hAnsi="宋体" w:eastAsia="宋体" w:cs="宋体"/>
          <w:color w:val="auto"/>
          <w:sz w:val="22"/>
          <w:szCs w:val="22"/>
        </w:rPr>
        <w:t>（10）磋商报价超出采购预算的；</w:t>
      </w:r>
    </w:p>
    <w:p w14:paraId="6501A96C">
      <w:pPr>
        <w:rPr>
          <w:rFonts w:hint="eastAsia" w:ascii="宋体" w:hAnsi="宋体" w:eastAsia="宋体" w:cs="宋体"/>
          <w:color w:val="auto"/>
          <w:sz w:val="22"/>
          <w:szCs w:val="22"/>
        </w:rPr>
      </w:pPr>
      <w:r>
        <w:rPr>
          <w:rFonts w:hint="eastAsia" w:ascii="宋体" w:hAnsi="宋体" w:eastAsia="宋体" w:cs="宋体"/>
          <w:color w:val="auto"/>
          <w:sz w:val="22"/>
          <w:szCs w:val="22"/>
        </w:rPr>
        <w:t>（11）未通过初步评审的投标；</w:t>
      </w:r>
    </w:p>
    <w:p w14:paraId="43909C66">
      <w:pPr>
        <w:rPr>
          <w:rFonts w:hint="eastAsia" w:ascii="宋体" w:hAnsi="宋体" w:eastAsia="宋体" w:cs="宋体"/>
          <w:color w:val="auto"/>
          <w:sz w:val="22"/>
          <w:szCs w:val="22"/>
        </w:rPr>
      </w:pPr>
      <w:r>
        <w:rPr>
          <w:rFonts w:hint="eastAsia" w:ascii="宋体" w:hAnsi="宋体" w:eastAsia="宋体" w:cs="宋体"/>
          <w:color w:val="auto"/>
          <w:sz w:val="22"/>
          <w:szCs w:val="22"/>
        </w:rPr>
        <w:t>（12）若出现磋商报价明显偏高、围标、串标等损害采购人利益的情况，磋商小组可否决部分或全部投标；</w:t>
      </w:r>
    </w:p>
    <w:p w14:paraId="34509748">
      <w:pPr>
        <w:rPr>
          <w:rFonts w:hint="eastAsia" w:ascii="宋体" w:hAnsi="宋体" w:eastAsia="宋体" w:cs="宋体"/>
          <w:color w:val="auto"/>
          <w:sz w:val="22"/>
          <w:szCs w:val="22"/>
        </w:rPr>
      </w:pPr>
      <w:r>
        <w:rPr>
          <w:rFonts w:hint="eastAsia" w:ascii="宋体" w:hAnsi="宋体" w:eastAsia="宋体" w:cs="宋体"/>
          <w:color w:val="auto"/>
          <w:sz w:val="22"/>
          <w:szCs w:val="22"/>
        </w:rPr>
        <w:t>（13）供应商没有经过正常渠道购买标书或供应商的名称与登记领取竞争性磋商文件单位的名称不符；</w:t>
      </w:r>
    </w:p>
    <w:p w14:paraId="2F4691BC">
      <w:pPr>
        <w:rPr>
          <w:rFonts w:hint="eastAsia" w:ascii="宋体" w:hAnsi="宋体" w:eastAsia="宋体" w:cs="宋体"/>
          <w:color w:val="auto"/>
          <w:sz w:val="22"/>
          <w:szCs w:val="22"/>
        </w:rPr>
      </w:pPr>
      <w:r>
        <w:rPr>
          <w:rFonts w:hint="eastAsia" w:ascii="宋体" w:hAnsi="宋体" w:eastAsia="宋体" w:cs="宋体"/>
          <w:color w:val="auto"/>
          <w:sz w:val="22"/>
          <w:szCs w:val="22"/>
        </w:rPr>
        <w:t>（14）磋商响应文件的格式不符合竞争性磋商文件要求、关键内容字迹模糊、无法辨认的；</w:t>
      </w:r>
    </w:p>
    <w:p w14:paraId="2658A35F">
      <w:pPr>
        <w:rPr>
          <w:rFonts w:hint="eastAsia" w:ascii="宋体" w:hAnsi="宋体" w:eastAsia="宋体" w:cs="宋体"/>
          <w:color w:val="auto"/>
          <w:sz w:val="22"/>
          <w:szCs w:val="22"/>
        </w:rPr>
      </w:pPr>
      <w:r>
        <w:rPr>
          <w:rFonts w:hint="eastAsia" w:ascii="宋体" w:hAnsi="宋体" w:eastAsia="宋体" w:cs="宋体"/>
          <w:color w:val="auto"/>
          <w:sz w:val="22"/>
          <w:szCs w:val="22"/>
        </w:rPr>
        <w:t>（15）磋商有效期不足的；</w:t>
      </w:r>
    </w:p>
    <w:p w14:paraId="77A05183">
      <w:pPr>
        <w:rPr>
          <w:rFonts w:hint="eastAsia" w:ascii="宋体" w:hAnsi="宋体" w:eastAsia="宋体" w:cs="宋体"/>
          <w:color w:val="auto"/>
          <w:sz w:val="22"/>
          <w:szCs w:val="22"/>
        </w:rPr>
      </w:pPr>
      <w:r>
        <w:rPr>
          <w:rFonts w:hint="eastAsia" w:ascii="宋体" w:hAnsi="宋体" w:eastAsia="宋体" w:cs="宋体"/>
          <w:color w:val="auto"/>
          <w:sz w:val="22"/>
          <w:szCs w:val="22"/>
        </w:rPr>
        <w:t>（16）采购内容出现漏项或内容与要求不符，出现重大负偏差；</w:t>
      </w:r>
    </w:p>
    <w:p w14:paraId="746BA994">
      <w:pPr>
        <w:rPr>
          <w:rFonts w:hint="eastAsia" w:ascii="宋体" w:hAnsi="宋体" w:eastAsia="宋体" w:cs="宋体"/>
          <w:color w:val="auto"/>
          <w:sz w:val="22"/>
          <w:szCs w:val="22"/>
        </w:rPr>
      </w:pPr>
      <w:r>
        <w:rPr>
          <w:rFonts w:hint="eastAsia" w:ascii="宋体" w:hAnsi="宋体" w:eastAsia="宋体" w:cs="宋体"/>
          <w:color w:val="auto"/>
          <w:sz w:val="22"/>
          <w:szCs w:val="22"/>
        </w:rPr>
        <w:t>（17）无</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或磋商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不符合要求；</w:t>
      </w:r>
    </w:p>
    <w:p w14:paraId="2F4694B6">
      <w:pPr>
        <w:rPr>
          <w:rFonts w:hint="eastAsia" w:ascii="宋体" w:hAnsi="宋体" w:eastAsia="宋体" w:cs="宋体"/>
          <w:color w:val="auto"/>
          <w:sz w:val="22"/>
          <w:szCs w:val="22"/>
        </w:rPr>
      </w:pPr>
      <w:r>
        <w:rPr>
          <w:rFonts w:hint="eastAsia" w:ascii="宋体" w:hAnsi="宋体" w:eastAsia="宋体" w:cs="宋体"/>
          <w:color w:val="auto"/>
          <w:sz w:val="22"/>
          <w:szCs w:val="22"/>
        </w:rPr>
        <w:t>（18）规定不接受选择方案和选择报价（包括交叉折扣）的，供应商提供了选择方案和/或选择报价（包括交叉折扣）；</w:t>
      </w:r>
    </w:p>
    <w:p w14:paraId="382B18A2">
      <w:pPr>
        <w:rPr>
          <w:rFonts w:hint="eastAsia" w:ascii="宋体" w:hAnsi="宋体" w:eastAsia="宋体" w:cs="宋体"/>
          <w:color w:val="auto"/>
          <w:sz w:val="22"/>
          <w:szCs w:val="22"/>
        </w:rPr>
      </w:pPr>
      <w:r>
        <w:rPr>
          <w:rFonts w:hint="eastAsia" w:ascii="宋体" w:hAnsi="宋体" w:eastAsia="宋体" w:cs="宋体"/>
          <w:color w:val="auto"/>
          <w:sz w:val="22"/>
          <w:szCs w:val="22"/>
        </w:rPr>
        <w:t>（19）磋商报价与市场价偏离较大，经磋商小组审定认为其低于成本，形成不正当竞争；</w:t>
      </w:r>
    </w:p>
    <w:p w14:paraId="22C4504A">
      <w:pPr>
        <w:rPr>
          <w:rFonts w:hint="eastAsia" w:ascii="宋体" w:hAnsi="宋体" w:eastAsia="宋体" w:cs="宋体"/>
          <w:color w:val="auto"/>
          <w:sz w:val="22"/>
          <w:szCs w:val="22"/>
        </w:rPr>
      </w:pPr>
      <w:r>
        <w:rPr>
          <w:rFonts w:hint="eastAsia" w:ascii="宋体" w:hAnsi="宋体" w:eastAsia="宋体" w:cs="宋体"/>
          <w:color w:val="auto"/>
          <w:sz w:val="22"/>
          <w:szCs w:val="22"/>
        </w:rPr>
        <w:t>（20）提供虚假证明，开具虚假资质，出现虚假应答，除按无效标处理外，还进行相应的处罚；</w:t>
      </w:r>
    </w:p>
    <w:p w14:paraId="6013E35D">
      <w:pPr>
        <w:rPr>
          <w:rFonts w:hint="eastAsia" w:ascii="宋体" w:hAnsi="宋体" w:eastAsia="宋体" w:cs="宋体"/>
          <w:color w:val="auto"/>
          <w:sz w:val="22"/>
          <w:szCs w:val="22"/>
        </w:rPr>
      </w:pPr>
      <w:r>
        <w:rPr>
          <w:rFonts w:hint="eastAsia" w:ascii="宋体" w:hAnsi="宋体" w:eastAsia="宋体" w:cs="宋体"/>
          <w:color w:val="auto"/>
          <w:sz w:val="22"/>
          <w:szCs w:val="22"/>
        </w:rPr>
        <w:t>（21）符合法律法规或地方主管部门规范性文件规定的其他无效标情形的。</w:t>
      </w:r>
    </w:p>
    <w:p w14:paraId="55BA27A4">
      <w:pPr>
        <w:rPr>
          <w:rFonts w:hint="eastAsia" w:ascii="宋体" w:hAnsi="宋体" w:eastAsia="宋体" w:cs="宋体"/>
          <w:color w:val="auto"/>
          <w:sz w:val="22"/>
          <w:szCs w:val="22"/>
        </w:rPr>
      </w:pPr>
    </w:p>
    <w:p w14:paraId="0BCC12F6">
      <w:pPr>
        <w:rPr>
          <w:rFonts w:hint="eastAsia" w:ascii="宋体" w:hAnsi="宋体" w:eastAsia="宋体" w:cs="宋体"/>
          <w:color w:val="auto"/>
          <w:sz w:val="22"/>
          <w:szCs w:val="22"/>
        </w:rPr>
      </w:pPr>
    </w:p>
    <w:p w14:paraId="3362DD84">
      <w:pPr>
        <w:rPr>
          <w:rFonts w:hint="eastAsia" w:ascii="宋体" w:hAnsi="宋体" w:eastAsia="宋体" w:cs="宋体"/>
          <w:color w:val="auto"/>
          <w:sz w:val="22"/>
          <w:szCs w:val="22"/>
        </w:rPr>
      </w:pPr>
    </w:p>
    <w:p w14:paraId="4320AD0F">
      <w:pPr>
        <w:rPr>
          <w:rFonts w:hint="eastAsia" w:ascii="宋体" w:hAnsi="宋体" w:eastAsia="宋体" w:cs="宋体"/>
          <w:color w:val="auto"/>
          <w:sz w:val="22"/>
          <w:szCs w:val="22"/>
        </w:rPr>
      </w:pPr>
    </w:p>
    <w:p w14:paraId="23F57F05">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54292993">
      <w:pPr>
        <w:pStyle w:val="4"/>
        <w:numPr>
          <w:ilvl w:val="0"/>
          <w:numId w:val="0"/>
        </w:numPr>
        <w:rPr>
          <w:rFonts w:hint="eastAsia" w:ascii="宋体" w:hAnsi="宋体" w:eastAsia="宋体" w:cs="宋体"/>
          <w:color w:val="auto"/>
          <w:sz w:val="28"/>
          <w:szCs w:val="22"/>
        </w:rPr>
      </w:pPr>
      <w:bookmarkStart w:id="21" w:name="_Toc8579"/>
      <w:bookmarkStart w:id="22" w:name="_Toc20624"/>
      <w:r>
        <w:rPr>
          <w:rFonts w:hint="eastAsia" w:ascii="宋体" w:hAnsi="宋体" w:eastAsia="宋体" w:cs="宋体"/>
          <w:b/>
          <w:color w:val="auto"/>
          <w:kern w:val="2"/>
          <w:sz w:val="28"/>
          <w:szCs w:val="22"/>
          <w:lang w:val="en-US" w:eastAsia="zh-CN" w:bidi="ar-SA"/>
        </w:rPr>
        <w:t>1.</w:t>
      </w:r>
      <w:r>
        <w:rPr>
          <w:rFonts w:hint="eastAsia" w:ascii="宋体" w:hAnsi="宋体" w:eastAsia="宋体" w:cs="宋体"/>
          <w:color w:val="auto"/>
          <w:sz w:val="28"/>
          <w:szCs w:val="22"/>
        </w:rPr>
        <w:t>总则</w:t>
      </w:r>
      <w:bookmarkEnd w:id="14"/>
      <w:bookmarkEnd w:id="21"/>
      <w:bookmarkEnd w:id="22"/>
    </w:p>
    <w:p w14:paraId="543BC4A1">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1.1项目概况</w:t>
      </w:r>
    </w:p>
    <w:p w14:paraId="26BCE34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1.1.1根据《中华人民共和国政府采购法》等有关法律、法规和规章的规定，本采购项目已具备磋商条件，现对本项目进行磋商。</w:t>
      </w:r>
    </w:p>
    <w:p w14:paraId="6CA30A6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1.1.2 本采购项目采购人：见供应商须知前附表。</w:t>
      </w:r>
    </w:p>
    <w:p w14:paraId="5EDD6A7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1.1.3 本采购项目采购代理机构：见供应商须知前附表。</w:t>
      </w:r>
    </w:p>
    <w:p w14:paraId="60A28B7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1.1.4 本采购项目名称：见供应商须知前附表。</w:t>
      </w:r>
    </w:p>
    <w:p w14:paraId="1A997282">
      <w:pPr>
        <w:rPr>
          <w:rFonts w:hint="eastAsia" w:ascii="宋体" w:hAnsi="宋体" w:eastAsia="宋体" w:cs="宋体"/>
          <w:b/>
          <w:bCs/>
          <w:color w:val="auto"/>
          <w:sz w:val="22"/>
          <w:szCs w:val="22"/>
        </w:rPr>
      </w:pPr>
      <w:bookmarkStart w:id="23" w:name="_Toc152042307"/>
      <w:bookmarkStart w:id="24" w:name="_Toc152045531"/>
      <w:bookmarkStart w:id="25" w:name="_Toc332121716"/>
      <w:bookmarkStart w:id="26" w:name="_Toc25246"/>
      <w:bookmarkStart w:id="27" w:name="_Toc403513496"/>
      <w:bookmarkStart w:id="28" w:name="_Toc144974499"/>
      <w:bookmarkStart w:id="29" w:name="_Toc330213948"/>
      <w:r>
        <w:rPr>
          <w:rFonts w:hint="eastAsia" w:ascii="宋体" w:hAnsi="宋体" w:eastAsia="宋体" w:cs="宋体"/>
          <w:b/>
          <w:bCs/>
          <w:color w:val="auto"/>
          <w:sz w:val="22"/>
          <w:szCs w:val="22"/>
        </w:rPr>
        <w:t>1.2 资金来源和落实情况</w:t>
      </w:r>
      <w:bookmarkEnd w:id="23"/>
      <w:bookmarkEnd w:id="24"/>
      <w:bookmarkEnd w:id="25"/>
      <w:bookmarkEnd w:id="26"/>
      <w:bookmarkEnd w:id="27"/>
      <w:bookmarkEnd w:id="28"/>
      <w:bookmarkEnd w:id="29"/>
    </w:p>
    <w:p w14:paraId="2AB9871A">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1.2.1 本采购项目的资金来源：见供应商须知前附表。</w:t>
      </w:r>
    </w:p>
    <w:p w14:paraId="6688CF4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1.2.2 本采购项目的资金落实情况：见供应商须知前附表。</w:t>
      </w:r>
    </w:p>
    <w:p w14:paraId="73DA1A0D">
      <w:pPr>
        <w:rPr>
          <w:rFonts w:hint="eastAsia" w:ascii="宋体" w:hAnsi="宋体" w:eastAsia="宋体" w:cs="宋体"/>
          <w:b/>
          <w:bCs/>
          <w:color w:val="auto"/>
          <w:sz w:val="22"/>
          <w:szCs w:val="22"/>
        </w:rPr>
      </w:pPr>
      <w:bookmarkStart w:id="30" w:name="_Toc332121717"/>
      <w:bookmarkStart w:id="31" w:name="_Toc152045532"/>
      <w:bookmarkStart w:id="32" w:name="_Toc330213949"/>
      <w:bookmarkStart w:id="33" w:name="_Toc12683"/>
      <w:bookmarkStart w:id="34" w:name="_Toc152042308"/>
      <w:bookmarkStart w:id="35" w:name="_Toc144974500"/>
      <w:bookmarkStart w:id="36" w:name="_Toc403513497"/>
      <w:r>
        <w:rPr>
          <w:rFonts w:hint="eastAsia" w:ascii="宋体" w:hAnsi="宋体" w:eastAsia="宋体" w:cs="宋体"/>
          <w:b/>
          <w:bCs/>
          <w:color w:val="auto"/>
          <w:sz w:val="22"/>
          <w:szCs w:val="22"/>
        </w:rPr>
        <w:t>1.3 采购内容、合同履行期限（</w:t>
      </w:r>
      <w:r>
        <w:rPr>
          <w:rFonts w:hint="eastAsia" w:ascii="宋体" w:hAnsi="宋体" w:eastAsia="宋体" w:cs="宋体"/>
          <w:b/>
          <w:bCs/>
          <w:color w:val="auto"/>
          <w:sz w:val="22"/>
          <w:szCs w:val="22"/>
          <w:lang w:eastAsia="zh-CN"/>
        </w:rPr>
        <w:t>工期</w:t>
      </w:r>
      <w:r>
        <w:rPr>
          <w:rFonts w:hint="eastAsia" w:ascii="宋体" w:hAnsi="宋体" w:eastAsia="宋体" w:cs="宋体"/>
          <w:b/>
          <w:bCs/>
          <w:color w:val="auto"/>
          <w:sz w:val="22"/>
          <w:szCs w:val="22"/>
        </w:rPr>
        <w:t>）及项目要求</w:t>
      </w:r>
      <w:bookmarkEnd w:id="30"/>
      <w:bookmarkEnd w:id="31"/>
      <w:bookmarkEnd w:id="32"/>
      <w:bookmarkEnd w:id="33"/>
      <w:bookmarkEnd w:id="34"/>
      <w:bookmarkEnd w:id="35"/>
      <w:bookmarkEnd w:id="36"/>
    </w:p>
    <w:p w14:paraId="241F72B4">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1.3.1 本次采购内容及质量要求：见供应商须知前附表。</w:t>
      </w:r>
    </w:p>
    <w:p w14:paraId="621EB528">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1.3.2 本采购的合同履行期限（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）：见供应商须知前附表。</w:t>
      </w:r>
    </w:p>
    <w:p w14:paraId="7D0F0DD1">
      <w:pPr>
        <w:spacing w:before="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1.3.3采购项目要求：成交人必须按合同条款、采购人相关管理标准及考评办法执行，确保服务质量。</w:t>
      </w:r>
    </w:p>
    <w:p w14:paraId="12BDC082">
      <w:pPr>
        <w:rPr>
          <w:rFonts w:hint="eastAsia" w:ascii="宋体" w:hAnsi="宋体" w:eastAsia="宋体" w:cs="宋体"/>
          <w:b/>
          <w:bCs/>
          <w:color w:val="auto"/>
          <w:sz w:val="22"/>
          <w:szCs w:val="22"/>
        </w:rPr>
      </w:pPr>
      <w:bookmarkStart w:id="37" w:name="_Toc330213950"/>
      <w:bookmarkStart w:id="38" w:name="_Toc152045534"/>
      <w:bookmarkStart w:id="39" w:name="_Toc144974502"/>
      <w:bookmarkStart w:id="40" w:name="_Toc30971"/>
      <w:bookmarkStart w:id="41" w:name="_Toc403513498"/>
      <w:bookmarkStart w:id="42" w:name="_Toc152042310"/>
      <w:bookmarkStart w:id="43" w:name="_Toc332121718"/>
      <w:r>
        <w:rPr>
          <w:rFonts w:hint="eastAsia" w:ascii="宋体" w:hAnsi="宋体" w:eastAsia="宋体" w:cs="宋体"/>
          <w:b/>
          <w:bCs/>
          <w:color w:val="auto"/>
          <w:sz w:val="22"/>
          <w:szCs w:val="22"/>
        </w:rPr>
        <w:t>1.4 供应商资格要求</w:t>
      </w:r>
      <w:bookmarkEnd w:id="37"/>
      <w:bookmarkEnd w:id="38"/>
      <w:bookmarkEnd w:id="39"/>
      <w:bookmarkEnd w:id="40"/>
      <w:bookmarkEnd w:id="41"/>
      <w:bookmarkEnd w:id="42"/>
      <w:bookmarkEnd w:id="43"/>
    </w:p>
    <w:p w14:paraId="75AF6967">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1.4.1供应商应具备承担本采购项目的资质条件：见供应商须知前附表。</w:t>
      </w:r>
    </w:p>
    <w:p w14:paraId="131F453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1.4.2 供应商不得存在下列情形之一：</w:t>
      </w:r>
    </w:p>
    <w:p w14:paraId="669E43D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（1）为采购人不具有独立法人资格的附属机构（单位）； </w:t>
      </w:r>
    </w:p>
    <w:p w14:paraId="140CCA2B">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（2）为本采购项目提供采购代理服务的； </w:t>
      </w:r>
    </w:p>
    <w:p w14:paraId="61A5BE85">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（3）单位负责人为同一人或者存在控股、管理关系的不同单位，不得参加同一标包或者未划分标包的同一磋商项目投标；</w:t>
      </w:r>
    </w:p>
    <w:p w14:paraId="47E86037">
      <w:pPr>
        <w:snapToGrid w:val="0"/>
        <w:spacing w:before="62" w:beforeLines="20"/>
        <w:rPr>
          <w:rFonts w:hint="eastAsia" w:ascii="宋体" w:hAnsi="宋体" w:eastAsia="宋体" w:cs="宋体"/>
          <w:color w:val="auto"/>
          <w:sz w:val="22"/>
          <w:szCs w:val="22"/>
        </w:rPr>
      </w:pPr>
      <w:r>
        <w:rPr>
          <w:rFonts w:hint="eastAsia" w:ascii="宋体" w:hAnsi="宋体" w:eastAsia="宋体" w:cs="宋体"/>
          <w:color w:val="auto"/>
          <w:sz w:val="22"/>
          <w:szCs w:val="22"/>
        </w:rPr>
        <w:t xml:space="preserve">   （4）被责令停业、暂停或取消投标资格的； </w:t>
      </w:r>
    </w:p>
    <w:p w14:paraId="54D25D5A">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（5）财产被接管或冻结的；</w:t>
      </w:r>
    </w:p>
    <w:p w14:paraId="70C4F9C6">
      <w:pPr>
        <w:rPr>
          <w:rFonts w:hint="eastAsia" w:ascii="宋体" w:hAnsi="宋体" w:eastAsia="宋体" w:cs="宋体"/>
          <w:b/>
          <w:bCs/>
          <w:color w:val="auto"/>
          <w:sz w:val="22"/>
          <w:szCs w:val="22"/>
        </w:rPr>
      </w:pPr>
      <w:bookmarkStart w:id="44" w:name="_Toc332121719"/>
      <w:bookmarkStart w:id="45" w:name="_Toc1336"/>
      <w:bookmarkStart w:id="46" w:name="_Toc330213951"/>
      <w:bookmarkStart w:id="47" w:name="_Toc152045535"/>
      <w:bookmarkStart w:id="48" w:name="_Toc152042311"/>
      <w:bookmarkStart w:id="49" w:name="_Toc403513499"/>
      <w:bookmarkStart w:id="50" w:name="_Toc144974503"/>
      <w:r>
        <w:rPr>
          <w:rFonts w:hint="eastAsia" w:ascii="宋体" w:hAnsi="宋体" w:eastAsia="宋体" w:cs="宋体"/>
          <w:b/>
          <w:bCs/>
          <w:color w:val="auto"/>
          <w:sz w:val="22"/>
          <w:szCs w:val="22"/>
        </w:rPr>
        <w:t>1.5 费用承担</w:t>
      </w:r>
      <w:bookmarkEnd w:id="44"/>
      <w:bookmarkEnd w:id="45"/>
      <w:bookmarkEnd w:id="46"/>
      <w:bookmarkEnd w:id="47"/>
      <w:bookmarkEnd w:id="48"/>
      <w:bookmarkEnd w:id="49"/>
      <w:bookmarkEnd w:id="50"/>
    </w:p>
    <w:p w14:paraId="0A66B1C0">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供应商准备和参加磋商活动发生的费用自理。</w:t>
      </w:r>
    </w:p>
    <w:p w14:paraId="51B0B483">
      <w:pPr>
        <w:rPr>
          <w:rFonts w:hint="eastAsia" w:ascii="宋体" w:hAnsi="宋体" w:eastAsia="宋体" w:cs="宋体"/>
          <w:b/>
          <w:bCs/>
          <w:color w:val="auto"/>
          <w:sz w:val="22"/>
          <w:szCs w:val="22"/>
        </w:rPr>
      </w:pPr>
      <w:bookmarkStart w:id="51" w:name="_Toc330213952"/>
      <w:bookmarkStart w:id="52" w:name="_Toc31559"/>
      <w:bookmarkStart w:id="53" w:name="_Toc144974504"/>
      <w:bookmarkStart w:id="54" w:name="_Toc152045536"/>
      <w:bookmarkStart w:id="55" w:name="_Toc152042312"/>
      <w:bookmarkStart w:id="56" w:name="_Toc403513500"/>
      <w:bookmarkStart w:id="57" w:name="_Toc332121720"/>
      <w:r>
        <w:rPr>
          <w:rFonts w:hint="eastAsia" w:ascii="宋体" w:hAnsi="宋体" w:eastAsia="宋体" w:cs="宋体"/>
          <w:b/>
          <w:bCs/>
          <w:color w:val="auto"/>
          <w:sz w:val="22"/>
          <w:szCs w:val="22"/>
        </w:rPr>
        <w:t>1.6 保密</w:t>
      </w:r>
      <w:bookmarkEnd w:id="51"/>
      <w:bookmarkEnd w:id="52"/>
      <w:bookmarkEnd w:id="53"/>
      <w:bookmarkEnd w:id="54"/>
      <w:bookmarkEnd w:id="55"/>
      <w:bookmarkEnd w:id="56"/>
      <w:bookmarkEnd w:id="57"/>
    </w:p>
    <w:p w14:paraId="028B6F2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参与磋商活动的各方应对竞争性磋商文件和竞争性磋商响应文件中的商业和技术等秘密保密，违者应对由此造成的后果承担法律责任。 </w:t>
      </w:r>
    </w:p>
    <w:p w14:paraId="53097D61">
      <w:pPr>
        <w:rPr>
          <w:rFonts w:hint="eastAsia" w:ascii="宋体" w:hAnsi="宋体" w:eastAsia="宋体" w:cs="宋体"/>
          <w:b/>
          <w:bCs/>
          <w:color w:val="auto"/>
          <w:sz w:val="22"/>
          <w:szCs w:val="22"/>
        </w:rPr>
      </w:pPr>
      <w:bookmarkStart w:id="58" w:name="_Toc144974505"/>
      <w:bookmarkStart w:id="59" w:name="_Toc330213953"/>
      <w:bookmarkStart w:id="60" w:name="_Toc332121721"/>
      <w:bookmarkStart w:id="61" w:name="_Toc403513501"/>
      <w:bookmarkStart w:id="62" w:name="_Toc16760"/>
      <w:bookmarkStart w:id="63" w:name="_Toc152042313"/>
      <w:bookmarkStart w:id="64" w:name="_Toc152045537"/>
      <w:r>
        <w:rPr>
          <w:rFonts w:hint="eastAsia" w:ascii="宋体" w:hAnsi="宋体" w:eastAsia="宋体" w:cs="宋体"/>
          <w:b/>
          <w:bCs/>
          <w:color w:val="auto"/>
          <w:sz w:val="22"/>
          <w:szCs w:val="22"/>
        </w:rPr>
        <w:t>1.7 语言</w:t>
      </w:r>
      <w:bookmarkEnd w:id="58"/>
      <w:r>
        <w:rPr>
          <w:rFonts w:hint="eastAsia" w:ascii="宋体" w:hAnsi="宋体" w:eastAsia="宋体" w:cs="宋体"/>
          <w:b/>
          <w:bCs/>
          <w:color w:val="auto"/>
          <w:sz w:val="22"/>
          <w:szCs w:val="22"/>
        </w:rPr>
        <w:t>文字</w:t>
      </w:r>
      <w:bookmarkEnd w:id="59"/>
      <w:bookmarkEnd w:id="60"/>
      <w:bookmarkEnd w:id="61"/>
      <w:bookmarkEnd w:id="62"/>
      <w:bookmarkEnd w:id="63"/>
      <w:bookmarkEnd w:id="64"/>
    </w:p>
    <w:p w14:paraId="61C98A99">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除专用术语外，与磋商有关的语言均使用中文。必要时专用术语应附有中文注释。</w:t>
      </w:r>
    </w:p>
    <w:p w14:paraId="6A5436D9">
      <w:pPr>
        <w:rPr>
          <w:rFonts w:hint="eastAsia" w:ascii="宋体" w:hAnsi="宋体" w:eastAsia="宋体" w:cs="宋体"/>
          <w:b/>
          <w:bCs/>
          <w:color w:val="auto"/>
          <w:sz w:val="22"/>
          <w:szCs w:val="22"/>
        </w:rPr>
      </w:pPr>
      <w:bookmarkStart w:id="65" w:name="_Toc144974506"/>
      <w:bookmarkStart w:id="66" w:name="_Toc332121722"/>
      <w:bookmarkStart w:id="67" w:name="_Toc19390"/>
      <w:bookmarkStart w:id="68" w:name="_Toc330213954"/>
      <w:bookmarkStart w:id="69" w:name="_Toc403513502"/>
      <w:bookmarkStart w:id="70" w:name="_Toc152042314"/>
      <w:bookmarkStart w:id="71" w:name="_Toc152045538"/>
      <w:r>
        <w:rPr>
          <w:rFonts w:hint="eastAsia" w:ascii="宋体" w:hAnsi="宋体" w:eastAsia="宋体" w:cs="宋体"/>
          <w:b/>
          <w:bCs/>
          <w:color w:val="auto"/>
          <w:sz w:val="22"/>
          <w:szCs w:val="22"/>
        </w:rPr>
        <w:t>1.8 计量单位</w:t>
      </w:r>
      <w:bookmarkEnd w:id="65"/>
      <w:bookmarkEnd w:id="66"/>
      <w:bookmarkEnd w:id="67"/>
      <w:bookmarkEnd w:id="68"/>
      <w:bookmarkEnd w:id="69"/>
      <w:bookmarkEnd w:id="70"/>
      <w:bookmarkEnd w:id="71"/>
    </w:p>
    <w:p w14:paraId="3B68EBDF">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所有计量均采用中华人民共和国法定计量单位。</w:t>
      </w:r>
    </w:p>
    <w:p w14:paraId="443D676B">
      <w:pPr>
        <w:rPr>
          <w:rFonts w:hint="eastAsia" w:ascii="宋体" w:hAnsi="宋体" w:eastAsia="宋体" w:cs="宋体"/>
          <w:b/>
          <w:bCs/>
          <w:color w:val="auto"/>
          <w:sz w:val="22"/>
          <w:szCs w:val="22"/>
        </w:rPr>
      </w:pPr>
      <w:bookmarkStart w:id="72" w:name="_Toc152042315"/>
      <w:bookmarkStart w:id="73" w:name="_Toc144974507"/>
      <w:bookmarkStart w:id="74" w:name="_Toc332121723"/>
      <w:bookmarkStart w:id="75" w:name="_Toc152045539"/>
      <w:bookmarkStart w:id="76" w:name="_Toc21644"/>
      <w:bookmarkStart w:id="77" w:name="_Toc403513503"/>
      <w:bookmarkStart w:id="78" w:name="_Toc330213955"/>
      <w:r>
        <w:rPr>
          <w:rFonts w:hint="eastAsia" w:ascii="宋体" w:hAnsi="宋体" w:eastAsia="宋体" w:cs="宋体"/>
          <w:b/>
          <w:bCs/>
          <w:color w:val="auto"/>
          <w:sz w:val="22"/>
          <w:szCs w:val="22"/>
        </w:rPr>
        <w:t>1.9 踏勘现场</w:t>
      </w:r>
      <w:bookmarkEnd w:id="72"/>
      <w:bookmarkEnd w:id="73"/>
      <w:bookmarkEnd w:id="74"/>
      <w:bookmarkEnd w:id="75"/>
      <w:bookmarkEnd w:id="76"/>
      <w:bookmarkEnd w:id="77"/>
      <w:bookmarkEnd w:id="78"/>
    </w:p>
    <w:p w14:paraId="698E6BCC">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1.9.1 供应商须知前附表规定组织踏勘现场的，采购人按供应商须知前附表规定的时间、地点组织供应商踏勘项目现场。供应商须知前附表未规定组织踏勘现场的，由供应商根据自身实际情况自行踏勘项目现场。</w:t>
      </w:r>
    </w:p>
    <w:p w14:paraId="1B3388CE">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1.9.2 供应商踏勘现场发生的费用自理。</w:t>
      </w:r>
    </w:p>
    <w:p w14:paraId="23953BD3">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1.9.3 除采购人的原因外，供应商自行负责在踏勘现场中所发生的人员伤亡和财产损失。</w:t>
      </w:r>
    </w:p>
    <w:p w14:paraId="2D7E6D66">
      <w:pPr>
        <w:snapToGrid w:val="0"/>
        <w:spacing w:before="62" w:beforeLines="20"/>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1.9.4供应商应充分了解项目及其它任何足以影响投标和报价的情况，任何因忽视或误解项目情况而导致的费用索赔申请不获批准。</w:t>
      </w:r>
    </w:p>
    <w:p w14:paraId="1FB3184F">
      <w:pPr>
        <w:pStyle w:val="4"/>
        <w:rPr>
          <w:rFonts w:hint="eastAsia" w:ascii="宋体" w:hAnsi="宋体" w:eastAsia="宋体" w:cs="宋体"/>
          <w:color w:val="auto"/>
          <w:sz w:val="28"/>
          <w:szCs w:val="22"/>
        </w:rPr>
      </w:pPr>
      <w:bookmarkStart w:id="79" w:name="_Toc152045542"/>
      <w:bookmarkStart w:id="80" w:name="_Toc144974510"/>
      <w:bookmarkStart w:id="81" w:name="_Toc152042318"/>
      <w:bookmarkStart w:id="82" w:name="_Toc4796"/>
      <w:bookmarkStart w:id="83" w:name="_Toc17184"/>
      <w:bookmarkStart w:id="84" w:name="_Toc518821211"/>
      <w:bookmarkStart w:id="85" w:name="_Toc18603"/>
      <w:r>
        <w:rPr>
          <w:rFonts w:hint="eastAsia" w:ascii="宋体" w:hAnsi="宋体" w:eastAsia="宋体" w:cs="宋体"/>
          <w:color w:val="auto"/>
          <w:sz w:val="28"/>
          <w:szCs w:val="22"/>
        </w:rPr>
        <w:t xml:space="preserve">2. </w:t>
      </w:r>
      <w:bookmarkEnd w:id="79"/>
      <w:bookmarkEnd w:id="80"/>
      <w:bookmarkEnd w:id="81"/>
      <w:r>
        <w:rPr>
          <w:rFonts w:hint="eastAsia" w:ascii="宋体" w:hAnsi="宋体" w:eastAsia="宋体" w:cs="宋体"/>
          <w:color w:val="auto"/>
          <w:sz w:val="28"/>
          <w:szCs w:val="22"/>
        </w:rPr>
        <w:t>竞争性磋商文件</w:t>
      </w:r>
      <w:bookmarkEnd w:id="82"/>
      <w:bookmarkEnd w:id="83"/>
      <w:bookmarkEnd w:id="84"/>
      <w:bookmarkEnd w:id="85"/>
    </w:p>
    <w:p w14:paraId="06BC3B89">
      <w:pPr>
        <w:rPr>
          <w:rFonts w:hint="eastAsia" w:ascii="宋体" w:hAnsi="宋体" w:eastAsia="宋体" w:cs="宋体"/>
          <w:b/>
          <w:bCs/>
          <w:color w:val="auto"/>
          <w:sz w:val="22"/>
          <w:szCs w:val="22"/>
        </w:rPr>
      </w:pPr>
      <w:bookmarkStart w:id="86" w:name="_Toc332121727"/>
      <w:bookmarkStart w:id="87" w:name="_Toc152045543"/>
      <w:bookmarkStart w:id="88" w:name="_Toc403513506"/>
      <w:bookmarkStart w:id="89" w:name="_Toc152042319"/>
      <w:bookmarkStart w:id="90" w:name="_Toc330213959"/>
      <w:bookmarkStart w:id="91" w:name="_Toc144974511"/>
      <w:r>
        <w:rPr>
          <w:rFonts w:hint="eastAsia" w:ascii="宋体" w:hAnsi="宋体" w:eastAsia="宋体" w:cs="宋体"/>
          <w:b/>
          <w:bCs/>
          <w:color w:val="auto"/>
          <w:sz w:val="22"/>
          <w:szCs w:val="22"/>
        </w:rPr>
        <w:t>2.1 竞争性磋商文件的组成</w:t>
      </w:r>
      <w:bookmarkEnd w:id="86"/>
      <w:bookmarkEnd w:id="87"/>
      <w:bookmarkEnd w:id="88"/>
      <w:bookmarkEnd w:id="89"/>
      <w:bookmarkEnd w:id="90"/>
      <w:bookmarkEnd w:id="91"/>
    </w:p>
    <w:p w14:paraId="678F6253">
      <w:pPr>
        <w:rPr>
          <w:rFonts w:hint="eastAsia" w:ascii="宋体" w:hAnsi="宋体" w:eastAsia="宋体" w:cs="宋体"/>
          <w:color w:val="auto"/>
          <w:sz w:val="22"/>
          <w:szCs w:val="22"/>
        </w:rPr>
      </w:pPr>
      <w:r>
        <w:rPr>
          <w:rFonts w:hint="eastAsia" w:ascii="宋体" w:hAnsi="宋体" w:eastAsia="宋体" w:cs="宋体"/>
          <w:color w:val="auto"/>
          <w:sz w:val="22"/>
          <w:szCs w:val="22"/>
        </w:rPr>
        <w:t>　　本竞争性磋商文件包括：</w:t>
      </w:r>
    </w:p>
    <w:p w14:paraId="24DFDB24">
      <w:pPr>
        <w:rPr>
          <w:rFonts w:hint="eastAsia" w:ascii="宋体" w:hAnsi="宋体" w:eastAsia="宋体" w:cs="宋体"/>
          <w:color w:val="auto"/>
          <w:sz w:val="22"/>
          <w:szCs w:val="22"/>
        </w:rPr>
      </w:pPr>
      <w:r>
        <w:rPr>
          <w:rFonts w:hint="eastAsia" w:ascii="宋体" w:hAnsi="宋体" w:eastAsia="宋体" w:cs="宋体"/>
          <w:color w:val="auto"/>
          <w:sz w:val="22"/>
          <w:szCs w:val="22"/>
        </w:rPr>
        <w:t>（1）竞争性磋商公告；</w:t>
      </w:r>
    </w:p>
    <w:p w14:paraId="6485DDD7">
      <w:pPr>
        <w:rPr>
          <w:rFonts w:hint="eastAsia" w:ascii="宋体" w:hAnsi="宋体" w:eastAsia="宋体" w:cs="宋体"/>
          <w:color w:val="auto"/>
          <w:sz w:val="22"/>
          <w:szCs w:val="22"/>
        </w:rPr>
      </w:pPr>
      <w:r>
        <w:rPr>
          <w:rFonts w:hint="eastAsia" w:ascii="宋体" w:hAnsi="宋体" w:eastAsia="宋体" w:cs="宋体"/>
          <w:color w:val="auto"/>
          <w:sz w:val="22"/>
          <w:szCs w:val="22"/>
        </w:rPr>
        <w:t>（2）供应商须知；</w:t>
      </w:r>
    </w:p>
    <w:p w14:paraId="3D06F5FD">
      <w:pPr>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B5807C2">
      <w:pPr>
        <w:rPr>
          <w:rFonts w:hint="eastAsia" w:ascii="宋体" w:hAnsi="宋体" w:eastAsia="宋体" w:cs="宋体"/>
          <w:color w:val="auto"/>
          <w:sz w:val="22"/>
          <w:szCs w:val="22"/>
        </w:rPr>
      </w:pPr>
      <w:r>
        <w:rPr>
          <w:rFonts w:hint="eastAsia" w:ascii="宋体" w:hAnsi="宋体" w:eastAsia="宋体" w:cs="宋体"/>
          <w:color w:val="auto"/>
          <w:sz w:val="22"/>
          <w:szCs w:val="22"/>
        </w:rPr>
        <w:t>（4）合同条款及格式（仅供参考）；</w:t>
      </w:r>
    </w:p>
    <w:p w14:paraId="29BE2F7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（5）采购需求； </w:t>
      </w:r>
    </w:p>
    <w:p w14:paraId="2D80A530">
      <w:pPr>
        <w:rPr>
          <w:rFonts w:hint="eastAsia" w:ascii="宋体" w:hAnsi="宋体" w:eastAsia="宋体" w:cs="宋体"/>
          <w:color w:val="auto"/>
          <w:sz w:val="22"/>
          <w:szCs w:val="22"/>
        </w:rPr>
      </w:pPr>
      <w:r>
        <w:rPr>
          <w:rFonts w:hint="eastAsia" w:ascii="宋体" w:hAnsi="宋体" w:eastAsia="宋体" w:cs="宋体"/>
          <w:color w:val="auto"/>
          <w:sz w:val="22"/>
          <w:szCs w:val="22"/>
        </w:rPr>
        <w:t>（6）磋商响应文件参考格式。</w:t>
      </w:r>
    </w:p>
    <w:p w14:paraId="4E11668E">
      <w:pPr>
        <w:rPr>
          <w:rFonts w:hint="eastAsia" w:ascii="宋体" w:hAnsi="宋体" w:eastAsia="宋体" w:cs="宋体"/>
          <w:color w:val="auto"/>
          <w:sz w:val="22"/>
          <w:szCs w:val="22"/>
        </w:rPr>
      </w:pPr>
      <w:r>
        <w:rPr>
          <w:rFonts w:hint="eastAsia" w:ascii="宋体" w:hAnsi="宋体" w:eastAsia="宋体" w:cs="宋体"/>
          <w:color w:val="auto"/>
          <w:sz w:val="22"/>
          <w:szCs w:val="22"/>
        </w:rPr>
        <w:t>根据本章第2.2款和第2.3款对竞争性磋商文件所作的澄清、修改，构成竞争性磋商文件的组成部分。</w:t>
      </w:r>
    </w:p>
    <w:p w14:paraId="227921C6">
      <w:pPr>
        <w:rPr>
          <w:rFonts w:hint="eastAsia" w:ascii="宋体" w:hAnsi="宋体" w:eastAsia="宋体" w:cs="宋体"/>
          <w:b/>
          <w:bCs/>
          <w:color w:val="auto"/>
          <w:sz w:val="22"/>
          <w:szCs w:val="22"/>
        </w:rPr>
      </w:pPr>
      <w:bookmarkStart w:id="92" w:name="_Toc144974512"/>
      <w:bookmarkStart w:id="93" w:name="_Toc152045544"/>
      <w:bookmarkStart w:id="94" w:name="_Toc403513507"/>
      <w:bookmarkStart w:id="95" w:name="_Toc152042320"/>
      <w:bookmarkStart w:id="96" w:name="_Toc332121728"/>
      <w:bookmarkStart w:id="97" w:name="_Toc330213960"/>
      <w:r>
        <w:rPr>
          <w:rFonts w:hint="eastAsia" w:ascii="宋体" w:hAnsi="宋体" w:eastAsia="宋体" w:cs="宋体"/>
          <w:b/>
          <w:bCs/>
          <w:color w:val="auto"/>
          <w:sz w:val="22"/>
          <w:szCs w:val="22"/>
        </w:rPr>
        <w:t>2.2 竞争性磋商文件的澄清</w:t>
      </w:r>
      <w:bookmarkEnd w:id="92"/>
      <w:bookmarkEnd w:id="93"/>
      <w:bookmarkEnd w:id="94"/>
      <w:bookmarkEnd w:id="95"/>
      <w:bookmarkEnd w:id="96"/>
      <w:bookmarkEnd w:id="97"/>
    </w:p>
    <w:p w14:paraId="219A46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2.2.1供应商应仔细阅读和检查竞争性磋商文件的全部内容。如发现缺页或附件不全，应及时向采购代理机构提出，以便补齐。如有疑问，应在供应商须知前附表规定的时间前以书面形式（包括信函、传真等可以有形地表现所载内容的形式，下同），要求采购代理机构对竞争性磋商文件予以澄清。</w:t>
      </w:r>
    </w:p>
    <w:p w14:paraId="59978AB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2.2.2供应商提出问题的截止时间按供应商须知前附表规定的磋商响应文件递交截止时间5天前以书面形式向采购人或采购代理机构提出；供应商要求澄清竞争性磋商文件的将在供应商须知前附表规定的磋商响应文件递交截止时间3天前以书面形式发给所有购买竞争性磋商文件的供应商，发给所有购买竞争性磋商文件的供应商，但不指明澄清问题的来源。如果澄清发出的时间距磋商响应文件递交截止时间不足3天，相应延长磋商截止时间。</w:t>
      </w:r>
    </w:p>
    <w:p w14:paraId="4DD18D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2.2.3 供应商在收到澄清后，应在供应商须知前附表规定的时间内以书面形式通知采购人，确认已收到该澄清。</w:t>
      </w:r>
    </w:p>
    <w:p w14:paraId="1CDF7E72">
      <w:pPr>
        <w:rPr>
          <w:rFonts w:hint="eastAsia" w:ascii="宋体" w:hAnsi="宋体" w:eastAsia="宋体" w:cs="宋体"/>
          <w:b/>
          <w:bCs/>
          <w:color w:val="auto"/>
          <w:sz w:val="22"/>
          <w:szCs w:val="22"/>
        </w:rPr>
      </w:pPr>
      <w:bookmarkStart w:id="98" w:name="_Toc152042321"/>
      <w:bookmarkStart w:id="99" w:name="_Toc332121729"/>
      <w:bookmarkStart w:id="100" w:name="_Toc403513508"/>
      <w:bookmarkStart w:id="101" w:name="_Toc152045545"/>
      <w:bookmarkStart w:id="102" w:name="_Toc330213961"/>
      <w:bookmarkStart w:id="103" w:name="_Toc144974513"/>
      <w:r>
        <w:rPr>
          <w:rFonts w:hint="eastAsia" w:ascii="宋体" w:hAnsi="宋体" w:eastAsia="宋体" w:cs="宋体"/>
          <w:b/>
          <w:bCs/>
          <w:color w:val="auto"/>
          <w:sz w:val="22"/>
          <w:szCs w:val="22"/>
        </w:rPr>
        <w:t>2.3 竞争性磋商文件的修改</w:t>
      </w:r>
      <w:bookmarkEnd w:id="98"/>
      <w:bookmarkEnd w:id="99"/>
      <w:bookmarkEnd w:id="100"/>
      <w:bookmarkEnd w:id="101"/>
      <w:bookmarkEnd w:id="102"/>
      <w:bookmarkEnd w:id="103"/>
    </w:p>
    <w:p w14:paraId="1FB291B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2.3.1 在磋商截止时间5天前，采购人可以书面形式修改竞争性磋商文件，并通知所有已购买竞争性磋商文件的供应商。如果修改竞争性磋商文件的时间距磋商截止时间不足5天，相应延长磋商截止时间。 </w:t>
      </w:r>
    </w:p>
    <w:p w14:paraId="33E9412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2.3.2 供应商收到修改内容后，应在供应商须知前附表规定的时间内以书面形式通知采购人，确认已收到该修改。</w:t>
      </w:r>
    </w:p>
    <w:p w14:paraId="21DBB140">
      <w:pPr>
        <w:pStyle w:val="4"/>
        <w:rPr>
          <w:rFonts w:hint="eastAsia" w:ascii="宋体" w:hAnsi="宋体" w:eastAsia="宋体" w:cs="宋体"/>
          <w:color w:val="auto"/>
          <w:sz w:val="22"/>
          <w:szCs w:val="22"/>
        </w:rPr>
      </w:pPr>
      <w:bookmarkStart w:id="104" w:name="_Toc152042322"/>
      <w:bookmarkStart w:id="105" w:name="_Toc152045546"/>
      <w:bookmarkStart w:id="106" w:name="_Toc20240"/>
      <w:bookmarkStart w:id="107" w:name="_Toc518821212"/>
      <w:bookmarkStart w:id="108" w:name="_Toc144974514"/>
      <w:bookmarkStart w:id="109" w:name="_Toc15719"/>
      <w:bookmarkStart w:id="110" w:name="_Toc28774"/>
      <w:r>
        <w:rPr>
          <w:rFonts w:hint="eastAsia" w:ascii="宋体" w:hAnsi="宋体" w:eastAsia="宋体" w:cs="宋体"/>
          <w:color w:val="auto"/>
          <w:sz w:val="22"/>
          <w:szCs w:val="22"/>
        </w:rPr>
        <w:t>3. 磋商</w:t>
      </w:r>
      <w:bookmarkEnd w:id="104"/>
      <w:bookmarkEnd w:id="105"/>
      <w:bookmarkEnd w:id="106"/>
      <w:bookmarkEnd w:id="107"/>
      <w:bookmarkEnd w:id="108"/>
      <w:r>
        <w:rPr>
          <w:rFonts w:hint="eastAsia" w:ascii="宋体" w:hAnsi="宋体" w:eastAsia="宋体" w:cs="宋体"/>
          <w:color w:val="auto"/>
          <w:sz w:val="22"/>
          <w:szCs w:val="22"/>
        </w:rPr>
        <w:t>报价</w:t>
      </w:r>
      <w:bookmarkEnd w:id="109"/>
      <w:bookmarkEnd w:id="110"/>
    </w:p>
    <w:p w14:paraId="43228DC7">
      <w:pPr>
        <w:rPr>
          <w:rFonts w:hint="eastAsia" w:ascii="宋体" w:hAnsi="宋体" w:eastAsia="宋体" w:cs="宋体"/>
          <w:color w:val="auto"/>
          <w:sz w:val="22"/>
          <w:szCs w:val="22"/>
        </w:rPr>
      </w:pPr>
      <w:r>
        <w:rPr>
          <w:rFonts w:hint="eastAsia" w:ascii="宋体" w:hAnsi="宋体" w:eastAsia="宋体" w:cs="宋体"/>
          <w:b/>
          <w:bCs/>
          <w:color w:val="auto"/>
          <w:sz w:val="22"/>
          <w:szCs w:val="22"/>
        </w:rPr>
        <w:t>3.1磋商货币</w:t>
      </w:r>
      <w:r>
        <w:rPr>
          <w:rFonts w:hint="eastAsia" w:ascii="宋体" w:hAnsi="宋体" w:eastAsia="宋体" w:cs="宋体"/>
          <w:color w:val="auto"/>
          <w:sz w:val="22"/>
          <w:szCs w:val="22"/>
        </w:rPr>
        <w:t>：人民币；单位：元。</w:t>
      </w:r>
    </w:p>
    <w:p w14:paraId="089A712A">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3.2磋商报价</w:t>
      </w:r>
    </w:p>
    <w:p w14:paraId="27EB165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应按“磋商一览表”的内容和格式要求填写磋商报价。磋商报价中不得包含竞争性磋商文件要求以外的内容，否则，在磋商时不予核减。磋商报价应包括完成采购需求中所列的全部工作内容及合同实施过程中的应预见和不可预见的费用等完成合同规定责任和义务、达到合同目的的一切费用。</w:t>
      </w:r>
    </w:p>
    <w:p w14:paraId="3D1C392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3.2.3凡本竞争性磋商文件要求（或允许）及供应商认为需要进行磋商的各项费用项目（不论是否要求进入磋商），若磋商时未报或未在竞争性磋商文件中予以说明，采购人将认为这些费用已计取，并包含在总报价中（项目内容、项目量调整除外）。</w:t>
      </w:r>
    </w:p>
    <w:p w14:paraId="386DF6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3.2.4 凡因供应商对竞争性磋商文件阅读不深、理解不透、误解、疏漏或因市场行情了解不清造成的后果和风险均由供应商自负。</w:t>
      </w:r>
    </w:p>
    <w:p w14:paraId="5AF96EE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3.2.5磋商报价不能超出采购预算，超出采购预算按无效磋商对待，每轮报价不得高于上一轮报价，本次报价高于上次报价，视为无效报价。</w:t>
      </w:r>
    </w:p>
    <w:p w14:paraId="6BE53470">
      <w:pPr>
        <w:rPr>
          <w:rFonts w:hint="eastAsia" w:ascii="宋体" w:hAnsi="宋体" w:eastAsia="宋体" w:cs="宋体"/>
          <w:b/>
          <w:bCs/>
          <w:color w:val="auto"/>
          <w:sz w:val="22"/>
          <w:szCs w:val="22"/>
        </w:rPr>
      </w:pPr>
      <w:bookmarkStart w:id="111" w:name="_Toc144974517"/>
      <w:bookmarkStart w:id="112" w:name="_Toc330213965"/>
      <w:bookmarkStart w:id="113" w:name="_Toc152042325"/>
      <w:bookmarkStart w:id="114" w:name="_Toc152045549"/>
      <w:bookmarkStart w:id="115" w:name="_Toc403513512"/>
      <w:bookmarkStart w:id="116" w:name="_Toc332121733"/>
      <w:r>
        <w:rPr>
          <w:rFonts w:hint="eastAsia" w:ascii="宋体" w:hAnsi="宋体" w:eastAsia="宋体" w:cs="宋体"/>
          <w:b/>
          <w:bCs/>
          <w:color w:val="auto"/>
          <w:sz w:val="22"/>
          <w:szCs w:val="22"/>
        </w:rPr>
        <w:t>3.3 磋商有效期</w:t>
      </w:r>
      <w:bookmarkEnd w:id="111"/>
      <w:bookmarkEnd w:id="112"/>
      <w:bookmarkEnd w:id="113"/>
      <w:bookmarkEnd w:id="114"/>
      <w:bookmarkEnd w:id="115"/>
      <w:bookmarkEnd w:id="116"/>
    </w:p>
    <w:p w14:paraId="019FDD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3.3.1 在供应商须知前附表规定的磋商有效期内，供应商不得要求撤销或修改其磋商响应文件。</w:t>
      </w:r>
    </w:p>
    <w:p w14:paraId="276F25F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3.3.2出现特殊情况需要延长磋商有效期的，采购人以书面形式通知所有供应商延长磋商有效期。供应商同意延长的，应相应延长其磋商保证金的有效期，但不得要求或被允许修改或撤销其磋商响应文件；供应商拒绝延长的，其磋商失效，但供应商有权收回其磋商保证金。 </w:t>
      </w:r>
    </w:p>
    <w:p w14:paraId="6E24D7E3">
      <w:pPr>
        <w:rPr>
          <w:rFonts w:hint="eastAsia" w:ascii="宋体" w:hAnsi="宋体" w:eastAsia="宋体" w:cs="宋体"/>
          <w:b/>
          <w:bCs/>
          <w:color w:val="auto"/>
          <w:sz w:val="22"/>
          <w:szCs w:val="22"/>
        </w:rPr>
      </w:pPr>
      <w:bookmarkStart w:id="117" w:name="_Toc152042326"/>
      <w:bookmarkStart w:id="118" w:name="_Toc330213966"/>
      <w:bookmarkStart w:id="119" w:name="_Toc403513513"/>
      <w:bookmarkStart w:id="120" w:name="_Toc152045550"/>
      <w:bookmarkStart w:id="121" w:name="_Toc332121734"/>
      <w:bookmarkStart w:id="122" w:name="_Toc144974518"/>
      <w:r>
        <w:rPr>
          <w:rFonts w:hint="eastAsia" w:ascii="宋体" w:hAnsi="宋体" w:eastAsia="宋体" w:cs="宋体"/>
          <w:b/>
          <w:bCs/>
          <w:color w:val="auto"/>
          <w:sz w:val="22"/>
          <w:szCs w:val="22"/>
        </w:rPr>
        <w:t>3.4 磋商保证金</w:t>
      </w:r>
      <w:bookmarkEnd w:id="117"/>
      <w:bookmarkEnd w:id="118"/>
      <w:bookmarkEnd w:id="119"/>
      <w:bookmarkEnd w:id="120"/>
      <w:bookmarkEnd w:id="121"/>
      <w:bookmarkEnd w:id="122"/>
    </w:p>
    <w:p w14:paraId="6CD9D6A9">
      <w:pPr>
        <w:ind w:firstLine="440" w:firstLineChars="200"/>
        <w:rPr>
          <w:rFonts w:hint="eastAsia" w:ascii="宋体" w:hAnsi="宋体" w:eastAsia="宋体" w:cs="宋体"/>
          <w:color w:val="auto"/>
          <w:sz w:val="22"/>
          <w:szCs w:val="22"/>
          <w:lang w:val="en-US" w:eastAsia="zh-CN"/>
        </w:rPr>
      </w:pPr>
      <w:bookmarkStart w:id="123" w:name="_Toc330213967"/>
      <w:bookmarkStart w:id="124" w:name="_Toc144974520"/>
      <w:bookmarkStart w:id="125" w:name="_Toc403513514"/>
      <w:bookmarkStart w:id="126" w:name="_Toc332121735"/>
      <w:bookmarkStart w:id="127" w:name="_Toc152045552"/>
      <w:bookmarkStart w:id="128" w:name="_Toc152042328"/>
      <w:r>
        <w:rPr>
          <w:rFonts w:hint="eastAsia" w:ascii="宋体" w:hAnsi="宋体" w:eastAsia="宋体" w:cs="宋体"/>
          <w:color w:val="auto"/>
          <w:sz w:val="22"/>
          <w:szCs w:val="22"/>
        </w:rPr>
        <w:t xml:space="preserve">3.4.1 </w:t>
      </w:r>
      <w:r>
        <w:rPr>
          <w:rFonts w:hint="eastAsia" w:ascii="宋体" w:hAnsi="宋体" w:eastAsia="宋体" w:cs="宋体"/>
          <w:color w:val="auto"/>
          <w:sz w:val="22"/>
          <w:szCs w:val="22"/>
          <w:lang w:val="en-US" w:eastAsia="zh-CN"/>
        </w:rPr>
        <w:t>本项目实施以“供应商信用承诺书”代替保证金。</w:t>
      </w:r>
    </w:p>
    <w:p w14:paraId="28B7BD6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3.4.2成交供应商有下列情形之一的，采购机构将在项目财政主管部门备案；情节严重的，由财政部门将其列入不良行为纪录名单予以通报，在一至三年内禁止参加政府采购活动：</w:t>
      </w:r>
    </w:p>
    <w:p w14:paraId="34B34F5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3.4.2.1成交后无正当理由不与采购人签订合同的；</w:t>
      </w:r>
    </w:p>
    <w:p w14:paraId="6C0B035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3.4.2.2成交供应商将成交项目转让给他人，或者在磋商响应文件中未说明，且未经采购人同意，将成交项目分包给他人的；</w:t>
      </w:r>
    </w:p>
    <w:p w14:paraId="27AA89AD">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3.4.2.3成交供应商拒绝履行合同义务的。</w:t>
      </w:r>
    </w:p>
    <w:p w14:paraId="7FA06ECE">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3.5 资格审查资料</w:t>
      </w:r>
      <w:bookmarkEnd w:id="123"/>
      <w:bookmarkEnd w:id="124"/>
      <w:bookmarkEnd w:id="125"/>
      <w:bookmarkEnd w:id="126"/>
      <w:bookmarkEnd w:id="127"/>
      <w:bookmarkEnd w:id="128"/>
    </w:p>
    <w:p w14:paraId="3DAC33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详见竞争性磋商文件资格标准，并按其要求提供。</w:t>
      </w:r>
    </w:p>
    <w:p w14:paraId="0C18F468">
      <w:pPr>
        <w:rPr>
          <w:rFonts w:hint="eastAsia" w:ascii="宋体" w:hAnsi="宋体" w:eastAsia="宋体" w:cs="宋体"/>
          <w:b/>
          <w:bCs/>
          <w:color w:val="auto"/>
          <w:sz w:val="22"/>
          <w:szCs w:val="22"/>
        </w:rPr>
      </w:pPr>
      <w:bookmarkStart w:id="129" w:name="_Toc152045553"/>
      <w:bookmarkStart w:id="130" w:name="_Toc332121736"/>
      <w:bookmarkStart w:id="131" w:name="_Toc152042329"/>
      <w:bookmarkStart w:id="132" w:name="_Toc403513515"/>
      <w:bookmarkStart w:id="133" w:name="_Toc144974521"/>
      <w:bookmarkStart w:id="134" w:name="_Toc330213968"/>
      <w:r>
        <w:rPr>
          <w:rFonts w:hint="eastAsia" w:ascii="宋体" w:hAnsi="宋体" w:eastAsia="宋体" w:cs="宋体"/>
          <w:b/>
          <w:bCs/>
          <w:color w:val="auto"/>
          <w:sz w:val="22"/>
          <w:szCs w:val="22"/>
        </w:rPr>
        <w:t>3.6 备选磋商方案</w:t>
      </w:r>
      <w:bookmarkEnd w:id="129"/>
      <w:bookmarkEnd w:id="130"/>
      <w:bookmarkEnd w:id="131"/>
      <w:bookmarkEnd w:id="132"/>
      <w:bookmarkEnd w:id="133"/>
      <w:bookmarkEnd w:id="134"/>
    </w:p>
    <w:p w14:paraId="42CF482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除竞争性磋商文件另有规定外，供应商不得递交备选磋商方案。</w:t>
      </w:r>
    </w:p>
    <w:p w14:paraId="4A3E71AB">
      <w:pPr>
        <w:rPr>
          <w:rFonts w:hint="eastAsia" w:ascii="宋体" w:hAnsi="宋体" w:eastAsia="宋体" w:cs="宋体"/>
          <w:b/>
          <w:bCs/>
          <w:color w:val="auto"/>
          <w:sz w:val="22"/>
          <w:szCs w:val="22"/>
        </w:rPr>
      </w:pPr>
      <w:bookmarkStart w:id="135" w:name="_Toc330213969"/>
      <w:bookmarkStart w:id="136" w:name="_Toc403513516"/>
      <w:bookmarkStart w:id="137" w:name="_Toc144974522"/>
      <w:bookmarkStart w:id="138" w:name="_Toc332121737"/>
      <w:bookmarkStart w:id="139" w:name="_Toc152045554"/>
      <w:bookmarkStart w:id="140" w:name="_Toc152042330"/>
      <w:r>
        <w:rPr>
          <w:rFonts w:hint="eastAsia" w:ascii="宋体" w:hAnsi="宋体" w:eastAsia="宋体" w:cs="宋体"/>
          <w:b/>
          <w:bCs/>
          <w:color w:val="auto"/>
          <w:sz w:val="22"/>
          <w:szCs w:val="22"/>
        </w:rPr>
        <w:t>3.7 磋商响应文件的编制</w:t>
      </w:r>
      <w:bookmarkEnd w:id="135"/>
      <w:bookmarkEnd w:id="136"/>
      <w:bookmarkEnd w:id="137"/>
      <w:bookmarkEnd w:id="138"/>
      <w:bookmarkEnd w:id="139"/>
      <w:bookmarkEnd w:id="140"/>
    </w:p>
    <w:p w14:paraId="3101F99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3.7.1磋商响应文件应按第六章“竞争性磋商响应文件参考格式”进行编写，如有必要，可以增加附页，作为磋商响应文件的组成部分。其中，磋商函在满足竞争性磋商文件实质性要求的基础上，可以提出比竞争性磋商文件要求更有利于采购人的承诺。</w:t>
      </w:r>
    </w:p>
    <w:p w14:paraId="397DC9F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3.7.2 磋商响应文件应当对竞争性磋商文件有关合同履行期限（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）、磋商有效期、服务要求及标准和采购范围等实质性内容作出响应。</w:t>
      </w:r>
    </w:p>
    <w:p w14:paraId="65A09B0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3.7.3磋商响应文件的正本和副本均需打印或者使用不褪色的墨水笔书写，字迹应清晰易于辩认，</w:t>
      </w:r>
      <w:r>
        <w:rPr>
          <w:rFonts w:hint="eastAsia" w:ascii="宋体" w:hAnsi="宋体" w:eastAsia="宋体" w:cs="宋体"/>
          <w:color w:val="auto"/>
          <w:sz w:val="22"/>
          <w:szCs w:val="22"/>
          <w:lang w:val="en-US" w:eastAsia="zh-CN"/>
        </w:rPr>
        <w:t>按规定</w:t>
      </w:r>
      <w:r>
        <w:rPr>
          <w:rFonts w:hint="eastAsia" w:ascii="宋体" w:hAnsi="宋体" w:eastAsia="宋体" w:cs="宋体"/>
          <w:color w:val="auto"/>
          <w:sz w:val="22"/>
          <w:szCs w:val="22"/>
        </w:rPr>
        <w:t>并经其法定代表人或委托代理人签字或者盖章</w:t>
      </w:r>
      <w:r>
        <w:rPr>
          <w:rFonts w:hint="eastAsia" w:ascii="宋体" w:hAnsi="宋体" w:eastAsia="宋体" w:cs="宋体"/>
          <w:color w:val="auto"/>
          <w:sz w:val="22"/>
          <w:szCs w:val="22"/>
          <w:lang w:eastAsia="zh-CN"/>
        </w:rPr>
        <w:t>，</w:t>
      </w:r>
      <w:r>
        <w:rPr>
          <w:rFonts w:hint="eastAsia" w:ascii="宋体" w:hAnsi="宋体" w:eastAsia="宋体" w:cs="宋体"/>
          <w:b/>
          <w:bCs/>
          <w:color w:val="auto"/>
          <w:sz w:val="22"/>
          <w:szCs w:val="22"/>
          <w:lang w:val="en-US" w:eastAsia="zh-CN"/>
        </w:rPr>
        <w:t>逐页</w:t>
      </w:r>
      <w:r>
        <w:rPr>
          <w:rFonts w:hint="eastAsia" w:ascii="宋体" w:hAnsi="宋体" w:eastAsia="宋体" w:cs="宋体"/>
          <w:color w:val="auto"/>
          <w:sz w:val="22"/>
          <w:szCs w:val="22"/>
        </w:rPr>
        <w:t>加盖供应商</w:t>
      </w:r>
      <w:r>
        <w:rPr>
          <w:rFonts w:hint="eastAsia" w:ascii="宋体" w:hAnsi="宋体" w:eastAsia="宋体" w:cs="宋体"/>
          <w:color w:val="auto"/>
          <w:sz w:val="22"/>
          <w:szCs w:val="22"/>
          <w:lang w:val="en-US" w:eastAsia="zh-CN"/>
        </w:rPr>
        <w:t>鲜章</w:t>
      </w:r>
      <w:r>
        <w:rPr>
          <w:rFonts w:hint="eastAsia" w:ascii="宋体" w:hAnsi="宋体" w:eastAsia="宋体" w:cs="宋体"/>
          <w:color w:val="auto"/>
          <w:sz w:val="22"/>
          <w:szCs w:val="22"/>
        </w:rPr>
        <w:t xml:space="preserve">。委托代理人签字的，磋商响应文件应附法定代表人签署的授权委托书。磋商响应文件应尽量避免涂改、行间插字或删除。如果出现上述情况，改动之处应加盖单位章并由供应商的法定代表人或其授权的代理人签字确认。签字或盖章的具体要求见供应商须知前附表。 </w:t>
      </w:r>
    </w:p>
    <w:p w14:paraId="769084D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3.7.4 磋商响应文件要求见供应商须知前附表。正本和副本的封面上应清楚地标记“正本”或“副本”的字样。当副本和正本不一致时，以正本为准。统一胶装、编码，在每一页的正下方清楚标明页码</w:t>
      </w:r>
      <w:r>
        <w:rPr>
          <w:rFonts w:hint="eastAsia" w:ascii="宋体" w:hAnsi="宋体" w:eastAsia="宋体" w:cs="宋体"/>
          <w:color w:val="auto"/>
          <w:sz w:val="22"/>
          <w:szCs w:val="22"/>
          <w:lang w:eastAsia="zh-CN"/>
        </w:rPr>
        <w:t>，并逐页加盖企业原色印章。</w:t>
      </w:r>
    </w:p>
    <w:p w14:paraId="5C451467">
      <w:pPr>
        <w:rPr>
          <w:rFonts w:hint="eastAsia" w:ascii="宋体" w:hAnsi="宋体" w:eastAsia="宋体" w:cs="宋体"/>
          <w:b/>
          <w:bCs/>
          <w:color w:val="auto"/>
          <w:sz w:val="22"/>
          <w:szCs w:val="22"/>
        </w:rPr>
      </w:pPr>
      <w:bookmarkStart w:id="141" w:name="_Toc330213971"/>
      <w:bookmarkStart w:id="142" w:name="_Toc144974524"/>
      <w:bookmarkStart w:id="143" w:name="_Toc152042332"/>
      <w:bookmarkStart w:id="144" w:name="_Toc403513518"/>
      <w:bookmarkStart w:id="145" w:name="_Toc332121739"/>
      <w:bookmarkStart w:id="146" w:name="_Toc152045556"/>
      <w:r>
        <w:rPr>
          <w:rFonts w:hint="eastAsia" w:ascii="宋体" w:hAnsi="宋体" w:eastAsia="宋体" w:cs="宋体"/>
          <w:b/>
          <w:bCs/>
          <w:color w:val="auto"/>
          <w:sz w:val="22"/>
          <w:szCs w:val="22"/>
        </w:rPr>
        <w:t>3.8 磋商响应文件的密封和标记</w:t>
      </w:r>
      <w:bookmarkEnd w:id="141"/>
      <w:bookmarkEnd w:id="142"/>
      <w:bookmarkEnd w:id="143"/>
      <w:bookmarkEnd w:id="144"/>
      <w:bookmarkEnd w:id="145"/>
      <w:bookmarkEnd w:id="146"/>
    </w:p>
    <w:p w14:paraId="7C787C1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3.8.1磋商响应文件“资格证明部分”</w:t>
      </w:r>
      <w:r>
        <w:rPr>
          <w:rFonts w:hint="eastAsia" w:ascii="宋体" w:hAnsi="宋体" w:eastAsia="宋体" w:cs="宋体"/>
          <w:color w:val="auto"/>
          <w:sz w:val="22"/>
          <w:szCs w:val="22"/>
          <w:lang w:eastAsia="zh-CN"/>
        </w:rPr>
        <w:t>和</w:t>
      </w:r>
      <w:r>
        <w:rPr>
          <w:rFonts w:hint="eastAsia" w:ascii="宋体" w:hAnsi="宋体" w:eastAsia="宋体" w:cs="宋体"/>
          <w:color w:val="auto"/>
          <w:sz w:val="22"/>
          <w:szCs w:val="22"/>
        </w:rPr>
        <w:t>“磋商响应文件”分别密封，用单独的封袋封装密封（封袋不得有破损），将磋商响应文件的正副本封装于一个档案袋，资格证明装于一个档案袋内。在封袋上标明“资格证明部分”、“磋商响应文件”，封线处加盖磋商响应单位公章，封袋正面要粘贴标识。磋商响应文件电子版U盘</w:t>
      </w:r>
      <w:r>
        <w:rPr>
          <w:rFonts w:hint="eastAsia" w:ascii="宋体" w:hAnsi="宋体" w:eastAsia="宋体" w:cs="宋体"/>
          <w:color w:val="auto"/>
          <w:sz w:val="22"/>
          <w:szCs w:val="22"/>
          <w:lang w:eastAsia="zh-CN"/>
        </w:rPr>
        <w:t>一</w:t>
      </w:r>
      <w:r>
        <w:rPr>
          <w:rFonts w:hint="eastAsia" w:ascii="宋体" w:hAnsi="宋体" w:eastAsia="宋体" w:cs="宋体"/>
          <w:color w:val="auto"/>
          <w:sz w:val="22"/>
          <w:szCs w:val="22"/>
        </w:rPr>
        <w:t>份应单独密封，并在信封上注明“电子版”字样装入“磋商响应文件”密封袋内。</w:t>
      </w:r>
    </w:p>
    <w:p w14:paraId="03F1AEA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3.8.2 磋商响应文件的封套上应清楚地标记“资格证明部分”</w:t>
      </w:r>
      <w:r>
        <w:rPr>
          <w:rFonts w:hint="eastAsia" w:ascii="宋体" w:hAnsi="宋体" w:eastAsia="宋体" w:cs="宋体"/>
          <w:color w:val="auto"/>
          <w:sz w:val="22"/>
          <w:szCs w:val="22"/>
          <w:lang w:eastAsia="zh-CN"/>
        </w:rPr>
        <w:t>或</w:t>
      </w:r>
      <w:r>
        <w:rPr>
          <w:rFonts w:hint="eastAsia" w:ascii="宋体" w:hAnsi="宋体" w:eastAsia="宋体" w:cs="宋体"/>
          <w:color w:val="auto"/>
          <w:sz w:val="22"/>
          <w:szCs w:val="22"/>
        </w:rPr>
        <w:t>“磋商响应文件”字样，封套上应写明的其他内容见供应商须知前附表。</w:t>
      </w:r>
    </w:p>
    <w:p w14:paraId="6BCBBE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3.8.3 未按本章第3.8.1项或第3.8.2项要求密封和加写标记的磋商文件，采购人不予受理。</w:t>
      </w:r>
    </w:p>
    <w:p w14:paraId="45EFFA8D">
      <w:pPr>
        <w:rPr>
          <w:rFonts w:hint="eastAsia" w:ascii="宋体" w:hAnsi="宋体" w:eastAsia="宋体" w:cs="宋体"/>
          <w:b/>
          <w:bCs/>
          <w:color w:val="auto"/>
          <w:sz w:val="22"/>
          <w:szCs w:val="22"/>
        </w:rPr>
      </w:pPr>
      <w:bookmarkStart w:id="147" w:name="_Toc403513519"/>
      <w:bookmarkStart w:id="148" w:name="_Toc152045557"/>
      <w:bookmarkStart w:id="149" w:name="_Toc332121740"/>
      <w:bookmarkStart w:id="150" w:name="_Toc330213972"/>
      <w:bookmarkStart w:id="151" w:name="_Toc144974525"/>
      <w:bookmarkStart w:id="152" w:name="_Toc152042333"/>
      <w:r>
        <w:rPr>
          <w:rFonts w:hint="eastAsia" w:ascii="宋体" w:hAnsi="宋体" w:eastAsia="宋体" w:cs="宋体"/>
          <w:b/>
          <w:bCs/>
          <w:color w:val="auto"/>
          <w:sz w:val="22"/>
          <w:szCs w:val="22"/>
        </w:rPr>
        <w:t>3.9磋商响应文件的递交</w:t>
      </w:r>
      <w:bookmarkEnd w:id="147"/>
      <w:bookmarkEnd w:id="148"/>
      <w:bookmarkEnd w:id="149"/>
      <w:bookmarkEnd w:id="150"/>
      <w:bookmarkEnd w:id="151"/>
      <w:bookmarkEnd w:id="152"/>
    </w:p>
    <w:p w14:paraId="7CE4CD7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3.9.1 供应商应按供应商须知前附表规定的投标截止时间前递交磋商响应文件文件。</w:t>
      </w:r>
    </w:p>
    <w:p w14:paraId="31EF014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3.9.2 供应商递交磋商响应文件的地点：见供应商须知前附表。</w:t>
      </w:r>
    </w:p>
    <w:p w14:paraId="0D1B6CC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3.9.3 除供应商须知前附表另有规定外，供应商所递交的磋商响应文件不予退还。</w:t>
      </w:r>
    </w:p>
    <w:p w14:paraId="27E7AEF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3.9.4 逾期送达的或者未送达指定地点的磋商响应文件，采购人不予受理。</w:t>
      </w:r>
    </w:p>
    <w:p w14:paraId="7E136C97">
      <w:pPr>
        <w:rPr>
          <w:rFonts w:hint="eastAsia" w:ascii="宋体" w:hAnsi="宋体" w:eastAsia="宋体" w:cs="宋体"/>
          <w:b/>
          <w:bCs/>
          <w:color w:val="auto"/>
          <w:sz w:val="22"/>
          <w:szCs w:val="22"/>
        </w:rPr>
      </w:pPr>
      <w:bookmarkStart w:id="153" w:name="_Toc152042334"/>
      <w:bookmarkStart w:id="154" w:name="_Toc330213973"/>
      <w:bookmarkStart w:id="155" w:name="_Toc403513520"/>
      <w:bookmarkStart w:id="156" w:name="_Toc144974526"/>
      <w:bookmarkStart w:id="157" w:name="_Toc152045558"/>
      <w:bookmarkStart w:id="158" w:name="_Toc332121741"/>
      <w:r>
        <w:rPr>
          <w:rFonts w:hint="eastAsia" w:ascii="宋体" w:hAnsi="宋体" w:eastAsia="宋体" w:cs="宋体"/>
          <w:b/>
          <w:bCs/>
          <w:color w:val="auto"/>
          <w:sz w:val="22"/>
          <w:szCs w:val="22"/>
        </w:rPr>
        <w:t>3.10磋商响应文件的修改与撤回</w:t>
      </w:r>
      <w:bookmarkEnd w:id="153"/>
      <w:bookmarkEnd w:id="154"/>
      <w:bookmarkEnd w:id="155"/>
      <w:bookmarkEnd w:id="156"/>
      <w:bookmarkEnd w:id="157"/>
      <w:bookmarkEnd w:id="158"/>
    </w:p>
    <w:p w14:paraId="71BEBB0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3.10.1 在供应商须知前附表规定的磋商响应文件递交截止时间前，供应商可以修改或撤回已递交的磋商响应文件，但应以书面形式通知采购人。</w:t>
      </w:r>
    </w:p>
    <w:p w14:paraId="43ECFDB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3.10.2 修改的内容为磋商响应文件的组成部分。修改的磋商响应文件应按照本章第3条、第4条规定进行编制、密封、标记和递交，并标明“修改”字样。</w:t>
      </w:r>
    </w:p>
    <w:p w14:paraId="3597F8D1">
      <w:pPr>
        <w:pStyle w:val="4"/>
        <w:rPr>
          <w:rFonts w:hint="eastAsia" w:ascii="宋体" w:hAnsi="宋体" w:eastAsia="宋体" w:cs="宋体"/>
          <w:color w:val="auto"/>
          <w:sz w:val="22"/>
          <w:szCs w:val="22"/>
        </w:rPr>
      </w:pPr>
      <w:bookmarkStart w:id="159" w:name="_Toc152042335"/>
      <w:bookmarkStart w:id="160" w:name="_Toc144974527"/>
      <w:bookmarkStart w:id="161" w:name="_Toc152045559"/>
      <w:bookmarkStart w:id="162" w:name="_Toc7646"/>
      <w:bookmarkStart w:id="163" w:name="_Toc518821213"/>
      <w:bookmarkStart w:id="164" w:name="_Toc27168"/>
      <w:bookmarkStart w:id="165" w:name="_Toc19867"/>
      <w:r>
        <w:rPr>
          <w:rFonts w:hint="eastAsia" w:ascii="宋体" w:hAnsi="宋体" w:eastAsia="宋体" w:cs="宋体"/>
          <w:color w:val="auto"/>
          <w:sz w:val="22"/>
          <w:szCs w:val="22"/>
        </w:rPr>
        <w:t xml:space="preserve">4. </w:t>
      </w:r>
      <w:bookmarkEnd w:id="159"/>
      <w:bookmarkEnd w:id="160"/>
      <w:bookmarkEnd w:id="161"/>
      <w:r>
        <w:rPr>
          <w:rFonts w:hint="eastAsia" w:ascii="宋体" w:hAnsi="宋体" w:eastAsia="宋体" w:cs="宋体"/>
          <w:color w:val="auto"/>
          <w:sz w:val="22"/>
          <w:szCs w:val="22"/>
        </w:rPr>
        <w:t>磋商</w:t>
      </w:r>
      <w:bookmarkEnd w:id="162"/>
      <w:bookmarkEnd w:id="163"/>
      <w:bookmarkEnd w:id="164"/>
      <w:bookmarkEnd w:id="165"/>
    </w:p>
    <w:p w14:paraId="4A7E1F65">
      <w:pPr>
        <w:rPr>
          <w:rFonts w:hint="eastAsia" w:ascii="宋体" w:hAnsi="宋体" w:eastAsia="宋体" w:cs="宋体"/>
          <w:b/>
          <w:bCs/>
          <w:color w:val="auto"/>
          <w:sz w:val="22"/>
          <w:szCs w:val="22"/>
        </w:rPr>
      </w:pPr>
      <w:bookmarkStart w:id="166" w:name="_Toc403513522"/>
      <w:bookmarkStart w:id="167" w:name="_Toc144974528"/>
      <w:bookmarkStart w:id="168" w:name="_Toc330213975"/>
      <w:bookmarkStart w:id="169" w:name="_Toc152042336"/>
      <w:bookmarkStart w:id="170" w:name="_Toc332121743"/>
      <w:bookmarkStart w:id="171" w:name="_Toc152045560"/>
      <w:r>
        <w:rPr>
          <w:rFonts w:hint="eastAsia" w:ascii="宋体" w:hAnsi="宋体" w:eastAsia="宋体" w:cs="宋体"/>
          <w:b/>
          <w:bCs/>
          <w:color w:val="auto"/>
          <w:sz w:val="22"/>
          <w:szCs w:val="22"/>
        </w:rPr>
        <w:t>4.1 磋商时间和地点</w:t>
      </w:r>
      <w:bookmarkEnd w:id="166"/>
      <w:bookmarkEnd w:id="167"/>
      <w:bookmarkEnd w:id="168"/>
      <w:bookmarkEnd w:id="169"/>
      <w:bookmarkEnd w:id="170"/>
      <w:bookmarkEnd w:id="171"/>
    </w:p>
    <w:p w14:paraId="5BA236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采购人在供应商须知前附表规定的磋商响应文件递交截止时间（磋商时间）及地点磋商，并邀请所有供应商的法定代表人或其委托代理人准时参加。</w:t>
      </w:r>
    </w:p>
    <w:p w14:paraId="42136F08">
      <w:pPr>
        <w:rPr>
          <w:rFonts w:hint="eastAsia" w:ascii="宋体" w:hAnsi="宋体" w:eastAsia="宋体" w:cs="宋体"/>
          <w:b/>
          <w:bCs/>
          <w:color w:val="auto"/>
          <w:sz w:val="22"/>
          <w:szCs w:val="22"/>
        </w:rPr>
      </w:pPr>
      <w:bookmarkStart w:id="172" w:name="_Toc403513523"/>
      <w:bookmarkStart w:id="173" w:name="_Toc332121744"/>
      <w:bookmarkStart w:id="174" w:name="_Toc330213976"/>
      <w:bookmarkStart w:id="175" w:name="_Toc152042337"/>
      <w:bookmarkStart w:id="176" w:name="_Toc144974529"/>
      <w:bookmarkStart w:id="177" w:name="_Toc152045561"/>
      <w:r>
        <w:rPr>
          <w:rFonts w:hint="eastAsia" w:ascii="宋体" w:hAnsi="宋体" w:eastAsia="宋体" w:cs="宋体"/>
          <w:b/>
          <w:bCs/>
          <w:color w:val="auto"/>
          <w:sz w:val="22"/>
          <w:szCs w:val="22"/>
        </w:rPr>
        <w:t>4.2 磋商程序</w:t>
      </w:r>
      <w:bookmarkEnd w:id="172"/>
      <w:bookmarkEnd w:id="173"/>
      <w:bookmarkEnd w:id="174"/>
      <w:bookmarkEnd w:id="175"/>
      <w:bookmarkEnd w:id="176"/>
      <w:bookmarkEnd w:id="177"/>
    </w:p>
    <w:p w14:paraId="738085A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主持人按下列程序进行磋商会议：</w:t>
      </w:r>
    </w:p>
    <w:p w14:paraId="20BC9E1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（1）介绍与会各方人员；</w:t>
      </w:r>
    </w:p>
    <w:p w14:paraId="3A96570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（2）介绍供应商；</w:t>
      </w:r>
    </w:p>
    <w:p w14:paraId="3DB827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（3）宣读会议纪律；</w:t>
      </w:r>
    </w:p>
    <w:p w14:paraId="228B379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w:t>
      </w:r>
      <w:r>
        <w:rPr>
          <w:rFonts w:hint="eastAsia" w:ascii="宋体" w:hAnsi="宋体" w:eastAsia="宋体" w:cs="宋体"/>
          <w:color w:val="auto"/>
          <w:sz w:val="22"/>
          <w:szCs w:val="22"/>
          <w:lang w:val="en-US" w:eastAsia="zh-CN"/>
        </w:rPr>
        <w:t>由监标人按规定对投标供应商进行身份资格核验,</w:t>
      </w:r>
      <w:r>
        <w:rPr>
          <w:rFonts w:hint="eastAsia" w:ascii="宋体" w:hAnsi="宋体" w:eastAsia="宋体" w:cs="宋体"/>
          <w:color w:val="auto"/>
          <w:sz w:val="22"/>
          <w:szCs w:val="22"/>
        </w:rPr>
        <w:t>由供应商法定代表人或其委托代理人、监督人检查磋商响应文件的密封情况，并对密封情况书面确认</w:t>
      </w:r>
      <w:r>
        <w:rPr>
          <w:rFonts w:hint="eastAsia" w:ascii="宋体" w:hAnsi="宋体" w:eastAsia="宋体" w:cs="宋体"/>
          <w:color w:val="auto"/>
          <w:sz w:val="22"/>
          <w:szCs w:val="22"/>
          <w:lang w:eastAsia="zh-CN"/>
        </w:rPr>
        <w:t>，未通过密封性审查的按无效磋商响应文件处理，并退回供应商资质证明原件</w:t>
      </w:r>
      <w:r>
        <w:rPr>
          <w:rFonts w:hint="eastAsia" w:ascii="宋体" w:hAnsi="宋体" w:eastAsia="宋体" w:cs="宋体"/>
          <w:color w:val="auto"/>
          <w:sz w:val="22"/>
          <w:szCs w:val="22"/>
        </w:rPr>
        <w:t>；</w:t>
      </w:r>
    </w:p>
    <w:p w14:paraId="7DEA8540">
      <w:pPr>
        <w:ind w:firstLine="440" w:firstLineChars="200"/>
        <w:rPr>
          <w:rFonts w:hint="eastAsia" w:ascii="宋体" w:hAnsi="宋体" w:eastAsia="宋体" w:cs="宋体"/>
          <w:color w:val="auto"/>
          <w:sz w:val="22"/>
          <w:szCs w:val="22"/>
        </w:rPr>
      </w:pPr>
      <w:bookmarkStart w:id="178" w:name="_Toc152042338"/>
      <w:bookmarkStart w:id="179" w:name="_Toc144974530"/>
      <w:bookmarkStart w:id="180" w:name="_Toc152045562"/>
      <w:r>
        <w:rPr>
          <w:rFonts w:hint="eastAsia" w:ascii="宋体" w:hAnsi="宋体" w:eastAsia="宋体" w:cs="宋体"/>
          <w:color w:val="auto"/>
          <w:sz w:val="22"/>
          <w:szCs w:val="22"/>
        </w:rPr>
        <w:t>（5）经确认无误后，由采购代理机构工作人员依递交竞争性磋商响应文件的摆放顺序当众拆封，宣读各供应商名称。《政府采购法》第三十八条和关于印发《政府采购竞争性磋商采购方式管理暂行办法》的通知财库【2014】214号及《陕西省财政厅关于政府采购有关问题的通知》陕财办采资[2016]53号文件等规定，不在每轮磋商结束时公开供应商的报价。</w:t>
      </w:r>
    </w:p>
    <w:p w14:paraId="26B98B93">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（6）宣布开标会议结束，所有供应商离场。</w:t>
      </w:r>
    </w:p>
    <w:p w14:paraId="72B5679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（7）采购代理机构对磋商过程进行摄像、文字记录，并存档备查。</w:t>
      </w:r>
    </w:p>
    <w:bookmarkEnd w:id="178"/>
    <w:bookmarkEnd w:id="179"/>
    <w:bookmarkEnd w:id="180"/>
    <w:p w14:paraId="2552F411">
      <w:pPr>
        <w:rPr>
          <w:rFonts w:hint="eastAsia" w:ascii="宋体" w:hAnsi="宋体" w:eastAsia="宋体" w:cs="宋体"/>
          <w:b/>
          <w:bCs/>
          <w:color w:val="auto"/>
          <w:sz w:val="22"/>
          <w:szCs w:val="22"/>
        </w:rPr>
      </w:pPr>
      <w:bookmarkStart w:id="181" w:name="_Toc330213978"/>
      <w:bookmarkStart w:id="182" w:name="_Toc152042339"/>
      <w:bookmarkStart w:id="183" w:name="_Toc152045563"/>
      <w:bookmarkStart w:id="184" w:name="_Toc144974531"/>
      <w:bookmarkStart w:id="185" w:name="_Toc403513525"/>
      <w:bookmarkStart w:id="186" w:name="_Toc332121746"/>
      <w:r>
        <w:rPr>
          <w:rFonts w:hint="eastAsia" w:ascii="宋体" w:hAnsi="宋体" w:eastAsia="宋体" w:cs="宋体"/>
          <w:b/>
          <w:bCs/>
          <w:color w:val="auto"/>
          <w:sz w:val="22"/>
          <w:szCs w:val="22"/>
        </w:rPr>
        <w:t>4.</w:t>
      </w:r>
      <w:bookmarkEnd w:id="181"/>
      <w:bookmarkEnd w:id="182"/>
      <w:bookmarkEnd w:id="183"/>
      <w:bookmarkEnd w:id="184"/>
      <w:bookmarkEnd w:id="185"/>
      <w:bookmarkEnd w:id="186"/>
      <w:r>
        <w:rPr>
          <w:rFonts w:hint="eastAsia" w:ascii="宋体" w:hAnsi="宋体" w:eastAsia="宋体" w:cs="宋体"/>
          <w:b/>
          <w:bCs/>
          <w:color w:val="auto"/>
          <w:sz w:val="22"/>
          <w:szCs w:val="22"/>
        </w:rPr>
        <w:t>3磋商小组</w:t>
      </w:r>
    </w:p>
    <w:p w14:paraId="59355F54">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4.3.1采购代理机构根据《中华人民共和国政府采购法》、《中华人民共和国政府采购法实施条例》和“财政部第87号部长令”的规定 --《政府采购货物和服务招标投标管理办法》和关于印发《政府采购竞争性磋商采购方式管理暂行办法》的通知财库【2014】214号等规定，依法组建磋商小组。磋商小组由采购人代表和评审专家共3人以上单数组成。其中评审专家人数不得少于成员总数的三分之二，采购人代表须持有授权书。磋商小组按照磋商文件规定的评审方法独立进行评审工作。</w:t>
      </w:r>
    </w:p>
    <w:p w14:paraId="1B7D75D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4.3.2 磋商小组成员有下列情形之一的，应当回避：</w:t>
      </w:r>
    </w:p>
    <w:p w14:paraId="7DA98784">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（1）采购人或供应商的主要负责人的近亲属；</w:t>
      </w:r>
    </w:p>
    <w:p w14:paraId="665EA46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（2）项目主管部门或者行政监督部门的人员；</w:t>
      </w:r>
    </w:p>
    <w:p w14:paraId="5D605592">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（3）与供应商有经济利益关系，可能影响对磋商公正评审的；</w:t>
      </w:r>
    </w:p>
    <w:p w14:paraId="623BF186">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（4）曾因在招标、磋商以及其他与招标投标有关活动中从事违法行为而受过行政处罚或刑事处罚的。</w:t>
      </w:r>
    </w:p>
    <w:p w14:paraId="77D60AD3">
      <w:pPr>
        <w:pStyle w:val="4"/>
        <w:rPr>
          <w:rFonts w:hint="eastAsia" w:ascii="宋体" w:hAnsi="宋体" w:eastAsia="宋体" w:cs="宋体"/>
          <w:color w:val="auto"/>
          <w:sz w:val="22"/>
          <w:szCs w:val="22"/>
        </w:rPr>
      </w:pPr>
      <w:bookmarkStart w:id="187" w:name="_Toc6994"/>
      <w:bookmarkStart w:id="188" w:name="_Toc330213979"/>
      <w:bookmarkStart w:id="189" w:name="_Toc152042340"/>
      <w:bookmarkStart w:id="190" w:name="_Toc144974532"/>
      <w:bookmarkStart w:id="191" w:name="_Toc403513526"/>
      <w:bookmarkStart w:id="192" w:name="_Toc152045564"/>
      <w:bookmarkStart w:id="193" w:name="_Toc518821214"/>
      <w:bookmarkStart w:id="194" w:name="_Toc332121747"/>
      <w:bookmarkStart w:id="195" w:name="_Toc7415"/>
      <w:bookmarkStart w:id="196" w:name="_Toc21673"/>
      <w:r>
        <w:rPr>
          <w:rFonts w:hint="eastAsia" w:ascii="宋体" w:hAnsi="宋体" w:eastAsia="宋体" w:cs="宋体"/>
          <w:color w:val="auto"/>
          <w:sz w:val="22"/>
          <w:szCs w:val="22"/>
        </w:rPr>
        <w:t xml:space="preserve">5. </w:t>
      </w:r>
      <w:bookmarkEnd w:id="187"/>
      <w:bookmarkEnd w:id="188"/>
      <w:bookmarkEnd w:id="189"/>
      <w:bookmarkEnd w:id="190"/>
      <w:bookmarkEnd w:id="191"/>
      <w:bookmarkEnd w:id="192"/>
      <w:bookmarkEnd w:id="193"/>
      <w:bookmarkEnd w:id="194"/>
      <w:r>
        <w:rPr>
          <w:rFonts w:hint="eastAsia" w:ascii="宋体" w:hAnsi="宋体" w:eastAsia="宋体" w:cs="宋体"/>
          <w:color w:val="auto"/>
          <w:sz w:val="22"/>
          <w:szCs w:val="22"/>
        </w:rPr>
        <w:t>评审</w:t>
      </w:r>
      <w:bookmarkEnd w:id="195"/>
      <w:bookmarkEnd w:id="196"/>
    </w:p>
    <w:p w14:paraId="56C6F1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磋商活动遵循公平、公正、科学和择优的原则。</w:t>
      </w:r>
    </w:p>
    <w:p w14:paraId="0B763A3D">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5.1 竞争性磋商响应文件的审核</w:t>
      </w:r>
    </w:p>
    <w:p w14:paraId="54298B2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5.1.1竞争性磋商响应文件的资格性审查：</w:t>
      </w:r>
      <w:r>
        <w:rPr>
          <w:rFonts w:hint="eastAsia" w:ascii="宋体" w:hAnsi="宋体" w:eastAsia="宋体" w:cs="宋体"/>
          <w:color w:val="auto"/>
          <w:sz w:val="22"/>
          <w:szCs w:val="22"/>
          <w:lang w:eastAsia="zh-CN"/>
        </w:rPr>
        <w:t>采购人代表</w:t>
      </w:r>
      <w:r>
        <w:rPr>
          <w:rFonts w:hint="eastAsia" w:ascii="宋体" w:hAnsi="宋体" w:eastAsia="宋体" w:cs="宋体"/>
          <w:color w:val="auto"/>
          <w:sz w:val="22"/>
          <w:szCs w:val="22"/>
        </w:rPr>
        <w:t>依据法律法规和竞争性磋商文件的规定，对竞争性磋商的资格证明等进行审查，审查内容为</w:t>
      </w:r>
      <w:r>
        <w:rPr>
          <w:rFonts w:hint="eastAsia" w:ascii="宋体" w:hAnsi="宋体" w:eastAsia="宋体" w:cs="宋体"/>
          <w:color w:val="auto"/>
          <w:sz w:val="22"/>
          <w:szCs w:val="22"/>
          <w:lang w:eastAsia="zh-CN"/>
        </w:rPr>
        <w:t>详见评审办法</w:t>
      </w:r>
      <w:r>
        <w:rPr>
          <w:rFonts w:hint="eastAsia" w:ascii="宋体" w:hAnsi="宋体" w:eastAsia="宋体" w:cs="宋体"/>
          <w:color w:val="auto"/>
          <w:sz w:val="22"/>
          <w:szCs w:val="22"/>
        </w:rPr>
        <w:t>的供应商资格条件。</w:t>
      </w:r>
    </w:p>
    <w:p w14:paraId="18D3103E">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竞争性磋商响应文件符合性审查：依据竞争性磋商文件的规定，从竞争性磋商响应文件的有效性、完整性和对竞争性磋商响应文件的响应程度进行审查，以确定是否对竞争性磋商文件的实质性内容作出响应。其内容包括并不局限以下部分：</w:t>
      </w:r>
    </w:p>
    <w:p w14:paraId="7C385848">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5.1.2.1合同履行期限（</w:t>
      </w:r>
      <w:r>
        <w:rPr>
          <w:rFonts w:hint="eastAsia" w:ascii="宋体" w:hAnsi="宋体" w:eastAsia="宋体" w:cs="宋体"/>
          <w:color w:val="auto"/>
          <w:sz w:val="22"/>
          <w:szCs w:val="22"/>
          <w:lang w:eastAsia="zh-CN"/>
        </w:rPr>
        <w:t>工期</w:t>
      </w:r>
      <w:r>
        <w:rPr>
          <w:rFonts w:hint="eastAsia" w:ascii="宋体" w:hAnsi="宋体" w:eastAsia="宋体" w:cs="宋体"/>
          <w:color w:val="auto"/>
          <w:sz w:val="22"/>
          <w:szCs w:val="22"/>
        </w:rPr>
        <w:t>）是否完全响应；</w:t>
      </w:r>
    </w:p>
    <w:p w14:paraId="155D3999">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5.1.2.2付款方式是否完全响应；</w:t>
      </w:r>
    </w:p>
    <w:p w14:paraId="5019E6F3">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5.1.2.3竞争性磋商响应文件的数量是否合格；</w:t>
      </w:r>
    </w:p>
    <w:p w14:paraId="2C2CAB6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5.1.2.4竞争性磋商响应文件有效期是否合格；</w:t>
      </w:r>
    </w:p>
    <w:p w14:paraId="54D22877">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5.1.2.5竞争性磋商响应文件的签字盖章是否合格；</w:t>
      </w:r>
    </w:p>
    <w:p w14:paraId="46642AB5">
      <w:pPr>
        <w:rPr>
          <w:rFonts w:hint="eastAsia" w:ascii="宋体" w:hAnsi="宋体" w:eastAsia="宋体" w:cs="宋体"/>
          <w:color w:val="auto"/>
          <w:sz w:val="22"/>
          <w:szCs w:val="22"/>
        </w:rPr>
      </w:pPr>
      <w:r>
        <w:rPr>
          <w:rFonts w:hint="eastAsia" w:ascii="宋体" w:hAnsi="宋体" w:eastAsia="宋体" w:cs="宋体"/>
          <w:color w:val="auto"/>
          <w:sz w:val="22"/>
          <w:szCs w:val="22"/>
        </w:rPr>
        <w:t xml:space="preserve">    5.1.2.6竞争性磋商文件规定的其他要求。</w:t>
      </w:r>
    </w:p>
    <w:p w14:paraId="0B65CFA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5.1.3竞争性磋商响应文件详细审查：磋商小组按照第三章“评审办法”规定的方法、评审因素、标准和程序对磋商文件进行评审。第三章“评审办法”没有规定的方法、评审因素和标准，不作为评审依据。</w:t>
      </w:r>
    </w:p>
    <w:p w14:paraId="52A9E56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5.2 磋商方式</w:t>
      </w:r>
    </w:p>
    <w:p w14:paraId="2C0A4C6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5.2.1采取</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对</w:t>
      </w:r>
      <w:r>
        <w:rPr>
          <w:rFonts w:hint="eastAsia" w:ascii="宋体" w:hAnsi="宋体" w:eastAsia="宋体" w:cs="宋体"/>
          <w:color w:val="auto"/>
          <w:sz w:val="22"/>
          <w:szCs w:val="22"/>
          <w:lang w:eastAsia="zh-CN"/>
        </w:rPr>
        <w:t>面</w:t>
      </w:r>
      <w:r>
        <w:rPr>
          <w:rFonts w:hint="eastAsia" w:ascii="宋体" w:hAnsi="宋体" w:eastAsia="宋体" w:cs="宋体"/>
          <w:color w:val="auto"/>
          <w:sz w:val="22"/>
          <w:szCs w:val="22"/>
        </w:rPr>
        <w:t>的磋商采购方式。即磋商小组所有成员集中与各供应商分别进行一对一、面对面的磋商。第一次报价（磋商响应文件的报价）---分别磋商---第二次报价---综合评审推荐成交候选人。</w:t>
      </w:r>
    </w:p>
    <w:p w14:paraId="4D734CE8">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5.2.2通过资质审查、磋商、澄清及承诺等程序且实质性响应磋商文件（资质、商务、技术）的各供应商，才有再次报价的机会。磋商小组按其最终承诺和报价内容，进行综合评比并排序。</w:t>
      </w:r>
    </w:p>
    <w:p w14:paraId="6C991CB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5.2.3磋商过程中，磋商小组可以根据磋商情况调整磋商轮次。磋商小组经采购人代表确认后，可以根据磋商情况实质性变动采购需求中的技术、服务要求以及合同草案条款，并将变更的内容及时以书面形式通知所有参加磋商的供应商，变动通知为本次磋商文件的有效组成部分。</w:t>
      </w:r>
    </w:p>
    <w:p w14:paraId="09419E9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5.2.4磋商过程中，供应商可以根据磋商情况变更其响应文件，并将变更内容形成书面材料送磋商小组。变更内容应作为响应文件的一部分。</w:t>
      </w:r>
    </w:p>
    <w:p w14:paraId="3B728B5E">
      <w:pPr>
        <w:rPr>
          <w:rFonts w:hint="eastAsia" w:ascii="宋体" w:hAnsi="宋体" w:eastAsia="宋体" w:cs="宋体"/>
          <w:color w:val="auto"/>
          <w:sz w:val="22"/>
          <w:szCs w:val="22"/>
        </w:rPr>
      </w:pPr>
      <w:r>
        <w:rPr>
          <w:rFonts w:hint="eastAsia" w:ascii="宋体" w:hAnsi="宋体" w:eastAsia="宋体" w:cs="宋体"/>
          <w:color w:val="auto"/>
          <w:sz w:val="22"/>
          <w:szCs w:val="22"/>
        </w:rPr>
        <w:t>供应商书面材料应当签字确认，否则无效。供应商为法人的，应当由其法定代表人或者代理人签字确认。</w:t>
      </w:r>
    </w:p>
    <w:p w14:paraId="01AFBF1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5.2.5磋商达到供应商响应文件符合采购需求、质量和服务相等的前提下，磋商小组应要求供应商进行最后报价。供应商响应文件满足或者高于磋商文件规定的采购项目最低要求时，即视同供应商响应文件符合采购需求、质量和服务相等。</w:t>
      </w:r>
    </w:p>
    <w:p w14:paraId="42D68B6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5.2.6供应商进行最后报价，应当在磋商室外填写报价单，单独递交，由采购人方监督代表收齐后集中递交磋商小组。相关工作人员不能拆封供应商最后报价单。</w:t>
      </w:r>
    </w:p>
    <w:p w14:paraId="76C6909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供应商报价单应当由法定代表人或者其代理人签字确认，否则无效。</w:t>
      </w:r>
    </w:p>
    <w:p w14:paraId="4BFE14A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本项目不保证最低价成交。</w:t>
      </w:r>
    </w:p>
    <w:p w14:paraId="3F42953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5.3竞争性磋商响应文件的比较与评价</w:t>
      </w:r>
    </w:p>
    <w:p w14:paraId="52E9E5C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5.3.1磋商小组在评标过程中，发现竞争性磋商响应文件出现下列情况之一者，按以下原则修正：</w:t>
      </w:r>
    </w:p>
    <w:p w14:paraId="3BD207C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（1）磋商一览表内容与竞争性磋商响应文件中内容不一致的，以磋商一览表为准；</w:t>
      </w:r>
    </w:p>
    <w:p w14:paraId="1FD8F836">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（2）大写金额和小写金额不一致的，以大写金额为准；</w:t>
      </w:r>
    </w:p>
    <w:p w14:paraId="3EA3DE0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（3）总价金额与按单价汇总金额不一致的，以单价金额计算结果为准；</w:t>
      </w:r>
    </w:p>
    <w:p w14:paraId="4ED4178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（4）单价金额小数点有明显错位的，应以总价为准，并修改单价；</w:t>
      </w:r>
    </w:p>
    <w:p w14:paraId="09A4840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（5）对不同文字文本竞争性磋商响应文件的解释发生异议的，以中文文本为准；</w:t>
      </w:r>
    </w:p>
    <w:p w14:paraId="4F58160E">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（6）文字与图表不一致的，以文字为准；</w:t>
      </w:r>
    </w:p>
    <w:p w14:paraId="686BE72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（7）正本与副本不一致的，以正本为准。</w:t>
      </w:r>
    </w:p>
    <w:p w14:paraId="2B03903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磋商小组将按上述修正方法调整竞争性磋商响应文件中的相关内容，调整后的内容应对供应商具有约束力。如果供应商不接受修正后的内容，则其磋商将被拒绝，其磋商保证金将被没收。</w:t>
      </w:r>
    </w:p>
    <w:p w14:paraId="41B1B248">
      <w:pPr>
        <w:pStyle w:val="4"/>
        <w:rPr>
          <w:rFonts w:hint="eastAsia" w:ascii="宋体" w:hAnsi="宋体" w:eastAsia="宋体" w:cs="宋体"/>
          <w:color w:val="auto"/>
          <w:sz w:val="22"/>
          <w:szCs w:val="22"/>
        </w:rPr>
      </w:pPr>
      <w:bookmarkStart w:id="197" w:name="_Toc27224"/>
      <w:bookmarkStart w:id="198" w:name="_Toc518821215"/>
      <w:bookmarkStart w:id="199" w:name="_Toc144974534"/>
      <w:bookmarkStart w:id="200" w:name="_Toc152042342"/>
      <w:bookmarkStart w:id="201" w:name="_Toc152045566"/>
      <w:bookmarkStart w:id="202" w:name="_Toc11038"/>
      <w:bookmarkStart w:id="203" w:name="_Toc30298"/>
      <w:r>
        <w:rPr>
          <w:rFonts w:hint="eastAsia" w:ascii="宋体" w:hAnsi="宋体" w:eastAsia="宋体" w:cs="宋体"/>
          <w:color w:val="auto"/>
          <w:sz w:val="22"/>
          <w:szCs w:val="22"/>
        </w:rPr>
        <w:t>6. 合同授予</w:t>
      </w:r>
      <w:bookmarkEnd w:id="197"/>
      <w:bookmarkEnd w:id="198"/>
      <w:bookmarkEnd w:id="199"/>
      <w:bookmarkEnd w:id="200"/>
      <w:bookmarkEnd w:id="201"/>
      <w:bookmarkEnd w:id="202"/>
      <w:bookmarkEnd w:id="203"/>
    </w:p>
    <w:p w14:paraId="5653B724">
      <w:pPr>
        <w:rPr>
          <w:rFonts w:hint="eastAsia" w:ascii="宋体" w:hAnsi="宋体" w:eastAsia="宋体" w:cs="宋体"/>
          <w:b/>
          <w:bCs/>
          <w:color w:val="auto"/>
          <w:sz w:val="22"/>
          <w:szCs w:val="22"/>
        </w:rPr>
      </w:pPr>
      <w:bookmarkStart w:id="204" w:name="_Toc403513529"/>
      <w:bookmarkStart w:id="205" w:name="_Toc330213982"/>
      <w:bookmarkStart w:id="206" w:name="_Toc332121750"/>
      <w:bookmarkStart w:id="207" w:name="_Toc152042343"/>
      <w:bookmarkStart w:id="208" w:name="_Toc152045567"/>
      <w:bookmarkStart w:id="209" w:name="_Toc144974535"/>
      <w:bookmarkStart w:id="210" w:name="_Toc152045568"/>
      <w:bookmarkStart w:id="211" w:name="_Toc152042344"/>
      <w:bookmarkStart w:id="212" w:name="_Toc144974536"/>
      <w:r>
        <w:rPr>
          <w:rFonts w:hint="eastAsia" w:ascii="宋体" w:hAnsi="宋体" w:eastAsia="宋体" w:cs="宋体"/>
          <w:b/>
          <w:bCs/>
          <w:color w:val="auto"/>
          <w:sz w:val="22"/>
          <w:szCs w:val="22"/>
        </w:rPr>
        <w:t>6.1 定标方式</w:t>
      </w:r>
      <w:bookmarkEnd w:id="204"/>
      <w:bookmarkEnd w:id="205"/>
      <w:bookmarkEnd w:id="206"/>
      <w:bookmarkEnd w:id="207"/>
      <w:bookmarkEnd w:id="208"/>
      <w:bookmarkEnd w:id="209"/>
    </w:p>
    <w:p w14:paraId="57553102">
      <w:pPr>
        <w:ind w:firstLine="440" w:firstLineChars="200"/>
        <w:rPr>
          <w:rFonts w:hint="eastAsia" w:ascii="宋体" w:hAnsi="宋体" w:eastAsia="宋体" w:cs="宋体"/>
          <w:color w:val="auto"/>
          <w:sz w:val="22"/>
          <w:szCs w:val="22"/>
        </w:rPr>
      </w:pPr>
      <w:bookmarkStart w:id="213" w:name="_Toc403513531"/>
      <w:bookmarkStart w:id="214" w:name="_Toc330213984"/>
      <w:bookmarkStart w:id="215" w:name="_Toc332121752"/>
      <w:r>
        <w:rPr>
          <w:rFonts w:hint="eastAsia" w:ascii="宋体" w:hAnsi="宋体" w:eastAsia="宋体" w:cs="宋体"/>
          <w:color w:val="auto"/>
          <w:sz w:val="22"/>
          <w:szCs w:val="22"/>
        </w:rPr>
        <w:t>6.1.1磋商小组依据磋商文件的要求，对供应商进行认真评审。经过评审、磋商、澄清、最后报价等程序后，从响应文件满足磋商文件全部实质性要求的的供应商中，按照评审得分由高到低顺序的顺序推荐3名以上成交候选供应商，并编写磋商评审报告。</w:t>
      </w:r>
    </w:p>
    <w:p w14:paraId="6168023A">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6.1.2采购人在收到磋商评审报告5个工作日内，根据磋商小组提交的磋商评审报告和推荐的成交候选人，按照排序由高到低的原则确定成交供应商；采购人逾期未确定成交供应商且不提出异议的，视为确定磋商评审报告推荐的排名第一的供应商为成交供应商。</w:t>
      </w:r>
    </w:p>
    <w:p w14:paraId="75D431E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6.1.3采购代理机构接到采购人的《成交复函》后，将成交结果在陕西省政府采购网上发布公告，公示期：1个工作日，并同时向成交供应商发出成交通知书。其他供应商若对成交结果质疑的，按《政府采购法》第52条及《政府采购质疑与投诉（94号令）》执行。</w:t>
      </w:r>
    </w:p>
    <w:p w14:paraId="5B9F971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6.1.4成交供应商确定后，采购人和采购代理机构对未成交原因不作任何解释，竞争性磋商响应文件不予退还（含纸质及电子版文件）。</w:t>
      </w:r>
    </w:p>
    <w:bookmarkEnd w:id="210"/>
    <w:bookmarkEnd w:id="211"/>
    <w:bookmarkEnd w:id="212"/>
    <w:bookmarkEnd w:id="213"/>
    <w:bookmarkEnd w:id="214"/>
    <w:bookmarkEnd w:id="215"/>
    <w:p w14:paraId="30B894B6">
      <w:pPr>
        <w:rPr>
          <w:rFonts w:hint="eastAsia" w:ascii="宋体" w:hAnsi="宋体" w:eastAsia="宋体" w:cs="宋体"/>
          <w:b/>
          <w:bCs/>
          <w:color w:val="auto"/>
          <w:sz w:val="22"/>
          <w:szCs w:val="22"/>
        </w:rPr>
      </w:pPr>
      <w:bookmarkStart w:id="216" w:name="_Toc332121754"/>
      <w:bookmarkStart w:id="217" w:name="_Toc152042346"/>
      <w:bookmarkStart w:id="218" w:name="_Toc144974538"/>
      <w:bookmarkStart w:id="219" w:name="_Toc403513533"/>
      <w:bookmarkStart w:id="220" w:name="_Toc152045570"/>
      <w:bookmarkStart w:id="221" w:name="_Toc330213986"/>
      <w:r>
        <w:rPr>
          <w:rFonts w:hint="eastAsia" w:ascii="宋体" w:hAnsi="宋体" w:eastAsia="宋体" w:cs="宋体"/>
          <w:b/>
          <w:bCs/>
          <w:color w:val="auto"/>
          <w:sz w:val="22"/>
          <w:szCs w:val="22"/>
        </w:rPr>
        <w:t>6.2 签订合同</w:t>
      </w:r>
      <w:bookmarkEnd w:id="216"/>
      <w:bookmarkEnd w:id="217"/>
      <w:bookmarkEnd w:id="218"/>
      <w:bookmarkEnd w:id="219"/>
      <w:bookmarkEnd w:id="220"/>
      <w:bookmarkEnd w:id="221"/>
    </w:p>
    <w:p w14:paraId="1037F72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6.2.1采购人和成交供应商应当自成交通知书发出之日起</w:t>
      </w:r>
      <w:r>
        <w:rPr>
          <w:rFonts w:hint="eastAsia" w:ascii="宋体" w:hAnsi="宋体" w:eastAsia="宋体" w:cs="宋体"/>
          <w:color w:val="auto"/>
          <w:sz w:val="22"/>
          <w:szCs w:val="22"/>
          <w:lang w:val="en-US" w:eastAsia="zh-CN"/>
        </w:rPr>
        <w:t>10日</w:t>
      </w:r>
      <w:r>
        <w:rPr>
          <w:rFonts w:hint="eastAsia" w:ascii="宋体" w:hAnsi="宋体" w:eastAsia="宋体" w:cs="宋体"/>
          <w:color w:val="auto"/>
          <w:sz w:val="22"/>
          <w:szCs w:val="22"/>
        </w:rPr>
        <w:t xml:space="preserve">内，根据竞争性磋商文件和成交供应商的竞争性磋商响应文件订立书面合同。成交供应商无正当理由拒签合同的，采购人取消其成交资格，其磋商保证金不予退还；给采购人造成的损失超过磋商保证金数额的，成交供应商还应当对超过部分予以赔偿。 </w:t>
      </w:r>
    </w:p>
    <w:p w14:paraId="7DE32671">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 xml:space="preserve">6.2.2 发出成交通知书后，采购人无正当理由拒签合同的，采购人向成交供应商退还磋商保证金；给成交供应商造成损失的，还应当赔偿损失。 </w:t>
      </w:r>
    </w:p>
    <w:p w14:paraId="031DBB0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6.2.3成交供应商拒绝与采购人签订合同的，采购人可以按照评审报告推荐的成交或者成交供应商入围候选人名单排序，确定下一候选人为成交供应商，也可以重新开展政府采购活动。</w:t>
      </w:r>
    </w:p>
    <w:p w14:paraId="5F05A2DC">
      <w:pPr>
        <w:pStyle w:val="4"/>
        <w:numPr>
          <w:ilvl w:val="0"/>
          <w:numId w:val="3"/>
        </w:numPr>
        <w:rPr>
          <w:rFonts w:hint="eastAsia" w:ascii="宋体" w:hAnsi="宋体" w:eastAsia="宋体" w:cs="宋体"/>
          <w:color w:val="auto"/>
          <w:sz w:val="22"/>
          <w:szCs w:val="22"/>
        </w:rPr>
      </w:pPr>
      <w:bookmarkStart w:id="222" w:name="_Toc22582"/>
      <w:bookmarkStart w:id="223" w:name="_Toc152042350"/>
      <w:bookmarkStart w:id="224" w:name="_Toc518821216"/>
      <w:bookmarkStart w:id="225" w:name="_Toc152045574"/>
      <w:bookmarkStart w:id="226" w:name="_Toc32169"/>
      <w:bookmarkStart w:id="227" w:name="_Toc19950"/>
      <w:bookmarkStart w:id="228" w:name="_Toc144974542"/>
      <w:r>
        <w:rPr>
          <w:rFonts w:hint="eastAsia" w:ascii="宋体" w:hAnsi="宋体" w:eastAsia="宋体" w:cs="宋体"/>
          <w:color w:val="auto"/>
          <w:sz w:val="22"/>
          <w:szCs w:val="22"/>
        </w:rPr>
        <w:t>纪律和监督</w:t>
      </w:r>
      <w:bookmarkEnd w:id="222"/>
      <w:bookmarkEnd w:id="223"/>
      <w:bookmarkEnd w:id="224"/>
      <w:bookmarkEnd w:id="225"/>
      <w:bookmarkEnd w:id="226"/>
      <w:bookmarkEnd w:id="227"/>
      <w:bookmarkEnd w:id="228"/>
    </w:p>
    <w:p w14:paraId="3BB25549">
      <w:pPr>
        <w:rPr>
          <w:rFonts w:hint="eastAsia" w:ascii="宋体" w:hAnsi="宋体" w:eastAsia="宋体" w:cs="宋体"/>
          <w:b/>
          <w:bCs/>
          <w:color w:val="auto"/>
          <w:sz w:val="22"/>
          <w:szCs w:val="22"/>
        </w:rPr>
      </w:pPr>
      <w:bookmarkStart w:id="229" w:name="_Toc330213991"/>
      <w:bookmarkStart w:id="230" w:name="_Toc403513538"/>
      <w:bookmarkStart w:id="231" w:name="_Toc144974543"/>
      <w:bookmarkStart w:id="232" w:name="_Toc152045575"/>
      <w:bookmarkStart w:id="233" w:name="_Toc332121759"/>
      <w:bookmarkStart w:id="234" w:name="_Toc152042351"/>
      <w:r>
        <w:rPr>
          <w:rFonts w:hint="eastAsia" w:ascii="宋体" w:hAnsi="宋体" w:eastAsia="宋体" w:cs="宋体"/>
          <w:b/>
          <w:bCs/>
          <w:color w:val="auto"/>
          <w:sz w:val="22"/>
          <w:szCs w:val="22"/>
        </w:rPr>
        <w:t>7.1 对采购人的纪律要求</w:t>
      </w:r>
      <w:bookmarkEnd w:id="229"/>
      <w:bookmarkEnd w:id="230"/>
      <w:bookmarkEnd w:id="231"/>
      <w:bookmarkEnd w:id="232"/>
      <w:bookmarkEnd w:id="233"/>
      <w:bookmarkEnd w:id="234"/>
    </w:p>
    <w:p w14:paraId="11DC0E52">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采购人不得泄漏磋商活动中应当保密的情况和资料，不得与供应商串通损害国家利益、社会公共利益或者他人合法权益。</w:t>
      </w:r>
    </w:p>
    <w:p w14:paraId="3753BCEF">
      <w:pPr>
        <w:rPr>
          <w:rFonts w:hint="eastAsia" w:ascii="宋体" w:hAnsi="宋体" w:eastAsia="宋体" w:cs="宋体"/>
          <w:b/>
          <w:bCs/>
          <w:color w:val="auto"/>
          <w:sz w:val="22"/>
          <w:szCs w:val="22"/>
        </w:rPr>
      </w:pPr>
      <w:bookmarkStart w:id="235" w:name="_Toc152045576"/>
      <w:bookmarkStart w:id="236" w:name="_Toc403513539"/>
      <w:bookmarkStart w:id="237" w:name="_Toc144974544"/>
      <w:bookmarkStart w:id="238" w:name="_Toc152042352"/>
      <w:bookmarkStart w:id="239" w:name="_Toc330213992"/>
      <w:bookmarkStart w:id="240" w:name="_Toc332121760"/>
      <w:r>
        <w:rPr>
          <w:rFonts w:hint="eastAsia" w:ascii="宋体" w:hAnsi="宋体" w:eastAsia="宋体" w:cs="宋体"/>
          <w:b/>
          <w:bCs/>
          <w:color w:val="auto"/>
          <w:sz w:val="22"/>
          <w:szCs w:val="22"/>
        </w:rPr>
        <w:t>7.2 对供应商的纪律要求</w:t>
      </w:r>
      <w:bookmarkEnd w:id="235"/>
      <w:bookmarkEnd w:id="236"/>
      <w:bookmarkEnd w:id="237"/>
      <w:bookmarkEnd w:id="238"/>
      <w:bookmarkEnd w:id="239"/>
      <w:bookmarkEnd w:id="240"/>
    </w:p>
    <w:p w14:paraId="45DBBC8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供应商不得相互串通投标或者与采购人串通投标，不得向采购人或者磋商小组成员行贿谋取成交，不得以他人名义投标或者以其他方式弄虚作假骗取成交；供应商不得以任何方式干扰、影响评标工作。</w:t>
      </w:r>
    </w:p>
    <w:p w14:paraId="329D12F4">
      <w:pPr>
        <w:rPr>
          <w:rFonts w:hint="eastAsia" w:ascii="宋体" w:hAnsi="宋体" w:eastAsia="宋体" w:cs="宋体"/>
          <w:color w:val="auto"/>
          <w:sz w:val="22"/>
          <w:szCs w:val="22"/>
        </w:rPr>
      </w:pPr>
      <w:bookmarkStart w:id="241" w:name="_Toc152045577"/>
      <w:bookmarkStart w:id="242" w:name="_Toc144974545"/>
      <w:bookmarkStart w:id="243" w:name="_Toc152042353"/>
      <w:bookmarkStart w:id="244" w:name="_Toc332121761"/>
      <w:bookmarkStart w:id="245" w:name="_Toc330213993"/>
      <w:bookmarkStart w:id="246" w:name="_Toc403513540"/>
      <w:r>
        <w:rPr>
          <w:rFonts w:hint="eastAsia" w:ascii="宋体" w:hAnsi="宋体" w:eastAsia="宋体" w:cs="宋体"/>
          <w:b/>
          <w:bCs/>
          <w:color w:val="auto"/>
          <w:sz w:val="22"/>
          <w:szCs w:val="22"/>
        </w:rPr>
        <w:t>7.3 对磋商小组成员的纪律要求</w:t>
      </w:r>
      <w:bookmarkEnd w:id="241"/>
      <w:bookmarkEnd w:id="242"/>
      <w:bookmarkEnd w:id="243"/>
      <w:bookmarkEnd w:id="244"/>
      <w:bookmarkEnd w:id="245"/>
      <w:bookmarkEnd w:id="246"/>
    </w:p>
    <w:p w14:paraId="35971E6C">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磋商小组成员不得收受他人的财物或者其他好处，不得向他人透漏对竞争性磋商响应文件的评审和比较、成交候选人的推荐情况以及磋商有关的其他情况。在磋商活动中，磋商小组成员不得擅离职守，影响磋商程序正常进行，不得使用第三章“评审办法”没有规定的评审因素和标准进行评标。</w:t>
      </w:r>
    </w:p>
    <w:p w14:paraId="573C1BE4">
      <w:pPr>
        <w:rPr>
          <w:rFonts w:hint="eastAsia" w:ascii="宋体" w:hAnsi="宋体" w:eastAsia="宋体" w:cs="宋体"/>
          <w:b/>
          <w:bCs/>
          <w:color w:val="auto"/>
          <w:sz w:val="22"/>
          <w:szCs w:val="22"/>
        </w:rPr>
      </w:pPr>
      <w:bookmarkStart w:id="247" w:name="_Toc403513541"/>
      <w:bookmarkStart w:id="248" w:name="_Toc152042354"/>
      <w:bookmarkStart w:id="249" w:name="_Toc152045578"/>
      <w:bookmarkStart w:id="250" w:name="_Toc330213994"/>
      <w:bookmarkStart w:id="251" w:name="_Toc332121762"/>
      <w:bookmarkStart w:id="252" w:name="_Toc144974546"/>
      <w:r>
        <w:rPr>
          <w:rFonts w:hint="eastAsia" w:ascii="宋体" w:hAnsi="宋体" w:eastAsia="宋体" w:cs="宋体"/>
          <w:b/>
          <w:bCs/>
          <w:color w:val="auto"/>
          <w:sz w:val="22"/>
          <w:szCs w:val="22"/>
        </w:rPr>
        <w:t>7.4 对与磋商活动有关的工作人员的纪律要求</w:t>
      </w:r>
      <w:bookmarkEnd w:id="247"/>
      <w:bookmarkEnd w:id="248"/>
      <w:bookmarkEnd w:id="249"/>
      <w:bookmarkEnd w:id="250"/>
      <w:bookmarkEnd w:id="251"/>
    </w:p>
    <w:p w14:paraId="1EE2FFCE">
      <w:pPr>
        <w:ind w:firstLine="440" w:firstLineChars="200"/>
        <w:rPr>
          <w:rFonts w:hint="eastAsia" w:ascii="宋体" w:hAnsi="宋体" w:eastAsia="宋体" w:cs="宋体"/>
          <w:color w:val="auto"/>
          <w:sz w:val="22"/>
          <w:szCs w:val="22"/>
        </w:rPr>
      </w:pPr>
      <w:bookmarkStart w:id="253" w:name="_Toc13989"/>
      <w:bookmarkStart w:id="254" w:name="_Toc152042355"/>
      <w:r>
        <w:rPr>
          <w:rFonts w:hint="eastAsia" w:ascii="宋体" w:hAnsi="宋体" w:eastAsia="宋体" w:cs="宋体"/>
          <w:color w:val="auto"/>
          <w:sz w:val="22"/>
          <w:szCs w:val="22"/>
        </w:rPr>
        <w:t>与磋商活动有关的工作人员不得收受他人的财物或者其他好处，不得向他人透漏对竞争性磋商响应文件的评审和比较、成交候选人的推荐情况以及磋商有关的其他情况。在磋商活动中，与磋商活动有关的工作人员不得擅离职守，影响磋商程序正常进行。</w:t>
      </w:r>
      <w:bookmarkEnd w:id="252"/>
      <w:bookmarkEnd w:id="253"/>
      <w:bookmarkEnd w:id="254"/>
    </w:p>
    <w:p w14:paraId="52C76DA9">
      <w:pPr>
        <w:pStyle w:val="4"/>
        <w:rPr>
          <w:rFonts w:hint="eastAsia" w:ascii="宋体" w:hAnsi="宋体" w:eastAsia="宋体" w:cs="宋体"/>
          <w:color w:val="auto"/>
          <w:sz w:val="22"/>
          <w:szCs w:val="22"/>
        </w:rPr>
      </w:pPr>
      <w:bookmarkStart w:id="255" w:name="_Toc28388"/>
      <w:bookmarkStart w:id="256" w:name="_Toc518821217"/>
      <w:bookmarkStart w:id="257" w:name="_Toc13177"/>
      <w:bookmarkStart w:id="258" w:name="_Toc12744"/>
      <w:r>
        <w:rPr>
          <w:rFonts w:hint="eastAsia" w:ascii="宋体" w:hAnsi="宋体" w:eastAsia="宋体" w:cs="宋体"/>
          <w:color w:val="auto"/>
          <w:sz w:val="22"/>
          <w:szCs w:val="22"/>
        </w:rPr>
        <w:t>8. 采购代理服务费</w:t>
      </w:r>
      <w:bookmarkEnd w:id="255"/>
      <w:bookmarkEnd w:id="256"/>
      <w:bookmarkEnd w:id="257"/>
      <w:bookmarkEnd w:id="258"/>
    </w:p>
    <w:p w14:paraId="35855859">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8.1采购代理服务费的交纳方式：在领取成交通知书时以供应商须知前附表9.4款的规定，向采购代理机构交纳采购代理服务费。</w:t>
      </w:r>
    </w:p>
    <w:p w14:paraId="7BAC2E74">
      <w:pPr>
        <w:pStyle w:val="4"/>
        <w:rPr>
          <w:rFonts w:hint="eastAsia" w:ascii="宋体" w:hAnsi="宋体" w:eastAsia="宋体" w:cs="宋体"/>
          <w:color w:val="auto"/>
          <w:sz w:val="22"/>
          <w:szCs w:val="22"/>
        </w:rPr>
      </w:pPr>
      <w:bookmarkStart w:id="259" w:name="_Toc152042357"/>
      <w:bookmarkStart w:id="260" w:name="_Toc144974547"/>
      <w:bookmarkStart w:id="261" w:name="_Toc152045580"/>
      <w:bookmarkStart w:id="262" w:name="_Toc21006"/>
      <w:bookmarkStart w:id="263" w:name="_Toc15361"/>
      <w:bookmarkStart w:id="264" w:name="_Toc518821218"/>
      <w:bookmarkStart w:id="265" w:name="_Toc27125"/>
      <w:r>
        <w:rPr>
          <w:rFonts w:hint="eastAsia" w:ascii="宋体" w:hAnsi="宋体" w:eastAsia="宋体" w:cs="宋体"/>
          <w:color w:val="auto"/>
          <w:sz w:val="22"/>
          <w:szCs w:val="22"/>
        </w:rPr>
        <w:t>9.</w:t>
      </w:r>
      <w:bookmarkEnd w:id="259"/>
      <w:bookmarkEnd w:id="260"/>
      <w:bookmarkEnd w:id="261"/>
      <w:r>
        <w:rPr>
          <w:rFonts w:hint="eastAsia" w:ascii="宋体" w:hAnsi="宋体" w:eastAsia="宋体" w:cs="宋体"/>
          <w:color w:val="auto"/>
          <w:sz w:val="22"/>
          <w:szCs w:val="22"/>
        </w:rPr>
        <w:t xml:space="preserve"> 需要补充的其他内容</w:t>
      </w:r>
      <w:bookmarkEnd w:id="262"/>
      <w:bookmarkEnd w:id="263"/>
      <w:bookmarkEnd w:id="264"/>
      <w:bookmarkEnd w:id="265"/>
    </w:p>
    <w:p w14:paraId="391DFE90">
      <w:pPr>
        <w:rPr>
          <w:rFonts w:hint="eastAsia" w:ascii="宋体" w:hAnsi="宋体" w:eastAsia="宋体" w:cs="宋体"/>
          <w:b/>
          <w:bCs/>
          <w:color w:val="auto"/>
          <w:sz w:val="22"/>
          <w:szCs w:val="22"/>
        </w:rPr>
      </w:pPr>
      <w:r>
        <w:rPr>
          <w:rFonts w:hint="eastAsia" w:ascii="宋体" w:hAnsi="宋体" w:eastAsia="宋体" w:cs="宋体"/>
          <w:b/>
          <w:bCs/>
          <w:color w:val="auto"/>
          <w:sz w:val="22"/>
          <w:szCs w:val="22"/>
        </w:rPr>
        <w:t>9.1采购项目需要落实的政府采购政策</w:t>
      </w:r>
    </w:p>
    <w:p w14:paraId="3A7C24CE">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9.1.1</w:t>
      </w:r>
    </w:p>
    <w:p w14:paraId="08DEFDC1">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小型和微型企业报价给予扣除，用扣除后的价格参与评审排序，除此之外的其他情形均不适用本款规定。</w:t>
      </w:r>
    </w:p>
    <w:p w14:paraId="1534CFA2">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②中小企业参加政府采购活动，应当出具管理办法规定的《中小企业声明函》，否则不得享受相关中小企业扶持政策。</w:t>
      </w:r>
    </w:p>
    <w:p w14:paraId="0B911B1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③根据《关于进一步加大政府采购支持中小企业力度的通知》（财库〔2022〕19号）规定中、小、微企业参加投标时对小型和微型企业产品的价格给予 10%-20%的扣除，用扣除后的价格参与评审。</w:t>
      </w:r>
    </w:p>
    <w:p w14:paraId="613C81DA">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14:paraId="22EF14DD">
      <w:pPr>
        <w:ind w:firstLine="440" w:firstLineChars="200"/>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⑤中小企业（含中型、小型、微型企业），监狱企业、残疾人福利单位视同小型微型企业，享受预留份额、评审中价格扣除等促进中小企业发展的政府采购政策。向监狱企业、残疾人福利性单位采购的金额，计入面向中小企业采购的统计数据。残疾人福利性单位属于小型、微型企业的，不重复享受政策。</w:t>
      </w:r>
    </w:p>
    <w:p w14:paraId="43CDA472">
      <w:pPr>
        <w:ind w:firstLine="442" w:firstLineChars="200"/>
        <w:rPr>
          <w:rFonts w:hint="eastAsia" w:ascii="宋体" w:hAnsi="宋体" w:eastAsia="宋体" w:cs="宋体"/>
          <w:b/>
          <w:bCs/>
          <w:color w:val="auto"/>
          <w:sz w:val="22"/>
          <w:szCs w:val="22"/>
          <w:lang w:val="en-US" w:eastAsia="zh-CN"/>
        </w:rPr>
      </w:pPr>
      <w:r>
        <w:rPr>
          <w:rFonts w:hint="eastAsia" w:ascii="宋体" w:hAnsi="宋体" w:eastAsia="宋体" w:cs="宋体"/>
          <w:b/>
          <w:bCs/>
          <w:color w:val="auto"/>
          <w:sz w:val="22"/>
          <w:szCs w:val="22"/>
          <w:lang w:val="en-US" w:eastAsia="zh-CN"/>
        </w:rPr>
        <w:t>本次采购为专门面向中小企业采购项目，故不再执行价格评审优惠的扶持政策。</w:t>
      </w:r>
    </w:p>
    <w:p w14:paraId="59EA485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9.1.2</w:t>
      </w:r>
      <w:r>
        <w:rPr>
          <w:rFonts w:hint="eastAsia" w:ascii="宋体" w:hAnsi="宋体" w:eastAsia="宋体" w:cs="宋体"/>
          <w:color w:val="auto"/>
          <w:sz w:val="22"/>
          <w:szCs w:val="22"/>
        </w:rPr>
        <w:t>监狱企业应符合《财政部 司法部关于政府采购支持监狱企业发展有关问题的通知》--财库[2014]68号文件规定，并提供由省级以上监狱管理局、戒毒管理局(含新疆生产建设兵团)出具的属于监狱企业的证明文件复印件，监狱和戒毒企业视同小型、微型企业。</w:t>
      </w:r>
    </w:p>
    <w:p w14:paraId="1A32DE2B">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9.1.3</w:t>
      </w:r>
      <w:r>
        <w:rPr>
          <w:rFonts w:hint="eastAsia" w:ascii="宋体" w:hAnsi="宋体" w:eastAsia="宋体" w:cs="宋体"/>
          <w:color w:val="auto"/>
          <w:sz w:val="22"/>
          <w:szCs w:val="22"/>
        </w:rPr>
        <w:t>根据财政部、民政部、中国残疾人联合会下发的《关于促进残疾人就业政府采购政策的通知》（财库〔2017〕141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6FDB79A5">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参加政府采购活动的残疾人单位应提供《残疾人福利性单位声明函》原件。未提供上述材料的，不能享受谈判文件规定的价格扣除，但不影响响应文件的有效性。</w:t>
      </w:r>
    </w:p>
    <w:p w14:paraId="475FDB8D">
      <w:pPr>
        <w:rPr>
          <w:rFonts w:hint="eastAsia" w:ascii="宋体" w:hAnsi="宋体" w:eastAsia="宋体" w:cs="宋体"/>
          <w:color w:val="auto"/>
          <w:sz w:val="22"/>
          <w:szCs w:val="22"/>
        </w:rPr>
      </w:pPr>
      <w:r>
        <w:rPr>
          <w:rFonts w:hint="eastAsia" w:ascii="宋体" w:hAnsi="宋体" w:eastAsia="宋体" w:cs="宋体"/>
          <w:color w:val="auto"/>
          <w:sz w:val="22"/>
          <w:szCs w:val="22"/>
        </w:rPr>
        <w:br w:type="page"/>
      </w:r>
    </w:p>
    <w:p w14:paraId="2AD3E61D">
      <w:pPr>
        <w:pStyle w:val="3"/>
        <w:rPr>
          <w:rFonts w:hint="eastAsia" w:ascii="宋体" w:hAnsi="宋体" w:eastAsia="宋体" w:cs="宋体"/>
          <w:color w:val="auto"/>
          <w:sz w:val="40"/>
          <w:szCs w:val="28"/>
          <w:highlight w:val="none"/>
        </w:rPr>
      </w:pPr>
      <w:bookmarkStart w:id="266" w:name="_Toc8218"/>
      <w:bookmarkStart w:id="267" w:name="_Toc27586"/>
      <w:bookmarkStart w:id="268" w:name="_Toc4918"/>
      <w:bookmarkStart w:id="269" w:name="_Toc27897"/>
      <w:bookmarkStart w:id="270" w:name="_Toc16176"/>
      <w:bookmarkStart w:id="271" w:name="_Toc6438"/>
      <w:bookmarkStart w:id="272" w:name="_Toc12174"/>
      <w:r>
        <w:rPr>
          <w:rFonts w:hint="eastAsia" w:ascii="宋体" w:hAnsi="宋体" w:eastAsia="宋体" w:cs="宋体"/>
          <w:color w:val="auto"/>
          <w:sz w:val="40"/>
          <w:szCs w:val="28"/>
          <w:highlight w:val="none"/>
        </w:rPr>
        <w:t>第三章  评审办法</w:t>
      </w:r>
      <w:bookmarkEnd w:id="266"/>
      <w:bookmarkEnd w:id="267"/>
      <w:bookmarkEnd w:id="268"/>
      <w:bookmarkEnd w:id="269"/>
    </w:p>
    <w:p w14:paraId="0CE751E0">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1、本项目采用综合评分法进行评审，总分为100分，具体评分方法如下：</w:t>
      </w:r>
    </w:p>
    <w:p w14:paraId="055C2157">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2、综合评分法：即在最大限度地满足竞争性磋商文件实质性要求前提下，按照竞争性磋商文件中规定的各项因素和相应的权重分值进行综合评审后，以总得分最高的供应商作为成交候选供应商并依次排序（最低报价不是成交的唯一标准）。</w:t>
      </w:r>
    </w:p>
    <w:p w14:paraId="75A85FAF">
      <w:pPr>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3、评审办法</w:t>
      </w:r>
    </w:p>
    <w:p w14:paraId="40AECF49">
      <w:pPr>
        <w:ind w:firstLine="643" w:firstLineChars="20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资格评审表</w:t>
      </w:r>
    </w:p>
    <w:tbl>
      <w:tblPr>
        <w:tblStyle w:val="21"/>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7068"/>
      </w:tblGrid>
      <w:tr w14:paraId="65F7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blHeader/>
          <w:jc w:val="center"/>
        </w:trPr>
        <w:tc>
          <w:tcPr>
            <w:tcW w:w="1271" w:type="pct"/>
            <w:vAlign w:val="center"/>
          </w:tcPr>
          <w:p w14:paraId="61DF193C">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评审内容</w:t>
            </w:r>
          </w:p>
        </w:tc>
        <w:tc>
          <w:tcPr>
            <w:tcW w:w="3728" w:type="pct"/>
            <w:vAlign w:val="center"/>
          </w:tcPr>
          <w:p w14:paraId="7E526BD8">
            <w:pPr>
              <w:widowControl/>
              <w:adjustRightInd w:val="0"/>
              <w:snapToGrid w:val="0"/>
              <w:spacing w:after="156" w:afterLines="50" w:line="360" w:lineRule="auto"/>
              <w:jc w:val="center"/>
              <w:rPr>
                <w:rFonts w:hint="eastAsia" w:ascii="宋体" w:hAnsi="宋体" w:eastAsia="宋体" w:cs="宋体"/>
                <w:b/>
                <w:bCs/>
                <w:color w:val="auto"/>
                <w:kern w:val="0"/>
                <w:sz w:val="20"/>
                <w:szCs w:val="20"/>
              </w:rPr>
            </w:pPr>
            <w:r>
              <w:rPr>
                <w:rFonts w:hint="eastAsia" w:ascii="宋体" w:hAnsi="宋体" w:eastAsia="宋体" w:cs="宋体"/>
                <w:b/>
                <w:bCs/>
                <w:color w:val="auto"/>
                <w:sz w:val="20"/>
                <w:szCs w:val="20"/>
              </w:rPr>
              <w:t>评审原则与标准</w:t>
            </w:r>
          </w:p>
        </w:tc>
      </w:tr>
      <w:tr w14:paraId="7493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6642F9CE">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lang w:eastAsia="zh-CN"/>
              </w:rPr>
              <w:t>承诺书</w:t>
            </w:r>
          </w:p>
        </w:tc>
        <w:tc>
          <w:tcPr>
            <w:tcW w:w="3728" w:type="pct"/>
            <w:vAlign w:val="center"/>
          </w:tcPr>
          <w:p w14:paraId="3AB5E8EE">
            <w:pPr>
              <w:widowControl/>
              <w:adjustRightInd w:val="0"/>
              <w:snapToGrid w:val="0"/>
              <w:spacing w:after="156" w:afterLines="50" w:line="240" w:lineRule="auto"/>
              <w:jc w:val="both"/>
              <w:rPr>
                <w:rFonts w:hint="eastAsia" w:ascii="宋体" w:hAnsi="宋体" w:eastAsia="宋体" w:cs="宋体"/>
                <w:color w:val="auto"/>
                <w:sz w:val="22"/>
                <w:szCs w:val="22"/>
              </w:rPr>
            </w:pPr>
            <w:r>
              <w:rPr>
                <w:rFonts w:hint="eastAsia" w:ascii="宋体" w:hAnsi="宋体" w:eastAsia="宋体" w:cs="宋体"/>
                <w:color w:val="auto"/>
                <w:sz w:val="22"/>
                <w:szCs w:val="22"/>
                <w:lang w:eastAsia="zh-CN"/>
              </w:rPr>
              <w:t>供应商提供</w:t>
            </w:r>
            <w:r>
              <w:rPr>
                <w:rFonts w:hint="eastAsia" w:ascii="宋体" w:hAnsi="宋体" w:eastAsia="宋体" w:cs="宋体"/>
                <w:color w:val="auto"/>
                <w:sz w:val="22"/>
                <w:szCs w:val="22"/>
              </w:rPr>
              <w:t>《中</w:t>
            </w:r>
            <w:r>
              <w:rPr>
                <w:rFonts w:hint="eastAsia" w:ascii="宋体" w:hAnsi="宋体" w:eastAsia="宋体" w:cs="宋体"/>
                <w:color w:val="auto"/>
                <w:sz w:val="22"/>
                <w:szCs w:val="22"/>
                <w:lang w:eastAsia="zh-CN"/>
              </w:rPr>
              <w:t>华人民共和国政府采购法》第二十二条承诺书</w:t>
            </w:r>
          </w:p>
        </w:tc>
      </w:tr>
      <w:tr w14:paraId="23DE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1271" w:type="pct"/>
            <w:shd w:val="clear" w:color="auto" w:fill="auto"/>
            <w:vAlign w:val="center"/>
          </w:tcPr>
          <w:p w14:paraId="493D658A">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营业执照（或事业法人证）/自然人身份证</w:t>
            </w:r>
          </w:p>
        </w:tc>
        <w:tc>
          <w:tcPr>
            <w:tcW w:w="3728" w:type="pct"/>
            <w:shd w:val="clear" w:color="auto" w:fill="auto"/>
            <w:vAlign w:val="center"/>
          </w:tcPr>
          <w:p w14:paraId="4FB0DBC4">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供应商具有独立承担民事责任能力的法人、其他组织或自然人，并出具合法有效的营业执照副本（附营业执照的2024年企业年度报告书）或事业单位法人证书等国家规定的相关证明，自然人参与的提供其身份证明；</w:t>
            </w:r>
          </w:p>
        </w:tc>
      </w:tr>
      <w:tr w14:paraId="2846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1271" w:type="pct"/>
            <w:vAlign w:val="center"/>
          </w:tcPr>
          <w:p w14:paraId="6AE2F7C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资质</w:t>
            </w:r>
          </w:p>
        </w:tc>
        <w:tc>
          <w:tcPr>
            <w:tcW w:w="3728" w:type="pct"/>
            <w:vAlign w:val="center"/>
          </w:tcPr>
          <w:p w14:paraId="27202ADB">
            <w:pPr>
              <w:keepNext w:val="0"/>
              <w:keepLines w:val="0"/>
              <w:pageBreakBefore w:val="0"/>
              <w:kinsoku/>
              <w:wordWrap/>
              <w:overflowPunct/>
              <w:topLinePunct w:val="0"/>
              <w:autoSpaceDE/>
              <w:autoSpaceDN/>
              <w:bidi w:val="0"/>
              <w:adjustRightInd/>
              <w:snapToGrid/>
              <w:spacing w:line="400" w:lineRule="exact"/>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本项目要求投标人需具备建设行政主管部门颁发的建筑工程施工总承包三级及其以上资质的独立企业法人，并具备有效的安全生产许可证，并在人员、设备、资金等方面有相应的施工能力。</w:t>
            </w:r>
          </w:p>
        </w:tc>
      </w:tr>
      <w:tr w14:paraId="3F364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7F5111C1">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项目负责人</w:t>
            </w:r>
          </w:p>
        </w:tc>
        <w:tc>
          <w:tcPr>
            <w:tcW w:w="3728" w:type="pct"/>
            <w:shd w:val="clear" w:color="auto" w:fill="auto"/>
            <w:vAlign w:val="center"/>
          </w:tcPr>
          <w:p w14:paraId="0A0DF6CE">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拟派往本工程项目负责人需具备建筑工程专业二级及以上注册建造师注册证书和有效的安全生产考核合格证书（建安B证），且未担任其他在建工程项目的项目负责人、身份证复印件。</w:t>
            </w:r>
          </w:p>
        </w:tc>
      </w:tr>
      <w:tr w14:paraId="5028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271" w:type="pct"/>
            <w:shd w:val="clear" w:color="auto" w:fill="auto"/>
            <w:vAlign w:val="center"/>
          </w:tcPr>
          <w:p w14:paraId="4034159B">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财务状况报告</w:t>
            </w:r>
          </w:p>
        </w:tc>
        <w:tc>
          <w:tcPr>
            <w:tcW w:w="3728" w:type="pct"/>
            <w:shd w:val="clear" w:color="auto" w:fill="auto"/>
            <w:vAlign w:val="center"/>
          </w:tcPr>
          <w:p w14:paraId="5F16E51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财务状况良好，提供2024年度财务审计报告（公司成立不足一年的需提供基本存款账户开户银行出具的资信证明）</w:t>
            </w:r>
          </w:p>
        </w:tc>
      </w:tr>
      <w:tr w14:paraId="1F8A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71" w:type="pct"/>
            <w:vAlign w:val="center"/>
          </w:tcPr>
          <w:p w14:paraId="110ADBB0">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税收缴纳证明</w:t>
            </w:r>
          </w:p>
        </w:tc>
        <w:tc>
          <w:tcPr>
            <w:tcW w:w="3728" w:type="pct"/>
            <w:vAlign w:val="center"/>
          </w:tcPr>
          <w:p w14:paraId="3695B330">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提供2025年1月至投标截止时间已缴纳的至少一个月的纳税证明或完税证明，依法免税的单位应提供相关证明材料</w:t>
            </w:r>
          </w:p>
        </w:tc>
      </w:tr>
      <w:tr w14:paraId="4C0C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1271" w:type="pct"/>
            <w:vAlign w:val="center"/>
          </w:tcPr>
          <w:p w14:paraId="5A7E983F">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社会保障资金缴纳证明</w:t>
            </w:r>
          </w:p>
        </w:tc>
        <w:tc>
          <w:tcPr>
            <w:tcW w:w="3728" w:type="pct"/>
            <w:vAlign w:val="center"/>
          </w:tcPr>
          <w:p w14:paraId="27C4A2AD">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提供2025年1月至投标截止时间已缴纳的至少一个月的社会保障资金缴存单据或社保机构开具的社会保险参保缴费情况证明。依法不需要缴纳社会保障资金的供应商应提供相关文件证明</w:t>
            </w:r>
          </w:p>
        </w:tc>
      </w:tr>
      <w:tr w14:paraId="4677F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jc w:val="center"/>
        </w:trPr>
        <w:tc>
          <w:tcPr>
            <w:tcW w:w="1271" w:type="pct"/>
            <w:vAlign w:val="center"/>
          </w:tcPr>
          <w:p w14:paraId="3867A82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企业信誉</w:t>
            </w:r>
          </w:p>
        </w:tc>
        <w:tc>
          <w:tcPr>
            <w:tcW w:w="3728" w:type="pct"/>
            <w:vAlign w:val="center"/>
          </w:tcPr>
          <w:p w14:paraId="229557A6">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tc>
      </w:tr>
      <w:tr w14:paraId="785B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71" w:type="pct"/>
            <w:vAlign w:val="center"/>
          </w:tcPr>
          <w:p w14:paraId="4CB955E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书面声明</w:t>
            </w:r>
          </w:p>
        </w:tc>
        <w:tc>
          <w:tcPr>
            <w:tcW w:w="3728" w:type="pct"/>
            <w:vAlign w:val="center"/>
          </w:tcPr>
          <w:p w14:paraId="3EC5229D">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参加本次政府采购活动前三年内在经营活动中没有重大违法记录的声明函</w:t>
            </w:r>
          </w:p>
        </w:tc>
      </w:tr>
      <w:tr w14:paraId="0217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71" w:type="pct"/>
            <w:vAlign w:val="center"/>
          </w:tcPr>
          <w:p w14:paraId="70554C59">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控股管理关系</w:t>
            </w:r>
          </w:p>
        </w:tc>
        <w:tc>
          <w:tcPr>
            <w:tcW w:w="3728" w:type="pct"/>
            <w:vAlign w:val="center"/>
          </w:tcPr>
          <w:p w14:paraId="43EDEB3A">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项目不接受联合体磋商。各供应商单位负责人为同一人或者存在直接控股、管理关系的不同供应商，不得参加同一合同项下的政府采购活动。违反规定的，其投标均无效；</w:t>
            </w:r>
          </w:p>
        </w:tc>
      </w:tr>
      <w:tr w14:paraId="6F00F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71" w:type="pct"/>
            <w:vAlign w:val="center"/>
          </w:tcPr>
          <w:p w14:paraId="1104B775">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政府采购信用承诺</w:t>
            </w:r>
          </w:p>
        </w:tc>
        <w:tc>
          <w:tcPr>
            <w:tcW w:w="3728" w:type="pct"/>
            <w:vAlign w:val="center"/>
          </w:tcPr>
          <w:p w14:paraId="399A89D3">
            <w:pPr>
              <w:widowControl/>
              <w:adjustRightInd w:val="0"/>
              <w:snapToGrid w:val="0"/>
              <w:spacing w:after="156" w:afterLines="50" w:line="240" w:lineRule="auto"/>
              <w:jc w:val="both"/>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提供榆林市政府采购工程类项目供应商信用承诺书及信用中国（陕西榆林）主动承诺网页截图；</w:t>
            </w:r>
          </w:p>
        </w:tc>
      </w:tr>
      <w:tr w14:paraId="23D28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7ADD8E52">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磋商保证金</w:t>
            </w:r>
          </w:p>
        </w:tc>
        <w:tc>
          <w:tcPr>
            <w:tcW w:w="3728" w:type="pct"/>
            <w:vAlign w:val="center"/>
          </w:tcPr>
          <w:p w14:paraId="3037107A">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用投标信用承诺书代替（提供投标信用承诺书及信用中国（陕西榆林）主动承诺网页截图）</w:t>
            </w:r>
          </w:p>
        </w:tc>
      </w:tr>
      <w:tr w14:paraId="1F12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vAlign w:val="center"/>
          </w:tcPr>
          <w:p w14:paraId="52670558">
            <w:pPr>
              <w:widowControl/>
              <w:adjustRightInd w:val="0"/>
              <w:snapToGrid w:val="0"/>
              <w:spacing w:after="156" w:afterLines="50" w:line="240" w:lineRule="auto"/>
              <w:jc w:val="center"/>
              <w:rPr>
                <w:rFonts w:hint="default"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中小企业声明</w:t>
            </w:r>
          </w:p>
        </w:tc>
        <w:tc>
          <w:tcPr>
            <w:tcW w:w="3728" w:type="pct"/>
            <w:vAlign w:val="center"/>
          </w:tcPr>
          <w:p w14:paraId="54437738">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本项目专门面向中小企业采购。不满足中小企业政策规定的，将被拒绝参与本项目政府采购投标活动。满足要求的中小企业须提供管理办法规定的《中小企业声明函》</w:t>
            </w:r>
          </w:p>
        </w:tc>
      </w:tr>
      <w:tr w14:paraId="08AEB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271" w:type="pct"/>
            <w:shd w:val="clear" w:color="auto" w:fill="auto"/>
            <w:vAlign w:val="center"/>
          </w:tcPr>
          <w:p w14:paraId="20DA0317">
            <w:pPr>
              <w:widowControl/>
              <w:adjustRightInd w:val="0"/>
              <w:snapToGrid w:val="0"/>
              <w:spacing w:after="156" w:afterLines="50" w:line="240" w:lineRule="auto"/>
              <w:jc w:val="center"/>
              <w:rPr>
                <w:rFonts w:hint="eastAsia" w:ascii="宋体" w:hAnsi="宋体" w:eastAsia="宋体" w:cs="宋体"/>
                <w:color w:val="auto"/>
                <w:sz w:val="22"/>
                <w:szCs w:val="22"/>
                <w:lang w:val="en-US" w:eastAsia="zh-CN"/>
              </w:rPr>
            </w:pPr>
            <w:r>
              <w:rPr>
                <w:rFonts w:hint="eastAsia" w:asciiTheme="majorEastAsia" w:hAnsiTheme="majorEastAsia" w:eastAsiaTheme="majorEastAsia" w:cstheme="majorEastAsia"/>
                <w:color w:val="auto"/>
                <w:sz w:val="24"/>
                <w:szCs w:val="24"/>
                <w:lang w:val="en-US" w:eastAsia="zh-CN"/>
              </w:rPr>
              <w:t>拟投入项目管理人员</w:t>
            </w:r>
          </w:p>
        </w:tc>
        <w:tc>
          <w:tcPr>
            <w:tcW w:w="3728" w:type="pct"/>
            <w:shd w:val="clear" w:color="auto" w:fill="auto"/>
            <w:vAlign w:val="center"/>
          </w:tcPr>
          <w:p w14:paraId="69900B5F">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拟投入项目管理人员情况应配备合理，包括但不限于安全员；</w:t>
            </w:r>
          </w:p>
          <w:p w14:paraId="5D58DC83">
            <w:pPr>
              <w:widowControl/>
              <w:adjustRightInd w:val="0"/>
              <w:snapToGrid w:val="0"/>
              <w:spacing w:after="156" w:afterLines="50" w:line="240" w:lineRule="auto"/>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1）安全员应持有有效的安全生产考核合格证书（建安C证）及身份证复印件</w:t>
            </w:r>
          </w:p>
        </w:tc>
      </w:tr>
    </w:tbl>
    <w:p w14:paraId="59BE80D8">
      <w:pPr>
        <w:rPr>
          <w:rFonts w:hint="eastAsia" w:ascii="宋体" w:hAnsi="宋体" w:eastAsia="宋体" w:cs="宋体"/>
          <w:b/>
          <w:bCs/>
          <w:color w:val="auto"/>
          <w:sz w:val="32"/>
          <w:szCs w:val="32"/>
        </w:rPr>
      </w:pPr>
      <w:r>
        <w:rPr>
          <w:rFonts w:hint="eastAsia" w:ascii="宋体" w:hAnsi="宋体" w:eastAsia="宋体" w:cs="宋体"/>
          <w:b/>
          <w:bCs/>
          <w:color w:val="auto"/>
          <w:sz w:val="32"/>
          <w:szCs w:val="32"/>
        </w:rPr>
        <w:t>初步评审表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2"/>
        <w:gridCol w:w="6771"/>
      </w:tblGrid>
      <w:tr w14:paraId="73EC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64F89C35">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评审内容</w:t>
            </w:r>
          </w:p>
        </w:tc>
        <w:tc>
          <w:tcPr>
            <w:tcW w:w="3503" w:type="pct"/>
            <w:vAlign w:val="center"/>
          </w:tcPr>
          <w:p w14:paraId="06477A34">
            <w:pPr>
              <w:widowControl/>
              <w:adjustRightInd w:val="0"/>
              <w:snapToGrid w:val="0"/>
              <w:spacing w:after="156" w:afterLines="50" w:line="240" w:lineRule="auto"/>
              <w:jc w:val="center"/>
              <w:rPr>
                <w:rFonts w:hint="eastAsia" w:ascii="宋体" w:hAnsi="宋体" w:eastAsia="宋体" w:cs="宋体"/>
                <w:b/>
                <w:bCs/>
                <w:color w:val="auto"/>
                <w:kern w:val="0"/>
                <w:sz w:val="22"/>
                <w:szCs w:val="22"/>
              </w:rPr>
            </w:pPr>
            <w:r>
              <w:rPr>
                <w:rFonts w:hint="eastAsia" w:ascii="宋体" w:hAnsi="宋体" w:eastAsia="宋体" w:cs="宋体"/>
                <w:b/>
                <w:bCs/>
                <w:color w:val="auto"/>
                <w:sz w:val="22"/>
                <w:szCs w:val="22"/>
              </w:rPr>
              <w:t>评审原则与标准</w:t>
            </w:r>
          </w:p>
        </w:tc>
      </w:tr>
      <w:tr w14:paraId="263C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9FEC4A8">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供应商名称</w:t>
            </w:r>
          </w:p>
        </w:tc>
        <w:tc>
          <w:tcPr>
            <w:tcW w:w="3503" w:type="pct"/>
            <w:vAlign w:val="center"/>
          </w:tcPr>
          <w:p w14:paraId="49869A4A">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与营业执照一致</w:t>
            </w:r>
          </w:p>
        </w:tc>
      </w:tr>
      <w:tr w14:paraId="60DF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791CA3F4">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签字盖章</w:t>
            </w:r>
          </w:p>
        </w:tc>
        <w:tc>
          <w:tcPr>
            <w:tcW w:w="3503" w:type="pct"/>
            <w:vAlign w:val="center"/>
          </w:tcPr>
          <w:p w14:paraId="5926F2B0">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有法定代表人或其委托代理人签字或加盖单位章</w:t>
            </w:r>
          </w:p>
        </w:tc>
      </w:tr>
      <w:tr w14:paraId="7B3E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3D210DED">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磋商响应文件格式</w:t>
            </w:r>
          </w:p>
        </w:tc>
        <w:tc>
          <w:tcPr>
            <w:tcW w:w="3503" w:type="pct"/>
            <w:vAlign w:val="center"/>
          </w:tcPr>
          <w:p w14:paraId="490B8B8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符合“磋商响应文件格式”的要求</w:t>
            </w:r>
          </w:p>
        </w:tc>
      </w:tr>
      <w:tr w14:paraId="0354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ECF39B9">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投标报价</w:t>
            </w:r>
          </w:p>
        </w:tc>
        <w:tc>
          <w:tcPr>
            <w:tcW w:w="3503" w:type="pct"/>
            <w:vAlign w:val="center"/>
          </w:tcPr>
          <w:p w14:paraId="3844817D">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lang w:eastAsia="zh-CN"/>
              </w:rPr>
              <w:t>磋商报价</w:t>
            </w:r>
            <w:r>
              <w:rPr>
                <w:rFonts w:hint="eastAsia" w:ascii="宋体" w:hAnsi="宋体" w:eastAsia="宋体" w:cs="宋体"/>
                <w:color w:val="auto"/>
                <w:sz w:val="22"/>
                <w:szCs w:val="22"/>
                <w:lang w:val="en-US" w:eastAsia="zh-CN"/>
              </w:rPr>
              <w:t>未超出</w:t>
            </w:r>
            <w:r>
              <w:rPr>
                <w:rFonts w:hint="eastAsia" w:ascii="宋体" w:hAnsi="宋体" w:eastAsia="宋体" w:cs="宋体"/>
                <w:color w:val="auto"/>
                <w:sz w:val="22"/>
                <w:szCs w:val="22"/>
                <w:lang w:eastAsia="zh-CN"/>
              </w:rPr>
              <w:t>采购预算</w:t>
            </w:r>
          </w:p>
        </w:tc>
      </w:tr>
      <w:tr w14:paraId="1182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496" w:type="pct"/>
            <w:vAlign w:val="center"/>
          </w:tcPr>
          <w:p w14:paraId="479A37EF">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合同履行期限（</w:t>
            </w:r>
            <w:r>
              <w:rPr>
                <w:rFonts w:hint="eastAsia" w:ascii="宋体" w:hAnsi="宋体" w:eastAsia="宋体" w:cs="宋体"/>
                <w:color w:val="auto"/>
                <w:kern w:val="0"/>
                <w:sz w:val="22"/>
                <w:szCs w:val="22"/>
                <w:lang w:eastAsia="zh-CN"/>
              </w:rPr>
              <w:t>工期</w:t>
            </w:r>
            <w:r>
              <w:rPr>
                <w:rFonts w:hint="eastAsia" w:ascii="宋体" w:hAnsi="宋体" w:eastAsia="宋体" w:cs="宋体"/>
                <w:color w:val="auto"/>
                <w:kern w:val="0"/>
                <w:sz w:val="22"/>
                <w:szCs w:val="22"/>
              </w:rPr>
              <w:t>）</w:t>
            </w:r>
          </w:p>
        </w:tc>
        <w:tc>
          <w:tcPr>
            <w:tcW w:w="3503" w:type="pct"/>
            <w:vAlign w:val="center"/>
          </w:tcPr>
          <w:p w14:paraId="12131E94">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10D0B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864E8B5">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质量</w:t>
            </w:r>
          </w:p>
        </w:tc>
        <w:tc>
          <w:tcPr>
            <w:tcW w:w="3503" w:type="pct"/>
            <w:vAlign w:val="center"/>
          </w:tcPr>
          <w:p w14:paraId="4B591DA1">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141A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96" w:type="pct"/>
            <w:vAlign w:val="center"/>
          </w:tcPr>
          <w:p w14:paraId="0750B7B3">
            <w:pPr>
              <w:spacing w:line="240" w:lineRule="auto"/>
              <w:jc w:val="center"/>
              <w:rPr>
                <w:rFonts w:hint="eastAsia" w:ascii="宋体" w:hAnsi="宋体" w:eastAsia="宋体" w:cs="宋体"/>
                <w:color w:val="auto"/>
                <w:kern w:val="0"/>
                <w:sz w:val="22"/>
                <w:szCs w:val="22"/>
              </w:rPr>
            </w:pPr>
            <w:r>
              <w:rPr>
                <w:rFonts w:hint="eastAsia" w:ascii="宋体" w:hAnsi="宋体" w:eastAsia="宋体" w:cs="宋体"/>
                <w:color w:val="auto"/>
                <w:sz w:val="22"/>
                <w:szCs w:val="22"/>
              </w:rPr>
              <w:t>磋商有效期</w:t>
            </w:r>
          </w:p>
        </w:tc>
        <w:tc>
          <w:tcPr>
            <w:tcW w:w="3503" w:type="pct"/>
            <w:vAlign w:val="center"/>
          </w:tcPr>
          <w:p w14:paraId="12925FE8">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5866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176B6C87">
            <w:pPr>
              <w:spacing w:line="240" w:lineRule="auto"/>
              <w:jc w:val="center"/>
              <w:rPr>
                <w:rFonts w:hint="eastAsia" w:ascii="宋体" w:hAnsi="宋体" w:eastAsia="宋体" w:cs="宋体"/>
                <w:b/>
                <w:bCs/>
                <w:color w:val="auto"/>
                <w:kern w:val="0"/>
                <w:sz w:val="22"/>
                <w:szCs w:val="22"/>
              </w:rPr>
            </w:pPr>
            <w:r>
              <w:rPr>
                <w:rFonts w:hint="eastAsia" w:ascii="宋体" w:hAnsi="宋体" w:eastAsia="宋体" w:cs="宋体"/>
                <w:color w:val="auto"/>
                <w:sz w:val="22"/>
                <w:szCs w:val="22"/>
              </w:rPr>
              <w:t>采购内容及要求</w:t>
            </w:r>
          </w:p>
        </w:tc>
        <w:tc>
          <w:tcPr>
            <w:tcW w:w="3503" w:type="pct"/>
            <w:vAlign w:val="center"/>
          </w:tcPr>
          <w:p w14:paraId="3A6231FC">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未出现漏项或内容与要求不符，无重大负偏差；</w:t>
            </w:r>
          </w:p>
        </w:tc>
      </w:tr>
      <w:tr w14:paraId="6BED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64D0A69C">
            <w:pPr>
              <w:widowControl/>
              <w:adjustRightInd w:val="0"/>
              <w:snapToGrid w:val="0"/>
              <w:spacing w:after="156" w:afterLines="50" w:line="240" w:lineRule="auto"/>
              <w:jc w:val="center"/>
              <w:rPr>
                <w:rFonts w:hint="eastAsia" w:ascii="宋体" w:hAnsi="宋体" w:eastAsia="宋体" w:cs="宋体"/>
                <w:color w:val="auto"/>
                <w:sz w:val="22"/>
                <w:szCs w:val="22"/>
              </w:rPr>
            </w:pPr>
            <w:r>
              <w:rPr>
                <w:rFonts w:hint="eastAsia" w:ascii="宋体" w:hAnsi="宋体" w:eastAsia="宋体" w:cs="宋体"/>
                <w:color w:val="auto"/>
                <w:sz w:val="22"/>
                <w:szCs w:val="22"/>
              </w:rPr>
              <w:t>磋商响应文件的数量</w:t>
            </w:r>
          </w:p>
        </w:tc>
        <w:tc>
          <w:tcPr>
            <w:tcW w:w="3503" w:type="pct"/>
            <w:vAlign w:val="center"/>
          </w:tcPr>
          <w:p w14:paraId="641297C5">
            <w:pPr>
              <w:widowControl/>
              <w:adjustRightInd w:val="0"/>
              <w:snapToGrid w:val="0"/>
              <w:spacing w:after="156" w:afterLines="50" w:line="240" w:lineRule="auto"/>
              <w:rPr>
                <w:rFonts w:hint="eastAsia" w:ascii="宋体" w:hAnsi="宋体" w:eastAsia="宋体" w:cs="宋体"/>
                <w:color w:val="auto"/>
                <w:sz w:val="22"/>
                <w:szCs w:val="22"/>
              </w:rPr>
            </w:pPr>
            <w:r>
              <w:rPr>
                <w:rFonts w:hint="eastAsia" w:ascii="宋体" w:hAnsi="宋体" w:eastAsia="宋体" w:cs="宋体"/>
                <w:color w:val="auto"/>
                <w:sz w:val="22"/>
                <w:szCs w:val="22"/>
              </w:rPr>
              <w:t>符合采购文件要求</w:t>
            </w:r>
          </w:p>
        </w:tc>
      </w:tr>
      <w:tr w14:paraId="4D170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496" w:type="pct"/>
            <w:vAlign w:val="center"/>
          </w:tcPr>
          <w:p w14:paraId="4832DBFC">
            <w:pPr>
              <w:spacing w:line="440" w:lineRule="exact"/>
              <w:jc w:val="center"/>
              <w:rPr>
                <w:rFonts w:hint="eastAsia" w:ascii="宋体" w:hAnsi="宋体" w:eastAsia="宋体" w:cs="宋体"/>
                <w:color w:val="auto"/>
                <w:sz w:val="22"/>
                <w:szCs w:val="22"/>
              </w:rPr>
            </w:pPr>
            <w:r>
              <w:rPr>
                <w:rFonts w:hint="eastAsia" w:ascii="宋体" w:hAnsi="宋体" w:eastAsia="宋体" w:cs="宋体"/>
                <w:color w:val="auto"/>
                <w:sz w:val="22"/>
                <w:szCs w:val="22"/>
              </w:rPr>
              <w:t>权利义务</w:t>
            </w:r>
          </w:p>
        </w:tc>
        <w:tc>
          <w:tcPr>
            <w:tcW w:w="3503" w:type="pct"/>
            <w:vAlign w:val="center"/>
          </w:tcPr>
          <w:p w14:paraId="607D8F5C">
            <w:pPr>
              <w:spacing w:line="440" w:lineRule="exact"/>
              <w:rPr>
                <w:rFonts w:hint="eastAsia" w:ascii="宋体" w:hAnsi="宋体" w:eastAsia="宋体" w:cs="宋体"/>
                <w:color w:val="auto"/>
                <w:sz w:val="22"/>
                <w:szCs w:val="22"/>
              </w:rPr>
            </w:pPr>
            <w:r>
              <w:rPr>
                <w:rFonts w:hint="eastAsia" w:ascii="宋体" w:hAnsi="宋体" w:eastAsia="宋体" w:cs="宋体"/>
                <w:color w:val="auto"/>
                <w:sz w:val="22"/>
                <w:szCs w:val="22"/>
              </w:rPr>
              <w:t>符合第四章“合同条款及格式”规定</w:t>
            </w:r>
          </w:p>
        </w:tc>
      </w:tr>
    </w:tbl>
    <w:p w14:paraId="1D70196C">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14:paraId="63BFA9FE">
      <w:pPr>
        <w:ind w:firstLine="643" w:firstLineChars="200"/>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评标细则</w:t>
      </w:r>
    </w:p>
    <w:tbl>
      <w:tblPr>
        <w:tblStyle w:val="2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796"/>
        <w:gridCol w:w="1066"/>
        <w:gridCol w:w="7258"/>
      </w:tblGrid>
      <w:tr w14:paraId="262C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0ED7FE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862" w:type="dxa"/>
            <w:gridSpan w:val="2"/>
            <w:vAlign w:val="center"/>
          </w:tcPr>
          <w:p w14:paraId="58C14132">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评分因素</w:t>
            </w:r>
          </w:p>
        </w:tc>
        <w:tc>
          <w:tcPr>
            <w:tcW w:w="7258" w:type="dxa"/>
            <w:vAlign w:val="center"/>
          </w:tcPr>
          <w:p w14:paraId="14F77D41">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评审标准</w:t>
            </w:r>
          </w:p>
        </w:tc>
      </w:tr>
      <w:tr w14:paraId="45B34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2380" w:type="dxa"/>
            <w:gridSpan w:val="3"/>
            <w:vAlign w:val="center"/>
          </w:tcPr>
          <w:p w14:paraId="398AA755">
            <w:pPr>
              <w:spacing w:line="360" w:lineRule="auto"/>
              <w:ind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分值构成</w:t>
            </w:r>
          </w:p>
          <w:p w14:paraId="75FFC905">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val="0"/>
                <w:color w:val="auto"/>
                <w:sz w:val="21"/>
                <w:szCs w:val="21"/>
                <w:lang w:val="en-US" w:eastAsia="zh-CN"/>
              </w:rPr>
              <w:t>（总分100分）</w:t>
            </w:r>
          </w:p>
        </w:tc>
        <w:tc>
          <w:tcPr>
            <w:tcW w:w="7258" w:type="dxa"/>
            <w:vAlign w:val="center"/>
          </w:tcPr>
          <w:p w14:paraId="3592E04E">
            <w:pPr>
              <w:spacing w:line="360" w:lineRule="auto"/>
              <w:ind w:firstLine="0" w:firstLineChars="0"/>
              <w:jc w:val="center"/>
              <w:rPr>
                <w:rFonts w:hint="eastAsia" w:ascii="宋体" w:hAnsi="宋体" w:eastAsia="宋体" w:cs="宋体"/>
                <w:b/>
                <w:bCs/>
                <w:color w:val="auto"/>
                <w:sz w:val="21"/>
                <w:szCs w:val="21"/>
              </w:rPr>
            </w:pPr>
            <w:r>
              <w:rPr>
                <w:rFonts w:hint="eastAsia" w:ascii="宋体" w:hAnsi="宋体" w:eastAsia="宋体" w:cs="宋体"/>
                <w:b w:val="0"/>
                <w:bCs/>
                <w:color w:val="auto"/>
                <w:kern w:val="2"/>
                <w:sz w:val="21"/>
                <w:szCs w:val="21"/>
                <w:lang w:val="en-US" w:eastAsia="zh-CN" w:bidi="ar-SA"/>
              </w:rPr>
              <w:t>报价得分20分，技术标分值60分，商务部分20分。</w:t>
            </w:r>
          </w:p>
        </w:tc>
      </w:tr>
      <w:tr w14:paraId="68139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8" w:type="dxa"/>
            <w:vAlign w:val="center"/>
          </w:tcPr>
          <w:p w14:paraId="2A833F66">
            <w:pPr>
              <w:pStyle w:val="27"/>
              <w:shd w:val="clear" w:color="auto" w:fill="FCFCFC"/>
              <w:spacing w:before="0" w:beforeAutospacing="0" w:after="0" w:afterAutospacing="0" w:line="360" w:lineRule="auto"/>
              <w:ind w:firstLine="0" w:firstLineChars="0"/>
              <w:jc w:val="center"/>
              <w:rPr>
                <w:rFonts w:hint="eastAsia" w:eastAsia="宋体" w:cs="宋体"/>
                <w:b/>
                <w:bCs/>
                <w:color w:val="auto"/>
                <w:kern w:val="2"/>
                <w:sz w:val="21"/>
                <w:szCs w:val="21"/>
                <w:lang w:val="en-US" w:eastAsia="zh-CN"/>
              </w:rPr>
            </w:pPr>
          </w:p>
        </w:tc>
        <w:tc>
          <w:tcPr>
            <w:tcW w:w="9120" w:type="dxa"/>
            <w:gridSpan w:val="3"/>
            <w:vAlign w:val="center"/>
          </w:tcPr>
          <w:p w14:paraId="0C5DFF70">
            <w:pPr>
              <w:spacing w:line="360" w:lineRule="auto"/>
              <w:ind w:firstLine="0" w:firstLineChars="0"/>
              <w:jc w:val="center"/>
              <w:rPr>
                <w:rFonts w:hint="eastAsia" w:ascii="宋体" w:hAnsi="宋体" w:eastAsia="宋体" w:cs="宋体"/>
                <w:color w:val="auto"/>
                <w:sz w:val="21"/>
                <w:szCs w:val="21"/>
              </w:rPr>
            </w:pPr>
            <w:r>
              <w:rPr>
                <w:rFonts w:hint="eastAsia" w:eastAsia="宋体" w:cs="宋体"/>
                <w:b/>
                <w:bCs/>
                <w:color w:val="auto"/>
                <w:kern w:val="2"/>
                <w:sz w:val="21"/>
                <w:szCs w:val="21"/>
                <w:lang w:val="en-US" w:eastAsia="zh-CN"/>
              </w:rPr>
              <w:t>磋商报价</w:t>
            </w:r>
          </w:p>
        </w:tc>
      </w:tr>
      <w:tr w14:paraId="04A8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Align w:val="center"/>
          </w:tcPr>
          <w:p w14:paraId="165A5AC5">
            <w:pPr>
              <w:spacing w:line="36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862" w:type="dxa"/>
            <w:gridSpan w:val="2"/>
            <w:vAlign w:val="center"/>
          </w:tcPr>
          <w:p w14:paraId="45F44EDD">
            <w:pPr>
              <w:spacing w:line="360" w:lineRule="auto"/>
              <w:ind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磋商报价</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lang w:eastAsia="zh-CN"/>
              </w:rPr>
              <w:t>分）</w:t>
            </w:r>
          </w:p>
        </w:tc>
        <w:tc>
          <w:tcPr>
            <w:tcW w:w="7258" w:type="dxa"/>
            <w:vAlign w:val="center"/>
          </w:tcPr>
          <w:p w14:paraId="4BF2D38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1.本次磋商设最高投标限价（采购预算）。供应商的磋商报价超过最高投标限价的视为废标，不再参与下一步评审。</w:t>
            </w:r>
          </w:p>
          <w:p w14:paraId="47411B9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2、采用低价优先法计算，未超出财政预算，实质性满足磋商文件要求且最后报价最低的报价为磋商基准价，其价格分为满分20分。其它供应商的价格分统一按照下列公式计算：磋商报价得分=（磋商基准价/最后磋商报价）×价格分值×100%</w:t>
            </w:r>
            <w:r>
              <w:rPr>
                <w:rFonts w:hint="eastAsia" w:ascii="宋体" w:hAnsi="宋体" w:eastAsia="宋体" w:cs="宋体"/>
                <w:color w:val="auto"/>
                <w:sz w:val="21"/>
                <w:szCs w:val="21"/>
                <w:lang w:eastAsia="zh-CN"/>
              </w:rPr>
              <w:t>。</w:t>
            </w:r>
          </w:p>
          <w:p w14:paraId="3CFD3046">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、磋商报价不完整的，不进入评标基准价的计算，本项得0分。</w:t>
            </w:r>
          </w:p>
        </w:tc>
      </w:tr>
      <w:tr w14:paraId="7A05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518" w:type="dxa"/>
            <w:vMerge w:val="restart"/>
            <w:vAlign w:val="center"/>
          </w:tcPr>
          <w:p w14:paraId="6EE2345C">
            <w:pPr>
              <w:spacing w:line="360" w:lineRule="auto"/>
              <w:ind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w:t>
            </w:r>
          </w:p>
        </w:tc>
        <w:tc>
          <w:tcPr>
            <w:tcW w:w="1862" w:type="dxa"/>
            <w:gridSpan w:val="2"/>
            <w:vMerge w:val="restart"/>
            <w:shd w:val="clear" w:color="auto" w:fill="auto"/>
            <w:vAlign w:val="center"/>
          </w:tcPr>
          <w:p w14:paraId="60CF369D">
            <w:pPr>
              <w:spacing w:line="360" w:lineRule="auto"/>
              <w:ind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技术部分（60分）</w:t>
            </w:r>
          </w:p>
        </w:tc>
        <w:tc>
          <w:tcPr>
            <w:tcW w:w="7258" w:type="dxa"/>
            <w:shd w:val="clear" w:color="auto" w:fill="auto"/>
            <w:vAlign w:val="center"/>
          </w:tcPr>
          <w:p w14:paraId="06BB03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1.工程概况及施工方案[0-10]分；</w:t>
            </w:r>
          </w:p>
          <w:p w14:paraId="0190D70E">
            <w:pPr>
              <w:keepNext w:val="0"/>
              <w:keepLines w:val="0"/>
              <w:pageBreakBefore w:val="0"/>
              <w:widowControl/>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提供详细、可行、专业的施工方案，包括但不限于工程概况、施工组织、施工计划、施工工艺、技术措施等内容。</w:t>
            </w:r>
            <w:r>
              <w:rPr>
                <w:rFonts w:hint="eastAsia" w:ascii="宋体" w:hAnsi="宋体" w:eastAsia="宋体" w:cs="宋体"/>
                <w:color w:val="auto"/>
                <w:sz w:val="21"/>
                <w:szCs w:val="21"/>
                <w:lang w:val="en-US" w:eastAsia="zh-CN"/>
              </w:rPr>
              <w:t>a.</w:t>
            </w:r>
            <w:r>
              <w:rPr>
                <w:rFonts w:hint="eastAsia" w:ascii="宋体" w:hAnsi="宋体" w:eastAsia="宋体" w:cs="宋体"/>
                <w:color w:val="auto"/>
                <w:sz w:val="21"/>
                <w:szCs w:val="21"/>
              </w:rPr>
              <w:t>方案可靠性、专业性强，可行性高，内容详尽明确、细节到位，有利于项目实施计</w:t>
            </w:r>
            <w:r>
              <w:rPr>
                <w:rFonts w:hint="eastAsia" w:ascii="宋体" w:hAnsi="宋体" w:eastAsia="宋体" w:cs="宋体"/>
                <w:color w:val="auto"/>
                <w:sz w:val="21"/>
                <w:szCs w:val="21"/>
                <w:lang w:val="en-US" w:eastAsia="zh-CN"/>
              </w:rPr>
              <w:t>[10-5)</w:t>
            </w:r>
            <w:r>
              <w:rPr>
                <w:rFonts w:hint="eastAsia" w:ascii="宋体" w:hAnsi="宋体" w:eastAsia="宋体" w:cs="宋体"/>
                <w:color w:val="auto"/>
                <w:sz w:val="21"/>
                <w:szCs w:val="21"/>
              </w:rPr>
              <w:t>分；</w:t>
            </w:r>
          </w:p>
          <w:p w14:paraId="624413B0">
            <w:pPr>
              <w:shd w:val="clea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b.方案差，内容不全、细节不明确，技术措施简单计[5-0]</w:t>
            </w:r>
            <w:r>
              <w:rPr>
                <w:rFonts w:hint="eastAsia" w:ascii="宋体" w:hAnsi="宋体" w:eastAsia="宋体" w:cs="宋体"/>
                <w:color w:val="auto"/>
                <w:sz w:val="21"/>
                <w:szCs w:val="21"/>
              </w:rPr>
              <w:t>分。</w:t>
            </w:r>
          </w:p>
        </w:tc>
      </w:tr>
      <w:tr w14:paraId="4556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2F6483A8">
            <w:pPr>
              <w:spacing w:line="360" w:lineRule="auto"/>
              <w:ind w:firstLine="0" w:firstLineChars="0"/>
              <w:jc w:val="center"/>
              <w:rPr>
                <w:rFonts w:hint="eastAsia"/>
                <w:color w:val="auto"/>
                <w:sz w:val="21"/>
                <w:szCs w:val="21"/>
                <w:lang w:eastAsia="zh-CN"/>
              </w:rPr>
            </w:pPr>
          </w:p>
        </w:tc>
        <w:tc>
          <w:tcPr>
            <w:tcW w:w="1862" w:type="dxa"/>
            <w:gridSpan w:val="2"/>
            <w:vMerge w:val="continue"/>
            <w:shd w:val="clear" w:color="auto" w:fill="auto"/>
            <w:vAlign w:val="center"/>
          </w:tcPr>
          <w:p w14:paraId="1E6DABC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540EF90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2.施工机械设备配备计划[0-10]分；</w:t>
            </w:r>
          </w:p>
          <w:p w14:paraId="003B6C62">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a.施工机械配备合理、科学，能保证项目顺利实施计[10-5)分；</w:t>
            </w:r>
          </w:p>
          <w:p w14:paraId="526B9F7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b.施工机械配备不够合理、合理，基本或很难保证项目顺利实施计[5-0]分。</w:t>
            </w:r>
          </w:p>
        </w:tc>
      </w:tr>
      <w:tr w14:paraId="0F50E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1A5C91C4">
            <w:pPr>
              <w:spacing w:line="360" w:lineRule="auto"/>
              <w:ind w:firstLine="0" w:firstLineChars="0"/>
              <w:jc w:val="center"/>
              <w:rPr>
                <w:rFonts w:hint="eastAsia" w:ascii="宋体" w:hAnsi="宋体" w:eastAsia="宋体" w:cs="宋体"/>
                <w:color w:val="auto"/>
                <w:sz w:val="21"/>
                <w:szCs w:val="21"/>
                <w:lang w:eastAsia="zh-CN"/>
              </w:rPr>
            </w:pPr>
          </w:p>
        </w:tc>
        <w:tc>
          <w:tcPr>
            <w:tcW w:w="1862" w:type="dxa"/>
            <w:gridSpan w:val="2"/>
            <w:vMerge w:val="continue"/>
            <w:shd w:val="clear" w:color="auto" w:fill="auto"/>
            <w:vAlign w:val="center"/>
          </w:tcPr>
          <w:p w14:paraId="76E8D441">
            <w:pPr>
              <w:spacing w:line="360" w:lineRule="auto"/>
              <w:ind w:firstLine="0" w:firstLineChars="0"/>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4F7392F">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3.劳动力安排计划[0-10]分；</w:t>
            </w:r>
          </w:p>
          <w:p w14:paraId="52EA9DA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a.劳动力安排合理，材料供应贴紧项目进度且数量充足，操作性强，能确保项目如期保质完成计[10-5)分； </w:t>
            </w:r>
          </w:p>
          <w:p w14:paraId="7AC83B9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b.劳动力安排基本合理，材料供应基本满足项目需求计[5-0]分。</w:t>
            </w:r>
          </w:p>
        </w:tc>
      </w:tr>
      <w:tr w14:paraId="3652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8" w:type="dxa"/>
            <w:vMerge w:val="continue"/>
            <w:vAlign w:val="center"/>
          </w:tcPr>
          <w:p w14:paraId="33259307">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0958625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34477F1E">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4.工期及保证措施[0-10]分；</w:t>
            </w:r>
          </w:p>
          <w:p w14:paraId="18621428">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提供科学合理、切实可行的工期保障措施，包括但不限于工期目标、工期保障体系、控制方法、进度控制要点、误期的补救措施等内容。</w:t>
            </w:r>
          </w:p>
          <w:p w14:paraId="41CCC584">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a.措施详尽、合理度高计[10-5)分； </w:t>
            </w:r>
          </w:p>
          <w:p w14:paraId="107FDAA9">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b.措施基本完善、基本合理、可行性一般计[5-0]分。</w:t>
            </w:r>
          </w:p>
        </w:tc>
      </w:tr>
      <w:tr w14:paraId="259C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929A991">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1862" w:type="dxa"/>
            <w:gridSpan w:val="2"/>
            <w:vMerge w:val="continue"/>
            <w:shd w:val="clear" w:color="auto" w:fill="auto"/>
            <w:vAlign w:val="center"/>
          </w:tcPr>
          <w:p w14:paraId="3D86D628">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70904911">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5.工程质量保证措施[0-10]分；</w:t>
            </w:r>
          </w:p>
          <w:p w14:paraId="6DEFD2E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提供科学合理、切实可行的工程质量保证体系及措施，包括但不限于质量目标、质量体系、质量控制流程、质量控制要点、质量预防及控制措施等内容。</w:t>
            </w:r>
          </w:p>
          <w:p w14:paraId="62AE358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 xml:space="preserve">措施及体系详尽、科学有效、措施及体系完善、合理计[10-5)分； </w:t>
            </w:r>
          </w:p>
          <w:p w14:paraId="1AF9CB6B">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措施及体系简单笼统，不合理计[5-0]分</w:t>
            </w:r>
          </w:p>
        </w:tc>
      </w:tr>
      <w:tr w14:paraId="53323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36702062">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shd w:val="clear" w:color="auto" w:fill="auto"/>
            <w:vAlign w:val="center"/>
          </w:tcPr>
          <w:p w14:paraId="06B37D5C">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shd w:val="clear" w:color="auto" w:fill="auto"/>
            <w:vAlign w:val="center"/>
          </w:tcPr>
          <w:p w14:paraId="124CAF47">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6.安全保证措施[0-10]分；</w:t>
            </w:r>
          </w:p>
          <w:p w14:paraId="681B0AE6">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提供详细的安全管理方案，安全管理体系科学、完善，安全保证措施得力，能有效地保障项目实施过程的衔接、保证项目安全计[10-5)分；</w:t>
            </w:r>
          </w:p>
          <w:p w14:paraId="54C5A0B3">
            <w:pPr>
              <w:keepNext w:val="0"/>
              <w:keepLines w:val="0"/>
              <w:pageBreakBefore w:val="0"/>
              <w:widowControl/>
              <w:shd w:val="clea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安全管理方案、体系不完善计、安全保证措施简单，内容欠缺计[5-0）分。</w:t>
            </w:r>
          </w:p>
        </w:tc>
      </w:tr>
      <w:tr w14:paraId="0DD6A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continue"/>
            <w:vAlign w:val="center"/>
          </w:tcPr>
          <w:p w14:paraId="7D20E51A">
            <w:pPr>
              <w:spacing w:line="360" w:lineRule="auto"/>
              <w:ind w:firstLine="0" w:firstLineChars="0"/>
              <w:jc w:val="center"/>
              <w:rPr>
                <w:rFonts w:hint="eastAsia" w:ascii="宋体" w:hAnsi="宋体" w:eastAsia="宋体" w:cs="宋体"/>
                <w:color w:val="auto"/>
                <w:sz w:val="21"/>
                <w:szCs w:val="21"/>
                <w:lang w:val="en-US" w:eastAsia="zh-CN"/>
              </w:rPr>
            </w:pPr>
          </w:p>
        </w:tc>
        <w:tc>
          <w:tcPr>
            <w:tcW w:w="1862" w:type="dxa"/>
            <w:gridSpan w:val="2"/>
            <w:vMerge w:val="continue"/>
            <w:vAlign w:val="center"/>
          </w:tcPr>
          <w:p w14:paraId="7EE395A2">
            <w:pPr>
              <w:spacing w:line="360" w:lineRule="auto"/>
              <w:ind w:firstLine="0" w:firstLineChars="0"/>
              <w:jc w:val="center"/>
              <w:rPr>
                <w:rFonts w:hint="eastAsia" w:ascii="宋体" w:hAnsi="宋体" w:eastAsia="宋体" w:cs="宋体"/>
                <w:color w:val="auto"/>
                <w:kern w:val="2"/>
                <w:sz w:val="21"/>
                <w:szCs w:val="21"/>
                <w:lang w:val="en-US" w:eastAsia="zh-CN" w:bidi="ar-SA"/>
              </w:rPr>
            </w:pPr>
          </w:p>
        </w:tc>
        <w:tc>
          <w:tcPr>
            <w:tcW w:w="7258" w:type="dxa"/>
            <w:vAlign w:val="center"/>
          </w:tcPr>
          <w:p w14:paraId="416CDDB7">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zh-CN" w:eastAsia="zh-CN" w:bidi="ar-SA"/>
              </w:rPr>
              <w:t>备注：</w:t>
            </w:r>
          </w:p>
          <w:p w14:paraId="1170A199">
            <w:pPr>
              <w:bidi w:val="0"/>
              <w:rPr>
                <w:rFonts w:hint="eastAsia" w:ascii="宋体" w:hAnsi="宋体" w:eastAsia="宋体" w:cs="宋体"/>
                <w:b w:val="0"/>
                <w:bCs/>
                <w:color w:val="auto"/>
                <w:kern w:val="2"/>
                <w:sz w:val="21"/>
                <w:szCs w:val="21"/>
                <w:lang w:val="zh-CN" w:eastAsia="zh-CN" w:bidi="ar-SA"/>
              </w:rPr>
            </w:pPr>
            <w:r>
              <w:rPr>
                <w:rFonts w:hint="eastAsia" w:ascii="宋体" w:hAnsi="宋体" w:eastAsia="宋体" w:cs="宋体"/>
                <w:b w:val="0"/>
                <w:bCs/>
                <w:color w:val="auto"/>
                <w:kern w:val="2"/>
                <w:sz w:val="21"/>
                <w:szCs w:val="21"/>
                <w:lang w:val="en-US" w:eastAsia="zh-CN" w:bidi="ar-SA"/>
              </w:rPr>
              <w:t>①</w:t>
            </w:r>
            <w:r>
              <w:rPr>
                <w:rFonts w:hint="eastAsia" w:ascii="宋体" w:hAnsi="宋体" w:eastAsia="宋体" w:cs="宋体"/>
                <w:b w:val="0"/>
                <w:bCs/>
                <w:color w:val="auto"/>
                <w:kern w:val="2"/>
                <w:sz w:val="21"/>
                <w:szCs w:val="21"/>
                <w:lang w:val="zh-CN" w:eastAsia="zh-CN" w:bidi="ar-SA"/>
              </w:rPr>
              <w:t>以上评审要素依据响应文件的具体情况，评委自主赋分。</w:t>
            </w:r>
          </w:p>
          <w:p w14:paraId="71A19420">
            <w:pPr>
              <w:bidi w:val="0"/>
              <w:rPr>
                <w:rFonts w:hint="eastAsia" w:ascii="宋体" w:hAnsi="宋体" w:eastAsia="宋体" w:cs="宋体"/>
                <w:color w:val="auto"/>
                <w:sz w:val="21"/>
                <w:szCs w:val="21"/>
                <w:lang w:val="en-US" w:eastAsia="zh-CN"/>
              </w:rPr>
            </w:pPr>
            <w:r>
              <w:rPr>
                <w:rFonts w:hint="eastAsia" w:ascii="宋体" w:hAnsi="宋体" w:eastAsia="宋体" w:cs="宋体"/>
                <w:b w:val="0"/>
                <w:bCs/>
                <w:color w:val="auto"/>
                <w:kern w:val="2"/>
                <w:sz w:val="21"/>
                <w:szCs w:val="21"/>
                <w:lang w:val="zh-CN" w:eastAsia="zh-CN" w:bidi="ar-SA"/>
              </w:rPr>
              <w:t>②缺项或严重错误者该分项得0分，需2/3以上评委认定。</w:t>
            </w:r>
          </w:p>
        </w:tc>
      </w:tr>
      <w:tr w14:paraId="2B5C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18" w:type="dxa"/>
            <w:vMerge w:val="restart"/>
            <w:shd w:val="clear" w:color="auto" w:fill="auto"/>
            <w:vAlign w:val="center"/>
          </w:tcPr>
          <w:p w14:paraId="5A90A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w:t>
            </w:r>
          </w:p>
          <w:p w14:paraId="4BB25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lang w:val="en-US" w:eastAsia="zh-CN"/>
              </w:rPr>
            </w:pPr>
          </w:p>
        </w:tc>
        <w:tc>
          <w:tcPr>
            <w:tcW w:w="796" w:type="dxa"/>
            <w:vMerge w:val="restart"/>
            <w:shd w:val="clear" w:color="auto" w:fill="auto"/>
            <w:vAlign w:val="center"/>
          </w:tcPr>
          <w:p w14:paraId="0405C76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商务部分（20分）</w:t>
            </w:r>
          </w:p>
        </w:tc>
        <w:tc>
          <w:tcPr>
            <w:tcW w:w="1066" w:type="dxa"/>
            <w:shd w:val="clear" w:color="auto" w:fill="auto"/>
            <w:vAlign w:val="center"/>
          </w:tcPr>
          <w:p w14:paraId="0E679FD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类似项目业绩情况</w:t>
            </w:r>
          </w:p>
          <w:p w14:paraId="4E075DF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（10分）</w:t>
            </w:r>
          </w:p>
        </w:tc>
        <w:tc>
          <w:tcPr>
            <w:tcW w:w="7258" w:type="dxa"/>
            <w:shd w:val="clear" w:color="auto" w:fill="auto"/>
            <w:vAlign w:val="center"/>
          </w:tcPr>
          <w:p w14:paraId="41C39FCB">
            <w:pPr>
              <w:spacing w:line="360" w:lineRule="auto"/>
              <w:ind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lang w:val="zh-CN" w:eastAsia="zh-CN"/>
              </w:rPr>
              <w:t>投标人</w:t>
            </w:r>
            <w:r>
              <w:rPr>
                <w:rFonts w:hint="eastAsia" w:ascii="宋体" w:hAnsi="宋体" w:eastAsia="宋体" w:cs="宋体"/>
                <w:color w:val="auto"/>
                <w:sz w:val="21"/>
                <w:szCs w:val="21"/>
                <w:lang w:val="en-US" w:eastAsia="zh-CN"/>
              </w:rPr>
              <w:t>每提供1份2020年11月1日至今的</w:t>
            </w:r>
            <w:r>
              <w:rPr>
                <w:rFonts w:hint="eastAsia" w:ascii="宋体" w:hAnsi="宋体" w:eastAsia="宋体" w:cs="宋体"/>
                <w:color w:val="000000" w:themeColor="text1"/>
                <w:sz w:val="21"/>
                <w:szCs w:val="21"/>
                <w:shd w:val="clear"/>
                <w:lang w:val="en-US" w:eastAsia="zh-CN"/>
                <w14:textFill>
                  <w14:solidFill>
                    <w14:schemeClr w14:val="tx1"/>
                  </w14:solidFill>
                </w14:textFill>
              </w:rPr>
              <w:t>建筑工程</w:t>
            </w:r>
            <w:r>
              <w:rPr>
                <w:rFonts w:hint="eastAsia" w:ascii="宋体" w:hAnsi="宋体" w:eastAsia="宋体" w:cs="宋体"/>
                <w:color w:val="auto"/>
                <w:sz w:val="21"/>
                <w:szCs w:val="21"/>
                <w:lang w:val="en-US" w:eastAsia="zh-CN"/>
              </w:rPr>
              <w:t>相关业绩</w:t>
            </w:r>
            <w:r>
              <w:rPr>
                <w:rFonts w:hint="eastAsia" w:ascii="宋体" w:hAnsi="宋体" w:eastAsia="宋体" w:cs="宋体"/>
                <w:color w:val="auto"/>
                <w:sz w:val="21"/>
                <w:szCs w:val="21"/>
                <w:lang w:val="zh-CN" w:eastAsia="zh-CN"/>
              </w:rPr>
              <w:t>得</w:t>
            </w: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lang w:val="zh-CN" w:eastAsia="zh-CN"/>
              </w:rPr>
              <w:t>分，最高</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lang w:val="zh-CN" w:eastAsia="zh-CN"/>
              </w:rPr>
              <w:t>分。</w:t>
            </w:r>
            <w:r>
              <w:rPr>
                <w:rFonts w:hint="eastAsia" w:ascii="宋体" w:hAnsi="宋体" w:eastAsia="宋体" w:cs="宋体"/>
                <w:color w:val="auto"/>
                <w:sz w:val="21"/>
                <w:szCs w:val="21"/>
                <w:lang w:val="en-US" w:eastAsia="zh-CN"/>
              </w:rPr>
              <w:t>以投标文件中</w:t>
            </w:r>
            <w:r>
              <w:rPr>
                <w:rFonts w:hint="eastAsia" w:ascii="宋体" w:hAnsi="宋体" w:eastAsia="宋体" w:cs="宋体"/>
                <w:color w:val="auto"/>
                <w:sz w:val="21"/>
                <w:szCs w:val="21"/>
                <w:lang w:val="zh-CN" w:eastAsia="zh-CN"/>
              </w:rPr>
              <w:t>提供合同扫描件</w:t>
            </w:r>
            <w:r>
              <w:rPr>
                <w:rFonts w:hint="eastAsia" w:ascii="宋体" w:hAnsi="宋体" w:eastAsia="宋体" w:cs="宋体"/>
                <w:color w:val="auto"/>
                <w:sz w:val="21"/>
                <w:szCs w:val="21"/>
                <w:lang w:val="en-US" w:eastAsia="zh-CN"/>
              </w:rPr>
              <w:t>为准</w:t>
            </w:r>
            <w:r>
              <w:rPr>
                <w:rFonts w:hint="eastAsia" w:ascii="宋体" w:hAnsi="宋体" w:eastAsia="宋体" w:cs="宋体"/>
                <w:color w:val="auto"/>
                <w:sz w:val="21"/>
                <w:szCs w:val="21"/>
                <w:lang w:val="zh-CN" w:eastAsia="zh-CN"/>
              </w:rPr>
              <w:t>。</w:t>
            </w:r>
          </w:p>
        </w:tc>
      </w:tr>
      <w:tr w14:paraId="71097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518" w:type="dxa"/>
            <w:vMerge w:val="continue"/>
            <w:shd w:val="clear" w:color="auto" w:fill="auto"/>
            <w:vAlign w:val="center"/>
          </w:tcPr>
          <w:p w14:paraId="4653AE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796" w:type="dxa"/>
            <w:vMerge w:val="continue"/>
            <w:shd w:val="clear" w:color="auto" w:fill="auto"/>
            <w:vAlign w:val="center"/>
          </w:tcPr>
          <w:p w14:paraId="498B2DE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lang w:val="en-US" w:eastAsia="zh-CN"/>
              </w:rPr>
            </w:pPr>
          </w:p>
        </w:tc>
        <w:tc>
          <w:tcPr>
            <w:tcW w:w="1066" w:type="dxa"/>
            <w:shd w:val="clear" w:color="auto" w:fill="auto"/>
            <w:vAlign w:val="center"/>
          </w:tcPr>
          <w:p w14:paraId="4D1F6A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信用得分（10 分）</w:t>
            </w:r>
          </w:p>
        </w:tc>
        <w:tc>
          <w:tcPr>
            <w:tcW w:w="7258" w:type="dxa"/>
            <w:shd w:val="clear" w:color="auto" w:fill="auto"/>
            <w:vAlign w:val="center"/>
          </w:tcPr>
          <w:p w14:paraId="0658CC50">
            <w:pPr>
              <w:spacing w:line="360" w:lineRule="auto"/>
              <w:ind w:firstLine="0" w:firstLineChars="0"/>
              <w:jc w:val="left"/>
              <w:textAlignment w:val="baseline"/>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无不良记录的得满分 10 分。被行政部门实施行政处罚但未限制其投标资格的，每条扣 2 分，扣完为止。（评审以投标文件中所附的信用截图及信用信息报告为依据）</w:t>
            </w:r>
          </w:p>
        </w:tc>
      </w:tr>
    </w:tbl>
    <w:p w14:paraId="347C3334">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4、供应商存在下列情况之一的，投标无效：</w:t>
      </w:r>
    </w:p>
    <w:p w14:paraId="2006457B">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（一）磋商响应文件未按采购文件要求签署、盖章的；</w:t>
      </w:r>
    </w:p>
    <w:p w14:paraId="7C7888F6">
      <w:pPr>
        <w:ind w:firstLine="880" w:firstLineChars="4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（二）不具备采购文件中规定的资格要求的；</w:t>
      </w:r>
    </w:p>
    <w:p w14:paraId="3B6EAF6B">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（三）报价超过采购文件中规定的预算金额或者最高限价的；</w:t>
      </w:r>
    </w:p>
    <w:p w14:paraId="58F7B67A">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（四）磋商响应文件含有采购人不能接受的附加条件的；</w:t>
      </w:r>
    </w:p>
    <w:p w14:paraId="7CC2B4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　　（五）法律、法规和采购文件规定的其他无效情形。</w:t>
      </w:r>
    </w:p>
    <w:p w14:paraId="469A63E6">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5、汇总得分</w:t>
      </w:r>
    </w:p>
    <w:p w14:paraId="715B1BA1">
      <w:pPr>
        <w:ind w:firstLine="440" w:firstLineChars="200"/>
        <w:rPr>
          <w:rFonts w:hint="eastAsia" w:ascii="宋体" w:hAnsi="宋体" w:eastAsia="宋体" w:cs="宋体"/>
          <w:color w:val="auto"/>
          <w:kern w:val="0"/>
          <w:sz w:val="22"/>
          <w:szCs w:val="22"/>
        </w:rPr>
      </w:pPr>
      <w:r>
        <w:rPr>
          <w:rFonts w:hint="eastAsia" w:ascii="宋体" w:hAnsi="宋体" w:eastAsia="宋体" w:cs="宋体"/>
          <w:color w:val="auto"/>
          <w:kern w:val="0"/>
          <w:sz w:val="22"/>
          <w:szCs w:val="22"/>
        </w:rPr>
        <w:t>资格审查和初步审查均合格的供应商，</w:t>
      </w:r>
      <w:r>
        <w:rPr>
          <w:rFonts w:hint="eastAsia" w:ascii="宋体" w:hAnsi="宋体" w:eastAsia="宋体" w:cs="宋体"/>
          <w:color w:val="auto"/>
          <w:kern w:val="0"/>
          <w:sz w:val="22"/>
          <w:szCs w:val="22"/>
          <w:lang w:val="en-US" w:eastAsia="zh-CN"/>
        </w:rPr>
        <w:t>磋商小组各评委独立评分，按评审后综合得分由高到低顺序排列，推荐 3 名成交候选人。得分相同的，按磋商报价由低到高顺序排列，得分且磋商报价相同的，比较技术得分，此技术得分高者排在前</w:t>
      </w:r>
      <w:r>
        <w:rPr>
          <w:rFonts w:hint="eastAsia" w:ascii="宋体" w:hAnsi="宋体" w:eastAsia="宋体" w:cs="宋体"/>
          <w:color w:val="auto"/>
          <w:kern w:val="0"/>
          <w:sz w:val="22"/>
          <w:szCs w:val="22"/>
        </w:rPr>
        <w:t>。</w:t>
      </w:r>
    </w:p>
    <w:p w14:paraId="0B7B7E60">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6、特殊情况</w:t>
      </w:r>
    </w:p>
    <w:p w14:paraId="22AE7D83">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6.1对于磋商小组意见有分歧的问题，磋商小组实行少数服从多数的原则进行表决，表决结果经磋商小组全体成员过半数通过有效。</w:t>
      </w:r>
    </w:p>
    <w:p w14:paraId="3D8338E1">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6.2评委打分超过得分界限或未按本方法赋分时，该评委的打分按无效计分处理。</w:t>
      </w:r>
    </w:p>
    <w:p w14:paraId="289CBCE5">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6.3各种计算采用插入法，数字均保留两位小数，第三位“四舍五入”。</w:t>
      </w:r>
    </w:p>
    <w:p w14:paraId="02C5DECF">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32"/>
        </w:rPr>
        <w:t>6.4</w:t>
      </w:r>
      <w:r>
        <w:rPr>
          <w:rFonts w:hint="eastAsia" w:ascii="宋体" w:hAnsi="宋体" w:eastAsia="宋体" w:cs="宋体"/>
          <w:color w:val="auto"/>
          <w:sz w:val="22"/>
          <w:szCs w:val="22"/>
        </w:rPr>
        <w:t>评审过程中，若出现本办法以外的特殊情况时，将暂停评标，有关情况待磋商小组确定后，再行评定。</w:t>
      </w:r>
    </w:p>
    <w:p w14:paraId="5898F0C6">
      <w:pPr>
        <w:pStyle w:val="28"/>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6.5优先采购评审标准：若出现综合得分并列时，比较价格得分，此分项得分高者优先采购；若价格得分仍相同，比较</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得分高者优先采购；</w:t>
      </w:r>
      <w:r>
        <w:rPr>
          <w:rFonts w:hint="eastAsia" w:ascii="宋体" w:hAnsi="宋体" w:eastAsia="宋体" w:cs="宋体"/>
          <w:color w:val="auto"/>
          <w:sz w:val="22"/>
          <w:szCs w:val="22"/>
          <w:lang w:eastAsia="zh-CN"/>
        </w:rPr>
        <w:t>技术服务方案</w:t>
      </w:r>
      <w:r>
        <w:rPr>
          <w:rFonts w:hint="eastAsia" w:ascii="宋体" w:hAnsi="宋体" w:eastAsia="宋体" w:cs="宋体"/>
          <w:color w:val="auto"/>
          <w:sz w:val="22"/>
          <w:szCs w:val="22"/>
        </w:rPr>
        <w:t>得分仍相同的，比较商务部分得分，商务部分得分高者优先采购。</w:t>
      </w:r>
    </w:p>
    <w:p w14:paraId="451D48C6">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6.6评标结果汇总完成后，除下列情形外，任何人不得修改评标结果：</w:t>
      </w:r>
    </w:p>
    <w:p w14:paraId="05572E1A">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（一）分值汇总计算错误的；</w:t>
      </w:r>
    </w:p>
    <w:p w14:paraId="169E7D7A">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（二）分项评分超出评分标准范围的；</w:t>
      </w:r>
    </w:p>
    <w:p w14:paraId="7109C15B">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（三）评标委员会成员对客观评审因素评分不一致的；</w:t>
      </w:r>
    </w:p>
    <w:p w14:paraId="78E84D3A">
      <w:pPr>
        <w:pStyle w:val="29"/>
        <w:spacing w:line="360" w:lineRule="auto"/>
        <w:ind w:firstLine="420"/>
        <w:rPr>
          <w:rFonts w:hint="eastAsia" w:ascii="宋体" w:hAnsi="宋体" w:eastAsia="宋体" w:cs="宋体"/>
          <w:color w:val="auto"/>
          <w:sz w:val="22"/>
          <w:szCs w:val="22"/>
        </w:rPr>
      </w:pPr>
      <w:r>
        <w:rPr>
          <w:rFonts w:hint="eastAsia" w:ascii="宋体" w:hAnsi="宋体" w:eastAsia="宋体" w:cs="宋体"/>
          <w:color w:val="auto"/>
          <w:sz w:val="22"/>
          <w:szCs w:val="22"/>
        </w:rPr>
        <w:t>　　（四）经评标委员会认定评分畸高、畸低的。</w:t>
      </w:r>
    </w:p>
    <w:p w14:paraId="6F698792">
      <w:pPr>
        <w:spacing w:before="62" w:beforeLines="20"/>
        <w:ind w:firstLine="442" w:firstLineChars="200"/>
        <w:rPr>
          <w:rFonts w:hint="eastAsia" w:ascii="宋体" w:hAnsi="宋体" w:eastAsia="宋体" w:cs="宋体"/>
          <w:b/>
          <w:color w:val="auto"/>
          <w:sz w:val="22"/>
          <w:szCs w:val="22"/>
        </w:rPr>
      </w:pPr>
      <w:r>
        <w:rPr>
          <w:rFonts w:hint="eastAsia" w:ascii="宋体" w:hAnsi="宋体" w:eastAsia="宋体" w:cs="宋体"/>
          <w:b/>
          <w:color w:val="auto"/>
          <w:sz w:val="22"/>
          <w:szCs w:val="22"/>
        </w:rPr>
        <w:t>7、评标过程的监控</w:t>
      </w:r>
    </w:p>
    <w:p w14:paraId="66A692B3">
      <w:pPr>
        <w:pStyle w:val="11"/>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本项目评标过程实行全程录音、录像监控，供应商在评标过程中所进行的试图影响评标结果的不公正活动，可能导致其投标被拒绝。</w:t>
      </w:r>
    </w:p>
    <w:p w14:paraId="0663FF64">
      <w:pPr>
        <w:rPr>
          <w:rFonts w:hint="eastAsia" w:ascii="宋体" w:hAnsi="宋体" w:eastAsia="宋体" w:cs="宋体"/>
          <w:color w:val="auto"/>
          <w:sz w:val="24"/>
          <w:szCs w:val="24"/>
        </w:rPr>
      </w:pPr>
      <w:r>
        <w:rPr>
          <w:rFonts w:hint="eastAsia" w:ascii="宋体" w:hAnsi="宋体" w:eastAsia="宋体" w:cs="宋体"/>
          <w:color w:val="auto"/>
          <w:sz w:val="24"/>
          <w:szCs w:val="24"/>
        </w:rPr>
        <w:br w:type="page"/>
      </w:r>
    </w:p>
    <w:p w14:paraId="7ABC1292">
      <w:pPr>
        <w:pStyle w:val="3"/>
        <w:rPr>
          <w:rFonts w:hint="eastAsia" w:ascii="宋体" w:hAnsi="宋体" w:eastAsia="宋体" w:cs="宋体"/>
          <w:color w:val="auto"/>
        </w:rPr>
      </w:pPr>
      <w:bookmarkStart w:id="273" w:name="_Toc27781"/>
      <w:r>
        <w:rPr>
          <w:rFonts w:hint="eastAsia" w:ascii="宋体" w:hAnsi="宋体" w:eastAsia="宋体" w:cs="宋体"/>
          <w:color w:val="auto"/>
        </w:rPr>
        <w:t>第四章</w:t>
      </w:r>
      <w:bookmarkEnd w:id="270"/>
      <w:r>
        <w:rPr>
          <w:rFonts w:hint="eastAsia" w:ascii="宋体" w:hAnsi="宋体" w:eastAsia="宋体" w:cs="宋体"/>
          <w:color w:val="auto"/>
        </w:rPr>
        <w:t xml:space="preserve">  合同条款及格式</w:t>
      </w:r>
      <w:bookmarkEnd w:id="271"/>
      <w:bookmarkEnd w:id="272"/>
      <w:bookmarkEnd w:id="273"/>
    </w:p>
    <w:p w14:paraId="20ABE00F">
      <w:pPr>
        <w:widowControl/>
        <w:spacing w:line="360" w:lineRule="auto"/>
        <w:ind w:firstLine="3534" w:firstLineChars="1100"/>
        <w:jc w:val="left"/>
        <w:rPr>
          <w:rFonts w:hint="eastAsia" w:ascii="宋体" w:hAnsi="宋体" w:eastAsia="宋体" w:cs="宋体"/>
          <w:b/>
          <w:color w:val="auto"/>
          <w:kern w:val="0"/>
          <w:sz w:val="32"/>
          <w:szCs w:val="32"/>
          <w:lang w:val="en-US" w:eastAsia="zh-CN" w:bidi="ar"/>
        </w:rPr>
      </w:pPr>
      <w:bookmarkStart w:id="274" w:name="_Toc243"/>
      <w:bookmarkStart w:id="275" w:name="_Toc29433"/>
      <w:bookmarkStart w:id="276" w:name="_Toc295114403"/>
      <w:bookmarkStart w:id="277" w:name="_Toc28673"/>
      <w:r>
        <w:rPr>
          <w:rFonts w:hint="eastAsia" w:ascii="宋体" w:hAnsi="宋体" w:eastAsia="宋体" w:cs="宋体"/>
          <w:b/>
          <w:color w:val="auto"/>
          <w:kern w:val="0"/>
          <w:sz w:val="32"/>
          <w:szCs w:val="32"/>
          <w:lang w:eastAsia="zh-CN" w:bidi="ar"/>
        </w:rPr>
        <w:t>合同格式及条款前附表</w:t>
      </w:r>
      <w:bookmarkEnd w:id="274"/>
    </w:p>
    <w:p w14:paraId="057EBA8F">
      <w:pPr>
        <w:spacing w:line="215" w:lineRule="exact"/>
        <w:outlineLvl w:val="9"/>
        <w:rPr>
          <w:rFonts w:hint="eastAsia" w:ascii="宋体" w:hAnsi="宋体" w:eastAsia="宋体" w:cs="宋体"/>
          <w:color w:val="auto"/>
          <w:sz w:val="24"/>
          <w:szCs w:val="24"/>
        </w:rPr>
      </w:pPr>
    </w:p>
    <w:p w14:paraId="692F5BA8">
      <w:pPr>
        <w:spacing w:line="0" w:lineRule="atLeast"/>
        <w:outlineLvl w:val="9"/>
        <w:rPr>
          <w:rFonts w:hint="eastAsia" w:ascii="宋体" w:hAnsi="宋体" w:eastAsia="宋体" w:cs="宋体"/>
          <w:color w:val="auto"/>
          <w:sz w:val="22"/>
          <w:szCs w:val="22"/>
        </w:rPr>
      </w:pPr>
      <w:r>
        <w:rPr>
          <w:rFonts w:hint="eastAsia" w:ascii="宋体" w:hAnsi="宋体" w:eastAsia="宋体" w:cs="宋体"/>
          <w:color w:val="auto"/>
          <w:sz w:val="22"/>
          <w:szCs w:val="22"/>
        </w:rPr>
        <w:t>本表是对合同条款的具体补充和修改，如有矛盾，应以本资料表为准。</w:t>
      </w:r>
    </w:p>
    <w:tbl>
      <w:tblPr>
        <w:tblStyle w:val="21"/>
        <w:tblW w:w="9650" w:type="dxa"/>
        <w:tblInd w:w="-23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63"/>
        <w:gridCol w:w="8787"/>
      </w:tblGrid>
      <w:tr w14:paraId="1BDE7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7" w:hRule="atLeast"/>
        </w:trPr>
        <w:tc>
          <w:tcPr>
            <w:tcW w:w="863" w:type="dxa"/>
            <w:noWrap w:val="0"/>
            <w:vAlign w:val="center"/>
          </w:tcPr>
          <w:p w14:paraId="08FB279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条款号</w:t>
            </w:r>
          </w:p>
        </w:tc>
        <w:tc>
          <w:tcPr>
            <w:tcW w:w="8787" w:type="dxa"/>
            <w:noWrap w:val="0"/>
            <w:vAlign w:val="center"/>
          </w:tcPr>
          <w:p w14:paraId="3B219F2D">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内容</w:t>
            </w:r>
          </w:p>
        </w:tc>
      </w:tr>
      <w:tr w14:paraId="60A91D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863" w:type="dxa"/>
            <w:noWrap w:val="0"/>
            <w:vAlign w:val="center"/>
          </w:tcPr>
          <w:p w14:paraId="00225D1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8787" w:type="dxa"/>
            <w:noWrap w:val="0"/>
            <w:vAlign w:val="center"/>
          </w:tcPr>
          <w:p w14:paraId="270438F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bCs/>
                <w:color w:val="auto"/>
                <w:kern w:val="0"/>
                <w:sz w:val="22"/>
                <w:szCs w:val="22"/>
                <w:lang w:eastAsia="zh-CN" w:bidi="ar"/>
              </w:rPr>
            </w:pPr>
            <w:r>
              <w:rPr>
                <w:rFonts w:hint="eastAsia" w:ascii="宋体" w:hAnsi="宋体" w:eastAsia="宋体" w:cs="宋体"/>
                <w:color w:val="auto"/>
                <w:sz w:val="22"/>
                <w:szCs w:val="22"/>
              </w:rPr>
              <w:t>采购人名称：</w:t>
            </w:r>
            <w:r>
              <w:rPr>
                <w:rFonts w:hint="eastAsia" w:ascii="宋体" w:hAnsi="宋体" w:eastAsia="宋体" w:cs="宋体"/>
                <w:bCs/>
                <w:color w:val="auto"/>
                <w:kern w:val="0"/>
                <w:sz w:val="22"/>
                <w:szCs w:val="22"/>
                <w:lang w:eastAsia="zh-CN" w:bidi="ar"/>
              </w:rPr>
              <w:t>府谷县府谷镇人民政府</w:t>
            </w:r>
          </w:p>
          <w:p w14:paraId="70FD2CF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rPr>
              <w:t xml:space="preserve">地  </w:t>
            </w:r>
            <w:r>
              <w:rPr>
                <w:rFonts w:hint="eastAsia" w:ascii="宋体" w:hAnsi="宋体" w:eastAsia="宋体" w:cs="宋体"/>
                <w:color w:val="auto"/>
                <w:sz w:val="22"/>
                <w:szCs w:val="22"/>
                <w:lang w:val="en-US" w:eastAsia="zh-CN"/>
              </w:rPr>
              <w:t xml:space="preserve">  </w:t>
            </w:r>
            <w:r>
              <w:rPr>
                <w:rFonts w:hint="eastAsia" w:ascii="宋体" w:hAnsi="宋体" w:eastAsia="宋体" w:cs="宋体"/>
                <w:color w:val="auto"/>
                <w:sz w:val="22"/>
                <w:szCs w:val="22"/>
              </w:rPr>
              <w:t xml:space="preserve">  址：</w:t>
            </w:r>
            <w:r>
              <w:rPr>
                <w:rFonts w:hint="eastAsia" w:ascii="宋体" w:hAnsi="宋体" w:eastAsia="宋体" w:cs="宋体"/>
                <w:color w:val="auto"/>
                <w:sz w:val="22"/>
                <w:szCs w:val="22"/>
                <w:lang w:eastAsia="zh-CN"/>
              </w:rPr>
              <w:t>陕西省榆林市府谷县</w:t>
            </w:r>
            <w:r>
              <w:rPr>
                <w:rFonts w:hint="eastAsia" w:ascii="宋体" w:hAnsi="宋体" w:eastAsia="宋体" w:cs="宋体"/>
                <w:color w:val="auto"/>
                <w:sz w:val="22"/>
                <w:szCs w:val="22"/>
                <w:lang w:val="en-US" w:eastAsia="zh-CN"/>
              </w:rPr>
              <w:t>府谷</w:t>
            </w:r>
            <w:r>
              <w:rPr>
                <w:rFonts w:hint="eastAsia" w:ascii="宋体" w:hAnsi="宋体" w:eastAsia="宋体" w:cs="宋体"/>
                <w:color w:val="auto"/>
                <w:sz w:val="22"/>
                <w:szCs w:val="22"/>
                <w:lang w:eastAsia="zh-CN"/>
              </w:rPr>
              <w:t>镇</w:t>
            </w:r>
          </w:p>
          <w:p w14:paraId="744428F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eastAsia="zh-CN"/>
              </w:rPr>
              <w:t>采购</w:t>
            </w:r>
            <w:r>
              <w:rPr>
                <w:rFonts w:hint="eastAsia" w:ascii="宋体" w:hAnsi="宋体" w:eastAsia="宋体" w:cs="宋体"/>
                <w:color w:val="auto"/>
                <w:sz w:val="22"/>
                <w:szCs w:val="22"/>
              </w:rPr>
              <w:t>项目名称</w:t>
            </w:r>
            <w:r>
              <w:rPr>
                <w:rFonts w:hint="eastAsia" w:ascii="宋体" w:hAnsi="宋体" w:eastAsia="宋体" w:cs="宋体"/>
                <w:color w:val="auto"/>
                <w:sz w:val="22"/>
                <w:szCs w:val="22"/>
                <w:lang w:eastAsia="zh-CN"/>
              </w:rPr>
              <w:t>：府谷县流动党员服务中心提升工程</w:t>
            </w:r>
          </w:p>
          <w:p w14:paraId="718825E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资金来源：</w:t>
            </w:r>
            <w:r>
              <w:rPr>
                <w:rFonts w:hint="eastAsia" w:ascii="宋体" w:hAnsi="宋体" w:eastAsia="宋体" w:cs="宋体"/>
                <w:color w:val="auto"/>
                <w:sz w:val="22"/>
                <w:szCs w:val="22"/>
                <w:lang w:eastAsia="zh-CN"/>
              </w:rPr>
              <w:t>财政资金</w:t>
            </w:r>
          </w:p>
        </w:tc>
      </w:tr>
      <w:tr w14:paraId="19A4F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70" w:hRule="atLeast"/>
        </w:trPr>
        <w:tc>
          <w:tcPr>
            <w:tcW w:w="863" w:type="dxa"/>
            <w:noWrap w:val="0"/>
            <w:vAlign w:val="center"/>
          </w:tcPr>
          <w:p w14:paraId="18FA96E0">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2</w:t>
            </w:r>
          </w:p>
        </w:tc>
        <w:tc>
          <w:tcPr>
            <w:tcW w:w="8787" w:type="dxa"/>
            <w:noWrap w:val="0"/>
            <w:vAlign w:val="center"/>
          </w:tcPr>
          <w:p w14:paraId="70FC0E11">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rPr>
              <w:t>项目实施地点：</w:t>
            </w:r>
            <w:r>
              <w:rPr>
                <w:rFonts w:hint="eastAsia" w:ascii="宋体" w:hAnsi="宋体" w:eastAsia="宋体" w:cs="宋体"/>
                <w:color w:val="auto"/>
                <w:sz w:val="22"/>
                <w:szCs w:val="22"/>
                <w:lang w:val="en-US" w:eastAsia="zh-CN"/>
              </w:rPr>
              <w:t>府谷镇</w:t>
            </w:r>
          </w:p>
        </w:tc>
      </w:tr>
      <w:tr w14:paraId="05DD9C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9" w:hRule="atLeast"/>
        </w:trPr>
        <w:tc>
          <w:tcPr>
            <w:tcW w:w="863" w:type="dxa"/>
            <w:shd w:val="clear" w:color="auto" w:fill="auto"/>
            <w:noWrap w:val="0"/>
            <w:vAlign w:val="center"/>
          </w:tcPr>
          <w:p w14:paraId="3C697445">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3</w:t>
            </w:r>
          </w:p>
        </w:tc>
        <w:tc>
          <w:tcPr>
            <w:tcW w:w="8787" w:type="dxa"/>
            <w:shd w:val="clear" w:color="auto" w:fill="auto"/>
            <w:noWrap w:val="0"/>
            <w:vAlign w:val="center"/>
          </w:tcPr>
          <w:p w14:paraId="45AB8DE2">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default"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工</w:t>
            </w:r>
            <w:r>
              <w:rPr>
                <w:rFonts w:hint="eastAsia" w:ascii="宋体" w:hAnsi="宋体" w:eastAsia="宋体" w:cs="宋体"/>
                <w:color w:val="auto"/>
                <w:sz w:val="22"/>
                <w:szCs w:val="22"/>
                <w:highlight w:val="none"/>
                <w:lang w:eastAsia="zh-CN"/>
              </w:rPr>
              <w:t>期</w:t>
            </w:r>
            <w:r>
              <w:rPr>
                <w:rFonts w:hint="eastAsia" w:ascii="宋体" w:hAnsi="宋体" w:eastAsia="宋体" w:cs="宋体"/>
                <w:color w:val="auto"/>
                <w:sz w:val="22"/>
                <w:szCs w:val="22"/>
                <w:highlight w:val="none"/>
                <w:lang w:val="en-US" w:eastAsia="zh-CN"/>
              </w:rPr>
              <w:t xml:space="preserve">：30日历天 </w:t>
            </w:r>
          </w:p>
        </w:tc>
      </w:tr>
      <w:tr w14:paraId="23986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5" w:hRule="atLeast"/>
        </w:trPr>
        <w:tc>
          <w:tcPr>
            <w:tcW w:w="863" w:type="dxa"/>
            <w:noWrap w:val="0"/>
            <w:vAlign w:val="center"/>
          </w:tcPr>
          <w:p w14:paraId="4E42703C">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4</w:t>
            </w:r>
          </w:p>
        </w:tc>
        <w:tc>
          <w:tcPr>
            <w:tcW w:w="8787" w:type="dxa"/>
            <w:noWrap w:val="0"/>
            <w:vAlign w:val="center"/>
          </w:tcPr>
          <w:p w14:paraId="74C3467B">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rPr>
              <w:t>质量要求：符合国家及</w:t>
            </w:r>
            <w:r>
              <w:rPr>
                <w:rFonts w:hint="eastAsia" w:ascii="宋体" w:hAnsi="宋体" w:eastAsia="宋体" w:cs="宋体"/>
                <w:color w:val="auto"/>
                <w:sz w:val="22"/>
                <w:szCs w:val="22"/>
                <w:lang w:val="en-US" w:eastAsia="zh-CN"/>
              </w:rPr>
              <w:t>行业</w:t>
            </w:r>
            <w:r>
              <w:rPr>
                <w:rFonts w:hint="eastAsia" w:ascii="宋体" w:hAnsi="宋体" w:eastAsia="宋体" w:cs="宋体"/>
                <w:color w:val="auto"/>
                <w:sz w:val="22"/>
                <w:szCs w:val="22"/>
              </w:rPr>
              <w:t>相关部门规定的验收合格标准</w:t>
            </w:r>
          </w:p>
        </w:tc>
      </w:tr>
      <w:tr w14:paraId="41991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532" w:hRule="atLeast"/>
        </w:trPr>
        <w:tc>
          <w:tcPr>
            <w:tcW w:w="863" w:type="dxa"/>
            <w:noWrap w:val="0"/>
            <w:vAlign w:val="center"/>
          </w:tcPr>
          <w:p w14:paraId="462A76D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rPr>
            </w:pPr>
            <w:r>
              <w:rPr>
                <w:rFonts w:hint="eastAsia" w:ascii="宋体" w:hAnsi="宋体" w:eastAsia="宋体" w:cs="宋体"/>
                <w:color w:val="auto"/>
                <w:sz w:val="22"/>
                <w:szCs w:val="22"/>
              </w:rPr>
              <w:t>5</w:t>
            </w:r>
          </w:p>
        </w:tc>
        <w:tc>
          <w:tcPr>
            <w:tcW w:w="8787" w:type="dxa"/>
            <w:noWrap w:val="0"/>
            <w:vAlign w:val="center"/>
          </w:tcPr>
          <w:p w14:paraId="0C50239F">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1.合同总价即</w:t>
            </w:r>
            <w:r>
              <w:rPr>
                <w:rFonts w:hint="eastAsia" w:ascii="宋体" w:hAnsi="宋体" w:eastAsia="宋体" w:cs="宋体"/>
                <w:color w:val="auto"/>
                <w:sz w:val="22"/>
                <w:szCs w:val="22"/>
                <w:highlight w:val="none"/>
                <w:lang w:eastAsia="zh-CN"/>
              </w:rPr>
              <w:t>成交</w:t>
            </w:r>
            <w:r>
              <w:rPr>
                <w:rFonts w:hint="eastAsia" w:ascii="宋体" w:hAnsi="宋体" w:eastAsia="宋体" w:cs="宋体"/>
                <w:color w:val="auto"/>
                <w:sz w:val="22"/>
                <w:szCs w:val="22"/>
                <w:highlight w:val="none"/>
              </w:rPr>
              <w:t>价，磋商报价是完成招标内容所需的全部费用，包括调研交通费用、食宿费、劳务费、资料费、装订费、修订费、评审费等一切费用。投标报价表中任何有选择的报价将不予接受，按无效投标处理。</w:t>
            </w:r>
          </w:p>
          <w:p w14:paraId="3920DDBE">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2.合同总价一次包死，不受市场价变化或实际工作量变化的影响。</w:t>
            </w:r>
          </w:p>
          <w:p w14:paraId="16E216C3">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3.付款方式和程序：</w:t>
            </w:r>
          </w:p>
          <w:p w14:paraId="583696B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（1）由采购人负责结算，在付款前，供应商必须开具全额发票给采购人。</w:t>
            </w:r>
          </w:p>
          <w:p w14:paraId="4FC9404A">
            <w:pPr>
              <w:keepNext w:val="0"/>
              <w:keepLines w:val="0"/>
              <w:pageBreakBefore w:val="0"/>
              <w:widowControl w:val="0"/>
              <w:kinsoku/>
              <w:wordWrap/>
              <w:overflowPunct/>
              <w:topLinePunct w:val="0"/>
              <w:autoSpaceDE/>
              <w:autoSpaceDN/>
              <w:bidi w:val="0"/>
              <w:adjustRightInd/>
              <w:snapToGrid/>
              <w:spacing w:line="288" w:lineRule="auto"/>
              <w:textAlignment w:val="auto"/>
              <w:outlineLvl w:val="9"/>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shd w:val="clear"/>
              </w:rPr>
              <w:t>（2）付款方式：</w:t>
            </w:r>
            <w:r>
              <w:rPr>
                <w:rFonts w:hint="eastAsia" w:ascii="宋体" w:hAnsi="宋体" w:eastAsia="宋体" w:cs="宋体"/>
                <w:color w:val="auto"/>
                <w:sz w:val="22"/>
                <w:szCs w:val="22"/>
                <w:highlight w:val="none"/>
                <w:shd w:val="clear"/>
                <w:lang w:eastAsia="zh-CN"/>
              </w:rPr>
              <w:t>付款方式：合同签订后按当月工程进度80%支付进度款，待工程竣工最终验收审计合格质保期满后一次性支付剩余工程款。</w:t>
            </w:r>
          </w:p>
        </w:tc>
      </w:tr>
      <w:tr w14:paraId="5ED853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313" w:hRule="atLeast"/>
        </w:trPr>
        <w:tc>
          <w:tcPr>
            <w:tcW w:w="863" w:type="dxa"/>
            <w:noWrap w:val="0"/>
            <w:vAlign w:val="center"/>
          </w:tcPr>
          <w:p w14:paraId="6204AF1F">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9"/>
              <w:rPr>
                <w:rFonts w:hint="eastAsia" w:ascii="宋体" w:hAnsi="宋体" w:eastAsia="宋体" w:cs="宋体"/>
                <w:color w:val="auto"/>
                <w:sz w:val="22"/>
                <w:szCs w:val="22"/>
                <w:lang w:eastAsia="zh-CN"/>
              </w:rPr>
            </w:pPr>
            <w:r>
              <w:rPr>
                <w:rFonts w:hint="eastAsia" w:ascii="宋体" w:hAnsi="宋体" w:eastAsia="宋体" w:cs="宋体"/>
                <w:color w:val="auto"/>
                <w:sz w:val="22"/>
                <w:szCs w:val="22"/>
                <w:lang w:val="en-US" w:eastAsia="zh-CN"/>
              </w:rPr>
              <w:t>6</w:t>
            </w:r>
          </w:p>
        </w:tc>
        <w:tc>
          <w:tcPr>
            <w:tcW w:w="8787" w:type="dxa"/>
            <w:noWrap w:val="0"/>
            <w:vAlign w:val="center"/>
          </w:tcPr>
          <w:p w14:paraId="2F8712E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b/>
                <w:color w:val="auto"/>
                <w:sz w:val="22"/>
                <w:szCs w:val="22"/>
              </w:rPr>
            </w:pPr>
            <w:r>
              <w:rPr>
                <w:rFonts w:hint="eastAsia" w:ascii="宋体" w:hAnsi="宋体" w:eastAsia="宋体" w:cs="宋体"/>
                <w:b/>
                <w:color w:val="auto"/>
                <w:sz w:val="22"/>
                <w:szCs w:val="22"/>
              </w:rPr>
              <w:t>知识产权</w:t>
            </w:r>
          </w:p>
          <w:p w14:paraId="721E2DF1">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（1）乙方为履行本合同义务所形成的服务成果的知识产权归甲方所有。</w:t>
            </w:r>
          </w:p>
          <w:p w14:paraId="19EECBD8">
            <w:pPr>
              <w:keepNext w:val="0"/>
              <w:keepLines w:val="0"/>
              <w:pageBreakBefore w:val="0"/>
              <w:widowControl w:val="0"/>
              <w:wordWrap/>
              <w:overflowPunct/>
              <w:topLinePunct w:val="0"/>
              <w:autoSpaceDE/>
              <w:autoSpaceDN/>
              <w:bidi w:val="0"/>
              <w:spacing w:line="312" w:lineRule="auto"/>
              <w:textAlignment w:val="auto"/>
              <w:outlineLvl w:val="9"/>
              <w:rPr>
                <w:rFonts w:hint="eastAsia" w:ascii="宋体" w:hAnsi="宋体" w:eastAsia="宋体" w:cs="宋体"/>
                <w:color w:val="auto"/>
                <w:sz w:val="22"/>
                <w:szCs w:val="22"/>
                <w:lang w:val="en-US" w:eastAsia="zh-CN"/>
              </w:rPr>
            </w:pPr>
            <w:r>
              <w:rPr>
                <w:rFonts w:hint="eastAsia" w:ascii="宋体" w:hAnsi="宋体" w:eastAsia="宋体" w:cs="宋体"/>
                <w:color w:val="auto"/>
                <w:sz w:val="22"/>
                <w:szCs w:val="22"/>
                <w:lang w:val="en-US" w:eastAsia="zh-CN"/>
              </w:rPr>
              <w:t>（2）乙方保证向甲方提供的服务成果是其独立实施完成，不存在任何侵犯第三方专利权、商标权、著作权等合法权益。如因乙方提供的服务成果侵犯任何第三方的合法权益，导致该第三方追究甲方责任的，乙方应负责解决并赔偿因此给甲方造成的全部损失。</w:t>
            </w:r>
          </w:p>
        </w:tc>
      </w:tr>
    </w:tbl>
    <w:p w14:paraId="2B94E0D4">
      <w:pPr>
        <w:spacing w:line="360" w:lineRule="auto"/>
        <w:jc w:val="both"/>
        <w:rPr>
          <w:rFonts w:hint="eastAsia" w:ascii="宋体" w:hAnsi="宋体" w:eastAsia="宋体" w:cs="宋体"/>
          <w:b/>
          <w:bCs/>
          <w:color w:val="auto"/>
          <w:sz w:val="44"/>
          <w:szCs w:val="44"/>
          <w:lang w:eastAsia="zh-CN"/>
        </w:rPr>
      </w:pPr>
    </w:p>
    <w:p w14:paraId="27838152">
      <w:pP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br w:type="page"/>
      </w:r>
    </w:p>
    <w:p w14:paraId="10B1BCC2">
      <w:pPr>
        <w:spacing w:line="360" w:lineRule="auto"/>
        <w:jc w:val="center"/>
        <w:rPr>
          <w:rFonts w:hint="eastAsia" w:ascii="宋体" w:hAnsi="宋体" w:eastAsia="宋体" w:cs="宋体"/>
          <w:b/>
          <w:bCs/>
          <w:color w:val="auto"/>
          <w:sz w:val="44"/>
          <w:szCs w:val="44"/>
          <w:lang w:eastAsia="zh-CN"/>
        </w:rPr>
      </w:pPr>
    </w:p>
    <w:p w14:paraId="67DEBC8A">
      <w:pPr>
        <w:spacing w:line="36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府谷县流动党员服务中心提升工程采购合同</w:t>
      </w:r>
    </w:p>
    <w:p w14:paraId="2EF949DC">
      <w:pPr>
        <w:pStyle w:val="25"/>
        <w:rPr>
          <w:rFonts w:hint="eastAsia" w:ascii="宋体" w:hAnsi="宋体" w:eastAsia="宋体" w:cs="宋体"/>
          <w:color w:val="auto"/>
          <w:lang w:eastAsia="zh-CN"/>
        </w:rPr>
      </w:pPr>
    </w:p>
    <w:p w14:paraId="01B10816">
      <w:pPr>
        <w:spacing w:line="720" w:lineRule="auto"/>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t>（仅供参考，最终以甲乙双方签订为准）</w:t>
      </w:r>
    </w:p>
    <w:p w14:paraId="5B7732C9">
      <w:pPr>
        <w:rPr>
          <w:rFonts w:hint="eastAsia" w:ascii="宋体" w:hAnsi="宋体" w:eastAsia="宋体" w:cs="宋体"/>
          <w:color w:val="auto"/>
        </w:rPr>
      </w:pPr>
    </w:p>
    <w:p w14:paraId="6E58344E">
      <w:pPr>
        <w:rPr>
          <w:rFonts w:hint="eastAsia" w:ascii="宋体" w:hAnsi="宋体" w:eastAsia="宋体" w:cs="宋体"/>
          <w:color w:val="auto"/>
        </w:rPr>
      </w:pPr>
    </w:p>
    <w:p w14:paraId="469028BD">
      <w:pPr>
        <w:pStyle w:val="25"/>
        <w:rPr>
          <w:rFonts w:hint="eastAsia" w:ascii="宋体" w:hAnsi="宋体" w:eastAsia="宋体" w:cs="宋体"/>
          <w:color w:val="auto"/>
        </w:rPr>
      </w:pPr>
    </w:p>
    <w:p w14:paraId="26A16C4B">
      <w:pPr>
        <w:jc w:val="both"/>
        <w:rPr>
          <w:rFonts w:hint="eastAsia" w:ascii="宋体" w:hAnsi="宋体" w:eastAsia="宋体" w:cs="宋体"/>
          <w:b/>
          <w:color w:val="auto"/>
          <w:sz w:val="36"/>
          <w:szCs w:val="36"/>
        </w:rPr>
      </w:pPr>
    </w:p>
    <w:p w14:paraId="12D74563">
      <w:pPr>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（示范文本）</w:t>
      </w:r>
    </w:p>
    <w:p w14:paraId="0D96A338">
      <w:pPr>
        <w:spacing w:before="120" w:line="360" w:lineRule="auto"/>
        <w:rPr>
          <w:rFonts w:hint="eastAsia" w:ascii="宋体" w:hAnsi="宋体" w:eastAsia="宋体" w:cs="宋体"/>
          <w:b/>
          <w:bCs/>
          <w:color w:val="auto"/>
          <w:sz w:val="28"/>
          <w:szCs w:val="28"/>
        </w:rPr>
      </w:pPr>
    </w:p>
    <w:p w14:paraId="3347198C">
      <w:pPr>
        <w:pStyle w:val="25"/>
        <w:rPr>
          <w:rFonts w:hint="eastAsia" w:ascii="宋体" w:hAnsi="宋体" w:eastAsia="宋体" w:cs="宋体"/>
          <w:b/>
          <w:bCs/>
          <w:color w:val="auto"/>
          <w:sz w:val="28"/>
          <w:szCs w:val="28"/>
        </w:rPr>
      </w:pPr>
    </w:p>
    <w:p w14:paraId="3182F410">
      <w:pPr>
        <w:pStyle w:val="25"/>
        <w:rPr>
          <w:rFonts w:hint="eastAsia" w:ascii="宋体" w:hAnsi="宋体" w:eastAsia="宋体" w:cs="宋体"/>
          <w:b/>
          <w:bCs/>
          <w:color w:val="auto"/>
          <w:sz w:val="28"/>
          <w:szCs w:val="28"/>
        </w:rPr>
      </w:pPr>
    </w:p>
    <w:p w14:paraId="0FE22479">
      <w:pPr>
        <w:adjustRightInd w:val="0"/>
        <w:snapToGrid w:val="0"/>
        <w:spacing w:line="580" w:lineRule="exact"/>
        <w:ind w:firstLine="557" w:firstLineChars="198"/>
        <w:rPr>
          <w:rFonts w:hint="eastAsia" w:ascii="宋体" w:hAnsi="宋体" w:eastAsia="宋体" w:cs="宋体"/>
          <w:color w:val="auto"/>
          <w:sz w:val="24"/>
          <w:u w:val="thick"/>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 xml:space="preserve">编号： </w:t>
      </w:r>
      <w:r>
        <w:rPr>
          <w:rFonts w:hint="eastAsia" w:ascii="宋体" w:hAnsi="宋体" w:eastAsia="宋体" w:cs="宋体"/>
          <w:color w:val="auto"/>
          <w:sz w:val="24"/>
          <w:u w:val="single"/>
        </w:rPr>
        <w:t xml:space="preserve">                                      </w:t>
      </w:r>
    </w:p>
    <w:p w14:paraId="784101C9">
      <w:pPr>
        <w:adjustRightInd w:val="0"/>
        <w:snapToGrid w:val="0"/>
        <w:spacing w:line="700" w:lineRule="exact"/>
        <w:ind w:firstLine="562" w:firstLineChars="200"/>
        <w:jc w:val="left"/>
        <w:rPr>
          <w:rFonts w:hint="eastAsia" w:ascii="宋体" w:hAnsi="宋体" w:eastAsia="宋体" w:cs="宋体"/>
          <w:b/>
          <w:bCs/>
          <w:color w:val="auto"/>
          <w:sz w:val="28"/>
          <w:szCs w:val="28"/>
        </w:rPr>
      </w:pPr>
      <w:r>
        <w:rPr>
          <w:rFonts w:hint="eastAsia" w:ascii="宋体" w:hAnsi="宋体" w:eastAsia="宋体" w:cs="宋体"/>
          <w:b/>
          <w:bCs/>
          <w:color w:val="auto"/>
          <w:sz w:val="28"/>
          <w:szCs w:val="28"/>
        </w:rPr>
        <w:t>采购人：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0DA50BEA">
      <w:pPr>
        <w:adjustRightInd w:val="0"/>
        <w:snapToGrid w:val="0"/>
        <w:spacing w:line="700" w:lineRule="exact"/>
        <w:ind w:firstLine="557" w:firstLineChars="198"/>
        <w:jc w:val="left"/>
        <w:rPr>
          <w:rFonts w:hint="eastAsia" w:ascii="宋体" w:hAnsi="宋体" w:eastAsia="宋体" w:cs="宋体"/>
          <w:color w:val="auto"/>
          <w:sz w:val="24"/>
          <w:lang w:val="en-US" w:eastAsia="zh-CN"/>
        </w:rPr>
      </w:pPr>
      <w:r>
        <w:rPr>
          <w:rFonts w:hint="eastAsia" w:ascii="宋体" w:hAnsi="宋体" w:eastAsia="宋体" w:cs="宋体"/>
          <w:b/>
          <w:bCs/>
          <w:color w:val="auto"/>
          <w:sz w:val="28"/>
          <w:szCs w:val="28"/>
        </w:rPr>
        <w:t>供应商</w:t>
      </w:r>
      <w:r>
        <w:rPr>
          <w:rFonts w:hint="eastAsia" w:ascii="宋体" w:hAnsi="宋体" w:eastAsia="宋体" w:cs="宋体"/>
          <w:b/>
          <w:bCs/>
          <w:color w:val="auto"/>
          <w:sz w:val="28"/>
          <w:szCs w:val="28"/>
          <w:lang w:eastAsia="zh-CN"/>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p>
    <w:p w14:paraId="3D2F9269">
      <w:pPr>
        <w:adjustRightInd w:val="0"/>
        <w:snapToGrid w:val="0"/>
        <w:spacing w:line="700" w:lineRule="exact"/>
        <w:ind w:firstLine="557" w:firstLineChars="198"/>
        <w:jc w:val="left"/>
        <w:rPr>
          <w:rFonts w:hint="eastAsia" w:ascii="宋体" w:hAnsi="宋体" w:eastAsia="宋体" w:cs="宋体"/>
          <w:color w:val="auto"/>
          <w:sz w:val="24"/>
        </w:rPr>
      </w:pPr>
      <w:r>
        <w:rPr>
          <w:rFonts w:hint="eastAsia" w:ascii="宋体" w:hAnsi="宋体" w:eastAsia="宋体" w:cs="宋体"/>
          <w:b/>
          <w:bCs/>
          <w:color w:val="auto"/>
          <w:sz w:val="28"/>
          <w:szCs w:val="28"/>
        </w:rPr>
        <w:t>签署日期：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1B0DA1CE">
      <w:pPr>
        <w:spacing w:line="360" w:lineRule="auto"/>
        <w:ind w:firstLine="843" w:firstLineChars="350"/>
        <w:rPr>
          <w:rFonts w:hint="eastAsia" w:ascii="宋体" w:hAnsi="宋体" w:eastAsia="宋体" w:cs="宋体"/>
          <w:b/>
          <w:bCs/>
          <w:color w:val="auto"/>
          <w:sz w:val="24"/>
        </w:rPr>
      </w:pPr>
      <w:r>
        <w:rPr>
          <w:rFonts w:hint="eastAsia" w:ascii="宋体" w:hAnsi="宋体" w:eastAsia="宋体" w:cs="宋体"/>
          <w:b/>
          <w:bCs/>
          <w:color w:val="auto"/>
          <w:sz w:val="24"/>
        </w:rPr>
        <w:t>　　　　　　　　　             　　</w:t>
      </w:r>
    </w:p>
    <w:p w14:paraId="4D1BCE1D">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723" w:firstLineChars="200"/>
        <w:jc w:val="center"/>
        <w:textAlignment w:val="baseline"/>
        <w:rPr>
          <w:rFonts w:hint="eastAsia" w:asciiTheme="minorEastAsia" w:hAnsiTheme="minorEastAsia" w:eastAsiaTheme="minorEastAsia" w:cstheme="minorEastAsia"/>
          <w:spacing w:val="10"/>
          <w:sz w:val="35"/>
          <w:szCs w:val="35"/>
          <w:lang w:val="en-US" w:eastAsia="zh-CN"/>
          <w14:textOutline w14:w="6537" w14:cap="sq" w14:cmpd="sng">
            <w14:solidFill>
              <w14:srgbClr w14:val="000000"/>
            </w14:solidFill>
            <w14:prstDash w14:val="solid"/>
            <w14:bevel/>
          </w14:textOutline>
        </w:rPr>
      </w:pPr>
      <w:r>
        <w:rPr>
          <w:rFonts w:hint="eastAsia" w:ascii="宋体" w:hAnsi="宋体" w:eastAsia="宋体" w:cs="宋体"/>
          <w:b/>
          <w:bCs/>
          <w:color w:val="auto"/>
          <w:sz w:val="36"/>
          <w:szCs w:val="36"/>
        </w:rPr>
        <w:br w:type="page"/>
      </w:r>
      <w:r>
        <w:rPr>
          <w:rFonts w:hint="eastAsia" w:asciiTheme="minorEastAsia" w:hAnsiTheme="minorEastAsia" w:eastAsiaTheme="minorEastAsia" w:cstheme="minorEastAsia"/>
          <w:spacing w:val="10"/>
          <w:sz w:val="35"/>
          <w:szCs w:val="35"/>
          <w:lang w:val="en-US" w:eastAsia="zh-CN"/>
          <w14:textOutline w14:w="6537" w14:cap="sq" w14:cmpd="sng">
            <w14:solidFill>
              <w14:srgbClr w14:val="000000"/>
            </w14:solidFill>
            <w14:prstDash w14:val="solid"/>
            <w14:bevel/>
          </w14:textOutline>
        </w:rPr>
        <w:t>府谷县流动党员服务中心提升工程</w:t>
      </w:r>
    </w:p>
    <w:p w14:paraId="0B0208D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2" w:firstLineChars="200"/>
        <w:jc w:val="center"/>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14:textOutline w14:w="5103" w14:cap="sq" w14:cmpd="sng">
            <w14:solidFill>
              <w14:srgbClr w14:val="000000"/>
            </w14:solidFill>
            <w14:prstDash w14:val="solid"/>
            <w14:bevel/>
          </w14:textOutline>
        </w:rPr>
        <w:t>采购合同</w:t>
      </w:r>
    </w:p>
    <w:p w14:paraId="6C29AA42">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48"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position w:val="14"/>
        </w:rPr>
        <w:t>甲方（采购人</w:t>
      </w:r>
      <w:r>
        <w:rPr>
          <w:rFonts w:hint="eastAsia" w:asciiTheme="minorEastAsia" w:hAnsiTheme="minorEastAsia" w:eastAsiaTheme="minorEastAsia" w:cstheme="minorEastAsia"/>
          <w:position w:val="14"/>
        </w:rPr>
        <w:t>）：</w:t>
      </w:r>
    </w:p>
    <w:p w14:paraId="220CA13B">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52"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乙方（中标人</w:t>
      </w:r>
      <w:r>
        <w:rPr>
          <w:rFonts w:hint="eastAsia" w:asciiTheme="minorEastAsia" w:hAnsiTheme="minorEastAsia" w:eastAsiaTheme="minorEastAsia" w:cstheme="minorEastAsia"/>
          <w:spacing w:val="1"/>
        </w:rPr>
        <w:t>）：</w:t>
      </w:r>
    </w:p>
    <w:p w14:paraId="7DD2845B">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44"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9"/>
        </w:rPr>
        <w:t>根据《中华人民共和国政府采购法》、《中华人民共和国民法典》</w:t>
      </w:r>
      <w:r>
        <w:rPr>
          <w:rFonts w:hint="eastAsia" w:asciiTheme="minorEastAsia" w:hAnsiTheme="minorEastAsia" w:eastAsiaTheme="minorEastAsia" w:cstheme="minorEastAsia"/>
          <w:spacing w:val="4"/>
        </w:rPr>
        <w:t xml:space="preserve"> </w:t>
      </w:r>
      <w:r>
        <w:rPr>
          <w:rFonts w:hint="eastAsia" w:asciiTheme="minorEastAsia" w:hAnsiTheme="minorEastAsia" w:eastAsiaTheme="minorEastAsia" w:cstheme="minorEastAsia"/>
          <w:spacing w:val="-4"/>
        </w:rPr>
        <w:t>等相关法律，甲、乙双方经平等协商一致，就“</w:t>
      </w:r>
      <w:r>
        <w:rPr>
          <w:rFonts w:hint="eastAsia" w:asciiTheme="minorEastAsia" w:hAnsiTheme="minorEastAsia" w:eastAsiaTheme="minorEastAsia" w:cstheme="minorEastAsia"/>
          <w:spacing w:val="-4"/>
          <w:lang w:val="en-US" w:eastAsia="zh-CN"/>
        </w:rPr>
        <w:t>府谷县流动党员服务中心提升工程</w:t>
      </w:r>
      <w:r>
        <w:rPr>
          <w:rFonts w:hint="eastAsia" w:asciiTheme="minorEastAsia" w:hAnsiTheme="minorEastAsia" w:eastAsiaTheme="minorEastAsia" w:cstheme="minorEastAsia"/>
          <w:spacing w:val="-5"/>
        </w:rPr>
        <w:t>”承办达成合同如</w:t>
      </w:r>
      <w:r>
        <w:rPr>
          <w:rFonts w:hint="eastAsia" w:asciiTheme="minorEastAsia" w:hAnsiTheme="minorEastAsia" w:eastAsiaTheme="minorEastAsia" w:cstheme="minorEastAsia"/>
          <w:spacing w:val="-10"/>
        </w:rPr>
        <w:t>下：</w:t>
      </w:r>
    </w:p>
    <w:p w14:paraId="5F99797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2"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14:textOutline w14:w="5103" w14:cap="sq" w14:cmpd="sng">
            <w14:solidFill>
              <w14:srgbClr w14:val="000000"/>
            </w14:solidFill>
            <w14:prstDash w14:val="solid"/>
            <w14:bevel/>
          </w14:textOutline>
        </w:rPr>
        <w:t>一、合同文件</w:t>
      </w:r>
    </w:p>
    <w:p w14:paraId="7A9787E5">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64"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4"/>
          <w:position w:val="14"/>
        </w:rPr>
        <w:t>本合同所附下列文件是构成本合同不可分割的部分，组成合同的</w:t>
      </w:r>
      <w:r>
        <w:rPr>
          <w:rFonts w:hint="eastAsia" w:asciiTheme="minorEastAsia" w:hAnsiTheme="minorEastAsia" w:eastAsiaTheme="minorEastAsia" w:cstheme="minorEastAsia"/>
          <w:spacing w:val="-1"/>
        </w:rPr>
        <w:t>各项文件应互相解释，互为说明，解释合同文件的优先顺序如下：</w:t>
      </w:r>
    </w:p>
    <w:p w14:paraId="0AEE54DA">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52"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w:t>
      </w:r>
      <w:r>
        <w:rPr>
          <w:rFonts w:hint="eastAsia" w:asciiTheme="minorEastAsia" w:hAnsiTheme="minorEastAsia" w:eastAsiaTheme="minorEastAsia" w:cstheme="minorEastAsia"/>
          <w:spacing w:val="10"/>
        </w:rPr>
        <w:t xml:space="preserve"> </w:t>
      </w:r>
      <w:r>
        <w:rPr>
          <w:rFonts w:hint="eastAsia" w:asciiTheme="minorEastAsia" w:hAnsiTheme="minorEastAsia" w:eastAsiaTheme="minorEastAsia" w:cstheme="minorEastAsia"/>
          <w:spacing w:val="-7"/>
        </w:rPr>
        <w:t>合同条款</w:t>
      </w:r>
    </w:p>
    <w:p w14:paraId="6716C468">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2"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2. 成交通知书</w:t>
      </w:r>
    </w:p>
    <w:p w14:paraId="34828F24">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60" w:firstLineChars="200"/>
        <w:jc w:val="both"/>
        <w:textAlignment w:val="baseline"/>
        <w:rPr>
          <w:rFonts w:hint="eastAsia" w:asciiTheme="minorEastAsia" w:hAnsiTheme="minorEastAsia" w:eastAsiaTheme="minorEastAsia" w:cstheme="minorEastAsia"/>
          <w:spacing w:val="-5"/>
          <w:lang w:val="en-US" w:eastAsia="zh-CN"/>
        </w:rPr>
      </w:pPr>
      <w:r>
        <w:rPr>
          <w:rFonts w:hint="eastAsia" w:asciiTheme="minorEastAsia" w:hAnsiTheme="minorEastAsia" w:eastAsiaTheme="minorEastAsia" w:cstheme="minorEastAsia"/>
          <w:spacing w:val="-5"/>
          <w:lang w:val="en-US" w:eastAsia="zh-CN"/>
        </w:rPr>
        <w:t>3. 中标人在评标过程中做出的有关澄清、说明、承诺或者补正文件</w:t>
      </w:r>
    </w:p>
    <w:p w14:paraId="4E5BD223">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60" w:firstLineChars="200"/>
        <w:jc w:val="both"/>
        <w:textAlignment w:val="baseline"/>
        <w:rPr>
          <w:rFonts w:hint="eastAsia" w:asciiTheme="minorEastAsia" w:hAnsiTheme="minorEastAsia" w:eastAsiaTheme="minorEastAsia" w:cstheme="minorEastAsia"/>
          <w:spacing w:val="-5"/>
          <w:lang w:val="en-US" w:eastAsia="zh-CN"/>
        </w:rPr>
      </w:pPr>
      <w:r>
        <w:rPr>
          <w:rFonts w:hint="eastAsia" w:asciiTheme="minorEastAsia" w:hAnsiTheme="minorEastAsia" w:eastAsiaTheme="minorEastAsia" w:cstheme="minorEastAsia"/>
          <w:spacing w:val="-5"/>
          <w:lang w:val="en-US" w:eastAsia="zh-CN"/>
        </w:rPr>
        <w:t>4. 招标文件</w:t>
      </w:r>
    </w:p>
    <w:p w14:paraId="2A20A0A5">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60" w:firstLineChars="200"/>
        <w:jc w:val="both"/>
        <w:textAlignment w:val="baseline"/>
        <w:rPr>
          <w:rFonts w:hint="eastAsia" w:asciiTheme="minorEastAsia" w:hAnsiTheme="minorEastAsia" w:eastAsiaTheme="minorEastAsia" w:cstheme="minorEastAsia"/>
          <w:spacing w:val="-5"/>
          <w:lang w:val="en-US" w:eastAsia="zh-CN"/>
        </w:rPr>
      </w:pPr>
      <w:r>
        <w:rPr>
          <w:rFonts w:hint="eastAsia" w:asciiTheme="minorEastAsia" w:hAnsiTheme="minorEastAsia" w:eastAsiaTheme="minorEastAsia" w:cstheme="minorEastAsia"/>
          <w:spacing w:val="-5"/>
          <w:lang w:val="en-US" w:eastAsia="zh-CN"/>
        </w:rPr>
        <w:t>5. 中标人的投标文件</w:t>
      </w:r>
    </w:p>
    <w:p w14:paraId="3EBD8518">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60" w:firstLineChars="200"/>
        <w:jc w:val="both"/>
        <w:textAlignment w:val="baseline"/>
        <w:rPr>
          <w:rFonts w:hint="eastAsia" w:asciiTheme="minorEastAsia" w:hAnsiTheme="minorEastAsia" w:eastAsiaTheme="minorEastAsia" w:cstheme="minorEastAsia"/>
          <w:spacing w:val="-5"/>
          <w:lang w:val="en-US" w:eastAsia="zh-CN"/>
        </w:rPr>
      </w:pPr>
      <w:r>
        <w:rPr>
          <w:rFonts w:hint="eastAsia" w:asciiTheme="minorEastAsia" w:hAnsiTheme="minorEastAsia" w:eastAsiaTheme="minorEastAsia" w:cstheme="minorEastAsia"/>
          <w:spacing w:val="-5"/>
          <w:lang w:val="en-US" w:eastAsia="zh-CN"/>
        </w:rPr>
        <w:t>6. 本合同附件</w:t>
      </w:r>
    </w:p>
    <w:p w14:paraId="113A63FA">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60" w:firstLineChars="200"/>
        <w:jc w:val="both"/>
        <w:textAlignment w:val="baseline"/>
        <w:rPr>
          <w:rFonts w:hint="eastAsia" w:asciiTheme="minorEastAsia" w:hAnsiTheme="minorEastAsia" w:eastAsiaTheme="minorEastAsia" w:cstheme="minorEastAsia"/>
          <w:spacing w:val="-5"/>
          <w:lang w:val="en-US" w:eastAsia="zh-CN"/>
        </w:rPr>
      </w:pPr>
      <w:r>
        <w:rPr>
          <w:rFonts w:hint="eastAsia" w:asciiTheme="minorEastAsia" w:hAnsiTheme="minorEastAsia" w:eastAsiaTheme="minorEastAsia" w:cstheme="minorEastAsia"/>
          <w:spacing w:val="-5"/>
          <w:lang w:val="en-US" w:eastAsia="zh-CN"/>
        </w:rPr>
        <w:t>同一层次的合同文件规定有矛盾的以较后时间制定的为准。</w:t>
      </w:r>
    </w:p>
    <w:p w14:paraId="414A90E9">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6"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14:textOutline w14:w="5103" w14:cap="sq" w14:cmpd="sng">
            <w14:solidFill>
              <w14:srgbClr w14:val="000000"/>
            </w14:solidFill>
            <w14:prstDash w14:val="solid"/>
            <w14:bevel/>
          </w14:textOutline>
        </w:rPr>
        <w:t>二、合同的范围和条件</w:t>
      </w:r>
    </w:p>
    <w:p w14:paraId="15B17214">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6"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本合同的范围和条件应与上述合同文件的规定相一致。</w:t>
      </w:r>
    </w:p>
    <w:p w14:paraId="6F37AAFE">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6"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14:textOutline w14:w="5103" w14:cap="sq" w14:cmpd="sng">
            <w14:solidFill>
              <w14:srgbClr w14:val="000000"/>
            </w14:solidFill>
            <w14:prstDash w14:val="solid"/>
            <w14:bevel/>
          </w14:textOutline>
        </w:rPr>
        <w:t>三、工程项目</w:t>
      </w:r>
    </w:p>
    <w:p w14:paraId="436BC761">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12"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8"/>
        </w:rPr>
        <w:t>本合同所提供的工程项目内容</w:t>
      </w:r>
      <w:r>
        <w:rPr>
          <w:rFonts w:hint="eastAsia" w:asciiTheme="minorEastAsia" w:hAnsiTheme="minorEastAsia" w:eastAsiaTheme="minorEastAsia" w:cstheme="minorEastAsia"/>
          <w:spacing w:val="-7"/>
        </w:rPr>
        <w:t>：（</w:t>
      </w:r>
      <w:r>
        <w:rPr>
          <w:rFonts w:hint="eastAsia" w:asciiTheme="minorEastAsia" w:hAnsiTheme="minorEastAsia" w:eastAsiaTheme="minorEastAsia" w:cstheme="minorEastAsia"/>
          <w:spacing w:val="8"/>
        </w:rPr>
        <w:t>与报价文件中服务明细表一</w:t>
      </w:r>
      <w:r>
        <w:rPr>
          <w:rFonts w:hint="eastAsia" w:asciiTheme="minorEastAsia" w:hAnsiTheme="minorEastAsia" w:eastAsiaTheme="minorEastAsia" w:cstheme="minorEastAsia"/>
          <w:spacing w:val="-4"/>
        </w:rPr>
        <w:t>致）。</w:t>
      </w:r>
    </w:p>
    <w:p w14:paraId="5D998397">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60"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14:textOutline w14:w="5103" w14:cap="sq" w14:cmpd="sng">
            <w14:solidFill>
              <w14:srgbClr w14:val="000000"/>
            </w14:solidFill>
            <w14:prstDash w14:val="solid"/>
            <w14:bevel/>
          </w14:textOutline>
        </w:rPr>
        <w:t>四、合同金额</w:t>
      </w:r>
    </w:p>
    <w:p w14:paraId="766E9849">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60"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rPr>
        <w:t>合同金额为人民币大写</w:t>
      </w:r>
      <w:r>
        <w:rPr>
          <w:rFonts w:hint="eastAsia" w:asciiTheme="minorEastAsia" w:hAnsiTheme="minorEastAsia" w:eastAsiaTheme="minorEastAsia" w:cstheme="minorEastAsia"/>
          <w:spacing w:val="-5"/>
          <w:u w:val="single" w:color="auto"/>
        </w:rPr>
        <w:t xml:space="preserve">         </w:t>
      </w:r>
      <w:r>
        <w:rPr>
          <w:rFonts w:hint="eastAsia" w:asciiTheme="minorEastAsia" w:hAnsiTheme="minorEastAsia" w:eastAsiaTheme="minorEastAsia" w:cstheme="minorEastAsia"/>
          <w:spacing w:val="-118"/>
        </w:rPr>
        <w:t xml:space="preserve"> </w:t>
      </w:r>
      <w:r>
        <w:rPr>
          <w:rFonts w:hint="eastAsia" w:asciiTheme="minorEastAsia" w:hAnsiTheme="minorEastAsia" w:eastAsiaTheme="minorEastAsia" w:cstheme="minorEastAsia"/>
          <w:spacing w:val="-5"/>
        </w:rPr>
        <w:t>元，</w:t>
      </w:r>
      <w:r>
        <w:rPr>
          <w:rFonts w:hint="eastAsia" w:asciiTheme="minorEastAsia" w:hAnsiTheme="minorEastAsia" w:eastAsiaTheme="minorEastAsia" w:cstheme="minorEastAsia"/>
          <w:spacing w:val="-82"/>
        </w:rPr>
        <w:t xml:space="preserve"> </w:t>
      </w:r>
      <w:r>
        <w:rPr>
          <w:rFonts w:hint="eastAsia" w:asciiTheme="minorEastAsia" w:hAnsiTheme="minorEastAsia" w:eastAsiaTheme="minorEastAsia" w:cstheme="minorEastAsia"/>
          <w:spacing w:val="-5"/>
        </w:rPr>
        <w:t>(￥</w:t>
      </w:r>
      <w:r>
        <w:rPr>
          <w:rFonts w:hint="eastAsia" w:asciiTheme="minorEastAsia" w:hAnsiTheme="minorEastAsia" w:eastAsiaTheme="minorEastAsia" w:cstheme="minorEastAsia"/>
          <w:spacing w:val="-114"/>
        </w:rPr>
        <w:t xml:space="preserve"> </w:t>
      </w:r>
      <w:r>
        <w:rPr>
          <w:rFonts w:hint="eastAsia" w:asciiTheme="minorEastAsia" w:hAnsiTheme="minorEastAsia" w:eastAsiaTheme="minorEastAsia" w:cstheme="minorEastAsia"/>
          <w:u w:val="single" w:color="auto"/>
        </w:rPr>
        <w:t xml:space="preserve">       </w:t>
      </w:r>
      <w:r>
        <w:rPr>
          <w:rFonts w:hint="eastAsia" w:asciiTheme="minorEastAsia" w:hAnsiTheme="minorEastAsia" w:eastAsiaTheme="minorEastAsia" w:cstheme="minorEastAsia"/>
          <w:spacing w:val="-126"/>
        </w:rPr>
        <w:t xml:space="preserve"> </w:t>
      </w:r>
      <w:r>
        <w:rPr>
          <w:rFonts w:hint="eastAsia" w:asciiTheme="minorEastAsia" w:hAnsiTheme="minorEastAsia" w:eastAsiaTheme="minorEastAsia" w:cstheme="minorEastAsia"/>
          <w:spacing w:val="-5"/>
        </w:rPr>
        <w:t>)</w:t>
      </w:r>
    </w:p>
    <w:p w14:paraId="42FC49B1">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6"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14:textOutline w14:w="5103" w14:cap="sq" w14:cmpd="sng">
            <w14:solidFill>
              <w14:srgbClr w14:val="000000"/>
            </w14:solidFill>
            <w14:prstDash w14:val="solid"/>
            <w14:bevel/>
          </w14:textOutline>
        </w:rPr>
        <w:t>五、付款途径</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spacing w:val="-1"/>
          <w:u w:val="single" w:color="auto"/>
        </w:rPr>
        <w:t xml:space="preserve">                  </w:t>
      </w:r>
      <w:r>
        <w:rPr>
          <w:rFonts w:hint="eastAsia" w:asciiTheme="minorEastAsia" w:hAnsiTheme="minorEastAsia" w:eastAsiaTheme="minorEastAsia" w:cstheme="minorEastAsia"/>
          <w:spacing w:val="-1"/>
        </w:rPr>
        <w:t>。</w:t>
      </w:r>
    </w:p>
    <w:p w14:paraId="173A3647">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64" w:firstLineChars="200"/>
        <w:jc w:val="both"/>
        <w:textAlignment w:val="baseline"/>
        <w:rPr>
          <w:rFonts w:hint="eastAsia" w:asciiTheme="minorEastAsia" w:hAnsiTheme="minorEastAsia" w:eastAsiaTheme="minorEastAsia" w:cstheme="minorEastAsia"/>
          <w:color w:val="auto"/>
          <w:spacing w:val="-4"/>
          <w:u w:val="single" w:color="auto"/>
          <w:lang w:eastAsia="zh-CN"/>
        </w:rPr>
      </w:pPr>
      <w:r>
        <w:rPr>
          <w:rFonts w:hint="eastAsia" w:asciiTheme="minorEastAsia" w:hAnsiTheme="minorEastAsia" w:eastAsiaTheme="minorEastAsia" w:cstheme="minorEastAsia"/>
          <w:spacing w:val="-4"/>
          <w14:textOutline w14:w="5103" w14:cap="sq" w14:cmpd="sng">
            <w14:solidFill>
              <w14:srgbClr w14:val="000000"/>
            </w14:solidFill>
            <w14:prstDash w14:val="solid"/>
            <w14:bevel/>
          </w14:textOutline>
        </w:rPr>
        <w:t>六、付款</w:t>
      </w:r>
      <w:r>
        <w:rPr>
          <w:rFonts w:hint="eastAsia" w:asciiTheme="minorEastAsia" w:hAnsiTheme="minorEastAsia" w:eastAsiaTheme="minorEastAsia" w:cstheme="minorEastAsia"/>
          <w:spacing w:val="-4"/>
          <w:highlight w:val="yellow"/>
          <w14:textOutline w14:w="5103" w14:cap="sq" w14:cmpd="sng">
            <w14:solidFill>
              <w14:srgbClr w14:val="000000"/>
            </w14:solidFill>
            <w14:prstDash w14:val="solid"/>
            <w14:bevel/>
          </w14:textOutline>
        </w:rPr>
        <w:t>方式</w:t>
      </w:r>
      <w:r>
        <w:rPr>
          <w:rFonts w:hint="eastAsia" w:asciiTheme="minorEastAsia" w:hAnsiTheme="minorEastAsia" w:eastAsiaTheme="minorEastAsia" w:cstheme="minorEastAsia"/>
          <w:spacing w:val="-4"/>
          <w:highlight w:val="yellow"/>
        </w:rPr>
        <w:t>：</w:t>
      </w:r>
      <w:r>
        <w:rPr>
          <w:rFonts w:hint="eastAsia" w:asciiTheme="minorEastAsia" w:hAnsiTheme="minorEastAsia" w:eastAsiaTheme="minorEastAsia" w:cstheme="minorEastAsia"/>
          <w:color w:val="auto"/>
          <w:spacing w:val="-4"/>
          <w:highlight w:val="yellow"/>
          <w:u w:val="single" w:color="auto"/>
        </w:rPr>
        <w:t>款项结算：</w:t>
      </w:r>
      <w:r>
        <w:rPr>
          <w:rFonts w:hint="eastAsia" w:asciiTheme="minorEastAsia" w:hAnsiTheme="minorEastAsia" w:eastAsiaTheme="minorEastAsia" w:cstheme="minorEastAsia"/>
          <w:color w:val="auto"/>
          <w:spacing w:val="-4"/>
          <w:u w:val="single" w:color="auto"/>
        </w:rPr>
        <w:t>由采购人负责结算，付款前，供应商必须给采购人开具全额发票。</w:t>
      </w:r>
      <w:r>
        <w:rPr>
          <w:rFonts w:hint="eastAsia" w:asciiTheme="minorEastAsia" w:hAnsiTheme="minorEastAsia" w:eastAsiaTheme="minorEastAsia" w:cstheme="minorEastAsia"/>
          <w:color w:val="auto"/>
          <w:spacing w:val="-4"/>
          <w:highlight w:val="none"/>
          <w:u w:val="single" w:color="auto"/>
          <w:lang w:eastAsia="zh-CN"/>
        </w:rPr>
        <w:t>付款方式：合同签订后按当月工程进度80%支付进度款，待工程竣工最终验收审计合格质保期满后一次性支付剩余工程款。</w:t>
      </w:r>
    </w:p>
    <w:p w14:paraId="2635131A">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6"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14:textOutline w14:w="5103" w14:cap="sq" w14:cmpd="sng">
            <w14:solidFill>
              <w14:srgbClr w14:val="000000"/>
            </w14:solidFill>
            <w14:prstDash w14:val="solid"/>
            <w14:bevel/>
          </w14:textOutline>
        </w:rPr>
        <w:t>七、知识产权</w:t>
      </w:r>
    </w:p>
    <w:p w14:paraId="401D953B">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00"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5"/>
          <w:position w:val="14"/>
        </w:rPr>
        <w:t>乙方应保证甲方所使用的服务成果免受第三方提出的侵犯其知</w:t>
      </w:r>
      <w:r>
        <w:rPr>
          <w:rFonts w:hint="eastAsia" w:asciiTheme="minorEastAsia" w:hAnsiTheme="minorEastAsia" w:eastAsiaTheme="minorEastAsia" w:cstheme="minorEastAsia"/>
          <w:spacing w:val="-2"/>
        </w:rPr>
        <w:t>识产权的诉讼。</w:t>
      </w:r>
    </w:p>
    <w:p w14:paraId="68DB9761">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2"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14:textOutline w14:w="5103" w14:cap="sq" w14:cmpd="sng">
            <w14:solidFill>
              <w14:srgbClr w14:val="000000"/>
            </w14:solidFill>
            <w14:prstDash w14:val="solid"/>
            <w14:bevel/>
          </w14:textOutline>
        </w:rPr>
        <w:t>八、违约条款</w:t>
      </w:r>
    </w:p>
    <w:p w14:paraId="7ECCE71A">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2"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2"/>
        </w:rPr>
        <w:t>1. 一方不按期履行合同，并经另一方提示后</w:t>
      </w:r>
      <w:r>
        <w:rPr>
          <w:rFonts w:hint="eastAsia" w:asciiTheme="minorEastAsia" w:hAnsiTheme="minorEastAsia" w:eastAsiaTheme="minorEastAsia" w:cstheme="minorEastAsia"/>
          <w:spacing w:val="-133"/>
        </w:rPr>
        <w:t xml:space="preserve"> </w:t>
      </w:r>
      <w:r>
        <w:rPr>
          <w:rFonts w:hint="eastAsia" w:asciiTheme="minorEastAsia" w:hAnsiTheme="minorEastAsia" w:eastAsiaTheme="minorEastAsia" w:cstheme="minorEastAsia"/>
          <w:spacing w:val="2"/>
          <w:u w:val="single" w:color="auto"/>
        </w:rPr>
        <w:t xml:space="preserve">  </w:t>
      </w:r>
      <w:r>
        <w:rPr>
          <w:rFonts w:hint="eastAsia" w:asciiTheme="minorEastAsia" w:hAnsiTheme="minorEastAsia" w:eastAsiaTheme="minorEastAsia" w:cstheme="minorEastAsia"/>
          <w:spacing w:val="-81"/>
        </w:rPr>
        <w:t xml:space="preserve"> </w:t>
      </w:r>
      <w:r>
        <w:rPr>
          <w:rFonts w:hint="eastAsia" w:asciiTheme="minorEastAsia" w:hAnsiTheme="minorEastAsia" w:eastAsiaTheme="minorEastAsia" w:cstheme="minorEastAsia"/>
          <w:spacing w:val="-2"/>
        </w:rPr>
        <w:t>日内仍不履行合同的，守约方有权解除合同，违约方要承担相应的法律责任。</w:t>
      </w:r>
    </w:p>
    <w:p w14:paraId="57EC8155">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4"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2. 如因一方违约，双方未能就赔偿损失达成协议，引起诉讼或</w:t>
      </w:r>
      <w:r>
        <w:rPr>
          <w:rFonts w:hint="eastAsia" w:asciiTheme="minorEastAsia" w:hAnsiTheme="minorEastAsia" w:eastAsiaTheme="minorEastAsia" w:cstheme="minorEastAsia"/>
          <w:spacing w:val="2"/>
        </w:rPr>
        <w:t xml:space="preserve"> </w:t>
      </w:r>
      <w:r>
        <w:rPr>
          <w:rFonts w:hint="eastAsia" w:asciiTheme="minorEastAsia" w:hAnsiTheme="minorEastAsia" w:eastAsiaTheme="minorEastAsia" w:cstheme="minorEastAsia"/>
          <w:spacing w:val="-4"/>
        </w:rPr>
        <w:t>仲裁时，违约方除应赔偿对方经济损失外，还应承担因诉讼或仲裁所</w:t>
      </w:r>
      <w:r>
        <w:rPr>
          <w:rFonts w:hint="eastAsia" w:asciiTheme="minorEastAsia" w:hAnsiTheme="minorEastAsia" w:eastAsiaTheme="minorEastAsia" w:cstheme="minorEastAsia"/>
          <w:spacing w:val="-1"/>
        </w:rPr>
        <w:t>支付的律师代理费等相关费用。</w:t>
      </w:r>
    </w:p>
    <w:p w14:paraId="6318620C">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4"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position w:val="13"/>
        </w:rPr>
        <w:t>3. 其它应承担的违约责任，以《中华人民共和国合同法》和其</w:t>
      </w:r>
      <w:r>
        <w:rPr>
          <w:rFonts w:hint="eastAsia" w:asciiTheme="minorEastAsia" w:hAnsiTheme="minorEastAsia" w:eastAsiaTheme="minorEastAsia" w:cstheme="minorEastAsia"/>
          <w:spacing w:val="-1"/>
        </w:rPr>
        <w:t>它有关法律、法规规定为准，无相关规定的，双方协商解决。</w:t>
      </w:r>
    </w:p>
    <w:p w14:paraId="68A2319D">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4"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4. 按照本合同规定应该偿付的违约金、赔偿金等，应当在明确</w:t>
      </w:r>
      <w:r>
        <w:rPr>
          <w:rFonts w:hint="eastAsia" w:asciiTheme="minorEastAsia" w:hAnsiTheme="minorEastAsia" w:eastAsiaTheme="minorEastAsia" w:cstheme="minorEastAsia"/>
          <w:spacing w:val="7"/>
        </w:rPr>
        <w:t xml:space="preserve"> </w:t>
      </w:r>
      <w:r>
        <w:rPr>
          <w:rFonts w:hint="eastAsia" w:asciiTheme="minorEastAsia" w:hAnsiTheme="minorEastAsia" w:eastAsiaTheme="minorEastAsia" w:cstheme="minorEastAsia"/>
          <w:spacing w:val="-1"/>
        </w:rPr>
        <w:t>责任后 7</w:t>
      </w:r>
      <w:r>
        <w:rPr>
          <w:rFonts w:hint="eastAsia" w:asciiTheme="minorEastAsia" w:hAnsiTheme="minorEastAsia" w:eastAsiaTheme="minorEastAsia" w:cstheme="minorEastAsia"/>
          <w:spacing w:val="59"/>
        </w:rPr>
        <w:t xml:space="preserve"> </w:t>
      </w:r>
      <w:r>
        <w:rPr>
          <w:rFonts w:hint="eastAsia" w:asciiTheme="minorEastAsia" w:hAnsiTheme="minorEastAsia" w:eastAsiaTheme="minorEastAsia" w:cstheme="minorEastAsia"/>
          <w:spacing w:val="-1"/>
        </w:rPr>
        <w:t>日内，按银行规定或双方商定的结算办法付清</w:t>
      </w:r>
      <w:r>
        <w:rPr>
          <w:rFonts w:hint="eastAsia" w:asciiTheme="minorEastAsia" w:hAnsiTheme="minorEastAsia" w:eastAsiaTheme="minorEastAsia" w:cstheme="minorEastAsia"/>
          <w:spacing w:val="-2"/>
        </w:rPr>
        <w:t>，否则按逾</w:t>
      </w:r>
      <w:r>
        <w:rPr>
          <w:rFonts w:hint="eastAsia" w:asciiTheme="minorEastAsia" w:hAnsiTheme="minorEastAsia" w:eastAsiaTheme="minorEastAsia" w:cstheme="minorEastAsia"/>
          <w:spacing w:val="-3"/>
        </w:rPr>
        <w:t>期付款处理。</w:t>
      </w:r>
    </w:p>
    <w:p w14:paraId="0C9C1AF1">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6" w:firstLineChars="200"/>
        <w:jc w:val="both"/>
        <w:textAlignment w:val="baseline"/>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14:textOutline w14:w="5103" w14:cap="sq" w14:cmpd="sng">
            <w14:solidFill>
              <w14:srgbClr w14:val="000000"/>
            </w14:solidFill>
            <w14:prstDash w14:val="solid"/>
            <w14:bevel/>
          </w14:textOutline>
        </w:rPr>
        <w:t>九、履约验收标准和方式</w:t>
      </w:r>
    </w:p>
    <w:p w14:paraId="2F6D1DE8">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52"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7"/>
        </w:rPr>
        <w:t>1.履约验收时</w:t>
      </w:r>
      <w:r>
        <w:rPr>
          <w:rFonts w:hint="eastAsia" w:asciiTheme="minorEastAsia" w:hAnsiTheme="minorEastAsia" w:eastAsiaTheme="minorEastAsia" w:cstheme="minorEastAsia"/>
          <w:color w:val="auto"/>
          <w:spacing w:val="-7"/>
        </w:rPr>
        <w:t>间</w:t>
      </w:r>
      <w:r>
        <w:rPr>
          <w:rFonts w:hint="eastAsia" w:asciiTheme="minorEastAsia" w:hAnsiTheme="minorEastAsia" w:eastAsiaTheme="minorEastAsia" w:cstheme="minorEastAsia"/>
          <w:color w:val="auto"/>
          <w:spacing w:val="-7"/>
          <w:highlight w:val="yellow"/>
        </w:rPr>
        <w:t>：</w:t>
      </w:r>
      <w:r>
        <w:rPr>
          <w:rFonts w:hint="eastAsia" w:asciiTheme="minorEastAsia" w:hAnsiTheme="minorEastAsia" w:eastAsiaTheme="minorEastAsia" w:cstheme="minorEastAsia"/>
          <w:snapToGrid/>
          <w:color w:val="auto"/>
          <w:kern w:val="2"/>
          <w:sz w:val="28"/>
          <w:szCs w:val="28"/>
          <w:highlight w:val="yellow"/>
          <w:u w:val="single"/>
          <w:lang w:val="en-US" w:eastAsia="zh-CN"/>
        </w:rPr>
        <w:t>2025年12月底（</w:t>
      </w:r>
      <w:r>
        <w:rPr>
          <w:rFonts w:hint="eastAsia" w:asciiTheme="minorEastAsia" w:hAnsiTheme="minorEastAsia" w:eastAsiaTheme="minorEastAsia" w:cstheme="minorEastAsia"/>
          <w:snapToGrid/>
          <w:color w:val="auto"/>
          <w:kern w:val="2"/>
          <w:sz w:val="28"/>
          <w:szCs w:val="28"/>
          <w:u w:val="single"/>
          <w:lang w:val="en-US" w:eastAsia="zh-CN"/>
        </w:rPr>
        <w:t>实际时间以施工合同为准）</w:t>
      </w:r>
    </w:p>
    <w:p w14:paraId="136CD2EB">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4" w:firstLineChars="200"/>
        <w:jc w:val="both"/>
        <w:textAlignment w:val="baseline"/>
        <w:rPr>
          <w:rFonts w:hint="eastAsia" w:asciiTheme="minorEastAsia" w:hAnsiTheme="minorEastAsia" w:eastAsiaTheme="minorEastAsia" w:cstheme="minorEastAsia"/>
          <w:spacing w:val="1"/>
          <w:u w:val="single"/>
          <w:lang w:val="en-US" w:eastAsia="zh-CN"/>
        </w:rPr>
      </w:pPr>
      <w:r>
        <w:rPr>
          <w:rFonts w:hint="eastAsia" w:asciiTheme="minorEastAsia" w:hAnsiTheme="minorEastAsia" w:eastAsiaTheme="minorEastAsia" w:cstheme="minorEastAsia"/>
          <w:spacing w:val="1"/>
        </w:rPr>
        <w:t>2.履约验收主体及内容：</w:t>
      </w:r>
      <w:r>
        <w:rPr>
          <w:rFonts w:hint="eastAsia" w:asciiTheme="minorEastAsia" w:hAnsiTheme="minorEastAsia" w:eastAsiaTheme="minorEastAsia" w:cstheme="minorEastAsia"/>
          <w:spacing w:val="1"/>
          <w:u w:val="single"/>
          <w:lang w:val="en-US" w:eastAsia="zh-CN"/>
        </w:rPr>
        <w:t>两厅一堂十室两空间一长廊建设工程质量</w:t>
      </w:r>
      <w:r>
        <w:rPr>
          <w:rFonts w:hint="eastAsia" w:asciiTheme="minorEastAsia" w:hAnsiTheme="minorEastAsia" w:eastAsiaTheme="minorEastAsia" w:cstheme="minorEastAsia"/>
          <w:spacing w:val="-5"/>
          <w:u w:val="single"/>
          <w:lang w:val="en-US" w:eastAsia="zh-CN"/>
        </w:rPr>
        <w:t>。</w:t>
      </w:r>
    </w:p>
    <w:p w14:paraId="16F930C0">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4"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rPr>
        <w:t>3.验收标准：</w:t>
      </w:r>
      <w:r>
        <w:rPr>
          <w:rFonts w:hint="eastAsia" w:asciiTheme="minorEastAsia" w:hAnsiTheme="minorEastAsia" w:eastAsiaTheme="minorEastAsia" w:cstheme="minorEastAsia"/>
          <w:spacing w:val="1"/>
          <w:u w:val="single" w:color="auto"/>
        </w:rPr>
        <w:t>符合国家相关施工验收规范，</w:t>
      </w:r>
      <w:r>
        <w:rPr>
          <w:rFonts w:hint="eastAsia" w:asciiTheme="minorEastAsia" w:hAnsiTheme="minorEastAsia" w:eastAsiaTheme="minorEastAsia" w:cstheme="minorEastAsia"/>
          <w:u w:val="single" w:color="auto"/>
        </w:rPr>
        <w:t>并达到合格标准。</w:t>
      </w:r>
    </w:p>
    <w:p w14:paraId="53654A58">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2" w:firstLineChars="200"/>
        <w:jc w:val="both"/>
        <w:textAlignment w:val="baseline"/>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2"/>
        </w:rPr>
        <w:t>4.验收方式：</w:t>
      </w:r>
      <w:r>
        <w:rPr>
          <w:rFonts w:hint="eastAsia" w:asciiTheme="minorEastAsia" w:hAnsiTheme="minorEastAsia" w:eastAsiaTheme="minorEastAsia" w:cstheme="minorEastAsia"/>
          <w:spacing w:val="-2"/>
          <w:u w:val="single" w:color="auto"/>
        </w:rPr>
        <w:t>由采购单位组织有关专业人员按相关的国家标准</w:t>
      </w:r>
      <w:r>
        <w:rPr>
          <w:rFonts w:hint="eastAsia" w:asciiTheme="minorEastAsia" w:hAnsiTheme="minorEastAsia" w:eastAsiaTheme="minorEastAsia" w:cstheme="minorEastAsia"/>
          <w:spacing w:val="-2"/>
          <w:u w:val="single" w:color="auto"/>
          <w:lang w:eastAsia="zh-CN"/>
        </w:rPr>
        <w:t>。</w:t>
      </w:r>
    </w:p>
    <w:p w14:paraId="514640DB">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4"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u w:val="single" w:color="auto"/>
        </w:rPr>
        <w:t>质量标准和采购文件所列的各项要求进行验收。</w:t>
      </w:r>
    </w:p>
    <w:p w14:paraId="6C82437D">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72" w:firstLineChars="200"/>
        <w:jc w:val="both"/>
        <w:textAlignment w:val="baseline"/>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spacing w:val="-2"/>
        </w:rPr>
        <w:t>5.验收依据：</w:t>
      </w:r>
      <w:r>
        <w:rPr>
          <w:rFonts w:hint="eastAsia" w:asciiTheme="minorEastAsia" w:hAnsiTheme="minorEastAsia" w:eastAsiaTheme="minorEastAsia" w:cstheme="minorEastAsia"/>
          <w:spacing w:val="-2"/>
          <w:u w:val="single" w:color="auto"/>
        </w:rPr>
        <w:t>由采购单位组织有关专业人员按相关的国家标准</w:t>
      </w:r>
      <w:r>
        <w:rPr>
          <w:rFonts w:hint="eastAsia" w:asciiTheme="minorEastAsia" w:hAnsiTheme="minorEastAsia" w:eastAsiaTheme="minorEastAsia" w:cstheme="minorEastAsia"/>
          <w:spacing w:val="-2"/>
          <w:u w:val="single" w:color="auto"/>
          <w:lang w:eastAsia="zh-CN"/>
        </w:rPr>
        <w:t>。</w:t>
      </w:r>
    </w:p>
    <w:p w14:paraId="6A851605">
      <w:pPr>
        <w:pStyle w:val="11"/>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484" w:firstLineChars="200"/>
        <w:jc w:val="both"/>
        <w:textAlignment w:val="baseline"/>
        <w:rPr>
          <w:rFonts w:hint="eastAsia" w:asciiTheme="minorEastAsia" w:hAnsiTheme="minorEastAsia" w:eastAsiaTheme="minorEastAsia" w:cstheme="minorEastAsia"/>
        </w:rPr>
      </w:pPr>
      <w:r>
        <w:rPr>
          <w:rFonts w:hint="eastAsia" w:asciiTheme="minorEastAsia" w:hAnsiTheme="minorEastAsia" w:eastAsiaTheme="minorEastAsia" w:cstheme="minorEastAsia"/>
          <w:spacing w:val="1"/>
          <w:u w:val="single" w:color="auto"/>
        </w:rPr>
        <w:t>质量标准和采购文件所列的各项要求进行验收。</w:t>
      </w:r>
    </w:p>
    <w:p w14:paraId="78EE3FE4">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2" w:firstLineChars="200"/>
        <w:jc w:val="both"/>
        <w:textAlignment w:val="baseline"/>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十、不可抗力条款</w:t>
      </w:r>
    </w:p>
    <w:p w14:paraId="468A0AE3">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jc w:val="both"/>
        <w:textAlignment w:val="baseline"/>
        <w:rPr>
          <w:rFonts w:hint="eastAsia" w:asciiTheme="minorEastAsia" w:hAnsiTheme="minorEastAsia" w:eastAsiaTheme="minorEastAsia" w:cstheme="minorEastAsia"/>
          <w:b w:val="0"/>
          <w:bCs w:val="0"/>
          <w:color w:val="auto"/>
          <w:sz w:val="28"/>
          <w:szCs w:val="28"/>
        </w:rPr>
      </w:pPr>
      <w:r>
        <w:rPr>
          <w:rFonts w:hint="eastAsia" w:asciiTheme="minorEastAsia" w:hAnsiTheme="minorEastAsia" w:eastAsiaTheme="minorEastAsia" w:cstheme="minorEastAsia"/>
          <w:b w:val="0"/>
          <w:bCs w:val="0"/>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14:paraId="705DAC2C">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2" w:firstLineChars="200"/>
        <w:jc w:val="both"/>
        <w:textAlignment w:val="baseline"/>
        <w:rPr>
          <w:rFonts w:hint="eastAsia" w:asciiTheme="minorEastAsia" w:hAnsiTheme="minorEastAsia" w:eastAsiaTheme="minorEastAsia" w:cstheme="minorEastAsia"/>
          <w:b/>
          <w:bCs/>
          <w:color w:val="auto"/>
          <w:sz w:val="28"/>
          <w:szCs w:val="28"/>
        </w:rPr>
      </w:pPr>
      <w:bookmarkStart w:id="278" w:name="_Toc223404487"/>
      <w:r>
        <w:rPr>
          <w:rFonts w:hint="eastAsia" w:asciiTheme="minorEastAsia" w:hAnsiTheme="minorEastAsia" w:eastAsiaTheme="minorEastAsia" w:cstheme="minorEastAsia"/>
          <w:b/>
          <w:bCs/>
          <w:color w:val="auto"/>
          <w:sz w:val="28"/>
          <w:szCs w:val="28"/>
        </w:rPr>
        <w:t>十</w:t>
      </w:r>
      <w:r>
        <w:rPr>
          <w:rFonts w:hint="eastAsia" w:asciiTheme="minorEastAsia" w:hAnsiTheme="minorEastAsia" w:eastAsiaTheme="minorEastAsia" w:cstheme="minorEastAsia"/>
          <w:b/>
          <w:bCs/>
          <w:color w:val="auto"/>
          <w:sz w:val="28"/>
          <w:szCs w:val="28"/>
          <w:lang w:eastAsia="zh-CN"/>
        </w:rPr>
        <w:t>一</w:t>
      </w:r>
      <w:r>
        <w:rPr>
          <w:rFonts w:hint="eastAsia" w:asciiTheme="minorEastAsia" w:hAnsiTheme="minorEastAsia" w:eastAsiaTheme="minorEastAsia" w:cstheme="minorEastAsia"/>
          <w:b/>
          <w:bCs/>
          <w:color w:val="auto"/>
          <w:sz w:val="28"/>
          <w:szCs w:val="28"/>
        </w:rPr>
        <w:t>、争议的解决方式</w:t>
      </w:r>
      <w:bookmarkEnd w:id="278"/>
    </w:p>
    <w:p w14:paraId="0CB4A21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jc w:val="both"/>
        <w:textAlignment w:val="baseline"/>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本合同执行过程中如发生争议，应本着友好的原则协商解决。协商不成产生的诉讼，由甲方所在地人民法院管辖</w:t>
      </w:r>
      <w:r>
        <w:rPr>
          <w:rFonts w:hint="eastAsia" w:asciiTheme="minorEastAsia" w:hAnsiTheme="minorEastAsia" w:eastAsiaTheme="minorEastAsia" w:cstheme="minorEastAsia"/>
          <w:color w:val="auto"/>
          <w:sz w:val="28"/>
          <w:szCs w:val="28"/>
          <w:lang w:eastAsia="zh-CN"/>
        </w:rPr>
        <w:t>。</w:t>
      </w:r>
    </w:p>
    <w:p w14:paraId="3A3F002D">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2" w:firstLineChars="200"/>
        <w:jc w:val="both"/>
        <w:textAlignment w:val="baseline"/>
        <w:rPr>
          <w:rFonts w:hint="eastAsia" w:asciiTheme="minorEastAsia" w:hAnsiTheme="minorEastAsia" w:eastAsiaTheme="minorEastAsia" w:cstheme="minorEastAsia"/>
          <w:b/>
          <w:bCs/>
          <w:color w:val="auto"/>
          <w:sz w:val="28"/>
          <w:szCs w:val="28"/>
        </w:rPr>
      </w:pPr>
      <w:bookmarkStart w:id="279" w:name="_Toc223404488"/>
      <w:r>
        <w:rPr>
          <w:rFonts w:hint="eastAsia" w:asciiTheme="minorEastAsia" w:hAnsiTheme="minorEastAsia" w:eastAsiaTheme="minorEastAsia" w:cstheme="minorEastAsia"/>
          <w:b/>
          <w:bCs/>
          <w:color w:val="auto"/>
          <w:sz w:val="28"/>
          <w:szCs w:val="28"/>
        </w:rPr>
        <w:t>十</w:t>
      </w:r>
      <w:r>
        <w:rPr>
          <w:rFonts w:hint="eastAsia" w:asciiTheme="minorEastAsia" w:hAnsiTheme="minorEastAsia" w:eastAsiaTheme="minorEastAsia" w:cstheme="minorEastAsia"/>
          <w:b/>
          <w:bCs/>
          <w:color w:val="auto"/>
          <w:sz w:val="28"/>
          <w:szCs w:val="28"/>
          <w:lang w:eastAsia="zh-CN"/>
        </w:rPr>
        <w:t>二</w:t>
      </w:r>
      <w:r>
        <w:rPr>
          <w:rFonts w:hint="eastAsia" w:asciiTheme="minorEastAsia" w:hAnsiTheme="minorEastAsia" w:eastAsiaTheme="minorEastAsia" w:cstheme="minorEastAsia"/>
          <w:b/>
          <w:bCs/>
          <w:color w:val="auto"/>
          <w:sz w:val="28"/>
          <w:szCs w:val="28"/>
        </w:rPr>
        <w:t>、补充协议</w:t>
      </w:r>
      <w:bookmarkEnd w:id="279"/>
    </w:p>
    <w:p w14:paraId="440201F6">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jc w:val="both"/>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合同未尽事宜，经双方协商可签订补充协议，所签订的补充协议与本合同具有同等的法律效力，补充协议的生效应符合本合同的有关规定。</w:t>
      </w:r>
    </w:p>
    <w:p w14:paraId="2BBD5A2A">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2" w:firstLineChars="200"/>
        <w:jc w:val="both"/>
        <w:textAlignment w:val="baseline"/>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十</w:t>
      </w:r>
      <w:r>
        <w:rPr>
          <w:rFonts w:hint="eastAsia" w:asciiTheme="minorEastAsia" w:hAnsiTheme="minorEastAsia" w:eastAsiaTheme="minorEastAsia" w:cstheme="minorEastAsia"/>
          <w:b/>
          <w:color w:val="auto"/>
          <w:sz w:val="28"/>
          <w:szCs w:val="28"/>
          <w:lang w:eastAsia="zh-CN"/>
        </w:rPr>
        <w:t>三</w:t>
      </w:r>
      <w:r>
        <w:rPr>
          <w:rFonts w:hint="eastAsia" w:asciiTheme="minorEastAsia" w:hAnsiTheme="minorEastAsia" w:eastAsiaTheme="minorEastAsia" w:cstheme="minorEastAsia"/>
          <w:b/>
          <w:color w:val="auto"/>
          <w:sz w:val="28"/>
          <w:szCs w:val="28"/>
        </w:rPr>
        <w:t>、合同生效</w:t>
      </w:r>
    </w:p>
    <w:p w14:paraId="6D5C6C1E">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jc w:val="both"/>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1. 合同双方签订后生效。</w:t>
      </w:r>
    </w:p>
    <w:p w14:paraId="36122815">
      <w:pPr>
        <w:keepNext w:val="0"/>
        <w:keepLines w:val="0"/>
        <w:pageBreakBefore w:val="0"/>
        <w:widowControl/>
        <w:kinsoku w:val="0"/>
        <w:wordWrap/>
        <w:overflowPunct/>
        <w:topLinePunct w:val="0"/>
        <w:autoSpaceDE w:val="0"/>
        <w:autoSpaceDN w:val="0"/>
        <w:bidi w:val="0"/>
        <w:adjustRightInd w:val="0"/>
        <w:snapToGrid w:val="0"/>
        <w:spacing w:line="360" w:lineRule="auto"/>
        <w:ind w:left="0" w:leftChars="0" w:right="0" w:firstLine="560" w:firstLineChars="200"/>
        <w:jc w:val="both"/>
        <w:textAlignment w:val="baseline"/>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2. 本合同一式六份，甲、乙双方各执两份，采购代理机构、监管机构各一份。</w:t>
      </w:r>
    </w:p>
    <w:p w14:paraId="71543577">
      <w:pPr>
        <w:spacing w:line="240" w:lineRule="auto"/>
        <w:ind w:firstLine="840" w:firstLineChars="300"/>
        <w:rPr>
          <w:rFonts w:hint="eastAsia" w:ascii="宋体" w:hAnsi="宋体" w:eastAsia="宋体" w:cs="宋体"/>
          <w:color w:val="auto"/>
          <w:sz w:val="28"/>
          <w:szCs w:val="28"/>
        </w:rPr>
      </w:pPr>
    </w:p>
    <w:p w14:paraId="42D79E9C">
      <w:pPr>
        <w:spacing w:line="360" w:lineRule="auto"/>
        <w:ind w:firstLine="240" w:firstLineChars="100"/>
        <w:rPr>
          <w:rFonts w:hint="eastAsia" w:ascii="宋体" w:hAnsi="宋体" w:eastAsia="宋体" w:cs="宋体"/>
          <w:color w:val="auto"/>
          <w:sz w:val="24"/>
          <w:szCs w:val="24"/>
        </w:rPr>
      </w:pPr>
    </w:p>
    <w:p w14:paraId="3AF545E8">
      <w:pPr>
        <w:adjustRightInd w:val="0"/>
        <w:snapToGrid w:val="0"/>
        <w:spacing w:line="360" w:lineRule="auto"/>
        <w:ind w:firstLine="560" w:firstLineChars="200"/>
        <w:rPr>
          <w:rFonts w:hint="eastAsia" w:ascii="宋体" w:hAnsi="宋体" w:eastAsia="宋体" w:cs="宋体"/>
          <w:color w:val="auto"/>
          <w:sz w:val="28"/>
          <w:szCs w:val="28"/>
        </w:rPr>
      </w:pPr>
    </w:p>
    <w:p w14:paraId="27C380D6">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14:paraId="21E55414">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666FD1B6">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经办人：</w:t>
      </w:r>
    </w:p>
    <w:p w14:paraId="4AF94711">
      <w:pPr>
        <w:pStyle w:val="8"/>
        <w:rPr>
          <w:rFonts w:hint="eastAsia"/>
        </w:rPr>
      </w:pPr>
    </w:p>
    <w:p w14:paraId="7E746C7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14:paraId="5E3A64DF">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法定代表人：（签章）</w:t>
      </w:r>
    </w:p>
    <w:p w14:paraId="167F8DC3">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开户银行：</w:t>
      </w:r>
    </w:p>
    <w:p w14:paraId="00DDE11B">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账号：</w:t>
      </w:r>
    </w:p>
    <w:p w14:paraId="00EFE1B4">
      <w:pPr>
        <w:spacing w:line="360" w:lineRule="auto"/>
        <w:ind w:firstLine="3360" w:firstLineChars="1400"/>
        <w:rPr>
          <w:rFonts w:hint="eastAsia" w:ascii="宋体" w:hAnsi="宋体" w:eastAsia="宋体" w:cs="宋体"/>
          <w:color w:val="auto"/>
          <w:sz w:val="24"/>
          <w:szCs w:val="24"/>
        </w:rPr>
      </w:pPr>
    </w:p>
    <w:p w14:paraId="27660C53">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签订日期：年月日</w:t>
      </w:r>
    </w:p>
    <w:p w14:paraId="36F8FBFF">
      <w:pPr>
        <w:pStyle w:val="6"/>
        <w:numPr>
          <w:ilvl w:val="3"/>
          <w:numId w:val="0"/>
        </w:numPr>
        <w:ind w:leftChars="0"/>
        <w:rPr>
          <w:rFonts w:hint="eastAsia" w:ascii="宋体" w:hAnsi="宋体" w:eastAsia="宋体" w:cs="宋体"/>
          <w:color w:val="auto"/>
        </w:rPr>
      </w:pPr>
    </w:p>
    <w:p w14:paraId="3C598686">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14:paraId="3FA10E39">
      <w:pPr>
        <w:spacing w:line="360" w:lineRule="auto"/>
        <w:ind w:firstLine="560" w:firstLineChars="200"/>
        <w:rPr>
          <w:rFonts w:hint="eastAsia" w:ascii="宋体" w:hAnsi="宋体" w:eastAsia="宋体" w:cs="宋体"/>
          <w:color w:val="auto"/>
          <w:sz w:val="28"/>
          <w:szCs w:val="28"/>
        </w:rPr>
      </w:pPr>
    </w:p>
    <w:p w14:paraId="1B805B61">
      <w:pPr>
        <w:spacing w:line="360" w:lineRule="auto"/>
        <w:rPr>
          <w:rFonts w:hint="eastAsia" w:ascii="宋体" w:hAnsi="宋体" w:eastAsia="宋体" w:cs="宋体"/>
          <w:color w:val="auto"/>
          <w:sz w:val="28"/>
          <w:szCs w:val="40"/>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p w14:paraId="467379F9">
      <w:pPr>
        <w:spacing w:line="520" w:lineRule="exact"/>
        <w:rPr>
          <w:rFonts w:hint="eastAsia" w:ascii="宋体" w:hAnsi="宋体" w:eastAsia="宋体" w:cs="宋体"/>
          <w:color w:val="auto"/>
          <w:sz w:val="32"/>
          <w:szCs w:val="32"/>
        </w:rPr>
      </w:pPr>
    </w:p>
    <w:p w14:paraId="79A58F4C">
      <w:pPr>
        <w:adjustRightInd w:val="0"/>
        <w:snapToGrid w:val="0"/>
        <w:spacing w:line="360" w:lineRule="auto"/>
        <w:ind w:firstLine="475" w:firstLineChars="198"/>
        <w:rPr>
          <w:rFonts w:hint="eastAsia" w:ascii="宋体" w:hAnsi="宋体" w:eastAsia="宋体" w:cs="宋体"/>
          <w:color w:val="auto"/>
          <w:sz w:val="24"/>
          <w:u w:val="single"/>
        </w:rPr>
      </w:pPr>
    </w:p>
    <w:p w14:paraId="1663B35D">
      <w:pPr>
        <w:keepNext w:val="0"/>
        <w:keepLines w:val="0"/>
        <w:pageBreakBefore w:val="0"/>
        <w:widowControl w:val="0"/>
        <w:kinsoku/>
        <w:wordWrap/>
        <w:overflowPunct/>
        <w:topLinePunct w:val="0"/>
        <w:autoSpaceDE/>
        <w:autoSpaceDN/>
        <w:bidi w:val="0"/>
        <w:adjustRightInd/>
        <w:snapToGrid/>
        <w:spacing w:before="128" w:line="400" w:lineRule="exact"/>
        <w:ind w:left="494"/>
        <w:textAlignment w:val="auto"/>
        <w:rPr>
          <w:rFonts w:hint="eastAsia" w:ascii="宋体" w:hAnsi="宋体" w:eastAsia="宋体" w:cs="宋体"/>
          <w:color w:val="auto"/>
          <w:spacing w:val="6"/>
          <w:position w:val="1"/>
          <w:sz w:val="24"/>
          <w:szCs w:val="24"/>
        </w:rPr>
      </w:pPr>
    </w:p>
    <w:p w14:paraId="43F96025">
      <w:pPr>
        <w:pStyle w:val="3"/>
        <w:rPr>
          <w:rFonts w:hint="eastAsia" w:ascii="宋体" w:hAnsi="宋体" w:eastAsia="宋体" w:cs="宋体"/>
          <w:color w:val="auto"/>
          <w:highlight w:val="none"/>
          <w:lang w:eastAsia="zh-CN"/>
        </w:rPr>
        <w:sectPr>
          <w:footerReference r:id="rId5" w:type="default"/>
          <w:pgSz w:w="11906" w:h="16838"/>
          <w:pgMar w:top="1402" w:right="1134" w:bottom="1021" w:left="1321" w:header="737" w:footer="737" w:gutter="0"/>
          <w:pgNumType w:fmt="decimal" w:start="1"/>
          <w:cols w:space="720" w:num="1"/>
          <w:docGrid w:type="lines" w:linePitch="312" w:charSpace="0"/>
        </w:sectPr>
      </w:pPr>
    </w:p>
    <w:p w14:paraId="4696541E">
      <w:pPr>
        <w:pStyle w:val="3"/>
        <w:rPr>
          <w:rFonts w:hint="eastAsia" w:ascii="宋体" w:hAnsi="宋体" w:eastAsia="宋体" w:cs="宋体"/>
          <w:b/>
          <w:bCs/>
          <w:color w:val="auto"/>
          <w:sz w:val="24"/>
          <w:szCs w:val="24"/>
          <w:highlight w:val="none"/>
          <w:lang w:eastAsia="zh-CN"/>
        </w:rPr>
      </w:pPr>
      <w:bookmarkStart w:id="280" w:name="_Toc17060"/>
      <w:r>
        <w:rPr>
          <w:rFonts w:hint="eastAsia" w:ascii="宋体" w:hAnsi="宋体" w:eastAsia="宋体" w:cs="宋体"/>
          <w:color w:val="auto"/>
          <w:highlight w:val="none"/>
          <w:lang w:eastAsia="zh-CN"/>
        </w:rPr>
        <w:t>第</w:t>
      </w:r>
      <w:r>
        <w:rPr>
          <w:rFonts w:hint="eastAsia" w:ascii="宋体" w:hAnsi="宋体" w:eastAsia="宋体" w:cs="宋体"/>
          <w:color w:val="auto"/>
          <w:highlight w:val="none"/>
        </w:rPr>
        <w:t xml:space="preserve">五章  </w:t>
      </w:r>
      <w:bookmarkEnd w:id="275"/>
      <w:r>
        <w:rPr>
          <w:rFonts w:hint="eastAsia" w:ascii="宋体" w:hAnsi="宋体" w:eastAsia="宋体" w:cs="宋体"/>
          <w:color w:val="auto"/>
          <w:highlight w:val="none"/>
        </w:rPr>
        <w:t>采购需求</w:t>
      </w:r>
      <w:bookmarkEnd w:id="276"/>
      <w:bookmarkEnd w:id="277"/>
      <w:bookmarkEnd w:id="280"/>
      <w:bookmarkStart w:id="281" w:name="_Toc8274"/>
      <w:bookmarkStart w:id="282" w:name="_Toc27874"/>
      <w:bookmarkStart w:id="283" w:name="_Toc30134"/>
      <w:bookmarkStart w:id="284" w:name="_Toc5331"/>
    </w:p>
    <w:p w14:paraId="04388AD6">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一、采购内容：</w:t>
      </w:r>
    </w:p>
    <w:p w14:paraId="61E90927">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采购项目名称：</w:t>
      </w:r>
      <w:r>
        <w:rPr>
          <w:rFonts w:hint="eastAsia" w:ascii="宋体" w:hAnsi="宋体" w:eastAsia="宋体" w:cs="宋体"/>
          <w:color w:val="auto"/>
          <w:sz w:val="24"/>
          <w:szCs w:val="24"/>
          <w:highlight w:val="none"/>
          <w:lang w:val="en-US" w:eastAsia="zh-CN"/>
        </w:rPr>
        <w:t>府谷县流动党员服务中心提升工程</w:t>
      </w:r>
    </w:p>
    <w:p w14:paraId="0D865EBB">
      <w:pPr>
        <w:spacing w:line="360" w:lineRule="auto"/>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、采购项目预算：</w:t>
      </w:r>
      <w:r>
        <w:rPr>
          <w:rFonts w:hint="eastAsia" w:ascii="宋体" w:hAnsi="宋体" w:eastAsia="宋体" w:cs="宋体"/>
          <w:color w:val="auto"/>
          <w:sz w:val="24"/>
          <w:szCs w:val="24"/>
          <w:highlight w:val="none"/>
          <w:lang w:val="en-US" w:eastAsia="zh-CN"/>
        </w:rPr>
        <w:t>1711206.68元</w:t>
      </w:r>
    </w:p>
    <w:p w14:paraId="7F52264A">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、资金来源：</w:t>
      </w:r>
      <w:r>
        <w:rPr>
          <w:rFonts w:hint="eastAsia" w:ascii="宋体" w:hAnsi="宋体" w:eastAsia="宋体" w:cs="宋体"/>
          <w:color w:val="auto"/>
          <w:sz w:val="24"/>
          <w:szCs w:val="24"/>
          <w:highlight w:val="none"/>
          <w:lang w:val="en-US" w:eastAsia="zh-CN"/>
        </w:rPr>
        <w:t>财政资金</w:t>
      </w:r>
    </w:p>
    <w:p w14:paraId="2C10C62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4、采购方式：</w:t>
      </w:r>
      <w:r>
        <w:rPr>
          <w:rFonts w:hint="eastAsia" w:ascii="宋体" w:hAnsi="宋体" w:eastAsia="宋体" w:cs="宋体"/>
          <w:color w:val="auto"/>
          <w:sz w:val="24"/>
          <w:szCs w:val="24"/>
          <w:highlight w:val="none"/>
          <w:lang w:val="en-US" w:eastAsia="zh-CN"/>
        </w:rPr>
        <w:t>竞争性磋商</w:t>
      </w:r>
    </w:p>
    <w:p w14:paraId="016AD98E">
      <w:pPr>
        <w:shd w:val="clea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工期：30日历天</w:t>
      </w:r>
    </w:p>
    <w:p w14:paraId="35592D31">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项目实施地点：</w:t>
      </w:r>
      <w:r>
        <w:rPr>
          <w:rFonts w:hint="eastAsia" w:ascii="宋体" w:hAnsi="宋体" w:eastAsia="宋体" w:cs="宋体"/>
          <w:color w:val="auto"/>
          <w:sz w:val="24"/>
          <w:szCs w:val="24"/>
          <w:highlight w:val="none"/>
          <w:lang w:val="en-US" w:eastAsia="zh-CN"/>
        </w:rPr>
        <w:t>府谷</w:t>
      </w:r>
      <w:r>
        <w:rPr>
          <w:rFonts w:hint="eastAsia" w:ascii="宋体" w:hAnsi="宋体" w:eastAsia="宋体" w:cs="宋体"/>
          <w:color w:val="auto"/>
          <w:sz w:val="24"/>
          <w:szCs w:val="24"/>
          <w:highlight w:val="none"/>
        </w:rPr>
        <w:t>镇</w:t>
      </w:r>
    </w:p>
    <w:p w14:paraId="25C9616B">
      <w:pPr>
        <w:pStyle w:val="25"/>
        <w:ind w:left="0" w:leftChars="0" w:firstLine="480" w:firstLineChars="200"/>
        <w:rPr>
          <w:rFonts w:hint="eastAsia" w:ascii="宋体" w:hAnsi="宋体" w:eastAsia="宋体" w:cs="宋体"/>
          <w:color w:val="auto"/>
          <w:kern w:val="2"/>
          <w:sz w:val="24"/>
          <w:szCs w:val="24"/>
          <w:lang w:val="en-US" w:eastAsia="zh-CN" w:bidi="ar-SA"/>
        </w:rPr>
      </w:pPr>
      <w:r>
        <w:rPr>
          <w:rFonts w:hint="eastAsia"/>
          <w:color w:val="auto"/>
          <w:lang w:val="en-US" w:eastAsia="zh-CN"/>
        </w:rPr>
        <w:t>二、采购要求</w:t>
      </w:r>
      <w:r>
        <w:rPr>
          <w:rFonts w:hint="eastAsia" w:ascii="宋体" w:hAnsi="宋体" w:eastAsia="宋体" w:cs="宋体"/>
          <w:color w:val="auto"/>
          <w:kern w:val="2"/>
          <w:sz w:val="24"/>
          <w:szCs w:val="24"/>
          <w:lang w:val="en-US" w:eastAsia="zh-CN" w:bidi="ar-SA"/>
        </w:rPr>
        <w:t>：</w:t>
      </w:r>
    </w:p>
    <w:p w14:paraId="361921AA">
      <w:pPr>
        <w:spacing w:line="360" w:lineRule="auto"/>
        <w:ind w:firstLine="480" w:firstLineChars="200"/>
        <w:jc w:val="left"/>
        <w:rPr>
          <w:rFonts w:hint="eastAsia" w:ascii="宋体" w:hAnsi="宋体" w:eastAsia="宋体" w:cs="宋体"/>
          <w:color w:val="auto"/>
          <w:kern w:val="2"/>
          <w:sz w:val="24"/>
          <w:szCs w:val="24"/>
          <w:highlight w:val="cyan"/>
          <w:lang w:val="en-US" w:eastAsia="zh-CN" w:bidi="ar-SA"/>
        </w:rPr>
      </w:pPr>
      <w:bookmarkStart w:id="285" w:name="_Toc5590"/>
      <w:r>
        <w:rPr>
          <w:rFonts w:hint="eastAsia" w:ascii="宋体" w:hAnsi="宋体" w:eastAsia="宋体" w:cs="宋体"/>
          <w:color w:val="auto"/>
          <w:kern w:val="2"/>
          <w:sz w:val="24"/>
          <w:szCs w:val="24"/>
          <w:highlight w:val="none"/>
          <w:lang w:val="en-US" w:eastAsia="zh-CN" w:bidi="ar-SA"/>
        </w:rPr>
        <w:t>主要内容包括：</w:t>
      </w:r>
      <w:r>
        <w:rPr>
          <w:rFonts w:hint="eastAsia" w:asciiTheme="minorEastAsia" w:hAnsiTheme="minorEastAsia" w:eastAsiaTheme="minorEastAsia" w:cstheme="minorEastAsia"/>
          <w:spacing w:val="-5"/>
          <w:lang w:val="en-US" w:eastAsia="zh-CN"/>
        </w:rPr>
        <w:t>项目装修面积1300平方米。打造两厅一堂十室两空间一长廊，两厅为综合服务大厅、红色影厅，一堂为大讲堂，十室为乡情联络站、“双报到”党员干部工作室、老党员工作室、党员活动室、党性体检室、先锋模范室、健康能量室(医疗室、心理辅导室)、灯塔书屋直播间、健身房，两空间为洗衣间、洗澡问、一长廊为党建长廊。配套实施所有房向的供热、消防、给排水及电气设备安装工程。</w:t>
      </w:r>
      <w:r>
        <w:rPr>
          <w:rFonts w:hint="eastAsia" w:asciiTheme="majorEastAsia" w:hAnsiTheme="majorEastAsia" w:eastAsiaTheme="majorEastAsia" w:cstheme="majorEastAsia"/>
          <w:color w:val="auto"/>
          <w:sz w:val="24"/>
          <w:szCs w:val="24"/>
          <w:highlight w:val="none"/>
        </w:rPr>
        <w:t>（详见采购预算清单）。</w:t>
      </w:r>
    </w:p>
    <w:p w14:paraId="75136E49">
      <w:pPr>
        <w:numPr>
          <w:ilvl w:val="0"/>
          <w:numId w:val="0"/>
        </w:numPr>
        <w:spacing w:line="360" w:lineRule="auto"/>
        <w:ind w:firstLine="480" w:firstLineChars="200"/>
        <w:jc w:val="left"/>
        <w:rPr>
          <w:rFonts w:hint="eastAsia" w:ascii="宋体" w:hAnsi="宋体" w:eastAsia="宋体" w:cs="宋体"/>
          <w:color w:val="auto"/>
        </w:rPr>
      </w:pPr>
      <w:r>
        <w:rPr>
          <w:rFonts w:hint="eastAsia" w:ascii="宋体" w:hAnsi="宋体" w:eastAsia="宋体" w:cs="宋体"/>
          <w:color w:val="auto"/>
        </w:rPr>
        <w:br w:type="page"/>
      </w:r>
    </w:p>
    <w:p w14:paraId="7BE899BE">
      <w:pPr>
        <w:pStyle w:val="3"/>
        <w:numPr>
          <w:ilvl w:val="0"/>
          <w:numId w:val="0"/>
        </w:numPr>
        <w:spacing w:line="240" w:lineRule="auto"/>
        <w:rPr>
          <w:rFonts w:hint="eastAsia" w:ascii="宋体" w:hAnsi="宋体" w:eastAsia="宋体" w:cs="宋体"/>
          <w:color w:val="auto"/>
          <w:highlight w:val="none"/>
        </w:rPr>
      </w:pPr>
      <w:r>
        <w:rPr>
          <w:rFonts w:hint="eastAsia" w:ascii="宋体" w:hAnsi="宋体" w:eastAsia="宋体" w:cs="宋体"/>
          <w:b/>
          <w:color w:val="auto"/>
          <w:kern w:val="44"/>
          <w:sz w:val="36"/>
          <w:szCs w:val="24"/>
          <w:lang w:val="en-US" w:eastAsia="zh-CN" w:bidi="ar-SA"/>
        </w:rPr>
        <w:t>第六章</w:t>
      </w:r>
      <w:r>
        <w:rPr>
          <w:rFonts w:hint="eastAsia" w:ascii="宋体" w:hAnsi="宋体" w:cs="宋体"/>
          <w:b/>
          <w:color w:val="auto"/>
          <w:kern w:val="44"/>
          <w:sz w:val="36"/>
          <w:szCs w:val="24"/>
          <w:lang w:val="en-US" w:eastAsia="zh-CN" w:bidi="ar-SA"/>
        </w:rPr>
        <w:t xml:space="preserve">  </w:t>
      </w:r>
      <w:r>
        <w:rPr>
          <w:rFonts w:hint="eastAsia" w:ascii="宋体" w:hAnsi="宋体" w:eastAsia="宋体" w:cs="宋体"/>
          <w:color w:val="auto"/>
          <w:highlight w:val="none"/>
        </w:rPr>
        <w:t>工程量清单</w:t>
      </w:r>
    </w:p>
    <w:bookmarkEnd w:id="281"/>
    <w:bookmarkEnd w:id="282"/>
    <w:bookmarkEnd w:id="283"/>
    <w:bookmarkEnd w:id="284"/>
    <w:bookmarkEnd w:id="285"/>
    <w:p w14:paraId="0F3CFB1D">
      <w:pPr>
        <w:rPr>
          <w:rFonts w:hint="eastAsia" w:ascii="宋体" w:hAnsi="宋体" w:eastAsia="宋体" w:cs="宋体"/>
          <w:color w:val="auto"/>
        </w:rPr>
      </w:pPr>
      <w:r>
        <w:rPr>
          <w:rFonts w:hint="eastAsia" w:ascii="宋体" w:hAnsi="宋体" w:eastAsia="宋体" w:cs="宋体"/>
          <w:color w:val="auto"/>
        </w:rPr>
        <w:drawing>
          <wp:inline distT="0" distB="0" distL="114300" distR="114300">
            <wp:extent cx="5901055" cy="8352155"/>
            <wp:effectExtent l="0" t="0" r="4445" b="10795"/>
            <wp:docPr id="59" name="图片 59" descr="府谷县流动党员服务中心提升改造工程 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府谷县流动党员服务中心提升改造工程 清单_01"/>
                    <pic:cNvPicPr>
                      <a:picLocks noChangeAspect="1"/>
                    </pic:cNvPicPr>
                  </pic:nvPicPr>
                  <pic:blipFill>
                    <a:blip r:embed="rId12"/>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58" name="图片 58" descr="府谷县流动党员服务中心提升改造工程 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府谷县流动党员服务中心提升改造工程 清单_02"/>
                    <pic:cNvPicPr>
                      <a:picLocks noChangeAspect="1"/>
                    </pic:cNvPicPr>
                  </pic:nvPicPr>
                  <pic:blipFill>
                    <a:blip r:embed="rId13"/>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57" name="图片 57" descr="府谷县流动党员服务中心提升改造工程 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府谷县流动党员服务中心提升改造工程 清单_03"/>
                    <pic:cNvPicPr>
                      <a:picLocks noChangeAspect="1"/>
                    </pic:cNvPicPr>
                  </pic:nvPicPr>
                  <pic:blipFill>
                    <a:blip r:embed="rId14"/>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56" name="图片 56" descr="府谷县流动党员服务中心提升改造工程 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府谷县流动党员服务中心提升改造工程 清单_04"/>
                    <pic:cNvPicPr>
                      <a:picLocks noChangeAspect="1"/>
                    </pic:cNvPicPr>
                  </pic:nvPicPr>
                  <pic:blipFill>
                    <a:blip r:embed="rId15"/>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55" name="图片 55" descr="府谷县流动党员服务中心提升改造工程 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府谷县流动党员服务中心提升改造工程 清单_05"/>
                    <pic:cNvPicPr>
                      <a:picLocks noChangeAspect="1"/>
                    </pic:cNvPicPr>
                  </pic:nvPicPr>
                  <pic:blipFill>
                    <a:blip r:embed="rId16"/>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54" name="图片 54" descr="府谷县流动党员服务中心提升改造工程 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府谷县流动党员服务中心提升改造工程 清单_06"/>
                    <pic:cNvPicPr>
                      <a:picLocks noChangeAspect="1"/>
                    </pic:cNvPicPr>
                  </pic:nvPicPr>
                  <pic:blipFill>
                    <a:blip r:embed="rId17"/>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53" name="图片 53" descr="府谷县流动党员服务中心提升改造工程 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府谷县流动党员服务中心提升改造工程 清单_07"/>
                    <pic:cNvPicPr>
                      <a:picLocks noChangeAspect="1"/>
                    </pic:cNvPicPr>
                  </pic:nvPicPr>
                  <pic:blipFill>
                    <a:blip r:embed="rId18"/>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52" name="图片 52" descr="府谷县流动党员服务中心提升改造工程 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府谷县流动党员服务中心提升改造工程 清单_08"/>
                    <pic:cNvPicPr>
                      <a:picLocks noChangeAspect="1"/>
                    </pic:cNvPicPr>
                  </pic:nvPicPr>
                  <pic:blipFill>
                    <a:blip r:embed="rId19"/>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51" name="图片 51" descr="府谷县流动党员服务中心提升改造工程 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府谷县流动党员服务中心提升改造工程 清单_09"/>
                    <pic:cNvPicPr>
                      <a:picLocks noChangeAspect="1"/>
                    </pic:cNvPicPr>
                  </pic:nvPicPr>
                  <pic:blipFill>
                    <a:blip r:embed="rId20"/>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50" name="图片 50" descr="府谷县流动党员服务中心提升改造工程 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府谷县流动党员服务中心提升改造工程 清单_10"/>
                    <pic:cNvPicPr>
                      <a:picLocks noChangeAspect="1"/>
                    </pic:cNvPicPr>
                  </pic:nvPicPr>
                  <pic:blipFill>
                    <a:blip r:embed="rId21"/>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9" name="图片 49" descr="府谷县流动党员服务中心提升改造工程 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府谷县流动党员服务中心提升改造工程 清单_11"/>
                    <pic:cNvPicPr>
                      <a:picLocks noChangeAspect="1"/>
                    </pic:cNvPicPr>
                  </pic:nvPicPr>
                  <pic:blipFill>
                    <a:blip r:embed="rId22"/>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8" name="图片 48" descr="府谷县流动党员服务中心提升改造工程 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府谷县流动党员服务中心提升改造工程 清单_12"/>
                    <pic:cNvPicPr>
                      <a:picLocks noChangeAspect="1"/>
                    </pic:cNvPicPr>
                  </pic:nvPicPr>
                  <pic:blipFill>
                    <a:blip r:embed="rId23"/>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7" name="图片 47" descr="府谷县流动党员服务中心提升改造工程 清单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府谷县流动党员服务中心提升改造工程 清单_13"/>
                    <pic:cNvPicPr>
                      <a:picLocks noChangeAspect="1"/>
                    </pic:cNvPicPr>
                  </pic:nvPicPr>
                  <pic:blipFill>
                    <a:blip r:embed="rId24"/>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6" name="图片 46" descr="府谷县流动党员服务中心提升改造工程 清单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府谷县流动党员服务中心提升改造工程 清单_14"/>
                    <pic:cNvPicPr>
                      <a:picLocks noChangeAspect="1"/>
                    </pic:cNvPicPr>
                  </pic:nvPicPr>
                  <pic:blipFill>
                    <a:blip r:embed="rId25"/>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5" name="图片 45" descr="府谷县流动党员服务中心提升改造工程 清单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府谷县流动党员服务中心提升改造工程 清单_15"/>
                    <pic:cNvPicPr>
                      <a:picLocks noChangeAspect="1"/>
                    </pic:cNvPicPr>
                  </pic:nvPicPr>
                  <pic:blipFill>
                    <a:blip r:embed="rId26"/>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4" name="图片 44" descr="府谷县流动党员服务中心提升改造工程 清单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府谷县流动党员服务中心提升改造工程 清单_16"/>
                    <pic:cNvPicPr>
                      <a:picLocks noChangeAspect="1"/>
                    </pic:cNvPicPr>
                  </pic:nvPicPr>
                  <pic:blipFill>
                    <a:blip r:embed="rId27"/>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3" name="图片 43" descr="府谷县流动党员服务中心提升改造工程 清单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府谷县流动党员服务中心提升改造工程 清单_17"/>
                    <pic:cNvPicPr>
                      <a:picLocks noChangeAspect="1"/>
                    </pic:cNvPicPr>
                  </pic:nvPicPr>
                  <pic:blipFill>
                    <a:blip r:embed="rId28"/>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2" name="图片 42" descr="府谷县流动党员服务中心提升改造工程 清单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府谷县流动党员服务中心提升改造工程 清单_18"/>
                    <pic:cNvPicPr>
                      <a:picLocks noChangeAspect="1"/>
                    </pic:cNvPicPr>
                  </pic:nvPicPr>
                  <pic:blipFill>
                    <a:blip r:embed="rId29"/>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1" name="图片 41" descr="府谷县流动党员服务中心提升改造工程 清单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府谷县流动党员服务中心提升改造工程 清单_19"/>
                    <pic:cNvPicPr>
                      <a:picLocks noChangeAspect="1"/>
                    </pic:cNvPicPr>
                  </pic:nvPicPr>
                  <pic:blipFill>
                    <a:blip r:embed="rId30"/>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40" name="图片 40" descr="府谷县流动党员服务中心提升改造工程 清单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府谷县流动党员服务中心提升改造工程 清单_20"/>
                    <pic:cNvPicPr>
                      <a:picLocks noChangeAspect="1"/>
                    </pic:cNvPicPr>
                  </pic:nvPicPr>
                  <pic:blipFill>
                    <a:blip r:embed="rId31"/>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9" name="图片 39" descr="府谷县流动党员服务中心提升改造工程 清单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府谷县流动党员服务中心提升改造工程 清单_21"/>
                    <pic:cNvPicPr>
                      <a:picLocks noChangeAspect="1"/>
                    </pic:cNvPicPr>
                  </pic:nvPicPr>
                  <pic:blipFill>
                    <a:blip r:embed="rId32"/>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8" name="图片 38" descr="府谷县流动党员服务中心提升改造工程 清单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府谷县流动党员服务中心提升改造工程 清单_22"/>
                    <pic:cNvPicPr>
                      <a:picLocks noChangeAspect="1"/>
                    </pic:cNvPicPr>
                  </pic:nvPicPr>
                  <pic:blipFill>
                    <a:blip r:embed="rId33"/>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7" name="图片 37" descr="府谷县流动党员服务中心提升改造工程 清单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府谷县流动党员服务中心提升改造工程 清单_23"/>
                    <pic:cNvPicPr>
                      <a:picLocks noChangeAspect="1"/>
                    </pic:cNvPicPr>
                  </pic:nvPicPr>
                  <pic:blipFill>
                    <a:blip r:embed="rId34"/>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6" name="图片 36" descr="府谷县流动党员服务中心提升改造工程 清单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府谷县流动党员服务中心提升改造工程 清单_24"/>
                    <pic:cNvPicPr>
                      <a:picLocks noChangeAspect="1"/>
                    </pic:cNvPicPr>
                  </pic:nvPicPr>
                  <pic:blipFill>
                    <a:blip r:embed="rId35"/>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5" name="图片 35" descr="府谷县流动党员服务中心提升改造工程 清单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府谷县流动党员服务中心提升改造工程 清单_25"/>
                    <pic:cNvPicPr>
                      <a:picLocks noChangeAspect="1"/>
                    </pic:cNvPicPr>
                  </pic:nvPicPr>
                  <pic:blipFill>
                    <a:blip r:embed="rId36"/>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4" name="图片 34" descr="府谷县流动党员服务中心提升改造工程 清单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府谷县流动党员服务中心提升改造工程 清单_26"/>
                    <pic:cNvPicPr>
                      <a:picLocks noChangeAspect="1"/>
                    </pic:cNvPicPr>
                  </pic:nvPicPr>
                  <pic:blipFill>
                    <a:blip r:embed="rId37"/>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3" name="图片 33" descr="府谷县流动党员服务中心提升改造工程 清单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府谷县流动党员服务中心提升改造工程 清单_27"/>
                    <pic:cNvPicPr>
                      <a:picLocks noChangeAspect="1"/>
                    </pic:cNvPicPr>
                  </pic:nvPicPr>
                  <pic:blipFill>
                    <a:blip r:embed="rId38"/>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2" name="图片 32" descr="府谷县流动党员服务中心提升改造工程 清单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府谷县流动党员服务中心提升改造工程 清单_28"/>
                    <pic:cNvPicPr>
                      <a:picLocks noChangeAspect="1"/>
                    </pic:cNvPicPr>
                  </pic:nvPicPr>
                  <pic:blipFill>
                    <a:blip r:embed="rId39"/>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1" name="图片 31" descr="府谷县流动党员服务中心提升改造工程 清单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府谷县流动党员服务中心提升改造工程 清单_29"/>
                    <pic:cNvPicPr>
                      <a:picLocks noChangeAspect="1"/>
                    </pic:cNvPicPr>
                  </pic:nvPicPr>
                  <pic:blipFill>
                    <a:blip r:embed="rId40"/>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30" name="图片 30" descr="府谷县流动党员服务中心提升改造工程 清单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府谷县流动党员服务中心提升改造工程 清单_30"/>
                    <pic:cNvPicPr>
                      <a:picLocks noChangeAspect="1"/>
                    </pic:cNvPicPr>
                  </pic:nvPicPr>
                  <pic:blipFill>
                    <a:blip r:embed="rId41"/>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29" name="图片 29" descr="府谷县流动党员服务中心提升改造工程 清单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府谷县流动党员服务中心提升改造工程 清单_31"/>
                    <pic:cNvPicPr>
                      <a:picLocks noChangeAspect="1"/>
                    </pic:cNvPicPr>
                  </pic:nvPicPr>
                  <pic:blipFill>
                    <a:blip r:embed="rId42"/>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28" name="图片 28" descr="府谷县流动党员服务中心提升改造工程 清单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府谷县流动党员服务中心提升改造工程 清单_32"/>
                    <pic:cNvPicPr>
                      <a:picLocks noChangeAspect="1"/>
                    </pic:cNvPicPr>
                  </pic:nvPicPr>
                  <pic:blipFill>
                    <a:blip r:embed="rId43"/>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27" name="图片 27" descr="府谷县流动党员服务中心提升改造工程 清单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府谷县流动党员服务中心提升改造工程 清单_33"/>
                    <pic:cNvPicPr>
                      <a:picLocks noChangeAspect="1"/>
                    </pic:cNvPicPr>
                  </pic:nvPicPr>
                  <pic:blipFill>
                    <a:blip r:embed="rId44"/>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26" name="图片 26" descr="府谷县流动党员服务中心提升改造工程 清单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府谷县流动党员服务中心提升改造工程 清单_34"/>
                    <pic:cNvPicPr>
                      <a:picLocks noChangeAspect="1"/>
                    </pic:cNvPicPr>
                  </pic:nvPicPr>
                  <pic:blipFill>
                    <a:blip r:embed="rId45"/>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25" name="图片 25" descr="府谷县流动党员服务中心提升改造工程 清单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府谷县流动党员服务中心提升改造工程 清单_35"/>
                    <pic:cNvPicPr>
                      <a:picLocks noChangeAspect="1"/>
                    </pic:cNvPicPr>
                  </pic:nvPicPr>
                  <pic:blipFill>
                    <a:blip r:embed="rId46"/>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24" name="图片 24" descr="府谷县流动党员服务中心提升改造工程 清单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府谷县流动党员服务中心提升改造工程 清单_36"/>
                    <pic:cNvPicPr>
                      <a:picLocks noChangeAspect="1"/>
                    </pic:cNvPicPr>
                  </pic:nvPicPr>
                  <pic:blipFill>
                    <a:blip r:embed="rId47"/>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23" name="图片 23" descr="府谷县流动党员服务中心提升改造工程 清单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府谷县流动党员服务中心提升改造工程 清单_37"/>
                    <pic:cNvPicPr>
                      <a:picLocks noChangeAspect="1"/>
                    </pic:cNvPicPr>
                  </pic:nvPicPr>
                  <pic:blipFill>
                    <a:blip r:embed="rId48"/>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drawing>
          <wp:inline distT="0" distB="0" distL="114300" distR="114300">
            <wp:extent cx="5901055" cy="8352155"/>
            <wp:effectExtent l="0" t="0" r="4445" b="10795"/>
            <wp:docPr id="22" name="图片 22" descr="府谷县流动党员服务中心提升改造工程 清单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府谷县流动党员服务中心提升改造工程 清单_38"/>
                    <pic:cNvPicPr>
                      <a:picLocks noChangeAspect="1"/>
                    </pic:cNvPicPr>
                  </pic:nvPicPr>
                  <pic:blipFill>
                    <a:blip r:embed="rId49"/>
                    <a:stretch>
                      <a:fillRect/>
                    </a:stretch>
                  </pic:blipFill>
                  <pic:spPr>
                    <a:xfrm>
                      <a:off x="0" y="0"/>
                      <a:ext cx="5901055" cy="8352155"/>
                    </a:xfrm>
                    <a:prstGeom prst="rect">
                      <a:avLst/>
                    </a:prstGeom>
                  </pic:spPr>
                </pic:pic>
              </a:graphicData>
            </a:graphic>
          </wp:inline>
        </w:drawing>
      </w:r>
      <w:r>
        <w:rPr>
          <w:rFonts w:hint="eastAsia" w:ascii="宋体" w:hAnsi="宋体" w:eastAsia="宋体" w:cs="宋体"/>
          <w:color w:val="auto"/>
        </w:rPr>
        <w:br w:type="page"/>
      </w:r>
    </w:p>
    <w:p w14:paraId="3E48080F">
      <w:pPr>
        <w:pStyle w:val="3"/>
        <w:rPr>
          <w:rFonts w:hint="eastAsia" w:ascii="宋体" w:hAnsi="宋体" w:eastAsia="宋体" w:cs="宋体"/>
          <w:color w:val="auto"/>
        </w:rPr>
      </w:pPr>
      <w:r>
        <w:rPr>
          <w:rFonts w:hint="eastAsia" w:ascii="宋体" w:hAnsi="宋体" w:eastAsia="宋体" w:cs="宋体"/>
          <w:color w:val="auto"/>
        </w:rPr>
        <w:t>第</w:t>
      </w:r>
      <w:r>
        <w:rPr>
          <w:rFonts w:hint="eastAsia" w:ascii="宋体" w:hAnsi="宋体" w:cs="宋体"/>
          <w:color w:val="auto"/>
          <w:lang w:val="en-US" w:eastAsia="zh-CN"/>
        </w:rPr>
        <w:t>七</w:t>
      </w:r>
      <w:r>
        <w:rPr>
          <w:rFonts w:hint="eastAsia" w:ascii="宋体" w:hAnsi="宋体" w:eastAsia="宋体" w:cs="宋体"/>
          <w:color w:val="auto"/>
        </w:rPr>
        <w:t>章  竞争性磋商响应文件参考格式</w:t>
      </w:r>
    </w:p>
    <w:p w14:paraId="146C42EC">
      <w:pPr>
        <w:adjustRightInd w:val="0"/>
        <w:snapToGrid w:val="0"/>
        <w:spacing w:line="360" w:lineRule="auto"/>
        <w:ind w:right="600" w:firstLine="1606" w:firstLineChars="500"/>
        <w:rPr>
          <w:rFonts w:hint="eastAsia" w:ascii="宋体" w:hAnsi="宋体" w:eastAsia="宋体" w:cs="宋体"/>
          <w:b/>
          <w:color w:val="auto"/>
          <w:sz w:val="32"/>
          <w:szCs w:val="32"/>
        </w:rPr>
      </w:pPr>
    </w:p>
    <w:p w14:paraId="05BB7807">
      <w:pPr>
        <w:adjustRightInd w:val="0"/>
        <w:snapToGrid w:val="0"/>
        <w:spacing w:line="360" w:lineRule="auto"/>
        <w:ind w:right="600" w:firstLine="2570" w:firstLineChars="800"/>
        <w:rPr>
          <w:rFonts w:hint="eastAsia" w:ascii="宋体" w:hAnsi="宋体" w:eastAsia="宋体" w:cs="宋体"/>
          <w:b/>
          <w:color w:val="auto"/>
          <w:sz w:val="32"/>
          <w:szCs w:val="32"/>
        </w:rPr>
      </w:pPr>
      <w:r>
        <w:rPr>
          <w:rFonts w:hint="eastAsia" w:ascii="宋体" w:hAnsi="宋体" w:eastAsia="宋体" w:cs="宋体"/>
          <w:b/>
          <w:color w:val="auto"/>
          <w:sz w:val="32"/>
          <w:szCs w:val="32"/>
        </w:rPr>
        <w:t>竞争性磋商响应文件编制说明</w:t>
      </w:r>
    </w:p>
    <w:p w14:paraId="3D14C2C8">
      <w:pPr>
        <w:spacing w:line="360" w:lineRule="auto"/>
        <w:rPr>
          <w:rFonts w:hint="eastAsia" w:ascii="宋体" w:hAnsi="宋体" w:eastAsia="宋体" w:cs="宋体"/>
          <w:color w:val="auto"/>
          <w:sz w:val="24"/>
        </w:rPr>
      </w:pPr>
    </w:p>
    <w:p w14:paraId="796AC767">
      <w:pPr>
        <w:spacing w:line="480" w:lineRule="auto"/>
        <w:ind w:left="120" w:leftChars="50" w:firstLine="360" w:firstLineChars="150"/>
        <w:rPr>
          <w:rFonts w:hint="eastAsia" w:ascii="宋体" w:hAnsi="宋体" w:eastAsia="宋体" w:cs="宋体"/>
          <w:color w:val="auto"/>
          <w:sz w:val="24"/>
        </w:rPr>
      </w:pPr>
      <w:r>
        <w:rPr>
          <w:rFonts w:hint="eastAsia" w:ascii="宋体" w:hAnsi="宋体" w:eastAsia="宋体" w:cs="宋体"/>
          <w:color w:val="auto"/>
          <w:sz w:val="24"/>
        </w:rPr>
        <w:t>1.提供的竞争性磋商响应文件格式，起到样式作用，编制竞争性磋商响应文件前，请详细阅读竞争性磋商文件，理解文件中的每一项要求。</w:t>
      </w:r>
    </w:p>
    <w:p w14:paraId="4246B8F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2.竞争性磋商响应文件应包含此格式但并不限于此格式。其他未提供格式的文件和资料由供应商自行设计编制格式填写。</w:t>
      </w:r>
    </w:p>
    <w:p w14:paraId="2F3443D6">
      <w:pPr>
        <w:spacing w:line="480" w:lineRule="auto"/>
        <w:ind w:firstLine="482" w:firstLineChars="201"/>
        <w:rPr>
          <w:rFonts w:hint="eastAsia" w:ascii="宋体" w:hAnsi="宋体" w:eastAsia="宋体" w:cs="宋体"/>
          <w:color w:val="auto"/>
          <w:sz w:val="24"/>
        </w:rPr>
      </w:pPr>
      <w:r>
        <w:rPr>
          <w:rFonts w:hint="eastAsia" w:ascii="宋体" w:hAnsi="宋体" w:eastAsia="宋体" w:cs="宋体"/>
          <w:color w:val="auto"/>
          <w:sz w:val="24"/>
        </w:rPr>
        <w:t>3.全部编制完成，按文件要求加盖公章、签字，竞争性磋商响应文件正、副本应分别装订成册。</w:t>
      </w:r>
    </w:p>
    <w:p w14:paraId="410F1059">
      <w:pPr>
        <w:spacing w:line="360" w:lineRule="atLeast"/>
        <w:rPr>
          <w:rFonts w:hint="eastAsia" w:ascii="宋体" w:hAnsi="宋体" w:eastAsia="宋体" w:cs="宋体"/>
          <w:color w:val="auto"/>
          <w:sz w:val="21"/>
          <w:szCs w:val="21"/>
        </w:rPr>
      </w:pPr>
    </w:p>
    <w:p w14:paraId="109FB33A">
      <w:pPr>
        <w:spacing w:line="360" w:lineRule="atLeast"/>
        <w:jc w:val="right"/>
        <w:rPr>
          <w:rFonts w:hint="eastAsia" w:ascii="宋体" w:hAnsi="宋体" w:eastAsia="宋体" w:cs="宋体"/>
          <w:b/>
          <w:color w:val="auto"/>
          <w:sz w:val="21"/>
          <w:szCs w:val="21"/>
        </w:rPr>
      </w:pPr>
    </w:p>
    <w:p w14:paraId="3BE9BD10">
      <w:pPr>
        <w:spacing w:line="360" w:lineRule="atLeast"/>
        <w:jc w:val="right"/>
        <w:rPr>
          <w:rFonts w:hint="eastAsia" w:ascii="宋体" w:hAnsi="宋体" w:eastAsia="宋体" w:cs="宋体"/>
          <w:b/>
          <w:color w:val="auto"/>
          <w:sz w:val="21"/>
          <w:szCs w:val="21"/>
        </w:rPr>
      </w:pPr>
    </w:p>
    <w:p w14:paraId="6E81E603">
      <w:pPr>
        <w:spacing w:line="360" w:lineRule="atLeast"/>
        <w:jc w:val="right"/>
        <w:rPr>
          <w:rFonts w:hint="eastAsia" w:ascii="宋体" w:hAnsi="宋体" w:eastAsia="宋体" w:cs="宋体"/>
          <w:b/>
          <w:color w:val="auto"/>
          <w:sz w:val="21"/>
          <w:szCs w:val="21"/>
        </w:rPr>
      </w:pPr>
    </w:p>
    <w:p w14:paraId="0D0731D2">
      <w:pPr>
        <w:spacing w:line="360" w:lineRule="atLeast"/>
        <w:jc w:val="right"/>
        <w:rPr>
          <w:rFonts w:hint="eastAsia" w:ascii="宋体" w:hAnsi="宋体" w:eastAsia="宋体" w:cs="宋体"/>
          <w:b/>
          <w:color w:val="auto"/>
          <w:sz w:val="21"/>
          <w:szCs w:val="21"/>
        </w:rPr>
      </w:pPr>
    </w:p>
    <w:p w14:paraId="4324B122">
      <w:pPr>
        <w:spacing w:line="360" w:lineRule="atLeast"/>
        <w:jc w:val="right"/>
        <w:rPr>
          <w:rFonts w:hint="eastAsia" w:ascii="宋体" w:hAnsi="宋体" w:eastAsia="宋体" w:cs="宋体"/>
          <w:b/>
          <w:color w:val="auto"/>
          <w:sz w:val="21"/>
          <w:szCs w:val="21"/>
        </w:rPr>
      </w:pPr>
    </w:p>
    <w:p w14:paraId="5B2CF945">
      <w:pPr>
        <w:spacing w:line="360" w:lineRule="atLeast"/>
        <w:jc w:val="right"/>
        <w:rPr>
          <w:rFonts w:hint="eastAsia" w:ascii="宋体" w:hAnsi="宋体" w:eastAsia="宋体" w:cs="宋体"/>
          <w:b/>
          <w:color w:val="auto"/>
          <w:sz w:val="21"/>
          <w:szCs w:val="21"/>
        </w:rPr>
      </w:pPr>
    </w:p>
    <w:p w14:paraId="661602FD">
      <w:pPr>
        <w:spacing w:line="360" w:lineRule="atLeast"/>
        <w:jc w:val="right"/>
        <w:rPr>
          <w:rFonts w:hint="eastAsia" w:ascii="宋体" w:hAnsi="宋体" w:eastAsia="宋体" w:cs="宋体"/>
          <w:b/>
          <w:color w:val="auto"/>
          <w:sz w:val="21"/>
          <w:szCs w:val="21"/>
        </w:rPr>
      </w:pPr>
    </w:p>
    <w:p w14:paraId="4B794BF5">
      <w:pPr>
        <w:spacing w:line="360" w:lineRule="atLeast"/>
        <w:jc w:val="right"/>
        <w:rPr>
          <w:rFonts w:hint="eastAsia" w:ascii="宋体" w:hAnsi="宋体" w:eastAsia="宋体" w:cs="宋体"/>
          <w:b/>
          <w:color w:val="auto"/>
          <w:sz w:val="21"/>
          <w:szCs w:val="21"/>
        </w:rPr>
      </w:pPr>
    </w:p>
    <w:p w14:paraId="2980F339">
      <w:pPr>
        <w:spacing w:line="360" w:lineRule="atLeast"/>
        <w:jc w:val="right"/>
        <w:rPr>
          <w:rFonts w:hint="eastAsia" w:ascii="宋体" w:hAnsi="宋体" w:eastAsia="宋体" w:cs="宋体"/>
          <w:b/>
          <w:color w:val="auto"/>
          <w:sz w:val="21"/>
          <w:szCs w:val="21"/>
        </w:rPr>
      </w:pPr>
    </w:p>
    <w:p w14:paraId="3CF1A125">
      <w:pPr>
        <w:spacing w:line="360" w:lineRule="atLeast"/>
        <w:jc w:val="right"/>
        <w:rPr>
          <w:rFonts w:hint="eastAsia" w:ascii="宋体" w:hAnsi="宋体" w:eastAsia="宋体" w:cs="宋体"/>
          <w:b/>
          <w:color w:val="auto"/>
          <w:sz w:val="21"/>
          <w:szCs w:val="21"/>
        </w:rPr>
      </w:pPr>
    </w:p>
    <w:p w14:paraId="74586543">
      <w:pPr>
        <w:spacing w:line="360" w:lineRule="atLeast"/>
        <w:jc w:val="right"/>
        <w:rPr>
          <w:rFonts w:hint="eastAsia" w:ascii="宋体" w:hAnsi="宋体" w:eastAsia="宋体" w:cs="宋体"/>
          <w:b/>
          <w:color w:val="auto"/>
          <w:sz w:val="21"/>
          <w:szCs w:val="21"/>
        </w:rPr>
      </w:pPr>
    </w:p>
    <w:p w14:paraId="5BA88506">
      <w:pPr>
        <w:spacing w:line="360" w:lineRule="atLeast"/>
        <w:jc w:val="right"/>
        <w:rPr>
          <w:rFonts w:hint="eastAsia" w:ascii="宋体" w:hAnsi="宋体" w:eastAsia="宋体" w:cs="宋体"/>
          <w:b/>
          <w:color w:val="auto"/>
          <w:sz w:val="21"/>
          <w:szCs w:val="21"/>
        </w:rPr>
      </w:pPr>
    </w:p>
    <w:p w14:paraId="4BF3FA47">
      <w:pPr>
        <w:spacing w:line="360" w:lineRule="atLeast"/>
        <w:jc w:val="right"/>
        <w:rPr>
          <w:rFonts w:hint="eastAsia" w:ascii="宋体" w:hAnsi="宋体" w:eastAsia="宋体" w:cs="宋体"/>
          <w:b/>
          <w:color w:val="auto"/>
          <w:sz w:val="21"/>
          <w:szCs w:val="21"/>
        </w:rPr>
      </w:pPr>
    </w:p>
    <w:p w14:paraId="29525823">
      <w:pPr>
        <w:spacing w:line="360" w:lineRule="atLeast"/>
        <w:jc w:val="right"/>
        <w:rPr>
          <w:rFonts w:hint="eastAsia" w:ascii="宋体" w:hAnsi="宋体" w:eastAsia="宋体" w:cs="宋体"/>
          <w:b/>
          <w:color w:val="auto"/>
          <w:sz w:val="21"/>
          <w:szCs w:val="21"/>
        </w:rPr>
      </w:pPr>
    </w:p>
    <w:p w14:paraId="482F8FFE">
      <w:pPr>
        <w:spacing w:line="360" w:lineRule="atLeast"/>
        <w:jc w:val="right"/>
        <w:rPr>
          <w:rFonts w:hint="eastAsia" w:ascii="宋体" w:hAnsi="宋体" w:eastAsia="宋体" w:cs="宋体"/>
          <w:b/>
          <w:color w:val="auto"/>
          <w:sz w:val="21"/>
          <w:szCs w:val="21"/>
        </w:rPr>
      </w:pPr>
    </w:p>
    <w:p w14:paraId="6C810E8E">
      <w:pPr>
        <w:spacing w:line="360" w:lineRule="atLeast"/>
        <w:jc w:val="right"/>
        <w:rPr>
          <w:rFonts w:hint="eastAsia" w:ascii="宋体" w:hAnsi="宋体" w:eastAsia="宋体" w:cs="宋体"/>
          <w:b/>
          <w:color w:val="auto"/>
          <w:sz w:val="21"/>
          <w:szCs w:val="21"/>
        </w:rPr>
      </w:pPr>
    </w:p>
    <w:p w14:paraId="4A3532B7">
      <w:pPr>
        <w:spacing w:line="360" w:lineRule="atLeast"/>
        <w:jc w:val="right"/>
        <w:rPr>
          <w:rFonts w:hint="eastAsia" w:ascii="宋体" w:hAnsi="宋体" w:eastAsia="宋体" w:cs="宋体"/>
          <w:b/>
          <w:color w:val="auto"/>
          <w:sz w:val="21"/>
          <w:szCs w:val="21"/>
        </w:rPr>
      </w:pPr>
    </w:p>
    <w:p w14:paraId="7935BDC5">
      <w:pPr>
        <w:spacing w:line="360" w:lineRule="atLeast"/>
        <w:jc w:val="right"/>
        <w:rPr>
          <w:rFonts w:hint="eastAsia" w:ascii="宋体" w:hAnsi="宋体" w:eastAsia="宋体" w:cs="宋体"/>
          <w:b/>
          <w:color w:val="auto"/>
          <w:sz w:val="21"/>
          <w:szCs w:val="21"/>
        </w:rPr>
      </w:pPr>
    </w:p>
    <w:p w14:paraId="680BA0F4">
      <w:pPr>
        <w:spacing w:line="360" w:lineRule="atLeast"/>
        <w:jc w:val="right"/>
        <w:rPr>
          <w:rFonts w:hint="eastAsia" w:ascii="宋体" w:hAnsi="宋体" w:eastAsia="宋体" w:cs="宋体"/>
          <w:b/>
          <w:color w:val="auto"/>
          <w:sz w:val="21"/>
          <w:szCs w:val="21"/>
        </w:rPr>
      </w:pPr>
    </w:p>
    <w:p w14:paraId="445BD22B">
      <w:pPr>
        <w:spacing w:line="360" w:lineRule="atLeast"/>
        <w:jc w:val="right"/>
        <w:rPr>
          <w:rFonts w:hint="eastAsia" w:ascii="宋体" w:hAnsi="宋体" w:eastAsia="宋体" w:cs="宋体"/>
          <w:b/>
          <w:color w:val="auto"/>
          <w:sz w:val="21"/>
          <w:szCs w:val="21"/>
        </w:rPr>
      </w:pPr>
    </w:p>
    <w:p w14:paraId="64C0CFCC">
      <w:pPr>
        <w:spacing w:line="360" w:lineRule="atLeast"/>
        <w:jc w:val="right"/>
        <w:rPr>
          <w:rFonts w:hint="eastAsia" w:ascii="宋体" w:hAnsi="宋体" w:eastAsia="宋体" w:cs="宋体"/>
          <w:b/>
          <w:color w:val="auto"/>
          <w:sz w:val="21"/>
          <w:szCs w:val="21"/>
        </w:rPr>
      </w:pPr>
    </w:p>
    <w:p w14:paraId="48B90182">
      <w:pPr>
        <w:spacing w:line="360" w:lineRule="atLeast"/>
        <w:jc w:val="right"/>
        <w:rPr>
          <w:rFonts w:hint="eastAsia" w:ascii="宋体" w:hAnsi="宋体" w:eastAsia="宋体" w:cs="宋体"/>
          <w:b/>
          <w:color w:val="auto"/>
          <w:sz w:val="21"/>
          <w:szCs w:val="21"/>
        </w:rPr>
      </w:pPr>
    </w:p>
    <w:p w14:paraId="5F7344B7">
      <w:pPr>
        <w:spacing w:line="360" w:lineRule="atLeast"/>
        <w:jc w:val="left"/>
        <w:rPr>
          <w:rFonts w:hint="eastAsia" w:ascii="宋体" w:hAnsi="宋体" w:eastAsia="宋体" w:cs="宋体"/>
          <w:color w:val="auto"/>
          <w:sz w:val="21"/>
          <w:szCs w:val="21"/>
        </w:rPr>
      </w:pPr>
      <w:r>
        <w:rPr>
          <w:rFonts w:hint="eastAsia" w:ascii="宋体" w:hAnsi="宋体" w:eastAsia="宋体" w:cs="宋体"/>
          <w:b/>
          <w:color w:val="auto"/>
          <w:sz w:val="28"/>
          <w:szCs w:val="28"/>
          <w:lang w:eastAsia="zh-CN"/>
        </w:rPr>
        <w:t>项目</w:t>
      </w:r>
      <w:r>
        <w:rPr>
          <w:rFonts w:hint="eastAsia" w:ascii="宋体" w:hAnsi="宋体" w:eastAsia="宋体" w:cs="宋体"/>
          <w:b/>
          <w:color w:val="auto"/>
          <w:sz w:val="28"/>
          <w:szCs w:val="28"/>
        </w:rPr>
        <w:t>编号：</w:t>
      </w:r>
      <w:r>
        <w:rPr>
          <w:rFonts w:hint="eastAsia" w:ascii="宋体" w:hAnsi="宋体" w:eastAsia="宋体" w:cs="宋体"/>
          <w:b/>
          <w:bCs/>
          <w:color w:val="auto"/>
          <w:kern w:val="0"/>
          <w:sz w:val="28"/>
          <w:szCs w:val="28"/>
          <w:lang w:val="en-US" w:eastAsia="zh-CN"/>
        </w:rPr>
        <w:t xml:space="preserve">           </w:t>
      </w:r>
      <w:r>
        <w:rPr>
          <w:rFonts w:hint="eastAsia" w:ascii="宋体" w:hAnsi="宋体" w:eastAsia="宋体" w:cs="宋体"/>
          <w:b/>
          <w:color w:val="auto"/>
          <w:sz w:val="28"/>
          <w:szCs w:val="28"/>
        </w:rPr>
        <w:t xml:space="preserve"> </w:t>
      </w: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1"/>
          <w:szCs w:val="21"/>
        </w:rPr>
        <w:t>（正本或副本）</w:t>
      </w:r>
    </w:p>
    <w:p w14:paraId="0096AA2E">
      <w:pPr>
        <w:jc w:val="center"/>
        <w:rPr>
          <w:rFonts w:hint="eastAsia" w:ascii="宋体" w:hAnsi="宋体" w:eastAsia="宋体" w:cs="宋体"/>
          <w:color w:val="auto"/>
          <w:sz w:val="21"/>
          <w:szCs w:val="21"/>
        </w:rPr>
      </w:pPr>
    </w:p>
    <w:p w14:paraId="6352049D">
      <w:pPr>
        <w:pStyle w:val="25"/>
        <w:ind w:left="0" w:leftChars="0" w:firstLine="0" w:firstLineChars="0"/>
        <w:rPr>
          <w:rFonts w:hint="eastAsia" w:ascii="宋体" w:hAnsi="宋体" w:eastAsia="宋体" w:cs="宋体"/>
          <w:b/>
          <w:bCs/>
          <w:color w:val="auto"/>
          <w:kern w:val="2"/>
          <w:sz w:val="48"/>
          <w:szCs w:val="48"/>
          <w:lang w:val="en-US" w:eastAsia="zh-CN" w:bidi="ar-SA"/>
        </w:rPr>
      </w:pPr>
    </w:p>
    <w:p w14:paraId="5F94070C">
      <w:pPr>
        <w:pStyle w:val="25"/>
        <w:ind w:left="0" w:leftChars="0" w:firstLine="0" w:firstLineChars="0"/>
        <w:rPr>
          <w:rFonts w:hint="eastAsia" w:ascii="宋体" w:hAnsi="宋体" w:eastAsia="宋体" w:cs="宋体"/>
          <w:b/>
          <w:bCs/>
          <w:color w:val="auto"/>
          <w:kern w:val="2"/>
          <w:sz w:val="48"/>
          <w:szCs w:val="48"/>
          <w:lang w:val="en-US" w:eastAsia="zh-CN" w:bidi="ar-SA"/>
        </w:rPr>
      </w:pPr>
    </w:p>
    <w:p w14:paraId="572A0C40">
      <w:pPr>
        <w:pStyle w:val="25"/>
        <w:ind w:left="0" w:leftChars="0" w:firstLine="0" w:firstLineChars="0"/>
        <w:rPr>
          <w:rFonts w:hint="eastAsia" w:ascii="宋体" w:hAnsi="宋体" w:eastAsia="宋体" w:cs="宋体"/>
          <w:b/>
          <w:bCs/>
          <w:color w:val="auto"/>
          <w:kern w:val="2"/>
          <w:sz w:val="48"/>
          <w:szCs w:val="48"/>
          <w:lang w:val="en-US" w:eastAsia="zh-CN" w:bidi="ar-SA"/>
        </w:rPr>
      </w:pPr>
    </w:p>
    <w:p w14:paraId="4C25478E">
      <w:pPr>
        <w:jc w:val="center"/>
        <w:rPr>
          <w:rFonts w:hint="eastAsia" w:ascii="宋体" w:hAnsi="宋体" w:eastAsia="宋体" w:cs="宋体"/>
          <w:b/>
          <w:bCs/>
          <w:color w:val="auto"/>
          <w:sz w:val="48"/>
          <w:szCs w:val="48"/>
        </w:rPr>
      </w:pPr>
      <w:r>
        <w:rPr>
          <w:rFonts w:hint="eastAsia" w:ascii="宋体" w:hAnsi="宋体" w:eastAsia="宋体" w:cs="宋体"/>
          <w:b/>
          <w:bCs/>
          <w:color w:val="auto"/>
          <w:kern w:val="2"/>
          <w:sz w:val="56"/>
          <w:szCs w:val="56"/>
          <w:lang w:val="en-US" w:eastAsia="zh-CN" w:bidi="ar-SA"/>
        </w:rPr>
        <w:t>府谷县流动党员服务中心提升工程</w:t>
      </w:r>
    </w:p>
    <w:p w14:paraId="583006F5">
      <w:pPr>
        <w:jc w:val="center"/>
        <w:rPr>
          <w:rFonts w:hint="eastAsia" w:ascii="宋体" w:hAnsi="宋体" w:eastAsia="宋体" w:cs="宋体"/>
          <w:b/>
          <w:bCs/>
          <w:color w:val="auto"/>
          <w:sz w:val="48"/>
          <w:szCs w:val="48"/>
        </w:rPr>
      </w:pPr>
    </w:p>
    <w:p w14:paraId="1DB77ABE">
      <w:pPr>
        <w:jc w:val="center"/>
        <w:rPr>
          <w:rFonts w:hint="eastAsia" w:ascii="宋体" w:hAnsi="宋体" w:eastAsia="宋体" w:cs="宋体"/>
          <w:b/>
          <w:bCs/>
          <w:color w:val="auto"/>
          <w:sz w:val="48"/>
          <w:szCs w:val="48"/>
        </w:rPr>
      </w:pPr>
    </w:p>
    <w:p w14:paraId="3601152E">
      <w:pPr>
        <w:jc w:val="center"/>
        <w:rPr>
          <w:rFonts w:hint="eastAsia" w:ascii="宋体" w:hAnsi="宋体" w:eastAsia="宋体" w:cs="宋体"/>
          <w:b/>
          <w:bCs/>
          <w:color w:val="auto"/>
          <w:sz w:val="48"/>
          <w:szCs w:val="48"/>
        </w:rPr>
      </w:pPr>
      <w:r>
        <w:rPr>
          <w:rFonts w:hint="eastAsia" w:ascii="宋体" w:hAnsi="宋体" w:eastAsia="宋体" w:cs="宋体"/>
          <w:b/>
          <w:bCs/>
          <w:color w:val="auto"/>
          <w:sz w:val="48"/>
          <w:szCs w:val="48"/>
        </w:rPr>
        <w:t>磋商响应文件</w:t>
      </w:r>
    </w:p>
    <w:p w14:paraId="4596B4E7">
      <w:pPr>
        <w:jc w:val="center"/>
        <w:rPr>
          <w:rFonts w:hint="eastAsia" w:ascii="宋体" w:hAnsi="宋体" w:eastAsia="宋体" w:cs="宋体"/>
          <w:color w:val="auto"/>
          <w:sz w:val="21"/>
          <w:szCs w:val="21"/>
        </w:rPr>
      </w:pPr>
    </w:p>
    <w:p w14:paraId="473B2049">
      <w:pPr>
        <w:spacing w:line="360" w:lineRule="atLeast"/>
        <w:rPr>
          <w:rFonts w:hint="eastAsia" w:ascii="宋体" w:hAnsi="宋体" w:eastAsia="宋体" w:cs="宋体"/>
          <w:color w:val="auto"/>
          <w:sz w:val="32"/>
          <w:szCs w:val="32"/>
        </w:rPr>
      </w:pPr>
    </w:p>
    <w:p w14:paraId="4962E28B">
      <w:pPr>
        <w:pStyle w:val="25"/>
        <w:ind w:left="0" w:leftChars="0" w:firstLine="0" w:firstLineChars="0"/>
        <w:rPr>
          <w:rFonts w:hint="eastAsia" w:ascii="宋体" w:hAnsi="宋体" w:eastAsia="宋体" w:cs="宋体"/>
          <w:color w:val="auto"/>
          <w:sz w:val="32"/>
          <w:szCs w:val="32"/>
        </w:rPr>
      </w:pPr>
    </w:p>
    <w:p w14:paraId="33688047">
      <w:pPr>
        <w:pStyle w:val="25"/>
        <w:rPr>
          <w:rFonts w:hint="eastAsia" w:ascii="宋体" w:hAnsi="宋体" w:eastAsia="宋体" w:cs="宋体"/>
          <w:color w:val="auto"/>
          <w:sz w:val="32"/>
          <w:szCs w:val="32"/>
        </w:rPr>
      </w:pPr>
    </w:p>
    <w:p w14:paraId="5CBD15E9">
      <w:pPr>
        <w:pStyle w:val="25"/>
        <w:rPr>
          <w:rFonts w:hint="eastAsia" w:ascii="宋体" w:hAnsi="宋体" w:eastAsia="宋体" w:cs="宋体"/>
          <w:color w:val="auto"/>
          <w:sz w:val="32"/>
          <w:szCs w:val="32"/>
        </w:rPr>
      </w:pPr>
    </w:p>
    <w:p w14:paraId="5FF3A625">
      <w:pPr>
        <w:spacing w:before="120" w:beforeLines="50" w:after="120" w:afterLines="50"/>
        <w:ind w:firstLine="711" w:firstLineChars="295"/>
        <w:rPr>
          <w:rFonts w:hint="eastAsia" w:ascii="宋体" w:hAnsi="宋体" w:eastAsia="宋体" w:cs="宋体"/>
          <w:b/>
          <w:color w:val="auto"/>
          <w:sz w:val="24"/>
          <w:szCs w:val="24"/>
        </w:rPr>
      </w:pPr>
      <w:r>
        <w:rPr>
          <w:rFonts w:hint="eastAsia" w:ascii="宋体" w:hAnsi="宋体" w:eastAsia="宋体" w:cs="宋体"/>
          <w:b/>
          <w:color w:val="auto"/>
          <w:sz w:val="24"/>
          <w:szCs w:val="24"/>
        </w:rPr>
        <w:t>供   应   商：</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（盖章）</w:t>
      </w:r>
    </w:p>
    <w:p w14:paraId="2673D196">
      <w:pPr>
        <w:spacing w:before="120" w:beforeLines="50" w:after="120" w:afterLines="50"/>
        <w:ind w:firstLine="711" w:firstLineChars="295"/>
        <w:rPr>
          <w:rFonts w:hint="eastAsia" w:ascii="宋体" w:hAnsi="宋体" w:eastAsia="宋体" w:cs="宋体"/>
          <w:b/>
          <w:color w:val="auto"/>
          <w:sz w:val="24"/>
          <w:szCs w:val="24"/>
        </w:rPr>
      </w:pPr>
    </w:p>
    <w:p w14:paraId="4CE6A858">
      <w:pPr>
        <w:spacing w:before="120" w:beforeLines="50" w:after="120" w:afterLines="50"/>
        <w:ind w:firstLine="711" w:firstLineChars="295"/>
        <w:rPr>
          <w:rFonts w:hint="eastAsia" w:ascii="宋体" w:hAnsi="宋体" w:eastAsia="宋体" w:cs="宋体"/>
          <w:b/>
          <w:color w:val="auto"/>
          <w:sz w:val="24"/>
          <w:szCs w:val="24"/>
          <w:u w:val="thick"/>
        </w:rPr>
      </w:pPr>
      <w:r>
        <w:rPr>
          <w:rFonts w:hint="eastAsia" w:ascii="宋体" w:hAnsi="宋体" w:eastAsia="宋体" w:cs="宋体"/>
          <w:b/>
          <w:color w:val="auto"/>
          <w:sz w:val="24"/>
          <w:szCs w:val="24"/>
        </w:rPr>
        <w:t>法定代表人或或被授权代表：</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（签字或盖章）</w:t>
      </w:r>
    </w:p>
    <w:p w14:paraId="0788956B">
      <w:pPr>
        <w:spacing w:before="120" w:beforeLines="50" w:after="120" w:afterLines="50"/>
        <w:rPr>
          <w:rFonts w:hint="eastAsia" w:ascii="宋体" w:hAnsi="宋体" w:eastAsia="宋体" w:cs="宋体"/>
          <w:b/>
          <w:color w:val="auto"/>
          <w:sz w:val="24"/>
          <w:szCs w:val="24"/>
        </w:rPr>
      </w:pPr>
    </w:p>
    <w:p w14:paraId="3F0F5C44">
      <w:pPr>
        <w:rPr>
          <w:rFonts w:hint="eastAsia" w:ascii="宋体" w:hAnsi="宋体" w:eastAsia="宋体" w:cs="宋体"/>
          <w:color w:val="auto"/>
          <w:sz w:val="22"/>
          <w:szCs w:val="22"/>
        </w:rPr>
      </w:pPr>
      <w:r>
        <w:rPr>
          <w:rFonts w:hint="eastAsia" w:ascii="宋体" w:hAnsi="宋体" w:eastAsia="宋体" w:cs="宋体"/>
          <w:b/>
          <w:color w:val="auto"/>
          <w:sz w:val="24"/>
          <w:szCs w:val="24"/>
        </w:rPr>
        <w:t xml:space="preserve">      日        期：</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 xml:space="preserve"> 年</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月</w:t>
      </w:r>
      <w:r>
        <w:rPr>
          <w:rFonts w:hint="eastAsia" w:ascii="宋体" w:hAnsi="宋体" w:eastAsia="宋体" w:cs="宋体"/>
          <w:b/>
          <w:bCs/>
          <w:color w:val="auto"/>
          <w:sz w:val="24"/>
          <w:szCs w:val="24"/>
          <w:u w:val="single"/>
        </w:rPr>
        <w:t xml:space="preserve">       </w:t>
      </w:r>
      <w:r>
        <w:rPr>
          <w:rFonts w:hint="eastAsia" w:ascii="宋体" w:hAnsi="宋体" w:eastAsia="宋体" w:cs="宋体"/>
          <w:b/>
          <w:color w:val="auto"/>
          <w:sz w:val="24"/>
          <w:szCs w:val="24"/>
        </w:rPr>
        <w:t>日</w:t>
      </w:r>
    </w:p>
    <w:p w14:paraId="317C7635">
      <w:pPr>
        <w:rPr>
          <w:rFonts w:hint="eastAsia" w:ascii="宋体" w:hAnsi="宋体" w:eastAsia="宋体" w:cs="宋体"/>
          <w:b/>
          <w:color w:val="auto"/>
          <w:sz w:val="21"/>
          <w:szCs w:val="21"/>
        </w:rPr>
      </w:pPr>
      <w:r>
        <w:rPr>
          <w:rFonts w:hint="eastAsia" w:ascii="宋体" w:hAnsi="宋体" w:eastAsia="宋体" w:cs="宋体"/>
          <w:b/>
          <w:color w:val="auto"/>
          <w:sz w:val="21"/>
          <w:szCs w:val="21"/>
        </w:rPr>
        <w:br w:type="page"/>
      </w:r>
    </w:p>
    <w:p w14:paraId="7131DC5C">
      <w:pPr>
        <w:pageBreakBefore w:val="0"/>
        <w:bidi w:val="0"/>
        <w:spacing w:line="60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目 录</w:t>
      </w:r>
    </w:p>
    <w:p w14:paraId="57CB69C8">
      <w:pPr>
        <w:pStyle w:val="4"/>
        <w:pageBreakBefore w:val="0"/>
        <w:numPr>
          <w:ilvl w:val="0"/>
          <w:numId w:val="0"/>
        </w:numPr>
        <w:bidi w:val="0"/>
        <w:spacing w:line="600" w:lineRule="exact"/>
        <w:jc w:val="left"/>
        <w:outlineLvl w:val="0"/>
        <w:rPr>
          <w:rFonts w:hint="eastAsia" w:ascii="宋体" w:hAnsi="宋体" w:eastAsia="宋体" w:cs="宋体"/>
          <w:b/>
          <w:bCs w:val="0"/>
          <w:color w:val="auto"/>
          <w:sz w:val="20"/>
          <w:szCs w:val="20"/>
        </w:rPr>
      </w:pPr>
      <w:bookmarkStart w:id="286" w:name="_Toc16896"/>
      <w:bookmarkStart w:id="287" w:name="_Toc31328"/>
      <w:bookmarkStart w:id="288" w:name="_Toc9466"/>
      <w:r>
        <w:rPr>
          <w:rFonts w:hint="eastAsia" w:ascii="宋体" w:hAnsi="宋体" w:eastAsia="宋体" w:cs="宋体"/>
          <w:b/>
          <w:bCs w:val="0"/>
          <w:color w:val="auto"/>
          <w:sz w:val="20"/>
          <w:szCs w:val="20"/>
          <w:lang w:val="en-US" w:eastAsia="zh-CN"/>
        </w:rPr>
        <w:t xml:space="preserve">第一章   </w:t>
      </w:r>
      <w:r>
        <w:rPr>
          <w:rFonts w:hint="eastAsia" w:ascii="宋体" w:hAnsi="宋体" w:eastAsia="宋体" w:cs="宋体"/>
          <w:b/>
          <w:bCs w:val="0"/>
          <w:color w:val="auto"/>
          <w:sz w:val="20"/>
          <w:szCs w:val="20"/>
        </w:rPr>
        <w:t>磋商响应函</w:t>
      </w:r>
      <w:bookmarkEnd w:id="286"/>
      <w:bookmarkEnd w:id="287"/>
      <w:bookmarkEnd w:id="288"/>
    </w:p>
    <w:p w14:paraId="15FF54DC">
      <w:pPr>
        <w:pStyle w:val="4"/>
        <w:pageBreakBefore w:val="0"/>
        <w:numPr>
          <w:ilvl w:val="0"/>
          <w:numId w:val="0"/>
        </w:numPr>
        <w:bidi w:val="0"/>
        <w:spacing w:line="600" w:lineRule="exact"/>
        <w:jc w:val="left"/>
        <w:outlineLvl w:val="0"/>
        <w:rPr>
          <w:rFonts w:hint="eastAsia" w:ascii="宋体" w:hAnsi="宋体" w:eastAsia="宋体" w:cs="宋体"/>
          <w:b/>
          <w:bCs w:val="0"/>
          <w:color w:val="auto"/>
          <w:sz w:val="20"/>
          <w:szCs w:val="20"/>
          <w:lang w:val="en-US" w:eastAsia="zh-CN"/>
        </w:rPr>
      </w:pPr>
      <w:bookmarkStart w:id="289" w:name="_Toc17760"/>
      <w:bookmarkStart w:id="290" w:name="_Toc17309"/>
      <w:bookmarkStart w:id="291" w:name="_Toc24896"/>
      <w:r>
        <w:rPr>
          <w:rFonts w:hint="eastAsia" w:ascii="宋体" w:hAnsi="宋体" w:eastAsia="宋体" w:cs="宋体"/>
          <w:b/>
          <w:bCs w:val="0"/>
          <w:color w:val="auto"/>
          <w:sz w:val="20"/>
          <w:szCs w:val="20"/>
          <w:lang w:val="en-US" w:eastAsia="zh-CN"/>
        </w:rPr>
        <w:t>第二章   报价一览表</w:t>
      </w:r>
      <w:bookmarkEnd w:id="289"/>
      <w:bookmarkEnd w:id="290"/>
      <w:bookmarkEnd w:id="291"/>
    </w:p>
    <w:p w14:paraId="0ED58698">
      <w:pPr>
        <w:pageBreakBefore w:val="0"/>
        <w:bidi w:val="0"/>
        <w:spacing w:line="600" w:lineRule="exact"/>
        <w:jc w:val="left"/>
        <w:rPr>
          <w:rFonts w:hint="eastAsia" w:ascii="宋体" w:hAnsi="宋体" w:eastAsia="宋体" w:cs="宋体"/>
          <w:b/>
          <w:bCs w:val="0"/>
          <w:color w:val="auto"/>
          <w:sz w:val="20"/>
          <w:szCs w:val="20"/>
          <w:lang w:val="en-US"/>
        </w:rPr>
      </w:pPr>
      <w:r>
        <w:rPr>
          <w:rFonts w:hint="eastAsia" w:ascii="宋体" w:hAnsi="宋体" w:eastAsia="宋体" w:cs="宋体"/>
          <w:b/>
          <w:bCs w:val="0"/>
          <w:color w:val="auto"/>
          <w:sz w:val="20"/>
          <w:szCs w:val="20"/>
          <w:lang w:eastAsia="zh-CN"/>
        </w:rPr>
        <w:t>第三</w:t>
      </w:r>
      <w:r>
        <w:rPr>
          <w:rFonts w:hint="eastAsia" w:ascii="宋体" w:hAnsi="宋体" w:eastAsia="宋体" w:cs="宋体"/>
          <w:b/>
          <w:bCs w:val="0"/>
          <w:color w:val="auto"/>
          <w:sz w:val="20"/>
          <w:szCs w:val="20"/>
          <w:lang w:val="en-US" w:eastAsia="zh-CN"/>
        </w:rPr>
        <w:t xml:space="preserve">章 </w:t>
      </w:r>
      <w:r>
        <w:rPr>
          <w:rFonts w:hint="eastAsia" w:ascii="宋体" w:hAnsi="宋体" w:eastAsia="宋体" w:cs="宋体"/>
          <w:b/>
          <w:bCs w:val="0"/>
          <w:color w:val="auto"/>
          <w:sz w:val="20"/>
          <w:szCs w:val="20"/>
          <w:lang w:eastAsia="zh-CN"/>
        </w:rPr>
        <w:t xml:space="preserve">  </w:t>
      </w:r>
      <w:r>
        <w:rPr>
          <w:rFonts w:hint="eastAsia" w:ascii="宋体" w:hAnsi="宋体" w:eastAsia="宋体" w:cs="宋体"/>
          <w:b/>
          <w:bCs w:val="0"/>
          <w:color w:val="auto"/>
          <w:sz w:val="20"/>
          <w:szCs w:val="20"/>
          <w:lang w:val="en-US" w:eastAsia="zh-CN"/>
        </w:rPr>
        <w:t>投标预算</w:t>
      </w:r>
    </w:p>
    <w:p w14:paraId="7A02EE12">
      <w:pPr>
        <w:pageBreakBefore w:val="0"/>
        <w:bidi w:val="0"/>
        <w:spacing w:line="600" w:lineRule="exact"/>
        <w:jc w:val="left"/>
        <w:rPr>
          <w:rFonts w:hint="eastAsia" w:ascii="宋体" w:hAnsi="宋体" w:eastAsia="宋体" w:cs="宋体"/>
          <w:b/>
          <w:bCs w:val="0"/>
          <w:color w:val="auto"/>
          <w:sz w:val="20"/>
          <w:szCs w:val="20"/>
        </w:rPr>
      </w:pPr>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eastAsia="zh-CN"/>
        </w:rPr>
        <w:t>四</w:t>
      </w:r>
      <w:r>
        <w:rPr>
          <w:rFonts w:hint="eastAsia" w:ascii="宋体" w:hAnsi="宋体" w:eastAsia="宋体" w:cs="宋体"/>
          <w:b/>
          <w:bCs w:val="0"/>
          <w:color w:val="auto"/>
          <w:sz w:val="20"/>
          <w:szCs w:val="20"/>
          <w:lang w:val="en-US" w:eastAsia="zh-CN"/>
        </w:rPr>
        <w:t>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rPr>
        <w:t xml:space="preserve"> 法定代表人证明书及授权书  </w:t>
      </w:r>
    </w:p>
    <w:p w14:paraId="686D9298">
      <w:pPr>
        <w:pStyle w:val="4"/>
        <w:pageBreakBefore w:val="0"/>
        <w:bidi w:val="0"/>
        <w:spacing w:line="600" w:lineRule="exact"/>
        <w:jc w:val="left"/>
        <w:outlineLvl w:val="0"/>
        <w:rPr>
          <w:rFonts w:hint="eastAsia" w:ascii="宋体" w:hAnsi="宋体" w:eastAsia="宋体" w:cs="宋体"/>
          <w:b/>
          <w:bCs w:val="0"/>
          <w:color w:val="auto"/>
          <w:sz w:val="20"/>
          <w:szCs w:val="20"/>
          <w:lang w:val="en-US" w:eastAsia="zh-CN"/>
        </w:rPr>
      </w:pPr>
      <w:bookmarkStart w:id="292" w:name="_Toc3628"/>
      <w:bookmarkStart w:id="293" w:name="_Toc24539"/>
      <w:bookmarkStart w:id="294" w:name="_Toc25402"/>
      <w:r>
        <w:rPr>
          <w:rFonts w:hint="eastAsia" w:ascii="宋体" w:hAnsi="宋体" w:eastAsia="宋体" w:cs="宋体"/>
          <w:b/>
          <w:bCs w:val="0"/>
          <w:color w:val="auto"/>
          <w:sz w:val="20"/>
          <w:szCs w:val="20"/>
          <w:lang w:val="en-US" w:eastAsia="zh-CN"/>
        </w:rPr>
        <w:t>第五章   资格证明文件</w:t>
      </w:r>
      <w:bookmarkEnd w:id="292"/>
      <w:bookmarkEnd w:id="293"/>
      <w:bookmarkEnd w:id="294"/>
    </w:p>
    <w:p w14:paraId="06442E9F">
      <w:pPr>
        <w:pStyle w:val="4"/>
        <w:bidi w:val="0"/>
        <w:jc w:val="left"/>
        <w:outlineLvl w:val="9"/>
        <w:rPr>
          <w:rFonts w:hint="eastAsia" w:ascii="宋体" w:hAnsi="宋体" w:eastAsia="宋体" w:cs="宋体"/>
          <w:b/>
          <w:bCs w:val="0"/>
          <w:color w:val="auto"/>
          <w:sz w:val="20"/>
          <w:szCs w:val="20"/>
          <w:lang w:val="en-US" w:eastAsia="zh-CN"/>
        </w:rPr>
      </w:pPr>
      <w:r>
        <w:rPr>
          <w:rFonts w:hint="eastAsia" w:ascii="宋体" w:hAnsi="宋体" w:eastAsia="宋体" w:cs="宋体"/>
          <w:b/>
          <w:bCs w:val="0"/>
          <w:color w:val="auto"/>
          <w:sz w:val="20"/>
          <w:szCs w:val="20"/>
          <w:lang w:val="en-US" w:eastAsia="zh-CN"/>
        </w:rPr>
        <w:t xml:space="preserve"> </w:t>
      </w:r>
    </w:p>
    <w:p w14:paraId="12A5B2A8">
      <w:pPr>
        <w:pStyle w:val="4"/>
        <w:bidi w:val="0"/>
        <w:jc w:val="left"/>
        <w:outlineLvl w:val="0"/>
        <w:rPr>
          <w:rFonts w:hint="eastAsia" w:ascii="宋体" w:hAnsi="宋体" w:eastAsia="宋体" w:cs="宋体"/>
          <w:b/>
          <w:bCs w:val="0"/>
          <w:color w:val="auto"/>
          <w:sz w:val="20"/>
          <w:szCs w:val="20"/>
        </w:rPr>
      </w:pPr>
      <w:bookmarkStart w:id="295" w:name="_Toc25134"/>
      <w:bookmarkStart w:id="296" w:name="_Toc32417"/>
      <w:bookmarkStart w:id="297" w:name="_Toc32238"/>
      <w:r>
        <w:rPr>
          <w:rFonts w:hint="eastAsia" w:ascii="宋体" w:hAnsi="宋体" w:eastAsia="宋体" w:cs="宋体"/>
          <w:b/>
          <w:bCs w:val="0"/>
          <w:color w:val="auto"/>
          <w:sz w:val="20"/>
          <w:szCs w:val="20"/>
        </w:rPr>
        <w:t>第</w:t>
      </w:r>
      <w:r>
        <w:rPr>
          <w:rFonts w:hint="eastAsia" w:ascii="宋体" w:hAnsi="宋体" w:eastAsia="宋体" w:cs="宋体"/>
          <w:b/>
          <w:bCs w:val="0"/>
          <w:color w:val="auto"/>
          <w:sz w:val="20"/>
          <w:szCs w:val="20"/>
          <w:lang w:val="en-US" w:eastAsia="zh-CN"/>
        </w:rPr>
        <w:t>六章</w:t>
      </w:r>
      <w:r>
        <w:rPr>
          <w:rFonts w:hint="eastAsia" w:ascii="宋体" w:hAnsi="宋体" w:eastAsia="宋体" w:cs="宋体"/>
          <w:b/>
          <w:bCs w:val="0"/>
          <w:color w:val="auto"/>
          <w:sz w:val="20"/>
          <w:szCs w:val="20"/>
        </w:rPr>
        <w:t xml:space="preserve"> </w:t>
      </w:r>
      <w:r>
        <w:rPr>
          <w:rFonts w:hint="eastAsia" w:ascii="宋体" w:hAnsi="宋体" w:eastAsia="宋体" w:cs="宋体"/>
          <w:b/>
          <w:bCs w:val="0"/>
          <w:color w:val="auto"/>
          <w:sz w:val="20"/>
          <w:szCs w:val="20"/>
          <w:lang w:val="en-US" w:eastAsia="zh-CN"/>
        </w:rPr>
        <w:t xml:space="preserve">  </w:t>
      </w:r>
      <w:r>
        <w:rPr>
          <w:rFonts w:hint="eastAsia" w:ascii="宋体" w:hAnsi="宋体" w:eastAsia="宋体" w:cs="宋体"/>
          <w:b/>
          <w:bCs w:val="0"/>
          <w:color w:val="auto"/>
          <w:sz w:val="20"/>
          <w:szCs w:val="20"/>
          <w:lang w:eastAsia="zh-CN"/>
        </w:rPr>
        <w:t>供应商</w:t>
      </w:r>
      <w:r>
        <w:rPr>
          <w:rFonts w:hint="eastAsia" w:ascii="宋体" w:hAnsi="宋体" w:eastAsia="宋体" w:cs="宋体"/>
          <w:b/>
          <w:bCs w:val="0"/>
          <w:color w:val="auto"/>
          <w:sz w:val="20"/>
          <w:szCs w:val="20"/>
        </w:rPr>
        <w:t>基本情况表</w:t>
      </w:r>
      <w:bookmarkEnd w:id="295"/>
      <w:bookmarkEnd w:id="296"/>
      <w:bookmarkEnd w:id="297"/>
    </w:p>
    <w:p w14:paraId="317EB199">
      <w:pPr>
        <w:pStyle w:val="4"/>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298" w:name="_Toc31555"/>
      <w:bookmarkStart w:id="299" w:name="_Toc12867"/>
      <w:bookmarkStart w:id="300" w:name="_Toc10870"/>
      <w:r>
        <w:rPr>
          <w:rFonts w:hint="eastAsia" w:ascii="宋体" w:hAnsi="宋体" w:eastAsia="宋体" w:cs="宋体"/>
          <w:b/>
          <w:bCs w:val="0"/>
          <w:color w:val="auto"/>
          <w:kern w:val="2"/>
          <w:sz w:val="20"/>
          <w:szCs w:val="20"/>
          <w:lang w:val="en-US" w:eastAsia="zh-CN" w:bidi="ar-SA"/>
        </w:rPr>
        <w:t>第七章   供应商参加政府采购活动承诺书</w:t>
      </w:r>
      <w:bookmarkEnd w:id="298"/>
      <w:bookmarkEnd w:id="299"/>
      <w:bookmarkEnd w:id="300"/>
      <w:r>
        <w:rPr>
          <w:rFonts w:hint="eastAsia" w:ascii="宋体" w:hAnsi="宋体" w:eastAsia="宋体" w:cs="宋体"/>
          <w:b/>
          <w:bCs w:val="0"/>
          <w:color w:val="auto"/>
          <w:kern w:val="2"/>
          <w:sz w:val="20"/>
          <w:szCs w:val="20"/>
          <w:lang w:val="en-US" w:eastAsia="zh-CN" w:bidi="ar-SA"/>
        </w:rPr>
        <w:t xml:space="preserve"> </w:t>
      </w:r>
    </w:p>
    <w:p w14:paraId="6247390B">
      <w:pPr>
        <w:pStyle w:val="4"/>
        <w:pageBreakBefore w:val="0"/>
        <w:bidi w:val="0"/>
        <w:spacing w:line="600" w:lineRule="exact"/>
        <w:jc w:val="left"/>
        <w:outlineLvl w:val="0"/>
        <w:rPr>
          <w:rFonts w:hint="eastAsia" w:ascii="宋体" w:hAnsi="宋体" w:eastAsia="宋体" w:cs="宋体"/>
          <w:b/>
          <w:bCs w:val="0"/>
          <w:color w:val="auto"/>
          <w:kern w:val="2"/>
          <w:sz w:val="20"/>
          <w:szCs w:val="20"/>
          <w:lang w:val="en-US" w:eastAsia="zh-CN" w:bidi="ar-SA"/>
        </w:rPr>
      </w:pPr>
      <w:bookmarkStart w:id="301" w:name="_Toc22050"/>
      <w:bookmarkStart w:id="302" w:name="_Toc2127"/>
      <w:bookmarkStart w:id="303" w:name="_Toc11465"/>
      <w:r>
        <w:rPr>
          <w:rFonts w:hint="eastAsia" w:ascii="宋体" w:hAnsi="宋体" w:eastAsia="宋体" w:cs="宋体"/>
          <w:b/>
          <w:bCs w:val="0"/>
          <w:color w:val="auto"/>
          <w:kern w:val="2"/>
          <w:sz w:val="20"/>
          <w:szCs w:val="20"/>
          <w:lang w:val="en-US" w:eastAsia="zh-CN" w:bidi="ar-SA"/>
        </w:rPr>
        <w:t>第八章   施工组织方案</w:t>
      </w:r>
      <w:bookmarkEnd w:id="301"/>
      <w:bookmarkEnd w:id="302"/>
      <w:bookmarkEnd w:id="303"/>
    </w:p>
    <w:p w14:paraId="59177AC9">
      <w:pPr>
        <w:bidi w:val="0"/>
        <w:jc w:val="left"/>
        <w:rPr>
          <w:rFonts w:hint="eastAsia" w:ascii="宋体" w:hAnsi="宋体" w:eastAsia="宋体" w:cs="宋体"/>
          <w:b/>
          <w:bCs w:val="0"/>
          <w:color w:val="auto"/>
          <w:sz w:val="20"/>
          <w:szCs w:val="20"/>
        </w:rPr>
      </w:pPr>
    </w:p>
    <w:p w14:paraId="7C0973CC">
      <w:pPr>
        <w:bidi w:val="0"/>
        <w:jc w:val="left"/>
        <w:rPr>
          <w:rFonts w:hint="eastAsia" w:ascii="宋体" w:hAnsi="宋体" w:eastAsia="宋体" w:cs="宋体"/>
          <w:b/>
          <w:bCs w:val="0"/>
          <w:color w:val="auto"/>
          <w:sz w:val="20"/>
          <w:szCs w:val="20"/>
        </w:rPr>
      </w:pPr>
      <w:r>
        <w:rPr>
          <w:rFonts w:hint="eastAsia" w:ascii="宋体" w:hAnsi="宋体" w:eastAsia="宋体" w:cs="宋体"/>
          <w:b/>
          <w:bCs w:val="0"/>
          <w:color w:val="auto"/>
          <w:kern w:val="2"/>
          <w:sz w:val="20"/>
          <w:szCs w:val="20"/>
          <w:lang w:val="en-US" w:eastAsia="zh-CN" w:bidi="ar-SA"/>
        </w:rPr>
        <w:t>第九章   供应商认为需要提供的其他资料</w:t>
      </w:r>
    </w:p>
    <w:p w14:paraId="2EC9ADAF">
      <w:pPr>
        <w:rPr>
          <w:rFonts w:hint="eastAsia" w:ascii="宋体" w:hAnsi="宋体" w:eastAsia="宋体" w:cs="宋体"/>
          <w:b/>
          <w:color w:val="auto"/>
          <w:kern w:val="2"/>
          <w:sz w:val="28"/>
          <w:szCs w:val="28"/>
          <w:lang w:val="en-US" w:eastAsia="zh-CN" w:bidi="ar-SA"/>
        </w:rPr>
      </w:pPr>
      <w:r>
        <w:rPr>
          <w:rFonts w:hint="eastAsia" w:ascii="宋体" w:hAnsi="宋体" w:eastAsia="宋体" w:cs="宋体"/>
          <w:b/>
          <w:color w:val="auto"/>
          <w:kern w:val="2"/>
          <w:sz w:val="28"/>
          <w:szCs w:val="28"/>
          <w:lang w:val="en-US" w:eastAsia="zh-CN" w:bidi="ar-SA"/>
        </w:rPr>
        <w:br w:type="page"/>
      </w:r>
    </w:p>
    <w:p w14:paraId="4BF2E676">
      <w:pPr>
        <w:bidi w:val="0"/>
        <w:jc w:val="center"/>
        <w:rPr>
          <w:rFonts w:hint="eastAsia" w:ascii="宋体" w:hAnsi="宋体" w:eastAsia="宋体" w:cs="宋体"/>
          <w:color w:val="auto"/>
          <w:sz w:val="22"/>
          <w:szCs w:val="22"/>
        </w:rPr>
      </w:pPr>
      <w:r>
        <w:rPr>
          <w:rFonts w:hint="eastAsia" w:ascii="宋体" w:hAnsi="宋体" w:eastAsia="宋体" w:cs="宋体"/>
          <w:b/>
          <w:color w:val="auto"/>
          <w:kern w:val="2"/>
          <w:sz w:val="28"/>
          <w:szCs w:val="28"/>
          <w:lang w:val="en-US" w:eastAsia="zh-CN" w:bidi="ar-SA"/>
        </w:rPr>
        <w:t>第一章  磋商响应函</w:t>
      </w:r>
    </w:p>
    <w:p w14:paraId="23CCE5B7">
      <w:pPr>
        <w:pageBreakBefore w:val="0"/>
        <w:kinsoku w:val="0"/>
        <w:bidi w:val="0"/>
        <w:spacing w:line="360" w:lineRule="auto"/>
        <w:rPr>
          <w:rFonts w:hint="eastAsia" w:ascii="宋体" w:hAnsi="宋体" w:eastAsia="宋体" w:cs="宋体"/>
          <w:color w:val="auto"/>
          <w:sz w:val="22"/>
          <w:szCs w:val="22"/>
        </w:rPr>
      </w:pP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采购人名称</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w:t>
      </w:r>
    </w:p>
    <w:p w14:paraId="6A761AA1">
      <w:pPr>
        <w:pageBreakBefore w:val="0"/>
        <w:kinsoku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sz w:val="22"/>
          <w:szCs w:val="22"/>
          <w:lang w:val="en-US" w:eastAsia="zh-CN"/>
        </w:rPr>
        <w:t>1.</w:t>
      </w:r>
      <w:r>
        <w:rPr>
          <w:rFonts w:hint="eastAsia" w:ascii="宋体" w:hAnsi="宋体" w:eastAsia="宋体" w:cs="宋体"/>
          <w:color w:val="auto"/>
          <w:sz w:val="22"/>
          <w:szCs w:val="22"/>
        </w:rPr>
        <w:t>我单位收到贵公司</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lang w:val="en-US" w:eastAsia="zh-CN"/>
        </w:rPr>
        <w:t>项目名称、项目编号</w:t>
      </w:r>
      <w:r>
        <w:rPr>
          <w:rFonts w:hint="eastAsia" w:ascii="宋体" w:hAnsi="宋体" w:eastAsia="宋体" w:cs="宋体"/>
          <w:color w:val="auto"/>
          <w:sz w:val="22"/>
          <w:szCs w:val="22"/>
          <w:lang w:eastAsia="zh-CN"/>
        </w:rPr>
        <w:t>）</w:t>
      </w:r>
      <w:r>
        <w:rPr>
          <w:rFonts w:hint="eastAsia" w:ascii="宋体" w:hAnsi="宋体" w:eastAsia="宋体" w:cs="宋体"/>
          <w:color w:val="auto"/>
          <w:sz w:val="22"/>
          <w:szCs w:val="22"/>
        </w:rPr>
        <w:t>磋商文件，经详细研究，决定参加本次磋商活动。</w:t>
      </w:r>
      <w:r>
        <w:rPr>
          <w:rFonts w:hint="eastAsia" w:ascii="宋体" w:hAnsi="宋体" w:eastAsia="宋体" w:cs="宋体"/>
          <w:color w:val="auto"/>
          <w:sz w:val="22"/>
          <w:szCs w:val="22"/>
          <w:highlight w:val="none"/>
        </w:rPr>
        <w:t>我方愿以大写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人民币，小写￥</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元的磋商报价承包上述工程的施工、竣工，并承担任何质量缺陷保修责任。</w:t>
      </w:r>
      <w:r>
        <w:rPr>
          <w:rFonts w:hint="eastAsia" w:ascii="宋体" w:hAnsi="宋体" w:eastAsia="宋体" w:cs="宋体"/>
          <w:color w:val="auto"/>
          <w:sz w:val="22"/>
          <w:szCs w:val="22"/>
        </w:rPr>
        <w:t>为此，我方郑重声明以下几点，并愿负法律责任。</w:t>
      </w:r>
    </w:p>
    <w:p w14:paraId="07B42E42">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2．我方已详细审核全部竞争性磋商文件。</w:t>
      </w:r>
    </w:p>
    <w:p w14:paraId="65FF7CA9">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3．我方保证上述磋商报价不低于我单位工程施工的成本价。</w:t>
      </w:r>
    </w:p>
    <w:p w14:paraId="66E965D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4．若我方中标，我方保证按工期</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日历天内完成本工程</w:t>
      </w:r>
      <w:r>
        <w:rPr>
          <w:rFonts w:hint="eastAsia" w:ascii="宋体" w:hAnsi="宋体" w:eastAsia="宋体" w:cs="宋体"/>
          <w:color w:val="auto"/>
          <w:sz w:val="22"/>
          <w:szCs w:val="22"/>
          <w:highlight w:val="none"/>
          <w:lang w:eastAsia="zh-CN"/>
        </w:rPr>
        <w:t>。</w:t>
      </w:r>
    </w:p>
    <w:p w14:paraId="6191DB6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5．本工程</w:t>
      </w:r>
      <w:r>
        <w:rPr>
          <w:rFonts w:hint="eastAsia" w:ascii="宋体" w:hAnsi="宋体" w:eastAsia="宋体" w:cs="宋体"/>
          <w:color w:val="auto"/>
          <w:sz w:val="22"/>
          <w:szCs w:val="22"/>
          <w:highlight w:val="none"/>
          <w:lang w:eastAsia="zh-CN"/>
        </w:rPr>
        <w:t>项目</w:t>
      </w:r>
      <w:r>
        <w:rPr>
          <w:rFonts w:hint="eastAsia" w:ascii="宋体" w:hAnsi="宋体" w:eastAsia="宋体" w:cs="宋体"/>
          <w:color w:val="auto"/>
          <w:sz w:val="22"/>
          <w:szCs w:val="22"/>
          <w:highlight w:val="none"/>
          <w:lang w:val="en-US" w:eastAsia="zh-CN"/>
        </w:rPr>
        <w:t>负责人</w:t>
      </w:r>
      <w:r>
        <w:rPr>
          <w:rFonts w:hint="eastAsia" w:ascii="宋体" w:hAnsi="宋体" w:eastAsia="宋体" w:cs="宋体"/>
          <w:color w:val="auto"/>
          <w:sz w:val="22"/>
          <w:szCs w:val="22"/>
          <w:highlight w:val="none"/>
        </w:rPr>
        <w:t>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w:t>
      </w:r>
    </w:p>
    <w:p w14:paraId="6EE0A2B5">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6．若我方中标，我方保证达到安全文明施工达到文明工地标准。</w:t>
      </w:r>
    </w:p>
    <w:p w14:paraId="099A19A0">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7．我方同意所提交的竞争性磋商响应文件在竞争性磋商文件的磋商须知中规定的磋商有效期内有效，在此期间内如果中标，我方将受此约束。</w:t>
      </w:r>
    </w:p>
    <w:p w14:paraId="2850749E">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8．在合同协议书正式签署生效之前，你方的竞争性磋商文件、答疑纪要、成交人通知书和本竞争性磋商响应文件将构成我们约束双方之间共同遵守的文件，对双方具有约束力。</w:t>
      </w:r>
    </w:p>
    <w:p w14:paraId="77E0C4CA">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w:t>
      </w:r>
      <w:r>
        <w:rPr>
          <w:rFonts w:hint="eastAsia" w:ascii="宋体" w:hAnsi="宋体" w:eastAsia="宋体" w:cs="宋体"/>
          <w:color w:val="auto"/>
          <w:kern w:val="2"/>
          <w:sz w:val="22"/>
          <w:szCs w:val="22"/>
          <w:highlight w:val="none"/>
          <w:lang w:val="en-US" w:eastAsia="zh-CN" w:bidi="ar-SA"/>
        </w:rPr>
        <w:t>我方提交响应文件正本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份、副本</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份、电子版</w:t>
      </w:r>
      <w:r>
        <w:rPr>
          <w:rFonts w:hint="eastAsia" w:ascii="宋体" w:hAnsi="宋体" w:eastAsia="宋体" w:cs="宋体"/>
          <w:color w:val="auto"/>
          <w:kern w:val="2"/>
          <w:sz w:val="22"/>
          <w:szCs w:val="22"/>
          <w:highlight w:val="none"/>
          <w:u w:val="single"/>
          <w:lang w:val="en-US" w:eastAsia="zh-CN" w:bidi="ar-SA"/>
        </w:rPr>
        <w:t xml:space="preserve">    </w:t>
      </w:r>
      <w:r>
        <w:rPr>
          <w:rFonts w:hint="eastAsia" w:ascii="宋体" w:hAnsi="宋体" w:eastAsia="宋体" w:cs="宋体"/>
          <w:color w:val="auto"/>
          <w:kern w:val="2"/>
          <w:sz w:val="22"/>
          <w:szCs w:val="22"/>
          <w:highlight w:val="none"/>
          <w:lang w:val="en-US" w:eastAsia="zh-CN" w:bidi="ar-SA"/>
        </w:rPr>
        <w:t>份,并保证响应文件提供的数据和材料是真实、准确的。否则，愿承担《政府采购法》第七十七条规定的法律责任</w:t>
      </w:r>
      <w:r>
        <w:rPr>
          <w:rFonts w:hint="eastAsia" w:ascii="宋体" w:hAnsi="宋体" w:eastAsia="宋体" w:cs="宋体"/>
          <w:color w:val="auto"/>
          <w:sz w:val="22"/>
          <w:szCs w:val="22"/>
          <w:highlight w:val="none"/>
        </w:rPr>
        <w:t>。</w:t>
      </w:r>
    </w:p>
    <w:p w14:paraId="26B6A981">
      <w:pPr>
        <w:pageBreakBefore w:val="0"/>
        <w:bidi w:val="0"/>
        <w:adjustRightInd w:val="0"/>
        <w:snapToGrid w:val="0"/>
        <w:spacing w:line="360" w:lineRule="auto"/>
        <w:ind w:firstLine="440" w:firstLineChars="200"/>
        <w:jc w:val="left"/>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10.我方理解你方不负担我们的任何磋商费用，我方不要求你方对未中标原因</w:t>
      </w:r>
      <w:r>
        <w:rPr>
          <w:rFonts w:hint="eastAsia" w:ascii="宋体" w:hAnsi="宋体" w:eastAsia="宋体" w:cs="宋体"/>
          <w:color w:val="auto"/>
          <w:sz w:val="22"/>
          <w:szCs w:val="22"/>
          <w:highlight w:val="none"/>
        </w:rPr>
        <w:t>作任何解释，也不退回竞争性磋商响应文件。</w:t>
      </w:r>
    </w:p>
    <w:p w14:paraId="484364AD">
      <w:pPr>
        <w:pageBreakBefore w:val="0"/>
        <w:bidi w:val="0"/>
        <w:spacing w:line="360" w:lineRule="auto"/>
        <w:ind w:firstLine="440" w:firstLineChars="200"/>
        <w:rPr>
          <w:rFonts w:hint="eastAsia" w:ascii="宋体" w:hAnsi="宋体" w:eastAsia="宋体" w:cs="宋体"/>
          <w:color w:val="auto"/>
          <w:sz w:val="22"/>
          <w:szCs w:val="22"/>
          <w:highlight w:val="none"/>
        </w:rPr>
      </w:pPr>
      <w:r>
        <w:rPr>
          <w:rFonts w:hint="eastAsia" w:ascii="宋体" w:hAnsi="宋体" w:eastAsia="宋体" w:cs="宋体"/>
          <w:color w:val="auto"/>
          <w:kern w:val="2"/>
          <w:sz w:val="22"/>
          <w:szCs w:val="22"/>
          <w:highlight w:val="none"/>
          <w:lang w:val="en-US" w:eastAsia="zh-CN" w:bidi="ar-SA"/>
        </w:rPr>
        <w:t>11．</w:t>
      </w:r>
      <w:r>
        <w:rPr>
          <w:rFonts w:hint="eastAsia" w:ascii="宋体" w:hAnsi="宋体" w:eastAsia="宋体" w:cs="宋体"/>
          <w:color w:val="auto"/>
          <w:sz w:val="22"/>
          <w:szCs w:val="22"/>
          <w:highlight w:val="none"/>
        </w:rPr>
        <w:t>我方完全接受并响应竞争性磋商文件、答疑文件、评审办法、采购控制限价等关于本项目相关文件的要求，严格遵守采购过程的时间安排、程序安排等细节，对此无任何异议。</w:t>
      </w:r>
    </w:p>
    <w:p w14:paraId="59F13C84">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rPr>
        <w:t>同意提供贵方要求的与本次磋商有关的任何证明资料。</w:t>
      </w:r>
    </w:p>
    <w:p w14:paraId="2E59AF45">
      <w:pPr>
        <w:pageBreakBefore w:val="0"/>
        <w:kinsoku w:val="0"/>
        <w:bidi w:val="0"/>
        <w:spacing w:line="360" w:lineRule="auto"/>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lang w:val="en-US" w:eastAsia="zh-CN"/>
        </w:rPr>
        <w:t>13.</w:t>
      </w:r>
      <w:r>
        <w:rPr>
          <w:rFonts w:hint="eastAsia" w:ascii="宋体" w:hAnsi="宋体" w:eastAsia="宋体" w:cs="宋体"/>
          <w:color w:val="auto"/>
          <w:sz w:val="22"/>
          <w:szCs w:val="22"/>
        </w:rPr>
        <w:t>所有关于本次磋商的函电，请按下列地址、方式联系：</w:t>
      </w:r>
    </w:p>
    <w:p w14:paraId="25A92143">
      <w:pPr>
        <w:pageBreakBefore w:val="0"/>
        <w:kinsoku w:val="0"/>
        <w:bidi w:val="0"/>
        <w:spacing w:line="360" w:lineRule="auto"/>
        <w:ind w:firstLine="570"/>
        <w:rPr>
          <w:rFonts w:hint="eastAsia" w:ascii="宋体" w:hAnsi="宋体" w:eastAsia="宋体" w:cs="宋体"/>
          <w:color w:val="auto"/>
          <w:sz w:val="22"/>
          <w:szCs w:val="22"/>
          <w:lang w:eastAsia="zh-CN"/>
        </w:rPr>
      </w:pPr>
    </w:p>
    <w:p w14:paraId="18A520E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开户银行：</w:t>
      </w:r>
      <w:r>
        <w:rPr>
          <w:rFonts w:hint="eastAsia" w:ascii="宋体" w:hAnsi="宋体" w:eastAsia="宋体" w:cs="宋体"/>
          <w:color w:val="auto"/>
          <w:sz w:val="22"/>
          <w:szCs w:val="22"/>
          <w:u w:val="single"/>
          <w:lang w:val="en-US" w:eastAsia="zh-CN"/>
        </w:rPr>
        <w:t xml:space="preserve">                                  </w:t>
      </w:r>
    </w:p>
    <w:p w14:paraId="50D7AC65">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帐    号：</w:t>
      </w:r>
      <w:r>
        <w:rPr>
          <w:rFonts w:hint="eastAsia" w:ascii="宋体" w:hAnsi="宋体" w:eastAsia="宋体" w:cs="宋体"/>
          <w:color w:val="auto"/>
          <w:sz w:val="22"/>
          <w:szCs w:val="22"/>
          <w:u w:val="single"/>
          <w:lang w:val="en-US" w:eastAsia="zh-CN"/>
        </w:rPr>
        <w:t xml:space="preserve">                                  </w:t>
      </w:r>
    </w:p>
    <w:p w14:paraId="1862B427">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电    话：</w:t>
      </w:r>
      <w:r>
        <w:rPr>
          <w:rFonts w:hint="eastAsia" w:ascii="宋体" w:hAnsi="宋体" w:eastAsia="宋体" w:cs="宋体"/>
          <w:color w:val="auto"/>
          <w:sz w:val="22"/>
          <w:szCs w:val="22"/>
          <w:u w:val="single"/>
          <w:lang w:val="en-US" w:eastAsia="zh-CN"/>
        </w:rPr>
        <w:t xml:space="preserve">                                  </w:t>
      </w:r>
    </w:p>
    <w:p w14:paraId="0EEF09D8">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传    真：</w:t>
      </w:r>
      <w:r>
        <w:rPr>
          <w:rFonts w:hint="eastAsia" w:ascii="宋体" w:hAnsi="宋体" w:eastAsia="宋体" w:cs="宋体"/>
          <w:color w:val="auto"/>
          <w:sz w:val="22"/>
          <w:szCs w:val="22"/>
          <w:u w:val="single"/>
          <w:lang w:val="en-US" w:eastAsia="zh-CN"/>
        </w:rPr>
        <w:t xml:space="preserve">                                  </w:t>
      </w:r>
    </w:p>
    <w:p w14:paraId="7D0BCC30">
      <w:pPr>
        <w:pageBreakBefore w:val="0"/>
        <w:kinsoku w:val="0"/>
        <w:bidi w:val="0"/>
        <w:spacing w:line="360" w:lineRule="auto"/>
        <w:ind w:firstLine="570"/>
        <w:rPr>
          <w:rFonts w:hint="eastAsia" w:ascii="宋体" w:hAnsi="宋体" w:eastAsia="宋体" w:cs="宋体"/>
          <w:color w:val="auto"/>
          <w:sz w:val="22"/>
          <w:szCs w:val="22"/>
          <w:u w:val="single"/>
          <w:lang w:val="en-US" w:eastAsia="zh-CN"/>
        </w:rPr>
      </w:pPr>
      <w:r>
        <w:rPr>
          <w:rFonts w:hint="eastAsia" w:ascii="宋体" w:hAnsi="宋体" w:eastAsia="宋体" w:cs="宋体"/>
          <w:color w:val="auto"/>
          <w:sz w:val="22"/>
          <w:szCs w:val="22"/>
          <w:lang w:eastAsia="zh-CN"/>
        </w:rPr>
        <w:t>邮    编：</w:t>
      </w:r>
      <w:r>
        <w:rPr>
          <w:rFonts w:hint="eastAsia" w:ascii="宋体" w:hAnsi="宋体" w:eastAsia="宋体" w:cs="宋体"/>
          <w:color w:val="auto"/>
          <w:sz w:val="22"/>
          <w:szCs w:val="22"/>
          <w:u w:val="single"/>
          <w:lang w:val="en-US" w:eastAsia="zh-CN"/>
        </w:rPr>
        <w:t xml:space="preserve">                                  </w:t>
      </w:r>
    </w:p>
    <w:p w14:paraId="189EC9C7">
      <w:pPr>
        <w:pageBreakBefore w:val="0"/>
        <w:kinsoku w:val="0"/>
        <w:bidi w:val="0"/>
        <w:spacing w:line="360" w:lineRule="auto"/>
        <w:ind w:firstLine="570"/>
        <w:rPr>
          <w:rFonts w:hint="eastAsia" w:ascii="宋体" w:hAnsi="宋体" w:eastAsia="宋体" w:cs="宋体"/>
          <w:color w:val="auto"/>
          <w:sz w:val="22"/>
          <w:szCs w:val="22"/>
        </w:rPr>
      </w:pPr>
      <w:r>
        <w:rPr>
          <w:rFonts w:hint="eastAsia" w:ascii="宋体" w:hAnsi="宋体" w:eastAsia="宋体" w:cs="宋体"/>
          <w:color w:val="auto"/>
          <w:sz w:val="22"/>
          <w:szCs w:val="22"/>
        </w:rPr>
        <w:t>供应商全称（公章）</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38E69541">
      <w:pPr>
        <w:pageBreakBefore w:val="0"/>
        <w:kinsoku w:val="0"/>
        <w:bidi w:val="0"/>
        <w:spacing w:line="360" w:lineRule="auto"/>
        <w:ind w:firstLine="570"/>
        <w:rPr>
          <w:rFonts w:hint="eastAsia" w:ascii="宋体" w:hAnsi="宋体" w:eastAsia="宋体" w:cs="宋体"/>
          <w:color w:val="auto"/>
          <w:sz w:val="22"/>
          <w:szCs w:val="22"/>
          <w:u w:val="single"/>
        </w:rPr>
      </w:pPr>
      <w:r>
        <w:rPr>
          <w:rFonts w:hint="eastAsia" w:ascii="宋体" w:hAnsi="宋体" w:eastAsia="宋体" w:cs="宋体"/>
          <w:color w:val="auto"/>
          <w:sz w:val="22"/>
          <w:szCs w:val="22"/>
        </w:rPr>
        <w:t>法定代表人</w:t>
      </w:r>
      <w:r>
        <w:rPr>
          <w:rFonts w:hint="eastAsia" w:ascii="宋体" w:hAnsi="宋体" w:eastAsia="宋体" w:cs="宋体"/>
          <w:color w:val="auto"/>
          <w:sz w:val="22"/>
          <w:szCs w:val="22"/>
          <w:lang w:val="en-US" w:eastAsia="zh-CN"/>
        </w:rPr>
        <w:t>或</w:t>
      </w:r>
      <w:r>
        <w:rPr>
          <w:rFonts w:hint="eastAsia" w:ascii="宋体" w:hAnsi="宋体" w:eastAsia="宋体" w:cs="宋体"/>
          <w:color w:val="auto"/>
          <w:sz w:val="22"/>
          <w:szCs w:val="22"/>
        </w:rPr>
        <w:t>被授权人（签字）：</w:t>
      </w:r>
      <w:r>
        <w:rPr>
          <w:rFonts w:hint="eastAsia" w:ascii="宋体" w:hAnsi="宋体" w:eastAsia="宋体" w:cs="宋体"/>
          <w:color w:val="auto"/>
          <w:sz w:val="22"/>
          <w:szCs w:val="22"/>
          <w:u w:val="single"/>
        </w:rPr>
        <w:t xml:space="preserve">      </w:t>
      </w:r>
      <w:r>
        <w:rPr>
          <w:rFonts w:hint="eastAsia" w:ascii="宋体" w:hAnsi="宋体" w:eastAsia="宋体" w:cs="宋体"/>
          <w:color w:val="auto"/>
          <w:sz w:val="22"/>
          <w:szCs w:val="22"/>
          <w:u w:val="single"/>
          <w:lang w:val="en-US" w:eastAsia="zh-CN"/>
        </w:rPr>
        <w:t xml:space="preserve">   </w:t>
      </w:r>
      <w:r>
        <w:rPr>
          <w:rFonts w:hint="eastAsia" w:ascii="宋体" w:hAnsi="宋体" w:eastAsia="宋体" w:cs="宋体"/>
          <w:color w:val="auto"/>
          <w:sz w:val="22"/>
          <w:szCs w:val="22"/>
          <w:u w:val="single"/>
        </w:rPr>
        <w:t xml:space="preserve">      </w:t>
      </w:r>
    </w:p>
    <w:p w14:paraId="65DE8AA1">
      <w:pPr>
        <w:pageBreakBefore w:val="0"/>
        <w:kinsoku w:val="0"/>
        <w:bidi w:val="0"/>
        <w:spacing w:line="360" w:lineRule="auto"/>
        <w:ind w:firstLine="660" w:firstLineChars="300"/>
        <w:jc w:val="right"/>
        <w:rPr>
          <w:rFonts w:hint="eastAsia" w:ascii="宋体" w:hAnsi="宋体" w:eastAsia="宋体" w:cs="宋体"/>
          <w:color w:val="auto"/>
          <w:sz w:val="22"/>
          <w:szCs w:val="22"/>
        </w:rPr>
      </w:pPr>
      <w:r>
        <w:rPr>
          <w:rFonts w:hint="eastAsia" w:ascii="宋体" w:hAnsi="宋体" w:eastAsia="宋体" w:cs="宋体"/>
          <w:color w:val="auto"/>
          <w:sz w:val="22"/>
          <w:szCs w:val="22"/>
        </w:rPr>
        <w:t>年   月   日</w:t>
      </w:r>
    </w:p>
    <w:p w14:paraId="4F6A64D4">
      <w:pPr>
        <w:pStyle w:val="4"/>
        <w:bidi w:val="0"/>
        <w:outlineLvl w:val="0"/>
        <w:rPr>
          <w:rFonts w:hint="eastAsia" w:ascii="宋体" w:hAnsi="宋体" w:eastAsia="宋体" w:cs="宋体"/>
          <w:color w:val="auto"/>
        </w:rPr>
      </w:pPr>
      <w:r>
        <w:rPr>
          <w:rFonts w:hint="eastAsia" w:ascii="宋体" w:hAnsi="宋体" w:eastAsia="宋体" w:cs="宋体"/>
          <w:color w:val="auto"/>
          <w:sz w:val="28"/>
          <w:szCs w:val="28"/>
          <w:lang w:eastAsia="zh-CN"/>
        </w:rPr>
        <w:br w:type="page"/>
      </w:r>
      <w:bookmarkStart w:id="304" w:name="_Toc29572"/>
      <w:bookmarkStart w:id="305" w:name="_Toc19224"/>
      <w:bookmarkStart w:id="306" w:name="_Toc2501"/>
      <w:bookmarkStart w:id="307" w:name="_Toc22166"/>
      <w:r>
        <w:rPr>
          <w:rFonts w:hint="eastAsia" w:ascii="宋体" w:hAnsi="宋体" w:eastAsia="宋体" w:cs="宋体"/>
          <w:color w:val="auto"/>
          <w:lang w:eastAsia="zh-CN"/>
        </w:rPr>
        <w:t>第二</w:t>
      </w:r>
      <w:r>
        <w:rPr>
          <w:rFonts w:hint="eastAsia" w:ascii="宋体" w:hAnsi="宋体" w:eastAsia="宋体" w:cs="宋体"/>
          <w:color w:val="auto"/>
          <w:lang w:val="en-US" w:eastAsia="zh-CN"/>
        </w:rPr>
        <w:t xml:space="preserve">章  </w:t>
      </w:r>
      <w:r>
        <w:rPr>
          <w:rFonts w:hint="eastAsia" w:ascii="宋体" w:hAnsi="宋体" w:eastAsia="宋体" w:cs="宋体"/>
          <w:color w:val="auto"/>
          <w:lang w:eastAsia="zh-CN"/>
        </w:rPr>
        <w:t>报价一览表（第一次）</w:t>
      </w:r>
      <w:bookmarkEnd w:id="304"/>
      <w:bookmarkEnd w:id="305"/>
      <w:bookmarkEnd w:id="306"/>
      <w:bookmarkEnd w:id="307"/>
    </w:p>
    <w:p w14:paraId="13007307">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项目名称：                                                       </w:t>
      </w:r>
    </w:p>
    <w:p w14:paraId="5627BDCF">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 xml:space="preserve">项目编号：                                                       </w:t>
      </w:r>
    </w:p>
    <w:tbl>
      <w:tblPr>
        <w:tblStyle w:val="21"/>
        <w:tblW w:w="49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2515"/>
        <w:gridCol w:w="1891"/>
        <w:gridCol w:w="1711"/>
        <w:gridCol w:w="1533"/>
      </w:tblGrid>
      <w:tr w14:paraId="1C67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0" w:hRule="atLeast"/>
          <w:jc w:val="center"/>
        </w:trPr>
        <w:tc>
          <w:tcPr>
            <w:tcW w:w="958" w:type="pct"/>
            <w:tcBorders>
              <w:tl2br w:val="single" w:color="auto" w:sz="4" w:space="0"/>
            </w:tcBorders>
            <w:noWrap w:val="0"/>
            <w:vAlign w:val="center"/>
          </w:tcPr>
          <w:p w14:paraId="34013D83">
            <w:pPr>
              <w:pageBreakBefore w:val="0"/>
              <w:kinsoku w:val="0"/>
              <w:bidi w:val="0"/>
              <w:spacing w:line="600" w:lineRule="exact"/>
              <w:ind w:firstLine="480" w:firstLineChars="200"/>
              <w:jc w:val="center"/>
              <w:rPr>
                <w:rFonts w:hint="eastAsia" w:ascii="宋体" w:hAnsi="宋体" w:eastAsia="宋体" w:cs="宋体"/>
                <w:color w:val="auto"/>
                <w:sz w:val="24"/>
              </w:rPr>
            </w:pPr>
            <w:r>
              <w:rPr>
                <w:rFonts w:hint="eastAsia" w:ascii="宋体" w:hAnsi="宋体" w:eastAsia="宋体" w:cs="宋体"/>
                <w:color w:val="auto"/>
                <w:sz w:val="24"/>
              </w:rPr>
              <w:t>报价内容</w:t>
            </w:r>
          </w:p>
          <w:p w14:paraId="1E2D0A35">
            <w:pPr>
              <w:pageBreakBefore w:val="0"/>
              <w:kinsoku w:val="0"/>
              <w:bidi w:val="0"/>
              <w:spacing w:line="600" w:lineRule="exact"/>
              <w:jc w:val="center"/>
              <w:rPr>
                <w:rFonts w:hint="eastAsia" w:ascii="宋体" w:hAnsi="宋体" w:eastAsia="宋体" w:cs="宋体"/>
                <w:color w:val="auto"/>
                <w:sz w:val="24"/>
              </w:rPr>
            </w:pPr>
          </w:p>
          <w:p w14:paraId="3921DDE1">
            <w:pPr>
              <w:pageBreakBefore w:val="0"/>
              <w:kinsoku w:val="0"/>
              <w:bidi w:val="0"/>
              <w:spacing w:line="600" w:lineRule="exact"/>
              <w:jc w:val="both"/>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内容</w:t>
            </w:r>
          </w:p>
        </w:tc>
        <w:tc>
          <w:tcPr>
            <w:tcW w:w="1329" w:type="pct"/>
            <w:noWrap w:val="0"/>
            <w:vAlign w:val="center"/>
          </w:tcPr>
          <w:p w14:paraId="7342045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lang w:eastAsia="zh-CN"/>
              </w:rPr>
              <w:t>磋商</w:t>
            </w:r>
            <w:r>
              <w:rPr>
                <w:rFonts w:hint="eastAsia" w:ascii="宋体" w:hAnsi="宋体" w:eastAsia="宋体" w:cs="宋体"/>
                <w:color w:val="auto"/>
                <w:sz w:val="24"/>
              </w:rPr>
              <w:t>报价</w:t>
            </w:r>
          </w:p>
        </w:tc>
        <w:tc>
          <w:tcPr>
            <w:tcW w:w="999" w:type="pct"/>
            <w:noWrap w:val="0"/>
            <w:vAlign w:val="center"/>
          </w:tcPr>
          <w:p w14:paraId="779056F6">
            <w:pPr>
              <w:pageBreakBefore w:val="0"/>
              <w:kinsoku w:val="0"/>
              <w:bidi w:val="0"/>
              <w:spacing w:line="600" w:lineRule="exact"/>
              <w:jc w:val="center"/>
              <w:rPr>
                <w:rFonts w:hint="eastAsia" w:ascii="宋体" w:hAnsi="宋体" w:eastAsia="宋体" w:cs="宋体"/>
                <w:color w:val="auto"/>
                <w:sz w:val="24"/>
              </w:rPr>
            </w:pPr>
          </w:p>
          <w:p w14:paraId="6839EF46">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工期</w:t>
            </w:r>
          </w:p>
          <w:p w14:paraId="49132521">
            <w:pPr>
              <w:pageBreakBefore w:val="0"/>
              <w:kinsoku w:val="0"/>
              <w:bidi w:val="0"/>
              <w:spacing w:line="600" w:lineRule="exact"/>
              <w:jc w:val="center"/>
              <w:rPr>
                <w:rFonts w:hint="eastAsia" w:ascii="宋体" w:hAnsi="宋体" w:eastAsia="宋体" w:cs="宋体"/>
                <w:color w:val="auto"/>
                <w:sz w:val="24"/>
              </w:rPr>
            </w:pPr>
          </w:p>
        </w:tc>
        <w:tc>
          <w:tcPr>
            <w:tcW w:w="904" w:type="pct"/>
            <w:noWrap w:val="0"/>
            <w:vAlign w:val="center"/>
          </w:tcPr>
          <w:p w14:paraId="314B9FA6">
            <w:pPr>
              <w:pageBreakBefore w:val="0"/>
              <w:kinsoku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rPr>
              <w:t>质量</w:t>
            </w:r>
            <w:r>
              <w:rPr>
                <w:rFonts w:hint="eastAsia" w:ascii="宋体" w:hAnsi="宋体" w:eastAsia="宋体" w:cs="宋体"/>
                <w:color w:val="auto"/>
                <w:sz w:val="24"/>
                <w:lang w:val="en-US" w:eastAsia="zh-CN"/>
              </w:rPr>
              <w:t>要求</w:t>
            </w:r>
          </w:p>
        </w:tc>
        <w:tc>
          <w:tcPr>
            <w:tcW w:w="807" w:type="pct"/>
            <w:noWrap w:val="0"/>
            <w:vAlign w:val="center"/>
          </w:tcPr>
          <w:p w14:paraId="5A03F50B">
            <w:pPr>
              <w:pageBreakBefore w:val="0"/>
              <w:kinsoku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备注</w:t>
            </w:r>
          </w:p>
        </w:tc>
      </w:tr>
      <w:tr w14:paraId="10050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4" w:hRule="atLeast"/>
          <w:jc w:val="center"/>
        </w:trPr>
        <w:tc>
          <w:tcPr>
            <w:tcW w:w="958" w:type="pct"/>
            <w:noWrap w:val="0"/>
            <w:vAlign w:val="center"/>
          </w:tcPr>
          <w:p w14:paraId="19D42BE6">
            <w:pPr>
              <w:bidi w:val="0"/>
              <w:jc w:val="center"/>
              <w:rPr>
                <w:rFonts w:hint="eastAsia" w:ascii="宋体" w:hAnsi="宋体" w:eastAsia="宋体" w:cs="宋体"/>
                <w:color w:val="auto"/>
                <w:lang w:val="en-US" w:eastAsia="zh-CN"/>
              </w:rPr>
            </w:pPr>
            <w:r>
              <w:rPr>
                <w:rFonts w:hint="eastAsia" w:ascii="宋体" w:hAnsi="宋体" w:eastAsia="宋体" w:cs="宋体"/>
                <w:color w:val="auto"/>
                <w:lang w:val="en-US" w:eastAsia="zh-CN"/>
              </w:rPr>
              <w:t xml:space="preserve"> </w:t>
            </w:r>
          </w:p>
        </w:tc>
        <w:tc>
          <w:tcPr>
            <w:tcW w:w="1329" w:type="pct"/>
            <w:noWrap w:val="0"/>
            <w:vAlign w:val="center"/>
          </w:tcPr>
          <w:p w14:paraId="2682E833">
            <w:pPr>
              <w:bidi w:val="0"/>
              <w:jc w:val="center"/>
              <w:rPr>
                <w:rFonts w:hint="eastAsia" w:ascii="宋体" w:hAnsi="宋体" w:eastAsia="宋体" w:cs="宋体"/>
                <w:color w:val="auto"/>
              </w:rPr>
            </w:pPr>
          </w:p>
        </w:tc>
        <w:tc>
          <w:tcPr>
            <w:tcW w:w="999" w:type="pct"/>
            <w:noWrap w:val="0"/>
            <w:vAlign w:val="center"/>
          </w:tcPr>
          <w:p w14:paraId="11939F6D">
            <w:pPr>
              <w:bidi w:val="0"/>
              <w:jc w:val="center"/>
              <w:rPr>
                <w:rFonts w:hint="eastAsia" w:ascii="宋体" w:hAnsi="宋体" w:eastAsia="宋体" w:cs="宋体"/>
                <w:color w:val="auto"/>
              </w:rPr>
            </w:pPr>
          </w:p>
        </w:tc>
        <w:tc>
          <w:tcPr>
            <w:tcW w:w="904" w:type="pct"/>
            <w:noWrap w:val="0"/>
            <w:vAlign w:val="center"/>
          </w:tcPr>
          <w:p w14:paraId="4CA8C011">
            <w:pPr>
              <w:bidi w:val="0"/>
              <w:jc w:val="center"/>
              <w:rPr>
                <w:rFonts w:hint="eastAsia" w:ascii="宋体" w:hAnsi="宋体" w:eastAsia="宋体" w:cs="宋体"/>
                <w:color w:val="auto"/>
              </w:rPr>
            </w:pPr>
          </w:p>
        </w:tc>
        <w:tc>
          <w:tcPr>
            <w:tcW w:w="807" w:type="pct"/>
            <w:noWrap w:val="0"/>
            <w:vAlign w:val="center"/>
          </w:tcPr>
          <w:p w14:paraId="304CCF92">
            <w:pPr>
              <w:bidi w:val="0"/>
              <w:jc w:val="center"/>
              <w:rPr>
                <w:rFonts w:hint="eastAsia" w:ascii="宋体" w:hAnsi="宋体" w:eastAsia="宋体" w:cs="宋体"/>
                <w:color w:val="auto"/>
              </w:rPr>
            </w:pPr>
          </w:p>
        </w:tc>
      </w:tr>
      <w:tr w14:paraId="7082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5000" w:type="pct"/>
            <w:gridSpan w:val="5"/>
            <w:noWrap w:val="0"/>
            <w:vAlign w:val="center"/>
          </w:tcPr>
          <w:p w14:paraId="6DA64EC1">
            <w:pPr>
              <w:bidi w:val="0"/>
              <w:jc w:val="both"/>
              <w:rPr>
                <w:rFonts w:hint="eastAsia" w:ascii="宋体" w:hAnsi="宋体" w:eastAsia="宋体" w:cs="宋体"/>
                <w:color w:val="auto"/>
              </w:rPr>
            </w:pPr>
            <w:r>
              <w:rPr>
                <w:rFonts w:hint="eastAsia" w:ascii="宋体" w:hAnsi="宋体" w:eastAsia="宋体" w:cs="宋体"/>
                <w:color w:val="auto"/>
              </w:rPr>
              <w:t xml:space="preserve">人民币（大写）                             </w:t>
            </w:r>
            <w:r>
              <w:rPr>
                <w:rFonts w:hint="eastAsia" w:ascii="宋体" w:hAnsi="宋体" w:eastAsia="宋体" w:cs="宋体"/>
                <w:color w:val="auto"/>
                <w:lang w:val="en-US" w:eastAsia="zh-CN"/>
              </w:rPr>
              <w:t xml:space="preserve">          </w:t>
            </w:r>
            <w:r>
              <w:rPr>
                <w:rFonts w:hint="eastAsia" w:ascii="宋体" w:hAnsi="宋体" w:eastAsia="宋体" w:cs="宋体"/>
                <w:color w:val="auto"/>
              </w:rPr>
              <w:t xml:space="preserve">¥       </w:t>
            </w:r>
            <w:r>
              <w:rPr>
                <w:rFonts w:hint="eastAsia" w:ascii="宋体" w:hAnsi="宋体" w:eastAsia="宋体" w:cs="宋体"/>
                <w:color w:val="auto"/>
                <w:lang w:val="en-US" w:eastAsia="zh-CN"/>
              </w:rPr>
              <w:t xml:space="preserve">   </w:t>
            </w:r>
            <w:r>
              <w:rPr>
                <w:rFonts w:hint="eastAsia" w:ascii="宋体" w:hAnsi="宋体" w:eastAsia="宋体" w:cs="宋体"/>
                <w:color w:val="auto"/>
              </w:rPr>
              <w:t>元</w:t>
            </w:r>
          </w:p>
        </w:tc>
      </w:tr>
      <w:tr w14:paraId="140E9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5000" w:type="pct"/>
            <w:gridSpan w:val="5"/>
            <w:noWrap w:val="0"/>
            <w:vAlign w:val="center"/>
          </w:tcPr>
          <w:p w14:paraId="2396E70A">
            <w:pPr>
              <w:bidi w:val="0"/>
              <w:jc w:val="both"/>
              <w:rPr>
                <w:rFonts w:hint="eastAsia" w:ascii="宋体" w:hAnsi="宋体" w:eastAsia="宋体" w:cs="宋体"/>
                <w:color w:val="auto"/>
              </w:rPr>
            </w:pPr>
            <w:r>
              <w:rPr>
                <w:rFonts w:hint="eastAsia" w:ascii="宋体" w:hAnsi="宋体" w:eastAsia="宋体" w:cs="宋体"/>
                <w:color w:val="auto"/>
                <w:lang w:val="en-US" w:eastAsia="zh-CN"/>
              </w:rPr>
              <w:t>备注：表内报价内容以元为单位，保留小数点后两位。</w:t>
            </w:r>
          </w:p>
        </w:tc>
      </w:tr>
    </w:tbl>
    <w:p w14:paraId="638D0AE0">
      <w:pPr>
        <w:pageBreakBefore w:val="0"/>
        <w:bidi w:val="0"/>
        <w:spacing w:line="600" w:lineRule="exact"/>
        <w:ind w:firstLine="480" w:firstLineChars="200"/>
        <w:rPr>
          <w:rFonts w:hint="eastAsia" w:ascii="宋体" w:hAnsi="宋体" w:eastAsia="宋体" w:cs="宋体"/>
          <w:color w:val="auto"/>
          <w:sz w:val="24"/>
        </w:rPr>
      </w:pPr>
    </w:p>
    <w:p w14:paraId="3C59BC8A">
      <w:pPr>
        <w:pageBreakBefore w:val="0"/>
        <w:kinsoku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供应商全称（公章）：</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D21790F">
      <w:pPr>
        <w:pageBreakBefore w:val="0"/>
        <w:kinsoku w:val="0"/>
        <w:bidi w:val="0"/>
        <w:spacing w:line="600" w:lineRule="exact"/>
        <w:rPr>
          <w:rFonts w:hint="eastAsia" w:ascii="宋体" w:hAnsi="宋体" w:eastAsia="宋体" w:cs="宋体"/>
          <w:color w:val="auto"/>
          <w:sz w:val="24"/>
        </w:rPr>
      </w:pPr>
    </w:p>
    <w:p w14:paraId="4F25605A">
      <w:pPr>
        <w:pageBreakBefore w:val="0"/>
        <w:kinsoku w:val="0"/>
        <w:bidi w:val="0"/>
        <w:spacing w:line="600" w:lineRule="exact"/>
        <w:rPr>
          <w:rFonts w:hint="eastAsia" w:ascii="宋体" w:hAnsi="宋体" w:eastAsia="宋体" w:cs="宋体"/>
          <w:b/>
          <w:bCs/>
          <w:color w:val="auto"/>
          <w:kern w:val="44"/>
          <w:sz w:val="32"/>
          <w:szCs w:val="44"/>
          <w:lang w:val="en-US" w:eastAsia="zh-CN"/>
        </w:rPr>
      </w:pPr>
      <w:r>
        <w:rPr>
          <w:rFonts w:hint="eastAsia" w:ascii="宋体" w:hAnsi="宋体" w:eastAsia="宋体" w:cs="宋体"/>
          <w:color w:val="auto"/>
          <w:sz w:val="24"/>
        </w:rPr>
        <w:t>法定代表人</w:t>
      </w:r>
      <w:r>
        <w:rPr>
          <w:rFonts w:hint="eastAsia" w:ascii="宋体" w:hAnsi="宋体" w:eastAsia="宋体" w:cs="宋体"/>
          <w:color w:val="auto"/>
          <w:sz w:val="24"/>
          <w:lang w:val="en-US" w:eastAsia="zh-CN"/>
        </w:rPr>
        <w:t>或</w:t>
      </w:r>
      <w:r>
        <w:rPr>
          <w:rFonts w:hint="eastAsia" w:ascii="宋体" w:hAnsi="宋体" w:eastAsia="宋体" w:cs="宋体"/>
          <w:color w:val="auto"/>
          <w:sz w:val="24"/>
        </w:rPr>
        <w:t>被授权人（签字）：</w:t>
      </w:r>
      <w:r>
        <w:rPr>
          <w:rFonts w:hint="eastAsia" w:ascii="宋体" w:hAnsi="宋体" w:eastAsia="宋体" w:cs="宋体"/>
          <w:color w:val="auto"/>
          <w:sz w:val="24"/>
          <w:u w:val="single"/>
          <w:lang w:val="en-US" w:eastAsia="zh-CN"/>
        </w:rPr>
        <w:t xml:space="preserve">              </w:t>
      </w:r>
    </w:p>
    <w:p w14:paraId="01215769">
      <w:pPr>
        <w:pageBreakBefore w:val="0"/>
        <w:bidi w:val="0"/>
        <w:spacing w:line="600" w:lineRule="exact"/>
        <w:ind w:firstLine="480" w:firstLineChars="200"/>
        <w:jc w:val="center"/>
        <w:rPr>
          <w:rFonts w:hint="eastAsia" w:ascii="宋体" w:hAnsi="宋体" w:eastAsia="宋体" w:cs="宋体"/>
          <w:b/>
          <w:bCs/>
          <w:color w:val="auto"/>
          <w:kern w:val="44"/>
          <w:sz w:val="32"/>
          <w:szCs w:val="44"/>
        </w:rPr>
      </w:pP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 xml:space="preserve">   年   月   日</w:t>
      </w:r>
    </w:p>
    <w:p w14:paraId="021613B2">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489859B6">
      <w:pPr>
        <w:pageBreakBefore w:val="0"/>
        <w:bidi w:val="0"/>
        <w:spacing w:line="600" w:lineRule="exact"/>
        <w:ind w:firstLine="643" w:firstLineChars="200"/>
        <w:jc w:val="center"/>
        <w:rPr>
          <w:rFonts w:hint="eastAsia" w:ascii="宋体" w:hAnsi="宋体" w:eastAsia="宋体" w:cs="宋体"/>
          <w:b/>
          <w:bCs/>
          <w:color w:val="auto"/>
          <w:kern w:val="44"/>
          <w:sz w:val="32"/>
          <w:szCs w:val="44"/>
        </w:rPr>
      </w:pPr>
    </w:p>
    <w:p w14:paraId="71303F54">
      <w:pPr>
        <w:pStyle w:val="4"/>
        <w:bidi w:val="0"/>
        <w:outlineLvl w:val="0"/>
        <w:rPr>
          <w:rFonts w:hint="eastAsia" w:ascii="宋体" w:hAnsi="宋体" w:eastAsia="宋体" w:cs="宋体"/>
          <w:color w:val="auto"/>
          <w:lang w:val="en-US" w:eastAsia="zh-CN"/>
        </w:rPr>
      </w:pPr>
      <w:r>
        <w:rPr>
          <w:rFonts w:hint="eastAsia" w:ascii="宋体" w:hAnsi="宋体" w:eastAsia="宋体" w:cs="宋体"/>
          <w:color w:val="auto"/>
          <w:lang w:eastAsia="zh-CN"/>
        </w:rPr>
        <w:br w:type="page"/>
      </w:r>
      <w:bookmarkStart w:id="308" w:name="_Toc4525"/>
      <w:bookmarkStart w:id="309" w:name="_Toc15963"/>
      <w:bookmarkStart w:id="310" w:name="_Toc26953"/>
      <w:r>
        <w:rPr>
          <w:rFonts w:hint="eastAsia" w:ascii="宋体" w:hAnsi="宋体" w:eastAsia="宋体" w:cs="宋体"/>
          <w:color w:val="auto"/>
          <w:lang w:eastAsia="zh-CN"/>
        </w:rPr>
        <w:t>第三</w:t>
      </w:r>
      <w:r>
        <w:rPr>
          <w:rFonts w:hint="eastAsia" w:ascii="宋体" w:hAnsi="宋体" w:eastAsia="宋体" w:cs="宋体"/>
          <w:color w:val="auto"/>
          <w:lang w:val="en-US" w:eastAsia="zh-CN"/>
        </w:rPr>
        <w:t>章</w:t>
      </w:r>
      <w:r>
        <w:rPr>
          <w:rFonts w:hint="eastAsia" w:ascii="宋体" w:hAnsi="宋体" w:eastAsia="宋体" w:cs="宋体"/>
          <w:color w:val="auto"/>
          <w:lang w:eastAsia="zh-CN"/>
        </w:rPr>
        <w:t xml:space="preserve">  </w:t>
      </w:r>
      <w:bookmarkEnd w:id="308"/>
      <w:r>
        <w:rPr>
          <w:rFonts w:hint="eastAsia" w:ascii="宋体" w:hAnsi="宋体" w:eastAsia="宋体" w:cs="宋体"/>
          <w:color w:val="auto"/>
          <w:lang w:val="en-US" w:eastAsia="zh-CN"/>
        </w:rPr>
        <w:t>投标预算</w:t>
      </w:r>
      <w:bookmarkEnd w:id="309"/>
      <w:bookmarkEnd w:id="310"/>
    </w:p>
    <w:p w14:paraId="00E40892">
      <w:pPr>
        <w:pageBreakBefore w:val="0"/>
        <w:bidi w:val="0"/>
        <w:spacing w:line="600" w:lineRule="exact"/>
        <w:ind w:firstLine="480" w:firstLineChars="200"/>
        <w:rPr>
          <w:rFonts w:hint="eastAsia" w:ascii="宋体" w:hAnsi="宋体" w:eastAsia="宋体" w:cs="宋体"/>
          <w:color w:val="auto"/>
          <w:szCs w:val="21"/>
        </w:rPr>
      </w:pPr>
      <w:r>
        <w:rPr>
          <w:rFonts w:hint="eastAsia" w:ascii="宋体" w:hAnsi="宋体" w:eastAsia="宋体" w:cs="宋体"/>
          <w:color w:val="auto"/>
          <w:szCs w:val="21"/>
        </w:rPr>
        <w:t>以</w:t>
      </w:r>
      <w:r>
        <w:rPr>
          <w:rFonts w:hint="eastAsia" w:ascii="宋体" w:hAnsi="宋体" w:eastAsia="宋体" w:cs="宋体"/>
          <w:color w:val="auto"/>
          <w:szCs w:val="21"/>
          <w:lang w:val="en-US" w:eastAsia="zh-CN"/>
        </w:rPr>
        <w:t>工程量清单</w:t>
      </w:r>
      <w:r>
        <w:rPr>
          <w:rFonts w:hint="eastAsia" w:ascii="宋体" w:hAnsi="宋体" w:eastAsia="宋体" w:cs="宋体"/>
          <w:color w:val="auto"/>
          <w:szCs w:val="21"/>
        </w:rPr>
        <w:t>内容为准。</w:t>
      </w:r>
    </w:p>
    <w:p w14:paraId="148A426F">
      <w:pPr>
        <w:pageBreakBefore w:val="0"/>
        <w:bidi w:val="0"/>
        <w:spacing w:line="600" w:lineRule="exact"/>
        <w:ind w:firstLine="480" w:firstLineChars="200"/>
        <w:rPr>
          <w:rFonts w:hint="eastAsia" w:ascii="宋体" w:hAnsi="宋体" w:eastAsia="宋体" w:cs="宋体"/>
          <w:color w:val="auto"/>
          <w:szCs w:val="21"/>
        </w:rPr>
      </w:pPr>
    </w:p>
    <w:p w14:paraId="5CB0D5A3">
      <w:pPr>
        <w:pageBreakBefore w:val="0"/>
        <w:bidi w:val="0"/>
        <w:spacing w:line="600" w:lineRule="exact"/>
        <w:ind w:firstLine="480" w:firstLineChars="200"/>
        <w:rPr>
          <w:rFonts w:hint="eastAsia" w:ascii="宋体" w:hAnsi="宋体" w:eastAsia="宋体" w:cs="宋体"/>
          <w:color w:val="auto"/>
          <w:szCs w:val="21"/>
        </w:rPr>
      </w:pPr>
    </w:p>
    <w:p w14:paraId="74F10B54">
      <w:pPr>
        <w:pageBreakBefore w:val="0"/>
        <w:bidi w:val="0"/>
        <w:spacing w:line="600" w:lineRule="exact"/>
        <w:ind w:firstLine="480" w:firstLineChars="200"/>
        <w:rPr>
          <w:rFonts w:hint="eastAsia" w:ascii="宋体" w:hAnsi="宋体" w:eastAsia="宋体" w:cs="宋体"/>
          <w:color w:val="auto"/>
          <w:szCs w:val="21"/>
        </w:rPr>
      </w:pPr>
    </w:p>
    <w:p w14:paraId="4B5C2870">
      <w:pPr>
        <w:pageBreakBefore w:val="0"/>
        <w:bidi w:val="0"/>
        <w:spacing w:line="600" w:lineRule="exact"/>
        <w:ind w:firstLine="480" w:firstLineChars="200"/>
        <w:rPr>
          <w:rFonts w:hint="eastAsia" w:ascii="宋体" w:hAnsi="宋体" w:eastAsia="宋体" w:cs="宋体"/>
          <w:color w:val="auto"/>
          <w:szCs w:val="21"/>
        </w:rPr>
      </w:pPr>
    </w:p>
    <w:p w14:paraId="6EB8AFFD">
      <w:pPr>
        <w:pageBreakBefore w:val="0"/>
        <w:bidi w:val="0"/>
        <w:spacing w:line="600" w:lineRule="exact"/>
        <w:ind w:firstLine="480" w:firstLineChars="200"/>
        <w:rPr>
          <w:rFonts w:hint="eastAsia" w:ascii="宋体" w:hAnsi="宋体" w:eastAsia="宋体" w:cs="宋体"/>
          <w:color w:val="auto"/>
          <w:szCs w:val="21"/>
        </w:rPr>
      </w:pPr>
    </w:p>
    <w:p w14:paraId="6104F2B3">
      <w:pPr>
        <w:pageBreakBefore w:val="0"/>
        <w:bidi w:val="0"/>
        <w:spacing w:line="600" w:lineRule="exact"/>
        <w:ind w:firstLine="480" w:firstLineChars="200"/>
        <w:rPr>
          <w:rFonts w:hint="eastAsia" w:ascii="宋体" w:hAnsi="宋体" w:eastAsia="宋体" w:cs="宋体"/>
          <w:color w:val="auto"/>
          <w:szCs w:val="21"/>
        </w:rPr>
      </w:pPr>
    </w:p>
    <w:p w14:paraId="1BE7885A">
      <w:pPr>
        <w:pageBreakBefore w:val="0"/>
        <w:bidi w:val="0"/>
        <w:spacing w:line="600" w:lineRule="exact"/>
        <w:jc w:val="center"/>
        <w:rPr>
          <w:rFonts w:hint="eastAsia" w:ascii="宋体" w:hAnsi="宋体" w:eastAsia="宋体" w:cs="宋体"/>
          <w:b/>
          <w:color w:val="auto"/>
          <w:szCs w:val="21"/>
        </w:rPr>
      </w:pPr>
    </w:p>
    <w:p w14:paraId="5A534F08">
      <w:pPr>
        <w:pageBreakBefore w:val="0"/>
        <w:bidi w:val="0"/>
        <w:spacing w:line="600" w:lineRule="exact"/>
        <w:jc w:val="center"/>
        <w:rPr>
          <w:rFonts w:hint="eastAsia" w:ascii="宋体" w:hAnsi="宋体" w:eastAsia="宋体" w:cs="宋体"/>
          <w:b/>
          <w:color w:val="auto"/>
          <w:szCs w:val="21"/>
        </w:rPr>
      </w:pPr>
    </w:p>
    <w:p w14:paraId="20A080B8">
      <w:pPr>
        <w:pageBreakBefore w:val="0"/>
        <w:bidi w:val="0"/>
        <w:spacing w:line="600" w:lineRule="exact"/>
        <w:jc w:val="center"/>
        <w:rPr>
          <w:rFonts w:hint="eastAsia" w:ascii="宋体" w:hAnsi="宋体" w:eastAsia="宋体" w:cs="宋体"/>
          <w:b/>
          <w:color w:val="auto"/>
          <w:szCs w:val="21"/>
        </w:rPr>
      </w:pPr>
    </w:p>
    <w:p w14:paraId="24163BE2">
      <w:pPr>
        <w:pageBreakBefore w:val="0"/>
        <w:bidi w:val="0"/>
        <w:spacing w:line="600" w:lineRule="exact"/>
        <w:jc w:val="center"/>
        <w:rPr>
          <w:rFonts w:hint="eastAsia" w:ascii="宋体" w:hAnsi="宋体" w:eastAsia="宋体" w:cs="宋体"/>
          <w:b/>
          <w:color w:val="auto"/>
          <w:szCs w:val="21"/>
        </w:rPr>
      </w:pPr>
    </w:p>
    <w:p w14:paraId="41964E48">
      <w:pPr>
        <w:pageBreakBefore w:val="0"/>
        <w:bidi w:val="0"/>
        <w:spacing w:line="600" w:lineRule="exact"/>
        <w:jc w:val="center"/>
        <w:rPr>
          <w:rFonts w:hint="eastAsia" w:ascii="宋体" w:hAnsi="宋体" w:eastAsia="宋体" w:cs="宋体"/>
          <w:b/>
          <w:color w:val="auto"/>
          <w:szCs w:val="21"/>
        </w:rPr>
      </w:pPr>
    </w:p>
    <w:p w14:paraId="0C1051A0">
      <w:pPr>
        <w:pageBreakBefore w:val="0"/>
        <w:bidi w:val="0"/>
        <w:spacing w:line="600" w:lineRule="exact"/>
        <w:jc w:val="center"/>
        <w:rPr>
          <w:rFonts w:hint="eastAsia" w:ascii="宋体" w:hAnsi="宋体" w:eastAsia="宋体" w:cs="宋体"/>
          <w:b/>
          <w:color w:val="auto"/>
          <w:szCs w:val="21"/>
        </w:rPr>
      </w:pPr>
    </w:p>
    <w:p w14:paraId="4126DA4C">
      <w:pPr>
        <w:pageBreakBefore w:val="0"/>
        <w:bidi w:val="0"/>
        <w:spacing w:line="600" w:lineRule="exact"/>
        <w:jc w:val="center"/>
        <w:rPr>
          <w:rFonts w:hint="eastAsia" w:ascii="宋体" w:hAnsi="宋体" w:eastAsia="宋体" w:cs="宋体"/>
          <w:b/>
          <w:color w:val="auto"/>
          <w:szCs w:val="21"/>
        </w:rPr>
      </w:pPr>
    </w:p>
    <w:p w14:paraId="6D2A7F03">
      <w:pPr>
        <w:pStyle w:val="5"/>
        <w:pageBreakBefore w:val="0"/>
        <w:bidi w:val="0"/>
        <w:spacing w:line="600" w:lineRule="exact"/>
        <w:outlineLvl w:val="9"/>
        <w:rPr>
          <w:rFonts w:hint="eastAsia" w:ascii="宋体" w:hAnsi="宋体" w:eastAsia="宋体" w:cs="宋体"/>
          <w:color w:val="auto"/>
        </w:rPr>
      </w:pPr>
    </w:p>
    <w:p w14:paraId="11B40022">
      <w:pPr>
        <w:rPr>
          <w:rFonts w:hint="eastAsia" w:ascii="宋体" w:hAnsi="宋体" w:eastAsia="宋体" w:cs="宋体"/>
          <w:color w:val="auto"/>
        </w:rPr>
      </w:pPr>
    </w:p>
    <w:p w14:paraId="143BDDA7">
      <w:pPr>
        <w:pageBreakBefore w:val="0"/>
        <w:bidi w:val="0"/>
        <w:spacing w:line="600" w:lineRule="exact"/>
        <w:rPr>
          <w:rFonts w:hint="eastAsia" w:ascii="宋体" w:hAnsi="宋体" w:eastAsia="宋体" w:cs="宋体"/>
          <w:color w:val="auto"/>
        </w:rPr>
      </w:pPr>
    </w:p>
    <w:p w14:paraId="1FA46143">
      <w:pPr>
        <w:pageBreakBefore w:val="0"/>
        <w:bidi w:val="0"/>
        <w:spacing w:line="600" w:lineRule="exact"/>
        <w:rPr>
          <w:rFonts w:hint="eastAsia" w:ascii="宋体" w:hAnsi="宋体" w:eastAsia="宋体" w:cs="宋体"/>
          <w:color w:val="auto"/>
        </w:rPr>
      </w:pPr>
    </w:p>
    <w:p w14:paraId="4D99B9F9">
      <w:pPr>
        <w:pageBreakBefore w:val="0"/>
        <w:bidi w:val="0"/>
        <w:spacing w:line="600" w:lineRule="exact"/>
        <w:rPr>
          <w:rFonts w:hint="eastAsia" w:ascii="宋体" w:hAnsi="宋体" w:eastAsia="宋体" w:cs="宋体"/>
          <w:color w:val="auto"/>
        </w:rPr>
      </w:pPr>
    </w:p>
    <w:p w14:paraId="7C5DC30E">
      <w:pPr>
        <w:pageBreakBefore w:val="0"/>
        <w:bidi w:val="0"/>
        <w:spacing w:line="600" w:lineRule="exact"/>
        <w:rPr>
          <w:rFonts w:hint="eastAsia" w:ascii="宋体" w:hAnsi="宋体" w:eastAsia="宋体" w:cs="宋体"/>
          <w:color w:val="auto"/>
        </w:rPr>
      </w:pPr>
    </w:p>
    <w:p w14:paraId="5D48C5D3">
      <w:pPr>
        <w:pStyle w:val="4"/>
        <w:bidi w:val="0"/>
        <w:outlineLvl w:val="0"/>
        <w:rPr>
          <w:rFonts w:hint="eastAsia" w:ascii="宋体" w:hAnsi="宋体" w:eastAsia="宋体" w:cs="宋体"/>
          <w:color w:val="auto"/>
        </w:rPr>
      </w:pPr>
      <w:bookmarkStart w:id="311" w:name="_Toc314237640"/>
      <w:bookmarkStart w:id="312" w:name="_Toc15790"/>
      <w:bookmarkStart w:id="313" w:name="_Toc21122"/>
      <w:r>
        <w:rPr>
          <w:rFonts w:hint="eastAsia" w:ascii="宋体" w:hAnsi="宋体" w:eastAsia="宋体" w:cs="宋体"/>
          <w:color w:val="auto"/>
        </w:rPr>
        <w:br w:type="page"/>
      </w:r>
      <w:bookmarkStart w:id="314" w:name="_Toc5555"/>
      <w:bookmarkStart w:id="315" w:name="_Toc11929"/>
      <w:bookmarkStart w:id="316" w:name="_Toc6095"/>
      <w:bookmarkStart w:id="317" w:name="_Toc9085"/>
      <w:r>
        <w:rPr>
          <w:rFonts w:hint="eastAsia" w:ascii="宋体" w:hAnsi="宋体" w:eastAsia="宋体" w:cs="宋体"/>
          <w:color w:val="auto"/>
        </w:rPr>
        <w:t>第</w:t>
      </w:r>
      <w:r>
        <w:rPr>
          <w:rFonts w:hint="eastAsia" w:ascii="宋体" w:hAnsi="宋体" w:eastAsia="宋体" w:cs="宋体"/>
          <w:color w:val="auto"/>
          <w:lang w:eastAsia="zh-CN"/>
        </w:rPr>
        <w:t>四</w:t>
      </w:r>
      <w:r>
        <w:rPr>
          <w:rFonts w:hint="eastAsia" w:ascii="宋体" w:hAnsi="宋体" w:eastAsia="宋体" w:cs="宋体"/>
          <w:color w:val="auto"/>
          <w:lang w:val="en-US" w:eastAsia="zh-CN"/>
        </w:rPr>
        <w:t>章</w:t>
      </w:r>
      <w:r>
        <w:rPr>
          <w:rFonts w:hint="eastAsia" w:ascii="宋体" w:hAnsi="宋体" w:eastAsia="宋体" w:cs="宋体"/>
          <w:color w:val="auto"/>
        </w:rPr>
        <w:t xml:space="preserve">  法定代表人证明书及授权书</w:t>
      </w:r>
      <w:bookmarkEnd w:id="314"/>
      <w:bookmarkEnd w:id="315"/>
      <w:bookmarkEnd w:id="316"/>
      <w:bookmarkEnd w:id="317"/>
      <w:r>
        <w:rPr>
          <w:rFonts w:hint="eastAsia" w:ascii="宋体" w:hAnsi="宋体" w:eastAsia="宋体" w:cs="宋体"/>
          <w:color w:val="auto"/>
        </w:rPr>
        <w:t xml:space="preserve">   </w:t>
      </w:r>
    </w:p>
    <w:p w14:paraId="721B6D4A">
      <w:pPr>
        <w:bidi w:val="0"/>
        <w:jc w:val="center"/>
        <w:rPr>
          <w:rFonts w:hint="eastAsia" w:ascii="宋体" w:hAnsi="宋体" w:eastAsia="宋体" w:cs="宋体"/>
          <w:b/>
          <w:bCs/>
          <w:color w:val="auto"/>
        </w:rPr>
      </w:pPr>
      <w:bookmarkStart w:id="318" w:name="_Toc5779"/>
    </w:p>
    <w:p w14:paraId="60C190DA">
      <w:pPr>
        <w:bidi w:val="0"/>
        <w:jc w:val="center"/>
        <w:rPr>
          <w:rFonts w:hint="eastAsia" w:ascii="宋体" w:hAnsi="宋体" w:eastAsia="宋体" w:cs="宋体"/>
          <w:b/>
          <w:bCs/>
          <w:color w:val="auto"/>
        </w:rPr>
      </w:pPr>
      <w:r>
        <w:rPr>
          <w:rFonts w:hint="eastAsia" w:ascii="宋体" w:hAnsi="宋体" w:eastAsia="宋体" w:cs="宋体"/>
          <w:b/>
          <w:bCs/>
          <w:color w:val="auto"/>
        </w:rPr>
        <w:t>一、法定代表人证明书</w:t>
      </w:r>
      <w:bookmarkEnd w:id="318"/>
    </w:p>
    <w:p w14:paraId="0B57CFC3">
      <w:pPr>
        <w:bidi w:val="0"/>
        <w:jc w:val="center"/>
        <w:rPr>
          <w:rFonts w:hint="eastAsia" w:ascii="宋体" w:hAnsi="宋体" w:eastAsia="宋体" w:cs="宋体"/>
          <w:b/>
          <w:bCs/>
          <w:color w:val="auto"/>
        </w:rPr>
      </w:pPr>
    </w:p>
    <w:p w14:paraId="10EEC92A">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en-US" w:eastAsia="zh-CN"/>
        </w:rPr>
        <w:t>供应商名</w:t>
      </w:r>
      <w:r>
        <w:rPr>
          <w:rFonts w:hint="eastAsia" w:ascii="宋体" w:hAnsi="宋体" w:eastAsia="宋体" w:cs="宋体"/>
          <w:color w:val="auto"/>
          <w:sz w:val="24"/>
        </w:rPr>
        <w:t>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14:paraId="6BE0EF5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p>
    <w:p w14:paraId="6C3E500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p>
    <w:p w14:paraId="0176449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0D437E03">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p>
    <w:p w14:paraId="1EB40E3F">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签字</w:t>
      </w:r>
      <w:r>
        <w:rPr>
          <w:rFonts w:hint="eastAsia" w:ascii="宋体" w:hAnsi="宋体" w:eastAsia="宋体" w:cs="宋体"/>
          <w:color w:val="auto"/>
          <w:sz w:val="24"/>
          <w:lang w:eastAsia="zh-CN"/>
        </w:rPr>
        <w:t>）</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_</w:t>
      </w:r>
    </w:p>
    <w:p w14:paraId="63B0BF5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14:paraId="1057F592">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系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名称）的法定代表人。</w:t>
      </w:r>
    </w:p>
    <w:p w14:paraId="3C845B50">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特此证明。</w:t>
      </w:r>
    </w:p>
    <w:p w14:paraId="0A33608D">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61DADA45">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2708DFD6">
      <w:pPr>
        <w:pageBreakBefore w:val="0"/>
        <w:autoSpaceDE w:val="0"/>
        <w:autoSpaceDN w:val="0"/>
        <w:bidi w:val="0"/>
        <w:adjustRightInd w:val="0"/>
        <w:spacing w:line="600" w:lineRule="exact"/>
        <w:ind w:firstLine="480" w:firstLineChars="200"/>
        <w:rPr>
          <w:rFonts w:hint="eastAsia" w:ascii="宋体" w:hAnsi="宋体" w:eastAsia="宋体" w:cs="宋体"/>
          <w:color w:val="auto"/>
          <w:sz w:val="24"/>
        </w:rPr>
      </w:pPr>
    </w:p>
    <w:p w14:paraId="4BA3A036">
      <w:pPr>
        <w:pageBreakBefore w:val="0"/>
        <w:autoSpaceDE w:val="0"/>
        <w:autoSpaceDN w:val="0"/>
        <w:bidi w:val="0"/>
        <w:adjustRightInd w:val="0"/>
        <w:spacing w:line="600" w:lineRule="exact"/>
        <w:ind w:firstLine="480" w:firstLineChars="200"/>
        <w:rPr>
          <w:rFonts w:hint="eastAsia" w:ascii="宋体" w:hAnsi="宋体" w:eastAsia="宋体" w:cs="宋体"/>
          <w:snapToGrid w:val="0"/>
          <w:color w:val="auto"/>
          <w:kern w:val="0"/>
          <w:szCs w:val="21"/>
        </w:rPr>
      </w:pPr>
      <w:r>
        <w:rPr>
          <w:rFonts w:hint="eastAsia" w:ascii="宋体" w:hAnsi="宋体" w:eastAsia="宋体" w:cs="宋体"/>
          <w:color w:val="auto"/>
          <w:sz w:val="24"/>
        </w:rPr>
        <w:t>年    月    日</w:t>
      </w:r>
    </w:p>
    <w:p w14:paraId="229B4CF0">
      <w:pPr>
        <w:adjustRightInd w:val="0"/>
        <w:snapToGrid w:val="0"/>
        <w:spacing w:line="500" w:lineRule="exact"/>
        <w:ind w:right="-20"/>
        <w:jc w:val="left"/>
        <w:rPr>
          <w:rFonts w:hint="eastAsia" w:ascii="宋体" w:hAnsi="宋体" w:eastAsia="宋体" w:cs="宋体"/>
          <w:snapToGrid w:val="0"/>
          <w:color w:val="auto"/>
          <w:kern w:val="0"/>
          <w:szCs w:val="21"/>
        </w:rPr>
      </w:pPr>
    </w:p>
    <w:p w14:paraId="1E3C0B4A">
      <w:pP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rPr>
        <w:t>注：附法定代表人身份证（或法人代表证）复印件。</w:t>
      </w:r>
    </w:p>
    <w:p w14:paraId="16170635">
      <w:pPr>
        <w:rPr>
          <w:rFonts w:hint="eastAsia" w:ascii="宋体" w:hAnsi="宋体" w:eastAsia="宋体" w:cs="宋体"/>
          <w:color w:val="auto"/>
        </w:rPr>
      </w:pPr>
    </w:p>
    <w:p w14:paraId="737B0003">
      <w:pPr>
        <w:spacing w:line="360" w:lineRule="auto"/>
        <w:rPr>
          <w:rFonts w:hint="eastAsia" w:ascii="宋体" w:hAnsi="宋体" w:eastAsia="宋体" w:cs="宋体"/>
          <w:color w:val="auto"/>
          <w:sz w:val="24"/>
        </w:rPr>
      </w:pPr>
    </w:p>
    <w:p w14:paraId="082E0CC0">
      <w:pPr>
        <w:pageBreakBefore w:val="0"/>
        <w:bidi w:val="0"/>
        <w:spacing w:line="600" w:lineRule="exact"/>
        <w:rPr>
          <w:rFonts w:hint="eastAsia" w:ascii="宋体" w:hAnsi="宋体" w:eastAsia="宋体" w:cs="宋体"/>
          <w:color w:val="auto"/>
        </w:rPr>
      </w:pPr>
    </w:p>
    <w:p w14:paraId="07F7E1CC">
      <w:pPr>
        <w:bidi w:val="0"/>
        <w:jc w:val="center"/>
        <w:rPr>
          <w:rFonts w:hint="eastAsia" w:ascii="宋体" w:hAnsi="宋体" w:eastAsia="宋体" w:cs="宋体"/>
          <w:b/>
          <w:bCs/>
          <w:color w:val="auto"/>
        </w:rPr>
      </w:pPr>
      <w:r>
        <w:rPr>
          <w:rFonts w:hint="eastAsia" w:ascii="宋体" w:hAnsi="宋体" w:eastAsia="宋体" w:cs="宋体"/>
          <w:b/>
          <w:bCs/>
          <w:color w:val="auto"/>
        </w:rPr>
        <w:br w:type="page"/>
      </w:r>
      <w:r>
        <w:rPr>
          <w:rFonts w:hint="eastAsia" w:ascii="宋体" w:hAnsi="宋体" w:eastAsia="宋体" w:cs="宋体"/>
          <w:b/>
          <w:bCs/>
          <w:color w:val="auto"/>
        </w:rPr>
        <w:t>二、法定代表人授权书</w:t>
      </w:r>
      <w:bookmarkEnd w:id="311"/>
      <w:bookmarkEnd w:id="312"/>
      <w:bookmarkEnd w:id="313"/>
    </w:p>
    <w:p w14:paraId="20EDDB9C">
      <w:pPr>
        <w:keepNext w:val="0"/>
        <w:keepLines w:val="0"/>
        <w:pageBreakBefore w:val="0"/>
        <w:widowControl w:val="0"/>
        <w:kinsoku/>
        <w:wordWrap/>
        <w:overflowPunct/>
        <w:topLinePunct w:val="0"/>
        <w:autoSpaceDE w:val="0"/>
        <w:autoSpaceDN w:val="0"/>
        <w:bidi w:val="0"/>
        <w:adjustRightInd w:val="0"/>
        <w:snapToGrid/>
        <w:spacing w:line="520" w:lineRule="exact"/>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府谷县府谷镇人民政府</w:t>
      </w:r>
      <w:r>
        <w:rPr>
          <w:rFonts w:hint="eastAsia" w:ascii="宋体" w:hAnsi="宋体" w:eastAsia="宋体" w:cs="宋体"/>
          <w:color w:val="auto"/>
          <w:sz w:val="24"/>
        </w:rPr>
        <w:t>：</w:t>
      </w:r>
    </w:p>
    <w:p w14:paraId="7B4E0162">
      <w:pPr>
        <w:keepNext w:val="0"/>
        <w:keepLines w:val="0"/>
        <w:pageBreakBefore w:val="0"/>
        <w:widowControl w:val="0"/>
        <w:kinsoku/>
        <w:wordWrap/>
        <w:overflowPunct/>
        <w:topLinePunct w:val="0"/>
        <w:autoSpaceDE w:val="0"/>
        <w:autoSpaceDN w:val="0"/>
        <w:bidi w:val="0"/>
        <w:adjustRightInd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注册于</w:t>
      </w:r>
      <w:r>
        <w:rPr>
          <w:rFonts w:hint="eastAsia" w:ascii="宋体" w:hAnsi="宋体" w:eastAsia="宋体" w:cs="宋体"/>
          <w:color w:val="auto"/>
          <w:sz w:val="24"/>
          <w:u w:val="single"/>
        </w:rPr>
        <w:t xml:space="preserve">            </w:t>
      </w:r>
      <w:r>
        <w:rPr>
          <w:rFonts w:hint="eastAsia" w:ascii="宋体" w:hAnsi="宋体" w:eastAsia="宋体" w:cs="宋体"/>
          <w:color w:val="auto"/>
          <w:sz w:val="24"/>
        </w:rPr>
        <w:t>（工商行政管理局名称）之</w:t>
      </w:r>
      <w:r>
        <w:rPr>
          <w:rFonts w:hint="eastAsia" w:ascii="宋体" w:hAnsi="宋体" w:eastAsia="宋体" w:cs="宋体"/>
          <w:color w:val="auto"/>
          <w:sz w:val="24"/>
          <w:u w:val="single"/>
        </w:rPr>
        <w:t xml:space="preserve">            </w:t>
      </w:r>
      <w:r>
        <w:rPr>
          <w:rFonts w:hint="eastAsia" w:ascii="宋体" w:hAnsi="宋体" w:eastAsia="宋体" w:cs="宋体"/>
          <w:color w:val="auto"/>
          <w:sz w:val="24"/>
        </w:rPr>
        <w:t>（供应商全称）法人代表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（姓名、职务）授权 </w:t>
      </w:r>
      <w:r>
        <w:rPr>
          <w:rFonts w:hint="eastAsia" w:ascii="宋体" w:hAnsi="宋体" w:eastAsia="宋体" w:cs="宋体"/>
          <w:color w:val="auto"/>
          <w:sz w:val="24"/>
          <w:u w:val="single"/>
        </w:rPr>
        <w:t xml:space="preserve">              </w:t>
      </w:r>
      <w:r>
        <w:rPr>
          <w:rFonts w:hint="eastAsia" w:ascii="宋体" w:hAnsi="宋体" w:eastAsia="宋体" w:cs="宋体"/>
          <w:color w:val="auto"/>
          <w:sz w:val="24"/>
        </w:rPr>
        <w:t>（被授权人姓名、职务）为本公司的合法代理人，就本项目的采购活动及合同的执行和完成，以本公司的名义处理一切与之有关的事宜。</w:t>
      </w:r>
    </w:p>
    <w:p w14:paraId="68A72157">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附：全权代表签字：</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p>
    <w:p w14:paraId="34CE01A3">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职    务：</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身份证号码：</w:t>
      </w:r>
      <w:r>
        <w:rPr>
          <w:rFonts w:hint="eastAsia" w:ascii="宋体" w:hAnsi="宋体" w:eastAsia="宋体" w:cs="宋体"/>
          <w:color w:val="auto"/>
          <w:sz w:val="24"/>
          <w:u w:val="single"/>
        </w:rPr>
        <w:t xml:space="preserve">                  </w:t>
      </w:r>
    </w:p>
    <w:p w14:paraId="23BE8176">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通讯地址：</w:t>
      </w:r>
      <w:r>
        <w:rPr>
          <w:rFonts w:hint="eastAsia" w:ascii="宋体" w:hAnsi="宋体" w:eastAsia="宋体" w:cs="宋体"/>
          <w:color w:val="auto"/>
          <w:sz w:val="24"/>
          <w:u w:val="single"/>
        </w:rPr>
        <w:t xml:space="preserve">                                               </w:t>
      </w:r>
    </w:p>
    <w:p w14:paraId="559A3E4E">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u w:val="single"/>
        </w:rPr>
      </w:pPr>
      <w:r>
        <w:rPr>
          <w:rFonts w:hint="eastAsia" w:ascii="宋体" w:hAnsi="宋体" w:eastAsia="宋体" w:cs="宋体"/>
          <w:color w:val="auto"/>
          <w:sz w:val="24"/>
        </w:rPr>
        <w:t>邮政编码：</w:t>
      </w:r>
      <w:r>
        <w:rPr>
          <w:rFonts w:hint="eastAsia" w:ascii="宋体" w:hAnsi="宋体" w:eastAsia="宋体" w:cs="宋体"/>
          <w:color w:val="auto"/>
          <w:sz w:val="24"/>
          <w:u w:val="single"/>
        </w:rPr>
        <w:t xml:space="preserve">                                               </w:t>
      </w:r>
    </w:p>
    <w:p w14:paraId="179AFC61">
      <w:pPr>
        <w:keepNext w:val="0"/>
        <w:keepLines w:val="0"/>
        <w:pageBreakBefore w:val="0"/>
        <w:widowControl w:val="0"/>
        <w:kinsoku/>
        <w:wordWrap/>
        <w:overflowPunct/>
        <w:topLinePunct w:val="0"/>
        <w:bidi w:val="0"/>
        <w:snapToGrid/>
        <w:spacing w:line="52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电    话：</w:t>
      </w:r>
      <w:r>
        <w:rPr>
          <w:rFonts w:hint="eastAsia" w:ascii="宋体" w:hAnsi="宋体" w:eastAsia="宋体" w:cs="宋体"/>
          <w:color w:val="auto"/>
          <w:sz w:val="24"/>
          <w:u w:val="single"/>
        </w:rPr>
        <w:t xml:space="preserve">                       </w:t>
      </w:r>
      <w:r>
        <w:rPr>
          <w:rFonts w:hint="eastAsia" w:ascii="宋体" w:hAnsi="宋体" w:eastAsia="宋体" w:cs="宋体"/>
          <w:color w:val="auto"/>
          <w:sz w:val="24"/>
        </w:rPr>
        <w:t>传 真：</w:t>
      </w:r>
      <w:r>
        <w:rPr>
          <w:rFonts w:hint="eastAsia" w:ascii="宋体" w:hAnsi="宋体" w:eastAsia="宋体" w:cs="宋体"/>
          <w:color w:val="auto"/>
          <w:sz w:val="24"/>
          <w:u w:val="single"/>
        </w:rPr>
        <w:t xml:space="preserve">                 </w:t>
      </w:r>
    </w:p>
    <w:p w14:paraId="51594652">
      <w:pPr>
        <w:keepNext w:val="0"/>
        <w:keepLines w:val="0"/>
        <w:pageBreakBefore w:val="0"/>
        <w:widowControl w:val="0"/>
        <w:shd w:val="clear"/>
        <w:kinsoku/>
        <w:wordWrap/>
        <w:overflowPunct/>
        <w:topLinePunct w:val="0"/>
        <w:autoSpaceDE w:val="0"/>
        <w:autoSpaceDN w:val="0"/>
        <w:bidi w:val="0"/>
        <w:adjustRightInd w:val="0"/>
        <w:snapToGrid/>
        <w:spacing w:line="520" w:lineRule="exact"/>
        <w:ind w:firstLine="480" w:firstLineChars="2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rPr>
        <w:t>法定代表人身份证复印件</w:t>
      </w:r>
      <w:r>
        <w:rPr>
          <w:rFonts w:hint="eastAsia" w:ascii="宋体" w:hAnsi="宋体" w:eastAsia="宋体" w:cs="宋体"/>
          <w:color w:val="auto"/>
          <w:sz w:val="24"/>
          <w:lang w:eastAsia="zh-CN"/>
        </w:rPr>
        <w:t>、</w:t>
      </w:r>
      <w:r>
        <w:rPr>
          <w:rFonts w:hint="eastAsia" w:ascii="宋体" w:hAnsi="宋体" w:eastAsia="宋体" w:cs="宋体"/>
          <w:color w:val="auto"/>
          <w:sz w:val="24"/>
        </w:rPr>
        <w:t>代理人身份证复印件</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代理人的社保经办机构出具的2025年10月、11月、12月份至少一个月的本企业社保缴纳证明材料复印件（五险一金其中一项即可，应可查询）</w:t>
      </w:r>
    </w:p>
    <w:tbl>
      <w:tblPr>
        <w:tblStyle w:val="21"/>
        <w:tblW w:w="0" w:type="auto"/>
        <w:jc w:val="center"/>
        <w:tblLayout w:type="fixed"/>
        <w:tblCellMar>
          <w:top w:w="0" w:type="dxa"/>
          <w:left w:w="108" w:type="dxa"/>
          <w:bottom w:w="0" w:type="dxa"/>
          <w:right w:w="108" w:type="dxa"/>
        </w:tblCellMar>
      </w:tblPr>
      <w:tblGrid>
        <w:gridCol w:w="4149"/>
        <w:gridCol w:w="4541"/>
      </w:tblGrid>
      <w:tr w14:paraId="780EE816">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14:paraId="6F4F983B">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14:paraId="686FA7DB">
            <w:pPr>
              <w:pageBreakBefore w:val="0"/>
              <w:autoSpaceDE w:val="0"/>
              <w:autoSpaceDN w:val="0"/>
              <w:bidi w:val="0"/>
              <w:adjustRightInd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全权代理人身份证复印件</w:t>
            </w:r>
          </w:p>
        </w:tc>
      </w:tr>
    </w:tbl>
    <w:p w14:paraId="1771B6DD">
      <w:pPr>
        <w:pageBreakBefore w:val="0"/>
        <w:autoSpaceDE w:val="0"/>
        <w:autoSpaceDN w:val="0"/>
        <w:bidi w:val="0"/>
        <w:adjustRightInd w:val="0"/>
        <w:spacing w:line="600" w:lineRule="exact"/>
        <w:ind w:firstLine="640"/>
        <w:jc w:val="right"/>
        <w:rPr>
          <w:rFonts w:hint="eastAsia" w:ascii="宋体" w:hAnsi="宋体" w:eastAsia="宋体" w:cs="宋体"/>
          <w:color w:val="auto"/>
          <w:sz w:val="24"/>
        </w:rPr>
      </w:pPr>
      <w:r>
        <w:rPr>
          <w:rFonts w:hint="eastAsia" w:ascii="宋体" w:hAnsi="宋体" w:eastAsia="宋体" w:cs="宋体"/>
          <w:color w:val="auto"/>
          <w:sz w:val="24"/>
        </w:rPr>
        <w:t>本授权有效期（与竞争性磋商文件有效期一致）</w:t>
      </w:r>
    </w:p>
    <w:p w14:paraId="18AFA9DD">
      <w:pPr>
        <w:pageBreakBefore w:val="0"/>
        <w:wordWrap w:val="0"/>
        <w:autoSpaceDE w:val="0"/>
        <w:autoSpaceDN w:val="0"/>
        <w:bidi w:val="0"/>
        <w:adjustRightInd w:val="0"/>
        <w:spacing w:line="600" w:lineRule="exact"/>
        <w:jc w:val="both"/>
        <w:rPr>
          <w:rFonts w:hint="eastAsia" w:ascii="宋体" w:hAnsi="宋体" w:eastAsia="宋体" w:cs="宋体"/>
          <w:color w:val="auto"/>
        </w:rPr>
      </w:pPr>
      <w:r>
        <w:rPr>
          <w:rFonts w:hint="eastAsia" w:ascii="宋体" w:hAnsi="宋体" w:eastAsia="宋体" w:cs="宋体"/>
          <w:color w:val="auto"/>
          <w:sz w:val="24"/>
        </w:rPr>
        <w:t>供应商名称（公章）：</w:t>
      </w:r>
    </w:p>
    <w:p w14:paraId="63832890">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法定代表人（签字</w:t>
      </w:r>
      <w:r>
        <w:rPr>
          <w:rFonts w:hint="eastAsia" w:ascii="宋体" w:hAnsi="宋体" w:eastAsia="宋体" w:cs="宋体"/>
          <w:color w:val="auto"/>
          <w:sz w:val="24"/>
          <w:lang w:val="en-US" w:eastAsia="zh-CN"/>
        </w:rPr>
        <w:t>或</w:t>
      </w:r>
      <w:r>
        <w:rPr>
          <w:rFonts w:hint="eastAsia" w:ascii="宋体" w:hAnsi="宋体" w:eastAsia="宋体" w:cs="宋体"/>
          <w:color w:val="auto"/>
          <w:sz w:val="24"/>
        </w:rPr>
        <w:t xml:space="preserve">盖章）： </w:t>
      </w:r>
    </w:p>
    <w:p w14:paraId="688A25D7">
      <w:pPr>
        <w:pageBreakBefore w:val="0"/>
        <w:autoSpaceDE w:val="0"/>
        <w:autoSpaceDN w:val="0"/>
        <w:bidi w:val="0"/>
        <w:adjustRightInd w:val="0"/>
        <w:spacing w:line="600" w:lineRule="exact"/>
        <w:rPr>
          <w:rFonts w:hint="eastAsia" w:ascii="宋体" w:hAnsi="宋体" w:eastAsia="宋体" w:cs="宋体"/>
          <w:color w:val="auto"/>
          <w:sz w:val="24"/>
        </w:rPr>
      </w:pPr>
      <w:r>
        <w:rPr>
          <w:rFonts w:hint="eastAsia" w:ascii="宋体" w:hAnsi="宋体" w:eastAsia="宋体" w:cs="宋体"/>
          <w:color w:val="auto"/>
          <w:sz w:val="24"/>
        </w:rPr>
        <w:t>年    月    日</w:t>
      </w:r>
    </w:p>
    <w:p w14:paraId="4CF370BF">
      <w:pPr>
        <w:bidi w:val="0"/>
        <w:rPr>
          <w:rFonts w:hint="eastAsia" w:ascii="宋体" w:hAnsi="宋体" w:eastAsia="宋体" w:cs="宋体"/>
          <w:color w:val="auto"/>
          <w:lang w:val="en-US" w:eastAsia="zh-CN"/>
        </w:rPr>
      </w:pPr>
    </w:p>
    <w:p w14:paraId="432F9BA1">
      <w:pPr>
        <w:bidi w:val="0"/>
        <w:rPr>
          <w:rFonts w:hint="default" w:ascii="宋体" w:hAnsi="宋体" w:eastAsia="宋体" w:cs="宋体"/>
          <w:color w:val="auto"/>
          <w:lang w:val="en-US" w:eastAsia="zh-CN"/>
        </w:rPr>
      </w:pPr>
      <w:r>
        <w:rPr>
          <w:rFonts w:hint="eastAsia" w:ascii="宋体" w:hAnsi="宋体" w:eastAsia="宋体" w:cs="宋体"/>
          <w:color w:val="auto"/>
          <w:lang w:val="en-US" w:eastAsia="zh-CN"/>
        </w:rPr>
        <w:t>法定代表人参加无需附此表</w:t>
      </w:r>
    </w:p>
    <w:p w14:paraId="53D15263">
      <w:pPr>
        <w:pStyle w:val="4"/>
        <w:numPr>
          <w:ilvl w:val="0"/>
          <w:numId w:val="4"/>
        </w:numPr>
        <w:bidi w:val="0"/>
        <w:outlineLvl w:val="0"/>
        <w:rPr>
          <w:rFonts w:hint="eastAsia" w:ascii="宋体" w:hAnsi="宋体" w:eastAsia="宋体" w:cs="宋体"/>
          <w:color w:val="auto"/>
          <w:lang w:val="en-US" w:eastAsia="zh-CN"/>
        </w:rPr>
      </w:pPr>
      <w:r>
        <w:rPr>
          <w:rFonts w:hint="eastAsia" w:ascii="宋体" w:hAnsi="宋体" w:eastAsia="宋体" w:cs="宋体"/>
          <w:color w:val="auto"/>
          <w:lang w:val="en-US" w:eastAsia="zh-CN"/>
        </w:rPr>
        <w:br w:type="page"/>
      </w:r>
      <w:bookmarkStart w:id="319" w:name="_Toc15259"/>
      <w:r>
        <w:rPr>
          <w:rFonts w:hint="eastAsia" w:ascii="宋体" w:hAnsi="宋体" w:eastAsia="宋体" w:cs="宋体"/>
          <w:color w:val="auto"/>
          <w:lang w:val="en-US" w:eastAsia="zh-CN"/>
        </w:rPr>
        <w:t xml:space="preserve"> </w:t>
      </w:r>
      <w:bookmarkStart w:id="320" w:name="_Toc29167"/>
      <w:bookmarkStart w:id="321" w:name="_Toc30021"/>
      <w:bookmarkStart w:id="322" w:name="_Toc1491"/>
      <w:r>
        <w:rPr>
          <w:rFonts w:hint="eastAsia" w:ascii="宋体" w:hAnsi="宋体" w:eastAsia="宋体" w:cs="宋体"/>
          <w:color w:val="auto"/>
          <w:lang w:val="en-US" w:eastAsia="zh-CN"/>
        </w:rPr>
        <w:t>资格证明文件</w:t>
      </w:r>
      <w:bookmarkEnd w:id="320"/>
      <w:bookmarkEnd w:id="321"/>
      <w:bookmarkEnd w:id="322"/>
    </w:p>
    <w:p w14:paraId="2351F111">
      <w:pPr>
        <w:adjustRightInd w:val="0"/>
        <w:snapToGrid w:val="0"/>
        <w:spacing w:line="500" w:lineRule="exact"/>
        <w:ind w:right="-20"/>
        <w:jc w:val="left"/>
        <w:rPr>
          <w:rFonts w:hint="eastAsia" w:ascii="宋体" w:hAnsi="宋体" w:eastAsia="宋体" w:cs="宋体"/>
          <w:snapToGrid w:val="0"/>
          <w:color w:val="auto"/>
          <w:kern w:val="0"/>
          <w:szCs w:val="21"/>
          <w:lang w:val="en-US" w:eastAsia="zh-CN"/>
        </w:rPr>
      </w:pPr>
      <w:r>
        <w:rPr>
          <w:rFonts w:hint="eastAsia" w:ascii="宋体" w:hAnsi="宋体" w:eastAsia="宋体" w:cs="宋体"/>
          <w:snapToGrid w:val="0"/>
          <w:color w:val="auto"/>
          <w:kern w:val="0"/>
          <w:szCs w:val="21"/>
          <w:lang w:val="en-US" w:eastAsia="zh-CN"/>
        </w:rPr>
        <w:t>一、满足《中华人民共和国政府采购法》第二十二条规定，提供承诺书；</w:t>
      </w:r>
    </w:p>
    <w:p w14:paraId="555BF045">
      <w:pPr>
        <w:shd w:val="clear"/>
        <w:adjustRightInd w:val="0"/>
        <w:snapToGrid w:val="0"/>
        <w:spacing w:line="500" w:lineRule="exact"/>
        <w:ind w:right="-20"/>
        <w:jc w:val="left"/>
        <w:rPr>
          <w:rFonts w:hint="eastAsia" w:ascii="宋体" w:hAnsi="宋体" w:eastAsia="宋体" w:cs="宋体"/>
          <w:snapToGrid w:val="0"/>
          <w:color w:val="auto"/>
          <w:kern w:val="0"/>
          <w:szCs w:val="21"/>
        </w:rPr>
      </w:pPr>
      <w:r>
        <w:rPr>
          <w:rFonts w:hint="eastAsia" w:ascii="宋体" w:hAnsi="宋体" w:eastAsia="宋体" w:cs="宋体"/>
          <w:snapToGrid w:val="0"/>
          <w:color w:val="auto"/>
          <w:kern w:val="0"/>
          <w:szCs w:val="21"/>
          <w:lang w:val="en-US" w:eastAsia="zh-CN"/>
        </w:rPr>
        <w:t>二、</w:t>
      </w:r>
      <w:r>
        <w:rPr>
          <w:rFonts w:hint="eastAsia" w:ascii="宋体" w:hAnsi="宋体" w:eastAsia="宋体" w:cs="宋体"/>
          <w:snapToGrid w:val="0"/>
          <w:color w:val="auto"/>
          <w:kern w:val="0"/>
          <w:szCs w:val="21"/>
        </w:rPr>
        <w:t>本项目的特定资格要求：</w:t>
      </w:r>
    </w:p>
    <w:p w14:paraId="6A826268">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bookmarkStart w:id="323" w:name="_Toc13084"/>
      <w:bookmarkStart w:id="324" w:name="_Toc24323"/>
      <w:bookmarkStart w:id="325" w:name="_Toc30778"/>
      <w:bookmarkStart w:id="326" w:name="_Toc25999"/>
      <w:r>
        <w:rPr>
          <w:rFonts w:hint="eastAsia" w:asciiTheme="majorEastAsia" w:hAnsiTheme="majorEastAsia" w:eastAsiaTheme="majorEastAsia" w:cstheme="majorEastAsia"/>
          <w:color w:val="auto"/>
          <w:kern w:val="2"/>
          <w:sz w:val="24"/>
          <w:szCs w:val="24"/>
          <w:lang w:val="en-US" w:eastAsia="zh-CN" w:bidi="ar-SA"/>
        </w:rPr>
        <w:t>1、</w:t>
      </w:r>
      <w:r>
        <w:rPr>
          <w:rFonts w:hint="eastAsia" w:asciiTheme="majorEastAsia" w:hAnsiTheme="majorEastAsia" w:eastAsiaTheme="majorEastAsia" w:cstheme="majorEastAsia"/>
          <w:color w:val="auto"/>
          <w:sz w:val="24"/>
          <w:szCs w:val="24"/>
          <w:lang w:eastAsia="zh-CN"/>
        </w:rPr>
        <w:t>供应商具有独立承担民事责任能力的法人、其他组织或自然人，并出具合法有效的营业执照副本（附营业执照的</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lang w:eastAsia="zh-CN"/>
        </w:rPr>
        <w:t>企业年度报告书）或事业单位法人证书等国家规定的相关证明，自然人参与的提供其身份证明；</w:t>
      </w:r>
    </w:p>
    <w:p w14:paraId="0868FDE8">
      <w:pPr>
        <w:pStyle w:val="14"/>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kern w:val="2"/>
          <w:sz w:val="24"/>
          <w:szCs w:val="24"/>
          <w:lang w:val="en-US" w:eastAsia="zh-CN" w:bidi="ar-SA"/>
        </w:rPr>
        <w:t>2、</w:t>
      </w:r>
      <w:r>
        <w:rPr>
          <w:rFonts w:hint="eastAsia" w:ascii="宋体" w:hAnsi="宋体" w:eastAsia="宋体" w:cs="宋体"/>
          <w:color w:val="auto"/>
          <w:sz w:val="24"/>
          <w:szCs w:val="24"/>
          <w:highlight w:val="none"/>
          <w:lang w:val="en-US" w:eastAsia="zh-CN"/>
        </w:rPr>
        <w:t>本项目要求投标人需具备建设行政主管部门颁发的</w:t>
      </w:r>
      <w:r>
        <w:rPr>
          <w:rFonts w:hint="eastAsia" w:hAnsi="宋体" w:eastAsia="宋体" w:cs="宋体"/>
          <w:color w:val="auto"/>
          <w:sz w:val="24"/>
          <w:szCs w:val="24"/>
          <w:highlight w:val="none"/>
          <w:lang w:val="en-US" w:eastAsia="zh-CN"/>
        </w:rPr>
        <w:t>建筑工程施工总承包三级</w:t>
      </w:r>
      <w:r>
        <w:rPr>
          <w:rFonts w:hint="eastAsia" w:ascii="宋体" w:hAnsi="宋体" w:eastAsia="宋体" w:cs="宋体"/>
          <w:color w:val="auto"/>
          <w:sz w:val="24"/>
          <w:szCs w:val="24"/>
          <w:highlight w:val="none"/>
          <w:lang w:val="en-US" w:eastAsia="zh-CN"/>
        </w:rPr>
        <w:t>及其以上资质的独立企业法人，并具备有效的安全生产许可证，并在人员、设备、资金等方面有相应的施工能力。</w:t>
      </w:r>
    </w:p>
    <w:p w14:paraId="196B2320">
      <w:pPr>
        <w:keepNext w:val="0"/>
        <w:keepLines w:val="0"/>
        <w:pageBreakBefore w:val="0"/>
        <w:shd w:val="clear"/>
        <w:kinsoku/>
        <w:wordWrap/>
        <w:overflowPunct/>
        <w:topLinePunct w:val="0"/>
        <w:autoSpaceDE/>
        <w:autoSpaceDN/>
        <w:bidi w:val="0"/>
        <w:adjustRightInd/>
        <w:snapToGrid/>
        <w:spacing w:line="400" w:lineRule="exact"/>
        <w:ind w:firstLine="480" w:firstLineChars="200"/>
        <w:textAlignment w:val="auto"/>
        <w:outlineLvl w:val="9"/>
        <w:rPr>
          <w:rFonts w:hint="eastAsia" w:asciiTheme="majorEastAsia" w:hAnsiTheme="majorEastAsia" w:eastAsiaTheme="majorEastAsia" w:cstheme="majorEastAsia"/>
          <w:color w:val="auto"/>
          <w:sz w:val="24"/>
          <w:szCs w:val="24"/>
          <w:lang w:val="en-US" w:eastAsia="zh-CN"/>
        </w:rPr>
      </w:pPr>
      <w:r>
        <w:rPr>
          <w:rFonts w:hint="eastAsia" w:ascii="宋体" w:hAnsi="宋体" w:eastAsia="宋体" w:cs="宋体"/>
          <w:color w:val="auto"/>
          <w:sz w:val="24"/>
          <w:szCs w:val="24"/>
          <w:highlight w:val="none"/>
          <w:lang w:val="en-US" w:eastAsia="zh-CN"/>
        </w:rPr>
        <w:t>3、拟派往本工程项目负责人需具备建筑工程专业二级及以上注册建造师注册证书和有效的安全生产考核合格证书（建安B证），且未担任其他在建工程项目的项目负责人、</w:t>
      </w:r>
      <w:r>
        <w:rPr>
          <w:rFonts w:hint="eastAsia" w:asciiTheme="majorEastAsia" w:hAnsiTheme="majorEastAsia" w:eastAsiaTheme="majorEastAsia" w:cstheme="majorEastAsia"/>
          <w:color w:val="auto"/>
          <w:sz w:val="24"/>
          <w:szCs w:val="24"/>
          <w:lang w:val="en-US" w:eastAsia="zh-CN"/>
        </w:rPr>
        <w:t>身份证复印件以；</w:t>
      </w:r>
    </w:p>
    <w:p w14:paraId="5C1DAFFE">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eastAsia="zh-CN"/>
        </w:rPr>
      </w:pPr>
      <w:r>
        <w:rPr>
          <w:rFonts w:hint="eastAsia" w:asciiTheme="majorEastAsia" w:hAnsiTheme="majorEastAsia" w:eastAsiaTheme="majorEastAsia" w:cstheme="majorEastAsia"/>
          <w:color w:val="auto"/>
          <w:sz w:val="24"/>
          <w:szCs w:val="24"/>
          <w:lang w:val="en-US" w:eastAsia="zh-CN"/>
        </w:rPr>
        <w:t>4、</w:t>
      </w:r>
      <w:r>
        <w:rPr>
          <w:rFonts w:hint="eastAsia" w:asciiTheme="majorEastAsia" w:hAnsiTheme="majorEastAsia" w:eastAsiaTheme="majorEastAsia" w:cstheme="majorEastAsia"/>
          <w:color w:val="auto"/>
          <w:sz w:val="24"/>
          <w:szCs w:val="24"/>
        </w:rPr>
        <w:t>财务状况报告：财务状况良好，提供</w:t>
      </w:r>
      <w:r>
        <w:rPr>
          <w:rFonts w:hint="eastAsia" w:asciiTheme="majorEastAsia" w:hAnsiTheme="majorEastAsia" w:eastAsiaTheme="majorEastAsia" w:cstheme="majorEastAsia"/>
          <w:color w:val="auto"/>
          <w:sz w:val="24"/>
          <w:szCs w:val="24"/>
          <w:lang w:val="en-US" w:eastAsia="zh-CN"/>
        </w:rPr>
        <w:t>2024年</w:t>
      </w:r>
      <w:r>
        <w:rPr>
          <w:rFonts w:hint="eastAsia" w:asciiTheme="majorEastAsia" w:hAnsiTheme="majorEastAsia" w:eastAsiaTheme="majorEastAsia" w:cstheme="majorEastAsia"/>
          <w:color w:val="auto"/>
          <w:sz w:val="24"/>
          <w:szCs w:val="24"/>
        </w:rPr>
        <w:t>度财务审计报告（公司成立不足一年的需提供基本存款账户开户银行出具的资信证明）；</w:t>
      </w:r>
    </w:p>
    <w:p w14:paraId="1FFF239F">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rPr>
        <w:t>税收缴纳证明：</w:t>
      </w:r>
      <w:r>
        <w:rPr>
          <w:rFonts w:hint="eastAsia" w:asciiTheme="majorEastAsia" w:hAnsiTheme="majorEastAsia" w:eastAsiaTheme="majorEastAsia" w:cstheme="majorEastAsia"/>
          <w:color w:val="auto"/>
          <w:sz w:val="24"/>
          <w:szCs w:val="24"/>
          <w:lang w:eastAsia="zh-CN"/>
        </w:rPr>
        <w:t>提供202</w:t>
      </w:r>
      <w:r>
        <w:rPr>
          <w:rFonts w:hint="eastAsia" w:asciiTheme="majorEastAsia" w:hAnsiTheme="majorEastAsia" w:eastAsiaTheme="majorEastAsia" w:cstheme="majorEastAsia"/>
          <w:color w:val="auto"/>
          <w:sz w:val="24"/>
          <w:szCs w:val="24"/>
          <w:lang w:val="en-US" w:eastAsia="zh-CN"/>
        </w:rPr>
        <w:t>5</w:t>
      </w:r>
      <w:r>
        <w:rPr>
          <w:rFonts w:hint="eastAsia" w:asciiTheme="majorEastAsia" w:hAnsiTheme="majorEastAsia" w:eastAsiaTheme="majorEastAsia" w:cstheme="majorEastAsia"/>
          <w:color w:val="auto"/>
          <w:sz w:val="24"/>
          <w:szCs w:val="24"/>
          <w:lang w:eastAsia="zh-CN"/>
        </w:rPr>
        <w:t>年1月至投标截止时间已缴纳的至少一个月的纳税证明或完税证明，依法免税的单位应提供相关证明材料</w:t>
      </w:r>
      <w:r>
        <w:rPr>
          <w:rFonts w:hint="eastAsia" w:asciiTheme="majorEastAsia" w:hAnsiTheme="majorEastAsia" w:eastAsiaTheme="majorEastAsia" w:cstheme="majorEastAsia"/>
          <w:color w:val="auto"/>
          <w:sz w:val="24"/>
          <w:szCs w:val="24"/>
        </w:rPr>
        <w:t>；</w:t>
      </w:r>
    </w:p>
    <w:p w14:paraId="7C814E15">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6、社会保障资金缴纳证明：提供2025年1月至投标截止时间已缴纳的至少一个月的社会保障资金缴存单据或社保机构开具的社会保险参保缴费情况证明。依法不需要缴纳社会保障资金的供应商应提供相关文件证明；</w:t>
      </w:r>
    </w:p>
    <w:p w14:paraId="0A20D516">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7、信用要求：投标供应商在中国政府采购网（www.ccgp.gov.cn）中未被列入政府采购严重违法失信行为记录名单；投标供应商、法定代表人及拟派本项目的项目负责人在“信用中国”网站（https://www.creditchina.gov.cn/）中未被列入失信被执行人名单，投标供应商提供企业完整信用报告，投标供应商、法定代表人及拟派本项目的项目负责人提供网页查询截图加盖企业原色印章（截图及报告生成时间段为磋商公告发出至递交响应文件截止时间内,投标供应商未被列入失信被执行人名单截图可在其“中国执行信息公开网”网站（http://zxgk.court.gov.cn）中全国范围内查询）。</w:t>
      </w:r>
    </w:p>
    <w:p w14:paraId="2E9DEC9D">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8、书面声明：参加本次政府采购活动前三年内在经营活动中没有重大违法记录的声明函；</w:t>
      </w:r>
    </w:p>
    <w:p w14:paraId="3A659E65">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9、本项目不接受联合体磋商。各供应商单位负责人为同一人或者存在直接控股、管理关系的不同供应商，不得参加同一合同项下的政府采购活动。违反规定的，其投标均无效；</w:t>
      </w:r>
    </w:p>
    <w:p w14:paraId="58B676D9">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10、提供榆林市政府采购工程类项目供应商信用承诺书原件及信用中国（陕西榆林）主动承诺网页截图；</w:t>
      </w:r>
    </w:p>
    <w:p w14:paraId="3EE67381">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11、磋商保证金：用投标信用承诺书代替（提供投标信用承诺书原件及信用中国（陕西榆林）主动承诺网页截图）</w:t>
      </w:r>
    </w:p>
    <w:p w14:paraId="5496167A">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12、本项目专门面 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14:paraId="0EECFA13">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asciiTheme="majorEastAsia" w:hAnsiTheme="majorEastAsia" w:eastAsiaTheme="majorEastAsia" w:cstheme="majorEastAsia"/>
          <w:color w:val="auto"/>
          <w:sz w:val="24"/>
          <w:szCs w:val="24"/>
          <w:lang w:val="en-US" w:eastAsia="zh-CN"/>
        </w:rPr>
      </w:pPr>
      <w:r>
        <w:rPr>
          <w:rFonts w:hint="eastAsia" w:asciiTheme="majorEastAsia" w:hAnsiTheme="majorEastAsia" w:eastAsiaTheme="majorEastAsia" w:cstheme="majorEastAsia"/>
          <w:color w:val="auto"/>
          <w:sz w:val="24"/>
          <w:szCs w:val="24"/>
          <w:lang w:val="en-US" w:eastAsia="zh-CN"/>
        </w:rPr>
        <w:t>13、拟投入项目管理人员情况应配备合理，包括但不限于安全员；</w:t>
      </w:r>
    </w:p>
    <w:p w14:paraId="0A3BC570">
      <w:pPr>
        <w:pStyle w:val="14"/>
        <w:keepNext w:val="0"/>
        <w:keepLines w:val="0"/>
        <w:pageBreakBefore w:val="0"/>
        <w:widowControl w:val="0"/>
        <w:shd w:val="clear"/>
        <w:kinsoku/>
        <w:wordWrap/>
        <w:overflowPunct/>
        <w:topLinePunct w:val="0"/>
        <w:autoSpaceDE/>
        <w:autoSpaceDN/>
        <w:bidi w:val="0"/>
        <w:adjustRightInd/>
        <w:snapToGrid/>
        <w:spacing w:line="440" w:lineRule="exact"/>
        <w:ind w:firstLine="480" w:firstLineChars="200"/>
        <w:jc w:val="left"/>
        <w:textAlignment w:val="auto"/>
        <w:rPr>
          <w:rFonts w:hint="eastAsia"/>
          <w:color w:val="auto"/>
        </w:rPr>
      </w:pPr>
      <w:r>
        <w:rPr>
          <w:rFonts w:hint="eastAsia" w:asciiTheme="majorEastAsia" w:hAnsiTheme="majorEastAsia" w:eastAsiaTheme="majorEastAsia" w:cstheme="majorEastAsia"/>
          <w:color w:val="auto"/>
          <w:sz w:val="24"/>
          <w:szCs w:val="24"/>
          <w:lang w:val="en-US" w:eastAsia="zh-CN"/>
        </w:rPr>
        <w:t>1）安全员应持有有效的安全生产考核合格证书（建安C证）及身份证复印件。</w:t>
      </w:r>
    </w:p>
    <w:p w14:paraId="7A065FEE">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5AED837B">
      <w:pPr>
        <w:adjustRightInd w:val="0"/>
        <w:snapToGrid w:val="0"/>
        <w:spacing w:line="500" w:lineRule="exact"/>
        <w:ind w:left="0" w:leftChars="0" w:right="-20" w:firstLine="480" w:firstLineChars="200"/>
        <w:jc w:val="left"/>
        <w:rPr>
          <w:rFonts w:hint="eastAsia" w:ascii="宋体" w:hAnsi="宋体" w:eastAsia="宋体" w:cs="宋体"/>
          <w:snapToGrid w:val="0"/>
          <w:color w:val="auto"/>
          <w:kern w:val="0"/>
          <w:szCs w:val="21"/>
          <w:lang w:val="en-US" w:eastAsia="zh-CN"/>
        </w:rPr>
      </w:pPr>
    </w:p>
    <w:p w14:paraId="23C8274D">
      <w:pPr>
        <w:pStyle w:val="25"/>
        <w:rPr>
          <w:rFonts w:hint="eastAsia" w:ascii="宋体" w:hAnsi="宋体" w:eastAsia="宋体" w:cs="宋体"/>
          <w:b/>
          <w:bCs/>
          <w:color w:val="auto"/>
          <w:sz w:val="28"/>
          <w:szCs w:val="28"/>
          <w:highlight w:val="none"/>
          <w:lang w:val="en-US" w:eastAsia="zh-CN"/>
        </w:rPr>
      </w:pPr>
    </w:p>
    <w:p w14:paraId="18F58FFD">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0F27D0B1">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42FBDF68">
      <w:pPr>
        <w:pStyle w:val="25"/>
        <w:rPr>
          <w:rFonts w:hint="eastAsia" w:ascii="宋体" w:hAnsi="宋体" w:eastAsia="宋体" w:cs="宋体"/>
          <w:b/>
          <w:bCs/>
          <w:color w:val="auto"/>
          <w:sz w:val="28"/>
          <w:szCs w:val="28"/>
          <w:highlight w:val="none"/>
          <w:lang w:val="en-US" w:eastAsia="zh-CN"/>
        </w:rPr>
      </w:pPr>
    </w:p>
    <w:p w14:paraId="1A2841E9">
      <w:pPr>
        <w:rPr>
          <w:rFonts w:hint="eastAsia" w:ascii="宋体" w:hAnsi="宋体" w:eastAsia="宋体" w:cs="宋体"/>
          <w:color w:val="auto"/>
          <w:lang w:val="en-US" w:eastAsia="zh-CN"/>
        </w:rPr>
      </w:pPr>
    </w:p>
    <w:p w14:paraId="66D50BB2">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3B4F07D">
      <w:pPr>
        <w:pStyle w:val="25"/>
        <w:rPr>
          <w:rFonts w:hint="eastAsia" w:ascii="宋体" w:hAnsi="宋体" w:eastAsia="宋体" w:cs="宋体"/>
          <w:b/>
          <w:bCs/>
          <w:color w:val="auto"/>
          <w:sz w:val="28"/>
          <w:szCs w:val="28"/>
          <w:highlight w:val="none"/>
          <w:lang w:val="en-US" w:eastAsia="zh-CN"/>
        </w:rPr>
      </w:pPr>
    </w:p>
    <w:p w14:paraId="5C4DCBDD">
      <w:pPr>
        <w:rPr>
          <w:rFonts w:hint="eastAsia" w:ascii="宋体" w:hAnsi="宋体" w:eastAsia="宋体" w:cs="宋体"/>
          <w:b/>
          <w:bCs/>
          <w:color w:val="auto"/>
          <w:sz w:val="28"/>
          <w:szCs w:val="28"/>
          <w:highlight w:val="none"/>
          <w:lang w:val="en-US" w:eastAsia="zh-CN"/>
        </w:rPr>
      </w:pPr>
    </w:p>
    <w:p w14:paraId="572BFBA0">
      <w:pPr>
        <w:pStyle w:val="25"/>
        <w:rPr>
          <w:rFonts w:hint="eastAsia" w:ascii="宋体" w:hAnsi="宋体" w:eastAsia="宋体" w:cs="宋体"/>
          <w:color w:val="auto"/>
          <w:lang w:val="en-US" w:eastAsia="zh-CN"/>
        </w:rPr>
      </w:pPr>
    </w:p>
    <w:p w14:paraId="48491D2B">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320ABFCF">
      <w:pPr>
        <w:pageBreakBefore w:val="0"/>
        <w:kinsoku/>
        <w:wordWrap/>
        <w:overflowPunct/>
        <w:topLinePunct w:val="0"/>
        <w:autoSpaceDE/>
        <w:autoSpaceDN/>
        <w:bidi w:val="0"/>
        <w:spacing w:line="560" w:lineRule="exact"/>
        <w:jc w:val="center"/>
        <w:textAlignment w:val="auto"/>
        <w:rPr>
          <w:rFonts w:hint="eastAsia" w:ascii="宋体" w:hAnsi="宋体" w:eastAsia="宋体" w:cs="宋体"/>
          <w:b/>
          <w:bCs/>
          <w:color w:val="auto"/>
          <w:sz w:val="28"/>
          <w:szCs w:val="28"/>
          <w:highlight w:val="none"/>
          <w:lang w:val="en-US" w:eastAsia="zh-CN"/>
        </w:rPr>
      </w:pPr>
    </w:p>
    <w:p w14:paraId="55FA59BC">
      <w:pPr>
        <w:pStyle w:val="25"/>
        <w:ind w:left="0" w:leftChars="0" w:firstLine="0" w:firstLineChars="0"/>
        <w:rPr>
          <w:rFonts w:hint="eastAsia" w:ascii="宋体" w:hAnsi="宋体" w:eastAsia="宋体" w:cs="宋体"/>
          <w:b/>
          <w:bCs/>
          <w:color w:val="auto"/>
          <w:sz w:val="28"/>
          <w:szCs w:val="28"/>
          <w:highlight w:val="none"/>
          <w:lang w:val="en-US" w:eastAsia="zh-CN"/>
        </w:rPr>
      </w:pPr>
    </w:p>
    <w:bookmarkEnd w:id="323"/>
    <w:bookmarkEnd w:id="324"/>
    <w:bookmarkEnd w:id="325"/>
    <w:bookmarkEnd w:id="326"/>
    <w:p w14:paraId="12E4C80C">
      <w:pPr>
        <w:pStyle w:val="31"/>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br w:type="page"/>
      </w:r>
      <w:r>
        <w:rPr>
          <w:rFonts w:hint="eastAsia" w:ascii="宋体" w:hAnsi="宋体" w:eastAsia="宋体" w:cs="宋体"/>
          <w:b/>
          <w:color w:val="auto"/>
          <w:sz w:val="24"/>
          <w:highlight w:val="none"/>
          <w:lang w:eastAsia="zh-CN"/>
        </w:rPr>
        <w:t>附件</w:t>
      </w:r>
      <w:r>
        <w:rPr>
          <w:rFonts w:hint="eastAsia" w:ascii="宋体" w:hAnsi="宋体" w:eastAsia="宋体" w:cs="宋体"/>
          <w:b/>
          <w:color w:val="auto"/>
          <w:sz w:val="24"/>
          <w:highlight w:val="none"/>
          <w:lang w:val="en-US" w:eastAsia="zh-CN"/>
        </w:rPr>
        <w:t>1</w:t>
      </w:r>
    </w:p>
    <w:p w14:paraId="56BA216C">
      <w:pPr>
        <w:widowControl/>
        <w:adjustRightInd w:val="0"/>
        <w:snapToGrid w:val="0"/>
        <w:spacing w:after="200" w:line="360" w:lineRule="auto"/>
        <w:ind w:left="0" w:leftChars="0" w:firstLine="0" w:firstLineChars="0"/>
        <w:jc w:val="center"/>
        <w:rPr>
          <w:rFonts w:hint="eastAsia" w:ascii="宋体" w:hAnsi="宋体" w:eastAsia="宋体" w:cs="宋体"/>
          <w:b/>
          <w:color w:val="auto"/>
          <w:kern w:val="0"/>
          <w:sz w:val="30"/>
          <w:szCs w:val="30"/>
          <w:highlight w:val="none"/>
          <w:lang w:eastAsia="zh-CN"/>
        </w:rPr>
      </w:pPr>
      <w:r>
        <w:rPr>
          <w:rFonts w:hint="eastAsia" w:ascii="宋体" w:hAnsi="宋体" w:eastAsia="宋体" w:cs="宋体"/>
          <w:b/>
          <w:color w:val="auto"/>
          <w:kern w:val="0"/>
          <w:sz w:val="30"/>
          <w:szCs w:val="30"/>
          <w:highlight w:val="none"/>
        </w:rPr>
        <w:t>《中华人民共和国政府采购法》第二十二条承诺</w:t>
      </w:r>
      <w:r>
        <w:rPr>
          <w:rFonts w:hint="eastAsia" w:ascii="宋体" w:hAnsi="宋体" w:eastAsia="宋体" w:cs="宋体"/>
          <w:b/>
          <w:color w:val="auto"/>
          <w:kern w:val="0"/>
          <w:sz w:val="30"/>
          <w:szCs w:val="30"/>
          <w:highlight w:val="none"/>
          <w:lang w:eastAsia="zh-CN"/>
        </w:rPr>
        <w:t>书</w:t>
      </w:r>
    </w:p>
    <w:p w14:paraId="1A3726D2">
      <w:pPr>
        <w:pStyle w:val="6"/>
        <w:numPr>
          <w:ilvl w:val="3"/>
          <w:numId w:val="0"/>
        </w:numPr>
        <w:tabs>
          <w:tab w:val="left" w:pos="864"/>
          <w:tab w:val="clear" w:pos="504"/>
          <w:tab w:val="clear" w:pos="604"/>
        </w:tabs>
        <w:ind w:left="0" w:leftChars="0" w:firstLine="482" w:firstLineChars="200"/>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ascii="宋体" w:hAnsi="宋体" w:eastAsia="宋体" w:cs="宋体"/>
          <w:b/>
          <w:color w:val="auto"/>
          <w:sz w:val="24"/>
          <w:szCs w:val="24"/>
          <w:highlight w:val="none"/>
          <w:u w:val="single"/>
          <w:lang w:val="en-US" w:eastAsia="zh-CN"/>
        </w:rPr>
        <w:t xml:space="preserve">        （采购人）         </w:t>
      </w:r>
    </w:p>
    <w:p w14:paraId="2305AA24">
      <w:pPr>
        <w:rPr>
          <w:rFonts w:hint="eastAsia" w:ascii="宋体" w:hAnsi="宋体" w:eastAsia="宋体" w:cs="宋体"/>
          <w:color w:val="auto"/>
          <w:lang w:val="zh-CN" w:eastAsia="zh-CN"/>
        </w:rPr>
      </w:pPr>
    </w:p>
    <w:p w14:paraId="4D6457AD">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6BEFFD1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0E173EB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2E48E764">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4C478FBF">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41563359">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406C7CD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596FC1D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6260FDE7">
      <w:pPr>
        <w:pStyle w:val="8"/>
        <w:ind w:firstLine="480"/>
        <w:rPr>
          <w:rFonts w:hint="eastAsia" w:ascii="宋体" w:hAnsi="宋体" w:eastAsia="宋体" w:cs="宋体"/>
          <w:color w:val="auto"/>
          <w:sz w:val="24"/>
          <w:highlight w:val="none"/>
          <w:lang w:val="zh-CN"/>
        </w:rPr>
      </w:pPr>
    </w:p>
    <w:p w14:paraId="5927E545">
      <w:pPr>
        <w:ind w:firstLine="3590" w:firstLineChars="1496"/>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p>
    <w:p w14:paraId="23C53FE6">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027E16E4">
      <w:pPr>
        <w:spacing w:line="500" w:lineRule="exact"/>
        <w:ind w:firstLine="570"/>
        <w:textAlignment w:val="baseline"/>
        <w:rPr>
          <w:rFonts w:hint="eastAsia" w:ascii="宋体" w:hAnsi="宋体" w:eastAsia="宋体" w:cs="宋体"/>
          <w:color w:val="auto"/>
          <w:sz w:val="24"/>
        </w:rPr>
      </w:pPr>
    </w:p>
    <w:p w14:paraId="0B58181F">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w:t>
      </w:r>
      <w:r>
        <w:rPr>
          <w:rFonts w:hint="eastAsia" w:ascii="宋体" w:hAnsi="宋体" w:eastAsia="宋体" w:cs="宋体"/>
          <w:color w:val="auto"/>
          <w:sz w:val="24"/>
          <w:lang w:eastAsia="zh-CN"/>
        </w:rPr>
        <w:t>和</w:t>
      </w:r>
      <w:r>
        <w:rPr>
          <w:rFonts w:hint="eastAsia" w:ascii="宋体" w:hAnsi="宋体" w:eastAsia="宋体" w:cs="宋体"/>
          <w:color w:val="auto"/>
          <w:sz w:val="24"/>
        </w:rPr>
        <w:t>盖章）：</w:t>
      </w:r>
      <w:r>
        <w:rPr>
          <w:rFonts w:hint="eastAsia" w:ascii="宋体" w:hAnsi="宋体" w:eastAsia="宋体" w:cs="宋体"/>
          <w:color w:val="auto"/>
          <w:sz w:val="24"/>
          <w:u w:val="single"/>
          <w:lang w:val="en-US" w:eastAsia="zh-CN"/>
        </w:rPr>
        <w:t xml:space="preserve">                         </w:t>
      </w:r>
    </w:p>
    <w:p w14:paraId="4993B19E">
      <w:pPr>
        <w:pStyle w:val="25"/>
        <w:textAlignment w:val="baseline"/>
        <w:rPr>
          <w:rFonts w:hint="eastAsia" w:ascii="宋体" w:hAnsi="宋体" w:eastAsia="宋体" w:cs="宋体"/>
          <w:color w:val="auto"/>
        </w:rPr>
      </w:pPr>
    </w:p>
    <w:p w14:paraId="7CBC7648">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5481DB36">
      <w:pPr>
        <w:pStyle w:val="25"/>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14:paraId="53E28676">
      <w:pPr>
        <w:pStyle w:val="25"/>
        <w:ind w:left="0" w:leftChars="0" w:firstLine="0" w:firstLineChars="0"/>
        <w:rPr>
          <w:rFonts w:hint="eastAsia" w:ascii="宋体" w:hAnsi="宋体" w:eastAsia="宋体" w:cs="宋体"/>
          <w:bCs/>
          <w:color w:val="auto"/>
          <w:sz w:val="24"/>
          <w:szCs w:val="24"/>
          <w:highlight w:val="none"/>
        </w:rPr>
      </w:pPr>
    </w:p>
    <w:p w14:paraId="797EC7B8">
      <w:pPr>
        <w:pStyle w:val="25"/>
        <w:ind w:left="0" w:leftChars="0" w:firstLine="0" w:firstLineChars="0"/>
        <w:rPr>
          <w:rFonts w:hint="eastAsia" w:ascii="宋体" w:hAnsi="宋体" w:eastAsia="宋体" w:cs="宋体"/>
          <w:bCs/>
          <w:color w:val="auto"/>
          <w:sz w:val="24"/>
          <w:szCs w:val="24"/>
          <w:highlight w:val="none"/>
        </w:rPr>
      </w:pPr>
    </w:p>
    <w:p w14:paraId="5FD706AE">
      <w:pPr>
        <w:pStyle w:val="25"/>
        <w:ind w:left="0" w:leftChars="0" w:firstLine="0" w:firstLineChars="0"/>
        <w:rPr>
          <w:rFonts w:hint="eastAsia" w:ascii="宋体" w:hAnsi="宋体" w:eastAsia="宋体" w:cs="宋体"/>
          <w:bCs/>
          <w:color w:val="auto"/>
          <w:sz w:val="24"/>
          <w:szCs w:val="24"/>
          <w:highlight w:val="none"/>
        </w:rPr>
      </w:pPr>
    </w:p>
    <w:p w14:paraId="27551DE4">
      <w:pPr>
        <w:pStyle w:val="25"/>
        <w:ind w:left="0" w:leftChars="0" w:firstLine="0" w:firstLineChars="0"/>
        <w:rPr>
          <w:rFonts w:hint="eastAsia" w:ascii="宋体" w:hAnsi="宋体" w:eastAsia="宋体" w:cs="宋体"/>
          <w:bCs/>
          <w:color w:val="auto"/>
          <w:sz w:val="24"/>
          <w:szCs w:val="24"/>
          <w:highlight w:val="none"/>
        </w:rPr>
      </w:pPr>
    </w:p>
    <w:p w14:paraId="00F6CBB6">
      <w:pPr>
        <w:rPr>
          <w:rFonts w:hint="eastAsia" w:ascii="宋体" w:hAnsi="宋体" w:eastAsia="宋体" w:cs="宋体"/>
          <w:color w:val="auto"/>
        </w:rPr>
      </w:pPr>
    </w:p>
    <w:p w14:paraId="6E85008D">
      <w:pPr>
        <w:pStyle w:val="25"/>
        <w:ind w:left="0" w:leftChars="0" w:firstLine="0" w:firstLineChars="0"/>
        <w:rPr>
          <w:rFonts w:hint="eastAsia" w:ascii="宋体" w:hAnsi="宋体" w:eastAsia="宋体" w:cs="宋体"/>
          <w:bCs/>
          <w:color w:val="auto"/>
          <w:sz w:val="24"/>
          <w:szCs w:val="24"/>
          <w:highlight w:val="none"/>
        </w:rPr>
      </w:pPr>
    </w:p>
    <w:p w14:paraId="0C7826A0">
      <w:pPr>
        <w:pStyle w:val="25"/>
        <w:ind w:left="0" w:leftChars="0" w:firstLine="0" w:firstLineChars="0"/>
        <w:rPr>
          <w:rFonts w:hint="eastAsia" w:ascii="宋体" w:hAnsi="宋体" w:eastAsia="宋体" w:cs="宋体"/>
          <w:bCs/>
          <w:color w:val="auto"/>
          <w:sz w:val="24"/>
          <w:szCs w:val="24"/>
          <w:highlight w:val="none"/>
        </w:rPr>
      </w:pPr>
    </w:p>
    <w:p w14:paraId="7A01A480">
      <w:pPr>
        <w:pStyle w:val="25"/>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14:paraId="5B91EE59">
      <w:pPr>
        <w:pStyle w:val="2"/>
        <w:rPr>
          <w:rFonts w:hint="eastAsia" w:ascii="宋体" w:hAnsi="宋体" w:eastAsia="宋体" w:cs="宋体"/>
          <w:color w:val="auto"/>
        </w:rPr>
      </w:pPr>
    </w:p>
    <w:p w14:paraId="33F16A93">
      <w:pPr>
        <w:numPr>
          <w:ilvl w:val="0"/>
          <w:numId w:val="0"/>
        </w:numPr>
        <w:jc w:val="center"/>
        <w:outlineLvl w:val="0"/>
        <w:rPr>
          <w:rFonts w:hint="eastAsia" w:ascii="宋体" w:hAnsi="宋体" w:eastAsia="宋体" w:cs="宋体"/>
          <w:b/>
          <w:color w:val="auto"/>
          <w:sz w:val="28"/>
          <w:szCs w:val="28"/>
          <w:lang w:val="en-US" w:eastAsia="zh-CN"/>
        </w:rPr>
      </w:pPr>
      <w:bookmarkStart w:id="327" w:name="_Toc29740"/>
      <w:bookmarkStart w:id="328" w:name="_Toc7380"/>
      <w:bookmarkStart w:id="329" w:name="_Toc6898"/>
      <w:bookmarkStart w:id="330" w:name="_Toc1881"/>
      <w:r>
        <w:rPr>
          <w:rFonts w:hint="eastAsia" w:ascii="宋体" w:hAnsi="宋体" w:eastAsia="宋体" w:cs="宋体"/>
          <w:b/>
          <w:color w:val="auto"/>
          <w:sz w:val="28"/>
          <w:szCs w:val="28"/>
          <w:lang w:val="en-US" w:eastAsia="zh-CN"/>
        </w:rPr>
        <w:t>项目负责人无在建项目承诺书</w:t>
      </w:r>
      <w:bookmarkEnd w:id="327"/>
      <w:bookmarkEnd w:id="328"/>
      <w:bookmarkEnd w:id="329"/>
      <w:bookmarkEnd w:id="330"/>
    </w:p>
    <w:p w14:paraId="41E758D1">
      <w:pPr>
        <w:jc w:val="center"/>
        <w:rPr>
          <w:rFonts w:hint="eastAsia" w:ascii="宋体" w:hAnsi="宋体" w:eastAsia="宋体" w:cs="宋体"/>
          <w:color w:val="auto"/>
          <w:sz w:val="32"/>
          <w:szCs w:val="32"/>
        </w:rPr>
      </w:pPr>
    </w:p>
    <w:p w14:paraId="3863587E">
      <w:pPr>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采购</w:t>
      </w:r>
      <w:r>
        <w:rPr>
          <w:rFonts w:hint="eastAsia" w:ascii="宋体" w:hAnsi="宋体" w:eastAsia="宋体" w:cs="宋体"/>
          <w:color w:val="auto"/>
          <w:sz w:val="24"/>
          <w:szCs w:val="24"/>
        </w:rPr>
        <w:t>人名称）：</w:t>
      </w:r>
    </w:p>
    <w:p w14:paraId="45D883FB">
      <w:pPr>
        <w:rPr>
          <w:rFonts w:hint="eastAsia" w:ascii="宋体" w:hAnsi="宋体" w:eastAsia="宋体" w:cs="宋体"/>
          <w:color w:val="auto"/>
          <w:sz w:val="24"/>
          <w:szCs w:val="24"/>
        </w:rPr>
      </w:pPr>
    </w:p>
    <w:p w14:paraId="58ADE21B">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14:paraId="211FF3A3">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14:paraId="7789BBA5">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14:paraId="208F64AD">
      <w:pPr>
        <w:ind w:firstLine="480" w:firstLineChars="200"/>
        <w:rPr>
          <w:rFonts w:hint="eastAsia" w:ascii="宋体" w:hAnsi="宋体" w:eastAsia="宋体" w:cs="宋体"/>
          <w:color w:val="auto"/>
          <w:sz w:val="24"/>
          <w:szCs w:val="24"/>
        </w:rPr>
      </w:pPr>
    </w:p>
    <w:p w14:paraId="38A95433">
      <w:pPr>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lang w:val="en-US" w:eastAsia="zh-CN"/>
        </w:rPr>
        <w:t xml:space="preserve"> </w:t>
      </w:r>
    </w:p>
    <w:p w14:paraId="0F6C637C">
      <w:pPr>
        <w:ind w:firstLine="480" w:firstLineChars="200"/>
        <w:rPr>
          <w:rFonts w:hint="eastAsia" w:ascii="宋体" w:hAnsi="宋体" w:eastAsia="宋体" w:cs="宋体"/>
          <w:color w:val="auto"/>
          <w:sz w:val="24"/>
          <w:highlight w:val="none"/>
        </w:rPr>
      </w:pPr>
    </w:p>
    <w:p w14:paraId="1686EB93">
      <w:pPr>
        <w:ind w:firstLine="480" w:firstLineChars="200"/>
        <w:rPr>
          <w:rFonts w:hint="eastAsia" w:ascii="宋体" w:hAnsi="宋体" w:eastAsia="宋体" w:cs="宋体"/>
          <w:color w:val="auto"/>
          <w:sz w:val="24"/>
          <w:highlight w:val="none"/>
        </w:rPr>
      </w:pPr>
    </w:p>
    <w:p w14:paraId="39EA82D5">
      <w:pPr>
        <w:ind w:firstLine="480" w:firstLineChars="200"/>
        <w:rPr>
          <w:rFonts w:hint="eastAsia" w:ascii="宋体" w:hAnsi="宋体" w:eastAsia="宋体" w:cs="宋体"/>
          <w:color w:val="auto"/>
          <w:sz w:val="24"/>
          <w:highlight w:val="none"/>
        </w:rPr>
      </w:pPr>
    </w:p>
    <w:p w14:paraId="0559CBBE">
      <w:pPr>
        <w:ind w:firstLine="480" w:firstLineChars="200"/>
        <w:rPr>
          <w:rFonts w:hint="eastAsia" w:ascii="宋体" w:hAnsi="宋体" w:eastAsia="宋体" w:cs="宋体"/>
          <w:color w:val="auto"/>
          <w:sz w:val="24"/>
          <w:highlight w:val="none"/>
        </w:rPr>
      </w:pPr>
    </w:p>
    <w:p w14:paraId="284F2DE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供应商名称</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61CB55C1">
      <w:pPr>
        <w:wordWrap w:val="0"/>
        <w:ind w:firstLine="480" w:firstLineChars="200"/>
        <w:jc w:val="right"/>
        <w:rPr>
          <w:rFonts w:hint="eastAsia" w:ascii="宋体" w:hAnsi="宋体" w:eastAsia="宋体" w:cs="宋体"/>
          <w:color w:val="auto"/>
          <w:sz w:val="24"/>
          <w:highlight w:val="none"/>
        </w:rPr>
      </w:pPr>
    </w:p>
    <w:p w14:paraId="1EAC90F7">
      <w:pPr>
        <w:ind w:firstLine="480" w:firstLineChars="200"/>
        <w:jc w:val="right"/>
        <w:rPr>
          <w:rFonts w:hint="eastAsia" w:ascii="宋体" w:hAnsi="宋体" w:eastAsia="宋体" w:cs="宋体"/>
          <w:color w:val="auto"/>
          <w:sz w:val="24"/>
          <w:highlight w:val="none"/>
        </w:rPr>
      </w:pPr>
    </w:p>
    <w:p w14:paraId="41B068A8">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6D99A6CD">
      <w:pPr>
        <w:ind w:firstLine="480" w:firstLineChars="200"/>
        <w:jc w:val="right"/>
        <w:rPr>
          <w:rFonts w:hint="eastAsia" w:ascii="宋体" w:hAnsi="宋体" w:eastAsia="宋体" w:cs="宋体"/>
          <w:color w:val="auto"/>
          <w:sz w:val="24"/>
          <w:highlight w:val="none"/>
        </w:rPr>
      </w:pPr>
    </w:p>
    <w:p w14:paraId="6CAC5ED6">
      <w:pPr>
        <w:ind w:firstLine="480" w:firstLineChars="200"/>
        <w:jc w:val="right"/>
        <w:rPr>
          <w:rFonts w:hint="eastAsia" w:ascii="宋体" w:hAnsi="宋体" w:eastAsia="宋体" w:cs="宋体"/>
          <w:color w:val="auto"/>
          <w:sz w:val="24"/>
          <w:highlight w:val="none"/>
          <w:u w:val="single"/>
        </w:rPr>
      </w:pPr>
    </w:p>
    <w:p w14:paraId="01F0BDA0">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4D565651">
      <w:pPr>
        <w:jc w:val="center"/>
        <w:rPr>
          <w:rFonts w:hint="eastAsia" w:ascii="宋体" w:hAnsi="宋体" w:eastAsia="宋体" w:cs="宋体"/>
          <w:b/>
          <w:color w:val="auto"/>
          <w:sz w:val="24"/>
          <w:highlight w:val="none"/>
        </w:rPr>
      </w:pPr>
    </w:p>
    <w:p w14:paraId="504BE91F">
      <w:pPr>
        <w:rPr>
          <w:rFonts w:hint="eastAsia" w:ascii="宋体" w:hAnsi="宋体" w:eastAsia="宋体" w:cs="宋体"/>
          <w:b/>
          <w:color w:val="auto"/>
          <w:sz w:val="24"/>
          <w:highlight w:val="none"/>
        </w:rPr>
      </w:pPr>
    </w:p>
    <w:p w14:paraId="7F2391EA">
      <w:pPr>
        <w:rPr>
          <w:rFonts w:hint="eastAsia" w:ascii="宋体" w:hAnsi="宋体" w:eastAsia="宋体" w:cs="宋体"/>
          <w:b/>
          <w:color w:val="auto"/>
          <w:sz w:val="24"/>
          <w:highlight w:val="none"/>
        </w:rPr>
      </w:pPr>
    </w:p>
    <w:p w14:paraId="1EF6605F">
      <w:pPr>
        <w:pStyle w:val="31"/>
        <w:jc w:val="left"/>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14:paraId="4A47984E">
      <w:pPr>
        <w:pStyle w:val="31"/>
        <w:jc w:val="center"/>
        <w:rPr>
          <w:rFonts w:hint="eastAsia" w:ascii="宋体" w:hAnsi="宋体" w:eastAsia="宋体" w:cs="宋体"/>
          <w:color w:val="auto"/>
        </w:rPr>
      </w:pPr>
      <w:r>
        <w:rPr>
          <w:rFonts w:hint="eastAsia" w:ascii="宋体" w:hAnsi="宋体" w:eastAsia="宋体" w:cs="宋体"/>
          <w:color w:val="auto"/>
        </w:rPr>
        <w:t>供应商书面声明函</w:t>
      </w:r>
    </w:p>
    <w:p w14:paraId="2040885D">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14:paraId="7B13FDDB">
      <w:pPr>
        <w:spacing w:line="500" w:lineRule="exact"/>
        <w:ind w:right="11" w:firstLine="480" w:firstLineChars="200"/>
        <w:rPr>
          <w:rFonts w:hint="eastAsia" w:ascii="宋体" w:hAnsi="宋体" w:eastAsia="宋体" w:cs="宋体"/>
          <w:color w:val="auto"/>
          <w:sz w:val="24"/>
          <w:highlight w:val="none"/>
        </w:rPr>
      </w:pPr>
    </w:p>
    <w:p w14:paraId="2221F7A3">
      <w:pPr>
        <w:spacing w:line="500" w:lineRule="exact"/>
        <w:ind w:right="11"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u w:val="single"/>
        </w:rPr>
        <w:t xml:space="preserve">项目名称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）的供应商，在此郑重声明：</w:t>
      </w:r>
    </w:p>
    <w:p w14:paraId="04D306A0">
      <w:pPr>
        <w:spacing w:line="500" w:lineRule="exact"/>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1、在参加本次政府采购活动前3年内的经营活动中</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（填“没有”或“有”）重大违法记录。供</w:t>
      </w:r>
      <w:r>
        <w:rPr>
          <w:rFonts w:hint="eastAsia" w:ascii="宋体" w:hAnsi="宋体" w:eastAsia="宋体" w:cs="宋体"/>
          <w:b w:val="0"/>
          <w:bCs w:val="0"/>
          <w:color w:val="auto"/>
          <w:sz w:val="24"/>
          <w:szCs w:val="24"/>
        </w:rPr>
        <w:t>应商在参加政府采购活动前3年内因违法经营被禁止在一定期限内参加政府采购活动，期限届满的，可以参加政府采购活动，但应提供期限届满的证明材料。</w:t>
      </w:r>
    </w:p>
    <w:p w14:paraId="361CD54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（填“未被列入”或“被列入”）失信被执行人名单。</w:t>
      </w:r>
    </w:p>
    <w:p w14:paraId="05F392C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（填“未被列入”或“被列入”）重大税收违法案件当事人名单。</w:t>
      </w:r>
    </w:p>
    <w:p w14:paraId="20B79CC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（填“未被列入”或“被列入”）政府采购严重违法失信行为记录名单。</w:t>
      </w:r>
    </w:p>
    <w:p w14:paraId="798C659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788B7D6A">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357769E4">
      <w:pPr>
        <w:spacing w:line="500" w:lineRule="exact"/>
        <w:ind w:firstLine="480" w:firstLineChars="200"/>
        <w:rPr>
          <w:rFonts w:hint="eastAsia" w:ascii="宋体" w:hAnsi="宋体" w:eastAsia="宋体" w:cs="宋体"/>
          <w:color w:val="auto"/>
          <w:sz w:val="24"/>
          <w:szCs w:val="24"/>
        </w:rPr>
      </w:pPr>
    </w:p>
    <w:p w14:paraId="00CE6613">
      <w:pPr>
        <w:spacing w:line="336" w:lineRule="auto"/>
        <w:jc w:val="both"/>
        <w:rPr>
          <w:rFonts w:hint="eastAsia" w:ascii="宋体" w:hAnsi="宋体" w:eastAsia="宋体" w:cs="宋体"/>
          <w:color w:val="auto"/>
          <w:kern w:val="0"/>
          <w:sz w:val="24"/>
          <w:szCs w:val="24"/>
          <w:lang w:val="zh-CN"/>
        </w:rPr>
      </w:pPr>
    </w:p>
    <w:p w14:paraId="65F748CD">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14:paraId="2951DA96">
      <w:pPr>
        <w:wordWrap w:val="0"/>
        <w:ind w:firstLine="480" w:firstLineChars="200"/>
        <w:jc w:val="right"/>
        <w:rPr>
          <w:rFonts w:hint="eastAsia" w:ascii="宋体" w:hAnsi="宋体" w:eastAsia="宋体" w:cs="宋体"/>
          <w:color w:val="auto"/>
          <w:sz w:val="24"/>
          <w:highlight w:val="none"/>
        </w:rPr>
      </w:pPr>
    </w:p>
    <w:p w14:paraId="441A7C3F">
      <w:pPr>
        <w:ind w:firstLine="480" w:firstLineChars="200"/>
        <w:jc w:val="right"/>
        <w:rPr>
          <w:rFonts w:hint="eastAsia" w:ascii="宋体" w:hAnsi="宋体" w:eastAsia="宋体" w:cs="宋体"/>
          <w:color w:val="auto"/>
          <w:sz w:val="24"/>
          <w:highlight w:val="none"/>
        </w:rPr>
      </w:pPr>
    </w:p>
    <w:p w14:paraId="4166012E">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14:paraId="182D54E7">
      <w:pPr>
        <w:ind w:firstLine="480" w:firstLineChars="200"/>
        <w:jc w:val="right"/>
        <w:rPr>
          <w:rFonts w:hint="eastAsia" w:ascii="宋体" w:hAnsi="宋体" w:eastAsia="宋体" w:cs="宋体"/>
          <w:color w:val="auto"/>
          <w:sz w:val="24"/>
          <w:highlight w:val="none"/>
        </w:rPr>
      </w:pPr>
    </w:p>
    <w:p w14:paraId="73DBD021">
      <w:pPr>
        <w:ind w:firstLine="480" w:firstLineChars="200"/>
        <w:jc w:val="right"/>
        <w:rPr>
          <w:rFonts w:hint="eastAsia" w:ascii="宋体" w:hAnsi="宋体" w:eastAsia="宋体" w:cs="宋体"/>
          <w:color w:val="auto"/>
          <w:sz w:val="24"/>
          <w:highlight w:val="none"/>
          <w:u w:val="single"/>
        </w:rPr>
      </w:pPr>
    </w:p>
    <w:p w14:paraId="3A283B55">
      <w:pPr>
        <w:pStyle w:val="6"/>
        <w:numPr>
          <w:ilvl w:val="3"/>
          <w:numId w:val="0"/>
        </w:numPr>
        <w:ind w:left="375" w:leftChars="0" w:hanging="375" w:firstLineChars="0"/>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14:paraId="1DED055C">
      <w:pPr>
        <w:pStyle w:val="25"/>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14:paraId="6C01D9F7">
      <w:pPr>
        <w:pStyle w:val="31"/>
        <w:jc w:val="left"/>
        <w:rPr>
          <w:rFonts w:hint="eastAsia" w:ascii="宋体" w:hAnsi="宋体" w:eastAsia="宋体" w:cs="宋体"/>
          <w:b/>
          <w:color w:val="auto"/>
          <w:sz w:val="30"/>
          <w:szCs w:val="30"/>
          <w:highlight w:val="none"/>
          <w:lang w:val="en-US" w:eastAsia="zh-CN"/>
        </w:rPr>
      </w:pPr>
      <w:bookmarkStart w:id="331"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14:paraId="0C7856F7">
      <w:pPr>
        <w:pStyle w:val="8"/>
        <w:ind w:left="0" w:leftChars="0" w:firstLine="2711" w:firstLineChars="900"/>
        <w:jc w:val="both"/>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供应商企业关系关联承诺书</w:t>
      </w:r>
    </w:p>
    <w:p w14:paraId="15E96F7C">
      <w:pPr>
        <w:pStyle w:val="8"/>
        <w:ind w:left="0" w:leftChars="0" w:firstLine="0" w:firstLineChars="0"/>
        <w:jc w:val="center"/>
        <w:rPr>
          <w:rFonts w:hint="eastAsia" w:ascii="宋体" w:hAnsi="宋体" w:eastAsia="宋体" w:cs="宋体"/>
          <w:b/>
          <w:color w:val="auto"/>
          <w:kern w:val="0"/>
          <w:sz w:val="30"/>
          <w:szCs w:val="30"/>
          <w:highlight w:val="none"/>
        </w:rPr>
      </w:pPr>
    </w:p>
    <w:p w14:paraId="4B82C768">
      <w:pPr>
        <w:numPr>
          <w:ilvl w:val="0"/>
          <w:numId w:val="0"/>
        </w:numPr>
        <w:autoSpaceDE w:val="0"/>
        <w:autoSpaceDN w:val="0"/>
        <w:adjustRightInd w:val="0"/>
        <w:spacing w:line="480" w:lineRule="auto"/>
        <w:ind w:firstLine="480" w:firstLineChars="200"/>
        <w:rPr>
          <w:rFonts w:hint="eastAsia" w:ascii="宋体" w:hAnsi="宋体" w:eastAsia="宋体" w:cs="宋体"/>
          <w:color w:val="auto"/>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供应商股东及股权证明。</w:t>
      </w:r>
    </w:p>
    <w:p w14:paraId="1A5572A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2、供应商在本项目</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中，不存在与其它供应商负责人为同一人，有控股、管理等关联关系承诺。</w:t>
      </w:r>
    </w:p>
    <w:p w14:paraId="7132FF6D">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2-1、管理关系说明：</w:t>
      </w:r>
    </w:p>
    <w:p w14:paraId="0A70F6B9">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我单位管理的具有独立法人的下属单位有：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4096188">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我单位的上级管理单位有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21779B8F">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2-2、股权关系说明：</w:t>
      </w:r>
    </w:p>
    <w:p w14:paraId="315C1F8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我单位控股的单位有</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7F4A7AA">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单位控股。</w:t>
      </w:r>
    </w:p>
    <w:p w14:paraId="0EFA28B0">
      <w:pPr>
        <w:autoSpaceDE w:val="0"/>
        <w:autoSpaceDN w:val="0"/>
        <w:adjustRightInd w:val="0"/>
        <w:spacing w:line="48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2-3、单位负责人：</w:t>
      </w:r>
      <w:r>
        <w:rPr>
          <w:rFonts w:hint="eastAsia" w:ascii="宋体" w:hAnsi="宋体" w:eastAsia="宋体" w:cs="宋体"/>
          <w:color w:val="auto"/>
          <w:sz w:val="24"/>
          <w:szCs w:val="24"/>
          <w:highlight w:val="none"/>
          <w:u w:val="none"/>
          <w:lang w:val="en-US" w:eastAsia="zh-CN"/>
        </w:rPr>
        <w:t xml:space="preserve"> </w:t>
      </w:r>
    </w:p>
    <w:p w14:paraId="3BD13BDC">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3、其他与本项目有关的利害关系说明：</w:t>
      </w:r>
    </w:p>
    <w:p w14:paraId="58D10D7B">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p>
    <w:p w14:paraId="64366135">
      <w:pPr>
        <w:autoSpaceDE w:val="0"/>
        <w:autoSpaceDN w:val="0"/>
        <w:adjustRightInd w:val="0"/>
        <w:spacing w:line="48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我单位承诺以上说明真实有效，无虚假内容或隐瞒。</w:t>
      </w:r>
    </w:p>
    <w:p w14:paraId="69C0EBEF">
      <w:pPr>
        <w:autoSpaceDE w:val="0"/>
        <w:autoSpaceDN w:val="0"/>
        <w:adjustRightInd w:val="0"/>
        <w:spacing w:line="480" w:lineRule="auto"/>
        <w:rPr>
          <w:rFonts w:hint="eastAsia" w:ascii="宋体" w:hAnsi="宋体" w:eastAsia="宋体" w:cs="宋体"/>
          <w:color w:val="auto"/>
          <w:sz w:val="24"/>
          <w:szCs w:val="24"/>
          <w:highlight w:val="none"/>
        </w:rPr>
      </w:pPr>
    </w:p>
    <w:p w14:paraId="4CD3DE2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lang w:val="en-US" w:eastAsia="zh-CN"/>
        </w:rPr>
        <w:t>磋商</w:t>
      </w:r>
      <w:r>
        <w:rPr>
          <w:rFonts w:hint="eastAsia" w:ascii="宋体" w:hAnsi="宋体" w:eastAsia="宋体" w:cs="宋体"/>
          <w:color w:val="auto"/>
          <w:sz w:val="24"/>
        </w:rPr>
        <w:t>供应商全称（公章）：</w:t>
      </w:r>
      <w:r>
        <w:rPr>
          <w:rFonts w:hint="eastAsia" w:ascii="宋体" w:hAnsi="宋体" w:eastAsia="宋体" w:cs="宋体"/>
          <w:color w:val="auto"/>
          <w:sz w:val="24"/>
          <w:u w:val="single"/>
          <w:lang w:val="en-US" w:eastAsia="zh-CN"/>
        </w:rPr>
        <w:t xml:space="preserve">                                     </w:t>
      </w:r>
    </w:p>
    <w:p w14:paraId="39C802D3">
      <w:pPr>
        <w:spacing w:line="500" w:lineRule="exact"/>
        <w:ind w:firstLine="570"/>
        <w:textAlignment w:val="baseline"/>
        <w:rPr>
          <w:rFonts w:hint="eastAsia" w:ascii="宋体" w:hAnsi="宋体" w:eastAsia="宋体" w:cs="宋体"/>
          <w:color w:val="auto"/>
          <w:sz w:val="24"/>
        </w:rPr>
      </w:pPr>
    </w:p>
    <w:p w14:paraId="0372DD56">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31C3E29C">
      <w:pPr>
        <w:pStyle w:val="25"/>
        <w:textAlignment w:val="baseline"/>
        <w:rPr>
          <w:rFonts w:hint="eastAsia" w:ascii="宋体" w:hAnsi="宋体" w:eastAsia="宋体" w:cs="宋体"/>
          <w:color w:val="auto"/>
        </w:rPr>
      </w:pPr>
    </w:p>
    <w:p w14:paraId="7F3808A7">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bookmarkEnd w:id="331"/>
    <w:p w14:paraId="63705B31">
      <w:pPr>
        <w:numPr>
          <w:ilvl w:val="0"/>
          <w:numId w:val="0"/>
        </w:numPr>
        <w:spacing w:line="500" w:lineRule="exact"/>
        <w:jc w:val="left"/>
        <w:rPr>
          <w:rFonts w:hint="eastAsia" w:ascii="宋体" w:hAnsi="宋体" w:eastAsia="宋体" w:cs="宋体"/>
          <w:b/>
          <w:color w:val="auto"/>
          <w:sz w:val="24"/>
          <w:highlight w:val="none"/>
          <w:lang w:eastAsia="zh-CN"/>
        </w:rPr>
      </w:pPr>
    </w:p>
    <w:p w14:paraId="3A81CDFF">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14:paraId="60C983C0">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14:paraId="5807E3EC">
      <w:pPr>
        <w:spacing w:line="500" w:lineRule="exact"/>
        <w:jc w:val="center"/>
        <w:rPr>
          <w:rFonts w:hint="eastAsia" w:ascii="宋体" w:hAnsi="宋体" w:eastAsia="宋体" w:cs="宋体"/>
          <w:color w:val="auto"/>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lang w:eastAsia="zh-CN"/>
        </w:rPr>
        <w:t>）</w:t>
      </w:r>
    </w:p>
    <w:p w14:paraId="00570A2E">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sz w:val="24"/>
          <w:szCs w:val="24"/>
        </w:rPr>
        <w:t>本公司（联合体）郑重声明，根据《政府采购促进中小企业发展管理办法》（财库﹝2020﹞46 号）的规定，本公司（联合体）参加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14:paraId="351DD3DB">
      <w:pPr>
        <w:pStyle w:val="20"/>
        <w:numPr>
          <w:ilvl w:val="0"/>
          <w:numId w:val="5"/>
        </w:numPr>
        <w:spacing w:line="500" w:lineRule="exact"/>
        <w:ind w:firstLine="183"/>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14:paraId="5E346566">
      <w:pPr>
        <w:pStyle w:val="20"/>
        <w:numPr>
          <w:ilvl w:val="0"/>
          <w:numId w:val="5"/>
        </w:numPr>
        <w:spacing w:line="500" w:lineRule="exact"/>
        <w:ind w:left="0" w:leftChars="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14:paraId="4C526F70">
      <w:pPr>
        <w:pStyle w:val="20"/>
        <w:numPr>
          <w:ilvl w:val="0"/>
          <w:numId w:val="0"/>
        </w:numPr>
        <w:spacing w:line="500" w:lineRule="exact"/>
        <w:ind w:left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7FAF0987">
      <w:pPr>
        <w:pStyle w:val="20"/>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14:paraId="2E950AED">
      <w:pPr>
        <w:pStyle w:val="20"/>
        <w:numPr>
          <w:ilvl w:val="0"/>
          <w:numId w:val="0"/>
        </w:numPr>
        <w:spacing w:line="500" w:lineRule="exact"/>
        <w:ind w:leftChars="1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14:paraId="4ECEC5AF">
      <w:pPr>
        <w:pStyle w:val="20"/>
        <w:numPr>
          <w:ilvl w:val="0"/>
          <w:numId w:val="0"/>
        </w:numPr>
        <w:spacing w:line="500" w:lineRule="exact"/>
        <w:ind w:leftChars="100" w:firstLine="6480" w:firstLineChars="2700"/>
        <w:rPr>
          <w:rFonts w:hint="eastAsia" w:ascii="宋体" w:hAnsi="宋体" w:eastAsia="宋体" w:cs="宋体"/>
          <w:color w:val="auto"/>
          <w:sz w:val="24"/>
          <w:szCs w:val="24"/>
        </w:rPr>
      </w:pPr>
    </w:p>
    <w:p w14:paraId="1316D1E9">
      <w:pPr>
        <w:pStyle w:val="20"/>
        <w:numPr>
          <w:ilvl w:val="0"/>
          <w:numId w:val="0"/>
        </w:numPr>
        <w:spacing w:line="500" w:lineRule="exact"/>
        <w:ind w:leftChars="100" w:firstLine="6480" w:firstLineChars="2700"/>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14:paraId="6DAB68CF">
      <w:pPr>
        <w:pStyle w:val="20"/>
        <w:numPr>
          <w:ilvl w:val="0"/>
          <w:numId w:val="0"/>
        </w:numPr>
        <w:spacing w:line="500" w:lineRule="exact"/>
        <w:ind w:leftChars="100" w:firstLine="6480" w:firstLineChars="27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lang w:eastAsia="zh-CN"/>
        </w:rPr>
        <w:t>：</w:t>
      </w:r>
    </w:p>
    <w:p w14:paraId="6F286A10">
      <w:pPr>
        <w:tabs>
          <w:tab w:val="left" w:pos="5670"/>
        </w:tabs>
        <w:spacing w:line="500" w:lineRule="exact"/>
        <w:ind w:firstLine="566"/>
        <w:rPr>
          <w:rFonts w:hint="eastAsia" w:ascii="宋体" w:hAnsi="宋体" w:eastAsia="宋体" w:cs="宋体"/>
          <w:color w:val="auto"/>
          <w:sz w:val="24"/>
          <w:szCs w:val="24"/>
        </w:rPr>
      </w:pPr>
    </w:p>
    <w:p w14:paraId="21D77522">
      <w:pPr>
        <w:tabs>
          <w:tab w:val="left" w:pos="5670"/>
        </w:tabs>
        <w:spacing w:line="500" w:lineRule="exact"/>
        <w:ind w:firstLine="566"/>
        <w:rPr>
          <w:rFonts w:hint="eastAsia" w:ascii="宋体" w:hAnsi="宋体" w:eastAsia="宋体" w:cs="宋体"/>
          <w:color w:val="auto"/>
          <w:sz w:val="24"/>
          <w:szCs w:val="24"/>
        </w:rPr>
      </w:pPr>
      <w:r>
        <w:rPr>
          <w:rFonts w:hint="eastAsia" w:ascii="宋体" w:hAnsi="宋体" w:eastAsia="宋体" w:cs="宋体"/>
          <w:color w:val="auto"/>
          <w:sz w:val="24"/>
          <w:szCs w:val="24"/>
        </w:rPr>
        <w:t>备注：从业人员、营业收入、资产总额填报上一年度数据，无上一年度数据的新成立企业可不填报。</w:t>
      </w:r>
    </w:p>
    <w:p w14:paraId="2A55430D">
      <w:pPr>
        <w:tabs>
          <w:tab w:val="left" w:pos="5670"/>
        </w:tabs>
        <w:spacing w:line="500" w:lineRule="exact"/>
        <w:ind w:firstLine="566"/>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14:paraId="549E20FB">
      <w:pPr>
        <w:pStyle w:val="4"/>
        <w:outlineLvl w:val="9"/>
        <w:rPr>
          <w:rFonts w:hint="eastAsia" w:ascii="宋体" w:hAnsi="宋体" w:eastAsia="宋体" w:cs="宋体"/>
          <w:color w:val="auto"/>
          <w:sz w:val="28"/>
          <w:szCs w:val="28"/>
        </w:rPr>
      </w:pPr>
    </w:p>
    <w:p w14:paraId="531FAB25">
      <w:pPr>
        <w:numPr>
          <w:ilvl w:val="0"/>
          <w:numId w:val="0"/>
        </w:numPr>
        <w:spacing w:line="500" w:lineRule="exact"/>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14:paraId="3F39FA3D">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6</w:t>
      </w:r>
    </w:p>
    <w:p w14:paraId="11F8FA65">
      <w:pPr>
        <w:pStyle w:val="4"/>
        <w:numPr>
          <w:ilvl w:val="0"/>
          <w:numId w:val="0"/>
        </w:numPr>
        <w:ind w:leftChars="0"/>
        <w:jc w:val="both"/>
        <w:outlineLvl w:val="9"/>
        <w:rPr>
          <w:rFonts w:hint="eastAsia" w:ascii="宋体" w:hAnsi="宋体" w:eastAsia="宋体" w:cs="宋体"/>
          <w:color w:val="auto"/>
          <w:sz w:val="24"/>
          <w:szCs w:val="24"/>
          <w:lang w:val="en-US" w:eastAsia="zh-CN"/>
        </w:rPr>
      </w:pPr>
    </w:p>
    <w:p w14:paraId="24480070">
      <w:pPr>
        <w:pStyle w:val="5"/>
        <w:bidi w:val="0"/>
        <w:jc w:val="center"/>
        <w:rPr>
          <w:rFonts w:hint="eastAsia" w:ascii="宋体" w:hAnsi="宋体" w:eastAsia="宋体" w:cs="宋体"/>
          <w:b/>
          <w:bCs w:val="0"/>
          <w:color w:val="auto"/>
          <w:kern w:val="2"/>
          <w:sz w:val="28"/>
          <w:szCs w:val="28"/>
          <w:lang w:val="en-US" w:eastAsia="zh-CN" w:bidi="ar-SA"/>
        </w:rPr>
      </w:pPr>
      <w:r>
        <w:rPr>
          <w:rFonts w:hint="eastAsia" w:ascii="宋体" w:hAnsi="宋体" w:eastAsia="宋体" w:cs="宋体"/>
          <w:b/>
          <w:bCs w:val="0"/>
          <w:color w:val="auto"/>
          <w:kern w:val="2"/>
          <w:sz w:val="28"/>
          <w:szCs w:val="28"/>
          <w:lang w:val="en-US" w:eastAsia="zh-CN" w:bidi="ar-SA"/>
        </w:rPr>
        <w:t>具有履行合同所必需的设备和专业技术能力的承诺函</w:t>
      </w:r>
    </w:p>
    <w:p w14:paraId="5B849EAF">
      <w:pPr>
        <w:spacing w:line="480" w:lineRule="auto"/>
        <w:rPr>
          <w:rFonts w:hint="eastAsia" w:ascii="宋体" w:hAnsi="宋体" w:eastAsia="宋体" w:cs="宋体"/>
          <w:b/>
          <w:color w:val="auto"/>
          <w:sz w:val="24"/>
          <w:szCs w:val="24"/>
          <w:highlight w:val="none"/>
        </w:rPr>
      </w:pPr>
    </w:p>
    <w:p w14:paraId="41920C33">
      <w:pPr>
        <w:spacing w:line="480" w:lineRule="auto"/>
        <w:rPr>
          <w:rFonts w:hint="eastAsia" w:ascii="宋体" w:hAnsi="宋体" w:eastAsia="宋体" w:cs="宋体"/>
          <w:b/>
          <w:color w:val="auto"/>
          <w:sz w:val="24"/>
          <w:szCs w:val="24"/>
          <w:highlight w:val="none"/>
          <w:u w:val="single"/>
          <w:lang w:val="en-US" w:eastAsia="zh-CN"/>
        </w:rPr>
      </w:pPr>
      <w:r>
        <w:rPr>
          <w:rFonts w:hint="eastAsia" w:ascii="宋体" w:hAnsi="宋体" w:eastAsia="宋体" w:cs="宋体"/>
          <w:b/>
          <w:color w:val="auto"/>
          <w:sz w:val="24"/>
          <w:szCs w:val="24"/>
          <w:highlight w:val="none"/>
        </w:rPr>
        <w:t>致：</w:t>
      </w:r>
      <w:r>
        <w:rPr>
          <w:rFonts w:hint="eastAsia" w:cs="宋体"/>
          <w:b/>
          <w:color w:val="auto"/>
          <w:sz w:val="24"/>
          <w:szCs w:val="24"/>
          <w:highlight w:val="none"/>
          <w:lang w:eastAsia="zh-CN"/>
        </w:rPr>
        <w:t>府谷县府谷镇人民政府</w:t>
      </w:r>
    </w:p>
    <w:p w14:paraId="07F9190A">
      <w:pPr>
        <w:spacing w:line="480" w:lineRule="auto"/>
        <w:ind w:firstLine="48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sz w:val="24"/>
          <w:szCs w:val="24"/>
        </w:rPr>
        <w:t>我公司在完全理解本项目的</w:t>
      </w:r>
      <w:r>
        <w:rPr>
          <w:rFonts w:hint="eastAsia" w:ascii="宋体" w:hAnsi="宋体" w:eastAsia="宋体" w:cs="宋体"/>
          <w:color w:val="auto"/>
          <w:sz w:val="24"/>
          <w:szCs w:val="24"/>
          <w:lang w:eastAsia="zh-CN"/>
        </w:rPr>
        <w:t>商务及</w:t>
      </w:r>
      <w:r>
        <w:rPr>
          <w:rFonts w:hint="eastAsia" w:ascii="宋体" w:hAnsi="宋体" w:eastAsia="宋体" w:cs="宋体"/>
          <w:color w:val="auto"/>
          <w:sz w:val="24"/>
          <w:szCs w:val="24"/>
        </w:rPr>
        <w:t>技术要求、条款及其他内容后, 决定参与该项目的投标活动。</w:t>
      </w:r>
      <w:r>
        <w:rPr>
          <w:rFonts w:hint="eastAsia" w:ascii="宋体" w:hAnsi="宋体" w:eastAsia="宋体" w:cs="宋体"/>
          <w:color w:val="auto"/>
          <w:kern w:val="0"/>
          <w:sz w:val="24"/>
          <w:szCs w:val="24"/>
          <w:highlight w:val="none"/>
          <w:lang w:val="en-US" w:eastAsia="zh-CN" w:bidi="ar-SA"/>
        </w:rPr>
        <w:t>我公司承诺完全满足本项目务要求、可以满足本合同的履行。</w:t>
      </w:r>
    </w:p>
    <w:p w14:paraId="7156938D">
      <w:pPr>
        <w:spacing w:line="480" w:lineRule="auto"/>
        <w:ind w:firstLine="480"/>
        <w:rPr>
          <w:rFonts w:hint="eastAsia" w:ascii="宋体" w:hAnsi="宋体" w:eastAsia="宋体" w:cs="宋体"/>
          <w:color w:val="auto"/>
          <w:sz w:val="24"/>
          <w:szCs w:val="24"/>
        </w:rPr>
      </w:pPr>
      <w:r>
        <w:rPr>
          <w:rFonts w:hint="eastAsia" w:ascii="宋体" w:hAnsi="宋体" w:eastAsia="宋体" w:cs="宋体"/>
          <w:color w:val="auto"/>
          <w:kern w:val="0"/>
          <w:sz w:val="24"/>
          <w:szCs w:val="24"/>
          <w:highlight w:val="none"/>
          <w:lang w:val="en-US" w:eastAsia="zh-CN" w:bidi="ar-SA"/>
        </w:rPr>
        <w:t>我公司承诺具有的专业技术能力（充足的专业技术人员队伍、雄厚的资金、丰富的实践工作经验等）完全满足本项目要求、可以满足本合同的履行。</w:t>
      </w:r>
      <w:r>
        <w:rPr>
          <w:rFonts w:hint="eastAsia" w:ascii="宋体" w:hAnsi="宋体" w:eastAsia="宋体" w:cs="宋体"/>
          <w:color w:val="auto"/>
          <w:sz w:val="24"/>
          <w:szCs w:val="24"/>
        </w:rPr>
        <w:t>本公司对上述承诺的真实性负责。如有虚假,我公司同意按我方合同违约处理,并依法承担相应法律责任。</w:t>
      </w:r>
    </w:p>
    <w:p w14:paraId="59429C47">
      <w:pPr>
        <w:spacing w:line="360" w:lineRule="auto"/>
        <w:ind w:firstLine="480"/>
        <w:rPr>
          <w:rFonts w:hint="eastAsia" w:ascii="宋体" w:hAnsi="宋体" w:eastAsia="宋体" w:cs="宋体"/>
          <w:color w:val="auto"/>
          <w:kern w:val="0"/>
          <w:sz w:val="24"/>
          <w:szCs w:val="24"/>
          <w:highlight w:val="none"/>
          <w:lang w:val="en-US" w:eastAsia="zh-CN" w:bidi="ar-SA"/>
        </w:rPr>
      </w:pPr>
    </w:p>
    <w:p w14:paraId="5820C9F0">
      <w:pPr>
        <w:pStyle w:val="25"/>
        <w:rPr>
          <w:rFonts w:hint="eastAsia" w:ascii="宋体" w:hAnsi="宋体" w:eastAsia="宋体" w:cs="宋体"/>
          <w:color w:val="auto"/>
          <w:kern w:val="0"/>
          <w:sz w:val="24"/>
          <w:szCs w:val="24"/>
          <w:highlight w:val="none"/>
          <w:lang w:val="en-US" w:eastAsia="zh-CN" w:bidi="ar-SA"/>
        </w:rPr>
      </w:pPr>
    </w:p>
    <w:p w14:paraId="39F6A887">
      <w:pPr>
        <w:pStyle w:val="25"/>
        <w:rPr>
          <w:rFonts w:hint="eastAsia" w:ascii="宋体" w:hAnsi="宋体" w:eastAsia="宋体" w:cs="宋体"/>
          <w:color w:val="auto"/>
          <w:kern w:val="0"/>
          <w:sz w:val="24"/>
          <w:szCs w:val="24"/>
          <w:highlight w:val="none"/>
          <w:lang w:val="en-US" w:eastAsia="zh-CN" w:bidi="ar-SA"/>
        </w:rPr>
      </w:pPr>
    </w:p>
    <w:p w14:paraId="40E81005">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全称（公章）：</w:t>
      </w:r>
      <w:r>
        <w:rPr>
          <w:rFonts w:hint="eastAsia" w:ascii="宋体" w:hAnsi="宋体" w:eastAsia="宋体" w:cs="宋体"/>
          <w:color w:val="auto"/>
          <w:sz w:val="24"/>
          <w:szCs w:val="24"/>
          <w:u w:val="single"/>
          <w:lang w:val="en-US" w:eastAsia="zh-CN"/>
        </w:rPr>
        <w:t xml:space="preserve">                                         </w:t>
      </w:r>
    </w:p>
    <w:p w14:paraId="3BD1AE47">
      <w:pPr>
        <w:spacing w:line="500" w:lineRule="exact"/>
        <w:ind w:firstLine="570"/>
        <w:textAlignment w:val="baseline"/>
        <w:rPr>
          <w:rFonts w:hint="eastAsia" w:ascii="宋体" w:hAnsi="宋体" w:eastAsia="宋体" w:cs="宋体"/>
          <w:color w:val="auto"/>
          <w:sz w:val="24"/>
          <w:szCs w:val="24"/>
        </w:rPr>
      </w:pPr>
    </w:p>
    <w:p w14:paraId="78ABE75D">
      <w:pPr>
        <w:spacing w:line="500" w:lineRule="exact"/>
        <w:ind w:firstLine="570"/>
        <w:textAlignment w:val="baseline"/>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法定代表人或</w:t>
      </w:r>
      <w:r>
        <w:rPr>
          <w:rFonts w:hint="eastAsia" w:ascii="宋体" w:hAnsi="宋体" w:eastAsia="宋体" w:cs="宋体"/>
          <w:color w:val="auto"/>
          <w:sz w:val="24"/>
          <w:szCs w:val="24"/>
          <w:lang w:eastAsia="zh-CN"/>
        </w:rPr>
        <w:t>被授权人</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签字或盖章</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11927417">
      <w:pPr>
        <w:pStyle w:val="25"/>
        <w:textAlignment w:val="baseline"/>
        <w:rPr>
          <w:rFonts w:hint="eastAsia" w:ascii="宋体" w:hAnsi="宋体" w:eastAsia="宋体" w:cs="宋体"/>
          <w:color w:val="auto"/>
          <w:sz w:val="24"/>
          <w:szCs w:val="24"/>
        </w:rPr>
      </w:pPr>
    </w:p>
    <w:p w14:paraId="72D74F39">
      <w:pPr>
        <w:spacing w:line="500" w:lineRule="exact"/>
        <w:ind w:firstLine="570"/>
        <w:textAlignment w:val="baseline"/>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609DACCB">
      <w:pPr>
        <w:numPr>
          <w:ilvl w:val="0"/>
          <w:numId w:val="0"/>
        </w:numPr>
        <w:spacing w:line="500" w:lineRule="exact"/>
        <w:jc w:val="left"/>
        <w:rPr>
          <w:rFonts w:hint="eastAsia" w:ascii="宋体" w:hAnsi="宋体" w:eastAsia="宋体" w:cs="宋体"/>
          <w:b/>
          <w:color w:val="auto"/>
          <w:sz w:val="24"/>
          <w:highlight w:val="none"/>
          <w:lang w:eastAsia="zh-CN"/>
        </w:rPr>
      </w:pPr>
    </w:p>
    <w:p w14:paraId="7708C2B0">
      <w:pPr>
        <w:numPr>
          <w:ilvl w:val="0"/>
          <w:numId w:val="0"/>
        </w:numPr>
        <w:spacing w:line="500" w:lineRule="exact"/>
        <w:jc w:val="left"/>
        <w:rPr>
          <w:rFonts w:hint="eastAsia" w:ascii="宋体" w:hAnsi="宋体" w:eastAsia="宋体" w:cs="宋体"/>
          <w:b/>
          <w:color w:val="auto"/>
          <w:sz w:val="24"/>
          <w:highlight w:val="none"/>
          <w:lang w:eastAsia="zh-CN"/>
        </w:rPr>
      </w:pPr>
    </w:p>
    <w:p w14:paraId="6A39CC77">
      <w:pPr>
        <w:numPr>
          <w:ilvl w:val="0"/>
          <w:numId w:val="0"/>
        </w:numPr>
        <w:spacing w:line="500" w:lineRule="exact"/>
        <w:jc w:val="left"/>
        <w:rPr>
          <w:rFonts w:hint="eastAsia" w:ascii="宋体" w:hAnsi="宋体" w:eastAsia="宋体" w:cs="宋体"/>
          <w:b/>
          <w:color w:val="auto"/>
          <w:sz w:val="24"/>
          <w:highlight w:val="none"/>
          <w:lang w:eastAsia="zh-CN"/>
        </w:rPr>
      </w:pPr>
    </w:p>
    <w:p w14:paraId="7E102D61">
      <w:pPr>
        <w:numPr>
          <w:ilvl w:val="0"/>
          <w:numId w:val="0"/>
        </w:numPr>
        <w:spacing w:line="500" w:lineRule="exact"/>
        <w:jc w:val="left"/>
        <w:rPr>
          <w:rFonts w:hint="eastAsia" w:ascii="宋体" w:hAnsi="宋体" w:eastAsia="宋体" w:cs="宋体"/>
          <w:b/>
          <w:color w:val="auto"/>
          <w:sz w:val="24"/>
          <w:highlight w:val="none"/>
          <w:lang w:eastAsia="zh-CN"/>
        </w:rPr>
      </w:pPr>
    </w:p>
    <w:p w14:paraId="41B7ED56">
      <w:pPr>
        <w:numPr>
          <w:ilvl w:val="0"/>
          <w:numId w:val="0"/>
        </w:numPr>
        <w:spacing w:line="500" w:lineRule="exact"/>
        <w:jc w:val="left"/>
        <w:rPr>
          <w:rFonts w:hint="eastAsia" w:ascii="宋体" w:hAnsi="宋体" w:eastAsia="宋体" w:cs="宋体"/>
          <w:b/>
          <w:color w:val="auto"/>
          <w:sz w:val="24"/>
          <w:highlight w:val="none"/>
          <w:lang w:eastAsia="zh-CN"/>
        </w:rPr>
      </w:pPr>
    </w:p>
    <w:p w14:paraId="6653B5BF">
      <w:pPr>
        <w:numPr>
          <w:ilvl w:val="0"/>
          <w:numId w:val="0"/>
        </w:numPr>
        <w:spacing w:line="500" w:lineRule="exact"/>
        <w:jc w:val="left"/>
        <w:rPr>
          <w:rFonts w:hint="eastAsia" w:ascii="宋体" w:hAnsi="宋体" w:eastAsia="宋体" w:cs="宋体"/>
          <w:b/>
          <w:color w:val="auto"/>
          <w:sz w:val="24"/>
          <w:highlight w:val="none"/>
          <w:lang w:eastAsia="zh-CN"/>
        </w:rPr>
      </w:pPr>
    </w:p>
    <w:p w14:paraId="2AD36DC2">
      <w:pPr>
        <w:numPr>
          <w:ilvl w:val="0"/>
          <w:numId w:val="0"/>
        </w:numPr>
        <w:spacing w:line="500" w:lineRule="exact"/>
        <w:jc w:val="left"/>
        <w:rPr>
          <w:rFonts w:hint="eastAsia" w:ascii="宋体" w:hAnsi="宋体" w:eastAsia="宋体" w:cs="宋体"/>
          <w:b/>
          <w:color w:val="auto"/>
          <w:sz w:val="24"/>
          <w:highlight w:val="none"/>
          <w:lang w:eastAsia="zh-CN"/>
        </w:rPr>
      </w:pPr>
    </w:p>
    <w:p w14:paraId="715C60A7">
      <w:pPr>
        <w:numPr>
          <w:ilvl w:val="0"/>
          <w:numId w:val="0"/>
        </w:numPr>
        <w:spacing w:line="500" w:lineRule="exact"/>
        <w:jc w:val="left"/>
        <w:rPr>
          <w:rFonts w:hint="eastAsia" w:ascii="宋体" w:hAnsi="宋体" w:eastAsia="宋体" w:cs="宋体"/>
          <w:b/>
          <w:color w:val="auto"/>
          <w:sz w:val="24"/>
          <w:highlight w:val="none"/>
          <w:lang w:eastAsia="zh-CN"/>
        </w:rPr>
      </w:pPr>
    </w:p>
    <w:p w14:paraId="13BC11E2">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7</w:t>
      </w:r>
    </w:p>
    <w:p w14:paraId="568BBEC9">
      <w:pPr>
        <w:pStyle w:val="17"/>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榆林市政府采购</w:t>
      </w:r>
      <w:r>
        <w:rPr>
          <w:rFonts w:hint="eastAsia" w:ascii="宋体" w:hAnsi="宋体" w:eastAsia="宋体" w:cs="宋体"/>
          <w:b/>
          <w:bCs/>
          <w:color w:val="auto"/>
          <w:sz w:val="28"/>
          <w:szCs w:val="28"/>
          <w:lang w:val="en-US" w:eastAsia="zh-CN" w:bidi="ar-SA"/>
        </w:rPr>
        <w:sym w:font="Wingdings" w:char="00FE"/>
      </w:r>
      <w:r>
        <w:rPr>
          <w:rFonts w:hint="eastAsia" w:ascii="宋体" w:hAnsi="宋体" w:eastAsia="宋体" w:cs="宋体"/>
          <w:b/>
          <w:bCs/>
          <w:color w:val="auto"/>
          <w:sz w:val="28"/>
          <w:szCs w:val="28"/>
          <w:lang w:val="en-US" w:eastAsia="zh-CN" w:bidi="ar-SA"/>
        </w:rPr>
        <w:t>工程类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货物类</w:t>
      </w:r>
      <w:r>
        <w:rPr>
          <w:rFonts w:hint="eastAsia" w:ascii="宋体" w:hAnsi="宋体" w:eastAsia="宋体" w:cs="宋体"/>
          <w:b/>
          <w:bCs/>
          <w:color w:val="auto"/>
          <w:sz w:val="28"/>
          <w:szCs w:val="28"/>
          <w:lang w:val="en-US" w:eastAsia="zh-CN" w:bidi="ar-SA"/>
        </w:rPr>
        <w:sym w:font="Wingdings" w:char="00A8"/>
      </w:r>
      <w:r>
        <w:rPr>
          <w:rFonts w:hint="eastAsia" w:ascii="宋体" w:hAnsi="宋体" w:eastAsia="宋体" w:cs="宋体"/>
          <w:b/>
          <w:bCs/>
          <w:color w:val="auto"/>
          <w:sz w:val="28"/>
          <w:szCs w:val="28"/>
          <w:lang w:val="en-US" w:eastAsia="zh-CN" w:bidi="ar-SA"/>
        </w:rPr>
        <w:t>服务类项目供应商</w:t>
      </w:r>
    </w:p>
    <w:p w14:paraId="75F675C9">
      <w:pPr>
        <w:pStyle w:val="17"/>
        <w:bidi w:val="0"/>
        <w:ind w:left="0" w:leftChars="0" w:firstLine="0" w:firstLineChars="0"/>
        <w:jc w:val="center"/>
        <w:rPr>
          <w:rFonts w:hint="eastAsia" w:ascii="宋体" w:hAnsi="宋体" w:eastAsia="宋体" w:cs="宋体"/>
          <w:b/>
          <w:bCs/>
          <w:color w:val="auto"/>
          <w:sz w:val="28"/>
          <w:szCs w:val="28"/>
          <w:lang w:val="en-US" w:eastAsia="zh-CN" w:bidi="ar-SA"/>
        </w:rPr>
      </w:pPr>
      <w:r>
        <w:rPr>
          <w:rFonts w:hint="eastAsia" w:ascii="宋体" w:hAnsi="宋体" w:eastAsia="宋体" w:cs="宋体"/>
          <w:b/>
          <w:bCs/>
          <w:color w:val="auto"/>
          <w:sz w:val="28"/>
          <w:szCs w:val="28"/>
          <w:lang w:val="en-US" w:eastAsia="zh-CN" w:bidi="ar-SA"/>
        </w:rPr>
        <w:t>信用承诺书</w:t>
      </w:r>
    </w:p>
    <w:p w14:paraId="7328634B">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14:paraId="67265D9D">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122887A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2B832303">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7E21463C">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22A5267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5865EF4D">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26BA875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63D175E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55B1678F">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6ACC29EE">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091811B3">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02C68DDD">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65D08406">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13E0DE4C">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5C3B9079">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BF4A5A3">
      <w:pPr>
        <w:overflowPunct w:val="0"/>
        <w:topLinePunct/>
        <w:spacing w:line="500" w:lineRule="exact"/>
        <w:ind w:firstLine="480" w:firstLineChars="200"/>
        <w:jc w:val="left"/>
        <w:rPr>
          <w:rFonts w:hint="eastAsia" w:ascii="宋体" w:hAnsi="宋体" w:eastAsia="宋体" w:cs="宋体"/>
          <w:color w:val="auto"/>
          <w:sz w:val="24"/>
          <w:szCs w:val="24"/>
        </w:rPr>
      </w:pPr>
    </w:p>
    <w:p w14:paraId="5378BF42">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1415BA26">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5D2B05A4">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法定代表人（负责人）身份证号：</w:t>
      </w:r>
      <w:r>
        <w:rPr>
          <w:rFonts w:hint="eastAsia" w:ascii="宋体" w:hAnsi="宋体" w:eastAsia="宋体" w:cs="宋体"/>
          <w:color w:val="auto"/>
          <w:sz w:val="24"/>
          <w:szCs w:val="24"/>
          <w:u w:val="single"/>
          <w:lang w:val="en-US" w:eastAsia="zh-CN"/>
        </w:rPr>
        <w:t xml:space="preserve">                       </w:t>
      </w:r>
    </w:p>
    <w:p w14:paraId="1B00F591">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60DBC97F">
      <w:pPr>
        <w:pStyle w:val="20"/>
        <w:ind w:firstLine="186"/>
        <w:rPr>
          <w:rFonts w:hint="eastAsia" w:ascii="宋体" w:hAnsi="宋体" w:eastAsia="宋体" w:cs="宋体"/>
          <w:color w:val="auto"/>
        </w:rPr>
      </w:pPr>
    </w:p>
    <w:p w14:paraId="13F2E523">
      <w:pPr>
        <w:ind w:firstLine="480"/>
        <w:rPr>
          <w:rFonts w:hint="eastAsia" w:ascii="宋体" w:hAnsi="宋体" w:eastAsia="宋体" w:cs="宋体"/>
          <w:b/>
          <w:color w:val="auto"/>
          <w:kern w:val="0"/>
        </w:rPr>
      </w:pPr>
    </w:p>
    <w:p w14:paraId="61EACA20">
      <w:pPr>
        <w:ind w:firstLine="480"/>
        <w:rPr>
          <w:rFonts w:hint="eastAsia" w:ascii="宋体" w:hAnsi="宋体" w:eastAsia="宋体" w:cs="宋体"/>
          <w:color w:val="auto"/>
          <w:kern w:val="0"/>
        </w:rPr>
      </w:pPr>
      <w:r>
        <w:rPr>
          <w:rFonts w:hint="eastAsia" w:ascii="宋体" w:hAnsi="宋体" w:eastAsia="宋体" w:cs="宋体"/>
          <w:b/>
          <w:color w:val="auto"/>
          <w:kern w:val="0"/>
        </w:rPr>
        <w:t>备注</w:t>
      </w:r>
      <w:r>
        <w:rPr>
          <w:rFonts w:hint="eastAsia" w:ascii="宋体" w:hAnsi="宋体" w:eastAsia="宋体" w:cs="宋体"/>
          <w:color w:val="auto"/>
          <w:kern w:val="0"/>
        </w:rPr>
        <w:t>：</w:t>
      </w:r>
    </w:p>
    <w:p w14:paraId="22830A8C">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rPr>
        <w:t>1、承诺有效期限自承诺之日起1年；</w:t>
      </w:r>
    </w:p>
    <w:p w14:paraId="563DE7E2">
      <w:pPr>
        <w:ind w:firstLine="520" w:firstLineChars="217"/>
        <w:rPr>
          <w:rFonts w:hint="eastAsia" w:ascii="宋体" w:hAnsi="宋体" w:eastAsia="宋体" w:cs="宋体"/>
          <w:color w:val="auto"/>
          <w:kern w:val="0"/>
          <w:sz w:val="24"/>
          <w:szCs w:val="15"/>
        </w:rPr>
      </w:pPr>
      <w:r>
        <w:rPr>
          <w:rFonts w:hint="eastAsia" w:ascii="宋体" w:hAnsi="宋体" w:eastAsia="宋体" w:cs="宋体"/>
          <w:color w:val="auto"/>
          <w:kern w:val="0"/>
          <w:sz w:val="24"/>
          <w:szCs w:val="15"/>
          <w:lang w:val="en-US" w:eastAsia="zh-CN"/>
        </w:rPr>
        <w:t>2</w:t>
      </w:r>
      <w:r>
        <w:rPr>
          <w:rFonts w:hint="eastAsia" w:ascii="宋体" w:hAnsi="宋体" w:eastAsia="宋体" w:cs="宋体"/>
          <w:color w:val="auto"/>
          <w:kern w:val="0"/>
          <w:sz w:val="24"/>
          <w:szCs w:val="15"/>
        </w:rPr>
        <w:t>、法定代表人或负责人、主体名称发生变更的应当重新做出承诺。</w:t>
      </w:r>
    </w:p>
    <w:p w14:paraId="61E66823">
      <w:pPr>
        <w:keepNext w:val="0"/>
        <w:keepLines w:val="0"/>
        <w:widowControl/>
        <w:suppressLineNumbers w:val="0"/>
        <w:ind w:firstLine="480" w:firstLineChars="200"/>
        <w:jc w:val="left"/>
        <w:rPr>
          <w:rFonts w:hint="eastAsia" w:ascii="宋体" w:hAnsi="宋体" w:eastAsia="宋体" w:cs="宋体"/>
          <w:color w:val="auto"/>
        </w:rPr>
      </w:pPr>
      <w:r>
        <w:rPr>
          <w:rFonts w:hint="eastAsia" w:ascii="宋体" w:hAnsi="宋体" w:eastAsia="宋体" w:cs="宋体"/>
          <w:color w:val="auto"/>
          <w:kern w:val="0"/>
          <w:sz w:val="24"/>
          <w:szCs w:val="24"/>
          <w:lang w:val="en-US" w:eastAsia="zh-CN" w:bidi="ar"/>
        </w:rPr>
        <w:t>3、附信用中国（陕西榆林）网上承诺截图，承诺必须上传以上附件,否则投标无效；</w:t>
      </w:r>
    </w:p>
    <w:p w14:paraId="37E94129">
      <w:pPr>
        <w:pStyle w:val="25"/>
        <w:ind w:left="0" w:leftChars="0" w:firstLine="0" w:firstLineChars="0"/>
        <w:rPr>
          <w:rFonts w:hint="eastAsia" w:ascii="宋体" w:hAnsi="宋体" w:eastAsia="宋体" w:cs="宋体"/>
          <w:color w:val="auto"/>
        </w:rPr>
      </w:pPr>
    </w:p>
    <w:p w14:paraId="4815F029">
      <w:pPr>
        <w:ind w:firstLine="520" w:firstLineChars="217"/>
        <w:rPr>
          <w:rFonts w:hint="eastAsia" w:ascii="宋体" w:hAnsi="宋体" w:eastAsia="宋体" w:cs="宋体"/>
          <w:color w:val="auto"/>
          <w:kern w:val="0"/>
          <w:sz w:val="24"/>
          <w:szCs w:val="15"/>
        </w:rPr>
        <w:sectPr>
          <w:headerReference r:id="rId6" w:type="default"/>
          <w:footerReference r:id="rId7" w:type="default"/>
          <w:pgSz w:w="11911" w:h="16843"/>
          <w:pgMar w:top="1304" w:right="1304" w:bottom="1304" w:left="1304" w:header="720" w:footer="720" w:gutter="0"/>
          <w:pgNumType w:fmt="decimal"/>
          <w:cols w:space="720" w:num="1"/>
          <w:rtlGutter w:val="0"/>
          <w:docGrid w:linePitch="312" w:charSpace="0"/>
        </w:sectPr>
      </w:pPr>
    </w:p>
    <w:p w14:paraId="6A5CB0DE">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8</w:t>
      </w:r>
    </w:p>
    <w:p w14:paraId="7630BF2C">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1C00D3C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2348D26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14:paraId="25E60133">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21673AD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47F7B96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1A35761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6AD130E6">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800545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6286A4D">
      <w:pPr>
        <w:widowControl/>
        <w:adjustRightInd w:val="0"/>
        <w:snapToGrid w:val="0"/>
        <w:spacing w:line="500" w:lineRule="exact"/>
        <w:ind w:firstLine="480"/>
        <w:jc w:val="left"/>
        <w:rPr>
          <w:rFonts w:hint="eastAsia" w:ascii="宋体" w:hAnsi="宋体" w:eastAsia="宋体" w:cs="宋体"/>
          <w:color w:val="auto"/>
          <w:sz w:val="24"/>
        </w:rPr>
      </w:pPr>
    </w:p>
    <w:p w14:paraId="76CE5BB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36182FC6">
      <w:pPr>
        <w:widowControl/>
        <w:adjustRightInd w:val="0"/>
        <w:snapToGrid w:val="0"/>
        <w:spacing w:line="500" w:lineRule="exact"/>
        <w:ind w:firstLine="480"/>
        <w:jc w:val="left"/>
        <w:rPr>
          <w:rFonts w:hint="eastAsia" w:ascii="宋体" w:hAnsi="宋体" w:eastAsia="宋体" w:cs="宋体"/>
          <w:color w:val="auto"/>
          <w:sz w:val="24"/>
        </w:rPr>
      </w:pPr>
    </w:p>
    <w:p w14:paraId="6E5499E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09086C43">
      <w:pPr>
        <w:adjustRightInd w:val="0"/>
        <w:snapToGrid w:val="0"/>
        <w:spacing w:line="500" w:lineRule="exact"/>
        <w:rPr>
          <w:rFonts w:hint="eastAsia" w:ascii="宋体" w:hAnsi="宋体" w:eastAsia="宋体" w:cs="宋体"/>
          <w:b/>
          <w:color w:val="auto"/>
          <w:kern w:val="0"/>
          <w:sz w:val="24"/>
        </w:rPr>
      </w:pPr>
    </w:p>
    <w:p w14:paraId="754D0C68">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ascii="宋体" w:hAnsi="宋体" w:eastAsia="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1A474264">
      <w:pPr>
        <w:keepNext w:val="0"/>
        <w:keepLines w:val="0"/>
        <w:widowControl/>
        <w:suppressLineNumbers w:val="0"/>
        <w:ind w:firstLine="723" w:firstLineChars="300"/>
        <w:jc w:val="left"/>
        <w:rPr>
          <w:rFonts w:hint="eastAsia" w:ascii="宋体" w:hAnsi="宋体" w:eastAsia="宋体" w:cs="宋体"/>
          <w:color w:val="auto"/>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77B909E1">
      <w:pPr>
        <w:ind w:firstLine="520" w:firstLineChars="217"/>
        <w:rPr>
          <w:rFonts w:hint="eastAsia" w:ascii="宋体" w:hAnsi="宋体" w:eastAsia="宋体" w:cs="宋体"/>
          <w:color w:val="auto"/>
          <w:kern w:val="0"/>
        </w:rPr>
      </w:pPr>
    </w:p>
    <w:p w14:paraId="74F0E1FA">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332" w:name="_Toc403077657"/>
      <w:bookmarkStart w:id="333" w:name="_Toc6447"/>
      <w:bookmarkStart w:id="334" w:name="_Toc11449"/>
      <w:bookmarkStart w:id="335" w:name="_Toc30095"/>
      <w:bookmarkStart w:id="336" w:name="_Toc363474034"/>
    </w:p>
    <w:p w14:paraId="3E32A871">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14:paraId="3D1A0BD7">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4C5DF409">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50F8ADFF">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1E03010B">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14:paraId="5DAE4479">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10F71C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79BB2C0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1297B3D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79D00F12">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6BC40CEE">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14:paraId="5F94BC9C">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14:paraId="21F47705">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332"/>
      <w:bookmarkEnd w:id="333"/>
      <w:bookmarkEnd w:id="334"/>
      <w:bookmarkEnd w:id="335"/>
      <w:bookmarkEnd w:id="336"/>
    </w:p>
    <w:p w14:paraId="6479A7B2">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kern w:val="0"/>
          <w:sz w:val="24"/>
          <w:szCs w:val="24"/>
          <w:lang w:val="en-US" w:eastAsia="zh-CN" w:bidi="ar"/>
        </w:rPr>
        <w:t>2、附信用中国（陕西榆林）网上承诺截图，承诺必须上传以上附件,否则投标无效。</w:t>
      </w:r>
    </w:p>
    <w:p w14:paraId="13873513">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14:paraId="0878F54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14:paraId="0D7A0D3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2CA422E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17DA6DC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3F7C4FEB">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2476FDD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5EF0F8A8">
      <w:pPr>
        <w:widowControl/>
        <w:adjustRightInd w:val="0"/>
        <w:snapToGrid w:val="0"/>
        <w:spacing w:line="500" w:lineRule="exact"/>
        <w:jc w:val="left"/>
        <w:rPr>
          <w:rFonts w:hint="eastAsia" w:ascii="宋体" w:hAnsi="宋体" w:eastAsia="宋体" w:cs="宋体"/>
          <w:color w:val="auto"/>
          <w:sz w:val="24"/>
        </w:rPr>
      </w:pPr>
    </w:p>
    <w:p w14:paraId="5E7D1E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66B76AA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14:paraId="42D66654">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3AAD702E">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26E4ACEE">
      <w:pPr>
        <w:pStyle w:val="20"/>
        <w:ind w:left="0" w:leftChars="0" w:firstLine="0" w:firstLineChars="0"/>
        <w:rPr>
          <w:rFonts w:hint="eastAsia" w:ascii="宋体" w:hAnsi="宋体" w:eastAsia="宋体" w:cs="宋体"/>
          <w:color w:val="auto"/>
        </w:rPr>
      </w:pPr>
    </w:p>
    <w:p w14:paraId="15CE2C67">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0C630E64">
      <w:pPr>
        <w:keepNext w:val="0"/>
        <w:keepLines w:val="0"/>
        <w:widowControl/>
        <w:numPr>
          <w:ilvl w:val="0"/>
          <w:numId w:val="6"/>
        </w:numPr>
        <w:suppressLineNumbers w:val="0"/>
        <w:ind w:firstLine="482" w:firstLineChars="200"/>
        <w:jc w:val="left"/>
        <w:rPr>
          <w:rFonts w:hint="eastAsia"/>
        </w:rPr>
      </w:pPr>
      <w:r>
        <w:rPr>
          <w:rFonts w:hint="eastAsia" w:ascii="宋体" w:hAnsi="宋体" w:eastAsia="宋体" w:cs="宋体"/>
          <w:b/>
          <w:bCs/>
          <w:color w:val="auto"/>
          <w:kern w:val="0"/>
          <w:sz w:val="24"/>
          <w:szCs w:val="24"/>
          <w:lang w:val="en-US" w:eastAsia="zh-CN" w:bidi="ar"/>
        </w:rPr>
        <w:t>附信用中国（陕西榆林）网上承诺截图，承诺必须上传以上附件,否则投标无效。</w:t>
      </w:r>
    </w:p>
    <w:p w14:paraId="22938682">
      <w:pPr>
        <w:bidi w:val="0"/>
        <w:ind w:firstLine="482" w:firstLineChars="200"/>
        <w:rPr>
          <w:rFonts w:hint="default" w:ascii="宋体" w:hAnsi="宋体" w:eastAsia="宋体" w:cs="宋体"/>
          <w:color w:val="auto"/>
          <w:lang w:val="en-US" w:eastAsia="zh-CN"/>
        </w:rPr>
      </w:pPr>
      <w:r>
        <w:rPr>
          <w:rFonts w:hint="eastAsia" w:ascii="宋体" w:hAnsi="宋体" w:eastAsia="宋体" w:cs="宋体"/>
          <w:b/>
          <w:bCs/>
          <w:color w:val="auto"/>
          <w:kern w:val="0"/>
          <w:sz w:val="24"/>
          <w:szCs w:val="24"/>
          <w:lang w:val="en-US" w:eastAsia="zh-CN" w:bidi="ar"/>
        </w:rPr>
        <w:t>3、若法定代表人参加无需附此表。</w:t>
      </w:r>
    </w:p>
    <w:p w14:paraId="391B43DF">
      <w:pPr>
        <w:rPr>
          <w:rFonts w:hint="default"/>
          <w:lang w:val="en-US"/>
        </w:rPr>
      </w:pPr>
    </w:p>
    <w:p w14:paraId="5CA970E0">
      <w:pPr>
        <w:pStyle w:val="4"/>
        <w:bidi w:val="0"/>
        <w:outlineLvl w:val="0"/>
        <w:rPr>
          <w:rFonts w:hint="eastAsia" w:ascii="宋体" w:hAnsi="宋体" w:eastAsia="宋体" w:cs="宋体"/>
          <w:color w:val="auto"/>
        </w:rPr>
      </w:pPr>
      <w:bookmarkStart w:id="337" w:name="_Toc11955"/>
      <w:r>
        <w:rPr>
          <w:rFonts w:hint="eastAsia" w:ascii="宋体" w:hAnsi="宋体" w:eastAsia="宋体" w:cs="宋体"/>
          <w:bCs w:val="0"/>
          <w:color w:val="auto"/>
        </w:rPr>
        <w:t>第</w:t>
      </w:r>
      <w:r>
        <w:rPr>
          <w:rFonts w:hint="eastAsia" w:ascii="宋体" w:hAnsi="宋体" w:eastAsia="宋体" w:cs="宋体"/>
          <w:bCs w:val="0"/>
          <w:color w:val="auto"/>
          <w:lang w:val="en-US" w:eastAsia="zh-CN"/>
        </w:rPr>
        <w:t>六章</w:t>
      </w:r>
      <w:r>
        <w:rPr>
          <w:rFonts w:hint="eastAsia" w:ascii="宋体" w:hAnsi="宋体" w:eastAsia="宋体" w:cs="宋体"/>
          <w:bCs w:val="0"/>
          <w:color w:val="auto"/>
        </w:rPr>
        <w:t xml:space="preserve"> </w:t>
      </w:r>
      <w:r>
        <w:rPr>
          <w:rFonts w:hint="eastAsia" w:ascii="宋体" w:hAnsi="宋体" w:eastAsia="宋体" w:cs="宋体"/>
          <w:color w:val="auto"/>
          <w:lang w:eastAsia="zh-CN"/>
        </w:rPr>
        <w:t>供应商</w:t>
      </w:r>
      <w:r>
        <w:rPr>
          <w:rFonts w:hint="eastAsia" w:ascii="宋体" w:hAnsi="宋体" w:eastAsia="宋体" w:cs="宋体"/>
          <w:color w:val="auto"/>
        </w:rPr>
        <w:t>基本情况表</w:t>
      </w:r>
      <w:bookmarkEnd w:id="319"/>
      <w:bookmarkEnd w:id="337"/>
    </w:p>
    <w:tbl>
      <w:tblPr>
        <w:tblStyle w:val="21"/>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13"/>
        <w:gridCol w:w="1351"/>
        <w:gridCol w:w="680"/>
        <w:gridCol w:w="851"/>
        <w:gridCol w:w="581"/>
        <w:gridCol w:w="299"/>
        <w:gridCol w:w="1075"/>
        <w:gridCol w:w="256"/>
        <w:gridCol w:w="1252"/>
        <w:gridCol w:w="1892"/>
        <w:gridCol w:w="8"/>
      </w:tblGrid>
      <w:tr w14:paraId="66AE15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6" w:hRule="atLeast"/>
          <w:jc w:val="center"/>
        </w:trPr>
        <w:tc>
          <w:tcPr>
            <w:tcW w:w="2064" w:type="dxa"/>
            <w:gridSpan w:val="2"/>
            <w:tcBorders>
              <w:top w:val="double" w:color="auto" w:sz="4" w:space="0"/>
              <w:left w:val="double" w:color="auto" w:sz="4" w:space="0"/>
              <w:bottom w:val="single" w:color="auto" w:sz="6" w:space="0"/>
              <w:right w:val="single" w:color="auto" w:sz="6" w:space="0"/>
            </w:tcBorders>
            <w:noWrap w:val="0"/>
            <w:vAlign w:val="center"/>
          </w:tcPr>
          <w:p w14:paraId="6C8FCF2B">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供应商名称</w:t>
            </w:r>
          </w:p>
        </w:tc>
        <w:tc>
          <w:tcPr>
            <w:tcW w:w="3486" w:type="dxa"/>
            <w:gridSpan w:val="5"/>
            <w:tcBorders>
              <w:top w:val="double" w:color="auto" w:sz="4" w:space="0"/>
              <w:left w:val="single" w:color="auto" w:sz="6" w:space="0"/>
              <w:bottom w:val="single" w:color="auto" w:sz="6" w:space="0"/>
              <w:right w:val="single" w:color="auto" w:sz="6" w:space="0"/>
            </w:tcBorders>
            <w:noWrap w:val="0"/>
            <w:vAlign w:val="center"/>
          </w:tcPr>
          <w:p w14:paraId="097A6D7B">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double" w:color="auto" w:sz="4" w:space="0"/>
              <w:left w:val="single" w:color="auto" w:sz="6" w:space="0"/>
              <w:bottom w:val="single" w:color="auto" w:sz="6" w:space="0"/>
              <w:right w:val="single" w:color="auto" w:sz="6" w:space="0"/>
            </w:tcBorders>
            <w:noWrap w:val="0"/>
            <w:vAlign w:val="center"/>
          </w:tcPr>
          <w:p w14:paraId="43ACD4CF">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法定代表人</w:t>
            </w:r>
          </w:p>
        </w:tc>
        <w:tc>
          <w:tcPr>
            <w:tcW w:w="1900" w:type="dxa"/>
            <w:gridSpan w:val="2"/>
            <w:tcBorders>
              <w:top w:val="double" w:color="auto" w:sz="4" w:space="0"/>
              <w:left w:val="single" w:color="auto" w:sz="6" w:space="0"/>
              <w:bottom w:val="single" w:color="auto" w:sz="6" w:space="0"/>
              <w:right w:val="double" w:color="auto" w:sz="4" w:space="0"/>
            </w:tcBorders>
            <w:noWrap w:val="0"/>
            <w:vAlign w:val="center"/>
          </w:tcPr>
          <w:p w14:paraId="507D828D">
            <w:pPr>
              <w:topLinePunct/>
              <w:spacing w:line="440" w:lineRule="exact"/>
              <w:ind w:right="26" w:rightChars="11"/>
              <w:jc w:val="center"/>
              <w:rPr>
                <w:rFonts w:hint="eastAsia" w:ascii="宋体" w:hAnsi="宋体" w:eastAsia="宋体" w:cs="宋体"/>
                <w:color w:val="auto"/>
                <w:sz w:val="22"/>
                <w:szCs w:val="22"/>
                <w:highlight w:val="none"/>
              </w:rPr>
            </w:pPr>
          </w:p>
        </w:tc>
      </w:tr>
      <w:tr w14:paraId="102E9A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7"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348CDF9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t>统一社会信用代码</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58AC4800">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3E83FA4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邮政编码</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1FC641BD">
            <w:pPr>
              <w:topLinePunct/>
              <w:spacing w:line="440" w:lineRule="exact"/>
              <w:ind w:right="26" w:rightChars="11"/>
              <w:jc w:val="center"/>
              <w:rPr>
                <w:rFonts w:hint="eastAsia" w:ascii="宋体" w:hAnsi="宋体" w:eastAsia="宋体" w:cs="宋体"/>
                <w:color w:val="auto"/>
                <w:sz w:val="22"/>
                <w:szCs w:val="22"/>
                <w:highlight w:val="none"/>
              </w:rPr>
            </w:pPr>
          </w:p>
        </w:tc>
      </w:tr>
      <w:tr w14:paraId="3DF229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039EF96">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委托代理人</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6E3194A1">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6D8C55C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电子邮箱</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6F821C7E">
            <w:pPr>
              <w:topLinePunct/>
              <w:spacing w:line="440" w:lineRule="exact"/>
              <w:ind w:right="26" w:rightChars="11"/>
              <w:jc w:val="center"/>
              <w:rPr>
                <w:rFonts w:hint="eastAsia" w:ascii="宋体" w:hAnsi="宋体" w:eastAsia="宋体" w:cs="宋体"/>
                <w:color w:val="auto"/>
                <w:sz w:val="22"/>
                <w:szCs w:val="22"/>
                <w:highlight w:val="none"/>
              </w:rPr>
            </w:pPr>
          </w:p>
        </w:tc>
      </w:tr>
      <w:tr w14:paraId="495770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74" w:hRule="atLeast"/>
          <w:jc w:val="center"/>
        </w:trPr>
        <w:tc>
          <w:tcPr>
            <w:tcW w:w="2064" w:type="dxa"/>
            <w:gridSpan w:val="2"/>
            <w:tcBorders>
              <w:top w:val="single" w:color="auto" w:sz="6" w:space="0"/>
              <w:left w:val="double" w:color="auto" w:sz="4" w:space="0"/>
              <w:bottom w:val="single" w:color="auto" w:sz="6" w:space="0"/>
              <w:right w:val="single" w:color="auto" w:sz="6" w:space="0"/>
            </w:tcBorders>
            <w:noWrap w:val="0"/>
            <w:vAlign w:val="center"/>
          </w:tcPr>
          <w:p w14:paraId="2D9CD10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上年营业收入</w:t>
            </w:r>
          </w:p>
        </w:tc>
        <w:tc>
          <w:tcPr>
            <w:tcW w:w="3486" w:type="dxa"/>
            <w:gridSpan w:val="5"/>
            <w:tcBorders>
              <w:top w:val="single" w:color="auto" w:sz="6" w:space="0"/>
              <w:left w:val="single" w:color="auto" w:sz="6" w:space="0"/>
              <w:bottom w:val="single" w:color="auto" w:sz="6" w:space="0"/>
              <w:right w:val="single" w:color="auto" w:sz="6" w:space="0"/>
            </w:tcBorders>
            <w:noWrap w:val="0"/>
            <w:vAlign w:val="center"/>
          </w:tcPr>
          <w:p w14:paraId="4B75C61E">
            <w:pPr>
              <w:topLinePunct/>
              <w:spacing w:line="440" w:lineRule="exact"/>
              <w:ind w:right="26" w:rightChars="11"/>
              <w:jc w:val="center"/>
              <w:rPr>
                <w:rFonts w:hint="eastAsia" w:ascii="宋体" w:hAnsi="宋体" w:eastAsia="宋体" w:cs="宋体"/>
                <w:color w:val="auto"/>
                <w:sz w:val="22"/>
                <w:szCs w:val="22"/>
                <w:highlight w:val="none"/>
              </w:rPr>
            </w:pPr>
          </w:p>
        </w:tc>
        <w:tc>
          <w:tcPr>
            <w:tcW w:w="1508" w:type="dxa"/>
            <w:gridSpan w:val="2"/>
            <w:tcBorders>
              <w:top w:val="single" w:color="auto" w:sz="6" w:space="0"/>
              <w:left w:val="single" w:color="auto" w:sz="6" w:space="0"/>
              <w:bottom w:val="single" w:color="auto" w:sz="6" w:space="0"/>
              <w:right w:val="single" w:color="auto" w:sz="6" w:space="0"/>
            </w:tcBorders>
            <w:noWrap w:val="0"/>
            <w:vAlign w:val="center"/>
          </w:tcPr>
          <w:p w14:paraId="4FBA559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员工总人数</w:t>
            </w:r>
          </w:p>
        </w:tc>
        <w:tc>
          <w:tcPr>
            <w:tcW w:w="1892" w:type="dxa"/>
            <w:tcBorders>
              <w:top w:val="single" w:color="auto" w:sz="6" w:space="0"/>
              <w:left w:val="single" w:color="auto" w:sz="6" w:space="0"/>
              <w:bottom w:val="single" w:color="auto" w:sz="6" w:space="0"/>
              <w:right w:val="double" w:color="auto" w:sz="4" w:space="0"/>
            </w:tcBorders>
            <w:noWrap w:val="0"/>
            <w:vAlign w:val="center"/>
          </w:tcPr>
          <w:p w14:paraId="5D760AEB">
            <w:pPr>
              <w:topLinePunct/>
              <w:spacing w:line="440" w:lineRule="exact"/>
              <w:ind w:right="26" w:rightChars="11"/>
              <w:jc w:val="center"/>
              <w:rPr>
                <w:rFonts w:hint="eastAsia" w:ascii="宋体" w:hAnsi="宋体" w:eastAsia="宋体" w:cs="宋体"/>
                <w:color w:val="auto"/>
                <w:sz w:val="22"/>
                <w:szCs w:val="22"/>
                <w:highlight w:val="none"/>
              </w:rPr>
            </w:pPr>
          </w:p>
        </w:tc>
      </w:tr>
      <w:tr w14:paraId="7705A6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691" w:hRule="atLeast"/>
          <w:jc w:val="center"/>
        </w:trPr>
        <w:tc>
          <w:tcPr>
            <w:tcW w:w="713" w:type="dxa"/>
            <w:vMerge w:val="restart"/>
            <w:tcBorders>
              <w:top w:val="single" w:color="auto" w:sz="6" w:space="0"/>
              <w:left w:val="double" w:color="auto" w:sz="4" w:space="0"/>
              <w:bottom w:val="single" w:color="auto" w:sz="6" w:space="0"/>
              <w:right w:val="single" w:color="auto" w:sz="6" w:space="0"/>
            </w:tcBorders>
            <w:noWrap w:val="0"/>
            <w:vAlign w:val="center"/>
          </w:tcPr>
          <w:p w14:paraId="260B658D">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营业执照</w:t>
            </w: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160F7FB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注册号码</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15AC1FCD">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2C33DEA3">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注册地址</w:t>
            </w:r>
          </w:p>
        </w:tc>
        <w:tc>
          <w:tcPr>
            <w:tcW w:w="3400" w:type="dxa"/>
            <w:gridSpan w:val="3"/>
            <w:tcBorders>
              <w:top w:val="single" w:color="auto" w:sz="6" w:space="0"/>
              <w:left w:val="single" w:color="auto" w:sz="6" w:space="0"/>
              <w:bottom w:val="single" w:color="auto" w:sz="6" w:space="0"/>
              <w:right w:val="double" w:color="auto" w:sz="4" w:space="0"/>
            </w:tcBorders>
            <w:noWrap w:val="0"/>
            <w:vAlign w:val="center"/>
          </w:tcPr>
          <w:p w14:paraId="7587D480">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35DAE7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3B9F37B0">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bottom w:val="single" w:color="auto" w:sz="6" w:space="0"/>
              <w:right w:val="single" w:color="auto" w:sz="6" w:space="0"/>
            </w:tcBorders>
            <w:noWrap w:val="0"/>
            <w:vAlign w:val="center"/>
          </w:tcPr>
          <w:p w14:paraId="6CDF93C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1432" w:type="dxa"/>
            <w:gridSpan w:val="2"/>
            <w:tcBorders>
              <w:top w:val="single" w:color="auto" w:sz="6" w:space="0"/>
              <w:left w:val="single" w:color="auto" w:sz="6" w:space="0"/>
              <w:bottom w:val="single" w:color="auto" w:sz="6" w:space="0"/>
              <w:right w:val="single" w:color="auto" w:sz="6" w:space="0"/>
            </w:tcBorders>
            <w:noWrap w:val="0"/>
            <w:vAlign w:val="center"/>
          </w:tcPr>
          <w:p w14:paraId="5C390C33">
            <w:pPr>
              <w:topLinePunct/>
              <w:spacing w:line="440" w:lineRule="exact"/>
              <w:ind w:right="26" w:rightChars="11"/>
              <w:jc w:val="center"/>
              <w:rPr>
                <w:rFonts w:hint="eastAsia" w:ascii="宋体" w:hAnsi="宋体" w:eastAsia="宋体" w:cs="宋体"/>
                <w:color w:val="auto"/>
                <w:sz w:val="22"/>
                <w:szCs w:val="22"/>
                <w:highlight w:val="none"/>
              </w:rPr>
            </w:pPr>
          </w:p>
        </w:tc>
        <w:tc>
          <w:tcPr>
            <w:tcW w:w="1374" w:type="dxa"/>
            <w:gridSpan w:val="2"/>
            <w:tcBorders>
              <w:top w:val="single" w:color="auto" w:sz="6" w:space="0"/>
              <w:left w:val="single" w:color="auto" w:sz="6" w:space="0"/>
              <w:bottom w:val="single" w:color="auto" w:sz="6" w:space="0"/>
              <w:right w:val="single" w:color="auto" w:sz="6" w:space="0"/>
            </w:tcBorders>
            <w:noWrap w:val="0"/>
            <w:vAlign w:val="center"/>
          </w:tcPr>
          <w:p w14:paraId="1591BE8D">
            <w:pPr>
              <w:topLinePunct/>
              <w:spacing w:line="440" w:lineRule="exact"/>
              <w:ind w:right="26" w:rightChars="11" w:firstLine="110" w:firstLineChars="5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发证日期</w:t>
            </w:r>
          </w:p>
        </w:tc>
        <w:tc>
          <w:tcPr>
            <w:tcW w:w="3408" w:type="dxa"/>
            <w:gridSpan w:val="4"/>
            <w:tcBorders>
              <w:top w:val="single" w:color="auto" w:sz="6" w:space="0"/>
              <w:left w:val="single" w:color="auto" w:sz="6" w:space="0"/>
              <w:bottom w:val="single" w:color="auto" w:sz="6" w:space="0"/>
              <w:right w:val="double" w:color="auto" w:sz="4" w:space="0"/>
            </w:tcBorders>
            <w:noWrap w:val="0"/>
            <w:vAlign w:val="center"/>
          </w:tcPr>
          <w:p w14:paraId="2F29EC02">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508773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trHeight w:val="1382" w:hRule="atLeast"/>
          <w:jc w:val="center"/>
        </w:trPr>
        <w:tc>
          <w:tcPr>
            <w:tcW w:w="713" w:type="dxa"/>
            <w:vMerge w:val="continue"/>
            <w:tcBorders>
              <w:top w:val="single" w:color="auto" w:sz="6" w:space="0"/>
              <w:left w:val="double" w:color="auto" w:sz="4" w:space="0"/>
              <w:bottom w:val="single" w:color="auto" w:sz="6" w:space="0"/>
              <w:right w:val="single" w:color="auto" w:sz="6" w:space="0"/>
            </w:tcBorders>
            <w:noWrap w:val="0"/>
            <w:vAlign w:val="center"/>
          </w:tcPr>
          <w:p w14:paraId="64AFBCA3">
            <w:pPr>
              <w:topLinePunct/>
              <w:spacing w:line="440" w:lineRule="exact"/>
              <w:ind w:right="26" w:rightChars="11"/>
              <w:jc w:val="center"/>
              <w:rPr>
                <w:rFonts w:hint="eastAsia" w:ascii="宋体" w:hAnsi="宋体" w:eastAsia="宋体" w:cs="宋体"/>
                <w:color w:val="auto"/>
                <w:sz w:val="22"/>
                <w:szCs w:val="22"/>
                <w:highlight w:val="none"/>
              </w:rPr>
            </w:pPr>
          </w:p>
        </w:tc>
        <w:tc>
          <w:tcPr>
            <w:tcW w:w="2031" w:type="dxa"/>
            <w:gridSpan w:val="2"/>
            <w:tcBorders>
              <w:top w:val="single" w:color="auto" w:sz="6" w:space="0"/>
              <w:left w:val="single" w:color="auto" w:sz="6" w:space="0"/>
              <w:right w:val="single" w:color="auto" w:sz="6" w:space="0"/>
            </w:tcBorders>
            <w:noWrap w:val="0"/>
            <w:vAlign w:val="center"/>
          </w:tcPr>
          <w:p w14:paraId="2D8BA209">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营业范围</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5C0D66D9">
            <w:pPr>
              <w:topLinePunct/>
              <w:spacing w:line="440" w:lineRule="exact"/>
              <w:ind w:right="26" w:rightChars="11" w:firstLine="110" w:firstLineChars="50"/>
              <w:jc w:val="center"/>
              <w:rPr>
                <w:rFonts w:hint="eastAsia" w:ascii="宋体" w:hAnsi="宋体" w:eastAsia="宋体" w:cs="宋体"/>
                <w:color w:val="auto"/>
                <w:sz w:val="22"/>
                <w:szCs w:val="22"/>
                <w:highlight w:val="none"/>
              </w:rPr>
            </w:pPr>
          </w:p>
        </w:tc>
      </w:tr>
      <w:tr w14:paraId="1D81CB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504B6CA4">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基本账户开户行</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6D2DFC59">
            <w:pPr>
              <w:topLinePunct/>
              <w:spacing w:line="440" w:lineRule="exact"/>
              <w:ind w:right="26" w:rightChars="11"/>
              <w:jc w:val="center"/>
              <w:rPr>
                <w:rFonts w:hint="eastAsia" w:ascii="宋体" w:hAnsi="宋体" w:eastAsia="宋体" w:cs="宋体"/>
                <w:color w:val="auto"/>
                <w:sz w:val="22"/>
                <w:szCs w:val="22"/>
                <w:highlight w:val="none"/>
              </w:rPr>
            </w:pPr>
          </w:p>
        </w:tc>
      </w:tr>
      <w:tr w14:paraId="61F415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726" w:hRule="atLeast"/>
          <w:jc w:val="center"/>
        </w:trPr>
        <w:tc>
          <w:tcPr>
            <w:tcW w:w="2744" w:type="dxa"/>
            <w:gridSpan w:val="3"/>
            <w:tcBorders>
              <w:top w:val="single" w:color="auto" w:sz="6" w:space="0"/>
              <w:left w:val="double" w:color="auto" w:sz="4" w:space="0"/>
              <w:bottom w:val="single" w:color="auto" w:sz="6" w:space="0"/>
              <w:right w:val="single" w:color="auto" w:sz="6" w:space="0"/>
            </w:tcBorders>
            <w:noWrap w:val="0"/>
            <w:vAlign w:val="center"/>
          </w:tcPr>
          <w:p w14:paraId="1ECBAD5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eastAsia="zh-CN"/>
              </w:rPr>
              <w:t>账号</w:t>
            </w:r>
          </w:p>
        </w:tc>
        <w:tc>
          <w:tcPr>
            <w:tcW w:w="6206" w:type="dxa"/>
            <w:gridSpan w:val="7"/>
            <w:tcBorders>
              <w:top w:val="single" w:color="auto" w:sz="6" w:space="0"/>
              <w:left w:val="single" w:color="auto" w:sz="6" w:space="0"/>
              <w:bottom w:val="single" w:color="auto" w:sz="6" w:space="0"/>
              <w:right w:val="double" w:color="auto" w:sz="4" w:space="0"/>
            </w:tcBorders>
            <w:noWrap w:val="0"/>
            <w:vAlign w:val="center"/>
          </w:tcPr>
          <w:p w14:paraId="0E17A358">
            <w:pPr>
              <w:topLinePunct/>
              <w:spacing w:line="440" w:lineRule="exact"/>
              <w:ind w:right="26" w:rightChars="11"/>
              <w:jc w:val="center"/>
              <w:rPr>
                <w:rFonts w:hint="eastAsia" w:ascii="宋体" w:hAnsi="宋体" w:eastAsia="宋体" w:cs="宋体"/>
                <w:color w:val="auto"/>
                <w:sz w:val="22"/>
                <w:szCs w:val="22"/>
                <w:highlight w:val="none"/>
              </w:rPr>
            </w:pPr>
          </w:p>
        </w:tc>
      </w:tr>
      <w:tr w14:paraId="701B39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71"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1B98E37">
            <w:pPr>
              <w:topLinePunct/>
              <w:spacing w:line="440" w:lineRule="exact"/>
              <w:ind w:right="26" w:rightChars="11"/>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资质名称</w:t>
            </w:r>
            <w:r>
              <w:rPr>
                <w:rFonts w:hint="eastAsia" w:ascii="宋体" w:hAnsi="宋体" w:eastAsia="宋体" w:cs="宋体"/>
                <w:color w:val="auto"/>
                <w:sz w:val="22"/>
                <w:szCs w:val="22"/>
                <w:highlight w:val="none"/>
                <w:lang w:eastAsia="zh-CN"/>
              </w:rPr>
              <w:t>（符合本次采购）</w:t>
            </w: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66CF50E2">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等级</w:t>
            </w: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4B4A291A">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发证机关</w:t>
            </w: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45669C37">
            <w:pPr>
              <w:topLinePunct/>
              <w:spacing w:line="440" w:lineRule="exact"/>
              <w:ind w:right="26" w:rightChars="11"/>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有效期</w:t>
            </w:r>
          </w:p>
        </w:tc>
      </w:tr>
      <w:tr w14:paraId="515002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4C3C5C6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0441171">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35CD858D">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5127A736">
            <w:pPr>
              <w:topLinePunct/>
              <w:spacing w:line="440" w:lineRule="exact"/>
              <w:ind w:right="26" w:rightChars="11"/>
              <w:jc w:val="center"/>
              <w:rPr>
                <w:rFonts w:hint="eastAsia" w:ascii="宋体" w:hAnsi="宋体" w:eastAsia="宋体" w:cs="宋体"/>
                <w:color w:val="auto"/>
                <w:sz w:val="22"/>
                <w:szCs w:val="22"/>
                <w:highlight w:val="none"/>
              </w:rPr>
            </w:pPr>
          </w:p>
        </w:tc>
      </w:tr>
      <w:tr w14:paraId="16EFE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9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6AD223D3">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076160BE">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6798FF75">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1099BE7D">
            <w:pPr>
              <w:topLinePunct/>
              <w:spacing w:line="440" w:lineRule="exact"/>
              <w:ind w:right="26" w:rightChars="11"/>
              <w:jc w:val="center"/>
              <w:rPr>
                <w:rFonts w:hint="eastAsia" w:ascii="宋体" w:hAnsi="宋体" w:eastAsia="宋体" w:cs="宋体"/>
                <w:color w:val="auto"/>
                <w:sz w:val="22"/>
                <w:szCs w:val="22"/>
                <w:highlight w:val="none"/>
              </w:rPr>
            </w:pPr>
          </w:p>
        </w:tc>
      </w:tr>
      <w:tr w14:paraId="345178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03"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399AB130">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F0FF7F9">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0E8429CC">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6C8C14F3">
            <w:pPr>
              <w:topLinePunct/>
              <w:spacing w:line="440" w:lineRule="exact"/>
              <w:ind w:right="26" w:rightChars="11"/>
              <w:jc w:val="center"/>
              <w:rPr>
                <w:rFonts w:hint="eastAsia" w:ascii="宋体" w:hAnsi="宋体" w:eastAsia="宋体" w:cs="宋体"/>
                <w:color w:val="auto"/>
                <w:sz w:val="22"/>
                <w:szCs w:val="22"/>
                <w:highlight w:val="none"/>
              </w:rPr>
            </w:pPr>
          </w:p>
        </w:tc>
      </w:tr>
      <w:tr w14:paraId="32C08A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8" w:type="dxa"/>
          <w:cantSplit/>
          <w:trHeight w:val="636" w:hRule="atLeast"/>
          <w:jc w:val="center"/>
        </w:trPr>
        <w:tc>
          <w:tcPr>
            <w:tcW w:w="3595" w:type="dxa"/>
            <w:gridSpan w:val="4"/>
            <w:tcBorders>
              <w:top w:val="single" w:color="auto" w:sz="6" w:space="0"/>
              <w:left w:val="double" w:color="auto" w:sz="4" w:space="0"/>
              <w:bottom w:val="single" w:color="auto" w:sz="6" w:space="0"/>
              <w:right w:val="single" w:color="auto" w:sz="6" w:space="0"/>
            </w:tcBorders>
            <w:noWrap w:val="0"/>
            <w:vAlign w:val="center"/>
          </w:tcPr>
          <w:p w14:paraId="532EB377">
            <w:pPr>
              <w:topLinePunct/>
              <w:spacing w:line="440" w:lineRule="exact"/>
              <w:ind w:right="26" w:rightChars="11"/>
              <w:jc w:val="center"/>
              <w:rPr>
                <w:rFonts w:hint="eastAsia" w:ascii="宋体" w:hAnsi="宋体" w:eastAsia="宋体" w:cs="宋体"/>
                <w:color w:val="auto"/>
                <w:sz w:val="22"/>
                <w:szCs w:val="22"/>
                <w:highlight w:val="none"/>
              </w:rPr>
            </w:pPr>
          </w:p>
        </w:tc>
        <w:tc>
          <w:tcPr>
            <w:tcW w:w="880" w:type="dxa"/>
            <w:gridSpan w:val="2"/>
            <w:tcBorders>
              <w:top w:val="single" w:color="auto" w:sz="6" w:space="0"/>
              <w:left w:val="single" w:color="auto" w:sz="6" w:space="0"/>
              <w:bottom w:val="single" w:color="auto" w:sz="6" w:space="0"/>
              <w:right w:val="single" w:color="auto" w:sz="6" w:space="0"/>
            </w:tcBorders>
            <w:noWrap w:val="0"/>
            <w:vAlign w:val="center"/>
          </w:tcPr>
          <w:p w14:paraId="59F09965">
            <w:pPr>
              <w:topLinePunct/>
              <w:spacing w:line="440" w:lineRule="exact"/>
              <w:ind w:right="26" w:rightChars="11"/>
              <w:jc w:val="center"/>
              <w:rPr>
                <w:rFonts w:hint="eastAsia" w:ascii="宋体" w:hAnsi="宋体" w:eastAsia="宋体" w:cs="宋体"/>
                <w:color w:val="auto"/>
                <w:sz w:val="22"/>
                <w:szCs w:val="22"/>
                <w:highlight w:val="none"/>
              </w:rPr>
            </w:pPr>
          </w:p>
        </w:tc>
        <w:tc>
          <w:tcPr>
            <w:tcW w:w="1331" w:type="dxa"/>
            <w:gridSpan w:val="2"/>
            <w:tcBorders>
              <w:top w:val="single" w:color="auto" w:sz="6" w:space="0"/>
              <w:left w:val="single" w:color="auto" w:sz="6" w:space="0"/>
              <w:bottom w:val="single" w:color="auto" w:sz="6" w:space="0"/>
              <w:right w:val="single" w:color="auto" w:sz="6" w:space="0"/>
            </w:tcBorders>
            <w:noWrap w:val="0"/>
            <w:vAlign w:val="center"/>
          </w:tcPr>
          <w:p w14:paraId="17773CF8">
            <w:pPr>
              <w:topLinePunct/>
              <w:spacing w:line="440" w:lineRule="exact"/>
              <w:ind w:right="26" w:rightChars="11"/>
              <w:jc w:val="center"/>
              <w:rPr>
                <w:rFonts w:hint="eastAsia" w:ascii="宋体" w:hAnsi="宋体" w:eastAsia="宋体" w:cs="宋体"/>
                <w:color w:val="auto"/>
                <w:sz w:val="22"/>
                <w:szCs w:val="22"/>
                <w:highlight w:val="none"/>
              </w:rPr>
            </w:pPr>
          </w:p>
        </w:tc>
        <w:tc>
          <w:tcPr>
            <w:tcW w:w="3144" w:type="dxa"/>
            <w:gridSpan w:val="2"/>
            <w:tcBorders>
              <w:top w:val="single" w:color="auto" w:sz="6" w:space="0"/>
              <w:left w:val="single" w:color="auto" w:sz="6" w:space="0"/>
              <w:bottom w:val="single" w:color="auto" w:sz="6" w:space="0"/>
              <w:right w:val="double" w:color="auto" w:sz="4" w:space="0"/>
            </w:tcBorders>
            <w:noWrap w:val="0"/>
            <w:vAlign w:val="center"/>
          </w:tcPr>
          <w:p w14:paraId="3CE099C5">
            <w:pPr>
              <w:topLinePunct/>
              <w:spacing w:line="440" w:lineRule="exact"/>
              <w:ind w:right="26" w:rightChars="11"/>
              <w:jc w:val="center"/>
              <w:rPr>
                <w:rFonts w:hint="eastAsia" w:ascii="宋体" w:hAnsi="宋体" w:eastAsia="宋体" w:cs="宋体"/>
                <w:color w:val="auto"/>
                <w:sz w:val="22"/>
                <w:szCs w:val="22"/>
                <w:highlight w:val="none"/>
              </w:rPr>
            </w:pPr>
          </w:p>
        </w:tc>
      </w:tr>
    </w:tbl>
    <w:p w14:paraId="1DCE45A5">
      <w:pPr>
        <w:pStyle w:val="8"/>
        <w:numPr>
          <w:ilvl w:val="0"/>
          <w:numId w:val="0"/>
        </w:numPr>
        <w:rPr>
          <w:rFonts w:hint="eastAsia" w:ascii="宋体" w:hAnsi="宋体" w:eastAsia="宋体" w:cs="宋体"/>
          <w:color w:val="auto"/>
        </w:rPr>
      </w:pPr>
    </w:p>
    <w:p w14:paraId="5432CFE8">
      <w:pPr>
        <w:spacing w:before="190" w:beforeLines="50" w:line="500" w:lineRule="exact"/>
        <w:jc w:val="left"/>
        <w:rPr>
          <w:rFonts w:hint="eastAsia" w:ascii="宋体" w:hAnsi="宋体" w:eastAsia="宋体" w:cs="宋体"/>
          <w:b/>
          <w:color w:val="auto"/>
          <w:sz w:val="28"/>
          <w:szCs w:val="28"/>
        </w:rPr>
      </w:pPr>
    </w:p>
    <w:p w14:paraId="2CDE0DF3">
      <w:pPr>
        <w:pStyle w:val="25"/>
        <w:rPr>
          <w:rFonts w:hint="eastAsia" w:ascii="宋体" w:hAnsi="宋体" w:eastAsia="宋体" w:cs="宋体"/>
          <w:color w:val="auto"/>
        </w:rPr>
      </w:pPr>
    </w:p>
    <w:p w14:paraId="7CF344EA">
      <w:pPr>
        <w:rPr>
          <w:rFonts w:hint="eastAsia" w:ascii="宋体" w:hAnsi="宋体" w:eastAsia="宋体" w:cs="宋体"/>
          <w:color w:val="auto"/>
        </w:rPr>
      </w:pPr>
    </w:p>
    <w:p w14:paraId="239AF9AE">
      <w:pPr>
        <w:spacing w:before="190" w:beforeLines="50" w:line="500" w:lineRule="exact"/>
        <w:jc w:val="left"/>
        <w:rPr>
          <w:rFonts w:hint="eastAsia" w:ascii="宋体" w:hAnsi="宋体" w:eastAsia="宋体" w:cs="宋体"/>
          <w:b/>
          <w:color w:val="auto"/>
          <w:sz w:val="28"/>
          <w:szCs w:val="28"/>
        </w:rPr>
      </w:pPr>
    </w:p>
    <w:p w14:paraId="14E8AFAC">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rPr>
        <w:t>供应商性质</w:t>
      </w:r>
    </w:p>
    <w:p w14:paraId="0CA448F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的，不影响响应文件的有效性。</w:t>
      </w:r>
    </w:p>
    <w:p w14:paraId="6C57C59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14:paraId="48B1A90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14:paraId="69494FF4">
      <w:pPr>
        <w:bidi w:val="0"/>
        <w:rPr>
          <w:rFonts w:hint="eastAsia" w:ascii="宋体" w:hAnsi="宋体" w:eastAsia="宋体" w:cs="宋体"/>
          <w:color w:val="auto"/>
        </w:rPr>
      </w:pPr>
    </w:p>
    <w:p w14:paraId="4C3CC7B3">
      <w:pPr>
        <w:bidi w:val="0"/>
        <w:jc w:val="center"/>
        <w:rPr>
          <w:rFonts w:hint="eastAsia" w:ascii="宋体" w:hAnsi="宋体" w:eastAsia="宋体" w:cs="宋体"/>
          <w:color w:val="auto"/>
        </w:rPr>
      </w:pPr>
    </w:p>
    <w:p w14:paraId="03C92C4E">
      <w:pPr>
        <w:spacing w:before="190" w:beforeLines="50" w:line="500" w:lineRule="exact"/>
        <w:ind w:firstLine="562" w:firstLineChars="200"/>
        <w:jc w:val="center"/>
        <w:rPr>
          <w:rFonts w:hint="eastAsia" w:ascii="宋体" w:hAnsi="宋体" w:eastAsia="宋体" w:cs="宋体"/>
          <w:b/>
          <w:bCs/>
          <w:color w:val="auto"/>
          <w:sz w:val="28"/>
          <w:szCs w:val="28"/>
        </w:rPr>
      </w:pPr>
      <w:bookmarkStart w:id="338" w:name="_Toc48834336"/>
    </w:p>
    <w:p w14:paraId="130FDE4F">
      <w:pPr>
        <w:spacing w:before="190" w:beforeLines="50" w:line="500" w:lineRule="exact"/>
        <w:ind w:firstLine="562" w:firstLineChars="200"/>
        <w:jc w:val="center"/>
        <w:rPr>
          <w:rFonts w:hint="eastAsia" w:ascii="宋体" w:hAnsi="宋体" w:eastAsia="宋体" w:cs="宋体"/>
          <w:b/>
          <w:bCs/>
          <w:color w:val="auto"/>
          <w:sz w:val="28"/>
          <w:szCs w:val="28"/>
        </w:rPr>
      </w:pPr>
    </w:p>
    <w:p w14:paraId="7EE393FA">
      <w:pPr>
        <w:spacing w:before="190" w:beforeLines="50" w:line="500" w:lineRule="exact"/>
        <w:ind w:firstLine="562" w:firstLineChars="200"/>
        <w:jc w:val="center"/>
        <w:rPr>
          <w:rFonts w:hint="eastAsia" w:ascii="宋体" w:hAnsi="宋体" w:eastAsia="宋体" w:cs="宋体"/>
          <w:b/>
          <w:bCs/>
          <w:color w:val="auto"/>
          <w:sz w:val="28"/>
          <w:szCs w:val="28"/>
        </w:rPr>
      </w:pPr>
    </w:p>
    <w:p w14:paraId="7912095B">
      <w:pPr>
        <w:spacing w:before="190" w:beforeLines="50" w:line="500" w:lineRule="exact"/>
        <w:ind w:firstLine="562" w:firstLineChars="200"/>
        <w:jc w:val="center"/>
        <w:rPr>
          <w:rFonts w:hint="eastAsia" w:ascii="宋体" w:hAnsi="宋体" w:eastAsia="宋体" w:cs="宋体"/>
          <w:b/>
          <w:bCs/>
          <w:color w:val="auto"/>
          <w:sz w:val="28"/>
          <w:szCs w:val="28"/>
        </w:rPr>
      </w:pPr>
    </w:p>
    <w:p w14:paraId="51954251">
      <w:pPr>
        <w:spacing w:before="190" w:beforeLines="50" w:line="500" w:lineRule="exact"/>
        <w:ind w:firstLine="562" w:firstLineChars="200"/>
        <w:jc w:val="center"/>
        <w:rPr>
          <w:rFonts w:hint="eastAsia" w:ascii="宋体" w:hAnsi="宋体" w:eastAsia="宋体" w:cs="宋体"/>
          <w:b/>
          <w:bCs/>
          <w:color w:val="auto"/>
          <w:sz w:val="28"/>
          <w:szCs w:val="28"/>
        </w:rPr>
      </w:pPr>
    </w:p>
    <w:p w14:paraId="3FF80FB4">
      <w:pPr>
        <w:spacing w:before="190" w:beforeLines="50" w:line="500" w:lineRule="exact"/>
        <w:ind w:firstLine="562" w:firstLineChars="200"/>
        <w:jc w:val="center"/>
        <w:rPr>
          <w:rFonts w:hint="eastAsia" w:ascii="宋体" w:hAnsi="宋体" w:eastAsia="宋体" w:cs="宋体"/>
          <w:b/>
          <w:bCs/>
          <w:color w:val="auto"/>
          <w:sz w:val="28"/>
          <w:szCs w:val="28"/>
        </w:rPr>
      </w:pPr>
    </w:p>
    <w:p w14:paraId="685F0688">
      <w:pPr>
        <w:spacing w:before="190" w:beforeLines="50" w:line="500" w:lineRule="exact"/>
        <w:ind w:firstLine="562" w:firstLineChars="200"/>
        <w:jc w:val="center"/>
        <w:rPr>
          <w:rFonts w:hint="eastAsia" w:ascii="宋体" w:hAnsi="宋体" w:eastAsia="宋体" w:cs="宋体"/>
          <w:b/>
          <w:bCs/>
          <w:color w:val="auto"/>
          <w:sz w:val="28"/>
          <w:szCs w:val="28"/>
        </w:rPr>
      </w:pPr>
    </w:p>
    <w:p w14:paraId="32504235">
      <w:pPr>
        <w:spacing w:before="190" w:beforeLines="50" w:line="500" w:lineRule="exact"/>
        <w:ind w:firstLine="562" w:firstLineChars="200"/>
        <w:jc w:val="center"/>
        <w:rPr>
          <w:rFonts w:hint="eastAsia" w:ascii="宋体" w:hAnsi="宋体" w:eastAsia="宋体" w:cs="宋体"/>
          <w:b/>
          <w:bCs/>
          <w:color w:val="auto"/>
          <w:sz w:val="28"/>
          <w:szCs w:val="28"/>
        </w:rPr>
      </w:pPr>
    </w:p>
    <w:p w14:paraId="02E83804">
      <w:pPr>
        <w:spacing w:before="190" w:beforeLines="50" w:line="500" w:lineRule="exact"/>
        <w:ind w:firstLine="562" w:firstLineChars="200"/>
        <w:jc w:val="center"/>
        <w:rPr>
          <w:rFonts w:hint="eastAsia" w:ascii="宋体" w:hAnsi="宋体" w:eastAsia="宋体" w:cs="宋体"/>
          <w:b/>
          <w:bCs/>
          <w:color w:val="auto"/>
          <w:sz w:val="28"/>
          <w:szCs w:val="28"/>
        </w:rPr>
      </w:pPr>
    </w:p>
    <w:p w14:paraId="1B692826">
      <w:pPr>
        <w:spacing w:before="190" w:beforeLines="50" w:line="500" w:lineRule="exact"/>
        <w:ind w:firstLine="562" w:firstLineChars="200"/>
        <w:jc w:val="center"/>
        <w:rPr>
          <w:rFonts w:hint="eastAsia" w:ascii="宋体" w:hAnsi="宋体" w:eastAsia="宋体" w:cs="宋体"/>
          <w:b/>
          <w:bCs/>
          <w:color w:val="auto"/>
          <w:sz w:val="28"/>
          <w:szCs w:val="28"/>
        </w:rPr>
      </w:pPr>
    </w:p>
    <w:p w14:paraId="3E623869">
      <w:pPr>
        <w:spacing w:before="190" w:beforeLines="50" w:line="500" w:lineRule="exact"/>
        <w:ind w:firstLine="562" w:firstLineChars="200"/>
        <w:jc w:val="center"/>
        <w:rPr>
          <w:rFonts w:hint="eastAsia" w:ascii="宋体" w:hAnsi="宋体" w:eastAsia="宋体" w:cs="宋体"/>
          <w:b/>
          <w:bCs/>
          <w:color w:val="auto"/>
          <w:sz w:val="28"/>
          <w:szCs w:val="28"/>
        </w:rPr>
      </w:pPr>
    </w:p>
    <w:p w14:paraId="1CE9428C">
      <w:pPr>
        <w:spacing w:before="190" w:beforeLines="50" w:line="500" w:lineRule="exact"/>
        <w:ind w:firstLine="562" w:firstLineChars="200"/>
        <w:jc w:val="center"/>
        <w:rPr>
          <w:rFonts w:hint="eastAsia" w:ascii="宋体" w:hAnsi="宋体" w:eastAsia="宋体" w:cs="宋体"/>
          <w:b/>
          <w:bCs/>
          <w:color w:val="auto"/>
          <w:sz w:val="28"/>
          <w:szCs w:val="28"/>
        </w:rPr>
      </w:pPr>
    </w:p>
    <w:p w14:paraId="51D735CB">
      <w:pPr>
        <w:spacing w:before="190" w:beforeLines="50" w:line="500" w:lineRule="exact"/>
        <w:ind w:firstLine="562" w:firstLineChars="200"/>
        <w:jc w:val="center"/>
        <w:rPr>
          <w:rFonts w:hint="eastAsia" w:ascii="宋体" w:hAnsi="宋体" w:eastAsia="宋体" w:cs="宋体"/>
          <w:b/>
          <w:bCs/>
          <w:color w:val="auto"/>
          <w:sz w:val="28"/>
          <w:szCs w:val="28"/>
        </w:rPr>
      </w:pPr>
    </w:p>
    <w:p w14:paraId="0E61FF00">
      <w:pPr>
        <w:spacing w:before="190" w:beforeLines="50" w:line="500" w:lineRule="exact"/>
        <w:ind w:firstLine="562" w:firstLineChars="200"/>
        <w:jc w:val="center"/>
        <w:rPr>
          <w:rFonts w:hint="eastAsia" w:ascii="宋体" w:hAnsi="宋体" w:eastAsia="宋体" w:cs="宋体"/>
          <w:b/>
          <w:bCs/>
          <w:color w:val="auto"/>
          <w:sz w:val="28"/>
          <w:szCs w:val="28"/>
        </w:rPr>
      </w:pPr>
    </w:p>
    <w:p w14:paraId="023B1A47">
      <w:pPr>
        <w:spacing w:before="190" w:beforeLines="50" w:line="500" w:lineRule="exact"/>
        <w:ind w:firstLine="562" w:firstLineChars="200"/>
        <w:jc w:val="center"/>
        <w:rPr>
          <w:rFonts w:hint="eastAsia" w:ascii="宋体" w:hAnsi="宋体" w:eastAsia="宋体" w:cs="宋体"/>
          <w:b/>
          <w:bCs/>
          <w:color w:val="auto"/>
          <w:sz w:val="28"/>
          <w:szCs w:val="28"/>
        </w:rPr>
      </w:pPr>
    </w:p>
    <w:p w14:paraId="17F71011">
      <w:pPr>
        <w:spacing w:before="190" w:beforeLines="50" w:line="500" w:lineRule="exact"/>
        <w:ind w:firstLine="562" w:firstLineChars="200"/>
        <w:jc w:val="center"/>
        <w:rPr>
          <w:rFonts w:hint="eastAsia" w:ascii="宋体" w:hAnsi="宋体" w:eastAsia="宋体" w:cs="宋体"/>
          <w:b/>
          <w:color w:val="auto"/>
          <w:sz w:val="24"/>
          <w:szCs w:val="24"/>
        </w:rPr>
      </w:pPr>
      <w:r>
        <w:rPr>
          <w:rFonts w:hint="eastAsia" w:ascii="宋体" w:hAnsi="宋体" w:eastAsia="宋体" w:cs="宋体"/>
          <w:b/>
          <w:bCs/>
          <w:color w:val="auto"/>
          <w:sz w:val="28"/>
          <w:szCs w:val="28"/>
        </w:rPr>
        <w:t>残疾人福利性单位声明函</w:t>
      </w:r>
      <w:bookmarkEnd w:id="338"/>
    </w:p>
    <w:p w14:paraId="5B26C58B">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14:paraId="3F64841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27729D7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020A013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320BAAED">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515E3FA6">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10AD754B">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 民政部 中国残疾人联合会关于促进残疾人就业政府采购政策的通知》（财库〔2017〕141号）的规定：</w:t>
      </w:r>
    </w:p>
    <w:p w14:paraId="32ED6193">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30F42698">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5785ACF9">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3BEBDDFA">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F4CA40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41626BFF">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（五）提供本单位承担的服务（以下简称产品），或者提供其他残疾人福利性单位提供的服。</w:t>
      </w:r>
    </w:p>
    <w:p w14:paraId="3A12ABC0">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5905884C">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339" w:name="_Toc48834337"/>
    </w:p>
    <w:p w14:paraId="14351710">
      <w:pPr>
        <w:tabs>
          <w:tab w:val="left" w:pos="5670"/>
        </w:tabs>
        <w:spacing w:line="500" w:lineRule="exact"/>
        <w:ind w:firstLine="562" w:firstLineChars="200"/>
        <w:jc w:val="center"/>
        <w:rPr>
          <w:rFonts w:hint="eastAsia" w:ascii="宋体" w:hAnsi="宋体" w:eastAsia="宋体" w:cs="宋体"/>
          <w:b/>
          <w:bCs/>
          <w:color w:val="auto"/>
          <w:sz w:val="28"/>
          <w:szCs w:val="28"/>
        </w:rPr>
      </w:pPr>
    </w:p>
    <w:p w14:paraId="2695F03F">
      <w:pPr>
        <w:tabs>
          <w:tab w:val="left" w:pos="5670"/>
        </w:tabs>
        <w:spacing w:line="500" w:lineRule="exact"/>
        <w:ind w:firstLine="562" w:firstLineChars="200"/>
        <w:jc w:val="center"/>
        <w:rPr>
          <w:rFonts w:hint="eastAsia" w:ascii="宋体" w:hAnsi="宋体" w:eastAsia="宋体" w:cs="宋体"/>
          <w:b/>
          <w:bCs/>
          <w:color w:val="auto"/>
          <w:sz w:val="28"/>
          <w:szCs w:val="28"/>
        </w:rPr>
      </w:pPr>
    </w:p>
    <w:p w14:paraId="5088F5E3">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339"/>
    </w:p>
    <w:p w14:paraId="2AFE9A2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462737A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79A924C0">
      <w:pPr>
        <w:spacing w:line="360" w:lineRule="atLeast"/>
        <w:jc w:val="center"/>
        <w:rPr>
          <w:rFonts w:hint="eastAsia" w:ascii="宋体" w:hAnsi="宋体" w:eastAsia="宋体" w:cs="宋体"/>
          <w:b/>
          <w:color w:val="auto"/>
          <w:sz w:val="32"/>
          <w:szCs w:val="32"/>
        </w:rPr>
      </w:pPr>
    </w:p>
    <w:p w14:paraId="3B3FD353">
      <w:pPr>
        <w:spacing w:line="360" w:lineRule="atLeast"/>
        <w:jc w:val="center"/>
        <w:rPr>
          <w:rFonts w:hint="eastAsia" w:ascii="宋体" w:hAnsi="宋体" w:eastAsia="宋体" w:cs="宋体"/>
          <w:b/>
          <w:color w:val="auto"/>
          <w:sz w:val="32"/>
          <w:szCs w:val="32"/>
        </w:rPr>
      </w:pPr>
    </w:p>
    <w:p w14:paraId="3F63CCEA">
      <w:pPr>
        <w:spacing w:line="360" w:lineRule="atLeast"/>
        <w:jc w:val="center"/>
        <w:rPr>
          <w:rFonts w:hint="eastAsia" w:ascii="宋体" w:hAnsi="宋体" w:eastAsia="宋体" w:cs="宋体"/>
          <w:b/>
          <w:color w:val="auto"/>
          <w:sz w:val="32"/>
          <w:szCs w:val="32"/>
        </w:rPr>
      </w:pPr>
    </w:p>
    <w:p w14:paraId="35CB1E71">
      <w:pPr>
        <w:spacing w:line="360" w:lineRule="atLeast"/>
        <w:jc w:val="center"/>
        <w:rPr>
          <w:rFonts w:hint="eastAsia" w:ascii="宋体" w:hAnsi="宋体" w:eastAsia="宋体" w:cs="宋体"/>
          <w:b/>
          <w:color w:val="auto"/>
          <w:sz w:val="32"/>
          <w:szCs w:val="32"/>
        </w:rPr>
      </w:pPr>
    </w:p>
    <w:p w14:paraId="1F2D7925">
      <w:pPr>
        <w:spacing w:line="360" w:lineRule="atLeast"/>
        <w:jc w:val="center"/>
        <w:rPr>
          <w:rFonts w:hint="eastAsia" w:ascii="宋体" w:hAnsi="宋体" w:eastAsia="宋体" w:cs="宋体"/>
          <w:b/>
          <w:color w:val="auto"/>
          <w:sz w:val="32"/>
          <w:szCs w:val="32"/>
        </w:rPr>
      </w:pPr>
    </w:p>
    <w:p w14:paraId="3D7778B2">
      <w:pPr>
        <w:spacing w:line="360" w:lineRule="atLeast"/>
        <w:jc w:val="center"/>
        <w:rPr>
          <w:rFonts w:hint="eastAsia" w:ascii="宋体" w:hAnsi="宋体" w:eastAsia="宋体" w:cs="宋体"/>
          <w:b/>
          <w:color w:val="auto"/>
          <w:sz w:val="32"/>
          <w:szCs w:val="32"/>
        </w:rPr>
      </w:pPr>
    </w:p>
    <w:p w14:paraId="24301DE4">
      <w:pPr>
        <w:spacing w:line="360" w:lineRule="atLeast"/>
        <w:jc w:val="center"/>
        <w:rPr>
          <w:rFonts w:hint="eastAsia" w:ascii="宋体" w:hAnsi="宋体" w:eastAsia="宋体" w:cs="宋体"/>
          <w:b/>
          <w:color w:val="auto"/>
          <w:sz w:val="32"/>
          <w:szCs w:val="32"/>
        </w:rPr>
      </w:pPr>
    </w:p>
    <w:p w14:paraId="77D96623">
      <w:pPr>
        <w:spacing w:line="360" w:lineRule="atLeast"/>
        <w:jc w:val="center"/>
        <w:rPr>
          <w:rFonts w:hint="eastAsia" w:ascii="宋体" w:hAnsi="宋体" w:eastAsia="宋体" w:cs="宋体"/>
          <w:b/>
          <w:color w:val="auto"/>
          <w:sz w:val="32"/>
          <w:szCs w:val="32"/>
        </w:rPr>
      </w:pPr>
    </w:p>
    <w:p w14:paraId="6F066BCC">
      <w:pPr>
        <w:spacing w:line="360" w:lineRule="atLeast"/>
        <w:jc w:val="center"/>
        <w:rPr>
          <w:rFonts w:hint="eastAsia" w:ascii="宋体" w:hAnsi="宋体" w:eastAsia="宋体" w:cs="宋体"/>
          <w:b/>
          <w:color w:val="auto"/>
          <w:sz w:val="32"/>
          <w:szCs w:val="32"/>
        </w:rPr>
      </w:pPr>
    </w:p>
    <w:p w14:paraId="361F1829">
      <w:pPr>
        <w:spacing w:line="360" w:lineRule="atLeast"/>
        <w:jc w:val="center"/>
        <w:rPr>
          <w:rFonts w:hint="eastAsia" w:ascii="宋体" w:hAnsi="宋体" w:eastAsia="宋体" w:cs="宋体"/>
          <w:b/>
          <w:color w:val="auto"/>
          <w:sz w:val="32"/>
          <w:szCs w:val="32"/>
        </w:rPr>
      </w:pPr>
    </w:p>
    <w:p w14:paraId="4FD2BE8C">
      <w:pPr>
        <w:spacing w:line="360" w:lineRule="atLeast"/>
        <w:jc w:val="center"/>
        <w:rPr>
          <w:rFonts w:hint="eastAsia" w:ascii="宋体" w:hAnsi="宋体" w:eastAsia="宋体" w:cs="宋体"/>
          <w:b/>
          <w:color w:val="auto"/>
          <w:sz w:val="32"/>
          <w:szCs w:val="32"/>
        </w:rPr>
      </w:pPr>
    </w:p>
    <w:p w14:paraId="6926FBDA">
      <w:pPr>
        <w:spacing w:line="360" w:lineRule="atLeast"/>
        <w:jc w:val="center"/>
        <w:rPr>
          <w:rFonts w:hint="eastAsia" w:ascii="宋体" w:hAnsi="宋体" w:eastAsia="宋体" w:cs="宋体"/>
          <w:b/>
          <w:color w:val="auto"/>
          <w:sz w:val="32"/>
          <w:szCs w:val="32"/>
        </w:rPr>
      </w:pPr>
    </w:p>
    <w:p w14:paraId="3D30689C">
      <w:pPr>
        <w:spacing w:line="360" w:lineRule="atLeast"/>
        <w:jc w:val="center"/>
        <w:rPr>
          <w:rFonts w:hint="eastAsia" w:ascii="宋体" w:hAnsi="宋体" w:eastAsia="宋体" w:cs="宋体"/>
          <w:b/>
          <w:color w:val="auto"/>
          <w:sz w:val="32"/>
          <w:szCs w:val="32"/>
        </w:rPr>
      </w:pPr>
    </w:p>
    <w:p w14:paraId="402B3ECA">
      <w:pPr>
        <w:spacing w:line="360" w:lineRule="atLeast"/>
        <w:jc w:val="center"/>
        <w:rPr>
          <w:rFonts w:hint="eastAsia" w:ascii="宋体" w:hAnsi="宋体" w:eastAsia="宋体" w:cs="宋体"/>
          <w:b/>
          <w:color w:val="auto"/>
          <w:sz w:val="32"/>
          <w:szCs w:val="32"/>
        </w:rPr>
      </w:pPr>
    </w:p>
    <w:p w14:paraId="6A216A7E">
      <w:pPr>
        <w:spacing w:line="360" w:lineRule="atLeast"/>
        <w:jc w:val="center"/>
        <w:rPr>
          <w:rFonts w:hint="eastAsia" w:ascii="宋体" w:hAnsi="宋体" w:eastAsia="宋体" w:cs="宋体"/>
          <w:b/>
          <w:color w:val="auto"/>
          <w:sz w:val="32"/>
          <w:szCs w:val="32"/>
        </w:rPr>
      </w:pPr>
    </w:p>
    <w:p w14:paraId="06D0785D">
      <w:pPr>
        <w:spacing w:line="360" w:lineRule="atLeast"/>
        <w:jc w:val="center"/>
        <w:rPr>
          <w:rFonts w:hint="eastAsia" w:ascii="宋体" w:hAnsi="宋体" w:eastAsia="宋体" w:cs="宋体"/>
          <w:b/>
          <w:color w:val="auto"/>
          <w:sz w:val="32"/>
          <w:szCs w:val="32"/>
        </w:rPr>
      </w:pPr>
    </w:p>
    <w:p w14:paraId="43034943">
      <w:pPr>
        <w:spacing w:line="360" w:lineRule="atLeast"/>
        <w:jc w:val="center"/>
        <w:rPr>
          <w:rFonts w:hint="eastAsia" w:ascii="宋体" w:hAnsi="宋体" w:eastAsia="宋体" w:cs="宋体"/>
          <w:b/>
          <w:color w:val="auto"/>
          <w:sz w:val="32"/>
          <w:szCs w:val="32"/>
        </w:rPr>
      </w:pPr>
    </w:p>
    <w:p w14:paraId="51B85737">
      <w:pPr>
        <w:spacing w:line="360" w:lineRule="atLeast"/>
        <w:jc w:val="center"/>
        <w:rPr>
          <w:rFonts w:hint="eastAsia" w:ascii="宋体" w:hAnsi="宋体" w:eastAsia="宋体" w:cs="宋体"/>
          <w:b/>
          <w:color w:val="auto"/>
          <w:sz w:val="32"/>
          <w:szCs w:val="32"/>
        </w:rPr>
      </w:pPr>
    </w:p>
    <w:p w14:paraId="67BC7231">
      <w:pPr>
        <w:spacing w:line="360" w:lineRule="atLeast"/>
        <w:jc w:val="center"/>
        <w:rPr>
          <w:rFonts w:hint="eastAsia" w:ascii="宋体" w:hAnsi="宋体" w:eastAsia="宋体" w:cs="宋体"/>
          <w:b/>
          <w:color w:val="auto"/>
          <w:sz w:val="32"/>
          <w:szCs w:val="32"/>
        </w:rPr>
      </w:pPr>
    </w:p>
    <w:p w14:paraId="1543F78B">
      <w:pPr>
        <w:spacing w:line="360" w:lineRule="atLeast"/>
        <w:jc w:val="center"/>
        <w:rPr>
          <w:rFonts w:hint="eastAsia" w:ascii="宋体" w:hAnsi="宋体" w:eastAsia="宋体" w:cs="宋体"/>
          <w:b/>
          <w:color w:val="auto"/>
          <w:sz w:val="32"/>
          <w:szCs w:val="32"/>
        </w:rPr>
      </w:pPr>
    </w:p>
    <w:p w14:paraId="7FD4C784">
      <w:pPr>
        <w:spacing w:line="360" w:lineRule="atLeast"/>
        <w:jc w:val="center"/>
        <w:rPr>
          <w:rFonts w:hint="eastAsia" w:ascii="宋体" w:hAnsi="宋体" w:eastAsia="宋体" w:cs="宋体"/>
          <w:b/>
          <w:color w:val="auto"/>
          <w:sz w:val="32"/>
          <w:szCs w:val="32"/>
        </w:rPr>
      </w:pPr>
    </w:p>
    <w:p w14:paraId="21E2C818">
      <w:pPr>
        <w:pStyle w:val="20"/>
        <w:spacing w:line="500" w:lineRule="exact"/>
        <w:ind w:left="0" w:leftChars="0" w:firstLine="0" w:firstLineChars="0"/>
        <w:jc w:val="left"/>
        <w:rPr>
          <w:rFonts w:hint="eastAsia" w:ascii="宋体" w:hAnsi="宋体" w:eastAsia="宋体" w:cs="宋体"/>
          <w:color w:val="auto"/>
        </w:rPr>
      </w:pPr>
    </w:p>
    <w:p w14:paraId="5398689B">
      <w:pPr>
        <w:spacing w:line="500" w:lineRule="exact"/>
        <w:jc w:val="both"/>
        <w:rPr>
          <w:rFonts w:hint="eastAsia" w:ascii="宋体" w:hAnsi="宋体" w:eastAsia="宋体" w:cs="宋体"/>
          <w:color w:val="auto"/>
          <w:sz w:val="24"/>
          <w:szCs w:val="24"/>
        </w:rPr>
        <w:sectPr>
          <w:headerReference r:id="rId8" w:type="default"/>
          <w:footerReference r:id="rId9" w:type="default"/>
          <w:pgSz w:w="11911" w:h="16843"/>
          <w:pgMar w:top="1304" w:right="1304" w:bottom="1304" w:left="1304" w:header="720" w:footer="720" w:gutter="0"/>
          <w:pgNumType w:fmt="decimal"/>
          <w:cols w:space="720" w:num="1"/>
          <w:rtlGutter w:val="0"/>
          <w:docGrid w:linePitch="1" w:charSpace="0"/>
        </w:sectPr>
      </w:pPr>
    </w:p>
    <w:p w14:paraId="1ABC6A2A">
      <w:pPr>
        <w:pStyle w:val="35"/>
        <w:spacing w:line="500" w:lineRule="exact"/>
        <w:jc w:val="center"/>
        <w:outlineLvl w:val="9"/>
        <w:rPr>
          <w:rFonts w:hint="eastAsia" w:ascii="宋体" w:hAnsi="宋体" w:eastAsia="宋体" w:cs="宋体"/>
          <w:b w:val="0"/>
          <w:color w:val="auto"/>
          <w:sz w:val="28"/>
          <w:szCs w:val="28"/>
        </w:rPr>
      </w:pPr>
      <w:bookmarkStart w:id="340" w:name="_Toc48834132"/>
      <w:bookmarkStart w:id="341" w:name="_Toc15439"/>
      <w:bookmarkStart w:id="342" w:name="_Toc22347"/>
      <w:bookmarkStart w:id="343" w:name="_Toc10991"/>
      <w:bookmarkStart w:id="344" w:name="_Toc48834330"/>
      <w:bookmarkStart w:id="345" w:name="_Toc48834202"/>
      <w:bookmarkStart w:id="346" w:name="_Toc30708"/>
      <w:bookmarkStart w:id="347" w:name="_Toc12234"/>
      <w:r>
        <w:rPr>
          <w:rFonts w:hint="eastAsia" w:ascii="宋体" w:hAnsi="宋体" w:eastAsia="宋体" w:cs="宋体"/>
          <w:bCs w:val="0"/>
          <w:color w:val="auto"/>
        </w:rPr>
        <w:t>第</w:t>
      </w:r>
      <w:r>
        <w:rPr>
          <w:rFonts w:hint="eastAsia" w:ascii="宋体" w:hAnsi="宋体" w:eastAsia="宋体" w:cs="宋体"/>
          <w:bCs w:val="0"/>
          <w:color w:val="auto"/>
          <w:lang w:val="en-US" w:eastAsia="zh-CN"/>
        </w:rPr>
        <w:t>七章</w:t>
      </w:r>
      <w:r>
        <w:rPr>
          <w:rFonts w:hint="eastAsia" w:ascii="宋体" w:hAnsi="宋体" w:eastAsia="宋体" w:cs="宋体"/>
          <w:bCs w:val="0"/>
          <w:color w:val="auto"/>
        </w:rPr>
        <w:t xml:space="preserve">  供应商参加政府采购活动承诺书</w:t>
      </w:r>
      <w:bookmarkEnd w:id="340"/>
      <w:bookmarkEnd w:id="341"/>
      <w:bookmarkEnd w:id="342"/>
      <w:bookmarkEnd w:id="343"/>
      <w:bookmarkEnd w:id="344"/>
      <w:bookmarkEnd w:id="345"/>
      <w:bookmarkEnd w:id="346"/>
      <w:bookmarkEnd w:id="347"/>
    </w:p>
    <w:p w14:paraId="5CE8D091">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0FB5DB2B">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79030BD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01B2DEA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2ABBB01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3BE91A9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3AA6D053">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50727B2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781135A4">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27271F43">
      <w:pPr>
        <w:pStyle w:val="20"/>
        <w:rPr>
          <w:rFonts w:hint="eastAsia" w:ascii="宋体" w:hAnsi="宋体" w:eastAsia="宋体" w:cs="宋体"/>
          <w:color w:val="auto"/>
          <w:sz w:val="24"/>
          <w:szCs w:val="24"/>
        </w:rPr>
      </w:pPr>
    </w:p>
    <w:p w14:paraId="39DEAC07">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3BA4B6E2">
      <w:pPr>
        <w:pStyle w:val="20"/>
        <w:rPr>
          <w:rFonts w:hint="eastAsia" w:ascii="宋体" w:hAnsi="宋体" w:eastAsia="宋体" w:cs="宋体"/>
          <w:color w:val="auto"/>
        </w:rPr>
      </w:pPr>
    </w:p>
    <w:p w14:paraId="711BF36A">
      <w:pPr>
        <w:pStyle w:val="20"/>
        <w:rPr>
          <w:rFonts w:hint="eastAsia" w:ascii="宋体" w:hAnsi="宋体" w:eastAsia="宋体" w:cs="宋体"/>
          <w:color w:val="auto"/>
        </w:rPr>
      </w:pPr>
    </w:p>
    <w:p w14:paraId="18F68E69">
      <w:pPr>
        <w:pStyle w:val="20"/>
        <w:rPr>
          <w:rFonts w:hint="eastAsia" w:ascii="宋体" w:hAnsi="宋体" w:eastAsia="宋体" w:cs="宋体"/>
          <w:color w:val="auto"/>
        </w:rPr>
      </w:pPr>
    </w:p>
    <w:p w14:paraId="7C2D4FEF">
      <w:pPr>
        <w:pStyle w:val="20"/>
        <w:rPr>
          <w:rFonts w:hint="eastAsia" w:ascii="宋体" w:hAnsi="宋体" w:eastAsia="宋体" w:cs="宋体"/>
          <w:color w:val="auto"/>
        </w:rPr>
      </w:pPr>
    </w:p>
    <w:p w14:paraId="494B3DAF">
      <w:pPr>
        <w:pStyle w:val="20"/>
        <w:rPr>
          <w:rFonts w:hint="eastAsia" w:ascii="宋体" w:hAnsi="宋体" w:eastAsia="宋体" w:cs="宋体"/>
          <w:color w:val="auto"/>
        </w:rPr>
      </w:pPr>
    </w:p>
    <w:p w14:paraId="0416AF40">
      <w:pPr>
        <w:pStyle w:val="20"/>
        <w:rPr>
          <w:rFonts w:hint="eastAsia" w:ascii="宋体" w:hAnsi="宋体" w:eastAsia="宋体" w:cs="宋体"/>
          <w:color w:val="auto"/>
        </w:rPr>
      </w:pPr>
    </w:p>
    <w:p w14:paraId="6D0F8418">
      <w:pPr>
        <w:pStyle w:val="20"/>
        <w:rPr>
          <w:rFonts w:hint="eastAsia" w:ascii="宋体" w:hAnsi="宋体" w:eastAsia="宋体" w:cs="宋体"/>
          <w:color w:val="auto"/>
        </w:rPr>
      </w:pPr>
    </w:p>
    <w:p w14:paraId="40ED44A6">
      <w:pPr>
        <w:pStyle w:val="20"/>
        <w:rPr>
          <w:rFonts w:hint="eastAsia" w:ascii="宋体" w:hAnsi="宋体" w:eastAsia="宋体" w:cs="宋体"/>
          <w:color w:val="auto"/>
        </w:rPr>
      </w:pPr>
    </w:p>
    <w:p w14:paraId="5B688A93">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拒绝政府采购领域商业贿赂承诺书</w:t>
      </w:r>
    </w:p>
    <w:p w14:paraId="7E8DA189">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1AFA8261">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559CEB7E">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01AD4BBC">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23F8590">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65763D3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4020C75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4A5F1EE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4C3ABE2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43F0932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0045D1C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1B9B86B3">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2FB200A8">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44016603">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5568F638">
      <w:pPr>
        <w:pStyle w:val="20"/>
        <w:rPr>
          <w:rFonts w:hint="eastAsia" w:ascii="宋体" w:hAnsi="宋体" w:eastAsia="宋体" w:cs="宋体"/>
          <w:color w:val="auto"/>
        </w:rPr>
      </w:pPr>
    </w:p>
    <w:p w14:paraId="13275EBF">
      <w:pPr>
        <w:pStyle w:val="8"/>
        <w:rPr>
          <w:rFonts w:hint="eastAsia" w:ascii="宋体" w:hAnsi="宋体" w:eastAsia="宋体" w:cs="宋体"/>
          <w:color w:val="auto"/>
          <w:lang w:val="en-US" w:eastAsia="zh-CN"/>
        </w:rPr>
      </w:pPr>
    </w:p>
    <w:p w14:paraId="37167B0A">
      <w:pPr>
        <w:adjustRightInd w:val="0"/>
        <w:snapToGrid w:val="0"/>
        <w:spacing w:line="500" w:lineRule="exact"/>
        <w:rPr>
          <w:rFonts w:hint="eastAsia" w:ascii="宋体" w:hAnsi="宋体" w:eastAsia="宋体" w:cs="宋体"/>
          <w:b/>
          <w:color w:val="auto"/>
          <w:kern w:val="0"/>
          <w:sz w:val="24"/>
        </w:rPr>
      </w:pPr>
      <w:bookmarkStart w:id="348" w:name="_Toc1045"/>
      <w:r>
        <w:rPr>
          <w:rFonts w:hint="eastAsia" w:ascii="宋体" w:hAnsi="宋体" w:eastAsia="宋体" w:cs="宋体"/>
          <w:color w:val="auto"/>
          <w:lang w:val="en-US" w:eastAsia="zh-CN"/>
        </w:rPr>
        <w:t xml:space="preserve"> </w:t>
      </w:r>
      <w:bookmarkEnd w:id="348"/>
    </w:p>
    <w:p w14:paraId="150E7507">
      <w:pPr>
        <w:pageBreakBefore w:val="0"/>
        <w:bidi w:val="0"/>
        <w:spacing w:line="600" w:lineRule="exact"/>
        <w:jc w:val="center"/>
        <w:outlineLvl w:val="0"/>
        <w:rPr>
          <w:rFonts w:hint="eastAsia" w:ascii="宋体" w:hAnsi="宋体" w:eastAsia="宋体" w:cs="宋体"/>
          <w:b/>
          <w:color w:val="auto"/>
          <w:sz w:val="24"/>
        </w:rPr>
      </w:pPr>
      <w:r>
        <w:rPr>
          <w:rFonts w:hint="eastAsia" w:ascii="宋体" w:hAnsi="宋体" w:eastAsia="宋体" w:cs="宋体"/>
          <w:color w:val="auto"/>
          <w:lang w:eastAsia="zh-CN"/>
        </w:rPr>
        <w:br w:type="page"/>
      </w:r>
      <w:bookmarkStart w:id="349" w:name="_Toc4040"/>
      <w:bookmarkStart w:id="350" w:name="_Toc11022"/>
      <w:bookmarkStart w:id="351" w:name="_Toc19187"/>
      <w:bookmarkStart w:id="352" w:name="_Toc23139"/>
      <w:r>
        <w:rPr>
          <w:rFonts w:hint="eastAsia" w:ascii="宋体" w:hAnsi="宋体" w:eastAsia="宋体" w:cs="宋体"/>
          <w:b/>
          <w:color w:val="auto"/>
          <w:sz w:val="28"/>
          <w:szCs w:val="28"/>
        </w:rPr>
        <w:t>承诺书</w:t>
      </w:r>
      <w:bookmarkEnd w:id="349"/>
      <w:bookmarkEnd w:id="350"/>
      <w:bookmarkEnd w:id="351"/>
      <w:bookmarkEnd w:id="352"/>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3"/>
        <w:gridCol w:w="3614"/>
        <w:gridCol w:w="2890"/>
      </w:tblGrid>
      <w:tr w14:paraId="474E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27" w:type="dxa"/>
            <w:gridSpan w:val="3"/>
            <w:noWrap w:val="0"/>
            <w:vAlign w:val="center"/>
          </w:tcPr>
          <w:p w14:paraId="43447D0F">
            <w:pPr>
              <w:pageBreakBefore w:val="0"/>
              <w:bidi w:val="0"/>
              <w:spacing w:line="600" w:lineRule="exact"/>
              <w:rPr>
                <w:rFonts w:hint="eastAsia" w:ascii="宋体" w:hAnsi="宋体" w:eastAsia="宋体" w:cs="宋体"/>
                <w:color w:val="auto"/>
                <w:sz w:val="24"/>
                <w:lang w:eastAsia="zh-CN"/>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1DD46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9527" w:type="dxa"/>
            <w:gridSpan w:val="3"/>
            <w:noWrap w:val="0"/>
            <w:vAlign w:val="center"/>
          </w:tcPr>
          <w:p w14:paraId="7712A9D5">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，本公司承诺：在参加本项目</w:t>
            </w:r>
            <w:r>
              <w:rPr>
                <w:rFonts w:hint="eastAsia" w:ascii="宋体" w:hAnsi="宋体" w:eastAsia="宋体" w:cs="宋体"/>
                <w:color w:val="auto"/>
                <w:sz w:val="24"/>
                <w:lang w:val="en-US" w:eastAsia="zh-CN"/>
              </w:rPr>
              <w:t>磋商</w:t>
            </w:r>
            <w:r>
              <w:rPr>
                <w:rFonts w:hint="eastAsia" w:ascii="宋体" w:hAnsi="宋体" w:eastAsia="宋体" w:cs="宋体"/>
                <w:color w:val="auto"/>
                <w:sz w:val="24"/>
              </w:rPr>
              <w:t>之前不存在被依法禁止经营行为、财产被接管或冻结的情况，如有隐瞒实情，愿承担一切责任及后果。</w:t>
            </w:r>
          </w:p>
        </w:tc>
      </w:tr>
      <w:tr w14:paraId="1B321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3023" w:type="dxa"/>
            <w:noWrap w:val="0"/>
            <w:vAlign w:val="center"/>
          </w:tcPr>
          <w:p w14:paraId="2744BEA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614" w:type="dxa"/>
            <w:noWrap w:val="0"/>
            <w:vAlign w:val="center"/>
          </w:tcPr>
          <w:p w14:paraId="49F9D7D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890" w:type="dxa"/>
            <w:noWrap w:val="0"/>
            <w:vAlign w:val="center"/>
          </w:tcPr>
          <w:p w14:paraId="1570C18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F1DC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jc w:val="center"/>
        </w:trPr>
        <w:tc>
          <w:tcPr>
            <w:tcW w:w="3023" w:type="dxa"/>
            <w:noWrap w:val="0"/>
            <w:vAlign w:val="center"/>
          </w:tcPr>
          <w:p w14:paraId="1FF5DFB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614" w:type="dxa"/>
            <w:noWrap w:val="0"/>
            <w:vAlign w:val="center"/>
          </w:tcPr>
          <w:p w14:paraId="73D9887A">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890" w:type="dxa"/>
            <w:noWrap w:val="0"/>
            <w:vAlign w:val="center"/>
          </w:tcPr>
          <w:p w14:paraId="2434AB0F">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6FDEAE80">
      <w:pPr>
        <w:pageBreakBefore w:val="0"/>
        <w:bidi w:val="0"/>
        <w:spacing w:line="600" w:lineRule="exact"/>
        <w:rPr>
          <w:rFonts w:hint="eastAsia" w:ascii="宋体" w:hAnsi="宋体" w:eastAsia="宋体" w:cs="宋体"/>
          <w:b/>
          <w:color w:val="auto"/>
          <w:sz w:val="42"/>
          <w:szCs w:val="42"/>
        </w:rPr>
      </w:pPr>
    </w:p>
    <w:p w14:paraId="47A5A927">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8"/>
        <w:gridCol w:w="3801"/>
        <w:gridCol w:w="2600"/>
      </w:tblGrid>
      <w:tr w14:paraId="1EF3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9559" w:type="dxa"/>
            <w:gridSpan w:val="3"/>
            <w:noWrap w:val="0"/>
            <w:vAlign w:val="center"/>
          </w:tcPr>
          <w:p w14:paraId="0B20F64D">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777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9559" w:type="dxa"/>
            <w:gridSpan w:val="3"/>
            <w:noWrap w:val="0"/>
            <w:vAlign w:val="center"/>
          </w:tcPr>
          <w:p w14:paraId="4F7602B2">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，本公司郑重申告并承诺：近三年受到有关行政主管部门的行政处理、不良行为记录为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tc>
      </w:tr>
      <w:tr w14:paraId="781CE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158" w:type="dxa"/>
            <w:noWrap w:val="0"/>
            <w:vAlign w:val="center"/>
          </w:tcPr>
          <w:p w14:paraId="7B59458A">
            <w:pPr>
              <w:pageBreakBefore w:val="0"/>
              <w:bidi w:val="0"/>
              <w:spacing w:line="600" w:lineRule="exact"/>
              <w:jc w:val="center"/>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供应商</w:t>
            </w:r>
          </w:p>
        </w:tc>
        <w:tc>
          <w:tcPr>
            <w:tcW w:w="3801" w:type="dxa"/>
            <w:noWrap w:val="0"/>
            <w:vAlign w:val="center"/>
          </w:tcPr>
          <w:p w14:paraId="164C90E1">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00" w:type="dxa"/>
            <w:noWrap w:val="0"/>
            <w:vAlign w:val="center"/>
          </w:tcPr>
          <w:p w14:paraId="74306C80">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6023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0" w:hRule="atLeast"/>
          <w:jc w:val="center"/>
        </w:trPr>
        <w:tc>
          <w:tcPr>
            <w:tcW w:w="3158" w:type="dxa"/>
            <w:noWrap w:val="0"/>
            <w:vAlign w:val="center"/>
          </w:tcPr>
          <w:p w14:paraId="3174CEB6">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801" w:type="dxa"/>
            <w:noWrap w:val="0"/>
            <w:vAlign w:val="center"/>
          </w:tcPr>
          <w:p w14:paraId="646E50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00" w:type="dxa"/>
            <w:noWrap w:val="0"/>
            <w:vAlign w:val="center"/>
          </w:tcPr>
          <w:p w14:paraId="7A884BBC">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414FB622">
      <w:pPr>
        <w:pageBreakBefore w:val="0"/>
        <w:bidi w:val="0"/>
        <w:spacing w:line="600" w:lineRule="exact"/>
        <w:jc w:val="center"/>
        <w:rPr>
          <w:rFonts w:hint="eastAsia" w:ascii="宋体" w:hAnsi="宋体" w:eastAsia="宋体" w:cs="宋体"/>
          <w:b/>
          <w:color w:val="auto"/>
          <w:sz w:val="28"/>
          <w:szCs w:val="28"/>
        </w:rPr>
      </w:pPr>
    </w:p>
    <w:p w14:paraId="05CF2FDA">
      <w:pPr>
        <w:pageBreakBefore w:val="0"/>
        <w:bidi w:val="0"/>
        <w:spacing w:line="600" w:lineRule="exact"/>
        <w:jc w:val="center"/>
        <w:rPr>
          <w:rFonts w:hint="eastAsia" w:ascii="宋体" w:hAnsi="宋体" w:eastAsia="宋体" w:cs="宋体"/>
          <w:b/>
          <w:color w:val="auto"/>
          <w:sz w:val="28"/>
          <w:szCs w:val="28"/>
        </w:rPr>
      </w:pPr>
    </w:p>
    <w:p w14:paraId="77A9AB2E">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1"/>
        <w:tblW w:w="9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7"/>
        <w:gridCol w:w="3759"/>
        <w:gridCol w:w="2574"/>
      </w:tblGrid>
      <w:tr w14:paraId="52589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9460" w:type="dxa"/>
            <w:gridSpan w:val="3"/>
            <w:noWrap w:val="0"/>
            <w:vAlign w:val="center"/>
          </w:tcPr>
          <w:p w14:paraId="442E7EAC">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069B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7" w:hRule="atLeast"/>
          <w:jc w:val="center"/>
        </w:trPr>
        <w:tc>
          <w:tcPr>
            <w:tcW w:w="9460" w:type="dxa"/>
            <w:gridSpan w:val="3"/>
            <w:noWrap w:val="0"/>
            <w:vAlign w:val="center"/>
          </w:tcPr>
          <w:p w14:paraId="62F67784">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w:t>
            </w:r>
            <w:r>
              <w:rPr>
                <w:rFonts w:hint="eastAsia" w:ascii="宋体" w:hAnsi="宋体" w:eastAsia="宋体" w:cs="宋体"/>
                <w:color w:val="auto"/>
                <w:sz w:val="24"/>
                <w:lang w:val="en-US" w:eastAsia="zh-CN"/>
              </w:rPr>
              <w:t>单位</w:t>
            </w:r>
            <w:r>
              <w:rPr>
                <w:rFonts w:hint="eastAsia" w:ascii="宋体" w:hAnsi="宋体" w:eastAsia="宋体" w:cs="宋体"/>
                <w:color w:val="auto"/>
                <w:sz w:val="24"/>
              </w:rPr>
              <w:t>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，本公司郑重申告：近三年因</w:t>
            </w:r>
            <w:r>
              <w:rPr>
                <w:rFonts w:hint="eastAsia" w:ascii="宋体" w:hAnsi="宋体" w:eastAsia="宋体" w:cs="宋体"/>
                <w:color w:val="auto"/>
                <w:sz w:val="24"/>
                <w:lang w:eastAsia="zh-CN"/>
              </w:rPr>
              <w:t>服务、</w:t>
            </w:r>
            <w:r>
              <w:rPr>
                <w:rFonts w:hint="eastAsia" w:ascii="宋体" w:hAnsi="宋体" w:eastAsia="宋体" w:cs="宋体"/>
                <w:color w:val="auto"/>
                <w:sz w:val="24"/>
              </w:rPr>
              <w:t>供货</w:t>
            </w:r>
            <w:r>
              <w:rPr>
                <w:rFonts w:hint="eastAsia" w:ascii="宋体" w:hAnsi="宋体" w:eastAsia="宋体" w:cs="宋体"/>
                <w:color w:val="auto"/>
                <w:sz w:val="24"/>
                <w:lang w:eastAsia="zh-CN"/>
              </w:rPr>
              <w:t>、</w:t>
            </w:r>
            <w:r>
              <w:rPr>
                <w:rFonts w:hint="eastAsia" w:ascii="宋体" w:hAnsi="宋体" w:eastAsia="宋体" w:cs="宋体"/>
                <w:color w:val="auto"/>
                <w:sz w:val="24"/>
                <w:lang w:val="en-US" w:eastAsia="zh-CN"/>
              </w:rPr>
              <w:t>工程质量、安全</w:t>
            </w:r>
            <w:r>
              <w:rPr>
                <w:rFonts w:hint="eastAsia" w:ascii="宋体" w:hAnsi="宋体" w:eastAsia="宋体" w:cs="宋体"/>
                <w:color w:val="auto"/>
                <w:sz w:val="24"/>
              </w:rPr>
              <w:t>问题的不法行为记录为</w:t>
            </w:r>
            <w:r>
              <w:rPr>
                <w:rFonts w:hint="eastAsia" w:ascii="宋体" w:hAnsi="宋体" w:eastAsia="宋体" w:cs="宋体"/>
                <w:color w:val="auto"/>
                <w:sz w:val="24"/>
                <w:u w:val="single"/>
              </w:rPr>
              <w:t xml:space="preserve">   </w:t>
            </w:r>
            <w:r>
              <w:rPr>
                <w:rFonts w:hint="eastAsia" w:ascii="宋体" w:hAnsi="宋体" w:eastAsia="宋体" w:cs="宋体"/>
                <w:color w:val="auto"/>
                <w:sz w:val="24"/>
              </w:rPr>
              <w:t>次（没有填零），如有隐瞒实情，愿承担一切责任及后果。</w:t>
            </w:r>
          </w:p>
          <w:p w14:paraId="50E9A948">
            <w:pPr>
              <w:pageBreakBefore w:val="0"/>
              <w:bidi w:val="0"/>
              <w:spacing w:line="600" w:lineRule="exact"/>
              <w:ind w:firstLine="360" w:firstLineChars="150"/>
              <w:rPr>
                <w:rFonts w:hint="eastAsia" w:ascii="宋体" w:hAnsi="宋体" w:eastAsia="宋体" w:cs="宋体"/>
                <w:color w:val="auto"/>
                <w:sz w:val="24"/>
              </w:rPr>
            </w:pPr>
            <w:r>
              <w:rPr>
                <w:rFonts w:hint="eastAsia" w:ascii="宋体" w:hAnsi="宋体" w:eastAsia="宋体" w:cs="宋体"/>
                <w:color w:val="auto"/>
                <w:sz w:val="24"/>
              </w:rPr>
              <w:t>本公司承诺：本次</w:t>
            </w:r>
            <w:r>
              <w:rPr>
                <w:rFonts w:hint="eastAsia" w:ascii="宋体" w:hAnsi="宋体" w:eastAsia="宋体" w:cs="宋体"/>
                <w:color w:val="auto"/>
                <w:sz w:val="24"/>
                <w:lang w:val="en-US" w:eastAsia="zh-CN"/>
              </w:rPr>
              <w:t>磋商响应工程质量为合格</w:t>
            </w:r>
            <w:r>
              <w:rPr>
                <w:rFonts w:hint="eastAsia" w:ascii="宋体" w:hAnsi="宋体" w:eastAsia="宋体" w:cs="宋体"/>
                <w:color w:val="auto"/>
                <w:sz w:val="24"/>
              </w:rPr>
              <w:t>。</w:t>
            </w:r>
          </w:p>
        </w:tc>
      </w:tr>
      <w:tr w14:paraId="38EA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3127" w:type="dxa"/>
            <w:noWrap w:val="0"/>
            <w:vAlign w:val="center"/>
          </w:tcPr>
          <w:p w14:paraId="6D1A35DA">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59" w:type="dxa"/>
            <w:noWrap w:val="0"/>
            <w:vAlign w:val="center"/>
          </w:tcPr>
          <w:p w14:paraId="6A1938C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574" w:type="dxa"/>
            <w:noWrap w:val="0"/>
            <w:vAlign w:val="center"/>
          </w:tcPr>
          <w:p w14:paraId="734FED1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51ED1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3127" w:type="dxa"/>
            <w:noWrap w:val="0"/>
            <w:vAlign w:val="center"/>
          </w:tcPr>
          <w:p w14:paraId="508F4EC9">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59" w:type="dxa"/>
            <w:noWrap w:val="0"/>
            <w:vAlign w:val="center"/>
          </w:tcPr>
          <w:p w14:paraId="4D9EDF9D">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574" w:type="dxa"/>
            <w:noWrap w:val="0"/>
            <w:vAlign w:val="center"/>
          </w:tcPr>
          <w:p w14:paraId="54276AE3">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21DFEC2B">
      <w:pPr>
        <w:pageBreakBefore w:val="0"/>
        <w:bidi w:val="0"/>
        <w:spacing w:line="600" w:lineRule="exact"/>
        <w:jc w:val="center"/>
        <w:rPr>
          <w:rFonts w:hint="eastAsia" w:ascii="宋体" w:hAnsi="宋体" w:eastAsia="宋体" w:cs="宋体"/>
          <w:b/>
          <w:color w:val="auto"/>
          <w:sz w:val="28"/>
          <w:szCs w:val="28"/>
        </w:rPr>
      </w:pPr>
    </w:p>
    <w:p w14:paraId="034611E3">
      <w:pPr>
        <w:pageBreakBefore w:val="0"/>
        <w:bidi w:val="0"/>
        <w:spacing w:line="600" w:lineRule="exact"/>
        <w:jc w:val="center"/>
        <w:rPr>
          <w:rFonts w:hint="eastAsia" w:ascii="宋体" w:hAnsi="宋体" w:eastAsia="宋体" w:cs="宋体"/>
          <w:b/>
          <w:color w:val="auto"/>
          <w:sz w:val="24"/>
        </w:rPr>
      </w:pPr>
      <w:r>
        <w:rPr>
          <w:rFonts w:hint="eastAsia" w:ascii="宋体" w:hAnsi="宋体" w:eastAsia="宋体" w:cs="宋体"/>
          <w:b/>
          <w:color w:val="auto"/>
          <w:sz w:val="28"/>
          <w:szCs w:val="28"/>
        </w:rPr>
        <w:t>承诺书</w:t>
      </w:r>
    </w:p>
    <w:tbl>
      <w:tblPr>
        <w:tblStyle w:val="21"/>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3"/>
        <w:gridCol w:w="3728"/>
        <w:gridCol w:w="2639"/>
      </w:tblGrid>
      <w:tr w14:paraId="06161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9540" w:type="dxa"/>
            <w:gridSpan w:val="3"/>
            <w:noWrap w:val="0"/>
            <w:vAlign w:val="center"/>
          </w:tcPr>
          <w:p w14:paraId="39FCC496">
            <w:pPr>
              <w:pageBreakBefore w:val="0"/>
              <w:bidi w:val="0"/>
              <w:spacing w:line="600" w:lineRule="exact"/>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lang w:eastAsia="zh-CN"/>
              </w:rPr>
              <w:t>（采购人名称）</w:t>
            </w:r>
          </w:p>
        </w:tc>
      </w:tr>
      <w:tr w14:paraId="3E33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jc w:val="center"/>
        </w:trPr>
        <w:tc>
          <w:tcPr>
            <w:tcW w:w="9540" w:type="dxa"/>
            <w:gridSpan w:val="3"/>
            <w:noWrap w:val="0"/>
            <w:vAlign w:val="center"/>
          </w:tcPr>
          <w:p w14:paraId="19BB81FE">
            <w:pPr>
              <w:pageBreakBefore w:val="0"/>
              <w:bidi w:val="0"/>
              <w:spacing w:line="60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作为参加贵公司组织的</w:t>
            </w:r>
            <w:r>
              <w:rPr>
                <w:rFonts w:hint="eastAsia" w:ascii="宋体" w:hAnsi="宋体" w:eastAsia="宋体" w:cs="宋体"/>
                <w:color w:val="auto"/>
                <w:sz w:val="24"/>
                <w:lang w:val="en-US" w:eastAsia="zh-CN"/>
              </w:rPr>
              <w:t>磋商</w:t>
            </w:r>
            <w:r>
              <w:rPr>
                <w:rFonts w:hint="eastAsia" w:ascii="宋体" w:hAnsi="宋体" w:eastAsia="宋体" w:cs="宋体"/>
                <w:color w:val="auto"/>
                <w:sz w:val="24"/>
              </w:rPr>
              <w:t>采购项目的</w:t>
            </w:r>
            <w:r>
              <w:rPr>
                <w:rFonts w:hint="eastAsia" w:ascii="宋体" w:hAnsi="宋体" w:eastAsia="宋体" w:cs="宋体"/>
                <w:color w:val="auto"/>
                <w:sz w:val="24"/>
                <w:lang w:val="en-US" w:eastAsia="zh-CN"/>
              </w:rPr>
              <w:t>供应商</w:t>
            </w:r>
            <w:r>
              <w:rPr>
                <w:rFonts w:hint="eastAsia" w:ascii="宋体" w:hAnsi="宋体" w:eastAsia="宋体" w:cs="宋体"/>
                <w:color w:val="auto"/>
                <w:sz w:val="24"/>
              </w:rPr>
              <w:t>，本公司承诺：参加本次</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提交的所有资质证明文件及业绩证明文件是真实的、有效的，如有隐瞒实情，愿承担一切责任及后果。</w:t>
            </w:r>
          </w:p>
        </w:tc>
      </w:tr>
      <w:tr w14:paraId="10D3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3173" w:type="dxa"/>
            <w:noWrap w:val="0"/>
            <w:vAlign w:val="center"/>
          </w:tcPr>
          <w:p w14:paraId="0E3D5E38">
            <w:pPr>
              <w:pageBreakBefore w:val="0"/>
              <w:bidi w:val="0"/>
              <w:spacing w:line="600" w:lineRule="exact"/>
              <w:jc w:val="center"/>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供应商</w:t>
            </w:r>
          </w:p>
        </w:tc>
        <w:tc>
          <w:tcPr>
            <w:tcW w:w="3728" w:type="dxa"/>
            <w:noWrap w:val="0"/>
            <w:vAlign w:val="center"/>
          </w:tcPr>
          <w:p w14:paraId="425FD5B7">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法定代表人</w:t>
            </w:r>
          </w:p>
        </w:tc>
        <w:tc>
          <w:tcPr>
            <w:tcW w:w="2639" w:type="dxa"/>
            <w:noWrap w:val="0"/>
            <w:vAlign w:val="center"/>
          </w:tcPr>
          <w:p w14:paraId="33508755">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日   期</w:t>
            </w:r>
          </w:p>
        </w:tc>
      </w:tr>
      <w:tr w14:paraId="3CA2D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3173" w:type="dxa"/>
            <w:noWrap w:val="0"/>
            <w:vAlign w:val="center"/>
          </w:tcPr>
          <w:p w14:paraId="3F5F5FB4">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（公章）</w:t>
            </w:r>
          </w:p>
        </w:tc>
        <w:tc>
          <w:tcPr>
            <w:tcW w:w="3728" w:type="dxa"/>
            <w:noWrap w:val="0"/>
            <w:vAlign w:val="center"/>
          </w:tcPr>
          <w:p w14:paraId="5D1FDF98">
            <w:pPr>
              <w:pageBreakBefore w:val="0"/>
              <w:bidi w:val="0"/>
              <w:spacing w:line="600" w:lineRule="exact"/>
              <w:jc w:val="center"/>
              <w:rPr>
                <w:rFonts w:hint="eastAsia" w:ascii="宋体" w:hAnsi="宋体" w:eastAsia="宋体" w:cs="宋体"/>
                <w:color w:val="auto"/>
                <w:sz w:val="24"/>
              </w:rPr>
            </w:pPr>
            <w:r>
              <w:rPr>
                <w:rFonts w:hint="eastAsia" w:ascii="宋体" w:hAnsi="宋体" w:eastAsia="宋体" w:cs="宋体"/>
                <w:color w:val="auto"/>
                <w:sz w:val="24"/>
              </w:rPr>
              <w:t>（签字或盖章）</w:t>
            </w:r>
          </w:p>
        </w:tc>
        <w:tc>
          <w:tcPr>
            <w:tcW w:w="2639" w:type="dxa"/>
            <w:noWrap w:val="0"/>
            <w:vAlign w:val="center"/>
          </w:tcPr>
          <w:p w14:paraId="6E2142B9">
            <w:pPr>
              <w:pageBreakBefore w:val="0"/>
              <w:bidi w:val="0"/>
              <w:spacing w:line="600" w:lineRule="exact"/>
              <w:ind w:firstLine="240" w:firstLineChars="100"/>
              <w:jc w:val="center"/>
              <w:rPr>
                <w:rFonts w:hint="eastAsia" w:ascii="宋体" w:hAnsi="宋体" w:eastAsia="宋体" w:cs="宋体"/>
                <w:color w:val="auto"/>
                <w:sz w:val="24"/>
              </w:rPr>
            </w:pPr>
            <w:r>
              <w:rPr>
                <w:rFonts w:hint="eastAsia" w:ascii="宋体" w:hAnsi="宋体" w:eastAsia="宋体" w:cs="宋体"/>
                <w:color w:val="auto"/>
                <w:sz w:val="24"/>
              </w:rPr>
              <w:t>年  月  日</w:t>
            </w:r>
          </w:p>
        </w:tc>
      </w:tr>
    </w:tbl>
    <w:p w14:paraId="1561B9AC">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bookmarkStart w:id="353" w:name="_Toc22015"/>
      <w:bookmarkStart w:id="354" w:name="_Toc32246"/>
      <w:r>
        <w:rPr>
          <w:rFonts w:hint="eastAsia" w:ascii="宋体" w:hAnsi="宋体" w:eastAsia="宋体" w:cs="宋体"/>
          <w:b/>
          <w:color w:val="auto"/>
          <w:kern w:val="2"/>
          <w:sz w:val="30"/>
          <w:szCs w:val="32"/>
          <w:lang w:val="en-US" w:eastAsia="zh-CN" w:bidi="ar-SA"/>
        </w:rPr>
        <w:t xml:space="preserve">第八章  </w:t>
      </w:r>
      <w:bookmarkEnd w:id="353"/>
      <w:r>
        <w:rPr>
          <w:rFonts w:hint="eastAsia" w:ascii="宋体" w:hAnsi="宋体" w:eastAsia="宋体" w:cs="宋体"/>
          <w:b/>
          <w:color w:val="auto"/>
          <w:kern w:val="2"/>
          <w:sz w:val="30"/>
          <w:szCs w:val="32"/>
          <w:lang w:val="en-US" w:eastAsia="zh-CN" w:bidi="ar-SA"/>
        </w:rPr>
        <w:t>施工组织设计</w:t>
      </w:r>
    </w:p>
    <w:p w14:paraId="5C6CBDC4">
      <w:pPr>
        <w:tabs>
          <w:tab w:val="left" w:pos="6080"/>
        </w:tabs>
        <w:adjustRightInd w:val="0"/>
        <w:snapToGrid w:val="0"/>
        <w:spacing w:line="500" w:lineRule="exact"/>
        <w:ind w:right="112"/>
        <w:jc w:val="center"/>
        <w:rPr>
          <w:rFonts w:hint="eastAsia" w:ascii="宋体" w:hAnsi="宋体" w:eastAsia="宋体" w:cs="宋体"/>
          <w:b/>
          <w:color w:val="auto"/>
          <w:kern w:val="2"/>
          <w:sz w:val="30"/>
          <w:szCs w:val="32"/>
          <w:lang w:val="en-US" w:eastAsia="zh-CN" w:bidi="ar-SA"/>
        </w:rPr>
      </w:pPr>
      <w:r>
        <w:rPr>
          <w:rFonts w:hint="eastAsia" w:ascii="宋体" w:hAnsi="宋体" w:eastAsia="宋体" w:cs="宋体"/>
          <w:b/>
          <w:color w:val="auto"/>
          <w:kern w:val="2"/>
          <w:sz w:val="30"/>
          <w:szCs w:val="32"/>
          <w:lang w:val="en-US" w:eastAsia="zh-CN" w:bidi="ar-SA"/>
        </w:rPr>
        <w:t>（包含但不限于以下内容）</w:t>
      </w:r>
    </w:p>
    <w:p w14:paraId="4629113C">
      <w:pPr>
        <w:pStyle w:val="20"/>
        <w:rPr>
          <w:rFonts w:hint="eastAsia" w:ascii="宋体" w:hAnsi="宋体" w:eastAsia="宋体" w:cs="宋体"/>
          <w:color w:val="auto"/>
          <w:lang w:val="en-US" w:eastAsia="zh-CN"/>
        </w:rPr>
      </w:pPr>
    </w:p>
    <w:p w14:paraId="71C636D8">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14:paraId="7CCB68D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w:t>
      </w:r>
      <w:r>
        <w:rPr>
          <w:rFonts w:hint="eastAsia" w:ascii="宋体" w:hAnsi="宋体" w:eastAsia="宋体" w:cs="宋体"/>
          <w:bCs/>
          <w:snapToGrid w:val="0"/>
          <w:color w:val="auto"/>
          <w:kern w:val="0"/>
          <w:sz w:val="24"/>
          <w:szCs w:val="24"/>
          <w:highlight w:val="none"/>
          <w:lang w:val="en-US" w:eastAsia="zh-CN"/>
        </w:rPr>
        <w:t>工程概况及施工方案</w:t>
      </w:r>
    </w:p>
    <w:p w14:paraId="42B12B71">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2、施工机械设备配备计划</w:t>
      </w:r>
    </w:p>
    <w:p w14:paraId="3961064D">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w:t>
      </w:r>
      <w:r>
        <w:rPr>
          <w:rFonts w:hint="eastAsia" w:ascii="宋体" w:hAnsi="宋体" w:eastAsia="宋体" w:cs="宋体"/>
          <w:bCs/>
          <w:snapToGrid w:val="0"/>
          <w:color w:val="auto"/>
          <w:kern w:val="0"/>
          <w:sz w:val="24"/>
          <w:szCs w:val="24"/>
          <w:highlight w:val="none"/>
          <w:lang w:val="en-US" w:eastAsia="zh-CN"/>
        </w:rPr>
        <w:t>劳动力安排计划</w:t>
      </w:r>
    </w:p>
    <w:p w14:paraId="13356E76">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w:t>
      </w:r>
      <w:r>
        <w:rPr>
          <w:rFonts w:hint="eastAsia" w:ascii="宋体" w:hAnsi="宋体" w:eastAsia="宋体" w:cs="宋体"/>
          <w:bCs/>
          <w:snapToGrid w:val="0"/>
          <w:color w:val="auto"/>
          <w:kern w:val="0"/>
          <w:sz w:val="24"/>
          <w:szCs w:val="24"/>
          <w:highlight w:val="none"/>
          <w:lang w:val="en-US" w:eastAsia="zh-CN"/>
        </w:rPr>
        <w:t>工期及保证措施</w:t>
      </w:r>
    </w:p>
    <w:p w14:paraId="62EB447F">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5、工程质量保证措施</w:t>
      </w:r>
    </w:p>
    <w:p w14:paraId="275BB993">
      <w:pPr>
        <w:pStyle w:val="25"/>
        <w:ind w:left="0" w:leftChars="0" w:firstLine="0" w:firstLineChars="0"/>
        <w:rPr>
          <w:rFonts w:hint="eastAsia"/>
          <w:color w:val="auto"/>
          <w:lang w:val="en-US" w:eastAsia="zh-CN"/>
        </w:rPr>
      </w:pPr>
      <w:r>
        <w:rPr>
          <w:rFonts w:hint="eastAsia"/>
          <w:color w:val="auto"/>
          <w:lang w:val="en-US" w:eastAsia="zh-CN"/>
        </w:rPr>
        <w:t>6、安全保证措施</w:t>
      </w:r>
    </w:p>
    <w:p w14:paraId="30B7F65D">
      <w:pPr>
        <w:pStyle w:val="25"/>
        <w:rPr>
          <w:rFonts w:hint="eastAsia"/>
          <w:color w:val="auto"/>
          <w:lang w:val="en-US" w:eastAsia="zh-CN"/>
        </w:rPr>
      </w:pPr>
    </w:p>
    <w:p w14:paraId="00F25ED3">
      <w:pPr>
        <w:rPr>
          <w:rFonts w:hint="eastAsia" w:ascii="宋体" w:hAnsi="宋体" w:eastAsia="宋体" w:cs="宋体"/>
          <w:color w:val="auto"/>
          <w:lang w:val="en-US" w:eastAsia="zh-CN"/>
        </w:rPr>
      </w:pPr>
    </w:p>
    <w:p w14:paraId="4570D830">
      <w:pPr>
        <w:pStyle w:val="4"/>
        <w:bidi w:val="0"/>
        <w:outlineLvl w:val="9"/>
        <w:rPr>
          <w:rFonts w:hint="eastAsia" w:ascii="宋体" w:hAnsi="宋体" w:eastAsia="宋体" w:cs="宋体"/>
          <w:color w:val="auto"/>
          <w:lang w:val="en-US" w:eastAsia="zh-CN"/>
        </w:rPr>
      </w:pPr>
    </w:p>
    <w:p w14:paraId="03107A9A">
      <w:pPr>
        <w:bidi w:val="0"/>
        <w:rPr>
          <w:rFonts w:hint="eastAsia" w:ascii="宋体" w:hAnsi="宋体" w:eastAsia="宋体" w:cs="宋体"/>
          <w:color w:val="auto"/>
          <w:lang w:val="en-US" w:eastAsia="zh-CN"/>
        </w:rPr>
      </w:pPr>
    </w:p>
    <w:p w14:paraId="0A1BF94A">
      <w:pPr>
        <w:pStyle w:val="36"/>
        <w:spacing w:line="500" w:lineRule="exact"/>
        <w:ind w:firstLine="0" w:firstLineChars="0"/>
        <w:jc w:val="center"/>
        <w:rPr>
          <w:rFonts w:hint="eastAsia" w:ascii="宋体" w:hAnsi="宋体" w:eastAsia="宋体" w:cs="宋体"/>
          <w:b/>
          <w:color w:val="auto"/>
          <w:sz w:val="32"/>
          <w:szCs w:val="32"/>
        </w:rPr>
      </w:pPr>
    </w:p>
    <w:p w14:paraId="5E376F8A">
      <w:pPr>
        <w:bidi w:val="0"/>
        <w:rPr>
          <w:rFonts w:hint="eastAsia" w:ascii="宋体" w:hAnsi="宋体" w:eastAsia="宋体" w:cs="宋体"/>
          <w:color w:val="auto"/>
          <w:lang w:val="en-US" w:eastAsia="zh-CN"/>
        </w:rPr>
      </w:pPr>
    </w:p>
    <w:p w14:paraId="625D6451">
      <w:pPr>
        <w:rPr>
          <w:rFonts w:hint="eastAsia" w:ascii="宋体" w:hAnsi="宋体" w:eastAsia="宋体" w:cs="宋体"/>
          <w:b/>
          <w:color w:val="auto"/>
          <w:kern w:val="2"/>
          <w:sz w:val="28"/>
          <w:szCs w:val="28"/>
          <w:lang w:val="en-US" w:eastAsia="zh-CN" w:bidi="ar-SA"/>
        </w:rPr>
      </w:pPr>
    </w:p>
    <w:p w14:paraId="5D804F5E">
      <w:pPr>
        <w:rPr>
          <w:rFonts w:hint="eastAsia" w:ascii="宋体" w:hAnsi="宋体" w:eastAsia="宋体" w:cs="宋体"/>
          <w:b/>
          <w:color w:val="auto"/>
          <w:kern w:val="2"/>
          <w:sz w:val="28"/>
          <w:szCs w:val="28"/>
          <w:lang w:val="en-US" w:eastAsia="zh-CN" w:bidi="ar-SA"/>
        </w:rPr>
      </w:pPr>
    </w:p>
    <w:p w14:paraId="31121DB0">
      <w:pPr>
        <w:rPr>
          <w:rFonts w:hint="eastAsia" w:ascii="宋体" w:hAnsi="宋体" w:eastAsia="宋体" w:cs="宋体"/>
          <w:b/>
          <w:color w:val="auto"/>
          <w:kern w:val="2"/>
          <w:sz w:val="28"/>
          <w:szCs w:val="28"/>
          <w:lang w:val="en-US" w:eastAsia="zh-CN" w:bidi="ar-SA"/>
        </w:rPr>
      </w:pPr>
    </w:p>
    <w:p w14:paraId="62FAA6B9">
      <w:pPr>
        <w:rPr>
          <w:rFonts w:hint="eastAsia" w:ascii="宋体" w:hAnsi="宋体" w:eastAsia="宋体" w:cs="宋体"/>
          <w:b/>
          <w:color w:val="auto"/>
          <w:kern w:val="2"/>
          <w:sz w:val="28"/>
          <w:szCs w:val="28"/>
          <w:lang w:val="en-US" w:eastAsia="zh-CN" w:bidi="ar-SA"/>
        </w:rPr>
      </w:pPr>
    </w:p>
    <w:p w14:paraId="064ACA54">
      <w:pPr>
        <w:rPr>
          <w:rFonts w:hint="eastAsia" w:ascii="宋体" w:hAnsi="宋体" w:eastAsia="宋体" w:cs="宋体"/>
          <w:b/>
          <w:color w:val="auto"/>
          <w:kern w:val="2"/>
          <w:sz w:val="28"/>
          <w:szCs w:val="28"/>
          <w:lang w:val="en-US" w:eastAsia="zh-CN" w:bidi="ar-SA"/>
        </w:rPr>
      </w:pPr>
    </w:p>
    <w:p w14:paraId="2EE6DE7A">
      <w:pPr>
        <w:rPr>
          <w:rFonts w:hint="eastAsia" w:ascii="宋体" w:hAnsi="宋体" w:eastAsia="宋体" w:cs="宋体"/>
          <w:b/>
          <w:color w:val="auto"/>
          <w:kern w:val="2"/>
          <w:sz w:val="28"/>
          <w:szCs w:val="28"/>
          <w:lang w:val="en-US" w:eastAsia="zh-CN" w:bidi="ar-SA"/>
        </w:rPr>
      </w:pPr>
    </w:p>
    <w:p w14:paraId="617FC5F4">
      <w:pPr>
        <w:rPr>
          <w:rFonts w:hint="eastAsia" w:ascii="宋体" w:hAnsi="宋体" w:eastAsia="宋体" w:cs="宋体"/>
          <w:b/>
          <w:color w:val="auto"/>
          <w:kern w:val="2"/>
          <w:sz w:val="28"/>
          <w:szCs w:val="28"/>
          <w:lang w:val="en-US" w:eastAsia="zh-CN" w:bidi="ar-SA"/>
        </w:rPr>
      </w:pPr>
    </w:p>
    <w:p w14:paraId="07189FC1">
      <w:pPr>
        <w:pStyle w:val="20"/>
        <w:rPr>
          <w:rFonts w:hint="eastAsia" w:ascii="宋体" w:hAnsi="宋体" w:eastAsia="宋体" w:cs="宋体"/>
          <w:b/>
          <w:color w:val="auto"/>
          <w:kern w:val="2"/>
          <w:sz w:val="28"/>
          <w:szCs w:val="28"/>
          <w:lang w:val="en-US" w:eastAsia="zh-CN" w:bidi="ar-SA"/>
        </w:rPr>
      </w:pPr>
    </w:p>
    <w:p w14:paraId="3205CB32">
      <w:pPr>
        <w:pStyle w:val="13"/>
        <w:rPr>
          <w:rFonts w:hint="eastAsia" w:ascii="宋体" w:hAnsi="宋体" w:eastAsia="宋体" w:cs="宋体"/>
          <w:color w:val="auto"/>
          <w:lang w:val="en-US" w:eastAsia="zh-CN"/>
        </w:rPr>
      </w:pPr>
    </w:p>
    <w:p w14:paraId="728C320A">
      <w:pPr>
        <w:bidi w:val="0"/>
        <w:jc w:val="center"/>
        <w:rPr>
          <w:rFonts w:hint="eastAsia" w:ascii="宋体" w:hAnsi="宋体" w:eastAsia="宋体" w:cs="宋体"/>
          <w:b/>
          <w:bCs/>
          <w:color w:val="auto"/>
        </w:rPr>
      </w:pPr>
      <w:bookmarkStart w:id="355" w:name="_Toc4194"/>
      <w:r>
        <w:rPr>
          <w:rFonts w:hint="eastAsia" w:ascii="宋体" w:hAnsi="宋体" w:eastAsia="宋体" w:cs="宋体"/>
          <w:b/>
          <w:color w:val="auto"/>
          <w:kern w:val="2"/>
          <w:sz w:val="30"/>
          <w:szCs w:val="32"/>
          <w:lang w:val="en-US" w:eastAsia="zh-CN" w:bidi="ar-SA"/>
        </w:rPr>
        <w:t xml:space="preserve">第九章  </w:t>
      </w:r>
      <w:bookmarkEnd w:id="354"/>
      <w:bookmarkEnd w:id="355"/>
      <w:r>
        <w:rPr>
          <w:rFonts w:hint="eastAsia" w:ascii="宋体" w:hAnsi="宋体" w:eastAsia="宋体" w:cs="宋体"/>
          <w:b/>
          <w:color w:val="auto"/>
          <w:kern w:val="2"/>
          <w:sz w:val="30"/>
          <w:szCs w:val="32"/>
          <w:lang w:val="en-US" w:eastAsia="zh-CN" w:bidi="ar-SA"/>
        </w:rPr>
        <w:t>供应商认为需要提供的其他资料</w:t>
      </w:r>
    </w:p>
    <w:p w14:paraId="045CBEC1">
      <w:pPr>
        <w:pStyle w:val="4"/>
        <w:jc w:val="center"/>
        <w:outlineLvl w:val="0"/>
        <w:rPr>
          <w:rFonts w:hint="eastAsia" w:ascii="宋体" w:hAnsi="宋体" w:eastAsia="宋体" w:cs="宋体"/>
          <w:b w:val="0"/>
          <w:bCs/>
          <w:snapToGrid w:val="0"/>
          <w:color w:val="auto"/>
          <w:kern w:val="0"/>
          <w:sz w:val="24"/>
          <w:szCs w:val="24"/>
          <w:highlight w:val="none"/>
          <w:lang w:val="en-US" w:eastAsia="zh-CN" w:bidi="ar-SA"/>
        </w:rPr>
      </w:pPr>
      <w:bookmarkStart w:id="356" w:name="_Toc19266"/>
      <w:bookmarkStart w:id="357" w:name="_Toc15237"/>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bookmarkEnd w:id="356"/>
    </w:p>
    <w:p w14:paraId="3E80BA6C">
      <w:pPr>
        <w:rPr>
          <w:rFonts w:hint="eastAsia" w:ascii="宋体" w:hAnsi="宋体" w:eastAsia="宋体" w:cs="宋体"/>
          <w:color w:val="auto"/>
          <w:highlight w:val="none"/>
        </w:rPr>
      </w:pPr>
    </w:p>
    <w:p w14:paraId="637690EE">
      <w:pPr>
        <w:pStyle w:val="20"/>
        <w:rPr>
          <w:rFonts w:hint="eastAsia" w:ascii="宋体" w:hAnsi="宋体" w:eastAsia="宋体" w:cs="宋体"/>
          <w:color w:val="auto"/>
          <w:highlight w:val="none"/>
        </w:rPr>
      </w:pPr>
    </w:p>
    <w:p w14:paraId="312FFAAD">
      <w:pPr>
        <w:pStyle w:val="13"/>
        <w:rPr>
          <w:rFonts w:hint="eastAsia" w:ascii="宋体" w:hAnsi="宋体" w:eastAsia="宋体" w:cs="宋体"/>
          <w:color w:val="auto"/>
          <w:highlight w:val="none"/>
        </w:rPr>
      </w:pPr>
    </w:p>
    <w:p w14:paraId="372E534F">
      <w:pPr>
        <w:rPr>
          <w:rFonts w:hint="eastAsia" w:ascii="宋体" w:hAnsi="宋体" w:eastAsia="宋体" w:cs="宋体"/>
          <w:color w:val="auto"/>
          <w:highlight w:val="none"/>
        </w:rPr>
      </w:pPr>
    </w:p>
    <w:p w14:paraId="0E8A6BD8">
      <w:pPr>
        <w:pStyle w:val="20"/>
        <w:rPr>
          <w:rFonts w:hint="eastAsia" w:ascii="宋体" w:hAnsi="宋体" w:eastAsia="宋体" w:cs="宋体"/>
          <w:color w:val="auto"/>
          <w:highlight w:val="none"/>
        </w:rPr>
      </w:pPr>
    </w:p>
    <w:p w14:paraId="43E4B179">
      <w:pPr>
        <w:pStyle w:val="13"/>
        <w:rPr>
          <w:rFonts w:hint="eastAsia" w:ascii="宋体" w:hAnsi="宋体" w:eastAsia="宋体" w:cs="宋体"/>
          <w:color w:val="auto"/>
          <w:highlight w:val="none"/>
        </w:rPr>
      </w:pPr>
    </w:p>
    <w:p w14:paraId="035C8C8D">
      <w:pPr>
        <w:rPr>
          <w:rFonts w:hint="eastAsia" w:ascii="宋体" w:hAnsi="宋体" w:eastAsia="宋体" w:cs="宋体"/>
          <w:color w:val="auto"/>
          <w:highlight w:val="none"/>
        </w:rPr>
      </w:pPr>
    </w:p>
    <w:p w14:paraId="18C26291">
      <w:pPr>
        <w:pStyle w:val="20"/>
        <w:rPr>
          <w:rFonts w:hint="eastAsia" w:ascii="宋体" w:hAnsi="宋体" w:eastAsia="宋体" w:cs="宋体"/>
          <w:color w:val="auto"/>
          <w:highlight w:val="none"/>
        </w:rPr>
      </w:pPr>
    </w:p>
    <w:p w14:paraId="51419033">
      <w:pPr>
        <w:pStyle w:val="13"/>
        <w:rPr>
          <w:rFonts w:hint="eastAsia" w:ascii="宋体" w:hAnsi="宋体" w:eastAsia="宋体" w:cs="宋体"/>
          <w:color w:val="auto"/>
        </w:rPr>
      </w:pPr>
    </w:p>
    <w:p w14:paraId="46938DAB">
      <w:pPr>
        <w:pStyle w:val="13"/>
        <w:rPr>
          <w:rFonts w:hint="eastAsia" w:ascii="宋体" w:hAnsi="宋体" w:eastAsia="宋体" w:cs="宋体"/>
          <w:color w:val="auto"/>
          <w:highlight w:val="none"/>
        </w:rPr>
      </w:pPr>
    </w:p>
    <w:p w14:paraId="4B7AA0E4">
      <w:pPr>
        <w:rPr>
          <w:rFonts w:hint="eastAsia" w:ascii="宋体" w:hAnsi="宋体" w:eastAsia="宋体" w:cs="宋体"/>
          <w:color w:val="auto"/>
          <w:highlight w:val="none"/>
        </w:rPr>
      </w:pPr>
    </w:p>
    <w:p w14:paraId="4691EB47">
      <w:pPr>
        <w:pStyle w:val="20"/>
        <w:rPr>
          <w:rFonts w:hint="eastAsia" w:ascii="宋体" w:hAnsi="宋体" w:eastAsia="宋体" w:cs="宋体"/>
          <w:color w:val="auto"/>
          <w:highlight w:val="none"/>
        </w:rPr>
      </w:pPr>
    </w:p>
    <w:p w14:paraId="31733AD4">
      <w:pPr>
        <w:pStyle w:val="13"/>
        <w:rPr>
          <w:rFonts w:hint="eastAsia" w:ascii="宋体" w:hAnsi="宋体" w:eastAsia="宋体" w:cs="宋体"/>
          <w:color w:val="auto"/>
          <w:highlight w:val="none"/>
        </w:rPr>
      </w:pPr>
    </w:p>
    <w:p w14:paraId="0977EA34">
      <w:pPr>
        <w:rPr>
          <w:rFonts w:hint="eastAsia" w:ascii="宋体" w:hAnsi="宋体" w:eastAsia="宋体" w:cs="宋体"/>
          <w:color w:val="auto"/>
          <w:highlight w:val="none"/>
        </w:rPr>
      </w:pPr>
    </w:p>
    <w:p w14:paraId="29986A12">
      <w:pPr>
        <w:pStyle w:val="20"/>
        <w:rPr>
          <w:rFonts w:hint="eastAsia" w:ascii="宋体" w:hAnsi="宋体" w:eastAsia="宋体" w:cs="宋体"/>
          <w:color w:val="auto"/>
          <w:highlight w:val="none"/>
        </w:rPr>
      </w:pPr>
    </w:p>
    <w:p w14:paraId="43B48381">
      <w:pPr>
        <w:pStyle w:val="13"/>
        <w:rPr>
          <w:rFonts w:hint="eastAsia" w:ascii="宋体" w:hAnsi="宋体" w:eastAsia="宋体" w:cs="宋体"/>
          <w:color w:val="auto"/>
          <w:highlight w:val="none"/>
        </w:rPr>
      </w:pPr>
    </w:p>
    <w:p w14:paraId="04F52C0D">
      <w:pPr>
        <w:rPr>
          <w:rFonts w:hint="eastAsia" w:ascii="宋体" w:hAnsi="宋体" w:eastAsia="宋体" w:cs="宋体"/>
          <w:color w:val="auto"/>
          <w:highlight w:val="none"/>
        </w:rPr>
      </w:pPr>
    </w:p>
    <w:p w14:paraId="7DBE486F">
      <w:pPr>
        <w:pStyle w:val="20"/>
        <w:rPr>
          <w:rFonts w:hint="eastAsia" w:ascii="宋体" w:hAnsi="宋体" w:eastAsia="宋体" w:cs="宋体"/>
          <w:color w:val="auto"/>
          <w:highlight w:val="none"/>
        </w:rPr>
      </w:pPr>
    </w:p>
    <w:p w14:paraId="0C2CB152">
      <w:pPr>
        <w:pStyle w:val="13"/>
        <w:rPr>
          <w:rFonts w:hint="eastAsia" w:ascii="宋体" w:hAnsi="宋体" w:eastAsia="宋体" w:cs="宋体"/>
          <w:color w:val="auto"/>
          <w:highlight w:val="none"/>
        </w:rPr>
      </w:pPr>
    </w:p>
    <w:p w14:paraId="3BD8449F">
      <w:pPr>
        <w:rPr>
          <w:rFonts w:hint="eastAsia" w:ascii="宋体" w:hAnsi="宋体" w:eastAsia="宋体" w:cs="宋体"/>
          <w:color w:val="auto"/>
          <w:highlight w:val="none"/>
        </w:rPr>
      </w:pPr>
    </w:p>
    <w:p w14:paraId="5B13934D">
      <w:pPr>
        <w:pStyle w:val="20"/>
        <w:rPr>
          <w:rFonts w:hint="eastAsia" w:ascii="宋体" w:hAnsi="宋体" w:eastAsia="宋体" w:cs="宋体"/>
          <w:color w:val="auto"/>
          <w:highlight w:val="none"/>
        </w:rPr>
      </w:pPr>
    </w:p>
    <w:p w14:paraId="33CC6D7E">
      <w:pPr>
        <w:pStyle w:val="13"/>
        <w:rPr>
          <w:rFonts w:hint="eastAsia" w:ascii="宋体" w:hAnsi="宋体" w:eastAsia="宋体" w:cs="宋体"/>
          <w:color w:val="auto"/>
          <w:highlight w:val="none"/>
        </w:rPr>
      </w:pPr>
    </w:p>
    <w:p w14:paraId="7A020363">
      <w:pPr>
        <w:rPr>
          <w:rFonts w:hint="eastAsia" w:ascii="宋体" w:hAnsi="宋体" w:eastAsia="宋体" w:cs="宋体"/>
          <w:color w:val="auto"/>
          <w:highlight w:val="none"/>
        </w:rPr>
      </w:pPr>
    </w:p>
    <w:p w14:paraId="2B296B74">
      <w:pPr>
        <w:pStyle w:val="20"/>
        <w:rPr>
          <w:rFonts w:hint="eastAsia" w:ascii="宋体" w:hAnsi="宋体" w:eastAsia="宋体" w:cs="宋体"/>
          <w:color w:val="auto"/>
          <w:highlight w:val="none"/>
        </w:rPr>
      </w:pPr>
    </w:p>
    <w:bookmarkEnd w:id="357"/>
    <w:p w14:paraId="3784DE55">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jc w:val="center"/>
        <w:textAlignment w:val="auto"/>
        <w:outlineLvl w:val="0"/>
        <w:rPr>
          <w:rFonts w:hint="eastAsia" w:ascii="宋体" w:hAnsi="宋体" w:eastAsia="宋体" w:cs="宋体"/>
          <w:color w:val="auto"/>
          <w:sz w:val="28"/>
          <w:szCs w:val="28"/>
          <w:lang w:val="en-US" w:eastAsia="zh-CN"/>
        </w:rPr>
      </w:pPr>
      <w:bookmarkStart w:id="358" w:name="_Toc12541"/>
      <w:bookmarkStart w:id="359" w:name="_Toc16795"/>
      <w:bookmarkStart w:id="360" w:name="_Toc26429"/>
      <w:r>
        <w:rPr>
          <w:rFonts w:hint="eastAsia" w:ascii="宋体" w:hAnsi="宋体" w:eastAsia="宋体" w:cs="宋体"/>
          <w:color w:val="auto"/>
          <w:sz w:val="28"/>
          <w:szCs w:val="28"/>
          <w:lang w:val="en-US" w:eastAsia="zh-CN"/>
        </w:rPr>
        <w:t>第七部分 其他</w:t>
      </w:r>
      <w:bookmarkEnd w:id="358"/>
      <w:bookmarkEnd w:id="359"/>
      <w:bookmarkEnd w:id="360"/>
      <w:r>
        <w:rPr>
          <w:rFonts w:hint="eastAsia" w:ascii="宋体" w:hAnsi="宋体" w:eastAsia="宋体" w:cs="宋体"/>
          <w:color w:val="auto"/>
          <w:sz w:val="28"/>
          <w:szCs w:val="28"/>
          <w:lang w:val="en-US" w:eastAsia="zh-CN"/>
        </w:rPr>
        <w:t xml:space="preserve"> </w:t>
      </w:r>
    </w:p>
    <w:p w14:paraId="7530B1AC">
      <w:pPr>
        <w:pStyle w:val="5"/>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281" w:firstLineChars="100"/>
        <w:jc w:val="both"/>
        <w:textAlignment w:val="auto"/>
        <w:outlineLvl w:val="0"/>
        <w:rPr>
          <w:rFonts w:hint="eastAsia" w:ascii="宋体" w:hAnsi="宋体" w:eastAsia="宋体" w:cs="宋体"/>
          <w:color w:val="auto"/>
          <w:sz w:val="28"/>
          <w:szCs w:val="28"/>
          <w:lang w:val="en-US" w:eastAsia="zh-CN"/>
        </w:rPr>
      </w:pPr>
      <w:bookmarkStart w:id="361" w:name="_Toc11653"/>
      <w:r>
        <w:rPr>
          <w:rFonts w:hint="eastAsia" w:ascii="宋体" w:hAnsi="宋体" w:eastAsia="宋体" w:cs="宋体"/>
          <w:color w:val="auto"/>
          <w:sz w:val="28"/>
          <w:szCs w:val="28"/>
          <w:lang w:val="en-US" w:eastAsia="zh-CN"/>
        </w:rPr>
        <w:t>附件1：二次报价表</w:t>
      </w:r>
      <w:bookmarkEnd w:id="361"/>
    </w:p>
    <w:p w14:paraId="549F1FB2">
      <w:pPr>
        <w:pStyle w:val="5"/>
        <w:keepNext/>
        <w:keepLines/>
        <w:pageBreakBefore w:val="0"/>
        <w:widowControl w:val="0"/>
        <w:kinsoku/>
        <w:wordWrap/>
        <w:overflowPunct/>
        <w:topLinePunct w:val="0"/>
        <w:autoSpaceDE/>
        <w:autoSpaceDN/>
        <w:bidi w:val="0"/>
        <w:adjustRightInd/>
        <w:snapToGrid/>
        <w:spacing w:before="0" w:after="0" w:line="360" w:lineRule="auto"/>
        <w:jc w:val="right"/>
        <w:textAlignment w:val="auto"/>
        <w:outlineLvl w:val="0"/>
        <w:rPr>
          <w:rFonts w:hint="eastAsia" w:ascii="宋体" w:hAnsi="宋体" w:eastAsia="宋体" w:cs="宋体"/>
          <w:color w:val="auto"/>
          <w:sz w:val="24"/>
          <w:szCs w:val="24"/>
          <w:lang w:val="en-US" w:eastAsia="zh-CN"/>
        </w:rPr>
      </w:pPr>
      <w:bookmarkStart w:id="362" w:name="_Toc31025"/>
      <w:r>
        <w:rPr>
          <w:rFonts w:hint="eastAsia" w:ascii="宋体" w:hAnsi="宋体" w:eastAsia="宋体" w:cs="宋体"/>
          <w:color w:val="auto"/>
          <w:sz w:val="24"/>
          <w:szCs w:val="24"/>
          <w:lang w:val="en-US" w:eastAsia="zh-CN"/>
        </w:rPr>
        <w:t>单位：元</w:t>
      </w:r>
      <w:bookmarkEnd w:id="362"/>
    </w:p>
    <w:tbl>
      <w:tblPr>
        <w:tblStyle w:val="21"/>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14:paraId="26CA5948">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14:paraId="04B13BD1">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14:paraId="567FE363">
            <w:pPr>
              <w:spacing w:line="360" w:lineRule="auto"/>
              <w:rPr>
                <w:rFonts w:hint="eastAsia" w:ascii="宋体" w:hAnsi="宋体" w:eastAsia="宋体" w:cs="宋体"/>
                <w:b/>
                <w:color w:val="auto"/>
                <w:kern w:val="2"/>
                <w:sz w:val="24"/>
                <w:szCs w:val="24"/>
                <w:lang w:val="en-US" w:eastAsia="zh-CN" w:bidi="ar-SA"/>
              </w:rPr>
            </w:pPr>
          </w:p>
        </w:tc>
      </w:tr>
      <w:tr w14:paraId="4892926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14:paraId="40C3B92F">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14:paraId="66D488D5">
            <w:pPr>
              <w:spacing w:line="360" w:lineRule="auto"/>
              <w:rPr>
                <w:rFonts w:hint="eastAsia" w:ascii="宋体" w:hAnsi="宋体" w:eastAsia="宋体" w:cs="宋体"/>
                <w:bCs/>
                <w:color w:val="auto"/>
                <w:sz w:val="24"/>
                <w:szCs w:val="24"/>
                <w:lang w:eastAsia="zh-CN"/>
              </w:rPr>
            </w:pPr>
          </w:p>
        </w:tc>
      </w:tr>
      <w:tr w14:paraId="7E9972C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14:paraId="058B689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14:paraId="7576017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14:paraId="69394615">
            <w:pPr>
              <w:spacing w:line="360" w:lineRule="auto"/>
              <w:jc w:val="center"/>
              <w:rPr>
                <w:rFonts w:hint="eastAsia" w:ascii="宋体" w:hAnsi="宋体" w:eastAsia="宋体" w:cs="宋体"/>
                <w:b/>
                <w:bCs/>
                <w:color w:val="auto"/>
                <w:sz w:val="24"/>
                <w:szCs w:val="24"/>
              </w:rPr>
            </w:pPr>
          </w:p>
        </w:tc>
      </w:tr>
      <w:tr w14:paraId="05AB6FA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14:paraId="0C88005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磋商</w:t>
            </w:r>
            <w:r>
              <w:rPr>
                <w:rFonts w:hint="eastAsia" w:ascii="宋体" w:hAnsi="宋体" w:eastAsia="宋体" w:cs="宋体"/>
                <w:b/>
                <w:bCs/>
                <w:color w:val="auto"/>
                <w:sz w:val="24"/>
                <w:szCs w:val="24"/>
              </w:rPr>
              <w:t>报价</w:t>
            </w:r>
          </w:p>
        </w:tc>
        <w:tc>
          <w:tcPr>
            <w:tcW w:w="6981" w:type="dxa"/>
            <w:noWrap w:val="0"/>
            <w:vAlign w:val="top"/>
          </w:tcPr>
          <w:p w14:paraId="060CA107">
            <w:pPr>
              <w:spacing w:line="360" w:lineRule="auto"/>
              <w:rPr>
                <w:rFonts w:hint="eastAsia" w:ascii="宋体" w:hAnsi="宋体" w:eastAsia="宋体" w:cs="宋体"/>
                <w:b/>
                <w:bCs/>
                <w:color w:val="auto"/>
                <w:sz w:val="24"/>
                <w:szCs w:val="24"/>
                <w:lang w:eastAsia="zh-CN"/>
              </w:rPr>
            </w:pPr>
          </w:p>
          <w:p w14:paraId="12EF4C26">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p>
          <w:p w14:paraId="1B777EF3">
            <w:pPr>
              <w:pStyle w:val="11"/>
              <w:spacing w:line="360" w:lineRule="auto"/>
              <w:rPr>
                <w:rFonts w:hint="eastAsia" w:ascii="宋体" w:hAnsi="宋体" w:eastAsia="宋体" w:cs="宋体"/>
                <w:color w:val="auto"/>
                <w:sz w:val="24"/>
                <w:szCs w:val="24"/>
                <w:lang w:val="en-US" w:eastAsia="zh-CN"/>
              </w:rPr>
            </w:pPr>
          </w:p>
          <w:p w14:paraId="5E86CCB6">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14:paraId="736323D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049684FB">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14:paraId="7A2C12E0">
            <w:pPr>
              <w:spacing w:line="360" w:lineRule="auto"/>
              <w:rPr>
                <w:rFonts w:hint="eastAsia" w:ascii="宋体" w:hAnsi="宋体" w:eastAsia="宋体" w:cs="宋体"/>
                <w:b/>
                <w:bCs/>
                <w:color w:val="auto"/>
                <w:sz w:val="24"/>
                <w:szCs w:val="24"/>
              </w:rPr>
            </w:pPr>
          </w:p>
        </w:tc>
      </w:tr>
      <w:tr w14:paraId="6260B8D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14:paraId="5EEBE0E7">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质量要求</w:t>
            </w:r>
          </w:p>
        </w:tc>
        <w:tc>
          <w:tcPr>
            <w:tcW w:w="6981" w:type="dxa"/>
            <w:noWrap w:val="0"/>
            <w:vAlign w:val="top"/>
          </w:tcPr>
          <w:p w14:paraId="53AD65FE">
            <w:pPr>
              <w:spacing w:line="360" w:lineRule="auto"/>
              <w:rPr>
                <w:rFonts w:hint="eastAsia" w:ascii="宋体" w:hAnsi="宋体" w:eastAsia="宋体" w:cs="宋体"/>
                <w:b/>
                <w:bCs/>
                <w:color w:val="auto"/>
                <w:sz w:val="24"/>
                <w:szCs w:val="24"/>
              </w:rPr>
            </w:pPr>
          </w:p>
        </w:tc>
      </w:tr>
    </w:tbl>
    <w:p w14:paraId="5629C490">
      <w:pPr>
        <w:spacing w:line="360" w:lineRule="auto"/>
        <w:rPr>
          <w:rFonts w:hint="eastAsia" w:ascii="宋体" w:hAnsi="宋体" w:eastAsia="宋体" w:cs="宋体"/>
          <w:color w:val="auto"/>
          <w:sz w:val="24"/>
          <w:szCs w:val="24"/>
        </w:rPr>
      </w:pPr>
    </w:p>
    <w:p w14:paraId="2311AC00">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磋商</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14:paraId="69E76445">
      <w:pPr>
        <w:spacing w:line="360" w:lineRule="auto"/>
        <w:rPr>
          <w:rFonts w:hint="eastAsia" w:ascii="宋体" w:hAnsi="宋体" w:eastAsia="宋体" w:cs="宋体"/>
          <w:color w:val="auto"/>
          <w:sz w:val="24"/>
          <w:szCs w:val="24"/>
        </w:rPr>
      </w:pPr>
    </w:p>
    <w:p w14:paraId="62B734C3">
      <w:pPr>
        <w:spacing w:line="360" w:lineRule="auto"/>
        <w:rPr>
          <w:rFonts w:hint="eastAsia" w:ascii="宋体" w:hAnsi="宋体" w:eastAsia="宋体" w:cs="宋体"/>
          <w:color w:val="auto"/>
          <w:sz w:val="24"/>
          <w:szCs w:val="24"/>
        </w:rPr>
      </w:pPr>
    </w:p>
    <w:p w14:paraId="72B9069D">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p>
    <w:p w14:paraId="09213FD4">
      <w:pPr>
        <w:spacing w:line="360" w:lineRule="auto"/>
        <w:ind w:right="-161" w:firstLine="2640" w:firstLineChars="1100"/>
        <w:rPr>
          <w:rFonts w:hint="eastAsia" w:ascii="宋体" w:hAnsi="宋体" w:eastAsia="宋体" w:cs="宋体"/>
          <w:color w:val="auto"/>
          <w:sz w:val="24"/>
          <w:szCs w:val="24"/>
        </w:rPr>
      </w:pPr>
    </w:p>
    <w:p w14:paraId="77523850">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14:paraId="575FAFAE">
      <w:pPr>
        <w:spacing w:line="360" w:lineRule="auto"/>
        <w:ind w:right="-161" w:firstLine="2640" w:firstLineChars="1100"/>
        <w:rPr>
          <w:rFonts w:hint="eastAsia" w:ascii="宋体" w:hAnsi="宋体" w:eastAsia="宋体" w:cs="宋体"/>
          <w:color w:val="auto"/>
          <w:sz w:val="24"/>
          <w:szCs w:val="24"/>
        </w:rPr>
      </w:pPr>
    </w:p>
    <w:p w14:paraId="4A8AE445">
      <w:pPr>
        <w:pStyle w:val="2"/>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14:paraId="5627B757">
      <w:pPr>
        <w:pStyle w:val="2"/>
        <w:ind w:firstLine="2640" w:firstLineChars="1100"/>
        <w:rPr>
          <w:rFonts w:hint="eastAsia" w:ascii="宋体" w:hAnsi="宋体" w:eastAsia="宋体" w:cs="宋体"/>
          <w:color w:val="auto"/>
          <w:sz w:val="24"/>
          <w:szCs w:val="24"/>
          <w:u w:val="single"/>
        </w:rPr>
      </w:pPr>
    </w:p>
    <w:p w14:paraId="35888D83">
      <w:pPr>
        <w:pStyle w:val="2"/>
        <w:jc w:val="left"/>
        <w:rPr>
          <w:rFonts w:hint="eastAsia" w:ascii="宋体" w:hAnsi="宋体" w:eastAsia="宋体" w:cs="宋体"/>
          <w:b/>
          <w:bCs/>
          <w:color w:val="auto"/>
        </w:rPr>
      </w:pPr>
      <w:r>
        <w:rPr>
          <w:rFonts w:hint="eastAsia" w:ascii="宋体" w:hAnsi="宋体" w:eastAsia="宋体" w:cs="宋体"/>
          <w:b/>
          <w:color w:val="auto"/>
          <w:kern w:val="2"/>
          <w:sz w:val="28"/>
          <w:szCs w:val="28"/>
          <w:lang w:eastAsia="zh-CN"/>
        </w:rPr>
        <w:t>（</w:t>
      </w:r>
      <w:r>
        <w:rPr>
          <w:rFonts w:hint="eastAsia" w:ascii="宋体" w:hAnsi="宋体" w:eastAsia="宋体" w:cs="宋体"/>
          <w:b/>
          <w:color w:val="auto"/>
          <w:kern w:val="2"/>
          <w:sz w:val="28"/>
          <w:szCs w:val="28"/>
        </w:rPr>
        <w:t>注：现场报价使用表格，</w:t>
      </w:r>
      <w:r>
        <w:rPr>
          <w:rFonts w:hint="eastAsia" w:ascii="宋体" w:hAnsi="宋体" w:eastAsia="宋体" w:cs="宋体"/>
          <w:b/>
          <w:color w:val="auto"/>
          <w:kern w:val="2"/>
          <w:sz w:val="28"/>
          <w:szCs w:val="28"/>
          <w:lang w:val="en-US" w:eastAsia="zh-CN"/>
        </w:rPr>
        <w:t>供应商自行准备，</w:t>
      </w:r>
      <w:r>
        <w:rPr>
          <w:rFonts w:hint="eastAsia" w:ascii="宋体" w:hAnsi="宋体" w:eastAsia="宋体" w:cs="宋体"/>
          <w:b/>
          <w:color w:val="auto"/>
          <w:kern w:val="2"/>
          <w:sz w:val="28"/>
          <w:szCs w:val="28"/>
        </w:rPr>
        <w:t>不</w:t>
      </w:r>
      <w:r>
        <w:rPr>
          <w:rFonts w:hint="eastAsia" w:ascii="宋体" w:hAnsi="宋体" w:eastAsia="宋体" w:cs="宋体"/>
          <w:b/>
          <w:color w:val="auto"/>
          <w:kern w:val="2"/>
          <w:sz w:val="28"/>
          <w:szCs w:val="28"/>
          <w:lang w:val="en-US" w:eastAsia="zh-CN"/>
        </w:rPr>
        <w:t>可编制</w:t>
      </w:r>
      <w:r>
        <w:rPr>
          <w:rFonts w:hint="eastAsia" w:ascii="宋体" w:hAnsi="宋体" w:eastAsia="宋体" w:cs="宋体"/>
          <w:b/>
          <w:color w:val="auto"/>
          <w:kern w:val="2"/>
          <w:sz w:val="28"/>
          <w:szCs w:val="28"/>
        </w:rPr>
        <w:t>在</w:t>
      </w:r>
      <w:r>
        <w:rPr>
          <w:rFonts w:hint="eastAsia" w:ascii="宋体" w:hAnsi="宋体" w:eastAsia="宋体" w:cs="宋体"/>
          <w:b/>
          <w:color w:val="auto"/>
          <w:kern w:val="2"/>
          <w:sz w:val="28"/>
          <w:szCs w:val="28"/>
          <w:lang w:val="en-US" w:eastAsia="zh-CN"/>
        </w:rPr>
        <w:t>磋商响应</w:t>
      </w:r>
      <w:r>
        <w:rPr>
          <w:rFonts w:hint="eastAsia" w:ascii="宋体" w:hAnsi="宋体" w:eastAsia="宋体" w:cs="宋体"/>
          <w:b/>
          <w:color w:val="auto"/>
          <w:kern w:val="2"/>
          <w:sz w:val="28"/>
          <w:szCs w:val="28"/>
        </w:rPr>
        <w:t>文件中使用</w:t>
      </w:r>
      <w:r>
        <w:rPr>
          <w:rFonts w:hint="eastAsia" w:ascii="宋体" w:hAnsi="宋体" w:eastAsia="宋体" w:cs="宋体"/>
          <w:b/>
          <w:color w:val="auto"/>
          <w:kern w:val="2"/>
          <w:sz w:val="28"/>
          <w:szCs w:val="28"/>
          <w:lang w:eastAsia="zh-CN"/>
        </w:rPr>
        <w:t>）</w:t>
      </w:r>
    </w:p>
    <w:p w14:paraId="1C6E5CBA">
      <w:pPr>
        <w:pStyle w:val="6"/>
        <w:numPr>
          <w:ilvl w:val="3"/>
          <w:numId w:val="0"/>
        </w:numPr>
        <w:ind w:leftChars="0"/>
        <w:jc w:val="both"/>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14:paraId="78F2A914">
      <w:pPr>
        <w:pStyle w:val="6"/>
        <w:numPr>
          <w:ilvl w:val="3"/>
          <w:numId w:val="0"/>
        </w:numPr>
        <w:ind w:leftChars="0"/>
        <w:jc w:val="center"/>
        <w:rPr>
          <w:rFonts w:hint="eastAsia" w:ascii="宋体" w:hAnsi="宋体" w:eastAsia="宋体" w:cs="宋体"/>
          <w:color w:val="auto"/>
        </w:rPr>
      </w:pPr>
      <w:r>
        <w:rPr>
          <w:rFonts w:hint="eastAsia" w:ascii="宋体" w:hAnsi="宋体" w:eastAsia="宋体" w:cs="宋体"/>
          <w:color w:val="auto"/>
        </w:rPr>
        <w:drawing>
          <wp:inline distT="0" distB="0" distL="114300" distR="114300">
            <wp:extent cx="5069840" cy="7247890"/>
            <wp:effectExtent l="0" t="0" r="1651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0"/>
                    <a:stretch>
                      <a:fillRect/>
                    </a:stretch>
                  </pic:blipFill>
                  <pic:spPr>
                    <a:xfrm>
                      <a:off x="0" y="0"/>
                      <a:ext cx="5069840" cy="7247890"/>
                    </a:xfrm>
                    <a:prstGeom prst="rect">
                      <a:avLst/>
                    </a:prstGeom>
                    <a:noFill/>
                    <a:ln>
                      <a:noFill/>
                    </a:ln>
                  </pic:spPr>
                </pic:pic>
              </a:graphicData>
            </a:graphic>
          </wp:inline>
        </w:drawing>
      </w:r>
    </w:p>
    <w:p w14:paraId="5001BC15">
      <w:pPr>
        <w:rPr>
          <w:rFonts w:hint="eastAsia" w:ascii="宋体" w:hAnsi="宋体" w:eastAsia="宋体" w:cs="宋体"/>
          <w:color w:val="auto"/>
        </w:rPr>
      </w:pPr>
    </w:p>
    <w:p w14:paraId="23E4D840">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200650" cy="6962775"/>
            <wp:effectExtent l="0" t="0" r="0"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51"/>
                    <a:stretch>
                      <a:fillRect/>
                    </a:stretch>
                  </pic:blipFill>
                  <pic:spPr>
                    <a:xfrm>
                      <a:off x="0" y="0"/>
                      <a:ext cx="5200650" cy="6962775"/>
                    </a:xfrm>
                    <a:prstGeom prst="rect">
                      <a:avLst/>
                    </a:prstGeom>
                    <a:noFill/>
                    <a:ln>
                      <a:noFill/>
                    </a:ln>
                  </pic:spPr>
                </pic:pic>
              </a:graphicData>
            </a:graphic>
          </wp:inline>
        </w:drawing>
      </w:r>
    </w:p>
    <w:p w14:paraId="27D46AFF">
      <w:pPr>
        <w:rPr>
          <w:rFonts w:hint="eastAsia" w:ascii="宋体" w:hAnsi="宋体" w:eastAsia="宋体" w:cs="宋体"/>
          <w:color w:val="auto"/>
        </w:rPr>
      </w:pPr>
    </w:p>
    <w:p w14:paraId="6C62776C">
      <w:pPr>
        <w:pStyle w:val="6"/>
        <w:numPr>
          <w:ilvl w:val="3"/>
          <w:numId w:val="0"/>
        </w:numPr>
        <w:ind w:leftChars="0"/>
        <w:outlineLvl w:val="9"/>
        <w:rPr>
          <w:rFonts w:hint="eastAsia" w:ascii="宋体" w:hAnsi="宋体" w:eastAsia="宋体" w:cs="宋体"/>
          <w:color w:val="auto"/>
        </w:rPr>
      </w:pPr>
    </w:p>
    <w:p w14:paraId="54DE17BF">
      <w:pPr>
        <w:rPr>
          <w:rFonts w:hint="eastAsia" w:ascii="宋体" w:hAnsi="宋体" w:eastAsia="宋体" w:cs="宋体"/>
          <w:color w:val="auto"/>
        </w:rPr>
      </w:pPr>
    </w:p>
    <w:p w14:paraId="3507A695">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52"/>
                    <a:stretch>
                      <a:fillRect/>
                    </a:stretch>
                  </pic:blipFill>
                  <pic:spPr>
                    <a:xfrm>
                      <a:off x="0" y="0"/>
                      <a:ext cx="6110605" cy="3481070"/>
                    </a:xfrm>
                    <a:prstGeom prst="rect">
                      <a:avLst/>
                    </a:prstGeom>
                    <a:noFill/>
                    <a:ln>
                      <a:noFill/>
                    </a:ln>
                  </pic:spPr>
                </pic:pic>
              </a:graphicData>
            </a:graphic>
          </wp:inline>
        </w:drawing>
      </w:r>
    </w:p>
    <w:p w14:paraId="3A0444DE">
      <w:pPr>
        <w:spacing w:line="360" w:lineRule="auto"/>
        <w:jc w:val="both"/>
        <w:rPr>
          <w:rFonts w:hint="eastAsia" w:ascii="宋体" w:hAnsi="宋体" w:eastAsia="宋体" w:cs="宋体"/>
          <w:color w:val="auto"/>
        </w:rPr>
      </w:pPr>
    </w:p>
    <w:p w14:paraId="42CC5A0A">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53"/>
                    <a:stretch>
                      <a:fillRect/>
                    </a:stretch>
                  </pic:blipFill>
                  <pic:spPr>
                    <a:xfrm>
                      <a:off x="0" y="0"/>
                      <a:ext cx="6172200" cy="3448685"/>
                    </a:xfrm>
                    <a:prstGeom prst="rect">
                      <a:avLst/>
                    </a:prstGeom>
                    <a:noFill/>
                    <a:ln>
                      <a:noFill/>
                    </a:ln>
                  </pic:spPr>
                </pic:pic>
              </a:graphicData>
            </a:graphic>
          </wp:inline>
        </w:drawing>
      </w:r>
    </w:p>
    <w:p w14:paraId="71943FDB">
      <w:pPr>
        <w:rPr>
          <w:rFonts w:hint="eastAsia" w:ascii="宋体" w:hAnsi="宋体" w:eastAsia="宋体" w:cs="宋体"/>
          <w:color w:val="auto"/>
        </w:rPr>
      </w:pPr>
    </w:p>
    <w:p w14:paraId="1EA23417">
      <w:pPr>
        <w:pStyle w:val="25"/>
        <w:rPr>
          <w:rFonts w:hint="eastAsia" w:ascii="宋体" w:hAnsi="宋体" w:eastAsia="宋体" w:cs="宋体"/>
          <w:color w:val="auto"/>
        </w:rPr>
      </w:pPr>
    </w:p>
    <w:p w14:paraId="23DEE8AD">
      <w:pPr>
        <w:rPr>
          <w:rFonts w:hint="eastAsia" w:ascii="宋体" w:hAnsi="宋体" w:eastAsia="宋体" w:cs="宋体"/>
          <w:color w:val="auto"/>
        </w:rPr>
      </w:pPr>
    </w:p>
    <w:p w14:paraId="1ABA4903">
      <w:pPr>
        <w:rPr>
          <w:rFonts w:hint="eastAsia" w:ascii="宋体" w:hAnsi="宋体" w:eastAsia="宋体" w:cs="宋体"/>
          <w:color w:val="auto"/>
        </w:rPr>
      </w:pPr>
    </w:p>
    <w:p w14:paraId="64120D19">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77255" cy="3370580"/>
            <wp:effectExtent l="0" t="0" r="44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54"/>
                    <a:stretch>
                      <a:fillRect/>
                    </a:stretch>
                  </pic:blipFill>
                  <pic:spPr>
                    <a:xfrm>
                      <a:off x="0" y="0"/>
                      <a:ext cx="5977255" cy="3370580"/>
                    </a:xfrm>
                    <a:prstGeom prst="rect">
                      <a:avLst/>
                    </a:prstGeom>
                    <a:noFill/>
                    <a:ln>
                      <a:noFill/>
                    </a:ln>
                  </pic:spPr>
                </pic:pic>
              </a:graphicData>
            </a:graphic>
          </wp:inline>
        </w:drawing>
      </w:r>
    </w:p>
    <w:p w14:paraId="7B723887">
      <w:pPr>
        <w:spacing w:line="360" w:lineRule="auto"/>
        <w:jc w:val="both"/>
        <w:rPr>
          <w:rFonts w:hint="eastAsia" w:ascii="宋体" w:hAnsi="宋体" w:eastAsia="宋体" w:cs="宋体"/>
          <w:color w:val="auto"/>
        </w:rPr>
      </w:pPr>
    </w:p>
    <w:p w14:paraId="1B4E4271">
      <w:pPr>
        <w:pStyle w:val="6"/>
        <w:numPr>
          <w:ilvl w:val="3"/>
          <w:numId w:val="0"/>
        </w:numPr>
        <w:ind w:leftChars="0"/>
        <w:outlineLvl w:val="9"/>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55"/>
                    <a:stretch>
                      <a:fillRect/>
                    </a:stretch>
                  </pic:blipFill>
                  <pic:spPr>
                    <a:xfrm>
                      <a:off x="0" y="0"/>
                      <a:ext cx="5993130" cy="3397250"/>
                    </a:xfrm>
                    <a:prstGeom prst="rect">
                      <a:avLst/>
                    </a:prstGeom>
                    <a:noFill/>
                    <a:ln>
                      <a:noFill/>
                    </a:ln>
                  </pic:spPr>
                </pic:pic>
              </a:graphicData>
            </a:graphic>
          </wp:inline>
        </w:drawing>
      </w:r>
    </w:p>
    <w:p w14:paraId="5F9E1862">
      <w:pPr>
        <w:rPr>
          <w:rFonts w:hint="eastAsia" w:ascii="宋体" w:hAnsi="宋体" w:eastAsia="宋体" w:cs="宋体"/>
          <w:color w:val="auto"/>
        </w:rPr>
      </w:pPr>
    </w:p>
    <w:p w14:paraId="49F9682E">
      <w:pPr>
        <w:pStyle w:val="25"/>
        <w:rPr>
          <w:rFonts w:hint="eastAsia" w:ascii="宋体" w:hAnsi="宋体" w:eastAsia="宋体" w:cs="宋体"/>
          <w:color w:val="auto"/>
        </w:rPr>
      </w:pPr>
    </w:p>
    <w:p w14:paraId="48DF999C">
      <w:pPr>
        <w:pStyle w:val="25"/>
        <w:rPr>
          <w:rFonts w:hint="eastAsia" w:ascii="宋体" w:hAnsi="宋体" w:eastAsia="宋体" w:cs="宋体"/>
          <w:color w:val="auto"/>
        </w:rPr>
      </w:pPr>
    </w:p>
    <w:p w14:paraId="7DF22E8B">
      <w:pPr>
        <w:pStyle w:val="25"/>
        <w:rPr>
          <w:rFonts w:hint="eastAsia" w:ascii="宋体" w:hAnsi="宋体" w:eastAsia="宋体" w:cs="宋体"/>
          <w:color w:val="auto"/>
        </w:rPr>
      </w:pPr>
    </w:p>
    <w:p w14:paraId="37A6FBE7">
      <w:pPr>
        <w:pStyle w:val="25"/>
        <w:rPr>
          <w:rFonts w:hint="eastAsia" w:ascii="宋体" w:hAnsi="宋体" w:eastAsia="宋体" w:cs="宋体"/>
          <w:color w:val="auto"/>
        </w:rPr>
      </w:pPr>
    </w:p>
    <w:p w14:paraId="71BFA9F8">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19165" cy="3403600"/>
            <wp:effectExtent l="0" t="0" r="635" b="635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6"/>
                    <a:stretch>
                      <a:fillRect/>
                    </a:stretch>
                  </pic:blipFill>
                  <pic:spPr>
                    <a:xfrm>
                      <a:off x="0" y="0"/>
                      <a:ext cx="6019165" cy="3403600"/>
                    </a:xfrm>
                    <a:prstGeom prst="rect">
                      <a:avLst/>
                    </a:prstGeom>
                    <a:noFill/>
                    <a:ln>
                      <a:noFill/>
                    </a:ln>
                  </pic:spPr>
                </pic:pic>
              </a:graphicData>
            </a:graphic>
          </wp:inline>
        </w:drawing>
      </w:r>
    </w:p>
    <w:p w14:paraId="6B86CC44">
      <w:pPr>
        <w:spacing w:line="360" w:lineRule="auto"/>
        <w:jc w:val="both"/>
        <w:rPr>
          <w:rFonts w:hint="eastAsia" w:ascii="宋体" w:hAnsi="宋体" w:eastAsia="宋体" w:cs="宋体"/>
          <w:color w:val="auto"/>
        </w:rPr>
      </w:pPr>
    </w:p>
    <w:p w14:paraId="44B794B7">
      <w:pPr>
        <w:pStyle w:val="25"/>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57"/>
                    <a:stretch>
                      <a:fillRect/>
                    </a:stretch>
                  </pic:blipFill>
                  <pic:spPr>
                    <a:xfrm>
                      <a:off x="0" y="0"/>
                      <a:ext cx="6025515" cy="3397885"/>
                    </a:xfrm>
                    <a:prstGeom prst="rect">
                      <a:avLst/>
                    </a:prstGeom>
                    <a:noFill/>
                    <a:ln>
                      <a:noFill/>
                    </a:ln>
                  </pic:spPr>
                </pic:pic>
              </a:graphicData>
            </a:graphic>
          </wp:inline>
        </w:drawing>
      </w:r>
    </w:p>
    <w:p w14:paraId="7B2435BF">
      <w:pPr>
        <w:pStyle w:val="25"/>
        <w:rPr>
          <w:rFonts w:hint="eastAsia" w:ascii="宋体" w:hAnsi="宋体" w:eastAsia="宋体" w:cs="宋体"/>
          <w:color w:val="auto"/>
        </w:rPr>
      </w:pPr>
    </w:p>
    <w:p w14:paraId="0A1A4484">
      <w:pPr>
        <w:pStyle w:val="25"/>
        <w:rPr>
          <w:rFonts w:hint="eastAsia" w:ascii="宋体" w:hAnsi="宋体" w:eastAsia="宋体" w:cs="宋体"/>
          <w:color w:val="auto"/>
        </w:rPr>
      </w:pPr>
    </w:p>
    <w:p w14:paraId="09F2AA3D">
      <w:pPr>
        <w:pStyle w:val="25"/>
        <w:rPr>
          <w:rFonts w:hint="eastAsia" w:ascii="宋体" w:hAnsi="宋体" w:eastAsia="宋体" w:cs="宋体"/>
          <w:color w:val="auto"/>
        </w:rPr>
      </w:pPr>
    </w:p>
    <w:p w14:paraId="1359A7D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84570" cy="3452495"/>
            <wp:effectExtent l="0" t="0" r="11430" b="1460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8"/>
                    <a:stretch>
                      <a:fillRect/>
                    </a:stretch>
                  </pic:blipFill>
                  <pic:spPr>
                    <a:xfrm>
                      <a:off x="0" y="0"/>
                      <a:ext cx="6084570" cy="3452495"/>
                    </a:xfrm>
                    <a:prstGeom prst="rect">
                      <a:avLst/>
                    </a:prstGeom>
                    <a:noFill/>
                    <a:ln>
                      <a:noFill/>
                    </a:ln>
                  </pic:spPr>
                </pic:pic>
              </a:graphicData>
            </a:graphic>
          </wp:inline>
        </w:drawing>
      </w:r>
    </w:p>
    <w:p w14:paraId="7DEEF534">
      <w:pPr>
        <w:spacing w:line="360" w:lineRule="auto"/>
        <w:jc w:val="both"/>
        <w:rPr>
          <w:rFonts w:hint="eastAsia" w:ascii="宋体" w:hAnsi="宋体" w:eastAsia="宋体" w:cs="宋体"/>
          <w:color w:val="auto"/>
        </w:rPr>
      </w:pPr>
    </w:p>
    <w:p w14:paraId="248E6712">
      <w:pPr>
        <w:pStyle w:val="25"/>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59"/>
                    <a:stretch>
                      <a:fillRect/>
                    </a:stretch>
                  </pic:blipFill>
                  <pic:spPr>
                    <a:xfrm>
                      <a:off x="0" y="0"/>
                      <a:ext cx="6120765" cy="3474720"/>
                    </a:xfrm>
                    <a:prstGeom prst="rect">
                      <a:avLst/>
                    </a:prstGeom>
                    <a:noFill/>
                    <a:ln>
                      <a:noFill/>
                    </a:ln>
                  </pic:spPr>
                </pic:pic>
              </a:graphicData>
            </a:graphic>
          </wp:inline>
        </w:drawing>
      </w:r>
    </w:p>
    <w:p w14:paraId="5DAF7DEE">
      <w:pPr>
        <w:pStyle w:val="25"/>
        <w:rPr>
          <w:rFonts w:hint="eastAsia" w:ascii="宋体" w:hAnsi="宋体" w:eastAsia="宋体" w:cs="宋体"/>
          <w:color w:val="auto"/>
        </w:rPr>
      </w:pPr>
    </w:p>
    <w:p w14:paraId="04EE9054">
      <w:pPr>
        <w:pStyle w:val="25"/>
        <w:rPr>
          <w:rFonts w:hint="eastAsia" w:ascii="宋体" w:hAnsi="宋体" w:eastAsia="宋体" w:cs="宋体"/>
          <w:color w:val="auto"/>
        </w:rPr>
      </w:pPr>
    </w:p>
    <w:p w14:paraId="67AAE32C">
      <w:pPr>
        <w:pStyle w:val="25"/>
        <w:rPr>
          <w:rFonts w:hint="eastAsia" w:ascii="宋体" w:hAnsi="宋体" w:eastAsia="宋体" w:cs="宋体"/>
          <w:color w:val="auto"/>
        </w:rPr>
      </w:pPr>
    </w:p>
    <w:p w14:paraId="1CC55E6D">
      <w:pPr>
        <w:pStyle w:val="25"/>
        <w:rPr>
          <w:rFonts w:hint="eastAsia" w:ascii="宋体" w:hAnsi="宋体" w:eastAsia="宋体" w:cs="宋体"/>
          <w:color w:val="auto"/>
        </w:rPr>
      </w:pPr>
    </w:p>
    <w:p w14:paraId="7BA1D66A">
      <w:pPr>
        <w:pStyle w:val="25"/>
        <w:rPr>
          <w:rFonts w:hint="eastAsia" w:ascii="宋体" w:hAnsi="宋体" w:eastAsia="宋体" w:cs="宋体"/>
          <w:color w:val="auto"/>
        </w:rPr>
      </w:pPr>
    </w:p>
    <w:p w14:paraId="04343F4F">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7575" cy="3375025"/>
            <wp:effectExtent l="0" t="0" r="3175" b="1587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60"/>
                    <a:stretch>
                      <a:fillRect/>
                    </a:stretch>
                  </pic:blipFill>
                  <pic:spPr>
                    <a:xfrm>
                      <a:off x="0" y="0"/>
                      <a:ext cx="5997575" cy="3375025"/>
                    </a:xfrm>
                    <a:prstGeom prst="rect">
                      <a:avLst/>
                    </a:prstGeom>
                    <a:noFill/>
                    <a:ln>
                      <a:noFill/>
                    </a:ln>
                  </pic:spPr>
                </pic:pic>
              </a:graphicData>
            </a:graphic>
          </wp:inline>
        </w:drawing>
      </w:r>
    </w:p>
    <w:p w14:paraId="715AEAEA">
      <w:pPr>
        <w:spacing w:line="360" w:lineRule="auto"/>
        <w:jc w:val="both"/>
        <w:rPr>
          <w:rFonts w:hint="eastAsia" w:ascii="宋体" w:hAnsi="宋体" w:eastAsia="宋体" w:cs="宋体"/>
          <w:color w:val="auto"/>
        </w:rPr>
      </w:pPr>
    </w:p>
    <w:p w14:paraId="32343B8C">
      <w:pPr>
        <w:pStyle w:val="25"/>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61"/>
                    <a:stretch>
                      <a:fillRect/>
                    </a:stretch>
                  </pic:blipFill>
                  <pic:spPr>
                    <a:xfrm>
                      <a:off x="0" y="0"/>
                      <a:ext cx="6045200" cy="3383280"/>
                    </a:xfrm>
                    <a:prstGeom prst="rect">
                      <a:avLst/>
                    </a:prstGeom>
                    <a:noFill/>
                    <a:ln>
                      <a:noFill/>
                    </a:ln>
                  </pic:spPr>
                </pic:pic>
              </a:graphicData>
            </a:graphic>
          </wp:inline>
        </w:drawing>
      </w:r>
    </w:p>
    <w:p w14:paraId="27B26BC8">
      <w:pPr>
        <w:pStyle w:val="25"/>
        <w:rPr>
          <w:rFonts w:hint="eastAsia" w:ascii="宋体" w:hAnsi="宋体" w:eastAsia="宋体" w:cs="宋体"/>
          <w:color w:val="auto"/>
        </w:rPr>
      </w:pPr>
    </w:p>
    <w:p w14:paraId="1CA6396C">
      <w:pPr>
        <w:pStyle w:val="25"/>
        <w:rPr>
          <w:rFonts w:hint="eastAsia" w:ascii="宋体" w:hAnsi="宋体" w:eastAsia="宋体" w:cs="宋体"/>
          <w:color w:val="auto"/>
        </w:rPr>
      </w:pPr>
    </w:p>
    <w:p w14:paraId="02402B2E">
      <w:pPr>
        <w:pStyle w:val="25"/>
        <w:rPr>
          <w:rFonts w:hint="eastAsia" w:ascii="宋体" w:hAnsi="宋体" w:eastAsia="宋体" w:cs="宋体"/>
          <w:color w:val="auto"/>
        </w:rPr>
      </w:pPr>
    </w:p>
    <w:p w14:paraId="53FD74E7">
      <w:pPr>
        <w:pStyle w:val="25"/>
        <w:rPr>
          <w:rFonts w:hint="eastAsia" w:ascii="宋体" w:hAnsi="宋体" w:eastAsia="宋体" w:cs="宋体"/>
          <w:color w:val="auto"/>
        </w:rPr>
      </w:pPr>
    </w:p>
    <w:p w14:paraId="060CCD27">
      <w:pPr>
        <w:pStyle w:val="25"/>
        <w:rPr>
          <w:rFonts w:hint="eastAsia" w:ascii="宋体" w:hAnsi="宋体" w:eastAsia="宋体" w:cs="宋体"/>
          <w:color w:val="auto"/>
        </w:rPr>
      </w:pPr>
      <w:r>
        <w:rPr>
          <w:rFonts w:hint="eastAsia" w:ascii="宋体" w:hAnsi="宋体" w:eastAsia="宋体" w:cs="宋体"/>
          <w:color w:val="auto"/>
        </w:rPr>
        <w:drawing>
          <wp:inline distT="0" distB="0" distL="114300" distR="114300">
            <wp:extent cx="5614035" cy="3166745"/>
            <wp:effectExtent l="0" t="0" r="5715" b="1460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62"/>
                    <a:stretch>
                      <a:fillRect/>
                    </a:stretch>
                  </pic:blipFill>
                  <pic:spPr>
                    <a:xfrm>
                      <a:off x="0" y="0"/>
                      <a:ext cx="5614035" cy="3166745"/>
                    </a:xfrm>
                    <a:prstGeom prst="rect">
                      <a:avLst/>
                    </a:prstGeom>
                    <a:noFill/>
                    <a:ln>
                      <a:noFill/>
                    </a:ln>
                  </pic:spPr>
                </pic:pic>
              </a:graphicData>
            </a:graphic>
          </wp:inline>
        </w:drawing>
      </w:r>
    </w:p>
    <w:p w14:paraId="23E5E471">
      <w:pPr>
        <w:pStyle w:val="25"/>
        <w:rPr>
          <w:rFonts w:hint="eastAsia" w:ascii="宋体" w:hAnsi="宋体" w:eastAsia="宋体" w:cs="宋体"/>
          <w:color w:val="auto"/>
        </w:rPr>
      </w:pPr>
    </w:p>
    <w:p w14:paraId="09238035">
      <w:pPr>
        <w:pStyle w:val="25"/>
        <w:rPr>
          <w:rFonts w:hint="eastAsia" w:ascii="宋体" w:hAnsi="宋体" w:eastAsia="宋体" w:cs="宋体"/>
          <w:color w:val="auto"/>
        </w:rPr>
      </w:pPr>
    </w:p>
    <w:p w14:paraId="5739947A">
      <w:pPr>
        <w:pStyle w:val="25"/>
        <w:rPr>
          <w:rFonts w:hint="eastAsia" w:ascii="宋体" w:hAnsi="宋体" w:eastAsia="宋体" w:cs="宋体"/>
          <w:color w:val="auto"/>
        </w:rPr>
      </w:pPr>
    </w:p>
    <w:p w14:paraId="780D1780">
      <w:pPr>
        <w:pStyle w:val="25"/>
        <w:rPr>
          <w:rFonts w:hint="eastAsia" w:ascii="宋体" w:hAnsi="宋体" w:eastAsia="宋体" w:cs="宋体"/>
          <w:color w:val="auto"/>
        </w:rPr>
      </w:pPr>
    </w:p>
    <w:p w14:paraId="57A396BF">
      <w:pPr>
        <w:pStyle w:val="25"/>
        <w:rPr>
          <w:rFonts w:hint="eastAsia" w:ascii="宋体" w:hAnsi="宋体" w:eastAsia="宋体" w:cs="宋体"/>
          <w:color w:val="auto"/>
        </w:rPr>
      </w:pPr>
    </w:p>
    <w:p w14:paraId="1766A9FD">
      <w:pPr>
        <w:pStyle w:val="25"/>
        <w:rPr>
          <w:rFonts w:hint="eastAsia" w:ascii="宋体" w:hAnsi="宋体" w:eastAsia="宋体" w:cs="宋体"/>
          <w:color w:val="auto"/>
        </w:rPr>
      </w:pPr>
    </w:p>
    <w:p w14:paraId="18CED67A">
      <w:pPr>
        <w:pStyle w:val="25"/>
        <w:rPr>
          <w:rFonts w:hint="eastAsia" w:ascii="宋体" w:hAnsi="宋体" w:eastAsia="宋体" w:cs="宋体"/>
          <w:color w:val="auto"/>
        </w:rPr>
      </w:pPr>
    </w:p>
    <w:p w14:paraId="2BC86B9A">
      <w:pPr>
        <w:pStyle w:val="25"/>
        <w:rPr>
          <w:rFonts w:hint="eastAsia" w:ascii="宋体" w:hAnsi="宋体" w:eastAsia="宋体" w:cs="宋体"/>
          <w:color w:val="auto"/>
        </w:rPr>
      </w:pPr>
    </w:p>
    <w:p w14:paraId="4EF4D423">
      <w:pPr>
        <w:pStyle w:val="25"/>
        <w:rPr>
          <w:rFonts w:hint="eastAsia" w:ascii="宋体" w:hAnsi="宋体" w:eastAsia="宋体" w:cs="宋体"/>
          <w:color w:val="auto"/>
        </w:rPr>
      </w:pPr>
    </w:p>
    <w:p w14:paraId="58A2755C">
      <w:pPr>
        <w:pStyle w:val="25"/>
        <w:rPr>
          <w:rFonts w:hint="eastAsia" w:ascii="宋体" w:hAnsi="宋体" w:eastAsia="宋体" w:cs="宋体"/>
          <w:color w:val="auto"/>
          <w:lang w:val="en-US" w:eastAsia="zh-CN"/>
        </w:rPr>
      </w:pPr>
    </w:p>
    <w:p w14:paraId="49E0ACDE">
      <w:pPr>
        <w:rPr>
          <w:color w:val="auto"/>
        </w:rPr>
      </w:pPr>
    </w:p>
    <w:p w14:paraId="6D21E990">
      <w:pPr>
        <w:rPr>
          <w:color w:val="auto"/>
        </w:rPr>
      </w:pPr>
    </w:p>
    <w:sectPr>
      <w:footerReference r:id="rId10" w:type="default"/>
      <w:pgSz w:w="11906" w:h="16838"/>
      <w:pgMar w:top="1440" w:right="1226" w:bottom="1440" w:left="132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 w:name="AGYXIQ+Frutiger-Cn">
    <w:altName w:val="宋体"/>
    <w:panose1 w:val="00000000000000000000"/>
    <w:charset w:val="86"/>
    <w:family w:val="swiss"/>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D7465">
    <w:pPr>
      <w:pStyle w:val="2"/>
      <w:rPr>
        <w:rFonts w:ascii="宋体" w:hAnsi="宋体" w:cs="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9D204B">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5C9D204B">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DCACD">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64F5EF">
                          <w:pPr>
                            <w:pStyle w:val="2"/>
                          </w:pPr>
                          <w:r>
                            <w:t xml:space="preserve">第 </w:t>
                          </w:r>
                          <w:r>
                            <w:fldChar w:fldCharType="begin"/>
                          </w:r>
                          <w:r>
                            <w:instrText xml:space="preserve"> PAGE  \* MERGEFORMAT </w:instrText>
                          </w:r>
                          <w:r>
                            <w:fldChar w:fldCharType="separate"/>
                          </w:r>
                          <w:r>
                            <w:t>62</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E64F5EF">
                    <w:pPr>
                      <w:pStyle w:val="2"/>
                    </w:pPr>
                    <w:r>
                      <w:t xml:space="preserve">第 </w:t>
                    </w:r>
                    <w:r>
                      <w:fldChar w:fldCharType="begin"/>
                    </w:r>
                    <w:r>
                      <w:instrText xml:space="preserve"> PAGE  \* MERGEFORMAT </w:instrText>
                    </w:r>
                    <w:r>
                      <w:fldChar w:fldCharType="separate"/>
                    </w:r>
                    <w:r>
                      <w:t>62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F9A85">
    <w:pPr>
      <w:pStyle w:val="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7C6BEB5">
                          <w:pPr>
                            <w:pStyle w:val="2"/>
                          </w:pPr>
                          <w:r>
                            <w:t xml:space="preserve">第 </w:t>
                          </w:r>
                          <w:r>
                            <w:fldChar w:fldCharType="begin"/>
                          </w:r>
                          <w:r>
                            <w:instrText xml:space="preserve"> PAGE  \* MERGEFORMAT </w:instrText>
                          </w:r>
                          <w:r>
                            <w:fldChar w:fldCharType="separate"/>
                          </w:r>
                          <w:r>
                            <w:t>64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57C6BEB5">
                    <w:pPr>
                      <w:pStyle w:val="2"/>
                    </w:pPr>
                    <w:r>
                      <w:t xml:space="preserve">第 </w:t>
                    </w:r>
                    <w:r>
                      <w:fldChar w:fldCharType="begin"/>
                    </w:r>
                    <w:r>
                      <w:instrText xml:space="preserve"> PAGE  \* MERGEFORMAT </w:instrText>
                    </w:r>
                    <w:r>
                      <w:fldChar w:fldCharType="separate"/>
                    </w:r>
                    <w:r>
                      <w:t>64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D49885">
    <w:pPr>
      <w:pStyle w:val="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A1481">
                          <w:pPr>
                            <w:pStyle w:val="2"/>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64CA1481">
                    <w:pPr>
                      <w:pStyle w:val="2"/>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A62DD">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314D3">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8B7322"/>
    <w:multiLevelType w:val="singleLevel"/>
    <w:tmpl w:val="BF8B7322"/>
    <w:lvl w:ilvl="0" w:tentative="0">
      <w:start w:val="2"/>
      <w:numFmt w:val="decimal"/>
      <w:suff w:val="nothing"/>
      <w:lvlText w:val="%1、"/>
      <w:lvlJc w:val="left"/>
    </w:lvl>
  </w:abstractNum>
  <w:abstractNum w:abstractNumId="1">
    <w:nsid w:val="F3EF33C6"/>
    <w:multiLevelType w:val="singleLevel"/>
    <w:tmpl w:val="F3EF33C6"/>
    <w:lvl w:ilvl="0" w:tentative="0">
      <w:start w:val="1"/>
      <w:numFmt w:val="decimal"/>
      <w:suff w:val="space"/>
      <w:lvlText w:val="%1."/>
      <w:lvlJc w:val="left"/>
    </w:lvl>
  </w:abstractNum>
  <w:abstractNum w:abstractNumId="2">
    <w:nsid w:val="1CC82E32"/>
    <w:multiLevelType w:val="singleLevel"/>
    <w:tmpl w:val="1CC82E32"/>
    <w:lvl w:ilvl="0" w:tentative="0">
      <w:start w:val="5"/>
      <w:numFmt w:val="chineseCounting"/>
      <w:suff w:val="space"/>
      <w:lvlText w:val="第%1章"/>
      <w:lvlJc w:val="left"/>
      <w:rPr>
        <w:rFonts w:hint="eastAsia"/>
      </w:rPr>
    </w:lvl>
  </w:abstractNum>
  <w:abstractNum w:abstractNumId="3">
    <w:nsid w:val="37C40D7B"/>
    <w:multiLevelType w:val="singleLevel"/>
    <w:tmpl w:val="37C40D7B"/>
    <w:lvl w:ilvl="0" w:tentative="0">
      <w:start w:val="7"/>
      <w:numFmt w:val="decimal"/>
      <w:suff w:val="space"/>
      <w:lvlText w:val="%1."/>
      <w:lvlJc w:val="left"/>
    </w:lvl>
  </w:abstractNum>
  <w:abstractNum w:abstractNumId="4">
    <w:nsid w:val="54306E40"/>
    <w:multiLevelType w:val="multilevel"/>
    <w:tmpl w:val="54306E40"/>
    <w:lvl w:ilvl="0" w:tentative="0">
      <w:start w:val="1"/>
      <w:numFmt w:val="decimal"/>
      <w:lvlText w:val="%1"/>
      <w:lvlJc w:val="left"/>
      <w:pPr>
        <w:ind w:left="42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A2F4AB3"/>
    <w:multiLevelType w:val="multilevel"/>
    <w:tmpl w:val="6A2F4AB3"/>
    <w:lvl w:ilvl="0" w:tentative="0">
      <w:start w:val="1"/>
      <w:numFmt w:val="chineseCountingThousand"/>
      <w:suff w:val="nothing"/>
      <w:lvlText w:val="%1、"/>
      <w:lvlJc w:val="left"/>
      <w:pPr>
        <w:ind w:left="425" w:hanging="425"/>
      </w:pPr>
      <w:rPr>
        <w:rFonts w:hint="eastAsia"/>
      </w:rPr>
    </w:lvl>
    <w:lvl w:ilvl="1" w:tentative="0">
      <w:start w:val="1"/>
      <w:numFmt w:val="decimal"/>
      <w:isLgl/>
      <w:suff w:val="nothing"/>
      <w:lvlText w:val="%1.%2、"/>
      <w:lvlJc w:val="left"/>
      <w:pPr>
        <w:ind w:left="567" w:hanging="567"/>
      </w:pPr>
      <w:rPr>
        <w:rFonts w:hint="default" w:ascii="Arial" w:hAnsi="Arial" w:cs="Arial"/>
      </w:rPr>
    </w:lvl>
    <w:lvl w:ilvl="2" w:tentative="0">
      <w:start w:val="1"/>
      <w:numFmt w:val="decimal"/>
      <w:isLgl/>
      <w:suff w:val="nothing"/>
      <w:lvlText w:val="%1.%2.%3、"/>
      <w:lvlJc w:val="left"/>
      <w:pPr>
        <w:ind w:left="1069" w:hanging="1069"/>
      </w:pPr>
      <w:rPr>
        <w:rFonts w:hint="default" w:ascii="Arial" w:hAnsi="Arial" w:cs="Arial"/>
      </w:rPr>
    </w:lvl>
    <w:lvl w:ilvl="3" w:tentative="0">
      <w:start w:val="1"/>
      <w:numFmt w:val="decimal"/>
      <w:pStyle w:val="6"/>
      <w:isLgl/>
      <w:suff w:val="nothing"/>
      <w:lvlText w:val="%1.%2.%3.%4、"/>
      <w:lvlJc w:val="left"/>
      <w:pPr>
        <w:ind w:left="851" w:hanging="851"/>
      </w:pPr>
      <w:rPr>
        <w:rFonts w:hint="default" w:ascii="Arial" w:hAnsi="Arial" w:cs="Arial"/>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zZTNmNTkwMjBkZWUxNzU4MDI2NThhMzQ4ODVmNDMifQ=="/>
  </w:docVars>
  <w:rsids>
    <w:rsidRoot w:val="59E93A18"/>
    <w:rsid w:val="002C4449"/>
    <w:rsid w:val="005F65CD"/>
    <w:rsid w:val="006140F3"/>
    <w:rsid w:val="00771B68"/>
    <w:rsid w:val="00861DAB"/>
    <w:rsid w:val="009049D8"/>
    <w:rsid w:val="00C36B5B"/>
    <w:rsid w:val="00FD7467"/>
    <w:rsid w:val="012D2227"/>
    <w:rsid w:val="01510884"/>
    <w:rsid w:val="016E2F6B"/>
    <w:rsid w:val="018067FB"/>
    <w:rsid w:val="01B06555"/>
    <w:rsid w:val="01CC5EE4"/>
    <w:rsid w:val="01D17056"/>
    <w:rsid w:val="01D45AC6"/>
    <w:rsid w:val="02026E30"/>
    <w:rsid w:val="021A27AB"/>
    <w:rsid w:val="02382230"/>
    <w:rsid w:val="02405F8A"/>
    <w:rsid w:val="02443CCC"/>
    <w:rsid w:val="02483DA4"/>
    <w:rsid w:val="024C3B02"/>
    <w:rsid w:val="02587777"/>
    <w:rsid w:val="0270061D"/>
    <w:rsid w:val="027D7CC0"/>
    <w:rsid w:val="02924A37"/>
    <w:rsid w:val="02D45050"/>
    <w:rsid w:val="02EF646F"/>
    <w:rsid w:val="02FE20CD"/>
    <w:rsid w:val="03060F81"/>
    <w:rsid w:val="030E7E36"/>
    <w:rsid w:val="03127926"/>
    <w:rsid w:val="034026E5"/>
    <w:rsid w:val="035717DD"/>
    <w:rsid w:val="035C6DF3"/>
    <w:rsid w:val="04073203"/>
    <w:rsid w:val="041F054D"/>
    <w:rsid w:val="043D4E77"/>
    <w:rsid w:val="04487657"/>
    <w:rsid w:val="04610B65"/>
    <w:rsid w:val="046248DD"/>
    <w:rsid w:val="04785EAF"/>
    <w:rsid w:val="04846602"/>
    <w:rsid w:val="04877EA0"/>
    <w:rsid w:val="04A9250C"/>
    <w:rsid w:val="04C44C50"/>
    <w:rsid w:val="04ED631E"/>
    <w:rsid w:val="04FA7115"/>
    <w:rsid w:val="05094D59"/>
    <w:rsid w:val="050E236F"/>
    <w:rsid w:val="05121E5F"/>
    <w:rsid w:val="051931EE"/>
    <w:rsid w:val="052D1FA4"/>
    <w:rsid w:val="053973EC"/>
    <w:rsid w:val="056401E1"/>
    <w:rsid w:val="05AA6C0E"/>
    <w:rsid w:val="05C3315A"/>
    <w:rsid w:val="05D709B3"/>
    <w:rsid w:val="062736E9"/>
    <w:rsid w:val="0649594C"/>
    <w:rsid w:val="068E3768"/>
    <w:rsid w:val="06982838"/>
    <w:rsid w:val="06BA27AF"/>
    <w:rsid w:val="06C62F02"/>
    <w:rsid w:val="06DA075B"/>
    <w:rsid w:val="06E92867"/>
    <w:rsid w:val="06FC4B75"/>
    <w:rsid w:val="07181283"/>
    <w:rsid w:val="07340F33"/>
    <w:rsid w:val="07342561"/>
    <w:rsid w:val="0749768F"/>
    <w:rsid w:val="076B1CFB"/>
    <w:rsid w:val="076E26A3"/>
    <w:rsid w:val="079E3E7E"/>
    <w:rsid w:val="07A71A5E"/>
    <w:rsid w:val="07B90CB8"/>
    <w:rsid w:val="07D16002"/>
    <w:rsid w:val="07F33D53"/>
    <w:rsid w:val="07F35494"/>
    <w:rsid w:val="080F2686"/>
    <w:rsid w:val="08471E20"/>
    <w:rsid w:val="086F75C9"/>
    <w:rsid w:val="08B35707"/>
    <w:rsid w:val="08D4330F"/>
    <w:rsid w:val="08F655F4"/>
    <w:rsid w:val="09353BD7"/>
    <w:rsid w:val="093F6F9B"/>
    <w:rsid w:val="09502F56"/>
    <w:rsid w:val="09563B8E"/>
    <w:rsid w:val="098A46BA"/>
    <w:rsid w:val="09A137B2"/>
    <w:rsid w:val="09AA6B0A"/>
    <w:rsid w:val="09C53944"/>
    <w:rsid w:val="09EB2C7F"/>
    <w:rsid w:val="0A1026E6"/>
    <w:rsid w:val="0A140428"/>
    <w:rsid w:val="0A256191"/>
    <w:rsid w:val="0A530F50"/>
    <w:rsid w:val="0AA172D2"/>
    <w:rsid w:val="0AB94B2B"/>
    <w:rsid w:val="0ABA32A4"/>
    <w:rsid w:val="0B1110D6"/>
    <w:rsid w:val="0B266665"/>
    <w:rsid w:val="0B352404"/>
    <w:rsid w:val="0B470389"/>
    <w:rsid w:val="0B6251C3"/>
    <w:rsid w:val="0B84338B"/>
    <w:rsid w:val="0B882E7B"/>
    <w:rsid w:val="0BA22FE5"/>
    <w:rsid w:val="0BA94BA0"/>
    <w:rsid w:val="0BAB4DBC"/>
    <w:rsid w:val="0BE5207C"/>
    <w:rsid w:val="0BFD206A"/>
    <w:rsid w:val="0C172450"/>
    <w:rsid w:val="0C6B7FC5"/>
    <w:rsid w:val="0CA23AC9"/>
    <w:rsid w:val="0CA35A93"/>
    <w:rsid w:val="0CB832EC"/>
    <w:rsid w:val="0CC51EAD"/>
    <w:rsid w:val="0CD10852"/>
    <w:rsid w:val="0CD36378"/>
    <w:rsid w:val="0CD43E9E"/>
    <w:rsid w:val="0CEA7310"/>
    <w:rsid w:val="0CFF7179"/>
    <w:rsid w:val="0D301714"/>
    <w:rsid w:val="0D330BC5"/>
    <w:rsid w:val="0D467272"/>
    <w:rsid w:val="0D6925DC"/>
    <w:rsid w:val="0D7336B7"/>
    <w:rsid w:val="0D766D04"/>
    <w:rsid w:val="0D907DC5"/>
    <w:rsid w:val="0D9F625A"/>
    <w:rsid w:val="0DDA3736"/>
    <w:rsid w:val="0DFD060A"/>
    <w:rsid w:val="0E1F739B"/>
    <w:rsid w:val="0E5A168E"/>
    <w:rsid w:val="0E666D78"/>
    <w:rsid w:val="0E6A2D0C"/>
    <w:rsid w:val="0ECB1C73"/>
    <w:rsid w:val="0ECC307F"/>
    <w:rsid w:val="0ECF2B6F"/>
    <w:rsid w:val="0EDB59B8"/>
    <w:rsid w:val="0EF645A0"/>
    <w:rsid w:val="0F0071CD"/>
    <w:rsid w:val="0F072309"/>
    <w:rsid w:val="0F152C78"/>
    <w:rsid w:val="0F24110D"/>
    <w:rsid w:val="0F451083"/>
    <w:rsid w:val="0F7F6343"/>
    <w:rsid w:val="0FAE09D7"/>
    <w:rsid w:val="10246EEB"/>
    <w:rsid w:val="102F7D69"/>
    <w:rsid w:val="10354C54"/>
    <w:rsid w:val="103F5AD3"/>
    <w:rsid w:val="10606175"/>
    <w:rsid w:val="10703EDE"/>
    <w:rsid w:val="1081433D"/>
    <w:rsid w:val="10C5247C"/>
    <w:rsid w:val="10CD30DE"/>
    <w:rsid w:val="10F845FF"/>
    <w:rsid w:val="11494E5B"/>
    <w:rsid w:val="11643A43"/>
    <w:rsid w:val="117B6FDE"/>
    <w:rsid w:val="11B60016"/>
    <w:rsid w:val="11BD3153"/>
    <w:rsid w:val="11BF4A73"/>
    <w:rsid w:val="11E132E5"/>
    <w:rsid w:val="120B0362"/>
    <w:rsid w:val="121F796A"/>
    <w:rsid w:val="12260CF8"/>
    <w:rsid w:val="12301B77"/>
    <w:rsid w:val="123C676E"/>
    <w:rsid w:val="12687563"/>
    <w:rsid w:val="128B3251"/>
    <w:rsid w:val="128D0D77"/>
    <w:rsid w:val="12A32349"/>
    <w:rsid w:val="12CB2536"/>
    <w:rsid w:val="12CC77F7"/>
    <w:rsid w:val="12D469A6"/>
    <w:rsid w:val="12FC4414"/>
    <w:rsid w:val="12FE6C66"/>
    <w:rsid w:val="130D3C66"/>
    <w:rsid w:val="13196AAF"/>
    <w:rsid w:val="132953AD"/>
    <w:rsid w:val="134358DA"/>
    <w:rsid w:val="13477178"/>
    <w:rsid w:val="135950FD"/>
    <w:rsid w:val="137141F5"/>
    <w:rsid w:val="13854144"/>
    <w:rsid w:val="138A175B"/>
    <w:rsid w:val="139879D4"/>
    <w:rsid w:val="13B81E24"/>
    <w:rsid w:val="13C702B9"/>
    <w:rsid w:val="13D86A07"/>
    <w:rsid w:val="13F6294C"/>
    <w:rsid w:val="143F60A1"/>
    <w:rsid w:val="145204CA"/>
    <w:rsid w:val="146124BC"/>
    <w:rsid w:val="14E15405"/>
    <w:rsid w:val="155362A8"/>
    <w:rsid w:val="15B42EFD"/>
    <w:rsid w:val="15B825AF"/>
    <w:rsid w:val="15BD7BC5"/>
    <w:rsid w:val="15CC3983"/>
    <w:rsid w:val="15DB629E"/>
    <w:rsid w:val="167949D0"/>
    <w:rsid w:val="16A14DF1"/>
    <w:rsid w:val="16C531D6"/>
    <w:rsid w:val="16D01B7A"/>
    <w:rsid w:val="16D90A2F"/>
    <w:rsid w:val="16E573D4"/>
    <w:rsid w:val="16FD374C"/>
    <w:rsid w:val="17273203"/>
    <w:rsid w:val="173E38F9"/>
    <w:rsid w:val="17B9616B"/>
    <w:rsid w:val="17CA481C"/>
    <w:rsid w:val="17E51656"/>
    <w:rsid w:val="18155A97"/>
    <w:rsid w:val="184B770B"/>
    <w:rsid w:val="18544FDE"/>
    <w:rsid w:val="185F31B6"/>
    <w:rsid w:val="18663CB3"/>
    <w:rsid w:val="187376F9"/>
    <w:rsid w:val="1876405C"/>
    <w:rsid w:val="18A40BC9"/>
    <w:rsid w:val="18A94431"/>
    <w:rsid w:val="18CB43A7"/>
    <w:rsid w:val="18D70A65"/>
    <w:rsid w:val="19067AD5"/>
    <w:rsid w:val="194B54E8"/>
    <w:rsid w:val="19670574"/>
    <w:rsid w:val="19722A75"/>
    <w:rsid w:val="19956FF2"/>
    <w:rsid w:val="1997072D"/>
    <w:rsid w:val="19A370D2"/>
    <w:rsid w:val="19BB08C0"/>
    <w:rsid w:val="19DB686C"/>
    <w:rsid w:val="19F2161A"/>
    <w:rsid w:val="1A130120"/>
    <w:rsid w:val="1A187AC0"/>
    <w:rsid w:val="1A3B730B"/>
    <w:rsid w:val="1A442663"/>
    <w:rsid w:val="1A4C59BC"/>
    <w:rsid w:val="1A710F7F"/>
    <w:rsid w:val="1A89276C"/>
    <w:rsid w:val="1AAE3F81"/>
    <w:rsid w:val="1AB8095B"/>
    <w:rsid w:val="1ACB4B33"/>
    <w:rsid w:val="1ADA2FC8"/>
    <w:rsid w:val="1AF44089"/>
    <w:rsid w:val="1AF916A0"/>
    <w:rsid w:val="1B617245"/>
    <w:rsid w:val="1B6B1E72"/>
    <w:rsid w:val="1BA62EAA"/>
    <w:rsid w:val="1BB2184F"/>
    <w:rsid w:val="1BD417C5"/>
    <w:rsid w:val="1BFE2CE6"/>
    <w:rsid w:val="1C142509"/>
    <w:rsid w:val="1C3E30E2"/>
    <w:rsid w:val="1C7229A7"/>
    <w:rsid w:val="1CA54212"/>
    <w:rsid w:val="1CAE64BA"/>
    <w:rsid w:val="1CB57848"/>
    <w:rsid w:val="1CC06429"/>
    <w:rsid w:val="1CF245F9"/>
    <w:rsid w:val="1D24052A"/>
    <w:rsid w:val="1D84721B"/>
    <w:rsid w:val="1DC87107"/>
    <w:rsid w:val="1DEE00DB"/>
    <w:rsid w:val="1E026ABD"/>
    <w:rsid w:val="1E1467F1"/>
    <w:rsid w:val="1E37603B"/>
    <w:rsid w:val="1E470974"/>
    <w:rsid w:val="1E5170FD"/>
    <w:rsid w:val="1E543091"/>
    <w:rsid w:val="1E9D0594"/>
    <w:rsid w:val="1EBA7398"/>
    <w:rsid w:val="1EC024D4"/>
    <w:rsid w:val="1ECE50AB"/>
    <w:rsid w:val="1EEC5078"/>
    <w:rsid w:val="1EF62D5F"/>
    <w:rsid w:val="1F0B19A2"/>
    <w:rsid w:val="1F161646"/>
    <w:rsid w:val="1F2111C5"/>
    <w:rsid w:val="1F6D7F66"/>
    <w:rsid w:val="1F941997"/>
    <w:rsid w:val="1FCF29CF"/>
    <w:rsid w:val="1FE31903"/>
    <w:rsid w:val="1FFC578E"/>
    <w:rsid w:val="20384595"/>
    <w:rsid w:val="20436F19"/>
    <w:rsid w:val="204F1D62"/>
    <w:rsid w:val="20592BE1"/>
    <w:rsid w:val="205C7FDB"/>
    <w:rsid w:val="20605D1D"/>
    <w:rsid w:val="20914128"/>
    <w:rsid w:val="209854B7"/>
    <w:rsid w:val="20BB2F53"/>
    <w:rsid w:val="20BF0C96"/>
    <w:rsid w:val="20C52024"/>
    <w:rsid w:val="20DD736E"/>
    <w:rsid w:val="20E417DE"/>
    <w:rsid w:val="210466A8"/>
    <w:rsid w:val="210F210F"/>
    <w:rsid w:val="21316869"/>
    <w:rsid w:val="214178FD"/>
    <w:rsid w:val="217952E8"/>
    <w:rsid w:val="21A25EC1"/>
    <w:rsid w:val="21BC7EF3"/>
    <w:rsid w:val="21C10A3D"/>
    <w:rsid w:val="2217240B"/>
    <w:rsid w:val="22640F66"/>
    <w:rsid w:val="22665BF5"/>
    <w:rsid w:val="22714212"/>
    <w:rsid w:val="228A0E2F"/>
    <w:rsid w:val="228A52D3"/>
    <w:rsid w:val="22FD3CF7"/>
    <w:rsid w:val="23515DF1"/>
    <w:rsid w:val="237F470C"/>
    <w:rsid w:val="237F64BA"/>
    <w:rsid w:val="23B72344"/>
    <w:rsid w:val="23BC14BC"/>
    <w:rsid w:val="23D62B00"/>
    <w:rsid w:val="2403533D"/>
    <w:rsid w:val="243674C1"/>
    <w:rsid w:val="24455956"/>
    <w:rsid w:val="244F40DF"/>
    <w:rsid w:val="245931AF"/>
    <w:rsid w:val="248A2BF4"/>
    <w:rsid w:val="24B12E11"/>
    <w:rsid w:val="24D743AD"/>
    <w:rsid w:val="25137802"/>
    <w:rsid w:val="25203CCD"/>
    <w:rsid w:val="25461985"/>
    <w:rsid w:val="2584600A"/>
    <w:rsid w:val="25A93CC2"/>
    <w:rsid w:val="25B904BC"/>
    <w:rsid w:val="25FA451E"/>
    <w:rsid w:val="261455E0"/>
    <w:rsid w:val="26280DF4"/>
    <w:rsid w:val="2628108B"/>
    <w:rsid w:val="26543C2E"/>
    <w:rsid w:val="2685028B"/>
    <w:rsid w:val="26AC142E"/>
    <w:rsid w:val="26F907C2"/>
    <w:rsid w:val="270A26AA"/>
    <w:rsid w:val="2729330D"/>
    <w:rsid w:val="27514612"/>
    <w:rsid w:val="27BE5369"/>
    <w:rsid w:val="284303FE"/>
    <w:rsid w:val="288D78CB"/>
    <w:rsid w:val="289F3FDD"/>
    <w:rsid w:val="28B07116"/>
    <w:rsid w:val="28B87CA9"/>
    <w:rsid w:val="28C72DDD"/>
    <w:rsid w:val="28CF10E1"/>
    <w:rsid w:val="28D7334D"/>
    <w:rsid w:val="28DE3C83"/>
    <w:rsid w:val="29017971"/>
    <w:rsid w:val="290C07F0"/>
    <w:rsid w:val="2919115F"/>
    <w:rsid w:val="29475CCC"/>
    <w:rsid w:val="294E08B8"/>
    <w:rsid w:val="295403E9"/>
    <w:rsid w:val="29543F45"/>
    <w:rsid w:val="29946A38"/>
    <w:rsid w:val="299802D6"/>
    <w:rsid w:val="29A30A29"/>
    <w:rsid w:val="29D357B2"/>
    <w:rsid w:val="29DB4666"/>
    <w:rsid w:val="29FE6A01"/>
    <w:rsid w:val="2A04596B"/>
    <w:rsid w:val="2A465F84"/>
    <w:rsid w:val="2A4915D0"/>
    <w:rsid w:val="2A4948C9"/>
    <w:rsid w:val="2A5306A1"/>
    <w:rsid w:val="2A9767DF"/>
    <w:rsid w:val="2AA36F32"/>
    <w:rsid w:val="2AAA4765"/>
    <w:rsid w:val="2AB4113F"/>
    <w:rsid w:val="2ACD2201"/>
    <w:rsid w:val="2ADB126B"/>
    <w:rsid w:val="2AE5754B"/>
    <w:rsid w:val="2AEB08D9"/>
    <w:rsid w:val="2B243F83"/>
    <w:rsid w:val="2B365FF8"/>
    <w:rsid w:val="2B400C25"/>
    <w:rsid w:val="2B710DDE"/>
    <w:rsid w:val="2B820819"/>
    <w:rsid w:val="2BB1567F"/>
    <w:rsid w:val="2BF437BD"/>
    <w:rsid w:val="2BF57C61"/>
    <w:rsid w:val="2C11436F"/>
    <w:rsid w:val="2C114E7D"/>
    <w:rsid w:val="2C1E4138"/>
    <w:rsid w:val="2C300C99"/>
    <w:rsid w:val="2C3342E6"/>
    <w:rsid w:val="2CAE1BBE"/>
    <w:rsid w:val="2CC338BC"/>
    <w:rsid w:val="2D012F66"/>
    <w:rsid w:val="2D1934DC"/>
    <w:rsid w:val="2D450775"/>
    <w:rsid w:val="2D480265"/>
    <w:rsid w:val="2D6E3B3C"/>
    <w:rsid w:val="2D9D235F"/>
    <w:rsid w:val="2DBE22D5"/>
    <w:rsid w:val="2DC20777"/>
    <w:rsid w:val="2DE81100"/>
    <w:rsid w:val="2DEF06E0"/>
    <w:rsid w:val="2DFB0E33"/>
    <w:rsid w:val="2E1A019E"/>
    <w:rsid w:val="2E497DF1"/>
    <w:rsid w:val="2E5D389C"/>
    <w:rsid w:val="2E5F13C2"/>
    <w:rsid w:val="2E67296D"/>
    <w:rsid w:val="2E9C43C4"/>
    <w:rsid w:val="2EC41B6D"/>
    <w:rsid w:val="2EC92CDF"/>
    <w:rsid w:val="2EC97183"/>
    <w:rsid w:val="2EDD67D0"/>
    <w:rsid w:val="2EF91817"/>
    <w:rsid w:val="2F8A246F"/>
    <w:rsid w:val="2FB219C5"/>
    <w:rsid w:val="2FB43990"/>
    <w:rsid w:val="2FCF2577"/>
    <w:rsid w:val="2FEA5603"/>
    <w:rsid w:val="301B3A0F"/>
    <w:rsid w:val="302C1778"/>
    <w:rsid w:val="30633B47"/>
    <w:rsid w:val="30890978"/>
    <w:rsid w:val="309015AF"/>
    <w:rsid w:val="30AC4667"/>
    <w:rsid w:val="30B5176D"/>
    <w:rsid w:val="30C16364"/>
    <w:rsid w:val="30C916BD"/>
    <w:rsid w:val="30D53BBD"/>
    <w:rsid w:val="3106646D"/>
    <w:rsid w:val="3126266B"/>
    <w:rsid w:val="31436D79"/>
    <w:rsid w:val="317F3B29"/>
    <w:rsid w:val="318C4BC4"/>
    <w:rsid w:val="31A55C86"/>
    <w:rsid w:val="31BB2DB3"/>
    <w:rsid w:val="32085CA7"/>
    <w:rsid w:val="323A4620"/>
    <w:rsid w:val="327117FB"/>
    <w:rsid w:val="32892EB1"/>
    <w:rsid w:val="328E04C8"/>
    <w:rsid w:val="32A62867"/>
    <w:rsid w:val="32B36180"/>
    <w:rsid w:val="32B53CA7"/>
    <w:rsid w:val="32D2765F"/>
    <w:rsid w:val="32D560F7"/>
    <w:rsid w:val="32D87995"/>
    <w:rsid w:val="3353526D"/>
    <w:rsid w:val="336A5510"/>
    <w:rsid w:val="33770F5C"/>
    <w:rsid w:val="337B28D8"/>
    <w:rsid w:val="33B3236F"/>
    <w:rsid w:val="33B66B8B"/>
    <w:rsid w:val="33D97E69"/>
    <w:rsid w:val="34403A44"/>
    <w:rsid w:val="34441786"/>
    <w:rsid w:val="345117AD"/>
    <w:rsid w:val="345E3ECA"/>
    <w:rsid w:val="346E0856"/>
    <w:rsid w:val="34D96C06"/>
    <w:rsid w:val="34FE6543"/>
    <w:rsid w:val="35131158"/>
    <w:rsid w:val="351C000D"/>
    <w:rsid w:val="35436D6D"/>
    <w:rsid w:val="358B0CEF"/>
    <w:rsid w:val="359758E5"/>
    <w:rsid w:val="359E6C74"/>
    <w:rsid w:val="35D501BC"/>
    <w:rsid w:val="35E87EEF"/>
    <w:rsid w:val="35F04FF6"/>
    <w:rsid w:val="360511EC"/>
    <w:rsid w:val="364F4412"/>
    <w:rsid w:val="365C268B"/>
    <w:rsid w:val="36723C5D"/>
    <w:rsid w:val="36963DEF"/>
    <w:rsid w:val="36FB00F6"/>
    <w:rsid w:val="37461371"/>
    <w:rsid w:val="376A4579"/>
    <w:rsid w:val="377F0D27"/>
    <w:rsid w:val="37C42B4F"/>
    <w:rsid w:val="3814321D"/>
    <w:rsid w:val="3821348C"/>
    <w:rsid w:val="382D42DF"/>
    <w:rsid w:val="3851621F"/>
    <w:rsid w:val="389425B0"/>
    <w:rsid w:val="38BA31C2"/>
    <w:rsid w:val="38C2711D"/>
    <w:rsid w:val="38C27784"/>
    <w:rsid w:val="38CC3AF8"/>
    <w:rsid w:val="394B7113"/>
    <w:rsid w:val="39987E7E"/>
    <w:rsid w:val="39AE31FE"/>
    <w:rsid w:val="39E15381"/>
    <w:rsid w:val="3A412E27"/>
    <w:rsid w:val="3A443B62"/>
    <w:rsid w:val="3A6D130B"/>
    <w:rsid w:val="3A7E20F2"/>
    <w:rsid w:val="3A9B5E78"/>
    <w:rsid w:val="3ACE7FFB"/>
    <w:rsid w:val="3AD76784"/>
    <w:rsid w:val="3ADB6274"/>
    <w:rsid w:val="3AF13CEA"/>
    <w:rsid w:val="3AFB2473"/>
    <w:rsid w:val="3B0C0B24"/>
    <w:rsid w:val="3B2A2D58"/>
    <w:rsid w:val="3B7A783B"/>
    <w:rsid w:val="3BC46D08"/>
    <w:rsid w:val="3BC767F9"/>
    <w:rsid w:val="3BD827B4"/>
    <w:rsid w:val="3BFC46F4"/>
    <w:rsid w:val="3C320116"/>
    <w:rsid w:val="3C37397E"/>
    <w:rsid w:val="3C3E2F5F"/>
    <w:rsid w:val="3C88242C"/>
    <w:rsid w:val="3CB054DF"/>
    <w:rsid w:val="3CBA010B"/>
    <w:rsid w:val="3CBB635D"/>
    <w:rsid w:val="3CD15B81"/>
    <w:rsid w:val="3CEF4259"/>
    <w:rsid w:val="3CFB4FDE"/>
    <w:rsid w:val="3D0E1B8B"/>
    <w:rsid w:val="3D127F47"/>
    <w:rsid w:val="3D2C2DB7"/>
    <w:rsid w:val="3D2D6B2F"/>
    <w:rsid w:val="3D3A1978"/>
    <w:rsid w:val="3D9848F1"/>
    <w:rsid w:val="3DBA6615"/>
    <w:rsid w:val="3DC72AE0"/>
    <w:rsid w:val="3DF24001"/>
    <w:rsid w:val="3E2E2B5F"/>
    <w:rsid w:val="3E3F2FBE"/>
    <w:rsid w:val="3E6622F9"/>
    <w:rsid w:val="3E6C5B64"/>
    <w:rsid w:val="3E716AE4"/>
    <w:rsid w:val="3E8B6203"/>
    <w:rsid w:val="3F2F5000"/>
    <w:rsid w:val="3F36616F"/>
    <w:rsid w:val="3F395C5F"/>
    <w:rsid w:val="3F3E5024"/>
    <w:rsid w:val="3F4A7E6C"/>
    <w:rsid w:val="3F5860E5"/>
    <w:rsid w:val="3F60708E"/>
    <w:rsid w:val="3F7E3672"/>
    <w:rsid w:val="3F7F799B"/>
    <w:rsid w:val="3F9F1F66"/>
    <w:rsid w:val="3FA0183A"/>
    <w:rsid w:val="3FD00372"/>
    <w:rsid w:val="3FDD2A8F"/>
    <w:rsid w:val="3FEE07F8"/>
    <w:rsid w:val="3FEE0DCC"/>
    <w:rsid w:val="40161AFD"/>
    <w:rsid w:val="402828F4"/>
    <w:rsid w:val="403703F1"/>
    <w:rsid w:val="403F39C6"/>
    <w:rsid w:val="40491ED2"/>
    <w:rsid w:val="405F5252"/>
    <w:rsid w:val="407C6541"/>
    <w:rsid w:val="409150BB"/>
    <w:rsid w:val="40C41559"/>
    <w:rsid w:val="41076015"/>
    <w:rsid w:val="411E510D"/>
    <w:rsid w:val="412344D1"/>
    <w:rsid w:val="41483F38"/>
    <w:rsid w:val="41970A1B"/>
    <w:rsid w:val="41BD4926"/>
    <w:rsid w:val="41EA1493"/>
    <w:rsid w:val="41F320F5"/>
    <w:rsid w:val="42644DA1"/>
    <w:rsid w:val="42784CF1"/>
    <w:rsid w:val="42791CF1"/>
    <w:rsid w:val="428B0580"/>
    <w:rsid w:val="42B06238"/>
    <w:rsid w:val="42DE2DA6"/>
    <w:rsid w:val="43010842"/>
    <w:rsid w:val="434D3A87"/>
    <w:rsid w:val="436B215F"/>
    <w:rsid w:val="43741014"/>
    <w:rsid w:val="43796156"/>
    <w:rsid w:val="43947908"/>
    <w:rsid w:val="43CA157C"/>
    <w:rsid w:val="43DB72E5"/>
    <w:rsid w:val="43F32881"/>
    <w:rsid w:val="43FD05B2"/>
    <w:rsid w:val="442C7B41"/>
    <w:rsid w:val="444035EC"/>
    <w:rsid w:val="4450382F"/>
    <w:rsid w:val="446E0159"/>
    <w:rsid w:val="448E4357"/>
    <w:rsid w:val="44D3620E"/>
    <w:rsid w:val="44DF4BB3"/>
    <w:rsid w:val="44E4041B"/>
    <w:rsid w:val="456926CF"/>
    <w:rsid w:val="45CE5353"/>
    <w:rsid w:val="45E00BE3"/>
    <w:rsid w:val="45E76415"/>
    <w:rsid w:val="45EA1A61"/>
    <w:rsid w:val="45F864A7"/>
    <w:rsid w:val="461D3BE5"/>
    <w:rsid w:val="46641814"/>
    <w:rsid w:val="46717A8D"/>
    <w:rsid w:val="46753A21"/>
    <w:rsid w:val="467D0B27"/>
    <w:rsid w:val="469B136D"/>
    <w:rsid w:val="46B1432D"/>
    <w:rsid w:val="46B53E1D"/>
    <w:rsid w:val="46B75DE7"/>
    <w:rsid w:val="46CE4EDF"/>
    <w:rsid w:val="46F34946"/>
    <w:rsid w:val="46F801AE"/>
    <w:rsid w:val="47021D0D"/>
    <w:rsid w:val="472B0583"/>
    <w:rsid w:val="47310DEC"/>
    <w:rsid w:val="47413512"/>
    <w:rsid w:val="474B6530"/>
    <w:rsid w:val="47777325"/>
    <w:rsid w:val="478163F5"/>
    <w:rsid w:val="47A53E92"/>
    <w:rsid w:val="47A619B8"/>
    <w:rsid w:val="47C02A7A"/>
    <w:rsid w:val="47E66258"/>
    <w:rsid w:val="483B7BDF"/>
    <w:rsid w:val="483D5387"/>
    <w:rsid w:val="48403BBB"/>
    <w:rsid w:val="48641DF5"/>
    <w:rsid w:val="48710218"/>
    <w:rsid w:val="4880045B"/>
    <w:rsid w:val="48A44149"/>
    <w:rsid w:val="48B20B01"/>
    <w:rsid w:val="48B30830"/>
    <w:rsid w:val="48CA7928"/>
    <w:rsid w:val="48D80297"/>
    <w:rsid w:val="48E1714C"/>
    <w:rsid w:val="48E72288"/>
    <w:rsid w:val="491633B3"/>
    <w:rsid w:val="49267254"/>
    <w:rsid w:val="49280A74"/>
    <w:rsid w:val="49916866"/>
    <w:rsid w:val="499311D3"/>
    <w:rsid w:val="49971F00"/>
    <w:rsid w:val="49DE7B2F"/>
    <w:rsid w:val="49F44C5D"/>
    <w:rsid w:val="4A0F35C1"/>
    <w:rsid w:val="4A174DEF"/>
    <w:rsid w:val="4A233794"/>
    <w:rsid w:val="4A266DE0"/>
    <w:rsid w:val="4A602205"/>
    <w:rsid w:val="4A6C0C97"/>
    <w:rsid w:val="4A924464"/>
    <w:rsid w:val="4AC7411F"/>
    <w:rsid w:val="4ACB711A"/>
    <w:rsid w:val="4ACF1226"/>
    <w:rsid w:val="4B335C59"/>
    <w:rsid w:val="4B38501D"/>
    <w:rsid w:val="4B4B2FA2"/>
    <w:rsid w:val="4B542E90"/>
    <w:rsid w:val="4B756CFB"/>
    <w:rsid w:val="4BDC1E4C"/>
    <w:rsid w:val="4BE922BA"/>
    <w:rsid w:val="4BEF467D"/>
    <w:rsid w:val="4C8B4A9E"/>
    <w:rsid w:val="4CB2471F"/>
    <w:rsid w:val="4CB608EF"/>
    <w:rsid w:val="4CC254E6"/>
    <w:rsid w:val="4CC35A26"/>
    <w:rsid w:val="4D2B4E39"/>
    <w:rsid w:val="4D53613E"/>
    <w:rsid w:val="4D986247"/>
    <w:rsid w:val="4DA1334D"/>
    <w:rsid w:val="4DBF5582"/>
    <w:rsid w:val="4DC31516"/>
    <w:rsid w:val="4E487C6D"/>
    <w:rsid w:val="4E597784"/>
    <w:rsid w:val="4E65437B"/>
    <w:rsid w:val="4E66332D"/>
    <w:rsid w:val="4E9E6450"/>
    <w:rsid w:val="4EB15812"/>
    <w:rsid w:val="4EB33338"/>
    <w:rsid w:val="4F4C1097"/>
    <w:rsid w:val="4F5543EF"/>
    <w:rsid w:val="4F583EE0"/>
    <w:rsid w:val="4F7B372A"/>
    <w:rsid w:val="4F8B1BBF"/>
    <w:rsid w:val="4FB355BA"/>
    <w:rsid w:val="4FE85264"/>
    <w:rsid w:val="4FE90FDC"/>
    <w:rsid w:val="500B2D00"/>
    <w:rsid w:val="503D4E76"/>
    <w:rsid w:val="50461F8A"/>
    <w:rsid w:val="50A54F03"/>
    <w:rsid w:val="50C8299F"/>
    <w:rsid w:val="50DC644B"/>
    <w:rsid w:val="50EC48E0"/>
    <w:rsid w:val="50EE5CED"/>
    <w:rsid w:val="512A365A"/>
    <w:rsid w:val="512D6CA6"/>
    <w:rsid w:val="51373E1C"/>
    <w:rsid w:val="51541A75"/>
    <w:rsid w:val="516114E4"/>
    <w:rsid w:val="51624BA2"/>
    <w:rsid w:val="51656440"/>
    <w:rsid w:val="5167040A"/>
    <w:rsid w:val="517C6304"/>
    <w:rsid w:val="51BF0FF3"/>
    <w:rsid w:val="51C57A7C"/>
    <w:rsid w:val="51E14F57"/>
    <w:rsid w:val="51ED4DB3"/>
    <w:rsid w:val="52075749"/>
    <w:rsid w:val="5257222D"/>
    <w:rsid w:val="526861E8"/>
    <w:rsid w:val="52750905"/>
    <w:rsid w:val="52AB4326"/>
    <w:rsid w:val="52B21B59"/>
    <w:rsid w:val="52BE04FE"/>
    <w:rsid w:val="52E635B0"/>
    <w:rsid w:val="534529CD"/>
    <w:rsid w:val="53803A05"/>
    <w:rsid w:val="53A476F3"/>
    <w:rsid w:val="53FF0DCE"/>
    <w:rsid w:val="542B571F"/>
    <w:rsid w:val="544032D3"/>
    <w:rsid w:val="5455279C"/>
    <w:rsid w:val="545A4256"/>
    <w:rsid w:val="546A164D"/>
    <w:rsid w:val="547A2BCA"/>
    <w:rsid w:val="54B41BB8"/>
    <w:rsid w:val="54CB198F"/>
    <w:rsid w:val="54CD4A28"/>
    <w:rsid w:val="54CD67D6"/>
    <w:rsid w:val="54D04518"/>
    <w:rsid w:val="54D477A6"/>
    <w:rsid w:val="54DE6C35"/>
    <w:rsid w:val="54F559F7"/>
    <w:rsid w:val="55284354"/>
    <w:rsid w:val="55354676"/>
    <w:rsid w:val="553B4087"/>
    <w:rsid w:val="55466588"/>
    <w:rsid w:val="55711857"/>
    <w:rsid w:val="5579695E"/>
    <w:rsid w:val="55872E29"/>
    <w:rsid w:val="55D63DB0"/>
    <w:rsid w:val="55F10BEA"/>
    <w:rsid w:val="56262642"/>
    <w:rsid w:val="56310FE7"/>
    <w:rsid w:val="563A7E9B"/>
    <w:rsid w:val="56486A5C"/>
    <w:rsid w:val="564C5E20"/>
    <w:rsid w:val="56630E61"/>
    <w:rsid w:val="567D422C"/>
    <w:rsid w:val="56817B2B"/>
    <w:rsid w:val="56BD287A"/>
    <w:rsid w:val="56CB4F97"/>
    <w:rsid w:val="56D402F0"/>
    <w:rsid w:val="57030BD5"/>
    <w:rsid w:val="573C40E7"/>
    <w:rsid w:val="57853398"/>
    <w:rsid w:val="57A56669"/>
    <w:rsid w:val="57A71560"/>
    <w:rsid w:val="57B76031"/>
    <w:rsid w:val="57D60097"/>
    <w:rsid w:val="57E00F16"/>
    <w:rsid w:val="580C1D0B"/>
    <w:rsid w:val="58337298"/>
    <w:rsid w:val="58636BCC"/>
    <w:rsid w:val="58831FCD"/>
    <w:rsid w:val="58A3441E"/>
    <w:rsid w:val="58C223CA"/>
    <w:rsid w:val="58FA6008"/>
    <w:rsid w:val="59017AB1"/>
    <w:rsid w:val="5921245C"/>
    <w:rsid w:val="59905666"/>
    <w:rsid w:val="59A26483"/>
    <w:rsid w:val="59A65848"/>
    <w:rsid w:val="59B83EF9"/>
    <w:rsid w:val="59DB3743"/>
    <w:rsid w:val="59E93A18"/>
    <w:rsid w:val="59FD5DAF"/>
    <w:rsid w:val="5A2E41BB"/>
    <w:rsid w:val="5A5F6122"/>
    <w:rsid w:val="5A663955"/>
    <w:rsid w:val="5A7F67C4"/>
    <w:rsid w:val="5A8262B5"/>
    <w:rsid w:val="5A9102A6"/>
    <w:rsid w:val="5AA71877"/>
    <w:rsid w:val="5ABA77FD"/>
    <w:rsid w:val="5AC93EE4"/>
    <w:rsid w:val="5ACB7C5C"/>
    <w:rsid w:val="5AD54636"/>
    <w:rsid w:val="5AD76600"/>
    <w:rsid w:val="5B1A64ED"/>
    <w:rsid w:val="5B8878FB"/>
    <w:rsid w:val="5B9E711E"/>
    <w:rsid w:val="5BE30FD5"/>
    <w:rsid w:val="5BEA4111"/>
    <w:rsid w:val="5BEA7831"/>
    <w:rsid w:val="5C036F81"/>
    <w:rsid w:val="5C2C297C"/>
    <w:rsid w:val="5C2E2250"/>
    <w:rsid w:val="5C34538D"/>
    <w:rsid w:val="5C6043D4"/>
    <w:rsid w:val="5C606182"/>
    <w:rsid w:val="5C761E49"/>
    <w:rsid w:val="5C7659A5"/>
    <w:rsid w:val="5C9A1694"/>
    <w:rsid w:val="5CBB785C"/>
    <w:rsid w:val="5CBD5382"/>
    <w:rsid w:val="5CC44887"/>
    <w:rsid w:val="5CD1707F"/>
    <w:rsid w:val="5CD21C98"/>
    <w:rsid w:val="5D0134C1"/>
    <w:rsid w:val="5D101956"/>
    <w:rsid w:val="5D215911"/>
    <w:rsid w:val="5D234527"/>
    <w:rsid w:val="5D2E002E"/>
    <w:rsid w:val="5D557CB0"/>
    <w:rsid w:val="5D777C27"/>
    <w:rsid w:val="5DBB5D65"/>
    <w:rsid w:val="5DD5098A"/>
    <w:rsid w:val="5DEA664B"/>
    <w:rsid w:val="5DFC1EDA"/>
    <w:rsid w:val="5DFD637E"/>
    <w:rsid w:val="5E084D23"/>
    <w:rsid w:val="5E113BD7"/>
    <w:rsid w:val="5E1216FE"/>
    <w:rsid w:val="5E251431"/>
    <w:rsid w:val="5E5F0DE7"/>
    <w:rsid w:val="5E8D2A1A"/>
    <w:rsid w:val="5E9B6061"/>
    <w:rsid w:val="5EC64B44"/>
    <w:rsid w:val="5EDD25CB"/>
    <w:rsid w:val="5EE47C66"/>
    <w:rsid w:val="5F0507BC"/>
    <w:rsid w:val="5F0B6879"/>
    <w:rsid w:val="5F1F0576"/>
    <w:rsid w:val="5F906D7E"/>
    <w:rsid w:val="5F9B38D2"/>
    <w:rsid w:val="5FC15189"/>
    <w:rsid w:val="5FFC1890"/>
    <w:rsid w:val="603D2019"/>
    <w:rsid w:val="60AD1A12"/>
    <w:rsid w:val="60C70EC5"/>
    <w:rsid w:val="60CA62C0"/>
    <w:rsid w:val="610A2B60"/>
    <w:rsid w:val="611D0AE5"/>
    <w:rsid w:val="612247F5"/>
    <w:rsid w:val="61300818"/>
    <w:rsid w:val="61354081"/>
    <w:rsid w:val="613B0F6B"/>
    <w:rsid w:val="6166423A"/>
    <w:rsid w:val="61B34FA6"/>
    <w:rsid w:val="61C947C9"/>
    <w:rsid w:val="61F01D56"/>
    <w:rsid w:val="621243C2"/>
    <w:rsid w:val="62285198"/>
    <w:rsid w:val="623526DC"/>
    <w:rsid w:val="624D71A8"/>
    <w:rsid w:val="625A1FC0"/>
    <w:rsid w:val="62622551"/>
    <w:rsid w:val="62740BD9"/>
    <w:rsid w:val="62816E52"/>
    <w:rsid w:val="62A80882"/>
    <w:rsid w:val="62A96AD4"/>
    <w:rsid w:val="62E53885"/>
    <w:rsid w:val="62E80C7F"/>
    <w:rsid w:val="62EA0E9B"/>
    <w:rsid w:val="62F56408"/>
    <w:rsid w:val="62FB4E56"/>
    <w:rsid w:val="630930CF"/>
    <w:rsid w:val="63696264"/>
    <w:rsid w:val="637075F2"/>
    <w:rsid w:val="6388493C"/>
    <w:rsid w:val="638C5AAE"/>
    <w:rsid w:val="63AD6150"/>
    <w:rsid w:val="63C210E6"/>
    <w:rsid w:val="63FD4792"/>
    <w:rsid w:val="643248A8"/>
    <w:rsid w:val="644F5459"/>
    <w:rsid w:val="64660E14"/>
    <w:rsid w:val="64D1715F"/>
    <w:rsid w:val="64EA031A"/>
    <w:rsid w:val="65270184"/>
    <w:rsid w:val="654E3963"/>
    <w:rsid w:val="655B1BDC"/>
    <w:rsid w:val="65757142"/>
    <w:rsid w:val="65766A16"/>
    <w:rsid w:val="65870C23"/>
    <w:rsid w:val="65C634F9"/>
    <w:rsid w:val="65D3619D"/>
    <w:rsid w:val="65D57BE0"/>
    <w:rsid w:val="65DE4CE7"/>
    <w:rsid w:val="65DF45BB"/>
    <w:rsid w:val="66164AC4"/>
    <w:rsid w:val="665779AE"/>
    <w:rsid w:val="66A852F5"/>
    <w:rsid w:val="66D734E4"/>
    <w:rsid w:val="66E0683D"/>
    <w:rsid w:val="670E33AA"/>
    <w:rsid w:val="676C6322"/>
    <w:rsid w:val="677A0A3F"/>
    <w:rsid w:val="6780592A"/>
    <w:rsid w:val="678673E4"/>
    <w:rsid w:val="67876CB8"/>
    <w:rsid w:val="67AA29A7"/>
    <w:rsid w:val="67DA14DE"/>
    <w:rsid w:val="67E91721"/>
    <w:rsid w:val="681A6AB6"/>
    <w:rsid w:val="68217CD4"/>
    <w:rsid w:val="682C160E"/>
    <w:rsid w:val="68660FC4"/>
    <w:rsid w:val="686D1351"/>
    <w:rsid w:val="68953657"/>
    <w:rsid w:val="6897117D"/>
    <w:rsid w:val="68BF6C25"/>
    <w:rsid w:val="68EF4B15"/>
    <w:rsid w:val="68F24605"/>
    <w:rsid w:val="69006D22"/>
    <w:rsid w:val="691E2683"/>
    <w:rsid w:val="6922313D"/>
    <w:rsid w:val="695452C0"/>
    <w:rsid w:val="69886D18"/>
    <w:rsid w:val="698A0CE2"/>
    <w:rsid w:val="69BB0E9B"/>
    <w:rsid w:val="69C441F4"/>
    <w:rsid w:val="6A3A2708"/>
    <w:rsid w:val="6A3A44B6"/>
    <w:rsid w:val="6A3F7D1E"/>
    <w:rsid w:val="6A410D55"/>
    <w:rsid w:val="6A4B66C3"/>
    <w:rsid w:val="6A575068"/>
    <w:rsid w:val="6A5D1F52"/>
    <w:rsid w:val="6A694D9B"/>
    <w:rsid w:val="6A773014"/>
    <w:rsid w:val="6A920AEB"/>
    <w:rsid w:val="6A935974"/>
    <w:rsid w:val="6B00125C"/>
    <w:rsid w:val="6B0D1BCA"/>
    <w:rsid w:val="6B126C19"/>
    <w:rsid w:val="6B1D005F"/>
    <w:rsid w:val="6B673089"/>
    <w:rsid w:val="6B715CB5"/>
    <w:rsid w:val="6BAD2A66"/>
    <w:rsid w:val="6BD83F86"/>
    <w:rsid w:val="6BE648F5"/>
    <w:rsid w:val="6BFF1513"/>
    <w:rsid w:val="6C103720"/>
    <w:rsid w:val="6C3118E9"/>
    <w:rsid w:val="6C3311BD"/>
    <w:rsid w:val="6C537AB1"/>
    <w:rsid w:val="6C5C6966"/>
    <w:rsid w:val="6C6B4DFB"/>
    <w:rsid w:val="6C783074"/>
    <w:rsid w:val="6C823EF2"/>
    <w:rsid w:val="6CA95923"/>
    <w:rsid w:val="6CB56076"/>
    <w:rsid w:val="6CBD3341"/>
    <w:rsid w:val="6CDC7AA6"/>
    <w:rsid w:val="6CF46B9E"/>
    <w:rsid w:val="6D0540F4"/>
    <w:rsid w:val="6D0B038C"/>
    <w:rsid w:val="6D635AD2"/>
    <w:rsid w:val="6D9E6B0A"/>
    <w:rsid w:val="6DAF0D17"/>
    <w:rsid w:val="6E113780"/>
    <w:rsid w:val="6E193111"/>
    <w:rsid w:val="6E4E22DE"/>
    <w:rsid w:val="6E6715F2"/>
    <w:rsid w:val="6E7004A6"/>
    <w:rsid w:val="6EA939B8"/>
    <w:rsid w:val="6EDA0016"/>
    <w:rsid w:val="6EDB462A"/>
    <w:rsid w:val="6EDC4EED"/>
    <w:rsid w:val="6F0145DF"/>
    <w:rsid w:val="6F3F60CB"/>
    <w:rsid w:val="6F4D07E7"/>
    <w:rsid w:val="6F5953DE"/>
    <w:rsid w:val="6F745D74"/>
    <w:rsid w:val="6FB03FF6"/>
    <w:rsid w:val="6FC565D0"/>
    <w:rsid w:val="6FCE4EB0"/>
    <w:rsid w:val="6FE256F3"/>
    <w:rsid w:val="700A492A"/>
    <w:rsid w:val="703419A7"/>
    <w:rsid w:val="704A4D27"/>
    <w:rsid w:val="706109EE"/>
    <w:rsid w:val="709C1A26"/>
    <w:rsid w:val="70B7060E"/>
    <w:rsid w:val="711A294B"/>
    <w:rsid w:val="71440BBD"/>
    <w:rsid w:val="71551BD5"/>
    <w:rsid w:val="71641E18"/>
    <w:rsid w:val="717E2EDA"/>
    <w:rsid w:val="71F94C57"/>
    <w:rsid w:val="722F68CA"/>
    <w:rsid w:val="724A54B2"/>
    <w:rsid w:val="72563E57"/>
    <w:rsid w:val="729B7ABC"/>
    <w:rsid w:val="72BA496F"/>
    <w:rsid w:val="72EE22E1"/>
    <w:rsid w:val="72F1592E"/>
    <w:rsid w:val="72F86CBC"/>
    <w:rsid w:val="72FA6ED8"/>
    <w:rsid w:val="732B0E40"/>
    <w:rsid w:val="73330D44"/>
    <w:rsid w:val="73697BBA"/>
    <w:rsid w:val="736E6F7E"/>
    <w:rsid w:val="739369E5"/>
    <w:rsid w:val="739764D5"/>
    <w:rsid w:val="73AD3F4B"/>
    <w:rsid w:val="73CF65FB"/>
    <w:rsid w:val="73D47729"/>
    <w:rsid w:val="73D9089C"/>
    <w:rsid w:val="73E6120B"/>
    <w:rsid w:val="73E72A46"/>
    <w:rsid w:val="740C0C71"/>
    <w:rsid w:val="742A10F7"/>
    <w:rsid w:val="74406B6D"/>
    <w:rsid w:val="74454183"/>
    <w:rsid w:val="74582108"/>
    <w:rsid w:val="74947035"/>
    <w:rsid w:val="74B9247B"/>
    <w:rsid w:val="74C92B5D"/>
    <w:rsid w:val="74CD6F9F"/>
    <w:rsid w:val="74E76FE8"/>
    <w:rsid w:val="74E90FB2"/>
    <w:rsid w:val="7513602F"/>
    <w:rsid w:val="755328D0"/>
    <w:rsid w:val="75581C94"/>
    <w:rsid w:val="75647EFD"/>
    <w:rsid w:val="75932CCC"/>
    <w:rsid w:val="766E5C13"/>
    <w:rsid w:val="76C27D0D"/>
    <w:rsid w:val="76C9109B"/>
    <w:rsid w:val="76CC46E8"/>
    <w:rsid w:val="7711659E"/>
    <w:rsid w:val="774150D6"/>
    <w:rsid w:val="77707769"/>
    <w:rsid w:val="777A05E8"/>
    <w:rsid w:val="778D3B0D"/>
    <w:rsid w:val="77AF64E3"/>
    <w:rsid w:val="77B51620"/>
    <w:rsid w:val="780B324D"/>
    <w:rsid w:val="782013CC"/>
    <w:rsid w:val="783764D9"/>
    <w:rsid w:val="78662B2B"/>
    <w:rsid w:val="787768D5"/>
    <w:rsid w:val="788F1E71"/>
    <w:rsid w:val="78CE0BEB"/>
    <w:rsid w:val="78D743BD"/>
    <w:rsid w:val="794964C4"/>
    <w:rsid w:val="794A5D98"/>
    <w:rsid w:val="794C1B10"/>
    <w:rsid w:val="794E5888"/>
    <w:rsid w:val="79A63B17"/>
    <w:rsid w:val="79D0629D"/>
    <w:rsid w:val="79D51B05"/>
    <w:rsid w:val="7A0D74F1"/>
    <w:rsid w:val="7A28257D"/>
    <w:rsid w:val="7A301431"/>
    <w:rsid w:val="7A342CD0"/>
    <w:rsid w:val="7A3E76AA"/>
    <w:rsid w:val="7A4D170A"/>
    <w:rsid w:val="7A4D3D91"/>
    <w:rsid w:val="7A6C1231"/>
    <w:rsid w:val="7A6D61E2"/>
    <w:rsid w:val="7A7C01D3"/>
    <w:rsid w:val="7A8D4E81"/>
    <w:rsid w:val="7A951295"/>
    <w:rsid w:val="7AC35E02"/>
    <w:rsid w:val="7ACC2F08"/>
    <w:rsid w:val="7AF81F4F"/>
    <w:rsid w:val="7B1E74DC"/>
    <w:rsid w:val="7B22521E"/>
    <w:rsid w:val="7B234AF2"/>
    <w:rsid w:val="7B452056"/>
    <w:rsid w:val="7B4C7256"/>
    <w:rsid w:val="7B7D2454"/>
    <w:rsid w:val="7B8878BF"/>
    <w:rsid w:val="7BA75723"/>
    <w:rsid w:val="7BAD2A49"/>
    <w:rsid w:val="7C09425B"/>
    <w:rsid w:val="7C3E7E36"/>
    <w:rsid w:val="7C6453C2"/>
    <w:rsid w:val="7C6929D9"/>
    <w:rsid w:val="7C705B15"/>
    <w:rsid w:val="7C75312C"/>
    <w:rsid w:val="7C7C44BA"/>
    <w:rsid w:val="7C80044E"/>
    <w:rsid w:val="7CA30566"/>
    <w:rsid w:val="7CC16371"/>
    <w:rsid w:val="7CD6006E"/>
    <w:rsid w:val="7CF14EA8"/>
    <w:rsid w:val="7D256900"/>
    <w:rsid w:val="7D311748"/>
    <w:rsid w:val="7D5E1E12"/>
    <w:rsid w:val="7D797974"/>
    <w:rsid w:val="7D8F021D"/>
    <w:rsid w:val="7DB0730E"/>
    <w:rsid w:val="7DD82F61"/>
    <w:rsid w:val="7DE762AB"/>
    <w:rsid w:val="7DE91BEA"/>
    <w:rsid w:val="7E501CD9"/>
    <w:rsid w:val="7EB4618D"/>
    <w:rsid w:val="7EB97C47"/>
    <w:rsid w:val="7EBB1D08"/>
    <w:rsid w:val="7EDB7BBE"/>
    <w:rsid w:val="7EEC1DCB"/>
    <w:rsid w:val="7EF02F3D"/>
    <w:rsid w:val="7EFA4282"/>
    <w:rsid w:val="7F1E3F4E"/>
    <w:rsid w:val="7F253931"/>
    <w:rsid w:val="7F271055"/>
    <w:rsid w:val="7F7A3D54"/>
    <w:rsid w:val="7F8C710A"/>
    <w:rsid w:val="7FA14865"/>
    <w:rsid w:val="7FF644B4"/>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nhideWhenUsed="0" w:uiPriority="9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autoRedefine/>
    <w:qFormat/>
    <w:uiPriority w:val="0"/>
    <w:pPr>
      <w:keepNext/>
      <w:keepLines/>
      <w:spacing w:line="576" w:lineRule="auto"/>
      <w:jc w:val="center"/>
      <w:outlineLvl w:val="0"/>
    </w:pPr>
    <w:rPr>
      <w:rFonts w:eastAsia="宋体"/>
      <w:b/>
      <w:kern w:val="44"/>
      <w:sz w:val="36"/>
    </w:rPr>
  </w:style>
  <w:style w:type="paragraph" w:styleId="4">
    <w:name w:val="heading 2"/>
    <w:basedOn w:val="1"/>
    <w:next w:val="1"/>
    <w:link w:val="30"/>
    <w:autoRedefine/>
    <w:unhideWhenUsed/>
    <w:qFormat/>
    <w:uiPriority w:val="0"/>
    <w:pPr>
      <w:keepNext/>
      <w:keepLines/>
      <w:spacing w:line="413" w:lineRule="auto"/>
      <w:jc w:val="center"/>
      <w:outlineLvl w:val="1"/>
    </w:pPr>
    <w:rPr>
      <w:rFonts w:ascii="Arial" w:hAnsi="Arial" w:eastAsia="宋体"/>
      <w:b/>
      <w:sz w:val="32"/>
    </w:rPr>
  </w:style>
  <w:style w:type="paragraph" w:styleId="5">
    <w:name w:val="heading 3"/>
    <w:basedOn w:val="1"/>
    <w:next w:val="1"/>
    <w:unhideWhenUsed/>
    <w:qFormat/>
    <w:uiPriority w:val="0"/>
    <w:pPr>
      <w:keepNext/>
      <w:keepLines/>
      <w:spacing w:line="413" w:lineRule="auto"/>
      <w:jc w:val="center"/>
      <w:outlineLvl w:val="2"/>
    </w:pPr>
    <w:rPr>
      <w:b/>
      <w:sz w:val="32"/>
    </w:rPr>
  </w:style>
  <w:style w:type="paragraph" w:styleId="6">
    <w:name w:val="heading 4"/>
    <w:basedOn w:val="1"/>
    <w:next w:val="1"/>
    <w:autoRedefine/>
    <w:qFormat/>
    <w:uiPriority w:val="0"/>
    <w:pPr>
      <w:keepNext/>
      <w:keepLines/>
      <w:numPr>
        <w:ilvl w:val="3"/>
        <w:numId w:val="1"/>
      </w:numPr>
      <w:tabs>
        <w:tab w:val="left" w:pos="504"/>
        <w:tab w:val="left" w:pos="604"/>
      </w:tabs>
      <w:spacing w:beforeLines="50" w:afterLines="50"/>
      <w:ind w:left="375" w:hanging="375"/>
      <w:outlineLvl w:val="3"/>
    </w:pPr>
    <w:rPr>
      <w:rFonts w:ascii="Arial" w:hAnsi="Arial"/>
      <w:b/>
      <w:bCs/>
      <w:szCs w:val="28"/>
    </w:rPr>
  </w:style>
  <w:style w:type="paragraph" w:styleId="7">
    <w:name w:val="heading 6"/>
    <w:basedOn w:val="1"/>
    <w:next w:val="1"/>
    <w:autoRedefine/>
    <w:qFormat/>
    <w:uiPriority w:val="99"/>
    <w:pPr>
      <w:keepNext/>
      <w:keepLines/>
      <w:spacing w:before="240" w:after="64" w:line="320" w:lineRule="auto"/>
      <w:outlineLvl w:val="5"/>
    </w:pPr>
    <w:rPr>
      <w:rFonts w:ascii="Calibri Light" w:hAnsi="Calibri Light" w:eastAsia="宋体"/>
      <w:b/>
      <w:bCs/>
    </w:rPr>
  </w:style>
  <w:style w:type="character" w:default="1" w:styleId="23">
    <w:name w:val="Default Paragraph Font"/>
    <w:autoRedefine/>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footer"/>
    <w:basedOn w:val="1"/>
    <w:next w:val="1"/>
    <w:autoRedefine/>
    <w:qFormat/>
    <w:uiPriority w:val="0"/>
    <w:pPr>
      <w:tabs>
        <w:tab w:val="center" w:pos="4153"/>
        <w:tab w:val="right" w:pos="8306"/>
      </w:tabs>
      <w:snapToGrid w:val="0"/>
      <w:jc w:val="left"/>
    </w:pPr>
    <w:rPr>
      <w:sz w:val="18"/>
    </w:rPr>
  </w:style>
  <w:style w:type="paragraph" w:styleId="8">
    <w:name w:val="Normal Indent"/>
    <w:basedOn w:val="1"/>
    <w:autoRedefine/>
    <w:qFormat/>
    <w:uiPriority w:val="0"/>
    <w:pPr>
      <w:ind w:firstLine="420" w:firstLineChars="200"/>
    </w:pPr>
  </w:style>
  <w:style w:type="paragraph" w:styleId="9">
    <w:name w:val="annotation text"/>
    <w:basedOn w:val="1"/>
    <w:autoRedefine/>
    <w:qFormat/>
    <w:uiPriority w:val="0"/>
    <w:pPr>
      <w:adjustRightInd w:val="0"/>
      <w:spacing w:line="360" w:lineRule="atLeast"/>
      <w:jc w:val="left"/>
      <w:textAlignment w:val="baseline"/>
    </w:pPr>
    <w:rPr>
      <w:kern w:val="0"/>
    </w:rPr>
  </w:style>
  <w:style w:type="paragraph" w:styleId="10">
    <w:name w:val="Body Text 3"/>
    <w:basedOn w:val="1"/>
    <w:autoRedefine/>
    <w:qFormat/>
    <w:uiPriority w:val="0"/>
    <w:rPr>
      <w:rFonts w:ascii="宋体"/>
      <w:szCs w:val="20"/>
    </w:rPr>
  </w:style>
  <w:style w:type="paragraph" w:styleId="11">
    <w:name w:val="Body Text"/>
    <w:basedOn w:val="1"/>
    <w:autoRedefine/>
    <w:qFormat/>
    <w:uiPriority w:val="0"/>
    <w:rPr>
      <w:rFonts w:ascii="宋体" w:hAnsi="宋体" w:eastAsia="宋体" w:cs="Times New Roman"/>
      <w:bCs/>
      <w:szCs w:val="20"/>
    </w:rPr>
  </w:style>
  <w:style w:type="paragraph" w:styleId="12">
    <w:name w:val="Body Text Indent"/>
    <w:basedOn w:val="1"/>
    <w:next w:val="13"/>
    <w:autoRedefine/>
    <w:qFormat/>
    <w:uiPriority w:val="0"/>
    <w:pPr>
      <w:ind w:firstLine="600" w:firstLineChars="200"/>
    </w:pPr>
    <w:rPr>
      <w:rFonts w:ascii="宋体" w:hAnsi="宋体"/>
      <w:sz w:val="30"/>
      <w:szCs w:val="20"/>
    </w:rPr>
  </w:style>
  <w:style w:type="paragraph" w:styleId="13">
    <w:name w:val="Body Text First Indent 2"/>
    <w:basedOn w:val="12"/>
    <w:next w:val="1"/>
    <w:autoRedefine/>
    <w:qFormat/>
    <w:uiPriority w:val="99"/>
  </w:style>
  <w:style w:type="paragraph" w:styleId="14">
    <w:name w:val="Plain Text"/>
    <w:basedOn w:val="1"/>
    <w:next w:val="1"/>
    <w:autoRedefine/>
    <w:qFormat/>
    <w:uiPriority w:val="0"/>
    <w:rPr>
      <w:rFonts w:ascii="宋体" w:hAnsi="Courier New"/>
      <w:szCs w:val="21"/>
    </w:rPr>
  </w:style>
  <w:style w:type="paragraph" w:styleId="15">
    <w:name w:val="envelope return"/>
    <w:basedOn w:val="1"/>
    <w:autoRedefine/>
    <w:qFormat/>
    <w:uiPriority w:val="0"/>
    <w:pPr>
      <w:snapToGrid w:val="0"/>
    </w:pPr>
    <w:rPr>
      <w:rFonts w:ascii="Arial" w:hAnsi="Arial"/>
    </w:rPr>
  </w:style>
  <w:style w:type="paragraph" w:styleId="16">
    <w:name w:val="toc 1"/>
    <w:basedOn w:val="1"/>
    <w:next w:val="1"/>
    <w:autoRedefine/>
    <w:qFormat/>
    <w:uiPriority w:val="0"/>
  </w:style>
  <w:style w:type="paragraph" w:styleId="17">
    <w:name w:val="toc 4"/>
    <w:basedOn w:val="1"/>
    <w:next w:val="1"/>
    <w:autoRedefine/>
    <w:unhideWhenUsed/>
    <w:qFormat/>
    <w:uiPriority w:val="39"/>
    <w:pPr>
      <w:ind w:left="1260" w:leftChars="600"/>
    </w:pPr>
  </w:style>
  <w:style w:type="paragraph" w:styleId="18">
    <w:name w:val="Body Text 2"/>
    <w:basedOn w:val="1"/>
    <w:autoRedefine/>
    <w:qFormat/>
    <w:uiPriority w:val="0"/>
    <w:pPr>
      <w:spacing w:after="120" w:line="480" w:lineRule="auto"/>
    </w:pPr>
  </w:style>
  <w:style w:type="paragraph" w:styleId="19">
    <w:name w:val="Normal (Web)"/>
    <w:basedOn w:val="1"/>
    <w:next w:val="15"/>
    <w:autoRedefine/>
    <w:qFormat/>
    <w:uiPriority w:val="0"/>
    <w:pPr>
      <w:spacing w:beforeAutospacing="1" w:afterAutospacing="1"/>
      <w:jc w:val="left"/>
    </w:pPr>
    <w:rPr>
      <w:rFonts w:cs="Times New Roman"/>
      <w:kern w:val="0"/>
    </w:rPr>
  </w:style>
  <w:style w:type="paragraph" w:styleId="20">
    <w:name w:val="Body Text First Indent"/>
    <w:basedOn w:val="11"/>
    <w:next w:val="13"/>
    <w:autoRedefine/>
    <w:qFormat/>
    <w:uiPriority w:val="0"/>
    <w:pPr>
      <w:adjustRightInd w:val="0"/>
      <w:ind w:firstLine="420"/>
      <w:jc w:val="left"/>
      <w:textAlignment w:val="baseline"/>
    </w:pPr>
    <w:rPr>
      <w:kern w:val="0"/>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autoRedefine/>
    <w:qFormat/>
    <w:uiPriority w:val="0"/>
    <w:rPr>
      <w:b/>
    </w:rPr>
  </w:style>
  <w:style w:type="paragraph" w:customStyle="1" w:styleId="25">
    <w:name w:val="正文缩进1"/>
    <w:basedOn w:val="1"/>
    <w:autoRedefine/>
    <w:qFormat/>
    <w:uiPriority w:val="0"/>
    <w:pPr>
      <w:ind w:firstLine="420" w:firstLineChars="200"/>
    </w:pPr>
  </w:style>
  <w:style w:type="paragraph" w:customStyle="1" w:styleId="26">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
    <w:name w:val="reader-word-layer"/>
    <w:basedOn w:val="1"/>
    <w:autoRedefine/>
    <w:qFormat/>
    <w:uiPriority w:val="99"/>
    <w:pPr>
      <w:spacing w:before="100" w:beforeAutospacing="1" w:after="100" w:afterAutospacing="1"/>
      <w:jc w:val="left"/>
    </w:pPr>
    <w:rPr>
      <w:rFonts w:ascii="宋体" w:hAnsi="宋体" w:cs="宋体"/>
      <w:kern w:val="0"/>
      <w:sz w:val="24"/>
    </w:rPr>
  </w:style>
  <w:style w:type="paragraph" w:customStyle="1" w:styleId="28">
    <w:name w:val="p0"/>
    <w:basedOn w:val="1"/>
    <w:autoRedefine/>
    <w:qFormat/>
    <w:uiPriority w:val="0"/>
    <w:pPr>
      <w:widowControl/>
    </w:pPr>
    <w:rPr>
      <w:kern w:val="0"/>
      <w:szCs w:val="21"/>
    </w:rPr>
  </w:style>
  <w:style w:type="paragraph" w:customStyle="1" w:styleId="29">
    <w:name w:val="招标书 正文"/>
    <w:basedOn w:val="1"/>
    <w:autoRedefine/>
    <w:qFormat/>
    <w:uiPriority w:val="0"/>
    <w:pPr>
      <w:widowControl/>
      <w:snapToGrid w:val="0"/>
      <w:spacing w:line="560" w:lineRule="exact"/>
      <w:ind w:firstLine="560" w:firstLineChars="200"/>
      <w:jc w:val="left"/>
    </w:pPr>
    <w:rPr>
      <w:rFonts w:ascii="宋体" w:hAnsi="宋体"/>
      <w:color w:val="000000"/>
      <w:kern w:val="0"/>
      <w:szCs w:val="28"/>
    </w:rPr>
  </w:style>
  <w:style w:type="character" w:customStyle="1" w:styleId="30">
    <w:name w:val="标题 2 Char"/>
    <w:link w:val="4"/>
    <w:autoRedefine/>
    <w:qFormat/>
    <w:uiPriority w:val="0"/>
    <w:rPr>
      <w:rFonts w:ascii="Arial" w:hAnsi="Arial" w:eastAsia="宋体"/>
      <w:b/>
      <w:sz w:val="32"/>
    </w:rPr>
  </w:style>
  <w:style w:type="paragraph" w:customStyle="1" w:styleId="31">
    <w:name w:val="标题 3（投标文件）"/>
    <w:basedOn w:val="5"/>
    <w:autoRedefine/>
    <w:qFormat/>
    <w:uiPriority w:val="0"/>
    <w:pPr>
      <w:jc w:val="left"/>
    </w:pPr>
    <w:rPr>
      <w:u w:val="none"/>
    </w:rPr>
  </w:style>
  <w:style w:type="paragraph" w:customStyle="1" w:styleId="32">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33">
    <w:name w:val="首行缩进"/>
    <w:basedOn w:val="1"/>
    <w:autoRedefine/>
    <w:qFormat/>
    <w:uiPriority w:val="0"/>
    <w:pPr>
      <w:spacing w:line="360" w:lineRule="auto"/>
      <w:ind w:firstLine="480" w:firstLineChars="200"/>
    </w:pPr>
    <w:rPr>
      <w:sz w:val="24"/>
      <w:szCs w:val="22"/>
      <w:lang w:val="zh-CN"/>
    </w:rPr>
  </w:style>
  <w:style w:type="table" w:customStyle="1" w:styleId="34">
    <w:name w:val="Table Normal"/>
    <w:autoRedefine/>
    <w:unhideWhenUsed/>
    <w:qFormat/>
    <w:uiPriority w:val="0"/>
    <w:tblPr>
      <w:tblCellMar>
        <w:top w:w="0" w:type="dxa"/>
        <w:left w:w="0" w:type="dxa"/>
        <w:bottom w:w="0" w:type="dxa"/>
        <w:right w:w="0" w:type="dxa"/>
      </w:tblCellMar>
    </w:tblPr>
  </w:style>
  <w:style w:type="paragraph" w:customStyle="1" w:styleId="35">
    <w:name w:val="标题 2（投标文件）"/>
    <w:basedOn w:val="4"/>
    <w:autoRedefine/>
    <w:qFormat/>
    <w:uiPriority w:val="0"/>
    <w:pPr>
      <w:jc w:val="center"/>
    </w:pPr>
  </w:style>
  <w:style w:type="paragraph" w:customStyle="1" w:styleId="36">
    <w:name w:val="正文（缩进 2 字符）"/>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1.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png"/><Relationship Id="rId5" Type="http://schemas.openxmlformats.org/officeDocument/2006/relationships/footer" Target="foot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11885</Words>
  <Characters>12848</Characters>
  <Lines>0</Lines>
  <Paragraphs>0</Paragraphs>
  <TotalTime>33</TotalTime>
  <ScaleCrop>false</ScaleCrop>
  <LinksUpToDate>false</LinksUpToDate>
  <CharactersWithSpaces>13037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2024-05-13T02:05:00Z</dcterms:created>
  <dc:creator>从何说起</dc:creator>
  <cp:lastModifiedBy>栀夏暖阳</cp:lastModifiedBy>
  <cp:lastPrinted>2025-11-19T01:46:00Z</cp:lastPrinted>
  <dcterms:modified xsi:type="dcterms:W3CDTF">2025-11-19T07:10:54Z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2537462DA8174373BA089D3D4DD2B5B3_13</vt:lpwstr>
  </property>
  <property fmtid="{D5CDD505-2E9C-101B-9397-08002B2CF9AE}" pid="4" name="KSOTemplateDocerSaveRecord">
    <vt:lpwstr>eyJoZGlkIjoiMTdiMzMxNGE0YTFlNzRmZTE4ZTI1YmYyYmFhNGVhNjAiLCJ1c2VySWQiOiIyNzI5MjQ0MTAifQ==</vt:lpwstr>
  </property>
</Properties>
</file>