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AB064">
      <w:pPr>
        <w:widowControl w:val="0"/>
        <w:spacing w:line="240" w:lineRule="auto"/>
        <w:jc w:val="center"/>
        <w:rPr>
          <w:rFonts w:cs="Times New Roman"/>
          <w:color w:val="000000"/>
          <w:sz w:val="52"/>
          <w:szCs w:val="52"/>
        </w:rPr>
      </w:pPr>
    </w:p>
    <w:p w14:paraId="3D471F25">
      <w:pPr>
        <w:widowControl w:val="0"/>
        <w:spacing w:line="240" w:lineRule="auto"/>
        <w:jc w:val="center"/>
        <w:rPr>
          <w:rFonts w:cs="Times New Roman"/>
          <w:color w:val="000000"/>
          <w:sz w:val="52"/>
          <w:szCs w:val="52"/>
        </w:rPr>
      </w:pPr>
    </w:p>
    <w:p w14:paraId="46D9961F">
      <w:pPr>
        <w:widowControl w:val="0"/>
        <w:spacing w:line="240" w:lineRule="auto"/>
        <w:jc w:val="center"/>
        <w:rPr>
          <w:rFonts w:hint="eastAsia" w:ascii="仿宋" w:hAnsi="仿宋" w:eastAsia="仿宋" w:cs="仿宋"/>
          <w:color w:val="000000"/>
          <w:kern w:val="0"/>
          <w:sz w:val="96"/>
          <w:szCs w:val="96"/>
        </w:rPr>
      </w:pPr>
      <w:r>
        <w:rPr>
          <w:rFonts w:hint="eastAsia" w:ascii="仿宋" w:hAnsi="仿宋" w:eastAsia="仿宋" w:cs="仿宋"/>
          <w:color w:val="000000"/>
          <w:sz w:val="52"/>
          <w:szCs w:val="52"/>
        </w:rPr>
        <w:t>陕西省省级单位政府采购中心</w:t>
      </w:r>
    </w:p>
    <w:p w14:paraId="5ADD5979">
      <w:pPr>
        <w:widowControl w:val="0"/>
        <w:spacing w:line="240" w:lineRule="auto"/>
        <w:jc w:val="center"/>
        <w:rPr>
          <w:rFonts w:hint="eastAsia" w:ascii="仿宋" w:hAnsi="仿宋" w:eastAsia="仿宋" w:cs="仿宋"/>
          <w:b/>
          <w:bCs/>
          <w:color w:val="000000"/>
          <w:kern w:val="0"/>
          <w:sz w:val="96"/>
          <w:szCs w:val="96"/>
        </w:rPr>
      </w:pPr>
      <w:r>
        <w:rPr>
          <w:rFonts w:hint="eastAsia" w:ascii="仿宋" w:hAnsi="仿宋" w:eastAsia="仿宋" w:cs="仿宋"/>
          <w:b/>
          <w:bCs/>
          <w:color w:val="000000"/>
          <w:kern w:val="0"/>
          <w:sz w:val="96"/>
          <w:szCs w:val="96"/>
        </w:rPr>
        <w:t>竞争性磋商文件</w:t>
      </w:r>
    </w:p>
    <w:p w14:paraId="14F08314">
      <w:pPr>
        <w:widowControl w:val="0"/>
        <w:spacing w:line="240" w:lineRule="auto"/>
        <w:ind w:left="0" w:leftChars="0" w:right="0" w:rightChars="0" w:firstLine="0" w:firstLineChars="0"/>
        <w:jc w:val="center"/>
        <w:rPr>
          <w:rFonts w:hint="eastAsia" w:ascii="仿宋" w:hAnsi="仿宋" w:eastAsia="仿宋" w:cs="仿宋"/>
          <w:color w:val="000000"/>
          <w:sz w:val="36"/>
          <w:szCs w:val="36"/>
        </w:rPr>
      </w:pPr>
      <w:r>
        <w:rPr>
          <w:rFonts w:hint="eastAsia" w:ascii="仿宋" w:hAnsi="仿宋" w:eastAsia="仿宋" w:cs="仿宋"/>
          <w:color w:val="000000"/>
          <w:sz w:val="36"/>
          <w:szCs w:val="36"/>
        </w:rPr>
        <w:t>（专门面向中小企业项目）</w:t>
      </w:r>
    </w:p>
    <w:p w14:paraId="1DFC77A6">
      <w:pPr>
        <w:pStyle w:val="2"/>
        <w:widowControl w:val="0"/>
        <w:spacing w:after="190"/>
        <w:rPr>
          <w:rFonts w:hint="default" w:eastAsia="华文仿宋"/>
          <w:color w:val="000000"/>
          <w:lang w:val="en-US" w:eastAsia="zh-CN"/>
        </w:rPr>
      </w:pPr>
    </w:p>
    <w:p w14:paraId="3933F54D">
      <w:pPr>
        <w:pStyle w:val="24"/>
        <w:widowControl w:val="0"/>
        <w:ind w:firstLine="0" w:firstLineChars="0"/>
        <w:rPr>
          <w:color w:val="000000"/>
          <w:sz w:val="36"/>
          <w:szCs w:val="36"/>
        </w:rPr>
      </w:pPr>
    </w:p>
    <w:p w14:paraId="38B61E6C">
      <w:pPr>
        <w:widowControl w:val="0"/>
        <w:tabs>
          <w:tab w:val="center" w:pos="4536"/>
        </w:tabs>
        <w:spacing w:line="240" w:lineRule="auto"/>
        <w:ind w:left="2539" w:leftChars="256" w:right="707" w:rightChars="250" w:hanging="1815" w:hangingChars="500"/>
        <w:jc w:val="left"/>
        <w:rPr>
          <w:rFonts w:hint="eastAsia" w:ascii="仿宋" w:hAnsi="仿宋" w:eastAsia="仿宋" w:cs="仿宋"/>
          <w:b/>
          <w:bCs/>
          <w:color w:val="000000"/>
          <w:sz w:val="36"/>
          <w:szCs w:val="36"/>
        </w:rPr>
      </w:pPr>
      <w:r>
        <w:rPr>
          <w:rFonts w:hint="eastAsia" w:ascii="仿宋" w:hAnsi="仿宋" w:eastAsia="仿宋" w:cs="仿宋"/>
          <w:b/>
          <w:bCs/>
          <w:color w:val="000000"/>
          <w:sz w:val="36"/>
          <w:szCs w:val="36"/>
        </w:rPr>
        <w:t>项目名称：陕西省特殊教育学校2025年物业</w:t>
      </w:r>
    </w:p>
    <w:p w14:paraId="059CDB7A">
      <w:pPr>
        <w:widowControl w:val="0"/>
        <w:tabs>
          <w:tab w:val="center" w:pos="4536"/>
        </w:tabs>
        <w:spacing w:line="240" w:lineRule="auto"/>
        <w:ind w:left="2535" w:leftChars="896" w:right="707" w:rightChars="250" w:firstLine="0" w:firstLineChars="0"/>
        <w:jc w:val="left"/>
        <w:rPr>
          <w:rFonts w:hint="eastAsia" w:ascii="仿宋" w:hAnsi="仿宋" w:eastAsia="仿宋" w:cs="仿宋"/>
          <w:b/>
          <w:bCs/>
          <w:color w:val="000000"/>
          <w:sz w:val="36"/>
          <w:szCs w:val="36"/>
        </w:rPr>
      </w:pPr>
      <w:r>
        <w:rPr>
          <w:rFonts w:hint="eastAsia" w:ascii="仿宋" w:hAnsi="仿宋" w:eastAsia="仿宋" w:cs="仿宋"/>
          <w:b/>
          <w:bCs/>
          <w:color w:val="000000"/>
          <w:sz w:val="36"/>
          <w:szCs w:val="36"/>
        </w:rPr>
        <w:t>服务项目</w:t>
      </w:r>
    </w:p>
    <w:p w14:paraId="4F10153B">
      <w:pPr>
        <w:widowControl w:val="0"/>
        <w:tabs>
          <w:tab w:val="center" w:pos="4536"/>
        </w:tabs>
        <w:spacing w:line="240" w:lineRule="auto"/>
        <w:ind w:left="2539" w:leftChars="256" w:right="707" w:rightChars="250" w:hanging="1815" w:hangingChars="500"/>
        <w:jc w:val="left"/>
        <w:rPr>
          <w:rFonts w:hint="default" w:ascii="仿宋" w:hAnsi="仿宋" w:eastAsia="仿宋" w:cs="仿宋"/>
          <w:b/>
          <w:bCs/>
          <w:color w:val="000000"/>
          <w:sz w:val="36"/>
          <w:szCs w:val="36"/>
          <w:lang w:val="en-US" w:eastAsia="zh-CN"/>
        </w:rPr>
      </w:pPr>
      <w:r>
        <w:rPr>
          <w:rFonts w:hint="eastAsia" w:ascii="仿宋" w:hAnsi="仿宋" w:eastAsia="仿宋" w:cs="仿宋"/>
          <w:b/>
          <w:bCs/>
          <w:color w:val="000000"/>
          <w:sz w:val="36"/>
          <w:szCs w:val="36"/>
        </w:rPr>
        <w:t>项目编号：SNCG-FM-202</w:t>
      </w:r>
      <w:r>
        <w:rPr>
          <w:rFonts w:hint="eastAsia" w:ascii="仿宋" w:hAnsi="仿宋" w:eastAsia="仿宋" w:cs="仿宋"/>
          <w:b/>
          <w:bCs/>
          <w:color w:val="000000"/>
          <w:sz w:val="36"/>
          <w:szCs w:val="36"/>
          <w:lang w:val="en-US" w:eastAsia="zh-CN"/>
        </w:rPr>
        <w:t>5</w:t>
      </w:r>
      <w:r>
        <w:rPr>
          <w:rFonts w:hint="eastAsia" w:ascii="仿宋" w:hAnsi="仿宋" w:eastAsia="仿宋" w:cs="仿宋"/>
          <w:b/>
          <w:bCs/>
          <w:color w:val="000000"/>
          <w:sz w:val="36"/>
          <w:szCs w:val="36"/>
          <w:highlight w:val="none"/>
          <w:lang w:val="en-US" w:eastAsia="zh-CN"/>
        </w:rPr>
        <w:t>230</w:t>
      </w:r>
    </w:p>
    <w:p w14:paraId="1C48A576">
      <w:pPr>
        <w:widowControl w:val="0"/>
        <w:spacing w:line="240" w:lineRule="auto"/>
        <w:ind w:left="2539" w:leftChars="256" w:right="707" w:rightChars="250" w:hanging="1815" w:hangingChars="500"/>
        <w:jc w:val="left"/>
        <w:rPr>
          <w:rFonts w:hint="eastAsia" w:ascii="仿宋" w:hAnsi="仿宋" w:eastAsia="仿宋" w:cs="仿宋"/>
          <w:b w:val="0"/>
          <w:bCs w:val="0"/>
          <w:color w:val="000000"/>
          <w:w w:val="98"/>
          <w:sz w:val="36"/>
          <w:szCs w:val="36"/>
          <w:lang w:val="en-US" w:eastAsia="zh-CN"/>
        </w:rPr>
      </w:pPr>
      <w:r>
        <w:rPr>
          <w:rFonts w:hint="eastAsia" w:ascii="仿宋" w:hAnsi="仿宋" w:eastAsia="仿宋" w:cs="仿宋"/>
          <w:b/>
          <w:bCs/>
          <w:color w:val="000000"/>
          <w:sz w:val="36"/>
          <w:szCs w:val="36"/>
        </w:rPr>
        <w:t>采 购 人：</w:t>
      </w:r>
      <w:r>
        <w:rPr>
          <w:rFonts w:hint="eastAsia" w:ascii="仿宋" w:hAnsi="仿宋" w:eastAsia="仿宋" w:cs="仿宋"/>
          <w:b/>
          <w:bCs/>
          <w:color w:val="000000"/>
          <w:sz w:val="36"/>
          <w:szCs w:val="36"/>
          <w:lang w:eastAsia="zh-CN"/>
        </w:rPr>
        <w:t>陕西省特殊教育学校</w:t>
      </w:r>
    </w:p>
    <w:p w14:paraId="7BB61E04">
      <w:pPr>
        <w:widowControl w:val="0"/>
        <w:spacing w:line="240" w:lineRule="auto"/>
        <w:ind w:left="2539" w:leftChars="256" w:right="707" w:rightChars="250" w:hanging="1815" w:hangingChars="500"/>
        <w:jc w:val="left"/>
        <w:rPr>
          <w:rFonts w:hint="eastAsia" w:ascii="仿宋" w:hAnsi="仿宋" w:eastAsia="仿宋" w:cs="仿宋"/>
          <w:b/>
          <w:bCs/>
          <w:color w:val="000000"/>
          <w:sz w:val="36"/>
          <w:szCs w:val="36"/>
        </w:rPr>
      </w:pPr>
      <w:r>
        <w:rPr>
          <w:rFonts w:hint="eastAsia" w:ascii="仿宋" w:hAnsi="仿宋" w:eastAsia="仿宋" w:cs="仿宋"/>
          <w:b/>
          <w:bCs/>
          <w:color w:val="000000"/>
          <w:sz w:val="36"/>
          <w:szCs w:val="36"/>
        </w:rPr>
        <w:t>采购代理机构：陕西省省级单位政府采购中心</w:t>
      </w:r>
    </w:p>
    <w:p w14:paraId="34F6BD4B">
      <w:pPr>
        <w:pStyle w:val="2"/>
        <w:widowControl w:val="0"/>
        <w:spacing w:after="190"/>
        <w:rPr>
          <w:rFonts w:hint="eastAsia" w:cs="Times New Roman"/>
          <w:color w:val="000000"/>
        </w:rPr>
      </w:pPr>
    </w:p>
    <w:p w14:paraId="3C029F64">
      <w:pPr>
        <w:widowControl w:val="0"/>
        <w:rPr>
          <w:rFonts w:cs="Times New Roman"/>
          <w:color w:val="000000"/>
        </w:rPr>
      </w:pPr>
    </w:p>
    <w:p w14:paraId="680BDC07">
      <w:pPr>
        <w:pStyle w:val="7"/>
        <w:widowControl w:val="0"/>
        <w:rPr>
          <w:color w:val="000000"/>
        </w:rPr>
      </w:pPr>
    </w:p>
    <w:p w14:paraId="70093D74">
      <w:pPr>
        <w:widowControl w:val="0"/>
        <w:tabs>
          <w:tab w:val="right" w:leader="hyphen" w:pos="8504"/>
        </w:tabs>
        <w:spacing w:after="381" w:afterLines="100" w:line="440" w:lineRule="exact"/>
        <w:ind w:right="566" w:rightChars="200"/>
        <w:jc w:val="center"/>
        <w:rPr>
          <w:rFonts w:hint="eastAsia" w:ascii="仿宋" w:hAnsi="仿宋" w:eastAsia="仿宋" w:cs="Times New Roman"/>
          <w:b/>
          <w:bCs/>
          <w:color w:val="000000"/>
          <w:sz w:val="36"/>
          <w:szCs w:val="36"/>
        </w:rPr>
        <w:sectPr>
          <w:headerReference r:id="rId5" w:type="default"/>
          <w:footerReference r:id="rId6" w:type="default"/>
          <w:pgSz w:w="11906" w:h="16838"/>
          <w:pgMar w:top="1417" w:right="1417" w:bottom="1417" w:left="1417" w:header="850" w:footer="992" w:gutter="0"/>
          <w:pgNumType w:start="1"/>
          <w:cols w:space="720" w:num="1"/>
          <w:docGrid w:type="linesAndChars" w:linePitch="381" w:charSpace="704"/>
        </w:sectPr>
      </w:pPr>
      <w:r>
        <w:rPr>
          <w:rFonts w:ascii="仿宋" w:hAnsi="仿宋" w:eastAsia="仿宋" w:cs="仿宋"/>
          <w:b/>
          <w:bCs/>
          <w:color w:val="000000"/>
          <w:sz w:val="36"/>
          <w:szCs w:val="36"/>
        </w:rPr>
        <w:t>202</w:t>
      </w:r>
      <w:r>
        <w:rPr>
          <w:rFonts w:hint="eastAsia" w:ascii="仿宋" w:hAnsi="仿宋" w:eastAsia="仿宋" w:cs="仿宋"/>
          <w:b/>
          <w:bCs/>
          <w:color w:val="000000"/>
          <w:sz w:val="36"/>
          <w:szCs w:val="36"/>
          <w:lang w:val="en-US" w:eastAsia="zh-CN"/>
        </w:rPr>
        <w:t>5</w:t>
      </w:r>
      <w:r>
        <w:rPr>
          <w:rFonts w:hint="eastAsia" w:ascii="仿宋" w:hAnsi="仿宋" w:eastAsia="仿宋" w:cs="仿宋"/>
          <w:b/>
          <w:bCs/>
          <w:color w:val="000000"/>
          <w:sz w:val="36"/>
          <w:szCs w:val="36"/>
        </w:rPr>
        <w:t>年</w:t>
      </w:r>
      <w:r>
        <w:rPr>
          <w:rFonts w:hint="eastAsia" w:ascii="仿宋" w:hAnsi="仿宋" w:eastAsia="仿宋" w:cs="仿宋"/>
          <w:b/>
          <w:bCs/>
          <w:color w:val="000000"/>
          <w:sz w:val="36"/>
          <w:szCs w:val="36"/>
          <w:lang w:val="en-US" w:eastAsia="zh-CN"/>
        </w:rPr>
        <w:t>11</w:t>
      </w:r>
      <w:r>
        <w:rPr>
          <w:rFonts w:hint="eastAsia" w:ascii="仿宋" w:hAnsi="仿宋" w:eastAsia="仿宋" w:cs="仿宋"/>
          <w:b/>
          <w:bCs/>
          <w:color w:val="000000"/>
          <w:sz w:val="36"/>
          <w:szCs w:val="36"/>
        </w:rPr>
        <w:t>月</w:t>
      </w:r>
      <w:bookmarkStart w:id="0" w:name="_Toc20135"/>
      <w:bookmarkStart w:id="1" w:name="_Toc10513"/>
      <w:bookmarkStart w:id="2" w:name="_Toc6774"/>
      <w:bookmarkStart w:id="3" w:name="_Toc21160"/>
      <w:bookmarkStart w:id="4" w:name="_Toc1"/>
      <w:bookmarkStart w:id="5" w:name="_Toc852"/>
      <w:bookmarkStart w:id="6" w:name="_Toc16154"/>
      <w:bookmarkStart w:id="7" w:name="_Toc7047"/>
      <w:r>
        <w:rPr>
          <w:rFonts w:hint="eastAsia" w:ascii="仿宋" w:hAnsi="仿宋" w:eastAsia="仿宋" w:cs="仿宋"/>
          <w:b/>
          <w:bCs/>
          <w:color w:val="000000"/>
          <w:sz w:val="36"/>
          <w:szCs w:val="36"/>
          <w:lang w:val="en-US" w:eastAsia="zh-CN"/>
        </w:rPr>
        <w:t>20</w:t>
      </w:r>
      <w:r>
        <w:rPr>
          <w:rFonts w:hint="eastAsia" w:ascii="仿宋" w:hAnsi="仿宋" w:eastAsia="仿宋" w:cs="仿宋"/>
          <w:b/>
          <w:bCs/>
          <w:color w:val="000000"/>
          <w:sz w:val="36"/>
          <w:szCs w:val="36"/>
        </w:rPr>
        <w:t>日</w:t>
      </w:r>
    </w:p>
    <w:p w14:paraId="625781B9">
      <w:pPr>
        <w:pStyle w:val="19"/>
        <w:widowControl w:val="0"/>
        <w:tabs>
          <w:tab w:val="right" w:leader="dot" w:pos="9072"/>
        </w:tabs>
        <w:ind w:left="0" w:leftChars="0"/>
        <w:rPr>
          <w:rFonts w:hint="eastAsia" w:ascii="黑体" w:hAnsi="黑体" w:eastAsia="黑体" w:cs="黑体"/>
          <w:color w:val="000000"/>
          <w:sz w:val="44"/>
          <w:szCs w:val="44"/>
          <w:highlight w:val="yellow"/>
        </w:rPr>
      </w:pPr>
      <w:bookmarkStart w:id="8" w:name="_Toc29675"/>
      <w:bookmarkStart w:id="9" w:name="_Toc447"/>
      <w:bookmarkStart w:id="10" w:name="_Toc29970"/>
    </w:p>
    <w:p w14:paraId="0395DDF9">
      <w:pPr>
        <w:widowControl w:val="0"/>
        <w:tabs>
          <w:tab w:val="right" w:leader="hyphen" w:pos="8504"/>
        </w:tabs>
        <w:spacing w:after="381" w:afterLines="100" w:line="440" w:lineRule="exact"/>
        <w:ind w:left="567" w:right="566" w:rightChars="200"/>
        <w:jc w:val="center"/>
        <w:rPr>
          <w:rFonts w:ascii="Calibri Light" w:hAnsi="Calibri Light" w:eastAsia="华文仿宋" w:cs="Calibri Light"/>
          <w:color w:val="000000"/>
          <w:kern w:val="2"/>
          <w:sz w:val="28"/>
          <w:szCs w:val="28"/>
          <w:lang w:val="en-US" w:eastAsia="zh-CN" w:bidi="ar-SA"/>
        </w:rPr>
      </w:pPr>
      <w:r>
        <w:rPr>
          <w:rFonts w:hint="eastAsia" w:ascii="黑体" w:hAnsi="黑体" w:eastAsia="黑体" w:cs="黑体"/>
          <w:color w:val="000000"/>
          <w:sz w:val="44"/>
          <w:szCs w:val="44"/>
          <w:highlight w:val="none"/>
        </w:rPr>
        <w:t>目录</w:t>
      </w:r>
      <w:bookmarkEnd w:id="0"/>
      <w:bookmarkEnd w:id="1"/>
      <w:bookmarkEnd w:id="2"/>
      <w:bookmarkEnd w:id="3"/>
      <w:bookmarkEnd w:id="4"/>
      <w:bookmarkEnd w:id="5"/>
      <w:bookmarkEnd w:id="6"/>
      <w:bookmarkEnd w:id="7"/>
      <w:bookmarkEnd w:id="8"/>
      <w:bookmarkEnd w:id="9"/>
      <w:bookmarkEnd w:id="10"/>
      <w:bookmarkStart w:id="11" w:name="_Toc495014609"/>
      <w:bookmarkStart w:id="12" w:name="_Toc495014918"/>
      <w:bookmarkStart w:id="13" w:name="_Toc495014647"/>
      <w:bookmarkStart w:id="14" w:name="_Toc26289"/>
      <w:bookmarkStart w:id="15" w:name="_Toc495014583"/>
      <w:bookmarkStart w:id="16" w:name="_Toc445306491"/>
      <w:bookmarkStart w:id="17" w:name="_Toc495012819"/>
      <w:bookmarkStart w:id="18" w:name="_Toc495012769"/>
      <w:r>
        <w:rPr>
          <w:color w:val="000000"/>
        </w:rPr>
        <w:fldChar w:fldCharType="begin"/>
      </w:r>
      <w:r>
        <w:rPr>
          <w:color w:val="000000"/>
        </w:rPr>
        <w:instrText xml:space="preserve">TOC \o "1-3" \u </w:instrText>
      </w:r>
      <w:r>
        <w:rPr>
          <w:color w:val="000000"/>
        </w:rPr>
        <w:fldChar w:fldCharType="separate"/>
      </w:r>
    </w:p>
    <w:p w14:paraId="47BFAA9A">
      <w:pPr>
        <w:pStyle w:val="17"/>
        <w:tabs>
          <w:tab w:val="right" w:leader="dot" w:pos="9072"/>
        </w:tabs>
      </w:pPr>
      <w:r>
        <w:rPr>
          <w:rFonts w:hint="eastAsia" w:ascii="黑体" w:hAnsi="黑体" w:eastAsia="黑体" w:cs="黑体"/>
          <w:bCs w:val="0"/>
          <w:color w:val="000000"/>
          <w:szCs w:val="32"/>
        </w:rPr>
        <w:t>第一章  磋商邀请函</w:t>
      </w:r>
      <w:r>
        <w:tab/>
      </w:r>
      <w:r>
        <w:fldChar w:fldCharType="begin"/>
      </w:r>
      <w:r>
        <w:instrText xml:space="preserve"> PAGEREF _Toc13449 \h </w:instrText>
      </w:r>
      <w:r>
        <w:fldChar w:fldCharType="separate"/>
      </w:r>
      <w:r>
        <w:t>1</w:t>
      </w:r>
      <w:r>
        <w:fldChar w:fldCharType="end"/>
      </w:r>
    </w:p>
    <w:p w14:paraId="59F6E4E3">
      <w:pPr>
        <w:pStyle w:val="17"/>
        <w:tabs>
          <w:tab w:val="right" w:leader="dot" w:pos="9072"/>
        </w:tabs>
      </w:pPr>
      <w:r>
        <w:rPr>
          <w:rFonts w:hint="eastAsia" w:ascii="黑体" w:hAnsi="黑体" w:eastAsia="黑体" w:cs="黑体"/>
          <w:bCs w:val="0"/>
          <w:color w:val="000000"/>
          <w:szCs w:val="32"/>
        </w:rPr>
        <w:t>第二章  供应商须知</w:t>
      </w:r>
      <w:r>
        <w:tab/>
      </w:r>
      <w:r>
        <w:fldChar w:fldCharType="begin"/>
      </w:r>
      <w:r>
        <w:instrText xml:space="preserve"> PAGEREF _Toc27341 \h </w:instrText>
      </w:r>
      <w:r>
        <w:fldChar w:fldCharType="separate"/>
      </w:r>
      <w:r>
        <w:t>7</w:t>
      </w:r>
      <w:r>
        <w:fldChar w:fldCharType="end"/>
      </w:r>
    </w:p>
    <w:p w14:paraId="41485734">
      <w:pPr>
        <w:pStyle w:val="19"/>
        <w:tabs>
          <w:tab w:val="right" w:leader="dot" w:pos="9072"/>
        </w:tabs>
      </w:pPr>
      <w:r>
        <w:rPr>
          <w:rFonts w:hint="eastAsia" w:ascii="仿宋" w:hAnsi="仿宋" w:eastAsia="仿宋" w:cs="仿宋"/>
          <w:color w:val="000000"/>
          <w:szCs w:val="28"/>
        </w:rPr>
        <w:t>一、定义</w:t>
      </w:r>
      <w:r>
        <w:tab/>
      </w:r>
      <w:r>
        <w:fldChar w:fldCharType="begin"/>
      </w:r>
      <w:r>
        <w:instrText xml:space="preserve"> PAGEREF _Toc21192 \h </w:instrText>
      </w:r>
      <w:r>
        <w:fldChar w:fldCharType="separate"/>
      </w:r>
      <w:r>
        <w:t>7</w:t>
      </w:r>
      <w:r>
        <w:fldChar w:fldCharType="end"/>
      </w:r>
    </w:p>
    <w:p w14:paraId="09AEEAE3">
      <w:pPr>
        <w:pStyle w:val="19"/>
        <w:tabs>
          <w:tab w:val="right" w:leader="dot" w:pos="9072"/>
        </w:tabs>
      </w:pPr>
      <w:r>
        <w:rPr>
          <w:rFonts w:hint="eastAsia" w:ascii="仿宋" w:hAnsi="仿宋" w:eastAsia="仿宋" w:cs="仿宋"/>
          <w:color w:val="000000"/>
          <w:szCs w:val="28"/>
        </w:rPr>
        <w:t>二、供应商注意事项</w:t>
      </w:r>
      <w:r>
        <w:tab/>
      </w:r>
      <w:r>
        <w:fldChar w:fldCharType="begin"/>
      </w:r>
      <w:r>
        <w:instrText xml:space="preserve"> PAGEREF _Toc12085 \h </w:instrText>
      </w:r>
      <w:r>
        <w:fldChar w:fldCharType="separate"/>
      </w:r>
      <w:r>
        <w:t>7</w:t>
      </w:r>
      <w:r>
        <w:fldChar w:fldCharType="end"/>
      </w:r>
    </w:p>
    <w:p w14:paraId="60CA79B6">
      <w:pPr>
        <w:pStyle w:val="19"/>
        <w:tabs>
          <w:tab w:val="right" w:leader="dot" w:pos="9072"/>
        </w:tabs>
      </w:pPr>
      <w:r>
        <w:rPr>
          <w:rFonts w:hint="eastAsia" w:ascii="仿宋" w:hAnsi="仿宋" w:eastAsia="仿宋" w:cs="仿宋"/>
          <w:color w:val="000000"/>
          <w:szCs w:val="28"/>
        </w:rPr>
        <w:t>三、磋商文件</w:t>
      </w:r>
      <w:r>
        <w:tab/>
      </w:r>
      <w:r>
        <w:fldChar w:fldCharType="begin"/>
      </w:r>
      <w:r>
        <w:instrText xml:space="preserve"> PAGEREF _Toc4172 \h </w:instrText>
      </w:r>
      <w:r>
        <w:fldChar w:fldCharType="separate"/>
      </w:r>
      <w:r>
        <w:t>15</w:t>
      </w:r>
      <w:r>
        <w:fldChar w:fldCharType="end"/>
      </w:r>
    </w:p>
    <w:p w14:paraId="4875CFDE">
      <w:pPr>
        <w:pStyle w:val="19"/>
        <w:tabs>
          <w:tab w:val="right" w:leader="dot" w:pos="9072"/>
        </w:tabs>
      </w:pPr>
      <w:r>
        <w:rPr>
          <w:rFonts w:hint="eastAsia" w:ascii="仿宋" w:hAnsi="仿宋" w:eastAsia="仿宋" w:cs="仿宋"/>
          <w:color w:val="000000"/>
          <w:szCs w:val="28"/>
        </w:rPr>
        <w:t>四、磋商报价</w:t>
      </w:r>
      <w:r>
        <w:tab/>
      </w:r>
      <w:r>
        <w:fldChar w:fldCharType="begin"/>
      </w:r>
      <w:r>
        <w:instrText xml:space="preserve"> PAGEREF _Toc1979 \h </w:instrText>
      </w:r>
      <w:r>
        <w:fldChar w:fldCharType="separate"/>
      </w:r>
      <w:r>
        <w:t>16</w:t>
      </w:r>
      <w:r>
        <w:fldChar w:fldCharType="end"/>
      </w:r>
    </w:p>
    <w:p w14:paraId="135C7B00">
      <w:pPr>
        <w:pStyle w:val="19"/>
        <w:tabs>
          <w:tab w:val="right" w:leader="dot" w:pos="9072"/>
        </w:tabs>
      </w:pPr>
      <w:r>
        <w:rPr>
          <w:rFonts w:hint="eastAsia" w:ascii="仿宋" w:hAnsi="仿宋" w:eastAsia="仿宋" w:cs="仿宋"/>
          <w:color w:val="000000"/>
          <w:szCs w:val="28"/>
        </w:rPr>
        <w:t>五、响应文件</w:t>
      </w:r>
      <w:r>
        <w:tab/>
      </w:r>
      <w:r>
        <w:fldChar w:fldCharType="begin"/>
      </w:r>
      <w:r>
        <w:instrText xml:space="preserve"> PAGEREF _Toc19026 \h </w:instrText>
      </w:r>
      <w:r>
        <w:fldChar w:fldCharType="separate"/>
      </w:r>
      <w:r>
        <w:t>17</w:t>
      </w:r>
      <w:r>
        <w:fldChar w:fldCharType="end"/>
      </w:r>
    </w:p>
    <w:p w14:paraId="68564FFE">
      <w:pPr>
        <w:pStyle w:val="19"/>
        <w:tabs>
          <w:tab w:val="right" w:leader="dot" w:pos="9072"/>
        </w:tabs>
      </w:pPr>
      <w:r>
        <w:rPr>
          <w:rFonts w:hint="eastAsia" w:ascii="仿宋" w:hAnsi="仿宋" w:eastAsia="仿宋" w:cs="仿宋"/>
          <w:color w:val="000000"/>
          <w:szCs w:val="28"/>
        </w:rPr>
        <w:t>六、开启响应文件</w:t>
      </w:r>
      <w:r>
        <w:tab/>
      </w:r>
      <w:r>
        <w:fldChar w:fldCharType="begin"/>
      </w:r>
      <w:r>
        <w:instrText xml:space="preserve"> PAGEREF _Toc6878 \h </w:instrText>
      </w:r>
      <w:r>
        <w:fldChar w:fldCharType="separate"/>
      </w:r>
      <w:r>
        <w:t>19</w:t>
      </w:r>
      <w:r>
        <w:fldChar w:fldCharType="end"/>
      </w:r>
    </w:p>
    <w:p w14:paraId="0F9898F0">
      <w:pPr>
        <w:pStyle w:val="19"/>
        <w:tabs>
          <w:tab w:val="right" w:leader="dot" w:pos="9072"/>
        </w:tabs>
      </w:pPr>
      <w:r>
        <w:rPr>
          <w:rFonts w:hint="eastAsia" w:ascii="仿宋" w:hAnsi="仿宋" w:eastAsia="仿宋" w:cs="仿宋"/>
          <w:color w:val="000000"/>
          <w:szCs w:val="28"/>
        </w:rPr>
        <w:t>七、组织评审</w:t>
      </w:r>
      <w:r>
        <w:tab/>
      </w:r>
      <w:r>
        <w:fldChar w:fldCharType="begin"/>
      </w:r>
      <w:r>
        <w:instrText xml:space="preserve"> PAGEREF _Toc8798 \h </w:instrText>
      </w:r>
      <w:r>
        <w:fldChar w:fldCharType="separate"/>
      </w:r>
      <w:r>
        <w:t>20</w:t>
      </w:r>
      <w:r>
        <w:fldChar w:fldCharType="end"/>
      </w:r>
    </w:p>
    <w:p w14:paraId="29E8C3BD">
      <w:pPr>
        <w:pStyle w:val="19"/>
        <w:tabs>
          <w:tab w:val="right" w:leader="dot" w:pos="9072"/>
        </w:tabs>
      </w:pPr>
      <w:r>
        <w:rPr>
          <w:rFonts w:hint="eastAsia" w:ascii="仿宋" w:hAnsi="仿宋" w:eastAsia="仿宋" w:cs="仿宋"/>
          <w:color w:val="000000"/>
          <w:szCs w:val="28"/>
        </w:rPr>
        <w:t>八、成交</w:t>
      </w:r>
      <w:r>
        <w:tab/>
      </w:r>
      <w:r>
        <w:fldChar w:fldCharType="begin"/>
      </w:r>
      <w:r>
        <w:instrText xml:space="preserve"> PAGEREF _Toc17497 \h </w:instrText>
      </w:r>
      <w:r>
        <w:fldChar w:fldCharType="separate"/>
      </w:r>
      <w:r>
        <w:t>34</w:t>
      </w:r>
      <w:r>
        <w:fldChar w:fldCharType="end"/>
      </w:r>
    </w:p>
    <w:p w14:paraId="0908601E">
      <w:pPr>
        <w:pStyle w:val="19"/>
        <w:tabs>
          <w:tab w:val="right" w:leader="dot" w:pos="9072"/>
        </w:tabs>
      </w:pPr>
      <w:r>
        <w:rPr>
          <w:rFonts w:hint="eastAsia" w:ascii="仿宋" w:hAnsi="仿宋" w:eastAsia="仿宋" w:cs="仿宋"/>
          <w:color w:val="000000"/>
          <w:szCs w:val="28"/>
        </w:rPr>
        <w:t>九、签订政府采购合同</w:t>
      </w:r>
      <w:r>
        <w:tab/>
      </w:r>
      <w:r>
        <w:fldChar w:fldCharType="begin"/>
      </w:r>
      <w:r>
        <w:instrText xml:space="preserve"> PAGEREF _Toc6516 \h </w:instrText>
      </w:r>
      <w:r>
        <w:fldChar w:fldCharType="separate"/>
      </w:r>
      <w:r>
        <w:t>35</w:t>
      </w:r>
      <w:r>
        <w:fldChar w:fldCharType="end"/>
      </w:r>
    </w:p>
    <w:p w14:paraId="0FADDA37">
      <w:pPr>
        <w:pStyle w:val="19"/>
        <w:tabs>
          <w:tab w:val="right" w:leader="dot" w:pos="9072"/>
        </w:tabs>
      </w:pPr>
      <w:r>
        <w:rPr>
          <w:rFonts w:hint="eastAsia" w:ascii="仿宋" w:hAnsi="仿宋" w:eastAsia="仿宋" w:cs="仿宋"/>
          <w:color w:val="000000"/>
          <w:szCs w:val="28"/>
        </w:rPr>
        <w:t>十、其他</w:t>
      </w:r>
      <w:r>
        <w:tab/>
      </w:r>
      <w:r>
        <w:fldChar w:fldCharType="begin"/>
      </w:r>
      <w:r>
        <w:instrText xml:space="preserve"> PAGEREF _Toc17915 \h </w:instrText>
      </w:r>
      <w:r>
        <w:fldChar w:fldCharType="separate"/>
      </w:r>
      <w:r>
        <w:t>36</w:t>
      </w:r>
      <w:r>
        <w:fldChar w:fldCharType="end"/>
      </w:r>
    </w:p>
    <w:p w14:paraId="4053F632">
      <w:pPr>
        <w:pStyle w:val="17"/>
        <w:tabs>
          <w:tab w:val="right" w:leader="dot" w:pos="9072"/>
        </w:tabs>
        <w:rPr>
          <w:rFonts w:hint="eastAsia" w:eastAsia="华文仿宋"/>
          <w:lang w:eastAsia="zh-CN"/>
        </w:rPr>
      </w:pPr>
      <w:r>
        <w:rPr>
          <w:rFonts w:hint="eastAsia" w:ascii="黑体" w:hAnsi="黑体" w:eastAsia="黑体" w:cs="黑体"/>
          <w:bCs w:val="0"/>
          <w:color w:val="000000"/>
          <w:szCs w:val="32"/>
        </w:rPr>
        <w:t>第三章  磋商内容及采购要求</w:t>
      </w:r>
      <w:r>
        <w:tab/>
      </w:r>
      <w:r>
        <w:fldChar w:fldCharType="begin"/>
      </w:r>
      <w:r>
        <w:instrText xml:space="preserve"> PAGEREF _Toc19409 \h </w:instrText>
      </w:r>
      <w:r>
        <w:fldChar w:fldCharType="separate"/>
      </w:r>
      <w:r>
        <w:t>3</w:t>
      </w:r>
      <w:r>
        <w:fldChar w:fldCharType="end"/>
      </w:r>
      <w:r>
        <w:rPr>
          <w:rFonts w:hint="eastAsia"/>
          <w:lang w:val="en-US" w:eastAsia="zh-CN"/>
        </w:rPr>
        <w:t>8</w:t>
      </w:r>
    </w:p>
    <w:p w14:paraId="6A40F1E7">
      <w:pPr>
        <w:pStyle w:val="17"/>
        <w:tabs>
          <w:tab w:val="right" w:leader="dot" w:pos="9072"/>
        </w:tabs>
        <w:rPr>
          <w:rFonts w:hint="default" w:eastAsia="华文仿宋"/>
          <w:lang w:val="en-US" w:eastAsia="zh-CN"/>
        </w:rPr>
      </w:pPr>
      <w:r>
        <w:rPr>
          <w:rFonts w:hint="eastAsia" w:ascii="黑体" w:hAnsi="黑体" w:eastAsia="黑体" w:cs="黑体"/>
          <w:bCs w:val="0"/>
          <w:color w:val="000000"/>
          <w:szCs w:val="32"/>
        </w:rPr>
        <w:t>第四章  合同基本条款</w:t>
      </w:r>
      <w:r>
        <w:tab/>
      </w:r>
      <w:r>
        <w:rPr>
          <w:rFonts w:hint="eastAsia"/>
          <w:lang w:val="en-US" w:eastAsia="zh-CN"/>
        </w:rPr>
        <w:t>53</w:t>
      </w:r>
    </w:p>
    <w:p w14:paraId="6FD9079D">
      <w:pPr>
        <w:pStyle w:val="17"/>
        <w:tabs>
          <w:tab w:val="right" w:leader="dot" w:pos="9072"/>
        </w:tabs>
        <w:rPr>
          <w:rFonts w:hint="default" w:eastAsia="华文仿宋"/>
          <w:lang w:val="en-US" w:eastAsia="zh-CN"/>
        </w:rPr>
      </w:pPr>
      <w:r>
        <w:rPr>
          <w:rFonts w:hint="eastAsia" w:ascii="黑体" w:hAnsi="黑体" w:eastAsia="黑体" w:cs="黑体"/>
          <w:bCs w:val="0"/>
          <w:color w:val="000000"/>
          <w:szCs w:val="32"/>
        </w:rPr>
        <w:t>第五章  响应文件构成及格式</w:t>
      </w:r>
      <w:r>
        <w:tab/>
      </w:r>
      <w:r>
        <w:rPr>
          <w:rFonts w:hint="eastAsia"/>
          <w:lang w:val="en-US" w:eastAsia="zh-CN"/>
        </w:rPr>
        <w:t>57</w:t>
      </w:r>
    </w:p>
    <w:p w14:paraId="4707EB7A">
      <w:pPr>
        <w:pStyle w:val="19"/>
        <w:tabs>
          <w:tab w:val="right" w:leader="dot" w:pos="9072"/>
        </w:tabs>
        <w:rPr>
          <w:rFonts w:hint="default" w:eastAsia="华文仿宋"/>
          <w:lang w:val="en-US" w:eastAsia="zh-CN"/>
        </w:rPr>
      </w:pPr>
      <w:r>
        <w:rPr>
          <w:rFonts w:hint="eastAsia" w:ascii="黑体" w:hAnsi="黑体" w:eastAsia="黑体" w:cs="黑体"/>
          <w:bCs w:val="0"/>
          <w:color w:val="000000"/>
        </w:rPr>
        <w:t>第一部分  资格证明文件</w:t>
      </w:r>
      <w:r>
        <w:tab/>
      </w:r>
      <w:r>
        <w:rPr>
          <w:rFonts w:hint="eastAsia"/>
          <w:lang w:val="en-US" w:eastAsia="zh-CN"/>
        </w:rPr>
        <w:t>60</w:t>
      </w:r>
    </w:p>
    <w:p w14:paraId="167FD7B3">
      <w:pPr>
        <w:pStyle w:val="19"/>
        <w:tabs>
          <w:tab w:val="right" w:leader="dot" w:pos="9072"/>
        </w:tabs>
        <w:rPr>
          <w:rFonts w:hint="default" w:eastAsia="华文仿宋"/>
          <w:lang w:val="en-US" w:eastAsia="zh-CN"/>
        </w:rPr>
      </w:pPr>
      <w:r>
        <w:rPr>
          <w:rFonts w:hint="eastAsia" w:ascii="黑体" w:hAnsi="黑体" w:eastAsia="黑体" w:cs="黑体"/>
          <w:bCs w:val="0"/>
          <w:color w:val="000000"/>
        </w:rPr>
        <w:t>第二部分  符合性证明文件</w:t>
      </w:r>
      <w:r>
        <w:tab/>
      </w:r>
      <w:r>
        <w:rPr>
          <w:rFonts w:hint="eastAsia"/>
          <w:lang w:val="en-US" w:eastAsia="zh-CN"/>
        </w:rPr>
        <w:t>77</w:t>
      </w:r>
    </w:p>
    <w:p w14:paraId="082F5417">
      <w:pPr>
        <w:pStyle w:val="19"/>
        <w:tabs>
          <w:tab w:val="right" w:leader="dot" w:pos="9072"/>
        </w:tabs>
        <w:rPr>
          <w:rFonts w:hint="default" w:eastAsia="华文仿宋"/>
          <w:lang w:val="en-US" w:eastAsia="zh-CN"/>
        </w:rPr>
      </w:pPr>
      <w:r>
        <w:rPr>
          <w:rFonts w:hint="eastAsia" w:ascii="黑体" w:hAnsi="黑体" w:eastAsia="黑体" w:cs="黑体"/>
          <w:bCs w:val="0"/>
          <w:color w:val="000000"/>
          <w:highlight w:val="none"/>
        </w:rPr>
        <w:t>第三部分  响应方案</w:t>
      </w:r>
      <w:r>
        <w:tab/>
      </w:r>
      <w:r>
        <w:rPr>
          <w:rFonts w:hint="eastAsia"/>
          <w:lang w:val="en-US" w:eastAsia="zh-CN"/>
        </w:rPr>
        <w:t>79</w:t>
      </w:r>
    </w:p>
    <w:p w14:paraId="167692F9">
      <w:pPr>
        <w:pStyle w:val="19"/>
        <w:widowControl w:val="0"/>
        <w:tabs>
          <w:tab w:val="right" w:leader="dot" w:pos="9072"/>
        </w:tabs>
        <w:spacing w:after="381" w:afterLines="100" w:line="440" w:lineRule="exact"/>
        <w:ind w:left="567" w:right="566" w:rightChars="200"/>
        <w:jc w:val="center"/>
        <w:rPr>
          <w:rFonts w:hint="eastAsia" w:ascii="黑体" w:hAnsi="黑体" w:eastAsia="黑体" w:cs="Times New Roman"/>
          <w:color w:val="000000"/>
          <w:sz w:val="32"/>
          <w:szCs w:val="32"/>
        </w:rPr>
        <w:sectPr>
          <w:headerReference r:id="rId7" w:type="default"/>
          <w:footerReference r:id="rId8" w:type="default"/>
          <w:pgSz w:w="11906" w:h="16838"/>
          <w:pgMar w:top="1417" w:right="1417" w:bottom="1417" w:left="1417" w:header="794" w:footer="992" w:gutter="0"/>
          <w:pgNumType w:start="1"/>
          <w:cols w:space="720" w:num="1"/>
          <w:docGrid w:type="linesAndChars" w:linePitch="381" w:charSpace="704"/>
        </w:sectPr>
      </w:pPr>
      <w:r>
        <w:rPr>
          <w:color w:val="000000"/>
        </w:rPr>
        <w:fldChar w:fldCharType="end"/>
      </w:r>
    </w:p>
    <w:bookmarkEnd w:id="11"/>
    <w:bookmarkEnd w:id="12"/>
    <w:bookmarkEnd w:id="13"/>
    <w:bookmarkEnd w:id="14"/>
    <w:bookmarkEnd w:id="15"/>
    <w:bookmarkEnd w:id="16"/>
    <w:bookmarkEnd w:id="17"/>
    <w:bookmarkEnd w:id="18"/>
    <w:p w14:paraId="5AF959B3">
      <w:pPr>
        <w:pStyle w:val="3"/>
        <w:widowControl w:val="0"/>
        <w:rPr>
          <w:rFonts w:hint="eastAsia" w:ascii="黑体" w:hAnsi="黑体" w:eastAsia="黑体" w:cs="黑体"/>
          <w:b w:val="0"/>
          <w:bCs w:val="0"/>
          <w:color w:val="000000"/>
          <w:sz w:val="32"/>
          <w:szCs w:val="32"/>
        </w:rPr>
      </w:pPr>
      <w:bookmarkStart w:id="19" w:name="_Toc13449"/>
      <w:bookmarkStart w:id="20" w:name="_Toc21838"/>
      <w:bookmarkStart w:id="21" w:name="_Toc15328"/>
      <w:bookmarkStart w:id="22" w:name="_Toc31315"/>
      <w:bookmarkStart w:id="23" w:name="_Toc24842"/>
      <w:bookmarkStart w:id="24" w:name="_Toc25646"/>
      <w:bookmarkStart w:id="25" w:name="_Toc17775"/>
      <w:r>
        <w:rPr>
          <w:rFonts w:hint="eastAsia" w:ascii="黑体" w:hAnsi="黑体" w:eastAsia="黑体" w:cs="黑体"/>
          <w:b w:val="0"/>
          <w:bCs w:val="0"/>
          <w:color w:val="000000"/>
          <w:sz w:val="32"/>
          <w:szCs w:val="32"/>
        </w:rPr>
        <w:t>第一章  磋商邀请函</w:t>
      </w:r>
      <w:bookmarkEnd w:id="19"/>
      <w:bookmarkEnd w:id="20"/>
      <w:bookmarkEnd w:id="21"/>
      <w:bookmarkEnd w:id="22"/>
      <w:bookmarkEnd w:id="23"/>
      <w:bookmarkEnd w:id="24"/>
      <w:bookmarkEnd w:id="25"/>
    </w:p>
    <w:p w14:paraId="7996E885">
      <w:pPr>
        <w:pStyle w:val="2"/>
        <w:widowControl w:val="0"/>
        <w:spacing w:afterLines="0" w:line="500" w:lineRule="exact"/>
        <w:ind w:firstLine="566" w:firstLineChars="200"/>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eastAsia="zh-CN"/>
        </w:rPr>
        <w:t>陕西省特殊教育学校2025年物业服务项目</w:t>
      </w:r>
      <w:r>
        <w:rPr>
          <w:rFonts w:hint="eastAsia" w:ascii="仿宋" w:hAnsi="仿宋" w:eastAsia="仿宋" w:cs="仿宋"/>
          <w:color w:val="000000"/>
          <w:sz w:val="28"/>
          <w:szCs w:val="28"/>
        </w:rPr>
        <w:t>潜在的供应商可在全国公共资源交易平台（陕西省）</w:t>
      </w:r>
      <w:r>
        <w:rPr>
          <w:rFonts w:hint="eastAsia" w:ascii="仿宋" w:hAnsi="仿宋" w:eastAsia="仿宋" w:cs="仿宋"/>
          <w:color w:val="000000"/>
          <w:sz w:val="28"/>
          <w:szCs w:val="28"/>
          <w:highlight w:val="none"/>
        </w:rPr>
        <w:t>政府采购交易系统</w:t>
      </w:r>
      <w:r>
        <w:rPr>
          <w:rFonts w:hint="eastAsia" w:ascii="仿宋" w:hAnsi="仿宋" w:eastAsia="仿宋" w:cs="仿宋"/>
          <w:color w:val="000000"/>
          <w:sz w:val="28"/>
          <w:szCs w:val="28"/>
        </w:rPr>
        <w:t>获取磋商文件，并于202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01</w:t>
      </w:r>
      <w:r>
        <w:rPr>
          <w:rFonts w:hint="eastAsia" w:ascii="仿宋" w:hAnsi="仿宋" w:eastAsia="仿宋" w:cs="仿宋"/>
          <w:color w:val="000000"/>
          <w:sz w:val="28"/>
          <w:szCs w:val="28"/>
        </w:rPr>
        <w:t xml:space="preserve"> 09:30:00前递交响应文件。</w:t>
      </w:r>
    </w:p>
    <w:p w14:paraId="5B0DA5B0">
      <w:pPr>
        <w:widowControl w:val="0"/>
        <w:spacing w:afterLines="0" w:line="500" w:lineRule="exact"/>
        <w:ind w:left="0" w:leftChars="0" w:firstLine="560" w:firstLineChars="200"/>
        <w:rPr>
          <w:rFonts w:hint="eastAsia" w:ascii="仿宋" w:hAnsi="仿宋" w:eastAsia="仿宋" w:cs="仿宋"/>
          <w:b/>
          <w:bCs/>
          <w:color w:val="000000"/>
          <w:lang w:eastAsia="zh-CN"/>
        </w:rPr>
      </w:pPr>
      <w:r>
        <w:rPr>
          <w:rFonts w:hint="eastAsia" w:ascii="仿宋" w:hAnsi="仿宋" w:eastAsia="仿宋" w:cs="仿宋"/>
          <w:b/>
          <w:bCs/>
          <w:color w:val="000000"/>
          <w:w w:val="99"/>
        </w:rPr>
        <w:t>一、项目名称</w:t>
      </w:r>
      <w:r>
        <w:rPr>
          <w:rFonts w:hint="eastAsia" w:ascii="仿宋" w:hAnsi="仿宋" w:eastAsia="仿宋" w:cs="仿宋"/>
          <w:color w:val="000000"/>
          <w:w w:val="99"/>
        </w:rPr>
        <w:t>：</w:t>
      </w:r>
      <w:r>
        <w:rPr>
          <w:rFonts w:hint="eastAsia" w:ascii="仿宋" w:hAnsi="仿宋" w:eastAsia="仿宋" w:cs="仿宋"/>
          <w:color w:val="000000"/>
          <w:sz w:val="28"/>
          <w:szCs w:val="28"/>
          <w:lang w:eastAsia="zh-CN"/>
        </w:rPr>
        <w:t>陕西省特殊教育学校2025年物业服务项目</w:t>
      </w:r>
    </w:p>
    <w:p w14:paraId="35359323">
      <w:pPr>
        <w:widowControl w:val="0"/>
        <w:spacing w:afterLines="0" w:line="500" w:lineRule="exact"/>
        <w:ind w:firstLine="566" w:firstLineChars="200"/>
        <w:rPr>
          <w:rFonts w:hint="default" w:ascii="仿宋" w:hAnsi="仿宋" w:eastAsia="仿宋" w:cs="仿宋"/>
          <w:color w:val="000000"/>
          <w:lang w:val="en-US" w:eastAsia="zh-CN"/>
        </w:rPr>
      </w:pPr>
      <w:r>
        <w:rPr>
          <w:rFonts w:hint="eastAsia" w:ascii="仿宋" w:hAnsi="仿宋" w:eastAsia="仿宋" w:cs="仿宋"/>
          <w:b/>
          <w:bCs/>
          <w:color w:val="000000"/>
        </w:rPr>
        <w:t>二、项目编号</w:t>
      </w:r>
      <w:r>
        <w:rPr>
          <w:rFonts w:hint="eastAsia" w:ascii="仿宋" w:hAnsi="仿宋" w:eastAsia="仿宋" w:cs="仿宋"/>
          <w:color w:val="000000"/>
        </w:rPr>
        <w:t>：SNCG-FM-202</w:t>
      </w:r>
      <w:r>
        <w:rPr>
          <w:rFonts w:hint="eastAsia" w:ascii="仿宋" w:hAnsi="仿宋" w:eastAsia="仿宋" w:cs="仿宋"/>
          <w:color w:val="000000"/>
          <w:lang w:val="en-US" w:eastAsia="zh-CN"/>
        </w:rPr>
        <w:t>5</w:t>
      </w:r>
      <w:r>
        <w:rPr>
          <w:rFonts w:hint="eastAsia" w:ascii="仿宋" w:hAnsi="仿宋" w:eastAsia="仿宋" w:cs="仿宋"/>
          <w:color w:val="000000"/>
          <w:highlight w:val="none"/>
          <w:lang w:val="en-US" w:eastAsia="zh-CN"/>
        </w:rPr>
        <w:t>230</w:t>
      </w:r>
    </w:p>
    <w:p w14:paraId="20C980AD">
      <w:pPr>
        <w:widowControl w:val="0"/>
        <w:spacing w:afterLines="0" w:line="500" w:lineRule="exact"/>
        <w:ind w:firstLine="566" w:firstLineChars="200"/>
        <w:rPr>
          <w:rFonts w:hint="eastAsia" w:ascii="仿宋" w:hAnsi="仿宋" w:eastAsia="仿宋" w:cs="仿宋"/>
          <w:color w:val="000000"/>
          <w:highlight w:val="none"/>
          <w:u w:color="FFFFFF"/>
          <w:lang w:eastAsia="zh-CN"/>
        </w:rPr>
      </w:pPr>
      <w:r>
        <w:rPr>
          <w:rFonts w:hint="eastAsia" w:ascii="仿宋" w:hAnsi="仿宋" w:eastAsia="仿宋" w:cs="仿宋"/>
          <w:b/>
          <w:bCs/>
          <w:color w:val="000000"/>
          <w:highlight w:val="none"/>
        </w:rPr>
        <w:t>三、采购人：</w:t>
      </w:r>
      <w:r>
        <w:rPr>
          <w:rFonts w:hint="eastAsia" w:ascii="仿宋" w:hAnsi="仿宋" w:eastAsia="仿宋" w:cs="仿宋"/>
          <w:color w:val="000000"/>
          <w:sz w:val="28"/>
          <w:szCs w:val="28"/>
          <w:highlight w:val="none"/>
          <w:lang w:eastAsia="zh-CN"/>
        </w:rPr>
        <w:t>陕西省特殊教育学校</w:t>
      </w:r>
    </w:p>
    <w:p w14:paraId="3B7A6CE2">
      <w:pPr>
        <w:pStyle w:val="44"/>
        <w:widowControl w:val="0"/>
        <w:spacing w:afterLines="0" w:line="500" w:lineRule="exact"/>
        <w:ind w:firstLine="566" w:firstLineChars="200"/>
        <w:rPr>
          <w:rFonts w:hint="default" w:ascii="仿宋" w:hAnsi="仿宋" w:eastAsia="仿宋" w:cs="仿宋"/>
          <w:color w:val="000000"/>
          <w:highlight w:val="none"/>
          <w:lang w:eastAsia="zh-CN"/>
        </w:rPr>
      </w:pPr>
      <w:r>
        <w:rPr>
          <w:rFonts w:hint="eastAsia" w:ascii="仿宋" w:hAnsi="仿宋" w:eastAsia="仿宋" w:cs="仿宋"/>
          <w:color w:val="000000"/>
          <w:highlight w:val="none"/>
        </w:rPr>
        <w:t>地址：</w:t>
      </w:r>
      <w:r>
        <w:rPr>
          <w:rFonts w:hint="eastAsia" w:ascii="仿宋" w:hAnsi="仿宋" w:eastAsia="仿宋" w:cs="仿宋"/>
          <w:color w:val="000000"/>
          <w:highlight w:val="none"/>
          <w:lang w:eastAsia="zh-CN"/>
        </w:rPr>
        <w:t>西安市未央区朱宏路</w:t>
      </w:r>
      <w:r>
        <w:rPr>
          <w:rFonts w:hint="eastAsia" w:ascii="仿宋" w:hAnsi="仿宋" w:eastAsia="仿宋" w:cs="仿宋"/>
          <w:color w:val="000000"/>
          <w:highlight w:val="none"/>
          <w:lang w:val="en-US" w:eastAsia="zh-CN"/>
        </w:rPr>
        <w:t>9号</w:t>
      </w:r>
    </w:p>
    <w:p w14:paraId="7C82B9CC">
      <w:pPr>
        <w:pStyle w:val="44"/>
        <w:widowControl w:val="0"/>
        <w:spacing w:afterLines="0" w:line="500" w:lineRule="exact"/>
        <w:ind w:firstLine="566" w:firstLineChars="200"/>
        <w:rPr>
          <w:rFonts w:hint="default" w:ascii="仿宋" w:hAnsi="仿宋" w:eastAsia="仿宋" w:cs="仿宋"/>
          <w:color w:val="000000"/>
          <w:lang w:val="en-US" w:eastAsia="zh-CN"/>
        </w:rPr>
      </w:pPr>
      <w:r>
        <w:rPr>
          <w:rFonts w:hint="eastAsia" w:ascii="仿宋" w:hAnsi="仿宋" w:eastAsia="仿宋" w:cs="仿宋"/>
          <w:color w:val="000000"/>
        </w:rPr>
        <w:t>联系人：</w:t>
      </w:r>
      <w:r>
        <w:rPr>
          <w:rFonts w:hint="eastAsia" w:ascii="仿宋" w:hAnsi="仿宋" w:eastAsia="仿宋" w:cs="仿宋"/>
          <w:color w:val="000000"/>
          <w:lang w:eastAsia="zh-CN"/>
        </w:rPr>
        <w:t>明</w:t>
      </w:r>
      <w:r>
        <w:rPr>
          <w:rFonts w:hint="eastAsia" w:ascii="仿宋" w:hAnsi="仿宋" w:eastAsia="仿宋" w:cs="仿宋"/>
          <w:color w:val="000000"/>
          <w:lang w:val="en-US" w:eastAsia="zh-CN"/>
        </w:rPr>
        <w:t>老师</w:t>
      </w:r>
    </w:p>
    <w:p w14:paraId="3C0A305D">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联系方式：</w:t>
      </w:r>
      <w:r>
        <w:rPr>
          <w:rFonts w:hint="eastAsia" w:ascii="仿宋" w:hAnsi="仿宋" w:eastAsia="仿宋" w:cs="仿宋"/>
          <w:color w:val="000000"/>
          <w:lang w:val="en-US" w:eastAsia="zh-CN"/>
        </w:rPr>
        <w:t>029-86262448</w:t>
      </w:r>
    </w:p>
    <w:p w14:paraId="555F6BB1">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四、采购代理机构</w:t>
      </w:r>
      <w:r>
        <w:rPr>
          <w:rFonts w:hint="eastAsia" w:ascii="仿宋" w:hAnsi="仿宋" w:eastAsia="仿宋" w:cs="仿宋"/>
          <w:color w:val="000000"/>
        </w:rPr>
        <w:t>：</w:t>
      </w:r>
      <w:r>
        <w:rPr>
          <w:rFonts w:hint="eastAsia" w:ascii="仿宋" w:hAnsi="仿宋" w:eastAsia="仿宋" w:cs="仿宋"/>
          <w:color w:val="000000"/>
          <w:lang w:val="zh-CN"/>
        </w:rPr>
        <w:t>陕西省省级单位政府采购中心</w:t>
      </w:r>
    </w:p>
    <w:p w14:paraId="0846F874">
      <w:pPr>
        <w:pStyle w:val="44"/>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地址：西安市碑林区长安北路</w:t>
      </w:r>
      <w:r>
        <w:rPr>
          <w:rFonts w:ascii="仿宋" w:hAnsi="仿宋" w:eastAsia="仿宋" w:cs="仿宋"/>
          <w:color w:val="000000"/>
        </w:rPr>
        <w:t>14</w:t>
      </w:r>
      <w:r>
        <w:rPr>
          <w:rFonts w:hint="eastAsia" w:ascii="仿宋" w:hAnsi="仿宋" w:eastAsia="仿宋" w:cs="仿宋"/>
          <w:color w:val="000000"/>
        </w:rPr>
        <w:t>号</w:t>
      </w:r>
    </w:p>
    <w:p w14:paraId="0EF68EBF">
      <w:pPr>
        <w:pStyle w:val="44"/>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马</w:t>
      </w:r>
      <w:r>
        <w:rPr>
          <w:rFonts w:hint="eastAsia" w:ascii="仿宋" w:hAnsi="仿宋" w:eastAsia="仿宋" w:cs="仿宋"/>
          <w:color w:val="000000"/>
          <w:highlight w:val="none"/>
        </w:rPr>
        <w:t>老师</w:t>
      </w:r>
    </w:p>
    <w:p w14:paraId="6B8FAE8E">
      <w:pPr>
        <w:pStyle w:val="44"/>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联系方式：</w:t>
      </w:r>
      <w:r>
        <w:rPr>
          <w:rFonts w:ascii="仿宋" w:hAnsi="仿宋" w:eastAsia="仿宋" w:cs="仿宋"/>
          <w:color w:val="000000"/>
        </w:rPr>
        <w:t>029-886612</w:t>
      </w:r>
      <w:r>
        <w:rPr>
          <w:rFonts w:hint="eastAsia" w:ascii="仿宋" w:hAnsi="仿宋" w:eastAsia="仿宋" w:cs="仿宋"/>
          <w:color w:val="000000"/>
        </w:rPr>
        <w:t>46</w:t>
      </w:r>
    </w:p>
    <w:p w14:paraId="7F802F1F">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五、磋商内容和要求</w:t>
      </w:r>
    </w:p>
    <w:p w14:paraId="2723D67A">
      <w:pPr>
        <w:widowControl w:val="0"/>
        <w:spacing w:afterLines="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rPr>
        <w:t>本项目为</w:t>
      </w:r>
      <w:r>
        <w:rPr>
          <w:rFonts w:hint="eastAsia" w:ascii="仿宋" w:hAnsi="仿宋" w:eastAsia="仿宋" w:cs="仿宋"/>
          <w:color w:val="000000"/>
          <w:sz w:val="28"/>
          <w:szCs w:val="28"/>
          <w:lang w:eastAsia="zh-CN"/>
        </w:rPr>
        <w:t>陕西省特殊教育学校2025年物业服务项目</w:t>
      </w:r>
      <w:r>
        <w:rPr>
          <w:rFonts w:hint="eastAsia" w:ascii="仿宋" w:hAnsi="仿宋" w:eastAsia="仿宋" w:cs="仿宋"/>
          <w:color w:val="000000"/>
          <w:sz w:val="28"/>
          <w:szCs w:val="28"/>
          <w:lang w:val="en-US" w:eastAsia="zh-CN"/>
        </w:rPr>
        <w:t>。</w:t>
      </w:r>
      <w:r>
        <w:rPr>
          <w:rFonts w:hint="eastAsia" w:ascii="仿宋" w:hAnsi="仿宋" w:eastAsia="仿宋" w:cs="仿宋"/>
          <w:color w:val="000000"/>
        </w:rPr>
        <w:t>（详见磋商文件第三章磋商内容及采购要求）。</w:t>
      </w:r>
    </w:p>
    <w:p w14:paraId="799334B1">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六、资金来源</w:t>
      </w:r>
      <w:r>
        <w:rPr>
          <w:rFonts w:hint="eastAsia" w:ascii="仿宋" w:hAnsi="仿宋" w:eastAsia="仿宋" w:cs="仿宋"/>
          <w:color w:val="000000"/>
        </w:rPr>
        <w:t>：预算内</w:t>
      </w:r>
    </w:p>
    <w:p w14:paraId="37623646">
      <w:pPr>
        <w:widowControl w:val="0"/>
        <w:wordWrap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七、采购预算：</w:t>
      </w:r>
      <w:r>
        <w:rPr>
          <w:rFonts w:hint="eastAsia" w:ascii="仿宋" w:hAnsi="仿宋" w:eastAsia="仿宋" w:cs="仿宋"/>
          <w:b w:val="0"/>
          <w:bCs w:val="0"/>
          <w:color w:val="000000"/>
          <w:lang w:val="en-US" w:eastAsia="zh-CN"/>
        </w:rPr>
        <w:t>89万</w:t>
      </w:r>
      <w:r>
        <w:rPr>
          <w:rFonts w:hint="eastAsia" w:ascii="仿宋" w:hAnsi="仿宋" w:eastAsia="仿宋" w:cs="仿宋"/>
          <w:color w:val="000000"/>
        </w:rPr>
        <w:t>元</w:t>
      </w:r>
    </w:p>
    <w:p w14:paraId="1E18BD8E">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八、所属行业：</w:t>
      </w:r>
      <w:r>
        <w:rPr>
          <w:rFonts w:hint="eastAsia" w:ascii="仿宋" w:hAnsi="仿宋" w:eastAsia="仿宋" w:cs="仿宋"/>
          <w:color w:val="000000"/>
        </w:rPr>
        <w:t>物业管理</w:t>
      </w:r>
    </w:p>
    <w:p w14:paraId="5419B9F4">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九、项目属性：</w:t>
      </w:r>
      <w:r>
        <w:rPr>
          <w:rFonts w:hint="eastAsia" w:ascii="仿宋" w:hAnsi="仿宋" w:eastAsia="仿宋" w:cs="仿宋"/>
          <w:color w:val="000000"/>
        </w:rPr>
        <w:t>服务类</w:t>
      </w:r>
    </w:p>
    <w:p w14:paraId="04A10AED">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十、供应商资格要求</w:t>
      </w:r>
    </w:p>
    <w:p w14:paraId="339534A0">
      <w:pPr>
        <w:widowControl w:val="0"/>
        <w:spacing w:afterLines="0" w:line="500" w:lineRule="exact"/>
        <w:ind w:firstLine="566" w:firstLineChars="200"/>
        <w:rPr>
          <w:rFonts w:hint="eastAsia" w:ascii="仿宋" w:hAnsi="仿宋" w:eastAsia="仿宋" w:cs="仿宋"/>
          <w:color w:val="000000"/>
          <w:kern w:val="0"/>
          <w:lang w:val="zh-CN"/>
        </w:rPr>
      </w:pPr>
      <w:r>
        <w:rPr>
          <w:rFonts w:hint="eastAsia" w:ascii="仿宋" w:hAnsi="仿宋" w:eastAsia="仿宋" w:cs="仿宋"/>
          <w:color w:val="000000"/>
        </w:rPr>
        <w:t>符合《中华人民共和国政府采购法》第二十二条的规定，</w:t>
      </w:r>
      <w:r>
        <w:rPr>
          <w:rFonts w:hint="eastAsia" w:ascii="仿宋" w:hAnsi="仿宋" w:eastAsia="仿宋" w:cs="仿宋"/>
          <w:color w:val="000000"/>
          <w:kern w:val="0"/>
          <w:lang w:val="zh-CN"/>
        </w:rPr>
        <w:t>并提供下列材料：</w:t>
      </w:r>
    </w:p>
    <w:p w14:paraId="2F5D13F8">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1、营业执照等主体资格证明文件：提供有效存续的企业营业执照（副本）/事业单位法人证书/专业服务机构执业许可证/民办非企业单位登记证书。</w:t>
      </w:r>
    </w:p>
    <w:p w14:paraId="3688F2B0">
      <w:pPr>
        <w:spacing w:afterLines="0" w:line="500" w:lineRule="exact"/>
        <w:ind w:firstLine="566" w:firstLineChars="200"/>
        <w:rPr>
          <w:rFonts w:hint="eastAsia" w:ascii="仿宋" w:hAnsi="仿宋" w:eastAsia="仿宋" w:cs="仿宋"/>
          <w:color w:val="000000"/>
          <w:highlight w:val="none"/>
          <w:lang w:val="en-US" w:eastAsia="zh-CN"/>
        </w:rPr>
      </w:pPr>
      <w:r>
        <w:rPr>
          <w:rFonts w:hint="eastAsia" w:ascii="仿宋" w:hAnsi="仿宋" w:eastAsia="仿宋" w:cs="仿宋"/>
          <w:color w:val="000000"/>
        </w:rPr>
        <w:t>2、</w:t>
      </w:r>
      <w:r>
        <w:rPr>
          <w:rFonts w:hint="eastAsia" w:ascii="仿宋" w:hAnsi="仿宋" w:eastAsia="仿宋" w:cs="仿宋"/>
          <w:color w:val="000000"/>
          <w:highlight w:val="none"/>
        </w:rPr>
        <w:t>财务状况报告</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以下两种资料提供任意一种即可</w:t>
      </w:r>
      <w:r>
        <w:rPr>
          <w:rFonts w:hint="eastAsia" w:ascii="仿宋" w:hAnsi="仿宋" w:eastAsia="仿宋" w:cs="仿宋"/>
          <w:color w:val="000000"/>
          <w:highlight w:val="none"/>
          <w:lang w:eastAsia="zh-CN"/>
        </w:rPr>
        <w:t>）</w:t>
      </w:r>
      <w:r>
        <w:rPr>
          <w:rFonts w:hint="eastAsia" w:ascii="仿宋" w:hAnsi="仿宋" w:eastAsia="仿宋" w:cs="仿宋"/>
          <w:color w:val="000000"/>
        </w:rPr>
        <w:t>：</w:t>
      </w:r>
    </w:p>
    <w:p w14:paraId="466DC040">
      <w:pPr>
        <w:spacing w:afterLines="0" w:line="500" w:lineRule="exact"/>
        <w:ind w:firstLine="566" w:firstLineChars="200"/>
        <w:rPr>
          <w:rFonts w:hint="eastAsia" w:ascii="仿宋" w:hAnsi="仿宋" w:eastAsia="仿宋" w:cs="仿宋"/>
          <w:color w:val="000000"/>
          <w:highlight w:val="none"/>
          <w:lang w:eastAsia="zh-CN"/>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1</w:t>
      </w:r>
      <w:r>
        <w:rPr>
          <w:rFonts w:hint="eastAsia" w:ascii="仿宋" w:hAnsi="仿宋" w:eastAsia="仿宋" w:cs="仿宋"/>
          <w:color w:val="000000"/>
          <w:lang w:eastAsia="zh-CN"/>
        </w:rPr>
        <w:t>）</w:t>
      </w:r>
      <w:r>
        <w:rPr>
          <w:rFonts w:hint="eastAsia" w:ascii="仿宋" w:hAnsi="仿宋" w:eastAsia="仿宋" w:cs="仿宋"/>
          <w:color w:val="000000"/>
        </w:rPr>
        <w:t>提供递交</w:t>
      </w:r>
      <w:r>
        <w:rPr>
          <w:rFonts w:hint="eastAsia" w:ascii="仿宋" w:hAnsi="仿宋" w:eastAsia="仿宋" w:cs="仿宋"/>
          <w:color w:val="000000"/>
          <w:lang w:val="en-US" w:eastAsia="zh-CN"/>
        </w:rPr>
        <w:t>响应</w:t>
      </w:r>
      <w:r>
        <w:rPr>
          <w:rFonts w:hint="eastAsia" w:ascii="仿宋" w:hAnsi="仿宋" w:eastAsia="仿宋" w:cs="仿宋"/>
          <w:color w:val="000000"/>
        </w:rPr>
        <w:t>文件截止之日前两年内任意一个年度经审计的财务报告（包括“四表一注”，即资产负债表、利润表、现金流量表、所有者权益变动表及其附注，</w:t>
      </w:r>
      <w:r>
        <w:rPr>
          <w:rFonts w:hint="eastAsia" w:ascii="仿宋" w:hAnsi="仿宋" w:eastAsia="仿宋" w:cs="仿宋"/>
          <w:color w:val="000000"/>
          <w:lang w:val="en-US" w:eastAsia="zh-CN"/>
        </w:rPr>
        <w:t>符合《中小企业划型标准规定》的小型企业按照《小企业会计准则》执行。</w:t>
      </w:r>
      <w:r>
        <w:rPr>
          <w:rFonts w:hint="eastAsia" w:ascii="仿宋" w:hAnsi="仿宋" w:eastAsia="仿宋" w:cs="仿宋"/>
          <w:color w:val="000000"/>
        </w:rPr>
        <w:t>成立时间至提交</w:t>
      </w:r>
      <w:r>
        <w:rPr>
          <w:rFonts w:hint="eastAsia" w:ascii="仿宋" w:hAnsi="仿宋" w:eastAsia="仿宋" w:cs="仿宋"/>
          <w:color w:val="000000"/>
          <w:lang w:val="en-US" w:eastAsia="zh-CN"/>
        </w:rPr>
        <w:t>响应</w:t>
      </w:r>
      <w:r>
        <w:rPr>
          <w:rFonts w:hint="eastAsia" w:ascii="仿宋" w:hAnsi="仿宋" w:eastAsia="仿宋" w:cs="仿宋"/>
          <w:color w:val="000000"/>
        </w:rPr>
        <w:t>文件截止时间不足一年的可提供成</w:t>
      </w:r>
      <w:r>
        <w:rPr>
          <w:rFonts w:hint="eastAsia" w:ascii="仿宋" w:hAnsi="仿宋" w:eastAsia="仿宋" w:cs="仿宋"/>
          <w:color w:val="000000"/>
          <w:highlight w:val="none"/>
        </w:rPr>
        <w:t>立后任意时段的资产负债表）</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审计报告须具有注册会计师行业统一监管平台赋予的验证码；</w:t>
      </w:r>
    </w:p>
    <w:p w14:paraId="1C741504">
      <w:pPr>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其开标前三个月内基本开户银行出具的资信证明</w:t>
      </w:r>
      <w:r>
        <w:rPr>
          <w:rFonts w:hint="eastAsia" w:ascii="仿宋" w:hAnsi="仿宋" w:eastAsia="仿宋" w:cs="仿宋"/>
          <w:color w:val="000000"/>
          <w:highlight w:val="none"/>
          <w:lang w:eastAsia="zh-CN"/>
        </w:rPr>
        <w:t>。</w:t>
      </w:r>
    </w:p>
    <w:p w14:paraId="24C1053A">
      <w:pPr>
        <w:widowControl/>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3、社保缴纳证明：提供递交响应文件截止之日前一年内任意一个月的社会保障资金缴存单据或社保机构开具的社会保险参保缴费情况证明。依法不需要缴纳社会保障资金的供应商应提供相关文件证明。</w:t>
      </w:r>
    </w:p>
    <w:p w14:paraId="50ECCDF3">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4、税收缴纳证明：提供递交响应文件截止之日前一年内任意一个月的依法缴纳税收的完税证明，完税证明应有税务机关或代收机关的公章或业务专用章。依法免税或无须缴纳税收的供应商，应提供相应证明文件。</w:t>
      </w:r>
    </w:p>
    <w:p w14:paraId="32C9A533">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5、信用记录：提供《供应商信用记录书面声明函》。经查，供应商未被列入“信用中国”网站记录的“失信被执行人”或“重大税收违法案件当事人”名单；不处于“中国政府采购网”记录的“政府采购严重违法失信行为记录名单”中的禁止参加政府采购活动期间。</w:t>
      </w:r>
    </w:p>
    <w:p w14:paraId="20A5F14B">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6、控股管理关系：提供直接控股和管理关系清单。若与其他供应商存在单位负责人为同一人或者存在直接控股、管理关系的，则磋商无效。</w:t>
      </w:r>
    </w:p>
    <w:p w14:paraId="02C3F4E8">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7、书面声明：提供书面声明，包括声明具有履行合同所必需的设备和专业技术能力；未为本项目提供整体设计、规范编制或者项目管理、监理、检测等服务。</w:t>
      </w:r>
    </w:p>
    <w:p w14:paraId="3FA4EEFE">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14:paraId="4585B523">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法人的分支机构参与磋商时，除提供《法定代表人授权委托书》外，还须同时提供法人给分支机构出具的授权书。</w:t>
      </w:r>
    </w:p>
    <w:p w14:paraId="5498513F">
      <w:pPr>
        <w:keepNext/>
        <w:keepLines/>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9、落实政府采购政策须满足的资格要求</w:t>
      </w:r>
    </w:p>
    <w:p w14:paraId="0CEB1AEC">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本项目为专门面向中小企业项目</w:t>
      </w:r>
      <w:r>
        <w:rPr>
          <w:rFonts w:hint="eastAsia" w:ascii="仿宋" w:hAnsi="仿宋" w:eastAsia="仿宋" w:cs="仿宋"/>
          <w:color w:val="000000"/>
        </w:rPr>
        <w:t>，</w:t>
      </w:r>
      <w:r>
        <w:rPr>
          <w:rFonts w:hint="eastAsia" w:ascii="仿宋" w:hAnsi="仿宋" w:eastAsia="仿宋" w:cs="仿宋"/>
          <w:b/>
          <w:bCs/>
          <w:color w:val="000000"/>
        </w:rPr>
        <w:t>供应商应为中型企业、小型企业、微型企业或监狱企业或残疾人福利性单位。</w:t>
      </w:r>
      <w:r>
        <w:rPr>
          <w:rFonts w:hint="eastAsia" w:ascii="仿宋" w:hAnsi="仿宋" w:eastAsia="仿宋" w:cs="仿宋"/>
          <w:color w:val="000000"/>
        </w:rPr>
        <w:t>供应商为中小企业的，提供《中小企业声明函》，且中小企业的划分标准所属行业为</w:t>
      </w:r>
      <w:r>
        <w:rPr>
          <w:rFonts w:hint="eastAsia" w:ascii="仿宋" w:hAnsi="仿宋" w:eastAsia="仿宋" w:cs="仿宋"/>
          <w:b/>
          <w:bCs/>
          <w:color w:val="000000"/>
        </w:rPr>
        <w:t>物业管理</w:t>
      </w:r>
      <w:r>
        <w:rPr>
          <w:rFonts w:hint="eastAsia" w:ascii="仿宋" w:hAnsi="仿宋" w:eastAsia="仿宋" w:cs="仿宋"/>
          <w:color w:val="000000"/>
        </w:rPr>
        <w:t>；供应商为监狱企业的，应提供监狱企业的证明文件；供应商为残疾人福利性单位的，应提供《残疾人福利性单位声明函》（监狱企业或残疾人福利性单位视同小型、微型企业）。</w:t>
      </w:r>
    </w:p>
    <w:p w14:paraId="458E7A51">
      <w:pPr>
        <w:widowControl w:val="0"/>
        <w:numPr>
          <w:ilvl w:val="0"/>
          <w:numId w:val="0"/>
        </w:numPr>
        <w:spacing w:afterLines="0" w:line="500" w:lineRule="exact"/>
        <w:ind w:firstLine="566" w:firstLineChars="200"/>
        <w:rPr>
          <w:rFonts w:hint="eastAsia" w:ascii="仿宋" w:hAnsi="仿宋" w:eastAsia="仿宋" w:cs="仿宋"/>
          <w:color w:val="000000"/>
        </w:rPr>
      </w:pPr>
      <w:r>
        <w:rPr>
          <w:rFonts w:hint="eastAsia" w:ascii="仿宋" w:hAnsi="仿宋" w:eastAsia="仿宋" w:cs="仿宋"/>
          <w:b/>
          <w:bCs/>
          <w:color w:val="000000"/>
          <w:lang w:val="en-US" w:eastAsia="zh-CN"/>
        </w:rPr>
        <w:t>10、</w:t>
      </w:r>
      <w:r>
        <w:rPr>
          <w:rFonts w:hint="eastAsia" w:ascii="仿宋" w:hAnsi="仿宋" w:eastAsia="仿宋" w:cs="仿宋"/>
          <w:b/>
          <w:bCs/>
          <w:color w:val="000000"/>
        </w:rPr>
        <w:t>本项目</w:t>
      </w:r>
      <w:r>
        <w:rPr>
          <w:rFonts w:hint="eastAsia" w:ascii="仿宋" w:hAnsi="仿宋" w:eastAsia="仿宋" w:cs="仿宋"/>
          <w:b/>
          <w:bCs/>
          <w:color w:val="000000"/>
          <w:kern w:val="0"/>
        </w:rPr>
        <w:t>不接受</w:t>
      </w:r>
      <w:r>
        <w:rPr>
          <w:rFonts w:hint="eastAsia" w:ascii="仿宋" w:hAnsi="仿宋" w:eastAsia="仿宋" w:cs="仿宋"/>
          <w:b/>
          <w:bCs/>
          <w:color w:val="000000"/>
        </w:rPr>
        <w:t>联合体响应，不允许分包。</w:t>
      </w:r>
      <w:r>
        <w:rPr>
          <w:rFonts w:hint="eastAsia" w:ascii="仿宋" w:hAnsi="仿宋" w:eastAsia="仿宋" w:cs="仿宋"/>
          <w:color w:val="000000"/>
        </w:rPr>
        <w:t>供应商应提供《非联合体不分包投标声明》，视为独立响应，不分包。</w:t>
      </w:r>
    </w:p>
    <w:p w14:paraId="34DC1878">
      <w:pPr>
        <w:widowControl w:val="0"/>
        <w:spacing w:afterLines="0" w:line="500" w:lineRule="exact"/>
        <w:ind w:firstLine="566" w:firstLineChars="200"/>
        <w:rPr>
          <w:rFonts w:hint="eastAsia" w:ascii="仿宋" w:hAnsi="仿宋" w:eastAsia="仿宋" w:cs="仿宋"/>
          <w:b/>
          <w:bCs/>
          <w:highlight w:val="none"/>
        </w:rPr>
      </w:pPr>
      <w:r>
        <w:rPr>
          <w:rFonts w:hint="eastAsia" w:ascii="仿宋" w:hAnsi="仿宋" w:eastAsia="仿宋" w:cs="仿宋"/>
          <w:b/>
          <w:bCs/>
          <w:highlight w:val="none"/>
          <w:lang w:val="en-US" w:eastAsia="zh-CN"/>
        </w:rPr>
        <w:t>11</w:t>
      </w:r>
      <w:r>
        <w:rPr>
          <w:rFonts w:hint="eastAsia" w:ascii="仿宋" w:hAnsi="仿宋" w:eastAsia="仿宋" w:cs="仿宋"/>
          <w:b/>
          <w:bCs/>
          <w:highlight w:val="none"/>
        </w:rPr>
        <w:t>、</w:t>
      </w:r>
      <w:bookmarkStart w:id="812" w:name="_GoBack"/>
      <w:r>
        <w:rPr>
          <w:rFonts w:hint="eastAsia" w:ascii="仿宋" w:hAnsi="仿宋" w:eastAsia="仿宋" w:cs="仿宋"/>
          <w:b/>
          <w:bCs/>
          <w:highlight w:val="none"/>
        </w:rPr>
        <w:t>特定资格要求</w:t>
      </w:r>
      <w:bookmarkEnd w:id="812"/>
    </w:p>
    <w:p w14:paraId="67E33F9E">
      <w:pPr>
        <w:pStyle w:val="43"/>
        <w:pageBreakBefore w:val="0"/>
        <w:kinsoku/>
        <w:overflowPunct/>
        <w:topLinePunct w:val="0"/>
        <w:autoSpaceDE/>
        <w:autoSpaceDN/>
        <w:bidi w:val="0"/>
        <w:adjustRightInd/>
        <w:snapToGrid/>
        <w:spacing w:after="0" w:line="500" w:lineRule="exact"/>
        <w:ind w:left="0" w:leftChars="0" w:firstLine="566" w:firstLineChars="200"/>
        <w:textAlignment w:val="auto"/>
        <w:rPr>
          <w:rFonts w:hint="eastAsia" w:ascii="仿宋" w:hAnsi="仿宋" w:eastAsia="仿宋" w:cs="仿宋"/>
          <w:kern w:val="2"/>
          <w:sz w:val="28"/>
          <w:szCs w:val="28"/>
          <w:lang w:eastAsia="zh-CN"/>
        </w:rPr>
      </w:pPr>
      <w:bookmarkStart w:id="26" w:name="_Toc20273"/>
      <w:r>
        <w:rPr>
          <w:rFonts w:hint="eastAsia" w:ascii="仿宋" w:hAnsi="仿宋" w:eastAsia="仿宋" w:cs="仿宋"/>
          <w:kern w:val="2"/>
          <w:sz w:val="28"/>
          <w:szCs w:val="28"/>
          <w:lang w:eastAsia="zh-CN"/>
        </w:rPr>
        <w:t>本项目采购内容以物业服务为主，其中涉及保安服务的，须以承诺书形式提供以下资料（承诺书格式不限），以下两种形式提供其中任意一种均可：</w:t>
      </w:r>
    </w:p>
    <w:p w14:paraId="6F9C0412">
      <w:pPr>
        <w:pStyle w:val="43"/>
        <w:pageBreakBefore w:val="0"/>
        <w:kinsoku/>
        <w:overflowPunct/>
        <w:topLinePunct w:val="0"/>
        <w:autoSpaceDE/>
        <w:autoSpaceDN/>
        <w:bidi w:val="0"/>
        <w:adjustRightInd/>
        <w:snapToGrid/>
        <w:spacing w:after="0" w:line="500" w:lineRule="exact"/>
        <w:ind w:left="0" w:leftChars="0" w:firstLine="566" w:firstLineChars="200"/>
        <w:textAlignment w:val="auto"/>
        <w:rPr>
          <w:rFonts w:hint="eastAsia" w:ascii="仿宋" w:hAnsi="仿宋" w:eastAsia="仿宋" w:cs="仿宋"/>
          <w:kern w:val="2"/>
          <w:sz w:val="28"/>
          <w:szCs w:val="28"/>
          <w:highlight w:val="none"/>
          <w:lang w:eastAsia="zh-CN"/>
        </w:rPr>
      </w:pPr>
      <w:r>
        <w:rPr>
          <w:rFonts w:hint="eastAsia" w:ascii="仿宋" w:hAnsi="仿宋" w:eastAsia="仿宋" w:cs="仿宋"/>
          <w:kern w:val="2"/>
          <w:sz w:val="28"/>
          <w:szCs w:val="28"/>
          <w:lang w:eastAsia="zh-CN"/>
        </w:rPr>
        <w:t>（1）自行招用保安员的</w:t>
      </w:r>
      <w:r>
        <w:rPr>
          <w:rFonts w:hint="eastAsia" w:ascii="仿宋" w:hAnsi="仿宋" w:eastAsia="仿宋" w:cs="仿宋"/>
          <w:kern w:val="2"/>
          <w:sz w:val="28"/>
          <w:szCs w:val="28"/>
          <w:highlight w:val="none"/>
          <w:lang w:val="en-US" w:eastAsia="zh-CN"/>
        </w:rPr>
        <w:t>供应商</w:t>
      </w:r>
      <w:r>
        <w:rPr>
          <w:rFonts w:hint="eastAsia" w:ascii="仿宋" w:hAnsi="仿宋" w:eastAsia="仿宋" w:cs="仿宋"/>
          <w:kern w:val="2"/>
          <w:sz w:val="28"/>
          <w:szCs w:val="28"/>
          <w:highlight w:val="none"/>
          <w:lang w:eastAsia="zh-CN"/>
        </w:rPr>
        <w:t>须承诺：自承接本项目之日起30日内，向采购人所在地设区的市级人民政府公安机关备案。</w:t>
      </w:r>
    </w:p>
    <w:p w14:paraId="4A0148A5">
      <w:pPr>
        <w:pageBreakBefore w:val="0"/>
        <w:kinsoku/>
        <w:overflowPunct/>
        <w:topLinePunct w:val="0"/>
        <w:autoSpaceDE/>
        <w:autoSpaceDN/>
        <w:bidi w:val="0"/>
        <w:adjustRightInd/>
        <w:snapToGrid/>
        <w:spacing w:line="500" w:lineRule="exact"/>
        <w:ind w:left="0" w:leftChars="0" w:firstLine="566" w:firstLineChars="200"/>
        <w:textAlignment w:val="auto"/>
        <w:rPr>
          <w:rFonts w:hint="eastAsia" w:ascii="仿宋" w:hAnsi="仿宋" w:eastAsia="仿宋" w:cs="仿宋"/>
          <w:b/>
          <w:bCs/>
          <w:highlight w:val="none"/>
          <w:lang w:val="en-US" w:eastAsia="zh-CN"/>
        </w:rPr>
      </w:pPr>
      <w:r>
        <w:rPr>
          <w:rFonts w:hint="eastAsia" w:ascii="仿宋" w:hAnsi="仿宋" w:eastAsia="仿宋" w:cs="仿宋"/>
          <w:kern w:val="2"/>
          <w:sz w:val="28"/>
          <w:szCs w:val="28"/>
          <w:highlight w:val="none"/>
          <w:lang w:eastAsia="zh-CN"/>
        </w:rPr>
        <w:t>（2）从保安服务公司购买保安服务的</w:t>
      </w:r>
      <w:r>
        <w:rPr>
          <w:rFonts w:hint="eastAsia" w:ascii="仿宋" w:hAnsi="仿宋" w:eastAsia="仿宋" w:cs="仿宋"/>
          <w:kern w:val="2"/>
          <w:sz w:val="28"/>
          <w:szCs w:val="28"/>
          <w:highlight w:val="none"/>
          <w:lang w:val="en-US" w:eastAsia="zh-CN"/>
        </w:rPr>
        <w:t>供应商</w:t>
      </w:r>
      <w:r>
        <w:rPr>
          <w:rFonts w:hint="eastAsia" w:ascii="仿宋" w:hAnsi="仿宋" w:eastAsia="仿宋" w:cs="仿宋"/>
          <w:kern w:val="2"/>
          <w:sz w:val="28"/>
          <w:szCs w:val="28"/>
          <w:lang w:eastAsia="zh-CN"/>
        </w:rPr>
        <w:t>须承诺：成交后</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日内，与保安服务公司签订保安服务合同，明确规定服务的项目、内容以及双方的权利义务，以满足本项目采购人的保安服务需求。</w:t>
      </w:r>
    </w:p>
    <w:bookmarkEnd w:id="26"/>
    <w:p w14:paraId="5D4EC981">
      <w:pPr>
        <w:widowControl w:val="0"/>
        <w:spacing w:line="36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备注：</w:t>
      </w:r>
    </w:p>
    <w:p w14:paraId="72369E6D">
      <w:pPr>
        <w:widowControl w:val="0"/>
        <w:spacing w:line="36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1、以上资格要求均为必备资格，需提供相关证明文件并加盖供应商公章（如相关证明材料由第三方出具，应有第三方公章），缺少其中任何一项，其响应文件视为无效文件。</w:t>
      </w:r>
    </w:p>
    <w:p w14:paraId="30F2C6AA">
      <w:pPr>
        <w:widowControl w:val="0"/>
        <w:spacing w:line="36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2、《供应商信用记录书面</w:t>
      </w:r>
      <w:r>
        <w:rPr>
          <w:rFonts w:hint="eastAsia" w:ascii="宋体" w:hAnsi="宋体" w:eastAsia="宋体" w:cs="宋体"/>
          <w:color w:val="000000"/>
          <w:sz w:val="21"/>
          <w:szCs w:val="21"/>
          <w:highlight w:val="none"/>
        </w:rPr>
        <w:t>声明函》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控股管理关系</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rPr>
        <w:t>《书面声明》</w:t>
      </w:r>
      <w:r>
        <w:rPr>
          <w:rFonts w:hint="eastAsia" w:ascii="宋体" w:hAnsi="宋体" w:eastAsia="宋体" w:cs="宋体"/>
          <w:color w:val="000000"/>
          <w:sz w:val="21"/>
          <w:szCs w:val="21"/>
          <w:highlight w:val="none"/>
        </w:rPr>
        <w:t>《法定代</w:t>
      </w:r>
      <w:r>
        <w:rPr>
          <w:rFonts w:hint="eastAsia" w:ascii="宋体" w:hAnsi="宋体" w:eastAsia="宋体" w:cs="宋体"/>
          <w:color w:val="000000"/>
          <w:sz w:val="21"/>
          <w:szCs w:val="21"/>
        </w:rPr>
        <w:t>表人授权委托书》《残疾人福利性单位声明函》《非联合体不分包投标声明》应按磋商文件第五章第一部分给定的格式填写。</w:t>
      </w:r>
    </w:p>
    <w:p w14:paraId="748662BC">
      <w:pPr>
        <w:widowControl w:val="0"/>
        <w:spacing w:line="36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法人的分支机构参与磋商时，响应文件中应附法人给分支机构出具的授权书。授权书附在《法定代表人授权委托书》后，如无授权，将被视为无效文件。法人只能授权一家分支机构参与磋商，且不能与分支机构同时参与磋商。</w:t>
      </w:r>
    </w:p>
    <w:p w14:paraId="29F7D698">
      <w:pPr>
        <w:widowControl w:val="0"/>
        <w:spacing w:line="360" w:lineRule="exact"/>
        <w:ind w:firstLine="426" w:firstLineChars="200"/>
        <w:rPr>
          <w:rFonts w:hint="eastAsia" w:ascii="华文仿宋" w:hAnsi="华文仿宋" w:cs="华文仿宋"/>
          <w:color w:val="000000"/>
        </w:rPr>
      </w:pPr>
      <w:r>
        <w:rPr>
          <w:rFonts w:hint="eastAsia" w:ascii="宋体" w:hAnsi="宋体" w:eastAsia="宋体" w:cs="宋体"/>
          <w:color w:val="000000"/>
          <w:sz w:val="21"/>
          <w:szCs w:val="21"/>
        </w:rPr>
        <w:t>4、事业单位法人参与磋商可不提供财务状况报告和社会保障资金缴纳证明及税收缴纳证明。</w:t>
      </w:r>
    </w:p>
    <w:p w14:paraId="03324DC3">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十一、执行的其他政府采购政策</w:t>
      </w:r>
    </w:p>
    <w:p w14:paraId="5943F597">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1、《关于在政府采购活动中查询及使用信用记录有关问题的通知》（财库〔2016〕125号）。</w:t>
      </w:r>
    </w:p>
    <w:p w14:paraId="3A133ED3">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2、《政府采购促进中小企业发展管理办法》（财库〔2020〕46号）、《关于政府采购支持监狱企业发展有关问题的通知》（财库〔2014〕68号）以及《关于促进残疾人就业政府采购政策的通知》（财库〔2017〕141号）。</w:t>
      </w:r>
    </w:p>
    <w:p w14:paraId="5CF06264">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7D2306F8">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1FD956CA">
      <w:pPr>
        <w:pStyle w:val="2"/>
        <w:widowControl w:val="0"/>
        <w:spacing w:afterLines="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5、《陕西省财政厅关于加快推进我省中小企业政府采购信用融资工作的通知》（陕财办采〔2020〕15号）、陕西省财政厅关于印发《陕西省中小企业政府采购信用融资办法》（陕财办采〔2018〕23号）。</w:t>
      </w:r>
    </w:p>
    <w:p w14:paraId="08C3A525">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6、详见《供应商须知》中“落实的政府采购政策”有关内容。</w:t>
      </w:r>
    </w:p>
    <w:p w14:paraId="36CC51C1">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十二、磋商文件获取时间及方式</w:t>
      </w:r>
    </w:p>
    <w:p w14:paraId="173BB95F">
      <w:pPr>
        <w:widowControl w:val="0"/>
        <w:wordWrap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１、获取方式：供应商可登录全国公共资源交易平台（陕西省）（http://www.sxggzyjy.cn/），选择“电子交易平台—陕西政府采购交易系统—供应商端”进行登录，登录后选择“交易成交供应商”身份进入供应商界面后，选择有意向的项目点击“我要磋商”，参与磋商活动。然后即可在〖我的项目〗中点击“项目流程&gt;交易文件下载”免费下载电子磋商文件。</w:t>
      </w:r>
    </w:p>
    <w:p w14:paraId="615438D8">
      <w:pPr>
        <w:widowControl w:val="0"/>
        <w:wordWrap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供应商初次使用交易平台，须先完成诚信入库登记、数字认证证书（CA锁）认证及供应商信息绑定。相关操作流程详见全国公共资源交易平台（陕西省）网站〖首页·〉服务指南·〉下载专区〗中的《陕西省省级单位电子化政府采购项目磋商指南》。</w:t>
      </w:r>
    </w:p>
    <w:p w14:paraId="2FB36F2A">
      <w:pPr>
        <w:widowControl w:val="0"/>
        <w:wordWrap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3、数字认证证书(CA锁)办理详见全国公共资源交易平台(陕西省)网站〖首页·服务指南·)常见问题解答)CA 证书办理〗中的《CA 办理常见问题解答》，网址:http://www.sxggzyiy.cn/fwzn/004002/004002007/20250108/efdc53a2-c250-44b1-876c-c44ab6c5e66d.htm1。现场办理地址:西安市长安北路14号省公共资源交易中心一楼办理大厅3、4号窗口，咨询电话:029-88661241。</w:t>
      </w:r>
    </w:p>
    <w:p w14:paraId="721A4EE2">
      <w:pPr>
        <w:widowControl w:val="0"/>
        <w:spacing w:afterLines="0" w:line="500" w:lineRule="exact"/>
        <w:ind w:firstLine="566" w:firstLineChars="200"/>
        <w:rPr>
          <w:rFonts w:hint="eastAsia" w:ascii="仿宋" w:hAnsi="仿宋" w:eastAsia="仿宋" w:cs="仿宋"/>
          <w:b/>
          <w:bCs/>
          <w:color w:val="000000"/>
        </w:rPr>
      </w:pPr>
      <w:bookmarkStart w:id="27" w:name="_Hlk511229508"/>
      <w:r>
        <w:rPr>
          <w:rFonts w:hint="eastAsia" w:ascii="仿宋" w:hAnsi="仿宋" w:eastAsia="仿宋" w:cs="仿宋"/>
          <w:b/>
          <w:bCs/>
          <w:color w:val="000000"/>
        </w:rPr>
        <w:t>4、获取时间：202</w:t>
      </w:r>
      <w:r>
        <w:rPr>
          <w:rFonts w:hint="eastAsia" w:ascii="仿宋" w:hAnsi="仿宋" w:eastAsia="仿宋" w:cs="仿宋"/>
          <w:b/>
          <w:bCs/>
          <w:color w:val="000000"/>
          <w:lang w:val="en-US" w:eastAsia="zh-CN"/>
        </w:rPr>
        <w:t>5</w:t>
      </w:r>
      <w:r>
        <w:rPr>
          <w:rFonts w:hint="eastAsia" w:ascii="仿宋" w:hAnsi="仿宋" w:eastAsia="仿宋" w:cs="仿宋"/>
          <w:b/>
          <w:bCs/>
          <w:color w:val="000000"/>
        </w:rPr>
        <w:t>年</w:t>
      </w:r>
      <w:r>
        <w:rPr>
          <w:rFonts w:hint="eastAsia" w:ascii="仿宋" w:hAnsi="仿宋" w:eastAsia="仿宋" w:cs="仿宋"/>
          <w:b/>
          <w:bCs/>
          <w:color w:val="000000"/>
          <w:lang w:val="en-US" w:eastAsia="zh-CN"/>
        </w:rPr>
        <w:t>11</w:t>
      </w:r>
      <w:r>
        <w:rPr>
          <w:rFonts w:hint="eastAsia" w:ascii="仿宋" w:hAnsi="仿宋" w:eastAsia="仿宋" w:cs="仿宋"/>
          <w:b/>
          <w:bCs/>
          <w:color w:val="000000"/>
        </w:rPr>
        <w:t>月</w:t>
      </w:r>
      <w:r>
        <w:rPr>
          <w:rFonts w:hint="eastAsia" w:ascii="仿宋" w:hAnsi="仿宋" w:eastAsia="仿宋" w:cs="仿宋"/>
          <w:b/>
          <w:bCs/>
          <w:color w:val="000000"/>
          <w:lang w:val="en-US" w:eastAsia="zh-CN"/>
        </w:rPr>
        <w:t>21</w:t>
      </w:r>
      <w:r>
        <w:rPr>
          <w:rFonts w:hint="eastAsia" w:ascii="仿宋" w:hAnsi="仿宋" w:eastAsia="仿宋" w:cs="仿宋"/>
          <w:b/>
          <w:bCs/>
          <w:color w:val="000000"/>
        </w:rPr>
        <w:t>日至202</w:t>
      </w:r>
      <w:r>
        <w:rPr>
          <w:rFonts w:hint="eastAsia" w:ascii="仿宋" w:hAnsi="仿宋" w:eastAsia="仿宋" w:cs="仿宋"/>
          <w:b/>
          <w:bCs/>
          <w:color w:val="000000"/>
          <w:lang w:val="en-US" w:eastAsia="zh-CN"/>
        </w:rPr>
        <w:t>5</w:t>
      </w:r>
      <w:r>
        <w:rPr>
          <w:rFonts w:hint="eastAsia" w:ascii="仿宋" w:hAnsi="仿宋" w:eastAsia="仿宋" w:cs="仿宋"/>
          <w:b/>
          <w:bCs/>
          <w:color w:val="000000"/>
        </w:rPr>
        <w:t>年</w:t>
      </w:r>
      <w:r>
        <w:rPr>
          <w:rFonts w:hint="eastAsia" w:ascii="仿宋" w:hAnsi="仿宋" w:eastAsia="仿宋" w:cs="仿宋"/>
          <w:b/>
          <w:bCs/>
          <w:color w:val="000000"/>
          <w:lang w:val="en-US" w:eastAsia="zh-CN"/>
        </w:rPr>
        <w:t>11</w:t>
      </w:r>
      <w:r>
        <w:rPr>
          <w:rFonts w:hint="eastAsia" w:ascii="仿宋" w:hAnsi="仿宋" w:eastAsia="仿宋" w:cs="仿宋"/>
          <w:b/>
          <w:bCs/>
          <w:color w:val="000000"/>
        </w:rPr>
        <w:t>月</w:t>
      </w:r>
      <w:r>
        <w:rPr>
          <w:rFonts w:hint="eastAsia" w:ascii="仿宋" w:hAnsi="仿宋" w:eastAsia="仿宋" w:cs="仿宋"/>
          <w:b/>
          <w:bCs/>
          <w:color w:val="000000"/>
          <w:lang w:val="en-US" w:eastAsia="zh-CN"/>
        </w:rPr>
        <w:t>30</w:t>
      </w:r>
      <w:r>
        <w:rPr>
          <w:rFonts w:hint="eastAsia" w:ascii="仿宋" w:hAnsi="仿宋" w:eastAsia="仿宋" w:cs="仿宋"/>
          <w:b/>
          <w:bCs/>
          <w:color w:val="000000"/>
        </w:rPr>
        <w:t>日，每天上午08:00:00至12:00:00，下午12:00:00至18:00:00（北京时间,法定节假日除外）</w:t>
      </w:r>
    </w:p>
    <w:p w14:paraId="01F28621">
      <w:pPr>
        <w:widowControl w:val="0"/>
        <w:spacing w:afterLines="0" w:line="500" w:lineRule="exact"/>
        <w:ind w:firstLine="566" w:firstLineChars="200"/>
        <w:rPr>
          <w:rFonts w:hint="eastAsia" w:ascii="仿宋" w:hAnsi="仿宋" w:eastAsia="仿宋" w:cs="仿宋"/>
          <w:color w:val="000000"/>
          <w:lang w:val="zh-CN"/>
        </w:rPr>
      </w:pPr>
      <w:r>
        <w:rPr>
          <w:rFonts w:hint="eastAsia" w:ascii="仿宋" w:hAnsi="仿宋" w:eastAsia="仿宋" w:cs="仿宋"/>
          <w:b/>
          <w:bCs/>
          <w:color w:val="000000"/>
        </w:rPr>
        <w:t>十三、磋商保证金</w:t>
      </w:r>
    </w:p>
    <w:p w14:paraId="4D706A70">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color w:val="000000"/>
        </w:rPr>
        <w:t>本项目不收取磋商保证金。</w:t>
      </w:r>
    </w:p>
    <w:p w14:paraId="63F91490">
      <w:pPr>
        <w:widowControl w:val="0"/>
        <w:spacing w:afterLines="0" w:line="500" w:lineRule="exact"/>
        <w:ind w:firstLine="566" w:firstLineChars="200"/>
        <w:jc w:val="left"/>
        <w:rPr>
          <w:rFonts w:hint="eastAsia" w:ascii="仿宋" w:hAnsi="仿宋" w:eastAsia="仿宋" w:cs="仿宋"/>
          <w:color w:val="000000"/>
        </w:rPr>
      </w:pPr>
      <w:r>
        <w:rPr>
          <w:rFonts w:hint="eastAsia" w:ascii="仿宋" w:hAnsi="仿宋" w:eastAsia="仿宋" w:cs="仿宋"/>
          <w:b/>
          <w:bCs/>
          <w:color w:val="000000"/>
        </w:rPr>
        <w:t>十四、提交响应文件截止时间及开标时间和地点</w:t>
      </w:r>
    </w:p>
    <w:p w14:paraId="06FBDB67">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1、提交响应文件：电子响应文件一份</w:t>
      </w:r>
      <w:r>
        <w:rPr>
          <w:rFonts w:hint="eastAsia" w:ascii="仿宋" w:hAnsi="仿宋" w:eastAsia="仿宋" w:cs="仿宋"/>
          <w:color w:val="000000"/>
        </w:rPr>
        <w:t>。</w:t>
      </w:r>
    </w:p>
    <w:p w14:paraId="050C7B7B">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电子响应文件（*.SXSTF）可于提交响应文件截止时间前任意时段登录全国公共资源交易平台（陕西省）网站进行提交，逾期系统将拒绝接收。</w:t>
      </w:r>
    </w:p>
    <w:p w14:paraId="08F5B8A1">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2、提交响应文件截止时间：202</w:t>
      </w:r>
      <w:r>
        <w:rPr>
          <w:rFonts w:hint="eastAsia" w:ascii="仿宋" w:hAnsi="仿宋" w:eastAsia="仿宋" w:cs="仿宋"/>
          <w:b/>
          <w:bCs/>
          <w:color w:val="000000"/>
          <w:lang w:val="en-US" w:eastAsia="zh-CN"/>
        </w:rPr>
        <w:t>5</w:t>
      </w:r>
      <w:r>
        <w:rPr>
          <w:rFonts w:hint="eastAsia" w:ascii="仿宋" w:hAnsi="仿宋" w:eastAsia="仿宋" w:cs="仿宋"/>
          <w:b/>
          <w:bCs/>
          <w:color w:val="000000"/>
        </w:rPr>
        <w:t>年</w:t>
      </w:r>
      <w:r>
        <w:rPr>
          <w:rFonts w:hint="eastAsia" w:ascii="仿宋" w:hAnsi="仿宋" w:eastAsia="仿宋" w:cs="仿宋"/>
          <w:b/>
          <w:bCs/>
          <w:color w:val="000000"/>
          <w:lang w:val="en-US" w:eastAsia="zh-CN"/>
        </w:rPr>
        <w:t>12</w:t>
      </w:r>
      <w:r>
        <w:rPr>
          <w:rFonts w:hint="eastAsia" w:ascii="仿宋" w:hAnsi="仿宋" w:eastAsia="仿宋" w:cs="仿宋"/>
          <w:b/>
          <w:bCs/>
          <w:color w:val="000000"/>
        </w:rPr>
        <w:t>月</w:t>
      </w:r>
      <w:r>
        <w:rPr>
          <w:rFonts w:hint="eastAsia" w:ascii="仿宋" w:hAnsi="仿宋" w:eastAsia="仿宋" w:cs="仿宋"/>
          <w:b/>
          <w:bCs/>
          <w:color w:val="000000"/>
          <w:lang w:val="en-US" w:eastAsia="zh-CN"/>
        </w:rPr>
        <w:t>01</w:t>
      </w:r>
      <w:r>
        <w:rPr>
          <w:rFonts w:hint="eastAsia" w:ascii="仿宋" w:hAnsi="仿宋" w:eastAsia="仿宋" w:cs="仿宋"/>
          <w:b/>
          <w:bCs/>
          <w:color w:val="000000"/>
        </w:rPr>
        <w:t>日09:30</w:t>
      </w:r>
    </w:p>
    <w:p w14:paraId="06AB9AF3">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3、开启时间：同提交响应文件截止时间</w:t>
      </w:r>
    </w:p>
    <w:p w14:paraId="236DF500">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4、开启地点：西安市碑林区长安北路14号陕西省公共资源交易中</w:t>
      </w:r>
    </w:p>
    <w:p w14:paraId="5F2E3841">
      <w:pPr>
        <w:widowControl w:val="0"/>
        <w:spacing w:afterLines="0" w:line="500" w:lineRule="exact"/>
        <w:ind w:left="0" w:firstLine="0" w:firstLineChars="0"/>
        <w:rPr>
          <w:rFonts w:hint="eastAsia" w:ascii="仿宋" w:hAnsi="仿宋" w:eastAsia="仿宋" w:cs="仿宋"/>
          <w:b/>
          <w:bCs/>
          <w:color w:val="000000"/>
        </w:rPr>
      </w:pPr>
      <w:r>
        <w:rPr>
          <w:rFonts w:hint="eastAsia" w:ascii="仿宋" w:hAnsi="仿宋" w:eastAsia="仿宋" w:cs="仿宋"/>
          <w:b/>
          <w:bCs/>
          <w:color w:val="000000"/>
        </w:rPr>
        <w:t>心</w:t>
      </w:r>
      <w:r>
        <w:rPr>
          <w:rFonts w:hint="eastAsia" w:ascii="仿宋" w:hAnsi="仿宋" w:eastAsia="仿宋" w:cs="仿宋"/>
          <w:b/>
          <w:bCs/>
          <w:color w:val="000000"/>
          <w:highlight w:val="none"/>
          <w:u w:val="single"/>
          <w:lang w:val="en-US" w:eastAsia="zh-CN"/>
        </w:rPr>
        <w:t>406</w:t>
      </w:r>
      <w:r>
        <w:rPr>
          <w:rFonts w:hint="eastAsia" w:ascii="仿宋" w:hAnsi="仿宋" w:eastAsia="仿宋" w:cs="仿宋"/>
          <w:b/>
          <w:bCs/>
          <w:color w:val="000000"/>
        </w:rPr>
        <w:t>室（见面开标）。</w:t>
      </w:r>
    </w:p>
    <w:p w14:paraId="3F224B92">
      <w:pPr>
        <w:pStyle w:val="24"/>
        <w:wordWrap w:val="0"/>
        <w:spacing w:afterLines="0" w:line="500" w:lineRule="exact"/>
        <w:ind w:firstLine="566"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5、开启形式：本项目采用电子化投标方式。</w:t>
      </w:r>
      <w:r>
        <w:rPr>
          <w:rFonts w:hint="eastAsia" w:ascii="仿宋" w:hAnsi="仿宋" w:eastAsia="仿宋" w:cs="仿宋"/>
          <w:color w:val="000000"/>
          <w:sz w:val="28"/>
          <w:szCs w:val="28"/>
        </w:rPr>
        <w:t>陕西省省级单位政府采购中心在磋商文件规定的时间和地点组织开标，供应商须派法定代表人或被授权代表参加，携带</w:t>
      </w:r>
      <w:r>
        <w:rPr>
          <w:rFonts w:hint="eastAsia" w:ascii="仿宋" w:hAnsi="仿宋" w:eastAsia="仿宋" w:cs="仿宋"/>
          <w:bCs/>
          <w:color w:val="000000"/>
          <w:sz w:val="28"/>
          <w:szCs w:val="28"/>
        </w:rPr>
        <w:t>CA</w:t>
      </w:r>
      <w:r>
        <w:rPr>
          <w:rFonts w:hint="eastAsia" w:ascii="仿宋" w:hAnsi="仿宋" w:eastAsia="仿宋" w:cs="仿宋"/>
          <w:color w:val="000000"/>
          <w:sz w:val="28"/>
          <w:szCs w:val="28"/>
        </w:rPr>
        <w:t>锁（开标时需在开标室的自助解密机上使用</w:t>
      </w:r>
      <w:r>
        <w:rPr>
          <w:rFonts w:hint="eastAsia" w:ascii="仿宋" w:hAnsi="仿宋" w:eastAsia="仿宋" w:cs="仿宋"/>
          <w:bCs/>
          <w:color w:val="000000"/>
          <w:sz w:val="28"/>
          <w:szCs w:val="28"/>
        </w:rPr>
        <w:t>CA</w:t>
      </w:r>
      <w:r>
        <w:rPr>
          <w:rFonts w:hint="eastAsia" w:ascii="仿宋" w:hAnsi="仿宋" w:eastAsia="仿宋" w:cs="仿宋"/>
          <w:color w:val="000000"/>
          <w:sz w:val="28"/>
          <w:szCs w:val="28"/>
        </w:rPr>
        <w:t>锁统一自行解密响应文件）。</w:t>
      </w:r>
    </w:p>
    <w:p w14:paraId="2865F00D">
      <w:pPr>
        <w:pStyle w:val="24"/>
        <w:widowControl w:val="0"/>
        <w:wordWrap w:val="0"/>
        <w:spacing w:afterLines="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如因供应商自身原因，在规定时间内未完成响应文件解密，按无效响应对待（“规定时间”由现场工作人员具体确定）。</w:t>
      </w:r>
    </w:p>
    <w:p w14:paraId="640469F8">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十五、采购代理机构收费标准：</w:t>
      </w:r>
      <w:r>
        <w:rPr>
          <w:rFonts w:hint="eastAsia" w:ascii="仿宋" w:hAnsi="仿宋" w:eastAsia="仿宋" w:cs="仿宋"/>
          <w:color w:val="000000"/>
        </w:rPr>
        <w:t>免费</w:t>
      </w:r>
    </w:p>
    <w:p w14:paraId="27AD9273">
      <w:pPr>
        <w:widowControl w:val="0"/>
        <w:spacing w:afterLines="0" w:line="500" w:lineRule="exact"/>
        <w:ind w:firstLine="566" w:firstLineChars="200"/>
        <w:rPr>
          <w:rFonts w:hint="eastAsia" w:ascii="仿宋" w:hAnsi="仿宋" w:eastAsia="仿宋" w:cs="仿宋"/>
          <w:b/>
          <w:bCs/>
          <w:color w:val="000000"/>
        </w:rPr>
      </w:pPr>
      <w:bookmarkStart w:id="28" w:name="_Toc17917"/>
      <w:bookmarkStart w:id="29" w:name="_Toc20005"/>
      <w:bookmarkStart w:id="30" w:name="_Toc22849_WPSOffice_Level2"/>
      <w:bookmarkStart w:id="31" w:name="_Toc10758_WPSOffice_Level2"/>
      <w:bookmarkStart w:id="32" w:name="_Toc14110_WPSOffice_Level2"/>
      <w:r>
        <w:rPr>
          <w:rFonts w:hint="eastAsia" w:ascii="仿宋" w:hAnsi="仿宋" w:eastAsia="仿宋" w:cs="仿宋"/>
          <w:b/>
          <w:bCs/>
          <w:color w:val="000000"/>
        </w:rPr>
        <w:t>十六、公告期自发布之日</w:t>
      </w:r>
      <w:r>
        <w:rPr>
          <w:rFonts w:hint="eastAsia" w:ascii="仿宋" w:hAnsi="仿宋" w:eastAsia="仿宋" w:cs="仿宋"/>
          <w:b/>
          <w:bCs/>
          <w:color w:val="000000"/>
          <w:highlight w:val="none"/>
        </w:rPr>
        <w:t>起</w:t>
      </w:r>
      <w:r>
        <w:rPr>
          <w:rFonts w:hint="eastAsia" w:ascii="仿宋" w:hAnsi="仿宋" w:eastAsia="仿宋" w:cs="仿宋"/>
          <w:b/>
          <w:bCs/>
          <w:color w:val="000000"/>
          <w:highlight w:val="none"/>
          <w:lang w:eastAsia="zh-CN"/>
        </w:rPr>
        <w:t>3</w:t>
      </w:r>
      <w:r>
        <w:rPr>
          <w:rFonts w:hint="eastAsia" w:ascii="仿宋" w:hAnsi="仿宋" w:eastAsia="仿宋" w:cs="仿宋"/>
          <w:b/>
          <w:bCs/>
          <w:color w:val="000000"/>
          <w:highlight w:val="none"/>
        </w:rPr>
        <w:t>个</w:t>
      </w:r>
      <w:r>
        <w:rPr>
          <w:rFonts w:hint="eastAsia" w:ascii="仿宋" w:hAnsi="仿宋" w:eastAsia="仿宋" w:cs="仿宋"/>
          <w:b/>
          <w:bCs/>
          <w:color w:val="000000"/>
        </w:rPr>
        <w:t>工作日。</w:t>
      </w:r>
      <w:bookmarkEnd w:id="28"/>
      <w:bookmarkEnd w:id="29"/>
      <w:bookmarkEnd w:id="30"/>
      <w:bookmarkEnd w:id="31"/>
      <w:bookmarkEnd w:id="32"/>
    </w:p>
    <w:p w14:paraId="1D47C132">
      <w:pPr>
        <w:widowControl w:val="0"/>
        <w:spacing w:afterLines="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十七、陕西省省级单位政府采购中心联系电话：</w:t>
      </w:r>
      <w:r>
        <w:rPr>
          <w:rFonts w:hint="eastAsia" w:ascii="仿宋" w:hAnsi="仿宋" w:eastAsia="仿宋" w:cs="仿宋"/>
          <w:color w:val="000000"/>
        </w:rPr>
        <w:t>029-88661294</w:t>
      </w:r>
    </w:p>
    <w:p w14:paraId="52652292">
      <w:pPr>
        <w:widowControl w:val="0"/>
        <w:spacing w:afterLines="0" w:line="500" w:lineRule="exact"/>
        <w:ind w:firstLine="566" w:firstLineChars="200"/>
        <w:rPr>
          <w:rFonts w:hint="eastAsia" w:ascii="宋体" w:hAnsi="宋体" w:eastAsia="宋体" w:cs="宋体"/>
          <w:b/>
          <w:bCs/>
          <w:color w:val="000000"/>
        </w:rPr>
      </w:pPr>
    </w:p>
    <w:p w14:paraId="5AB5081D">
      <w:pPr>
        <w:widowControl w:val="0"/>
        <w:spacing w:line="400" w:lineRule="exact"/>
        <w:ind w:firstLine="566" w:firstLineChars="200"/>
        <w:rPr>
          <w:rFonts w:hint="eastAsia" w:ascii="宋体" w:hAnsi="宋体" w:eastAsia="宋体" w:cs="Times New Roman"/>
          <w:b/>
          <w:bCs/>
          <w:color w:val="000000"/>
        </w:rPr>
      </w:pPr>
      <w:r>
        <w:rPr>
          <w:rFonts w:hint="eastAsia" w:ascii="宋体" w:hAnsi="宋体" w:eastAsia="宋体" w:cs="宋体"/>
          <w:b/>
          <w:bCs/>
          <w:color w:val="000000"/>
        </w:rPr>
        <w:t>特别提醒：</w:t>
      </w:r>
    </w:p>
    <w:bookmarkEnd w:id="27"/>
    <w:p w14:paraId="03A3CCA5">
      <w:pPr>
        <w:widowControl w:val="0"/>
        <w:spacing w:line="400" w:lineRule="exact"/>
        <w:ind w:firstLine="426" w:firstLineChars="200"/>
        <w:rPr>
          <w:rFonts w:hint="eastAsia" w:ascii="宋体" w:hAnsi="宋体" w:eastAsia="宋体" w:cs="宋体"/>
          <w:b/>
          <w:bCs/>
          <w:color w:val="000000"/>
          <w:sz w:val="21"/>
          <w:szCs w:val="21"/>
        </w:rPr>
      </w:pPr>
      <w:bookmarkStart w:id="33" w:name="_Toc495014610"/>
      <w:bookmarkStart w:id="34" w:name="_Toc16643"/>
      <w:bookmarkStart w:id="35" w:name="_Toc495014648"/>
      <w:bookmarkStart w:id="36" w:name="_Toc26954"/>
      <w:bookmarkStart w:id="37" w:name="_Toc445306492"/>
      <w:bookmarkStart w:id="38" w:name="_Toc495014919"/>
      <w:bookmarkStart w:id="39" w:name="_Toc495012820"/>
      <w:bookmarkStart w:id="40" w:name="_Toc495014953"/>
      <w:bookmarkStart w:id="41" w:name="_Toc8753"/>
      <w:bookmarkStart w:id="42" w:name="_Toc495014584"/>
      <w:bookmarkStart w:id="43" w:name="_Toc495012770"/>
      <w:r>
        <w:rPr>
          <w:rFonts w:hint="eastAsia" w:ascii="宋体" w:hAnsi="宋体" w:eastAsia="宋体" w:cs="宋体"/>
          <w:b/>
          <w:bCs/>
          <w:color w:val="000000"/>
          <w:sz w:val="21"/>
          <w:szCs w:val="21"/>
        </w:rPr>
        <w:t>1、本项目采用电子化投标方式。供应商须使用数字认证证书（CA锁）对电子响应文件进行签章、加密、递交及开标时解密等相关招投标事宜。开标时，陕西省省级单位政府采购中心现场工作人员将根据项目供应商数约定解密时长，供应商应在规定时间内，使用电子响应文件加密时所用的数字认证证书（CA锁）在开标室的解密机上自行解密电子响应文件。如因供应商自身原因（如迟到、未携带数字认证证书等原因）未在规定时间内解密的，视为响应无效。</w:t>
      </w:r>
    </w:p>
    <w:p w14:paraId="3694B28B">
      <w:pPr>
        <w:widowControl w:val="0"/>
        <w:spacing w:line="400" w:lineRule="exact"/>
        <w:ind w:firstLine="426"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制作电子响应文件。供应商须在“全国公共资源交易平台（陕西省）（http://www.sxggzyjy.cn/）”的“服务指南”栏目“下载专区”中，免费下载“陕西省公共资源交易平台政府采购电子标书制作工具”，并升级至最新版本，使用该客户端制作电子响应文件，制作扩展名为“.SXSTF”的电子响应文件。”</w:t>
      </w:r>
    </w:p>
    <w:p w14:paraId="29030E52">
      <w:pPr>
        <w:widowControl w:val="0"/>
        <w:spacing w:line="400" w:lineRule="exact"/>
        <w:ind w:firstLine="426"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递交电子响应文件。登录全国公共资源交易中心平台（陕西省）（http://www.sxggzyjy.cn/），选择“电子交易平台—陕西政府采购交易系统—供应商端”进行登录，登录后选择“交易成交供应商”身份进入，进入菜单“采购业务—我的项目—项目流程—上传响应文件”，上传加密的电子响应文件。上传成功后，电子化平台将予以记录。</w:t>
      </w:r>
    </w:p>
    <w:p w14:paraId="01749656">
      <w:pPr>
        <w:widowControl w:val="0"/>
        <w:spacing w:line="400" w:lineRule="exact"/>
        <w:ind w:firstLine="426"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4、评审过程中，磋商小组要求供应商提交多轮（最后）磋商报价时，供应商须登录全国公共资源交易平台（陕西省）在交易系统中提交多轮（最后）报价，并用数字认证证书（CA锁）签章。</w:t>
      </w:r>
    </w:p>
    <w:p w14:paraId="6A9D369E">
      <w:pPr>
        <w:pStyle w:val="3"/>
        <w:widowControl w:val="0"/>
        <w:rPr>
          <w:rFonts w:cs="Times New Roman"/>
          <w:color w:val="000000"/>
        </w:rPr>
      </w:pPr>
      <w:r>
        <w:rPr>
          <w:rFonts w:hint="eastAsia" w:ascii="黑体" w:hAnsi="黑体" w:eastAsia="黑体" w:cs="黑体"/>
          <w:b w:val="0"/>
          <w:bCs w:val="0"/>
          <w:color w:val="000000"/>
          <w:sz w:val="32"/>
          <w:szCs w:val="32"/>
        </w:rPr>
        <w:br w:type="page"/>
      </w:r>
      <w:bookmarkStart w:id="44" w:name="_Toc20960"/>
      <w:bookmarkStart w:id="45" w:name="_Toc10694"/>
      <w:bookmarkStart w:id="46" w:name="_Toc27341"/>
      <w:bookmarkStart w:id="47" w:name="_Toc14254"/>
      <w:bookmarkStart w:id="48" w:name="_Toc3562"/>
      <w:r>
        <w:rPr>
          <w:rFonts w:hint="eastAsia" w:ascii="黑体" w:hAnsi="黑体" w:eastAsia="黑体" w:cs="黑体"/>
          <w:b w:val="0"/>
          <w:bCs w:val="0"/>
          <w:color w:val="000000"/>
          <w:sz w:val="32"/>
          <w:szCs w:val="32"/>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0914250">
      <w:pPr>
        <w:pStyle w:val="4"/>
        <w:widowControl w:val="0"/>
        <w:spacing w:line="500" w:lineRule="exact"/>
        <w:ind w:firstLine="566" w:firstLineChars="200"/>
        <w:rPr>
          <w:rFonts w:hint="eastAsia" w:ascii="仿宋" w:hAnsi="仿宋" w:eastAsia="仿宋" w:cs="仿宋"/>
          <w:color w:val="000000"/>
          <w:sz w:val="28"/>
          <w:szCs w:val="28"/>
        </w:rPr>
      </w:pPr>
      <w:bookmarkStart w:id="49" w:name="_Toc2084"/>
      <w:bookmarkStart w:id="50" w:name="_Toc21873"/>
      <w:bookmarkStart w:id="51" w:name="_Toc21192"/>
      <w:bookmarkStart w:id="52" w:name="_Toc6323"/>
      <w:bookmarkStart w:id="53" w:name="_Toc25504"/>
      <w:bookmarkStart w:id="54" w:name="_Toc16074"/>
      <w:bookmarkStart w:id="55" w:name="_Toc9277"/>
      <w:r>
        <w:rPr>
          <w:rFonts w:hint="eastAsia" w:ascii="仿宋" w:hAnsi="仿宋" w:eastAsia="仿宋" w:cs="仿宋"/>
          <w:color w:val="000000"/>
          <w:sz w:val="28"/>
          <w:szCs w:val="28"/>
        </w:rPr>
        <w:t>一、定义</w:t>
      </w:r>
      <w:bookmarkEnd w:id="49"/>
      <w:bookmarkEnd w:id="50"/>
      <w:bookmarkEnd w:id="51"/>
      <w:bookmarkEnd w:id="52"/>
      <w:bookmarkEnd w:id="53"/>
      <w:bookmarkEnd w:id="54"/>
      <w:bookmarkEnd w:id="55"/>
    </w:p>
    <w:p w14:paraId="66B04E30">
      <w:pPr>
        <w:widowControl w:val="0"/>
        <w:spacing w:line="500" w:lineRule="exact"/>
        <w:ind w:firstLine="566" w:firstLineChars="200"/>
        <w:rPr>
          <w:rFonts w:hint="eastAsia" w:ascii="仿宋" w:hAnsi="仿宋" w:eastAsia="仿宋" w:cs="仿宋"/>
          <w:color w:val="000000"/>
          <w:lang w:eastAsia="zh-CN"/>
        </w:rPr>
      </w:pPr>
      <w:r>
        <w:rPr>
          <w:rFonts w:hint="eastAsia" w:ascii="仿宋" w:hAnsi="仿宋" w:eastAsia="仿宋" w:cs="仿宋"/>
          <w:color w:val="000000"/>
        </w:rPr>
        <w:t>（一）采 购 人：</w:t>
      </w:r>
      <w:r>
        <w:rPr>
          <w:rFonts w:hint="eastAsia" w:ascii="仿宋" w:hAnsi="仿宋" w:eastAsia="仿宋" w:cs="仿宋"/>
          <w:color w:val="000000"/>
          <w:u w:color="FFFFFF"/>
          <w:lang w:val="en-US" w:eastAsia="zh-CN"/>
        </w:rPr>
        <w:t>陕西省特殊教育学校</w:t>
      </w:r>
    </w:p>
    <w:p w14:paraId="56E1E67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（二）监督机构：陕西省财政厅</w:t>
      </w:r>
    </w:p>
    <w:p w14:paraId="53D74CF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（三）采购代理机构：陕西省省级单位政府采购中心</w:t>
      </w:r>
    </w:p>
    <w:p w14:paraId="3CB014E0">
      <w:pPr>
        <w:widowControl w:val="0"/>
        <w:spacing w:line="500" w:lineRule="exact"/>
        <w:ind w:left="0" w:leftChars="0" w:firstLine="566" w:firstLineChars="200"/>
        <w:rPr>
          <w:rFonts w:hint="eastAsia" w:ascii="仿宋" w:hAnsi="仿宋" w:eastAsia="仿宋" w:cs="仿宋"/>
          <w:color w:val="000000"/>
        </w:rPr>
      </w:pPr>
      <w:r>
        <w:rPr>
          <w:rFonts w:hint="eastAsia" w:ascii="仿宋" w:hAnsi="仿宋" w:eastAsia="仿宋" w:cs="仿宋"/>
          <w:color w:val="000000"/>
        </w:rPr>
        <w:t>（四）供应商：拟向采购人提供货物、工程或者服务的法人、其他组</w:t>
      </w:r>
    </w:p>
    <w:p w14:paraId="76E20FB7">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织或者自然人</w:t>
      </w:r>
    </w:p>
    <w:p w14:paraId="54700AB5">
      <w:pPr>
        <w:pStyle w:val="4"/>
        <w:widowControl w:val="0"/>
        <w:spacing w:line="500" w:lineRule="exact"/>
        <w:ind w:firstLine="566" w:firstLineChars="200"/>
        <w:rPr>
          <w:rFonts w:hint="eastAsia" w:ascii="仿宋" w:hAnsi="仿宋" w:eastAsia="仿宋" w:cs="仿宋"/>
          <w:color w:val="000000"/>
          <w:sz w:val="28"/>
          <w:szCs w:val="28"/>
        </w:rPr>
      </w:pPr>
      <w:bookmarkStart w:id="56" w:name="_Toc12085"/>
      <w:bookmarkStart w:id="57" w:name="_Toc6086"/>
      <w:bookmarkStart w:id="58" w:name="_Toc11046"/>
      <w:bookmarkStart w:id="59" w:name="_Toc17842"/>
      <w:bookmarkStart w:id="60" w:name="_Toc4889"/>
      <w:bookmarkStart w:id="61" w:name="_Toc12698"/>
      <w:bookmarkStart w:id="62" w:name="_Toc26572"/>
      <w:r>
        <w:rPr>
          <w:rFonts w:hint="eastAsia" w:ascii="仿宋" w:hAnsi="仿宋" w:eastAsia="仿宋" w:cs="仿宋"/>
          <w:color w:val="000000"/>
          <w:sz w:val="28"/>
          <w:szCs w:val="28"/>
        </w:rPr>
        <w:t>二、供应商注意事项</w:t>
      </w:r>
      <w:bookmarkEnd w:id="56"/>
      <w:bookmarkEnd w:id="57"/>
      <w:bookmarkEnd w:id="58"/>
      <w:bookmarkEnd w:id="59"/>
      <w:bookmarkEnd w:id="60"/>
      <w:bookmarkEnd w:id="61"/>
      <w:bookmarkEnd w:id="62"/>
    </w:p>
    <w:p w14:paraId="28334548">
      <w:pPr>
        <w:pStyle w:val="4"/>
        <w:widowControl w:val="0"/>
        <w:spacing w:line="500" w:lineRule="exact"/>
        <w:ind w:firstLine="566" w:firstLineChars="200"/>
        <w:rPr>
          <w:rFonts w:hint="eastAsia" w:ascii="仿宋" w:hAnsi="仿宋" w:eastAsia="仿宋" w:cs="仿宋"/>
          <w:color w:val="000000"/>
          <w:sz w:val="28"/>
          <w:szCs w:val="28"/>
        </w:rPr>
      </w:pPr>
      <w:bookmarkStart w:id="63" w:name="_Toc30161"/>
      <w:bookmarkStart w:id="64" w:name="_Toc1370"/>
      <w:bookmarkStart w:id="65" w:name="_Toc23045"/>
      <w:bookmarkStart w:id="66" w:name="_Toc734"/>
      <w:bookmarkStart w:id="67" w:name="_Toc30368"/>
      <w:bookmarkStart w:id="68" w:name="_Toc28589"/>
      <w:bookmarkStart w:id="69" w:name="_Toc1795"/>
      <w:bookmarkStart w:id="70" w:name="_Toc10905"/>
      <w:bookmarkStart w:id="71" w:name="_Toc9799"/>
      <w:bookmarkStart w:id="72" w:name="_Toc17374"/>
      <w:bookmarkStart w:id="73" w:name="_Toc14407"/>
      <w:bookmarkStart w:id="74" w:name="_Toc21886"/>
      <w:bookmarkStart w:id="75" w:name="_Toc11128"/>
      <w:bookmarkStart w:id="76" w:name="_Toc28058"/>
      <w:bookmarkStart w:id="77" w:name="_Toc11734"/>
      <w:bookmarkStart w:id="78" w:name="_Toc32309"/>
      <w:bookmarkStart w:id="79" w:name="_Toc27986"/>
      <w:bookmarkStart w:id="80" w:name="_Toc28214"/>
      <w:bookmarkStart w:id="81" w:name="_Toc32448"/>
      <w:bookmarkStart w:id="82" w:name="_Toc22045"/>
      <w:bookmarkStart w:id="83" w:name="_Toc24852"/>
      <w:bookmarkStart w:id="84" w:name="_Toc16764"/>
      <w:r>
        <w:rPr>
          <w:rFonts w:hint="eastAsia" w:ascii="仿宋" w:hAnsi="仿宋" w:eastAsia="仿宋" w:cs="仿宋"/>
          <w:color w:val="000000"/>
          <w:sz w:val="28"/>
          <w:szCs w:val="28"/>
        </w:rPr>
        <w:t>（一）询问</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BB37744">
      <w:pPr>
        <w:widowControl w:val="0"/>
        <w:spacing w:line="500" w:lineRule="exact"/>
        <w:ind w:firstLine="566" w:firstLineChars="200"/>
        <w:rPr>
          <w:rFonts w:hint="eastAsia" w:ascii="仿宋" w:hAnsi="仿宋" w:eastAsia="仿宋" w:cs="仿宋"/>
          <w:color w:val="000000"/>
        </w:rPr>
      </w:pPr>
      <w:bookmarkStart w:id="85" w:name="_Toc10749"/>
      <w:bookmarkStart w:id="86" w:name="_Toc12755"/>
      <w:bookmarkStart w:id="87" w:name="_Toc5585"/>
      <w:bookmarkStart w:id="88" w:name="_Toc16663"/>
      <w:bookmarkStart w:id="89" w:name="_Toc2542"/>
      <w:bookmarkStart w:id="90" w:name="_Toc17968"/>
      <w:bookmarkStart w:id="91" w:name="_Toc29525"/>
      <w:bookmarkStart w:id="92" w:name="_Toc26397"/>
      <w:bookmarkStart w:id="93" w:name="_Toc11418"/>
      <w:bookmarkStart w:id="94" w:name="_Toc2552"/>
      <w:bookmarkStart w:id="95" w:name="_Toc7423"/>
      <w:bookmarkStart w:id="96" w:name="_Toc18061"/>
      <w:bookmarkStart w:id="97" w:name="_Toc9295"/>
      <w:bookmarkStart w:id="98" w:name="_Toc25620"/>
      <w:bookmarkStart w:id="99" w:name="_Toc23676"/>
      <w:bookmarkStart w:id="100" w:name="_Toc9372"/>
      <w:bookmarkStart w:id="101" w:name="_Toc10767"/>
      <w:r>
        <w:rPr>
          <w:rFonts w:hint="eastAsia" w:ascii="仿宋" w:hAnsi="仿宋" w:eastAsia="仿宋" w:cs="仿宋"/>
          <w:color w:val="000000"/>
        </w:rPr>
        <w:t>供应商针对磋商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14:paraId="2F56C21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供应商对采购过程、中标（成交）结果，向陕西省省级单位政府采购中心提出书面询问的，陕西省省级单位政府采购中心应在三个工作日内书面答复。</w:t>
      </w:r>
    </w:p>
    <w:p w14:paraId="5083EB3E">
      <w:pPr>
        <w:pStyle w:val="4"/>
        <w:widowControl w:val="0"/>
        <w:spacing w:line="500" w:lineRule="exact"/>
        <w:ind w:firstLine="566" w:firstLineChars="200"/>
        <w:rPr>
          <w:rFonts w:hint="eastAsia" w:ascii="仿宋" w:hAnsi="仿宋" w:eastAsia="仿宋" w:cs="仿宋"/>
          <w:color w:val="000000"/>
          <w:sz w:val="28"/>
          <w:szCs w:val="28"/>
        </w:rPr>
      </w:pPr>
      <w:bookmarkStart w:id="102" w:name="_Toc23800"/>
      <w:bookmarkStart w:id="103" w:name="_Toc20548"/>
      <w:bookmarkStart w:id="104" w:name="_Toc15324"/>
      <w:bookmarkStart w:id="105" w:name="_Toc8902"/>
      <w:bookmarkStart w:id="106" w:name="_Toc17045"/>
      <w:r>
        <w:rPr>
          <w:rFonts w:hint="eastAsia" w:ascii="仿宋" w:hAnsi="仿宋" w:eastAsia="仿宋" w:cs="仿宋"/>
          <w:color w:val="000000"/>
          <w:sz w:val="28"/>
          <w:szCs w:val="28"/>
        </w:rPr>
        <w:t>（二）现场踏勘及标前答疑会</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086F58D">
      <w:pPr>
        <w:widowControl w:val="0"/>
        <w:spacing w:line="500" w:lineRule="exact"/>
        <w:ind w:firstLine="566" w:firstLineChars="200"/>
        <w:rPr>
          <w:rFonts w:hint="eastAsia" w:ascii="仿宋" w:hAnsi="仿宋" w:eastAsia="仿宋" w:cs="仿宋"/>
          <w:bCs/>
          <w:color w:val="000000"/>
        </w:rPr>
      </w:pPr>
      <w:r>
        <w:rPr>
          <w:rFonts w:hint="eastAsia" w:ascii="仿宋" w:hAnsi="仿宋" w:eastAsia="仿宋" w:cs="仿宋"/>
          <w:bCs/>
          <w:color w:val="000000"/>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14:paraId="69BE5260">
      <w:pPr>
        <w:widowControl w:val="0"/>
        <w:spacing w:line="500" w:lineRule="exact"/>
        <w:ind w:firstLine="566" w:firstLineChars="200"/>
        <w:rPr>
          <w:rFonts w:hint="eastAsia" w:ascii="仿宋" w:hAnsi="仿宋" w:eastAsia="仿宋" w:cs="仿宋"/>
          <w:b/>
          <w:color w:val="000000"/>
        </w:rPr>
      </w:pPr>
      <w:r>
        <w:rPr>
          <w:rFonts w:hint="eastAsia" w:ascii="仿宋" w:hAnsi="仿宋" w:eastAsia="仿宋" w:cs="仿宋"/>
          <w:bCs/>
          <w:color w:val="000000"/>
        </w:rPr>
        <w:t>答复内容可能影响响应文件编制的，应当顺延开标时间。凡未参加现场踏勘和标前答疑的供应商，由此造成的偏差由各供应商自行负责。</w:t>
      </w:r>
    </w:p>
    <w:p w14:paraId="64406F38">
      <w:pPr>
        <w:widowControl w:val="0"/>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本项目不组织集中踏勘和标前答疑。</w:t>
      </w:r>
    </w:p>
    <w:p w14:paraId="58B0076F">
      <w:pPr>
        <w:pStyle w:val="4"/>
        <w:widowControl w:val="0"/>
        <w:spacing w:line="500" w:lineRule="exact"/>
        <w:ind w:firstLine="566" w:firstLineChars="200"/>
        <w:rPr>
          <w:rFonts w:hint="eastAsia" w:ascii="仿宋" w:hAnsi="仿宋" w:eastAsia="仿宋" w:cs="仿宋"/>
          <w:color w:val="000000"/>
          <w:sz w:val="28"/>
          <w:szCs w:val="28"/>
        </w:rPr>
      </w:pPr>
      <w:bookmarkStart w:id="107" w:name="_Toc32440"/>
      <w:bookmarkStart w:id="108" w:name="_Toc12991"/>
      <w:bookmarkStart w:id="109" w:name="_Toc17393"/>
      <w:bookmarkStart w:id="110" w:name="_Toc19965"/>
      <w:bookmarkStart w:id="111" w:name="_Toc21760"/>
      <w:bookmarkStart w:id="112" w:name="_Toc13487"/>
      <w:bookmarkStart w:id="113" w:name="_Toc7492"/>
      <w:bookmarkStart w:id="114" w:name="_Toc19048"/>
      <w:bookmarkStart w:id="115" w:name="_Toc30373"/>
      <w:bookmarkStart w:id="116" w:name="_Toc13711"/>
      <w:bookmarkStart w:id="117" w:name="_Toc25881"/>
      <w:bookmarkStart w:id="118" w:name="_Toc32452"/>
      <w:bookmarkStart w:id="119" w:name="_Toc12086"/>
      <w:bookmarkStart w:id="120" w:name="_Toc11479"/>
      <w:bookmarkStart w:id="121" w:name="_Toc29658"/>
      <w:bookmarkStart w:id="122" w:name="_Toc25161"/>
      <w:bookmarkStart w:id="123" w:name="_Toc5922"/>
      <w:bookmarkStart w:id="124" w:name="_Toc19340"/>
      <w:bookmarkStart w:id="125" w:name="_Toc14372"/>
      <w:bookmarkStart w:id="126" w:name="_Toc7114"/>
      <w:bookmarkStart w:id="127" w:name="_Toc23122"/>
      <w:bookmarkStart w:id="128" w:name="_Toc23212"/>
      <w:r>
        <w:rPr>
          <w:rFonts w:hint="eastAsia" w:ascii="仿宋" w:hAnsi="仿宋" w:eastAsia="仿宋" w:cs="仿宋"/>
          <w:color w:val="000000"/>
          <w:sz w:val="28"/>
          <w:szCs w:val="28"/>
        </w:rPr>
        <w:t>（三）质疑和投诉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F3FABDE">
      <w:pPr>
        <w:widowControl w:val="0"/>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供应商如果认为磋商文件（包括采购需求、供应商资格条件、商务条款等）使自身的合法权益受到损害，可以在获取磋商文件之日起7个工作日内，以书面形式向采购人提出质疑；供应商如果认为采购过程或成交结果使自身的合法权益受到损害，可以在知道或者应知其权益受到损害之日起７个工作日内，以书面形式向陕西省省级单位政府采购中心提出质疑。</w:t>
      </w:r>
    </w:p>
    <w:p w14:paraId="2CD84255">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1、供应商提出质疑应当提交质疑函和必要的证明材料，并按财政部《质疑函范本》给定的格式进行填写，范本下载详见【财政部国库司（gks.mof.gov.cn）】网站〖首页•〉政府采购管理〗栏目中的《政府采购供应商质疑函范本》。</w:t>
      </w:r>
    </w:p>
    <w:p w14:paraId="0718E119">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《政府采购供应商质疑函范本》链接地址：</w:t>
      </w:r>
    </w:p>
    <w:p w14:paraId="71D1D035">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"http://gks.mof.gov.cn/ztztz/zhengfucaigouguanli/201802/t20180201_2804589.htm" </w:instrText>
      </w:r>
      <w:r>
        <w:rPr>
          <w:rFonts w:hint="eastAsia" w:ascii="仿宋" w:hAnsi="仿宋" w:eastAsia="仿宋" w:cs="仿宋"/>
          <w:color w:val="000000"/>
        </w:rPr>
        <w:fldChar w:fldCharType="separate"/>
      </w:r>
      <w:r>
        <w:rPr>
          <w:rFonts w:hint="eastAsia" w:ascii="仿宋" w:hAnsi="仿宋" w:eastAsia="仿宋" w:cs="仿宋"/>
          <w:color w:val="000000"/>
        </w:rPr>
        <w:t>http://gks.mof.gov.cn/ztztz/zhengfucaigouguanli/201802/t20180201_2804589.htm</w:t>
      </w:r>
      <w:r>
        <w:rPr>
          <w:rFonts w:hint="eastAsia" w:ascii="仿宋" w:hAnsi="仿宋" w:eastAsia="仿宋" w:cs="仿宋"/>
          <w:color w:val="000000"/>
        </w:rPr>
        <w:fldChar w:fldCharType="end"/>
      </w:r>
    </w:p>
    <w:p w14:paraId="3DCDB0D7">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1A003981">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3、在法定质疑期内，针对同一采购程序环节的质疑应当一次性提出。陕西省省级单位政府采购中心或采购人将在收到书面质疑后7个工作日内做出答复，并以书面形式通知质疑人和其他有关供应商。</w:t>
      </w:r>
    </w:p>
    <w:p w14:paraId="7A950FB9">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4、有下列情形之一的，属于无效质疑，陕西省省级单位政府采购中心和采购人不予受理：</w:t>
      </w:r>
    </w:p>
    <w:p w14:paraId="62A76951">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（1）质疑人不是参与本次政府采购项目的供应商或潜在供应商；</w:t>
      </w:r>
    </w:p>
    <w:p w14:paraId="005FBC9A">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（2）质疑人与质疑事项不存在利害关系的；</w:t>
      </w:r>
    </w:p>
    <w:p w14:paraId="43390C2C">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（3）未在法定期限内提出质疑的；</w:t>
      </w:r>
    </w:p>
    <w:p w14:paraId="573625BD">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（4）质疑未以书面形式提出，或质疑函主要内容构成不完整的，或缺乏必要的证明材料及证明材料不完整的；</w:t>
      </w:r>
    </w:p>
    <w:p w14:paraId="5C6C64A2">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（5）质疑函没有合法有效的签字、盖章或授权的；</w:t>
      </w:r>
    </w:p>
    <w:p w14:paraId="0C48799B">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（6）以非法手段取得证据、材料的；</w:t>
      </w:r>
    </w:p>
    <w:p w14:paraId="364E0C37">
      <w:pPr>
        <w:widowControl w:val="0"/>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（7）不符合法律、法规、规章和政府采购监管机构规定的其他条件的。</w:t>
      </w:r>
    </w:p>
    <w:p w14:paraId="29761503">
      <w:pPr>
        <w:widowControl w:val="0"/>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5、质疑人对陕西省省级单位政府采购中心或采购人的答复不满意，以及陕西省省级单位政府采购中心或采购人未在规定时间内做出答复的，可以在答复期满后15个工作日内向政府采购监管机构提出投诉。</w:t>
      </w:r>
    </w:p>
    <w:p w14:paraId="65D53B3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6、供应商投诉的事项不得超出已质疑事项的范围。</w:t>
      </w:r>
    </w:p>
    <w:p w14:paraId="32175E73">
      <w:pPr>
        <w:spacing w:line="500" w:lineRule="exact"/>
        <w:ind w:firstLine="566" w:firstLineChars="200"/>
        <w:rPr>
          <w:rFonts w:hint="eastAsia" w:ascii="仿宋" w:hAnsi="仿宋" w:eastAsia="仿宋" w:cs="仿宋"/>
          <w:b/>
          <w:color w:val="000000"/>
        </w:rPr>
      </w:pPr>
      <w:r>
        <w:rPr>
          <w:rFonts w:hint="eastAsia" w:ascii="仿宋" w:hAnsi="仿宋" w:eastAsia="仿宋" w:cs="仿宋"/>
          <w:b/>
          <w:bCs/>
          <w:color w:val="000000"/>
        </w:rPr>
        <w:t>7、</w:t>
      </w:r>
      <w:r>
        <w:rPr>
          <w:rFonts w:hint="eastAsia" w:ascii="仿宋" w:hAnsi="仿宋" w:eastAsia="仿宋" w:cs="仿宋"/>
          <w:b/>
          <w:color w:val="000000"/>
        </w:rPr>
        <w:t>对捏造事实、提供虚假材料进行质疑、投诉的行为予以严肃处理：</w:t>
      </w:r>
    </w:p>
    <w:p w14:paraId="3DF4CD4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依据《中华人民共和国政府采购法》及其实施条例、《政府采购竞争性磋商采购人管理暂行办法》及有关问题的补充通知、《政府采购质疑和投诉办法》等法律法规文件的规定，供应商质疑、投诉应当有明确的请求和必要的证明材料。</w:t>
      </w:r>
      <w:r>
        <w:rPr>
          <w:rFonts w:hint="eastAsia" w:ascii="仿宋" w:hAnsi="仿宋" w:eastAsia="仿宋" w:cs="仿宋"/>
          <w:b/>
          <w:bCs/>
          <w:color w:val="000000"/>
        </w:rPr>
        <w:t>投诉人在全国范围内十二个月内三次以上投诉查无实据的，由财政部门列入不良行为记录名单</w:t>
      </w:r>
      <w:r>
        <w:rPr>
          <w:rFonts w:hint="eastAsia" w:ascii="仿宋" w:hAnsi="仿宋" w:eastAsia="仿宋" w:cs="仿宋"/>
          <w:color w:val="000000"/>
        </w:rPr>
        <w:t>。对于捏造事实、提供虚假材料或者以非法手段取得证明材料进行投诉的，财政部门应当予以驳回，并将其列入不良行为记录名单，禁止其一至三年内参加政府采购活动。</w:t>
      </w:r>
    </w:p>
    <w:p w14:paraId="65AB3B91">
      <w:pPr>
        <w:spacing w:line="500" w:lineRule="exact"/>
        <w:ind w:firstLine="566" w:firstLineChars="200"/>
        <w:rPr>
          <w:rFonts w:hint="eastAsia" w:ascii="仿宋" w:hAnsi="仿宋" w:eastAsia="仿宋" w:cs="仿宋"/>
          <w:b/>
          <w:color w:val="000000"/>
        </w:rPr>
      </w:pPr>
      <w:r>
        <w:rPr>
          <w:rFonts w:hint="eastAsia" w:ascii="仿宋" w:hAnsi="仿宋" w:eastAsia="仿宋" w:cs="仿宋"/>
          <w:b/>
          <w:bCs/>
          <w:color w:val="000000"/>
        </w:rPr>
        <w:t>8、</w:t>
      </w:r>
      <w:r>
        <w:rPr>
          <w:rFonts w:hint="eastAsia" w:ascii="仿宋" w:hAnsi="仿宋" w:eastAsia="仿宋" w:cs="仿宋"/>
          <w:b/>
          <w:color w:val="000000"/>
        </w:rPr>
        <w:t>对捏造事实诬告陷害他人、诽谤他人的法律适用：</w:t>
      </w:r>
    </w:p>
    <w:p w14:paraId="6B653AF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《中华人民共和国刑法》第243条【诬告陷害罪】捏造事实诬告陷害他人，意图使他人受刑事追究，情节严重的，处三年以下有期徒刑、拘役或者管制；造成严重后果的，处三年以上十年以下有期徒刑。</w:t>
      </w:r>
    </w:p>
    <w:p w14:paraId="73E3336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《中华人民共和国刑法》第246条【侮辱罪、诽谤罪】以暴力或者其他方法公然侮辱他人或者捏造事实诽谤他人，情节严重的，处三年以下有期徒刑、拘役、管制或者剥夺政治权利。</w:t>
      </w:r>
    </w:p>
    <w:p w14:paraId="4985B8CD">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9、质疑函递交地址：陕西省公共资源交易中心交易受理处</w:t>
      </w:r>
    </w:p>
    <w:p w14:paraId="68DDC908">
      <w:pPr>
        <w:spacing w:line="500" w:lineRule="exact"/>
        <w:ind w:firstLine="566" w:firstLineChars="200"/>
        <w:contextualSpacing/>
        <w:rPr>
          <w:rFonts w:hint="default" w:ascii="仿宋" w:hAnsi="仿宋" w:eastAsia="仿宋" w:cs="仿宋"/>
          <w:color w:val="000000"/>
          <w:lang w:val="en-US" w:eastAsia="zh-CN"/>
        </w:rPr>
      </w:pPr>
      <w:r>
        <w:rPr>
          <w:rFonts w:hint="eastAsia" w:ascii="仿宋" w:hAnsi="仿宋" w:eastAsia="仿宋" w:cs="仿宋"/>
          <w:color w:val="000000"/>
        </w:rPr>
        <w:t>联系电话：029-886612</w:t>
      </w:r>
      <w:r>
        <w:rPr>
          <w:rFonts w:hint="eastAsia" w:ascii="仿宋" w:hAnsi="仿宋" w:eastAsia="仿宋" w:cs="仿宋"/>
          <w:color w:val="000000"/>
          <w:lang w:val="en-US" w:eastAsia="zh-CN"/>
        </w:rPr>
        <w:t>57</w:t>
      </w:r>
    </w:p>
    <w:p w14:paraId="043637ED">
      <w:pPr>
        <w:pStyle w:val="44"/>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投诉书递交地址：西安市莲湖区冰窖巷6号陕西省财政厅509室</w:t>
      </w:r>
    </w:p>
    <w:p w14:paraId="56D3182F">
      <w:pPr>
        <w:spacing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联系电话：029-68936154</w:t>
      </w:r>
    </w:p>
    <w:p w14:paraId="1E7221BF">
      <w:pPr>
        <w:pStyle w:val="4"/>
        <w:widowControl w:val="0"/>
        <w:spacing w:line="500" w:lineRule="exact"/>
        <w:ind w:firstLine="566" w:firstLineChars="200"/>
        <w:rPr>
          <w:rFonts w:hint="eastAsia" w:ascii="仿宋" w:hAnsi="仿宋" w:eastAsia="仿宋" w:cs="仿宋"/>
          <w:color w:val="000000"/>
          <w:sz w:val="28"/>
          <w:szCs w:val="28"/>
        </w:rPr>
      </w:pPr>
      <w:bookmarkStart w:id="129" w:name="_Toc13615"/>
      <w:bookmarkStart w:id="130" w:name="_Toc6747"/>
      <w:bookmarkStart w:id="131" w:name="_Toc5260"/>
      <w:bookmarkStart w:id="132" w:name="_Toc28448"/>
      <w:bookmarkStart w:id="133" w:name="_Toc7801"/>
      <w:bookmarkStart w:id="134" w:name="_Toc9404"/>
      <w:bookmarkStart w:id="135" w:name="_Toc21058"/>
      <w:bookmarkStart w:id="136" w:name="_Toc6858"/>
      <w:bookmarkStart w:id="137" w:name="_Toc18975"/>
      <w:bookmarkStart w:id="138" w:name="_Toc25016"/>
      <w:bookmarkStart w:id="139" w:name="_Toc25731"/>
      <w:r>
        <w:rPr>
          <w:rFonts w:hint="eastAsia" w:ascii="仿宋" w:hAnsi="仿宋" w:eastAsia="仿宋" w:cs="仿宋"/>
          <w:color w:val="000000"/>
          <w:sz w:val="28"/>
          <w:szCs w:val="28"/>
        </w:rPr>
        <w:t>（四）关于信用记录的查询和使用</w:t>
      </w:r>
      <w:bookmarkEnd w:id="129"/>
      <w:bookmarkEnd w:id="130"/>
      <w:bookmarkEnd w:id="131"/>
      <w:bookmarkEnd w:id="132"/>
      <w:bookmarkEnd w:id="133"/>
      <w:bookmarkEnd w:id="134"/>
      <w:bookmarkEnd w:id="135"/>
      <w:bookmarkEnd w:id="136"/>
      <w:bookmarkEnd w:id="137"/>
      <w:bookmarkEnd w:id="138"/>
      <w:bookmarkEnd w:id="139"/>
    </w:p>
    <w:p w14:paraId="1256474F">
      <w:pPr>
        <w:widowControl w:val="0"/>
        <w:wordWrap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1、磋商小组将在资格审查阶段通过【</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"http://www.creditchina.gov.cn/" </w:instrText>
      </w:r>
      <w:r>
        <w:rPr>
          <w:rFonts w:hint="eastAsia" w:ascii="仿宋" w:hAnsi="仿宋" w:eastAsia="仿宋" w:cs="仿宋"/>
          <w:color w:val="000000"/>
        </w:rPr>
        <w:fldChar w:fldCharType="separate"/>
      </w:r>
      <w:r>
        <w:rPr>
          <w:rStyle w:val="36"/>
          <w:rFonts w:hint="eastAsia" w:ascii="仿宋" w:hAnsi="仿宋" w:eastAsia="仿宋" w:cs="仿宋"/>
          <w:color w:val="000000"/>
          <w:sz w:val="28"/>
          <w:szCs w:val="28"/>
        </w:rPr>
        <w:t>信用中国</w:t>
      </w:r>
      <w:r>
        <w:rPr>
          <w:rStyle w:val="36"/>
          <w:rFonts w:hint="eastAsia" w:ascii="仿宋" w:hAnsi="仿宋" w:eastAsia="仿宋" w:cs="仿宋"/>
          <w:color w:val="000000"/>
          <w:sz w:val="28"/>
          <w:szCs w:val="28"/>
        </w:rPr>
        <w:fldChar w:fldCharType="end"/>
      </w:r>
      <w:r>
        <w:rPr>
          <w:rFonts w:hint="eastAsia" w:ascii="仿宋" w:hAnsi="仿宋" w:eastAsia="仿宋" w:cs="仿宋"/>
          <w:color w:val="000000"/>
        </w:rPr>
        <w:t>（www.creditchina.gov.cn）】、【</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"http://www.ccgp.gov.cn/cr/list" </w:instrText>
      </w:r>
      <w:r>
        <w:rPr>
          <w:rFonts w:hint="eastAsia" w:ascii="仿宋" w:hAnsi="仿宋" w:eastAsia="仿宋" w:cs="仿宋"/>
          <w:color w:val="000000"/>
        </w:rPr>
        <w:fldChar w:fldCharType="separate"/>
      </w:r>
      <w:r>
        <w:rPr>
          <w:rStyle w:val="36"/>
          <w:rFonts w:hint="eastAsia" w:ascii="仿宋" w:hAnsi="仿宋" w:eastAsia="仿宋" w:cs="仿宋"/>
          <w:color w:val="000000"/>
          <w:sz w:val="28"/>
          <w:szCs w:val="28"/>
        </w:rPr>
        <w:t>中国政府采购网</w:t>
      </w:r>
      <w:r>
        <w:rPr>
          <w:rStyle w:val="36"/>
          <w:rFonts w:hint="eastAsia" w:ascii="仿宋" w:hAnsi="仿宋" w:eastAsia="仿宋" w:cs="仿宋"/>
          <w:color w:val="000000"/>
          <w:sz w:val="28"/>
          <w:szCs w:val="28"/>
        </w:rPr>
        <w:fldChar w:fldCharType="end"/>
      </w:r>
      <w:r>
        <w:rPr>
          <w:rFonts w:hint="eastAsia" w:ascii="仿宋" w:hAnsi="仿宋" w:eastAsia="仿宋" w:cs="仿宋"/>
          <w:color w:val="000000"/>
        </w:rPr>
        <w:t>（www.ccgp.gov.cn）】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磋商或成交资格将被取消。</w:t>
      </w:r>
    </w:p>
    <w:p w14:paraId="7FF1C3B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2、供应商在参加政府采购活动前3年内因违法经营被禁止在一定期限内参加政府采购活动，期限届满的，可以参加政府采购活动的，但供应商应提供相关证明材料。</w:t>
      </w:r>
    </w:p>
    <w:p w14:paraId="4516209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供应商信用记录及供应商基本信息查询的时间段为“磋商公告发布之日（含当日）至提交响应文件截止之日（含当日）”。信用记录查询的结果，可以纸质截图或将截图保存至电子介质的形式留存。供应商未如实填报《供应商信用记录书面声明函》的，视为“供应商提供虚假材料谋取中标、成交的”行为。</w:t>
      </w:r>
    </w:p>
    <w:p w14:paraId="60BDAE69">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color w:val="000000"/>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7C0ECAC">
      <w:pPr>
        <w:pStyle w:val="4"/>
        <w:widowControl w:val="0"/>
        <w:spacing w:line="500" w:lineRule="exact"/>
        <w:ind w:firstLine="566" w:firstLineChars="200"/>
        <w:rPr>
          <w:rFonts w:hint="eastAsia" w:ascii="仿宋" w:hAnsi="仿宋" w:eastAsia="仿宋" w:cs="仿宋"/>
          <w:color w:val="000000"/>
          <w:sz w:val="28"/>
          <w:szCs w:val="28"/>
        </w:rPr>
      </w:pPr>
      <w:bookmarkStart w:id="140" w:name="_Toc8532"/>
      <w:bookmarkStart w:id="141" w:name="_Toc15726"/>
      <w:bookmarkStart w:id="142" w:name="_Toc22297"/>
      <w:bookmarkStart w:id="143" w:name="_Toc20601"/>
      <w:bookmarkStart w:id="144" w:name="_Toc5515"/>
      <w:bookmarkStart w:id="145" w:name="_Toc5640"/>
      <w:bookmarkStart w:id="146" w:name="_Toc5071"/>
      <w:bookmarkStart w:id="147" w:name="_Toc7017"/>
      <w:bookmarkStart w:id="148" w:name="_Toc21151"/>
      <w:bookmarkStart w:id="149" w:name="_Toc24208"/>
      <w:bookmarkStart w:id="150" w:name="_Toc17203"/>
      <w:r>
        <w:rPr>
          <w:rFonts w:hint="eastAsia" w:ascii="仿宋" w:hAnsi="仿宋" w:eastAsia="仿宋" w:cs="仿宋"/>
          <w:color w:val="000000"/>
          <w:sz w:val="28"/>
          <w:szCs w:val="28"/>
        </w:rPr>
        <w:t>（五）落实的政府采购政策</w:t>
      </w:r>
      <w:bookmarkEnd w:id="140"/>
      <w:bookmarkEnd w:id="141"/>
      <w:bookmarkEnd w:id="142"/>
      <w:bookmarkEnd w:id="143"/>
      <w:bookmarkEnd w:id="144"/>
      <w:bookmarkEnd w:id="145"/>
      <w:bookmarkEnd w:id="146"/>
      <w:bookmarkEnd w:id="147"/>
      <w:bookmarkEnd w:id="148"/>
      <w:bookmarkEnd w:id="149"/>
      <w:bookmarkEnd w:id="150"/>
    </w:p>
    <w:p w14:paraId="00A0979E">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55B7787B">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在货物采购项目中，供应商提供的货物既有中小企业制造货物，也有大型供应商制造货物的，不享受政府采购价格扣除优惠政策。</w:t>
      </w:r>
    </w:p>
    <w:p w14:paraId="13337B1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接受大中型供应商与中小企业组成联合体或者允许大中型供应商向一家或者多家中小企业分包的采购项目，对于联合协议或者分包意向协议约定中小企业的合同份额占到合同总金额30%以上的，货物和服务项目可给予联合体或者大中型供应商的报价2%-3%的扣除，工程项目为1%—2%的扣除。联合体各方均为小型、微型企业的，联合体视同为小型、微型企业。组成联合体或者接受分包的中小企业与联合体内其他供应商、分包供应商之间存在直接控股、管理关系的，不享受价格扣除优惠政策。</w:t>
      </w:r>
    </w:p>
    <w:p w14:paraId="2C0D1B1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根据《关于进一步加大政府采购支持中小企业力度的通知》（财库〔2022〕19号）的有关规定，货物服务采购项目给予中小企业的价格扣除优惠，由财库〔2020〕46号文件规定的6%—10%提高至10%—20%。大中型供应商与中小企业组成联合体或者大中型供应商向中小企业分包的，评审优惠幅度由2%—3%提高至4%—6%。政府采购工程的价格评审优惠按照财库〔2020〕46号文件的规定执行。</w:t>
      </w:r>
    </w:p>
    <w:p w14:paraId="279E06B7">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参加政府采购活动的中小企业应提供《中小企业声明函》原件。未提供上述声明函原件的，则响应文件无效。</w:t>
      </w:r>
    </w:p>
    <w:p w14:paraId="01A7F794">
      <w:pPr>
        <w:pStyle w:val="7"/>
        <w:widowControl w:val="0"/>
        <w:spacing w:line="500" w:lineRule="exact"/>
        <w:ind w:firstLine="486" w:firstLineChars="200"/>
        <w:rPr>
          <w:rFonts w:hint="eastAsia" w:ascii="仿宋" w:hAnsi="仿宋" w:eastAsia="仿宋" w:cs="仿宋"/>
          <w:color w:val="000000"/>
          <w:sz w:val="28"/>
          <w:szCs w:val="28"/>
        </w:rPr>
      </w:pPr>
      <w:r>
        <w:rPr>
          <w:rFonts w:hint="eastAsia" w:ascii="仿宋" w:hAnsi="仿宋" w:eastAsia="仿宋" w:cs="仿宋"/>
          <w:color w:val="000000"/>
          <w:sz w:val="24"/>
          <w:szCs w:val="24"/>
        </w:rPr>
        <w:t>备注：中小企业划分标准参照《中小企业划型标准规定》（工信部联供应商〔2011〕300号）执行。</w:t>
      </w:r>
    </w:p>
    <w:p w14:paraId="6E560737">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color w:val="000000"/>
          <w:lang w:val="zh-CN"/>
        </w:rPr>
        <w:t>监狱企业应符合《财政部</w:t>
      </w:r>
      <w:r>
        <w:rPr>
          <w:rFonts w:hint="eastAsia" w:ascii="仿宋" w:hAnsi="仿宋" w:eastAsia="仿宋" w:cs="仿宋"/>
          <w:color w:val="000000"/>
        </w:rPr>
        <w:t xml:space="preserve"> 司法部关于政府采购支持监狱企业发展有关问题的通知》（财库〔2014〕68号）文件规定</w:t>
      </w:r>
      <w:r>
        <w:rPr>
          <w:rFonts w:hint="eastAsia" w:ascii="仿宋" w:hAnsi="仿宋" w:eastAsia="仿宋" w:cs="仿宋"/>
          <w:color w:val="000000"/>
          <w:lang w:val="zh-CN"/>
        </w:rPr>
        <w:t>，并提供由省级以上监狱管理局、戒毒管理局(含新疆生产建设兵团)出具的属于</w:t>
      </w:r>
      <w:r>
        <w:rPr>
          <w:rFonts w:hint="eastAsia" w:ascii="仿宋" w:hAnsi="仿宋" w:eastAsia="仿宋" w:cs="仿宋"/>
          <w:b/>
          <w:bCs/>
          <w:color w:val="000000"/>
          <w:lang w:val="zh-CN"/>
        </w:rPr>
        <w:t>监狱企业的证明文件</w:t>
      </w:r>
      <w:r>
        <w:rPr>
          <w:rFonts w:hint="eastAsia" w:ascii="仿宋" w:hAnsi="仿宋" w:eastAsia="仿宋" w:cs="仿宋"/>
          <w:color w:val="000000"/>
          <w:lang w:val="zh-CN"/>
        </w:rPr>
        <w:t>复印件，监狱和戒毒供应商</w:t>
      </w:r>
      <w:r>
        <w:rPr>
          <w:rFonts w:hint="eastAsia" w:ascii="仿宋" w:hAnsi="仿宋" w:eastAsia="仿宋" w:cs="仿宋"/>
          <w:color w:val="000000"/>
        </w:rPr>
        <w:t>视同小型、微型企业。</w:t>
      </w:r>
    </w:p>
    <w:p w14:paraId="0406FDBE">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BC0DC8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参加政府采购活动的残疾人单位应提供《残疾人福利性单位声明函》原件。未提供上述声明函原件的，则响应文件无效。</w:t>
      </w:r>
    </w:p>
    <w:p w14:paraId="258F5288">
      <w:pPr>
        <w:pStyle w:val="15"/>
        <w:spacing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3E3A6CE">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kern w:val="0"/>
        </w:rPr>
        <w:t>5、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24783873">
      <w:pPr>
        <w:pStyle w:val="7"/>
        <w:widowControl w:val="0"/>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6、节能产品政府采购品目清单详见财政部、发展改革委《关于印发节能产品政府采购品目清单的通知》（财库〔2019〕19号）。</w:t>
      </w:r>
    </w:p>
    <w:p w14:paraId="103CDB9E">
      <w:pPr>
        <w:pStyle w:val="7"/>
        <w:widowControl w:val="0"/>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7、环境标志产品政府采购品目清单详见财政部、生态环境部《关于印发环境标志产品政府采购品目清单的通知》（财库〔2019〕18号）。</w:t>
      </w:r>
    </w:p>
    <w:p w14:paraId="3F9AF768">
      <w:pPr>
        <w:pStyle w:val="7"/>
        <w:widowControl w:val="0"/>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8、国家确定的节能产品、环境标志产品认证机构详见市场监管总局《关于发布参与实施政府采购节能产品、环境标志产品认证机构名录的公告》（2019年第16号）。</w:t>
      </w:r>
    </w:p>
    <w:p w14:paraId="0E146332">
      <w:pPr>
        <w:pStyle w:val="7"/>
        <w:widowControl w:val="0"/>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9、根据《财政部 农业农村部 国家乡村振兴局关于运用政府采购政策支持乡村产业振兴的通知》（财库〔2021〕19号），自2021年起，各级预算单位应当按照不低于</w:t>
      </w:r>
      <w:r>
        <w:rPr>
          <w:rFonts w:hint="eastAsia" w:ascii="仿宋" w:hAnsi="仿宋" w:eastAsia="仿宋" w:cs="仿宋"/>
          <w:color w:val="000000"/>
        </w:rPr>
        <w:t>10%</w:t>
      </w:r>
      <w:r>
        <w:rPr>
          <w:rFonts w:hint="eastAsia" w:ascii="仿宋" w:hAnsi="仿宋" w:eastAsia="仿宋" w:cs="仿宋"/>
          <w:color w:val="000000"/>
          <w:kern w:val="0"/>
        </w:rPr>
        <w:t>的比例预留年度食堂食材采购份额，通过脱贫地区农副产品网络销售平台采购脱贫地区农副产品。</w:t>
      </w:r>
    </w:p>
    <w:p w14:paraId="2979E2F5">
      <w:pPr>
        <w:pStyle w:val="7"/>
        <w:widowControl w:val="0"/>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10、根据《财政部 农业农村部 国家乡村振兴局 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14:paraId="0195D73F">
      <w:pPr>
        <w:pStyle w:val="7"/>
        <w:widowControl w:val="0"/>
        <w:spacing w:line="500" w:lineRule="exact"/>
        <w:ind w:firstLine="566" w:firstLineChars="200"/>
        <w:rPr>
          <w:rFonts w:hint="eastAsia" w:ascii="仿宋" w:hAnsi="仿宋" w:eastAsia="仿宋" w:cs="仿宋"/>
          <w:color w:val="000000"/>
          <w:kern w:val="0"/>
        </w:rPr>
      </w:pPr>
      <w:r>
        <w:rPr>
          <w:rFonts w:hint="eastAsia" w:ascii="仿宋" w:hAnsi="仿宋" w:eastAsia="仿宋" w:cs="仿宋"/>
          <w:color w:val="000000"/>
          <w:kern w:val="0"/>
        </w:rPr>
        <w:t>11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w:t>
      </w:r>
    </w:p>
    <w:p w14:paraId="29F26B10">
      <w:pPr>
        <w:widowControl w:val="0"/>
        <w:spacing w:line="500" w:lineRule="exact"/>
        <w:ind w:firstLine="566" w:firstLineChars="200"/>
        <w:jc w:val="left"/>
        <w:rPr>
          <w:rFonts w:hint="eastAsia" w:ascii="仿宋" w:hAnsi="仿宋" w:eastAsia="仿宋" w:cs="仿宋"/>
          <w:color w:val="000000"/>
          <w:kern w:val="0"/>
        </w:rPr>
      </w:pPr>
      <w:bookmarkStart w:id="151" w:name="_Toc6102"/>
      <w:bookmarkStart w:id="152" w:name="_Toc10798"/>
      <w:bookmarkStart w:id="153" w:name="_Toc1927"/>
      <w:bookmarkStart w:id="154" w:name="_Toc23236"/>
      <w:bookmarkStart w:id="155" w:name="_Toc22218"/>
      <w:bookmarkStart w:id="156" w:name="_Toc29136"/>
      <w:r>
        <w:rPr>
          <w:rFonts w:hint="eastAsia" w:ascii="仿宋" w:hAnsi="仿宋" w:eastAsia="仿宋" w:cs="仿宋"/>
          <w:color w:val="000000"/>
          <w:kern w:val="0"/>
        </w:rPr>
        <w:t xml:space="preserve">12、根据陕西省财政厅关于印发《陕西省中小企业政府采购信用融资 </w:t>
      </w:r>
    </w:p>
    <w:p w14:paraId="7A77E2BD">
      <w:pPr>
        <w:widowControl w:val="0"/>
        <w:wordWrap w:val="0"/>
        <w:spacing w:line="500" w:lineRule="exact"/>
        <w:ind w:firstLine="0" w:firstLineChars="0"/>
        <w:jc w:val="left"/>
        <w:rPr>
          <w:rFonts w:hint="eastAsia" w:ascii="仿宋" w:hAnsi="仿宋" w:eastAsia="仿宋" w:cs="仿宋"/>
          <w:b/>
          <w:bCs/>
          <w:color w:val="000000"/>
        </w:rPr>
      </w:pPr>
      <w:r>
        <w:rPr>
          <w:rFonts w:hint="eastAsia" w:ascii="仿宋" w:hAnsi="仿宋" w:eastAsia="仿宋" w:cs="仿宋"/>
          <w:color w:val="000000"/>
          <w:kern w:val="0"/>
        </w:rPr>
        <w:t>办法》（陕财办采</w:t>
      </w:r>
      <w:r>
        <w:rPr>
          <w:rFonts w:hint="eastAsia" w:ascii="仿宋" w:hAnsi="仿宋" w:eastAsia="仿宋" w:cs="仿宋"/>
          <w:color w:val="000000"/>
        </w:rPr>
        <w:t>〔2018〕23</w:t>
      </w:r>
      <w:r>
        <w:rPr>
          <w:rFonts w:hint="eastAsia" w:ascii="仿宋" w:hAnsi="仿宋" w:eastAsia="仿宋" w:cs="仿宋"/>
          <w:color w:val="000000"/>
          <w:kern w:val="0"/>
        </w:rPr>
        <w:t>号）规定“</w:t>
      </w:r>
      <w:r>
        <w:rPr>
          <w:rFonts w:hint="eastAsia" w:ascii="仿宋" w:hAnsi="仿宋" w:eastAsia="仿宋" w:cs="仿宋"/>
          <w:color w:val="000000"/>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color w:val="000000"/>
          <w:kern w:val="0"/>
        </w:rPr>
        <w:t>（</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"http://www.ccgp-shaanxi.gov.cn/zcdservice/zcd/shanxi/" </w:instrText>
      </w:r>
      <w:r>
        <w:rPr>
          <w:rFonts w:hint="eastAsia" w:ascii="仿宋" w:hAnsi="仿宋" w:eastAsia="仿宋" w:cs="仿宋"/>
          <w:color w:val="000000"/>
        </w:rPr>
        <w:fldChar w:fldCharType="separate"/>
      </w:r>
      <w:r>
        <w:rPr>
          <w:rFonts w:hint="eastAsia" w:ascii="仿宋" w:hAnsi="仿宋" w:eastAsia="仿宋" w:cs="仿宋"/>
          <w:color w:val="000000"/>
          <w:kern w:val="0"/>
        </w:rPr>
        <w:t>陕西省政府采购信用融资平台</w:t>
      </w:r>
      <w:r>
        <w:rPr>
          <w:rFonts w:hint="eastAsia" w:ascii="仿宋" w:hAnsi="仿宋" w:eastAsia="仿宋" w:cs="仿宋"/>
          <w:color w:val="000000"/>
          <w:kern w:val="0"/>
        </w:rPr>
        <w:fldChar w:fldCharType="end"/>
      </w:r>
      <w:r>
        <w:rPr>
          <w:rFonts w:hint="eastAsia" w:ascii="仿宋" w:hAnsi="仿宋" w:eastAsia="仿宋" w:cs="仿宋"/>
          <w:color w:val="000000"/>
          <w:kern w:val="0"/>
        </w:rPr>
        <w:t>：</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"http://www.ccgp-shaanxi.gov.cn/zcdservice/zcd/shanxi/）。" </w:instrText>
      </w:r>
      <w:r>
        <w:rPr>
          <w:rFonts w:hint="eastAsia" w:ascii="仿宋" w:hAnsi="仿宋" w:eastAsia="仿宋" w:cs="仿宋"/>
          <w:color w:val="000000"/>
        </w:rPr>
        <w:fldChar w:fldCharType="separate"/>
      </w:r>
      <w:r>
        <w:rPr>
          <w:rFonts w:hint="eastAsia" w:ascii="仿宋" w:hAnsi="仿宋" w:eastAsia="仿宋" w:cs="仿宋"/>
          <w:color w:val="000000"/>
          <w:kern w:val="0"/>
        </w:rPr>
        <w:t>http://www.ccgp-shaanxi.gov.cn/zcdservice/zcd/shanxi/）。</w:t>
      </w:r>
      <w:r>
        <w:rPr>
          <w:rFonts w:hint="eastAsia" w:ascii="仿宋" w:hAnsi="仿宋" w:eastAsia="仿宋" w:cs="仿宋"/>
          <w:color w:val="000000"/>
          <w:kern w:val="0"/>
        </w:rPr>
        <w:fldChar w:fldCharType="end"/>
      </w:r>
    </w:p>
    <w:p w14:paraId="349F6EE6">
      <w:pPr>
        <w:widowControl w:val="0"/>
        <w:wordWrap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b/>
          <w:bCs/>
          <w:color w:val="000000"/>
        </w:rPr>
        <w:t>本项目为专门面向中小企业采购的采购项目，因此，不再执行价格评审优惠扶持政策。</w:t>
      </w:r>
    </w:p>
    <w:p w14:paraId="27E532F0">
      <w:pPr>
        <w:pStyle w:val="4"/>
        <w:widowControl w:val="0"/>
        <w:spacing w:line="500" w:lineRule="exact"/>
        <w:ind w:firstLine="486" w:firstLineChars="200"/>
        <w:rPr>
          <w:rFonts w:hint="eastAsia" w:ascii="仿宋" w:hAnsi="仿宋" w:eastAsia="仿宋" w:cs="仿宋"/>
          <w:color w:val="000000"/>
          <w:sz w:val="28"/>
          <w:szCs w:val="28"/>
        </w:rPr>
      </w:pPr>
      <w:bookmarkStart w:id="157" w:name="_Toc8574"/>
      <w:bookmarkStart w:id="158" w:name="_Toc16521"/>
      <w:bookmarkStart w:id="159" w:name="_Toc19177"/>
      <w:bookmarkStart w:id="160" w:name="_Toc12457"/>
      <w:bookmarkStart w:id="161" w:name="_Toc31059"/>
      <w:r>
        <w:rPr>
          <w:rFonts w:hint="eastAsia" w:ascii="仿宋" w:hAnsi="仿宋" w:eastAsia="仿宋" w:cs="仿宋"/>
          <w:color w:val="000000"/>
          <w:sz w:val="24"/>
          <w:szCs w:val="24"/>
        </w:rPr>
        <w:t>备注：中小企业的定义参照本款第一至三条。</w:t>
      </w:r>
      <w:bookmarkEnd w:id="157"/>
      <w:bookmarkEnd w:id="158"/>
      <w:bookmarkEnd w:id="159"/>
      <w:bookmarkEnd w:id="160"/>
      <w:bookmarkEnd w:id="161"/>
    </w:p>
    <w:p w14:paraId="3A730AE2">
      <w:pPr>
        <w:pStyle w:val="4"/>
        <w:widowControl w:val="0"/>
        <w:spacing w:line="500" w:lineRule="exact"/>
        <w:ind w:firstLine="566" w:firstLineChars="200"/>
        <w:rPr>
          <w:rFonts w:hint="eastAsia" w:ascii="仿宋" w:hAnsi="仿宋" w:eastAsia="仿宋" w:cs="仿宋"/>
          <w:color w:val="000000"/>
          <w:sz w:val="28"/>
          <w:szCs w:val="28"/>
        </w:rPr>
      </w:pPr>
      <w:bookmarkStart w:id="162" w:name="_Toc15838"/>
      <w:bookmarkStart w:id="163" w:name="_Toc5007"/>
      <w:bookmarkStart w:id="164" w:name="_Toc7844"/>
      <w:bookmarkStart w:id="165" w:name="_Toc10662"/>
      <w:bookmarkStart w:id="166" w:name="_Toc14521"/>
      <w:r>
        <w:rPr>
          <w:rFonts w:hint="eastAsia" w:ascii="仿宋" w:hAnsi="仿宋" w:eastAsia="仿宋" w:cs="仿宋"/>
          <w:color w:val="000000"/>
          <w:sz w:val="28"/>
          <w:szCs w:val="28"/>
        </w:rPr>
        <w:t>（六）关于产品和服务</w:t>
      </w:r>
      <w:bookmarkEnd w:id="151"/>
      <w:bookmarkEnd w:id="152"/>
      <w:bookmarkEnd w:id="153"/>
      <w:bookmarkEnd w:id="154"/>
      <w:bookmarkEnd w:id="155"/>
      <w:bookmarkEnd w:id="156"/>
      <w:bookmarkEnd w:id="162"/>
      <w:bookmarkEnd w:id="163"/>
      <w:bookmarkEnd w:id="164"/>
      <w:bookmarkEnd w:id="165"/>
      <w:bookmarkEnd w:id="166"/>
    </w:p>
    <w:p w14:paraId="47AFC5C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14:paraId="11B9547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14:paraId="0E1AC958">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21420BCA">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根据《政府采购进口产品管理办法》（财库〔2007〕119号）与《关于政府采购进口产品管理有关问题的通知》（财办库[2008]248号）的有关规定，未经核准同意，供应商磋商时必须提供本国产品，供应商以进口产品参与磋商的，将作无效磋商处理。</w:t>
      </w:r>
    </w:p>
    <w:p w14:paraId="0896086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如磋商文件中已说明，经政府采购管理部门审核同意，允许部分或全部产品采购进口产品，供应商既可提供本国产品，也可以提供进口产品。在提供的进口产品中，优先采购向我国供应商转让技术、与我国供应商签订消化吸收再创新方案的供应商的进口产品。进口产品必须同时具备原产地证明、中国商检证明及合法进货渠道全套单证。</w:t>
      </w:r>
    </w:p>
    <w:p w14:paraId="7C9FD09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如采购的产品属于列入《网络关键设备和网络安全专用产品目录》（如目录有更新，以最新的为准）的网络安全专用产品的，供应商应当提供经安全检测或安全认证的产品或已经获得《计算机信息系统安全专用产品销售许可证》且尚在有效期内的产品。</w:t>
      </w:r>
    </w:p>
    <w:p w14:paraId="3A3B3208">
      <w:pPr>
        <w:pStyle w:val="4"/>
        <w:widowControl w:val="0"/>
        <w:spacing w:line="500" w:lineRule="exact"/>
        <w:ind w:firstLine="566" w:firstLineChars="200"/>
        <w:rPr>
          <w:rFonts w:hint="eastAsia" w:ascii="仿宋" w:hAnsi="仿宋" w:eastAsia="仿宋" w:cs="仿宋"/>
          <w:color w:val="000000"/>
          <w:sz w:val="28"/>
          <w:szCs w:val="28"/>
        </w:rPr>
      </w:pPr>
      <w:bookmarkStart w:id="167" w:name="_Toc20544"/>
      <w:bookmarkStart w:id="168" w:name="_Toc13203"/>
      <w:bookmarkStart w:id="169" w:name="_Toc8496"/>
      <w:bookmarkStart w:id="170" w:name="_Toc26211"/>
      <w:bookmarkStart w:id="171" w:name="_Toc27948"/>
      <w:bookmarkStart w:id="172" w:name="_Toc8680"/>
      <w:bookmarkStart w:id="173" w:name="_Toc8024"/>
      <w:bookmarkStart w:id="174" w:name="_Toc7045"/>
      <w:bookmarkStart w:id="175" w:name="_Toc4616"/>
      <w:bookmarkStart w:id="176" w:name="_Toc14421"/>
      <w:bookmarkStart w:id="177" w:name="_Toc27587"/>
      <w:r>
        <w:rPr>
          <w:rFonts w:hint="eastAsia" w:ascii="仿宋" w:hAnsi="仿宋" w:eastAsia="仿宋" w:cs="仿宋"/>
          <w:color w:val="000000"/>
          <w:sz w:val="28"/>
          <w:szCs w:val="28"/>
        </w:rPr>
        <w:t>（七）关于同一品牌产品的处理</w:t>
      </w:r>
      <w:bookmarkEnd w:id="167"/>
      <w:bookmarkEnd w:id="168"/>
      <w:bookmarkEnd w:id="169"/>
      <w:bookmarkEnd w:id="170"/>
      <w:bookmarkEnd w:id="171"/>
      <w:bookmarkEnd w:id="172"/>
      <w:bookmarkEnd w:id="173"/>
      <w:bookmarkEnd w:id="174"/>
      <w:bookmarkEnd w:id="175"/>
      <w:bookmarkEnd w:id="176"/>
      <w:bookmarkEnd w:id="177"/>
    </w:p>
    <w:p w14:paraId="118D66F0">
      <w:pPr>
        <w:spacing w:line="500" w:lineRule="exact"/>
        <w:ind w:firstLine="566" w:firstLineChars="200"/>
        <w:rPr>
          <w:rFonts w:hint="eastAsia" w:ascii="仿宋" w:hAnsi="仿宋" w:eastAsia="仿宋" w:cs="仿宋"/>
          <w:bCs/>
          <w:color w:val="000000"/>
        </w:rPr>
      </w:pPr>
      <w:r>
        <w:rPr>
          <w:rFonts w:hint="eastAsia" w:ascii="仿宋" w:hAnsi="仿宋" w:eastAsia="仿宋" w:cs="仿宋"/>
          <w:bCs/>
          <w:color w:val="000000"/>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783C40A7">
      <w:pPr>
        <w:widowControl w:val="0"/>
        <w:spacing w:line="500" w:lineRule="exact"/>
        <w:ind w:firstLine="566" w:firstLineChars="200"/>
        <w:rPr>
          <w:rFonts w:hint="eastAsia" w:ascii="仿宋" w:hAnsi="仿宋" w:eastAsia="仿宋" w:cs="仿宋"/>
          <w:bCs/>
          <w:color w:val="000000"/>
        </w:rPr>
      </w:pPr>
      <w:r>
        <w:rPr>
          <w:rFonts w:hint="eastAsia" w:ascii="仿宋" w:hAnsi="仿宋" w:eastAsia="仿宋" w:cs="仿宋"/>
          <w:bCs/>
          <w:color w:val="000000"/>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1C469B91">
      <w:pPr>
        <w:widowControl w:val="0"/>
        <w:spacing w:line="500" w:lineRule="exact"/>
        <w:ind w:firstLine="566" w:firstLineChars="200"/>
        <w:rPr>
          <w:rFonts w:hint="eastAsia" w:ascii="仿宋" w:hAnsi="仿宋" w:eastAsia="仿宋" w:cs="仿宋"/>
          <w:bCs/>
          <w:color w:val="000000"/>
        </w:rPr>
      </w:pPr>
      <w:r>
        <w:rPr>
          <w:rFonts w:hint="eastAsia" w:ascii="仿宋" w:hAnsi="仿宋" w:eastAsia="仿宋" w:cs="仿宋"/>
          <w:bCs/>
          <w:color w:val="000000"/>
        </w:rPr>
        <w:t>3、核心产品为两个以上时，多家供应商提供的核心产品有部分采用或全部采用相同品牌的，按一家供应商计算。</w:t>
      </w:r>
    </w:p>
    <w:p w14:paraId="0159C830">
      <w:pPr>
        <w:pStyle w:val="4"/>
        <w:widowControl w:val="0"/>
        <w:spacing w:line="500" w:lineRule="exact"/>
        <w:ind w:firstLine="566" w:firstLineChars="200"/>
        <w:rPr>
          <w:rFonts w:hint="eastAsia" w:ascii="仿宋" w:hAnsi="仿宋" w:eastAsia="仿宋" w:cs="仿宋"/>
          <w:color w:val="000000"/>
          <w:sz w:val="28"/>
          <w:szCs w:val="28"/>
        </w:rPr>
      </w:pPr>
      <w:bookmarkStart w:id="178" w:name="_Toc24108"/>
      <w:bookmarkStart w:id="179" w:name="_Toc26414"/>
      <w:bookmarkStart w:id="180" w:name="_Toc28988"/>
      <w:bookmarkStart w:id="181" w:name="_Toc11009"/>
      <w:bookmarkStart w:id="182" w:name="_Toc13431"/>
      <w:bookmarkStart w:id="183" w:name="_Toc14044"/>
      <w:bookmarkStart w:id="184" w:name="_Toc11747"/>
      <w:bookmarkStart w:id="185" w:name="_Toc13357"/>
      <w:bookmarkStart w:id="186" w:name="_Toc8711"/>
      <w:bookmarkStart w:id="187" w:name="_Toc17656"/>
      <w:bookmarkStart w:id="188" w:name="_Toc16906"/>
      <w:r>
        <w:rPr>
          <w:rFonts w:hint="eastAsia" w:ascii="仿宋" w:hAnsi="仿宋" w:eastAsia="仿宋" w:cs="仿宋"/>
          <w:color w:val="000000"/>
          <w:sz w:val="28"/>
          <w:szCs w:val="28"/>
        </w:rPr>
        <w:t>（八）知识产权与保密事项</w:t>
      </w:r>
      <w:bookmarkEnd w:id="178"/>
      <w:bookmarkEnd w:id="179"/>
      <w:bookmarkEnd w:id="180"/>
      <w:bookmarkEnd w:id="181"/>
      <w:bookmarkEnd w:id="182"/>
      <w:bookmarkEnd w:id="183"/>
      <w:bookmarkEnd w:id="184"/>
      <w:bookmarkEnd w:id="185"/>
      <w:bookmarkEnd w:id="186"/>
      <w:bookmarkEnd w:id="187"/>
      <w:bookmarkEnd w:id="188"/>
    </w:p>
    <w:p w14:paraId="27D0A2A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1、所有涉及知识产权的产品及设计，供应商必须确保采购人拥有其合法的、不受限制的无偿使用权，并免受任何侵权诉讼或索偿，否则，由此产生的一切经济损失和法律责任由供应商承担。</w:t>
      </w:r>
    </w:p>
    <w:p w14:paraId="4E9DCE73">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由采购人向供应商提供的用户需求书、图纸、样品、模型、模件和所有资料，供应商获得后，应对其保密。除非采购人同意，供应商不得向第三方透露或将其用于本次磋商以外的任何用途。开标后，若采购人有要求，供应商须归还采购人认为需保密的文件和资料，并销毁所有相应的备份文件及资料。</w:t>
      </w:r>
    </w:p>
    <w:p w14:paraId="22ADB074">
      <w:pPr>
        <w:pStyle w:val="4"/>
        <w:widowControl w:val="0"/>
        <w:spacing w:line="500" w:lineRule="exact"/>
        <w:ind w:firstLine="566" w:firstLineChars="200"/>
        <w:rPr>
          <w:rFonts w:hint="eastAsia" w:ascii="仿宋" w:hAnsi="仿宋" w:eastAsia="仿宋" w:cs="仿宋"/>
          <w:color w:val="000000"/>
          <w:sz w:val="28"/>
          <w:szCs w:val="28"/>
        </w:rPr>
      </w:pPr>
      <w:bookmarkStart w:id="189" w:name="_Toc20526"/>
      <w:bookmarkStart w:id="190" w:name="_Toc6418"/>
      <w:bookmarkStart w:id="191" w:name="_Toc9761"/>
      <w:bookmarkStart w:id="192" w:name="_Toc27231"/>
      <w:bookmarkStart w:id="193" w:name="_Toc22405"/>
      <w:bookmarkStart w:id="194" w:name="_Toc7162"/>
      <w:bookmarkStart w:id="195" w:name="_Toc12243"/>
      <w:bookmarkStart w:id="196" w:name="_Toc8678"/>
      <w:bookmarkStart w:id="197" w:name="_Toc18494"/>
      <w:bookmarkStart w:id="198" w:name="_Toc19717"/>
      <w:bookmarkStart w:id="199" w:name="_Toc21084"/>
      <w:r>
        <w:rPr>
          <w:rFonts w:hint="eastAsia" w:ascii="仿宋" w:hAnsi="仿宋" w:eastAsia="仿宋" w:cs="仿宋"/>
          <w:color w:val="000000"/>
          <w:sz w:val="28"/>
          <w:szCs w:val="28"/>
        </w:rPr>
        <w:t>（九）供应商的磋商费用自理</w:t>
      </w:r>
      <w:bookmarkEnd w:id="189"/>
      <w:bookmarkEnd w:id="190"/>
      <w:bookmarkEnd w:id="191"/>
      <w:bookmarkEnd w:id="192"/>
      <w:bookmarkEnd w:id="193"/>
      <w:bookmarkEnd w:id="194"/>
      <w:bookmarkEnd w:id="195"/>
      <w:bookmarkEnd w:id="196"/>
      <w:bookmarkEnd w:id="197"/>
      <w:bookmarkEnd w:id="198"/>
      <w:bookmarkEnd w:id="199"/>
    </w:p>
    <w:p w14:paraId="0686959E">
      <w:pPr>
        <w:pStyle w:val="4"/>
        <w:widowControl w:val="0"/>
        <w:spacing w:line="500" w:lineRule="exact"/>
        <w:ind w:firstLine="566" w:firstLineChars="200"/>
        <w:rPr>
          <w:rFonts w:hint="eastAsia" w:ascii="仿宋" w:hAnsi="仿宋" w:eastAsia="仿宋" w:cs="仿宋"/>
          <w:color w:val="000000"/>
          <w:sz w:val="28"/>
          <w:szCs w:val="28"/>
        </w:rPr>
      </w:pPr>
      <w:bookmarkStart w:id="200" w:name="_Toc24468"/>
      <w:bookmarkStart w:id="201" w:name="_Toc7599"/>
      <w:bookmarkStart w:id="202" w:name="_Toc4172"/>
      <w:bookmarkStart w:id="203" w:name="_Toc25473"/>
      <w:bookmarkStart w:id="204" w:name="_Toc21647"/>
      <w:r>
        <w:rPr>
          <w:rFonts w:hint="eastAsia" w:ascii="仿宋" w:hAnsi="仿宋" w:eastAsia="仿宋" w:cs="仿宋"/>
          <w:color w:val="000000"/>
          <w:sz w:val="28"/>
          <w:szCs w:val="28"/>
        </w:rPr>
        <w:t>三、</w:t>
      </w:r>
      <w:bookmarkEnd w:id="200"/>
      <w:r>
        <w:rPr>
          <w:rFonts w:hint="eastAsia" w:ascii="仿宋" w:hAnsi="仿宋" w:eastAsia="仿宋" w:cs="仿宋"/>
          <w:color w:val="000000"/>
          <w:sz w:val="28"/>
          <w:szCs w:val="28"/>
        </w:rPr>
        <w:t>磋商文件</w:t>
      </w:r>
      <w:bookmarkEnd w:id="201"/>
      <w:bookmarkEnd w:id="202"/>
      <w:bookmarkEnd w:id="203"/>
      <w:bookmarkEnd w:id="204"/>
    </w:p>
    <w:p w14:paraId="729F7392">
      <w:pPr>
        <w:pStyle w:val="4"/>
        <w:widowControl w:val="0"/>
        <w:spacing w:line="500" w:lineRule="exact"/>
        <w:ind w:firstLine="566" w:firstLineChars="200"/>
        <w:rPr>
          <w:rFonts w:hint="eastAsia" w:ascii="仿宋" w:hAnsi="仿宋" w:eastAsia="仿宋" w:cs="仿宋"/>
          <w:color w:val="000000"/>
          <w:sz w:val="28"/>
          <w:szCs w:val="28"/>
        </w:rPr>
      </w:pPr>
      <w:bookmarkStart w:id="205" w:name="_Toc6250"/>
      <w:bookmarkStart w:id="206" w:name="_Toc9775"/>
      <w:bookmarkStart w:id="207" w:name="_Toc24360"/>
      <w:bookmarkStart w:id="208" w:name="_Toc11989"/>
      <w:bookmarkStart w:id="209" w:name="_Toc31772"/>
      <w:bookmarkStart w:id="210" w:name="_Toc14777"/>
      <w:bookmarkStart w:id="211" w:name="_Toc24925"/>
      <w:bookmarkStart w:id="212" w:name="_Toc5482"/>
      <w:bookmarkStart w:id="213" w:name="_Toc6330"/>
      <w:bookmarkStart w:id="214" w:name="_Toc2499"/>
      <w:bookmarkStart w:id="215" w:name="_Toc21427"/>
      <w:r>
        <w:rPr>
          <w:rFonts w:hint="eastAsia" w:ascii="仿宋" w:hAnsi="仿宋" w:eastAsia="仿宋" w:cs="仿宋"/>
          <w:color w:val="000000"/>
          <w:sz w:val="28"/>
          <w:szCs w:val="28"/>
        </w:rPr>
        <w:t>（一）磋商文件包括下列内容</w:t>
      </w:r>
      <w:bookmarkEnd w:id="205"/>
      <w:bookmarkEnd w:id="206"/>
      <w:bookmarkEnd w:id="207"/>
      <w:bookmarkEnd w:id="208"/>
      <w:bookmarkEnd w:id="209"/>
      <w:bookmarkEnd w:id="210"/>
      <w:bookmarkEnd w:id="211"/>
      <w:bookmarkEnd w:id="212"/>
      <w:bookmarkEnd w:id="213"/>
      <w:bookmarkEnd w:id="214"/>
      <w:bookmarkEnd w:id="215"/>
    </w:p>
    <w:p w14:paraId="40F2E26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第一章　磋商邀请函</w:t>
      </w:r>
    </w:p>
    <w:p w14:paraId="593B5E03">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第二章　供应商须知</w:t>
      </w:r>
    </w:p>
    <w:p w14:paraId="5AE89DA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第三章　磋商内容及采购要求</w:t>
      </w:r>
    </w:p>
    <w:p w14:paraId="0A265268">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第四章　合同草案条款</w:t>
      </w:r>
    </w:p>
    <w:p w14:paraId="398A74D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第五章　响应文件构成及格式</w:t>
      </w:r>
    </w:p>
    <w:p w14:paraId="38D782EA">
      <w:pPr>
        <w:pStyle w:val="4"/>
        <w:widowControl w:val="0"/>
        <w:spacing w:line="500" w:lineRule="exact"/>
        <w:ind w:firstLine="566" w:firstLineChars="200"/>
        <w:rPr>
          <w:rFonts w:hint="eastAsia" w:ascii="仿宋" w:hAnsi="仿宋" w:eastAsia="仿宋" w:cs="仿宋"/>
          <w:color w:val="000000"/>
          <w:sz w:val="28"/>
          <w:szCs w:val="28"/>
        </w:rPr>
      </w:pPr>
      <w:bookmarkStart w:id="216" w:name="_Toc12109"/>
      <w:bookmarkStart w:id="217" w:name="_Toc23491"/>
      <w:bookmarkStart w:id="218" w:name="_Toc10770"/>
      <w:bookmarkStart w:id="219" w:name="_Toc20821"/>
      <w:bookmarkStart w:id="220" w:name="_Toc16023"/>
      <w:bookmarkStart w:id="221" w:name="_Toc17154"/>
      <w:bookmarkStart w:id="222" w:name="_Toc17501"/>
      <w:bookmarkStart w:id="223" w:name="_Toc5020"/>
      <w:bookmarkStart w:id="224" w:name="_Toc15437"/>
      <w:bookmarkStart w:id="225" w:name="_Toc9316"/>
      <w:bookmarkStart w:id="226" w:name="_Toc11973"/>
      <w:r>
        <w:rPr>
          <w:rFonts w:hint="eastAsia" w:ascii="仿宋" w:hAnsi="仿宋" w:eastAsia="仿宋" w:cs="仿宋"/>
          <w:color w:val="000000"/>
          <w:sz w:val="28"/>
          <w:szCs w:val="28"/>
        </w:rPr>
        <w:t>（二）磋商文件的检查及阅读</w:t>
      </w:r>
      <w:bookmarkEnd w:id="216"/>
      <w:bookmarkEnd w:id="217"/>
      <w:bookmarkEnd w:id="218"/>
      <w:bookmarkEnd w:id="219"/>
      <w:bookmarkEnd w:id="220"/>
      <w:bookmarkEnd w:id="221"/>
      <w:bookmarkEnd w:id="222"/>
      <w:bookmarkEnd w:id="223"/>
      <w:bookmarkEnd w:id="224"/>
      <w:bookmarkEnd w:id="225"/>
      <w:bookmarkEnd w:id="226"/>
    </w:p>
    <w:p w14:paraId="408D62EC">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3A77441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项目废标后重新组织招标的，陕西省省级单位政府采购中心将重新编制、发布新版磋商文件，供应商应按新版磋商文件重新编制响应文件。原磋商文件及响应文件失效。</w:t>
      </w:r>
    </w:p>
    <w:p w14:paraId="44B5039A">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响应文件封面、响应函以及法定代表人授权委托书三处的项目名称、项目编号、标段（如有）应当与最新发布的磋商文件保持一致，否则将被视为无效响应文件。</w:t>
      </w:r>
    </w:p>
    <w:p w14:paraId="0950017E">
      <w:pPr>
        <w:pStyle w:val="4"/>
        <w:widowControl w:val="0"/>
        <w:spacing w:line="500" w:lineRule="exact"/>
        <w:ind w:firstLine="566" w:firstLineChars="200"/>
        <w:rPr>
          <w:rFonts w:hint="eastAsia" w:ascii="仿宋" w:hAnsi="仿宋" w:eastAsia="仿宋" w:cs="仿宋"/>
          <w:color w:val="000000"/>
          <w:sz w:val="28"/>
          <w:szCs w:val="28"/>
        </w:rPr>
      </w:pPr>
      <w:bookmarkStart w:id="227" w:name="_Toc2096"/>
      <w:bookmarkStart w:id="228" w:name="_Toc30912"/>
      <w:bookmarkStart w:id="229" w:name="_Toc3295"/>
      <w:bookmarkStart w:id="230" w:name="_Toc27564"/>
      <w:bookmarkStart w:id="231" w:name="_Toc29397"/>
      <w:bookmarkStart w:id="232" w:name="_Toc15309"/>
      <w:bookmarkStart w:id="233" w:name="_Toc1771"/>
      <w:bookmarkStart w:id="234" w:name="_Toc8999"/>
      <w:bookmarkStart w:id="235" w:name="_Toc24326"/>
      <w:bookmarkStart w:id="236" w:name="_Toc163"/>
      <w:bookmarkStart w:id="237" w:name="_Toc6784"/>
      <w:r>
        <w:rPr>
          <w:rFonts w:hint="eastAsia" w:ascii="仿宋" w:hAnsi="仿宋" w:eastAsia="仿宋" w:cs="仿宋"/>
          <w:color w:val="000000"/>
          <w:sz w:val="28"/>
          <w:szCs w:val="28"/>
        </w:rPr>
        <w:t>（三）磋商文件的修改、澄清</w:t>
      </w:r>
      <w:bookmarkEnd w:id="227"/>
      <w:bookmarkEnd w:id="228"/>
      <w:bookmarkEnd w:id="229"/>
      <w:bookmarkEnd w:id="230"/>
      <w:bookmarkEnd w:id="231"/>
      <w:bookmarkEnd w:id="232"/>
      <w:bookmarkEnd w:id="233"/>
      <w:bookmarkEnd w:id="234"/>
      <w:bookmarkEnd w:id="235"/>
      <w:bookmarkEnd w:id="236"/>
      <w:bookmarkEnd w:id="237"/>
    </w:p>
    <w:p w14:paraId="6E7D144D">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5日前，在财政部门指定的政府采购信息发布媒体上</w:t>
      </w:r>
      <w:r>
        <w:rPr>
          <w:rFonts w:hint="eastAsia" w:ascii="仿宋" w:hAnsi="仿宋" w:eastAsia="仿宋" w:cs="仿宋"/>
          <w:b/>
          <w:bCs/>
          <w:color w:val="000000"/>
        </w:rPr>
        <w:t>发布更正公告</w:t>
      </w:r>
      <w:r>
        <w:rPr>
          <w:rFonts w:hint="eastAsia" w:ascii="仿宋" w:hAnsi="仿宋" w:eastAsia="仿宋" w:cs="仿宋"/>
          <w:color w:val="000000"/>
        </w:rPr>
        <w:t>；不足5日，陕西省省级单位政府采购中心将顺延提交响应文件的截止时间。</w:t>
      </w:r>
    </w:p>
    <w:p w14:paraId="15DE0FAA">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供应商对磋商文件提出质疑的，应在获取磋商文件之日起起7个工作日内以书面形式提出，采购人以书面形式予以答复；在此之后提出的针对磋商文件的质疑为无效质疑。答复的内容可能影响响应文件编制的，陕西省省级单位政府采购中心将在财政部门指定的政府采购信息发布媒体上</w:t>
      </w:r>
      <w:r>
        <w:rPr>
          <w:rFonts w:hint="eastAsia" w:ascii="仿宋" w:hAnsi="仿宋" w:eastAsia="仿宋" w:cs="仿宋"/>
          <w:b/>
          <w:bCs/>
          <w:color w:val="000000"/>
        </w:rPr>
        <w:t>发布更正公告</w:t>
      </w:r>
      <w:r>
        <w:rPr>
          <w:rFonts w:hint="eastAsia" w:ascii="仿宋" w:hAnsi="仿宋" w:eastAsia="仿宋" w:cs="仿宋"/>
          <w:color w:val="000000"/>
        </w:rPr>
        <w:t>。</w:t>
      </w:r>
    </w:p>
    <w:p w14:paraId="33773359">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仿宋" w:hAnsi="仿宋" w:eastAsia="仿宋" w:cs="仿宋"/>
          <w:b/>
          <w:bCs/>
          <w:color w:val="000000"/>
        </w:rPr>
        <w:t>不再单独通知，因供应商未及时关注所造成的一切后果由供应商自行承担：</w:t>
      </w:r>
    </w:p>
    <w:p w14:paraId="4C929C36">
      <w:pPr>
        <w:wordWrap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Style w:val="36"/>
          <w:rFonts w:hint="eastAsia" w:ascii="仿宋" w:hAnsi="仿宋" w:eastAsia="仿宋" w:cs="仿宋"/>
          <w:color w:val="000000"/>
          <w:sz w:val="28"/>
          <w:szCs w:val="28"/>
        </w:rPr>
        <w:t>陕西省政府采购网</w:t>
      </w:r>
      <w:r>
        <w:rPr>
          <w:rStyle w:val="36"/>
          <w:rFonts w:hint="eastAsia" w:ascii="仿宋" w:hAnsi="仿宋" w:eastAsia="仿宋" w:cs="仿宋"/>
          <w:color w:val="000000"/>
          <w:sz w:val="28"/>
          <w:szCs w:val="28"/>
        </w:rPr>
        <w:fldChar w:fldCharType="end"/>
      </w:r>
      <w:r>
        <w:rPr>
          <w:rFonts w:hint="eastAsia" w:ascii="仿宋" w:hAnsi="仿宋" w:eastAsia="仿宋" w:cs="仿宋"/>
          <w:color w:val="000000"/>
        </w:rPr>
        <w:t>（www.ccgp-shaanxi.gov.cn）】中的〖首页·〉省级公告·〉更正公告〗；</w:t>
      </w:r>
    </w:p>
    <w:p w14:paraId="0CE4D9D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（2）【全国公共资源交易平台（陕西省）</w:t>
      </w:r>
      <w:r>
        <w:rPr>
          <w:rFonts w:hint="eastAsia" w:ascii="仿宋" w:hAnsi="仿宋" w:eastAsia="仿宋" w:cs="仿宋"/>
          <w:color w:val="000000"/>
          <w:kern w:val="0"/>
        </w:rPr>
        <w:t>（</w:t>
      </w:r>
      <w:r>
        <w:rPr>
          <w:rFonts w:hint="eastAsia" w:ascii="仿宋" w:hAnsi="仿宋" w:eastAsia="仿宋" w:cs="仿宋"/>
          <w:color w:val="000000"/>
        </w:rPr>
        <w:t>http://www.sxggzyjy.cn/</w:t>
      </w:r>
      <w:r>
        <w:rPr>
          <w:rFonts w:hint="eastAsia" w:ascii="仿宋" w:hAnsi="仿宋" w:eastAsia="仿宋" w:cs="仿宋"/>
          <w:color w:val="000000"/>
          <w:kern w:val="0"/>
        </w:rPr>
        <w:t>）</w:t>
      </w:r>
      <w:r>
        <w:rPr>
          <w:rFonts w:hint="eastAsia" w:ascii="仿宋" w:hAnsi="仿宋" w:eastAsia="仿宋" w:cs="仿宋"/>
          <w:color w:val="000000"/>
        </w:rPr>
        <w:t>】中的〖首页·〉交易大厅·〉政府采购〗。</w:t>
      </w:r>
    </w:p>
    <w:p w14:paraId="17C0BF3A">
      <w:pPr>
        <w:pStyle w:val="4"/>
        <w:widowControl w:val="0"/>
        <w:spacing w:line="500" w:lineRule="exact"/>
        <w:ind w:firstLine="566" w:firstLineChars="200"/>
        <w:rPr>
          <w:rFonts w:hint="eastAsia" w:ascii="仿宋" w:hAnsi="仿宋" w:eastAsia="仿宋" w:cs="仿宋"/>
          <w:color w:val="000000"/>
          <w:sz w:val="28"/>
          <w:szCs w:val="28"/>
        </w:rPr>
      </w:pPr>
      <w:bookmarkStart w:id="238" w:name="_Toc3288"/>
      <w:bookmarkStart w:id="239" w:name="_Toc5846"/>
      <w:bookmarkStart w:id="240" w:name="_Toc24054"/>
      <w:bookmarkStart w:id="241" w:name="_Toc27253"/>
      <w:bookmarkStart w:id="242" w:name="_Toc2804"/>
      <w:bookmarkStart w:id="243" w:name="_Toc6011"/>
      <w:bookmarkStart w:id="244" w:name="_Toc9031"/>
      <w:bookmarkStart w:id="245" w:name="_Toc28038"/>
      <w:bookmarkStart w:id="246" w:name="_Toc11980"/>
      <w:bookmarkStart w:id="247" w:name="_Toc22396"/>
      <w:bookmarkStart w:id="248" w:name="_Toc27500"/>
      <w:r>
        <w:rPr>
          <w:rFonts w:hint="eastAsia" w:ascii="仿宋" w:hAnsi="仿宋" w:eastAsia="仿宋" w:cs="仿宋"/>
          <w:color w:val="000000"/>
          <w:sz w:val="28"/>
          <w:szCs w:val="28"/>
        </w:rPr>
        <w:t>（四）磋商文件的解释权归陕西省省级单位政府采购中心</w:t>
      </w:r>
      <w:bookmarkEnd w:id="238"/>
      <w:bookmarkEnd w:id="239"/>
      <w:bookmarkEnd w:id="240"/>
      <w:bookmarkEnd w:id="241"/>
      <w:bookmarkEnd w:id="242"/>
      <w:bookmarkEnd w:id="243"/>
      <w:bookmarkEnd w:id="244"/>
      <w:bookmarkEnd w:id="245"/>
      <w:bookmarkEnd w:id="246"/>
      <w:bookmarkEnd w:id="247"/>
      <w:bookmarkEnd w:id="248"/>
    </w:p>
    <w:p w14:paraId="2351FAE1">
      <w:pPr>
        <w:pStyle w:val="4"/>
        <w:widowControl w:val="0"/>
        <w:spacing w:line="500" w:lineRule="exact"/>
        <w:ind w:firstLine="566" w:firstLineChars="200"/>
        <w:rPr>
          <w:rFonts w:hint="eastAsia" w:ascii="仿宋" w:hAnsi="仿宋" w:eastAsia="仿宋" w:cs="仿宋"/>
          <w:color w:val="000000"/>
          <w:sz w:val="28"/>
          <w:szCs w:val="28"/>
        </w:rPr>
      </w:pPr>
      <w:bookmarkStart w:id="249" w:name="_Toc28026"/>
      <w:bookmarkStart w:id="250" w:name="_Toc1979"/>
      <w:bookmarkStart w:id="251" w:name="_Toc5242"/>
      <w:bookmarkStart w:id="252" w:name="_Toc14376"/>
      <w:bookmarkStart w:id="253" w:name="_Toc1001"/>
      <w:r>
        <w:rPr>
          <w:rFonts w:hint="eastAsia" w:ascii="仿宋" w:hAnsi="仿宋" w:eastAsia="仿宋" w:cs="仿宋"/>
          <w:color w:val="000000"/>
          <w:sz w:val="28"/>
          <w:szCs w:val="28"/>
        </w:rPr>
        <w:t>四、磋商报价</w:t>
      </w:r>
      <w:bookmarkEnd w:id="249"/>
      <w:bookmarkEnd w:id="250"/>
      <w:bookmarkEnd w:id="251"/>
      <w:bookmarkEnd w:id="252"/>
      <w:bookmarkEnd w:id="253"/>
    </w:p>
    <w:p w14:paraId="227F4C8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磋商报价是供应商响应本项目要求的全部工作内容的价格体现，包括完成采购内容所需的直接费、间接费、利润、税金及其它相关的一切费用。供应商在报价时应充分考虑所有可能发生的费用，</w:t>
      </w:r>
      <w:r>
        <w:rPr>
          <w:rFonts w:hint="eastAsia" w:ascii="仿宋" w:hAnsi="仿宋" w:eastAsia="仿宋" w:cs="仿宋"/>
          <w:color w:val="000000"/>
          <w:lang w:val="zh-CN"/>
        </w:rPr>
        <w:t>磋商</w:t>
      </w:r>
      <w:r>
        <w:rPr>
          <w:rFonts w:hint="eastAsia" w:ascii="仿宋" w:hAnsi="仿宋" w:eastAsia="仿宋" w:cs="仿宋"/>
          <w:color w:val="000000"/>
        </w:rPr>
        <w:t>文件未列明，而供应商认为应当计取的费用均应列入报价中。报价时不论是否计取，采购人均按已计取对待。</w:t>
      </w:r>
    </w:p>
    <w:p w14:paraId="3417EFD7">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（一）供应商应按照《响应文件构成及格式》中《第一次磋商报价表》中的相关要求填写需要响应的内容。</w:t>
      </w:r>
    </w:p>
    <w:p w14:paraId="10F53E5A">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二）磋商报价采取多轮报价的办法，最后报价作为计算价格分值的依据。供应商应在磋商当天，磋商小组规定的报价时间内，使用制作响应文件的数字认证证书（CA锁）登录全国公共资源交易平台（陕西省）网站〖首页·〉电子交易平台·〉供应商端〗后，在〖我的项目〗下找到本次磋商的项目，填写最后报价表，签章并提交。</w:t>
      </w:r>
    </w:p>
    <w:p w14:paraId="167A7CC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14:paraId="3B91806D">
      <w:pPr>
        <w:pStyle w:val="7"/>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“规定时间”由现场工作人员具体确定。</w:t>
      </w:r>
    </w:p>
    <w:p w14:paraId="783E6893">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供应商最终报价较首次报价降价的，成交后，签订合同时应按照成交价较首次报价的下浮比率修改分项报价表中的相应报价。</w:t>
      </w:r>
    </w:p>
    <w:p w14:paraId="509FCFA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w:t>
      </w:r>
      <w:r>
        <w:rPr>
          <w:rFonts w:hint="eastAsia" w:ascii="仿宋" w:hAnsi="仿宋" w:eastAsia="仿宋" w:cs="仿宋"/>
          <w:color w:val="000000"/>
          <w:lang w:val="zh-CN"/>
        </w:rPr>
        <w:t>磋商</w:t>
      </w:r>
      <w:r>
        <w:rPr>
          <w:rFonts w:hint="eastAsia" w:ascii="仿宋" w:hAnsi="仿宋" w:eastAsia="仿宋" w:cs="仿宋"/>
          <w:color w:val="000000"/>
        </w:rPr>
        <w:t>报价货币：</w:t>
      </w:r>
      <w:r>
        <w:rPr>
          <w:rFonts w:hint="eastAsia" w:ascii="仿宋" w:hAnsi="仿宋" w:eastAsia="仿宋" w:cs="仿宋"/>
          <w:b/>
          <w:color w:val="000000"/>
        </w:rPr>
        <w:t>人民币</w:t>
      </w:r>
      <w:r>
        <w:rPr>
          <w:rFonts w:hint="eastAsia" w:ascii="仿宋" w:hAnsi="仿宋" w:eastAsia="仿宋" w:cs="仿宋"/>
          <w:color w:val="000000"/>
        </w:rPr>
        <w:t>；</w:t>
      </w:r>
      <w:r>
        <w:rPr>
          <w:rFonts w:hint="eastAsia" w:ascii="仿宋" w:hAnsi="仿宋" w:eastAsia="仿宋" w:cs="仿宋"/>
          <w:b/>
          <w:bCs/>
          <w:color w:val="000000"/>
        </w:rPr>
        <w:t>单位：元</w:t>
      </w:r>
      <w:r>
        <w:rPr>
          <w:rFonts w:ascii="仿宋" w:hAnsi="仿宋" w:eastAsia="仿宋" w:cs="仿宋"/>
          <w:b/>
          <w:bCs/>
          <w:color w:val="000000"/>
          <w:sz w:val="28"/>
          <w:szCs w:val="28"/>
        </w:rPr>
        <w:t>（报价最多保留到小数点后 两位）。</w:t>
      </w:r>
    </w:p>
    <w:p w14:paraId="0CFBCAC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（五）磋商报价大小写不一致的以大写为准。</w:t>
      </w:r>
    </w:p>
    <w:p w14:paraId="3F5D0B1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（六）因供应商对磋商文件理解不透、误解、疏漏或对市场行情了解不清造成的后果和风险，均由供应商自己负责。</w:t>
      </w:r>
    </w:p>
    <w:p w14:paraId="3D513599">
      <w:pPr>
        <w:pStyle w:val="4"/>
        <w:widowControl w:val="0"/>
        <w:spacing w:line="500" w:lineRule="exact"/>
        <w:ind w:firstLine="566" w:firstLineChars="200"/>
        <w:rPr>
          <w:rFonts w:hint="eastAsia" w:ascii="仿宋" w:hAnsi="仿宋" w:eastAsia="仿宋" w:cs="仿宋"/>
          <w:color w:val="000000"/>
          <w:sz w:val="28"/>
          <w:szCs w:val="28"/>
        </w:rPr>
      </w:pPr>
      <w:bookmarkStart w:id="254" w:name="_Toc31692"/>
      <w:bookmarkStart w:id="255" w:name="_Toc7451"/>
      <w:bookmarkStart w:id="256" w:name="_Toc6872"/>
      <w:bookmarkStart w:id="257" w:name="_Toc25929"/>
      <w:bookmarkStart w:id="258" w:name="_Toc19026"/>
      <w:r>
        <w:rPr>
          <w:rFonts w:hint="eastAsia" w:ascii="仿宋" w:hAnsi="仿宋" w:eastAsia="仿宋" w:cs="仿宋"/>
          <w:color w:val="000000"/>
          <w:sz w:val="28"/>
          <w:szCs w:val="28"/>
        </w:rPr>
        <w:t>五、</w:t>
      </w:r>
      <w:bookmarkEnd w:id="254"/>
      <w:r>
        <w:rPr>
          <w:rFonts w:hint="eastAsia" w:ascii="仿宋" w:hAnsi="仿宋" w:eastAsia="仿宋" w:cs="仿宋"/>
          <w:color w:val="000000"/>
          <w:sz w:val="28"/>
          <w:szCs w:val="28"/>
        </w:rPr>
        <w:t>响应文件</w:t>
      </w:r>
      <w:bookmarkEnd w:id="255"/>
      <w:bookmarkEnd w:id="256"/>
      <w:bookmarkEnd w:id="257"/>
      <w:bookmarkEnd w:id="258"/>
    </w:p>
    <w:p w14:paraId="00C502FB">
      <w:pPr>
        <w:pStyle w:val="4"/>
        <w:widowControl w:val="0"/>
        <w:spacing w:line="500" w:lineRule="exact"/>
        <w:ind w:firstLine="566" w:firstLineChars="200"/>
        <w:rPr>
          <w:rFonts w:hint="eastAsia" w:ascii="仿宋" w:hAnsi="仿宋" w:eastAsia="仿宋" w:cs="仿宋"/>
          <w:color w:val="000000"/>
          <w:sz w:val="28"/>
          <w:szCs w:val="28"/>
        </w:rPr>
      </w:pPr>
      <w:bookmarkStart w:id="259" w:name="_Toc25351"/>
      <w:bookmarkStart w:id="260" w:name="_Toc1832"/>
      <w:bookmarkStart w:id="261" w:name="_Toc29620"/>
      <w:bookmarkStart w:id="262" w:name="_Toc4717"/>
      <w:bookmarkStart w:id="263" w:name="_Toc11403"/>
      <w:bookmarkStart w:id="264" w:name="_Toc7"/>
      <w:bookmarkStart w:id="265" w:name="_Toc30764"/>
      <w:bookmarkStart w:id="266" w:name="_Toc32245"/>
      <w:bookmarkStart w:id="267" w:name="_Toc32439"/>
      <w:bookmarkStart w:id="268" w:name="_Toc10242"/>
      <w:bookmarkStart w:id="269" w:name="_Toc8984"/>
      <w:r>
        <w:rPr>
          <w:rFonts w:hint="eastAsia" w:ascii="仿宋" w:hAnsi="仿宋" w:eastAsia="仿宋" w:cs="仿宋"/>
          <w:color w:val="000000"/>
          <w:sz w:val="28"/>
          <w:szCs w:val="28"/>
        </w:rPr>
        <w:t>（一）响应文件形式</w:t>
      </w:r>
      <w:bookmarkEnd w:id="259"/>
      <w:bookmarkEnd w:id="260"/>
      <w:bookmarkEnd w:id="261"/>
      <w:bookmarkEnd w:id="262"/>
      <w:bookmarkEnd w:id="263"/>
      <w:bookmarkEnd w:id="264"/>
      <w:bookmarkEnd w:id="265"/>
      <w:bookmarkEnd w:id="266"/>
      <w:bookmarkEnd w:id="267"/>
      <w:bookmarkEnd w:id="268"/>
      <w:bookmarkEnd w:id="269"/>
    </w:p>
    <w:p w14:paraId="45988BA8">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本项目采用电子响应文件的形式。</w:t>
      </w:r>
    </w:p>
    <w:p w14:paraId="3698DD27">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编制电子响应文件时，应使用最新发布的电子磋商文件及专用制作工具进行编制。并使用数字认证证书（CA锁）对电子响应文件进行签署、加密、递交及磋商时解密等相关操作。</w:t>
      </w:r>
    </w:p>
    <w:p w14:paraId="1B806741">
      <w:pPr>
        <w:widowControl w:val="0"/>
        <w:spacing w:line="500" w:lineRule="exact"/>
        <w:ind w:firstLine="566" w:firstLineChars="200"/>
        <w:rPr>
          <w:rFonts w:hint="eastAsia" w:ascii="仿宋" w:hAnsi="仿宋" w:eastAsia="仿宋" w:cs="仿宋"/>
          <w:color w:val="000000"/>
        </w:rPr>
      </w:pPr>
      <w:bookmarkStart w:id="270" w:name="_Toc12406"/>
      <w:bookmarkStart w:id="271" w:name="_Toc14227"/>
      <w:bookmarkStart w:id="272" w:name="_Toc8183"/>
      <w:r>
        <w:rPr>
          <w:rFonts w:hint="eastAsia" w:ascii="仿宋" w:hAnsi="仿宋" w:eastAsia="仿宋" w:cs="仿宋"/>
          <w:color w:val="000000"/>
        </w:rPr>
        <w:t>1、电子磋商文件下载。供应商登录全国公共资源交易平台（陕西省）网站〖首页·〉电子交易平台·〉供应商端〗后，在〖招标公告/出让公告〗模块中选择项目点击“我要投标”，参与投标活动。然后即可在〖我的项目〗中点击“项目流程&gt;交易文件下载”下载电子磋商文件（*.SXSZF）。</w:t>
      </w:r>
    </w:p>
    <w:p w14:paraId="0EE2F7D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注意：该项目如有变更文件，则应点击“项目流程&gt;答疑文件下载”下载更新后的电子磋商文件（*.SXSCF），</w:t>
      </w:r>
      <w:r>
        <w:rPr>
          <w:rFonts w:hint="eastAsia" w:ascii="仿宋" w:hAnsi="仿宋" w:eastAsia="仿宋" w:cs="仿宋"/>
          <w:b/>
          <w:bCs/>
          <w:color w:val="000000"/>
        </w:rPr>
        <w:t>使用旧版电子磋商文件制作的电子响应文件，系统将拒绝接收。</w:t>
      </w:r>
    </w:p>
    <w:p w14:paraId="0B1B9CE8">
      <w:pPr>
        <w:widowControl w:val="0"/>
        <w:numPr>
          <w:ilvl w:val="0"/>
          <w:numId w:val="1"/>
        </w:num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14:paraId="5761FB3E">
      <w:pPr>
        <w:widowControl w:val="0"/>
        <w:numPr>
          <w:ilvl w:val="0"/>
          <w:numId w:val="1"/>
        </w:num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制作电子响应文件。电子响应文件同样需要使用上述软件进行编制。在编制过程中，如有技术性问题，请先翻阅操作手册，或致电软件开发商。</w:t>
      </w:r>
      <w:r>
        <w:rPr>
          <w:rFonts w:hint="eastAsia" w:ascii="仿宋" w:hAnsi="仿宋" w:eastAsia="仿宋" w:cs="仿宋"/>
          <w:b/>
          <w:bCs/>
          <w:color w:val="000000"/>
        </w:rPr>
        <w:t>技术支持热线：4009980000。</w:t>
      </w:r>
    </w:p>
    <w:p w14:paraId="43EF766B">
      <w:pPr>
        <w:pStyle w:val="4"/>
        <w:widowControl w:val="0"/>
        <w:spacing w:line="500" w:lineRule="exact"/>
        <w:ind w:firstLine="566" w:firstLineChars="200"/>
        <w:rPr>
          <w:rFonts w:hint="eastAsia" w:ascii="仿宋" w:hAnsi="仿宋" w:eastAsia="仿宋" w:cs="仿宋"/>
          <w:color w:val="000000"/>
          <w:sz w:val="28"/>
          <w:szCs w:val="28"/>
        </w:rPr>
      </w:pPr>
      <w:bookmarkStart w:id="273" w:name="_Toc15710"/>
      <w:bookmarkStart w:id="274" w:name="_Toc31314"/>
      <w:bookmarkStart w:id="275" w:name="_Toc6315"/>
      <w:bookmarkStart w:id="276" w:name="_Toc29206"/>
      <w:bookmarkStart w:id="277" w:name="_Toc2119"/>
      <w:bookmarkStart w:id="278" w:name="_Toc2685"/>
      <w:bookmarkStart w:id="279" w:name="_Toc27046"/>
      <w:bookmarkStart w:id="280" w:name="_Toc11615"/>
      <w:r>
        <w:rPr>
          <w:rFonts w:hint="eastAsia" w:ascii="仿宋" w:hAnsi="仿宋" w:eastAsia="仿宋" w:cs="仿宋"/>
          <w:color w:val="000000"/>
          <w:sz w:val="28"/>
          <w:szCs w:val="28"/>
        </w:rPr>
        <w:t>（二）响应文件语言及有效期</w:t>
      </w:r>
      <w:bookmarkEnd w:id="270"/>
      <w:bookmarkEnd w:id="271"/>
      <w:bookmarkEnd w:id="272"/>
      <w:bookmarkEnd w:id="273"/>
      <w:bookmarkEnd w:id="274"/>
      <w:bookmarkEnd w:id="275"/>
      <w:bookmarkEnd w:id="276"/>
      <w:bookmarkEnd w:id="277"/>
      <w:bookmarkEnd w:id="278"/>
      <w:bookmarkEnd w:id="279"/>
      <w:bookmarkEnd w:id="280"/>
    </w:p>
    <w:p w14:paraId="6746F11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1、响应活动的所有文件、资料、函电文均使用简体中文，确需提交用其他语言形成的资料，必须翻译成简体中文，如有差异，以简体中文为准。</w:t>
      </w:r>
    </w:p>
    <w:p w14:paraId="182309BE">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2、响应文件有效期为</w:t>
      </w:r>
      <w:r>
        <w:rPr>
          <w:rFonts w:hint="eastAsia" w:ascii="仿宋" w:hAnsi="仿宋" w:eastAsia="仿宋" w:cs="仿宋"/>
          <w:b/>
          <w:bCs/>
          <w:color w:val="000000"/>
        </w:rPr>
        <w:t>自响应文件开启之日起90个日历日</w:t>
      </w:r>
      <w:r>
        <w:rPr>
          <w:rFonts w:hint="eastAsia" w:ascii="仿宋" w:hAnsi="仿宋" w:eastAsia="仿宋" w:cs="仿宋"/>
          <w:color w:val="000000"/>
        </w:rPr>
        <w:t>。如成交，延长至合同执行完毕时止。</w:t>
      </w:r>
    </w:p>
    <w:p w14:paraId="4EC9D228">
      <w:pPr>
        <w:pStyle w:val="4"/>
        <w:widowControl w:val="0"/>
        <w:spacing w:line="500" w:lineRule="exact"/>
        <w:ind w:firstLine="566" w:firstLineChars="200"/>
        <w:rPr>
          <w:rFonts w:hint="eastAsia" w:ascii="仿宋" w:hAnsi="仿宋" w:eastAsia="仿宋" w:cs="仿宋"/>
          <w:color w:val="000000"/>
          <w:sz w:val="28"/>
          <w:szCs w:val="28"/>
        </w:rPr>
      </w:pPr>
      <w:bookmarkStart w:id="281" w:name="_Toc23377"/>
      <w:bookmarkStart w:id="282" w:name="_Toc30493"/>
      <w:bookmarkStart w:id="283" w:name="_Toc30097"/>
      <w:bookmarkStart w:id="284" w:name="_Toc2348"/>
      <w:bookmarkStart w:id="285" w:name="_Toc4668"/>
      <w:bookmarkStart w:id="286" w:name="_Toc31689"/>
      <w:bookmarkStart w:id="287" w:name="_Toc20317"/>
      <w:bookmarkStart w:id="288" w:name="_Toc2152"/>
      <w:bookmarkStart w:id="289" w:name="_Toc21498"/>
      <w:bookmarkStart w:id="290" w:name="_Toc10345"/>
      <w:bookmarkStart w:id="291" w:name="_Toc8949"/>
      <w:r>
        <w:rPr>
          <w:rFonts w:hint="eastAsia" w:ascii="仿宋" w:hAnsi="仿宋" w:eastAsia="仿宋" w:cs="仿宋"/>
          <w:color w:val="000000"/>
          <w:sz w:val="28"/>
          <w:szCs w:val="28"/>
        </w:rPr>
        <w:t>（三）响应文件的提交</w:t>
      </w:r>
      <w:bookmarkEnd w:id="281"/>
      <w:bookmarkEnd w:id="282"/>
      <w:bookmarkEnd w:id="283"/>
      <w:bookmarkEnd w:id="284"/>
      <w:bookmarkEnd w:id="285"/>
      <w:bookmarkEnd w:id="286"/>
      <w:bookmarkEnd w:id="287"/>
      <w:bookmarkEnd w:id="288"/>
      <w:bookmarkEnd w:id="289"/>
      <w:bookmarkEnd w:id="290"/>
      <w:bookmarkEnd w:id="291"/>
    </w:p>
    <w:p w14:paraId="20A643F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电子响应文件可于提交响应文件截止时间前任意时段登录全国公共资源交易平台（陕西省）网站“电子交易平台&gt;供应商端”进行提交，逾期系统将拒绝接收。提交时，供应商应登录全国公共资源交易中心平台（陕西省），选择“首页&gt;电子交易平台&gt;供应商端&gt;我的项目”，点击“项目流程”，在打开的“项目管理”对话框中选择“上传响应文件”，上传加密的电子响应文件（*.SXSTF）。上传成功后，电子化平台将予以记录。</w:t>
      </w:r>
    </w:p>
    <w:p w14:paraId="179A5C91">
      <w:pPr>
        <w:pStyle w:val="4"/>
        <w:widowControl w:val="0"/>
        <w:spacing w:line="500" w:lineRule="exact"/>
        <w:ind w:firstLine="566" w:firstLineChars="200"/>
        <w:rPr>
          <w:rFonts w:hint="eastAsia" w:ascii="仿宋" w:hAnsi="仿宋" w:eastAsia="仿宋" w:cs="仿宋"/>
          <w:color w:val="000000"/>
          <w:sz w:val="28"/>
          <w:szCs w:val="28"/>
        </w:rPr>
      </w:pPr>
      <w:bookmarkStart w:id="292" w:name="_Toc17304"/>
      <w:bookmarkStart w:id="293" w:name="_Toc17615"/>
      <w:bookmarkStart w:id="294" w:name="_Toc1454"/>
      <w:bookmarkStart w:id="295" w:name="_Toc7750"/>
      <w:bookmarkStart w:id="296" w:name="_Toc11861"/>
      <w:bookmarkStart w:id="297" w:name="_Toc7340"/>
      <w:bookmarkStart w:id="298" w:name="_Toc31979"/>
      <w:bookmarkStart w:id="299" w:name="_Toc14858"/>
      <w:bookmarkStart w:id="300" w:name="_Toc29565"/>
      <w:bookmarkStart w:id="301" w:name="_Toc7616"/>
      <w:bookmarkStart w:id="302" w:name="_Toc14210"/>
      <w:r>
        <w:rPr>
          <w:rFonts w:hint="eastAsia" w:ascii="仿宋" w:hAnsi="仿宋" w:eastAsia="仿宋" w:cs="仿宋"/>
          <w:color w:val="000000"/>
          <w:sz w:val="28"/>
          <w:szCs w:val="28"/>
        </w:rPr>
        <w:t>（四）响应文件的补充、修改和撤回</w:t>
      </w:r>
      <w:bookmarkEnd w:id="292"/>
      <w:bookmarkEnd w:id="293"/>
      <w:bookmarkEnd w:id="294"/>
      <w:bookmarkEnd w:id="295"/>
      <w:bookmarkEnd w:id="296"/>
      <w:bookmarkEnd w:id="297"/>
      <w:bookmarkEnd w:id="298"/>
      <w:bookmarkEnd w:id="299"/>
      <w:bookmarkEnd w:id="300"/>
      <w:bookmarkEnd w:id="301"/>
      <w:bookmarkEnd w:id="302"/>
    </w:p>
    <w:p w14:paraId="58CA4F70">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1、供应商在递交响应文件后，且在提交响应文件截止时间前，可以对所提交的响应文件进行补充、修改或撤回。</w:t>
      </w:r>
    </w:p>
    <w:p w14:paraId="6CF3FA6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2、对电子响应文件进行补充、修改的，应先从电子交易平台上撤回旧版，再重新提交新版。</w:t>
      </w:r>
    </w:p>
    <w:p w14:paraId="6D981259">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3、响应文件提交截止时间后，供应商不得对其响应文件做任何修改。</w:t>
      </w:r>
    </w:p>
    <w:p w14:paraId="6500660C">
      <w:pPr>
        <w:pStyle w:val="4"/>
        <w:widowControl w:val="0"/>
        <w:spacing w:line="500" w:lineRule="exact"/>
        <w:ind w:firstLine="566" w:firstLineChars="200"/>
        <w:rPr>
          <w:rFonts w:hint="eastAsia" w:ascii="仿宋" w:hAnsi="仿宋" w:eastAsia="仿宋" w:cs="仿宋"/>
          <w:color w:val="000000"/>
          <w:sz w:val="28"/>
          <w:szCs w:val="28"/>
        </w:rPr>
      </w:pPr>
      <w:bookmarkStart w:id="303" w:name="_Toc26578"/>
      <w:bookmarkStart w:id="304" w:name="_Toc4399"/>
      <w:bookmarkStart w:id="305" w:name="_Toc8523"/>
      <w:bookmarkStart w:id="306" w:name="_Toc649"/>
      <w:bookmarkStart w:id="307" w:name="_Toc28508"/>
      <w:bookmarkStart w:id="308" w:name="_Toc27539"/>
      <w:bookmarkStart w:id="309" w:name="_Toc15674"/>
      <w:bookmarkStart w:id="310" w:name="_Toc29303"/>
      <w:bookmarkStart w:id="311" w:name="_Toc25970"/>
      <w:bookmarkStart w:id="312" w:name="_Toc20024"/>
      <w:bookmarkStart w:id="313" w:name="_Toc32702"/>
      <w:r>
        <w:rPr>
          <w:rFonts w:hint="eastAsia" w:ascii="仿宋" w:hAnsi="仿宋" w:eastAsia="仿宋" w:cs="仿宋"/>
          <w:color w:val="000000"/>
          <w:sz w:val="28"/>
          <w:szCs w:val="28"/>
        </w:rPr>
        <w:t>（五）供应商提交响应文件时，出现下列情况之一的，其响应文件将被拒绝接收：</w:t>
      </w:r>
      <w:bookmarkEnd w:id="303"/>
      <w:bookmarkEnd w:id="304"/>
      <w:bookmarkEnd w:id="305"/>
      <w:bookmarkEnd w:id="306"/>
      <w:bookmarkEnd w:id="307"/>
      <w:bookmarkEnd w:id="308"/>
      <w:bookmarkEnd w:id="309"/>
      <w:bookmarkEnd w:id="310"/>
      <w:bookmarkEnd w:id="311"/>
      <w:bookmarkEnd w:id="312"/>
      <w:bookmarkEnd w:id="313"/>
    </w:p>
    <w:p w14:paraId="6BA40C7D">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1、逾期提交电子响应文件；</w:t>
      </w:r>
    </w:p>
    <w:p w14:paraId="7DB61B5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2、提交的电子响应文件与本项目不相符的。</w:t>
      </w:r>
    </w:p>
    <w:p w14:paraId="19170D54">
      <w:pPr>
        <w:pStyle w:val="4"/>
        <w:widowControl w:val="0"/>
        <w:spacing w:line="500" w:lineRule="exact"/>
        <w:ind w:firstLine="566" w:firstLineChars="200"/>
        <w:rPr>
          <w:rFonts w:hint="eastAsia" w:ascii="仿宋" w:hAnsi="仿宋" w:eastAsia="仿宋" w:cs="仿宋"/>
          <w:color w:val="000000"/>
          <w:sz w:val="28"/>
          <w:szCs w:val="28"/>
        </w:rPr>
      </w:pPr>
      <w:bookmarkStart w:id="314" w:name="_Toc9084"/>
      <w:bookmarkStart w:id="315" w:name="_Toc10162"/>
      <w:bookmarkStart w:id="316" w:name="_Toc6878"/>
      <w:bookmarkStart w:id="317" w:name="_Toc7073"/>
      <w:bookmarkStart w:id="318" w:name="_Toc718"/>
      <w:r>
        <w:rPr>
          <w:rFonts w:hint="eastAsia" w:ascii="仿宋" w:hAnsi="仿宋" w:eastAsia="仿宋" w:cs="仿宋"/>
          <w:color w:val="000000"/>
          <w:sz w:val="28"/>
          <w:szCs w:val="28"/>
        </w:rPr>
        <w:t>六、</w:t>
      </w:r>
      <w:bookmarkEnd w:id="314"/>
      <w:r>
        <w:rPr>
          <w:rFonts w:hint="eastAsia" w:ascii="仿宋" w:hAnsi="仿宋" w:eastAsia="仿宋" w:cs="仿宋"/>
          <w:color w:val="000000"/>
          <w:sz w:val="28"/>
          <w:szCs w:val="28"/>
        </w:rPr>
        <w:t>开启响应文件</w:t>
      </w:r>
      <w:bookmarkEnd w:id="315"/>
      <w:bookmarkEnd w:id="316"/>
      <w:bookmarkEnd w:id="317"/>
      <w:bookmarkEnd w:id="318"/>
    </w:p>
    <w:p w14:paraId="0E81D87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（一）陕西省省级单位政府采购中心组织开标、评审工作，整个过程受政府采购监管机构的监督、管理。</w:t>
      </w:r>
    </w:p>
    <w:p w14:paraId="1950AB0A">
      <w:pPr>
        <w:wordWrap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b/>
          <w:bCs/>
          <w:color w:val="000000"/>
        </w:rPr>
        <w:t>（二）陕西省省级单位政府采购中心在磋商文件规定的时间和地点组织开标，供应商须派法定代表人或被授权代表参加。</w:t>
      </w:r>
    </w:p>
    <w:p w14:paraId="0CF8C557">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参加磋商的供应商不足3家的，不得开启。</w:t>
      </w:r>
    </w:p>
    <w:p w14:paraId="78607C76">
      <w:pPr>
        <w:widowControl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color w:val="000000"/>
        </w:rPr>
        <w:t>（三）开启时，陕西省省级单位政府采购中心现场工作人员将根据项</w:t>
      </w:r>
    </w:p>
    <w:p w14:paraId="68CE34D2">
      <w:pPr>
        <w:widowControl w:val="0"/>
        <w:spacing w:line="500" w:lineRule="exact"/>
        <w:ind w:firstLine="0" w:firstLineChars="0"/>
        <w:rPr>
          <w:rFonts w:hint="eastAsia" w:ascii="仿宋" w:hAnsi="仿宋" w:eastAsia="仿宋" w:cs="仿宋"/>
          <w:color w:val="000000"/>
        </w:rPr>
      </w:pPr>
      <w:r>
        <w:rPr>
          <w:rFonts w:hint="eastAsia" w:ascii="仿宋" w:hAnsi="仿宋" w:eastAsia="仿宋" w:cs="仿宋"/>
          <w:color w:val="000000"/>
        </w:rPr>
        <w:t>目供应商数约定解密时长，供应商应在规定时间内，使用电子响应文件加密时所用的数字认证证书（CA锁）在开标室的解密机上自行解密电子响应文件。未在规定时间内解密的，视为响应无效。</w:t>
      </w:r>
    </w:p>
    <w:p w14:paraId="1C32FA29">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（四）供应商对开启过程有疑义，以及认为采购人、陕西省省级单位政府采购中心相关工作人员有需要回避情形的，应在开标现场提出询问或回避申请，采购人、陕西省省级单位政府采购中心应当及时处理。</w:t>
      </w:r>
    </w:p>
    <w:p w14:paraId="434DDF09">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（五）供应商未参加开标的，视同认可开启结果。</w:t>
      </w:r>
    </w:p>
    <w:p w14:paraId="34899F1E">
      <w:pPr>
        <w:spacing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（六）在开启环节出现下列情况之一的，其响应文件视为无效文件：</w:t>
      </w:r>
    </w:p>
    <w:p w14:paraId="05B6A50B">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1、供应商拒绝对电子响应文件进行解密的；</w:t>
      </w:r>
    </w:p>
    <w:p w14:paraId="31408D3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2、因供应商自身原因（如解密时使用的CA锁与制作电子响应文件使用的CA锁不一致、或沿用旧版磋商文件编制响应文件等情形），导致在规定时间内无法解密响应文件的；</w:t>
      </w:r>
    </w:p>
    <w:p w14:paraId="6552A3EB">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3、上传的电子响应文件无法打开的；</w:t>
      </w:r>
    </w:p>
    <w:p w14:paraId="787D2069">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4、政府采购法律法规规定的其他无效情形。</w:t>
      </w:r>
    </w:p>
    <w:p w14:paraId="10E5FCC6">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（七）特殊情形下的应急处置</w:t>
      </w:r>
    </w:p>
    <w:p w14:paraId="796964A8">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在开启、评审过程中，如因停电、断网、电子化系统故障等特殊原因导致电子化开、评审无法正常进行时，将视响应文件解密情况特殊处理。</w:t>
      </w:r>
    </w:p>
    <w:p w14:paraId="7A113D9D">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1、开启时响应文件未解密的，将另行确定时间继续完成开标程序；</w:t>
      </w:r>
    </w:p>
    <w:p w14:paraId="204FC6D0">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2、开启后响应文件已解密但评审结论未形成的，将发布废标公告，重新组织采购活动；</w:t>
      </w:r>
    </w:p>
    <w:p w14:paraId="1B0A606D">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3、开启后响应文件已解密且评审结论已形成的，待特殊情况排除后，继续完成评审活动。</w:t>
      </w:r>
    </w:p>
    <w:p w14:paraId="0079768A">
      <w:pPr>
        <w:pStyle w:val="4"/>
        <w:widowControl w:val="0"/>
        <w:spacing w:line="500" w:lineRule="exact"/>
        <w:ind w:firstLine="566" w:firstLineChars="200"/>
        <w:rPr>
          <w:rFonts w:hint="eastAsia" w:ascii="仿宋" w:hAnsi="仿宋" w:eastAsia="仿宋" w:cs="仿宋"/>
          <w:color w:val="000000"/>
          <w:sz w:val="28"/>
          <w:szCs w:val="28"/>
        </w:rPr>
      </w:pPr>
      <w:bookmarkStart w:id="319" w:name="_Toc6763"/>
      <w:bookmarkStart w:id="320" w:name="_Toc9679"/>
      <w:bookmarkStart w:id="321" w:name="_Toc29733"/>
      <w:bookmarkStart w:id="322" w:name="_Toc8798"/>
      <w:bookmarkStart w:id="323" w:name="_Toc15410"/>
      <w:r>
        <w:rPr>
          <w:rFonts w:hint="eastAsia" w:ascii="仿宋" w:hAnsi="仿宋" w:eastAsia="仿宋" w:cs="仿宋"/>
          <w:color w:val="000000"/>
          <w:sz w:val="28"/>
          <w:szCs w:val="28"/>
        </w:rPr>
        <w:t>七、</w:t>
      </w:r>
      <w:bookmarkEnd w:id="319"/>
      <w:r>
        <w:rPr>
          <w:rFonts w:hint="eastAsia" w:ascii="仿宋" w:hAnsi="仿宋" w:eastAsia="仿宋" w:cs="仿宋"/>
          <w:color w:val="000000"/>
          <w:sz w:val="28"/>
          <w:szCs w:val="28"/>
        </w:rPr>
        <w:t>组织评审</w:t>
      </w:r>
      <w:bookmarkEnd w:id="320"/>
      <w:bookmarkEnd w:id="321"/>
      <w:bookmarkEnd w:id="322"/>
      <w:bookmarkEnd w:id="323"/>
    </w:p>
    <w:p w14:paraId="178E4A10">
      <w:pPr>
        <w:widowControl w:val="0"/>
        <w:spacing w:line="500" w:lineRule="exact"/>
        <w:ind w:firstLine="566" w:firstLineChars="200"/>
        <w:rPr>
          <w:rFonts w:hint="eastAsia" w:ascii="仿宋" w:hAnsi="仿宋" w:eastAsia="仿宋" w:cs="仿宋"/>
          <w:b/>
          <w:bCs/>
          <w:color w:val="000000"/>
          <w:shd w:val="clear" w:color="auto" w:fill="FFFFFF"/>
        </w:rPr>
      </w:pPr>
      <w:r>
        <w:rPr>
          <w:rFonts w:hint="eastAsia" w:ascii="仿宋" w:hAnsi="仿宋" w:eastAsia="仿宋" w:cs="仿宋"/>
          <w:b/>
          <w:bCs/>
          <w:color w:val="000000"/>
          <w:shd w:val="clear" w:color="auto" w:fill="FFFFFF"/>
        </w:rPr>
        <w:t>（一）采购代理机构负责组织评审工作，并履行下列职责</w:t>
      </w:r>
    </w:p>
    <w:p w14:paraId="0BD0469D">
      <w:pPr>
        <w:pStyle w:val="22"/>
        <w:widowControl w:val="0"/>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shd w:val="clear" w:color="auto" w:fill="FFFFFF"/>
        </w:rPr>
        <w:t>核对评审专家身份和采购人代表授权函，对评审专家在政府采购活动中的职责履行情况予以记录，并及时将有关违法违规行为向财政部门报告；</w:t>
      </w:r>
    </w:p>
    <w:p w14:paraId="4C74F64E">
      <w:pPr>
        <w:pStyle w:val="22"/>
        <w:widowControl w:val="0"/>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2、宣布评审纪律；</w:t>
      </w:r>
    </w:p>
    <w:p w14:paraId="1BF5FCF0">
      <w:pPr>
        <w:pStyle w:val="22"/>
        <w:widowControl w:val="0"/>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3、公布供应商名单，告知评审专家应当回避的情形；</w:t>
      </w:r>
    </w:p>
    <w:p w14:paraId="01AF8C2C">
      <w:pPr>
        <w:pStyle w:val="22"/>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4、组织磋商小组推选评审组长，采购人代表不得担任组长;</w:t>
      </w:r>
    </w:p>
    <w:p w14:paraId="5F8ED42A">
      <w:pPr>
        <w:pStyle w:val="22"/>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5、在评审期间采取必要的通讯管理措施，保证评审活动不受外界干扰；</w:t>
      </w:r>
    </w:p>
    <w:p w14:paraId="73D5633B">
      <w:pPr>
        <w:pStyle w:val="22"/>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6、根据磋商小组的要求介绍政府采购相关政策法规、磋商文件；</w:t>
      </w:r>
    </w:p>
    <w:p w14:paraId="7CB3BFC1">
      <w:pPr>
        <w:pStyle w:val="22"/>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14:paraId="34DE7E68">
      <w:pPr>
        <w:pStyle w:val="22"/>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8、核对评审结果；</w:t>
      </w:r>
    </w:p>
    <w:p w14:paraId="384F49F9">
      <w:pPr>
        <w:pStyle w:val="22"/>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9、评审工作完成后，按照规定向评审专家支付劳务报酬和异地评审差旅费，不得向评审专家以外的其他人员支付评审劳务报酬；</w:t>
      </w:r>
    </w:p>
    <w:p w14:paraId="1E841DF3">
      <w:pPr>
        <w:pStyle w:val="22"/>
        <w:widowControl w:val="0"/>
        <w:spacing w:beforeAutospacing="0" w:afterAutospacing="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10、处理与评审有关的其他事项。</w:t>
      </w:r>
    </w:p>
    <w:p w14:paraId="1EB7F9E3">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shd w:val="clear" w:color="auto" w:fill="FFFFFF"/>
        </w:rPr>
        <w:t>采购人可以在评审前说明项目背景和采购需求，说明内容不得含有歧视性、倾向性意见，不得超出磋商文件所述范围。说明应当提交书面材料，并随磋商文件一并存档</w:t>
      </w:r>
      <w:r>
        <w:rPr>
          <w:rFonts w:hint="eastAsia" w:ascii="仿宋" w:hAnsi="仿宋" w:eastAsia="仿宋" w:cs="仿宋"/>
          <w:color w:val="000000"/>
        </w:rPr>
        <w:t>。</w:t>
      </w:r>
    </w:p>
    <w:p w14:paraId="4254044A">
      <w:pPr>
        <w:pStyle w:val="22"/>
        <w:widowControl w:val="0"/>
        <w:spacing w:beforeAutospacing="0" w:afterAutospacing="0" w:line="500" w:lineRule="exact"/>
        <w:ind w:firstLine="566" w:firstLineChars="200"/>
        <w:rPr>
          <w:rFonts w:hint="eastAsia" w:ascii="仿宋" w:hAnsi="仿宋" w:eastAsia="仿宋" w:cs="仿宋"/>
          <w:b/>
          <w:bCs/>
          <w:color w:val="000000"/>
          <w:sz w:val="28"/>
          <w:szCs w:val="28"/>
        </w:rPr>
      </w:pPr>
      <w:bookmarkStart w:id="324" w:name="_Toc3147_WPSOffice_Level3"/>
      <w:bookmarkStart w:id="325" w:name="_Toc1863"/>
      <w:r>
        <w:rPr>
          <w:rFonts w:hint="eastAsia" w:ascii="仿宋" w:hAnsi="仿宋" w:eastAsia="仿宋" w:cs="仿宋"/>
          <w:b/>
          <w:bCs/>
          <w:color w:val="000000"/>
          <w:sz w:val="28"/>
          <w:szCs w:val="28"/>
          <w:shd w:val="clear" w:color="auto" w:fill="FFFFFF"/>
        </w:rPr>
        <w:t>（二）磋商小组负责具体评审事务，并独立履行下列职责：</w:t>
      </w:r>
      <w:bookmarkEnd w:id="324"/>
    </w:p>
    <w:p w14:paraId="7C7B06AA">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bookmarkStart w:id="326" w:name="_Toc8872_WPSOffice_Level3"/>
      <w:r>
        <w:rPr>
          <w:rFonts w:hint="eastAsia" w:ascii="仿宋" w:hAnsi="仿宋" w:eastAsia="仿宋" w:cs="仿宋"/>
          <w:color w:val="000000"/>
          <w:sz w:val="28"/>
          <w:szCs w:val="28"/>
          <w:shd w:val="clear" w:color="auto" w:fill="FFFFFF"/>
        </w:rPr>
        <w:t>1、遵守评审工作纪律，不得泄露评审情况和评审中获悉的商业秘密；</w:t>
      </w:r>
    </w:p>
    <w:p w14:paraId="345AE235">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2、按照客观、公正、审慎的原则，根据磋商文件规定的评审程序、评审方法和评审标准进行独立评审；</w:t>
      </w:r>
    </w:p>
    <w:p w14:paraId="0C68F5C7">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3、要求供应商对响应文件有关事项做出澄清或者说明；</w:t>
      </w:r>
    </w:p>
    <w:p w14:paraId="2327AE66">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4、与供应商分别进行磋商；</w:t>
      </w:r>
    </w:p>
    <w:p w14:paraId="144F3450">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5、对响应文件进行比较和评价；</w:t>
      </w:r>
    </w:p>
    <w:p w14:paraId="2C905FD7">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6、确定成交候选人名单，以及根据采购人委托直接确定成交供应商；</w:t>
      </w:r>
    </w:p>
    <w:p w14:paraId="05DED82E">
      <w:pPr>
        <w:pStyle w:val="22"/>
        <w:spacing w:beforeAutospacing="0" w:afterAutospacing="0" w:line="500" w:lineRule="exact"/>
        <w:ind w:firstLine="566"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7、配合答复供应商的询问、质疑和投诉等事项，不得泄露评审文件、评审情况和在评审过程中获悉的商业秘密；</w:t>
      </w:r>
    </w:p>
    <w:p w14:paraId="4FA5C044">
      <w:pPr>
        <w:pStyle w:val="22"/>
        <w:spacing w:beforeAutospacing="0" w:afterAutospacing="0" w:line="500" w:lineRule="exact"/>
        <w:ind w:firstLine="566" w:firstLineChars="200"/>
        <w:rPr>
          <w:rFonts w:hint="eastAsia" w:ascii="仿宋" w:hAnsi="仿宋" w:eastAsia="仿宋" w:cs="仿宋"/>
          <w:b/>
          <w:bCs/>
          <w:color w:val="000000"/>
          <w:sz w:val="28"/>
          <w:szCs w:val="28"/>
        </w:rPr>
      </w:pPr>
      <w:r>
        <w:rPr>
          <w:rFonts w:hint="eastAsia" w:ascii="仿宋" w:hAnsi="仿宋" w:eastAsia="仿宋" w:cs="仿宋"/>
          <w:color w:val="000000"/>
          <w:sz w:val="28"/>
          <w:szCs w:val="28"/>
          <w:shd w:val="clear" w:color="auto" w:fill="FFFFFF"/>
        </w:rPr>
        <w:t>8、向采购人、</w:t>
      </w:r>
      <w:r>
        <w:rPr>
          <w:rFonts w:hint="eastAsia" w:ascii="仿宋" w:hAnsi="仿宋" w:eastAsia="仿宋" w:cs="仿宋"/>
          <w:color w:val="000000"/>
          <w:sz w:val="28"/>
          <w:szCs w:val="28"/>
          <w:shd w:val="clear" w:color="auto" w:fill="FFFFFF"/>
          <w:lang w:val="zh-CN"/>
        </w:rPr>
        <w:t>陕西省省级单位政府采购中心</w:t>
      </w:r>
      <w:r>
        <w:rPr>
          <w:rFonts w:hint="eastAsia" w:ascii="仿宋" w:hAnsi="仿宋" w:eastAsia="仿宋" w:cs="仿宋"/>
          <w:color w:val="000000"/>
          <w:sz w:val="28"/>
          <w:szCs w:val="28"/>
          <w:shd w:val="clear" w:color="auto" w:fill="FFFFFF"/>
        </w:rPr>
        <w:t>或者有关部门报告评审中发现的违法行为。</w:t>
      </w:r>
    </w:p>
    <w:p w14:paraId="631DEA34">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（三）成立磋商小组</w:t>
      </w:r>
      <w:bookmarkEnd w:id="326"/>
    </w:p>
    <w:p w14:paraId="688DB1D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1、为了确保磋商工作的公平、公正，依据政府采购法和政府采购相关法规、规章，成立磋商小组，磋商小组由采购人代表和评审专家共3人以上单数组成，其中评审专家人数不少于磋商小组成员总数的三分之二。</w:t>
      </w:r>
    </w:p>
    <w:p w14:paraId="1DBFA2C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评审专家对本单位的采购项目只能作为采购人代表参与评审。采购代理机构工作人员不得参加由本机构代理的政府采购项目的评审。</w:t>
      </w:r>
    </w:p>
    <w:p w14:paraId="599DCFD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磋商小组成员名单在评审结果公告前应当保密。</w:t>
      </w:r>
    </w:p>
    <w:p w14:paraId="10D8C73E">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23FB1E79">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评审中因磋商小组成员缺席、回避或者健康等特殊原因导致磋商小组组成不符合规定的，陕西省省级单位政府采购中心应当依法补足后继续评审。被更换的磋商小组成员所做出的评审意见无效。无法及时补足磋商小组成员的，陕西省省级单位政府采购中心应当停止评审活动，封存所有响应文件和开标、评审资料，依法重新组建磋商小组进行评审。原磋商小组所做出的评审意见无效。</w:t>
      </w:r>
    </w:p>
    <w:p w14:paraId="4FB0A4D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陕西省省级单位政府采购中心应当将变更、重新组建磋商小组的情况予以记录，并随磋商文件一并存档。</w:t>
      </w:r>
    </w:p>
    <w:p w14:paraId="677A67E3">
      <w:pPr>
        <w:spacing w:line="500" w:lineRule="exact"/>
        <w:ind w:firstLine="566" w:firstLineChars="200"/>
        <w:rPr>
          <w:rFonts w:hint="eastAsia" w:ascii="仿宋" w:hAnsi="仿宋" w:eastAsia="仿宋" w:cs="仿宋"/>
          <w:b/>
          <w:color w:val="000000"/>
        </w:rPr>
      </w:pPr>
      <w:bookmarkStart w:id="327" w:name="_Toc4079_WPSOffice_Level3"/>
      <w:r>
        <w:rPr>
          <w:rFonts w:hint="eastAsia" w:ascii="仿宋" w:hAnsi="仿宋" w:eastAsia="仿宋" w:cs="仿宋"/>
          <w:b/>
          <w:color w:val="000000"/>
        </w:rPr>
        <w:t>（四）评审方法：综合评分法</w:t>
      </w:r>
      <w:bookmarkEnd w:id="327"/>
    </w:p>
    <w:p w14:paraId="330D5A3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综合评分法，是指响应文件满足磋商文件全部实质性要求且按评审因素的量化指标评审得分最高的供应商为成交候选供应商的评审方法。</w:t>
      </w:r>
    </w:p>
    <w:p w14:paraId="53CC4D34">
      <w:pPr>
        <w:spacing w:line="500" w:lineRule="exact"/>
        <w:ind w:left="0" w:firstLine="566" w:firstLineChars="200"/>
        <w:rPr>
          <w:rFonts w:hint="eastAsia" w:ascii="仿宋" w:hAnsi="仿宋" w:eastAsia="仿宋" w:cs="仿宋"/>
          <w:color w:val="000000"/>
        </w:rPr>
      </w:pPr>
      <w:bookmarkStart w:id="328" w:name="_Toc25396_WPSOffice_Level3"/>
      <w:r>
        <w:rPr>
          <w:rFonts w:hint="eastAsia" w:ascii="仿宋" w:hAnsi="仿宋" w:eastAsia="仿宋" w:cs="仿宋"/>
          <w:b/>
          <w:color w:val="000000"/>
        </w:rPr>
        <w:t>（五）评审程序</w:t>
      </w:r>
      <w:bookmarkEnd w:id="328"/>
    </w:p>
    <w:p w14:paraId="2F561AD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分步评审，每一步评审不符合磋商文件要求者，不得进入下一步评审，全部评审合格的供应商，进入最后的打分，最后按得分由高到低排序，推荐成交候选供应商。</w:t>
      </w:r>
    </w:p>
    <w:p w14:paraId="03826B79">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1、资格性审查</w:t>
      </w:r>
    </w:p>
    <w:p w14:paraId="4678CFA3">
      <w:pPr>
        <w:pStyle w:val="4"/>
        <w:widowControl w:val="0"/>
        <w:spacing w:line="500" w:lineRule="exact"/>
        <w:ind w:firstLine="566" w:firstLineChars="200"/>
        <w:rPr>
          <w:rFonts w:hint="eastAsia" w:ascii="仿宋" w:hAnsi="仿宋" w:eastAsia="仿宋" w:cs="仿宋"/>
          <w:color w:val="000000"/>
          <w:sz w:val="28"/>
          <w:szCs w:val="28"/>
        </w:rPr>
      </w:pPr>
      <w:bookmarkStart w:id="329" w:name="_Toc20095"/>
      <w:bookmarkStart w:id="330" w:name="_Toc3372"/>
      <w:bookmarkStart w:id="331" w:name="_Toc26755"/>
      <w:bookmarkStart w:id="332" w:name="_Toc6677"/>
      <w:bookmarkStart w:id="333" w:name="_Toc26141"/>
      <w:r>
        <w:rPr>
          <w:rFonts w:hint="eastAsia" w:ascii="仿宋" w:hAnsi="仿宋" w:eastAsia="仿宋" w:cs="仿宋"/>
          <w:b w:val="0"/>
          <w:bCs w:val="0"/>
          <w:color w:val="000000"/>
          <w:sz w:val="28"/>
          <w:szCs w:val="28"/>
        </w:rPr>
        <w:t>开标结束后，磋商小组依据法律法规和磋商文件的规定，对响应文件中的供应商资格证明文件进行审查，以确定供应商是否具备磋商资格。</w:t>
      </w:r>
      <w:bookmarkEnd w:id="329"/>
      <w:bookmarkEnd w:id="330"/>
      <w:bookmarkEnd w:id="331"/>
      <w:bookmarkEnd w:id="332"/>
      <w:bookmarkEnd w:id="333"/>
    </w:p>
    <w:bookmarkEnd w:id="325"/>
    <w:p w14:paraId="20BD7C0C">
      <w:pPr>
        <w:widowControl w:val="0"/>
        <w:spacing w:line="500" w:lineRule="exact"/>
        <w:jc w:val="center"/>
        <w:rPr>
          <w:rFonts w:hint="eastAsia" w:ascii="仿宋" w:hAnsi="仿宋" w:eastAsia="仿宋" w:cs="仿宋"/>
          <w:b/>
          <w:bCs/>
          <w:color w:val="000000"/>
        </w:rPr>
      </w:pPr>
      <w:r>
        <w:rPr>
          <w:rFonts w:hint="eastAsia" w:ascii="仿宋" w:hAnsi="仿宋" w:eastAsia="仿宋" w:cs="仿宋"/>
          <w:b/>
          <w:bCs/>
          <w:color w:val="000000"/>
        </w:rPr>
        <w:t>资格审查表</w:t>
      </w:r>
    </w:p>
    <w:tbl>
      <w:tblPr>
        <w:tblStyle w:val="2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806"/>
        <w:gridCol w:w="994"/>
      </w:tblGrid>
      <w:tr w14:paraId="5103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2" w:type="dxa"/>
            <w:vAlign w:val="center"/>
          </w:tcPr>
          <w:p w14:paraId="6137CF93">
            <w:pPr>
              <w:widowControl w:val="0"/>
              <w:spacing w:line="400" w:lineRule="exact"/>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序号</w:t>
            </w:r>
          </w:p>
        </w:tc>
        <w:tc>
          <w:tcPr>
            <w:tcW w:w="1866" w:type="dxa"/>
            <w:vAlign w:val="center"/>
          </w:tcPr>
          <w:p w14:paraId="1A06885F">
            <w:pPr>
              <w:widowControl w:val="0"/>
              <w:spacing w:line="400" w:lineRule="exact"/>
              <w:jc w:val="center"/>
              <w:rPr>
                <w:rFonts w:hint="eastAsia" w:ascii="仿宋" w:hAnsi="仿宋" w:eastAsia="仿宋" w:cs="Times New Roman"/>
                <w:b/>
                <w:bCs/>
                <w:color w:val="000000"/>
                <w:kern w:val="28"/>
                <w:sz w:val="24"/>
                <w:szCs w:val="24"/>
              </w:rPr>
            </w:pPr>
            <w:r>
              <w:rPr>
                <w:rFonts w:hint="eastAsia" w:ascii="仿宋" w:hAnsi="仿宋" w:eastAsia="仿宋" w:cs="仿宋"/>
                <w:b/>
                <w:bCs/>
                <w:color w:val="000000"/>
                <w:kern w:val="28"/>
                <w:sz w:val="24"/>
                <w:szCs w:val="24"/>
              </w:rPr>
              <w:t>资格审查项</w:t>
            </w:r>
          </w:p>
        </w:tc>
        <w:tc>
          <w:tcPr>
            <w:tcW w:w="4583" w:type="dxa"/>
            <w:vAlign w:val="center"/>
          </w:tcPr>
          <w:p w14:paraId="25E93778">
            <w:pPr>
              <w:widowControl w:val="0"/>
              <w:spacing w:line="400" w:lineRule="exact"/>
              <w:jc w:val="center"/>
              <w:rPr>
                <w:rFonts w:hint="eastAsia" w:ascii="仿宋" w:hAnsi="仿宋" w:eastAsia="仿宋" w:cs="Times New Roman"/>
                <w:b/>
                <w:bCs/>
                <w:color w:val="000000"/>
                <w:kern w:val="28"/>
                <w:sz w:val="24"/>
                <w:szCs w:val="24"/>
              </w:rPr>
            </w:pPr>
            <w:r>
              <w:rPr>
                <w:rFonts w:hint="eastAsia" w:ascii="仿宋" w:hAnsi="仿宋" w:eastAsia="仿宋" w:cs="仿宋"/>
                <w:b/>
                <w:bCs/>
                <w:color w:val="000000"/>
                <w:kern w:val="28"/>
                <w:sz w:val="24"/>
                <w:szCs w:val="24"/>
              </w:rPr>
              <w:t>通过条件</w:t>
            </w:r>
          </w:p>
        </w:tc>
        <w:tc>
          <w:tcPr>
            <w:tcW w:w="806" w:type="dxa"/>
            <w:vAlign w:val="center"/>
          </w:tcPr>
          <w:p w14:paraId="45D074E1">
            <w:pPr>
              <w:widowControl w:val="0"/>
              <w:spacing w:line="400" w:lineRule="exact"/>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结论</w:t>
            </w:r>
          </w:p>
        </w:tc>
        <w:tc>
          <w:tcPr>
            <w:tcW w:w="994" w:type="dxa"/>
            <w:vAlign w:val="center"/>
          </w:tcPr>
          <w:p w14:paraId="09E2F17C">
            <w:pPr>
              <w:widowControl w:val="0"/>
              <w:spacing w:line="400" w:lineRule="exact"/>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不通过原因</w:t>
            </w:r>
          </w:p>
        </w:tc>
      </w:tr>
      <w:tr w14:paraId="5D0C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03E33E01">
            <w:pPr>
              <w:widowControl w:val="0"/>
              <w:spacing w:line="400" w:lineRule="exact"/>
              <w:jc w:val="center"/>
              <w:rPr>
                <w:rFonts w:hint="eastAsia" w:ascii="仿宋" w:hAnsi="仿宋" w:eastAsia="仿宋" w:cs="仿宋"/>
                <w:color w:val="000000"/>
                <w:sz w:val="24"/>
                <w:szCs w:val="24"/>
              </w:rPr>
            </w:pPr>
            <w:r>
              <w:rPr>
                <w:rFonts w:ascii="仿宋" w:hAnsi="仿宋" w:eastAsia="仿宋" w:cs="仿宋"/>
                <w:color w:val="000000"/>
                <w:sz w:val="24"/>
                <w:szCs w:val="24"/>
              </w:rPr>
              <w:t>1</w:t>
            </w:r>
          </w:p>
        </w:tc>
        <w:tc>
          <w:tcPr>
            <w:tcW w:w="1866" w:type="dxa"/>
            <w:vAlign w:val="center"/>
          </w:tcPr>
          <w:p w14:paraId="24D404AE">
            <w:pPr>
              <w:widowControl w:val="0"/>
              <w:spacing w:line="400" w:lineRule="exact"/>
              <w:jc w:val="center"/>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营业执照等主体资格证明文件</w:t>
            </w:r>
          </w:p>
        </w:tc>
        <w:tc>
          <w:tcPr>
            <w:tcW w:w="4583" w:type="dxa"/>
            <w:vAlign w:val="center"/>
          </w:tcPr>
          <w:p w14:paraId="668ECD29">
            <w:pPr>
              <w:widowControl w:val="0"/>
              <w:spacing w:line="400" w:lineRule="exact"/>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提供有效存续的企业营业执照（副本）</w:t>
            </w:r>
            <w:r>
              <w:rPr>
                <w:rFonts w:ascii="仿宋" w:hAnsi="仿宋" w:eastAsia="仿宋" w:cs="仿宋"/>
                <w:color w:val="000000"/>
                <w:kern w:val="28"/>
                <w:sz w:val="24"/>
                <w:szCs w:val="24"/>
              </w:rPr>
              <w:t>/</w:t>
            </w:r>
            <w:r>
              <w:rPr>
                <w:rFonts w:hint="eastAsia" w:ascii="仿宋" w:hAnsi="仿宋" w:eastAsia="仿宋" w:cs="仿宋"/>
                <w:color w:val="000000"/>
                <w:kern w:val="28"/>
                <w:sz w:val="24"/>
                <w:szCs w:val="24"/>
              </w:rPr>
              <w:t>事业单位法人证书</w:t>
            </w:r>
            <w:r>
              <w:rPr>
                <w:rFonts w:ascii="仿宋" w:hAnsi="仿宋" w:eastAsia="仿宋" w:cs="仿宋"/>
                <w:color w:val="000000"/>
                <w:kern w:val="28"/>
                <w:sz w:val="24"/>
                <w:szCs w:val="24"/>
              </w:rPr>
              <w:t>/</w:t>
            </w:r>
            <w:r>
              <w:rPr>
                <w:rFonts w:hint="eastAsia" w:ascii="仿宋" w:hAnsi="仿宋" w:eastAsia="仿宋" w:cs="仿宋"/>
                <w:color w:val="000000"/>
                <w:kern w:val="28"/>
                <w:sz w:val="24"/>
                <w:szCs w:val="24"/>
              </w:rPr>
              <w:t>专业服务机构执业许可证</w:t>
            </w:r>
            <w:r>
              <w:rPr>
                <w:rFonts w:ascii="仿宋" w:hAnsi="仿宋" w:eastAsia="仿宋" w:cs="仿宋"/>
                <w:color w:val="000000"/>
                <w:kern w:val="28"/>
                <w:sz w:val="24"/>
                <w:szCs w:val="24"/>
              </w:rPr>
              <w:t>/</w:t>
            </w:r>
            <w:r>
              <w:rPr>
                <w:rFonts w:hint="eastAsia" w:ascii="仿宋" w:hAnsi="仿宋" w:eastAsia="仿宋" w:cs="仿宋"/>
                <w:color w:val="000000"/>
                <w:kern w:val="28"/>
                <w:sz w:val="24"/>
                <w:szCs w:val="24"/>
              </w:rPr>
              <w:t>民办非企业单位登记证书。</w:t>
            </w:r>
          </w:p>
        </w:tc>
        <w:tc>
          <w:tcPr>
            <w:tcW w:w="806" w:type="dxa"/>
            <w:vAlign w:val="center"/>
          </w:tcPr>
          <w:p w14:paraId="33E15977">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65F2D0AD">
            <w:pPr>
              <w:widowControl w:val="0"/>
              <w:spacing w:before="0" w:after="0" w:line="400" w:lineRule="exact"/>
              <w:rPr>
                <w:rFonts w:hint="eastAsia" w:ascii="仿宋" w:hAnsi="仿宋" w:eastAsia="仿宋" w:cs="Times New Roman"/>
                <w:b/>
                <w:bCs/>
                <w:color w:val="000000"/>
                <w:sz w:val="24"/>
                <w:szCs w:val="24"/>
              </w:rPr>
            </w:pPr>
          </w:p>
        </w:tc>
      </w:tr>
      <w:tr w14:paraId="528F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7A233DD9">
            <w:pPr>
              <w:widowControl w:val="0"/>
              <w:spacing w:line="400" w:lineRule="exact"/>
              <w:jc w:val="center"/>
              <w:rPr>
                <w:rFonts w:hint="eastAsia" w:ascii="仿宋" w:hAnsi="仿宋" w:eastAsia="仿宋" w:cs="仿宋"/>
                <w:color w:val="000000"/>
                <w:sz w:val="24"/>
                <w:szCs w:val="24"/>
              </w:rPr>
            </w:pPr>
            <w:r>
              <w:rPr>
                <w:rFonts w:ascii="仿宋" w:hAnsi="仿宋" w:eastAsia="仿宋" w:cs="仿宋"/>
                <w:color w:val="000000"/>
                <w:sz w:val="24"/>
                <w:szCs w:val="24"/>
              </w:rPr>
              <w:t>2</w:t>
            </w:r>
          </w:p>
        </w:tc>
        <w:tc>
          <w:tcPr>
            <w:tcW w:w="1866" w:type="dxa"/>
            <w:vAlign w:val="center"/>
          </w:tcPr>
          <w:p w14:paraId="7FB6A7C6">
            <w:pPr>
              <w:spacing w:line="400" w:lineRule="exact"/>
              <w:jc w:val="center"/>
              <w:rPr>
                <w:rFonts w:hint="eastAsia" w:ascii="仿宋" w:hAnsi="仿宋" w:eastAsia="仿宋" w:cs="Times New Roman"/>
                <w:color w:val="000000"/>
                <w:kern w:val="28"/>
                <w:sz w:val="24"/>
                <w:szCs w:val="24"/>
                <w:highlight w:val="yellow"/>
              </w:rPr>
            </w:pPr>
            <w:r>
              <w:rPr>
                <w:rFonts w:hint="eastAsia" w:ascii="仿宋" w:hAnsi="仿宋" w:eastAsia="仿宋" w:cs="仿宋"/>
                <w:color w:val="000000"/>
                <w:kern w:val="28"/>
                <w:sz w:val="24"/>
                <w:szCs w:val="24"/>
              </w:rPr>
              <w:t>财务状况报告</w:t>
            </w:r>
          </w:p>
        </w:tc>
        <w:tc>
          <w:tcPr>
            <w:tcW w:w="4583" w:type="dxa"/>
            <w:vAlign w:val="center"/>
          </w:tcPr>
          <w:p w14:paraId="5453A1B3">
            <w:pPr>
              <w:spacing w:line="400" w:lineRule="exact"/>
              <w:rPr>
                <w:rFonts w:hint="eastAsia" w:ascii="仿宋" w:hAnsi="仿宋" w:eastAsia="仿宋" w:cs="仿宋"/>
                <w:color w:val="000000"/>
                <w:kern w:val="28"/>
                <w:sz w:val="24"/>
                <w:szCs w:val="24"/>
                <w:lang w:eastAsia="zh-CN"/>
              </w:rPr>
            </w:pPr>
            <w:r>
              <w:rPr>
                <w:rFonts w:hint="eastAsia" w:ascii="仿宋" w:hAnsi="仿宋" w:eastAsia="仿宋" w:cs="仿宋"/>
                <w:color w:val="000000"/>
                <w:kern w:val="28"/>
                <w:sz w:val="24"/>
                <w:szCs w:val="24"/>
                <w:lang w:eastAsia="zh-CN"/>
              </w:rPr>
              <w:t>（</w:t>
            </w:r>
            <w:r>
              <w:rPr>
                <w:rFonts w:hint="eastAsia" w:ascii="仿宋" w:hAnsi="仿宋" w:eastAsia="仿宋" w:cs="仿宋"/>
                <w:color w:val="000000"/>
                <w:kern w:val="28"/>
                <w:sz w:val="24"/>
                <w:szCs w:val="24"/>
                <w:lang w:val="en-US" w:eastAsia="zh-CN"/>
              </w:rPr>
              <w:t>以下两种资料提供任意一种即可</w:t>
            </w:r>
            <w:r>
              <w:rPr>
                <w:rFonts w:hint="eastAsia" w:ascii="仿宋" w:hAnsi="仿宋" w:eastAsia="仿宋" w:cs="仿宋"/>
                <w:color w:val="000000"/>
                <w:kern w:val="28"/>
                <w:sz w:val="24"/>
                <w:szCs w:val="24"/>
                <w:lang w:eastAsia="zh-CN"/>
              </w:rPr>
              <w:t>）</w:t>
            </w:r>
          </w:p>
          <w:p w14:paraId="66C71B9C">
            <w:pPr>
              <w:spacing w:line="400" w:lineRule="exact"/>
              <w:rPr>
                <w:rFonts w:hint="eastAsia" w:ascii="仿宋" w:hAnsi="仿宋" w:eastAsia="仿宋" w:cs="仿宋"/>
                <w:color w:val="000000"/>
                <w:kern w:val="28"/>
                <w:sz w:val="24"/>
                <w:szCs w:val="24"/>
                <w:highlight w:val="none"/>
              </w:rPr>
            </w:pPr>
            <w:r>
              <w:rPr>
                <w:rFonts w:hint="eastAsia" w:ascii="仿宋" w:hAnsi="仿宋" w:eastAsia="仿宋" w:cs="仿宋"/>
                <w:color w:val="000000"/>
                <w:kern w:val="28"/>
                <w:sz w:val="24"/>
                <w:szCs w:val="24"/>
                <w:lang w:eastAsia="zh-CN"/>
              </w:rPr>
              <w:t>（</w:t>
            </w:r>
            <w:r>
              <w:rPr>
                <w:rFonts w:hint="eastAsia" w:ascii="仿宋" w:hAnsi="仿宋" w:eastAsia="仿宋" w:cs="仿宋"/>
                <w:color w:val="000000"/>
                <w:kern w:val="28"/>
                <w:sz w:val="24"/>
                <w:szCs w:val="24"/>
                <w:lang w:val="en-US" w:eastAsia="zh-CN"/>
              </w:rPr>
              <w:t>1</w:t>
            </w:r>
            <w:r>
              <w:rPr>
                <w:rFonts w:hint="eastAsia" w:ascii="仿宋" w:hAnsi="仿宋" w:eastAsia="仿宋" w:cs="仿宋"/>
                <w:color w:val="000000"/>
                <w:kern w:val="28"/>
                <w:sz w:val="24"/>
                <w:szCs w:val="24"/>
                <w:lang w:eastAsia="zh-CN"/>
              </w:rPr>
              <w:t>）</w:t>
            </w:r>
            <w:r>
              <w:rPr>
                <w:rFonts w:hint="eastAsia" w:ascii="仿宋" w:hAnsi="仿宋" w:eastAsia="仿宋" w:cs="仿宋"/>
                <w:color w:val="000000"/>
                <w:kern w:val="28"/>
                <w:sz w:val="24"/>
                <w:szCs w:val="24"/>
              </w:rPr>
              <w:t>提供递交</w:t>
            </w:r>
            <w:r>
              <w:rPr>
                <w:rFonts w:hint="eastAsia" w:ascii="仿宋" w:hAnsi="仿宋" w:eastAsia="仿宋" w:cs="仿宋"/>
                <w:color w:val="000000"/>
                <w:kern w:val="28"/>
                <w:sz w:val="24"/>
                <w:szCs w:val="24"/>
                <w:lang w:val="en-US" w:eastAsia="zh-CN"/>
              </w:rPr>
              <w:t>响应</w:t>
            </w:r>
            <w:r>
              <w:rPr>
                <w:rFonts w:hint="eastAsia" w:ascii="仿宋" w:hAnsi="仿宋" w:eastAsia="仿宋" w:cs="仿宋"/>
                <w:color w:val="000000"/>
                <w:kern w:val="28"/>
                <w:sz w:val="24"/>
                <w:szCs w:val="24"/>
              </w:rPr>
              <w:t>文件截止之日前两年内任意一个年度经审计的财务报告（包括“四表一注”，即资产负债表、利润表、现金流量表、所有者权益变动表及其附注，</w:t>
            </w:r>
            <w:r>
              <w:rPr>
                <w:rFonts w:hint="eastAsia" w:ascii="仿宋" w:hAnsi="仿宋" w:eastAsia="仿宋" w:cs="仿宋"/>
                <w:color w:val="000000"/>
                <w:kern w:val="28"/>
                <w:sz w:val="24"/>
                <w:szCs w:val="24"/>
                <w:lang w:val="en-US" w:eastAsia="zh-CN"/>
              </w:rPr>
              <w:t>符合《中小企业划型标准规定》的小型企业按照《小企业会计准则》执行。</w:t>
            </w:r>
            <w:r>
              <w:rPr>
                <w:rFonts w:hint="eastAsia" w:ascii="仿宋" w:hAnsi="仿宋" w:eastAsia="仿宋" w:cs="仿宋"/>
                <w:color w:val="000000"/>
                <w:kern w:val="28"/>
                <w:sz w:val="24"/>
                <w:szCs w:val="24"/>
              </w:rPr>
              <w:t>成立时间至提交</w:t>
            </w:r>
            <w:r>
              <w:rPr>
                <w:rFonts w:hint="eastAsia" w:ascii="仿宋" w:hAnsi="仿宋" w:eastAsia="仿宋" w:cs="仿宋"/>
                <w:color w:val="000000"/>
                <w:kern w:val="28"/>
                <w:sz w:val="24"/>
                <w:szCs w:val="24"/>
                <w:lang w:val="en-US" w:eastAsia="zh-CN"/>
              </w:rPr>
              <w:t>响应</w:t>
            </w:r>
            <w:r>
              <w:rPr>
                <w:rFonts w:hint="eastAsia" w:ascii="仿宋" w:hAnsi="仿宋" w:eastAsia="仿宋" w:cs="仿宋"/>
                <w:color w:val="000000"/>
                <w:kern w:val="28"/>
                <w:sz w:val="24"/>
                <w:szCs w:val="24"/>
              </w:rPr>
              <w:t>文件截止时间不足一年的可提供成立后任意时段的资产负债</w:t>
            </w:r>
            <w:r>
              <w:rPr>
                <w:rFonts w:hint="eastAsia" w:ascii="仿宋" w:hAnsi="仿宋" w:eastAsia="仿宋" w:cs="仿宋"/>
                <w:color w:val="000000"/>
                <w:kern w:val="28"/>
                <w:sz w:val="24"/>
                <w:szCs w:val="24"/>
                <w:highlight w:val="none"/>
              </w:rPr>
              <w:t>表）</w:t>
            </w:r>
            <w:r>
              <w:rPr>
                <w:rFonts w:hint="eastAsia" w:ascii="仿宋" w:hAnsi="仿宋" w:eastAsia="仿宋" w:cs="仿宋"/>
                <w:color w:val="000000"/>
                <w:kern w:val="28"/>
                <w:sz w:val="24"/>
                <w:szCs w:val="24"/>
                <w:highlight w:val="none"/>
                <w:lang w:eastAsia="zh-CN"/>
              </w:rPr>
              <w:t>，</w:t>
            </w:r>
            <w:r>
              <w:rPr>
                <w:rFonts w:hint="eastAsia" w:ascii="仿宋" w:hAnsi="仿宋" w:eastAsia="仿宋" w:cs="仿宋"/>
                <w:color w:val="000000"/>
                <w:kern w:val="28"/>
                <w:sz w:val="24"/>
                <w:szCs w:val="24"/>
                <w:highlight w:val="none"/>
              </w:rPr>
              <w:t>审计报告须具有注册会计师行业统一监管平台赋予的验证码；</w:t>
            </w:r>
          </w:p>
          <w:p w14:paraId="5902E243">
            <w:pPr>
              <w:spacing w:line="400" w:lineRule="exact"/>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highlight w:val="none"/>
                <w:lang w:eastAsia="zh-CN"/>
              </w:rPr>
              <w:t>（</w:t>
            </w:r>
            <w:r>
              <w:rPr>
                <w:rFonts w:hint="eastAsia" w:ascii="仿宋" w:hAnsi="仿宋" w:eastAsia="仿宋" w:cs="仿宋"/>
                <w:color w:val="000000"/>
                <w:kern w:val="28"/>
                <w:sz w:val="24"/>
                <w:szCs w:val="24"/>
                <w:highlight w:val="none"/>
                <w:lang w:val="en-US" w:eastAsia="zh-CN"/>
              </w:rPr>
              <w:t>2</w:t>
            </w:r>
            <w:r>
              <w:rPr>
                <w:rFonts w:hint="eastAsia" w:ascii="仿宋" w:hAnsi="仿宋" w:eastAsia="仿宋" w:cs="仿宋"/>
                <w:color w:val="000000"/>
                <w:kern w:val="28"/>
                <w:sz w:val="24"/>
                <w:szCs w:val="24"/>
                <w:highlight w:val="none"/>
                <w:lang w:eastAsia="zh-CN"/>
              </w:rPr>
              <w:t>）</w:t>
            </w:r>
            <w:r>
              <w:rPr>
                <w:rFonts w:hint="eastAsia" w:ascii="仿宋" w:hAnsi="仿宋" w:eastAsia="仿宋" w:cs="仿宋"/>
                <w:color w:val="000000"/>
                <w:kern w:val="28"/>
                <w:sz w:val="24"/>
                <w:szCs w:val="24"/>
                <w:highlight w:val="none"/>
              </w:rPr>
              <w:t>其开标前三个月内基本开户银行出具的资信证明。</w:t>
            </w:r>
          </w:p>
        </w:tc>
        <w:tc>
          <w:tcPr>
            <w:tcW w:w="806" w:type="dxa"/>
            <w:vAlign w:val="center"/>
          </w:tcPr>
          <w:p w14:paraId="2182DF75">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37F79F86">
            <w:pPr>
              <w:widowControl w:val="0"/>
              <w:spacing w:before="0" w:after="0" w:line="400" w:lineRule="exact"/>
              <w:rPr>
                <w:rFonts w:hint="eastAsia" w:ascii="仿宋" w:hAnsi="仿宋" w:eastAsia="仿宋" w:cs="Times New Roman"/>
                <w:b/>
                <w:bCs/>
                <w:color w:val="000000"/>
                <w:sz w:val="24"/>
                <w:szCs w:val="24"/>
              </w:rPr>
            </w:pPr>
          </w:p>
        </w:tc>
      </w:tr>
      <w:tr w14:paraId="1B27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08F20D86">
            <w:pPr>
              <w:widowControl w:val="0"/>
              <w:spacing w:line="400" w:lineRule="exact"/>
              <w:jc w:val="center"/>
              <w:rPr>
                <w:rFonts w:hint="eastAsia" w:ascii="仿宋" w:hAnsi="仿宋" w:eastAsia="仿宋" w:cs="仿宋"/>
                <w:color w:val="000000"/>
                <w:sz w:val="24"/>
                <w:szCs w:val="24"/>
              </w:rPr>
            </w:pPr>
            <w:r>
              <w:rPr>
                <w:rFonts w:ascii="仿宋" w:hAnsi="仿宋" w:eastAsia="仿宋" w:cs="仿宋"/>
                <w:color w:val="000000"/>
                <w:sz w:val="24"/>
                <w:szCs w:val="24"/>
              </w:rPr>
              <w:t>3</w:t>
            </w:r>
          </w:p>
        </w:tc>
        <w:tc>
          <w:tcPr>
            <w:tcW w:w="1866" w:type="dxa"/>
            <w:vAlign w:val="center"/>
          </w:tcPr>
          <w:p w14:paraId="6D48A27B">
            <w:pPr>
              <w:widowControl w:val="0"/>
              <w:spacing w:line="400" w:lineRule="exact"/>
              <w:jc w:val="center"/>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社保缴纳证明</w:t>
            </w:r>
          </w:p>
        </w:tc>
        <w:tc>
          <w:tcPr>
            <w:tcW w:w="4583" w:type="dxa"/>
            <w:vAlign w:val="center"/>
          </w:tcPr>
          <w:p w14:paraId="6EDDF9D0">
            <w:pPr>
              <w:widowControl w:val="0"/>
              <w:spacing w:line="400" w:lineRule="exact"/>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提供递交响应文件截止之日前一年内任意一个月的社会保障资金缴存单据或社保机构开具的社会保险参保缴费情况证明。依法不需要缴纳社会保障资金的供应商应提供相关文件证明。</w:t>
            </w:r>
          </w:p>
        </w:tc>
        <w:tc>
          <w:tcPr>
            <w:tcW w:w="806" w:type="dxa"/>
            <w:vAlign w:val="center"/>
          </w:tcPr>
          <w:p w14:paraId="5A151B60">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3B18CEA5">
            <w:pPr>
              <w:widowControl w:val="0"/>
              <w:spacing w:before="0" w:after="0" w:line="400" w:lineRule="exact"/>
              <w:rPr>
                <w:rFonts w:hint="eastAsia" w:ascii="仿宋" w:hAnsi="仿宋" w:eastAsia="仿宋" w:cs="Times New Roman"/>
                <w:b/>
                <w:bCs/>
                <w:color w:val="000000"/>
                <w:sz w:val="24"/>
                <w:szCs w:val="24"/>
              </w:rPr>
            </w:pPr>
          </w:p>
        </w:tc>
      </w:tr>
      <w:tr w14:paraId="233F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42122760">
            <w:pPr>
              <w:widowControl w:val="0"/>
              <w:spacing w:line="400" w:lineRule="exact"/>
              <w:jc w:val="center"/>
              <w:rPr>
                <w:rFonts w:hint="eastAsia" w:ascii="仿宋" w:hAnsi="仿宋" w:eastAsia="仿宋" w:cs="仿宋"/>
                <w:color w:val="000000"/>
                <w:sz w:val="24"/>
                <w:szCs w:val="24"/>
              </w:rPr>
            </w:pPr>
            <w:r>
              <w:rPr>
                <w:rFonts w:ascii="仿宋" w:hAnsi="仿宋" w:eastAsia="仿宋" w:cs="仿宋"/>
                <w:color w:val="000000"/>
                <w:sz w:val="24"/>
                <w:szCs w:val="24"/>
              </w:rPr>
              <w:t>4</w:t>
            </w:r>
          </w:p>
        </w:tc>
        <w:tc>
          <w:tcPr>
            <w:tcW w:w="1866" w:type="dxa"/>
            <w:vAlign w:val="center"/>
          </w:tcPr>
          <w:p w14:paraId="4F6CB1D3">
            <w:pPr>
              <w:widowControl w:val="0"/>
              <w:spacing w:line="400" w:lineRule="exact"/>
              <w:jc w:val="center"/>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税收缴纳证明</w:t>
            </w:r>
          </w:p>
        </w:tc>
        <w:tc>
          <w:tcPr>
            <w:tcW w:w="4583" w:type="dxa"/>
            <w:vAlign w:val="center"/>
          </w:tcPr>
          <w:p w14:paraId="00670D39">
            <w:pPr>
              <w:widowControl w:val="0"/>
              <w:spacing w:line="400" w:lineRule="exact"/>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提供递交响应文件截止之日前一年内任意一个月的依法缴纳税收的完税证明，完税证明应有税务机关或代收机关的公章或业务专用章。依法免税或无须缴纳税收的供应商，应提供相应证明文件。</w:t>
            </w:r>
          </w:p>
        </w:tc>
        <w:tc>
          <w:tcPr>
            <w:tcW w:w="806" w:type="dxa"/>
            <w:vAlign w:val="center"/>
          </w:tcPr>
          <w:p w14:paraId="18602E2D">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04C01EAE">
            <w:pPr>
              <w:widowControl w:val="0"/>
              <w:spacing w:before="0" w:after="0" w:line="400" w:lineRule="exact"/>
              <w:rPr>
                <w:rFonts w:hint="eastAsia" w:ascii="仿宋" w:hAnsi="仿宋" w:eastAsia="仿宋" w:cs="Times New Roman"/>
                <w:b/>
                <w:bCs/>
                <w:color w:val="000000"/>
                <w:sz w:val="24"/>
                <w:szCs w:val="24"/>
              </w:rPr>
            </w:pPr>
          </w:p>
        </w:tc>
      </w:tr>
      <w:tr w14:paraId="5C7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59838DDD">
            <w:pPr>
              <w:widowControl w:val="0"/>
              <w:spacing w:line="400" w:lineRule="exact"/>
              <w:jc w:val="center"/>
              <w:rPr>
                <w:rFonts w:hint="eastAsia" w:ascii="仿宋" w:hAnsi="仿宋" w:eastAsia="仿宋" w:cs="仿宋"/>
                <w:color w:val="000000"/>
                <w:sz w:val="24"/>
                <w:szCs w:val="24"/>
              </w:rPr>
            </w:pPr>
            <w:r>
              <w:rPr>
                <w:rFonts w:ascii="仿宋" w:hAnsi="仿宋" w:eastAsia="仿宋" w:cs="仿宋"/>
                <w:color w:val="000000"/>
                <w:sz w:val="24"/>
                <w:szCs w:val="24"/>
              </w:rPr>
              <w:t>5</w:t>
            </w:r>
          </w:p>
        </w:tc>
        <w:tc>
          <w:tcPr>
            <w:tcW w:w="1866" w:type="dxa"/>
            <w:vAlign w:val="center"/>
          </w:tcPr>
          <w:p w14:paraId="68C886EB">
            <w:pPr>
              <w:widowControl w:val="0"/>
              <w:spacing w:line="400" w:lineRule="exact"/>
              <w:jc w:val="center"/>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信用记录</w:t>
            </w:r>
          </w:p>
        </w:tc>
        <w:tc>
          <w:tcPr>
            <w:tcW w:w="4583" w:type="dxa"/>
            <w:vAlign w:val="center"/>
          </w:tcPr>
          <w:p w14:paraId="3C0B1331">
            <w:pPr>
              <w:widowControl w:val="0"/>
              <w:spacing w:line="400" w:lineRule="exact"/>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提供《供应商信用记录书面声明函》。经查，供应商未被列入“信用中国”网站记录的“失信被执行人”或“重大税收违法案件当事人”名单；不处于“中国政府采购网”记录的“政府采购严重违法失信行为记录名单”中的禁止参加政府采购活动期间。</w:t>
            </w:r>
          </w:p>
        </w:tc>
        <w:tc>
          <w:tcPr>
            <w:tcW w:w="806" w:type="dxa"/>
            <w:vAlign w:val="center"/>
          </w:tcPr>
          <w:p w14:paraId="70F80E29">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433FCEBE">
            <w:pPr>
              <w:widowControl w:val="0"/>
              <w:spacing w:before="0" w:after="0" w:line="400" w:lineRule="exact"/>
              <w:rPr>
                <w:rFonts w:hint="eastAsia" w:ascii="仿宋" w:hAnsi="仿宋" w:eastAsia="仿宋" w:cs="Times New Roman"/>
                <w:b/>
                <w:bCs/>
                <w:color w:val="000000"/>
                <w:sz w:val="24"/>
                <w:szCs w:val="24"/>
              </w:rPr>
            </w:pPr>
          </w:p>
        </w:tc>
      </w:tr>
      <w:tr w14:paraId="1FE7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18C6E686">
            <w:pPr>
              <w:widowControl w:val="0"/>
              <w:spacing w:line="400" w:lineRule="exact"/>
              <w:jc w:val="center"/>
              <w:rPr>
                <w:rFonts w:hint="eastAsia" w:ascii="仿宋" w:hAnsi="仿宋" w:eastAsia="仿宋" w:cs="仿宋"/>
                <w:bCs/>
                <w:color w:val="000000"/>
                <w:sz w:val="24"/>
                <w:szCs w:val="24"/>
              </w:rPr>
            </w:pPr>
            <w:r>
              <w:rPr>
                <w:rFonts w:hint="eastAsia" w:ascii="仿宋" w:hAnsi="仿宋" w:eastAsia="仿宋" w:cs="仿宋"/>
                <w:color w:val="000000"/>
                <w:sz w:val="24"/>
                <w:szCs w:val="24"/>
              </w:rPr>
              <w:t>6</w:t>
            </w:r>
          </w:p>
        </w:tc>
        <w:tc>
          <w:tcPr>
            <w:tcW w:w="1866" w:type="dxa"/>
            <w:vAlign w:val="center"/>
          </w:tcPr>
          <w:p w14:paraId="23AABD25">
            <w:pPr>
              <w:widowControl w:val="0"/>
              <w:spacing w:line="400" w:lineRule="exact"/>
              <w:jc w:val="center"/>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控股管理关系</w:t>
            </w:r>
          </w:p>
        </w:tc>
        <w:tc>
          <w:tcPr>
            <w:tcW w:w="4583" w:type="dxa"/>
            <w:vAlign w:val="center"/>
          </w:tcPr>
          <w:p w14:paraId="1CC39DD7">
            <w:pPr>
              <w:widowControl w:val="0"/>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 xml:space="preserve">提供直接控股和管理关系清单。若与其他 </w:t>
            </w:r>
          </w:p>
          <w:p w14:paraId="6F3A86FD">
            <w:pPr>
              <w:widowControl w:val="0"/>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供应商存在单位负责人为同一人或者存在直接控股、管理关系的，则磋商无效。</w:t>
            </w:r>
          </w:p>
        </w:tc>
        <w:tc>
          <w:tcPr>
            <w:tcW w:w="806" w:type="dxa"/>
            <w:vAlign w:val="center"/>
          </w:tcPr>
          <w:p w14:paraId="702CDC58">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57272CB9">
            <w:pPr>
              <w:widowControl w:val="0"/>
              <w:spacing w:before="0" w:after="0" w:line="400" w:lineRule="exact"/>
              <w:rPr>
                <w:rFonts w:hint="eastAsia" w:ascii="仿宋" w:hAnsi="仿宋" w:eastAsia="仿宋" w:cs="Times New Roman"/>
                <w:b/>
                <w:bCs/>
                <w:color w:val="000000"/>
                <w:sz w:val="24"/>
                <w:szCs w:val="24"/>
              </w:rPr>
            </w:pPr>
          </w:p>
        </w:tc>
      </w:tr>
      <w:tr w14:paraId="4D59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3BD3D62A">
            <w:pPr>
              <w:widowControl w:val="0"/>
              <w:spacing w:line="40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7</w:t>
            </w:r>
          </w:p>
        </w:tc>
        <w:tc>
          <w:tcPr>
            <w:tcW w:w="1866" w:type="dxa"/>
            <w:vAlign w:val="center"/>
          </w:tcPr>
          <w:p w14:paraId="20E9D613">
            <w:pPr>
              <w:widowControl w:val="0"/>
              <w:spacing w:line="400" w:lineRule="exact"/>
              <w:jc w:val="center"/>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书面声明</w:t>
            </w:r>
          </w:p>
        </w:tc>
        <w:tc>
          <w:tcPr>
            <w:tcW w:w="4583" w:type="dxa"/>
            <w:vAlign w:val="center"/>
          </w:tcPr>
          <w:p w14:paraId="60EE5D61">
            <w:pPr>
              <w:widowControl w:val="0"/>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提供书面声明，包括声明具有履行合同所必需的设备和专业技术能力；未为本项目提供整体设计、规范编制或者项目管理、监理、检测等服务。</w:t>
            </w:r>
          </w:p>
        </w:tc>
        <w:tc>
          <w:tcPr>
            <w:tcW w:w="806" w:type="dxa"/>
            <w:vAlign w:val="center"/>
          </w:tcPr>
          <w:p w14:paraId="27E374CE">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08AC4861">
            <w:pPr>
              <w:widowControl w:val="0"/>
              <w:spacing w:before="0" w:after="0" w:line="400" w:lineRule="exact"/>
              <w:rPr>
                <w:rFonts w:hint="eastAsia" w:ascii="仿宋" w:hAnsi="仿宋" w:eastAsia="仿宋" w:cs="Times New Roman"/>
                <w:b/>
                <w:bCs/>
                <w:color w:val="000000"/>
                <w:sz w:val="24"/>
                <w:szCs w:val="24"/>
              </w:rPr>
            </w:pPr>
          </w:p>
        </w:tc>
      </w:tr>
      <w:tr w14:paraId="72D4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732" w:type="dxa"/>
            <w:vAlign w:val="center"/>
          </w:tcPr>
          <w:p w14:paraId="18D0C139">
            <w:pPr>
              <w:widowControl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866" w:type="dxa"/>
            <w:vAlign w:val="center"/>
          </w:tcPr>
          <w:p w14:paraId="2172B01F">
            <w:pPr>
              <w:widowControl w:val="0"/>
              <w:spacing w:line="400" w:lineRule="exact"/>
              <w:jc w:val="center"/>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法定代表人授权委托书</w:t>
            </w:r>
          </w:p>
        </w:tc>
        <w:tc>
          <w:tcPr>
            <w:tcW w:w="4583" w:type="dxa"/>
            <w:vAlign w:val="center"/>
          </w:tcPr>
          <w:p w14:paraId="68B122A9">
            <w:pPr>
              <w:widowControl w:val="0"/>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14:paraId="7FA95421">
            <w:pPr>
              <w:widowControl w:val="0"/>
              <w:spacing w:line="400" w:lineRule="exact"/>
              <w:rPr>
                <w:rFonts w:hint="eastAsia" w:ascii="仿宋" w:hAnsi="仿宋" w:eastAsia="仿宋" w:cs="Times New Roman"/>
                <w:color w:val="000000"/>
                <w:kern w:val="28"/>
                <w:sz w:val="24"/>
                <w:szCs w:val="24"/>
              </w:rPr>
            </w:pPr>
            <w:r>
              <w:rPr>
                <w:rFonts w:hint="eastAsia" w:ascii="仿宋" w:hAnsi="仿宋" w:eastAsia="仿宋" w:cs="仿宋"/>
                <w:color w:val="000000"/>
                <w:kern w:val="28"/>
                <w:sz w:val="24"/>
                <w:szCs w:val="24"/>
              </w:rPr>
              <w:t>法人的分支机构参与磋商时，除提供《法定代表人授权委托书》外，还须同时提供法人给分支机构出具的授权书。</w:t>
            </w:r>
          </w:p>
        </w:tc>
        <w:tc>
          <w:tcPr>
            <w:tcW w:w="806" w:type="dxa"/>
            <w:vAlign w:val="center"/>
          </w:tcPr>
          <w:p w14:paraId="5F24A8B0">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0F1126D7">
            <w:pPr>
              <w:widowControl w:val="0"/>
              <w:spacing w:before="0" w:after="0" w:line="400" w:lineRule="exact"/>
              <w:rPr>
                <w:rFonts w:hint="eastAsia" w:ascii="仿宋" w:hAnsi="仿宋" w:eastAsia="仿宋" w:cs="Times New Roman"/>
                <w:b/>
                <w:bCs/>
                <w:color w:val="000000"/>
                <w:sz w:val="24"/>
                <w:szCs w:val="24"/>
              </w:rPr>
            </w:pPr>
          </w:p>
        </w:tc>
      </w:tr>
      <w:tr w14:paraId="6BB7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32" w:type="dxa"/>
            <w:vAlign w:val="center"/>
          </w:tcPr>
          <w:p w14:paraId="40C39167">
            <w:pPr>
              <w:widowControl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866" w:type="dxa"/>
            <w:vAlign w:val="center"/>
          </w:tcPr>
          <w:p w14:paraId="4711A0FA">
            <w:pPr>
              <w:widowControl w:val="0"/>
              <w:spacing w:line="400" w:lineRule="exact"/>
              <w:jc w:val="center"/>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落实政府采购政策须满足的资格要求</w:t>
            </w:r>
          </w:p>
        </w:tc>
        <w:tc>
          <w:tcPr>
            <w:tcW w:w="4583" w:type="dxa"/>
            <w:vAlign w:val="center"/>
          </w:tcPr>
          <w:p w14:paraId="23A5DB4D">
            <w:pPr>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本项目为专门面向中小企业项目，供应商应为中型企业、小型企业、微型企业或监狱企业或残疾人福利性单位。供应商为中小企业的，提供《中小企业声明函》，且中小企业的划分标准所属行业为物业管理；供应商为监狱企业的，应提供监狱企业的证明文件；供应商为残疾人福利性单位的，应提供《残疾人福利性单位声明函》（监狱企业或残疾人福利性单位视同小型、微型企业）。</w:t>
            </w:r>
          </w:p>
        </w:tc>
        <w:tc>
          <w:tcPr>
            <w:tcW w:w="806" w:type="dxa"/>
            <w:vAlign w:val="center"/>
          </w:tcPr>
          <w:p w14:paraId="48F87848">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0023BEA6">
            <w:pPr>
              <w:widowControl w:val="0"/>
              <w:spacing w:before="0" w:after="0" w:line="400" w:lineRule="exact"/>
              <w:rPr>
                <w:rFonts w:hint="eastAsia" w:ascii="仿宋" w:hAnsi="仿宋" w:eastAsia="仿宋" w:cs="Times New Roman"/>
                <w:b/>
                <w:bCs/>
                <w:color w:val="000000"/>
                <w:sz w:val="24"/>
                <w:szCs w:val="24"/>
              </w:rPr>
            </w:pPr>
          </w:p>
        </w:tc>
      </w:tr>
      <w:tr w14:paraId="0E72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2" w:type="dxa"/>
            <w:vAlign w:val="center"/>
          </w:tcPr>
          <w:p w14:paraId="1DF233E4">
            <w:pPr>
              <w:widowControl w:val="0"/>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p>
        </w:tc>
        <w:tc>
          <w:tcPr>
            <w:tcW w:w="1866" w:type="dxa"/>
            <w:vAlign w:val="center"/>
          </w:tcPr>
          <w:p w14:paraId="2B7F29F6">
            <w:pPr>
              <w:widowControl w:val="0"/>
              <w:spacing w:line="400" w:lineRule="exact"/>
              <w:jc w:val="center"/>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本项目不接受联合体响应，不允许分包</w:t>
            </w:r>
          </w:p>
        </w:tc>
        <w:tc>
          <w:tcPr>
            <w:tcW w:w="4583" w:type="dxa"/>
            <w:vAlign w:val="center"/>
          </w:tcPr>
          <w:p w14:paraId="75307E74">
            <w:pPr>
              <w:widowControl w:val="0"/>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供应商应提供《非联合体不分包投标声明》，视为独立响应，不分包。</w:t>
            </w:r>
          </w:p>
        </w:tc>
        <w:tc>
          <w:tcPr>
            <w:tcW w:w="806" w:type="dxa"/>
            <w:vAlign w:val="center"/>
          </w:tcPr>
          <w:p w14:paraId="5E819BFA">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5A6F3459">
            <w:pPr>
              <w:widowControl w:val="0"/>
              <w:spacing w:before="0" w:after="0" w:line="400" w:lineRule="exact"/>
              <w:rPr>
                <w:rFonts w:hint="eastAsia" w:ascii="仿宋" w:hAnsi="仿宋" w:eastAsia="仿宋" w:cs="Times New Roman"/>
                <w:b/>
                <w:bCs/>
                <w:color w:val="000000"/>
                <w:sz w:val="24"/>
                <w:szCs w:val="24"/>
              </w:rPr>
            </w:pPr>
          </w:p>
        </w:tc>
      </w:tr>
      <w:tr w14:paraId="6869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2" w:type="dxa"/>
            <w:vAlign w:val="center"/>
          </w:tcPr>
          <w:p w14:paraId="78A87475">
            <w:pPr>
              <w:widowControl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w:t>
            </w:r>
          </w:p>
        </w:tc>
        <w:tc>
          <w:tcPr>
            <w:tcW w:w="1866" w:type="dxa"/>
            <w:vAlign w:val="center"/>
          </w:tcPr>
          <w:p w14:paraId="08094DAF">
            <w:pPr>
              <w:widowControl w:val="0"/>
              <w:spacing w:line="400" w:lineRule="exact"/>
              <w:jc w:val="center"/>
              <w:rPr>
                <w:rFonts w:hint="eastAsia" w:ascii="仿宋" w:hAnsi="仿宋" w:eastAsia="仿宋" w:cs="仿宋"/>
                <w:color w:val="000000"/>
                <w:kern w:val="28"/>
                <w:sz w:val="24"/>
                <w:szCs w:val="24"/>
              </w:rPr>
            </w:pPr>
            <w:r>
              <w:rPr>
                <w:rFonts w:hint="eastAsia" w:ascii="仿宋" w:hAnsi="仿宋" w:eastAsia="仿宋" w:cs="仿宋"/>
                <w:kern w:val="28"/>
                <w:sz w:val="24"/>
                <w:szCs w:val="24"/>
              </w:rPr>
              <w:t>特定资格要求</w:t>
            </w:r>
          </w:p>
        </w:tc>
        <w:tc>
          <w:tcPr>
            <w:tcW w:w="4583" w:type="dxa"/>
            <w:vAlign w:val="center"/>
          </w:tcPr>
          <w:p w14:paraId="64C6259C">
            <w:pPr>
              <w:widowControl w:val="0"/>
              <w:spacing w:line="400" w:lineRule="exact"/>
              <w:ind w:firstLine="0" w:firstLineChars="0"/>
              <w:rPr>
                <w:rFonts w:hint="eastAsia" w:ascii="仿宋" w:hAnsi="仿宋" w:eastAsia="仿宋" w:cs="仿宋"/>
                <w:color w:val="000000"/>
                <w:kern w:val="28"/>
                <w:sz w:val="24"/>
                <w:szCs w:val="24"/>
                <w:lang w:eastAsia="zh-CN"/>
              </w:rPr>
            </w:pPr>
            <w:r>
              <w:rPr>
                <w:rFonts w:hint="eastAsia" w:ascii="仿宋" w:hAnsi="仿宋" w:eastAsia="仿宋" w:cs="仿宋"/>
                <w:color w:val="000000"/>
                <w:kern w:val="28"/>
                <w:sz w:val="24"/>
                <w:szCs w:val="24"/>
                <w:lang w:eastAsia="zh-CN"/>
              </w:rPr>
              <w:t>本项目采购内容以物业服务为主，其中涉及保安服务的，须以承诺书形式提供以下资料（承诺书格式不限），以下两种形式提供其中任意一种均可：</w:t>
            </w:r>
          </w:p>
          <w:p w14:paraId="6CF16BFE">
            <w:pPr>
              <w:widowControl w:val="0"/>
              <w:spacing w:line="400" w:lineRule="exact"/>
              <w:ind w:firstLine="0" w:firstLineChars="0"/>
              <w:rPr>
                <w:rFonts w:hint="eastAsia" w:ascii="仿宋" w:hAnsi="仿宋" w:eastAsia="仿宋" w:cs="仿宋"/>
                <w:color w:val="000000"/>
                <w:kern w:val="28"/>
                <w:sz w:val="24"/>
                <w:szCs w:val="24"/>
                <w:highlight w:val="none"/>
                <w:lang w:eastAsia="zh-CN"/>
              </w:rPr>
            </w:pPr>
            <w:r>
              <w:rPr>
                <w:rFonts w:hint="eastAsia" w:ascii="仿宋" w:hAnsi="仿宋" w:eastAsia="仿宋" w:cs="仿宋"/>
                <w:color w:val="000000"/>
                <w:kern w:val="28"/>
                <w:sz w:val="24"/>
                <w:szCs w:val="24"/>
                <w:lang w:eastAsia="zh-CN"/>
              </w:rPr>
              <w:t>（1）自行招用保安员</w:t>
            </w:r>
            <w:r>
              <w:rPr>
                <w:rFonts w:hint="eastAsia" w:ascii="仿宋" w:hAnsi="仿宋" w:eastAsia="仿宋" w:cs="仿宋"/>
                <w:color w:val="000000"/>
                <w:kern w:val="28"/>
                <w:sz w:val="24"/>
                <w:szCs w:val="24"/>
                <w:highlight w:val="none"/>
                <w:lang w:eastAsia="zh-CN"/>
              </w:rPr>
              <w:t>的</w:t>
            </w:r>
            <w:r>
              <w:rPr>
                <w:rFonts w:hint="eastAsia" w:ascii="仿宋" w:hAnsi="仿宋" w:eastAsia="仿宋" w:cs="仿宋"/>
                <w:color w:val="000000"/>
                <w:kern w:val="28"/>
                <w:sz w:val="24"/>
                <w:szCs w:val="24"/>
                <w:highlight w:val="none"/>
                <w:lang w:val="en-US" w:eastAsia="zh-CN"/>
              </w:rPr>
              <w:t>供应商</w:t>
            </w:r>
            <w:r>
              <w:rPr>
                <w:rFonts w:hint="eastAsia" w:ascii="仿宋" w:hAnsi="仿宋" w:eastAsia="仿宋" w:cs="仿宋"/>
                <w:color w:val="000000"/>
                <w:kern w:val="28"/>
                <w:sz w:val="24"/>
                <w:szCs w:val="24"/>
                <w:highlight w:val="none"/>
                <w:lang w:eastAsia="zh-CN"/>
              </w:rPr>
              <w:t>须承诺：自承接本项目之日起30日内，向采购人所在地设区的市级人民政府公安机关备案。</w:t>
            </w:r>
          </w:p>
          <w:p w14:paraId="5DAC214C">
            <w:pPr>
              <w:widowControl w:val="0"/>
              <w:spacing w:line="400" w:lineRule="exac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highlight w:val="none"/>
                <w:lang w:eastAsia="zh-CN"/>
              </w:rPr>
              <w:t>（2）从保安服务公司购买保安服务的</w:t>
            </w:r>
            <w:r>
              <w:rPr>
                <w:rFonts w:hint="eastAsia" w:ascii="仿宋" w:hAnsi="仿宋" w:eastAsia="仿宋" w:cs="仿宋"/>
                <w:color w:val="000000"/>
                <w:kern w:val="28"/>
                <w:sz w:val="24"/>
                <w:szCs w:val="24"/>
                <w:highlight w:val="none"/>
                <w:lang w:val="en-US" w:eastAsia="zh-CN"/>
              </w:rPr>
              <w:t>供应商</w:t>
            </w:r>
            <w:r>
              <w:rPr>
                <w:rFonts w:hint="eastAsia" w:ascii="仿宋" w:hAnsi="仿宋" w:eastAsia="仿宋" w:cs="仿宋"/>
                <w:color w:val="000000"/>
                <w:kern w:val="28"/>
                <w:sz w:val="24"/>
                <w:szCs w:val="24"/>
                <w:highlight w:val="none"/>
                <w:lang w:eastAsia="zh-CN"/>
              </w:rPr>
              <w:t>须承诺：成交后</w:t>
            </w:r>
            <w:r>
              <w:rPr>
                <w:rFonts w:hint="eastAsia" w:ascii="仿宋" w:hAnsi="仿宋" w:eastAsia="仿宋" w:cs="仿宋"/>
                <w:color w:val="000000"/>
                <w:kern w:val="28"/>
                <w:sz w:val="24"/>
                <w:szCs w:val="24"/>
                <w:highlight w:val="none"/>
                <w:lang w:val="en-US" w:eastAsia="zh-CN"/>
              </w:rPr>
              <w:t>7</w:t>
            </w:r>
            <w:r>
              <w:rPr>
                <w:rFonts w:hint="eastAsia" w:ascii="仿宋" w:hAnsi="仿宋" w:eastAsia="仿宋" w:cs="仿宋"/>
                <w:color w:val="000000"/>
                <w:kern w:val="28"/>
                <w:sz w:val="24"/>
                <w:szCs w:val="24"/>
                <w:highlight w:val="none"/>
                <w:lang w:eastAsia="zh-CN"/>
              </w:rPr>
              <w:t>日内，与保安</w:t>
            </w:r>
            <w:r>
              <w:rPr>
                <w:rFonts w:hint="eastAsia" w:ascii="仿宋" w:hAnsi="仿宋" w:eastAsia="仿宋" w:cs="仿宋"/>
                <w:color w:val="000000"/>
                <w:kern w:val="28"/>
                <w:sz w:val="24"/>
                <w:szCs w:val="24"/>
                <w:lang w:eastAsia="zh-CN"/>
              </w:rPr>
              <w:t>服务公司签订保安服务合同，明确规定服务的项目、内容以及双方的权利义务，以满足本项目采购人的保安服务需求。</w:t>
            </w:r>
          </w:p>
        </w:tc>
        <w:tc>
          <w:tcPr>
            <w:tcW w:w="806" w:type="dxa"/>
            <w:vAlign w:val="center"/>
          </w:tcPr>
          <w:p w14:paraId="727011B9">
            <w:pPr>
              <w:widowControl w:val="0"/>
              <w:spacing w:before="0" w:after="0" w:line="400" w:lineRule="exact"/>
              <w:rPr>
                <w:rFonts w:hint="eastAsia" w:ascii="仿宋" w:hAnsi="仿宋" w:eastAsia="仿宋" w:cs="Times New Roman"/>
                <w:b/>
                <w:bCs/>
                <w:color w:val="000000"/>
                <w:sz w:val="24"/>
                <w:szCs w:val="24"/>
              </w:rPr>
            </w:pPr>
          </w:p>
        </w:tc>
        <w:tc>
          <w:tcPr>
            <w:tcW w:w="994" w:type="dxa"/>
            <w:vAlign w:val="center"/>
          </w:tcPr>
          <w:p w14:paraId="240FF471">
            <w:pPr>
              <w:widowControl w:val="0"/>
              <w:spacing w:before="0" w:after="0" w:line="400" w:lineRule="exact"/>
              <w:rPr>
                <w:rFonts w:hint="eastAsia" w:ascii="仿宋" w:hAnsi="仿宋" w:eastAsia="仿宋" w:cs="Times New Roman"/>
                <w:b/>
                <w:bCs/>
                <w:color w:val="000000"/>
                <w:sz w:val="24"/>
                <w:szCs w:val="24"/>
              </w:rPr>
            </w:pPr>
          </w:p>
        </w:tc>
      </w:tr>
      <w:tr w14:paraId="118A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81" w:type="dxa"/>
            <w:gridSpan w:val="5"/>
            <w:vAlign w:val="center"/>
          </w:tcPr>
          <w:p w14:paraId="395D39DD">
            <w:pPr>
              <w:spacing w:line="400" w:lineRule="exact"/>
              <w:rPr>
                <w:rFonts w:hint="eastAsia" w:ascii="仿宋" w:hAnsi="仿宋" w:eastAsia="仿宋" w:cs="仿宋"/>
                <w:b/>
                <w:color w:val="000000"/>
                <w:sz w:val="24"/>
                <w:szCs w:val="24"/>
              </w:rPr>
            </w:pPr>
            <w:r>
              <w:rPr>
                <w:rFonts w:hint="eastAsia" w:ascii="仿宋" w:hAnsi="仿宋" w:eastAsia="仿宋" w:cs="仿宋"/>
                <w:b/>
                <w:bCs/>
                <w:color w:val="000000"/>
                <w:kern w:val="0"/>
                <w:sz w:val="24"/>
                <w:szCs w:val="24"/>
              </w:rPr>
              <w:t>磋商小组成员：（签字或盖章）</w:t>
            </w:r>
          </w:p>
        </w:tc>
      </w:tr>
    </w:tbl>
    <w:p w14:paraId="3B485356">
      <w:pPr>
        <w:spacing w:line="500" w:lineRule="exact"/>
        <w:ind w:firstLine="566" w:firstLineChars="200"/>
        <w:rPr>
          <w:rFonts w:hint="eastAsia" w:ascii="仿宋" w:hAnsi="仿宋" w:eastAsia="仿宋" w:cs="仿宋"/>
          <w:b/>
          <w:bCs/>
          <w:color w:val="000000"/>
        </w:rPr>
      </w:pPr>
      <w:bookmarkStart w:id="334" w:name="_Toc2712"/>
      <w:bookmarkStart w:id="335" w:name="_Toc29773"/>
      <w:bookmarkStart w:id="336" w:name="_Toc325"/>
      <w:bookmarkStart w:id="337" w:name="_Toc16965"/>
      <w:bookmarkStart w:id="338" w:name="_Toc1691"/>
      <w:bookmarkStart w:id="339" w:name="_Toc28896"/>
      <w:bookmarkStart w:id="340" w:name="_Toc18735"/>
      <w:bookmarkStart w:id="341" w:name="_Toc22102"/>
      <w:bookmarkStart w:id="342" w:name="_Toc18391"/>
      <w:bookmarkStart w:id="343" w:name="_Toc1559"/>
      <w:bookmarkStart w:id="344" w:name="_Toc3753"/>
      <w:bookmarkStart w:id="345" w:name="_Toc2809"/>
      <w:bookmarkStart w:id="346" w:name="_Toc28947"/>
      <w:bookmarkStart w:id="347" w:name="_Toc25181"/>
      <w:r>
        <w:rPr>
          <w:rFonts w:hint="eastAsia" w:ascii="仿宋" w:hAnsi="仿宋" w:eastAsia="仿宋" w:cs="仿宋"/>
          <w:b/>
          <w:bCs/>
          <w:color w:val="000000"/>
        </w:rPr>
        <w:t>出现下列情形的，响应文件将被视为无效：</w:t>
      </w:r>
    </w:p>
    <w:p w14:paraId="51BD52A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（1）不具备磋商文件中规定的资格要求的；</w:t>
      </w:r>
    </w:p>
    <w:p w14:paraId="33759B41">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（2）未按磋商文件要求提供资格证明文件，或未按磋商文件要求加盖公章的；</w:t>
      </w:r>
    </w:p>
    <w:p w14:paraId="7CE2248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磋商小组认为供应商的资格证明文件存在疑点，要求供应商通过公共资源交易平台（以下简称“平台”）或电子邮件（在平台无法支持的情况下）等形式提供更清晰有效的证明文件，供应商不能在规定时限内提供符合磋商文件要求的证明文件的。</w:t>
      </w:r>
    </w:p>
    <w:p w14:paraId="712CEB4C">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资格审查结束后，磋商小组成员应当对审查结果进行签字确认，并告知有关供应商未通过审查的原因。</w:t>
      </w:r>
    </w:p>
    <w:p w14:paraId="5CCFE29C">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通过资格审查的供应商不足3家的，不得进行符合性审查，应予以废标。</w:t>
      </w:r>
    </w:p>
    <w:p w14:paraId="621165CF">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2、响应文件的符合性审查</w:t>
      </w:r>
    </w:p>
    <w:p w14:paraId="1EE2AF7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磋商小组依据磋商文件的规定，对响应文件的有效性、完整性和对磋商文件的响应程度进行审查，以确定是否对磋商文件的全部实质性要求做出响应。</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088E4C1F">
      <w:pPr>
        <w:widowControl w:val="0"/>
        <w:tabs>
          <w:tab w:val="center" w:pos="4153"/>
          <w:tab w:val="right" w:pos="8306"/>
        </w:tabs>
        <w:spacing w:line="500" w:lineRule="exact"/>
        <w:ind w:firstLine="566" w:firstLineChars="200"/>
        <w:jc w:val="left"/>
        <w:rPr>
          <w:rFonts w:hint="eastAsia" w:ascii="仿宋" w:hAnsi="仿宋" w:eastAsia="仿宋" w:cs="仿宋"/>
          <w:b/>
          <w:bCs/>
          <w:color w:val="000000"/>
        </w:rPr>
      </w:pPr>
      <w:r>
        <w:rPr>
          <w:rFonts w:hint="eastAsia" w:ascii="仿宋" w:hAnsi="仿宋" w:eastAsia="仿宋" w:cs="仿宋"/>
          <w:color w:val="000000"/>
        </w:rPr>
        <w:t>磋商小组要审查每份响应文件是否实质上响应了磋商文件的要求。实质上没有响应磋商文件要求的响应文件作</w:t>
      </w:r>
      <w:r>
        <w:rPr>
          <w:rFonts w:hint="eastAsia" w:ascii="仿宋" w:hAnsi="仿宋" w:eastAsia="仿宋" w:cs="仿宋"/>
          <w:b/>
          <w:bCs/>
          <w:color w:val="000000"/>
        </w:rPr>
        <w:t>无效响应处理</w:t>
      </w:r>
      <w:r>
        <w:rPr>
          <w:rFonts w:hint="eastAsia" w:ascii="仿宋" w:hAnsi="仿宋" w:eastAsia="仿宋" w:cs="仿宋"/>
          <w:color w:val="000000"/>
        </w:rPr>
        <w:t>，磋商小组应告知有关供应商未通过审查的原因。供应商不得通过修正或撤销不符之处而使其成为实质上响应。</w:t>
      </w:r>
    </w:p>
    <w:p w14:paraId="6D0B8B1E">
      <w:pPr>
        <w:widowControl w:val="0"/>
        <w:spacing w:line="500" w:lineRule="exact"/>
        <w:ind w:firstLine="0" w:firstLineChars="0"/>
        <w:jc w:val="center"/>
        <w:rPr>
          <w:rFonts w:hint="eastAsia" w:ascii="仿宋" w:hAnsi="仿宋" w:eastAsia="仿宋" w:cs="仿宋"/>
          <w:b/>
          <w:bCs/>
          <w:color w:val="000000"/>
          <w:lang w:eastAsia="zh-CN"/>
        </w:rPr>
      </w:pPr>
      <w:r>
        <w:rPr>
          <w:rFonts w:hint="eastAsia" w:ascii="仿宋" w:hAnsi="仿宋" w:eastAsia="仿宋" w:cs="仿宋"/>
          <w:b/>
          <w:bCs/>
          <w:color w:val="000000"/>
        </w:rPr>
        <w:t>符合性审查</w:t>
      </w:r>
      <w:r>
        <w:rPr>
          <w:rFonts w:hint="eastAsia" w:ascii="仿宋" w:hAnsi="仿宋" w:eastAsia="仿宋" w:cs="仿宋"/>
          <w:b/>
          <w:bCs/>
          <w:color w:val="000000"/>
          <w:lang w:eastAsia="zh-CN"/>
        </w:rPr>
        <w:t>表</w:t>
      </w:r>
    </w:p>
    <w:tbl>
      <w:tblPr>
        <w:tblStyle w:val="26"/>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460"/>
        <w:gridCol w:w="4200"/>
        <w:gridCol w:w="769"/>
        <w:gridCol w:w="1005"/>
      </w:tblGrid>
      <w:tr w14:paraId="6A40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4D91131E">
            <w:pPr>
              <w:widowControl w:val="0"/>
              <w:spacing w:line="400" w:lineRule="exact"/>
              <w:jc w:val="center"/>
              <w:rPr>
                <w:rFonts w:hint="eastAsia" w:ascii="仿宋" w:hAnsi="仿宋" w:eastAsia="仿宋" w:cs="仿宋"/>
                <w:b/>
                <w:bCs/>
                <w:color w:val="000000"/>
                <w:kern w:val="0"/>
                <w:sz w:val="24"/>
                <w:szCs w:val="24"/>
              </w:rPr>
            </w:pPr>
            <w:bookmarkStart w:id="348" w:name="_Toc2503"/>
            <w:bookmarkStart w:id="349" w:name="_Toc22846"/>
            <w:bookmarkStart w:id="350" w:name="_Toc2387"/>
            <w:bookmarkStart w:id="351" w:name="_Toc20615"/>
            <w:bookmarkStart w:id="352" w:name="_Toc11613"/>
            <w:bookmarkStart w:id="353" w:name="_Toc7523"/>
            <w:bookmarkStart w:id="354" w:name="_Toc31415"/>
            <w:bookmarkStart w:id="355" w:name="_Toc31150"/>
            <w:bookmarkStart w:id="356" w:name="_Toc24626"/>
            <w:bookmarkStart w:id="357" w:name="_Toc4245"/>
            <w:bookmarkStart w:id="358" w:name="_Toc13418"/>
            <w:bookmarkStart w:id="359" w:name="_Toc32092"/>
            <w:bookmarkStart w:id="360" w:name="_Toc18874"/>
            <w:bookmarkStart w:id="361" w:name="_Toc12596"/>
            <w:bookmarkStart w:id="362" w:name="_Toc2771"/>
            <w:r>
              <w:rPr>
                <w:rFonts w:hint="eastAsia" w:ascii="仿宋" w:hAnsi="仿宋" w:eastAsia="仿宋" w:cs="仿宋"/>
                <w:b/>
                <w:bCs/>
                <w:color w:val="000000"/>
                <w:kern w:val="0"/>
                <w:sz w:val="24"/>
                <w:szCs w:val="24"/>
              </w:rPr>
              <w:t>序号</w:t>
            </w:r>
          </w:p>
        </w:tc>
        <w:tc>
          <w:tcPr>
            <w:tcW w:w="2460" w:type="dxa"/>
            <w:vAlign w:val="center"/>
          </w:tcPr>
          <w:p w14:paraId="4D2A5787">
            <w:pPr>
              <w:widowControl w:val="0"/>
              <w:spacing w:line="40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符合性审查项</w:t>
            </w:r>
          </w:p>
        </w:tc>
        <w:tc>
          <w:tcPr>
            <w:tcW w:w="4200" w:type="dxa"/>
            <w:vAlign w:val="center"/>
          </w:tcPr>
          <w:p w14:paraId="516F4F16">
            <w:pPr>
              <w:widowControl w:val="0"/>
              <w:spacing w:line="40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通过条件</w:t>
            </w:r>
          </w:p>
        </w:tc>
        <w:tc>
          <w:tcPr>
            <w:tcW w:w="769" w:type="dxa"/>
            <w:vAlign w:val="center"/>
          </w:tcPr>
          <w:p w14:paraId="0AD9C6AC">
            <w:pPr>
              <w:widowControl w:val="0"/>
              <w:spacing w:line="40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结论</w:t>
            </w:r>
          </w:p>
        </w:tc>
        <w:tc>
          <w:tcPr>
            <w:tcW w:w="1005" w:type="dxa"/>
            <w:vAlign w:val="center"/>
          </w:tcPr>
          <w:p w14:paraId="322496E9">
            <w:pPr>
              <w:widowControl w:val="0"/>
              <w:spacing w:line="40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未通过原因</w:t>
            </w:r>
          </w:p>
        </w:tc>
      </w:tr>
      <w:tr w14:paraId="2E39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1" w:type="dxa"/>
            <w:vAlign w:val="center"/>
          </w:tcPr>
          <w:p w14:paraId="2B32387A">
            <w:pPr>
              <w:widowControl w:val="0"/>
              <w:spacing w:line="400" w:lineRule="exact"/>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w:t>
            </w:r>
          </w:p>
        </w:tc>
        <w:tc>
          <w:tcPr>
            <w:tcW w:w="2460" w:type="dxa"/>
            <w:vAlign w:val="center"/>
          </w:tcPr>
          <w:p w14:paraId="15C47FA6">
            <w:pPr>
              <w:widowControl w:val="0"/>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响应文件语言及有效期</w:t>
            </w:r>
          </w:p>
        </w:tc>
        <w:tc>
          <w:tcPr>
            <w:tcW w:w="4200" w:type="dxa"/>
            <w:vAlign w:val="center"/>
          </w:tcPr>
          <w:p w14:paraId="46DCB342">
            <w:pPr>
              <w:widowControl w:val="0"/>
              <w:spacing w:line="400" w:lineRule="exact"/>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响应文件语言及有效期</w:t>
            </w:r>
            <w:r>
              <w:rPr>
                <w:rFonts w:hint="eastAsia" w:ascii="仿宋" w:hAnsi="仿宋" w:eastAsia="仿宋" w:cs="仿宋"/>
                <w:color w:val="000000"/>
                <w:sz w:val="24"/>
                <w:szCs w:val="24"/>
              </w:rPr>
              <w:t>符合磋商文件要求。</w:t>
            </w:r>
          </w:p>
        </w:tc>
        <w:tc>
          <w:tcPr>
            <w:tcW w:w="769" w:type="dxa"/>
            <w:vAlign w:val="center"/>
          </w:tcPr>
          <w:p w14:paraId="49BAF823">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4BDB3606">
            <w:pPr>
              <w:widowControl w:val="0"/>
              <w:spacing w:line="400" w:lineRule="exact"/>
              <w:jc w:val="center"/>
              <w:rPr>
                <w:rFonts w:hint="eastAsia" w:ascii="仿宋" w:hAnsi="仿宋" w:eastAsia="仿宋" w:cs="仿宋"/>
                <w:b/>
                <w:bCs/>
                <w:color w:val="000000"/>
                <w:kern w:val="0"/>
                <w:sz w:val="24"/>
                <w:szCs w:val="24"/>
              </w:rPr>
            </w:pPr>
          </w:p>
        </w:tc>
      </w:tr>
      <w:tr w14:paraId="58DB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31" w:type="dxa"/>
            <w:vAlign w:val="center"/>
          </w:tcPr>
          <w:p w14:paraId="107B46A6">
            <w:pPr>
              <w:widowControl w:val="0"/>
              <w:spacing w:line="400" w:lineRule="exact"/>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2</w:t>
            </w:r>
          </w:p>
        </w:tc>
        <w:tc>
          <w:tcPr>
            <w:tcW w:w="2460" w:type="dxa"/>
            <w:vAlign w:val="center"/>
          </w:tcPr>
          <w:p w14:paraId="3B01391F">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响应文件封面、响应函、法定代表人授权委托书三处的项目名称、项目编号、标段（如有）</w:t>
            </w:r>
          </w:p>
        </w:tc>
        <w:tc>
          <w:tcPr>
            <w:tcW w:w="4200" w:type="dxa"/>
            <w:vAlign w:val="center"/>
          </w:tcPr>
          <w:p w14:paraId="04A8F377">
            <w:pPr>
              <w:spacing w:line="400" w:lineRule="exact"/>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三处均无遗漏，且与所投项目名称、项目编号、标段（如有）一致。</w:t>
            </w:r>
          </w:p>
        </w:tc>
        <w:tc>
          <w:tcPr>
            <w:tcW w:w="769" w:type="dxa"/>
            <w:vAlign w:val="center"/>
          </w:tcPr>
          <w:p w14:paraId="3A6EDCA8">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3F12053B">
            <w:pPr>
              <w:widowControl w:val="0"/>
              <w:spacing w:line="400" w:lineRule="exact"/>
              <w:jc w:val="center"/>
              <w:rPr>
                <w:rFonts w:hint="eastAsia" w:ascii="仿宋" w:hAnsi="仿宋" w:eastAsia="仿宋" w:cs="仿宋"/>
                <w:b/>
                <w:bCs/>
                <w:color w:val="000000"/>
                <w:kern w:val="0"/>
                <w:sz w:val="24"/>
                <w:szCs w:val="24"/>
              </w:rPr>
            </w:pPr>
          </w:p>
        </w:tc>
      </w:tr>
      <w:tr w14:paraId="39EF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107FCECC">
            <w:pPr>
              <w:widowControl w:val="0"/>
              <w:spacing w:line="400" w:lineRule="exact"/>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3</w:t>
            </w:r>
          </w:p>
        </w:tc>
        <w:tc>
          <w:tcPr>
            <w:tcW w:w="2460" w:type="dxa"/>
            <w:vAlign w:val="center"/>
          </w:tcPr>
          <w:p w14:paraId="6BBAF3B3">
            <w:pPr>
              <w:widowControl w:val="0"/>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响应文件签署、盖章</w:t>
            </w:r>
          </w:p>
        </w:tc>
        <w:tc>
          <w:tcPr>
            <w:tcW w:w="4200" w:type="dxa"/>
            <w:vAlign w:val="center"/>
          </w:tcPr>
          <w:p w14:paraId="3AF214B7">
            <w:pPr>
              <w:widowControl w:val="0"/>
              <w:spacing w:line="400" w:lineRule="exact"/>
              <w:rPr>
                <w:rFonts w:hint="eastAsia" w:ascii="仿宋" w:hAnsi="仿宋" w:eastAsia="仿宋" w:cs="仿宋"/>
                <w:color w:val="000000"/>
                <w:kern w:val="0"/>
                <w:sz w:val="24"/>
                <w:szCs w:val="24"/>
              </w:rPr>
            </w:pPr>
            <w:r>
              <w:rPr>
                <w:rFonts w:hint="eastAsia" w:ascii="仿宋" w:hAnsi="仿宋" w:eastAsia="仿宋" w:cs="仿宋"/>
                <w:color w:val="000000"/>
                <w:sz w:val="24"/>
                <w:szCs w:val="24"/>
              </w:rPr>
              <w:t>均按磋商文件要求签字、盖章（评分标准中要求提供的证明材料除外）。</w:t>
            </w:r>
          </w:p>
        </w:tc>
        <w:tc>
          <w:tcPr>
            <w:tcW w:w="769" w:type="dxa"/>
            <w:vAlign w:val="center"/>
          </w:tcPr>
          <w:p w14:paraId="38102F5D">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6B114C08">
            <w:pPr>
              <w:widowControl w:val="0"/>
              <w:spacing w:line="400" w:lineRule="exact"/>
              <w:jc w:val="center"/>
              <w:rPr>
                <w:rFonts w:hint="eastAsia" w:ascii="仿宋" w:hAnsi="仿宋" w:eastAsia="仿宋" w:cs="仿宋"/>
                <w:b/>
                <w:bCs/>
                <w:color w:val="000000"/>
                <w:kern w:val="0"/>
                <w:sz w:val="24"/>
                <w:szCs w:val="24"/>
              </w:rPr>
            </w:pPr>
          </w:p>
        </w:tc>
      </w:tr>
      <w:tr w14:paraId="2EFA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6BF5194C">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460" w:type="dxa"/>
            <w:vAlign w:val="center"/>
          </w:tcPr>
          <w:p w14:paraId="65E0F7E7">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第一次磋商报价表</w:t>
            </w:r>
          </w:p>
        </w:tc>
        <w:tc>
          <w:tcPr>
            <w:tcW w:w="4200" w:type="dxa"/>
          </w:tcPr>
          <w:p w14:paraId="40586BE4">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（1）第一次磋商报价表填写符合要求；</w:t>
            </w:r>
          </w:p>
          <w:p w14:paraId="4B0C082E">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（2）计量单位、报价货币均符合磋商文件要求；</w:t>
            </w:r>
          </w:p>
          <w:p w14:paraId="0417AC2D">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（3）第一次磋商报价未超出采购预算或磋商文件规定的最高限价。</w:t>
            </w:r>
          </w:p>
        </w:tc>
        <w:tc>
          <w:tcPr>
            <w:tcW w:w="769" w:type="dxa"/>
            <w:vAlign w:val="center"/>
          </w:tcPr>
          <w:p w14:paraId="1C8B416F">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40D8AF29">
            <w:pPr>
              <w:widowControl w:val="0"/>
              <w:spacing w:line="400" w:lineRule="exact"/>
              <w:jc w:val="center"/>
              <w:rPr>
                <w:rFonts w:hint="eastAsia" w:ascii="仿宋" w:hAnsi="仿宋" w:eastAsia="仿宋" w:cs="仿宋"/>
                <w:b/>
                <w:bCs/>
                <w:color w:val="000000"/>
                <w:kern w:val="0"/>
                <w:sz w:val="24"/>
                <w:szCs w:val="24"/>
              </w:rPr>
            </w:pPr>
          </w:p>
        </w:tc>
      </w:tr>
      <w:tr w14:paraId="36AC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31" w:type="dxa"/>
            <w:vAlign w:val="center"/>
          </w:tcPr>
          <w:p w14:paraId="3ED261C9">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460" w:type="dxa"/>
            <w:vAlign w:val="center"/>
          </w:tcPr>
          <w:p w14:paraId="30CD93D3">
            <w:pPr>
              <w:widowControl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供应商承诺书</w:t>
            </w:r>
          </w:p>
        </w:tc>
        <w:tc>
          <w:tcPr>
            <w:tcW w:w="4200" w:type="dxa"/>
            <w:vAlign w:val="center"/>
          </w:tcPr>
          <w:p w14:paraId="651DC0CE">
            <w:pPr>
              <w:widowControl w:val="0"/>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完全理解并接受《质量安全责任承诺书》、《拒绝政府采购领域商业贿赂承诺书》。</w:t>
            </w:r>
          </w:p>
        </w:tc>
        <w:tc>
          <w:tcPr>
            <w:tcW w:w="769" w:type="dxa"/>
            <w:vAlign w:val="center"/>
          </w:tcPr>
          <w:p w14:paraId="4E3FDFE1">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76DFE165">
            <w:pPr>
              <w:widowControl w:val="0"/>
              <w:spacing w:line="400" w:lineRule="exact"/>
              <w:jc w:val="center"/>
              <w:rPr>
                <w:rFonts w:hint="eastAsia" w:ascii="仿宋" w:hAnsi="仿宋" w:eastAsia="仿宋" w:cs="仿宋"/>
                <w:b/>
                <w:bCs/>
                <w:color w:val="000000"/>
                <w:kern w:val="0"/>
                <w:sz w:val="24"/>
                <w:szCs w:val="24"/>
              </w:rPr>
            </w:pPr>
          </w:p>
        </w:tc>
      </w:tr>
      <w:tr w14:paraId="3B0F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1" w:type="dxa"/>
            <w:vAlign w:val="center"/>
          </w:tcPr>
          <w:p w14:paraId="5A88A5A4">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460" w:type="dxa"/>
            <w:vAlign w:val="center"/>
          </w:tcPr>
          <w:p w14:paraId="63CCED79">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技术服务要求</w:t>
            </w:r>
          </w:p>
        </w:tc>
        <w:tc>
          <w:tcPr>
            <w:tcW w:w="4200" w:type="dxa"/>
            <w:vAlign w:val="center"/>
          </w:tcPr>
          <w:p w14:paraId="1F662EC3">
            <w:pPr>
              <w:widowControl w:val="0"/>
              <w:spacing w:line="400" w:lineRule="exact"/>
              <w:rPr>
                <w:rFonts w:hint="eastAsia" w:ascii="仿宋" w:hAnsi="仿宋" w:eastAsia="仿宋" w:cs="仿宋"/>
                <w:color w:val="000000"/>
                <w:kern w:val="0"/>
                <w:sz w:val="24"/>
                <w:szCs w:val="24"/>
              </w:rPr>
            </w:pPr>
            <w:r>
              <w:rPr>
                <w:rFonts w:hint="eastAsia" w:ascii="仿宋" w:hAnsi="仿宋" w:eastAsia="仿宋" w:cs="仿宋"/>
                <w:color w:val="000000"/>
                <w:sz w:val="24"/>
                <w:szCs w:val="24"/>
              </w:rPr>
              <w:t>完全理解并接受对合格供应商、合格的货物、工程或服务要求，根据供应商响应文件《实质性条款响应》，结合磋商文件第三章“★”标识的实质性要求没有负偏离。</w:t>
            </w:r>
          </w:p>
        </w:tc>
        <w:tc>
          <w:tcPr>
            <w:tcW w:w="769" w:type="dxa"/>
            <w:vAlign w:val="center"/>
          </w:tcPr>
          <w:p w14:paraId="746C8F72">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30764D28">
            <w:pPr>
              <w:widowControl w:val="0"/>
              <w:spacing w:line="400" w:lineRule="exact"/>
              <w:jc w:val="center"/>
              <w:rPr>
                <w:rFonts w:hint="eastAsia" w:ascii="仿宋" w:hAnsi="仿宋" w:eastAsia="仿宋" w:cs="仿宋"/>
                <w:b/>
                <w:bCs/>
                <w:color w:val="000000"/>
                <w:kern w:val="0"/>
                <w:sz w:val="24"/>
                <w:szCs w:val="24"/>
              </w:rPr>
            </w:pPr>
          </w:p>
        </w:tc>
      </w:tr>
      <w:tr w14:paraId="4EA2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31" w:type="dxa"/>
            <w:vAlign w:val="center"/>
          </w:tcPr>
          <w:p w14:paraId="5D037142">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460" w:type="dxa"/>
            <w:vAlign w:val="center"/>
          </w:tcPr>
          <w:p w14:paraId="5108E4F0">
            <w:pPr>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合同草案条款响应</w:t>
            </w:r>
          </w:p>
        </w:tc>
        <w:tc>
          <w:tcPr>
            <w:tcW w:w="4200" w:type="dxa"/>
            <w:vAlign w:val="center"/>
          </w:tcPr>
          <w:p w14:paraId="26E585BE">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有完全理解并接受磋商文件合同</w:t>
            </w:r>
            <w:r>
              <w:rPr>
                <w:rFonts w:hint="eastAsia" w:ascii="仿宋" w:hAnsi="仿宋" w:eastAsia="仿宋" w:cs="仿宋"/>
                <w:color w:val="000000"/>
                <w:kern w:val="0"/>
                <w:sz w:val="24"/>
                <w:szCs w:val="24"/>
              </w:rPr>
              <w:t>草案</w:t>
            </w:r>
            <w:r>
              <w:rPr>
                <w:rFonts w:hint="eastAsia" w:ascii="仿宋" w:hAnsi="仿宋" w:eastAsia="仿宋" w:cs="仿宋"/>
                <w:color w:val="000000"/>
                <w:sz w:val="24"/>
                <w:szCs w:val="24"/>
              </w:rPr>
              <w:t>条款要求的描述。</w:t>
            </w:r>
          </w:p>
        </w:tc>
        <w:tc>
          <w:tcPr>
            <w:tcW w:w="769" w:type="dxa"/>
            <w:vAlign w:val="center"/>
          </w:tcPr>
          <w:p w14:paraId="637F3F3F">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48F7D9D9">
            <w:pPr>
              <w:widowControl w:val="0"/>
              <w:spacing w:line="400" w:lineRule="exact"/>
              <w:jc w:val="center"/>
              <w:rPr>
                <w:rFonts w:hint="eastAsia" w:ascii="仿宋" w:hAnsi="仿宋" w:eastAsia="仿宋" w:cs="仿宋"/>
                <w:b/>
                <w:bCs/>
                <w:color w:val="000000"/>
                <w:kern w:val="0"/>
                <w:sz w:val="24"/>
                <w:szCs w:val="24"/>
              </w:rPr>
            </w:pPr>
          </w:p>
        </w:tc>
      </w:tr>
      <w:tr w14:paraId="612A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2CB4F283">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460" w:type="dxa"/>
            <w:vAlign w:val="center"/>
          </w:tcPr>
          <w:p w14:paraId="2337C878">
            <w:pPr>
              <w:widowControl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无其他磋商文件或法规明确规定响应无效的事项</w:t>
            </w:r>
          </w:p>
        </w:tc>
        <w:tc>
          <w:tcPr>
            <w:tcW w:w="4200" w:type="dxa"/>
            <w:vAlign w:val="center"/>
          </w:tcPr>
          <w:p w14:paraId="7EB91413">
            <w:pPr>
              <w:widowControl w:val="0"/>
              <w:spacing w:line="400" w:lineRule="exact"/>
              <w:rPr>
                <w:rFonts w:hint="eastAsia" w:ascii="仿宋" w:hAnsi="仿宋" w:eastAsia="仿宋" w:cs="仿宋"/>
                <w:color w:val="000000"/>
                <w:kern w:val="0"/>
                <w:sz w:val="24"/>
                <w:szCs w:val="24"/>
              </w:rPr>
            </w:pPr>
            <w:r>
              <w:rPr>
                <w:rFonts w:hint="eastAsia" w:ascii="仿宋" w:hAnsi="仿宋" w:eastAsia="仿宋" w:cs="仿宋"/>
                <w:color w:val="000000"/>
                <w:sz w:val="24"/>
                <w:szCs w:val="24"/>
              </w:rPr>
              <w:t>没有不符合磋商文件规定的被视为无效响应的其他条款。</w:t>
            </w:r>
          </w:p>
        </w:tc>
        <w:tc>
          <w:tcPr>
            <w:tcW w:w="769" w:type="dxa"/>
            <w:vAlign w:val="center"/>
          </w:tcPr>
          <w:p w14:paraId="4603A4B1">
            <w:pPr>
              <w:widowControl w:val="0"/>
              <w:spacing w:line="400" w:lineRule="exact"/>
              <w:jc w:val="center"/>
              <w:rPr>
                <w:rFonts w:hint="eastAsia" w:ascii="仿宋" w:hAnsi="仿宋" w:eastAsia="仿宋" w:cs="仿宋"/>
                <w:b/>
                <w:bCs/>
                <w:color w:val="000000"/>
                <w:kern w:val="0"/>
                <w:sz w:val="24"/>
                <w:szCs w:val="24"/>
              </w:rPr>
            </w:pPr>
          </w:p>
        </w:tc>
        <w:tc>
          <w:tcPr>
            <w:tcW w:w="1005" w:type="dxa"/>
            <w:vAlign w:val="center"/>
          </w:tcPr>
          <w:p w14:paraId="4AB2970D">
            <w:pPr>
              <w:widowControl w:val="0"/>
              <w:spacing w:line="400" w:lineRule="exact"/>
              <w:jc w:val="center"/>
              <w:rPr>
                <w:rFonts w:hint="eastAsia" w:ascii="仿宋" w:hAnsi="仿宋" w:eastAsia="仿宋" w:cs="仿宋"/>
                <w:b/>
                <w:bCs/>
                <w:color w:val="000000"/>
                <w:kern w:val="0"/>
                <w:sz w:val="24"/>
                <w:szCs w:val="24"/>
              </w:rPr>
            </w:pPr>
          </w:p>
        </w:tc>
      </w:tr>
      <w:tr w14:paraId="5CDE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65" w:type="dxa"/>
            <w:gridSpan w:val="5"/>
            <w:vAlign w:val="center"/>
          </w:tcPr>
          <w:p w14:paraId="6408B919">
            <w:pPr>
              <w:widowControl w:val="0"/>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磋商小组成员：（签字或盖章）</w:t>
            </w:r>
          </w:p>
        </w:tc>
      </w:tr>
    </w:tbl>
    <w:p w14:paraId="016BF9D8">
      <w:pPr>
        <w:widowControl w:val="0"/>
        <w:spacing w:afterLines="0"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3、响应文件的澄清</w:t>
      </w:r>
    </w:p>
    <w:p w14:paraId="2873D7CD">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（1）磋商小组在对响应文件的有效性、完整性和响应程度进行审查时，可以要求供应商对响应文件中含义不明确、同类问题表述不一致或者有明显文字和计算错误的内容等做出必要的澄清、说明或者更正。</w:t>
      </w:r>
    </w:p>
    <w:p w14:paraId="02BFC657">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（2）依照《中华人民共和国民法典》中的过失责任原则，澄清、说明或更正前磋商小组将按最不利于参与本次磋商供应商的原则对响应文件做出评判。</w:t>
      </w:r>
    </w:p>
    <w:p w14:paraId="5A2A38F0">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3）磋商小组要求供应商澄清、说明或者更正响应文件应当以书面形式做出。供应商应当在规定的澄清时限内通过公共资源交易平台（以下简称“平台”）或电子邮件（在平台无法支持的情况下）等书面形式提交，供应商的澄清、说明或者更正应当由法定代表人或其授权代表签字或者加盖公章。</w:t>
      </w:r>
    </w:p>
    <w:p w14:paraId="78394E64">
      <w:pPr>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（4）供应商的澄清、说明或者更正不得超出响应文件的范围或者改变响应文件的实质性内容。澄清、说明或者更正的内容将作为</w:t>
      </w:r>
      <w:r>
        <w:rPr>
          <w:rFonts w:hint="eastAsia" w:ascii="仿宋" w:hAnsi="仿宋" w:eastAsia="仿宋" w:cs="仿宋"/>
          <w:color w:val="000000"/>
          <w:kern w:val="0"/>
        </w:rPr>
        <w:t>合同</w:t>
      </w:r>
      <w:r>
        <w:rPr>
          <w:rFonts w:hint="eastAsia" w:ascii="仿宋" w:hAnsi="仿宋" w:eastAsia="仿宋" w:cs="仿宋"/>
          <w:color w:val="000000"/>
        </w:rPr>
        <w:t>履行的重要依据。</w:t>
      </w:r>
    </w:p>
    <w:p w14:paraId="70517B52">
      <w:pPr>
        <w:widowControl w:val="0"/>
        <w:spacing w:afterLines="0" w:line="500" w:lineRule="exact"/>
        <w:ind w:firstLine="566" w:firstLineChars="200"/>
        <w:contextualSpacing/>
        <w:rPr>
          <w:rFonts w:hint="eastAsia" w:ascii="仿宋" w:hAnsi="仿宋" w:eastAsia="仿宋" w:cs="仿宋"/>
          <w:b/>
          <w:color w:val="000000"/>
        </w:rPr>
      </w:pPr>
      <w:r>
        <w:rPr>
          <w:rFonts w:hint="eastAsia" w:ascii="仿宋" w:hAnsi="仿宋" w:eastAsia="仿宋" w:cs="仿宋"/>
          <w:b/>
          <w:color w:val="000000"/>
        </w:rPr>
        <w:t>除采用竞争性磋商方式采购的政府购买服务项目、市场竞争不充分的科研项目以及需要扶持的科技成果转化项目外，通过符合性审查的供应商不足3家的，不得进行后续磋商活动，应予以废标。</w:t>
      </w:r>
    </w:p>
    <w:p w14:paraId="57A16871">
      <w:pPr>
        <w:widowControl w:val="0"/>
        <w:spacing w:afterLines="0" w:line="500" w:lineRule="exact"/>
        <w:ind w:firstLine="566" w:firstLineChars="200"/>
        <w:contextualSpacing/>
        <w:rPr>
          <w:rFonts w:hint="eastAsia" w:ascii="仿宋" w:hAnsi="仿宋" w:eastAsia="仿宋" w:cs="仿宋"/>
          <w:b/>
          <w:color w:val="000000"/>
        </w:rPr>
      </w:pPr>
      <w:r>
        <w:rPr>
          <w:rFonts w:hint="eastAsia" w:ascii="仿宋" w:hAnsi="仿宋" w:eastAsia="仿宋" w:cs="仿宋"/>
          <w:b/>
          <w:color w:val="000000"/>
        </w:rPr>
        <w:t>4、进行磋商</w:t>
      </w:r>
    </w:p>
    <w:p w14:paraId="2D71E28A">
      <w:pPr>
        <w:widowControl w:val="0"/>
        <w:spacing w:afterLines="0" w:line="500" w:lineRule="exact"/>
        <w:ind w:firstLine="566" w:firstLineChars="200"/>
        <w:contextualSpacing/>
        <w:rPr>
          <w:rFonts w:hint="eastAsia" w:ascii="仿宋" w:hAnsi="仿宋" w:eastAsia="仿宋" w:cs="仿宋"/>
          <w:b/>
          <w:color w:val="000000"/>
        </w:rPr>
      </w:pPr>
      <w:r>
        <w:rPr>
          <w:rFonts w:hint="eastAsia" w:ascii="仿宋" w:hAnsi="仿宋" w:eastAsia="仿宋" w:cs="仿宋"/>
          <w:bCs/>
          <w:color w:val="000000"/>
        </w:rPr>
        <w:t>磋商小组所有成员应当集中与单一供应商分别进行磋商，并给予所有参加磋商的供应商平等的磋商机会。需要供应商书面答复磋商内容的，</w:t>
      </w:r>
      <w:r>
        <w:rPr>
          <w:rFonts w:hint="eastAsia" w:ascii="仿宋" w:hAnsi="仿宋" w:eastAsia="仿宋" w:cs="仿宋"/>
          <w:color w:val="000000"/>
        </w:rPr>
        <w:t>供应商应当按照磋商小组的要求，在磋商小组规定的时限内通过公共资源交易平台（以下简称“平台”）或电子邮件（在平台无法支持的情况下）等书面形式答复磋商的内容，并由法定代表人或其授权代表签字或者加盖公章。</w:t>
      </w:r>
    </w:p>
    <w:p w14:paraId="5CEC3DD4">
      <w:pPr>
        <w:spacing w:afterLines="0" w:line="500" w:lineRule="exact"/>
        <w:ind w:firstLine="566" w:firstLineChars="200"/>
        <w:contextualSpacing/>
        <w:rPr>
          <w:rFonts w:hint="eastAsia" w:ascii="仿宋" w:hAnsi="仿宋" w:eastAsia="仿宋" w:cs="仿宋"/>
          <w:b/>
          <w:color w:val="000000"/>
        </w:rPr>
      </w:pPr>
      <w:r>
        <w:rPr>
          <w:rFonts w:hint="eastAsia" w:ascii="仿宋" w:hAnsi="仿宋" w:eastAsia="仿宋" w:cs="仿宋"/>
          <w:b/>
          <w:color w:val="000000"/>
        </w:rPr>
        <w:t>5、磋商文件的实质性变更</w:t>
      </w:r>
    </w:p>
    <w:p w14:paraId="1B33F90F">
      <w:pPr>
        <w:widowControl w:val="0"/>
        <w:spacing w:afterLines="0"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（1）在磋商过程中，磋商小组可以根据磋商文件和磋商情况实质性变动采购需求中的技术、服务要求以及合同草案条款，但不得变动磋商文件中的其他内容。实质性变动的内容，须经采购人代表确认。</w:t>
      </w:r>
    </w:p>
    <w:p w14:paraId="530DD765">
      <w:pPr>
        <w:widowControl w:val="0"/>
        <w:spacing w:afterLines="0" w:line="500" w:lineRule="exact"/>
        <w:ind w:firstLine="566" w:firstLineChars="200"/>
        <w:contextualSpacing/>
        <w:rPr>
          <w:rFonts w:hint="eastAsia" w:ascii="仿宋" w:hAnsi="仿宋" w:eastAsia="仿宋" w:cs="仿宋"/>
          <w:color w:val="000000"/>
        </w:rPr>
      </w:pPr>
      <w:r>
        <w:rPr>
          <w:rFonts w:hint="eastAsia" w:ascii="仿宋" w:hAnsi="仿宋" w:eastAsia="仿宋" w:cs="仿宋"/>
          <w:color w:val="000000"/>
        </w:rPr>
        <w:t>（2）对磋商文件作出的实质性变动是磋商文件的有效组成部分，磋商小组将通过公共资源交易平台（以下简称“平台”）或电子邮件（在平台无法支持的情况下）等书面形式通知所有参加磋商的供应商。</w:t>
      </w:r>
    </w:p>
    <w:p w14:paraId="67028160">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（3）供应商应当按照磋商文件的变动情况和磋商小组的要求，在磋商小组规定的时限内重新提交响应文件，并用数字认证证书（CA锁）签章或由法定代表人或其授权代表签字或者加盖公章。</w:t>
      </w:r>
    </w:p>
    <w:p w14:paraId="440FB0E1">
      <w:pPr>
        <w:pStyle w:val="24"/>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（4）供应商未能在规定的时间内按照磋商小组的要求通过公共资源交易平台（以下简称“平台”）或电子邮件（在平台无法支持的情况下）等书面形式提交实质性变更响应文件的，视作未实质性响应。</w:t>
      </w:r>
    </w:p>
    <w:p w14:paraId="4436FABA">
      <w:pPr>
        <w:keepNext w:val="0"/>
        <w:keepLines w:val="0"/>
        <w:pageBreakBefore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b/>
          <w:color w:val="000000"/>
        </w:rPr>
      </w:pPr>
      <w:r>
        <w:rPr>
          <w:rFonts w:hint="eastAsia" w:ascii="仿宋" w:hAnsi="仿宋" w:eastAsia="仿宋" w:cs="仿宋"/>
          <w:b/>
          <w:color w:val="000000"/>
        </w:rPr>
        <w:t>6、最后报价</w:t>
      </w:r>
    </w:p>
    <w:p w14:paraId="2E010BB0">
      <w:pPr>
        <w:keepNext w:val="0"/>
        <w:keepLines w:val="0"/>
        <w:pageBreakBefore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（1）磋商文件能够详细列明采购标的的技术、服务要求的，磋商结束后，磋商小组应当要求所有实质性响应的供应商在规定时间内提交最后报价，提交最后报价的供应商不得少于3家。</w:t>
      </w:r>
    </w:p>
    <w:p w14:paraId="0578BD2E">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EED3FFD">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3）最后报价是供应商响应文件的有效组成部分。符合《政府采购竞争性磋商采购人管理暂行办法》第三条第四项情形的，即市场竞争不充分的科研项目，以及需要扶持的科技成果转化项目，提交最后报价的供应商可以为2家。根据《财政部关于政府采购竞争性磋商采购人管理暂行办法有关问题的补充通知》（财库〔2015〕124号），采购的政府购买服务项目（含政府和社会资本合作项目），在采购过程中符合要求的供应商（社会资本）只有2家的，竞争性磋商采购活动可以继续进行。</w:t>
      </w:r>
    </w:p>
    <w:p w14:paraId="52065D58">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4）供应商要在电子交易平台中提交最后报价，并用数字认证证书（CA锁）签章。平台系统无法使用时，供应商要按照磋商小组要求，通过电子邮件等书面形式提交最后报价表。最后报价表应由其法定代表人或授权代表签字或者加盖公章。最后报价将作为综合评分法中价格分的计算依据。</w:t>
      </w:r>
    </w:p>
    <w:p w14:paraId="65A922A5">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（5）已提交响应文件的供应商，在提交最后报价之前，可以根据磋商情况书面申请退出磋商，书面申请应由其法定代表人或授权代表签字或者加盖公章。</w:t>
      </w:r>
    </w:p>
    <w:p w14:paraId="4E99FC10">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contextualSpacing/>
        <w:textAlignment w:val="auto"/>
        <w:rPr>
          <w:rFonts w:hint="eastAsia" w:ascii="仿宋" w:hAnsi="仿宋" w:eastAsia="仿宋" w:cs="仿宋"/>
          <w:color w:val="000000"/>
        </w:rPr>
      </w:pPr>
      <w:r>
        <w:rPr>
          <w:rFonts w:hint="eastAsia" w:ascii="仿宋" w:hAnsi="仿宋" w:eastAsia="仿宋" w:cs="仿宋"/>
          <w:color w:val="000000"/>
        </w:rPr>
        <w:t>（6）磋商小组认为供应商的报价明显低于其他通过符合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对待。</w:t>
      </w:r>
    </w:p>
    <w:p w14:paraId="2397FF2A">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color w:val="000000"/>
        </w:rPr>
      </w:pPr>
      <w:r>
        <w:rPr>
          <w:rFonts w:hint="eastAsia" w:ascii="仿宋" w:hAnsi="仿宋" w:eastAsia="仿宋" w:cs="仿宋"/>
          <w:b/>
          <w:color w:val="000000"/>
        </w:rPr>
        <w:t>7、综合比较与评价</w:t>
      </w:r>
    </w:p>
    <w:p w14:paraId="6B34B58B">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经磋商确定最终采购需求和提交最后报价的供应商后，由磋商小组按“评审要素及分值一览表”中规定的评审方法和标准，对提交最后报价的供应商的响应文件和最后报价进行综合评分。</w:t>
      </w:r>
    </w:p>
    <w:p w14:paraId="0ED1B77A">
      <w:pPr>
        <w:widowControl w:val="0"/>
        <w:spacing w:before="0" w:beforeLines="-2147483648" w:after="0" w:afterLines="0" w:line="500" w:lineRule="exact"/>
        <w:ind w:firstLine="566" w:firstLineChars="200"/>
        <w:jc w:val="left"/>
        <w:rPr>
          <w:rFonts w:hint="eastAsia" w:ascii="仿宋" w:hAnsi="仿宋" w:eastAsia="仿宋" w:cs="仿宋"/>
          <w:b/>
          <w:bCs/>
          <w:color w:val="000000"/>
        </w:rPr>
      </w:pPr>
      <w:r>
        <w:rPr>
          <w:rFonts w:hint="eastAsia" w:ascii="仿宋" w:hAnsi="仿宋" w:eastAsia="仿宋" w:cs="仿宋"/>
          <w:color w:val="000000"/>
        </w:rPr>
        <w:t>评审时，磋商小组各成员应当独立对每个有效响应的文件进行评价、打分，然后汇总每个供应商每项评审因素的得分</w:t>
      </w:r>
      <w:r>
        <w:rPr>
          <w:rFonts w:hint="eastAsia" w:ascii="仿宋" w:hAnsi="仿宋" w:eastAsia="仿宋" w:cs="仿宋"/>
          <w:color w:val="000000"/>
          <w:lang w:eastAsia="zh-CN"/>
        </w:rPr>
        <w:t>。</w:t>
      </w:r>
    </w:p>
    <w:p w14:paraId="3A1B0663">
      <w:pPr>
        <w:widowControl w:val="0"/>
        <w:spacing w:before="192" w:beforeLines="50" w:after="0" w:line="500" w:lineRule="exact"/>
        <w:jc w:val="center"/>
        <w:rPr>
          <w:rFonts w:hint="eastAsia" w:ascii="仿宋" w:hAnsi="仿宋" w:eastAsia="仿宋" w:cs="仿宋"/>
          <w:b/>
          <w:bCs/>
          <w:color w:val="000000"/>
        </w:rPr>
      </w:pPr>
      <w:r>
        <w:rPr>
          <w:rFonts w:hint="eastAsia" w:ascii="仿宋" w:hAnsi="仿宋" w:eastAsia="仿宋" w:cs="仿宋"/>
          <w:b/>
          <w:bCs/>
          <w:color w:val="000000"/>
        </w:rPr>
        <w:t>评审要素及分值一览表</w:t>
      </w:r>
    </w:p>
    <w:tbl>
      <w:tblPr>
        <w:tblStyle w:val="26"/>
        <w:tblpPr w:leftFromText="180" w:rightFromText="180" w:vertAnchor="text" w:horzAnchor="page" w:tblpX="1587" w:tblpY="181"/>
        <w:tblOverlap w:val="never"/>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84"/>
        <w:gridCol w:w="7323"/>
      </w:tblGrid>
      <w:tr w14:paraId="674C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641D521A">
            <w:pPr>
              <w:spacing w:afterLines="0" w:line="4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884" w:type="dxa"/>
            <w:noWrap w:val="0"/>
            <w:vAlign w:val="center"/>
          </w:tcPr>
          <w:p w14:paraId="1370D7E8">
            <w:pPr>
              <w:spacing w:afterLines="0" w:line="40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w:t>
            </w:r>
          </w:p>
          <w:p w14:paraId="25C962F6">
            <w:pPr>
              <w:spacing w:afterLines="0" w:line="400" w:lineRule="exact"/>
              <w:jc w:val="center"/>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c>
          <w:tcPr>
            <w:tcW w:w="7323" w:type="dxa"/>
            <w:noWrap w:val="0"/>
            <w:vAlign w:val="center"/>
          </w:tcPr>
          <w:p w14:paraId="4715E278">
            <w:pPr>
              <w:spacing w:afterLines="0" w:line="4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r>
      <w:tr w14:paraId="42BA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40" w:type="dxa"/>
            <w:noWrap w:val="0"/>
            <w:vAlign w:val="center"/>
          </w:tcPr>
          <w:p w14:paraId="1EE8BB23">
            <w:pPr>
              <w:autoSpaceDE/>
              <w:autoSpaceDN/>
              <w:adjustRightInd/>
              <w:spacing w:afterLines="0"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000000"/>
                <w:sz w:val="24"/>
                <w:szCs w:val="24"/>
                <w:lang w:val="en-US" w:eastAsia="zh-CN"/>
              </w:rPr>
              <w:t>磋商</w:t>
            </w:r>
            <w:r>
              <w:rPr>
                <w:rFonts w:hint="eastAsia" w:ascii="仿宋" w:hAnsi="仿宋" w:eastAsia="仿宋" w:cs="仿宋"/>
                <w:bCs/>
                <w:color w:val="auto"/>
                <w:sz w:val="24"/>
                <w:szCs w:val="24"/>
                <w:highlight w:val="none"/>
                <w:lang w:eastAsia="zh-CN"/>
              </w:rPr>
              <w:t>报价</w:t>
            </w:r>
          </w:p>
        </w:tc>
        <w:tc>
          <w:tcPr>
            <w:tcW w:w="884" w:type="dxa"/>
            <w:noWrap w:val="0"/>
            <w:vAlign w:val="center"/>
          </w:tcPr>
          <w:p w14:paraId="6148DDEB">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Cs/>
                <w:color w:val="000000"/>
                <w:sz w:val="24"/>
                <w:szCs w:val="24"/>
                <w:highlight w:val="none"/>
                <w:lang w:val="en-US" w:eastAsia="zh-CN"/>
              </w:rPr>
              <w:t>20</w:t>
            </w:r>
          </w:p>
        </w:tc>
        <w:tc>
          <w:tcPr>
            <w:tcW w:w="7323" w:type="dxa"/>
            <w:noWrap w:val="0"/>
            <w:vAlign w:val="center"/>
          </w:tcPr>
          <w:p w14:paraId="1D9A0EBD">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满足磋商文件要求且最后报价最低的供应商的价格为磋商基准价得</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分，其他各供应商的最后磋商报价得分按下列公式计算:</w:t>
            </w:r>
          </w:p>
          <w:p w14:paraId="0A7E5558">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ascii="仿宋" w:hAnsi="仿宋" w:eastAsia="仿宋" w:cs="仿宋"/>
                <w:bCs/>
                <w:color w:val="auto"/>
                <w:sz w:val="24"/>
                <w:szCs w:val="24"/>
                <w:highlight w:val="none"/>
              </w:rPr>
            </w:pPr>
            <w:r>
              <w:rPr>
                <w:rFonts w:hint="eastAsia" w:ascii="仿宋" w:hAnsi="仿宋" w:eastAsia="仿宋" w:cs="仿宋"/>
                <w:color w:val="000000"/>
                <w:sz w:val="24"/>
                <w:szCs w:val="24"/>
                <w:highlight w:val="none"/>
              </w:rPr>
              <w:t>(磋商基准价/最后磋商报价)×</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％×100。</w:t>
            </w:r>
          </w:p>
        </w:tc>
      </w:tr>
      <w:tr w14:paraId="0A45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40" w:type="dxa"/>
            <w:noWrap w:val="0"/>
            <w:vAlign w:val="center"/>
          </w:tcPr>
          <w:p w14:paraId="02FB6405">
            <w:pPr>
              <w:spacing w:afterLines="0" w:line="400" w:lineRule="exact"/>
              <w:jc w:val="center"/>
              <w:rPr>
                <w:rFonts w:ascii="仿宋" w:hAnsi="仿宋" w:eastAsia="仿宋" w:cs="仿宋"/>
                <w:color w:val="auto"/>
                <w:sz w:val="24"/>
                <w:szCs w:val="24"/>
                <w:highlight w:val="none"/>
              </w:rPr>
            </w:pPr>
            <w:r>
              <w:rPr>
                <w:rFonts w:hint="eastAsia" w:ascii="仿宋" w:hAnsi="仿宋" w:eastAsia="仿宋" w:cs="仿宋"/>
                <w:bCs/>
                <w:color w:val="000000"/>
                <w:sz w:val="24"/>
                <w:szCs w:val="24"/>
                <w:highlight w:val="none"/>
                <w:lang w:val="en-US" w:eastAsia="zh-CN"/>
              </w:rPr>
              <w:t>总体方案</w:t>
            </w:r>
          </w:p>
        </w:tc>
        <w:tc>
          <w:tcPr>
            <w:tcW w:w="884" w:type="dxa"/>
            <w:noWrap w:val="0"/>
            <w:vAlign w:val="center"/>
          </w:tcPr>
          <w:p w14:paraId="0C727F3E">
            <w:pPr>
              <w:spacing w:afterLines="0"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w:t>
            </w:r>
          </w:p>
        </w:tc>
        <w:tc>
          <w:tcPr>
            <w:tcW w:w="7323" w:type="dxa"/>
            <w:noWrap w:val="0"/>
            <w:vAlign w:val="center"/>
          </w:tcPr>
          <w:p w14:paraId="73C246AB">
            <w:pPr>
              <w:spacing w:afterLines="0" w:line="4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一、评审内容</w:t>
            </w:r>
          </w:p>
          <w:p w14:paraId="5DCD445A">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详细列</w:t>
            </w:r>
            <w:r>
              <w:rPr>
                <w:rFonts w:hint="eastAsia" w:ascii="仿宋" w:hAnsi="仿宋" w:eastAsia="仿宋" w:cs="仿宋"/>
                <w:color w:val="auto"/>
                <w:sz w:val="24"/>
                <w:szCs w:val="24"/>
                <w:highlight w:val="none"/>
                <w:lang w:val="en-US" w:eastAsia="zh-CN"/>
              </w:rPr>
              <w:t>出</w:t>
            </w:r>
            <w:r>
              <w:rPr>
                <w:rFonts w:hint="eastAsia" w:ascii="仿宋" w:hAnsi="仿宋" w:eastAsia="仿宋" w:cs="仿宋"/>
                <w:bCs/>
                <w:color w:val="000000"/>
                <w:sz w:val="24"/>
                <w:szCs w:val="24"/>
                <w:highlight w:val="none"/>
                <w:lang w:val="en-US" w:eastAsia="zh-CN"/>
              </w:rPr>
              <w:t>总体方案</w:t>
            </w:r>
            <w:r>
              <w:rPr>
                <w:rFonts w:hint="eastAsia" w:ascii="仿宋" w:hAnsi="仿宋" w:eastAsia="仿宋" w:cs="仿宋"/>
                <w:color w:val="auto"/>
                <w:sz w:val="24"/>
                <w:szCs w:val="24"/>
                <w:highlight w:val="none"/>
              </w:rPr>
              <w:t>，方案内容包</w:t>
            </w:r>
            <w:r>
              <w:rPr>
                <w:rFonts w:hint="eastAsia" w:ascii="仿宋" w:hAnsi="仿宋" w:eastAsia="仿宋" w:cs="仿宋"/>
                <w:color w:val="auto"/>
                <w:kern w:val="0"/>
                <w:sz w:val="24"/>
                <w:szCs w:val="24"/>
                <w:highlight w:val="none"/>
                <w:lang w:val="en-US" w:eastAsia="zh-CN" w:bidi="ar-SA"/>
              </w:rPr>
              <w:t>含</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服务理念及特色</w:t>
            </w:r>
            <w:r>
              <w:rPr>
                <w:rFonts w:hint="eastAsia" w:ascii="仿宋" w:hAnsi="仿宋" w:eastAsia="仿宋" w:cs="仿宋"/>
                <w:color w:val="auto"/>
                <w:sz w:val="24"/>
                <w:szCs w:val="24"/>
                <w:highlight w:val="none"/>
              </w:rPr>
              <w:t>②服务目标</w:t>
            </w:r>
            <w:r>
              <w:rPr>
                <w:rFonts w:hint="eastAsia" w:ascii="仿宋" w:hAnsi="仿宋" w:eastAsia="仿宋" w:cs="仿宋"/>
                <w:color w:val="auto"/>
                <w:sz w:val="24"/>
                <w:szCs w:val="24"/>
                <w:highlight w:val="none"/>
                <w:lang w:val="en-US" w:eastAsia="zh-CN"/>
              </w:rPr>
              <w:t>及总体</w:t>
            </w:r>
            <w:r>
              <w:rPr>
                <w:rFonts w:hint="eastAsia" w:ascii="仿宋" w:hAnsi="仿宋" w:eastAsia="仿宋" w:cs="仿宋"/>
                <w:color w:val="auto"/>
                <w:sz w:val="24"/>
                <w:szCs w:val="24"/>
                <w:highlight w:val="none"/>
              </w:rPr>
              <w:t>计划</w:t>
            </w:r>
            <w:r>
              <w:rPr>
                <w:rFonts w:hint="eastAsia" w:ascii="仿宋" w:hAnsi="仿宋" w:eastAsia="仿宋" w:cs="仿宋"/>
                <w:color w:val="auto"/>
                <w:sz w:val="24"/>
                <w:szCs w:val="24"/>
                <w:highlight w:val="none"/>
                <w:lang w:eastAsia="zh-CN"/>
              </w:rPr>
              <w:t>③</w:t>
            </w:r>
            <w:r>
              <w:rPr>
                <w:rFonts w:hint="eastAsia" w:ascii="仿宋" w:hAnsi="仿宋" w:eastAsia="仿宋" w:cs="仿宋"/>
                <w:color w:val="auto"/>
                <w:sz w:val="24"/>
                <w:szCs w:val="24"/>
                <w:highlight w:val="none"/>
              </w:rPr>
              <w:t>重难点分析及</w:t>
            </w:r>
            <w:r>
              <w:rPr>
                <w:rFonts w:hint="eastAsia" w:ascii="仿宋" w:hAnsi="仿宋" w:eastAsia="仿宋" w:cs="仿宋"/>
                <w:color w:val="auto"/>
                <w:sz w:val="24"/>
                <w:szCs w:val="24"/>
                <w:highlight w:val="none"/>
                <w:lang w:eastAsia="zh-CN"/>
              </w:rPr>
              <w:t>解决</w:t>
            </w:r>
            <w:r>
              <w:rPr>
                <w:rFonts w:hint="eastAsia" w:ascii="仿宋" w:hAnsi="仿宋" w:eastAsia="仿宋" w:cs="仿宋"/>
                <w:color w:val="auto"/>
                <w:sz w:val="24"/>
                <w:szCs w:val="24"/>
                <w:highlight w:val="none"/>
              </w:rPr>
              <w:t>措施。</w:t>
            </w:r>
          </w:p>
          <w:p w14:paraId="3E68A122">
            <w:pPr>
              <w:spacing w:afterLines="0" w:line="4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二、评审标准</w:t>
            </w:r>
          </w:p>
          <w:p w14:paraId="7DC582ED">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1、完整性：方案必须全面，对评审内容中的各项要求有详细描述；</w:t>
            </w:r>
          </w:p>
          <w:p w14:paraId="3691A06D">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2、可实施性：切合本项目实际情况，</w:t>
            </w:r>
            <w:r>
              <w:rPr>
                <w:rFonts w:hint="eastAsia" w:ascii="仿宋" w:hAnsi="仿宋" w:eastAsia="仿宋" w:cs="仿宋"/>
                <w:color w:val="000000"/>
                <w:sz w:val="24"/>
                <w:szCs w:val="24"/>
                <w:highlight w:val="none"/>
                <w:lang w:val="en-US" w:eastAsia="zh-CN"/>
              </w:rPr>
              <w:t>实施步骤</w:t>
            </w:r>
            <w:r>
              <w:rPr>
                <w:rFonts w:hint="eastAsia" w:ascii="仿宋" w:hAnsi="仿宋" w:eastAsia="仿宋" w:cs="仿宋"/>
                <w:color w:val="000000"/>
                <w:sz w:val="24"/>
                <w:szCs w:val="24"/>
                <w:lang w:val="en-US" w:eastAsia="zh-CN"/>
              </w:rPr>
              <w:t>清晰、合理</w:t>
            </w:r>
            <w:r>
              <w:rPr>
                <w:rFonts w:hint="eastAsia" w:ascii="仿宋" w:hAnsi="仿宋" w:eastAsia="仿宋" w:cs="仿宋"/>
                <w:color w:val="auto"/>
                <w:sz w:val="24"/>
                <w:szCs w:val="24"/>
                <w:highlight w:val="none"/>
              </w:rPr>
              <w:t>；</w:t>
            </w:r>
          </w:p>
          <w:p w14:paraId="7D743F4A">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3、针对性：方案能够紧扣项目实际情况，内容科学合理。</w:t>
            </w:r>
          </w:p>
          <w:p w14:paraId="13C9B032">
            <w:pPr>
              <w:spacing w:afterLines="0" w:line="4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分）</w:t>
            </w:r>
          </w:p>
          <w:p w14:paraId="29F4194C">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服务理念及特色</w:t>
            </w:r>
            <w:r>
              <w:rPr>
                <w:rFonts w:hint="eastAsia" w:ascii="仿宋" w:hAnsi="仿宋" w:eastAsia="仿宋" w:cs="仿宋"/>
                <w:color w:val="auto"/>
                <w:sz w:val="24"/>
                <w:szCs w:val="24"/>
                <w:highlight w:val="none"/>
              </w:rPr>
              <w:t>：</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color w:val="auto"/>
                <w:sz w:val="24"/>
                <w:szCs w:val="24"/>
                <w:highlight w:val="none"/>
              </w:rPr>
              <w:t>；</w:t>
            </w:r>
          </w:p>
          <w:p w14:paraId="1661996F">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②服务目标</w:t>
            </w:r>
            <w:r>
              <w:rPr>
                <w:rFonts w:hint="eastAsia" w:ascii="仿宋" w:hAnsi="仿宋" w:eastAsia="仿宋" w:cs="仿宋"/>
                <w:color w:val="auto"/>
                <w:sz w:val="24"/>
                <w:szCs w:val="24"/>
                <w:highlight w:val="none"/>
                <w:lang w:val="en-US" w:eastAsia="zh-CN"/>
              </w:rPr>
              <w:t>及总体</w:t>
            </w:r>
            <w:r>
              <w:rPr>
                <w:rFonts w:hint="eastAsia" w:ascii="仿宋" w:hAnsi="仿宋" w:eastAsia="仿宋" w:cs="仿宋"/>
                <w:color w:val="auto"/>
                <w:sz w:val="24"/>
                <w:szCs w:val="24"/>
                <w:highlight w:val="none"/>
              </w:rPr>
              <w:t>计划:</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color w:val="auto"/>
                <w:sz w:val="24"/>
                <w:szCs w:val="24"/>
                <w:highlight w:val="none"/>
              </w:rPr>
              <w:t>；</w:t>
            </w:r>
          </w:p>
          <w:p w14:paraId="5E0C81DB">
            <w:pPr>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③重难点分析及</w:t>
            </w:r>
            <w:r>
              <w:rPr>
                <w:rFonts w:hint="eastAsia" w:ascii="仿宋" w:hAnsi="仿宋" w:eastAsia="仿宋" w:cs="仿宋"/>
                <w:color w:val="auto"/>
                <w:sz w:val="24"/>
                <w:szCs w:val="24"/>
                <w:highlight w:val="none"/>
                <w:lang w:eastAsia="zh-CN"/>
              </w:rPr>
              <w:t>解决</w:t>
            </w:r>
            <w:r>
              <w:rPr>
                <w:rFonts w:hint="eastAsia" w:ascii="仿宋" w:hAnsi="仿宋" w:eastAsia="仿宋" w:cs="仿宋"/>
                <w:color w:val="auto"/>
                <w:sz w:val="24"/>
                <w:szCs w:val="24"/>
                <w:highlight w:val="none"/>
              </w:rPr>
              <w:t>措施:</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color w:val="auto"/>
                <w:sz w:val="24"/>
                <w:szCs w:val="24"/>
                <w:highlight w:val="none"/>
                <w:lang w:eastAsia="zh-CN"/>
              </w:rPr>
              <w:t>。</w:t>
            </w:r>
          </w:p>
        </w:tc>
      </w:tr>
      <w:tr w14:paraId="4748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40" w:type="dxa"/>
            <w:noWrap w:val="0"/>
            <w:vAlign w:val="center"/>
          </w:tcPr>
          <w:p w14:paraId="473AD13A">
            <w:pPr>
              <w:spacing w:afterLines="0" w:line="400" w:lineRule="exact"/>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保洁服务</w:t>
            </w:r>
            <w:r>
              <w:rPr>
                <w:rFonts w:hint="eastAsia" w:ascii="仿宋" w:hAnsi="仿宋" w:eastAsia="仿宋" w:cs="仿宋"/>
                <w:color w:val="auto"/>
                <w:kern w:val="0"/>
                <w:sz w:val="24"/>
                <w:szCs w:val="24"/>
                <w:highlight w:val="none"/>
                <w:lang w:val="en-US" w:eastAsia="zh-CN" w:bidi="ar-SA"/>
              </w:rPr>
              <w:t>方案</w:t>
            </w:r>
          </w:p>
        </w:tc>
        <w:tc>
          <w:tcPr>
            <w:tcW w:w="884" w:type="dxa"/>
            <w:noWrap w:val="0"/>
            <w:vAlign w:val="center"/>
          </w:tcPr>
          <w:p w14:paraId="60EDEAD5">
            <w:pPr>
              <w:spacing w:afterLines="0"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10.5</w:t>
            </w:r>
          </w:p>
        </w:tc>
        <w:tc>
          <w:tcPr>
            <w:tcW w:w="7323" w:type="dxa"/>
            <w:noWrap w:val="0"/>
            <w:vAlign w:val="center"/>
          </w:tcPr>
          <w:p w14:paraId="2D754499">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134313CA">
            <w:pPr>
              <w:pStyle w:val="57"/>
              <w:widowControl/>
              <w:shd w:val="clear" w:color="auto" w:fill="auto"/>
              <w:spacing w:afterLines="0" w:line="400" w:lineRule="exact"/>
              <w:ind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针</w:t>
            </w:r>
            <w:r>
              <w:rPr>
                <w:rFonts w:hint="eastAsia" w:ascii="仿宋" w:hAnsi="仿宋" w:eastAsia="仿宋" w:cs="仿宋"/>
                <w:color w:val="auto"/>
                <w:sz w:val="24"/>
                <w:szCs w:val="24"/>
                <w:highlight w:val="none"/>
                <w:lang w:val="en-US" w:eastAsia="zh-CN"/>
              </w:rPr>
              <w:t>对公寓保洁服务方案，</w:t>
            </w:r>
            <w:r>
              <w:rPr>
                <w:rFonts w:hint="eastAsia" w:ascii="仿宋" w:hAnsi="仿宋" w:eastAsia="仿宋" w:cs="仿宋"/>
                <w:color w:val="auto"/>
                <w:kern w:val="0"/>
                <w:sz w:val="24"/>
                <w:szCs w:val="24"/>
                <w:highlight w:val="none"/>
                <w:lang w:val="en-US" w:eastAsia="zh-CN" w:bidi="ar-SA"/>
              </w:rPr>
              <w:t>方案内容</w:t>
            </w:r>
            <w:r>
              <w:rPr>
                <w:rFonts w:hint="eastAsia" w:ascii="仿宋" w:hAnsi="仿宋" w:eastAsia="仿宋" w:cs="仿宋"/>
                <w:spacing w:val="2"/>
                <w:kern w:val="0"/>
                <w:sz w:val="24"/>
                <w:szCs w:val="24"/>
                <w:lang w:val="en-US" w:eastAsia="zh-CN"/>
              </w:rPr>
              <w:t>包</w:t>
            </w:r>
            <w:r>
              <w:rPr>
                <w:rFonts w:hint="eastAsia" w:ascii="仿宋" w:hAnsi="仿宋" w:eastAsia="仿宋" w:cs="仿宋"/>
                <w:color w:val="auto"/>
                <w:sz w:val="24"/>
                <w:szCs w:val="24"/>
                <w:highlight w:val="none"/>
                <w:lang w:val="en-US" w:eastAsia="zh-CN"/>
              </w:rPr>
              <w:t>含：①楼内公共区域保洁②楼外共用区域保洁③公共卫生间保洁④客房保洁服务⑤垃圾收集与处理⑥定期灭虫除害与空气环境⑦监督与考核机制。</w:t>
            </w:r>
          </w:p>
          <w:p w14:paraId="1F702E4A">
            <w:pPr>
              <w:shd w:val="clear" w:color="auto" w:fill="auto"/>
              <w:autoSpaceDE/>
              <w:autoSpaceDN/>
              <w:adjustRightInd/>
              <w:spacing w:afterLines="0" w:line="400" w:lineRule="exac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2BB8C676">
            <w:pPr>
              <w:shd w:val="clear" w:color="auto" w:fill="auto"/>
              <w:tabs>
                <w:tab w:val="left" w:pos="547"/>
              </w:tabs>
              <w:autoSpaceDE/>
              <w:autoSpaceDN/>
              <w:adjustRightInd/>
              <w:spacing w:afterLines="0" w:line="40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w:t>
            </w:r>
            <w:r>
              <w:rPr>
                <w:rFonts w:hint="eastAsia" w:ascii="仿宋" w:hAnsi="仿宋" w:eastAsia="仿宋" w:cs="仿宋"/>
                <w:bCs/>
                <w:color w:val="auto"/>
                <w:sz w:val="24"/>
                <w:szCs w:val="24"/>
                <w:highlight w:val="none"/>
                <w:lang w:eastAsia="zh-CN"/>
              </w:rPr>
              <w:t>方案必须全面，对评审内容中的各项要求有详细描述</w:t>
            </w:r>
            <w:r>
              <w:rPr>
                <w:rFonts w:hint="eastAsia" w:ascii="仿宋" w:hAnsi="仿宋" w:eastAsia="仿宋" w:cs="仿宋"/>
                <w:bCs/>
                <w:color w:val="auto"/>
                <w:sz w:val="24"/>
                <w:szCs w:val="24"/>
                <w:highlight w:val="none"/>
              </w:rPr>
              <w:t>；</w:t>
            </w:r>
          </w:p>
          <w:p w14:paraId="512F4876">
            <w:pPr>
              <w:shd w:val="clear" w:color="auto" w:fill="auto"/>
              <w:tabs>
                <w:tab w:val="left" w:pos="547"/>
              </w:tabs>
              <w:autoSpaceDE/>
              <w:autoSpaceDN/>
              <w:adjustRightInd/>
              <w:spacing w:afterLines="0" w:line="4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实际情况，实施步骤清晰、合理</w:t>
            </w:r>
            <w:r>
              <w:rPr>
                <w:rFonts w:hint="eastAsia" w:ascii="仿宋" w:hAnsi="仿宋" w:eastAsia="仿宋" w:cs="仿宋"/>
                <w:color w:val="auto"/>
                <w:sz w:val="24"/>
                <w:szCs w:val="24"/>
                <w:highlight w:val="none"/>
                <w:lang w:eastAsia="zh-CN"/>
              </w:rPr>
              <w:t>；</w:t>
            </w:r>
          </w:p>
          <w:p w14:paraId="12CC9CBD">
            <w:pPr>
              <w:keepNext w:val="0"/>
              <w:keepLines w:val="0"/>
              <w:pageBreakBefore w:val="0"/>
              <w:widowControl/>
              <w:shd w:val="clear" w:color="auto" w:fill="auto"/>
              <w:tabs>
                <w:tab w:val="left" w:pos="547"/>
              </w:tabs>
              <w:kinsoku/>
              <w:wordWrap/>
              <w:overflowPunct/>
              <w:topLinePunct w:val="0"/>
              <w:autoSpaceDE/>
              <w:autoSpaceDN/>
              <w:bidi w:val="0"/>
              <w:adjustRightInd/>
              <w:snapToGrid/>
              <w:spacing w:afterLines="0"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081FD218">
            <w:pPr>
              <w:shd w:val="clear" w:color="auto" w:fill="auto"/>
              <w:tabs>
                <w:tab w:val="left" w:pos="547"/>
              </w:tabs>
              <w:autoSpaceDE/>
              <w:autoSpaceDN/>
              <w:adjustRightInd/>
              <w:spacing w:afterLines="0" w:line="40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10.5</w:t>
            </w:r>
            <w:r>
              <w:rPr>
                <w:rFonts w:hint="eastAsia" w:ascii="仿宋" w:hAnsi="仿宋" w:eastAsia="仿宋" w:cs="仿宋"/>
                <w:b/>
                <w:color w:val="auto"/>
                <w:sz w:val="24"/>
                <w:szCs w:val="24"/>
                <w:highlight w:val="none"/>
              </w:rPr>
              <w:t>分）</w:t>
            </w:r>
          </w:p>
          <w:p w14:paraId="797B1FB1">
            <w:pPr>
              <w:tabs>
                <w:tab w:val="left" w:pos="547"/>
              </w:tabs>
              <w:autoSpaceDE/>
              <w:autoSpaceDN/>
              <w:adjustRightInd/>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①楼内公共区域保洁：</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p w14:paraId="7AAEABB9">
            <w:pPr>
              <w:tabs>
                <w:tab w:val="left" w:pos="547"/>
              </w:tabs>
              <w:autoSpaceDE/>
              <w:autoSpaceDN/>
              <w:adjustRightInd/>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②楼外共用区域保洁</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p w14:paraId="38C898EC">
            <w:pPr>
              <w:tabs>
                <w:tab w:val="left" w:pos="547"/>
              </w:tabs>
              <w:autoSpaceDE/>
              <w:autoSpaceDN/>
              <w:adjustRightInd/>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③公共卫生间保洁</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p w14:paraId="2F0F5E71">
            <w:pPr>
              <w:tabs>
                <w:tab w:val="left" w:pos="547"/>
              </w:tabs>
              <w:autoSpaceDE/>
              <w:autoSpaceDN/>
              <w:adjustRightInd/>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④客房保洁服务</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p w14:paraId="24D4C7E6">
            <w:pPr>
              <w:tabs>
                <w:tab w:val="left" w:pos="547"/>
              </w:tabs>
              <w:autoSpaceDE/>
              <w:autoSpaceDN/>
              <w:adjustRightInd/>
              <w:spacing w:afterLines="0" w:line="40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⑤垃圾收集与处理</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p w14:paraId="320F96A8">
            <w:pPr>
              <w:tabs>
                <w:tab w:val="left" w:pos="547"/>
              </w:tabs>
              <w:autoSpaceDE/>
              <w:autoSpaceDN/>
              <w:adjustRightInd/>
              <w:spacing w:afterLines="0" w:line="40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⑥定期灭虫除害与空气环境</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p w14:paraId="28B1B935">
            <w:pPr>
              <w:tabs>
                <w:tab w:val="left" w:pos="547"/>
              </w:tabs>
              <w:autoSpaceDE/>
              <w:autoSpaceDN/>
              <w:adjustRightInd/>
              <w:spacing w:afterLines="0" w:line="400" w:lineRule="exact"/>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⑦监督与考核机制</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bCs/>
                <w:color w:val="auto"/>
                <w:sz w:val="24"/>
                <w:szCs w:val="24"/>
                <w:highlight w:val="none"/>
                <w:lang w:val="en-US" w:eastAsia="zh-CN"/>
              </w:rPr>
              <w:t>。</w:t>
            </w:r>
          </w:p>
        </w:tc>
      </w:tr>
      <w:tr w14:paraId="32DE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40" w:type="dxa"/>
            <w:noWrap w:val="0"/>
            <w:vAlign w:val="center"/>
          </w:tcPr>
          <w:p w14:paraId="55CBDD68">
            <w:pPr>
              <w:shd w:val="clear" w:color="auto" w:fill="auto"/>
              <w:spacing w:afterLines="0" w:line="400" w:lineRule="exact"/>
              <w:jc w:val="center"/>
              <w:rPr>
                <w:rFonts w:hint="eastAsia" w:ascii="仿宋" w:hAnsi="仿宋" w:eastAsia="仿宋" w:cs="仿宋"/>
                <w:color w:val="auto"/>
                <w:kern w:val="0"/>
                <w:sz w:val="24"/>
                <w:szCs w:val="24"/>
                <w:highlight w:val="yellow"/>
                <w:lang w:val="en-US" w:eastAsia="zh-CN" w:bidi="ar-SA"/>
              </w:rPr>
            </w:pPr>
          </w:p>
          <w:p w14:paraId="21C84F1C">
            <w:pPr>
              <w:shd w:val="clear" w:color="auto" w:fill="auto"/>
              <w:spacing w:afterLines="0" w:line="400" w:lineRule="exact"/>
              <w:jc w:val="center"/>
              <w:rPr>
                <w:rFonts w:hint="eastAsia" w:ascii="仿宋" w:hAnsi="仿宋" w:eastAsia="仿宋" w:cs="仿宋"/>
                <w:color w:val="auto"/>
                <w:kern w:val="0"/>
                <w:sz w:val="24"/>
                <w:szCs w:val="24"/>
                <w:highlight w:val="yellow"/>
                <w:lang w:val="en-US" w:eastAsia="zh-CN" w:bidi="ar-SA"/>
              </w:rPr>
            </w:pPr>
            <w:r>
              <w:rPr>
                <w:rFonts w:hint="eastAsia" w:ascii="仿宋" w:hAnsi="仿宋" w:eastAsia="仿宋" w:cs="仿宋"/>
                <w:color w:val="auto"/>
                <w:kern w:val="0"/>
                <w:sz w:val="24"/>
                <w:szCs w:val="24"/>
                <w:highlight w:val="none"/>
                <w:lang w:val="en-US" w:eastAsia="zh-CN" w:bidi="ar-SA"/>
              </w:rPr>
              <w:t>校园绿化服务方案</w:t>
            </w:r>
          </w:p>
        </w:tc>
        <w:tc>
          <w:tcPr>
            <w:tcW w:w="884" w:type="dxa"/>
            <w:noWrap w:val="0"/>
            <w:vAlign w:val="center"/>
          </w:tcPr>
          <w:p w14:paraId="079BDA37">
            <w:pPr>
              <w:shd w:val="clear" w:color="auto" w:fill="auto"/>
              <w:spacing w:afterLines="0" w:line="400" w:lineRule="exac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7323" w:type="dxa"/>
            <w:noWrap w:val="0"/>
            <w:vAlign w:val="center"/>
          </w:tcPr>
          <w:p w14:paraId="01BB2A24">
            <w:pPr>
              <w:shd w:val="clear" w:color="auto" w:fill="auto"/>
              <w:autoSpaceDE/>
              <w:autoSpaceDN/>
              <w:adjustRightInd/>
              <w:spacing w:afterLines="0" w:line="400" w:lineRule="exact"/>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682E8335">
            <w:pPr>
              <w:widowControl/>
              <w:shd w:val="clear" w:color="auto" w:fill="auto"/>
              <w:spacing w:afterLines="0" w:line="400" w:lineRule="exac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针对校园绿化服务方案，方案内容包含：</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000000"/>
                <w:kern w:val="2"/>
                <w:sz w:val="24"/>
                <w:szCs w:val="24"/>
                <w:lang w:val="en-US" w:eastAsia="zh-CN" w:bidi="ar-SA"/>
              </w:rPr>
              <w:t>草坪养护</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000000"/>
                <w:kern w:val="2"/>
                <w:sz w:val="24"/>
                <w:szCs w:val="24"/>
                <w:lang w:val="en-US" w:eastAsia="zh-CN" w:bidi="ar-SA"/>
              </w:rPr>
              <w:t>树木养护</w:t>
            </w:r>
            <w:r>
              <w:rPr>
                <w:rFonts w:hint="eastAsia" w:ascii="仿宋" w:hAnsi="仿宋" w:eastAsia="仿宋" w:cs="仿宋"/>
                <w:color w:val="auto"/>
                <w:kern w:val="0"/>
                <w:sz w:val="24"/>
                <w:szCs w:val="24"/>
                <w:highlight w:val="none"/>
                <w:lang w:val="en-US" w:eastAsia="zh-CN" w:bidi="ar-SA"/>
              </w:rPr>
              <w:t>③</w:t>
            </w:r>
            <w:r>
              <w:rPr>
                <w:rFonts w:hint="eastAsia" w:ascii="仿宋" w:hAnsi="仿宋" w:eastAsia="仿宋" w:cs="仿宋"/>
                <w:color w:val="000000"/>
                <w:kern w:val="2"/>
                <w:sz w:val="24"/>
                <w:szCs w:val="24"/>
                <w:lang w:val="en-US" w:eastAsia="zh-CN" w:bidi="ar-SA"/>
              </w:rPr>
              <w:t>施肥管理</w:t>
            </w:r>
            <w:r>
              <w:rPr>
                <w:rFonts w:hint="eastAsia" w:ascii="仿宋" w:hAnsi="仿宋" w:eastAsia="仿宋" w:cs="仿宋"/>
                <w:color w:val="auto"/>
                <w:kern w:val="0"/>
                <w:sz w:val="24"/>
                <w:szCs w:val="24"/>
                <w:highlight w:val="none"/>
                <w:lang w:val="en-US" w:eastAsia="zh-CN" w:bidi="ar-SA"/>
              </w:rPr>
              <w:t>④</w:t>
            </w:r>
            <w:r>
              <w:rPr>
                <w:rFonts w:hint="eastAsia" w:ascii="仿宋" w:hAnsi="仿宋" w:eastAsia="仿宋" w:cs="仿宋"/>
                <w:color w:val="000000"/>
                <w:kern w:val="2"/>
                <w:sz w:val="24"/>
                <w:szCs w:val="24"/>
                <w:lang w:val="en-US" w:eastAsia="zh-CN" w:bidi="ar-SA"/>
              </w:rPr>
              <w:t>病虫害防治⑤补栽补种⑥监督与考核机制</w:t>
            </w:r>
            <w:r>
              <w:rPr>
                <w:rFonts w:hint="eastAsia" w:ascii="仿宋" w:hAnsi="仿宋" w:eastAsia="仿宋" w:cs="仿宋"/>
                <w:color w:val="auto"/>
                <w:sz w:val="24"/>
                <w:szCs w:val="24"/>
                <w:highlight w:val="none"/>
                <w:lang w:val="en-US" w:eastAsia="zh-CN"/>
              </w:rPr>
              <w:t>。</w:t>
            </w:r>
          </w:p>
          <w:p w14:paraId="7844999A">
            <w:pPr>
              <w:shd w:val="clear" w:color="auto" w:fill="auto"/>
              <w:autoSpaceDE/>
              <w:autoSpaceDN/>
              <w:adjustRightInd/>
              <w:spacing w:afterLines="0" w:line="400" w:lineRule="exac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4CB4D4CC">
            <w:pPr>
              <w:shd w:val="clear" w:color="auto" w:fill="auto"/>
              <w:autoSpaceDE/>
              <w:autoSpaceDN/>
              <w:adjustRightInd/>
              <w:spacing w:afterLines="0" w:line="40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w:t>
            </w:r>
            <w:r>
              <w:rPr>
                <w:rFonts w:hint="eastAsia" w:ascii="仿宋" w:hAnsi="仿宋" w:eastAsia="仿宋" w:cs="仿宋"/>
                <w:bCs/>
                <w:color w:val="auto"/>
                <w:sz w:val="24"/>
                <w:szCs w:val="24"/>
                <w:highlight w:val="none"/>
                <w:lang w:eastAsia="zh-CN"/>
              </w:rPr>
              <w:t>方案必须全面，对评审内容中的各项要求有详细描述</w:t>
            </w:r>
            <w:r>
              <w:rPr>
                <w:rFonts w:hint="eastAsia" w:ascii="仿宋" w:hAnsi="仿宋" w:eastAsia="仿宋" w:cs="仿宋"/>
                <w:bCs/>
                <w:color w:val="auto"/>
                <w:sz w:val="24"/>
                <w:szCs w:val="24"/>
                <w:highlight w:val="none"/>
              </w:rPr>
              <w:t>；</w:t>
            </w:r>
          </w:p>
          <w:p w14:paraId="7CD6ADB0">
            <w:pPr>
              <w:shd w:val="clear" w:color="auto" w:fill="auto"/>
              <w:autoSpaceDE/>
              <w:autoSpaceDN/>
              <w:adjustRightInd/>
              <w:spacing w:afterLines="0" w:line="4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实际情况，实施步骤清晰、合理</w:t>
            </w:r>
            <w:r>
              <w:rPr>
                <w:rFonts w:hint="eastAsia" w:ascii="仿宋" w:hAnsi="仿宋" w:eastAsia="仿宋" w:cs="仿宋"/>
                <w:color w:val="auto"/>
                <w:sz w:val="24"/>
                <w:szCs w:val="24"/>
                <w:highlight w:val="none"/>
                <w:lang w:eastAsia="zh-CN"/>
              </w:rPr>
              <w:t>；</w:t>
            </w:r>
          </w:p>
          <w:p w14:paraId="716C4C1F">
            <w:pPr>
              <w:keepNext w:val="0"/>
              <w:keepLines w:val="0"/>
              <w:pageBreakBefore w:val="0"/>
              <w:widowControl/>
              <w:shd w:val="clear" w:color="auto" w:fill="auto"/>
              <w:kinsoku/>
              <w:wordWrap/>
              <w:overflowPunct/>
              <w:topLinePunct w:val="0"/>
              <w:autoSpaceDE/>
              <w:autoSpaceDN/>
              <w:bidi w:val="0"/>
              <w:adjustRightInd/>
              <w:snapToGrid/>
              <w:spacing w:afterLines="0"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72927190">
            <w:pPr>
              <w:shd w:val="clear" w:color="auto" w:fill="auto"/>
              <w:autoSpaceDE/>
              <w:autoSpaceDN/>
              <w:adjustRightInd/>
              <w:spacing w:afterLines="0" w:line="40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分）</w:t>
            </w:r>
          </w:p>
          <w:p w14:paraId="434A637F">
            <w:pPr>
              <w:shd w:val="clear" w:color="auto" w:fill="auto"/>
              <w:autoSpaceDE/>
              <w:autoSpaceDN/>
              <w:adjustRightInd/>
              <w:spacing w:afterLines="0" w:line="400" w:lineRule="exac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000000"/>
                <w:kern w:val="2"/>
                <w:sz w:val="24"/>
                <w:szCs w:val="24"/>
                <w:lang w:val="en-US" w:eastAsia="zh-CN" w:bidi="ar-SA"/>
              </w:rPr>
              <w:t>草坪养护</w:t>
            </w:r>
            <w:r>
              <w:rPr>
                <w:rFonts w:hint="eastAsia" w:ascii="仿宋" w:hAnsi="仿宋" w:eastAsia="仿宋" w:cs="仿宋"/>
                <w:bCs/>
                <w:color w:val="auto"/>
                <w:sz w:val="24"/>
                <w:szCs w:val="24"/>
                <w:highlight w:val="none"/>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color w:val="auto"/>
                <w:sz w:val="24"/>
                <w:szCs w:val="24"/>
                <w:highlight w:val="none"/>
              </w:rPr>
              <w:t>；</w:t>
            </w:r>
          </w:p>
          <w:p w14:paraId="66DD4C5A">
            <w:pPr>
              <w:shd w:val="clear" w:color="auto" w:fill="auto"/>
              <w:spacing w:afterLines="0"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000000"/>
                <w:kern w:val="2"/>
                <w:sz w:val="24"/>
                <w:szCs w:val="24"/>
                <w:lang w:val="en-US" w:eastAsia="zh-CN" w:bidi="ar-SA"/>
              </w:rPr>
              <w:t>树木养护</w:t>
            </w:r>
            <w:r>
              <w:rPr>
                <w:rFonts w:hint="eastAsia" w:ascii="仿宋" w:hAnsi="仿宋" w:eastAsia="仿宋" w:cs="仿宋"/>
                <w:color w:val="auto"/>
                <w:sz w:val="24"/>
                <w:szCs w:val="24"/>
                <w:highlight w:val="none"/>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color w:val="auto"/>
                <w:sz w:val="24"/>
                <w:szCs w:val="24"/>
                <w:highlight w:val="none"/>
              </w:rPr>
              <w:t>；</w:t>
            </w:r>
          </w:p>
          <w:p w14:paraId="1FC98B1A">
            <w:pPr>
              <w:shd w:val="clear" w:color="auto" w:fill="auto"/>
              <w:spacing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③</w:t>
            </w:r>
            <w:r>
              <w:rPr>
                <w:rFonts w:hint="eastAsia" w:ascii="仿宋" w:hAnsi="仿宋" w:eastAsia="仿宋" w:cs="仿宋"/>
                <w:color w:val="000000"/>
                <w:kern w:val="2"/>
                <w:sz w:val="24"/>
                <w:szCs w:val="24"/>
                <w:lang w:val="en-US" w:eastAsia="zh-CN" w:bidi="ar-SA"/>
              </w:rPr>
              <w:t>施肥管理</w:t>
            </w:r>
            <w:r>
              <w:rPr>
                <w:rFonts w:hint="eastAsia" w:ascii="仿宋" w:hAnsi="仿宋" w:eastAsia="仿宋" w:cs="仿宋"/>
                <w:color w:val="auto"/>
                <w:sz w:val="24"/>
                <w:szCs w:val="24"/>
                <w:highlight w:val="none"/>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color w:val="auto"/>
                <w:sz w:val="24"/>
                <w:szCs w:val="24"/>
                <w:highlight w:val="none"/>
              </w:rPr>
              <w:t>；</w:t>
            </w:r>
          </w:p>
          <w:p w14:paraId="70D46C89">
            <w:pPr>
              <w:shd w:val="clear" w:color="auto" w:fill="auto"/>
              <w:spacing w:afterLines="0" w:line="400" w:lineRule="exac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lang w:val="en-US" w:eastAsia="zh-CN" w:bidi="ar-SA"/>
              </w:rPr>
              <w:t>④</w:t>
            </w:r>
            <w:r>
              <w:rPr>
                <w:rFonts w:hint="eastAsia" w:ascii="仿宋" w:hAnsi="仿宋" w:eastAsia="仿宋" w:cs="仿宋"/>
                <w:color w:val="000000"/>
                <w:kern w:val="2"/>
                <w:sz w:val="24"/>
                <w:szCs w:val="24"/>
                <w:lang w:val="en-US" w:eastAsia="zh-CN" w:bidi="ar-SA"/>
              </w:rPr>
              <w:t>病虫害防治</w:t>
            </w:r>
            <w:r>
              <w:rPr>
                <w:rFonts w:hint="eastAsia" w:ascii="仿宋" w:hAnsi="仿宋" w:eastAsia="仿宋" w:cs="仿宋"/>
                <w:color w:val="auto"/>
                <w:sz w:val="24"/>
                <w:szCs w:val="24"/>
                <w:highlight w:val="none"/>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color w:val="auto"/>
                <w:sz w:val="24"/>
                <w:szCs w:val="24"/>
                <w:highlight w:val="none"/>
              </w:rPr>
              <w:t>；</w:t>
            </w:r>
          </w:p>
          <w:p w14:paraId="5B0439F2">
            <w:pPr>
              <w:shd w:val="clear" w:color="auto" w:fill="auto"/>
              <w:spacing w:afterLines="0" w:line="400" w:lineRule="exact"/>
              <w:rPr>
                <w:rFonts w:hint="eastAsia" w:ascii="仿宋" w:hAnsi="仿宋" w:eastAsia="仿宋" w:cs="仿宋"/>
                <w:color w:val="auto"/>
                <w:sz w:val="24"/>
                <w:szCs w:val="24"/>
                <w:highlight w:val="none"/>
              </w:rPr>
            </w:pPr>
            <w:r>
              <w:rPr>
                <w:rFonts w:hint="eastAsia" w:ascii="仿宋" w:hAnsi="仿宋" w:eastAsia="仿宋" w:cs="仿宋"/>
                <w:color w:val="000000"/>
                <w:kern w:val="2"/>
                <w:sz w:val="24"/>
                <w:szCs w:val="24"/>
                <w:lang w:val="en-US" w:eastAsia="zh-CN" w:bidi="ar-SA"/>
              </w:rPr>
              <w:t>⑤补栽补种：</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color w:val="auto"/>
                <w:sz w:val="24"/>
                <w:szCs w:val="24"/>
                <w:highlight w:val="none"/>
              </w:rPr>
              <w:t>；</w:t>
            </w:r>
          </w:p>
          <w:p w14:paraId="6ACD3D66">
            <w:pPr>
              <w:shd w:val="clear" w:color="auto" w:fill="auto"/>
              <w:spacing w:afterLines="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000000"/>
                <w:kern w:val="2"/>
                <w:sz w:val="24"/>
                <w:szCs w:val="24"/>
                <w:lang w:val="en-US" w:eastAsia="zh-CN" w:bidi="ar-SA"/>
              </w:rPr>
              <w:t>⑥监督与考核机制</w:t>
            </w:r>
            <w:r>
              <w:rPr>
                <w:rFonts w:hint="eastAsia" w:ascii="仿宋" w:hAnsi="仿宋" w:eastAsia="仿宋" w:cs="仿宋"/>
                <w:color w:val="auto"/>
                <w:sz w:val="24"/>
                <w:szCs w:val="24"/>
                <w:highlight w:val="none"/>
              </w:rPr>
              <w:t>：</w:t>
            </w:r>
            <w:r>
              <w:rPr>
                <w:rFonts w:hint="eastAsia" w:ascii="仿宋" w:hAnsi="仿宋" w:eastAsia="仿宋" w:cs="仿宋"/>
                <w:color w:val="000000"/>
                <w:kern w:val="0"/>
                <w:sz w:val="24"/>
                <w:szCs w:val="24"/>
                <w:lang w:val="en-US" w:eastAsia="zh-CN" w:bidi="ar"/>
              </w:rPr>
              <w:t>每完全满足一个评审标准得0.5分，满分1.5分</w:t>
            </w:r>
            <w:r>
              <w:rPr>
                <w:rFonts w:hint="eastAsia" w:ascii="仿宋" w:hAnsi="仿宋" w:eastAsia="仿宋" w:cs="仿宋"/>
                <w:color w:val="auto"/>
                <w:sz w:val="24"/>
                <w:szCs w:val="24"/>
                <w:highlight w:val="none"/>
                <w:lang w:eastAsia="zh-CN"/>
              </w:rPr>
              <w:t>。</w:t>
            </w:r>
          </w:p>
        </w:tc>
      </w:tr>
      <w:tr w14:paraId="21B9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0" w:type="dxa"/>
            <w:noWrap w:val="0"/>
            <w:vAlign w:val="center"/>
          </w:tcPr>
          <w:p w14:paraId="7D0148F6">
            <w:pPr>
              <w:keepNext/>
              <w:keepLines/>
              <w:widowControl w:val="0"/>
              <w:shd w:val="clear" w:color="auto" w:fill="auto"/>
              <w:spacing w:afterLines="0" w:line="400" w:lineRule="exact"/>
              <w:jc w:val="center"/>
              <w:rPr>
                <w:rFonts w:hint="eastAsia" w:ascii="仿宋" w:hAnsi="仿宋" w:eastAsia="仿宋" w:cs="仿宋"/>
                <w:color w:val="auto"/>
                <w:kern w:val="0"/>
                <w:sz w:val="24"/>
                <w:szCs w:val="24"/>
                <w:highlight w:val="yellow"/>
                <w:lang w:val="en-US" w:eastAsia="zh-CN" w:bidi="ar-SA"/>
              </w:rPr>
            </w:pPr>
          </w:p>
          <w:p w14:paraId="33BF834B">
            <w:pPr>
              <w:keepNext/>
              <w:keepLines/>
              <w:widowControl w:val="0"/>
              <w:shd w:val="clear" w:color="auto" w:fill="auto"/>
              <w:spacing w:afterLines="0" w:line="40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安保消防服务方案</w:t>
            </w:r>
          </w:p>
        </w:tc>
        <w:tc>
          <w:tcPr>
            <w:tcW w:w="884" w:type="dxa"/>
            <w:noWrap w:val="0"/>
            <w:vAlign w:val="center"/>
          </w:tcPr>
          <w:p w14:paraId="69ECA3C3">
            <w:pPr>
              <w:keepNext/>
              <w:keepLines/>
              <w:widowControl w:val="0"/>
              <w:shd w:val="clear" w:color="auto" w:fill="auto"/>
              <w:spacing w:afterLines="0"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7323" w:type="dxa"/>
            <w:noWrap w:val="0"/>
            <w:vAlign w:val="center"/>
          </w:tcPr>
          <w:p w14:paraId="52DB0243">
            <w:pPr>
              <w:keepNext/>
              <w:keepLines/>
              <w:widowControl w:val="0"/>
              <w:shd w:val="clear" w:color="auto" w:fill="auto"/>
              <w:autoSpaceDE/>
              <w:autoSpaceDN/>
              <w:adjustRightInd/>
              <w:spacing w:afterLines="0" w:line="400" w:lineRule="exact"/>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02B1580A">
            <w:pPr>
              <w:keepNext/>
              <w:keepLines/>
              <w:widowControl w:val="0"/>
              <w:shd w:val="clear" w:color="auto" w:fill="auto"/>
              <w:spacing w:afterLines="0" w:line="400" w:lineRule="exac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针对校园安保消防服务方案，方案内容包含：</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000000"/>
                <w:kern w:val="2"/>
                <w:sz w:val="24"/>
                <w:szCs w:val="24"/>
                <w:lang w:val="en-US" w:eastAsia="zh-CN" w:bidi="ar-SA"/>
              </w:rPr>
              <w:t>固定岗点服务</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000000"/>
                <w:kern w:val="2"/>
                <w:sz w:val="24"/>
                <w:szCs w:val="24"/>
                <w:lang w:val="en-US" w:eastAsia="zh-CN" w:bidi="ar-SA"/>
              </w:rPr>
              <w:t>流动巡逻安保服务</w:t>
            </w:r>
            <w:r>
              <w:rPr>
                <w:rFonts w:hint="eastAsia" w:ascii="仿宋" w:hAnsi="仿宋" w:eastAsia="仿宋" w:cs="仿宋"/>
                <w:color w:val="auto"/>
                <w:kern w:val="0"/>
                <w:sz w:val="24"/>
                <w:szCs w:val="24"/>
                <w:highlight w:val="none"/>
                <w:lang w:val="en-US" w:eastAsia="zh-CN" w:bidi="ar-SA"/>
              </w:rPr>
              <w:t>③</w:t>
            </w:r>
            <w:r>
              <w:rPr>
                <w:rFonts w:hint="eastAsia" w:ascii="仿宋" w:hAnsi="仿宋" w:eastAsia="仿宋" w:cs="仿宋"/>
                <w:color w:val="000000"/>
                <w:kern w:val="2"/>
                <w:sz w:val="24"/>
                <w:szCs w:val="24"/>
                <w:lang w:val="en-US" w:eastAsia="zh-CN" w:bidi="ar-SA"/>
              </w:rPr>
              <w:t>消防中控室值班</w:t>
            </w:r>
            <w:r>
              <w:rPr>
                <w:rFonts w:hint="eastAsia" w:ascii="仿宋" w:hAnsi="仿宋" w:eastAsia="仿宋" w:cs="仿宋"/>
                <w:color w:val="auto"/>
                <w:sz w:val="24"/>
                <w:szCs w:val="24"/>
                <w:highlight w:val="none"/>
                <w:lang w:val="en-US" w:eastAsia="zh-CN"/>
              </w:rPr>
              <w:t>。</w:t>
            </w:r>
          </w:p>
          <w:p w14:paraId="77A764CB">
            <w:pPr>
              <w:keepNext/>
              <w:keepLines/>
              <w:widowControl w:val="0"/>
              <w:shd w:val="clear" w:color="auto" w:fill="auto"/>
              <w:autoSpaceDE/>
              <w:autoSpaceDN/>
              <w:adjustRightInd/>
              <w:spacing w:afterLines="0" w:line="400" w:lineRule="exac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04697271">
            <w:pPr>
              <w:keepNext/>
              <w:keepLines/>
              <w:widowControl w:val="0"/>
              <w:shd w:val="clear" w:color="auto" w:fill="auto"/>
              <w:autoSpaceDE/>
              <w:autoSpaceDN/>
              <w:adjustRightInd/>
              <w:spacing w:afterLines="0" w:line="40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w:t>
            </w:r>
            <w:r>
              <w:rPr>
                <w:rFonts w:hint="eastAsia" w:ascii="仿宋" w:hAnsi="仿宋" w:eastAsia="仿宋" w:cs="仿宋"/>
                <w:bCs/>
                <w:color w:val="auto"/>
                <w:sz w:val="24"/>
                <w:szCs w:val="24"/>
                <w:highlight w:val="none"/>
                <w:lang w:eastAsia="zh-CN"/>
              </w:rPr>
              <w:t>方案必须全面，对评审内容中的各项要求有详细描述</w:t>
            </w:r>
            <w:r>
              <w:rPr>
                <w:rFonts w:hint="eastAsia" w:ascii="仿宋" w:hAnsi="仿宋" w:eastAsia="仿宋" w:cs="仿宋"/>
                <w:bCs/>
                <w:color w:val="auto"/>
                <w:sz w:val="24"/>
                <w:szCs w:val="24"/>
                <w:highlight w:val="none"/>
              </w:rPr>
              <w:t>；</w:t>
            </w:r>
          </w:p>
          <w:p w14:paraId="68C1A946">
            <w:pPr>
              <w:keepNext/>
              <w:keepLines/>
              <w:widowControl w:val="0"/>
              <w:shd w:val="clear" w:color="auto" w:fill="auto"/>
              <w:autoSpaceDE/>
              <w:autoSpaceDN/>
              <w:adjustRightInd/>
              <w:spacing w:afterLines="0" w:line="4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实际情况，实施步骤清晰、合理</w:t>
            </w:r>
            <w:r>
              <w:rPr>
                <w:rFonts w:hint="eastAsia" w:ascii="仿宋" w:hAnsi="仿宋" w:eastAsia="仿宋" w:cs="仿宋"/>
                <w:color w:val="auto"/>
                <w:sz w:val="24"/>
                <w:szCs w:val="24"/>
                <w:highlight w:val="none"/>
                <w:lang w:eastAsia="zh-CN"/>
              </w:rPr>
              <w:t>；</w:t>
            </w:r>
          </w:p>
          <w:p w14:paraId="3377845B">
            <w:pPr>
              <w:keepNext/>
              <w:keepLines/>
              <w:pageBreakBefore w:val="0"/>
              <w:widowControl w:val="0"/>
              <w:shd w:val="clear" w:color="auto" w:fill="auto"/>
              <w:kinsoku/>
              <w:wordWrap/>
              <w:overflowPunct/>
              <w:topLinePunct w:val="0"/>
              <w:autoSpaceDE/>
              <w:autoSpaceDN/>
              <w:bidi w:val="0"/>
              <w:adjustRightInd/>
              <w:snapToGrid/>
              <w:spacing w:afterLines="0"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1E323845">
            <w:pPr>
              <w:keepNext/>
              <w:keepLines/>
              <w:widowControl w:val="0"/>
              <w:shd w:val="clear" w:color="auto" w:fill="auto"/>
              <w:autoSpaceDE/>
              <w:autoSpaceDN/>
              <w:adjustRightInd/>
              <w:spacing w:afterLines="0" w:line="40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分）</w:t>
            </w:r>
          </w:p>
          <w:p w14:paraId="100E19D5">
            <w:pPr>
              <w:keepNext/>
              <w:keepLines/>
              <w:widowControl w:val="0"/>
              <w:shd w:val="clear" w:color="auto" w:fill="auto"/>
              <w:autoSpaceDE/>
              <w:autoSpaceDN/>
              <w:adjustRightInd/>
              <w:spacing w:afterLines="0" w:line="400" w:lineRule="exac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000000"/>
                <w:kern w:val="2"/>
                <w:sz w:val="24"/>
                <w:szCs w:val="24"/>
                <w:lang w:val="en-US" w:eastAsia="zh-CN" w:bidi="ar-SA"/>
              </w:rPr>
              <w:t>固定岗点服务</w:t>
            </w:r>
            <w:r>
              <w:rPr>
                <w:rFonts w:hint="eastAsia" w:ascii="仿宋" w:hAnsi="仿宋" w:eastAsia="仿宋" w:cs="仿宋"/>
                <w:bCs/>
                <w:color w:val="auto"/>
                <w:sz w:val="24"/>
                <w:szCs w:val="24"/>
                <w:highlight w:val="none"/>
              </w:rPr>
              <w:t>：</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color w:val="auto"/>
                <w:sz w:val="24"/>
                <w:szCs w:val="24"/>
                <w:highlight w:val="none"/>
              </w:rPr>
              <w:t>；</w:t>
            </w:r>
          </w:p>
          <w:p w14:paraId="71D75AA9">
            <w:pPr>
              <w:keepNext/>
              <w:keepLines/>
              <w:widowControl w:val="0"/>
              <w:shd w:val="clear" w:color="auto" w:fill="auto"/>
              <w:spacing w:afterLines="0"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000000"/>
                <w:kern w:val="2"/>
                <w:sz w:val="24"/>
                <w:szCs w:val="24"/>
                <w:lang w:val="en-US" w:eastAsia="zh-CN" w:bidi="ar-SA"/>
              </w:rPr>
              <w:t>流动巡逻安保服务</w:t>
            </w:r>
            <w:r>
              <w:rPr>
                <w:rFonts w:hint="eastAsia" w:ascii="仿宋" w:hAnsi="仿宋" w:eastAsia="仿宋" w:cs="仿宋"/>
                <w:color w:val="auto"/>
                <w:sz w:val="24"/>
                <w:szCs w:val="24"/>
                <w:highlight w:val="none"/>
              </w:rPr>
              <w:t>：</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color w:val="auto"/>
                <w:sz w:val="24"/>
                <w:szCs w:val="24"/>
                <w:highlight w:val="none"/>
              </w:rPr>
              <w:t>；</w:t>
            </w:r>
          </w:p>
          <w:p w14:paraId="11529575">
            <w:pPr>
              <w:keepNext/>
              <w:keepLines/>
              <w:widowControl w:val="0"/>
              <w:shd w:val="clear" w:color="auto" w:fill="auto"/>
              <w:spacing w:afterLines="0" w:line="400" w:lineRule="exact"/>
              <w:rPr>
                <w:rFonts w:ascii="仿宋" w:hAnsi="仿宋" w:eastAsia="仿宋" w:cs="仿宋"/>
                <w:color w:val="auto"/>
                <w:spacing w:val="4"/>
                <w:sz w:val="24"/>
                <w:szCs w:val="24"/>
                <w:highlight w:val="none"/>
              </w:rPr>
            </w:pPr>
            <w:r>
              <w:rPr>
                <w:rFonts w:hint="eastAsia" w:ascii="仿宋" w:hAnsi="仿宋" w:eastAsia="仿宋" w:cs="仿宋"/>
                <w:color w:val="auto"/>
                <w:kern w:val="0"/>
                <w:sz w:val="24"/>
                <w:szCs w:val="24"/>
                <w:highlight w:val="none"/>
                <w:lang w:val="en-US" w:eastAsia="zh-CN" w:bidi="ar-SA"/>
              </w:rPr>
              <w:t>③</w:t>
            </w:r>
            <w:r>
              <w:rPr>
                <w:rFonts w:hint="eastAsia" w:ascii="仿宋" w:hAnsi="仿宋" w:eastAsia="仿宋" w:cs="仿宋"/>
                <w:color w:val="000000"/>
                <w:kern w:val="2"/>
                <w:sz w:val="24"/>
                <w:szCs w:val="24"/>
                <w:lang w:val="en-US" w:eastAsia="zh-CN" w:bidi="ar-SA"/>
              </w:rPr>
              <w:t>消防中控室值班</w:t>
            </w:r>
            <w:r>
              <w:rPr>
                <w:rFonts w:hint="eastAsia" w:ascii="仿宋" w:hAnsi="仿宋" w:eastAsia="仿宋" w:cs="仿宋"/>
                <w:color w:val="auto"/>
                <w:sz w:val="24"/>
                <w:szCs w:val="24"/>
                <w:highlight w:val="none"/>
              </w:rPr>
              <w:t>：</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color w:val="auto"/>
                <w:sz w:val="24"/>
                <w:szCs w:val="24"/>
                <w:highlight w:val="none"/>
                <w:lang w:eastAsia="zh-CN"/>
              </w:rPr>
              <w:t>。</w:t>
            </w:r>
          </w:p>
        </w:tc>
      </w:tr>
      <w:tr w14:paraId="409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0" w:type="dxa"/>
            <w:noWrap w:val="0"/>
            <w:vAlign w:val="center"/>
          </w:tcPr>
          <w:p w14:paraId="0CB0EBBF">
            <w:pPr>
              <w:keepNext/>
              <w:keepLines/>
              <w:pageBreakBefore w:val="0"/>
              <w:widowControl w:val="0"/>
              <w:kinsoku/>
              <w:wordWrap/>
              <w:overflowPunct/>
              <w:topLinePunct w:val="0"/>
              <w:bidi w:val="0"/>
              <w:snapToGrid/>
              <w:spacing w:afterLines="0" w:line="400" w:lineRule="exact"/>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kern w:val="0"/>
                <w:sz w:val="24"/>
                <w:szCs w:val="24"/>
                <w:lang w:val="en-US" w:eastAsia="zh-CN" w:bidi="ar"/>
              </w:rPr>
              <w:t>节约能源</w:t>
            </w:r>
          </w:p>
        </w:tc>
        <w:tc>
          <w:tcPr>
            <w:tcW w:w="884" w:type="dxa"/>
            <w:noWrap w:val="0"/>
            <w:vAlign w:val="center"/>
          </w:tcPr>
          <w:p w14:paraId="3E2B5189">
            <w:pPr>
              <w:keepNext/>
              <w:keepLines/>
              <w:pageBreakBefore w:val="0"/>
              <w:widowControl w:val="0"/>
              <w:kinsoku/>
              <w:wordWrap/>
              <w:overflowPunct/>
              <w:topLinePunct w:val="0"/>
              <w:bidi w:val="0"/>
              <w:snapToGrid/>
              <w:spacing w:afterLines="0" w:line="400" w:lineRule="exac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lang w:val="en-US" w:eastAsia="zh-CN"/>
              </w:rPr>
              <w:t>3</w:t>
            </w:r>
          </w:p>
        </w:tc>
        <w:tc>
          <w:tcPr>
            <w:tcW w:w="7323" w:type="dxa"/>
            <w:noWrap w:val="0"/>
            <w:vAlign w:val="center"/>
          </w:tcPr>
          <w:p w14:paraId="0BE31934">
            <w:pPr>
              <w:keepNext/>
              <w:keepLines/>
              <w:widowControl w:val="0"/>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一、评审内容 </w:t>
            </w:r>
          </w:p>
          <w:p w14:paraId="06D1E0B8">
            <w:pPr>
              <w:keepNext/>
              <w:keepLines/>
              <w:widowControl w:val="0"/>
              <w:suppressLineNumbers w:val="0"/>
              <w:spacing w:afterLines="0" w:line="400" w:lineRule="exact"/>
              <w:jc w:val="both"/>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bidi="ar"/>
              </w:rPr>
              <w:t>针对本项目服务内容提出</w:t>
            </w:r>
            <w:r>
              <w:rPr>
                <w:rFonts w:hint="eastAsia" w:ascii="仿宋" w:hAnsi="仿宋" w:eastAsia="仿宋" w:cs="仿宋"/>
                <w:color w:val="000000"/>
                <w:kern w:val="0"/>
                <w:sz w:val="24"/>
                <w:szCs w:val="24"/>
                <w:lang w:val="en-US" w:eastAsia="zh-CN" w:bidi="ar"/>
              </w:rPr>
              <w:t>水电等节约能源的管理方案，方案包含：①节约能源原则②节约能源的具体措施。</w:t>
            </w:r>
          </w:p>
          <w:p w14:paraId="0CB56810">
            <w:pPr>
              <w:keepNext/>
              <w:keepLines/>
              <w:widowControl w:val="0"/>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二、评审标准 </w:t>
            </w:r>
          </w:p>
          <w:p w14:paraId="400CC831">
            <w:pPr>
              <w:keepNext/>
              <w:keepLines/>
              <w:widowControl w:val="0"/>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1、完整性：方案必须全面，对评审内容中的各项要求有详细描述；</w:t>
            </w:r>
          </w:p>
          <w:p w14:paraId="1E4B58D8">
            <w:pPr>
              <w:keepNext/>
              <w:keepLines/>
              <w:widowControl w:val="0"/>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2、可实施性：切合本项目实际情况，实施步骤清晰、合理；</w:t>
            </w:r>
          </w:p>
          <w:p w14:paraId="6F8322FB">
            <w:pPr>
              <w:keepNext/>
              <w:keepLines/>
              <w:widowControl w:val="0"/>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3、针对性：方案能够紧扣项目实际情况，内容科学合理。</w:t>
            </w:r>
          </w:p>
          <w:p w14:paraId="20ED3C4F">
            <w:pPr>
              <w:keepNext/>
              <w:keepLines/>
              <w:widowControl w:val="0"/>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三、赋分标准（满分3分）</w:t>
            </w:r>
          </w:p>
          <w:p w14:paraId="3C3E748B">
            <w:pPr>
              <w:keepNext/>
              <w:keepLines/>
              <w:widowControl w:val="0"/>
              <w:suppressLineNumbers w:val="0"/>
              <w:spacing w:afterLines="0" w:line="400" w:lineRule="exact"/>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①节约能源原则：每完全满足一个评审标准得0.5分，满分1.5分；</w:t>
            </w:r>
          </w:p>
          <w:p w14:paraId="1ED6E0AE">
            <w:pPr>
              <w:keepNext/>
              <w:keepLines/>
              <w:widowControl w:val="0"/>
              <w:suppressLineNumbers w:val="0"/>
              <w:spacing w:afterLines="0" w:line="40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kern w:val="0"/>
                <w:sz w:val="24"/>
                <w:szCs w:val="24"/>
                <w:lang w:val="en-US" w:eastAsia="zh-CN" w:bidi="ar"/>
              </w:rPr>
              <w:t>②节约能源的具体措施:每完全满足一个评审标准得0.5分，满分1.5分。</w:t>
            </w:r>
          </w:p>
        </w:tc>
      </w:tr>
      <w:tr w14:paraId="483E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740" w:type="dxa"/>
            <w:noWrap w:val="0"/>
            <w:vAlign w:val="center"/>
          </w:tcPr>
          <w:p w14:paraId="2345466E">
            <w:pPr>
              <w:keepNext w:val="0"/>
              <w:keepLines w:val="0"/>
              <w:pageBreakBefore w:val="0"/>
              <w:widowControl/>
              <w:kinsoku/>
              <w:wordWrap/>
              <w:overflowPunct/>
              <w:topLinePunct w:val="0"/>
              <w:bidi w:val="0"/>
              <w:snapToGrid/>
              <w:spacing w:afterLines="0" w:line="400" w:lineRule="exact"/>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物料配备</w:t>
            </w:r>
          </w:p>
        </w:tc>
        <w:tc>
          <w:tcPr>
            <w:tcW w:w="884" w:type="dxa"/>
            <w:noWrap w:val="0"/>
            <w:vAlign w:val="center"/>
          </w:tcPr>
          <w:p w14:paraId="5F50FF43">
            <w:pPr>
              <w:keepNext w:val="0"/>
              <w:keepLines w:val="0"/>
              <w:pageBreakBefore w:val="0"/>
              <w:widowControl/>
              <w:kinsoku/>
              <w:wordWrap/>
              <w:overflowPunct/>
              <w:topLinePunct w:val="0"/>
              <w:bidi w:val="0"/>
              <w:snapToGrid/>
              <w:spacing w:afterLines="0" w:line="400" w:lineRule="exac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lang w:val="en-US" w:eastAsia="zh-CN"/>
              </w:rPr>
              <w:t>4</w:t>
            </w:r>
          </w:p>
        </w:tc>
        <w:tc>
          <w:tcPr>
            <w:tcW w:w="7323" w:type="dxa"/>
            <w:noWrap w:val="0"/>
            <w:vAlign w:val="center"/>
          </w:tcPr>
          <w:p w14:paraId="4A296679">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一、评审内容 </w:t>
            </w:r>
          </w:p>
          <w:p w14:paraId="7462FECC">
            <w:pPr>
              <w:keepNext w:val="0"/>
              <w:keepLines w:val="0"/>
              <w:widowControl/>
              <w:suppressLineNumbers w:val="0"/>
              <w:spacing w:afterLines="0" w:line="400" w:lineRule="exact"/>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供应商提供本项目所需要的</w:t>
            </w:r>
            <w:r>
              <w:rPr>
                <w:rFonts w:hint="eastAsia" w:ascii="仿宋" w:hAnsi="仿宋" w:eastAsia="仿宋" w:cs="仿宋"/>
                <w:color w:val="auto"/>
                <w:sz w:val="24"/>
                <w:szCs w:val="24"/>
                <w:lang w:val="en-US" w:eastAsia="zh-CN"/>
              </w:rPr>
              <w:t>物料配备</w:t>
            </w:r>
            <w:r>
              <w:rPr>
                <w:rFonts w:hint="eastAsia" w:ascii="仿宋" w:hAnsi="仿宋" w:eastAsia="仿宋" w:cs="仿宋"/>
                <w:color w:val="000000"/>
                <w:kern w:val="0"/>
                <w:sz w:val="24"/>
                <w:szCs w:val="24"/>
                <w:lang w:val="en-US" w:eastAsia="zh-CN" w:bidi="ar"/>
              </w:rPr>
              <w:t>清单，应包含：①工作服装和</w:t>
            </w:r>
            <w:r>
              <w:rPr>
                <w:rFonts w:hint="eastAsia" w:ascii="仿宋" w:hAnsi="仿宋" w:eastAsia="仿宋" w:cs="仿宋"/>
                <w:color w:val="000000"/>
                <w:kern w:val="0"/>
                <w:sz w:val="24"/>
                <w:szCs w:val="24"/>
                <w:highlight w:val="none"/>
                <w:lang w:val="en-US" w:eastAsia="zh-CN" w:bidi="ar"/>
              </w:rPr>
              <w:t>工作用具</w:t>
            </w:r>
            <w:r>
              <w:rPr>
                <w:rFonts w:hint="eastAsia" w:ascii="仿宋" w:hAnsi="仿宋" w:eastAsia="仿宋" w:cs="仿宋"/>
                <w:color w:val="000000"/>
                <w:kern w:val="0"/>
                <w:sz w:val="24"/>
                <w:szCs w:val="24"/>
                <w:lang w:val="en-US" w:eastAsia="zh-CN" w:bidi="ar"/>
              </w:rPr>
              <w:t>②劳保用品和消耗品。</w:t>
            </w:r>
          </w:p>
          <w:p w14:paraId="2AE51E9F">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二、评审标准 </w:t>
            </w:r>
          </w:p>
          <w:p w14:paraId="0CC635C5">
            <w:pPr>
              <w:keepNext w:val="0"/>
              <w:keepLines w:val="0"/>
              <w:widowControl/>
              <w:suppressLineNumbers w:val="0"/>
              <w:spacing w:afterLines="0" w:line="400" w:lineRule="exact"/>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1、完整性：清单必须全面，对评审内容中的各项清洁服务工具要有详细描述；</w:t>
            </w:r>
          </w:p>
          <w:p w14:paraId="40285671">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2、实用性：清洁服务工具能够切合实际情况，提供质量有保障、使用率高、环保性强、服装统一。</w:t>
            </w:r>
          </w:p>
          <w:p w14:paraId="000DA946">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三、赋分标准（满分4分） </w:t>
            </w:r>
          </w:p>
          <w:p w14:paraId="6F67B9D8">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①工作服装和</w:t>
            </w:r>
            <w:r>
              <w:rPr>
                <w:rFonts w:hint="eastAsia" w:ascii="仿宋" w:hAnsi="仿宋" w:eastAsia="仿宋" w:cs="仿宋"/>
                <w:color w:val="000000"/>
                <w:kern w:val="0"/>
                <w:sz w:val="24"/>
                <w:szCs w:val="24"/>
                <w:highlight w:val="none"/>
                <w:lang w:val="en-US" w:eastAsia="zh-CN" w:bidi="ar"/>
              </w:rPr>
              <w:t>工作用具</w:t>
            </w:r>
            <w:r>
              <w:rPr>
                <w:rFonts w:hint="eastAsia" w:ascii="仿宋" w:hAnsi="仿宋" w:eastAsia="仿宋" w:cs="仿宋"/>
                <w:color w:val="000000"/>
                <w:kern w:val="0"/>
                <w:sz w:val="24"/>
                <w:szCs w:val="24"/>
                <w:lang w:val="en-US" w:eastAsia="zh-CN" w:bidi="ar"/>
              </w:rPr>
              <w:t>：每完全满足一个评审标准得1分，满分2分；</w:t>
            </w:r>
          </w:p>
          <w:p w14:paraId="3BE6A9E6">
            <w:pPr>
              <w:keepNext w:val="0"/>
              <w:keepLines w:val="0"/>
              <w:widowControl/>
              <w:suppressLineNumbers w:val="0"/>
              <w:spacing w:afterLines="0" w:line="40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kern w:val="0"/>
                <w:sz w:val="24"/>
                <w:szCs w:val="24"/>
                <w:lang w:val="en-US" w:eastAsia="zh-CN" w:bidi="ar"/>
              </w:rPr>
              <w:t>②劳保用品和消耗品:每完全满足一个评审标准得1分，满分2分。</w:t>
            </w:r>
          </w:p>
        </w:tc>
      </w:tr>
      <w:tr w14:paraId="405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0" w:type="dxa"/>
            <w:noWrap w:val="0"/>
            <w:vAlign w:val="center"/>
          </w:tcPr>
          <w:p w14:paraId="73FCC898">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sz w:val="24"/>
                <w:szCs w:val="24"/>
                <w:lang w:val="en-US" w:eastAsia="zh-CN"/>
              </w:rPr>
              <w:t>机构建设方案</w:t>
            </w:r>
          </w:p>
        </w:tc>
        <w:tc>
          <w:tcPr>
            <w:tcW w:w="884" w:type="dxa"/>
            <w:noWrap w:val="0"/>
            <w:vAlign w:val="center"/>
          </w:tcPr>
          <w:p w14:paraId="41B06E43">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lang w:val="en-US" w:eastAsia="zh-CN"/>
              </w:rPr>
              <w:t>6</w:t>
            </w:r>
          </w:p>
        </w:tc>
        <w:tc>
          <w:tcPr>
            <w:tcW w:w="7323" w:type="dxa"/>
            <w:noWrap w:val="0"/>
            <w:vAlign w:val="center"/>
          </w:tcPr>
          <w:p w14:paraId="5A971E9B">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一、评审内容 </w:t>
            </w:r>
          </w:p>
          <w:p w14:paraId="4BBB3E4D">
            <w:pPr>
              <w:keepNext w:val="0"/>
              <w:keepLines w:val="0"/>
              <w:widowControl/>
              <w:suppressLineNumbers w:val="0"/>
              <w:spacing w:afterLines="0" w:line="400" w:lineRule="exact"/>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根据本项目特点提供机构建设方案，方案包含：①组织机构运行配备方案②专业服务团队人员的职能分工方案。 </w:t>
            </w:r>
          </w:p>
          <w:p w14:paraId="34DC4029">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二、评审标准 </w:t>
            </w:r>
          </w:p>
          <w:p w14:paraId="4CD3C761">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1、完整性：方案必须全面，对评审内容中的各项要求有详细描述； </w:t>
            </w:r>
          </w:p>
          <w:p w14:paraId="38528855">
            <w:pPr>
              <w:keepNext w:val="0"/>
              <w:keepLines w:val="0"/>
              <w:widowControl/>
              <w:suppressLineNumbers w:val="0"/>
              <w:spacing w:afterLines="0" w:line="400" w:lineRule="exact"/>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highlight w:val="none"/>
                <w:lang w:val="en-US" w:eastAsia="zh-CN" w:bidi="ar"/>
              </w:rPr>
              <w:t xml:space="preserve">、可实施性：切合本项目实际情况，实施步骤清晰、合理。 </w:t>
            </w:r>
          </w:p>
          <w:p w14:paraId="58DE16FD">
            <w:pPr>
              <w:keepNext w:val="0"/>
              <w:keepLines w:val="0"/>
              <w:widowControl/>
              <w:numPr>
                <w:ilvl w:val="0"/>
                <w:numId w:val="0"/>
              </w:numPr>
              <w:suppressLineNumbers w:val="0"/>
              <w:autoSpaceDE w:val="0"/>
              <w:autoSpaceDN w:val="0"/>
              <w:adjustRightInd w:val="0"/>
              <w:spacing w:afterLines="0" w:line="400" w:lineRule="exact"/>
              <w:jc w:val="left"/>
              <w:rPr>
                <w:rFonts w:hint="eastAsia" w:ascii="仿宋" w:hAnsi="仿宋" w:eastAsia="仿宋" w:cs="仿宋"/>
                <w:color w:val="000000"/>
                <w:kern w:val="0"/>
                <w:sz w:val="24"/>
                <w:szCs w:val="24"/>
                <w:highlight w:val="yellow"/>
                <w:lang w:bidi="ar"/>
              </w:rPr>
            </w:pPr>
            <w:r>
              <w:rPr>
                <w:rFonts w:hint="eastAsia" w:ascii="仿宋" w:hAnsi="仿宋" w:eastAsia="仿宋" w:cs="仿宋"/>
                <w:color w:val="auto"/>
                <w:kern w:val="2"/>
                <w:sz w:val="24"/>
                <w:szCs w:val="24"/>
                <w:lang w:val="en-US" w:eastAsia="zh-CN" w:bidi="ar-SA"/>
              </w:rPr>
              <w:t>3、针对性：方案能够紧扣项目实际情况，内容科学合理。</w:t>
            </w:r>
          </w:p>
          <w:p w14:paraId="080979EE">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三、赋分标准（满分6分） </w:t>
            </w:r>
          </w:p>
          <w:p w14:paraId="7C23CB6F">
            <w:pPr>
              <w:keepNext w:val="0"/>
              <w:keepLines w:val="0"/>
              <w:widowControl/>
              <w:suppressLineNumbers w:val="0"/>
              <w:spacing w:afterLines="0" w:line="400" w:lineRule="exact"/>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①组织机构运行配备方案：每完全满足一个评审标准得1分，满分3分；</w:t>
            </w:r>
          </w:p>
          <w:p w14:paraId="2D1F4F4B">
            <w:pPr>
              <w:keepNext w:val="0"/>
              <w:keepLines w:val="0"/>
              <w:widowControl/>
              <w:suppressLineNumbers w:val="0"/>
              <w:spacing w:afterLines="0" w:line="40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kern w:val="0"/>
                <w:sz w:val="24"/>
                <w:szCs w:val="24"/>
                <w:lang w:val="en-US" w:eastAsia="zh-CN" w:bidi="ar"/>
              </w:rPr>
              <w:t>②专业服务团队人员的职能分工方案:每完全满足一个评审标准得1分，满分3分。</w:t>
            </w:r>
          </w:p>
        </w:tc>
      </w:tr>
      <w:tr w14:paraId="3792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0" w:type="dxa"/>
            <w:noWrap w:val="0"/>
            <w:vAlign w:val="center"/>
          </w:tcPr>
          <w:p w14:paraId="060BDC17">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sz w:val="24"/>
                <w:szCs w:val="24"/>
              </w:rPr>
              <w:t>管理制度</w:t>
            </w:r>
          </w:p>
        </w:tc>
        <w:tc>
          <w:tcPr>
            <w:tcW w:w="884" w:type="dxa"/>
            <w:noWrap w:val="0"/>
            <w:vAlign w:val="center"/>
          </w:tcPr>
          <w:p w14:paraId="463363B5">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lang w:val="en-US" w:eastAsia="zh-CN"/>
              </w:rPr>
              <w:t>7.5</w:t>
            </w:r>
          </w:p>
        </w:tc>
        <w:tc>
          <w:tcPr>
            <w:tcW w:w="7323" w:type="dxa"/>
            <w:noWrap w:val="0"/>
            <w:vAlign w:val="center"/>
          </w:tcPr>
          <w:p w14:paraId="086A33C9">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一、评审内容 </w:t>
            </w:r>
          </w:p>
          <w:p w14:paraId="56FA2D54">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针对本项目具有良好的管理制度，方案包含：①岗位职责：具有岗位工作标准、服务质量标准、现场质量控制体系②内控制度：具有保密制度、管理组织机构、问责机制、监督机制、自查制度③人员管理制度;具有员工日常管理办法、请销假制度、奖惩措施、激励机制、仪容仪表制度。</w:t>
            </w:r>
          </w:p>
          <w:p w14:paraId="077C5390">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二、评审标准 </w:t>
            </w:r>
          </w:p>
          <w:p w14:paraId="1B1F6294">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1、完整性：方案必须全面，对评审内容中的各项要求有详细描述；</w:t>
            </w:r>
          </w:p>
          <w:p w14:paraId="633E4332">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2、落实性：切合项目具体情况</w:t>
            </w:r>
            <w:r>
              <w:rPr>
                <w:rFonts w:hint="eastAsia" w:ascii="仿宋" w:hAnsi="仿宋" w:eastAsia="仿宋" w:cs="仿宋"/>
                <w:color w:val="000000"/>
                <w:kern w:val="0"/>
                <w:sz w:val="24"/>
                <w:szCs w:val="24"/>
                <w:highlight w:val="none"/>
                <w:lang w:val="en-US" w:eastAsia="zh-CN" w:bidi="ar"/>
              </w:rPr>
              <w:t>，实施步骤清晰、合理</w:t>
            </w:r>
            <w:r>
              <w:rPr>
                <w:rFonts w:hint="eastAsia" w:ascii="仿宋" w:hAnsi="仿宋" w:eastAsia="仿宋" w:cs="仿宋"/>
                <w:sz w:val="24"/>
                <w:szCs w:val="24"/>
                <w:lang w:val="en-US" w:eastAsia="zh-CN"/>
              </w:rPr>
              <w:t>；</w:t>
            </w:r>
          </w:p>
          <w:p w14:paraId="535FD611">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3、针对性：方案能够紧扣项目实际情况，内容科学合理。</w:t>
            </w:r>
          </w:p>
          <w:p w14:paraId="211D6FA9">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三、赋分标准（满分7.5分）</w:t>
            </w:r>
            <w:r>
              <w:rPr>
                <w:rFonts w:hint="eastAsia" w:ascii="仿宋" w:hAnsi="仿宋" w:eastAsia="仿宋" w:cs="仿宋"/>
                <w:sz w:val="24"/>
                <w:szCs w:val="24"/>
                <w:lang w:val="en-US" w:eastAsia="zh-CN"/>
              </w:rPr>
              <w:t xml:space="preserve"> </w:t>
            </w:r>
          </w:p>
          <w:p w14:paraId="163F68A1">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①岗位职责：</w:t>
            </w:r>
            <w:r>
              <w:rPr>
                <w:rFonts w:hint="eastAsia" w:ascii="仿宋" w:hAnsi="仿宋" w:eastAsia="仿宋" w:cs="仿宋"/>
                <w:color w:val="000000"/>
                <w:kern w:val="0"/>
                <w:sz w:val="24"/>
                <w:szCs w:val="24"/>
                <w:lang w:val="en-US" w:eastAsia="zh-CN" w:bidi="ar"/>
              </w:rPr>
              <w:t>每完全满足一个评审标准得1分，满分3分</w:t>
            </w:r>
            <w:r>
              <w:rPr>
                <w:rFonts w:hint="eastAsia" w:ascii="仿宋" w:hAnsi="仿宋" w:eastAsia="仿宋" w:cs="仿宋"/>
                <w:sz w:val="24"/>
                <w:szCs w:val="24"/>
                <w:lang w:val="en-US" w:eastAsia="zh-CN"/>
              </w:rPr>
              <w:t>；</w:t>
            </w:r>
          </w:p>
          <w:p w14:paraId="38B609CB">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②内控制度:</w:t>
            </w:r>
            <w:r>
              <w:rPr>
                <w:rFonts w:hint="eastAsia" w:ascii="仿宋" w:hAnsi="仿宋" w:eastAsia="仿宋" w:cs="仿宋"/>
                <w:color w:val="000000"/>
                <w:kern w:val="0"/>
                <w:sz w:val="24"/>
                <w:szCs w:val="24"/>
                <w:lang w:val="en-US" w:eastAsia="zh-CN" w:bidi="ar"/>
              </w:rPr>
              <w:t>每完全满足一个评审标准得1分，满分3分</w:t>
            </w:r>
            <w:r>
              <w:rPr>
                <w:rFonts w:hint="eastAsia" w:ascii="仿宋" w:hAnsi="仿宋" w:eastAsia="仿宋" w:cs="仿宋"/>
                <w:sz w:val="24"/>
                <w:szCs w:val="24"/>
                <w:lang w:val="en-US" w:eastAsia="zh-CN"/>
              </w:rPr>
              <w:t>；</w:t>
            </w:r>
          </w:p>
          <w:p w14:paraId="78E170BB">
            <w:pPr>
              <w:pStyle w:val="24"/>
              <w:keepNext w:val="0"/>
              <w:keepLines w:val="0"/>
              <w:pageBreakBefore w:val="0"/>
              <w:widowControl/>
              <w:kinsoku/>
              <w:wordWrap/>
              <w:overflowPunct/>
              <w:topLinePunct w:val="0"/>
              <w:autoSpaceDE/>
              <w:autoSpaceDN/>
              <w:bidi w:val="0"/>
              <w:adjustRightInd/>
              <w:snapToGrid/>
              <w:spacing w:after="0" w:afterLines="0" w:line="400" w:lineRule="exact"/>
              <w:ind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lang w:val="en-US" w:eastAsia="zh-CN"/>
              </w:rPr>
              <w:t>③人员管理制度:每完全满足一个评审标准得0.5分，满分1.5分。</w:t>
            </w:r>
          </w:p>
        </w:tc>
      </w:tr>
      <w:tr w14:paraId="74FF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0" w:type="dxa"/>
            <w:noWrap w:val="0"/>
            <w:vAlign w:val="center"/>
          </w:tcPr>
          <w:p w14:paraId="6646C006">
            <w:pPr>
              <w:pStyle w:val="2"/>
              <w:keepNext/>
              <w:keepLines w:val="0"/>
              <w:widowControl w:val="0"/>
              <w:spacing w:afterLines="0" w:line="400" w:lineRule="exact"/>
              <w:jc w:val="center"/>
              <w:rPr>
                <w:rFonts w:hint="eastAsia" w:ascii="仿宋" w:hAnsi="仿宋" w:eastAsia="仿宋" w:cs="仿宋"/>
                <w:sz w:val="24"/>
                <w:szCs w:val="24"/>
                <w:highlight w:val="yellow"/>
                <w:lang w:val="en-US" w:eastAsia="zh-CN"/>
              </w:rPr>
            </w:pPr>
            <w:r>
              <w:rPr>
                <w:rFonts w:hint="eastAsia" w:ascii="仿宋" w:hAnsi="仿宋" w:eastAsia="仿宋" w:cs="仿宋"/>
                <w:color w:val="auto"/>
                <w:sz w:val="24"/>
                <w:szCs w:val="24"/>
                <w:highlight w:val="none"/>
                <w:lang w:val="en-US" w:eastAsia="zh-CN"/>
              </w:rPr>
              <w:t>应急保障</w:t>
            </w:r>
          </w:p>
        </w:tc>
        <w:tc>
          <w:tcPr>
            <w:tcW w:w="884" w:type="dxa"/>
            <w:noWrap w:val="0"/>
            <w:vAlign w:val="center"/>
          </w:tcPr>
          <w:p w14:paraId="23805E2E">
            <w:pPr>
              <w:keepNext/>
              <w:keepLines w:val="0"/>
              <w:pageBreakBefore w:val="0"/>
              <w:widowControl w:val="0"/>
              <w:kinsoku/>
              <w:wordWrap/>
              <w:overflowPunct/>
              <w:topLinePunct w:val="0"/>
              <w:bidi w:val="0"/>
              <w:snapToGrid/>
              <w:spacing w:afterLines="0"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323" w:type="dxa"/>
            <w:noWrap w:val="0"/>
            <w:vAlign w:val="center"/>
          </w:tcPr>
          <w:p w14:paraId="30D05C25">
            <w:pPr>
              <w:keepNext/>
              <w:keepLines w:val="0"/>
              <w:widowControl w:val="0"/>
              <w:spacing w:afterLines="0" w:line="400" w:lineRule="exact"/>
              <w:jc w:val="both"/>
              <w:rPr>
                <w:rFonts w:ascii="仿宋" w:hAnsi="仿宋" w:eastAsia="仿宋" w:cs="仿宋"/>
                <w:b/>
                <w:bCs/>
                <w:sz w:val="24"/>
                <w:szCs w:val="24"/>
              </w:rPr>
            </w:pPr>
            <w:r>
              <w:rPr>
                <w:rFonts w:hint="eastAsia" w:ascii="仿宋" w:hAnsi="仿宋" w:eastAsia="仿宋" w:cs="仿宋"/>
                <w:b/>
                <w:bCs/>
                <w:sz w:val="24"/>
                <w:szCs w:val="24"/>
              </w:rPr>
              <w:t>一、评审内容</w:t>
            </w:r>
          </w:p>
          <w:p w14:paraId="77073147">
            <w:pPr>
              <w:keepNext/>
              <w:keepLines w:val="0"/>
              <w:widowControl w:val="0"/>
              <w:spacing w:afterLines="0" w:line="400" w:lineRule="exact"/>
              <w:jc w:val="both"/>
              <w:rPr>
                <w:rFonts w:hint="default" w:ascii="仿宋" w:hAnsi="仿宋" w:eastAsia="仿宋" w:cs="仿宋"/>
                <w:b/>
                <w:sz w:val="24"/>
                <w:szCs w:val="24"/>
                <w:highlight w:val="none"/>
                <w:lang w:val="en-US" w:eastAsia="zh-CN"/>
              </w:rPr>
            </w:pPr>
            <w:r>
              <w:rPr>
                <w:rFonts w:hint="eastAsia" w:ascii="仿宋" w:hAnsi="仿宋" w:eastAsia="仿宋" w:cs="仿宋"/>
                <w:sz w:val="24"/>
                <w:szCs w:val="24"/>
                <w:lang w:val="en-US" w:eastAsia="zh-CN"/>
              </w:rPr>
              <w:t>针对</w:t>
            </w:r>
            <w:r>
              <w:rPr>
                <w:rFonts w:hint="eastAsia" w:ascii="仿宋" w:hAnsi="仿宋" w:eastAsia="仿宋" w:cs="仿宋"/>
                <w:sz w:val="24"/>
                <w:szCs w:val="24"/>
                <w:lang w:eastAsia="zh-CN"/>
              </w:rPr>
              <w:t>本</w:t>
            </w:r>
            <w:r>
              <w:rPr>
                <w:rFonts w:hint="eastAsia" w:ascii="仿宋" w:hAnsi="仿宋" w:eastAsia="仿宋" w:cs="仿宋"/>
                <w:sz w:val="24"/>
                <w:szCs w:val="24"/>
                <w:lang w:val="en-US" w:eastAsia="zh-CN"/>
              </w:rPr>
              <w:t>项目要求提出</w:t>
            </w:r>
            <w:r>
              <w:rPr>
                <w:rFonts w:hint="eastAsia" w:ascii="仿宋" w:hAnsi="仿宋" w:eastAsia="仿宋" w:cs="仿宋"/>
                <w:b w:val="0"/>
                <w:bCs w:val="0"/>
                <w:color w:val="auto"/>
                <w:sz w:val="24"/>
                <w:szCs w:val="24"/>
                <w:lang w:val="en-US" w:eastAsia="zh-CN"/>
              </w:rPr>
              <w:t>应急保障</w:t>
            </w:r>
            <w:r>
              <w:rPr>
                <w:rFonts w:hint="eastAsia" w:ascii="仿宋" w:hAnsi="仿宋" w:eastAsia="仿宋" w:cs="仿宋"/>
                <w:sz w:val="24"/>
                <w:szCs w:val="24"/>
              </w:rPr>
              <w:t>方案，</w:t>
            </w:r>
            <w:r>
              <w:rPr>
                <w:rFonts w:hint="eastAsia" w:ascii="仿宋" w:hAnsi="仿宋" w:eastAsia="仿宋" w:cs="仿宋"/>
                <w:kern w:val="0"/>
                <w:sz w:val="24"/>
                <w:szCs w:val="24"/>
              </w:rPr>
              <w:t>方案内容</w:t>
            </w:r>
            <w:r>
              <w:rPr>
                <w:rFonts w:hint="eastAsia" w:ascii="仿宋" w:hAnsi="仿宋" w:eastAsia="仿宋" w:cs="仿宋"/>
                <w:sz w:val="24"/>
                <w:szCs w:val="24"/>
              </w:rPr>
              <w:t>包</w:t>
            </w:r>
            <w:r>
              <w:rPr>
                <w:rFonts w:hint="eastAsia" w:ascii="仿宋" w:hAnsi="仿宋" w:eastAsia="仿宋" w:cs="仿宋"/>
                <w:color w:val="auto"/>
                <w:kern w:val="0"/>
                <w:sz w:val="24"/>
                <w:szCs w:val="24"/>
                <w:highlight w:val="none"/>
                <w:lang w:val="en-US" w:eastAsia="zh-CN" w:bidi="ar-SA"/>
              </w:rPr>
              <w:t>含</w:t>
            </w: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突发紧急事件</w:t>
            </w:r>
            <w:r>
              <w:rPr>
                <w:rFonts w:hint="eastAsia" w:ascii="仿宋" w:hAnsi="仿宋" w:eastAsia="仿宋" w:cs="仿宋"/>
                <w:sz w:val="24"/>
                <w:szCs w:val="24"/>
                <w:highlight w:val="none"/>
              </w:rPr>
              <w:t>②</w:t>
            </w:r>
            <w:r>
              <w:rPr>
                <w:rFonts w:hint="eastAsia" w:ascii="仿宋" w:hAnsi="仿宋" w:eastAsia="仿宋" w:cs="仿宋"/>
                <w:color w:val="000000"/>
                <w:kern w:val="2"/>
                <w:sz w:val="24"/>
                <w:szCs w:val="24"/>
                <w:highlight w:val="none"/>
                <w:lang w:val="en-US" w:eastAsia="zh-CN" w:bidi="ar-SA"/>
              </w:rPr>
              <w:t>消防报警响应测试、监控调阅测试</w:t>
            </w:r>
            <w:r>
              <w:rPr>
                <w:rFonts w:hint="eastAsia" w:ascii="仿宋" w:hAnsi="仿宋" w:eastAsia="仿宋" w:cs="仿宋"/>
                <w:bCs/>
                <w:color w:val="auto"/>
                <w:sz w:val="24"/>
                <w:szCs w:val="24"/>
                <w:highlight w:val="none"/>
                <w:lang w:val="en-US" w:eastAsia="zh-CN"/>
              </w:rPr>
              <w:t>。</w:t>
            </w:r>
          </w:p>
          <w:p w14:paraId="117E6F84">
            <w:pPr>
              <w:keepNext/>
              <w:keepLines w:val="0"/>
              <w:widowControl w:val="0"/>
              <w:spacing w:afterLines="0" w:line="400" w:lineRule="exact"/>
              <w:jc w:val="both"/>
              <w:rPr>
                <w:rFonts w:ascii="仿宋" w:hAnsi="仿宋" w:eastAsia="仿宋" w:cs="仿宋"/>
                <w:b/>
                <w:bCs/>
                <w:sz w:val="24"/>
                <w:szCs w:val="24"/>
              </w:rPr>
            </w:pPr>
            <w:r>
              <w:rPr>
                <w:rFonts w:hint="eastAsia" w:ascii="仿宋" w:hAnsi="仿宋" w:eastAsia="仿宋" w:cs="仿宋"/>
                <w:b/>
                <w:bCs/>
                <w:sz w:val="24"/>
                <w:szCs w:val="24"/>
              </w:rPr>
              <w:t>二、评审标准</w:t>
            </w:r>
          </w:p>
          <w:p w14:paraId="4749467C">
            <w:pPr>
              <w:keepNext/>
              <w:keepLines w:val="0"/>
              <w:widowControl w:val="0"/>
              <w:spacing w:afterLines="0" w:line="400" w:lineRule="exact"/>
              <w:jc w:val="both"/>
              <w:rPr>
                <w:rFonts w:ascii="仿宋" w:hAnsi="仿宋" w:eastAsia="仿宋" w:cs="仿宋"/>
                <w:sz w:val="24"/>
                <w:szCs w:val="24"/>
              </w:rPr>
            </w:pPr>
            <w:r>
              <w:rPr>
                <w:rFonts w:hint="eastAsia" w:ascii="仿宋" w:hAnsi="仿宋" w:eastAsia="仿宋" w:cs="仿宋"/>
                <w:sz w:val="24"/>
                <w:szCs w:val="24"/>
              </w:rPr>
              <w:t>1、完整性：方案必须全面，对评审内容中的各项要求有详细描述；</w:t>
            </w:r>
          </w:p>
          <w:p w14:paraId="08CA4BBD">
            <w:pPr>
              <w:keepNext/>
              <w:keepLines w:val="0"/>
              <w:widowControl w:val="0"/>
              <w:spacing w:afterLines="0" w:line="400" w:lineRule="exact"/>
              <w:jc w:val="both"/>
              <w:rPr>
                <w:rFonts w:ascii="仿宋" w:hAnsi="仿宋" w:eastAsia="仿宋" w:cs="仿宋"/>
                <w:sz w:val="24"/>
                <w:szCs w:val="24"/>
              </w:rPr>
            </w:pPr>
            <w:r>
              <w:rPr>
                <w:rFonts w:hint="eastAsia" w:ascii="仿宋" w:hAnsi="仿宋" w:eastAsia="仿宋" w:cs="仿宋"/>
                <w:sz w:val="24"/>
                <w:szCs w:val="24"/>
              </w:rPr>
              <w:t>2、可实施性：切合</w:t>
            </w:r>
            <w:r>
              <w:rPr>
                <w:rFonts w:hint="eastAsia" w:ascii="仿宋" w:hAnsi="仿宋" w:eastAsia="仿宋" w:cs="仿宋"/>
                <w:sz w:val="24"/>
                <w:szCs w:val="24"/>
                <w:lang w:eastAsia="zh-CN"/>
              </w:rPr>
              <w:t>本</w:t>
            </w:r>
            <w:r>
              <w:rPr>
                <w:rFonts w:hint="eastAsia" w:ascii="仿宋" w:hAnsi="仿宋" w:eastAsia="仿宋" w:cs="仿宋"/>
                <w:sz w:val="24"/>
                <w:szCs w:val="24"/>
                <w:lang w:val="en-US" w:eastAsia="zh-CN"/>
              </w:rPr>
              <w:t>项目</w:t>
            </w:r>
            <w:r>
              <w:rPr>
                <w:rFonts w:hint="eastAsia" w:ascii="仿宋" w:hAnsi="仿宋" w:eastAsia="仿宋" w:cs="仿宋"/>
                <w:sz w:val="24"/>
                <w:szCs w:val="24"/>
              </w:rPr>
              <w:t>实际情况，</w:t>
            </w:r>
            <w:r>
              <w:rPr>
                <w:rFonts w:hint="eastAsia" w:ascii="仿宋" w:hAnsi="仿宋" w:eastAsia="仿宋" w:cs="仿宋"/>
                <w:sz w:val="24"/>
                <w:szCs w:val="24"/>
                <w:lang w:eastAsia="zh-CN"/>
              </w:rPr>
              <w:t>实施步骤清晰、合理</w:t>
            </w:r>
            <w:r>
              <w:rPr>
                <w:rFonts w:hint="eastAsia" w:ascii="仿宋" w:hAnsi="仿宋" w:eastAsia="仿宋" w:cs="仿宋"/>
                <w:sz w:val="24"/>
                <w:szCs w:val="24"/>
              </w:rPr>
              <w:t>；</w:t>
            </w:r>
          </w:p>
          <w:p w14:paraId="1557B624">
            <w:pPr>
              <w:keepNext/>
              <w:keepLines w:val="0"/>
              <w:widowControl w:val="0"/>
              <w:spacing w:afterLines="0" w:line="400" w:lineRule="exact"/>
              <w:jc w:val="both"/>
              <w:rPr>
                <w:rFonts w:ascii="仿宋" w:hAnsi="仿宋" w:eastAsia="仿宋" w:cs="仿宋"/>
                <w:sz w:val="24"/>
                <w:szCs w:val="24"/>
              </w:rPr>
            </w:pPr>
            <w:r>
              <w:rPr>
                <w:rFonts w:hint="eastAsia" w:ascii="仿宋" w:hAnsi="仿宋" w:eastAsia="仿宋" w:cs="仿宋"/>
                <w:sz w:val="24"/>
                <w:szCs w:val="24"/>
              </w:rPr>
              <w:t>3、针对性：方案能够紧扣</w:t>
            </w:r>
            <w:r>
              <w:rPr>
                <w:rFonts w:hint="eastAsia" w:ascii="仿宋" w:hAnsi="仿宋" w:eastAsia="仿宋" w:cs="仿宋"/>
                <w:sz w:val="24"/>
                <w:szCs w:val="24"/>
                <w:lang w:val="en-US" w:eastAsia="zh-CN"/>
              </w:rPr>
              <w:t>项目</w:t>
            </w:r>
            <w:r>
              <w:rPr>
                <w:rFonts w:hint="eastAsia" w:ascii="仿宋" w:hAnsi="仿宋" w:eastAsia="仿宋" w:cs="仿宋"/>
                <w:sz w:val="24"/>
                <w:szCs w:val="24"/>
              </w:rPr>
              <w:t>实际情况，内容科学合理。</w:t>
            </w:r>
          </w:p>
          <w:p w14:paraId="5D674BF5">
            <w:pPr>
              <w:keepNext/>
              <w:keepLines w:val="0"/>
              <w:widowControl w:val="0"/>
              <w:spacing w:afterLines="0" w:line="400" w:lineRule="exact"/>
              <w:jc w:val="both"/>
              <w:rPr>
                <w:rFonts w:ascii="仿宋" w:hAnsi="仿宋" w:eastAsia="仿宋" w:cs="仿宋"/>
                <w:b/>
                <w:bCs/>
                <w:sz w:val="24"/>
                <w:szCs w:val="24"/>
              </w:rPr>
            </w:pPr>
            <w:r>
              <w:rPr>
                <w:rFonts w:hint="eastAsia" w:ascii="仿宋" w:hAnsi="仿宋" w:eastAsia="仿宋" w:cs="仿宋"/>
                <w:b/>
                <w:bCs/>
                <w:sz w:val="24"/>
                <w:szCs w:val="24"/>
              </w:rPr>
              <w:t>三、赋分标准（满分</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分）</w:t>
            </w:r>
          </w:p>
          <w:p w14:paraId="3F8A5996">
            <w:pPr>
              <w:keepNext/>
              <w:keepLines w:val="0"/>
              <w:widowControl w:val="0"/>
              <w:spacing w:afterLines="0" w:line="400" w:lineRule="exact"/>
              <w:jc w:val="both"/>
              <w:rPr>
                <w:rFonts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highlight w:val="none"/>
                <w:lang w:val="en-US" w:eastAsia="zh-CN"/>
              </w:rPr>
              <w:t>突发紧急事件</w:t>
            </w:r>
            <w:r>
              <w:rPr>
                <w:rFonts w:hint="eastAsia" w:ascii="仿宋" w:hAnsi="仿宋" w:eastAsia="仿宋" w:cs="仿宋"/>
                <w:sz w:val="24"/>
                <w:szCs w:val="24"/>
              </w:rPr>
              <w:t>：</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sz w:val="24"/>
                <w:szCs w:val="24"/>
              </w:rPr>
              <w:t>；</w:t>
            </w:r>
          </w:p>
          <w:p w14:paraId="122D2595">
            <w:pPr>
              <w:keepNext/>
              <w:keepLines w:val="0"/>
              <w:pageBreakBefore w:val="0"/>
              <w:widowControl w:val="0"/>
              <w:kinsoku/>
              <w:wordWrap/>
              <w:overflowPunct/>
              <w:topLinePunct w:val="0"/>
              <w:autoSpaceDE/>
              <w:autoSpaceDN/>
              <w:bidi w:val="0"/>
              <w:adjustRightInd/>
              <w:snapToGrid/>
              <w:spacing w:afterLines="0" w:line="400" w:lineRule="exac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rPr>
              <w:t>②</w:t>
            </w:r>
            <w:r>
              <w:rPr>
                <w:rFonts w:hint="eastAsia" w:ascii="仿宋" w:hAnsi="仿宋" w:eastAsia="仿宋" w:cs="仿宋"/>
                <w:color w:val="000000"/>
                <w:kern w:val="2"/>
                <w:sz w:val="24"/>
                <w:szCs w:val="24"/>
                <w:highlight w:val="none"/>
                <w:lang w:val="en-US" w:eastAsia="zh-CN" w:bidi="ar-SA"/>
              </w:rPr>
              <w:t>消防报警响应测试、监控调阅测试</w:t>
            </w:r>
            <w:r>
              <w:rPr>
                <w:rFonts w:hint="eastAsia" w:ascii="仿宋" w:hAnsi="仿宋" w:eastAsia="仿宋" w:cs="仿宋"/>
                <w:sz w:val="24"/>
                <w:szCs w:val="24"/>
              </w:rPr>
              <w:t>:</w:t>
            </w:r>
            <w:r>
              <w:rPr>
                <w:rFonts w:ascii="仿宋" w:hAnsi="仿宋" w:eastAsia="仿宋" w:cs="仿宋"/>
                <w:bCs/>
                <w:sz w:val="24"/>
                <w:szCs w:val="24"/>
                <w:highlight w:val="none"/>
              </w:rPr>
              <w:t>每完全满足一个评审标准得</w:t>
            </w:r>
            <w:r>
              <w:rPr>
                <w:rFonts w:hint="eastAsia" w:ascii="仿宋" w:hAnsi="仿宋" w:eastAsia="仿宋" w:cs="仿宋"/>
                <w:bCs/>
                <w:sz w:val="24"/>
                <w:szCs w:val="24"/>
                <w:highlight w:val="none"/>
              </w:rPr>
              <w:t>1</w:t>
            </w:r>
            <w:r>
              <w:rPr>
                <w:rFonts w:ascii="仿宋" w:hAnsi="仿宋" w:eastAsia="仿宋" w:cs="仿宋"/>
                <w:bCs/>
                <w:sz w:val="24"/>
                <w:szCs w:val="24"/>
                <w:highlight w:val="none"/>
              </w:rPr>
              <w:t>分，满分</w:t>
            </w:r>
            <w:r>
              <w:rPr>
                <w:rFonts w:hint="eastAsia" w:ascii="仿宋" w:hAnsi="仿宋" w:eastAsia="仿宋" w:cs="仿宋"/>
                <w:bCs/>
                <w:sz w:val="24"/>
                <w:szCs w:val="24"/>
                <w:highlight w:val="none"/>
              </w:rPr>
              <w:t>3</w:t>
            </w:r>
            <w:r>
              <w:rPr>
                <w:rFonts w:ascii="仿宋" w:hAnsi="仿宋" w:eastAsia="仿宋" w:cs="仿宋"/>
                <w:bCs/>
                <w:sz w:val="24"/>
                <w:szCs w:val="24"/>
                <w:highlight w:val="none"/>
              </w:rPr>
              <w:t>分</w:t>
            </w:r>
            <w:r>
              <w:rPr>
                <w:rFonts w:hint="eastAsia" w:ascii="仿宋" w:hAnsi="仿宋" w:eastAsia="仿宋" w:cs="仿宋"/>
                <w:sz w:val="24"/>
                <w:szCs w:val="24"/>
                <w:lang w:eastAsia="zh-CN"/>
              </w:rPr>
              <w:t>。</w:t>
            </w:r>
          </w:p>
        </w:tc>
      </w:tr>
      <w:tr w14:paraId="51DC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40" w:type="dxa"/>
            <w:noWrap w:val="0"/>
            <w:vAlign w:val="center"/>
          </w:tcPr>
          <w:p w14:paraId="2758E883">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b w:val="0"/>
                <w:bCs w:val="0"/>
                <w:color w:val="auto"/>
                <w:sz w:val="24"/>
                <w:szCs w:val="24"/>
                <w:highlight w:val="none"/>
                <w:lang w:val="en-US" w:eastAsia="zh-CN"/>
              </w:rPr>
            </w:pPr>
          </w:p>
          <w:p w14:paraId="02ADF65B">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b w:val="0"/>
                <w:bCs w:val="0"/>
                <w:color w:val="auto"/>
                <w:kern w:val="0"/>
                <w:sz w:val="24"/>
                <w:szCs w:val="24"/>
                <w:highlight w:val="none"/>
                <w:lang w:eastAsia="zh-CN"/>
              </w:rPr>
            </w:pPr>
          </w:p>
          <w:p w14:paraId="7B87608C">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b w:val="0"/>
                <w:bCs w:val="0"/>
                <w:color w:val="auto"/>
                <w:kern w:val="0"/>
                <w:sz w:val="24"/>
                <w:szCs w:val="24"/>
                <w:highlight w:val="none"/>
                <w:lang w:eastAsia="zh-CN"/>
              </w:rPr>
            </w:pPr>
          </w:p>
          <w:p w14:paraId="053A0A17">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b w:val="0"/>
                <w:bCs w:val="0"/>
                <w:color w:val="auto"/>
                <w:kern w:val="0"/>
                <w:sz w:val="24"/>
                <w:szCs w:val="24"/>
                <w:highlight w:val="none"/>
                <w:lang w:eastAsia="zh-CN"/>
              </w:rPr>
            </w:pPr>
          </w:p>
          <w:p w14:paraId="656A8029">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b w:val="0"/>
                <w:bCs w:val="0"/>
                <w:color w:val="auto"/>
                <w:kern w:val="0"/>
                <w:sz w:val="24"/>
                <w:szCs w:val="24"/>
                <w:highlight w:val="none"/>
                <w:lang w:eastAsia="zh-CN"/>
              </w:rPr>
            </w:pPr>
          </w:p>
          <w:p w14:paraId="4A7F7375">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b w:val="0"/>
                <w:bCs w:val="0"/>
                <w:color w:val="auto"/>
                <w:kern w:val="0"/>
                <w:sz w:val="24"/>
                <w:szCs w:val="24"/>
                <w:highlight w:val="none"/>
                <w:lang w:eastAsia="zh-CN"/>
              </w:rPr>
            </w:pPr>
          </w:p>
          <w:p w14:paraId="75A6CC2A">
            <w:pPr>
              <w:keepNext w:val="0"/>
              <w:keepLines w:val="0"/>
              <w:pageBreakBefore w:val="0"/>
              <w:widowControl/>
              <w:kinsoku/>
              <w:wordWrap/>
              <w:overflowPunct/>
              <w:topLinePunct w:val="0"/>
              <w:bidi w:val="0"/>
              <w:snapToGrid/>
              <w:spacing w:afterLines="0" w:line="400" w:lineRule="exact"/>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b w:val="0"/>
                <w:bCs w:val="0"/>
                <w:color w:val="auto"/>
                <w:kern w:val="0"/>
                <w:sz w:val="24"/>
                <w:szCs w:val="24"/>
                <w:highlight w:val="none"/>
                <w:lang w:eastAsia="zh-CN"/>
              </w:rPr>
              <w:t>保洁主管</w:t>
            </w:r>
          </w:p>
        </w:tc>
        <w:tc>
          <w:tcPr>
            <w:tcW w:w="884" w:type="dxa"/>
            <w:noWrap w:val="0"/>
            <w:vAlign w:val="center"/>
          </w:tcPr>
          <w:p w14:paraId="2E47F49B">
            <w:pPr>
              <w:keepNext w:val="0"/>
              <w:keepLines w:val="0"/>
              <w:pageBreakBefore w:val="0"/>
              <w:widowControl/>
              <w:kinsoku/>
              <w:wordWrap/>
              <w:overflowPunct/>
              <w:topLinePunct w:val="0"/>
              <w:bidi w:val="0"/>
              <w:snapToGrid/>
              <w:spacing w:afterLines="0" w:line="400" w:lineRule="exact"/>
              <w:jc w:val="center"/>
              <w:textAlignment w:val="auto"/>
              <w:rPr>
                <w:rFonts w:hint="default" w:ascii="仿宋" w:hAnsi="仿宋" w:eastAsia="仿宋" w:cs="仿宋"/>
                <w:color w:val="auto"/>
                <w:sz w:val="24"/>
                <w:szCs w:val="24"/>
                <w:highlight w:val="none"/>
                <w:lang w:val="en-US" w:eastAsia="zh-CN"/>
              </w:rPr>
            </w:pPr>
          </w:p>
          <w:p w14:paraId="7E0BF159">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val="en-US" w:eastAsia="zh-CN"/>
              </w:rPr>
            </w:pPr>
          </w:p>
          <w:p w14:paraId="17A44EE6">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val="en-US" w:eastAsia="zh-CN"/>
              </w:rPr>
            </w:pPr>
          </w:p>
          <w:p w14:paraId="5ED77B55">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val="en-US" w:eastAsia="zh-CN"/>
              </w:rPr>
            </w:pPr>
          </w:p>
          <w:p w14:paraId="1D5CD0DB">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val="en-US" w:eastAsia="zh-CN"/>
              </w:rPr>
            </w:pPr>
          </w:p>
          <w:p w14:paraId="325DC359">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val="en-US" w:eastAsia="zh-CN"/>
              </w:rPr>
            </w:pPr>
          </w:p>
          <w:p w14:paraId="0E2233FE">
            <w:pPr>
              <w:keepNext w:val="0"/>
              <w:keepLines w:val="0"/>
              <w:pageBreakBefore w:val="0"/>
              <w:widowControl/>
              <w:kinsoku/>
              <w:wordWrap/>
              <w:overflowPunct/>
              <w:topLinePunct w:val="0"/>
              <w:bidi w:val="0"/>
              <w:snapToGrid/>
              <w:spacing w:afterLines="0"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323" w:type="dxa"/>
            <w:noWrap w:val="0"/>
            <w:vAlign w:val="center"/>
          </w:tcPr>
          <w:p w14:paraId="469D1235">
            <w:pPr>
              <w:spacing w:afterLines="0" w:line="40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学历</w:t>
            </w:r>
            <w:r>
              <w:rPr>
                <w:rFonts w:hint="eastAsia" w:ascii="仿宋" w:hAnsi="仿宋" w:eastAsia="仿宋" w:cs="仿宋"/>
                <w:b/>
                <w:bCs/>
                <w:sz w:val="24"/>
                <w:szCs w:val="24"/>
                <w:highlight w:val="none"/>
              </w:rPr>
              <w:t>要求（</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分）</w:t>
            </w:r>
          </w:p>
          <w:p w14:paraId="711A66DB">
            <w:pPr>
              <w:pStyle w:val="70"/>
              <w:keepNext w:val="0"/>
              <w:keepLines w:val="0"/>
              <w:pageBreakBefore w:val="0"/>
              <w:widowControl w:val="0"/>
              <w:kinsoku/>
              <w:wordWrap/>
              <w:overflowPunct/>
              <w:topLinePunct w:val="0"/>
              <w:autoSpaceDE/>
              <w:autoSpaceDN/>
              <w:bidi w:val="0"/>
              <w:adjustRightInd/>
              <w:snapToGrid/>
              <w:spacing w:afterLines="0" w:line="400" w:lineRule="exact"/>
              <w:ind w:left="0" w:right="0" w:firstLine="1"/>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eastAsia="zh-CN"/>
              </w:rPr>
              <w:t>保洁主管</w:t>
            </w:r>
            <w:r>
              <w:rPr>
                <w:rFonts w:hint="eastAsia" w:ascii="仿宋" w:hAnsi="仿宋" w:eastAsia="仿宋" w:cs="仿宋"/>
                <w:color w:val="auto"/>
                <w:kern w:val="0"/>
                <w:sz w:val="24"/>
                <w:szCs w:val="24"/>
                <w:highlight w:val="none"/>
                <w:lang w:val="en-US" w:eastAsia="zh-CN" w:bidi="ar-SA"/>
              </w:rPr>
              <w:t>具有高中及以上学历</w:t>
            </w:r>
            <w:r>
              <w:rPr>
                <w:rFonts w:hint="eastAsia" w:cs="仿宋"/>
                <w:color w:val="auto"/>
                <w:sz w:val="24"/>
                <w:szCs w:val="24"/>
                <w:highlight w:val="none"/>
                <w:lang w:eastAsia="zh-CN"/>
              </w:rPr>
              <w:t>，得</w:t>
            </w:r>
            <w:r>
              <w:rPr>
                <w:rFonts w:hint="eastAsia" w:cs="仿宋"/>
                <w:color w:val="auto"/>
                <w:sz w:val="24"/>
                <w:szCs w:val="24"/>
                <w:highlight w:val="none"/>
                <w:lang w:val="en-US" w:eastAsia="zh-CN"/>
              </w:rPr>
              <w:t>1分</w:t>
            </w:r>
            <w:r>
              <w:rPr>
                <w:rFonts w:hint="eastAsia" w:ascii="仿宋" w:hAnsi="仿宋" w:eastAsia="仿宋" w:cs="仿宋"/>
                <w:color w:val="000000"/>
                <w:kern w:val="0"/>
                <w:sz w:val="24"/>
                <w:szCs w:val="24"/>
                <w:lang w:eastAsia="zh-CN"/>
              </w:rPr>
              <w:t>（取最高学历计分，不重复计分）</w:t>
            </w:r>
            <w:r>
              <w:rPr>
                <w:rFonts w:hint="eastAsia" w:ascii="仿宋" w:hAnsi="仿宋" w:eastAsia="仿宋" w:cs="仿宋"/>
                <w:color w:val="000000"/>
                <w:kern w:val="0"/>
                <w:sz w:val="24"/>
                <w:szCs w:val="24"/>
              </w:rPr>
              <w:t>。</w:t>
            </w:r>
          </w:p>
          <w:p w14:paraId="4C046ABA">
            <w:pPr>
              <w:keepNext w:val="0"/>
              <w:pageBreakBefore w:val="0"/>
              <w:kinsoku/>
              <w:wordWrap/>
              <w:overflowPunct/>
              <w:topLinePunct w:val="0"/>
              <w:bidi w:val="0"/>
              <w:snapToGrid/>
              <w:spacing w:afterLines="0" w:line="400" w:lineRule="exact"/>
              <w:textAlignment w:val="auto"/>
              <w:rPr>
                <w:rFonts w:ascii="仿宋" w:hAnsi="仿宋" w:eastAsia="仿宋" w:cs="仿宋"/>
                <w:color w:val="000000"/>
                <w:kern w:val="0"/>
                <w:sz w:val="24"/>
                <w:szCs w:val="24"/>
                <w:highlight w:val="none"/>
              </w:rPr>
            </w:pPr>
            <w:r>
              <w:rPr>
                <w:rFonts w:hint="eastAsia" w:ascii="仿宋" w:hAnsi="仿宋" w:eastAsia="仿宋" w:cs="仿宋"/>
                <w:color w:val="auto"/>
                <w:sz w:val="24"/>
                <w:szCs w:val="24"/>
                <w:highlight w:val="none"/>
              </w:rPr>
              <w:t>赋分依据：</w:t>
            </w:r>
            <w:r>
              <w:rPr>
                <w:rFonts w:hint="eastAsia" w:ascii="仿宋" w:hAnsi="仿宋" w:eastAsia="仿宋" w:cs="仿宋"/>
                <w:color w:val="000000"/>
                <w:kern w:val="0"/>
                <w:sz w:val="24"/>
                <w:szCs w:val="24"/>
              </w:rPr>
              <w:t>需提供</w:t>
            </w:r>
            <w:r>
              <w:rPr>
                <w:rFonts w:hint="eastAsia" w:ascii="仿宋" w:hAnsi="仿宋" w:eastAsia="仿宋" w:cs="仿宋"/>
                <w:color w:val="000000"/>
                <w:kern w:val="0"/>
                <w:sz w:val="24"/>
                <w:szCs w:val="24"/>
                <w:lang w:val="en-US" w:eastAsia="zh-CN"/>
              </w:rPr>
              <w:t>高中毕业证或</w:t>
            </w:r>
            <w:r>
              <w:rPr>
                <w:rFonts w:hint="eastAsia" w:ascii="仿宋" w:hAnsi="仿宋" w:eastAsia="仿宋" w:cs="仿宋"/>
                <w:color w:val="000000"/>
                <w:kern w:val="0"/>
                <w:sz w:val="24"/>
                <w:szCs w:val="24"/>
              </w:rPr>
              <w:t>学信网经查证的《教育部学历证书电子注册备案表》</w:t>
            </w:r>
            <w:r>
              <w:rPr>
                <w:rFonts w:hint="eastAsia" w:ascii="仿宋" w:hAnsi="仿宋" w:eastAsia="仿宋" w:cs="仿宋"/>
                <w:color w:val="auto"/>
                <w:sz w:val="24"/>
                <w:szCs w:val="24"/>
                <w:highlight w:val="none"/>
                <w:lang w:val="en-US" w:eastAsia="zh-CN"/>
              </w:rPr>
              <w:t>，不提供不得分</w:t>
            </w:r>
            <w:r>
              <w:rPr>
                <w:rFonts w:hint="eastAsia" w:ascii="仿宋" w:hAnsi="仿宋" w:eastAsia="仿宋" w:cs="仿宋"/>
                <w:color w:val="auto"/>
                <w:sz w:val="24"/>
                <w:szCs w:val="24"/>
                <w:highlight w:val="none"/>
              </w:rPr>
              <w:t>。</w:t>
            </w:r>
          </w:p>
          <w:p w14:paraId="1FED7B88">
            <w:pPr>
              <w:keepNext w:val="0"/>
              <w:keepLines w:val="0"/>
              <w:pageBreakBefore w:val="0"/>
              <w:widowControl/>
              <w:numPr>
                <w:ilvl w:val="0"/>
                <w:numId w:val="0"/>
              </w:numPr>
              <w:kinsoku/>
              <w:wordWrap/>
              <w:overflowPunct/>
              <w:topLinePunct w:val="0"/>
              <w:autoSpaceDE/>
              <w:autoSpaceDN/>
              <w:bidi w:val="0"/>
              <w:adjustRightInd/>
              <w:snapToGrid/>
              <w:spacing w:afterLines="0" w:line="400" w:lineRule="exact"/>
              <w:jc w:val="left"/>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经验要求</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分）</w:t>
            </w:r>
          </w:p>
          <w:p w14:paraId="0B5A3E51">
            <w:pPr>
              <w:numPr>
                <w:ilvl w:val="-1"/>
                <w:numId w:val="0"/>
              </w:numPr>
              <w:autoSpaceDE/>
              <w:autoSpaceDN/>
              <w:adjustRightInd/>
              <w:spacing w:afterLines="0"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保洁主管</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eastAsia="zh-CN"/>
              </w:rPr>
              <w:t>类似项目物业服务</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管理经验</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每</w:t>
            </w:r>
            <w:r>
              <w:rPr>
                <w:rFonts w:hint="eastAsia" w:ascii="仿宋" w:hAnsi="仿宋" w:eastAsia="仿宋" w:cs="仿宋"/>
                <w:color w:val="auto"/>
                <w:sz w:val="24"/>
                <w:szCs w:val="24"/>
                <w:highlight w:val="none"/>
              </w:rPr>
              <w:t>增加一年管理经验额外增加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分，最多增加</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4D914FBB">
            <w:pPr>
              <w:numPr>
                <w:ilvl w:val="-1"/>
                <w:numId w:val="0"/>
              </w:numPr>
              <w:autoSpaceDE/>
              <w:autoSpaceDN/>
              <w:adjustRightInd/>
              <w:spacing w:afterLines="0"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提供被服务单位加盖公章的</w:t>
            </w:r>
            <w:r>
              <w:rPr>
                <w:rFonts w:hint="eastAsia" w:ascii="仿宋" w:hAnsi="仿宋" w:eastAsia="仿宋" w:cs="仿宋"/>
                <w:color w:val="auto"/>
                <w:sz w:val="24"/>
                <w:szCs w:val="24"/>
                <w:highlight w:val="none"/>
                <w:lang w:val="en-US" w:eastAsia="zh-CN"/>
              </w:rPr>
              <w:t>管理经验</w:t>
            </w:r>
            <w:r>
              <w:rPr>
                <w:rFonts w:hint="eastAsia" w:ascii="仿宋" w:hAnsi="仿宋" w:eastAsia="仿宋" w:cs="仿宋"/>
                <w:color w:val="auto"/>
                <w:sz w:val="24"/>
                <w:szCs w:val="24"/>
                <w:highlight w:val="none"/>
              </w:rPr>
              <w:t>证明材料，不提供或缺漏项不得分。</w:t>
            </w:r>
          </w:p>
          <w:p w14:paraId="79996F0C">
            <w:pPr>
              <w:spacing w:afterLines="0" w:line="400" w:lineRule="exact"/>
              <w:jc w:val="left"/>
              <w:rPr>
                <w:rFonts w:hint="eastAsia" w:ascii="仿宋" w:hAnsi="仿宋" w:eastAsia="仿宋" w:cs="仿宋"/>
                <w:sz w:val="24"/>
                <w:szCs w:val="24"/>
                <w:lang w:val="en-US" w:eastAsia="zh-CN"/>
              </w:rPr>
            </w:pPr>
            <w:r>
              <w:rPr>
                <w:rFonts w:hint="eastAsia" w:ascii="仿宋" w:hAnsi="仿宋" w:eastAsia="仿宋" w:cs="仿宋"/>
                <w:color w:val="000000"/>
                <w:sz w:val="24"/>
                <w:szCs w:val="24"/>
              </w:rPr>
              <w:t>备注：除上述赋分依据外，还须同时</w:t>
            </w:r>
            <w:r>
              <w:rPr>
                <w:rFonts w:hint="eastAsia" w:ascii="仿宋" w:hAnsi="仿宋" w:eastAsia="仿宋" w:cs="仿宋"/>
                <w:color w:val="000000"/>
                <w:sz w:val="24"/>
                <w:szCs w:val="24"/>
                <w:highlight w:val="none"/>
              </w:rPr>
              <w:t>提供</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为</w:t>
            </w:r>
            <w:r>
              <w:rPr>
                <w:rFonts w:hint="eastAsia" w:ascii="仿宋" w:hAnsi="仿宋" w:eastAsia="仿宋" w:cs="仿宋"/>
                <w:b w:val="0"/>
                <w:bCs w:val="0"/>
                <w:color w:val="auto"/>
                <w:kern w:val="0"/>
                <w:sz w:val="24"/>
                <w:szCs w:val="24"/>
                <w:highlight w:val="none"/>
                <w:lang w:eastAsia="zh-CN"/>
              </w:rPr>
              <w:t>保洁主管</w:t>
            </w:r>
            <w:r>
              <w:rPr>
                <w:rFonts w:hint="eastAsia" w:ascii="仿宋" w:hAnsi="仿宋" w:eastAsia="仿宋" w:cs="仿宋"/>
                <w:color w:val="000000"/>
                <w:sz w:val="24"/>
                <w:szCs w:val="24"/>
                <w:highlight w:val="none"/>
              </w:rPr>
              <w:t>缴纳的近六个月内至少连续三个月的社保缴纳证明材料（成立时间至提交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文件截止时间不足六个月的</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，可提供成立后任意一个月的社保缴纳证明材料），不提供或缺漏项本大项（</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分）不</w:t>
            </w:r>
            <w:r>
              <w:rPr>
                <w:rFonts w:hint="eastAsia" w:ascii="仿宋" w:hAnsi="仿宋" w:eastAsia="仿宋" w:cs="仿宋"/>
                <w:color w:val="000000"/>
                <w:sz w:val="24"/>
                <w:szCs w:val="24"/>
              </w:rPr>
              <w:t>得分。</w:t>
            </w:r>
          </w:p>
        </w:tc>
      </w:tr>
      <w:tr w14:paraId="1D6C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740" w:type="dxa"/>
            <w:noWrap w:val="0"/>
            <w:vAlign w:val="center"/>
          </w:tcPr>
          <w:p w14:paraId="5AB318B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000000"/>
                <w:sz w:val="24"/>
                <w:szCs w:val="24"/>
                <w:highlight w:val="none"/>
              </w:rPr>
              <w:t>业绩</w:t>
            </w:r>
          </w:p>
        </w:tc>
        <w:tc>
          <w:tcPr>
            <w:tcW w:w="884" w:type="dxa"/>
            <w:noWrap w:val="0"/>
            <w:vAlign w:val="center"/>
          </w:tcPr>
          <w:p w14:paraId="50BD84F6">
            <w:pPr>
              <w:keepNext w:val="0"/>
              <w:keepLines w:val="0"/>
              <w:pageBreakBefore w:val="0"/>
              <w:widowControl w:val="0"/>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000000"/>
                <w:sz w:val="24"/>
                <w:szCs w:val="24"/>
                <w:highlight w:val="none"/>
                <w:lang w:val="en-US" w:eastAsia="zh-CN"/>
              </w:rPr>
              <w:t>8</w:t>
            </w:r>
          </w:p>
        </w:tc>
        <w:tc>
          <w:tcPr>
            <w:tcW w:w="7323" w:type="dxa"/>
            <w:noWrap w:val="0"/>
            <w:vAlign w:val="center"/>
          </w:tcPr>
          <w:p w14:paraId="04EE6207">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提供202</w:t>
            </w:r>
            <w:r>
              <w:rPr>
                <w:rFonts w:hint="eastAsia" w:ascii="仿宋" w:hAnsi="仿宋" w:eastAsia="仿宋" w:cs="仿宋"/>
                <w:color w:val="000000"/>
                <w:sz w:val="24"/>
                <w:szCs w:val="24"/>
                <w:highlight w:val="none"/>
                <w:lang w:eastAsia="zh-CN"/>
              </w:rPr>
              <w:t>2</w:t>
            </w:r>
            <w:r>
              <w:rPr>
                <w:rFonts w:hint="eastAsia" w:ascii="仿宋" w:hAnsi="仿宋" w:eastAsia="仿宋" w:cs="仿宋"/>
                <w:color w:val="000000"/>
                <w:sz w:val="24"/>
                <w:szCs w:val="24"/>
                <w:highlight w:val="none"/>
              </w:rPr>
              <w:t>年1月1日以来</w:t>
            </w:r>
            <w:r>
              <w:rPr>
                <w:rFonts w:hint="eastAsia" w:ascii="仿宋" w:hAnsi="仿宋" w:eastAsia="仿宋" w:cs="仿宋"/>
                <w:color w:val="000000"/>
                <w:sz w:val="24"/>
                <w:szCs w:val="24"/>
                <w:highlight w:val="none"/>
                <w:lang w:val="en-US" w:eastAsia="zh-CN"/>
              </w:rPr>
              <w:t>物业服务</w:t>
            </w:r>
            <w:r>
              <w:rPr>
                <w:rFonts w:hint="eastAsia" w:ascii="仿宋" w:hAnsi="仿宋" w:eastAsia="仿宋" w:cs="仿宋"/>
                <w:color w:val="000000"/>
                <w:sz w:val="24"/>
                <w:szCs w:val="24"/>
                <w:highlight w:val="none"/>
              </w:rPr>
              <w:t>项目业绩（以合同签订日期为准），每份合格业绩合同计</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分，满分</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分；</w:t>
            </w:r>
          </w:p>
          <w:p w14:paraId="698405EB">
            <w:pPr>
              <w:keepNext w:val="0"/>
              <w:keepLines w:val="0"/>
              <w:pageBreakBefore w:val="0"/>
              <w:widowControl w:val="0"/>
              <w:kinsoku/>
              <w:wordWrap/>
              <w:overflowPunct/>
              <w:topLinePunct w:val="0"/>
              <w:bidi w:val="0"/>
              <w:snapToGrid/>
              <w:spacing w:afterLines="0" w:line="400" w:lineRule="exac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备注：须提供完整</w:t>
            </w:r>
            <w:r>
              <w:rPr>
                <w:rFonts w:hint="eastAsia" w:ascii="仿宋" w:hAnsi="仿宋" w:eastAsia="仿宋" w:cs="仿宋"/>
                <w:color w:val="000000"/>
                <w:sz w:val="24"/>
                <w:szCs w:val="24"/>
                <w:highlight w:val="none"/>
              </w:rPr>
              <w:t>合同业绩</w:t>
            </w:r>
            <w:r>
              <w:rPr>
                <w:rFonts w:hint="eastAsia" w:ascii="仿宋" w:hAnsi="仿宋" w:eastAsia="仿宋" w:cs="仿宋"/>
                <w:color w:val="000000"/>
                <w:kern w:val="0"/>
                <w:sz w:val="24"/>
                <w:szCs w:val="24"/>
                <w:highlight w:val="none"/>
              </w:rPr>
              <w:t>及对应发票复印件（发票可提供服务期内任意一张），并加盖</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公章，以上两种证明材料同时提供方可得分，否则不得分。</w:t>
            </w:r>
          </w:p>
          <w:p w14:paraId="487D6D33">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000000"/>
                <w:sz w:val="24"/>
                <w:szCs w:val="24"/>
                <w:highlight w:val="none"/>
              </w:rPr>
              <w:t>2、每提供一份对应合格业绩的服务好评（以被服务单位加盖公章的好评证明材料为计分依据，格式自拟），得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分，满分</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分。</w:t>
            </w:r>
          </w:p>
        </w:tc>
      </w:tr>
      <w:tr w14:paraId="10E8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740" w:type="dxa"/>
            <w:noWrap w:val="0"/>
            <w:vAlign w:val="center"/>
          </w:tcPr>
          <w:p w14:paraId="35F314A5">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color w:val="000000"/>
                <w:sz w:val="24"/>
                <w:szCs w:val="24"/>
                <w:highlight w:val="yellow"/>
              </w:rPr>
            </w:pPr>
            <w:r>
              <w:rPr>
                <w:rFonts w:hint="eastAsia" w:ascii="仿宋" w:hAnsi="仿宋" w:eastAsia="仿宋" w:cs="仿宋"/>
                <w:color w:val="auto"/>
                <w:sz w:val="24"/>
                <w:szCs w:val="24"/>
                <w:lang w:eastAsia="zh-CN"/>
              </w:rPr>
              <w:t>服务承诺</w:t>
            </w:r>
          </w:p>
        </w:tc>
        <w:tc>
          <w:tcPr>
            <w:tcW w:w="884" w:type="dxa"/>
            <w:noWrap w:val="0"/>
            <w:vAlign w:val="center"/>
          </w:tcPr>
          <w:p w14:paraId="52CCE6AB">
            <w:pPr>
              <w:keepNext w:val="0"/>
              <w:keepLines w:val="0"/>
              <w:pageBreakBefore w:val="0"/>
              <w:kinsoku/>
              <w:wordWrap/>
              <w:overflowPunct/>
              <w:topLinePunct w:val="0"/>
              <w:bidi w:val="0"/>
              <w:spacing w:afterLines="0" w:line="40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lang w:val="en-US" w:eastAsia="zh-CN"/>
              </w:rPr>
              <w:t>4</w:t>
            </w:r>
          </w:p>
        </w:tc>
        <w:tc>
          <w:tcPr>
            <w:tcW w:w="7323" w:type="dxa"/>
            <w:noWrap w:val="0"/>
            <w:vAlign w:val="center"/>
          </w:tcPr>
          <w:p w14:paraId="64F9BC7F">
            <w:pPr>
              <w:pStyle w:val="70"/>
              <w:keepNext w:val="0"/>
              <w:keepLines w:val="0"/>
              <w:pageBreakBefore w:val="0"/>
              <w:widowControl w:val="0"/>
              <w:numPr>
                <w:ilvl w:val="0"/>
                <w:numId w:val="2"/>
              </w:numPr>
              <w:kinsoku/>
              <w:wordWrap/>
              <w:overflowPunct/>
              <w:topLinePunct w:val="0"/>
              <w:autoSpaceDE/>
              <w:autoSpaceDN/>
              <w:bidi w:val="0"/>
              <w:adjustRightInd/>
              <w:snapToGrid/>
              <w:spacing w:afterLines="0" w:line="400" w:lineRule="exact"/>
              <w:ind w:left="0" w:right="0" w:hanging="6"/>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承诺：接受采购人对本项目服务的考核、监督及管理，</w:t>
            </w:r>
            <w:r>
              <w:rPr>
                <w:rFonts w:hint="eastAsia" w:ascii="仿宋" w:hAnsi="仿宋" w:eastAsia="仿宋" w:cs="仿宋"/>
                <w:color w:val="auto"/>
                <w:spacing w:val="-4"/>
                <w:highlight w:val="none"/>
              </w:rPr>
              <w:t>得</w:t>
            </w:r>
            <w:r>
              <w:rPr>
                <w:rFonts w:hint="eastAsia" w:cs="仿宋"/>
                <w:color w:val="auto"/>
                <w:spacing w:val="-4"/>
                <w:highlight w:val="none"/>
                <w:lang w:val="en-US" w:eastAsia="zh-CN"/>
              </w:rPr>
              <w:t>1</w:t>
            </w:r>
            <w:r>
              <w:rPr>
                <w:rFonts w:hint="eastAsia" w:ascii="仿宋" w:hAnsi="仿宋" w:eastAsia="仿宋" w:cs="仿宋"/>
                <w:color w:val="auto"/>
                <w:spacing w:val="-4"/>
                <w:highlight w:val="none"/>
              </w:rPr>
              <w:t>分</w:t>
            </w:r>
            <w:r>
              <w:rPr>
                <w:rFonts w:hint="eastAsia" w:cs="仿宋"/>
                <w:color w:val="auto"/>
                <w:spacing w:val="-4"/>
                <w:highlight w:val="none"/>
                <w:lang w:eastAsia="zh-CN"/>
              </w:rPr>
              <w:t>，</w:t>
            </w:r>
            <w:r>
              <w:rPr>
                <w:rFonts w:hint="eastAsia" w:ascii="仿宋" w:hAnsi="仿宋" w:eastAsia="仿宋" w:cs="仿宋"/>
                <w:color w:val="auto"/>
                <w:spacing w:val="-4"/>
                <w:highlight w:val="none"/>
              </w:rPr>
              <w:t>无承诺不得分。</w:t>
            </w:r>
          </w:p>
          <w:p w14:paraId="382CB1B6">
            <w:pPr>
              <w:pStyle w:val="70"/>
              <w:keepNext w:val="0"/>
              <w:keepLines w:val="0"/>
              <w:pageBreakBefore w:val="0"/>
              <w:widowControl w:val="0"/>
              <w:numPr>
                <w:ilvl w:val="0"/>
                <w:numId w:val="2"/>
              </w:numPr>
              <w:kinsoku/>
              <w:wordWrap/>
              <w:overflowPunct/>
              <w:topLinePunct w:val="0"/>
              <w:autoSpaceDE/>
              <w:autoSpaceDN/>
              <w:bidi w:val="0"/>
              <w:adjustRightInd/>
              <w:snapToGrid/>
              <w:spacing w:afterLines="0" w:line="400" w:lineRule="exact"/>
              <w:ind w:left="0" w:right="0" w:hanging="6"/>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承诺：</w:t>
            </w:r>
            <w:r>
              <w:rPr>
                <w:rFonts w:hint="eastAsia" w:ascii="仿宋" w:hAnsi="仿宋" w:eastAsia="仿宋" w:cs="仿宋"/>
                <w:color w:val="auto"/>
                <w:spacing w:val="-1"/>
                <w:highlight w:val="none"/>
              </w:rPr>
              <w:t>定期调研</w:t>
            </w:r>
            <w:r>
              <w:rPr>
                <w:rFonts w:hint="eastAsia" w:ascii="仿宋" w:hAnsi="仿宋" w:eastAsia="仿宋" w:cs="仿宋"/>
                <w:color w:val="auto"/>
                <w:spacing w:val="-2"/>
                <w:highlight w:val="none"/>
              </w:rPr>
              <w:t>采购人对服务质量的满意度并加以改进，确保服务工作的优质高效，</w:t>
            </w:r>
            <w:r>
              <w:rPr>
                <w:rFonts w:hint="eastAsia" w:ascii="仿宋" w:hAnsi="仿宋" w:eastAsia="仿宋" w:cs="仿宋"/>
                <w:color w:val="auto"/>
                <w:spacing w:val="-4"/>
                <w:highlight w:val="none"/>
              </w:rPr>
              <w:t>得</w:t>
            </w:r>
            <w:r>
              <w:rPr>
                <w:rFonts w:hint="eastAsia" w:cs="仿宋"/>
                <w:color w:val="auto"/>
                <w:spacing w:val="-4"/>
                <w:highlight w:val="none"/>
                <w:lang w:val="en-US" w:eastAsia="zh-CN"/>
              </w:rPr>
              <w:t>1</w:t>
            </w:r>
            <w:r>
              <w:rPr>
                <w:rFonts w:hint="eastAsia" w:ascii="仿宋" w:hAnsi="仿宋" w:eastAsia="仿宋" w:cs="仿宋"/>
                <w:color w:val="auto"/>
                <w:spacing w:val="-4"/>
                <w:highlight w:val="none"/>
              </w:rPr>
              <w:t>分</w:t>
            </w:r>
            <w:r>
              <w:rPr>
                <w:rFonts w:hint="eastAsia" w:cs="仿宋"/>
                <w:color w:val="auto"/>
                <w:spacing w:val="-4"/>
                <w:highlight w:val="none"/>
                <w:lang w:eastAsia="zh-CN"/>
              </w:rPr>
              <w:t>，</w:t>
            </w:r>
            <w:r>
              <w:rPr>
                <w:rFonts w:hint="eastAsia" w:ascii="仿宋" w:hAnsi="仿宋" w:eastAsia="仿宋" w:cs="仿宋"/>
                <w:color w:val="auto"/>
                <w:spacing w:val="-4"/>
                <w:highlight w:val="none"/>
              </w:rPr>
              <w:t>无承诺不得分。</w:t>
            </w:r>
          </w:p>
          <w:p w14:paraId="6EE70B38">
            <w:pPr>
              <w:numPr>
                <w:ilvl w:val="0"/>
                <w:numId w:val="2"/>
              </w:numPr>
              <w:spacing w:afterLines="0" w:line="400" w:lineRule="exact"/>
              <w:ind w:hanging="6"/>
              <w:jc w:val="lef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承诺：上岗人员固定，不得随意更换，若出现服务人员因事、病</w:t>
            </w:r>
            <w:r>
              <w:rPr>
                <w:rFonts w:hint="eastAsia" w:ascii="仿宋" w:hAnsi="仿宋" w:eastAsia="仿宋" w:cs="仿宋"/>
                <w:color w:val="auto"/>
                <w:spacing w:val="4"/>
                <w:sz w:val="24"/>
                <w:szCs w:val="24"/>
                <w:highlight w:val="none"/>
              </w:rPr>
              <w:t>等不能工作的，及时调整其他服务人员补充，确保服务工作的正常进行，</w:t>
            </w:r>
            <w:r>
              <w:rPr>
                <w:rFonts w:hint="eastAsia" w:ascii="仿宋" w:hAnsi="仿宋" w:eastAsia="仿宋" w:cs="仿宋"/>
                <w:color w:val="auto"/>
                <w:spacing w:val="-4"/>
                <w:sz w:val="24"/>
                <w:szCs w:val="24"/>
                <w:highlight w:val="none"/>
              </w:rPr>
              <w:t>得</w:t>
            </w: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rPr>
              <w:t>分</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无承诺不得分。</w:t>
            </w:r>
          </w:p>
          <w:p w14:paraId="69E41AF9">
            <w:pPr>
              <w:spacing w:afterLines="0"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4、</w:t>
            </w:r>
            <w:r>
              <w:rPr>
                <w:rFonts w:hint="eastAsia" w:ascii="仿宋" w:hAnsi="仿宋" w:eastAsia="仿宋" w:cs="仿宋"/>
                <w:color w:val="auto"/>
                <w:sz w:val="24"/>
                <w:szCs w:val="24"/>
                <w:highlight w:val="none"/>
              </w:rPr>
              <w:t>承诺：</w:t>
            </w:r>
            <w:r>
              <w:rPr>
                <w:rFonts w:hint="eastAsia" w:ascii="仿宋" w:hAnsi="仿宋" w:eastAsia="仿宋" w:cs="仿宋"/>
                <w:color w:val="auto"/>
                <w:spacing w:val="4"/>
                <w:sz w:val="24"/>
                <w:szCs w:val="24"/>
                <w:highlight w:val="none"/>
              </w:rPr>
              <w:t>储备可调度人员，调度人员可保障临时性工作需要及突</w:t>
            </w:r>
            <w:r>
              <w:rPr>
                <w:rFonts w:hint="eastAsia" w:ascii="仿宋" w:hAnsi="仿宋" w:eastAsia="仿宋" w:cs="仿宋"/>
                <w:color w:val="auto"/>
                <w:spacing w:val="1"/>
                <w:sz w:val="24"/>
                <w:szCs w:val="24"/>
                <w:highlight w:val="none"/>
              </w:rPr>
              <w:t>发事件处置，</w:t>
            </w:r>
            <w:r>
              <w:rPr>
                <w:rFonts w:hint="eastAsia" w:ascii="仿宋" w:hAnsi="仿宋" w:eastAsia="仿宋" w:cs="仿宋"/>
                <w:color w:val="auto"/>
                <w:spacing w:val="-4"/>
                <w:sz w:val="24"/>
                <w:szCs w:val="24"/>
                <w:highlight w:val="none"/>
              </w:rPr>
              <w:t>得</w:t>
            </w: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rPr>
              <w:t>分</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无承诺不得分。</w:t>
            </w:r>
          </w:p>
        </w:tc>
      </w:tr>
      <w:tr w14:paraId="01CF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40" w:type="dxa"/>
            <w:noWrap w:val="0"/>
            <w:vAlign w:val="center"/>
          </w:tcPr>
          <w:p w14:paraId="430D17FA">
            <w:pPr>
              <w:autoSpaceDE/>
              <w:autoSpaceDN/>
              <w:adjustRightInd/>
              <w:spacing w:afterLines="0"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说明</w:t>
            </w:r>
          </w:p>
        </w:tc>
        <w:tc>
          <w:tcPr>
            <w:tcW w:w="8207" w:type="dxa"/>
            <w:gridSpan w:val="2"/>
            <w:noWrap w:val="0"/>
            <w:vAlign w:val="center"/>
          </w:tcPr>
          <w:p w14:paraId="663DD9CE">
            <w:pPr>
              <w:spacing w:afterLines="0" w:line="400" w:lineRule="exact"/>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磋商小组</w:t>
            </w:r>
            <w:r>
              <w:rPr>
                <w:rFonts w:hint="eastAsia" w:ascii="仿宋" w:hAnsi="仿宋" w:eastAsia="仿宋" w:cs="仿宋"/>
                <w:color w:val="auto"/>
                <w:kern w:val="0"/>
                <w:sz w:val="24"/>
                <w:szCs w:val="24"/>
              </w:rPr>
              <w:t>成员须按照本评审要素据实打分。</w:t>
            </w:r>
          </w:p>
        </w:tc>
      </w:tr>
    </w:tbl>
    <w:p w14:paraId="2D0FABA5">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8、推荐成交候选供应商</w:t>
      </w:r>
    </w:p>
    <w:p w14:paraId="173F72F3">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14:paraId="24541334">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9、编写评审报告</w:t>
      </w:r>
    </w:p>
    <w:p w14:paraId="53E4902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2D9B1AB3">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采购人书面授权磋商小组直接确定成交供应商的，磋商小组应在评审报告中明确成交供应商及成交金额。</w:t>
      </w:r>
    </w:p>
    <w:p w14:paraId="3C670350">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除下列情形外，任何人不得以任何理由组织重新评审：</w:t>
      </w:r>
    </w:p>
    <w:p w14:paraId="4A7930C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（1）资格性检查认定错误的；</w:t>
      </w:r>
    </w:p>
    <w:p w14:paraId="74AE06F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（2）分值汇总计算错误的；</w:t>
      </w:r>
    </w:p>
    <w:p w14:paraId="7FE2B56E">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（3）分项评分超出评分标准范围的；</w:t>
      </w:r>
    </w:p>
    <w:p w14:paraId="1214E11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（4）客观分评分不一致的；</w:t>
      </w:r>
    </w:p>
    <w:p w14:paraId="36FEE52C">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（5）经磋商小组一致认定评分畸高、畸低的情形。</w:t>
      </w:r>
    </w:p>
    <w:p w14:paraId="59C80B03">
      <w:pPr>
        <w:spacing w:line="500" w:lineRule="exact"/>
        <w:ind w:firstLine="566" w:firstLineChars="200"/>
        <w:rPr>
          <w:rFonts w:hint="eastAsia" w:ascii="仿宋" w:hAnsi="仿宋" w:eastAsia="仿宋" w:cs="仿宋"/>
          <w:b/>
          <w:color w:val="000000"/>
        </w:rPr>
      </w:pPr>
      <w:r>
        <w:rPr>
          <w:rFonts w:hint="eastAsia" w:ascii="仿宋" w:hAnsi="仿宋" w:eastAsia="仿宋" w:cs="仿宋"/>
          <w:b/>
          <w:color w:val="000000"/>
        </w:rPr>
        <w:t>（六）有下列情况之一的，视为供应商串通投标，其投标无效：</w:t>
      </w:r>
    </w:p>
    <w:p w14:paraId="6878EB50">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1、不同供应商的响应文件由同一单位或者个人编制；</w:t>
      </w:r>
    </w:p>
    <w:p w14:paraId="65108A65">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2、不同供应商的响应文件由同一台电脑编制；</w:t>
      </w:r>
    </w:p>
    <w:p w14:paraId="2FC2FA4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3、不同供应商委托同一单位或者个人办理投标事宜；</w:t>
      </w:r>
    </w:p>
    <w:p w14:paraId="71DD130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4、不同供应商的响应文件载明的项目管理成员或者联系人员为同一人；</w:t>
      </w:r>
    </w:p>
    <w:p w14:paraId="60EC08E8">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5、不同供应商的响应文件异常一致或者磋商报价呈规律性差异；</w:t>
      </w:r>
    </w:p>
    <w:p w14:paraId="594B14DB">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6、不同供应商的响应文件相互混装；</w:t>
      </w:r>
    </w:p>
    <w:p w14:paraId="5C4DE9E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7、政府采购法律法规及磋商文件规定的其他情形。</w:t>
      </w:r>
    </w:p>
    <w:p w14:paraId="2862FF56">
      <w:pPr>
        <w:pStyle w:val="4"/>
        <w:widowControl w:val="0"/>
        <w:spacing w:line="500" w:lineRule="exact"/>
        <w:ind w:firstLine="566" w:firstLineChars="200"/>
        <w:rPr>
          <w:rFonts w:hint="eastAsia" w:ascii="仿宋" w:hAnsi="仿宋" w:eastAsia="仿宋" w:cs="仿宋"/>
          <w:color w:val="000000"/>
          <w:sz w:val="28"/>
          <w:szCs w:val="28"/>
        </w:rPr>
      </w:pPr>
      <w:bookmarkStart w:id="363" w:name="_Toc22712"/>
      <w:bookmarkStart w:id="364" w:name="_Toc17497"/>
      <w:bookmarkStart w:id="365" w:name="_Toc25855"/>
      <w:bookmarkStart w:id="366" w:name="_Toc30924"/>
      <w:bookmarkStart w:id="367" w:name="_Toc17612"/>
      <w:bookmarkStart w:id="368" w:name="_Toc10026"/>
      <w:bookmarkStart w:id="369" w:name="_Toc29298"/>
      <w:bookmarkStart w:id="370" w:name="_Toc28384"/>
      <w:bookmarkStart w:id="371" w:name="_Toc31221"/>
      <w:bookmarkStart w:id="372" w:name="_Toc4670"/>
      <w:r>
        <w:rPr>
          <w:rFonts w:hint="eastAsia" w:ascii="仿宋" w:hAnsi="仿宋" w:eastAsia="仿宋" w:cs="仿宋"/>
          <w:color w:val="000000"/>
          <w:sz w:val="28"/>
          <w:szCs w:val="28"/>
        </w:rPr>
        <w:t>八、成交</w:t>
      </w:r>
      <w:bookmarkEnd w:id="363"/>
      <w:bookmarkEnd w:id="364"/>
      <w:bookmarkEnd w:id="365"/>
      <w:bookmarkEnd w:id="366"/>
      <w:bookmarkEnd w:id="367"/>
      <w:bookmarkEnd w:id="368"/>
      <w:bookmarkEnd w:id="369"/>
      <w:bookmarkEnd w:id="370"/>
      <w:bookmarkEnd w:id="371"/>
      <w:bookmarkEnd w:id="372"/>
    </w:p>
    <w:p w14:paraId="443F9BA5">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（一）本项目采用第</w:t>
      </w:r>
      <w:r>
        <w:rPr>
          <w:rFonts w:hint="eastAsia" w:ascii="仿宋" w:hAnsi="仿宋" w:eastAsia="仿宋" w:cs="仿宋"/>
          <w:b/>
          <w:bCs/>
          <w:color w:val="000000"/>
          <w:u w:val="single"/>
        </w:rPr>
        <w:t xml:space="preserve"> 1 </w:t>
      </w:r>
      <w:r>
        <w:rPr>
          <w:rFonts w:hint="eastAsia" w:ascii="仿宋" w:hAnsi="仿宋" w:eastAsia="仿宋" w:cs="仿宋"/>
          <w:b/>
          <w:bCs/>
          <w:color w:val="000000"/>
        </w:rPr>
        <w:t>种方式确定成交供应商：</w:t>
      </w:r>
    </w:p>
    <w:p w14:paraId="28792703">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1、采购人根据磋商小组评审结果确认。</w:t>
      </w:r>
    </w:p>
    <w:p w14:paraId="06A0336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陕西省省级单位政府采购中心在评审结束后2个工作日内将评审报告送采购人确认。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14:paraId="1CEDB0E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2、采购人书面授权磋商小组直接确定成交供应商。</w:t>
      </w:r>
    </w:p>
    <w:p w14:paraId="229297BB">
      <w:pPr>
        <w:widowControl w:val="0"/>
        <w:wordWrap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采购人在评审前提供《委托评审小组定标授权书》，磋商</w:t>
      </w:r>
      <w:r>
        <w:rPr>
          <w:rFonts w:hint="eastAsia" w:ascii="仿宋" w:hAnsi="仿宋" w:eastAsia="仿宋" w:cs="仿宋"/>
          <w:b/>
          <w:bCs/>
          <w:color w:val="000000"/>
          <w:lang w:val="en-US" w:eastAsia="zh-CN"/>
        </w:rPr>
        <w:t>小组</w:t>
      </w:r>
      <w:r>
        <w:rPr>
          <w:rFonts w:hint="eastAsia" w:ascii="仿宋" w:hAnsi="仿宋" w:eastAsia="仿宋" w:cs="仿宋"/>
          <w:b/>
          <w:bCs/>
          <w:color w:val="000000"/>
        </w:rPr>
        <w:t>将根据采购人授权直接确定成交供应商。</w:t>
      </w:r>
    </w:p>
    <w:p w14:paraId="408D6454">
      <w:pPr>
        <w:widowControl w:val="0"/>
        <w:wordWrap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（二）陕西省省级单位政府采购中心将在成交供应商确定之日起2个工作日内，在【</w:t>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"http://www.ccgp-shaanxi.gov.cn/" </w:instrText>
      </w:r>
      <w:r>
        <w:rPr>
          <w:rFonts w:hint="eastAsia" w:ascii="仿宋" w:hAnsi="仿宋" w:eastAsia="仿宋" w:cs="仿宋"/>
          <w:color w:val="000000"/>
        </w:rPr>
        <w:fldChar w:fldCharType="separate"/>
      </w:r>
      <w:r>
        <w:rPr>
          <w:rStyle w:val="36"/>
          <w:rFonts w:hint="eastAsia" w:ascii="仿宋" w:hAnsi="仿宋" w:eastAsia="仿宋" w:cs="仿宋"/>
          <w:color w:val="000000"/>
          <w:sz w:val="28"/>
          <w:szCs w:val="28"/>
        </w:rPr>
        <w:t>陕西省政府采购网</w:t>
      </w:r>
      <w:r>
        <w:rPr>
          <w:rStyle w:val="36"/>
          <w:rFonts w:hint="eastAsia" w:ascii="仿宋" w:hAnsi="仿宋" w:eastAsia="仿宋" w:cs="仿宋"/>
          <w:color w:val="000000"/>
          <w:sz w:val="28"/>
          <w:szCs w:val="28"/>
        </w:rPr>
        <w:fldChar w:fldCharType="end"/>
      </w:r>
      <w:r>
        <w:rPr>
          <w:rFonts w:hint="eastAsia" w:ascii="仿宋" w:hAnsi="仿宋" w:eastAsia="仿宋" w:cs="仿宋"/>
          <w:color w:val="000000"/>
        </w:rPr>
        <w:t>（www.ccgp-shaanxi.gov.cn）</w:t>
      </w:r>
      <w:r>
        <w:rPr>
          <w:rStyle w:val="36"/>
          <w:rFonts w:hint="eastAsia" w:ascii="仿宋" w:hAnsi="仿宋" w:eastAsia="仿宋" w:cs="仿宋"/>
          <w:color w:val="000000"/>
          <w:sz w:val="28"/>
          <w:szCs w:val="28"/>
        </w:rPr>
        <w:t>】、</w:t>
      </w:r>
      <w:r>
        <w:rPr>
          <w:rFonts w:hint="eastAsia" w:ascii="仿宋" w:hAnsi="仿宋" w:eastAsia="仿宋" w:cs="仿宋"/>
          <w:color w:val="000000"/>
        </w:rPr>
        <w:t>【全国</w:t>
      </w:r>
      <w:r>
        <w:rPr>
          <w:rFonts w:hint="eastAsia" w:ascii="仿宋" w:hAnsi="仿宋" w:eastAsia="仿宋" w:cs="仿宋"/>
          <w:bCs/>
          <w:color w:val="000000"/>
        </w:rPr>
        <w:t>公共资源交易平台（陕西省）（http://www.sxggzyjy.cn/）</w:t>
      </w:r>
      <w:r>
        <w:rPr>
          <w:rStyle w:val="36"/>
          <w:rFonts w:hint="eastAsia" w:ascii="仿宋" w:hAnsi="仿宋" w:eastAsia="仿宋" w:cs="仿宋"/>
          <w:color w:val="000000"/>
          <w:sz w:val="28"/>
          <w:szCs w:val="28"/>
        </w:rPr>
        <w:t>】</w:t>
      </w:r>
      <w:r>
        <w:rPr>
          <w:rFonts w:hint="eastAsia" w:ascii="仿宋" w:hAnsi="仿宋" w:eastAsia="仿宋" w:cs="仿宋"/>
          <w:color w:val="000000"/>
        </w:rPr>
        <w:t>上发布成交公告，成交公告期限为1个工作日。同时，陕西省省级单位政府采购中心向成交供应商发出“成交通知书”，并将磋商文件随成交结果同时公告。成交结果公告应当包括以下内容：</w:t>
      </w:r>
    </w:p>
    <w:p w14:paraId="2EC7DC7F">
      <w:pPr>
        <w:wordWrap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1、采购人和采购代理机构的名称、地址和联系方式；</w:t>
      </w:r>
    </w:p>
    <w:p w14:paraId="060FAB16">
      <w:pPr>
        <w:wordWrap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2、项目名称和项目编号；</w:t>
      </w:r>
    </w:p>
    <w:p w14:paraId="450951F0">
      <w:pPr>
        <w:pageBreakBefore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3、成交供应商名称、地址和成交金额；</w:t>
      </w:r>
    </w:p>
    <w:p w14:paraId="39A6F96B">
      <w:pPr>
        <w:pageBreakBefore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4、主要成交标的的名称、规格型号、数量、单价、服务要求；</w:t>
      </w:r>
    </w:p>
    <w:p w14:paraId="01F28542">
      <w:pPr>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5、磋商小组成员名单。</w:t>
      </w:r>
    </w:p>
    <w:p w14:paraId="3253EEDC">
      <w:pPr>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采用书面推荐供应商参加采购活动的，还应当公告采购人和评审专家的推荐意见。</w:t>
      </w:r>
    </w:p>
    <w:p w14:paraId="440BF0B2">
      <w:pPr>
        <w:pStyle w:val="4"/>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sz w:val="28"/>
          <w:szCs w:val="28"/>
        </w:rPr>
      </w:pPr>
      <w:bookmarkStart w:id="373" w:name="_Toc28870"/>
      <w:bookmarkStart w:id="374" w:name="_Toc31537"/>
      <w:bookmarkStart w:id="375" w:name="_Toc1722"/>
      <w:bookmarkStart w:id="376" w:name="_Toc10386"/>
      <w:bookmarkStart w:id="377" w:name="_Toc14009"/>
      <w:bookmarkStart w:id="378" w:name="_Toc20049"/>
      <w:bookmarkStart w:id="379" w:name="_Toc25955"/>
      <w:bookmarkStart w:id="380" w:name="_Toc6516"/>
      <w:bookmarkStart w:id="381" w:name="_Toc21877"/>
      <w:bookmarkStart w:id="382" w:name="_Toc3100"/>
      <w:r>
        <w:rPr>
          <w:rFonts w:hint="eastAsia" w:ascii="仿宋" w:hAnsi="仿宋" w:eastAsia="仿宋" w:cs="仿宋"/>
          <w:color w:val="000000"/>
          <w:sz w:val="28"/>
          <w:szCs w:val="28"/>
        </w:rPr>
        <w:t>九、签订政府采购合同</w:t>
      </w:r>
      <w:bookmarkEnd w:id="373"/>
      <w:bookmarkEnd w:id="374"/>
      <w:bookmarkEnd w:id="375"/>
      <w:bookmarkEnd w:id="376"/>
      <w:bookmarkEnd w:id="377"/>
      <w:bookmarkEnd w:id="378"/>
      <w:bookmarkEnd w:id="379"/>
      <w:bookmarkEnd w:id="380"/>
      <w:bookmarkEnd w:id="381"/>
      <w:bookmarkEnd w:id="382"/>
    </w:p>
    <w:p w14:paraId="6CB82F5A">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（一）采购人与成交供应商应当在成交通知书发出之日起25日内，按照磋商文件确定的合同文本以及采购标的、规格型号、采购金额、采购数量、技术和服务要求等事项</w:t>
      </w:r>
      <w:r>
        <w:rPr>
          <w:rFonts w:hint="eastAsia" w:ascii="仿宋" w:hAnsi="仿宋" w:eastAsia="仿宋" w:cs="仿宋"/>
          <w:color w:val="000000"/>
          <w:lang w:val="en-US" w:eastAsia="zh-CN"/>
        </w:rPr>
        <w:t>协商</w:t>
      </w:r>
      <w:r>
        <w:rPr>
          <w:rFonts w:hint="eastAsia" w:ascii="仿宋" w:hAnsi="仿宋" w:eastAsia="仿宋" w:cs="仿宋"/>
          <w:color w:val="000000"/>
        </w:rPr>
        <w:t>签订政府采购合同。</w:t>
      </w:r>
    </w:p>
    <w:p w14:paraId="78E9B41F">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DDF886D">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20BF281C">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（四）磋商文件、成交供应商的响应文件、《成交通知书》及其澄清、说明文件、承诺等，均为签订采购合同的依据，作为采购合同的组成部分。</w:t>
      </w:r>
    </w:p>
    <w:p w14:paraId="6C81D274">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kern w:val="0"/>
        </w:rPr>
      </w:pPr>
      <w:r>
        <w:rPr>
          <w:rFonts w:hint="eastAsia" w:ascii="仿宋" w:hAnsi="仿宋" w:eastAsia="仿宋" w:cs="仿宋"/>
          <w:color w:val="000000"/>
          <w:kern w:val="0"/>
        </w:rPr>
        <w:t>（五）政府采购合同应当包括采购人与成交供应商的名称和住所、标的、数量、质量、价款或者报酬、履行期限及地点和方式、验收要求、违约责任、解决争议的方法等内容。</w:t>
      </w:r>
    </w:p>
    <w:p w14:paraId="7C06847D">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kern w:val="0"/>
        </w:rPr>
      </w:pPr>
      <w:r>
        <w:rPr>
          <w:rFonts w:hint="eastAsia" w:ascii="仿宋" w:hAnsi="仿宋" w:eastAsia="仿宋" w:cs="仿宋"/>
          <w:color w:val="000000"/>
          <w:kern w:val="0"/>
        </w:rPr>
        <w:t>（六）采购人与成交供应商应当根据合同的约定依法履行合同义务。</w:t>
      </w:r>
    </w:p>
    <w:p w14:paraId="488C77FB">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kern w:val="0"/>
        </w:rPr>
      </w:pPr>
      <w:r>
        <w:rPr>
          <w:rFonts w:hint="eastAsia" w:ascii="仿宋" w:hAnsi="仿宋" w:eastAsia="仿宋" w:cs="仿宋"/>
          <w:color w:val="000000"/>
          <w:kern w:val="0"/>
        </w:rPr>
        <w:t>政府采购合同的履行、违约责任和解决争议的方法等适用《中华人民共和国民法典》。</w:t>
      </w:r>
    </w:p>
    <w:p w14:paraId="2E735695">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kern w:val="0"/>
        </w:rPr>
      </w:pPr>
      <w:r>
        <w:rPr>
          <w:rFonts w:hint="eastAsia" w:ascii="仿宋" w:hAnsi="仿宋" w:eastAsia="仿宋" w:cs="仿宋"/>
          <w:color w:val="000000"/>
          <w:kern w:val="0"/>
        </w:rPr>
        <w:t>（七）采购人应当及时对采购项目进行验收。采购人可以邀请参加本项目的其他投标供应商或者第三方机构参与验收。参与验收的投标供应商或者第三方机构的意见作为验收书的参考资料一并存档。</w:t>
      </w:r>
    </w:p>
    <w:p w14:paraId="6DB42428">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kern w:val="0"/>
        </w:rPr>
      </w:pPr>
      <w:r>
        <w:rPr>
          <w:rFonts w:hint="eastAsia" w:ascii="仿宋" w:hAnsi="仿宋" w:eastAsia="仿宋" w:cs="仿宋"/>
          <w:color w:val="000000"/>
          <w:kern w:val="0"/>
        </w:rPr>
        <w:t>（八）采购人应当加强对成交供应商的履约管理，并按照采购合同约定，及时向成交供应商支付采购资金。对于成交供应商违反采购合同约定的行为，采购人应当及时处理，依法追究其违约责任。</w:t>
      </w:r>
    </w:p>
    <w:p w14:paraId="36EFD485">
      <w:pPr>
        <w:pStyle w:val="4"/>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sz w:val="28"/>
          <w:szCs w:val="28"/>
        </w:rPr>
      </w:pPr>
      <w:bookmarkStart w:id="383" w:name="_Toc23346"/>
      <w:bookmarkStart w:id="384" w:name="_Toc17915"/>
      <w:bookmarkStart w:id="385" w:name="_Toc16637"/>
      <w:bookmarkStart w:id="386" w:name="_Toc22393"/>
      <w:bookmarkStart w:id="387" w:name="_Toc1272"/>
      <w:bookmarkStart w:id="388" w:name="_Toc3153"/>
      <w:bookmarkStart w:id="389" w:name="_Toc20685"/>
      <w:bookmarkStart w:id="390" w:name="_Toc864"/>
      <w:bookmarkStart w:id="391" w:name="_Toc21906"/>
      <w:r>
        <w:rPr>
          <w:rFonts w:hint="eastAsia" w:ascii="仿宋" w:hAnsi="仿宋" w:eastAsia="仿宋" w:cs="仿宋"/>
          <w:color w:val="000000"/>
          <w:sz w:val="28"/>
          <w:szCs w:val="28"/>
        </w:rPr>
        <w:t>十、其他</w:t>
      </w:r>
      <w:bookmarkEnd w:id="383"/>
      <w:bookmarkEnd w:id="384"/>
      <w:bookmarkEnd w:id="385"/>
      <w:bookmarkEnd w:id="386"/>
      <w:bookmarkEnd w:id="387"/>
      <w:bookmarkEnd w:id="388"/>
      <w:bookmarkEnd w:id="389"/>
      <w:bookmarkEnd w:id="390"/>
      <w:bookmarkEnd w:id="391"/>
    </w:p>
    <w:p w14:paraId="3202E6FE">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14:paraId="2BBF30FA">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（二）根据《政府采购法》第三十六条规定，在磋商采购中，出现下列情形之一的，本项目按废标处理：</w:t>
      </w:r>
    </w:p>
    <w:p w14:paraId="146ACA4A">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1、出现影响采购公正的违法、违规行为的；</w:t>
      </w:r>
    </w:p>
    <w:p w14:paraId="12C77054">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2、供应商的报价均超过了采购预算，采购人不能支付的；</w:t>
      </w:r>
    </w:p>
    <w:p w14:paraId="5E5A7B2A">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3、因重大变故，采购任务取消的。</w:t>
      </w:r>
    </w:p>
    <w:p w14:paraId="2623186D">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废标后，由陕西省省级单位政府采购中心发布废标公告。除采购任务取消外，本项目将重新组织采购活动。</w:t>
      </w:r>
    </w:p>
    <w:p w14:paraId="40E47921">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（三）在递交响应文件阶段、资格审查阶段以及符合性审查阶段，当出现有效投标供应商不足3家时，除采购任务取消外，按照以下方式处理：</w:t>
      </w:r>
    </w:p>
    <w:p w14:paraId="60013B9D">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1、磋商文件存在不合理条款或者磋商程序不符合规定的，采购人、陕西省省级单位政府采购中心改正后依法重新开展采购活动；</w:t>
      </w:r>
    </w:p>
    <w:p w14:paraId="53CEB45E">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2、磋商文件没有不合理条款、磋商程序符合规定，需要采用其他采购式采购的，采购人应当依法报财政部门批准。</w:t>
      </w:r>
    </w:p>
    <w:p w14:paraId="2963132A">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（四）陕西省省级单位政府采购中心应当采取必要措施，保证评审在严格保密的情况下进行。除采购人代表、评审现场组织人员外，采购人的其他工作人员以及与评审工作无关的人员不得进入评审现场。</w:t>
      </w:r>
    </w:p>
    <w:p w14:paraId="31F32BAF">
      <w:pPr>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rPr>
        <w:t>有关人员对评审情况以及在评审过程中获悉的国家秘密、商业秘密负有保密责任。</w:t>
      </w:r>
    </w:p>
    <w:p w14:paraId="052CB631">
      <w:pPr>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kern w:val="2"/>
          <w:sz w:val="28"/>
          <w:szCs w:val="28"/>
          <w:lang w:val="en-US" w:eastAsia="zh-CN" w:bidi="ar-SA"/>
        </w:rPr>
        <w:t>（五）</w:t>
      </w:r>
      <w:r>
        <w:rPr>
          <w:rFonts w:hint="eastAsia" w:ascii="仿宋" w:hAnsi="仿宋" w:eastAsia="仿宋" w:cs="仿宋"/>
          <w:color w:val="000000"/>
        </w:rPr>
        <w:t>磋商文件未明确的其他事项，按《政府采购法》及其相关法律法规执行。</w:t>
      </w:r>
    </w:p>
    <w:p w14:paraId="396E3F42">
      <w:pPr>
        <w:pStyle w:val="7"/>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000000"/>
        </w:rPr>
      </w:pPr>
      <w:r>
        <w:rPr>
          <w:rFonts w:hint="eastAsia" w:ascii="仿宋" w:hAnsi="仿宋" w:eastAsia="仿宋" w:cs="仿宋"/>
          <w:color w:val="000000"/>
          <w:kern w:val="0"/>
        </w:rPr>
        <w:t>（六）陕西省省级单位政府采购中心应当建立真实完整的招标采购档案，妥善保存每项采购活动的采购文件。</w:t>
      </w:r>
    </w:p>
    <w:p w14:paraId="3E334EFE">
      <w:pPr>
        <w:pageBreakBefore w:val="0"/>
        <w:widowControl w:val="0"/>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bCs/>
          <w:color w:val="000000"/>
        </w:rPr>
      </w:pPr>
      <w:bookmarkStart w:id="392" w:name="_Toc8426"/>
      <w:bookmarkStart w:id="393" w:name="_Toc19499"/>
      <w:bookmarkStart w:id="394" w:name="_Toc11780"/>
      <w:bookmarkStart w:id="395" w:name="_Toc17324"/>
      <w:bookmarkStart w:id="396" w:name="_Toc11584"/>
      <w:bookmarkStart w:id="397" w:name="_Toc5278"/>
      <w:bookmarkStart w:id="398" w:name="_Toc10336"/>
      <w:bookmarkStart w:id="399" w:name="_Toc23303"/>
      <w:bookmarkStart w:id="400" w:name="_Toc4764"/>
      <w:r>
        <w:rPr>
          <w:rFonts w:hint="eastAsia" w:ascii="仿宋" w:hAnsi="仿宋" w:eastAsia="仿宋" w:cs="仿宋"/>
          <w:b/>
          <w:bCs/>
          <w:color w:val="000000"/>
        </w:rPr>
        <w:t>十一、采购代理服务费：免费</w:t>
      </w:r>
      <w:bookmarkEnd w:id="392"/>
      <w:bookmarkEnd w:id="393"/>
      <w:bookmarkEnd w:id="394"/>
      <w:bookmarkEnd w:id="395"/>
      <w:bookmarkEnd w:id="396"/>
      <w:bookmarkEnd w:id="397"/>
      <w:bookmarkEnd w:id="398"/>
      <w:bookmarkEnd w:id="399"/>
      <w:bookmarkEnd w:id="400"/>
      <w:r>
        <w:rPr>
          <w:rFonts w:hint="eastAsia" w:ascii="仿宋" w:hAnsi="仿宋" w:eastAsia="仿宋" w:cs="仿宋"/>
          <w:b/>
          <w:bCs/>
          <w:color w:val="000000"/>
        </w:rPr>
        <w:t>。</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5CEFC992">
      <w:pPr>
        <w:spacing w:line="500" w:lineRule="exact"/>
        <w:ind w:firstLine="566" w:firstLineChars="200"/>
        <w:rPr>
          <w:rFonts w:hint="eastAsia" w:ascii="仿宋" w:hAnsi="仿宋" w:eastAsia="仿宋" w:cs="仿宋"/>
          <w:color w:val="000000"/>
          <w:sz w:val="28"/>
          <w:szCs w:val="28"/>
        </w:rPr>
      </w:pPr>
      <w:bookmarkStart w:id="401" w:name="_Toc445306493"/>
      <w:bookmarkStart w:id="402" w:name="_Toc495012821"/>
      <w:bookmarkStart w:id="403" w:name="_Toc21068"/>
      <w:bookmarkStart w:id="404" w:name="_Toc495014585"/>
      <w:bookmarkStart w:id="405" w:name="_Toc495014611"/>
      <w:bookmarkStart w:id="406" w:name="_Toc495014954"/>
      <w:bookmarkStart w:id="407" w:name="_Toc495014649"/>
      <w:bookmarkStart w:id="408" w:name="_Toc495012771"/>
      <w:bookmarkStart w:id="409" w:name="_Toc495014920"/>
      <w:bookmarkStart w:id="410" w:name="_Toc424636365"/>
      <w:bookmarkStart w:id="411" w:name="_Toc3617"/>
      <w:bookmarkStart w:id="412" w:name="_Toc27328"/>
      <w:bookmarkStart w:id="413" w:name="_Toc32235"/>
      <w:r>
        <w:rPr>
          <w:rFonts w:hint="eastAsia" w:ascii="仿宋" w:hAnsi="仿宋" w:eastAsia="仿宋" w:cs="仿宋"/>
          <w:color w:val="000000"/>
          <w:sz w:val="28"/>
          <w:szCs w:val="28"/>
        </w:rPr>
        <w:br w:type="page"/>
      </w:r>
    </w:p>
    <w:p w14:paraId="6FB38C29">
      <w:pPr>
        <w:pStyle w:val="3"/>
        <w:widowControl w:val="0"/>
        <w:rPr>
          <w:rFonts w:hint="eastAsia" w:ascii="黑体" w:hAnsi="黑体" w:eastAsia="黑体" w:cs="Times New Roman"/>
          <w:b w:val="0"/>
          <w:bCs w:val="0"/>
          <w:color w:val="000000"/>
          <w:sz w:val="32"/>
          <w:szCs w:val="32"/>
        </w:rPr>
      </w:pPr>
      <w:bookmarkStart w:id="414" w:name="_Toc31802"/>
      <w:bookmarkStart w:id="415" w:name="_Toc19409"/>
      <w:bookmarkStart w:id="416" w:name="_Toc32058"/>
      <w:bookmarkStart w:id="417" w:name="_Toc19304"/>
      <w:r>
        <w:rPr>
          <w:rFonts w:hint="eastAsia" w:ascii="黑体" w:hAnsi="黑体" w:eastAsia="黑体" w:cs="黑体"/>
          <w:b w:val="0"/>
          <w:bCs w:val="0"/>
          <w:color w:val="000000"/>
          <w:sz w:val="32"/>
          <w:szCs w:val="32"/>
        </w:rPr>
        <w:t>第三章  磋商内容及</w:t>
      </w:r>
      <w:bookmarkEnd w:id="401"/>
      <w:bookmarkEnd w:id="402"/>
      <w:bookmarkEnd w:id="403"/>
      <w:bookmarkEnd w:id="404"/>
      <w:bookmarkEnd w:id="405"/>
      <w:bookmarkEnd w:id="406"/>
      <w:bookmarkEnd w:id="407"/>
      <w:bookmarkEnd w:id="408"/>
      <w:bookmarkEnd w:id="409"/>
      <w:bookmarkEnd w:id="410"/>
      <w:r>
        <w:rPr>
          <w:rFonts w:hint="eastAsia" w:ascii="黑体" w:hAnsi="黑体" w:eastAsia="黑体" w:cs="黑体"/>
          <w:b w:val="0"/>
          <w:bCs w:val="0"/>
          <w:color w:val="000000"/>
          <w:sz w:val="32"/>
          <w:szCs w:val="32"/>
        </w:rPr>
        <w:t>采购要求</w:t>
      </w:r>
      <w:bookmarkEnd w:id="411"/>
      <w:bookmarkEnd w:id="412"/>
      <w:bookmarkEnd w:id="413"/>
      <w:bookmarkEnd w:id="414"/>
      <w:bookmarkEnd w:id="415"/>
      <w:bookmarkEnd w:id="416"/>
      <w:bookmarkEnd w:id="417"/>
    </w:p>
    <w:p w14:paraId="22A27A75">
      <w:pPr>
        <w:pStyle w:val="4"/>
        <w:widowControl w:val="0"/>
        <w:spacing w:afterLines="0" w:line="500" w:lineRule="exact"/>
        <w:ind w:firstLine="566" w:firstLineChars="200"/>
        <w:rPr>
          <w:rFonts w:hint="eastAsia" w:ascii="仿宋" w:hAnsi="仿宋" w:eastAsia="仿宋" w:cs="仿宋"/>
          <w:color w:val="000000"/>
          <w:sz w:val="28"/>
          <w:szCs w:val="28"/>
        </w:rPr>
      </w:pPr>
      <w:bookmarkStart w:id="418" w:name="_Toc11069"/>
      <w:bookmarkStart w:id="419" w:name="_Toc11068"/>
      <w:bookmarkStart w:id="420" w:name="_Toc20553"/>
      <w:bookmarkStart w:id="421" w:name="_Toc12911"/>
      <w:bookmarkStart w:id="422" w:name="_Toc8505"/>
      <w:bookmarkStart w:id="423" w:name="_Toc26526"/>
      <w:bookmarkStart w:id="424" w:name="_Toc20773"/>
      <w:bookmarkStart w:id="425" w:name="_Toc12738"/>
      <w:bookmarkStart w:id="426" w:name="_Toc29744"/>
      <w:r>
        <w:rPr>
          <w:rFonts w:hint="eastAsia" w:ascii="仿宋" w:hAnsi="仿宋" w:eastAsia="仿宋" w:cs="仿宋"/>
          <w:color w:val="000000"/>
          <w:sz w:val="28"/>
          <w:szCs w:val="28"/>
        </w:rPr>
        <w:t>一、</w:t>
      </w:r>
      <w:bookmarkStart w:id="427" w:name="_Toc9322"/>
      <w:r>
        <w:rPr>
          <w:rFonts w:hint="eastAsia" w:ascii="仿宋" w:hAnsi="仿宋" w:eastAsia="仿宋" w:cs="仿宋"/>
          <w:color w:val="000000"/>
          <w:sz w:val="28"/>
          <w:szCs w:val="28"/>
        </w:rPr>
        <w:t>项目</w:t>
      </w:r>
      <w:bookmarkEnd w:id="427"/>
      <w:r>
        <w:rPr>
          <w:rFonts w:hint="eastAsia" w:ascii="仿宋" w:hAnsi="仿宋" w:eastAsia="仿宋" w:cs="仿宋"/>
          <w:color w:val="000000"/>
          <w:sz w:val="28"/>
          <w:szCs w:val="28"/>
        </w:rPr>
        <w:t>概况</w:t>
      </w:r>
      <w:bookmarkEnd w:id="418"/>
      <w:bookmarkEnd w:id="419"/>
      <w:bookmarkEnd w:id="420"/>
      <w:bookmarkEnd w:id="421"/>
      <w:bookmarkEnd w:id="422"/>
      <w:bookmarkEnd w:id="423"/>
      <w:bookmarkEnd w:id="424"/>
    </w:p>
    <w:p w14:paraId="47BE3E92">
      <w:pPr>
        <w:pageBreakBefore w:val="0"/>
        <w:widowControl/>
        <w:kinsoku/>
        <w:wordWrap/>
        <w:overflowPunct/>
        <w:topLinePunct w:val="0"/>
        <w:autoSpaceDE/>
        <w:autoSpaceDN/>
        <w:bidi w:val="0"/>
        <w:adjustRightInd/>
        <w:snapToGrid/>
        <w:spacing w:afterLines="0" w:line="500" w:lineRule="exact"/>
        <w:ind w:left="0" w:leftChars="0" w:firstLine="550" w:firstLineChars="200"/>
        <w:textAlignment w:val="auto"/>
        <w:rPr>
          <w:rFonts w:hint="eastAsia" w:ascii="仿宋" w:hAnsi="仿宋" w:eastAsia="仿宋" w:cs="仿宋"/>
          <w:color w:val="000000"/>
          <w:spacing w:val="-4"/>
          <w:sz w:val="28"/>
          <w:szCs w:val="28"/>
          <w:highlight w:val="none"/>
        </w:rPr>
      </w:pPr>
      <w:r>
        <w:rPr>
          <w:rFonts w:hint="eastAsia" w:ascii="仿宋" w:hAnsi="仿宋" w:eastAsia="仿宋" w:cs="仿宋"/>
          <w:color w:val="000000"/>
          <w:spacing w:val="-4"/>
          <w:highlight w:val="none"/>
        </w:rPr>
        <w:t>本项目为</w:t>
      </w:r>
      <w:r>
        <w:rPr>
          <w:rFonts w:hint="eastAsia" w:ascii="仿宋" w:hAnsi="仿宋" w:eastAsia="仿宋" w:cs="仿宋"/>
          <w:color w:val="000000"/>
          <w:spacing w:val="-4"/>
          <w:highlight w:val="none"/>
          <w:lang w:eastAsia="zh-CN"/>
        </w:rPr>
        <w:t>陕西省特殊教育学校2025年物业服务项目</w:t>
      </w:r>
      <w:r>
        <w:rPr>
          <w:rFonts w:hint="eastAsia" w:ascii="仿宋" w:hAnsi="仿宋" w:eastAsia="仿宋" w:cs="仿宋"/>
          <w:color w:val="000000"/>
          <w:spacing w:val="-4"/>
          <w:highlight w:val="none"/>
          <w:lang w:val="en-US" w:eastAsia="zh-CN"/>
        </w:rPr>
        <w:t>，</w:t>
      </w:r>
      <w:r>
        <w:rPr>
          <w:rFonts w:hint="eastAsia" w:ascii="仿宋" w:hAnsi="仿宋" w:eastAsia="仿宋" w:cs="仿宋"/>
          <w:szCs w:val="28"/>
          <w:u w:val="none"/>
          <w:lang w:val="en-US" w:eastAsia="zh-CN"/>
        </w:rPr>
        <w:t>主要包括全校安保点位专业安保服务24小时全覆盖，消防等物防设施水平得到进一步提升；校园全年安全无重大事故，师生校园安全满意率90%以上；校园综合楼、教学楼等区域实现三级以上保洁服务全覆盖，校园绿化和美化进一步提升，师生全年不发生重大疫情</w:t>
      </w:r>
      <w:r>
        <w:rPr>
          <w:rFonts w:hint="eastAsia" w:ascii="仿宋" w:hAnsi="仿宋" w:eastAsia="仿宋" w:cs="仿宋"/>
          <w:color w:val="000000"/>
          <w:spacing w:val="-4"/>
          <w:sz w:val="28"/>
          <w:szCs w:val="28"/>
          <w:highlight w:val="none"/>
        </w:rPr>
        <w:t>。</w:t>
      </w:r>
    </w:p>
    <w:p w14:paraId="3D3AD31A">
      <w:pPr>
        <w:pageBreakBefore w:val="0"/>
        <w:widowControl/>
        <w:kinsoku/>
        <w:wordWrap/>
        <w:overflowPunct/>
        <w:topLinePunct w:val="0"/>
        <w:autoSpaceDE/>
        <w:autoSpaceDN/>
        <w:bidi w:val="0"/>
        <w:adjustRightInd/>
        <w:snapToGrid/>
        <w:spacing w:afterLines="0" w:line="500" w:lineRule="exact"/>
        <w:ind w:left="0" w:leftChars="0" w:firstLine="550" w:firstLineChars="200"/>
        <w:textAlignment w:val="auto"/>
        <w:rPr>
          <w:rFonts w:hint="eastAsia" w:ascii="仿宋" w:hAnsi="仿宋" w:eastAsia="仿宋" w:cs="仿宋"/>
          <w:color w:val="000000"/>
          <w:spacing w:val="-4"/>
          <w:sz w:val="28"/>
          <w:szCs w:val="28"/>
          <w:highlight w:val="none"/>
          <w:lang w:val="en-US" w:eastAsia="zh-CN"/>
        </w:rPr>
      </w:pPr>
      <w:r>
        <w:rPr>
          <w:rFonts w:hint="eastAsia" w:ascii="仿宋" w:hAnsi="仿宋" w:eastAsia="仿宋" w:cs="仿宋"/>
          <w:spacing w:val="-4"/>
          <w:highlight w:val="none"/>
          <w:lang w:val="en-US" w:eastAsia="zh-CN"/>
        </w:rPr>
        <w:t>主要服务范围</w:t>
      </w:r>
      <w:r>
        <w:rPr>
          <w:rFonts w:hint="eastAsia" w:ascii="仿宋" w:hAnsi="仿宋" w:eastAsia="仿宋" w:cs="仿宋"/>
          <w:u w:val="none"/>
          <w:lang w:val="en-US" w:eastAsia="zh-CN"/>
        </w:rPr>
        <w:t>：</w:t>
      </w:r>
      <w:r>
        <w:rPr>
          <w:rFonts w:hint="eastAsia" w:ascii="仿宋" w:hAnsi="仿宋" w:eastAsia="仿宋" w:cs="仿宋"/>
          <w:kern w:val="2"/>
          <w:sz w:val="28"/>
          <w:szCs w:val="28"/>
          <w:u w:val="none"/>
          <w:lang w:val="en-US" w:eastAsia="zh-CN" w:bidi="ar-SA"/>
        </w:rPr>
        <w:t>康复实训大楼</w:t>
      </w:r>
      <w:r>
        <w:rPr>
          <w:rFonts w:hint="eastAsia" w:ascii="仿宋" w:hAnsi="仿宋" w:eastAsia="仿宋" w:cs="仿宋"/>
          <w:b w:val="0"/>
          <w:bCs w:val="0"/>
          <w:kern w:val="2"/>
          <w:sz w:val="28"/>
          <w:szCs w:val="28"/>
          <w:u w:val="none"/>
          <w:lang w:val="en-US" w:eastAsia="zh-CN" w:bidi="ar-SA"/>
        </w:rPr>
        <w:t>、</w:t>
      </w:r>
      <w:r>
        <w:rPr>
          <w:rFonts w:hint="eastAsia" w:ascii="仿宋" w:hAnsi="仿宋" w:eastAsia="仿宋" w:cs="仿宋"/>
          <w:kern w:val="2"/>
          <w:sz w:val="28"/>
          <w:szCs w:val="28"/>
          <w:u w:val="none"/>
          <w:lang w:val="en-US" w:eastAsia="zh-CN" w:bidi="ar-SA"/>
        </w:rPr>
        <w:t>教学楼、行政楼、学生公寓楼</w:t>
      </w:r>
      <w:r>
        <w:rPr>
          <w:rFonts w:hint="eastAsia" w:ascii="仿宋" w:hAnsi="仿宋" w:eastAsia="仿宋" w:cs="仿宋"/>
          <w:b w:val="0"/>
          <w:bCs/>
          <w:color w:val="auto"/>
          <w:kern w:val="2"/>
          <w:sz w:val="28"/>
          <w:szCs w:val="28"/>
          <w:lang w:val="en-US" w:eastAsia="zh-CN" w:bidi="ar-SA"/>
        </w:rPr>
        <w:t>。</w:t>
      </w:r>
    </w:p>
    <w:bookmarkEnd w:id="425"/>
    <w:bookmarkEnd w:id="426"/>
    <w:p w14:paraId="4E94CA39">
      <w:pPr>
        <w:pStyle w:val="4"/>
        <w:pageBreakBefore w:val="0"/>
        <w:widowControl w:val="0"/>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color w:val="000000"/>
          <w:sz w:val="28"/>
          <w:szCs w:val="28"/>
          <w:highlight w:val="none"/>
          <w:lang w:val="en-US" w:eastAsia="zh-CN"/>
        </w:rPr>
      </w:pPr>
      <w:bookmarkStart w:id="428" w:name="_Toc9737"/>
      <w:bookmarkStart w:id="429" w:name="_Toc27530"/>
      <w:bookmarkStart w:id="430" w:name="_Toc9069"/>
      <w:bookmarkStart w:id="431" w:name="_Toc16541"/>
      <w:bookmarkStart w:id="432" w:name="_Toc15519"/>
      <w:bookmarkStart w:id="433" w:name="_Toc14437"/>
      <w:bookmarkStart w:id="434" w:name="_Toc20880"/>
      <w:bookmarkStart w:id="435" w:name="_Toc15480"/>
      <w:bookmarkStart w:id="436" w:name="_Toc22019"/>
      <w:r>
        <w:rPr>
          <w:rFonts w:hint="eastAsia" w:ascii="仿宋" w:hAnsi="仿宋" w:eastAsia="仿宋" w:cs="仿宋"/>
          <w:color w:val="000000"/>
          <w:sz w:val="28"/>
          <w:szCs w:val="28"/>
          <w:highlight w:val="none"/>
        </w:rPr>
        <w:t>二、</w:t>
      </w:r>
      <w:bookmarkEnd w:id="428"/>
      <w:bookmarkEnd w:id="429"/>
      <w:bookmarkEnd w:id="430"/>
      <w:bookmarkEnd w:id="431"/>
      <w:bookmarkStart w:id="437" w:name="_Toc19554"/>
      <w:r>
        <w:rPr>
          <w:rFonts w:hint="eastAsia" w:ascii="仿宋" w:hAnsi="仿宋" w:eastAsia="仿宋" w:cs="仿宋"/>
          <w:color w:val="000000"/>
          <w:sz w:val="28"/>
          <w:szCs w:val="28"/>
          <w:highlight w:val="none"/>
          <w:lang w:val="en-US" w:eastAsia="zh-CN"/>
        </w:rPr>
        <w:t>服务内容</w:t>
      </w:r>
      <w:bookmarkEnd w:id="437"/>
    </w:p>
    <w:p w14:paraId="03F5A875">
      <w:pPr>
        <w:pStyle w:val="5"/>
        <w:pageBreakBefore w:val="0"/>
        <w:kinsoku/>
        <w:wordWrap/>
        <w:overflowPunct/>
        <w:topLinePunct w:val="0"/>
        <w:autoSpaceDE/>
        <w:autoSpaceDN/>
        <w:bidi w:val="0"/>
        <w:adjustRightInd/>
        <w:snapToGrid w:val="0"/>
        <w:spacing w:afterLines="0" w:line="500" w:lineRule="exact"/>
        <w:ind w:firstLine="566" w:firstLineChars="200"/>
        <w:jc w:val="left"/>
        <w:textAlignment w:val="auto"/>
        <w:rPr>
          <w:rFonts w:hint="eastAsia" w:ascii="仿宋" w:hAnsi="仿宋" w:eastAsia="仿宋" w:cs="仿宋"/>
          <w:sz w:val="28"/>
          <w:szCs w:val="28"/>
          <w:u w:val="none"/>
        </w:rPr>
      </w:pPr>
      <w:r>
        <w:rPr>
          <w:rFonts w:hint="eastAsia" w:ascii="仿宋" w:hAnsi="仿宋" w:eastAsia="仿宋" w:cs="仿宋"/>
          <w:b/>
          <w:bCs/>
          <w:color w:val="000000"/>
          <w:kern w:val="2"/>
          <w:sz w:val="28"/>
          <w:szCs w:val="28"/>
          <w:highlight w:val="none"/>
          <w:u w:val="none"/>
          <w:lang w:val="en-US" w:eastAsia="zh-CN"/>
        </w:rPr>
        <w:t>▲</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一</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保洁服务</w:t>
      </w:r>
    </w:p>
    <w:p w14:paraId="50C0769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1、楼内公共区域保洁</w:t>
      </w:r>
    </w:p>
    <w:p w14:paraId="2AA06A8C">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（1）地面：大堂、门厅（石材）：每日全面巡回拖擦不少于2次，并随时保洁。</w:t>
      </w:r>
    </w:p>
    <w:p w14:paraId="46BCF9AA">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（2）其他公共区域（楼道、电梯厅、楼梯）：每日清扫拖擦不少于2次，目视无垃圾、无污迹、无水渍。</w:t>
      </w:r>
    </w:p>
    <w:p w14:paraId="4486B3E7">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（3）地下车库：每日清扫1次，每周高压水枪冲洗不少于1次，目视地面无浮尘、无油渍。</w:t>
      </w:r>
    </w:p>
    <w:p w14:paraId="25E4BBF8">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（4）墙面与高空设施：</w:t>
      </w:r>
    </w:p>
    <w:p w14:paraId="08F3CC35">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1）涂料及高位墙面（2米以上）：每月使用静电除尘掸或吸尘器进行全面清扫1次，确保无蛛网、无浮尘、无痕迹。</w:t>
      </w:r>
    </w:p>
    <w:p w14:paraId="79228DE8">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2）低位墙面（2米以下可接触区域）：每周用中性清洁剂溶液抹擦1次，手摸无尘、无污渍。</w:t>
      </w:r>
    </w:p>
    <w:p w14:paraId="7F597C90">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3）天花板、照明灯具、风口：每月使用专用工具除尘1次，目视无灰尘、无蛛网，灯具透光性良好。</w:t>
      </w:r>
    </w:p>
    <w:p w14:paraId="5FD12121">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（5）高频接触表面：楼梯扶手、电梯内外按钮、照明开关： 每日用消毒清洁剂擦抹1次，保持光洁，无手印、无污渍。</w:t>
      </w:r>
    </w:p>
    <w:p w14:paraId="684947EE">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（6）门把手、水龙头：每日擦抹消毒不少于2次。</w:t>
      </w:r>
    </w:p>
    <w:p w14:paraId="2E12391A">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（7）公共设施：栏杆、窗台、消防栓、标识牌、信报箱等，每周用半干抹布精细抹擦2次，确保边角无积尘、表面明亮。</w:t>
      </w:r>
    </w:p>
    <w:p w14:paraId="74BEB29A">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（8）门窗玻璃：门及门厅玻璃（包括内部隔断），每半月使用专业玻璃清洁工具彻底擦拭1次，保持晶莹透亮，无水迹、手印。</w:t>
      </w:r>
    </w:p>
    <w:p w14:paraId="76C2B70B">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（9）天台、屋顶：每周巡检清理1次，每月彻底清扫1次，确保排水口畅通，无垃圾、无杂物、无青苔。</w:t>
      </w:r>
    </w:p>
    <w:p w14:paraId="03DB351B">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（10）电梯轿厢：每日清洁不少于2次，包括擦拭内壁、地面、通风口。每月对电梯门壁进行不少于2次的上光保养，不锈钢表面无手印、无划痕、光泽均匀。</w:t>
      </w:r>
    </w:p>
    <w:p w14:paraId="039F768E">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2、楼外共用区域保洁</w:t>
      </w:r>
    </w:p>
    <w:p w14:paraId="5AB47AB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（1）硬化道路/广场：每日清晨全面普扫1次，白天进行不间断巡回保洁，果皮、纸屑、烟蒂等杂物滞留时间不超过1小时。</w:t>
      </w:r>
    </w:p>
    <w:p w14:paraId="4635235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（2）绿地：每周清理2次，视线范围内无纸团、塑料袋、石块等大于拇指的杂物。</w:t>
      </w:r>
    </w:p>
    <w:p w14:paraId="24DE3775">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（3）积水与积雪：雨雪天气后，主干道积水需在2小时内清扫完毕，积雪需在4小时内清扫出通行通道，并在48小时内清理完毕。</w:t>
      </w:r>
    </w:p>
    <w:p w14:paraId="60BB5C2C">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3、公共卫生间保洁</w:t>
      </w:r>
    </w:p>
    <w:p w14:paraId="0CD145E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（1）清洁频率：每日全面清洁不少于4次，并在使用高峰期间（如课间）进行不间断巡回保洁。</w:t>
      </w:r>
    </w:p>
    <w:p w14:paraId="2C16E33F">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（2）卫生质量要求：</w:t>
      </w:r>
    </w:p>
    <w:p w14:paraId="06CFC34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1）无异味，使用高效除臭技术，确保任何时候进入均无明显臭味。</w:t>
      </w:r>
    </w:p>
    <w:p w14:paraId="68DBD2FF">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2）洁具光洁，坐便器、蹲便器、小便池每次清洁后必须光洁如新，无任何污垢、黄渍和水垢。</w:t>
      </w:r>
    </w:p>
    <w:p w14:paraId="19E3AA26">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3）台面、地面干爽，台面无水渍，地面无积水、无脚印、无纸屑。</w:t>
      </w:r>
    </w:p>
    <w:p w14:paraId="74635C11">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4）耗品充足，洗手液、卫生纸、擦手纸应随时检查补充，缺量不超过总量的1/4。</w:t>
      </w:r>
    </w:p>
    <w:p w14:paraId="5B491EA7">
      <w:pPr>
        <w:keepNext w:val="0"/>
        <w:keepLines w:val="0"/>
        <w:pageBreakBefore w:val="0"/>
        <w:widowControl w:val="0"/>
        <w:numPr>
          <w:ilvl w:val="-1"/>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4、客房保洁服务</w:t>
      </w:r>
    </w:p>
    <w:p w14:paraId="04E1194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根据酒店保洁，定期对客房进行更换布草、室内保洁等作业。 </w:t>
      </w:r>
    </w:p>
    <w:p w14:paraId="346934A1">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（1）客房卫生清洁</w:t>
      </w:r>
    </w:p>
    <w:p w14:paraId="1CAE2A4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1）眼看到的地方无污迹；</w:t>
      </w:r>
    </w:p>
    <w:p w14:paraId="4ADCAA8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2）手摸到的地方无灰尘；</w:t>
      </w:r>
    </w:p>
    <w:p w14:paraId="60768AD7">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3）拖鞋摆放在床头柜下或浴室，日常用品按统一规定摆放；</w:t>
      </w:r>
    </w:p>
    <w:p w14:paraId="34B5242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4）房间布草按统一标准摆放、折叠；床单统一直角折角；</w:t>
      </w:r>
    </w:p>
    <w:p w14:paraId="1ECCC45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5）空气清新无异味；</w:t>
      </w:r>
    </w:p>
    <w:p w14:paraId="0594C2CB">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6）所有物品摆放位置统一。</w:t>
      </w:r>
    </w:p>
    <w:p w14:paraId="7DB7C0E3">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（2）客房达标入住基本要求</w:t>
      </w:r>
    </w:p>
    <w:p w14:paraId="0B085DC7">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1）清洁：布草类是否需要洗换，保持清洁；台椅是否干净，一尘不染；</w:t>
      </w:r>
    </w:p>
    <w:p w14:paraId="701091F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2）整齐：各种家具摆放是否有条理；台上物品或挂画是否整齐；</w:t>
      </w:r>
    </w:p>
    <w:p w14:paraId="2AEE436F">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3）方便：电视、机顶盒、电灯正常，空调控制板按钮开关正常；</w:t>
      </w:r>
    </w:p>
    <w:p w14:paraId="5AF3B46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highlight w:val="none"/>
          <w:lang w:val="en-US" w:eastAsia="zh-CN" w:bidi="ar-SA"/>
        </w:rPr>
        <w:t>4）安</w:t>
      </w:r>
      <w:r>
        <w:rPr>
          <w:rFonts w:hint="eastAsia" w:ascii="仿宋" w:hAnsi="仿宋" w:eastAsia="仿宋" w:cs="仿宋"/>
          <w:color w:val="000000"/>
          <w:kern w:val="2"/>
          <w:sz w:val="28"/>
          <w:szCs w:val="28"/>
          <w:lang w:val="en-US" w:eastAsia="zh-CN" w:bidi="ar-SA"/>
        </w:rPr>
        <w:t>全：房门门锁妥否、电器正常、窗门紧锁、冷、热水是否正常，地毯有否吸尘。</w:t>
      </w:r>
    </w:p>
    <w:p w14:paraId="7CC3D6F8">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5、垃圾收集与处理</w:t>
      </w:r>
    </w:p>
    <w:p w14:paraId="5B46FC97">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（1）分类管理：严格执行“四分法”，设置分类收集容器，并有专人负责引导、监督，分类准确率不低于95%。</w:t>
      </w:r>
    </w:p>
    <w:p w14:paraId="4D004AED">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（2）收集清运：生活垃圾每日清运2次（上、下午各1次），垃圾桶无满溢、无散落。</w:t>
      </w:r>
    </w:p>
    <w:p w14:paraId="64A4EE1A">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（3）容器维护：垃圾桶、果皮箱每日清运后内外冲洗1次，箱体外观洁净，周围无污渍，桶内无异味散发。</w:t>
      </w:r>
    </w:p>
    <w:p w14:paraId="59AA4FD4">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（4）中转站管理：垃圾中转站每日作业完毕后彻底冲洗、消毒1次，每周喷洒高效低毒杀虫剂不少于2次，有效控制虫害孳生。</w:t>
      </w:r>
    </w:p>
    <w:p w14:paraId="6210402F">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6、定期灭虫除害与空气环境管理</w:t>
      </w:r>
    </w:p>
    <w:p w14:paraId="3BA01BF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（1）虫害控制：对窖井、明沟、绿化带等，每月喷洒药水不少于2次。</w:t>
      </w:r>
    </w:p>
    <w:p w14:paraId="2ECB1530">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（2）每季度进行全面灭鼠1次，重点区域（如食堂周边、垃圾站）设置防鼠设施并定期检查。</w:t>
      </w:r>
    </w:p>
    <w:p w14:paraId="4C8C5974">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（3）安全作业：每次喷洒农药、投放鼠饵前至少提前48小时向校方书面报告作业计划、范围及安全注意事项，并在作业区域设置明显警示标识。</w:t>
      </w:r>
    </w:p>
    <w:p w14:paraId="6FE4DDF8">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（4）空气质量：定期对地下室、报告厅等密闭空间进行空气质量监测与通风管理。</w:t>
      </w:r>
    </w:p>
    <w:p w14:paraId="303198C6">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7、监督与考核机制</w:t>
      </w:r>
    </w:p>
    <w:p w14:paraId="69A38767">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（1）作业可视化：供应商须在主要公共区域张贴“保洁服务工作卡”，明确本区域责任人、作业标准与频次，便于师生监督。</w:t>
      </w:r>
    </w:p>
    <w:p w14:paraId="0901F02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（2）过程记录：建立完整的保洁工作日志，对每日作业情况、巡检发现的问题及处理结果进行详细记录。</w:t>
      </w:r>
    </w:p>
    <w:p w14:paraId="0F01B6A1">
      <w:pPr>
        <w:widowControl w:val="0"/>
        <w:snapToGrid/>
        <w:spacing w:afterLines="0" w:line="500" w:lineRule="exact"/>
        <w:ind w:firstLine="566"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（3）量化考核：采购人将依据本标准，每月进行不定期抽查考核。</w:t>
      </w:r>
    </w:p>
    <w:p w14:paraId="385976B7">
      <w:pPr>
        <w:keepNext w:val="0"/>
        <w:keepLines w:val="0"/>
        <w:pageBreakBefore w:val="0"/>
        <w:widowControl w:val="0"/>
        <w:numPr>
          <w:ilvl w:val="-1"/>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bCs w:val="0"/>
          <w:color w:val="000000"/>
          <w:kern w:val="2"/>
          <w:sz w:val="28"/>
          <w:szCs w:val="28"/>
          <w:lang w:val="en-US" w:eastAsia="zh-CN" w:bidi="ar-SA"/>
        </w:rPr>
      </w:pPr>
      <w:r>
        <w:rPr>
          <w:rFonts w:hint="eastAsia" w:ascii="仿宋" w:hAnsi="仿宋" w:eastAsia="仿宋" w:cs="仿宋"/>
          <w:b/>
          <w:bCs/>
          <w:color w:val="000000"/>
          <w:kern w:val="2"/>
          <w:sz w:val="28"/>
          <w:szCs w:val="28"/>
          <w:highlight w:val="none"/>
          <w:u w:val="none"/>
          <w:lang w:val="en-US" w:eastAsia="zh-CN"/>
        </w:rPr>
        <w:t>▲</w:t>
      </w:r>
      <w:r>
        <w:rPr>
          <w:rFonts w:hint="eastAsia" w:ascii="仿宋" w:hAnsi="仿宋" w:eastAsia="仿宋" w:cs="仿宋"/>
          <w:b/>
          <w:bCs w:val="0"/>
          <w:spacing w:val="2"/>
          <w:kern w:val="0"/>
          <w:sz w:val="28"/>
          <w:szCs w:val="28"/>
          <w:lang w:val="en-US" w:eastAsia="zh-CN"/>
        </w:rPr>
        <w:t>（二）</w:t>
      </w:r>
      <w:r>
        <w:rPr>
          <w:rFonts w:hint="eastAsia" w:ascii="仿宋" w:hAnsi="仿宋" w:eastAsia="仿宋" w:cs="仿宋"/>
          <w:b/>
          <w:bCs w:val="0"/>
          <w:color w:val="000000"/>
          <w:kern w:val="2"/>
          <w:sz w:val="28"/>
          <w:szCs w:val="28"/>
          <w:lang w:val="en-US" w:eastAsia="zh-CN" w:bidi="ar-SA"/>
        </w:rPr>
        <w:t>校园绿化服务</w:t>
      </w:r>
    </w:p>
    <w:p w14:paraId="4C784002">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配备具备专业知识和经验的绿化养护技术人员，专人负责实施绿化养护管理工作。确保校园植物生长良好，形态美观，成活率达98%以上。</w:t>
      </w:r>
    </w:p>
    <w:p w14:paraId="37560AA7">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1、草坪养护</w:t>
      </w:r>
    </w:p>
    <w:p w14:paraId="2298A4C6">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1）修剪：每学期综合修剪不少于6遍，保持平整，高度不超过8厘米，边缘线条清晰。</w:t>
      </w:r>
    </w:p>
    <w:p w14:paraId="404A0FB3">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2）灌溉与排水：及时浇灌，无缺水性萎蔫；雨季确保排水通畅，无积水、无坑洼。</w:t>
      </w:r>
    </w:p>
    <w:p w14:paraId="02A924EF">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3）杂草控制：定期清除杂草，纯草坪杂草覆盖率不超过3%。</w:t>
      </w:r>
    </w:p>
    <w:p w14:paraId="08C27070">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4）长势：种植稠密，色泽均匀，无大面积枯死斑块（单块枯黄面积不超过0.5㎡）。</w:t>
      </w:r>
    </w:p>
    <w:p w14:paraId="51EE9966">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2、树木养护</w:t>
      </w:r>
    </w:p>
    <w:p w14:paraId="2BD74BC5">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1）修剪：乔木、灌木 每年夏季、冬季各全面修剪1次，保持树冠完整、通风透光，基本无枯枝、萌蘖枝。</w:t>
      </w:r>
    </w:p>
    <w:p w14:paraId="27F4A25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2）绿篱、球类及造型植物每学期修剪不少于4遍，线条整齐，轮廓清晰，基本无缺枝、无斑秃。</w:t>
      </w:r>
    </w:p>
    <w:p w14:paraId="1E0C154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3）地被、攀援植物每学期修剪、整理不少于3遍，基本无枯枝。</w:t>
      </w:r>
    </w:p>
    <w:p w14:paraId="1DD659D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4）树体安全：树木基本无倾斜，枝条不影响车辆、行人通行及师生安全。</w:t>
      </w:r>
    </w:p>
    <w:p w14:paraId="64533E87">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5）特殊区域：对靠近围栏、安防监控设备运行区域的树枝、萌蘖枝、叶，每学期专项清理不少于4次，确保设备视野开阔、运行环境稳定。</w:t>
      </w:r>
    </w:p>
    <w:p w14:paraId="31DF0592">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6）土壤与灌溉：保持土壤疏松通透，及时浇灌，绿地无积水，土壤板结面积率不超过5%。</w:t>
      </w:r>
    </w:p>
    <w:p w14:paraId="0F1B412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3、施肥管理</w:t>
      </w:r>
    </w:p>
    <w:p w14:paraId="2051939C">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根据植物品种、生长状况及土壤条件，每年实施科学施肥不少于2遍，以满足植物正常生长需求。</w:t>
      </w:r>
    </w:p>
    <w:p w14:paraId="37A6E9B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4、病虫害防治</w:t>
      </w:r>
    </w:p>
    <w:p w14:paraId="4FB3A39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坚持“预防为主，综合防治”的原则。主要病虫害发生率控制在5%以下，及时发现并有效治理，不得因病虫害造成植物大面积落叶、枯萎或死亡。</w:t>
      </w:r>
    </w:p>
    <w:p w14:paraId="6426ECE5">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5、补栽补种</w:t>
      </w:r>
    </w:p>
    <w:p w14:paraId="68A5A4FA">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对枯死的花草树木，必须在发现后1周内清除完毕。根据季节特点，适时对斑秃和缺株进行补栽补种，保持绿地植被的完整性和景观效果。</w:t>
      </w:r>
    </w:p>
    <w:p w14:paraId="10CA1F31">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6、监督与考核机制</w:t>
      </w:r>
    </w:p>
    <w:p w14:paraId="5EBB0DD5">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供应商须在服务开始前提交详尽的《年度绿化养护计划》，包括修剪、施肥、病虫害防治等工作的月度安排，经采购人确认后执行。建立完整的绿化养护档案，对每次养护作业（修剪、施肥、打药、补种等）的时间、内容、责任人进行记录，以备核查。</w:t>
      </w:r>
    </w:p>
    <w:p w14:paraId="28D6BFCA">
      <w:pPr>
        <w:keepNext w:val="0"/>
        <w:keepLines w:val="0"/>
        <w:pageBreakBefore w:val="0"/>
        <w:widowControl w:val="0"/>
        <w:numPr>
          <w:ilvl w:val="-1"/>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bCs w:val="0"/>
          <w:color w:val="000000"/>
          <w:kern w:val="2"/>
          <w:sz w:val="28"/>
          <w:szCs w:val="28"/>
          <w:lang w:val="en-US" w:eastAsia="zh-CN" w:bidi="ar-SA"/>
        </w:rPr>
      </w:pPr>
      <w:r>
        <w:rPr>
          <w:rFonts w:hint="eastAsia" w:ascii="仿宋" w:hAnsi="仿宋" w:eastAsia="仿宋" w:cs="仿宋"/>
          <w:b/>
          <w:bCs/>
          <w:color w:val="000000"/>
          <w:kern w:val="2"/>
          <w:sz w:val="28"/>
          <w:szCs w:val="28"/>
          <w:highlight w:val="none"/>
          <w:u w:val="none"/>
          <w:lang w:val="en-US" w:eastAsia="zh-CN"/>
        </w:rPr>
        <w:t>▲</w:t>
      </w:r>
      <w:r>
        <w:rPr>
          <w:rFonts w:hint="eastAsia" w:ascii="仿宋" w:hAnsi="仿宋" w:eastAsia="仿宋" w:cs="仿宋"/>
          <w:b/>
          <w:bCs w:val="0"/>
          <w:spacing w:val="2"/>
          <w:kern w:val="0"/>
          <w:sz w:val="28"/>
          <w:szCs w:val="28"/>
          <w:lang w:val="en-US" w:eastAsia="zh-CN"/>
        </w:rPr>
        <w:t>（三）</w:t>
      </w:r>
      <w:r>
        <w:rPr>
          <w:rFonts w:hint="eastAsia" w:ascii="仿宋" w:hAnsi="仿宋" w:eastAsia="仿宋" w:cs="仿宋"/>
          <w:b/>
          <w:bCs w:val="0"/>
          <w:color w:val="000000"/>
          <w:kern w:val="2"/>
          <w:sz w:val="28"/>
          <w:szCs w:val="28"/>
          <w:lang w:val="en-US" w:eastAsia="zh-CN" w:bidi="ar-SA"/>
        </w:rPr>
        <w:t>安保消防服务</w:t>
      </w:r>
    </w:p>
    <w:p w14:paraId="17E1212A">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1、固定岗点服务</w:t>
      </w:r>
    </w:p>
    <w:p w14:paraId="1F750AE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（1）两院门卫：实行24小时值守制度，对进出人员、车辆进行严格管理。执行“询问、核实、登记、放行”的工作流程，严禁无关人员、车辆及危险物品进入校园。</w:t>
      </w:r>
    </w:p>
    <w:p w14:paraId="169F39C1">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（2）保持仪容严整，文明执勤，树立学校第一道窗口的良好形象。</w:t>
      </w:r>
    </w:p>
    <w:p w14:paraId="39307865">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（3）公寓岗哨（男/女生公寓）：实行24小时值守，女生公寓岗必须由女性安保人员值守，充分尊重和保护学生隐私。严格管理异性人员出入，对携带大件物品外出进行核实登记。</w:t>
      </w:r>
    </w:p>
    <w:p w14:paraId="6AF8FF6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2、流动巡逻安保服务</w:t>
      </w:r>
    </w:p>
    <w:p w14:paraId="0660CF8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（1）主干道、公共区域（白天）不少于6次，保持基础可见度，处理一般性事务。主干道、公共区域（夜间）</w:t>
      </w:r>
      <w:r>
        <w:rPr>
          <w:rFonts w:hint="eastAsia" w:ascii="仿宋" w:hAnsi="仿宋" w:eastAsia="仿宋" w:cs="仿宋"/>
          <w:color w:val="000000"/>
          <w:kern w:val="2"/>
          <w:sz w:val="28"/>
          <w:szCs w:val="28"/>
          <w:lang w:val="en-US" w:eastAsia="zh-CN" w:bidi="ar-SA"/>
        </w:rPr>
        <w:tab/>
      </w:r>
      <w:r>
        <w:rPr>
          <w:rFonts w:hint="eastAsia" w:ascii="仿宋" w:hAnsi="仿宋" w:eastAsia="仿宋" w:cs="仿宋"/>
          <w:color w:val="000000"/>
          <w:kern w:val="2"/>
          <w:sz w:val="28"/>
          <w:szCs w:val="28"/>
          <w:lang w:val="en-US" w:eastAsia="zh-CN" w:bidi="ar-SA"/>
        </w:rPr>
        <w:t>不少于6次，提高威慑力，确保夜间安全。教学区、办公区（非开放时间）不少于6次，重点检查门窗是否关闭，有无异常人员、水电安全隐患。学生宿舍区外围不少于6次，尤其在晚间至凌晨，防止外来人员侵入和内部骚乱。</w:t>
      </w:r>
    </w:p>
    <w:p w14:paraId="788178C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（2）重点要害部位须设置巡更点，强制签到，确保无一遗漏。</w:t>
      </w:r>
    </w:p>
    <w:p w14:paraId="53F5CEF0">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（3）节假日/特殊时期视情况增加50%-100%巡逻频次，启动加强巡逻方案，可能增加巡逻班次或采用车辆与步行结合的方式。</w:t>
      </w:r>
    </w:p>
    <w:p w14:paraId="71DFD40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3、消防中控室值班</w:t>
      </w:r>
    </w:p>
    <w:p w14:paraId="2EBB2C93">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值班人员必须持有有效的中级及以上消防设施操作员职业资格证书（或建（构）筑物消防员证），并报采购人备案。认真填写《中控室值班记录》，确保记录完整、准确、可追溯。值班人员应熟练操作消防报警系统、视频监控系统及相关安防设备，能够准确识别报警信号，会排除一般性故障。负责全校消防报警信号的实时监控、迅速排查与初步处理，火警确认时间不得超过1分钟，并严格按应急预案程序操作。</w:t>
      </w:r>
    </w:p>
    <w:p w14:paraId="158C74A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（2）负责监控录像设备的动态管理、调阅与存档。</w:t>
      </w:r>
    </w:p>
    <w:p w14:paraId="65322A53">
      <w:pPr>
        <w:widowControl w:val="0"/>
        <w:numPr>
          <w:ilvl w:val="0"/>
          <w:numId w:val="0"/>
        </w:numPr>
        <w:snapToGrid/>
        <w:spacing w:afterLines="0" w:line="500" w:lineRule="exact"/>
        <w:ind w:firstLine="566" w:firstLineChars="200"/>
        <w:jc w:val="both"/>
        <w:rPr>
          <w:rFonts w:hint="eastAsia" w:ascii="仿宋" w:hAnsi="仿宋" w:eastAsia="仿宋" w:cs="仿宋"/>
          <w:bCs/>
          <w:color w:val="000000"/>
          <w:kern w:val="0"/>
          <w:sz w:val="28"/>
          <w:szCs w:val="28"/>
        </w:rPr>
      </w:pPr>
      <w:r>
        <w:rPr>
          <w:rFonts w:hint="eastAsia" w:ascii="仿宋" w:hAnsi="仿宋" w:eastAsia="仿宋" w:cs="仿宋"/>
          <w:color w:val="000000"/>
          <w:kern w:val="2"/>
          <w:sz w:val="28"/>
          <w:szCs w:val="28"/>
          <w:lang w:val="en-US" w:eastAsia="zh-CN" w:bidi="ar-SA"/>
        </w:rPr>
        <w:t>（3）及时响应并处理公寓保卫科的指令与事宜。</w:t>
      </w:r>
    </w:p>
    <w:p w14:paraId="292A05ED">
      <w:pPr>
        <w:keepNext w:val="0"/>
        <w:keepLines w:val="0"/>
        <w:pageBreakBefore w:val="0"/>
        <w:widowControl w:val="0"/>
        <w:kinsoku/>
        <w:wordWrap/>
        <w:overflowPunct/>
        <w:topLinePunct w:val="0"/>
        <w:autoSpaceDE/>
        <w:autoSpaceDN/>
        <w:bidi w:val="0"/>
        <w:adjustRightInd/>
        <w:snapToGrid/>
        <w:spacing w:afterLines="0" w:line="500" w:lineRule="exact"/>
        <w:ind w:firstLine="574"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spacing w:val="2"/>
          <w:kern w:val="0"/>
          <w:sz w:val="28"/>
          <w:szCs w:val="28"/>
          <w:lang w:val="en-US" w:eastAsia="zh-CN"/>
        </w:rPr>
        <w:t>（四）</w:t>
      </w:r>
      <w:r>
        <w:rPr>
          <w:rFonts w:hint="eastAsia" w:ascii="仿宋" w:hAnsi="仿宋" w:eastAsia="仿宋" w:cs="仿宋"/>
          <w:b/>
          <w:bCs/>
          <w:color w:val="000000"/>
          <w:kern w:val="2"/>
          <w:sz w:val="28"/>
          <w:szCs w:val="28"/>
          <w:lang w:val="en-US" w:eastAsia="zh-CN" w:bidi="ar-SA"/>
        </w:rPr>
        <w:t>日常维修服务</w:t>
      </w:r>
    </w:p>
    <w:p w14:paraId="3B6EE5BE">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1、每日巡查，每月定期检查，寒暑假专项排查，做好记录。确保校园用水、用电安全正常，确保日常维修落到实处。</w:t>
      </w:r>
    </w:p>
    <w:p w14:paraId="78A1004D">
      <w:pPr>
        <w:keepNext w:val="0"/>
        <w:keepLines w:val="0"/>
        <w:pageBreakBefore w:val="0"/>
        <w:widowControl/>
        <w:numPr>
          <w:ilvl w:val="-1"/>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br w:type="page"/>
      </w:r>
    </w:p>
    <w:p w14:paraId="2ADA5E18">
      <w:pPr>
        <w:widowControl w:val="0"/>
        <w:numPr>
          <w:ilvl w:val="0"/>
          <w:numId w:val="0"/>
        </w:numPr>
        <w:snapToGrid/>
        <w:spacing w:line="500" w:lineRule="exact"/>
        <w:ind w:leftChars="0" w:firstLine="566" w:firstLineChars="200"/>
        <w:rPr>
          <w:rFonts w:hint="eastAsia" w:ascii="仿宋" w:hAnsi="仿宋" w:eastAsia="仿宋" w:cs="仿宋"/>
          <w:b/>
          <w:spacing w:val="2"/>
          <w:kern w:val="0"/>
          <w:sz w:val="28"/>
          <w:szCs w:val="28"/>
        </w:rPr>
      </w:pPr>
      <w:r>
        <w:rPr>
          <w:rFonts w:hint="eastAsia" w:ascii="仿宋" w:hAnsi="仿宋" w:eastAsia="仿宋" w:cs="仿宋"/>
          <w:color w:val="000000"/>
          <w:kern w:val="2"/>
          <w:sz w:val="28"/>
          <w:szCs w:val="28"/>
          <w:lang w:val="en-US" w:eastAsia="zh-CN" w:bidi="ar-SA"/>
        </w:rPr>
        <w:t>2、服务时长与频率</w:t>
      </w:r>
    </w:p>
    <w:tbl>
      <w:tblPr>
        <w:tblStyle w:val="26"/>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453"/>
        <w:gridCol w:w="867"/>
        <w:gridCol w:w="1373"/>
        <w:gridCol w:w="1290"/>
        <w:gridCol w:w="1393"/>
        <w:gridCol w:w="1392"/>
        <w:gridCol w:w="1738"/>
      </w:tblGrid>
      <w:tr w14:paraId="1BC6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E83DE1">
            <w:pPr>
              <w:keepNext w:val="0"/>
              <w:keepLines w:val="0"/>
              <w:widowControl/>
              <w:suppressLineNumbers w:val="0"/>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表1：物业服务时长与频率</w:t>
            </w:r>
          </w:p>
        </w:tc>
      </w:tr>
      <w:tr w14:paraId="0D61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AB9B">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服务类别</w:t>
            </w: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6DA1">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位置</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D01E5">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位置/范围</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80299">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面积（㎡）</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EC0A0">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服务时长</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664C6">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服务频率（教学期）</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32E1E">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服务频率（寒暑假）</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B9085">
            <w:pPr>
              <w:keepNext w:val="0"/>
              <w:keepLines w:val="0"/>
              <w:widowControl/>
              <w:suppressLineNumbers w:val="0"/>
              <w:spacing w:line="400" w:lineRule="exact"/>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备注与核心服务要求</w:t>
            </w:r>
          </w:p>
        </w:tc>
      </w:tr>
      <w:tr w14:paraId="3A50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1FA813">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校园保洁</w:t>
            </w:r>
          </w:p>
        </w:tc>
        <w:tc>
          <w:tcPr>
            <w:tcW w:w="4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94912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康复实训大楼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19162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一至四楼大厅楼道、卫生间、电梯等公共区域</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2F2B4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11,940.75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A4D26">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83B34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每日2次全面清洁，并随时保洁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1D5348">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每周2次全面清洁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30BE7C">
            <w:pPr>
              <w:keepNext w:val="0"/>
              <w:keepLines w:val="0"/>
              <w:widowControl/>
              <w:suppressLineNumbers w:val="0"/>
              <w:spacing w:line="400" w:lineRule="exact"/>
              <w:jc w:val="left"/>
              <w:textAlignment w:val="center"/>
              <w:rPr>
                <w:rFonts w:hint="eastAsia" w:ascii="仿宋" w:hAnsi="仿宋" w:eastAsia="仿宋" w:cs="仿宋"/>
                <w:i w:val="0"/>
                <w:iCs w:val="0"/>
                <w:color w:val="0F1115"/>
                <w:kern w:val="0"/>
                <w:sz w:val="24"/>
                <w:szCs w:val="24"/>
                <w:u w:val="none"/>
                <w:lang w:val="en-US" w:eastAsia="zh-CN" w:bidi="ar"/>
              </w:rPr>
            </w:pPr>
            <w:r>
              <w:rPr>
                <w:rFonts w:hint="eastAsia" w:ascii="仿宋" w:hAnsi="仿宋" w:eastAsia="仿宋" w:cs="仿宋"/>
                <w:i w:val="0"/>
                <w:iCs w:val="0"/>
                <w:color w:val="0F1115"/>
                <w:kern w:val="0"/>
                <w:sz w:val="24"/>
                <w:szCs w:val="24"/>
                <w:u w:val="none"/>
                <w:lang w:val="en-US" w:eastAsia="zh-CN" w:bidi="ar"/>
              </w:rPr>
              <w:t>大堂石材地面每月保养2次；</w:t>
            </w:r>
          </w:p>
          <w:p w14:paraId="606325B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电梯轿厢每月上光2次。</w:t>
            </w:r>
          </w:p>
        </w:tc>
      </w:tr>
      <w:tr w14:paraId="50F0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38D07">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1BC5F">
            <w:pPr>
              <w:spacing w:line="400" w:lineRule="exact"/>
              <w:jc w:val="center"/>
              <w:rPr>
                <w:rFonts w:hint="eastAsia" w:ascii="仿宋" w:hAnsi="仿宋" w:eastAsia="仿宋" w:cs="仿宋"/>
                <w:i w:val="0"/>
                <w:iCs w:val="0"/>
                <w:color w:val="0F1115"/>
                <w:sz w:val="24"/>
                <w:szCs w:val="24"/>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37970">
            <w:pPr>
              <w:spacing w:line="400" w:lineRule="exact"/>
              <w:rPr>
                <w:rFonts w:hint="eastAsia" w:ascii="仿宋" w:hAnsi="仿宋" w:eastAsia="仿宋" w:cs="仿宋"/>
                <w:i w:val="0"/>
                <w:iCs w:val="0"/>
                <w:color w:val="0F1115"/>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61807">
            <w:pPr>
              <w:spacing w:line="400" w:lineRule="exact"/>
              <w:jc w:val="center"/>
              <w:rPr>
                <w:rFonts w:hint="eastAsia" w:ascii="仿宋" w:hAnsi="仿宋" w:eastAsia="仿宋" w:cs="仿宋"/>
                <w:i w:val="0"/>
                <w:iCs w:val="0"/>
                <w:color w:val="0F1115"/>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0D0F">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3个月假期</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689D6">
            <w:pPr>
              <w:spacing w:line="400" w:lineRule="exact"/>
              <w:rPr>
                <w:rFonts w:hint="eastAsia" w:ascii="仿宋" w:hAnsi="仿宋" w:eastAsia="仿宋" w:cs="仿宋"/>
                <w:i w:val="0"/>
                <w:iCs w:val="0"/>
                <w:color w:val="0F1115"/>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1569C">
            <w:pPr>
              <w:spacing w:line="400" w:lineRule="exact"/>
              <w:rPr>
                <w:rFonts w:hint="eastAsia" w:ascii="仿宋" w:hAnsi="仿宋" w:eastAsia="仿宋" w:cs="仿宋"/>
                <w:i w:val="0"/>
                <w:iCs w:val="0"/>
                <w:color w:val="0F1115"/>
                <w:sz w:val="24"/>
                <w:szCs w:val="24"/>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82CCC">
            <w:pPr>
              <w:spacing w:line="400" w:lineRule="exact"/>
              <w:rPr>
                <w:rFonts w:hint="eastAsia" w:ascii="仿宋" w:hAnsi="仿宋" w:eastAsia="仿宋" w:cs="仿宋"/>
                <w:i w:val="0"/>
                <w:iCs w:val="0"/>
                <w:color w:val="0F1115"/>
                <w:sz w:val="24"/>
                <w:szCs w:val="24"/>
                <w:u w:val="none"/>
              </w:rPr>
            </w:pPr>
          </w:p>
        </w:tc>
      </w:tr>
      <w:tr w14:paraId="38C4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5CCF60">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13972">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EBA5C">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地下车库</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BDAC8">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2,245.80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B224">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0B6CA">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每周2次清扫，其中1次为冲洗</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8889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每周1次清扫</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C9633">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确保无积尘、无油渍。</w:t>
            </w:r>
          </w:p>
        </w:tc>
      </w:tr>
      <w:tr w14:paraId="5DD7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B9A52">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DF4F1">
            <w:pPr>
              <w:spacing w:line="400" w:lineRule="exact"/>
              <w:jc w:val="center"/>
              <w:rPr>
                <w:rFonts w:hint="eastAsia" w:ascii="仿宋" w:hAnsi="仿宋" w:eastAsia="仿宋" w:cs="仿宋"/>
                <w:i w:val="0"/>
                <w:iCs w:val="0"/>
                <w:color w:val="0F1115"/>
                <w:sz w:val="24"/>
                <w:szCs w:val="24"/>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6310E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羽毛球馆、报告厅、校史馆</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3427D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1,401.15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D497">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35E4E3">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每日1次巡检，使用后即时彻底清洁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BE3DD5">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每周1次巡检保洁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01FC6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保持高标准活动环境。</w:t>
            </w:r>
          </w:p>
        </w:tc>
      </w:tr>
      <w:tr w14:paraId="51C9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187B2">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A438A">
            <w:pPr>
              <w:spacing w:line="400" w:lineRule="exact"/>
              <w:jc w:val="center"/>
              <w:rPr>
                <w:rFonts w:hint="eastAsia" w:ascii="仿宋" w:hAnsi="仿宋" w:eastAsia="仿宋" w:cs="仿宋"/>
                <w:i w:val="0"/>
                <w:iCs w:val="0"/>
                <w:color w:val="0F1115"/>
                <w:sz w:val="24"/>
                <w:szCs w:val="24"/>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3AB747">
            <w:pPr>
              <w:spacing w:line="400" w:lineRule="exact"/>
              <w:rPr>
                <w:rFonts w:hint="eastAsia" w:ascii="仿宋" w:hAnsi="仿宋" w:eastAsia="仿宋" w:cs="仿宋"/>
                <w:i w:val="0"/>
                <w:iCs w:val="0"/>
                <w:color w:val="0F1115"/>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B2D974">
            <w:pPr>
              <w:spacing w:line="400" w:lineRule="exact"/>
              <w:jc w:val="center"/>
              <w:rPr>
                <w:rFonts w:hint="eastAsia" w:ascii="仿宋" w:hAnsi="仿宋" w:eastAsia="仿宋" w:cs="仿宋"/>
                <w:i w:val="0"/>
                <w:iCs w:val="0"/>
                <w:color w:val="0F1115"/>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FF674">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3个月假期</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E74C2">
            <w:pPr>
              <w:spacing w:line="400" w:lineRule="exact"/>
              <w:rPr>
                <w:rFonts w:hint="eastAsia" w:ascii="仿宋" w:hAnsi="仿宋" w:eastAsia="仿宋" w:cs="仿宋"/>
                <w:i w:val="0"/>
                <w:iCs w:val="0"/>
                <w:color w:val="0F1115"/>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6BB48">
            <w:pPr>
              <w:spacing w:line="400" w:lineRule="exact"/>
              <w:rPr>
                <w:rFonts w:hint="eastAsia" w:ascii="仿宋" w:hAnsi="仿宋" w:eastAsia="仿宋" w:cs="仿宋"/>
                <w:i w:val="0"/>
                <w:iCs w:val="0"/>
                <w:color w:val="0F1115"/>
                <w:sz w:val="24"/>
                <w:szCs w:val="24"/>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3B253">
            <w:pPr>
              <w:spacing w:line="400" w:lineRule="exact"/>
              <w:rPr>
                <w:rFonts w:hint="eastAsia" w:ascii="仿宋" w:hAnsi="仿宋" w:eastAsia="仿宋" w:cs="仿宋"/>
                <w:i w:val="0"/>
                <w:iCs w:val="0"/>
                <w:color w:val="0F1115"/>
                <w:sz w:val="24"/>
                <w:szCs w:val="24"/>
                <w:u w:val="none"/>
              </w:rPr>
            </w:pPr>
          </w:p>
        </w:tc>
      </w:tr>
      <w:tr w14:paraId="000C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1F05C">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15DDC">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F368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7个实训室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98DE8">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245.2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C18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3D383">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每月1次全面深度保洁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AAAB">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AD65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保洁时需注意设备安全，无尘操作。</w:t>
            </w:r>
          </w:p>
        </w:tc>
      </w:tr>
      <w:tr w14:paraId="61E9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6D38A">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014BD">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CDF1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5个实训室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9F487">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337.8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C3E6">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EE4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每周1次全面清洁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EFE9">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5C23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保洁时需注意设备安全，无尘操作。</w:t>
            </w:r>
          </w:p>
        </w:tc>
      </w:tr>
      <w:tr w14:paraId="1CED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8139F">
            <w:pPr>
              <w:spacing w:line="400" w:lineRule="exact"/>
              <w:jc w:val="center"/>
              <w:rPr>
                <w:rFonts w:hint="eastAsia" w:ascii="仿宋" w:hAnsi="仿宋" w:eastAsia="仿宋" w:cs="仿宋"/>
                <w:i w:val="0"/>
                <w:iCs w:val="0"/>
                <w:color w:val="0F1115"/>
                <w:sz w:val="24"/>
                <w:szCs w:val="24"/>
                <w:u w:val="none"/>
              </w:rPr>
            </w:pPr>
          </w:p>
        </w:tc>
        <w:tc>
          <w:tcPr>
            <w:tcW w:w="4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E00AE4">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教学楼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8023D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楼道、大厅、卫生间等公共区域</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02445A">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2,615.99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A979">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023248">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每日2次全面清洁，并随时保洁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C73225">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每周2次全面清洁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E37D1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卫生间洁具无黄渍，室内无异味。</w:t>
            </w:r>
          </w:p>
        </w:tc>
      </w:tr>
      <w:tr w14:paraId="340E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D061F">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637BF">
            <w:pPr>
              <w:spacing w:line="400" w:lineRule="exact"/>
              <w:jc w:val="center"/>
              <w:rPr>
                <w:rFonts w:hint="eastAsia" w:ascii="仿宋" w:hAnsi="仿宋" w:eastAsia="仿宋" w:cs="仿宋"/>
                <w:i w:val="0"/>
                <w:iCs w:val="0"/>
                <w:color w:val="0F1115"/>
                <w:sz w:val="24"/>
                <w:szCs w:val="24"/>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FDA1D">
            <w:pPr>
              <w:spacing w:line="400" w:lineRule="exact"/>
              <w:rPr>
                <w:rFonts w:hint="eastAsia" w:ascii="仿宋" w:hAnsi="仿宋" w:eastAsia="仿宋" w:cs="仿宋"/>
                <w:i w:val="0"/>
                <w:iCs w:val="0"/>
                <w:color w:val="0F1115"/>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2900C9">
            <w:pPr>
              <w:spacing w:line="400" w:lineRule="exact"/>
              <w:jc w:val="center"/>
              <w:rPr>
                <w:rFonts w:hint="eastAsia" w:ascii="仿宋" w:hAnsi="仿宋" w:eastAsia="仿宋" w:cs="仿宋"/>
                <w:i w:val="0"/>
                <w:iCs w:val="0"/>
                <w:color w:val="0F1115"/>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564C">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3个月假期</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41248">
            <w:pPr>
              <w:spacing w:line="400" w:lineRule="exact"/>
              <w:rPr>
                <w:rFonts w:hint="eastAsia" w:ascii="仿宋" w:hAnsi="仿宋" w:eastAsia="仿宋" w:cs="仿宋"/>
                <w:i w:val="0"/>
                <w:iCs w:val="0"/>
                <w:color w:val="0F1115"/>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6F15E">
            <w:pPr>
              <w:spacing w:line="400" w:lineRule="exact"/>
              <w:rPr>
                <w:rFonts w:hint="eastAsia" w:ascii="仿宋" w:hAnsi="仿宋" w:eastAsia="仿宋" w:cs="仿宋"/>
                <w:i w:val="0"/>
                <w:iCs w:val="0"/>
                <w:color w:val="0F1115"/>
                <w:sz w:val="24"/>
                <w:szCs w:val="24"/>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A0105">
            <w:pPr>
              <w:spacing w:line="400" w:lineRule="exact"/>
              <w:rPr>
                <w:rFonts w:hint="eastAsia" w:ascii="仿宋" w:hAnsi="仿宋" w:eastAsia="仿宋" w:cs="仿宋"/>
                <w:i w:val="0"/>
                <w:iCs w:val="0"/>
                <w:color w:val="0F1115"/>
                <w:sz w:val="24"/>
                <w:szCs w:val="24"/>
                <w:u w:val="none"/>
              </w:rPr>
            </w:pPr>
          </w:p>
        </w:tc>
      </w:tr>
      <w:tr w14:paraId="7176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6D69C">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3389B">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0C84C">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A2386">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211.2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9F3C">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4FB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2"/>
                <w:rFonts w:ascii="仿宋" w:hAnsi="仿宋" w:eastAsia="仿宋" w:cs="仿宋"/>
                <w:sz w:val="24"/>
                <w:szCs w:val="24"/>
                <w:lang w:val="en-US" w:eastAsia="zh-CN" w:bidi="ar"/>
              </w:rPr>
              <w:t>每月</w:t>
            </w:r>
            <w:r>
              <w:rPr>
                <w:rStyle w:val="73"/>
                <w:rFonts w:hint="eastAsia" w:ascii="仿宋" w:hAnsi="仿宋" w:eastAsia="仿宋" w:cs="仿宋"/>
                <w:sz w:val="24"/>
                <w:szCs w:val="24"/>
                <w:lang w:val="en-US" w:eastAsia="zh-CN" w:bidi="ar"/>
              </w:rPr>
              <w:t>1</w:t>
            </w:r>
            <w:r>
              <w:rPr>
                <w:rStyle w:val="72"/>
                <w:rFonts w:ascii="仿宋" w:hAnsi="仿宋" w:eastAsia="仿宋" w:cs="仿宋"/>
                <w:sz w:val="24"/>
                <w:szCs w:val="24"/>
                <w:lang w:val="en-US" w:eastAsia="zh-CN" w:bidi="ar"/>
              </w:rPr>
              <w:t>次全面保洁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6980">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22F7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同康复实训大楼实训室标准。</w:t>
            </w:r>
          </w:p>
        </w:tc>
      </w:tr>
      <w:tr w14:paraId="58B9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F0C04">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CF50C">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369C">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11个实训室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C583">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809.2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D7A9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9EB0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每周1次全面清洁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7148">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58E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同康复实训大楼实训室标准。</w:t>
            </w:r>
          </w:p>
        </w:tc>
      </w:tr>
      <w:tr w14:paraId="22A9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97B85">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E2AA3">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40B7B">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7237">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105.6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809D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8A06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每半月1次全面清洁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9A3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EE0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同康复实训大楼实训室标准。</w:t>
            </w:r>
          </w:p>
        </w:tc>
      </w:tr>
      <w:tr w14:paraId="4A37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D4D2A">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0FE26">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636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13C1C">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257.2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09663">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F13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每周1次全面清洁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A3548">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CB31">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同康复实训大楼实训室标准。</w:t>
            </w:r>
          </w:p>
        </w:tc>
      </w:tr>
      <w:tr w14:paraId="684F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7D1DC">
            <w:pPr>
              <w:spacing w:line="400" w:lineRule="exact"/>
              <w:jc w:val="center"/>
              <w:rPr>
                <w:rFonts w:hint="eastAsia" w:ascii="仿宋" w:hAnsi="仿宋" w:eastAsia="仿宋" w:cs="仿宋"/>
                <w:i w:val="0"/>
                <w:iCs w:val="0"/>
                <w:color w:val="0F1115"/>
                <w:sz w:val="24"/>
                <w:szCs w:val="24"/>
                <w:u w:val="none"/>
              </w:rPr>
            </w:pPr>
          </w:p>
        </w:tc>
        <w:tc>
          <w:tcPr>
            <w:tcW w:w="4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61FEB6">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行政楼</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B0A9C">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楼梯、楼道、卫生间、大厅等公共区域</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8752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1,099.49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F586E">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24290">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每日2次全面清洁，并随时保洁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CAFC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F57F">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标准统一，保持常新状态。</w:t>
            </w:r>
          </w:p>
        </w:tc>
      </w:tr>
      <w:tr w14:paraId="4B95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D1B3B">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5EFFF">
            <w:pPr>
              <w:spacing w:line="400" w:lineRule="exact"/>
              <w:jc w:val="center"/>
              <w:rPr>
                <w:rFonts w:hint="eastAsia" w:ascii="仿宋" w:hAnsi="仿宋" w:eastAsia="仿宋" w:cs="仿宋"/>
                <w:i w:val="0"/>
                <w:iCs w:val="0"/>
                <w:color w:val="0F1115"/>
                <w:sz w:val="24"/>
                <w:szCs w:val="24"/>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7E4EE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会议室、报告厅、机房</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375460">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524.7</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AD7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0C460E">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每日1次巡检，使用后即时彻底清洁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562F8">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每周1次巡检保洁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BF5AA3">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会后立即清洁，机房无尘。</w:t>
            </w:r>
          </w:p>
        </w:tc>
      </w:tr>
      <w:tr w14:paraId="58FC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52581">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B9CA0">
            <w:pPr>
              <w:spacing w:line="400" w:lineRule="exact"/>
              <w:jc w:val="center"/>
              <w:rPr>
                <w:rFonts w:hint="eastAsia" w:ascii="仿宋" w:hAnsi="仿宋" w:eastAsia="仿宋" w:cs="仿宋"/>
                <w:i w:val="0"/>
                <w:iCs w:val="0"/>
                <w:color w:val="0F1115"/>
                <w:sz w:val="24"/>
                <w:szCs w:val="24"/>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3BD8B">
            <w:pPr>
              <w:spacing w:line="400" w:lineRule="exact"/>
              <w:rPr>
                <w:rFonts w:hint="eastAsia" w:ascii="仿宋" w:hAnsi="仿宋" w:eastAsia="仿宋" w:cs="仿宋"/>
                <w:i w:val="0"/>
                <w:iCs w:val="0"/>
                <w:color w:val="0F1115"/>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78123">
            <w:pPr>
              <w:spacing w:line="400" w:lineRule="exact"/>
              <w:jc w:val="center"/>
              <w:rPr>
                <w:rFonts w:hint="eastAsia" w:ascii="仿宋" w:hAnsi="仿宋" w:eastAsia="仿宋" w:cs="仿宋"/>
                <w:i w:val="0"/>
                <w:iCs w:val="0"/>
                <w:color w:val="0F1115"/>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BA2D">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3个月假期</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758A8">
            <w:pPr>
              <w:spacing w:line="400" w:lineRule="exact"/>
              <w:rPr>
                <w:rFonts w:hint="eastAsia" w:ascii="仿宋" w:hAnsi="仿宋" w:eastAsia="仿宋" w:cs="仿宋"/>
                <w:i w:val="0"/>
                <w:iCs w:val="0"/>
                <w:color w:val="0F1115"/>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A3C0F">
            <w:pPr>
              <w:spacing w:line="400" w:lineRule="exact"/>
              <w:rPr>
                <w:rFonts w:hint="eastAsia" w:ascii="仿宋" w:hAnsi="仿宋" w:eastAsia="仿宋" w:cs="仿宋"/>
                <w:i w:val="0"/>
                <w:iCs w:val="0"/>
                <w:color w:val="0F1115"/>
                <w:sz w:val="24"/>
                <w:szCs w:val="24"/>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74523">
            <w:pPr>
              <w:spacing w:line="400" w:lineRule="exact"/>
              <w:rPr>
                <w:rFonts w:hint="eastAsia" w:ascii="仿宋" w:hAnsi="仿宋" w:eastAsia="仿宋" w:cs="仿宋"/>
                <w:i w:val="0"/>
                <w:iCs w:val="0"/>
                <w:color w:val="0F1115"/>
                <w:sz w:val="24"/>
                <w:szCs w:val="24"/>
                <w:u w:val="none"/>
              </w:rPr>
            </w:pPr>
          </w:p>
        </w:tc>
      </w:tr>
      <w:tr w14:paraId="4255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BB012">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0A570">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7BF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西院地下车库</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C057">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931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DE7C">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80178">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每周2次清扫，其中1次为冲洗</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312C1">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每周1次清扫</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4E70">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同康复实训大楼地下车库标准。</w:t>
            </w:r>
          </w:p>
        </w:tc>
      </w:tr>
      <w:tr w14:paraId="347C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2447B">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A32A6">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E6FDB">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9B3DF">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195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1B33">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5B70">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每月1次全面深度保洁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A189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68096">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同康复实训大楼实训室标准。</w:t>
            </w:r>
          </w:p>
        </w:tc>
      </w:tr>
      <w:tr w14:paraId="0698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08B2BF">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C69BD">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63D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4个实训室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5FBD">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330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286BA">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FEBB0">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每周1次全面清洁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33BA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8884B">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同康复实训大楼实训室标准。</w:t>
            </w:r>
          </w:p>
        </w:tc>
      </w:tr>
      <w:tr w14:paraId="5131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855CA">
            <w:pPr>
              <w:spacing w:line="400" w:lineRule="exact"/>
              <w:jc w:val="center"/>
              <w:rPr>
                <w:rFonts w:hint="eastAsia" w:ascii="仿宋" w:hAnsi="仿宋" w:eastAsia="仿宋" w:cs="仿宋"/>
                <w:i w:val="0"/>
                <w:iCs w:val="0"/>
                <w:color w:val="0F1115"/>
                <w:sz w:val="24"/>
                <w:szCs w:val="24"/>
                <w:u w:val="none"/>
              </w:rPr>
            </w:pPr>
          </w:p>
        </w:tc>
        <w:tc>
          <w:tcPr>
            <w:tcW w:w="4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90F123">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学生公寓楼</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49E7D3">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楼道、卫生间、楼梯等公共区域</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05784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1,128.45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2255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82D11C">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每日2次全面清洁，并随时保洁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5EE9CB">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每周2次全面清洁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CD8FBD">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重点保障学生生活环境卫生。</w:t>
            </w:r>
          </w:p>
        </w:tc>
      </w:tr>
      <w:tr w14:paraId="4E95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6F965">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3325A">
            <w:pPr>
              <w:spacing w:line="400" w:lineRule="exact"/>
              <w:rPr>
                <w:rFonts w:hint="eastAsia" w:ascii="仿宋" w:hAnsi="仿宋" w:eastAsia="仿宋" w:cs="仿宋"/>
                <w:i w:val="0"/>
                <w:iCs w:val="0"/>
                <w:color w:val="0F1115"/>
                <w:sz w:val="24"/>
                <w:szCs w:val="24"/>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F7B71">
            <w:pPr>
              <w:spacing w:line="400" w:lineRule="exact"/>
              <w:rPr>
                <w:rFonts w:hint="eastAsia" w:ascii="仿宋" w:hAnsi="仿宋" w:eastAsia="仿宋" w:cs="仿宋"/>
                <w:i w:val="0"/>
                <w:iCs w:val="0"/>
                <w:color w:val="0F1115"/>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E40F7">
            <w:pPr>
              <w:spacing w:line="400" w:lineRule="exact"/>
              <w:jc w:val="center"/>
              <w:rPr>
                <w:rFonts w:hint="eastAsia" w:ascii="仿宋" w:hAnsi="仿宋" w:eastAsia="仿宋" w:cs="仿宋"/>
                <w:i w:val="0"/>
                <w:iCs w:val="0"/>
                <w:color w:val="0F1115"/>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F8D63">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3个月假期</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07CA2">
            <w:pPr>
              <w:spacing w:line="400" w:lineRule="exact"/>
              <w:rPr>
                <w:rFonts w:hint="eastAsia" w:ascii="仿宋" w:hAnsi="仿宋" w:eastAsia="仿宋" w:cs="仿宋"/>
                <w:i w:val="0"/>
                <w:iCs w:val="0"/>
                <w:color w:val="0F1115"/>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AC215">
            <w:pPr>
              <w:spacing w:line="400" w:lineRule="exact"/>
              <w:rPr>
                <w:rFonts w:hint="eastAsia" w:ascii="仿宋" w:hAnsi="仿宋" w:eastAsia="仿宋" w:cs="仿宋"/>
                <w:i w:val="0"/>
                <w:iCs w:val="0"/>
                <w:color w:val="0F1115"/>
                <w:sz w:val="24"/>
                <w:szCs w:val="24"/>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2A5D5">
            <w:pPr>
              <w:spacing w:line="400" w:lineRule="exact"/>
              <w:rPr>
                <w:rFonts w:hint="eastAsia" w:ascii="仿宋" w:hAnsi="仿宋" w:eastAsia="仿宋" w:cs="仿宋"/>
                <w:i w:val="0"/>
                <w:iCs w:val="0"/>
                <w:color w:val="0F1115"/>
                <w:sz w:val="24"/>
                <w:szCs w:val="24"/>
                <w:u w:val="none"/>
              </w:rPr>
            </w:pPr>
          </w:p>
        </w:tc>
      </w:tr>
      <w:tr w14:paraId="72E5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334E4">
            <w:pPr>
              <w:spacing w:line="400" w:lineRule="exact"/>
              <w:jc w:val="center"/>
              <w:rPr>
                <w:rFonts w:hint="eastAsia" w:ascii="仿宋" w:hAnsi="仿宋" w:eastAsia="仿宋" w:cs="仿宋"/>
                <w:i w:val="0"/>
                <w:iCs w:val="0"/>
                <w:color w:val="0F1115"/>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EDB7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东院外围</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0051">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所有硬化道路及广场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80ECF">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8,521.40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C07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931D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每日1次普扫，并巡回保洁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261D">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每日1次普扫</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8E3E">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杂物滞留时间不超过1小时。</w:t>
            </w:r>
          </w:p>
        </w:tc>
      </w:tr>
      <w:tr w14:paraId="0048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154567">
            <w:pPr>
              <w:spacing w:line="400" w:lineRule="exact"/>
              <w:jc w:val="center"/>
              <w:rPr>
                <w:rFonts w:hint="eastAsia" w:ascii="仿宋" w:hAnsi="仿宋" w:eastAsia="仿宋" w:cs="仿宋"/>
                <w:i w:val="0"/>
                <w:iCs w:val="0"/>
                <w:color w:val="0F1115"/>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66EC">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西院外围</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284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所有硬化道路及广场</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8B46A">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3,955.30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02CDD">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2324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每日1次普扫，并巡回保洁</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9076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每日1次普扫</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CB73">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杂物滞留时间不超过1小时。</w:t>
            </w:r>
          </w:p>
        </w:tc>
      </w:tr>
      <w:tr w14:paraId="23C2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65398">
            <w:pPr>
              <w:spacing w:line="400" w:lineRule="exact"/>
              <w:jc w:val="center"/>
              <w:rPr>
                <w:rFonts w:hint="eastAsia" w:ascii="仿宋" w:hAnsi="仿宋" w:eastAsia="仿宋" w:cs="仿宋"/>
                <w:i w:val="0"/>
                <w:iCs w:val="0"/>
                <w:color w:val="0F1115"/>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E08C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学生浴室</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83F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浴室所有区域</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263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62C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FCADE">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每周一、三、五全面清洁消毒</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B53D5">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暂停服务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C600D">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洁具无污垢，地面无积水、毛发，室内无异味。</w:t>
            </w:r>
          </w:p>
        </w:tc>
      </w:tr>
      <w:tr w14:paraId="539D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1712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校园绿化</w:t>
            </w: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EC7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绿化养护</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882A">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东、西两院所有绿化区域</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DD69C">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2,200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F5E58">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3B66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按一级绿化养护标准频次执行（如草坪年修剪6+次，乔灌木年修剪2次等）</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734A">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按植物生长周期进行季节性养护</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84E7">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专人负责，病虫害发生率低于5%。</w:t>
            </w:r>
          </w:p>
        </w:tc>
      </w:tr>
      <w:tr w14:paraId="5D2F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3E89CF">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安保服务</w:t>
            </w:r>
          </w:p>
        </w:tc>
        <w:tc>
          <w:tcPr>
            <w:tcW w:w="4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9A20B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固定岗点</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3345">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东院大门、西院大门、消防中控室</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5C296">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3个</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983B">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9991">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3"/>
                <w:rFonts w:hint="eastAsia" w:ascii="仿宋" w:hAnsi="仿宋" w:eastAsia="仿宋" w:cs="仿宋"/>
                <w:sz w:val="24"/>
                <w:szCs w:val="24"/>
                <w:lang w:val="en-US" w:eastAsia="zh-CN" w:bidi="ar"/>
              </w:rPr>
              <w:t>24</w:t>
            </w:r>
            <w:r>
              <w:rPr>
                <w:rStyle w:val="72"/>
                <w:rFonts w:ascii="仿宋" w:hAnsi="仿宋" w:eastAsia="仿宋" w:cs="仿宋"/>
                <w:sz w:val="24"/>
                <w:szCs w:val="24"/>
                <w:lang w:val="en-US" w:eastAsia="zh-CN" w:bidi="ar"/>
              </w:rPr>
              <w:t>小时值守</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F6CA">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频率不变</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D3AB5">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持证上岗，严格执行出入管理。</w:t>
            </w:r>
          </w:p>
        </w:tc>
      </w:tr>
      <w:tr w14:paraId="5474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9CADC">
            <w:pPr>
              <w:spacing w:line="400" w:lineRule="exact"/>
              <w:jc w:val="center"/>
              <w:rPr>
                <w:rFonts w:hint="eastAsia" w:ascii="仿宋" w:hAnsi="仿宋" w:eastAsia="仿宋" w:cs="仿宋"/>
                <w:i w:val="0"/>
                <w:iCs w:val="0"/>
                <w:color w:val="0F1115"/>
                <w:sz w:val="24"/>
                <w:szCs w:val="24"/>
                <w:u w:val="none"/>
              </w:rPr>
            </w:pPr>
          </w:p>
        </w:tc>
        <w:tc>
          <w:tcPr>
            <w:tcW w:w="4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0689C">
            <w:pPr>
              <w:spacing w:line="400" w:lineRule="exact"/>
              <w:jc w:val="center"/>
              <w:rPr>
                <w:rFonts w:hint="eastAsia" w:ascii="仿宋" w:hAnsi="仿宋" w:eastAsia="仿宋" w:cs="仿宋"/>
                <w:i w:val="0"/>
                <w:iCs w:val="0"/>
                <w:color w:val="0F1115"/>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D97E9">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男生公寓、女生公寓</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13FE2">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2个</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1443C">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9个月教学期</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93EB">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3"/>
                <w:rFonts w:hint="eastAsia" w:ascii="仿宋" w:hAnsi="仿宋" w:eastAsia="仿宋" w:cs="仿宋"/>
                <w:sz w:val="24"/>
                <w:szCs w:val="24"/>
                <w:lang w:val="en-US" w:eastAsia="zh-CN" w:bidi="ar"/>
              </w:rPr>
              <w:t>24</w:t>
            </w:r>
            <w:r>
              <w:rPr>
                <w:rStyle w:val="72"/>
                <w:rFonts w:ascii="仿宋" w:hAnsi="仿宋" w:eastAsia="仿宋" w:cs="仿宋"/>
                <w:sz w:val="24"/>
                <w:szCs w:val="24"/>
                <w:lang w:val="en-US" w:eastAsia="zh-CN" w:bidi="ar"/>
              </w:rPr>
              <w:t>小时值守</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D6BB">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暂停服务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A890E">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女生公寓必须安排女性安保人员。</w:t>
            </w:r>
          </w:p>
        </w:tc>
      </w:tr>
      <w:tr w14:paraId="2BF5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1D22C">
            <w:pPr>
              <w:spacing w:line="400" w:lineRule="exact"/>
              <w:jc w:val="center"/>
              <w:rPr>
                <w:rFonts w:hint="eastAsia" w:ascii="仿宋" w:hAnsi="仿宋" w:eastAsia="仿宋" w:cs="仿宋"/>
                <w:i w:val="0"/>
                <w:iCs w:val="0"/>
                <w:color w:val="0F1115"/>
                <w:sz w:val="24"/>
                <w:szCs w:val="24"/>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A05A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动态巡逻</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4A94">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校园全域</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12061">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C6B07">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12个月</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E1862">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24小时不间断巡逻，白班不少于4次，夜班不少于6次</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7A2C5">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根据假期情况调整频次，但不低于每日4次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77C5F">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使用巡更系统，记录齐全。</w:t>
            </w:r>
          </w:p>
        </w:tc>
      </w:tr>
      <w:tr w14:paraId="5931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3C99">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客房保洁</w:t>
            </w:r>
          </w:p>
        </w:tc>
        <w:tc>
          <w:tcPr>
            <w:tcW w:w="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9BA41">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客房服务</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0762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标准间、套房、单间（共66间）</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90374">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66间</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7E695">
            <w:pPr>
              <w:keepNext w:val="0"/>
              <w:keepLines w:val="0"/>
              <w:widowControl/>
              <w:suppressLineNumbers w:val="0"/>
              <w:spacing w:line="400" w:lineRule="exact"/>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按培训计划开放</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1EFE">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每次退房后集中打扫，全年预计180间左右</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40D6">
            <w:pPr>
              <w:keepNext w:val="0"/>
              <w:keepLines w:val="0"/>
              <w:widowControl/>
              <w:suppressLineNumbers w:val="0"/>
              <w:spacing w:line="400" w:lineRule="exact"/>
              <w:jc w:val="left"/>
              <w:textAlignment w:val="center"/>
              <w:rPr>
                <w:rFonts w:hint="eastAsia" w:ascii="仿宋" w:hAnsi="仿宋" w:eastAsia="仿宋" w:cs="仿宋"/>
                <w:i w:val="0"/>
                <w:iCs w:val="0"/>
                <w:color w:val="0F1115"/>
                <w:sz w:val="24"/>
                <w:szCs w:val="24"/>
                <w:u w:val="none"/>
              </w:rPr>
            </w:pPr>
            <w:r>
              <w:rPr>
                <w:rStyle w:val="71"/>
                <w:rFonts w:hint="eastAsia" w:ascii="仿宋" w:hAnsi="仿宋" w:eastAsia="仿宋" w:cs="仿宋"/>
                <w:sz w:val="24"/>
                <w:szCs w:val="24"/>
                <w:lang w:val="en-US" w:eastAsia="zh-CN" w:bidi="ar"/>
              </w:rPr>
              <w:t>培训空档期每次退房后集中彻底打扫</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C21D">
            <w:pPr>
              <w:keepNext w:val="0"/>
              <w:keepLines w:val="0"/>
              <w:widowControl/>
              <w:suppressLineNumbers w:val="0"/>
              <w:spacing w:line="400" w:lineRule="exact"/>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严格执行客房卫生清洁标准，并同步完成设备安全检查。</w:t>
            </w:r>
          </w:p>
        </w:tc>
      </w:tr>
    </w:tbl>
    <w:p w14:paraId="34C06C3D">
      <w:pPr>
        <w:pStyle w:val="24"/>
        <w:spacing w:afterLines="0" w:line="500" w:lineRule="exact"/>
        <w:ind w:firstLine="574" w:firstLineChars="200"/>
        <w:rPr>
          <w:rFonts w:hint="eastAsia" w:ascii="仿宋" w:hAnsi="仿宋" w:eastAsia="仿宋" w:cs="仿宋"/>
          <w:b/>
          <w:spacing w:val="2"/>
          <w:kern w:val="0"/>
          <w:sz w:val="28"/>
          <w:szCs w:val="28"/>
        </w:rPr>
      </w:pPr>
      <w:r>
        <w:rPr>
          <w:rFonts w:hint="eastAsia" w:ascii="仿宋" w:hAnsi="仿宋" w:eastAsia="仿宋" w:cs="仿宋"/>
          <w:b/>
          <w:spacing w:val="2"/>
          <w:kern w:val="0"/>
          <w:sz w:val="28"/>
          <w:szCs w:val="28"/>
          <w:lang w:eastAsia="zh-CN"/>
        </w:rPr>
        <w:t>▲（</w:t>
      </w:r>
      <w:r>
        <w:rPr>
          <w:rFonts w:hint="eastAsia" w:ascii="仿宋" w:hAnsi="仿宋" w:eastAsia="仿宋" w:cs="仿宋"/>
          <w:b/>
          <w:spacing w:val="2"/>
          <w:kern w:val="0"/>
          <w:sz w:val="28"/>
          <w:szCs w:val="28"/>
          <w:lang w:val="en-US" w:eastAsia="zh-CN"/>
        </w:rPr>
        <w:t>五）</w:t>
      </w:r>
      <w:r>
        <w:rPr>
          <w:rFonts w:hint="eastAsia" w:ascii="仿宋" w:hAnsi="仿宋" w:eastAsia="仿宋" w:cs="仿宋"/>
          <w:b/>
          <w:spacing w:val="2"/>
          <w:kern w:val="0"/>
          <w:sz w:val="28"/>
          <w:szCs w:val="28"/>
        </w:rPr>
        <w:t>应急保障服务</w:t>
      </w:r>
    </w:p>
    <w:p w14:paraId="3BEFDE0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firstLine="566"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1、制定针对各类突发事件（如暴力入侵、火灾、自然灾害等）的应急预案，并配合主管部门每学期至少组织1次全员综合应急演练，确保快速、有效地响应和处理。</w:t>
      </w:r>
    </w:p>
    <w:p w14:paraId="518A857C">
      <w:pPr>
        <w:pStyle w:val="24"/>
        <w:snapToGrid w:val="0"/>
        <w:spacing w:afterLines="0" w:line="500" w:lineRule="exact"/>
        <w:ind w:firstLine="566" w:firstLineChars="200"/>
        <w:rPr>
          <w:rFonts w:hint="eastAsia"/>
          <w:sz w:val="28"/>
          <w:szCs w:val="28"/>
        </w:rPr>
      </w:pPr>
      <w:r>
        <w:rPr>
          <w:rFonts w:hint="eastAsia" w:ascii="仿宋" w:hAnsi="仿宋" w:eastAsia="仿宋" w:cs="仿宋"/>
          <w:color w:val="000000"/>
          <w:kern w:val="2"/>
          <w:sz w:val="28"/>
          <w:szCs w:val="28"/>
          <w:highlight w:val="none"/>
          <w:lang w:val="en-US" w:eastAsia="zh-CN" w:bidi="ar-SA"/>
        </w:rPr>
        <w:t>2、采购人将不定期进行消防报警响应测试、监控调阅测试等，以检验中控室值班人员的实操能力与响应速度。</w:t>
      </w:r>
    </w:p>
    <w:p w14:paraId="20BE0A4B">
      <w:pPr>
        <w:pStyle w:val="24"/>
        <w:snapToGrid w:val="0"/>
        <w:spacing w:afterLines="0" w:line="500" w:lineRule="exact"/>
        <w:ind w:firstLine="574" w:firstLineChars="200"/>
        <w:rPr>
          <w:rFonts w:hint="eastAsia" w:ascii="仿宋" w:hAnsi="仿宋" w:eastAsia="仿宋" w:cs="仿宋"/>
          <w:b/>
          <w:bCs w:val="0"/>
          <w:color w:val="auto"/>
          <w:spacing w:val="2"/>
          <w:kern w:val="0"/>
          <w:sz w:val="28"/>
          <w:szCs w:val="28"/>
          <w:lang w:val="en-US" w:eastAsia="zh-CN"/>
        </w:rPr>
      </w:pPr>
      <w:r>
        <w:rPr>
          <w:rFonts w:hint="eastAsia" w:ascii="仿宋" w:hAnsi="仿宋" w:eastAsia="仿宋" w:cs="仿宋"/>
          <w:b/>
          <w:spacing w:val="2"/>
          <w:kern w:val="0"/>
          <w:sz w:val="28"/>
          <w:szCs w:val="28"/>
          <w:lang w:eastAsia="zh-CN"/>
        </w:rPr>
        <w:t>▲</w:t>
      </w:r>
      <w:r>
        <w:rPr>
          <w:rFonts w:hint="eastAsia" w:ascii="仿宋" w:hAnsi="仿宋" w:eastAsia="仿宋" w:cs="仿宋"/>
          <w:b/>
          <w:bCs w:val="0"/>
          <w:color w:val="auto"/>
          <w:spacing w:val="2"/>
          <w:kern w:val="0"/>
          <w:sz w:val="28"/>
          <w:szCs w:val="28"/>
          <w:lang w:val="en-US" w:eastAsia="zh-CN"/>
        </w:rPr>
        <w:t>三、总体方案</w:t>
      </w:r>
    </w:p>
    <w:p w14:paraId="5F0BD584">
      <w:pPr>
        <w:pStyle w:val="24"/>
        <w:snapToGrid w:val="0"/>
        <w:spacing w:afterLines="0" w:line="500" w:lineRule="exact"/>
        <w:ind w:firstLine="574" w:firstLineChars="200"/>
        <w:rPr>
          <w:rFonts w:hint="eastAsia" w:ascii="仿宋" w:hAnsi="仿宋" w:eastAsia="仿宋" w:cs="仿宋"/>
          <w:b w:val="0"/>
          <w:bCs/>
          <w:color w:val="auto"/>
          <w:spacing w:val="2"/>
          <w:kern w:val="0"/>
          <w:sz w:val="28"/>
          <w:szCs w:val="28"/>
          <w:lang w:eastAsia="zh-CN"/>
        </w:rPr>
      </w:pPr>
      <w:r>
        <w:rPr>
          <w:rFonts w:hint="eastAsia" w:ascii="仿宋" w:hAnsi="仿宋" w:eastAsia="仿宋" w:cs="仿宋"/>
          <w:b w:val="0"/>
          <w:bCs/>
          <w:color w:val="auto"/>
          <w:spacing w:val="2"/>
          <w:kern w:val="0"/>
          <w:sz w:val="28"/>
          <w:szCs w:val="28"/>
        </w:rPr>
        <w:t>针对</w:t>
      </w:r>
      <w:r>
        <w:rPr>
          <w:rFonts w:hint="eastAsia" w:ascii="仿宋" w:hAnsi="仿宋" w:eastAsia="仿宋" w:cs="仿宋"/>
          <w:b w:val="0"/>
          <w:bCs/>
          <w:color w:val="auto"/>
          <w:spacing w:val="2"/>
          <w:kern w:val="0"/>
          <w:sz w:val="28"/>
          <w:szCs w:val="28"/>
          <w:lang w:eastAsia="zh-CN"/>
        </w:rPr>
        <w:t>本</w:t>
      </w:r>
      <w:r>
        <w:rPr>
          <w:rFonts w:hint="eastAsia" w:ascii="仿宋" w:hAnsi="仿宋" w:eastAsia="仿宋" w:cs="仿宋"/>
          <w:b w:val="0"/>
          <w:bCs/>
          <w:color w:val="auto"/>
          <w:spacing w:val="2"/>
          <w:kern w:val="0"/>
          <w:sz w:val="28"/>
          <w:szCs w:val="28"/>
          <w:lang w:val="en-US" w:eastAsia="zh-CN"/>
        </w:rPr>
        <w:t>项目</w:t>
      </w:r>
      <w:r>
        <w:rPr>
          <w:rFonts w:hint="eastAsia" w:ascii="仿宋" w:hAnsi="仿宋" w:eastAsia="仿宋" w:cs="仿宋"/>
          <w:b w:val="0"/>
          <w:bCs/>
          <w:color w:val="auto"/>
          <w:spacing w:val="2"/>
          <w:kern w:val="0"/>
          <w:sz w:val="28"/>
          <w:szCs w:val="28"/>
        </w:rPr>
        <w:t>详细列</w:t>
      </w:r>
      <w:r>
        <w:rPr>
          <w:rFonts w:hint="eastAsia" w:ascii="仿宋" w:hAnsi="仿宋" w:eastAsia="仿宋" w:cs="仿宋"/>
          <w:b w:val="0"/>
          <w:bCs/>
          <w:color w:val="auto"/>
          <w:spacing w:val="2"/>
          <w:kern w:val="0"/>
          <w:sz w:val="28"/>
          <w:szCs w:val="28"/>
          <w:lang w:val="en-US" w:eastAsia="zh-CN"/>
        </w:rPr>
        <w:t>出总体方案</w:t>
      </w:r>
      <w:r>
        <w:rPr>
          <w:rFonts w:hint="eastAsia" w:ascii="仿宋" w:hAnsi="仿宋" w:eastAsia="仿宋" w:cs="仿宋"/>
          <w:b w:val="0"/>
          <w:bCs/>
          <w:color w:val="auto"/>
          <w:spacing w:val="2"/>
          <w:kern w:val="0"/>
          <w:sz w:val="28"/>
          <w:szCs w:val="28"/>
        </w:rPr>
        <w:t>，方案内容包</w:t>
      </w:r>
      <w:r>
        <w:rPr>
          <w:rFonts w:hint="eastAsia" w:ascii="仿宋" w:hAnsi="仿宋" w:eastAsia="仿宋" w:cs="仿宋"/>
          <w:b w:val="0"/>
          <w:bCs/>
          <w:color w:val="auto"/>
          <w:spacing w:val="2"/>
          <w:kern w:val="0"/>
          <w:sz w:val="28"/>
          <w:szCs w:val="28"/>
          <w:lang w:eastAsia="zh-CN"/>
        </w:rPr>
        <w:t>含</w:t>
      </w:r>
      <w:r>
        <w:rPr>
          <w:rFonts w:hint="eastAsia" w:ascii="仿宋" w:hAnsi="仿宋" w:eastAsia="仿宋" w:cs="仿宋"/>
          <w:b w:val="0"/>
          <w:bCs/>
          <w:color w:val="auto"/>
          <w:spacing w:val="2"/>
          <w:kern w:val="0"/>
          <w:sz w:val="28"/>
          <w:szCs w:val="28"/>
        </w:rPr>
        <w:t>：①</w:t>
      </w:r>
      <w:r>
        <w:rPr>
          <w:rFonts w:hint="eastAsia" w:ascii="仿宋" w:hAnsi="仿宋" w:eastAsia="仿宋" w:cs="仿宋"/>
          <w:b w:val="0"/>
          <w:bCs/>
          <w:color w:val="auto"/>
          <w:spacing w:val="2"/>
          <w:kern w:val="0"/>
          <w:sz w:val="28"/>
          <w:szCs w:val="28"/>
          <w:lang w:val="en-US" w:eastAsia="zh-CN"/>
        </w:rPr>
        <w:t>服务理念及特色</w:t>
      </w:r>
      <w:r>
        <w:rPr>
          <w:rFonts w:hint="eastAsia" w:ascii="仿宋" w:hAnsi="仿宋" w:eastAsia="仿宋" w:cs="仿宋"/>
          <w:b w:val="0"/>
          <w:bCs/>
          <w:color w:val="auto"/>
          <w:spacing w:val="2"/>
          <w:kern w:val="0"/>
          <w:sz w:val="28"/>
          <w:szCs w:val="28"/>
        </w:rPr>
        <w:t>②服务目标</w:t>
      </w:r>
      <w:r>
        <w:rPr>
          <w:rFonts w:hint="eastAsia" w:ascii="仿宋" w:hAnsi="仿宋" w:eastAsia="仿宋" w:cs="仿宋"/>
          <w:b w:val="0"/>
          <w:bCs/>
          <w:color w:val="auto"/>
          <w:spacing w:val="2"/>
          <w:kern w:val="0"/>
          <w:sz w:val="28"/>
          <w:szCs w:val="28"/>
          <w:lang w:val="en-US" w:eastAsia="zh-CN"/>
        </w:rPr>
        <w:t>及总体</w:t>
      </w:r>
      <w:r>
        <w:rPr>
          <w:rFonts w:hint="eastAsia" w:ascii="仿宋" w:hAnsi="仿宋" w:eastAsia="仿宋" w:cs="仿宋"/>
          <w:b w:val="0"/>
          <w:bCs/>
          <w:color w:val="auto"/>
          <w:spacing w:val="2"/>
          <w:kern w:val="0"/>
          <w:sz w:val="28"/>
          <w:szCs w:val="28"/>
        </w:rPr>
        <w:t>计划</w:t>
      </w:r>
      <w:r>
        <w:rPr>
          <w:rFonts w:hint="eastAsia" w:ascii="仿宋" w:hAnsi="仿宋" w:eastAsia="仿宋" w:cs="仿宋"/>
          <w:b w:val="0"/>
          <w:bCs/>
          <w:color w:val="auto"/>
          <w:spacing w:val="2"/>
          <w:kern w:val="0"/>
          <w:sz w:val="28"/>
          <w:szCs w:val="28"/>
          <w:lang w:eastAsia="zh-CN"/>
        </w:rPr>
        <w:t>③</w:t>
      </w:r>
      <w:r>
        <w:rPr>
          <w:rFonts w:hint="eastAsia" w:ascii="仿宋" w:hAnsi="仿宋" w:eastAsia="仿宋" w:cs="仿宋"/>
          <w:b w:val="0"/>
          <w:bCs/>
          <w:color w:val="auto"/>
          <w:spacing w:val="2"/>
          <w:kern w:val="0"/>
          <w:sz w:val="28"/>
          <w:szCs w:val="28"/>
        </w:rPr>
        <w:t>重难点分析及</w:t>
      </w:r>
      <w:r>
        <w:rPr>
          <w:rFonts w:hint="eastAsia" w:ascii="仿宋" w:hAnsi="仿宋" w:eastAsia="仿宋" w:cs="仿宋"/>
          <w:b w:val="0"/>
          <w:bCs/>
          <w:color w:val="auto"/>
          <w:spacing w:val="2"/>
          <w:kern w:val="0"/>
          <w:sz w:val="28"/>
          <w:szCs w:val="28"/>
          <w:lang w:eastAsia="zh-CN"/>
        </w:rPr>
        <w:t>解决</w:t>
      </w:r>
      <w:r>
        <w:rPr>
          <w:rFonts w:hint="eastAsia" w:ascii="仿宋" w:hAnsi="仿宋" w:eastAsia="仿宋" w:cs="仿宋"/>
          <w:b w:val="0"/>
          <w:bCs/>
          <w:color w:val="auto"/>
          <w:spacing w:val="2"/>
          <w:kern w:val="0"/>
          <w:sz w:val="28"/>
          <w:szCs w:val="28"/>
        </w:rPr>
        <w:t>措施</w:t>
      </w:r>
      <w:r>
        <w:rPr>
          <w:rFonts w:hint="eastAsia" w:ascii="仿宋" w:hAnsi="仿宋" w:eastAsia="仿宋" w:cs="仿宋"/>
          <w:b w:val="0"/>
          <w:bCs/>
          <w:color w:val="auto"/>
          <w:spacing w:val="2"/>
          <w:kern w:val="0"/>
          <w:sz w:val="28"/>
          <w:szCs w:val="28"/>
          <w:lang w:eastAsia="zh-CN"/>
        </w:rPr>
        <w:t>。</w:t>
      </w:r>
    </w:p>
    <w:p w14:paraId="5D6D669A">
      <w:pPr>
        <w:pStyle w:val="25"/>
        <w:numPr>
          <w:ilvl w:val="0"/>
          <w:numId w:val="0"/>
        </w:numPr>
        <w:spacing w:after="0" w:afterLines="0" w:line="500" w:lineRule="exact"/>
        <w:ind w:leftChars="0" w:firstLine="574"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b/>
          <w:spacing w:val="2"/>
          <w:kern w:val="0"/>
          <w:sz w:val="28"/>
          <w:szCs w:val="28"/>
          <w:lang w:eastAsia="zh-CN"/>
        </w:rPr>
        <w:t>▲</w:t>
      </w:r>
      <w:r>
        <w:rPr>
          <w:rFonts w:hint="eastAsia" w:ascii="仿宋" w:hAnsi="仿宋" w:eastAsia="仿宋" w:cs="仿宋"/>
          <w:b/>
          <w:spacing w:val="2"/>
          <w:kern w:val="0"/>
          <w:sz w:val="28"/>
          <w:szCs w:val="28"/>
          <w:lang w:val="en-US" w:eastAsia="zh-CN"/>
        </w:rPr>
        <w:t>四、</w:t>
      </w:r>
      <w:r>
        <w:rPr>
          <w:rFonts w:hint="eastAsia" w:ascii="仿宋" w:hAnsi="仿宋" w:eastAsia="仿宋" w:cs="仿宋"/>
          <w:color w:val="000000"/>
          <w:kern w:val="0"/>
          <w:sz w:val="28"/>
          <w:szCs w:val="28"/>
          <w:lang w:val="en-US" w:eastAsia="zh-CN" w:bidi="ar"/>
        </w:rPr>
        <w:t>节约能源</w:t>
      </w:r>
    </w:p>
    <w:p w14:paraId="02ED8B0D">
      <w:pPr>
        <w:keepNext/>
        <w:keepLines/>
        <w:widowControl w:val="0"/>
        <w:suppressLineNumbers w:val="0"/>
        <w:spacing w:afterLines="0" w:line="500" w:lineRule="exact"/>
        <w:ind w:firstLine="566"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highlight w:val="none"/>
          <w:lang w:val="en-US" w:eastAsia="zh-CN" w:bidi="ar"/>
        </w:rPr>
        <w:t>针对本项目服务内容提出</w:t>
      </w:r>
      <w:r>
        <w:rPr>
          <w:rFonts w:hint="eastAsia" w:ascii="仿宋" w:hAnsi="仿宋" w:eastAsia="仿宋" w:cs="仿宋"/>
          <w:color w:val="000000"/>
          <w:kern w:val="0"/>
          <w:sz w:val="28"/>
          <w:szCs w:val="28"/>
          <w:lang w:val="en-US" w:eastAsia="zh-CN" w:bidi="ar"/>
        </w:rPr>
        <w:t>水电等节约能源的管理方案，方案包含：①节约能源原则②节约能源的具体措施。</w:t>
      </w:r>
    </w:p>
    <w:p w14:paraId="02280C7C">
      <w:pPr>
        <w:numPr>
          <w:ilvl w:val="0"/>
          <w:numId w:val="0"/>
        </w:numPr>
        <w:spacing w:afterLines="0" w:line="500" w:lineRule="exact"/>
        <w:ind w:firstLine="574" w:firstLineChars="200"/>
        <w:rPr>
          <w:rFonts w:hint="eastAsia" w:ascii="仿宋" w:hAnsi="仿宋" w:eastAsia="仿宋" w:cs="仿宋"/>
          <w:b/>
          <w:bCs/>
          <w:lang w:val="en-US" w:eastAsia="zh-CN"/>
        </w:rPr>
      </w:pPr>
      <w:r>
        <w:rPr>
          <w:rFonts w:hint="eastAsia" w:ascii="仿宋" w:hAnsi="仿宋" w:eastAsia="仿宋" w:cs="仿宋"/>
          <w:b/>
          <w:spacing w:val="2"/>
          <w:kern w:val="0"/>
          <w:sz w:val="28"/>
          <w:szCs w:val="28"/>
          <w:lang w:eastAsia="zh-CN"/>
        </w:rPr>
        <w:t>▲</w:t>
      </w:r>
      <w:r>
        <w:rPr>
          <w:rFonts w:hint="eastAsia" w:ascii="仿宋" w:hAnsi="仿宋" w:eastAsia="仿宋" w:cs="仿宋"/>
          <w:b/>
          <w:spacing w:val="2"/>
          <w:kern w:val="0"/>
          <w:sz w:val="28"/>
          <w:szCs w:val="28"/>
          <w:lang w:val="en-US" w:eastAsia="zh-CN"/>
        </w:rPr>
        <w:t>五、</w:t>
      </w:r>
      <w:r>
        <w:rPr>
          <w:rFonts w:hint="eastAsia" w:ascii="仿宋" w:hAnsi="仿宋" w:eastAsia="仿宋" w:cs="仿宋"/>
          <w:b/>
          <w:bCs/>
          <w:color w:val="auto"/>
          <w:sz w:val="28"/>
          <w:szCs w:val="28"/>
          <w:lang w:val="en-US" w:eastAsia="zh-CN"/>
        </w:rPr>
        <w:t>物料配备</w:t>
      </w:r>
    </w:p>
    <w:p w14:paraId="008E0A7A">
      <w:pPr>
        <w:keepNext w:val="0"/>
        <w:keepLines w:val="0"/>
        <w:widowControl/>
        <w:suppressLineNumbers w:val="0"/>
        <w:spacing w:afterLines="0" w:line="500" w:lineRule="exact"/>
        <w:ind w:firstLine="566"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供应商提供本项目所需要的</w:t>
      </w:r>
      <w:r>
        <w:rPr>
          <w:rFonts w:hint="eastAsia" w:ascii="仿宋" w:hAnsi="仿宋" w:eastAsia="仿宋" w:cs="仿宋"/>
          <w:color w:val="auto"/>
          <w:sz w:val="28"/>
          <w:szCs w:val="28"/>
          <w:lang w:val="en-US" w:eastAsia="zh-CN"/>
        </w:rPr>
        <w:t>物料配备</w:t>
      </w:r>
      <w:r>
        <w:rPr>
          <w:rFonts w:hint="eastAsia" w:ascii="仿宋" w:hAnsi="仿宋" w:eastAsia="仿宋" w:cs="仿宋"/>
          <w:color w:val="000000"/>
          <w:kern w:val="0"/>
          <w:sz w:val="28"/>
          <w:szCs w:val="28"/>
          <w:lang w:val="en-US" w:eastAsia="zh-CN" w:bidi="ar"/>
        </w:rPr>
        <w:t>清单，应包含：①工作服装和</w:t>
      </w:r>
      <w:r>
        <w:rPr>
          <w:rFonts w:hint="eastAsia" w:ascii="仿宋" w:hAnsi="仿宋" w:eastAsia="仿宋" w:cs="仿宋"/>
          <w:color w:val="000000"/>
          <w:kern w:val="0"/>
          <w:sz w:val="28"/>
          <w:szCs w:val="28"/>
          <w:highlight w:val="none"/>
          <w:lang w:val="en-US" w:eastAsia="zh-CN" w:bidi="ar"/>
        </w:rPr>
        <w:t>工作用具</w:t>
      </w:r>
      <w:r>
        <w:rPr>
          <w:rFonts w:hint="eastAsia" w:ascii="仿宋" w:hAnsi="仿宋" w:eastAsia="仿宋" w:cs="仿宋"/>
          <w:color w:val="000000"/>
          <w:kern w:val="0"/>
          <w:sz w:val="28"/>
          <w:szCs w:val="28"/>
          <w:lang w:val="en-US" w:eastAsia="zh-CN" w:bidi="ar"/>
        </w:rPr>
        <w:t>②劳保用品和消耗品。</w:t>
      </w:r>
    </w:p>
    <w:p w14:paraId="04CB0588">
      <w:pPr>
        <w:numPr>
          <w:ilvl w:val="0"/>
          <w:numId w:val="0"/>
        </w:numPr>
        <w:spacing w:afterLines="0" w:line="500" w:lineRule="exact"/>
        <w:ind w:firstLine="574" w:firstLineChars="200"/>
        <w:rPr>
          <w:rFonts w:hint="eastAsia" w:ascii="仿宋" w:hAnsi="仿宋" w:eastAsia="仿宋" w:cs="仿宋"/>
          <w:b/>
          <w:bCs/>
          <w:lang w:val="en-US" w:eastAsia="zh-CN"/>
        </w:rPr>
      </w:pPr>
      <w:r>
        <w:rPr>
          <w:rFonts w:hint="eastAsia" w:ascii="仿宋" w:hAnsi="仿宋" w:eastAsia="仿宋" w:cs="仿宋"/>
          <w:b/>
          <w:spacing w:val="2"/>
          <w:kern w:val="0"/>
          <w:sz w:val="28"/>
          <w:szCs w:val="28"/>
          <w:lang w:eastAsia="zh-CN"/>
        </w:rPr>
        <w:t>▲</w:t>
      </w:r>
      <w:r>
        <w:rPr>
          <w:rFonts w:hint="eastAsia" w:ascii="仿宋" w:hAnsi="仿宋" w:eastAsia="仿宋" w:cs="仿宋"/>
          <w:b/>
          <w:spacing w:val="2"/>
          <w:kern w:val="0"/>
          <w:sz w:val="28"/>
          <w:szCs w:val="28"/>
          <w:lang w:val="en-US" w:eastAsia="zh-CN"/>
        </w:rPr>
        <w:t>六、</w:t>
      </w:r>
      <w:r>
        <w:rPr>
          <w:rFonts w:hint="eastAsia" w:ascii="仿宋" w:hAnsi="仿宋" w:eastAsia="仿宋" w:cs="仿宋"/>
          <w:b/>
          <w:bCs/>
          <w:color w:val="000000"/>
          <w:sz w:val="28"/>
          <w:szCs w:val="28"/>
          <w:lang w:val="en-US" w:eastAsia="zh-CN"/>
        </w:rPr>
        <w:t>机构建设方案</w:t>
      </w:r>
    </w:p>
    <w:p w14:paraId="1FB5527A">
      <w:pPr>
        <w:keepNext w:val="0"/>
        <w:keepLines w:val="0"/>
        <w:widowControl/>
        <w:suppressLineNumbers w:val="0"/>
        <w:spacing w:afterLines="0" w:line="500" w:lineRule="exact"/>
        <w:ind w:firstLine="566"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根据本项目特点提供机构建设方案，方案包含：①组织机构运行配备方案②专业服务团队人员的职能分工方案。 </w:t>
      </w:r>
    </w:p>
    <w:p w14:paraId="0C468CFC">
      <w:pPr>
        <w:numPr>
          <w:ilvl w:val="0"/>
          <w:numId w:val="0"/>
        </w:numPr>
        <w:spacing w:afterLines="0" w:line="500" w:lineRule="exact"/>
        <w:ind w:firstLine="574" w:firstLineChars="200"/>
        <w:rPr>
          <w:rFonts w:hint="eastAsia" w:ascii="仿宋" w:hAnsi="仿宋" w:eastAsia="仿宋" w:cs="仿宋"/>
          <w:b/>
          <w:bCs/>
          <w:lang w:val="en-US" w:eastAsia="zh-CN"/>
        </w:rPr>
      </w:pPr>
      <w:r>
        <w:rPr>
          <w:rFonts w:hint="eastAsia" w:ascii="仿宋" w:hAnsi="仿宋" w:eastAsia="仿宋" w:cs="仿宋"/>
          <w:b/>
          <w:spacing w:val="2"/>
          <w:kern w:val="0"/>
          <w:sz w:val="28"/>
          <w:szCs w:val="28"/>
          <w:lang w:eastAsia="zh-CN"/>
        </w:rPr>
        <w:t>▲</w:t>
      </w:r>
      <w:r>
        <w:rPr>
          <w:rFonts w:hint="eastAsia" w:ascii="仿宋" w:hAnsi="仿宋" w:eastAsia="仿宋" w:cs="仿宋"/>
          <w:b/>
          <w:spacing w:val="2"/>
          <w:kern w:val="0"/>
          <w:sz w:val="28"/>
          <w:szCs w:val="28"/>
          <w:lang w:val="en-US" w:eastAsia="zh-CN"/>
        </w:rPr>
        <w:t>七、</w:t>
      </w:r>
      <w:r>
        <w:rPr>
          <w:rFonts w:hint="eastAsia" w:ascii="仿宋" w:hAnsi="仿宋" w:eastAsia="仿宋" w:cs="仿宋"/>
          <w:b/>
          <w:bCs/>
          <w:color w:val="000000"/>
          <w:sz w:val="28"/>
          <w:szCs w:val="28"/>
        </w:rPr>
        <w:t>管理制度</w:t>
      </w:r>
    </w:p>
    <w:p w14:paraId="7195FE7E">
      <w:pPr>
        <w:pStyle w:val="24"/>
        <w:spacing w:afterLines="0" w:line="500" w:lineRule="exact"/>
        <w:ind w:firstLine="566"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针对本项目具有良好的管理制度，方案包含：①岗位职责：具有岗位工作标准、服务质量标准、现场质量控制体系②内控制度：具有保密制度、管理组织机构、问责机制、监督机制、自查制度③人员管理制度;具有员工日常管理办法、请销假制度、奖惩措施、激励机制、仪容仪表制度。</w:t>
      </w:r>
    </w:p>
    <w:p w14:paraId="4FF8B8C4">
      <w:pPr>
        <w:numPr>
          <w:ilvl w:val="0"/>
          <w:numId w:val="0"/>
        </w:numPr>
        <w:spacing w:afterLines="0" w:line="500" w:lineRule="exact"/>
        <w:ind w:firstLine="574" w:firstLineChars="200"/>
        <w:rPr>
          <w:rFonts w:hint="eastAsia" w:ascii="仿宋" w:hAnsi="仿宋" w:eastAsia="仿宋" w:cs="仿宋"/>
          <w:b/>
          <w:bCs/>
          <w:color w:val="000000"/>
          <w:sz w:val="28"/>
          <w:szCs w:val="28"/>
          <w:lang w:eastAsia="zh-CN"/>
        </w:rPr>
      </w:pPr>
      <w:r>
        <w:rPr>
          <w:rFonts w:hint="eastAsia" w:ascii="仿宋" w:hAnsi="仿宋" w:eastAsia="仿宋" w:cs="仿宋"/>
          <w:b/>
          <w:spacing w:val="2"/>
          <w:kern w:val="0"/>
          <w:sz w:val="28"/>
          <w:szCs w:val="28"/>
          <w:lang w:eastAsia="zh-CN"/>
        </w:rPr>
        <w:t>▲</w:t>
      </w:r>
      <w:r>
        <w:rPr>
          <w:rFonts w:hint="eastAsia" w:ascii="仿宋" w:hAnsi="仿宋" w:eastAsia="仿宋" w:cs="仿宋"/>
          <w:b/>
          <w:spacing w:val="2"/>
          <w:kern w:val="0"/>
          <w:sz w:val="28"/>
          <w:szCs w:val="28"/>
          <w:lang w:val="en-US" w:eastAsia="zh-CN"/>
        </w:rPr>
        <w:t>八、</w:t>
      </w:r>
      <w:r>
        <w:rPr>
          <w:rFonts w:hint="eastAsia" w:ascii="仿宋" w:hAnsi="仿宋" w:eastAsia="仿宋" w:cs="仿宋"/>
          <w:b/>
          <w:bCs/>
          <w:color w:val="000000"/>
          <w:sz w:val="28"/>
          <w:szCs w:val="28"/>
          <w:lang w:eastAsia="zh-CN"/>
        </w:rPr>
        <w:t>服务承诺</w:t>
      </w:r>
    </w:p>
    <w:p w14:paraId="15EFC9FD">
      <w:pPr>
        <w:pStyle w:val="70"/>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right="0" w:rightChars="0" w:firstLine="566" w:firstLineChars="200"/>
        <w:jc w:val="both"/>
        <w:textAlignment w:val="auto"/>
        <w:rPr>
          <w:rFonts w:hint="eastAsia" w:ascii="仿宋" w:hAnsi="仿宋" w:eastAsia="仿宋" w:cs="仿宋"/>
          <w:color w:val="auto"/>
          <w:sz w:val="28"/>
          <w:szCs w:val="28"/>
          <w:lang w:eastAsia="zh-CN"/>
        </w:rPr>
      </w:pPr>
      <w:r>
        <w:rPr>
          <w:rFonts w:hint="eastAsia" w:cs="仿宋"/>
          <w:color w:val="auto"/>
          <w:sz w:val="28"/>
          <w:szCs w:val="28"/>
          <w:lang w:eastAsia="zh-CN"/>
        </w:rPr>
        <w:t>（</w:t>
      </w:r>
      <w:r>
        <w:rPr>
          <w:rFonts w:hint="eastAsia" w:cs="仿宋"/>
          <w:color w:val="auto"/>
          <w:sz w:val="28"/>
          <w:szCs w:val="28"/>
          <w:lang w:val="en-US" w:eastAsia="zh-CN"/>
        </w:rPr>
        <w:t>一</w:t>
      </w:r>
      <w:r>
        <w:rPr>
          <w:rFonts w:hint="eastAsia" w:cs="仿宋"/>
          <w:color w:val="auto"/>
          <w:sz w:val="28"/>
          <w:szCs w:val="28"/>
          <w:lang w:eastAsia="zh-CN"/>
        </w:rPr>
        <w:t>）</w:t>
      </w:r>
      <w:r>
        <w:rPr>
          <w:rFonts w:hint="eastAsia" w:cs="仿宋"/>
          <w:color w:val="auto"/>
          <w:sz w:val="28"/>
          <w:szCs w:val="28"/>
          <w:lang w:val="en-US" w:eastAsia="zh-CN"/>
        </w:rPr>
        <w:t>供应商</w:t>
      </w:r>
      <w:r>
        <w:rPr>
          <w:rFonts w:hint="eastAsia" w:ascii="仿宋" w:hAnsi="仿宋" w:eastAsia="仿宋" w:cs="仿宋"/>
          <w:color w:val="auto"/>
          <w:sz w:val="28"/>
          <w:szCs w:val="28"/>
          <w:lang w:eastAsia="zh-CN"/>
        </w:rPr>
        <w:t>承诺：接受采购人对本项目服务的考核、监督及管理</w:t>
      </w:r>
      <w:r>
        <w:rPr>
          <w:rFonts w:hint="eastAsia" w:ascii="仿宋" w:hAnsi="仿宋" w:eastAsia="仿宋" w:cs="仿宋"/>
          <w:color w:val="auto"/>
          <w:spacing w:val="0"/>
          <w:sz w:val="28"/>
          <w:szCs w:val="28"/>
          <w:lang w:eastAsia="zh-CN"/>
        </w:rPr>
        <w:t>。</w:t>
      </w:r>
    </w:p>
    <w:p w14:paraId="600D75DB">
      <w:pPr>
        <w:pStyle w:val="70"/>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right="0" w:rightChars="0" w:firstLine="566" w:firstLineChars="200"/>
        <w:jc w:val="both"/>
        <w:textAlignment w:val="auto"/>
        <w:rPr>
          <w:rFonts w:hint="eastAsia" w:ascii="仿宋" w:hAnsi="仿宋" w:eastAsia="仿宋" w:cs="仿宋"/>
          <w:color w:val="auto"/>
          <w:sz w:val="28"/>
          <w:szCs w:val="28"/>
          <w:lang w:eastAsia="zh-CN"/>
        </w:rPr>
      </w:pPr>
      <w:r>
        <w:rPr>
          <w:rFonts w:hint="eastAsia" w:cs="仿宋"/>
          <w:color w:val="auto"/>
          <w:sz w:val="28"/>
          <w:szCs w:val="28"/>
          <w:lang w:val="en-US" w:eastAsia="zh-CN"/>
        </w:rPr>
        <w:t>（二）供应商</w:t>
      </w:r>
      <w:r>
        <w:rPr>
          <w:rFonts w:hint="eastAsia" w:ascii="仿宋" w:hAnsi="仿宋" w:eastAsia="仿宋" w:cs="仿宋"/>
          <w:color w:val="auto"/>
          <w:sz w:val="28"/>
          <w:szCs w:val="28"/>
          <w:lang w:eastAsia="zh-CN"/>
        </w:rPr>
        <w:t>承诺：</w:t>
      </w:r>
      <w:r>
        <w:rPr>
          <w:rFonts w:hint="eastAsia" w:ascii="仿宋" w:hAnsi="仿宋" w:eastAsia="仿宋" w:cs="仿宋"/>
          <w:color w:val="auto"/>
          <w:spacing w:val="0"/>
          <w:sz w:val="28"/>
          <w:szCs w:val="28"/>
          <w:lang w:eastAsia="zh-CN"/>
        </w:rPr>
        <w:t>定期调研采购人对服务质量的满意度并加以改进，确保服务工作的优质高效。</w:t>
      </w:r>
    </w:p>
    <w:p w14:paraId="0FA84B17">
      <w:pPr>
        <w:numPr>
          <w:ilvl w:val="0"/>
          <w:numId w:val="0"/>
        </w:numPr>
        <w:spacing w:afterLines="0" w:line="500" w:lineRule="exact"/>
        <w:ind w:firstLine="566" w:firstLineChars="200"/>
        <w:jc w:val="left"/>
        <w:rPr>
          <w:rFonts w:hint="eastAsia" w:ascii="仿宋" w:hAnsi="仿宋" w:eastAsia="仿宋" w:cs="仿宋"/>
          <w:color w:val="auto"/>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lang w:val="en-US" w:eastAsia="zh-CN"/>
        </w:rPr>
        <w:t>供应商</w:t>
      </w:r>
      <w:r>
        <w:rPr>
          <w:rFonts w:hint="eastAsia" w:ascii="仿宋" w:hAnsi="仿宋" w:eastAsia="仿宋" w:cs="仿宋"/>
          <w:color w:val="auto"/>
        </w:rPr>
        <w:t>承诺</w:t>
      </w:r>
      <w:r>
        <w:rPr>
          <w:rFonts w:hint="eastAsia" w:ascii="仿宋" w:hAnsi="仿宋" w:eastAsia="仿宋" w:cs="仿宋"/>
          <w:color w:val="auto"/>
          <w:sz w:val="28"/>
          <w:szCs w:val="28"/>
        </w:rPr>
        <w:t>：上岗人员固定，不得随意更换，若出现服务人员因事、病</w:t>
      </w:r>
      <w:r>
        <w:rPr>
          <w:rFonts w:hint="eastAsia" w:ascii="仿宋" w:hAnsi="仿宋" w:eastAsia="仿宋" w:cs="仿宋"/>
          <w:color w:val="auto"/>
          <w:spacing w:val="0"/>
          <w:sz w:val="28"/>
          <w:szCs w:val="28"/>
        </w:rPr>
        <w:t>等不能工作的，及时调整其他服务人员补充，确保服务工作的正常进行。</w:t>
      </w:r>
    </w:p>
    <w:p w14:paraId="61A476A8">
      <w:pPr>
        <w:numPr>
          <w:ilvl w:val="-1"/>
          <w:numId w:val="0"/>
        </w:numPr>
        <w:spacing w:afterLines="0" w:line="500" w:lineRule="exact"/>
        <w:ind w:firstLine="566" w:firstLineChars="200"/>
        <w:jc w:val="left"/>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（四）</w:t>
      </w:r>
      <w:r>
        <w:rPr>
          <w:rFonts w:hint="eastAsia" w:ascii="仿宋" w:hAnsi="仿宋" w:eastAsia="仿宋" w:cs="仿宋"/>
          <w:color w:val="auto"/>
          <w:lang w:val="en-US" w:eastAsia="zh-CN"/>
        </w:rPr>
        <w:t>供应商</w:t>
      </w:r>
      <w:r>
        <w:rPr>
          <w:rFonts w:hint="eastAsia" w:ascii="仿宋" w:hAnsi="仿宋" w:eastAsia="仿宋" w:cs="仿宋"/>
          <w:color w:val="auto"/>
        </w:rPr>
        <w:t>承诺</w:t>
      </w:r>
      <w:r>
        <w:rPr>
          <w:rFonts w:hint="eastAsia" w:ascii="仿宋" w:hAnsi="仿宋" w:eastAsia="仿宋" w:cs="仿宋"/>
          <w:color w:val="auto"/>
          <w:sz w:val="28"/>
          <w:szCs w:val="28"/>
        </w:rPr>
        <w:t>：</w:t>
      </w:r>
      <w:r>
        <w:rPr>
          <w:rFonts w:hint="eastAsia" w:ascii="仿宋" w:hAnsi="仿宋" w:eastAsia="仿宋" w:cs="仿宋"/>
          <w:color w:val="auto"/>
          <w:spacing w:val="0"/>
          <w:sz w:val="28"/>
          <w:szCs w:val="28"/>
        </w:rPr>
        <w:t>储备可调度人员，调度人员可保障临时性工作需要及突发事件处置。</w:t>
      </w:r>
    </w:p>
    <w:p w14:paraId="39D8103F">
      <w:pPr>
        <w:spacing w:afterLines="-2147483648" w:line="240" w:lineRule="auto"/>
        <w:ind w:firstLine="0" w:firstLineChars="0"/>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br w:type="page"/>
      </w:r>
    </w:p>
    <w:p w14:paraId="30D385D7">
      <w:pPr>
        <w:spacing w:afterLines="0" w:line="500" w:lineRule="exact"/>
        <w:ind w:firstLine="566" w:firstLineChars="200"/>
        <w:rPr>
          <w:rFonts w:hint="eastAsia" w:ascii="仿宋" w:hAnsi="仿宋" w:eastAsia="仿宋" w:cs="仿宋"/>
          <w:b/>
          <w:bCs/>
          <w:color w:val="000000"/>
          <w:kern w:val="2"/>
          <w:sz w:val="28"/>
          <w:szCs w:val="28"/>
          <w:highlight w:val="green"/>
          <w:lang w:val="en-US" w:eastAsia="zh-CN" w:bidi="ar-SA"/>
        </w:rPr>
      </w:pPr>
      <w:r>
        <w:rPr>
          <w:rFonts w:hint="eastAsia" w:ascii="仿宋" w:hAnsi="仿宋" w:eastAsia="仿宋" w:cs="仿宋"/>
          <w:b/>
          <w:bCs w:val="0"/>
          <w:color w:val="auto"/>
          <w:kern w:val="2"/>
          <w:sz w:val="28"/>
          <w:szCs w:val="28"/>
          <w:highlight w:val="none"/>
          <w:lang w:val="en-US" w:eastAsia="zh-CN" w:bidi="ar-SA"/>
        </w:rPr>
        <w:t>九、</w:t>
      </w:r>
      <w:r>
        <w:rPr>
          <w:rFonts w:hint="eastAsia" w:ascii="仿宋" w:hAnsi="仿宋" w:eastAsia="仿宋" w:cs="仿宋"/>
          <w:b/>
          <w:sz w:val="28"/>
          <w:szCs w:val="28"/>
        </w:rPr>
        <w:t>岗位设置及人员数量要求</w:t>
      </w:r>
    </w:p>
    <w:p w14:paraId="2FD0B5C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仿宋" w:hAnsi="仿宋" w:eastAsia="仿宋" w:cs="仿宋"/>
          <w:color w:val="auto"/>
          <w:sz w:val="24"/>
          <w:szCs w:val="24"/>
          <w:highlight w:val="none"/>
          <w:lang w:val="zh-CN" w:eastAsia="zh-CN"/>
        </w:rPr>
      </w:pPr>
      <w:r>
        <w:rPr>
          <w:rFonts w:hint="eastAsia" w:ascii="仿宋" w:hAnsi="仿宋" w:eastAsia="仿宋" w:cs="仿宋"/>
          <w:b/>
          <w:bCs/>
          <w:color w:val="auto"/>
          <w:spacing w:val="-4"/>
          <w:kern w:val="2"/>
          <w:sz w:val="24"/>
          <w:szCs w:val="24"/>
          <w:highlight w:val="none"/>
          <w:lang w:val="en-US" w:eastAsia="zh-CN" w:bidi="ar-SA"/>
        </w:rPr>
        <w:t>表:2：岗位人员要求（</w:t>
      </w:r>
      <w:r>
        <w:rPr>
          <w:rFonts w:hint="eastAsia" w:ascii="仿宋" w:hAnsi="仿宋" w:eastAsia="仿宋" w:cs="仿宋"/>
          <w:b/>
          <w:bCs/>
          <w:color w:val="auto"/>
          <w:kern w:val="0"/>
          <w:sz w:val="24"/>
          <w:szCs w:val="24"/>
          <w:highlight w:val="none"/>
          <w:lang w:val="en-US" w:eastAsia="zh-CN"/>
        </w:rPr>
        <w:t>教学期间为9个月</w:t>
      </w:r>
      <w:r>
        <w:rPr>
          <w:rFonts w:hint="eastAsia" w:ascii="仿宋" w:hAnsi="仿宋" w:eastAsia="仿宋" w:cs="仿宋"/>
          <w:b/>
          <w:bCs/>
          <w:color w:val="auto"/>
          <w:spacing w:val="-4"/>
          <w:kern w:val="2"/>
          <w:sz w:val="24"/>
          <w:szCs w:val="24"/>
          <w:highlight w:val="none"/>
          <w:lang w:val="en-US" w:eastAsia="zh-CN" w:bidi="ar-SA"/>
        </w:rPr>
        <w:t>）</w:t>
      </w:r>
    </w:p>
    <w:tbl>
      <w:tblPr>
        <w:tblStyle w:val="2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2"/>
        <w:gridCol w:w="1426"/>
        <w:gridCol w:w="605"/>
        <w:gridCol w:w="6143"/>
      </w:tblGrid>
      <w:tr w14:paraId="4688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772" w:type="dxa"/>
            <w:noWrap w:val="0"/>
            <w:vAlign w:val="center"/>
          </w:tcPr>
          <w:p w14:paraId="4CA1C56D">
            <w:pPr>
              <w:spacing w:line="24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序号</w:t>
            </w:r>
          </w:p>
        </w:tc>
        <w:tc>
          <w:tcPr>
            <w:tcW w:w="1426" w:type="dxa"/>
            <w:noWrap w:val="0"/>
            <w:vAlign w:val="center"/>
          </w:tcPr>
          <w:p w14:paraId="28C8B288">
            <w:pPr>
              <w:spacing w:line="24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岗位</w:t>
            </w:r>
          </w:p>
        </w:tc>
        <w:tc>
          <w:tcPr>
            <w:tcW w:w="605" w:type="dxa"/>
            <w:noWrap w:val="0"/>
            <w:vAlign w:val="center"/>
          </w:tcPr>
          <w:p w14:paraId="6561A05F">
            <w:pPr>
              <w:spacing w:line="24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人数</w:t>
            </w:r>
          </w:p>
        </w:tc>
        <w:tc>
          <w:tcPr>
            <w:tcW w:w="6143" w:type="dxa"/>
            <w:noWrap w:val="0"/>
            <w:vAlign w:val="center"/>
          </w:tcPr>
          <w:p w14:paraId="0505F3F9">
            <w:pPr>
              <w:spacing w:line="240" w:lineRule="exact"/>
              <w:jc w:val="center"/>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要求</w:t>
            </w:r>
          </w:p>
        </w:tc>
      </w:tr>
      <w:tr w14:paraId="603D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5" w:hRule="exact"/>
          <w:jc w:val="center"/>
        </w:trPr>
        <w:tc>
          <w:tcPr>
            <w:tcW w:w="772" w:type="dxa"/>
            <w:noWrap w:val="0"/>
            <w:vAlign w:val="center"/>
          </w:tcPr>
          <w:p w14:paraId="577A4188">
            <w:pPr>
              <w:spacing w:line="28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1</w:t>
            </w:r>
          </w:p>
        </w:tc>
        <w:tc>
          <w:tcPr>
            <w:tcW w:w="1426" w:type="dxa"/>
            <w:noWrap w:val="0"/>
            <w:vAlign w:val="center"/>
          </w:tcPr>
          <w:p w14:paraId="3BB2AEFC">
            <w:pPr>
              <w:spacing w:line="280" w:lineRule="exact"/>
              <w:jc w:val="center"/>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spacing w:val="2"/>
                <w:kern w:val="0"/>
                <w:sz w:val="28"/>
                <w:szCs w:val="28"/>
                <w:lang w:eastAsia="zh-CN"/>
              </w:rPr>
              <w:t>▲</w:t>
            </w:r>
            <w:r>
              <w:rPr>
                <w:rFonts w:hint="eastAsia" w:ascii="仿宋" w:hAnsi="仿宋" w:eastAsia="仿宋" w:cs="仿宋"/>
                <w:b w:val="0"/>
                <w:bCs w:val="0"/>
                <w:color w:val="auto"/>
                <w:kern w:val="0"/>
                <w:sz w:val="24"/>
                <w:szCs w:val="24"/>
                <w:highlight w:val="none"/>
                <w:lang w:eastAsia="zh-CN"/>
              </w:rPr>
              <w:t>保洁主管</w:t>
            </w:r>
          </w:p>
        </w:tc>
        <w:tc>
          <w:tcPr>
            <w:tcW w:w="605" w:type="dxa"/>
            <w:noWrap w:val="0"/>
            <w:vAlign w:val="center"/>
          </w:tcPr>
          <w:p w14:paraId="79DF4CBB">
            <w:pPr>
              <w:spacing w:line="280" w:lineRule="exact"/>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none"/>
                <w:lang w:val="en-US" w:eastAsia="zh-CN"/>
              </w:rPr>
              <w:t>1</w:t>
            </w:r>
          </w:p>
        </w:tc>
        <w:tc>
          <w:tcPr>
            <w:tcW w:w="6143" w:type="dxa"/>
            <w:noWrap w:val="0"/>
            <w:vAlign w:val="center"/>
          </w:tcPr>
          <w:p w14:paraId="3F8343CE">
            <w:pPr>
              <w:pStyle w:val="2"/>
              <w:keepNext w:val="0"/>
              <w:keepLines w:val="0"/>
              <w:pageBreakBefore w:val="0"/>
              <w:widowControl/>
              <w:numPr>
                <w:ilvl w:val="0"/>
                <w:numId w:val="3"/>
              </w:numPr>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年龄55周岁以下，具有高中及以上学历，具有3年及以上类似项目工作经验；</w:t>
            </w:r>
          </w:p>
          <w:p w14:paraId="6609D839">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2、身体健康，无传染病及精神病史，体貌端正，无违法犯罪记录；</w:t>
            </w:r>
          </w:p>
          <w:p w14:paraId="5D37C824">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sz w:val="24"/>
                <w:szCs w:val="24"/>
                <w:highlight w:val="none"/>
                <w:vertAlign w:val="baseline"/>
                <w:lang w:val="en-US" w:eastAsia="zh-CN"/>
              </w:rPr>
              <w:t>具有较好的组织、协调及沟通能力，负责保洁的日常管理及后勤保障科安排的其他相关工作</w:t>
            </w:r>
            <w:r>
              <w:rPr>
                <w:rFonts w:hint="eastAsia" w:ascii="仿宋" w:hAnsi="仿宋" w:eastAsia="仿宋" w:cs="仿宋"/>
                <w:color w:val="auto"/>
                <w:kern w:val="0"/>
                <w:sz w:val="24"/>
                <w:szCs w:val="24"/>
                <w:highlight w:val="none"/>
                <w:lang w:val="en-US" w:eastAsia="zh-CN" w:bidi="ar-SA"/>
              </w:rPr>
              <w:t>。</w:t>
            </w:r>
          </w:p>
          <w:p w14:paraId="6819A936">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auto"/>
                <w:kern w:val="0"/>
                <w:sz w:val="24"/>
                <w:szCs w:val="24"/>
                <w:highlight w:val="none"/>
                <w:lang w:val="en-US" w:eastAsia="zh-CN" w:bidi="ar-SA"/>
              </w:rPr>
            </w:pPr>
          </w:p>
        </w:tc>
      </w:tr>
      <w:tr w14:paraId="0B3C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7" w:hRule="exact"/>
          <w:jc w:val="center"/>
        </w:trPr>
        <w:tc>
          <w:tcPr>
            <w:tcW w:w="772" w:type="dxa"/>
            <w:noWrap w:val="0"/>
            <w:vAlign w:val="center"/>
          </w:tcPr>
          <w:p w14:paraId="52335057">
            <w:pPr>
              <w:spacing w:line="280" w:lineRule="exact"/>
              <w:jc w:val="center"/>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1426" w:type="dxa"/>
            <w:noWrap w:val="0"/>
            <w:vAlign w:val="center"/>
          </w:tcPr>
          <w:p w14:paraId="18ADF35C">
            <w:pPr>
              <w:spacing w:line="28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保洁人员</w:t>
            </w:r>
          </w:p>
          <w:p w14:paraId="107117DE">
            <w:pPr>
              <w:spacing w:line="280" w:lineRule="exact"/>
              <w:jc w:val="center"/>
              <w:textAlignment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eastAsia="zh-CN"/>
              </w:rPr>
              <w:t>（包含客房服务人员）</w:t>
            </w:r>
          </w:p>
        </w:tc>
        <w:tc>
          <w:tcPr>
            <w:tcW w:w="605" w:type="dxa"/>
            <w:noWrap w:val="0"/>
            <w:vAlign w:val="center"/>
          </w:tcPr>
          <w:p w14:paraId="277314F0">
            <w:pPr>
              <w:spacing w:line="280" w:lineRule="exact"/>
              <w:jc w:val="center"/>
              <w:textAlignment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u w:val="none"/>
                <w:lang w:val="en-US" w:eastAsia="zh-CN"/>
              </w:rPr>
              <w:t>9</w:t>
            </w:r>
          </w:p>
        </w:tc>
        <w:tc>
          <w:tcPr>
            <w:tcW w:w="6143" w:type="dxa"/>
            <w:noWrap w:val="0"/>
            <w:vAlign w:val="center"/>
          </w:tcPr>
          <w:p w14:paraId="6130C64A">
            <w:pPr>
              <w:spacing w:afterLines="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身体健康，无传染病及精神病史，体貌端正，无违法犯罪记录。</w:t>
            </w:r>
          </w:p>
        </w:tc>
      </w:tr>
      <w:tr w14:paraId="6AA2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8" w:hRule="exact"/>
          <w:jc w:val="center"/>
        </w:trPr>
        <w:tc>
          <w:tcPr>
            <w:tcW w:w="772" w:type="dxa"/>
            <w:noWrap w:val="0"/>
            <w:vAlign w:val="center"/>
          </w:tcPr>
          <w:p w14:paraId="066877E1">
            <w:pPr>
              <w:spacing w:line="28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26" w:type="dxa"/>
            <w:noWrap w:val="0"/>
            <w:vAlign w:val="center"/>
          </w:tcPr>
          <w:p w14:paraId="661E3561">
            <w:pPr>
              <w:spacing w:line="280" w:lineRule="exact"/>
              <w:jc w:val="center"/>
              <w:textAlignment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保安队长</w:t>
            </w:r>
          </w:p>
        </w:tc>
        <w:tc>
          <w:tcPr>
            <w:tcW w:w="605" w:type="dxa"/>
            <w:noWrap w:val="0"/>
            <w:vAlign w:val="center"/>
          </w:tcPr>
          <w:p w14:paraId="399FF73B">
            <w:pPr>
              <w:spacing w:line="280" w:lineRule="exact"/>
              <w:jc w:val="center"/>
              <w:textAlignment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w:t>
            </w:r>
          </w:p>
        </w:tc>
        <w:tc>
          <w:tcPr>
            <w:tcW w:w="6143" w:type="dxa"/>
            <w:noWrap w:val="0"/>
            <w:vAlign w:val="center"/>
          </w:tcPr>
          <w:p w14:paraId="7FB7E13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SA"/>
              </w:rPr>
              <w:t>、男性，具有高中及以上学历，</w:t>
            </w:r>
            <w:r>
              <w:rPr>
                <w:rFonts w:hint="default" w:ascii="仿宋" w:hAnsi="仿宋" w:eastAsia="仿宋" w:cs="仿宋"/>
                <w:color w:val="auto"/>
                <w:sz w:val="24"/>
                <w:szCs w:val="24"/>
                <w:highlight w:val="none"/>
                <w:lang w:val="en-US" w:eastAsia="zh-CN"/>
              </w:rPr>
              <w:t>年龄</w:t>
            </w:r>
            <w:r>
              <w:rPr>
                <w:rFonts w:hint="eastAsia" w:ascii="仿宋" w:hAnsi="仿宋" w:eastAsia="仿宋" w:cs="仿宋"/>
                <w:color w:val="auto"/>
                <w:sz w:val="24"/>
                <w:szCs w:val="24"/>
                <w:highlight w:val="none"/>
                <w:lang w:val="en-US" w:eastAsia="zh-CN"/>
              </w:rPr>
              <w:t>50</w:t>
            </w:r>
            <w:r>
              <w:rPr>
                <w:rFonts w:hint="default" w:ascii="仿宋" w:hAnsi="仿宋" w:eastAsia="仿宋" w:cs="仿宋"/>
                <w:color w:val="auto"/>
                <w:sz w:val="24"/>
                <w:szCs w:val="24"/>
                <w:highlight w:val="none"/>
                <w:lang w:val="en-US" w:eastAsia="zh-CN"/>
              </w:rPr>
              <w:t>周岁以下，</w:t>
            </w:r>
            <w:r>
              <w:rPr>
                <w:rFonts w:hint="eastAsia" w:ascii="仿宋" w:hAnsi="仿宋" w:eastAsia="仿宋" w:cs="仿宋"/>
                <w:color w:val="auto"/>
                <w:sz w:val="24"/>
                <w:szCs w:val="24"/>
                <w:highlight w:val="none"/>
                <w:lang w:val="en-US" w:eastAsia="zh-CN"/>
              </w:rPr>
              <w:t>具有3</w:t>
            </w:r>
            <w:r>
              <w:rPr>
                <w:rFonts w:hint="default" w:ascii="仿宋" w:hAnsi="仿宋" w:eastAsia="仿宋" w:cs="仿宋"/>
                <w:color w:val="auto"/>
                <w:sz w:val="24"/>
                <w:szCs w:val="24"/>
                <w:highlight w:val="none"/>
                <w:lang w:val="en-US" w:eastAsia="zh-CN"/>
              </w:rPr>
              <w:t>年及以上</w:t>
            </w:r>
            <w:r>
              <w:rPr>
                <w:rFonts w:hint="eastAsia" w:ascii="仿宋" w:hAnsi="仿宋" w:eastAsia="仿宋" w:cs="仿宋"/>
                <w:color w:val="auto"/>
                <w:sz w:val="24"/>
                <w:szCs w:val="24"/>
                <w:highlight w:val="none"/>
                <w:lang w:val="en-US" w:eastAsia="zh-CN"/>
              </w:rPr>
              <w:t>类似项目工作</w:t>
            </w:r>
            <w:r>
              <w:rPr>
                <w:rFonts w:hint="default" w:ascii="仿宋" w:hAnsi="仿宋" w:eastAsia="仿宋" w:cs="仿宋"/>
                <w:color w:val="auto"/>
                <w:sz w:val="24"/>
                <w:szCs w:val="24"/>
                <w:highlight w:val="none"/>
                <w:lang w:val="en-US" w:eastAsia="zh-CN"/>
              </w:rPr>
              <w:t>经验</w:t>
            </w:r>
            <w:r>
              <w:rPr>
                <w:rFonts w:hint="eastAsia" w:ascii="仿宋" w:hAnsi="仿宋" w:eastAsia="仿宋" w:cs="仿宋"/>
                <w:color w:val="auto"/>
                <w:sz w:val="24"/>
                <w:szCs w:val="24"/>
                <w:highlight w:val="none"/>
                <w:lang w:val="en-US" w:eastAsia="zh-CN"/>
              </w:rPr>
              <w:t>；</w:t>
            </w:r>
          </w:p>
          <w:p w14:paraId="1E8D941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2、身体健康，无传染病及精神病史，体貌端正，无违法犯罪记录；</w:t>
            </w:r>
          </w:p>
          <w:p w14:paraId="41968D8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3、具有较好的组织、协调及沟通能力，负责校园的日常安保管理及公寓保卫科安排的其他相关工作</w:t>
            </w:r>
            <w:r>
              <w:rPr>
                <w:rFonts w:hint="default" w:ascii="仿宋" w:hAnsi="仿宋" w:eastAsia="仿宋" w:cs="仿宋"/>
                <w:color w:val="auto"/>
                <w:kern w:val="0"/>
                <w:sz w:val="24"/>
                <w:szCs w:val="24"/>
                <w:highlight w:val="none"/>
                <w:lang w:val="en-US" w:eastAsia="zh-CN" w:bidi="ar-SA"/>
              </w:rPr>
              <w:t xml:space="preserve">; </w:t>
            </w:r>
          </w:p>
          <w:p w14:paraId="279F7937">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000000"/>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SA"/>
              </w:rPr>
              <w:t>4、持有保安员上岗证。</w:t>
            </w:r>
          </w:p>
        </w:tc>
      </w:tr>
      <w:tr w14:paraId="2987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1" w:hRule="exact"/>
          <w:jc w:val="center"/>
        </w:trPr>
        <w:tc>
          <w:tcPr>
            <w:tcW w:w="772" w:type="dxa"/>
            <w:noWrap w:val="0"/>
            <w:vAlign w:val="center"/>
          </w:tcPr>
          <w:p w14:paraId="73D54A4A">
            <w:pPr>
              <w:spacing w:line="2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1426" w:type="dxa"/>
            <w:noWrap w:val="0"/>
            <w:vAlign w:val="center"/>
          </w:tcPr>
          <w:p w14:paraId="3C470D4F">
            <w:pPr>
              <w:spacing w:line="28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安保人员（东、西院门房）</w:t>
            </w:r>
          </w:p>
        </w:tc>
        <w:tc>
          <w:tcPr>
            <w:tcW w:w="605" w:type="dxa"/>
            <w:noWrap w:val="0"/>
            <w:vAlign w:val="center"/>
          </w:tcPr>
          <w:p w14:paraId="6020B573">
            <w:pPr>
              <w:spacing w:line="280" w:lineRule="exact"/>
              <w:jc w:val="center"/>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4</w:t>
            </w:r>
          </w:p>
        </w:tc>
        <w:tc>
          <w:tcPr>
            <w:tcW w:w="6143" w:type="dxa"/>
            <w:noWrap w:val="0"/>
            <w:vAlign w:val="center"/>
          </w:tcPr>
          <w:p w14:paraId="4A673A6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男性，50周岁以下，身体健康，无传染病及精神病史，体貌端正，无违法犯罪记录；</w:t>
            </w:r>
          </w:p>
          <w:p w14:paraId="6E41A65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2、均持有保安员上岗证。</w:t>
            </w:r>
          </w:p>
        </w:tc>
      </w:tr>
      <w:tr w14:paraId="3FB8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7" w:hRule="exact"/>
          <w:jc w:val="center"/>
        </w:trPr>
        <w:tc>
          <w:tcPr>
            <w:tcW w:w="772" w:type="dxa"/>
            <w:noWrap w:val="0"/>
            <w:vAlign w:val="center"/>
          </w:tcPr>
          <w:p w14:paraId="7A8FCE71">
            <w:pPr>
              <w:spacing w:line="280" w:lineRule="exac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426" w:type="dxa"/>
            <w:noWrap w:val="0"/>
            <w:vAlign w:val="center"/>
          </w:tcPr>
          <w:p w14:paraId="5B795F41">
            <w:pPr>
              <w:spacing w:line="28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安保人员（男、女生公寓）</w:t>
            </w:r>
          </w:p>
        </w:tc>
        <w:tc>
          <w:tcPr>
            <w:tcW w:w="605" w:type="dxa"/>
            <w:noWrap w:val="0"/>
            <w:vAlign w:val="center"/>
          </w:tcPr>
          <w:p w14:paraId="78777427">
            <w:pPr>
              <w:spacing w:line="280" w:lineRule="exact"/>
              <w:jc w:val="center"/>
              <w:textAlignment w:val="center"/>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4</w:t>
            </w:r>
          </w:p>
        </w:tc>
        <w:tc>
          <w:tcPr>
            <w:tcW w:w="6143" w:type="dxa"/>
            <w:noWrap w:val="0"/>
            <w:vAlign w:val="center"/>
          </w:tcPr>
          <w:p w14:paraId="7F9F64E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男性2名、女性2名；</w:t>
            </w:r>
            <w:r>
              <w:rPr>
                <w:rFonts w:hint="eastAsia" w:ascii="仿宋" w:hAnsi="仿宋" w:eastAsia="仿宋" w:cs="仿宋"/>
                <w:color w:val="auto"/>
                <w:kern w:val="0"/>
                <w:sz w:val="24"/>
                <w:szCs w:val="24"/>
                <w:highlight w:val="none"/>
                <w:lang w:val="en-US" w:eastAsia="zh-CN" w:bidi="ar-SA"/>
              </w:rPr>
              <w:t>50周岁以下，</w:t>
            </w:r>
            <w:r>
              <w:rPr>
                <w:rFonts w:hint="eastAsia" w:ascii="仿宋" w:hAnsi="仿宋" w:eastAsia="仿宋" w:cs="仿宋"/>
                <w:color w:val="auto"/>
                <w:sz w:val="24"/>
                <w:szCs w:val="24"/>
                <w:highlight w:val="none"/>
                <w:lang w:val="en-US" w:eastAsia="zh-CN"/>
              </w:rPr>
              <w:t>身体健康，无传染病及精神病史，体貌端正，无违法犯罪记录；</w:t>
            </w:r>
          </w:p>
          <w:p w14:paraId="15FF9194">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均持有保安员上岗证。</w:t>
            </w:r>
          </w:p>
        </w:tc>
      </w:tr>
      <w:tr w14:paraId="1E5C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7" w:hRule="exact"/>
          <w:jc w:val="center"/>
        </w:trPr>
        <w:tc>
          <w:tcPr>
            <w:tcW w:w="772" w:type="dxa"/>
            <w:noWrap w:val="0"/>
            <w:vAlign w:val="center"/>
          </w:tcPr>
          <w:p w14:paraId="1453FCAB">
            <w:pPr>
              <w:spacing w:line="2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1426" w:type="dxa"/>
            <w:noWrap w:val="0"/>
            <w:vAlign w:val="center"/>
          </w:tcPr>
          <w:p w14:paraId="3BB3ADF3">
            <w:pPr>
              <w:spacing w:line="28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消防控制</w:t>
            </w:r>
          </w:p>
          <w:p w14:paraId="19256274">
            <w:pPr>
              <w:spacing w:line="28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室人员</w:t>
            </w:r>
          </w:p>
        </w:tc>
        <w:tc>
          <w:tcPr>
            <w:tcW w:w="605" w:type="dxa"/>
            <w:noWrap w:val="0"/>
            <w:vAlign w:val="center"/>
          </w:tcPr>
          <w:p w14:paraId="76331A31">
            <w:pPr>
              <w:spacing w:line="280" w:lineRule="exact"/>
              <w:jc w:val="center"/>
              <w:textAlignment w:val="center"/>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w:t>
            </w:r>
          </w:p>
        </w:tc>
        <w:tc>
          <w:tcPr>
            <w:tcW w:w="6143" w:type="dxa"/>
            <w:noWrap w:val="0"/>
            <w:vAlign w:val="center"/>
          </w:tcPr>
          <w:p w14:paraId="78E0A33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SA"/>
              </w:rPr>
              <w:t>、50周岁以下，</w:t>
            </w:r>
            <w:r>
              <w:rPr>
                <w:rFonts w:hint="eastAsia" w:ascii="仿宋" w:hAnsi="仿宋" w:eastAsia="仿宋" w:cs="仿宋"/>
                <w:color w:val="auto"/>
                <w:sz w:val="24"/>
                <w:szCs w:val="24"/>
                <w:highlight w:val="none"/>
                <w:lang w:val="en-US" w:eastAsia="zh-CN"/>
              </w:rPr>
              <w:t>身体健康，无传染病及精神病史，体貌端正，无违法犯罪记录;</w:t>
            </w:r>
          </w:p>
          <w:p w14:paraId="02FB80CD">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均持有中级及以上消防设施操作员职业资格证书（或建（构）筑物消防员证）。</w:t>
            </w:r>
          </w:p>
        </w:tc>
      </w:tr>
      <w:tr w14:paraId="73C5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exact"/>
          <w:jc w:val="center"/>
        </w:trPr>
        <w:tc>
          <w:tcPr>
            <w:tcW w:w="772" w:type="dxa"/>
            <w:noWrap w:val="0"/>
            <w:vAlign w:val="center"/>
          </w:tcPr>
          <w:p w14:paraId="3BE2A3C0">
            <w:pPr>
              <w:spacing w:line="2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p>
        </w:tc>
        <w:tc>
          <w:tcPr>
            <w:tcW w:w="1426" w:type="dxa"/>
            <w:noWrap w:val="0"/>
            <w:vAlign w:val="center"/>
          </w:tcPr>
          <w:p w14:paraId="5BD7D73F">
            <w:pPr>
              <w:spacing w:line="280" w:lineRule="exact"/>
              <w:jc w:val="center"/>
              <w:textAlignment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绿化养护</w:t>
            </w:r>
          </w:p>
          <w:p w14:paraId="3A051973">
            <w:pPr>
              <w:spacing w:line="280" w:lineRule="exact"/>
              <w:jc w:val="center"/>
              <w:textAlignment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人员</w:t>
            </w:r>
          </w:p>
        </w:tc>
        <w:tc>
          <w:tcPr>
            <w:tcW w:w="605" w:type="dxa"/>
            <w:noWrap w:val="0"/>
            <w:vAlign w:val="center"/>
          </w:tcPr>
          <w:p w14:paraId="0338D5A7">
            <w:pPr>
              <w:spacing w:line="280" w:lineRule="exact"/>
              <w:jc w:val="center"/>
              <w:textAlignment w:val="center"/>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rPr>
              <w:t>1</w:t>
            </w:r>
          </w:p>
        </w:tc>
        <w:tc>
          <w:tcPr>
            <w:tcW w:w="6143" w:type="dxa"/>
            <w:noWrap w:val="0"/>
            <w:vAlign w:val="center"/>
          </w:tcPr>
          <w:p w14:paraId="68C8A8D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男性，身体健康，无传染病及精神病史，体貌端正，无违法犯罪记录。</w:t>
            </w:r>
          </w:p>
        </w:tc>
      </w:tr>
      <w:tr w14:paraId="071E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5" w:hRule="exact"/>
          <w:jc w:val="center"/>
        </w:trPr>
        <w:tc>
          <w:tcPr>
            <w:tcW w:w="772" w:type="dxa"/>
            <w:noWrap w:val="0"/>
            <w:vAlign w:val="center"/>
          </w:tcPr>
          <w:p w14:paraId="288E2193">
            <w:pPr>
              <w:spacing w:line="280" w:lineRule="exac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w:t>
            </w:r>
          </w:p>
        </w:tc>
        <w:tc>
          <w:tcPr>
            <w:tcW w:w="1426" w:type="dxa"/>
            <w:noWrap w:val="0"/>
            <w:vAlign w:val="center"/>
          </w:tcPr>
          <w:p w14:paraId="001B6A32">
            <w:pPr>
              <w:spacing w:line="280" w:lineRule="exact"/>
              <w:jc w:val="center"/>
              <w:textAlignment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维修人员</w:t>
            </w:r>
          </w:p>
        </w:tc>
        <w:tc>
          <w:tcPr>
            <w:tcW w:w="605" w:type="dxa"/>
            <w:noWrap w:val="0"/>
            <w:vAlign w:val="center"/>
          </w:tcPr>
          <w:p w14:paraId="128EBB09">
            <w:pPr>
              <w:tabs>
                <w:tab w:val="left" w:pos="490"/>
              </w:tabs>
              <w:spacing w:line="280" w:lineRule="exact"/>
              <w:jc w:val="center"/>
              <w:textAlignment w:val="center"/>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w:t>
            </w:r>
          </w:p>
        </w:tc>
        <w:tc>
          <w:tcPr>
            <w:tcW w:w="6143" w:type="dxa"/>
            <w:noWrap w:val="0"/>
            <w:vAlign w:val="center"/>
          </w:tcPr>
          <w:p w14:paraId="719DF96D">
            <w:pPr>
              <w:pStyle w:val="2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男性，身体健康，无传染病及精神病史，体貌端正，无违法犯罪记录：</w:t>
            </w:r>
          </w:p>
          <w:p w14:paraId="59EB8073">
            <w:pPr>
              <w:pStyle w:val="2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持有低压电工证。</w:t>
            </w:r>
          </w:p>
        </w:tc>
      </w:tr>
      <w:tr w14:paraId="4929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exact"/>
          <w:jc w:val="center"/>
        </w:trPr>
        <w:tc>
          <w:tcPr>
            <w:tcW w:w="8946" w:type="dxa"/>
            <w:gridSpan w:val="4"/>
            <w:noWrap w:val="0"/>
            <w:vAlign w:val="center"/>
          </w:tcPr>
          <w:p w14:paraId="77DF743C">
            <w:pPr>
              <w:spacing w:line="28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合计：</w:t>
            </w:r>
            <w:r>
              <w:rPr>
                <w:rFonts w:hint="eastAsia" w:ascii="仿宋" w:hAnsi="仿宋" w:eastAsia="仿宋" w:cs="仿宋"/>
                <w:b/>
                <w:bCs/>
                <w:color w:val="auto"/>
                <w:sz w:val="24"/>
                <w:szCs w:val="24"/>
                <w:highlight w:val="none"/>
                <w:lang w:val="en-US" w:eastAsia="zh-CN"/>
              </w:rPr>
              <w:t>23人</w:t>
            </w:r>
          </w:p>
        </w:tc>
      </w:tr>
    </w:tbl>
    <w:p w14:paraId="4B865DF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华文仿宋" w:hAnsi="华文仿宋" w:cs="华文仿宋"/>
          <w:b/>
          <w:bCs/>
          <w:color w:val="auto"/>
          <w:spacing w:val="-4"/>
          <w:kern w:val="2"/>
          <w:sz w:val="24"/>
          <w:szCs w:val="24"/>
          <w:highlight w:val="none"/>
          <w:lang w:val="en-US" w:eastAsia="zh-CN" w:bidi="ar-SA"/>
        </w:rPr>
      </w:pPr>
      <w:r>
        <w:rPr>
          <w:rFonts w:hint="eastAsia" w:ascii="华文仿宋" w:hAnsi="华文仿宋" w:cs="华文仿宋"/>
          <w:b/>
          <w:bCs/>
          <w:color w:val="auto"/>
          <w:spacing w:val="-4"/>
          <w:kern w:val="2"/>
          <w:sz w:val="24"/>
          <w:szCs w:val="24"/>
          <w:highlight w:val="none"/>
          <w:lang w:val="en-US" w:eastAsia="zh-CN" w:bidi="ar-SA"/>
        </w:rPr>
        <w:br w:type="page"/>
      </w:r>
    </w:p>
    <w:p w14:paraId="76F7096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华文仿宋" w:hAnsi="华文仿宋" w:eastAsia="华文仿宋" w:cs="华文仿宋"/>
          <w:b/>
          <w:bCs/>
          <w:color w:val="auto"/>
          <w:kern w:val="0"/>
          <w:sz w:val="24"/>
          <w:szCs w:val="24"/>
          <w:highlight w:val="none"/>
          <w:lang w:val="en-US" w:eastAsia="zh-CN" w:bidi="ar-SA"/>
        </w:rPr>
      </w:pPr>
      <w:r>
        <w:rPr>
          <w:rFonts w:hint="eastAsia" w:ascii="华文仿宋" w:hAnsi="华文仿宋" w:cs="华文仿宋"/>
          <w:b/>
          <w:bCs/>
          <w:color w:val="auto"/>
          <w:spacing w:val="-4"/>
          <w:kern w:val="2"/>
          <w:sz w:val="24"/>
          <w:szCs w:val="24"/>
          <w:highlight w:val="none"/>
          <w:lang w:val="en-US" w:eastAsia="zh-CN" w:bidi="ar-SA"/>
        </w:rPr>
        <w:t>表3：</w:t>
      </w:r>
      <w:r>
        <w:rPr>
          <w:rFonts w:hint="eastAsia" w:ascii="华文仿宋" w:hAnsi="华文仿宋" w:eastAsia="华文仿宋" w:cs="华文仿宋"/>
          <w:b/>
          <w:bCs/>
          <w:color w:val="auto"/>
          <w:kern w:val="0"/>
          <w:sz w:val="24"/>
          <w:szCs w:val="24"/>
          <w:highlight w:val="none"/>
          <w:lang w:val="en-US" w:eastAsia="zh-CN" w:bidi="ar-SA"/>
        </w:rPr>
        <w:t>岗位人员要求（寒暑假期间为3个月）</w:t>
      </w:r>
    </w:p>
    <w:tbl>
      <w:tblPr>
        <w:tblStyle w:val="26"/>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0"/>
        <w:gridCol w:w="1409"/>
        <w:gridCol w:w="619"/>
        <w:gridCol w:w="6150"/>
      </w:tblGrid>
      <w:tr w14:paraId="131B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jc w:val="center"/>
        </w:trPr>
        <w:tc>
          <w:tcPr>
            <w:tcW w:w="810" w:type="dxa"/>
            <w:noWrap w:val="0"/>
            <w:vAlign w:val="center"/>
          </w:tcPr>
          <w:p w14:paraId="0AD9C0A3">
            <w:pPr>
              <w:spacing w:afterLines="0" w:line="40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序号</w:t>
            </w:r>
          </w:p>
        </w:tc>
        <w:tc>
          <w:tcPr>
            <w:tcW w:w="1409" w:type="dxa"/>
            <w:noWrap w:val="0"/>
            <w:vAlign w:val="center"/>
          </w:tcPr>
          <w:p w14:paraId="7C5ACDFC">
            <w:pPr>
              <w:spacing w:afterLines="0" w:line="40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岗位</w:t>
            </w:r>
          </w:p>
        </w:tc>
        <w:tc>
          <w:tcPr>
            <w:tcW w:w="619" w:type="dxa"/>
            <w:noWrap w:val="0"/>
            <w:vAlign w:val="center"/>
          </w:tcPr>
          <w:p w14:paraId="33E654E0">
            <w:pPr>
              <w:spacing w:afterLines="0" w:line="40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人数</w:t>
            </w:r>
          </w:p>
        </w:tc>
        <w:tc>
          <w:tcPr>
            <w:tcW w:w="6150" w:type="dxa"/>
            <w:noWrap w:val="0"/>
            <w:vAlign w:val="center"/>
          </w:tcPr>
          <w:p w14:paraId="3F767ACF">
            <w:pPr>
              <w:spacing w:afterLines="0" w:line="400" w:lineRule="exact"/>
              <w:jc w:val="center"/>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要求</w:t>
            </w:r>
          </w:p>
        </w:tc>
      </w:tr>
      <w:tr w14:paraId="3521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24" w:hRule="exact"/>
          <w:jc w:val="center"/>
        </w:trPr>
        <w:tc>
          <w:tcPr>
            <w:tcW w:w="810" w:type="dxa"/>
            <w:noWrap w:val="0"/>
            <w:vAlign w:val="center"/>
          </w:tcPr>
          <w:p w14:paraId="5A9BCCD5">
            <w:pPr>
              <w:spacing w:afterLines="0" w:line="40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1</w:t>
            </w:r>
          </w:p>
        </w:tc>
        <w:tc>
          <w:tcPr>
            <w:tcW w:w="1409" w:type="dxa"/>
            <w:noWrap w:val="0"/>
            <w:vAlign w:val="center"/>
          </w:tcPr>
          <w:p w14:paraId="2B951871">
            <w:pPr>
              <w:spacing w:afterLines="0" w:line="400" w:lineRule="exact"/>
              <w:jc w:val="center"/>
              <w:textAlignment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eastAsia="zh-CN"/>
              </w:rPr>
              <w:t>保洁主管</w:t>
            </w:r>
          </w:p>
        </w:tc>
        <w:tc>
          <w:tcPr>
            <w:tcW w:w="619" w:type="dxa"/>
            <w:noWrap w:val="0"/>
            <w:vAlign w:val="center"/>
          </w:tcPr>
          <w:p w14:paraId="7CAA782B">
            <w:pPr>
              <w:spacing w:afterLines="0" w:line="400" w:lineRule="exact"/>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none"/>
                <w:lang w:val="en-US" w:eastAsia="zh-CN"/>
              </w:rPr>
              <w:t>1</w:t>
            </w:r>
          </w:p>
        </w:tc>
        <w:tc>
          <w:tcPr>
            <w:tcW w:w="6150" w:type="dxa"/>
            <w:noWrap w:val="0"/>
            <w:vAlign w:val="center"/>
          </w:tcPr>
          <w:p w14:paraId="37B0EA2E">
            <w:pPr>
              <w:pStyle w:val="2"/>
              <w:keepNext w:val="0"/>
              <w:keepLines w:val="0"/>
              <w:pageBreakBefore w:val="0"/>
              <w:widowControl/>
              <w:numPr>
                <w:ilvl w:val="0"/>
                <w:numId w:val="5"/>
              </w:numPr>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年龄55周岁以下，具有高中及以上学历，具有3年及以上类似项目工作经验；</w:t>
            </w:r>
          </w:p>
          <w:p w14:paraId="05785A8D">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2、身体健康，无传染病及精神病史，体貌端正，无违法犯罪记录；</w:t>
            </w:r>
          </w:p>
          <w:p w14:paraId="7755D182">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sz w:val="24"/>
                <w:szCs w:val="24"/>
                <w:highlight w:val="none"/>
                <w:vertAlign w:val="baseline"/>
                <w:lang w:val="en-US" w:eastAsia="zh-CN"/>
              </w:rPr>
              <w:t>具有较好的组织、协调及沟通能力，负责保洁的日常管理及后勤保障科安排的其他相关工作</w:t>
            </w:r>
            <w:r>
              <w:rPr>
                <w:rFonts w:hint="eastAsia" w:ascii="仿宋" w:hAnsi="仿宋" w:eastAsia="仿宋" w:cs="仿宋"/>
                <w:color w:val="auto"/>
                <w:kern w:val="0"/>
                <w:sz w:val="24"/>
                <w:szCs w:val="24"/>
                <w:highlight w:val="none"/>
                <w:lang w:val="en-US" w:eastAsia="zh-CN" w:bidi="ar-SA"/>
              </w:rPr>
              <w:t>。</w:t>
            </w:r>
          </w:p>
          <w:p w14:paraId="79958F22">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textAlignment w:val="auto"/>
              <w:rPr>
                <w:rFonts w:hint="default" w:ascii="仿宋" w:hAnsi="仿宋" w:eastAsia="仿宋" w:cs="仿宋"/>
                <w:color w:val="auto"/>
                <w:kern w:val="0"/>
                <w:sz w:val="24"/>
                <w:szCs w:val="24"/>
                <w:highlight w:val="none"/>
                <w:lang w:val="en-US" w:eastAsia="zh-CN" w:bidi="ar-SA"/>
              </w:rPr>
            </w:pPr>
          </w:p>
          <w:p w14:paraId="79C811A4">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textAlignment w:val="auto"/>
              <w:rPr>
                <w:rFonts w:hint="eastAsia" w:ascii="仿宋" w:hAnsi="仿宋" w:eastAsia="仿宋" w:cs="仿宋"/>
                <w:color w:val="auto"/>
                <w:kern w:val="0"/>
                <w:sz w:val="24"/>
                <w:szCs w:val="24"/>
                <w:highlight w:val="none"/>
                <w:lang w:val="en-US" w:eastAsia="zh-CN" w:bidi="ar-SA"/>
              </w:rPr>
            </w:pPr>
          </w:p>
        </w:tc>
      </w:tr>
      <w:tr w14:paraId="6DDA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1" w:hRule="exact"/>
          <w:jc w:val="center"/>
        </w:trPr>
        <w:tc>
          <w:tcPr>
            <w:tcW w:w="810" w:type="dxa"/>
            <w:noWrap w:val="0"/>
            <w:vAlign w:val="center"/>
          </w:tcPr>
          <w:p w14:paraId="462B93B6">
            <w:pPr>
              <w:spacing w:afterLines="0" w:line="400" w:lineRule="exact"/>
              <w:jc w:val="center"/>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1409" w:type="dxa"/>
            <w:noWrap w:val="0"/>
            <w:vAlign w:val="center"/>
          </w:tcPr>
          <w:p w14:paraId="1FE5543E">
            <w:pPr>
              <w:spacing w:afterLines="0" w:line="40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保洁人员</w:t>
            </w:r>
          </w:p>
          <w:p w14:paraId="1C6BA99C">
            <w:pPr>
              <w:spacing w:afterLines="0" w:line="400" w:lineRule="exact"/>
              <w:jc w:val="center"/>
              <w:textAlignment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eastAsia="zh-CN"/>
              </w:rPr>
              <w:t>（包含客房服务人员）</w:t>
            </w:r>
          </w:p>
        </w:tc>
        <w:tc>
          <w:tcPr>
            <w:tcW w:w="619" w:type="dxa"/>
            <w:noWrap w:val="0"/>
            <w:vAlign w:val="center"/>
          </w:tcPr>
          <w:p w14:paraId="689C125D">
            <w:pPr>
              <w:spacing w:afterLines="0" w:line="400" w:lineRule="exact"/>
              <w:jc w:val="center"/>
              <w:textAlignment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u w:val="none"/>
                <w:lang w:val="en-US" w:eastAsia="zh-CN"/>
              </w:rPr>
              <w:t>4</w:t>
            </w:r>
          </w:p>
        </w:tc>
        <w:tc>
          <w:tcPr>
            <w:tcW w:w="6150" w:type="dxa"/>
            <w:noWrap w:val="0"/>
            <w:vAlign w:val="center"/>
          </w:tcPr>
          <w:p w14:paraId="1DB95425">
            <w:pPr>
              <w:spacing w:afterLines="0" w:line="4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身体健康，无传染病及精神病史，体貌端正，无违法犯罪记录。</w:t>
            </w:r>
          </w:p>
        </w:tc>
      </w:tr>
      <w:tr w14:paraId="7A8C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5" w:hRule="exact"/>
          <w:jc w:val="center"/>
        </w:trPr>
        <w:tc>
          <w:tcPr>
            <w:tcW w:w="810" w:type="dxa"/>
            <w:noWrap w:val="0"/>
            <w:vAlign w:val="center"/>
          </w:tcPr>
          <w:p w14:paraId="50FA847D">
            <w:pPr>
              <w:spacing w:afterLines="0" w:line="400" w:lineRule="exact"/>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09" w:type="dxa"/>
            <w:noWrap w:val="0"/>
            <w:vAlign w:val="center"/>
          </w:tcPr>
          <w:p w14:paraId="11BE165F">
            <w:pPr>
              <w:spacing w:afterLines="0" w:line="400" w:lineRule="exact"/>
              <w:jc w:val="center"/>
              <w:textAlignment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保安队长</w:t>
            </w:r>
          </w:p>
        </w:tc>
        <w:tc>
          <w:tcPr>
            <w:tcW w:w="619" w:type="dxa"/>
            <w:noWrap w:val="0"/>
            <w:vAlign w:val="center"/>
          </w:tcPr>
          <w:p w14:paraId="7ACA426C">
            <w:pPr>
              <w:spacing w:afterLines="0" w:line="400" w:lineRule="exact"/>
              <w:jc w:val="center"/>
              <w:textAlignment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w:t>
            </w:r>
          </w:p>
        </w:tc>
        <w:tc>
          <w:tcPr>
            <w:tcW w:w="6150" w:type="dxa"/>
            <w:noWrap w:val="0"/>
            <w:vAlign w:val="center"/>
          </w:tcPr>
          <w:p w14:paraId="448DA0FC">
            <w:pPr>
              <w:pStyle w:val="2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男性，具有高中及以上学历，50周岁以下身体健康，无传染病及精神病史，体貌端正，无违法犯罪记录；</w:t>
            </w:r>
          </w:p>
          <w:p w14:paraId="52B6885A">
            <w:pPr>
              <w:pStyle w:val="21"/>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400" w:lineRule="exac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具有较好的组织、协调及沟通能力，负责校园的日常安保管理及公寓保卫科安排的其他相关工作</w:t>
            </w:r>
            <w:r>
              <w:rPr>
                <w:rFonts w:hint="default" w:ascii="仿宋" w:hAnsi="仿宋" w:eastAsia="仿宋" w:cs="仿宋"/>
                <w:color w:val="auto"/>
                <w:kern w:val="0"/>
                <w:sz w:val="24"/>
                <w:szCs w:val="24"/>
                <w:highlight w:val="none"/>
                <w:lang w:val="en-US" w:eastAsia="zh-CN" w:bidi="ar-SA"/>
              </w:rPr>
              <w:t xml:space="preserve">; </w:t>
            </w:r>
          </w:p>
          <w:p w14:paraId="1B36FB3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400" w:lineRule="exact"/>
              <w:rPr>
                <w:rFonts w:hint="eastAsia" w:ascii="仿宋" w:hAnsi="仿宋" w:eastAsia="仿宋" w:cs="仿宋"/>
                <w:color w:val="000000"/>
                <w:kern w:val="2"/>
                <w:sz w:val="24"/>
                <w:szCs w:val="24"/>
                <w:highlight w:val="none"/>
                <w:vertAlign w:val="baseline"/>
                <w:lang w:val="en-US" w:eastAsia="zh-CN" w:bidi="ar-SA"/>
              </w:rPr>
            </w:pPr>
            <w:r>
              <w:rPr>
                <w:rFonts w:hint="default" w:ascii="仿宋" w:hAnsi="仿宋" w:eastAsia="仿宋" w:cs="仿宋"/>
                <w:color w:val="auto"/>
                <w:kern w:val="0"/>
                <w:sz w:val="24"/>
                <w:szCs w:val="24"/>
                <w:highlight w:val="none"/>
                <w:lang w:val="en-US" w:eastAsia="zh-CN" w:bidi="ar-SA"/>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持有保安员上岗证。</w:t>
            </w:r>
          </w:p>
        </w:tc>
      </w:tr>
      <w:tr w14:paraId="49E3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2" w:hRule="exact"/>
          <w:jc w:val="center"/>
        </w:trPr>
        <w:tc>
          <w:tcPr>
            <w:tcW w:w="810" w:type="dxa"/>
            <w:noWrap w:val="0"/>
            <w:vAlign w:val="center"/>
          </w:tcPr>
          <w:p w14:paraId="5976735D">
            <w:pPr>
              <w:spacing w:afterLines="0"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1409" w:type="dxa"/>
            <w:noWrap w:val="0"/>
            <w:vAlign w:val="center"/>
          </w:tcPr>
          <w:p w14:paraId="380ABABC">
            <w:pPr>
              <w:spacing w:afterLines="0" w:line="40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安保人员</w:t>
            </w:r>
          </w:p>
        </w:tc>
        <w:tc>
          <w:tcPr>
            <w:tcW w:w="619" w:type="dxa"/>
            <w:noWrap w:val="0"/>
            <w:vAlign w:val="center"/>
          </w:tcPr>
          <w:p w14:paraId="721B44D8">
            <w:pPr>
              <w:spacing w:afterLines="0" w:line="400" w:lineRule="exact"/>
              <w:jc w:val="center"/>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4</w:t>
            </w:r>
          </w:p>
        </w:tc>
        <w:tc>
          <w:tcPr>
            <w:tcW w:w="6150" w:type="dxa"/>
            <w:noWrap w:val="0"/>
            <w:vAlign w:val="center"/>
          </w:tcPr>
          <w:p w14:paraId="7B6AEA9E">
            <w:pPr>
              <w:pStyle w:val="2"/>
              <w:keepNext w:val="0"/>
              <w:keepLines w:val="0"/>
              <w:pageBreakBefore w:val="0"/>
              <w:widowControl/>
              <w:numPr>
                <w:ilvl w:val="0"/>
                <w:numId w:val="7"/>
              </w:numPr>
              <w:kinsoku/>
              <w:wordWrap/>
              <w:overflowPunct/>
              <w:topLinePunct w:val="0"/>
              <w:autoSpaceDE/>
              <w:autoSpaceDN/>
              <w:bidi w:val="0"/>
              <w:adjustRightInd/>
              <w:snapToGrid/>
              <w:spacing w:afterLines="0" w:line="400" w:lineRule="exact"/>
              <w:ind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男性，50周岁以下，身体健康，无传染病及精神病史，体貌端正，无违法犯罪记录；</w:t>
            </w:r>
          </w:p>
          <w:p w14:paraId="4FC5E580">
            <w:pPr>
              <w:pStyle w:val="2"/>
              <w:keepNext w:val="0"/>
              <w:keepLines w:val="0"/>
              <w:pageBreakBefore w:val="0"/>
              <w:widowControl/>
              <w:numPr>
                <w:ilvl w:val="0"/>
                <w:numId w:val="7"/>
              </w:numPr>
              <w:kinsoku/>
              <w:wordWrap/>
              <w:overflowPunct/>
              <w:topLinePunct w:val="0"/>
              <w:autoSpaceDE/>
              <w:autoSpaceDN/>
              <w:bidi w:val="0"/>
              <w:adjustRightInd/>
              <w:snapToGrid/>
              <w:spacing w:afterLines="0" w:line="400" w:lineRule="exact"/>
              <w:ind w:firstLine="0" w:firstLineChars="0"/>
              <w:textAlignment w:val="auto"/>
              <w:rPr>
                <w:rFonts w:hint="default" w:ascii="仿宋" w:hAnsi="仿宋" w:eastAsia="仿宋" w:cs="仿宋"/>
                <w:color w:val="auto"/>
                <w:kern w:val="0"/>
                <w:highlight w:val="none"/>
                <w:lang w:val="en-US" w:eastAsia="zh-CN"/>
              </w:rPr>
            </w:pPr>
            <w:r>
              <w:rPr>
                <w:rFonts w:hint="eastAsia" w:ascii="仿宋" w:hAnsi="仿宋" w:eastAsia="仿宋" w:cs="仿宋"/>
                <w:color w:val="auto"/>
                <w:kern w:val="0"/>
                <w:sz w:val="24"/>
                <w:szCs w:val="24"/>
                <w:highlight w:val="none"/>
                <w:lang w:val="en-US" w:eastAsia="zh-CN" w:bidi="ar-SA"/>
              </w:rPr>
              <w:t>均持有保安员上岗证。</w:t>
            </w:r>
          </w:p>
        </w:tc>
      </w:tr>
      <w:tr w14:paraId="1354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1" w:hRule="exact"/>
          <w:jc w:val="center"/>
        </w:trPr>
        <w:tc>
          <w:tcPr>
            <w:tcW w:w="810" w:type="dxa"/>
            <w:noWrap w:val="0"/>
            <w:vAlign w:val="center"/>
          </w:tcPr>
          <w:p w14:paraId="4391D31A">
            <w:pPr>
              <w:spacing w:afterLines="0"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409" w:type="dxa"/>
            <w:noWrap w:val="0"/>
            <w:vAlign w:val="center"/>
          </w:tcPr>
          <w:p w14:paraId="56BBE75F">
            <w:pPr>
              <w:spacing w:afterLines="0" w:line="40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消防控制</w:t>
            </w:r>
          </w:p>
          <w:p w14:paraId="261F4836">
            <w:pPr>
              <w:spacing w:afterLines="0" w:line="40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eastAsia="zh-CN"/>
              </w:rPr>
              <w:t>室人员</w:t>
            </w:r>
          </w:p>
        </w:tc>
        <w:tc>
          <w:tcPr>
            <w:tcW w:w="619" w:type="dxa"/>
            <w:noWrap w:val="0"/>
            <w:vAlign w:val="center"/>
          </w:tcPr>
          <w:p w14:paraId="54A7CEE1">
            <w:pPr>
              <w:spacing w:afterLines="0" w:line="400" w:lineRule="exact"/>
              <w:jc w:val="center"/>
              <w:textAlignment w:val="center"/>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w:t>
            </w:r>
          </w:p>
        </w:tc>
        <w:tc>
          <w:tcPr>
            <w:tcW w:w="6150" w:type="dxa"/>
            <w:noWrap w:val="0"/>
            <w:vAlign w:val="center"/>
          </w:tcPr>
          <w:p w14:paraId="0934A6D9">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50周岁以下，身体健康，无传染病及精神病史，体貌端正，无违法犯罪记录；</w:t>
            </w:r>
          </w:p>
          <w:p w14:paraId="7C5373C5">
            <w:pPr>
              <w:pStyle w:val="2"/>
              <w:keepNext w:val="0"/>
              <w:keepLines w:val="0"/>
              <w:pageBreakBefore w:val="0"/>
              <w:widowControl/>
              <w:numPr>
                <w:ilvl w:val="0"/>
                <w:numId w:val="0"/>
              </w:numPr>
              <w:kinsoku/>
              <w:wordWrap/>
              <w:overflowPunct/>
              <w:topLinePunct w:val="0"/>
              <w:autoSpaceDE/>
              <w:autoSpaceDN/>
              <w:bidi w:val="0"/>
              <w:adjustRightInd/>
              <w:snapToGrid/>
              <w:spacing w:afterLines="0" w:line="400" w:lineRule="exact"/>
              <w:ind w:firstLine="0" w:firstLineChars="0"/>
              <w:textAlignment w:val="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均持有中级及以上消防设施操作员职业资格证书（或建（构）筑物消防员证）。</w:t>
            </w:r>
          </w:p>
        </w:tc>
      </w:tr>
      <w:tr w14:paraId="3D67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8" w:hRule="exact"/>
          <w:jc w:val="center"/>
        </w:trPr>
        <w:tc>
          <w:tcPr>
            <w:tcW w:w="810" w:type="dxa"/>
            <w:noWrap w:val="0"/>
            <w:vAlign w:val="center"/>
          </w:tcPr>
          <w:p w14:paraId="5B15E4D5">
            <w:pPr>
              <w:spacing w:afterLines="0" w:line="400" w:lineRule="exac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1409" w:type="dxa"/>
            <w:noWrap w:val="0"/>
            <w:vAlign w:val="center"/>
          </w:tcPr>
          <w:p w14:paraId="3270022B">
            <w:pPr>
              <w:spacing w:afterLines="0" w:line="400" w:lineRule="exact"/>
              <w:jc w:val="center"/>
              <w:textAlignment w:val="center"/>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bidi="ar-SA"/>
              </w:rPr>
              <w:t>维修人员</w:t>
            </w:r>
          </w:p>
        </w:tc>
        <w:tc>
          <w:tcPr>
            <w:tcW w:w="619" w:type="dxa"/>
            <w:noWrap w:val="0"/>
            <w:vAlign w:val="center"/>
          </w:tcPr>
          <w:p w14:paraId="69B9280A">
            <w:pPr>
              <w:tabs>
                <w:tab w:val="left" w:pos="490"/>
              </w:tabs>
              <w:spacing w:afterLines="0" w:line="400" w:lineRule="exact"/>
              <w:jc w:val="center"/>
              <w:textAlignment w:val="cente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w:t>
            </w:r>
          </w:p>
        </w:tc>
        <w:tc>
          <w:tcPr>
            <w:tcW w:w="6150" w:type="dxa"/>
            <w:noWrap w:val="0"/>
            <w:vAlign w:val="center"/>
          </w:tcPr>
          <w:p w14:paraId="0F872765">
            <w:pPr>
              <w:pStyle w:val="2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男性，身体健康，无传染病及精神病史，体貌端正，无违法犯罪记录：</w:t>
            </w:r>
          </w:p>
          <w:p w14:paraId="1C93C54C">
            <w:pPr>
              <w:pStyle w:val="2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400" w:lineRule="exact"/>
              <w:rPr>
                <w:rFonts w:hint="eastAsia" w:ascii="仿宋" w:hAnsi="仿宋" w:eastAsia="仿宋" w:cs="仿宋"/>
                <w:color w:val="auto"/>
                <w:kern w:val="0"/>
                <w:szCs w:val="24"/>
                <w:highlight w:val="none"/>
                <w:lang w:val="en-US" w:eastAsia="zh-CN"/>
              </w:rPr>
            </w:pPr>
            <w:r>
              <w:rPr>
                <w:rFonts w:hint="eastAsia" w:ascii="仿宋" w:hAnsi="仿宋" w:eastAsia="仿宋" w:cs="仿宋"/>
                <w:color w:val="auto"/>
                <w:sz w:val="24"/>
                <w:szCs w:val="24"/>
                <w:highlight w:val="none"/>
                <w:lang w:val="en-US" w:eastAsia="zh-CN"/>
              </w:rPr>
              <w:t>持有低压电工证。</w:t>
            </w:r>
          </w:p>
        </w:tc>
      </w:tr>
      <w:tr w14:paraId="5842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9" w:hRule="exact"/>
          <w:jc w:val="center"/>
        </w:trPr>
        <w:tc>
          <w:tcPr>
            <w:tcW w:w="8988" w:type="dxa"/>
            <w:gridSpan w:val="4"/>
            <w:noWrap w:val="0"/>
            <w:vAlign w:val="center"/>
          </w:tcPr>
          <w:p w14:paraId="6D71FF78">
            <w:pPr>
              <w:spacing w:afterLines="0" w:line="40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合计：</w:t>
            </w:r>
            <w:r>
              <w:rPr>
                <w:rFonts w:hint="eastAsia" w:ascii="仿宋" w:hAnsi="仿宋" w:eastAsia="仿宋" w:cs="仿宋"/>
                <w:b/>
                <w:bCs/>
                <w:color w:val="auto"/>
                <w:sz w:val="24"/>
                <w:szCs w:val="24"/>
                <w:highlight w:val="none"/>
                <w:lang w:val="en-US" w:eastAsia="zh-CN"/>
              </w:rPr>
              <w:t>13人</w:t>
            </w:r>
          </w:p>
        </w:tc>
      </w:tr>
    </w:tbl>
    <w:p w14:paraId="4C109DBF">
      <w:pPr>
        <w:keepNext w:val="0"/>
        <w:keepLines w:val="0"/>
        <w:pageBreakBefore w:val="0"/>
        <w:widowControl w:val="0"/>
        <w:kinsoku/>
        <w:wordWrap/>
        <w:overflowPunct/>
        <w:topLinePunct w:val="0"/>
        <w:autoSpaceDE/>
        <w:autoSpaceDN/>
        <w:bidi w:val="0"/>
        <w:adjustRightInd/>
        <w:snapToGrid/>
        <w:spacing w:beforeLines="0" w:afterLines="0" w:line="500" w:lineRule="exact"/>
        <w:ind w:firstLine="566" w:firstLineChars="200"/>
        <w:textAlignment w:val="baseline"/>
        <w:rPr>
          <w:rFonts w:hint="eastAsia" w:ascii="仿宋" w:hAnsi="仿宋" w:eastAsia="仿宋" w:cs="仿宋"/>
          <w:b/>
          <w:bCs/>
          <w:color w:val="000000"/>
          <w:highlight w:val="none"/>
        </w:rPr>
      </w:pP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highlight w:val="none"/>
        </w:rPr>
        <w:t>实质性条款要求</w:t>
      </w:r>
    </w:p>
    <w:p w14:paraId="09FC5BE2">
      <w:pPr>
        <w:keepNext w:val="0"/>
        <w:keepLines w:val="0"/>
        <w:pageBreakBefore w:val="0"/>
        <w:widowControl w:val="0"/>
        <w:kinsoku/>
        <w:wordWrap/>
        <w:overflowPunct/>
        <w:topLinePunct w:val="0"/>
        <w:autoSpaceDE/>
        <w:autoSpaceDN/>
        <w:bidi w:val="0"/>
        <w:adjustRightInd/>
        <w:snapToGrid/>
        <w:spacing w:beforeLines="0" w:afterLines="0" w:line="500" w:lineRule="exact"/>
        <w:ind w:firstLine="566" w:firstLineChars="200"/>
        <w:textAlignment w:val="baseline"/>
        <w:rPr>
          <w:rFonts w:hint="eastAsia" w:ascii="仿宋" w:hAnsi="仿宋" w:eastAsia="仿宋" w:cs="仿宋"/>
          <w:b/>
          <w:bCs/>
          <w:color w:val="000000"/>
          <w:highlight w:val="none"/>
        </w:rPr>
      </w:pP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一</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rPr>
        <w:t>承诺</w:t>
      </w:r>
      <w:r>
        <w:rPr>
          <w:rFonts w:hint="eastAsia" w:ascii="仿宋" w:hAnsi="仿宋" w:eastAsia="仿宋" w:cs="仿宋"/>
          <w:b/>
          <w:bCs/>
          <w:color w:val="000000"/>
          <w:sz w:val="28"/>
          <w:szCs w:val="28"/>
          <w:highlight w:val="none"/>
          <w:lang w:val="en-US" w:eastAsia="zh-CN"/>
        </w:rPr>
        <w:t>函</w:t>
      </w:r>
      <w:r>
        <w:rPr>
          <w:rFonts w:hint="eastAsia" w:ascii="仿宋" w:hAnsi="仿宋" w:eastAsia="仿宋" w:cs="仿宋"/>
          <w:b/>
          <w:bCs/>
          <w:color w:val="000000"/>
          <w:spacing w:val="-4"/>
          <w:highlight w:val="none"/>
        </w:rPr>
        <w:t>（</w:t>
      </w:r>
      <w:r>
        <w:rPr>
          <w:rFonts w:hint="eastAsia" w:ascii="仿宋" w:hAnsi="仿宋" w:eastAsia="仿宋" w:cs="仿宋"/>
          <w:b/>
          <w:bCs/>
          <w:color w:val="000000"/>
        </w:rPr>
        <w:t>须提供承诺函，格式自拟，未提供承诺函则视为无效响应</w:t>
      </w:r>
      <w:r>
        <w:rPr>
          <w:rFonts w:hint="eastAsia" w:ascii="仿宋" w:hAnsi="仿宋" w:eastAsia="仿宋" w:cs="仿宋"/>
          <w:b/>
          <w:bCs/>
          <w:color w:val="000000"/>
          <w:highlight w:val="none"/>
        </w:rPr>
        <w:t>）</w:t>
      </w:r>
    </w:p>
    <w:p w14:paraId="07AAE247">
      <w:pPr>
        <w:widowControl w:val="0"/>
        <w:numPr>
          <w:ilvl w:val="0"/>
          <w:numId w:val="0"/>
        </w:numPr>
        <w:spacing w:beforeLines="0" w:afterLines="0" w:line="500" w:lineRule="exact"/>
        <w:ind w:firstLine="566" w:firstLineChars="200"/>
        <w:textAlignment w:val="baseline"/>
        <w:rPr>
          <w:rFonts w:hint="eastAsia" w:ascii="仿宋" w:hAnsi="仿宋" w:eastAsia="仿宋" w:cs="仿宋"/>
          <w:b/>
          <w:bCs/>
          <w:color w:val="000000"/>
          <w:spacing w:val="-4"/>
          <w:highlight w:val="none"/>
          <w:lang w:eastAsia="zh-CN"/>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lang w:val="en-US" w:eastAsia="zh-CN"/>
        </w:rPr>
        <w:t>须</w:t>
      </w:r>
      <w:r>
        <w:rPr>
          <w:rFonts w:hint="eastAsia" w:ascii="仿宋" w:hAnsi="仿宋" w:eastAsia="仿宋" w:cs="仿宋"/>
          <w:b/>
          <w:bCs/>
          <w:color w:val="000000"/>
          <w:sz w:val="28"/>
          <w:szCs w:val="28"/>
          <w:highlight w:val="none"/>
        </w:rPr>
        <w:t>承诺</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pacing w:val="-4"/>
          <w:highlight w:val="none"/>
        </w:rPr>
        <w:t>拟派物业服务人员完全满足</w:t>
      </w:r>
      <w:r>
        <w:rPr>
          <w:rFonts w:hint="eastAsia" w:ascii="仿宋" w:hAnsi="仿宋" w:eastAsia="仿宋" w:cs="仿宋"/>
          <w:b/>
          <w:bCs/>
          <w:color w:val="000000"/>
          <w:spacing w:val="-4"/>
          <w:highlight w:val="none"/>
          <w:lang w:val="en-US" w:eastAsia="zh-CN"/>
        </w:rPr>
        <w:t>磋商</w:t>
      </w:r>
      <w:r>
        <w:rPr>
          <w:rFonts w:hint="eastAsia" w:ascii="仿宋" w:hAnsi="仿宋" w:eastAsia="仿宋" w:cs="仿宋"/>
          <w:b/>
          <w:bCs/>
          <w:color w:val="000000"/>
          <w:spacing w:val="-4"/>
          <w:highlight w:val="none"/>
        </w:rPr>
        <w:t>文件</w:t>
      </w:r>
      <w:r>
        <w:rPr>
          <w:rFonts w:hint="eastAsia" w:ascii="仿宋" w:hAnsi="仿宋" w:eastAsia="仿宋" w:cs="仿宋"/>
          <w:b/>
          <w:bCs/>
          <w:color w:val="auto"/>
          <w:kern w:val="0"/>
          <w:sz w:val="28"/>
          <w:highlight w:val="none"/>
          <w:lang w:val="en-US" w:eastAsia="zh-CN"/>
        </w:rPr>
        <w:t>教学期间（</w:t>
      </w:r>
      <w:r>
        <w:rPr>
          <w:rFonts w:hint="eastAsia" w:ascii="仿宋" w:hAnsi="仿宋" w:eastAsia="仿宋" w:cs="仿宋"/>
          <w:b/>
          <w:bCs/>
          <w:color w:val="000000"/>
          <w:spacing w:val="-4"/>
          <w:highlight w:val="none"/>
          <w:lang w:val="en-US" w:eastAsia="zh-CN"/>
        </w:rPr>
        <w:t>23</w:t>
      </w:r>
      <w:r>
        <w:rPr>
          <w:rFonts w:hint="eastAsia" w:ascii="仿宋" w:hAnsi="仿宋" w:eastAsia="仿宋" w:cs="仿宋"/>
          <w:b/>
          <w:bCs/>
          <w:color w:val="000000"/>
          <w:spacing w:val="-4"/>
          <w:highlight w:val="none"/>
        </w:rPr>
        <w:t>人</w:t>
      </w:r>
      <w:r>
        <w:rPr>
          <w:rFonts w:hint="eastAsia" w:ascii="仿宋" w:hAnsi="仿宋" w:eastAsia="仿宋" w:cs="仿宋"/>
          <w:b/>
          <w:bCs/>
          <w:color w:val="auto"/>
          <w:kern w:val="0"/>
          <w:sz w:val="28"/>
          <w:highlight w:val="none"/>
          <w:lang w:val="en-US" w:eastAsia="zh-CN"/>
        </w:rPr>
        <w:t>）</w:t>
      </w:r>
      <w:r>
        <w:rPr>
          <w:rFonts w:hint="eastAsia" w:ascii="仿宋" w:hAnsi="仿宋" w:eastAsia="仿宋" w:cs="仿宋"/>
          <w:b/>
          <w:bCs/>
          <w:color w:val="000000"/>
          <w:spacing w:val="-4"/>
          <w:highlight w:val="none"/>
          <w:lang w:eastAsia="zh-CN"/>
        </w:rPr>
        <w:t>，</w:t>
      </w:r>
      <w:r>
        <w:rPr>
          <w:rFonts w:hint="eastAsia" w:ascii="仿宋" w:hAnsi="仿宋" w:eastAsia="仿宋" w:cs="仿宋"/>
          <w:b/>
          <w:bCs/>
          <w:color w:val="auto"/>
          <w:kern w:val="0"/>
          <w:sz w:val="28"/>
          <w:highlight w:val="none"/>
          <w:lang w:val="en-US" w:eastAsia="zh-CN" w:bidi="ar-SA"/>
        </w:rPr>
        <w:t>寒暑假期间（13</w:t>
      </w:r>
      <w:r>
        <w:rPr>
          <w:rFonts w:hint="eastAsia" w:ascii="仿宋" w:hAnsi="仿宋" w:eastAsia="仿宋" w:cs="仿宋"/>
          <w:b/>
          <w:bCs/>
          <w:color w:val="000000"/>
          <w:spacing w:val="-4"/>
          <w:highlight w:val="none"/>
        </w:rPr>
        <w:t>人</w:t>
      </w:r>
      <w:r>
        <w:rPr>
          <w:rFonts w:hint="eastAsia" w:ascii="仿宋" w:hAnsi="仿宋" w:eastAsia="仿宋" w:cs="仿宋"/>
          <w:b/>
          <w:bCs/>
          <w:color w:val="auto"/>
          <w:kern w:val="0"/>
          <w:sz w:val="28"/>
          <w:highlight w:val="none"/>
          <w:lang w:val="en-US" w:eastAsia="zh-CN" w:bidi="ar-SA"/>
        </w:rPr>
        <w:t>）</w:t>
      </w:r>
      <w:r>
        <w:rPr>
          <w:rFonts w:hint="eastAsia" w:ascii="仿宋" w:hAnsi="仿宋" w:eastAsia="仿宋" w:cs="仿宋"/>
          <w:b/>
          <w:bCs/>
          <w:color w:val="000000"/>
          <w:spacing w:val="-4"/>
          <w:highlight w:val="none"/>
        </w:rPr>
        <w:t>要求</w:t>
      </w:r>
      <w:r>
        <w:rPr>
          <w:rFonts w:hint="eastAsia" w:ascii="仿宋" w:hAnsi="仿宋" w:eastAsia="仿宋" w:cs="仿宋"/>
          <w:b/>
          <w:bCs/>
          <w:color w:val="000000"/>
          <w:spacing w:val="-4"/>
          <w:highlight w:val="none"/>
          <w:lang w:eastAsia="zh-CN"/>
        </w:rPr>
        <w:t>。</w:t>
      </w:r>
    </w:p>
    <w:p w14:paraId="167552F9">
      <w:pPr>
        <w:pStyle w:val="2"/>
        <w:spacing w:beforeLines="0" w:afterLines="0" w:line="500" w:lineRule="exact"/>
        <w:ind w:firstLine="566" w:firstLineChars="200"/>
        <w:rPr>
          <w:rFonts w:hint="eastAsia" w:ascii="仿宋" w:hAnsi="仿宋" w:eastAsia="仿宋" w:cs="仿宋"/>
          <w:b/>
          <w:bCs/>
          <w:color w:val="000000"/>
          <w:sz w:val="28"/>
          <w:szCs w:val="28"/>
          <w:highlight w:val="none"/>
          <w:u w:val="none"/>
          <w:lang w:val="en-US" w:eastAsia="zh-CN"/>
        </w:rPr>
      </w:pPr>
      <w:r>
        <w:rPr>
          <w:rFonts w:hint="eastAsia" w:ascii="仿宋" w:hAnsi="仿宋" w:eastAsia="仿宋" w:cs="仿宋"/>
          <w:b/>
          <w:bCs/>
          <w:color w:val="000000"/>
          <w:spacing w:val="0"/>
          <w:sz w:val="28"/>
          <w:szCs w:val="28"/>
          <w:highlight w:val="none"/>
          <w:lang w:val="en-US" w:eastAsia="zh-CN"/>
        </w:rPr>
        <w:t>2、</w:t>
      </w:r>
      <w:r>
        <w:rPr>
          <w:rFonts w:hint="eastAsia" w:ascii="仿宋" w:hAnsi="仿宋" w:eastAsia="仿宋" w:cs="仿宋"/>
          <w:b/>
          <w:bCs/>
          <w:color w:val="000000"/>
          <w:spacing w:val="0"/>
          <w:sz w:val="28"/>
          <w:szCs w:val="28"/>
          <w:highlight w:val="none"/>
          <w:lang w:eastAsia="zh-CN"/>
        </w:rPr>
        <w:t>供应商</w:t>
      </w:r>
      <w:r>
        <w:rPr>
          <w:rFonts w:hint="eastAsia" w:ascii="仿宋" w:hAnsi="仿宋" w:eastAsia="仿宋" w:cs="仿宋"/>
          <w:b/>
          <w:bCs/>
          <w:color w:val="000000"/>
          <w:spacing w:val="0"/>
          <w:sz w:val="28"/>
          <w:szCs w:val="28"/>
          <w:highlight w:val="none"/>
        </w:rPr>
        <w:t>须承诺：拟派</w:t>
      </w:r>
      <w:r>
        <w:rPr>
          <w:rFonts w:hint="eastAsia" w:ascii="仿宋" w:hAnsi="仿宋" w:eastAsia="仿宋" w:cs="仿宋"/>
          <w:b/>
          <w:bCs/>
          <w:color w:val="auto"/>
          <w:kern w:val="0"/>
          <w:sz w:val="28"/>
          <w:szCs w:val="28"/>
          <w:highlight w:val="none"/>
          <w:lang w:val="en-US" w:eastAsia="zh-CN"/>
        </w:rPr>
        <w:t>保安队长及安保人员（教学期间</w:t>
      </w:r>
      <w:r>
        <w:rPr>
          <w:rFonts w:hint="eastAsia" w:ascii="仿宋" w:hAnsi="仿宋" w:eastAsia="仿宋" w:cs="仿宋"/>
          <w:b/>
          <w:bCs/>
          <w:color w:val="000000"/>
          <w:spacing w:val="-4"/>
          <w:sz w:val="28"/>
          <w:szCs w:val="28"/>
          <w:highlight w:val="none"/>
          <w:lang w:val="en-US" w:eastAsia="zh-CN"/>
        </w:rPr>
        <w:t>9</w:t>
      </w:r>
      <w:r>
        <w:rPr>
          <w:rFonts w:hint="eastAsia" w:ascii="仿宋" w:hAnsi="仿宋" w:eastAsia="仿宋" w:cs="仿宋"/>
          <w:b/>
          <w:bCs/>
          <w:color w:val="000000"/>
          <w:spacing w:val="-4"/>
          <w:sz w:val="28"/>
          <w:szCs w:val="28"/>
          <w:highlight w:val="none"/>
        </w:rPr>
        <w:t>人</w:t>
      </w:r>
      <w:r>
        <w:rPr>
          <w:rFonts w:hint="eastAsia" w:ascii="仿宋" w:hAnsi="仿宋" w:eastAsia="仿宋" w:cs="仿宋"/>
          <w:b/>
          <w:bCs/>
          <w:color w:val="000000"/>
          <w:spacing w:val="-4"/>
          <w:sz w:val="28"/>
          <w:szCs w:val="28"/>
          <w:highlight w:val="none"/>
          <w:lang w:eastAsia="zh-CN"/>
        </w:rPr>
        <w:t>，</w:t>
      </w:r>
      <w:r>
        <w:rPr>
          <w:rFonts w:hint="eastAsia" w:ascii="仿宋" w:hAnsi="仿宋" w:eastAsia="仿宋" w:cs="仿宋"/>
          <w:b/>
          <w:bCs/>
          <w:color w:val="auto"/>
          <w:kern w:val="0"/>
          <w:sz w:val="28"/>
          <w:szCs w:val="28"/>
          <w:highlight w:val="none"/>
          <w:lang w:val="en-US" w:eastAsia="zh-CN" w:bidi="ar-SA"/>
        </w:rPr>
        <w:t>寒暑假期间5</w:t>
      </w:r>
      <w:r>
        <w:rPr>
          <w:rFonts w:hint="eastAsia" w:ascii="仿宋" w:hAnsi="仿宋" w:eastAsia="仿宋" w:cs="仿宋"/>
          <w:b/>
          <w:bCs/>
          <w:color w:val="000000"/>
          <w:spacing w:val="-4"/>
          <w:sz w:val="28"/>
          <w:szCs w:val="28"/>
          <w:highlight w:val="none"/>
        </w:rPr>
        <w:t>人</w:t>
      </w:r>
      <w:r>
        <w:rPr>
          <w:rFonts w:hint="eastAsia" w:ascii="仿宋" w:hAnsi="仿宋" w:eastAsia="仿宋" w:cs="仿宋"/>
          <w:b/>
          <w:bCs/>
          <w:color w:val="auto"/>
          <w:kern w:val="0"/>
          <w:sz w:val="28"/>
          <w:szCs w:val="28"/>
          <w:highlight w:val="none"/>
          <w:lang w:val="en-US" w:eastAsia="zh-CN" w:bidi="ar-SA"/>
        </w:rPr>
        <w:t>）</w:t>
      </w:r>
      <w:r>
        <w:rPr>
          <w:rFonts w:hint="eastAsia" w:ascii="仿宋" w:hAnsi="仿宋" w:eastAsia="仿宋" w:cs="仿宋"/>
          <w:b/>
          <w:bCs/>
          <w:color w:val="000000"/>
          <w:sz w:val="28"/>
          <w:szCs w:val="28"/>
          <w:highlight w:val="none"/>
          <w:u w:val="none"/>
          <w:lang w:val="en-US" w:eastAsia="zh-CN"/>
        </w:rPr>
        <w:t>均须具有保安员上岗证。</w:t>
      </w:r>
    </w:p>
    <w:p w14:paraId="7CA98CCB">
      <w:pPr>
        <w:pStyle w:val="2"/>
        <w:spacing w:beforeLines="0" w:afterLines="0" w:line="500" w:lineRule="exact"/>
        <w:ind w:firstLine="566" w:firstLineChars="2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r>
        <w:rPr>
          <w:rFonts w:hint="eastAsia" w:ascii="仿宋" w:hAnsi="仿宋" w:eastAsia="仿宋" w:cs="仿宋"/>
          <w:b/>
          <w:bCs/>
          <w:color w:val="000000"/>
          <w:sz w:val="28"/>
          <w:szCs w:val="28"/>
          <w:highlight w:val="none"/>
          <w:lang w:val="en-US" w:eastAsia="zh-CN"/>
        </w:rPr>
        <w:t>人员资格证书要求</w:t>
      </w:r>
      <w:r>
        <w:rPr>
          <w:rFonts w:hint="eastAsia" w:ascii="仿宋" w:hAnsi="仿宋" w:eastAsia="仿宋" w:cs="仿宋"/>
          <w:b/>
          <w:bCs/>
          <w:spacing w:val="-4"/>
          <w:sz w:val="28"/>
          <w:szCs w:val="28"/>
          <w:highlight w:val="none"/>
        </w:rPr>
        <w:t>（提供证书复印件并加盖供应商公章，未提供或缺漏项的视为无效响应)）</w:t>
      </w:r>
    </w:p>
    <w:p w14:paraId="399468D3">
      <w:pPr>
        <w:pStyle w:val="2"/>
        <w:spacing w:beforeLines="0" w:afterLines="0" w:line="500" w:lineRule="exact"/>
        <w:ind w:firstLine="566"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1、消防控制室人员（2人）：</w:t>
      </w:r>
      <w:r>
        <w:rPr>
          <w:rFonts w:hint="eastAsia" w:ascii="仿宋" w:hAnsi="仿宋" w:eastAsia="仿宋" w:cs="仿宋"/>
          <w:b/>
          <w:bCs/>
          <w:color w:val="auto"/>
          <w:sz w:val="28"/>
          <w:szCs w:val="28"/>
          <w:highlight w:val="none"/>
        </w:rPr>
        <w:t>须提供消防设施操作员（或建构筑物消防员）中级</w:t>
      </w:r>
      <w:r>
        <w:rPr>
          <w:rFonts w:hint="eastAsia" w:ascii="仿宋" w:hAnsi="仿宋" w:eastAsia="仿宋" w:cs="仿宋"/>
          <w:b/>
          <w:bCs/>
          <w:color w:val="auto"/>
          <w:sz w:val="28"/>
          <w:szCs w:val="28"/>
          <w:highlight w:val="none"/>
          <w:lang w:eastAsia="zh-CN"/>
        </w:rPr>
        <w:t>及</w:t>
      </w:r>
      <w:r>
        <w:rPr>
          <w:rFonts w:hint="eastAsia" w:ascii="仿宋" w:hAnsi="仿宋" w:eastAsia="仿宋" w:cs="仿宋"/>
          <w:b/>
          <w:bCs/>
          <w:color w:val="auto"/>
          <w:sz w:val="28"/>
          <w:szCs w:val="28"/>
          <w:highlight w:val="none"/>
        </w:rPr>
        <w:t>以上职业资格证书</w:t>
      </w:r>
      <w:r>
        <w:rPr>
          <w:rFonts w:hint="eastAsia" w:ascii="仿宋" w:hAnsi="仿宋" w:eastAsia="仿宋" w:cs="仿宋"/>
          <w:b/>
          <w:bCs/>
          <w:color w:val="auto"/>
          <w:sz w:val="28"/>
          <w:szCs w:val="28"/>
          <w:highlight w:val="none"/>
          <w:lang w:eastAsia="zh-CN"/>
        </w:rPr>
        <w:t>。</w:t>
      </w:r>
    </w:p>
    <w:p w14:paraId="40AC193E">
      <w:pPr>
        <w:spacing w:line="480" w:lineRule="exact"/>
        <w:ind w:firstLine="566" w:firstLineChars="200"/>
        <w:jc w:val="left"/>
        <w:rPr>
          <w:rFonts w:hint="eastAsia" w:ascii="仿宋" w:hAnsi="仿宋" w:eastAsia="仿宋" w:cs="仿宋"/>
          <w:b/>
          <w:bCs/>
          <w:sz w:val="24"/>
          <w:szCs w:val="24"/>
          <w:highlight w:val="none"/>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2、维修人员（1人）：</w:t>
      </w:r>
      <w:r>
        <w:rPr>
          <w:rFonts w:hint="eastAsia" w:ascii="仿宋" w:hAnsi="仿宋" w:eastAsia="仿宋" w:cs="仿宋"/>
          <w:b/>
          <w:bCs/>
          <w:highlight w:val="none"/>
          <w:lang w:val="en-US" w:eastAsia="zh-CN"/>
        </w:rPr>
        <w:t>须</w:t>
      </w:r>
      <w:r>
        <w:rPr>
          <w:rFonts w:hint="eastAsia" w:ascii="仿宋" w:hAnsi="仿宋" w:eastAsia="仿宋" w:cs="仿宋"/>
          <w:b/>
          <w:bCs/>
          <w:spacing w:val="-4"/>
          <w:highlight w:val="none"/>
        </w:rPr>
        <w:t>提供有效期内</w:t>
      </w:r>
      <w:r>
        <w:rPr>
          <w:rFonts w:hint="eastAsia" w:ascii="仿宋" w:hAnsi="仿宋" w:eastAsia="仿宋" w:cs="仿宋"/>
          <w:b/>
          <w:bCs/>
          <w:szCs w:val="21"/>
          <w:highlight w:val="none"/>
        </w:rPr>
        <w:t>且经过年审</w:t>
      </w:r>
      <w:r>
        <w:rPr>
          <w:rFonts w:hint="eastAsia" w:ascii="仿宋" w:hAnsi="仿宋" w:eastAsia="仿宋" w:cs="仿宋"/>
          <w:b/>
          <w:bCs/>
          <w:spacing w:val="-4"/>
          <w:highlight w:val="none"/>
        </w:rPr>
        <w:t>的</w:t>
      </w:r>
      <w:r>
        <w:rPr>
          <w:rFonts w:hint="eastAsia" w:ascii="仿宋" w:hAnsi="仿宋" w:eastAsia="仿宋" w:cs="仿宋"/>
          <w:b/>
          <w:bCs/>
          <w:highlight w:val="none"/>
          <w:lang w:val="en-US" w:eastAsia="zh-CN"/>
        </w:rPr>
        <w:t>特种作业操作证(低压电工作业)</w:t>
      </w:r>
      <w:r>
        <w:rPr>
          <w:rFonts w:hint="eastAsia" w:ascii="仿宋" w:hAnsi="仿宋" w:eastAsia="仿宋" w:cs="仿宋"/>
          <w:b/>
          <w:bCs/>
          <w:sz w:val="28"/>
          <w:szCs w:val="28"/>
          <w:highlight w:val="none"/>
          <w:lang w:val="en-US" w:eastAsia="zh-CN"/>
        </w:rPr>
        <w:t>。</w:t>
      </w:r>
    </w:p>
    <w:p w14:paraId="075B7551">
      <w:pPr>
        <w:pStyle w:val="2"/>
        <w:spacing w:beforeLines="0" w:afterLines="0" w:line="400" w:lineRule="exact"/>
        <w:ind w:firstLine="486" w:firstLineChars="200"/>
        <w:rPr>
          <w:rFonts w:hint="eastAsia" w:ascii="仿宋" w:hAnsi="仿宋" w:eastAsia="仿宋" w:cs="仿宋"/>
          <w:b/>
          <w:bCs/>
          <w:sz w:val="24"/>
          <w:szCs w:val="24"/>
          <w:highlight w:val="none"/>
        </w:rPr>
      </w:pPr>
    </w:p>
    <w:p w14:paraId="37E4F28B">
      <w:pPr>
        <w:pStyle w:val="2"/>
        <w:spacing w:beforeLines="0" w:afterLines="0" w:line="400" w:lineRule="exact"/>
        <w:ind w:firstLine="486"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特别提醒:</w:t>
      </w:r>
    </w:p>
    <w:p w14:paraId="5CEA433A">
      <w:pPr>
        <w:keepNext w:val="0"/>
        <w:keepLines w:val="0"/>
        <w:pageBreakBefore w:val="0"/>
        <w:widowControl w:val="0"/>
        <w:kinsoku/>
        <w:wordWrap/>
        <w:overflowPunct/>
        <w:topLinePunct w:val="0"/>
        <w:autoSpaceDE/>
        <w:autoSpaceDN/>
        <w:bidi w:val="0"/>
        <w:adjustRightInd/>
        <w:snapToGrid/>
        <w:spacing w:beforeLines="0" w:afterLines="0" w:line="400" w:lineRule="exact"/>
        <w:ind w:firstLine="486"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（1）如</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认为以上证书复印件不清晰，可在</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文件中另附证书查询网址。</w:t>
      </w:r>
    </w:p>
    <w:p w14:paraId="16DF65D8">
      <w:pPr>
        <w:keepNext w:val="0"/>
        <w:keepLines w:val="0"/>
        <w:pageBreakBefore w:val="0"/>
        <w:widowControl w:val="0"/>
        <w:kinsoku/>
        <w:wordWrap/>
        <w:overflowPunct/>
        <w:topLinePunct w:val="0"/>
        <w:autoSpaceDE/>
        <w:autoSpaceDN/>
        <w:bidi w:val="0"/>
        <w:adjustRightInd/>
        <w:snapToGrid/>
        <w:spacing w:beforeLines="0" w:afterLines="0" w:line="400" w:lineRule="exact"/>
        <w:ind w:firstLine="486" w:firstLineChars="200"/>
        <w:rPr>
          <w:rFonts w:hint="eastAsia" w:ascii="宋体" w:hAnsi="宋体" w:eastAsia="宋体" w:cs="宋体"/>
          <w:b/>
          <w:bCs/>
          <w:color w:val="000000"/>
          <w:sz w:val="21"/>
          <w:szCs w:val="21"/>
        </w:rPr>
      </w:pPr>
      <w:r>
        <w:rPr>
          <w:rFonts w:hint="eastAsia" w:ascii="仿宋" w:hAnsi="仿宋" w:eastAsia="仿宋" w:cs="仿宋"/>
          <w:sz w:val="24"/>
          <w:szCs w:val="24"/>
          <w:highlight w:val="none"/>
        </w:rPr>
        <w:t>（2）如</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文件中所附证书不清晰，且未提供查询网址或所提供的网址查询不到的，视为无效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w:t>
      </w:r>
    </w:p>
    <w:p w14:paraId="1800E81D">
      <w:pPr>
        <w:keepNext w:val="0"/>
        <w:keepLines w:val="0"/>
        <w:pageBreakBefore w:val="0"/>
        <w:widowControl w:val="0"/>
        <w:kinsoku/>
        <w:wordWrap/>
        <w:overflowPunct/>
        <w:topLinePunct w:val="0"/>
        <w:autoSpaceDE/>
        <w:autoSpaceDN/>
        <w:bidi w:val="0"/>
        <w:adjustRightInd/>
        <w:snapToGrid/>
        <w:spacing w:beforeLines="0" w:afterLines="0" w:line="400" w:lineRule="exact"/>
        <w:ind w:firstLine="426" w:firstLineChars="200"/>
        <w:rPr>
          <w:rFonts w:hint="eastAsia" w:ascii="宋体" w:hAnsi="宋体" w:eastAsia="宋体" w:cs="宋体"/>
          <w:b/>
          <w:bCs/>
          <w:color w:val="000000"/>
          <w:sz w:val="21"/>
          <w:szCs w:val="21"/>
        </w:rPr>
      </w:pPr>
    </w:p>
    <w:p w14:paraId="4270F0F0">
      <w:pPr>
        <w:keepNext w:val="0"/>
        <w:keepLines w:val="0"/>
        <w:pageBreakBefore w:val="0"/>
        <w:widowControl w:val="0"/>
        <w:kinsoku/>
        <w:wordWrap/>
        <w:overflowPunct/>
        <w:topLinePunct w:val="0"/>
        <w:autoSpaceDE/>
        <w:autoSpaceDN/>
        <w:bidi w:val="0"/>
        <w:adjustRightInd/>
        <w:snapToGrid/>
        <w:spacing w:beforeLines="0" w:afterLines="0" w:line="400" w:lineRule="exact"/>
        <w:ind w:firstLine="426" w:firstLineChars="200"/>
        <w:rPr>
          <w:rFonts w:hint="eastAsia" w:ascii="宋体" w:hAnsi="宋体" w:eastAsia="宋体" w:cs="宋体"/>
          <w:b/>
          <w:bCs/>
          <w:color w:val="000000"/>
          <w:sz w:val="21"/>
          <w:szCs w:val="21"/>
        </w:rPr>
      </w:pPr>
    </w:p>
    <w:p w14:paraId="25FDA1B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6" w:firstLineChars="200"/>
        <w:rPr>
          <w:rFonts w:hint="eastAsia" w:ascii="宋体" w:hAnsi="宋体" w:eastAsia="宋体" w:cs="宋体"/>
          <w:b/>
          <w:bCs/>
          <w:color w:val="000000"/>
          <w:sz w:val="21"/>
          <w:szCs w:val="21"/>
        </w:rPr>
      </w:pPr>
    </w:p>
    <w:p w14:paraId="7303638D">
      <w:pPr>
        <w:keepNext w:val="0"/>
        <w:keepLines w:val="0"/>
        <w:pageBreakBefore w:val="0"/>
        <w:widowControl w:val="0"/>
        <w:kinsoku/>
        <w:wordWrap/>
        <w:overflowPunct/>
        <w:topLinePunct w:val="0"/>
        <w:autoSpaceDE/>
        <w:autoSpaceDN/>
        <w:bidi w:val="0"/>
        <w:adjustRightInd/>
        <w:snapToGrid/>
        <w:spacing w:beforeLines="0" w:afterLines="0" w:line="400" w:lineRule="exact"/>
        <w:ind w:firstLine="426"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p w14:paraId="53FD1877">
      <w:pPr>
        <w:keepNext w:val="0"/>
        <w:keepLines w:val="0"/>
        <w:pageBreakBefore w:val="0"/>
        <w:widowControl w:val="0"/>
        <w:kinsoku/>
        <w:wordWrap/>
        <w:overflowPunct/>
        <w:topLinePunct w:val="0"/>
        <w:autoSpaceDE/>
        <w:autoSpaceDN/>
        <w:bidi w:val="0"/>
        <w:adjustRightInd/>
        <w:snapToGrid/>
        <w:spacing w:beforeLines="0" w:afterLines="0" w:line="400" w:lineRule="exact"/>
        <w:ind w:firstLine="426"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1、“★”内容项为实质性条款，供应商应在第五章“响应文件构成及格式”中的“实质性条款响应”处逐条响应“★”内容项，未逐条响应、有缺漏将被视为无效响应。</w:t>
      </w:r>
    </w:p>
    <w:p w14:paraId="4A8A08D9">
      <w:pPr>
        <w:pStyle w:val="3"/>
        <w:spacing w:beforeLines="0" w:afterLines="0" w:line="400" w:lineRule="exact"/>
        <w:ind w:firstLine="426" w:firstLineChars="200"/>
        <w:jc w:val="both"/>
        <w:rPr>
          <w:rFonts w:hint="eastAsia" w:ascii="仿宋" w:hAnsi="仿宋" w:eastAsia="仿宋" w:cs="仿宋"/>
          <w:b/>
          <w:bCs/>
          <w:color w:val="000000"/>
        </w:rPr>
      </w:pPr>
      <w:bookmarkStart w:id="438" w:name="_Toc27395"/>
      <w:bookmarkStart w:id="439" w:name="_Toc5556"/>
      <w:bookmarkStart w:id="440" w:name="_Toc14088"/>
      <w:bookmarkStart w:id="441" w:name="_Toc18068"/>
      <w:bookmarkStart w:id="442" w:name="_Toc15291"/>
      <w:r>
        <w:rPr>
          <w:rFonts w:hint="eastAsia" w:ascii="宋体" w:hAnsi="宋体" w:eastAsia="宋体" w:cs="宋体"/>
          <w:color w:val="000000"/>
          <w:kern w:val="2"/>
          <w:sz w:val="21"/>
          <w:szCs w:val="21"/>
        </w:rPr>
        <w:t>2、“▲”内容项为重要要求，供应商未达到这些要求或未响应将影响评分。</w:t>
      </w:r>
      <w:bookmarkEnd w:id="438"/>
      <w:bookmarkEnd w:id="439"/>
      <w:bookmarkEnd w:id="440"/>
      <w:bookmarkEnd w:id="441"/>
      <w:bookmarkEnd w:id="442"/>
    </w:p>
    <w:p w14:paraId="3B51A251">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rPr>
          <w:rFonts w:hint="eastAsia" w:ascii="仿宋" w:hAnsi="仿宋" w:eastAsia="仿宋" w:cs="仿宋"/>
          <w:b/>
          <w:bCs/>
          <w:color w:val="000000"/>
        </w:rPr>
      </w:pPr>
      <w:r>
        <w:rPr>
          <w:rFonts w:hint="eastAsia" w:ascii="仿宋" w:hAnsi="仿宋" w:eastAsia="仿宋" w:cs="仿宋"/>
          <w:b/>
          <w:bCs/>
          <w:color w:val="000000"/>
        </w:rPr>
        <w:br w:type="page"/>
      </w:r>
    </w:p>
    <w:p w14:paraId="499975F7">
      <w:pPr>
        <w:pStyle w:val="3"/>
        <w:widowControl w:val="0"/>
        <w:rPr>
          <w:color w:val="000000"/>
          <w:sz w:val="32"/>
          <w:szCs w:val="32"/>
        </w:rPr>
      </w:pPr>
      <w:bookmarkStart w:id="443" w:name="_Toc3423"/>
      <w:bookmarkStart w:id="444" w:name="_Toc25650"/>
      <w:bookmarkStart w:id="445" w:name="_Toc8637"/>
      <w:bookmarkStart w:id="446" w:name="_Toc9050"/>
      <w:r>
        <w:rPr>
          <w:rFonts w:hint="eastAsia" w:ascii="黑体" w:hAnsi="黑体" w:eastAsia="黑体" w:cs="黑体"/>
          <w:b w:val="0"/>
          <w:bCs w:val="0"/>
          <w:color w:val="000000"/>
          <w:sz w:val="32"/>
          <w:szCs w:val="32"/>
        </w:rPr>
        <w:t>第四章  合同基本条款</w:t>
      </w:r>
      <w:bookmarkEnd w:id="432"/>
      <w:bookmarkEnd w:id="433"/>
      <w:bookmarkEnd w:id="434"/>
      <w:bookmarkEnd w:id="435"/>
      <w:bookmarkEnd w:id="436"/>
      <w:bookmarkEnd w:id="443"/>
      <w:bookmarkEnd w:id="444"/>
      <w:bookmarkEnd w:id="445"/>
      <w:bookmarkEnd w:id="446"/>
    </w:p>
    <w:p w14:paraId="04D799D2">
      <w:pPr>
        <w:pStyle w:val="4"/>
        <w:widowControl w:val="0"/>
        <w:spacing w:afterLines="0" w:line="500" w:lineRule="exact"/>
        <w:ind w:firstLine="566" w:firstLineChars="200"/>
        <w:rPr>
          <w:rFonts w:hint="eastAsia" w:ascii="仿宋" w:hAnsi="仿宋" w:eastAsia="仿宋" w:cs="仿宋"/>
          <w:color w:val="000000"/>
          <w:sz w:val="28"/>
          <w:szCs w:val="28"/>
          <w:highlight w:val="none"/>
        </w:rPr>
      </w:pPr>
      <w:bookmarkStart w:id="447" w:name="_Toc13974"/>
      <w:bookmarkStart w:id="448" w:name="_Toc18894"/>
      <w:bookmarkStart w:id="449" w:name="_Toc15286"/>
      <w:bookmarkStart w:id="450" w:name="_Toc14082139"/>
      <w:bookmarkStart w:id="451" w:name="_Toc1540"/>
      <w:bookmarkStart w:id="452" w:name="_Toc4166"/>
      <w:bookmarkStart w:id="453" w:name="_Toc32154"/>
      <w:bookmarkStart w:id="454" w:name="_Toc9085"/>
      <w:bookmarkStart w:id="455" w:name="_Toc8760"/>
      <w:bookmarkStart w:id="456" w:name="_Toc25553"/>
      <w:bookmarkStart w:id="457" w:name="_Toc8274"/>
      <w:bookmarkStart w:id="458" w:name="_Toc35871572"/>
      <w:bookmarkStart w:id="459" w:name="_Toc4288"/>
      <w:bookmarkStart w:id="460" w:name="_Toc30955"/>
      <w:bookmarkStart w:id="461" w:name="_Toc12594"/>
      <w:bookmarkStart w:id="462" w:name="_Toc23541"/>
      <w:r>
        <w:rPr>
          <w:rFonts w:hint="eastAsia" w:ascii="仿宋" w:hAnsi="仿宋" w:eastAsia="仿宋" w:cs="仿宋"/>
          <w:color w:val="000000"/>
          <w:sz w:val="28"/>
          <w:szCs w:val="28"/>
        </w:rPr>
        <w:t>一、服务条件</w:t>
      </w:r>
      <w:bookmarkEnd w:id="447"/>
      <w:bookmarkEnd w:id="448"/>
      <w:bookmarkEnd w:id="449"/>
      <w:bookmarkEnd w:id="450"/>
      <w:bookmarkEnd w:id="451"/>
      <w:bookmarkEnd w:id="452"/>
      <w:bookmarkEnd w:id="453"/>
      <w:bookmarkEnd w:id="454"/>
      <w:bookmarkEnd w:id="455"/>
      <w:bookmarkEnd w:id="456"/>
      <w:bookmarkEnd w:id="457"/>
      <w:bookmarkEnd w:id="458"/>
    </w:p>
    <w:p w14:paraId="1C6C9CC1">
      <w:pPr>
        <w:widowControl w:val="0"/>
        <w:spacing w:afterLines="0" w:line="500" w:lineRule="exact"/>
        <w:ind w:firstLine="566" w:firstLineChars="200"/>
        <w:rPr>
          <w:rFonts w:hint="default" w:ascii="仿宋" w:hAnsi="仿宋" w:eastAsia="仿宋" w:cs="仿宋"/>
          <w:color w:val="000000"/>
          <w:lang w:val="en-US" w:eastAsia="zh-CN"/>
        </w:rPr>
      </w:pPr>
      <w:r>
        <w:rPr>
          <w:rFonts w:hint="eastAsia" w:ascii="仿宋" w:hAnsi="仿宋" w:eastAsia="仿宋" w:cs="仿宋"/>
          <w:color w:val="000000"/>
          <w:highlight w:val="none"/>
        </w:rPr>
        <w:t>（一）服务地点：</w:t>
      </w:r>
      <w:r>
        <w:rPr>
          <w:rFonts w:hint="eastAsia" w:ascii="仿宋" w:hAnsi="仿宋" w:eastAsia="仿宋" w:cs="仿宋"/>
          <w:color w:val="000000"/>
        </w:rPr>
        <w:t>采购人指定的地点</w:t>
      </w:r>
    </w:p>
    <w:p w14:paraId="3C2B83B9">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（二）服务期：合同签订后1年</w:t>
      </w:r>
    </w:p>
    <w:p w14:paraId="668F8790">
      <w:pPr>
        <w:pStyle w:val="24"/>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根据《财政部关于推进和完善服务项目政府采购有关问题的通知》（财库〔2014〕37号）有关规定，本项目在合同期满前，采购人将对成交供应商进行考核，根据服务满意程度，采购人有权决定是否续签合同，累计合同履行期限不超过3年。</w:t>
      </w:r>
    </w:p>
    <w:p w14:paraId="51F42451">
      <w:pPr>
        <w:pStyle w:val="4"/>
        <w:widowControl w:val="0"/>
        <w:spacing w:afterLines="0" w:line="500" w:lineRule="exact"/>
        <w:ind w:firstLine="566" w:firstLineChars="200"/>
        <w:rPr>
          <w:rFonts w:hint="eastAsia" w:ascii="仿宋" w:hAnsi="仿宋" w:eastAsia="仿宋" w:cs="仿宋"/>
          <w:color w:val="000000"/>
          <w:sz w:val="28"/>
          <w:szCs w:val="28"/>
        </w:rPr>
      </w:pPr>
      <w:bookmarkStart w:id="463" w:name="_Toc24868"/>
      <w:bookmarkStart w:id="464" w:name="_Toc4364"/>
      <w:bookmarkStart w:id="465" w:name="_Toc18660"/>
      <w:bookmarkStart w:id="466" w:name="_Toc21445"/>
      <w:bookmarkStart w:id="467" w:name="_Toc3169"/>
      <w:bookmarkStart w:id="468" w:name="_Toc30539"/>
      <w:bookmarkStart w:id="469" w:name="_Toc11302"/>
      <w:r>
        <w:rPr>
          <w:rFonts w:hint="eastAsia" w:ascii="仿宋" w:hAnsi="仿宋" w:eastAsia="仿宋" w:cs="仿宋"/>
          <w:color w:val="000000"/>
          <w:sz w:val="28"/>
          <w:szCs w:val="28"/>
        </w:rPr>
        <w:t>二、合同价款</w:t>
      </w:r>
      <w:bookmarkEnd w:id="463"/>
      <w:bookmarkEnd w:id="464"/>
      <w:bookmarkEnd w:id="465"/>
      <w:bookmarkEnd w:id="466"/>
      <w:bookmarkEnd w:id="467"/>
      <w:bookmarkEnd w:id="468"/>
      <w:bookmarkEnd w:id="469"/>
    </w:p>
    <w:p w14:paraId="59591E42">
      <w:pPr>
        <w:widowControl w:val="0"/>
        <w:spacing w:afterLines="0" w:line="500" w:lineRule="exact"/>
        <w:ind w:firstLine="566" w:firstLineChars="200"/>
        <w:rPr>
          <w:rFonts w:hint="eastAsia" w:ascii="仿宋" w:hAnsi="仿宋" w:eastAsia="仿宋" w:cs="仿宋"/>
          <w:color w:val="000000"/>
        </w:rPr>
      </w:pPr>
      <w:bookmarkStart w:id="470" w:name="_Toc22625"/>
      <w:bookmarkStart w:id="471" w:name="_Toc107"/>
      <w:r>
        <w:rPr>
          <w:rFonts w:hint="eastAsia" w:ascii="仿宋" w:hAnsi="仿宋" w:eastAsia="仿宋" w:cs="仿宋"/>
          <w:color w:val="000000"/>
        </w:rPr>
        <w:t>合同总价一次性包死，不受市场价格变化因素的影响。</w:t>
      </w:r>
    </w:p>
    <w:p w14:paraId="79C3E3BF">
      <w:pPr>
        <w:pStyle w:val="4"/>
        <w:widowControl w:val="0"/>
        <w:spacing w:afterLines="0" w:line="500" w:lineRule="exact"/>
        <w:ind w:left="0" w:leftChars="0" w:firstLine="566" w:firstLineChars="200"/>
        <w:rPr>
          <w:rFonts w:hint="eastAsia" w:ascii="仿宋" w:hAnsi="仿宋" w:eastAsia="仿宋" w:cs="仿宋"/>
          <w:color w:val="000000"/>
          <w:sz w:val="28"/>
          <w:szCs w:val="28"/>
        </w:rPr>
      </w:pPr>
      <w:bookmarkStart w:id="472" w:name="_Toc28166"/>
      <w:bookmarkStart w:id="473" w:name="_Toc7118"/>
      <w:bookmarkStart w:id="474" w:name="_Toc6440"/>
      <w:bookmarkStart w:id="475" w:name="_Toc30816"/>
      <w:bookmarkStart w:id="476" w:name="_Toc21262"/>
      <w:r>
        <w:rPr>
          <w:rFonts w:hint="eastAsia" w:ascii="仿宋" w:hAnsi="仿宋" w:eastAsia="仿宋" w:cs="仿宋"/>
          <w:color w:val="000000"/>
          <w:sz w:val="28"/>
          <w:szCs w:val="28"/>
        </w:rPr>
        <w:t>三、款项结算</w:t>
      </w:r>
      <w:bookmarkEnd w:id="470"/>
      <w:bookmarkEnd w:id="472"/>
      <w:bookmarkEnd w:id="473"/>
      <w:bookmarkEnd w:id="474"/>
      <w:bookmarkEnd w:id="475"/>
      <w:bookmarkEnd w:id="476"/>
    </w:p>
    <w:p w14:paraId="19217D80">
      <w:pPr>
        <w:pStyle w:val="46"/>
        <w:widowControl w:val="0"/>
        <w:spacing w:afterLines="0" w:line="500" w:lineRule="exact"/>
        <w:ind w:firstLine="566"/>
        <w:rPr>
          <w:rFonts w:hint="eastAsia" w:ascii="仿宋" w:hAnsi="仿宋" w:eastAsia="仿宋" w:cs="仿宋"/>
          <w:color w:val="000000"/>
        </w:rPr>
      </w:pPr>
      <w:r>
        <w:rPr>
          <w:rFonts w:hint="eastAsia" w:ascii="仿宋" w:hAnsi="仿宋" w:eastAsia="仿宋" w:cs="仿宋"/>
          <w:color w:val="000000"/>
        </w:rPr>
        <w:t>（一）支付方式：银行转账</w:t>
      </w:r>
    </w:p>
    <w:p w14:paraId="1D98394F">
      <w:pPr>
        <w:pStyle w:val="46"/>
        <w:widowControl w:val="0"/>
        <w:spacing w:afterLines="0" w:line="500" w:lineRule="exact"/>
        <w:ind w:firstLine="566"/>
        <w:rPr>
          <w:rFonts w:hint="eastAsia" w:ascii="仿宋" w:hAnsi="仿宋" w:eastAsia="仿宋" w:cs="仿宋"/>
          <w:color w:val="000000"/>
        </w:rPr>
      </w:pPr>
      <w:r>
        <w:rPr>
          <w:rFonts w:hint="eastAsia" w:ascii="仿宋" w:hAnsi="仿宋" w:eastAsia="仿宋" w:cs="仿宋"/>
          <w:color w:val="000000"/>
        </w:rPr>
        <w:t>（二）货币单位：人民币</w:t>
      </w:r>
    </w:p>
    <w:p w14:paraId="4942C581">
      <w:pPr>
        <w:keepNext/>
        <w:keepLines/>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color w:val="000000"/>
        </w:rPr>
        <w:t>（三）结算方式：</w:t>
      </w:r>
      <w:bookmarkStart w:id="477" w:name="_Toc18191"/>
      <w:bookmarkStart w:id="478" w:name="_Toc8934"/>
      <w:bookmarkStart w:id="479" w:name="_Toc8545"/>
      <w:bookmarkStart w:id="480" w:name="_Toc16040"/>
      <w:bookmarkStart w:id="481" w:name="_Toc11640"/>
      <w:bookmarkStart w:id="482" w:name="_Toc21822"/>
      <w:bookmarkStart w:id="483" w:name="_Toc23738"/>
    </w:p>
    <w:p w14:paraId="1BA6BAC2">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物业</w:t>
      </w:r>
      <w:r>
        <w:rPr>
          <w:rFonts w:hint="eastAsia" w:ascii="仿宋" w:hAnsi="仿宋" w:eastAsia="仿宋" w:cs="仿宋"/>
          <w:color w:val="000000"/>
          <w:highlight w:val="none"/>
        </w:rPr>
        <w:t>服务费按月结算。</w:t>
      </w:r>
      <w:r>
        <w:rPr>
          <w:rFonts w:hint="eastAsia" w:ascii="仿宋" w:hAnsi="仿宋" w:eastAsia="仿宋" w:cs="仿宋"/>
          <w:color w:val="000000"/>
          <w:highlight w:val="none"/>
          <w:u w:val="none"/>
        </w:rPr>
        <w:t>每月</w:t>
      </w:r>
      <w:r>
        <w:rPr>
          <w:rFonts w:hint="eastAsia" w:ascii="仿宋" w:hAnsi="仿宋" w:eastAsia="仿宋" w:cs="仿宋"/>
          <w:color w:val="000000"/>
          <w:highlight w:val="none"/>
          <w:u w:val="none"/>
          <w:lang w:val="en-US" w:eastAsia="zh-CN"/>
        </w:rPr>
        <w:t>末</w:t>
      </w:r>
      <w:r>
        <w:rPr>
          <w:rFonts w:hint="eastAsia" w:ascii="仿宋" w:hAnsi="仿宋" w:eastAsia="仿宋" w:cs="仿宋"/>
        </w:rPr>
        <w:t>采购人根据考核结果，下一个月</w:t>
      </w:r>
      <w:r>
        <w:rPr>
          <w:rFonts w:hint="eastAsia" w:ascii="仿宋" w:hAnsi="仿宋" w:eastAsia="仿宋" w:cs="仿宋"/>
          <w:lang w:val="en-US" w:eastAsia="zh-CN"/>
        </w:rPr>
        <w:t>10</w:t>
      </w:r>
      <w:r>
        <w:rPr>
          <w:rFonts w:hint="eastAsia" w:ascii="仿宋" w:hAnsi="仿宋" w:eastAsia="仿宋" w:cs="仿宋"/>
        </w:rPr>
        <w:t>日之前</w:t>
      </w:r>
      <w:r>
        <w:rPr>
          <w:rFonts w:hint="eastAsia" w:ascii="仿宋" w:hAnsi="仿宋" w:eastAsia="仿宋" w:cs="仿宋"/>
          <w:color w:val="000000"/>
          <w:highlight w:val="none"/>
        </w:rPr>
        <w:t>支付上一月</w:t>
      </w:r>
      <w:r>
        <w:rPr>
          <w:rFonts w:hint="eastAsia" w:ascii="仿宋" w:hAnsi="仿宋" w:eastAsia="仿宋" w:cs="仿宋"/>
          <w:color w:val="000000"/>
          <w:highlight w:val="none"/>
          <w:lang w:val="en-US" w:eastAsia="zh-CN"/>
        </w:rPr>
        <w:t>物业</w:t>
      </w:r>
      <w:r>
        <w:rPr>
          <w:rFonts w:hint="eastAsia" w:ascii="仿宋" w:hAnsi="仿宋" w:eastAsia="仿宋" w:cs="仿宋"/>
          <w:color w:val="000000"/>
          <w:highlight w:val="none"/>
        </w:rPr>
        <w:t>服务费用</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成交供应商</w:t>
      </w:r>
      <w:r>
        <w:rPr>
          <w:rFonts w:hint="eastAsia" w:ascii="仿宋" w:hAnsi="仿宋" w:eastAsia="仿宋" w:cs="仿宋"/>
          <w:color w:val="000000"/>
          <w:highlight w:val="none"/>
        </w:rPr>
        <w:t>出具发票，采购人通过银行</w:t>
      </w:r>
      <w:r>
        <w:rPr>
          <w:rFonts w:hint="eastAsia" w:ascii="仿宋" w:hAnsi="仿宋" w:eastAsia="仿宋" w:cs="仿宋"/>
          <w:color w:val="000000"/>
          <w:highlight w:val="none"/>
          <w:lang w:val="en-US" w:eastAsia="zh-CN"/>
        </w:rPr>
        <w:t>转账方式</w:t>
      </w:r>
      <w:r>
        <w:rPr>
          <w:rFonts w:hint="eastAsia" w:ascii="仿宋" w:hAnsi="仿宋" w:eastAsia="仿宋" w:cs="仿宋"/>
          <w:color w:val="000000"/>
          <w:highlight w:val="none"/>
        </w:rPr>
        <w:t>付款</w:t>
      </w:r>
      <w:r>
        <w:rPr>
          <w:rFonts w:hint="eastAsia" w:ascii="仿宋" w:hAnsi="仿宋" w:eastAsia="仿宋" w:cs="仿宋"/>
          <w:b w:val="0"/>
          <w:bCs w:val="0"/>
          <w:color w:val="000000"/>
          <w:highlight w:val="none"/>
          <w:lang w:val="en-US" w:eastAsia="zh-CN"/>
        </w:rPr>
        <w:t>（具体支付事宜由采购人与成交供应商商定）</w:t>
      </w:r>
      <w:r>
        <w:rPr>
          <w:rFonts w:hint="eastAsia" w:ascii="仿宋" w:hAnsi="仿宋" w:eastAsia="仿宋" w:cs="仿宋"/>
          <w:color w:val="000000"/>
          <w:highlight w:val="none"/>
        </w:rPr>
        <w:t>。</w:t>
      </w:r>
    </w:p>
    <w:p w14:paraId="09D6856F">
      <w:pPr>
        <w:pStyle w:val="7"/>
        <w:spacing w:afterLines="0" w:line="500" w:lineRule="exact"/>
        <w:ind w:firstLine="566" w:firstLineChars="200"/>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（四）履约保证金</w:t>
      </w:r>
    </w:p>
    <w:p w14:paraId="6523E7BE">
      <w:pPr>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1、履约保证金的收取合同签订前，</w:t>
      </w:r>
      <w:r>
        <w:rPr>
          <w:rFonts w:hint="eastAsia" w:ascii="仿宋" w:hAnsi="仿宋" w:eastAsia="仿宋" w:cs="仿宋"/>
          <w:b w:val="0"/>
          <w:bCs w:val="0"/>
          <w:color w:val="auto"/>
          <w:sz w:val="28"/>
          <w:szCs w:val="28"/>
          <w:highlight w:val="none"/>
          <w:lang w:val="en-US" w:eastAsia="zh-CN"/>
        </w:rPr>
        <w:t>成交供应商</w:t>
      </w:r>
      <w:r>
        <w:rPr>
          <w:rFonts w:hint="eastAsia" w:ascii="仿宋" w:hAnsi="仿宋" w:eastAsia="仿宋" w:cs="仿宋"/>
          <w:b w:val="0"/>
          <w:bCs w:val="0"/>
          <w:color w:val="auto"/>
          <w:sz w:val="28"/>
          <w:szCs w:val="28"/>
          <w:highlight w:val="none"/>
        </w:rPr>
        <w:t>须向采购人交纳履约保证金(履约保证金应采取支票、本票、汇票、保函等非现金形式提交)，履约保证金的数额为</w:t>
      </w:r>
      <w:r>
        <w:rPr>
          <w:rFonts w:hint="eastAsia" w:ascii="仿宋" w:hAnsi="仿宋" w:eastAsia="仿宋" w:cs="仿宋"/>
          <w:b w:val="0"/>
          <w:bCs w:val="0"/>
          <w:color w:val="auto"/>
          <w:sz w:val="28"/>
          <w:szCs w:val="28"/>
          <w:highlight w:val="none"/>
          <w:lang w:val="en-US" w:eastAsia="zh-CN"/>
        </w:rPr>
        <w:t>4万元整</w:t>
      </w:r>
      <w:r>
        <w:rPr>
          <w:rFonts w:hint="eastAsia" w:ascii="仿宋" w:hAnsi="仿宋" w:eastAsia="仿宋" w:cs="仿宋"/>
          <w:b w:val="0"/>
          <w:bCs w:val="0"/>
          <w:color w:val="auto"/>
          <w:sz w:val="28"/>
          <w:szCs w:val="28"/>
          <w:highlight w:val="none"/>
        </w:rPr>
        <w:t>。</w:t>
      </w:r>
    </w:p>
    <w:p w14:paraId="399DFC2F">
      <w:pPr>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2、退还时间及方式</w:t>
      </w:r>
    </w:p>
    <w:p w14:paraId="12DAA3B7">
      <w:pPr>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(1)退还时间：</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在合同履约完成后，采购人在10个工作日内，全额无息退还履约保证金。</w:t>
      </w:r>
    </w:p>
    <w:p w14:paraId="4060606E">
      <w:pPr>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color w:val="000000" w:themeColor="text1"/>
          <w14:textFill>
            <w14:solidFill>
              <w14:schemeClr w14:val="tx1"/>
            </w14:solidFill>
          </w14:textFill>
        </w:rPr>
        <w:t>退还方式：按照原方式退回</w:t>
      </w:r>
    </w:p>
    <w:p w14:paraId="3D53A055">
      <w:pPr>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3、不予退还的情形和逾期退还的违约责任由采购人与</w:t>
      </w:r>
      <w:r>
        <w:rPr>
          <w:rFonts w:hint="eastAsia" w:ascii="仿宋" w:hAnsi="仿宋" w:eastAsia="仿宋" w:cs="仿宋"/>
          <w:b w:val="0"/>
          <w:bCs w:val="0"/>
          <w:color w:val="auto"/>
          <w:sz w:val="28"/>
          <w:szCs w:val="28"/>
          <w:highlight w:val="none"/>
          <w:lang w:eastAsia="zh-CN"/>
        </w:rPr>
        <w:t>成交供应商</w:t>
      </w:r>
      <w:r>
        <w:rPr>
          <w:rFonts w:hint="eastAsia" w:ascii="仿宋" w:hAnsi="仿宋" w:eastAsia="仿宋" w:cs="仿宋"/>
          <w:b w:val="0"/>
          <w:bCs w:val="0"/>
          <w:color w:val="auto"/>
          <w:sz w:val="28"/>
          <w:szCs w:val="28"/>
          <w:highlight w:val="none"/>
        </w:rPr>
        <w:t>在政府采购合同中进一步明确。</w:t>
      </w:r>
    </w:p>
    <w:p w14:paraId="67DE1271">
      <w:pPr>
        <w:pageBreakBefore w:val="0"/>
        <w:widowControl w:val="0"/>
        <w:kinsoku/>
        <w:wordWrap/>
        <w:overflowPunct/>
        <w:topLinePunct w:val="0"/>
        <w:autoSpaceDE/>
        <w:autoSpaceDN/>
        <w:bidi w:val="0"/>
        <w:adjustRightInd/>
        <w:snapToGrid/>
        <w:spacing w:beforeLines="0" w:afterLines="0" w:line="400" w:lineRule="exact"/>
        <w:ind w:firstLine="426" w:firstLineChars="200"/>
        <w:textAlignment w:val="auto"/>
        <w:rPr>
          <w:rFonts w:hint="eastAsia" w:asciiTheme="majorEastAsia" w:hAnsiTheme="majorEastAsia" w:eastAsiaTheme="majorEastAsia" w:cstheme="majorEastAsia"/>
          <w:b w:val="0"/>
          <w:bCs w:val="0"/>
          <w:color w:val="000000"/>
          <w:sz w:val="21"/>
          <w:szCs w:val="21"/>
          <w:highlight w:val="none"/>
        </w:rPr>
      </w:pPr>
      <w:r>
        <w:rPr>
          <w:rFonts w:hint="eastAsia" w:asciiTheme="majorEastAsia" w:hAnsiTheme="majorEastAsia" w:eastAsiaTheme="majorEastAsia" w:cstheme="majorEastAsia"/>
          <w:b w:val="0"/>
          <w:bCs w:val="0"/>
          <w:color w:val="000000"/>
          <w:sz w:val="21"/>
          <w:szCs w:val="21"/>
          <w:highlight w:val="none"/>
        </w:rPr>
        <w:t>备注:履约保证金的相关事宜，按照《陕西省财政厅关于进一步加大政府采购支持中小企业力度的通知》(陕财办采〔2022〕5号)的有关规定执行。</w:t>
      </w:r>
    </w:p>
    <w:p w14:paraId="168B811D">
      <w:pPr>
        <w:widowControl w:val="0"/>
        <w:spacing w:afterLines="0" w:line="500" w:lineRule="exact"/>
        <w:ind w:firstLine="566" w:firstLineChars="200"/>
        <w:rPr>
          <w:rFonts w:hint="eastAsia" w:ascii="仿宋" w:hAnsi="仿宋" w:eastAsia="仿宋" w:cs="仿宋"/>
          <w:color w:val="000000"/>
        </w:rPr>
      </w:pPr>
      <w:r>
        <w:rPr>
          <w:rFonts w:hint="eastAsia" w:ascii="仿宋" w:hAnsi="仿宋" w:eastAsia="仿宋" w:cs="仿宋"/>
          <w:b/>
          <w:bCs/>
          <w:color w:val="000000"/>
        </w:rPr>
        <w:t>四、在签订合同前，成交供应商应按照磋商文件第三章《磋商内容及采购要求》中所有承诺事项要求落实，如未在规定时限内按要求完成所承诺事项的，则视为主动放弃成交资格。</w:t>
      </w:r>
    </w:p>
    <w:bookmarkEnd w:id="477"/>
    <w:p w14:paraId="29266146">
      <w:pPr>
        <w:pStyle w:val="4"/>
        <w:widowControl w:val="0"/>
        <w:spacing w:afterLines="0" w:line="500" w:lineRule="exact"/>
        <w:ind w:firstLine="566" w:firstLineChars="200"/>
        <w:rPr>
          <w:rFonts w:hint="eastAsia" w:ascii="仿宋" w:hAnsi="仿宋" w:eastAsia="仿宋" w:cs="仿宋"/>
          <w:color w:val="000000"/>
          <w:sz w:val="28"/>
          <w:szCs w:val="28"/>
          <w:highlight w:val="none"/>
        </w:rPr>
      </w:pPr>
      <w:bookmarkStart w:id="484" w:name="_Toc6348"/>
      <w:bookmarkStart w:id="485" w:name="_Toc21561"/>
      <w:bookmarkStart w:id="486" w:name="_Toc4521"/>
      <w:bookmarkStart w:id="487" w:name="_Toc21803"/>
      <w:bookmarkStart w:id="488" w:name="_Toc29501"/>
      <w:bookmarkStart w:id="489" w:name="_Toc27799"/>
      <w:r>
        <w:rPr>
          <w:rFonts w:hint="eastAsia" w:ascii="仿宋" w:hAnsi="仿宋" w:eastAsia="仿宋" w:cs="仿宋"/>
          <w:color w:val="000000"/>
          <w:sz w:val="28"/>
          <w:szCs w:val="28"/>
          <w:highlight w:val="none"/>
        </w:rPr>
        <w:t>五、服务保证</w:t>
      </w:r>
      <w:bookmarkEnd w:id="484"/>
      <w:bookmarkEnd w:id="485"/>
      <w:bookmarkEnd w:id="486"/>
      <w:bookmarkEnd w:id="487"/>
      <w:bookmarkEnd w:id="488"/>
    </w:p>
    <w:p w14:paraId="0985950E">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（一）人员雇佣及工资标准</w:t>
      </w:r>
    </w:p>
    <w:p w14:paraId="65C32BE2">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成交供应商须保障人员待遇不得低于采购人所在地最低工资标准和社保最低缴费额。</w:t>
      </w:r>
    </w:p>
    <w:p w14:paraId="1CC7BF17">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成交供应商须与员工签订劳动合同，引起劳动关系问题由成交供应商负责。</w:t>
      </w:r>
    </w:p>
    <w:p w14:paraId="737A5549">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（二）成交供应商提供服务时，服务要求应按不低于国家、省、市有关部门规定的质量标准执行。</w:t>
      </w:r>
    </w:p>
    <w:p w14:paraId="0C0413B7">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1、成交供应商承诺与拟投入人员均有劳动合同或聘用协议。</w:t>
      </w:r>
    </w:p>
    <w:p w14:paraId="75B0E017">
      <w:pPr>
        <w:widowControl w:val="0"/>
        <w:spacing w:afterLines="0" w:line="500" w:lineRule="exact"/>
        <w:ind w:firstLine="566" w:firstLineChars="200"/>
        <w:rPr>
          <w:rFonts w:hint="eastAsia" w:ascii="仿宋" w:hAnsi="仿宋" w:eastAsia="仿宋" w:cs="仿宋"/>
          <w:b/>
          <w:bCs/>
          <w:color w:val="000000"/>
          <w:highlight w:val="none"/>
        </w:rPr>
      </w:pPr>
      <w:r>
        <w:rPr>
          <w:rFonts w:hint="eastAsia" w:ascii="仿宋" w:hAnsi="仿宋" w:eastAsia="仿宋" w:cs="仿宋"/>
          <w:color w:val="000000"/>
          <w:highlight w:val="none"/>
        </w:rPr>
        <w:t>2、成交供应商承诺工作人员按磋商文件落实，具体人员要求与采购人协商确定。</w:t>
      </w:r>
    </w:p>
    <w:bookmarkEnd w:id="471"/>
    <w:bookmarkEnd w:id="478"/>
    <w:bookmarkEnd w:id="479"/>
    <w:bookmarkEnd w:id="480"/>
    <w:bookmarkEnd w:id="481"/>
    <w:bookmarkEnd w:id="482"/>
    <w:bookmarkEnd w:id="483"/>
    <w:bookmarkEnd w:id="489"/>
    <w:p w14:paraId="48B03D49">
      <w:pPr>
        <w:widowControl w:val="0"/>
        <w:spacing w:afterLines="0" w:line="500" w:lineRule="exact"/>
        <w:ind w:firstLine="566" w:firstLineChars="200"/>
        <w:outlineLvl w:val="1"/>
        <w:rPr>
          <w:rStyle w:val="61"/>
          <w:rFonts w:hint="eastAsia" w:ascii="仿宋" w:hAnsi="仿宋" w:eastAsia="仿宋" w:cs="仿宋"/>
          <w:color w:val="000000"/>
          <w:sz w:val="28"/>
          <w:szCs w:val="28"/>
          <w:highlight w:val="none"/>
        </w:rPr>
      </w:pPr>
      <w:bookmarkStart w:id="490" w:name="_Toc29774"/>
      <w:bookmarkStart w:id="491" w:name="_Toc26963"/>
      <w:bookmarkStart w:id="492" w:name="_Toc597"/>
      <w:bookmarkStart w:id="493" w:name="_Toc1078"/>
      <w:bookmarkStart w:id="494" w:name="_Toc29437"/>
      <w:bookmarkStart w:id="495" w:name="_Toc24576"/>
      <w:bookmarkStart w:id="496" w:name="_Toc2658"/>
      <w:bookmarkStart w:id="497" w:name="_Toc6107"/>
      <w:bookmarkStart w:id="498" w:name="_Toc4397"/>
      <w:bookmarkStart w:id="499" w:name="_Toc31853"/>
      <w:bookmarkStart w:id="500" w:name="_Toc25497"/>
      <w:r>
        <w:rPr>
          <w:rStyle w:val="61"/>
          <w:rFonts w:hint="eastAsia" w:ascii="仿宋" w:hAnsi="仿宋" w:eastAsia="仿宋" w:cs="仿宋"/>
          <w:color w:val="000000"/>
          <w:sz w:val="28"/>
          <w:szCs w:val="28"/>
          <w:highlight w:val="none"/>
        </w:rPr>
        <w:t>六、服务承诺</w:t>
      </w:r>
      <w:bookmarkEnd w:id="490"/>
      <w:bookmarkEnd w:id="491"/>
      <w:bookmarkEnd w:id="492"/>
      <w:bookmarkEnd w:id="493"/>
      <w:bookmarkEnd w:id="494"/>
      <w:bookmarkEnd w:id="495"/>
      <w:bookmarkEnd w:id="496"/>
      <w:bookmarkEnd w:id="497"/>
      <w:bookmarkEnd w:id="498"/>
      <w:bookmarkEnd w:id="499"/>
    </w:p>
    <w:bookmarkEnd w:id="500"/>
    <w:p w14:paraId="35E80275">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以响应文件、澄清表（函）、合同和随服务的相关文件为准。</w:t>
      </w:r>
      <w:bookmarkEnd w:id="459"/>
      <w:bookmarkEnd w:id="460"/>
      <w:bookmarkEnd w:id="461"/>
      <w:bookmarkEnd w:id="462"/>
      <w:bookmarkStart w:id="501" w:name="_Toc13224"/>
      <w:bookmarkStart w:id="502" w:name="_Toc27590"/>
      <w:bookmarkStart w:id="503" w:name="_Toc32352"/>
    </w:p>
    <w:bookmarkEnd w:id="501"/>
    <w:bookmarkEnd w:id="502"/>
    <w:bookmarkEnd w:id="503"/>
    <w:p w14:paraId="2FE674E0">
      <w:pPr>
        <w:pStyle w:val="4"/>
        <w:widowControl w:val="0"/>
        <w:spacing w:afterLines="0" w:line="500" w:lineRule="exact"/>
        <w:ind w:firstLine="566" w:firstLineChars="200"/>
        <w:rPr>
          <w:rFonts w:hint="eastAsia" w:ascii="仿宋" w:hAnsi="仿宋" w:eastAsia="仿宋" w:cs="仿宋"/>
          <w:color w:val="000000"/>
          <w:sz w:val="28"/>
          <w:szCs w:val="28"/>
          <w:highlight w:val="none"/>
        </w:rPr>
      </w:pPr>
      <w:bookmarkStart w:id="504" w:name="_Toc27853"/>
      <w:bookmarkStart w:id="505" w:name="_Toc9653"/>
      <w:bookmarkStart w:id="506" w:name="_Toc32073"/>
      <w:bookmarkStart w:id="507" w:name="_Toc26023"/>
      <w:bookmarkStart w:id="508" w:name="_Toc26163"/>
      <w:bookmarkStart w:id="509" w:name="_Toc14993"/>
      <w:bookmarkStart w:id="510" w:name="_Toc31591"/>
      <w:bookmarkStart w:id="511" w:name="_Toc19380"/>
      <w:bookmarkStart w:id="512" w:name="_Toc7063"/>
      <w:bookmarkStart w:id="513" w:name="_Toc7749"/>
      <w:bookmarkStart w:id="514" w:name="_Toc20065"/>
      <w:bookmarkStart w:id="515" w:name="_Toc19937"/>
      <w:bookmarkStart w:id="516" w:name="_Toc5554"/>
      <w:bookmarkStart w:id="517" w:name="_Toc27349"/>
      <w:bookmarkStart w:id="518" w:name="_Toc495014651"/>
      <w:bookmarkStart w:id="519" w:name="_Toc495012823"/>
      <w:bookmarkStart w:id="520" w:name="_Toc495012773"/>
      <w:bookmarkStart w:id="521" w:name="_Toc13809"/>
      <w:bookmarkStart w:id="522" w:name="_Toc445306495"/>
      <w:bookmarkStart w:id="523" w:name="_Toc495014587"/>
      <w:bookmarkStart w:id="524" w:name="_Toc495014956"/>
      <w:bookmarkStart w:id="525" w:name="_Toc495014613"/>
      <w:bookmarkStart w:id="526" w:name="_Toc495014922"/>
      <w:r>
        <w:rPr>
          <w:rFonts w:hint="eastAsia" w:ascii="仿宋" w:hAnsi="仿宋" w:eastAsia="仿宋" w:cs="仿宋"/>
          <w:color w:val="000000"/>
          <w:sz w:val="28"/>
          <w:szCs w:val="28"/>
          <w:highlight w:val="none"/>
        </w:rPr>
        <w:t>七、违约责任</w:t>
      </w:r>
      <w:bookmarkEnd w:id="504"/>
      <w:bookmarkEnd w:id="505"/>
      <w:bookmarkEnd w:id="506"/>
      <w:bookmarkEnd w:id="507"/>
      <w:bookmarkEnd w:id="508"/>
      <w:bookmarkEnd w:id="509"/>
      <w:bookmarkEnd w:id="510"/>
      <w:bookmarkEnd w:id="511"/>
      <w:bookmarkEnd w:id="512"/>
      <w:bookmarkEnd w:id="513"/>
      <w:bookmarkEnd w:id="514"/>
      <w:bookmarkEnd w:id="515"/>
    </w:p>
    <w:p w14:paraId="66BDC85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bookmarkStart w:id="527" w:name="_Toc16415"/>
      <w:bookmarkStart w:id="528" w:name="_Toc314"/>
      <w:bookmarkStart w:id="529" w:name="_Toc31467"/>
      <w:bookmarkStart w:id="530" w:name="_Toc14133"/>
      <w:bookmarkStart w:id="531" w:name="_Toc956"/>
      <w:bookmarkStart w:id="532" w:name="_Toc11262"/>
      <w:bookmarkStart w:id="533" w:name="_Toc1257"/>
      <w:bookmarkStart w:id="534" w:name="_Toc6989"/>
      <w:bookmarkStart w:id="535" w:name="_Toc5100"/>
      <w:r>
        <w:rPr>
          <w:rFonts w:hint="eastAsia" w:ascii="仿宋" w:hAnsi="仿宋" w:eastAsia="仿宋" w:cs="仿宋"/>
          <w:b w:val="0"/>
          <w:bCs w:val="0"/>
          <w:sz w:val="28"/>
          <w:szCs w:val="28"/>
          <w:u w:val="none"/>
          <w:lang w:val="en-US" w:eastAsia="zh-CN"/>
        </w:rPr>
        <w:t>（一）按《中华人民共和国民法典》中的相关条款执行。</w:t>
      </w:r>
    </w:p>
    <w:p w14:paraId="0B78F78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（二）未按合同要求提供服务或服务质量不能满足合同要求，采购人有权依据《中华人民共和国民法典》有关条款及合同约定终止合同，并要求成交供应商承担违约责任。</w:t>
      </w:r>
    </w:p>
    <w:p w14:paraId="34EEBCE0">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（三）成交供应商未能达到服务标准，采购人有权要求成交供应商限期整改，逾期不整改的采购人有权终止合同，造成采购人经济损失的，成交供应商应给予采购人经济赔偿。</w:t>
      </w:r>
    </w:p>
    <w:p w14:paraId="5D9F978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（四）因采购人原因导致成交供应商未能达到服务标准，成交供应商有权要求采购人在一定期限内解决，预期未解决造成成交供应商经济损失的，采购人应给予成交供应商经济赔偿。</w:t>
      </w:r>
    </w:p>
    <w:p w14:paraId="0A79158E">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（五）合同生效后，采购人、成交供应商双方应按合同规定认真履约。合同履约责任只涉及采购人、成交供应商双方，不考虑第三方因素。</w:t>
      </w:r>
    </w:p>
    <w:p w14:paraId="7869EC9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六）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1B7E1FAB">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（七）如成交供应商提供的服务构成第三方知识产权侵权，由成交供应商承担全部责任。</w:t>
      </w:r>
    </w:p>
    <w:p w14:paraId="4D758DE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八）合同履约过程中，采购人应积极配合成交供应商进行验收以及验收前的外围配套等工作。否则，因此导致不能按期验收时，不能追究成交供应商责任；正常情况下应在验收合格后15天内按规定向成交供应商付款，最长时间不能超过30天。否则，每超过一周应向成交供应商支付合同应付款3‰的滞纳金。</w:t>
      </w:r>
    </w:p>
    <w:p w14:paraId="5235914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（九）除不可抗力原因外，如遇下列情况之一者，成交供应商所缴纳的履约保证金采购人有权不予退还，作为对采购人的赔偿：</w:t>
      </w:r>
    </w:p>
    <w:p w14:paraId="6833B5A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1、合同签订后不能按合同时限要求提供服务；</w:t>
      </w:r>
    </w:p>
    <w:p w14:paraId="23D222D8">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2、所提供服务与合同不符；</w:t>
      </w:r>
    </w:p>
    <w:p w14:paraId="2A6B558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3、不能按合同履约；</w:t>
      </w:r>
    </w:p>
    <w:p w14:paraId="785C47C8">
      <w:pPr>
        <w:keepNext w:val="0"/>
        <w:keepLines w:val="0"/>
        <w:numPr>
          <w:ilvl w:val="0"/>
          <w:numId w:val="0"/>
        </w:numPr>
        <w:spacing w:afterLines="0" w:line="500" w:lineRule="exact"/>
        <w:ind w:firstLine="566" w:firstLineChars="200"/>
        <w:rPr>
          <w:rFonts w:hint="eastAsia" w:ascii="仿宋" w:hAnsi="仿宋" w:eastAsia="仿宋" w:cs="仿宋"/>
          <w:b w:val="0"/>
          <w:bCs w:val="0"/>
          <w:color w:val="000000"/>
          <w:sz w:val="28"/>
          <w:szCs w:val="28"/>
          <w:highlight w:val="none"/>
        </w:rPr>
      </w:pPr>
      <w:r>
        <w:rPr>
          <w:rFonts w:hint="eastAsia" w:ascii="仿宋" w:hAnsi="仿宋" w:eastAsia="仿宋" w:cs="仿宋"/>
          <w:b w:val="0"/>
          <w:bCs w:val="0"/>
          <w:sz w:val="28"/>
          <w:szCs w:val="28"/>
          <w:u w:val="none"/>
          <w:lang w:val="en-US" w:eastAsia="zh-CN"/>
        </w:rPr>
        <w:t>4、项目验收不合格。</w:t>
      </w:r>
    </w:p>
    <w:p w14:paraId="0E50C77F">
      <w:pPr>
        <w:pStyle w:val="4"/>
        <w:widowControl w:val="0"/>
        <w:spacing w:afterLines="0" w:line="500" w:lineRule="exact"/>
        <w:ind w:firstLine="566"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八、争议解决</w:t>
      </w:r>
      <w:bookmarkEnd w:id="527"/>
      <w:bookmarkEnd w:id="528"/>
      <w:bookmarkEnd w:id="529"/>
      <w:bookmarkEnd w:id="530"/>
      <w:bookmarkEnd w:id="531"/>
      <w:bookmarkEnd w:id="532"/>
      <w:bookmarkEnd w:id="533"/>
      <w:bookmarkEnd w:id="534"/>
      <w:bookmarkEnd w:id="535"/>
    </w:p>
    <w:p w14:paraId="3AA75D1D">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执行本合同中产生纠纷，由采购人与成交供应商双方协商解决；协商不成，向有管辖权的人民法院提起诉讼。</w:t>
      </w:r>
    </w:p>
    <w:p w14:paraId="351FCCB5">
      <w:pPr>
        <w:pStyle w:val="4"/>
        <w:keepNext w:val="0"/>
        <w:widowControl w:val="0"/>
        <w:spacing w:afterLines="0" w:line="500" w:lineRule="exact"/>
        <w:ind w:firstLine="566" w:firstLineChars="200"/>
        <w:rPr>
          <w:rFonts w:hint="eastAsia" w:ascii="仿宋" w:hAnsi="仿宋" w:eastAsia="仿宋" w:cs="仿宋"/>
          <w:color w:val="000000"/>
          <w:sz w:val="28"/>
          <w:szCs w:val="28"/>
          <w:highlight w:val="none"/>
          <w:lang w:eastAsia="zh-CN"/>
        </w:rPr>
      </w:pPr>
      <w:bookmarkStart w:id="536" w:name="_Toc9453"/>
      <w:bookmarkStart w:id="537" w:name="_Toc19798"/>
      <w:bookmarkStart w:id="538" w:name="_Toc10850"/>
      <w:bookmarkStart w:id="539" w:name="_Toc29832"/>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w:t>
      </w:r>
      <w:bookmarkEnd w:id="536"/>
      <w:bookmarkEnd w:id="537"/>
      <w:bookmarkEnd w:id="538"/>
      <w:bookmarkEnd w:id="539"/>
      <w:bookmarkStart w:id="540" w:name="_Toc13978"/>
      <w:bookmarkStart w:id="541" w:name="_Toc20994"/>
      <w:bookmarkStart w:id="542" w:name="_Toc10334"/>
      <w:bookmarkStart w:id="543" w:name="_Toc8823"/>
      <w:bookmarkStart w:id="544" w:name="_Toc22100"/>
      <w:bookmarkStart w:id="545" w:name="_Toc2214"/>
      <w:bookmarkStart w:id="546" w:name="_Toc18805"/>
      <w:bookmarkStart w:id="547" w:name="_Toc780"/>
      <w:bookmarkStart w:id="548" w:name="_Toc526"/>
      <w:bookmarkStart w:id="549" w:name="_Toc20997"/>
      <w:bookmarkStart w:id="550" w:name="_Toc7237"/>
      <w:bookmarkStart w:id="551" w:name="_Toc2376"/>
      <w:r>
        <w:rPr>
          <w:rFonts w:hint="eastAsia" w:ascii="仿宋" w:hAnsi="仿宋" w:eastAsia="仿宋" w:cs="仿宋"/>
          <w:color w:val="000000"/>
          <w:sz w:val="28"/>
          <w:szCs w:val="28"/>
          <w:highlight w:val="none"/>
        </w:rPr>
        <w:t>采购人和中标人的权利义务</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甲方：采购人；乙方：成交供应商</w:t>
      </w:r>
      <w:r>
        <w:rPr>
          <w:rFonts w:hint="eastAsia" w:ascii="仿宋" w:hAnsi="仿宋" w:eastAsia="仿宋" w:cs="仿宋"/>
          <w:color w:val="000000"/>
          <w:sz w:val="28"/>
          <w:szCs w:val="28"/>
          <w:highlight w:val="none"/>
          <w:lang w:eastAsia="zh-CN"/>
        </w:rPr>
        <w:t>）</w:t>
      </w:r>
      <w:bookmarkEnd w:id="540"/>
      <w:bookmarkEnd w:id="541"/>
      <w:bookmarkEnd w:id="542"/>
    </w:p>
    <w:p w14:paraId="3A8FC02B">
      <w:pPr>
        <w:spacing w:afterLines="0" w:line="500" w:lineRule="exact"/>
        <w:ind w:firstLine="566"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（一）采购人的权利与义务</w:t>
      </w:r>
    </w:p>
    <w:p w14:paraId="5897A19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采购人有权对合同规定范围内成交供应商的服务行为进行监督和检查，拥有监管权。有权定期核对成交供应商提供服务所配备的人员数量。对采购人认为不合理的部分有权下达整改通知书，并要求成交供应商限期整改。</w:t>
      </w:r>
    </w:p>
    <w:p w14:paraId="3D9986AC">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2、采购人有权对成交供应商管理服务的质量进行监督，对不符合质量标准的管理服务有权建议整改，对不称职人员可以要求成交供应商更换。</w:t>
      </w:r>
    </w:p>
    <w:p w14:paraId="57A0A5BD">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3、采购人有权依据双方签订的合同约定对成交供应商提供的服务进行定期考评。当考评结果未达到标准时，有权依据约定的数额延迟付款或扣除履约保证金。</w:t>
      </w:r>
    </w:p>
    <w:p w14:paraId="199D47F0">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4、负责检查监督成交供应商管理工作的实施及制度的执行情况。</w:t>
      </w:r>
    </w:p>
    <w:p w14:paraId="7E98E949">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5、根据本合同规定，按时向成交供应商支付应付服务费用。</w:t>
      </w:r>
    </w:p>
    <w:p w14:paraId="00AEE6E4">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6、国家法律、法规所规定由采购人承担的其它责任。</w:t>
      </w:r>
    </w:p>
    <w:p w14:paraId="1E4756D7">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highlight w:val="none"/>
        </w:rPr>
      </w:pPr>
      <w:r>
        <w:rPr>
          <w:rFonts w:hint="eastAsia" w:ascii="仿宋" w:hAnsi="仿宋" w:eastAsia="仿宋" w:cs="仿宋"/>
          <w:b/>
          <w:bCs/>
          <w:color w:val="000000"/>
          <w:highlight w:val="none"/>
        </w:rPr>
        <w:t>（二）</w:t>
      </w:r>
      <w:r>
        <w:rPr>
          <w:rFonts w:hint="eastAsia" w:ascii="仿宋" w:hAnsi="仿宋" w:eastAsia="仿宋" w:cs="仿宋"/>
          <w:b/>
          <w:bCs/>
          <w:color w:val="000000"/>
          <w:sz w:val="28"/>
          <w:szCs w:val="28"/>
        </w:rPr>
        <w:t>成交供应商</w:t>
      </w:r>
      <w:r>
        <w:rPr>
          <w:rFonts w:hint="eastAsia" w:ascii="仿宋" w:hAnsi="仿宋" w:eastAsia="仿宋" w:cs="仿宋"/>
          <w:b/>
          <w:bCs/>
          <w:color w:val="000000"/>
          <w:highlight w:val="none"/>
        </w:rPr>
        <w:t>的权利与义务</w:t>
      </w:r>
    </w:p>
    <w:p w14:paraId="4211AB8B">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1、对本合同规定的委托服务范围内的项目享有管理权及服务义务。</w:t>
      </w:r>
    </w:p>
    <w:p w14:paraId="00FFAEE6">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2、根据本合同的规定向采购人收取相关服务费用，并有权在本项目管理范围内管理及合理使用。</w:t>
      </w:r>
    </w:p>
    <w:p w14:paraId="18CE6425">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3、及时向采购人通告本项目服务范围内有关服务的重大事项，及时配合处理投诉。</w:t>
      </w:r>
    </w:p>
    <w:p w14:paraId="6B7B5EC7">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4、接受项目行业管理部门及政府有关部门的指导，接受采购人的监督。</w:t>
      </w:r>
    </w:p>
    <w:p w14:paraId="2D085030">
      <w:pPr>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66"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5、国家法律、法规所规定由成交供应商承担的其它责任。</w:t>
      </w:r>
    </w:p>
    <w:bookmarkEnd w:id="543"/>
    <w:bookmarkEnd w:id="544"/>
    <w:p w14:paraId="4FCF441B">
      <w:pPr>
        <w:pStyle w:val="4"/>
        <w:keepNext w:val="0"/>
        <w:widowControl/>
        <w:spacing w:afterLines="0" w:line="500" w:lineRule="exact"/>
        <w:ind w:firstLine="566" w:firstLineChars="200"/>
        <w:rPr>
          <w:rFonts w:hint="eastAsia" w:ascii="仿宋" w:hAnsi="仿宋" w:eastAsia="仿宋" w:cs="仿宋"/>
          <w:color w:val="000000"/>
          <w:sz w:val="28"/>
          <w:szCs w:val="28"/>
          <w:highlight w:val="none"/>
        </w:rPr>
      </w:pPr>
      <w:bookmarkStart w:id="552" w:name="_Toc12046"/>
      <w:bookmarkStart w:id="553" w:name="_Toc23604"/>
      <w:bookmarkStart w:id="554" w:name="_Toc20036"/>
      <w:bookmarkStart w:id="555" w:name="_Toc19704"/>
      <w:bookmarkStart w:id="556" w:name="_Toc10182"/>
      <w:r>
        <w:rPr>
          <w:rFonts w:hint="eastAsia" w:ascii="仿宋" w:hAnsi="仿宋" w:eastAsia="仿宋" w:cs="仿宋"/>
          <w:color w:val="000000"/>
          <w:sz w:val="28"/>
          <w:szCs w:val="28"/>
          <w:highlight w:val="none"/>
        </w:rPr>
        <w:t>十、合同生效及其他</w:t>
      </w:r>
      <w:bookmarkEnd w:id="545"/>
      <w:bookmarkEnd w:id="546"/>
      <w:bookmarkEnd w:id="547"/>
      <w:bookmarkEnd w:id="548"/>
      <w:bookmarkEnd w:id="549"/>
      <w:bookmarkEnd w:id="550"/>
      <w:bookmarkEnd w:id="551"/>
      <w:bookmarkEnd w:id="552"/>
      <w:bookmarkEnd w:id="553"/>
      <w:bookmarkEnd w:id="554"/>
      <w:bookmarkEnd w:id="555"/>
      <w:bookmarkEnd w:id="556"/>
    </w:p>
    <w:p w14:paraId="208DD86C">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（一）本合同自签订之日起生效。</w:t>
      </w:r>
    </w:p>
    <w:p w14:paraId="6B5028BA">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（二）合同份数由采购人和成交供应商具体商定。</w:t>
      </w:r>
    </w:p>
    <w:p w14:paraId="62C4BF38">
      <w:pPr>
        <w:widowControl w:val="0"/>
        <w:spacing w:afterLines="0" w:line="500" w:lineRule="exact"/>
        <w:ind w:firstLine="566" w:firstLineChars="200"/>
        <w:rPr>
          <w:rFonts w:hint="eastAsia" w:ascii="仿宋" w:hAnsi="仿宋" w:eastAsia="仿宋" w:cs="仿宋"/>
          <w:color w:val="000000"/>
          <w:highlight w:val="none"/>
        </w:rPr>
      </w:pPr>
      <w:r>
        <w:rPr>
          <w:rFonts w:hint="eastAsia" w:ascii="仿宋" w:hAnsi="仿宋" w:eastAsia="仿宋" w:cs="仿宋"/>
          <w:color w:val="000000"/>
          <w:highlight w:val="none"/>
        </w:rPr>
        <w:t>（三）未尽事宜由双方在签订合同时具体明确。</w:t>
      </w:r>
    </w:p>
    <w:p w14:paraId="6554D96A">
      <w:pPr>
        <w:pStyle w:val="3"/>
        <w:widowControl w:val="0"/>
        <w:spacing w:afterLines="0" w:line="500" w:lineRule="exact"/>
        <w:ind w:firstLine="566" w:firstLineChars="200"/>
        <w:rPr>
          <w:rFonts w:hint="eastAsia" w:ascii="黑体" w:hAnsi="黑体" w:eastAsia="黑体" w:cs="Times New Roman"/>
          <w:b w:val="0"/>
          <w:bCs w:val="0"/>
          <w:color w:val="000000"/>
          <w:sz w:val="32"/>
          <w:szCs w:val="32"/>
        </w:rPr>
      </w:pPr>
      <w:r>
        <w:rPr>
          <w:rFonts w:hint="eastAsia" w:ascii="仿宋" w:hAnsi="仿宋" w:eastAsia="仿宋" w:cs="仿宋"/>
          <w:b w:val="0"/>
          <w:bCs w:val="0"/>
          <w:color w:val="000000"/>
          <w:sz w:val="28"/>
          <w:szCs w:val="28"/>
        </w:rPr>
        <w:br w:type="page"/>
      </w:r>
      <w:bookmarkStart w:id="557" w:name="_Toc31051"/>
      <w:bookmarkStart w:id="558" w:name="_Toc3151"/>
      <w:bookmarkStart w:id="559" w:name="_Toc32475"/>
      <w:bookmarkStart w:id="560" w:name="_Toc28153"/>
      <w:bookmarkStart w:id="561" w:name="_Toc31928"/>
      <w:r>
        <w:rPr>
          <w:rFonts w:hint="eastAsia" w:ascii="黑体" w:hAnsi="黑体" w:eastAsia="黑体" w:cs="黑体"/>
          <w:b w:val="0"/>
          <w:bCs w:val="0"/>
          <w:color w:val="000000"/>
          <w:sz w:val="32"/>
          <w:szCs w:val="32"/>
        </w:rPr>
        <w:t>第五章  响应文件构成及格式</w:t>
      </w:r>
      <w:bookmarkEnd w:id="516"/>
      <w:bookmarkEnd w:id="517"/>
      <w:bookmarkEnd w:id="518"/>
      <w:bookmarkEnd w:id="519"/>
      <w:bookmarkEnd w:id="520"/>
      <w:bookmarkEnd w:id="521"/>
      <w:bookmarkEnd w:id="522"/>
      <w:bookmarkEnd w:id="523"/>
      <w:bookmarkEnd w:id="524"/>
      <w:bookmarkEnd w:id="525"/>
      <w:bookmarkEnd w:id="526"/>
      <w:bookmarkEnd w:id="557"/>
      <w:bookmarkEnd w:id="558"/>
      <w:bookmarkEnd w:id="559"/>
      <w:bookmarkEnd w:id="560"/>
      <w:bookmarkEnd w:id="561"/>
    </w:p>
    <w:p w14:paraId="2DED5A67">
      <w:pPr>
        <w:widowControl w:val="0"/>
        <w:rPr>
          <w:rFonts w:cs="Times New Roman"/>
          <w:color w:val="000000"/>
        </w:rPr>
      </w:pPr>
    </w:p>
    <w:p w14:paraId="5AAA76F1">
      <w:pPr>
        <w:widowControl w:val="0"/>
        <w:rPr>
          <w:rFonts w:cs="Times New Roman"/>
          <w:color w:val="000000"/>
        </w:rPr>
      </w:pPr>
    </w:p>
    <w:tbl>
      <w:tblPr>
        <w:tblStyle w:val="26"/>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3F8A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14:paraId="08182803">
            <w:pPr>
              <w:widowControl w:val="0"/>
              <w:spacing w:before="120"/>
              <w:rPr>
                <w:rFonts w:hint="eastAsia" w:ascii="仿宋" w:hAnsi="仿宋" w:eastAsia="仿宋" w:cs="仿宋"/>
                <w:color w:val="000000"/>
                <w:sz w:val="24"/>
                <w:szCs w:val="24"/>
              </w:rPr>
            </w:pPr>
            <w:r>
              <w:rPr>
                <w:rFonts w:hint="eastAsia" w:ascii="仿宋" w:hAnsi="仿宋" w:eastAsia="仿宋" w:cs="仿宋"/>
                <w:color w:val="000000"/>
                <w:sz w:val="24"/>
                <w:szCs w:val="24"/>
              </w:rPr>
              <w:t>注释：</w:t>
            </w:r>
          </w:p>
          <w:p w14:paraId="34B538E5">
            <w:pPr>
              <w:widowControl w:val="0"/>
              <w:spacing w:before="120" w:line="420" w:lineRule="exact"/>
              <w:ind w:firstLine="486" w:firstLineChars="200"/>
              <w:jc w:val="left"/>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、本章分为三部分，是为方便供应商制作响应文件设计。第一、二部分应按要求或给定格式选择填报。</w:t>
            </w:r>
          </w:p>
          <w:p w14:paraId="774C6936">
            <w:pPr>
              <w:widowControl w:val="0"/>
              <w:spacing w:before="120" w:line="420" w:lineRule="exact"/>
              <w:ind w:firstLine="486" w:firstLineChars="200"/>
              <w:jc w:val="left"/>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、第三部分响应方案格式仅供参考，供应商应根据项目特点，结合本次磋商要求，对有关表格进行补充或修改，但不得对实质性文件的相关条款作出变动。</w:t>
            </w:r>
          </w:p>
        </w:tc>
      </w:tr>
    </w:tbl>
    <w:p w14:paraId="6222C8DA">
      <w:pPr>
        <w:pStyle w:val="46"/>
        <w:widowControl w:val="0"/>
        <w:spacing w:line="240" w:lineRule="auto"/>
        <w:ind w:firstLine="0" w:firstLineChars="0"/>
        <w:rPr>
          <w:rFonts w:hint="eastAsia" w:ascii="黑体" w:hAnsi="黑体" w:eastAsia="黑体" w:cs="Times New Roman"/>
          <w:color w:val="000000"/>
        </w:rPr>
      </w:pPr>
    </w:p>
    <w:p w14:paraId="55C83441">
      <w:pPr>
        <w:pStyle w:val="46"/>
        <w:widowControl w:val="0"/>
        <w:spacing w:line="240" w:lineRule="auto"/>
        <w:ind w:firstLine="0" w:firstLineChars="0"/>
        <w:rPr>
          <w:rFonts w:hint="eastAsia" w:ascii="黑体" w:hAnsi="黑体" w:eastAsia="黑体" w:cs="Times New Roman"/>
          <w:color w:val="000000"/>
        </w:rPr>
      </w:pPr>
    </w:p>
    <w:p w14:paraId="466CB501">
      <w:pPr>
        <w:pStyle w:val="46"/>
        <w:widowControl w:val="0"/>
        <w:spacing w:line="240" w:lineRule="auto"/>
        <w:ind w:firstLine="0" w:firstLineChars="0"/>
        <w:rPr>
          <w:rFonts w:hint="eastAsia" w:ascii="黑体" w:hAnsi="黑体" w:eastAsia="黑体" w:cs="Times New Roman"/>
          <w:color w:val="000000"/>
        </w:rPr>
      </w:pPr>
    </w:p>
    <w:p w14:paraId="1EA6A733">
      <w:pPr>
        <w:pStyle w:val="46"/>
        <w:widowControl w:val="0"/>
        <w:spacing w:line="240" w:lineRule="auto"/>
        <w:ind w:firstLine="0" w:firstLineChars="0"/>
        <w:rPr>
          <w:rFonts w:hint="eastAsia" w:ascii="黑体" w:hAnsi="黑体" w:eastAsia="黑体" w:cs="Times New Roman"/>
          <w:color w:val="000000"/>
        </w:rPr>
      </w:pPr>
    </w:p>
    <w:p w14:paraId="5653D972">
      <w:pPr>
        <w:pStyle w:val="46"/>
        <w:widowControl w:val="0"/>
        <w:spacing w:line="240" w:lineRule="auto"/>
        <w:ind w:firstLine="0" w:firstLineChars="0"/>
        <w:rPr>
          <w:rFonts w:hint="eastAsia" w:ascii="黑体" w:hAnsi="黑体" w:eastAsia="黑体" w:cs="Times New Roman"/>
          <w:color w:val="000000"/>
        </w:rPr>
      </w:pPr>
    </w:p>
    <w:p w14:paraId="1E2CD4B5">
      <w:pPr>
        <w:pStyle w:val="46"/>
        <w:widowControl w:val="0"/>
        <w:spacing w:line="240" w:lineRule="auto"/>
        <w:ind w:firstLine="0" w:firstLineChars="0"/>
        <w:rPr>
          <w:rFonts w:hint="eastAsia" w:ascii="黑体" w:hAnsi="黑体" w:eastAsia="黑体" w:cs="Times New Roman"/>
          <w:color w:val="000000"/>
        </w:rPr>
      </w:pPr>
    </w:p>
    <w:p w14:paraId="10B6E92B">
      <w:pPr>
        <w:pStyle w:val="46"/>
        <w:widowControl w:val="0"/>
        <w:spacing w:line="240" w:lineRule="auto"/>
        <w:ind w:firstLine="0" w:firstLineChars="0"/>
        <w:rPr>
          <w:rFonts w:hint="eastAsia" w:ascii="黑体" w:hAnsi="黑体" w:eastAsia="黑体" w:cs="Times New Roman"/>
          <w:color w:val="000000"/>
        </w:rPr>
      </w:pPr>
    </w:p>
    <w:p w14:paraId="0247D369">
      <w:pPr>
        <w:pStyle w:val="46"/>
        <w:widowControl w:val="0"/>
        <w:spacing w:line="240" w:lineRule="auto"/>
        <w:ind w:firstLine="0" w:firstLineChars="0"/>
        <w:rPr>
          <w:rFonts w:hint="eastAsia" w:ascii="黑体" w:hAnsi="黑体" w:eastAsia="黑体" w:cs="Times New Roman"/>
          <w:color w:val="000000"/>
        </w:rPr>
      </w:pPr>
    </w:p>
    <w:p w14:paraId="0E901BE3">
      <w:pPr>
        <w:pStyle w:val="46"/>
        <w:widowControl w:val="0"/>
        <w:spacing w:line="240" w:lineRule="auto"/>
        <w:ind w:firstLine="0" w:firstLineChars="0"/>
        <w:rPr>
          <w:rFonts w:hint="eastAsia" w:ascii="黑体" w:hAnsi="黑体" w:eastAsia="黑体" w:cs="Times New Roman"/>
          <w:color w:val="000000"/>
        </w:rPr>
      </w:pPr>
    </w:p>
    <w:p w14:paraId="3CA20D5C">
      <w:pPr>
        <w:pStyle w:val="46"/>
        <w:widowControl w:val="0"/>
        <w:spacing w:line="240" w:lineRule="auto"/>
        <w:ind w:firstLine="0" w:firstLineChars="0"/>
        <w:rPr>
          <w:rFonts w:hint="eastAsia" w:ascii="黑体" w:hAnsi="黑体" w:eastAsia="黑体" w:cs="Times New Roman"/>
          <w:color w:val="000000"/>
        </w:rPr>
      </w:pPr>
    </w:p>
    <w:p w14:paraId="1E4C8D68">
      <w:pPr>
        <w:pStyle w:val="46"/>
        <w:widowControl w:val="0"/>
        <w:spacing w:line="240" w:lineRule="auto"/>
        <w:ind w:firstLine="0" w:firstLineChars="0"/>
        <w:rPr>
          <w:rFonts w:hint="eastAsia" w:ascii="黑体" w:hAnsi="黑体" w:eastAsia="黑体" w:cs="Times New Roman"/>
          <w:color w:val="000000"/>
        </w:rPr>
      </w:pPr>
    </w:p>
    <w:p w14:paraId="2A0276A8">
      <w:pPr>
        <w:pStyle w:val="46"/>
        <w:widowControl w:val="0"/>
        <w:spacing w:line="240" w:lineRule="auto"/>
        <w:ind w:firstLine="0" w:firstLineChars="0"/>
        <w:rPr>
          <w:rFonts w:hint="eastAsia" w:ascii="黑体" w:hAnsi="黑体" w:eastAsia="黑体" w:cs="Times New Roman"/>
          <w:color w:val="000000"/>
        </w:rPr>
      </w:pPr>
    </w:p>
    <w:p w14:paraId="4F5ED3A0">
      <w:pPr>
        <w:pStyle w:val="46"/>
        <w:widowControl w:val="0"/>
        <w:spacing w:line="240" w:lineRule="auto"/>
        <w:ind w:firstLine="0" w:firstLineChars="0"/>
        <w:rPr>
          <w:rFonts w:hint="eastAsia" w:ascii="黑体" w:hAnsi="黑体" w:eastAsia="黑体" w:cs="Times New Roman"/>
          <w:color w:val="000000"/>
        </w:rPr>
      </w:pPr>
    </w:p>
    <w:p w14:paraId="3E1BAAB2">
      <w:pPr>
        <w:pStyle w:val="46"/>
        <w:widowControl w:val="0"/>
        <w:spacing w:line="240" w:lineRule="auto"/>
        <w:ind w:firstLine="0" w:firstLineChars="0"/>
        <w:rPr>
          <w:rFonts w:hint="eastAsia" w:ascii="黑体" w:hAnsi="黑体" w:eastAsia="黑体" w:cs="Times New Roman"/>
          <w:color w:val="000000"/>
        </w:rPr>
      </w:pPr>
    </w:p>
    <w:p w14:paraId="1E455ACD">
      <w:pPr>
        <w:pStyle w:val="46"/>
        <w:widowControl w:val="0"/>
        <w:spacing w:line="240" w:lineRule="auto"/>
        <w:ind w:firstLine="0" w:firstLineChars="0"/>
        <w:rPr>
          <w:rFonts w:hint="eastAsia" w:ascii="黑体" w:hAnsi="黑体" w:eastAsia="黑体" w:cs="Times New Roman"/>
          <w:color w:val="000000"/>
        </w:rPr>
      </w:pPr>
    </w:p>
    <w:p w14:paraId="3F014C8D">
      <w:pPr>
        <w:pStyle w:val="46"/>
        <w:widowControl w:val="0"/>
        <w:spacing w:line="240" w:lineRule="auto"/>
        <w:ind w:firstLine="0" w:firstLineChars="0"/>
        <w:rPr>
          <w:rFonts w:hint="eastAsia" w:ascii="黑体" w:hAnsi="黑体" w:eastAsia="黑体" w:cs="Times New Roman"/>
          <w:color w:val="000000"/>
        </w:rPr>
      </w:pPr>
    </w:p>
    <w:p w14:paraId="16F2546B">
      <w:pPr>
        <w:pStyle w:val="46"/>
        <w:widowControl w:val="0"/>
        <w:spacing w:line="240" w:lineRule="auto"/>
        <w:ind w:firstLine="0" w:firstLineChars="0"/>
        <w:rPr>
          <w:rFonts w:hint="eastAsia" w:ascii="黑体" w:hAnsi="黑体" w:eastAsia="黑体" w:cs="Times New Roman"/>
          <w:color w:val="000000"/>
        </w:rPr>
      </w:pPr>
    </w:p>
    <w:p w14:paraId="5140B186">
      <w:pPr>
        <w:pStyle w:val="46"/>
        <w:widowControl w:val="0"/>
        <w:spacing w:line="240" w:lineRule="auto"/>
        <w:ind w:firstLine="0" w:firstLineChars="0"/>
        <w:rPr>
          <w:rFonts w:hint="eastAsia" w:ascii="黑体" w:hAnsi="黑体" w:eastAsia="黑体" w:cs="Times New Roman"/>
          <w:color w:val="000000"/>
        </w:rPr>
      </w:pPr>
    </w:p>
    <w:p w14:paraId="69721909">
      <w:pPr>
        <w:pStyle w:val="46"/>
        <w:widowControl w:val="0"/>
        <w:spacing w:line="240" w:lineRule="auto"/>
        <w:ind w:firstLine="0" w:firstLineChars="0"/>
        <w:rPr>
          <w:rFonts w:hint="eastAsia" w:ascii="黑体" w:hAnsi="黑体" w:eastAsia="黑体" w:cs="Times New Roman"/>
          <w:color w:val="000000"/>
        </w:rPr>
      </w:pPr>
    </w:p>
    <w:p w14:paraId="1920785C">
      <w:pPr>
        <w:pStyle w:val="46"/>
        <w:widowControl w:val="0"/>
        <w:spacing w:line="240" w:lineRule="auto"/>
        <w:ind w:firstLine="0" w:firstLineChars="0"/>
        <w:rPr>
          <w:rFonts w:hint="eastAsia" w:ascii="黑体" w:hAnsi="黑体" w:eastAsia="黑体" w:cs="Times New Roman"/>
          <w:color w:val="000000"/>
        </w:rPr>
      </w:pPr>
    </w:p>
    <w:p w14:paraId="12C8C73B">
      <w:pPr>
        <w:pStyle w:val="46"/>
        <w:widowControl w:val="0"/>
        <w:spacing w:line="240" w:lineRule="auto"/>
        <w:ind w:firstLine="0" w:firstLineChars="0"/>
        <w:rPr>
          <w:rFonts w:hint="eastAsia" w:ascii="黑体" w:hAnsi="黑体" w:eastAsia="黑体" w:cs="Times New Roman"/>
          <w:color w:val="000000"/>
        </w:rPr>
      </w:pPr>
    </w:p>
    <w:p w14:paraId="0705E3FE">
      <w:pPr>
        <w:pStyle w:val="46"/>
        <w:widowControl w:val="0"/>
        <w:spacing w:line="240" w:lineRule="auto"/>
        <w:ind w:firstLine="0" w:firstLineChars="0"/>
        <w:rPr>
          <w:rFonts w:hint="eastAsia" w:ascii="黑体" w:hAnsi="黑体" w:eastAsia="黑体" w:cs="Times New Roman"/>
          <w:color w:val="000000"/>
        </w:rPr>
      </w:pPr>
    </w:p>
    <w:p w14:paraId="3213AA33">
      <w:pPr>
        <w:pStyle w:val="46"/>
        <w:widowControl w:val="0"/>
        <w:spacing w:line="240" w:lineRule="auto"/>
        <w:ind w:firstLine="0" w:firstLineChars="0"/>
        <w:rPr>
          <w:rFonts w:hint="eastAsia" w:ascii="黑体" w:hAnsi="黑体" w:eastAsia="黑体" w:cs="Times New Roman"/>
          <w:color w:val="000000"/>
        </w:rPr>
      </w:pPr>
    </w:p>
    <w:p w14:paraId="195DB937">
      <w:pPr>
        <w:pStyle w:val="46"/>
        <w:widowControl w:val="0"/>
        <w:spacing w:line="240" w:lineRule="auto"/>
        <w:ind w:firstLine="0" w:firstLineChars="0"/>
        <w:rPr>
          <w:rFonts w:hint="eastAsia" w:ascii="黑体" w:hAnsi="黑体" w:eastAsia="黑体" w:cs="Times New Roman"/>
          <w:color w:val="000000"/>
        </w:rPr>
      </w:pPr>
    </w:p>
    <w:p w14:paraId="7FAC26A7">
      <w:pPr>
        <w:pStyle w:val="46"/>
        <w:widowControl w:val="0"/>
        <w:spacing w:line="240" w:lineRule="auto"/>
        <w:ind w:firstLine="0" w:firstLineChars="0"/>
        <w:rPr>
          <w:rFonts w:hint="eastAsia" w:ascii="黑体" w:hAnsi="黑体" w:eastAsia="黑体" w:cs="Times New Roman"/>
          <w:color w:val="000000"/>
        </w:rPr>
      </w:pPr>
    </w:p>
    <w:p w14:paraId="6B303238">
      <w:pPr>
        <w:pStyle w:val="46"/>
        <w:widowControl w:val="0"/>
        <w:spacing w:line="240" w:lineRule="auto"/>
        <w:ind w:firstLine="0" w:firstLineChars="0"/>
        <w:rPr>
          <w:rFonts w:hint="eastAsia" w:ascii="黑体" w:hAnsi="黑体" w:eastAsia="黑体" w:cs="Times New Roman"/>
          <w:color w:val="000000"/>
        </w:rPr>
      </w:pPr>
      <w:r>
        <w:rPr>
          <w:rFonts w:hint="eastAsia" w:ascii="黑体" w:hAnsi="黑体" w:eastAsia="黑体" w:cs="黑体"/>
          <w:color w:val="000000"/>
        </w:rPr>
        <w:t>封面格式</w:t>
      </w:r>
    </w:p>
    <w:p w14:paraId="0108ED53">
      <w:pPr>
        <w:pStyle w:val="46"/>
        <w:widowControl w:val="0"/>
        <w:spacing w:line="240" w:lineRule="auto"/>
        <w:ind w:firstLine="253" w:firstLineChars="70"/>
        <w:jc w:val="center"/>
        <w:rPr>
          <w:rFonts w:cs="Times New Roman"/>
          <w:color w:val="000000"/>
          <w:sz w:val="36"/>
          <w:szCs w:val="36"/>
        </w:rPr>
      </w:pPr>
    </w:p>
    <w:p w14:paraId="039F094C">
      <w:pPr>
        <w:widowControl w:val="0"/>
        <w:spacing w:line="240" w:lineRule="auto"/>
        <w:jc w:val="center"/>
        <w:rPr>
          <w:rFonts w:cs="Times New Roman"/>
          <w:color w:val="000000"/>
          <w:sz w:val="36"/>
          <w:szCs w:val="36"/>
        </w:rPr>
      </w:pPr>
      <w:r>
        <w:rPr>
          <w:rFonts w:hint="eastAsia" w:ascii="华文中宋" w:hAnsi="华文中宋" w:eastAsia="华文中宋" w:cs="华文中宋"/>
          <w:color w:val="000000"/>
          <w:sz w:val="60"/>
          <w:szCs w:val="60"/>
        </w:rPr>
        <w:t>陕西省政府采购服务项目</w:t>
      </w:r>
    </w:p>
    <w:p w14:paraId="3D7DD575">
      <w:pPr>
        <w:widowControl w:val="0"/>
        <w:spacing w:line="500" w:lineRule="exact"/>
        <w:ind w:right="11"/>
        <w:rPr>
          <w:rFonts w:cs="Times New Roman"/>
          <w:color w:val="000000"/>
          <w:u w:val="single"/>
        </w:rPr>
      </w:pPr>
    </w:p>
    <w:p w14:paraId="3E7B4772">
      <w:pPr>
        <w:pStyle w:val="46"/>
        <w:widowControl w:val="0"/>
        <w:spacing w:line="240" w:lineRule="auto"/>
        <w:ind w:firstLine="0" w:firstLineChars="0"/>
        <w:jc w:val="center"/>
        <w:rPr>
          <w:rFonts w:hint="eastAsia" w:ascii="华文中宋" w:hAnsi="华文中宋" w:eastAsia="华文中宋" w:cs="Times New Roman"/>
          <w:color w:val="000000"/>
          <w:sz w:val="96"/>
          <w:szCs w:val="96"/>
        </w:rPr>
      </w:pPr>
      <w:r>
        <w:rPr>
          <w:rFonts w:hint="eastAsia" w:ascii="华文中宋" w:hAnsi="华文中宋" w:eastAsia="华文中宋" w:cs="华文中宋"/>
          <w:color w:val="000000"/>
          <w:spacing w:val="323"/>
          <w:kern w:val="0"/>
          <w:sz w:val="96"/>
          <w:szCs w:val="96"/>
        </w:rPr>
        <w:t>响应文件</w:t>
      </w:r>
    </w:p>
    <w:p w14:paraId="781507A0">
      <w:pPr>
        <w:pStyle w:val="46"/>
        <w:widowControl w:val="0"/>
        <w:spacing w:line="240" w:lineRule="auto"/>
        <w:ind w:firstLine="0" w:firstLineChars="0"/>
        <w:jc w:val="center"/>
        <w:rPr>
          <w:rFonts w:cs="Times New Roman"/>
          <w:color w:val="000000"/>
          <w:sz w:val="36"/>
          <w:szCs w:val="36"/>
        </w:rPr>
      </w:pPr>
    </w:p>
    <w:p w14:paraId="3B532F94">
      <w:pPr>
        <w:pStyle w:val="46"/>
        <w:widowControl w:val="0"/>
        <w:spacing w:line="240" w:lineRule="auto"/>
        <w:ind w:firstLine="0" w:firstLineChars="0"/>
        <w:jc w:val="center"/>
        <w:rPr>
          <w:rFonts w:cs="Times New Roman"/>
          <w:color w:val="000000"/>
          <w:sz w:val="36"/>
          <w:szCs w:val="36"/>
        </w:rPr>
      </w:pPr>
    </w:p>
    <w:p w14:paraId="16C4548A">
      <w:pPr>
        <w:pStyle w:val="46"/>
        <w:widowControl w:val="0"/>
        <w:spacing w:line="240" w:lineRule="auto"/>
        <w:ind w:firstLine="0" w:firstLineChars="0"/>
        <w:jc w:val="center"/>
        <w:rPr>
          <w:rFonts w:cs="Times New Roman"/>
          <w:color w:val="000000"/>
          <w:sz w:val="36"/>
          <w:szCs w:val="36"/>
        </w:rPr>
      </w:pPr>
    </w:p>
    <w:p w14:paraId="356876A6">
      <w:pPr>
        <w:pStyle w:val="46"/>
        <w:widowControl w:val="0"/>
        <w:spacing w:line="240" w:lineRule="auto"/>
        <w:ind w:firstLine="0" w:firstLineChars="0"/>
        <w:jc w:val="center"/>
        <w:rPr>
          <w:rFonts w:cs="Times New Roman"/>
          <w:color w:val="000000"/>
          <w:sz w:val="36"/>
          <w:szCs w:val="36"/>
        </w:rPr>
      </w:pPr>
    </w:p>
    <w:p w14:paraId="5278D90E">
      <w:pPr>
        <w:pStyle w:val="46"/>
        <w:widowControl w:val="0"/>
        <w:spacing w:line="240" w:lineRule="auto"/>
        <w:ind w:firstLine="0" w:firstLineChars="0"/>
        <w:jc w:val="center"/>
        <w:rPr>
          <w:rFonts w:cs="Times New Roman"/>
          <w:color w:val="000000"/>
          <w:sz w:val="36"/>
          <w:szCs w:val="36"/>
        </w:rPr>
      </w:pPr>
    </w:p>
    <w:p w14:paraId="3DC763A2">
      <w:pPr>
        <w:pStyle w:val="46"/>
        <w:widowControl w:val="0"/>
        <w:spacing w:line="240" w:lineRule="auto"/>
        <w:ind w:firstLine="0" w:firstLineChars="0"/>
        <w:jc w:val="center"/>
        <w:rPr>
          <w:rFonts w:cs="Times New Roman"/>
          <w:color w:val="000000"/>
          <w:sz w:val="36"/>
          <w:szCs w:val="36"/>
        </w:rPr>
      </w:pPr>
    </w:p>
    <w:p w14:paraId="09BE0482">
      <w:pPr>
        <w:pStyle w:val="46"/>
        <w:widowControl w:val="0"/>
        <w:spacing w:line="240" w:lineRule="auto"/>
        <w:ind w:firstLine="1815" w:firstLineChars="500"/>
        <w:jc w:val="left"/>
        <w:rPr>
          <w:rFonts w:hint="eastAsia" w:ascii="仿宋" w:hAnsi="仿宋" w:eastAsia="仿宋" w:cs="仿宋"/>
          <w:color w:val="000000"/>
          <w:sz w:val="36"/>
          <w:szCs w:val="36"/>
          <w:u w:val="single"/>
        </w:rPr>
      </w:pPr>
      <w:r>
        <w:rPr>
          <w:rFonts w:hint="eastAsia" w:ascii="仿宋" w:hAnsi="仿宋" w:eastAsia="仿宋" w:cs="仿宋"/>
          <w:color w:val="000000"/>
          <w:sz w:val="36"/>
          <w:szCs w:val="36"/>
        </w:rPr>
        <w:t>项目名称：</w:t>
      </w:r>
      <w:r>
        <w:rPr>
          <w:rFonts w:hint="eastAsia" w:ascii="仿宋" w:hAnsi="仿宋" w:eastAsia="仿宋" w:cs="仿宋"/>
          <w:color w:val="000000"/>
          <w:sz w:val="36"/>
          <w:szCs w:val="36"/>
          <w:u w:val="single"/>
        </w:rPr>
        <w:t xml:space="preserve">             </w:t>
      </w:r>
    </w:p>
    <w:p w14:paraId="6D8C1505">
      <w:pPr>
        <w:pStyle w:val="46"/>
        <w:widowControl w:val="0"/>
        <w:spacing w:line="240" w:lineRule="auto"/>
        <w:ind w:firstLine="1815" w:firstLineChars="500"/>
        <w:rPr>
          <w:rFonts w:hint="eastAsia" w:ascii="仿宋" w:hAnsi="仿宋" w:eastAsia="仿宋" w:cs="仿宋"/>
          <w:color w:val="000000"/>
          <w:sz w:val="36"/>
          <w:szCs w:val="36"/>
        </w:rPr>
      </w:pPr>
      <w:r>
        <w:rPr>
          <w:rFonts w:hint="eastAsia" w:ascii="仿宋" w:hAnsi="仿宋" w:eastAsia="仿宋" w:cs="仿宋"/>
          <w:color w:val="000000"/>
          <w:sz w:val="36"/>
          <w:szCs w:val="36"/>
        </w:rPr>
        <w:t>项目编号：</w:t>
      </w:r>
      <w:r>
        <w:rPr>
          <w:rFonts w:hint="eastAsia" w:ascii="仿宋" w:hAnsi="仿宋" w:eastAsia="仿宋" w:cs="仿宋"/>
          <w:color w:val="000000"/>
          <w:sz w:val="36"/>
          <w:szCs w:val="36"/>
          <w:u w:val="single"/>
        </w:rPr>
        <w:t xml:space="preserve">             </w:t>
      </w:r>
    </w:p>
    <w:p w14:paraId="52BEAFEB">
      <w:pPr>
        <w:pStyle w:val="46"/>
        <w:widowControl w:val="0"/>
        <w:spacing w:line="240" w:lineRule="auto"/>
        <w:ind w:firstLine="1815" w:firstLineChars="500"/>
        <w:rPr>
          <w:rFonts w:hint="eastAsia" w:ascii="仿宋" w:hAnsi="仿宋" w:eastAsia="仿宋" w:cs="仿宋"/>
          <w:color w:val="000000"/>
          <w:sz w:val="36"/>
          <w:szCs w:val="36"/>
        </w:rPr>
      </w:pPr>
      <w:r>
        <w:rPr>
          <w:rFonts w:hint="eastAsia" w:ascii="仿宋" w:hAnsi="仿宋" w:eastAsia="仿宋" w:cs="仿宋"/>
          <w:color w:val="000000"/>
          <w:sz w:val="36"/>
          <w:szCs w:val="36"/>
        </w:rPr>
        <w:t>供 应 商：</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36"/>
          <w:szCs w:val="36"/>
        </w:rPr>
        <w:t>（公章）</w:t>
      </w:r>
    </w:p>
    <w:p w14:paraId="5025BA09">
      <w:pPr>
        <w:pStyle w:val="46"/>
        <w:widowControl w:val="0"/>
        <w:spacing w:line="240" w:lineRule="auto"/>
        <w:ind w:firstLine="1815" w:firstLineChars="500"/>
        <w:rPr>
          <w:rFonts w:hint="eastAsia" w:ascii="仿宋" w:hAnsi="仿宋" w:eastAsia="仿宋" w:cs="仿宋"/>
          <w:color w:val="000000"/>
          <w:sz w:val="36"/>
          <w:szCs w:val="36"/>
          <w:u w:val="single"/>
        </w:rPr>
      </w:pPr>
      <w:r>
        <w:rPr>
          <w:rFonts w:hint="eastAsia" w:ascii="仿宋" w:hAnsi="仿宋" w:eastAsia="仿宋" w:cs="仿宋"/>
          <w:color w:val="000000"/>
          <w:sz w:val="36"/>
          <w:szCs w:val="36"/>
        </w:rPr>
        <w:t>时　  间：</w:t>
      </w:r>
      <w:r>
        <w:rPr>
          <w:rFonts w:hint="eastAsia" w:ascii="仿宋" w:hAnsi="仿宋" w:eastAsia="仿宋" w:cs="仿宋"/>
          <w:color w:val="000000"/>
          <w:sz w:val="36"/>
          <w:szCs w:val="36"/>
          <w:u w:val="single"/>
        </w:rPr>
        <w:t xml:space="preserve">             </w:t>
      </w:r>
    </w:p>
    <w:p w14:paraId="10852532">
      <w:pPr>
        <w:widowControl w:val="0"/>
        <w:tabs>
          <w:tab w:val="right" w:leader="hyphen" w:pos="8504"/>
        </w:tabs>
        <w:spacing w:line="500" w:lineRule="exact"/>
        <w:ind w:firstLine="1815" w:firstLineChars="500"/>
        <w:rPr>
          <w:color w:val="000000"/>
        </w:rPr>
      </w:pPr>
      <w:r>
        <w:rPr>
          <w:rFonts w:hint="eastAsia" w:ascii="黑体" w:hAnsi="黑体" w:eastAsia="黑体" w:cs="黑体"/>
          <w:color w:val="000000"/>
          <w:sz w:val="36"/>
          <w:szCs w:val="36"/>
        </w:rPr>
        <w:br w:type="page"/>
      </w:r>
    </w:p>
    <w:p w14:paraId="2AC2BC58">
      <w:pPr>
        <w:widowControl w:val="0"/>
        <w:tabs>
          <w:tab w:val="right" w:leader="hyphen" w:pos="8504"/>
        </w:tabs>
        <w:spacing w:line="500" w:lineRule="exact"/>
        <w:ind w:left="2381" w:leftChars="200" w:right="849" w:rightChars="300" w:hanging="1815" w:hangingChars="500"/>
        <w:jc w:val="center"/>
        <w:rPr>
          <w:rFonts w:hint="eastAsia" w:ascii="黑体" w:hAnsi="黑体" w:eastAsia="黑体" w:cs="黑体"/>
          <w:color w:val="000000"/>
          <w:sz w:val="36"/>
          <w:szCs w:val="36"/>
        </w:rPr>
      </w:pPr>
      <w:r>
        <w:rPr>
          <w:rFonts w:hint="eastAsia" w:ascii="黑体" w:hAnsi="黑体" w:eastAsia="黑体" w:cs="黑体"/>
          <w:color w:val="000000"/>
          <w:sz w:val="36"/>
          <w:szCs w:val="36"/>
        </w:rPr>
        <w:t>目  录</w:t>
      </w:r>
    </w:p>
    <w:p w14:paraId="5AEAD5BB">
      <w:pPr>
        <w:widowControl w:val="0"/>
        <w:tabs>
          <w:tab w:val="right" w:leader="hyphen" w:pos="8504"/>
        </w:tabs>
        <w:spacing w:line="500" w:lineRule="exact"/>
        <w:ind w:left="1981" w:leftChars="200" w:right="849" w:rightChars="300" w:hanging="1415" w:hangingChars="500"/>
        <w:rPr>
          <w:rFonts w:hint="eastAsia" w:ascii="仿宋" w:hAnsi="仿宋" w:eastAsia="仿宋" w:cs="仿宋"/>
          <w:b/>
          <w:bCs/>
          <w:color w:val="000000"/>
        </w:rPr>
      </w:pPr>
      <w:r>
        <w:rPr>
          <w:rFonts w:hint="eastAsia" w:ascii="仿宋" w:hAnsi="仿宋" w:eastAsia="仿宋" w:cs="仿宋"/>
          <w:b/>
          <w:bCs/>
          <w:color w:val="000000"/>
        </w:rPr>
        <w:t>第一部分  资格证明文件</w:t>
      </w:r>
      <w:r>
        <w:rPr>
          <w:rFonts w:hint="eastAsia" w:ascii="仿宋" w:hAnsi="仿宋" w:eastAsia="仿宋" w:cs="仿宋"/>
          <w:b/>
          <w:bCs/>
          <w:color w:val="000000"/>
        </w:rPr>
        <w:tab/>
      </w:r>
      <w:r>
        <w:rPr>
          <w:rFonts w:hint="eastAsia" w:ascii="仿宋" w:hAnsi="仿宋" w:eastAsia="仿宋" w:cs="仿宋"/>
          <w:b/>
          <w:bCs/>
          <w:color w:val="000000"/>
        </w:rPr>
        <w:t>X</w:t>
      </w:r>
    </w:p>
    <w:p w14:paraId="49621B32">
      <w:pPr>
        <w:widowControl w:val="0"/>
        <w:tabs>
          <w:tab w:val="right" w:leader="hyphen" w:pos="8504"/>
        </w:tabs>
        <w:spacing w:line="500" w:lineRule="exact"/>
        <w:ind w:left="1981" w:leftChars="200" w:right="849" w:rightChars="300" w:hanging="1415" w:hangingChars="500"/>
        <w:rPr>
          <w:rFonts w:hint="eastAsia" w:ascii="仿宋" w:hAnsi="仿宋" w:eastAsia="仿宋" w:cs="仿宋"/>
          <w:color w:val="000000"/>
        </w:rPr>
      </w:pPr>
      <w:r>
        <w:rPr>
          <w:rFonts w:hint="eastAsia" w:ascii="仿宋" w:hAnsi="仿宋" w:eastAsia="仿宋" w:cs="仿宋"/>
          <w:color w:val="000000"/>
        </w:rPr>
        <w:t>　　  一、营业执照等主体资格证明文件</w:t>
      </w:r>
      <w:r>
        <w:rPr>
          <w:rFonts w:hint="eastAsia" w:ascii="仿宋" w:hAnsi="仿宋" w:eastAsia="仿宋" w:cs="仿宋"/>
          <w:color w:val="000000"/>
        </w:rPr>
        <w:tab/>
      </w:r>
      <w:r>
        <w:rPr>
          <w:rFonts w:hint="eastAsia" w:ascii="仿宋" w:hAnsi="仿宋" w:eastAsia="仿宋" w:cs="仿宋"/>
          <w:color w:val="000000"/>
        </w:rPr>
        <w:t>X</w:t>
      </w:r>
    </w:p>
    <w:p w14:paraId="0E22C641">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二、财务状况报告</w:t>
      </w:r>
      <w:r>
        <w:rPr>
          <w:rFonts w:hint="eastAsia" w:ascii="仿宋" w:hAnsi="仿宋" w:eastAsia="仿宋" w:cs="仿宋"/>
          <w:color w:val="000000"/>
        </w:rPr>
        <w:tab/>
      </w:r>
      <w:r>
        <w:rPr>
          <w:rFonts w:hint="eastAsia" w:ascii="仿宋" w:hAnsi="仿宋" w:eastAsia="仿宋" w:cs="仿宋"/>
          <w:color w:val="000000"/>
        </w:rPr>
        <w:t>X</w:t>
      </w:r>
    </w:p>
    <w:p w14:paraId="7CED8DAE">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三、社保缴纳证明</w:t>
      </w:r>
      <w:r>
        <w:rPr>
          <w:rFonts w:hint="eastAsia" w:ascii="仿宋" w:hAnsi="仿宋" w:eastAsia="仿宋" w:cs="仿宋"/>
          <w:color w:val="000000"/>
        </w:rPr>
        <w:tab/>
      </w:r>
      <w:r>
        <w:rPr>
          <w:rFonts w:hint="eastAsia" w:ascii="仿宋" w:hAnsi="仿宋" w:eastAsia="仿宋" w:cs="仿宋"/>
          <w:color w:val="000000"/>
        </w:rPr>
        <w:t>X</w:t>
      </w:r>
    </w:p>
    <w:p w14:paraId="0A4A218A">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四、税收缴纳证明</w:t>
      </w:r>
      <w:r>
        <w:rPr>
          <w:rFonts w:hint="eastAsia" w:ascii="仿宋" w:hAnsi="仿宋" w:eastAsia="仿宋" w:cs="仿宋"/>
          <w:color w:val="000000"/>
        </w:rPr>
        <w:tab/>
      </w:r>
      <w:r>
        <w:rPr>
          <w:rFonts w:hint="eastAsia" w:ascii="仿宋" w:hAnsi="仿宋" w:eastAsia="仿宋" w:cs="仿宋"/>
          <w:color w:val="000000"/>
        </w:rPr>
        <w:t>X</w:t>
      </w:r>
    </w:p>
    <w:p w14:paraId="1E3970F9">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五、信用记录</w:t>
      </w:r>
      <w:r>
        <w:rPr>
          <w:rFonts w:hint="eastAsia" w:ascii="仿宋" w:hAnsi="仿宋" w:eastAsia="仿宋" w:cs="仿宋"/>
          <w:color w:val="000000"/>
        </w:rPr>
        <w:tab/>
      </w:r>
      <w:r>
        <w:rPr>
          <w:rFonts w:hint="eastAsia" w:ascii="仿宋" w:hAnsi="仿宋" w:eastAsia="仿宋" w:cs="仿宋"/>
          <w:color w:val="000000"/>
        </w:rPr>
        <w:t>X</w:t>
      </w:r>
    </w:p>
    <w:p w14:paraId="4ADDBCCD">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六、控股管理关系</w:t>
      </w:r>
      <w:r>
        <w:rPr>
          <w:rFonts w:hint="eastAsia" w:ascii="仿宋" w:hAnsi="仿宋" w:eastAsia="仿宋" w:cs="仿宋"/>
          <w:color w:val="000000"/>
        </w:rPr>
        <w:tab/>
      </w:r>
      <w:r>
        <w:rPr>
          <w:rFonts w:hint="eastAsia" w:ascii="仿宋" w:hAnsi="仿宋" w:eastAsia="仿宋" w:cs="仿宋"/>
          <w:color w:val="000000"/>
        </w:rPr>
        <w:t>X</w:t>
      </w:r>
    </w:p>
    <w:p w14:paraId="16C9EE28">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七、书面声明</w:t>
      </w:r>
      <w:r>
        <w:rPr>
          <w:rFonts w:hint="eastAsia" w:ascii="仿宋" w:hAnsi="仿宋" w:eastAsia="仿宋" w:cs="仿宋"/>
          <w:color w:val="000000"/>
        </w:rPr>
        <w:tab/>
      </w:r>
      <w:r>
        <w:rPr>
          <w:rFonts w:hint="eastAsia" w:ascii="仿宋" w:hAnsi="仿宋" w:eastAsia="仿宋" w:cs="仿宋"/>
          <w:color w:val="000000"/>
        </w:rPr>
        <w:t>X</w:t>
      </w:r>
    </w:p>
    <w:p w14:paraId="134A9962">
      <w:pPr>
        <w:widowControl w:val="0"/>
        <w:tabs>
          <w:tab w:val="right" w:leader="hyphen" w:pos="8504"/>
        </w:tabs>
        <w:spacing w:line="500" w:lineRule="exact"/>
        <w:ind w:left="1981" w:leftChars="200" w:right="849" w:rightChars="300" w:hanging="1415" w:hangingChars="500"/>
        <w:rPr>
          <w:rFonts w:hint="eastAsia" w:ascii="仿宋" w:hAnsi="仿宋" w:eastAsia="仿宋" w:cs="仿宋"/>
          <w:color w:val="000000"/>
        </w:rPr>
      </w:pPr>
      <w:r>
        <w:rPr>
          <w:rFonts w:hint="eastAsia" w:ascii="仿宋" w:hAnsi="仿宋" w:eastAsia="仿宋" w:cs="仿宋"/>
          <w:color w:val="000000"/>
        </w:rPr>
        <w:t>　　  八、法定代表人授权委托书</w:t>
      </w:r>
      <w:r>
        <w:rPr>
          <w:rFonts w:hint="eastAsia" w:ascii="仿宋" w:hAnsi="仿宋" w:eastAsia="仿宋" w:cs="仿宋"/>
          <w:color w:val="000000"/>
        </w:rPr>
        <w:tab/>
      </w:r>
      <w:r>
        <w:rPr>
          <w:rFonts w:hint="eastAsia" w:ascii="仿宋" w:hAnsi="仿宋" w:eastAsia="仿宋" w:cs="仿宋"/>
          <w:color w:val="000000"/>
        </w:rPr>
        <w:t>X</w:t>
      </w:r>
    </w:p>
    <w:p w14:paraId="6BA44409">
      <w:pPr>
        <w:widowControl w:val="0"/>
        <w:tabs>
          <w:tab w:val="right" w:leader="hyphen" w:pos="8504"/>
        </w:tabs>
        <w:spacing w:line="500" w:lineRule="exact"/>
        <w:ind w:left="1734" w:leftChars="513" w:right="849" w:rightChars="300" w:hanging="283" w:hangingChars="100"/>
        <w:rPr>
          <w:rFonts w:hint="eastAsia" w:ascii="仿宋" w:hAnsi="仿宋" w:eastAsia="仿宋" w:cs="仿宋"/>
          <w:color w:val="000000"/>
        </w:rPr>
      </w:pPr>
      <w:r>
        <w:rPr>
          <w:rFonts w:hint="eastAsia" w:ascii="仿宋" w:hAnsi="仿宋" w:eastAsia="仿宋" w:cs="仿宋"/>
          <w:color w:val="000000"/>
        </w:rPr>
        <w:t>九、落实政府采购政策须满足的资格要求</w:t>
      </w:r>
      <w:r>
        <w:rPr>
          <w:rFonts w:hint="eastAsia" w:ascii="仿宋" w:hAnsi="仿宋" w:eastAsia="仿宋" w:cs="仿宋"/>
          <w:color w:val="000000"/>
        </w:rPr>
        <w:tab/>
      </w:r>
      <w:r>
        <w:rPr>
          <w:rFonts w:hint="eastAsia" w:ascii="仿宋" w:hAnsi="仿宋" w:eastAsia="仿宋" w:cs="仿宋"/>
          <w:color w:val="000000"/>
        </w:rPr>
        <w:t>X</w:t>
      </w:r>
    </w:p>
    <w:p w14:paraId="781B8339">
      <w:pPr>
        <w:widowControl w:val="0"/>
        <w:tabs>
          <w:tab w:val="right" w:leader="hyphen" w:pos="8504"/>
        </w:tabs>
        <w:spacing w:line="500" w:lineRule="exact"/>
        <w:ind w:left="1734" w:leftChars="513" w:right="849" w:rightChars="300" w:hanging="283" w:hangingChars="100"/>
        <w:rPr>
          <w:rFonts w:hint="eastAsia" w:ascii="仿宋" w:hAnsi="仿宋" w:eastAsia="仿宋" w:cs="仿宋"/>
          <w:color w:val="000000"/>
          <w:highlight w:val="none"/>
        </w:rPr>
      </w:pPr>
      <w:r>
        <w:rPr>
          <w:rFonts w:hint="eastAsia" w:ascii="仿宋" w:hAnsi="仿宋" w:eastAsia="仿宋" w:cs="仿宋"/>
          <w:color w:val="000000"/>
          <w:highlight w:val="none"/>
        </w:rPr>
        <w:t>十、本项目不接受联合体</w:t>
      </w:r>
      <w:r>
        <w:rPr>
          <w:rFonts w:hint="eastAsia" w:ascii="仿宋" w:hAnsi="仿宋" w:eastAsia="仿宋" w:cs="仿宋"/>
          <w:color w:val="000000"/>
          <w:highlight w:val="none"/>
          <w:lang w:val="en-US" w:eastAsia="zh-CN"/>
        </w:rPr>
        <w:t>响应</w:t>
      </w:r>
      <w:r>
        <w:rPr>
          <w:rFonts w:hint="eastAsia" w:ascii="仿宋" w:hAnsi="仿宋" w:eastAsia="仿宋" w:cs="仿宋"/>
          <w:color w:val="000000"/>
          <w:highlight w:val="none"/>
        </w:rPr>
        <w:t>，不允许分包</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7E189343">
      <w:pPr>
        <w:widowControl w:val="0"/>
        <w:tabs>
          <w:tab w:val="right" w:leader="hyphen" w:pos="8504"/>
        </w:tabs>
        <w:spacing w:line="500" w:lineRule="exact"/>
        <w:ind w:left="1734" w:leftChars="513" w:right="849" w:rightChars="300" w:hanging="283" w:hangingChars="100"/>
        <w:rPr>
          <w:rFonts w:hint="eastAsia" w:ascii="仿宋" w:hAnsi="仿宋" w:eastAsia="仿宋" w:cs="仿宋"/>
          <w:color w:val="000000"/>
          <w:highlight w:val="none"/>
        </w:rPr>
      </w:pPr>
      <w:r>
        <w:rPr>
          <w:rFonts w:hint="eastAsia" w:ascii="仿宋" w:hAnsi="仿宋" w:eastAsia="仿宋" w:cs="仿宋"/>
          <w:color w:val="000000"/>
          <w:highlight w:val="none"/>
        </w:rPr>
        <w:t>十</w:t>
      </w:r>
      <w:r>
        <w:rPr>
          <w:rFonts w:hint="eastAsia" w:ascii="仿宋" w:hAnsi="仿宋" w:eastAsia="仿宋" w:cs="仿宋"/>
          <w:color w:val="000000"/>
          <w:highlight w:val="none"/>
          <w:lang w:val="en-US" w:eastAsia="zh-CN"/>
        </w:rPr>
        <w:t>一</w:t>
      </w:r>
      <w:r>
        <w:rPr>
          <w:rFonts w:hint="eastAsia" w:ascii="仿宋" w:hAnsi="仿宋" w:eastAsia="仿宋" w:cs="仿宋"/>
          <w:color w:val="000000"/>
          <w:highlight w:val="none"/>
        </w:rPr>
        <w:t>、特定资格要求</w:t>
      </w:r>
      <w:r>
        <w:rPr>
          <w:rFonts w:hint="eastAsia" w:ascii="仿宋" w:hAnsi="仿宋" w:eastAsia="仿宋" w:cs="仿宋"/>
          <w:color w:val="000000"/>
        </w:rPr>
        <w:tab/>
      </w:r>
      <w:r>
        <w:rPr>
          <w:rFonts w:hint="eastAsia" w:ascii="仿宋" w:hAnsi="仿宋" w:eastAsia="仿宋" w:cs="仿宋"/>
          <w:color w:val="000000"/>
        </w:rPr>
        <w:t>X</w:t>
      </w:r>
    </w:p>
    <w:p w14:paraId="7BF78379">
      <w:pPr>
        <w:widowControl w:val="0"/>
        <w:tabs>
          <w:tab w:val="right" w:leader="hyphen" w:pos="8504"/>
        </w:tabs>
        <w:spacing w:line="500" w:lineRule="exact"/>
        <w:ind w:left="1981" w:leftChars="200" w:right="849" w:rightChars="300" w:hanging="1415" w:hangingChars="500"/>
        <w:rPr>
          <w:rFonts w:hint="eastAsia" w:ascii="仿宋" w:hAnsi="仿宋" w:eastAsia="仿宋" w:cs="仿宋"/>
          <w:b/>
          <w:bCs/>
          <w:color w:val="000000"/>
        </w:rPr>
      </w:pPr>
      <w:r>
        <w:rPr>
          <w:rFonts w:hint="eastAsia" w:ascii="仿宋" w:hAnsi="仿宋" w:eastAsia="仿宋" w:cs="仿宋"/>
          <w:b/>
          <w:bCs/>
          <w:color w:val="000000"/>
        </w:rPr>
        <w:t>第二部分  符合性证明文件</w:t>
      </w:r>
      <w:r>
        <w:rPr>
          <w:rFonts w:hint="eastAsia" w:ascii="仿宋" w:hAnsi="仿宋" w:eastAsia="仿宋" w:cs="仿宋"/>
          <w:b/>
          <w:bCs/>
          <w:color w:val="000000"/>
        </w:rPr>
        <w:tab/>
      </w:r>
      <w:r>
        <w:rPr>
          <w:rFonts w:hint="eastAsia" w:ascii="仿宋" w:hAnsi="仿宋" w:eastAsia="仿宋" w:cs="仿宋"/>
          <w:b/>
          <w:bCs/>
          <w:color w:val="000000"/>
        </w:rPr>
        <w:t>X</w:t>
      </w:r>
    </w:p>
    <w:p w14:paraId="0E9C77D6">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一、响应函格式</w:t>
      </w:r>
      <w:r>
        <w:rPr>
          <w:rFonts w:hint="eastAsia" w:ascii="仿宋" w:hAnsi="仿宋" w:eastAsia="仿宋" w:cs="仿宋"/>
          <w:color w:val="000000"/>
        </w:rPr>
        <w:tab/>
      </w:r>
      <w:r>
        <w:rPr>
          <w:rFonts w:hint="eastAsia" w:ascii="仿宋" w:hAnsi="仿宋" w:eastAsia="仿宋" w:cs="仿宋"/>
          <w:color w:val="000000"/>
        </w:rPr>
        <w:t>X</w:t>
      </w:r>
    </w:p>
    <w:p w14:paraId="6C947E6D">
      <w:pPr>
        <w:widowControl w:val="0"/>
        <w:tabs>
          <w:tab w:val="right" w:leader="hyphen" w:pos="8504"/>
        </w:tabs>
        <w:spacing w:line="500" w:lineRule="exact"/>
        <w:ind w:left="1981" w:leftChars="500" w:right="849" w:rightChars="300" w:hanging="566" w:hangingChars="200"/>
        <w:rPr>
          <w:rFonts w:hint="eastAsia" w:ascii="仿宋" w:hAnsi="仿宋" w:eastAsia="仿宋" w:cs="仿宋"/>
          <w:color w:val="000000"/>
        </w:rPr>
      </w:pPr>
      <w:r>
        <w:rPr>
          <w:rFonts w:hint="eastAsia" w:ascii="仿宋" w:hAnsi="仿宋" w:eastAsia="仿宋" w:cs="仿宋"/>
          <w:color w:val="000000"/>
        </w:rPr>
        <w:t>二、第一次磋商报价表</w:t>
      </w:r>
      <w:r>
        <w:rPr>
          <w:rFonts w:hint="eastAsia" w:ascii="仿宋" w:hAnsi="仿宋" w:eastAsia="仿宋" w:cs="仿宋"/>
          <w:color w:val="000000"/>
        </w:rPr>
        <w:tab/>
      </w:r>
      <w:r>
        <w:rPr>
          <w:rFonts w:hint="eastAsia" w:ascii="仿宋" w:hAnsi="仿宋" w:eastAsia="仿宋" w:cs="仿宋"/>
          <w:color w:val="000000"/>
        </w:rPr>
        <w:t>X</w:t>
      </w:r>
    </w:p>
    <w:p w14:paraId="16816894">
      <w:pPr>
        <w:widowControl w:val="0"/>
        <w:tabs>
          <w:tab w:val="right" w:leader="hyphen" w:pos="8504"/>
        </w:tabs>
        <w:spacing w:line="500" w:lineRule="exact"/>
        <w:ind w:left="1981" w:leftChars="200" w:right="849" w:rightChars="300" w:hanging="1415" w:hangingChars="500"/>
        <w:rPr>
          <w:rFonts w:hint="eastAsia" w:ascii="仿宋" w:hAnsi="仿宋" w:eastAsia="仿宋" w:cs="仿宋"/>
          <w:color w:val="000000"/>
        </w:rPr>
      </w:pPr>
      <w:r>
        <w:rPr>
          <w:rFonts w:hint="eastAsia" w:ascii="仿宋" w:hAnsi="仿宋" w:eastAsia="仿宋" w:cs="仿宋"/>
          <w:color w:val="000000"/>
        </w:rPr>
        <w:t>　　　    分项报价表</w:t>
      </w:r>
      <w:r>
        <w:rPr>
          <w:rFonts w:hint="eastAsia" w:ascii="仿宋" w:hAnsi="仿宋" w:eastAsia="仿宋" w:cs="仿宋"/>
          <w:color w:val="000000"/>
        </w:rPr>
        <w:tab/>
      </w:r>
      <w:r>
        <w:rPr>
          <w:rFonts w:hint="eastAsia" w:ascii="仿宋" w:hAnsi="仿宋" w:eastAsia="仿宋" w:cs="仿宋"/>
          <w:color w:val="000000"/>
        </w:rPr>
        <w:t>X</w:t>
      </w:r>
    </w:p>
    <w:p w14:paraId="59E1E0F4">
      <w:pPr>
        <w:widowControl w:val="0"/>
        <w:tabs>
          <w:tab w:val="right" w:leader="hyphen" w:pos="8504"/>
        </w:tabs>
        <w:spacing w:line="500" w:lineRule="exact"/>
        <w:ind w:left="1415" w:right="849" w:rightChars="300"/>
        <w:rPr>
          <w:rFonts w:hint="eastAsia" w:ascii="仿宋" w:hAnsi="仿宋" w:eastAsia="仿宋" w:cs="仿宋"/>
          <w:color w:val="000000"/>
        </w:rPr>
      </w:pPr>
      <w:r>
        <w:rPr>
          <w:rFonts w:hint="eastAsia" w:ascii="仿宋" w:hAnsi="仿宋" w:eastAsia="仿宋" w:cs="仿宋"/>
          <w:color w:val="000000"/>
        </w:rPr>
        <w:t>三、供应商承诺书</w:t>
      </w:r>
      <w:r>
        <w:rPr>
          <w:rFonts w:hint="eastAsia" w:ascii="仿宋" w:hAnsi="仿宋" w:eastAsia="仿宋" w:cs="仿宋"/>
          <w:color w:val="000000"/>
        </w:rPr>
        <w:tab/>
      </w:r>
      <w:r>
        <w:rPr>
          <w:rFonts w:hint="eastAsia" w:ascii="仿宋" w:hAnsi="仿宋" w:eastAsia="仿宋" w:cs="仿宋"/>
          <w:color w:val="000000"/>
        </w:rPr>
        <w:t>X</w:t>
      </w:r>
    </w:p>
    <w:p w14:paraId="2C5AE5BB">
      <w:pPr>
        <w:widowControl w:val="0"/>
        <w:tabs>
          <w:tab w:val="right" w:leader="hyphen" w:pos="8504"/>
        </w:tabs>
        <w:spacing w:line="500" w:lineRule="exact"/>
        <w:ind w:right="849" w:rightChars="300" w:firstLine="1981" w:firstLineChars="700"/>
        <w:rPr>
          <w:rFonts w:hint="eastAsia" w:ascii="仿宋" w:hAnsi="仿宋" w:eastAsia="仿宋" w:cs="仿宋"/>
          <w:color w:val="000000"/>
        </w:rPr>
      </w:pPr>
      <w:r>
        <w:rPr>
          <w:rFonts w:hint="eastAsia" w:ascii="仿宋" w:hAnsi="仿宋" w:eastAsia="仿宋" w:cs="仿宋"/>
          <w:color w:val="000000"/>
        </w:rPr>
        <w:t>（一）质量安全责任承诺书</w:t>
      </w:r>
      <w:r>
        <w:rPr>
          <w:rFonts w:hint="eastAsia" w:ascii="仿宋" w:hAnsi="仿宋" w:eastAsia="仿宋" w:cs="仿宋"/>
          <w:color w:val="000000"/>
        </w:rPr>
        <w:tab/>
      </w:r>
      <w:r>
        <w:rPr>
          <w:rFonts w:hint="eastAsia" w:ascii="仿宋" w:hAnsi="仿宋" w:eastAsia="仿宋" w:cs="仿宋"/>
          <w:color w:val="000000"/>
        </w:rPr>
        <w:t>X</w:t>
      </w:r>
    </w:p>
    <w:p w14:paraId="65B2D272">
      <w:pPr>
        <w:widowControl w:val="0"/>
        <w:tabs>
          <w:tab w:val="right" w:leader="hyphen" w:pos="8504"/>
        </w:tabs>
        <w:spacing w:line="500" w:lineRule="exact"/>
        <w:ind w:right="849" w:rightChars="300" w:firstLine="1981" w:firstLineChars="700"/>
        <w:rPr>
          <w:rFonts w:hint="eastAsia" w:ascii="仿宋" w:hAnsi="仿宋" w:eastAsia="仿宋" w:cs="仿宋"/>
          <w:color w:val="000000"/>
        </w:rPr>
      </w:pPr>
      <w:r>
        <w:rPr>
          <w:rFonts w:hint="eastAsia" w:ascii="仿宋" w:hAnsi="仿宋" w:eastAsia="仿宋" w:cs="仿宋"/>
          <w:color w:val="000000"/>
        </w:rPr>
        <w:t>（二）拒绝政府采购领域商业贿赂承诺书</w:t>
      </w:r>
      <w:r>
        <w:rPr>
          <w:rFonts w:hint="eastAsia" w:ascii="仿宋" w:hAnsi="仿宋" w:eastAsia="仿宋" w:cs="仿宋"/>
          <w:color w:val="000000"/>
        </w:rPr>
        <w:tab/>
      </w:r>
      <w:r>
        <w:rPr>
          <w:rFonts w:hint="eastAsia" w:ascii="仿宋" w:hAnsi="仿宋" w:eastAsia="仿宋" w:cs="仿宋"/>
          <w:color w:val="000000"/>
        </w:rPr>
        <w:t>X</w:t>
      </w:r>
    </w:p>
    <w:p w14:paraId="7C195AB8">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四、实质性条款响应</w:t>
      </w:r>
      <w:r>
        <w:rPr>
          <w:rFonts w:hint="eastAsia" w:ascii="仿宋" w:hAnsi="仿宋" w:eastAsia="仿宋" w:cs="仿宋"/>
          <w:color w:val="000000"/>
        </w:rPr>
        <w:tab/>
      </w:r>
      <w:r>
        <w:rPr>
          <w:rFonts w:hint="eastAsia" w:ascii="仿宋" w:hAnsi="仿宋" w:eastAsia="仿宋" w:cs="仿宋"/>
          <w:color w:val="000000"/>
        </w:rPr>
        <w:t>X</w:t>
      </w:r>
    </w:p>
    <w:p w14:paraId="590089FE">
      <w:pPr>
        <w:widowControl w:val="0"/>
        <w:tabs>
          <w:tab w:val="right" w:leader="hyphen" w:pos="8504"/>
        </w:tabs>
        <w:spacing w:line="500" w:lineRule="exact"/>
        <w:ind w:left="1981" w:leftChars="500" w:right="849" w:rightChars="300" w:hanging="566" w:hangingChars="200"/>
        <w:rPr>
          <w:rFonts w:hint="eastAsia" w:ascii="仿宋" w:hAnsi="仿宋" w:eastAsia="仿宋" w:cs="仿宋"/>
          <w:color w:val="000000"/>
        </w:rPr>
      </w:pPr>
      <w:r>
        <w:rPr>
          <w:rFonts w:hint="eastAsia" w:ascii="仿宋" w:hAnsi="仿宋" w:eastAsia="仿宋" w:cs="仿宋"/>
          <w:color w:val="000000"/>
        </w:rPr>
        <w:t>五、合同草案条款响应</w:t>
      </w:r>
      <w:r>
        <w:rPr>
          <w:rFonts w:hint="eastAsia" w:ascii="仿宋" w:hAnsi="仿宋" w:eastAsia="仿宋" w:cs="仿宋"/>
          <w:color w:val="000000"/>
        </w:rPr>
        <w:tab/>
      </w:r>
      <w:r>
        <w:rPr>
          <w:rFonts w:hint="eastAsia" w:ascii="仿宋" w:hAnsi="仿宋" w:eastAsia="仿宋" w:cs="仿宋"/>
          <w:color w:val="000000"/>
        </w:rPr>
        <w:t>X</w:t>
      </w:r>
    </w:p>
    <w:p w14:paraId="22A88269">
      <w:pPr>
        <w:widowControl w:val="0"/>
        <w:tabs>
          <w:tab w:val="right" w:leader="hyphen" w:pos="8504"/>
        </w:tabs>
        <w:spacing w:line="500" w:lineRule="exact"/>
        <w:ind w:right="849" w:rightChars="300" w:firstLine="566" w:firstLineChars="200"/>
        <w:rPr>
          <w:rFonts w:hint="eastAsia" w:ascii="仿宋" w:hAnsi="仿宋" w:eastAsia="仿宋" w:cs="仿宋"/>
          <w:b/>
          <w:bCs/>
          <w:color w:val="000000"/>
        </w:rPr>
      </w:pPr>
      <w:r>
        <w:rPr>
          <w:rFonts w:hint="eastAsia" w:ascii="仿宋" w:hAnsi="仿宋" w:eastAsia="仿宋" w:cs="仿宋"/>
          <w:b/>
          <w:bCs/>
          <w:color w:val="000000"/>
        </w:rPr>
        <w:t>第三部分  磋商方案</w:t>
      </w:r>
      <w:r>
        <w:rPr>
          <w:rFonts w:hint="eastAsia" w:ascii="仿宋" w:hAnsi="仿宋" w:eastAsia="仿宋" w:cs="仿宋"/>
          <w:b/>
          <w:bCs/>
          <w:color w:val="000000"/>
        </w:rPr>
        <w:tab/>
      </w:r>
      <w:r>
        <w:rPr>
          <w:rFonts w:hint="eastAsia" w:ascii="仿宋" w:hAnsi="仿宋" w:eastAsia="仿宋" w:cs="仿宋"/>
          <w:b/>
          <w:bCs/>
          <w:color w:val="000000"/>
        </w:rPr>
        <w:t>X</w:t>
      </w:r>
    </w:p>
    <w:p w14:paraId="1F8BB61A">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一、供应商概况</w:t>
      </w:r>
      <w:r>
        <w:rPr>
          <w:rFonts w:hint="eastAsia" w:ascii="仿宋" w:hAnsi="仿宋" w:eastAsia="仿宋" w:cs="仿宋"/>
          <w:color w:val="000000"/>
        </w:rPr>
        <w:tab/>
      </w:r>
      <w:r>
        <w:rPr>
          <w:rFonts w:hint="eastAsia" w:ascii="仿宋" w:hAnsi="仿宋" w:eastAsia="仿宋" w:cs="仿宋"/>
          <w:color w:val="000000"/>
        </w:rPr>
        <w:t>X</w:t>
      </w:r>
    </w:p>
    <w:p w14:paraId="5D163866">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二、响应方案</w:t>
      </w:r>
      <w:r>
        <w:rPr>
          <w:rFonts w:hint="eastAsia" w:ascii="仿宋" w:hAnsi="仿宋" w:eastAsia="仿宋" w:cs="仿宋"/>
          <w:color w:val="000000"/>
        </w:rPr>
        <w:tab/>
      </w:r>
      <w:r>
        <w:rPr>
          <w:rFonts w:hint="eastAsia" w:ascii="仿宋" w:hAnsi="仿宋" w:eastAsia="仿宋" w:cs="仿宋"/>
          <w:color w:val="000000"/>
        </w:rPr>
        <w:t>X</w:t>
      </w:r>
    </w:p>
    <w:p w14:paraId="4AD30DF2">
      <w:pPr>
        <w:widowControl w:val="0"/>
        <w:tabs>
          <w:tab w:val="right" w:leader="hyphen" w:pos="8504"/>
        </w:tabs>
        <w:spacing w:line="500" w:lineRule="exact"/>
        <w:ind w:right="849" w:rightChars="300" w:firstLine="1415" w:firstLineChars="500"/>
        <w:rPr>
          <w:rFonts w:hint="eastAsia" w:ascii="仿宋" w:hAnsi="仿宋" w:eastAsia="仿宋" w:cs="仿宋"/>
          <w:color w:val="000000"/>
        </w:rPr>
      </w:pPr>
      <w:r>
        <w:rPr>
          <w:rFonts w:hint="eastAsia" w:ascii="仿宋" w:hAnsi="仿宋" w:eastAsia="仿宋" w:cs="仿宋"/>
          <w:color w:val="000000"/>
        </w:rPr>
        <w:t>三、参考样表</w:t>
      </w:r>
      <w:r>
        <w:rPr>
          <w:rFonts w:hint="eastAsia" w:ascii="仿宋" w:hAnsi="仿宋" w:eastAsia="仿宋" w:cs="仿宋"/>
          <w:color w:val="000000"/>
        </w:rPr>
        <w:tab/>
      </w:r>
      <w:r>
        <w:rPr>
          <w:rFonts w:hint="eastAsia" w:ascii="仿宋" w:hAnsi="仿宋" w:eastAsia="仿宋" w:cs="仿宋"/>
          <w:color w:val="000000"/>
        </w:rPr>
        <w:t>X</w:t>
      </w:r>
    </w:p>
    <w:p w14:paraId="2889FE1A">
      <w:pPr>
        <w:rPr>
          <w:rFonts w:hint="eastAsia" w:ascii="黑体" w:hAnsi="黑体" w:eastAsia="黑体" w:cs="黑体"/>
          <w:color w:val="000000"/>
        </w:rPr>
      </w:pPr>
      <w:bookmarkStart w:id="562" w:name="_Toc27546"/>
      <w:bookmarkStart w:id="563" w:name="_Toc6003"/>
      <w:bookmarkStart w:id="564" w:name="_Toc12653"/>
      <w:r>
        <w:rPr>
          <w:rFonts w:hint="eastAsia" w:ascii="黑体" w:hAnsi="黑体" w:eastAsia="黑体" w:cs="黑体"/>
          <w:color w:val="000000"/>
        </w:rPr>
        <w:br w:type="page"/>
      </w:r>
    </w:p>
    <w:p w14:paraId="58E88DFE">
      <w:pPr>
        <w:pStyle w:val="47"/>
        <w:widowControl w:val="0"/>
        <w:rPr>
          <w:rFonts w:hint="eastAsia" w:ascii="黑体" w:hAnsi="黑体" w:eastAsia="黑体" w:cs="Times New Roman"/>
          <w:b w:val="0"/>
          <w:bCs w:val="0"/>
          <w:color w:val="000000"/>
        </w:rPr>
      </w:pPr>
      <w:bookmarkStart w:id="565" w:name="_Toc2007"/>
      <w:bookmarkStart w:id="566" w:name="_Toc7326"/>
      <w:bookmarkStart w:id="567" w:name="_Toc4468"/>
      <w:bookmarkStart w:id="568" w:name="_Toc7714"/>
      <w:r>
        <w:rPr>
          <w:rFonts w:hint="eastAsia" w:ascii="黑体" w:hAnsi="黑体" w:eastAsia="黑体" w:cs="黑体"/>
          <w:b w:val="0"/>
          <w:bCs w:val="0"/>
          <w:color w:val="000000"/>
        </w:rPr>
        <w:t>第一部分  资格证明文件</w:t>
      </w:r>
      <w:bookmarkEnd w:id="562"/>
      <w:bookmarkEnd w:id="563"/>
      <w:bookmarkEnd w:id="564"/>
      <w:bookmarkEnd w:id="565"/>
      <w:bookmarkEnd w:id="566"/>
      <w:bookmarkEnd w:id="567"/>
      <w:bookmarkEnd w:id="568"/>
    </w:p>
    <w:p w14:paraId="2DBF3ED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供应商应按照磋商文件第一章第十项所列“供应商资格要求”逐一提供全部资格证明文件。缺少其中任何一项，其响应文件将被视为无效文件。其中，《供应商信用记录书面声明函》</w:t>
      </w:r>
      <w:r>
        <w:rPr>
          <w:rFonts w:hint="eastAsia" w:ascii="仿宋" w:hAnsi="仿宋" w:eastAsia="仿宋" w:cs="仿宋"/>
          <w:color w:val="000000"/>
          <w:lang w:eastAsia="zh-CN"/>
        </w:rPr>
        <w:t>《</w:t>
      </w:r>
      <w:r>
        <w:rPr>
          <w:rFonts w:hint="eastAsia" w:ascii="仿宋" w:hAnsi="仿宋" w:eastAsia="仿宋" w:cs="仿宋"/>
          <w:color w:val="000000"/>
          <w:lang w:val="en-US" w:eastAsia="zh-CN"/>
        </w:rPr>
        <w:t>控股管理关系</w:t>
      </w:r>
      <w:r>
        <w:rPr>
          <w:rFonts w:hint="eastAsia" w:ascii="仿宋" w:hAnsi="仿宋" w:eastAsia="仿宋" w:cs="仿宋"/>
          <w:color w:val="000000"/>
          <w:lang w:eastAsia="zh-CN"/>
        </w:rPr>
        <w:t>》</w:t>
      </w:r>
      <w:r>
        <w:rPr>
          <w:rFonts w:hint="eastAsia" w:ascii="仿宋" w:hAnsi="仿宋" w:eastAsia="仿宋" w:cs="仿宋"/>
          <w:color w:val="000000"/>
        </w:rPr>
        <w:t>《书面声明》《法定代表人授权委托书》《残疾人福利性单位声明函》《非联合体不分包投标声明》须按下文给定格式填写。特别说明，法定代表人亲自参加磋商的，可不提供法定代表人授权委托书，但须提供其本人身份证（正反面）复印件。</w:t>
      </w:r>
    </w:p>
    <w:p w14:paraId="17A10886">
      <w:pPr>
        <w:widowControl w:val="0"/>
        <w:spacing w:line="500" w:lineRule="exact"/>
        <w:ind w:firstLine="562"/>
        <w:rPr>
          <w:rFonts w:hint="eastAsia" w:ascii="仿宋" w:hAnsi="仿宋" w:eastAsia="仿宋" w:cs="Times New Roman"/>
          <w:b/>
          <w:bCs/>
          <w:color w:val="000000"/>
        </w:rPr>
      </w:pPr>
      <w:r>
        <w:rPr>
          <w:rFonts w:hint="eastAsia" w:ascii="仿宋" w:hAnsi="仿宋" w:eastAsia="仿宋" w:cs="仿宋"/>
          <w:b/>
          <w:bCs/>
          <w:color w:val="000000"/>
        </w:rPr>
        <w:t>一、营业执照等主体资格证明文件</w:t>
      </w:r>
    </w:p>
    <w:p w14:paraId="61FC49E8">
      <w:pPr>
        <w:widowControl w:val="0"/>
        <w:spacing w:line="500" w:lineRule="exact"/>
        <w:ind w:firstLine="562"/>
        <w:rPr>
          <w:rFonts w:hint="eastAsia" w:ascii="仿宋" w:hAnsi="仿宋" w:eastAsia="仿宋" w:cs="Times New Roman"/>
          <w:b/>
          <w:bCs/>
          <w:color w:val="000000"/>
        </w:rPr>
      </w:pPr>
      <w:r>
        <w:rPr>
          <w:rFonts w:hint="eastAsia" w:ascii="仿宋" w:hAnsi="仿宋" w:eastAsia="仿宋" w:cs="仿宋"/>
          <w:b/>
          <w:bCs/>
          <w:color w:val="000000"/>
        </w:rPr>
        <w:t>二、财务状况报告</w:t>
      </w:r>
    </w:p>
    <w:p w14:paraId="46B89CAA">
      <w:pPr>
        <w:widowControl w:val="0"/>
        <w:spacing w:line="500" w:lineRule="exact"/>
        <w:ind w:firstLine="562"/>
        <w:rPr>
          <w:rFonts w:hint="eastAsia" w:ascii="仿宋" w:hAnsi="仿宋" w:eastAsia="仿宋" w:cs="Times New Roman"/>
          <w:b/>
          <w:bCs/>
          <w:color w:val="000000"/>
        </w:rPr>
      </w:pPr>
      <w:r>
        <w:rPr>
          <w:rFonts w:hint="eastAsia" w:ascii="仿宋" w:hAnsi="仿宋" w:eastAsia="仿宋" w:cs="仿宋"/>
          <w:b/>
          <w:bCs/>
          <w:color w:val="000000"/>
        </w:rPr>
        <w:t>三、社保缴纳证明</w:t>
      </w:r>
    </w:p>
    <w:p w14:paraId="4D9EB6F6">
      <w:pPr>
        <w:widowControl w:val="0"/>
        <w:spacing w:line="500" w:lineRule="exact"/>
        <w:ind w:firstLine="562"/>
        <w:rPr>
          <w:rFonts w:hint="eastAsia" w:ascii="仿宋" w:hAnsi="仿宋" w:eastAsia="仿宋" w:cs="Times New Roman"/>
          <w:b/>
          <w:bCs/>
          <w:color w:val="000000"/>
        </w:rPr>
      </w:pPr>
      <w:r>
        <w:rPr>
          <w:rFonts w:hint="eastAsia" w:ascii="仿宋" w:hAnsi="仿宋" w:eastAsia="仿宋" w:cs="仿宋"/>
          <w:b/>
          <w:bCs/>
          <w:color w:val="000000"/>
        </w:rPr>
        <w:t>四、税收缴纳证明</w:t>
      </w:r>
    </w:p>
    <w:p w14:paraId="08F10A7C">
      <w:pPr>
        <w:widowControl w:val="0"/>
        <w:spacing w:line="500" w:lineRule="exact"/>
        <w:ind w:firstLine="562"/>
        <w:rPr>
          <w:rFonts w:hint="eastAsia" w:ascii="仿宋" w:hAnsi="仿宋" w:eastAsia="仿宋" w:cs="Times New Roman"/>
          <w:b/>
          <w:bCs/>
          <w:color w:val="000000"/>
        </w:rPr>
      </w:pPr>
      <w:r>
        <w:rPr>
          <w:rFonts w:hint="eastAsia" w:ascii="仿宋" w:hAnsi="仿宋" w:eastAsia="仿宋" w:cs="仿宋"/>
          <w:b/>
          <w:bCs/>
          <w:color w:val="000000"/>
        </w:rPr>
        <w:t>五、信用记录</w:t>
      </w:r>
    </w:p>
    <w:p w14:paraId="4DD63F8C">
      <w:pPr>
        <w:pStyle w:val="48"/>
        <w:widowControl w:val="0"/>
        <w:jc w:val="center"/>
        <w:rPr>
          <w:rFonts w:cs="Times New Roman"/>
          <w:color w:val="000000"/>
          <w:sz w:val="30"/>
          <w:szCs w:val="30"/>
        </w:rPr>
      </w:pPr>
      <w:bookmarkStart w:id="569" w:name="_Toc22518"/>
      <w:bookmarkStart w:id="570" w:name="_Toc726"/>
      <w:bookmarkStart w:id="571" w:name="_Toc9011"/>
      <w:bookmarkStart w:id="572" w:name="_Toc528596084"/>
    </w:p>
    <w:p w14:paraId="7DE23014">
      <w:pPr>
        <w:widowControl w:val="0"/>
        <w:rPr>
          <w:rFonts w:hint="eastAsia" w:ascii="仿宋" w:hAnsi="仿宋" w:eastAsia="仿宋" w:cs="仿宋"/>
          <w:color w:val="000000"/>
        </w:rPr>
      </w:pPr>
    </w:p>
    <w:bookmarkEnd w:id="569"/>
    <w:bookmarkEnd w:id="570"/>
    <w:bookmarkEnd w:id="571"/>
    <w:bookmarkEnd w:id="572"/>
    <w:p w14:paraId="652CFF73">
      <w:pPr>
        <w:pStyle w:val="48"/>
        <w:widowControl w:val="0"/>
        <w:jc w:val="center"/>
        <w:rPr>
          <w:rFonts w:hint="eastAsia" w:ascii="仿宋" w:hAnsi="仿宋" w:eastAsia="仿宋" w:cs="仿宋"/>
          <w:color w:val="000000"/>
          <w:sz w:val="30"/>
          <w:szCs w:val="30"/>
        </w:rPr>
      </w:pPr>
      <w:bookmarkStart w:id="573" w:name="_Toc20870"/>
      <w:bookmarkStart w:id="574" w:name="_Toc17007"/>
      <w:bookmarkStart w:id="575" w:name="_Toc32208"/>
      <w:bookmarkStart w:id="576" w:name="_Toc26696"/>
      <w:bookmarkStart w:id="577" w:name="_Toc17633"/>
      <w:r>
        <w:rPr>
          <w:rFonts w:hint="eastAsia" w:ascii="仿宋" w:hAnsi="仿宋" w:eastAsia="仿宋" w:cs="仿宋"/>
          <w:color w:val="000000"/>
          <w:sz w:val="30"/>
          <w:szCs w:val="30"/>
        </w:rPr>
        <w:t>供应商信用记录书面声明函（格式）</w:t>
      </w:r>
      <w:bookmarkEnd w:id="573"/>
      <w:bookmarkEnd w:id="574"/>
      <w:bookmarkEnd w:id="575"/>
      <w:bookmarkEnd w:id="576"/>
      <w:bookmarkEnd w:id="577"/>
    </w:p>
    <w:p w14:paraId="7A19677C">
      <w:pPr>
        <w:widowControl w:val="0"/>
        <w:spacing w:line="500" w:lineRule="exact"/>
        <w:rPr>
          <w:rFonts w:hint="eastAsia" w:ascii="仿宋" w:hAnsi="仿宋" w:eastAsia="仿宋" w:cs="仿宋"/>
          <w:color w:val="000000"/>
        </w:rPr>
      </w:pPr>
      <w:r>
        <w:rPr>
          <w:rFonts w:hint="eastAsia" w:ascii="仿宋" w:hAnsi="仿宋" w:eastAsia="仿宋" w:cs="仿宋"/>
          <w:color w:val="000000"/>
        </w:rPr>
        <w:t>陕西省省级单位政府采购中心：</w:t>
      </w:r>
    </w:p>
    <w:p w14:paraId="0BC3071C">
      <w:pPr>
        <w:widowControl w:val="0"/>
        <w:spacing w:line="500" w:lineRule="exact"/>
        <w:ind w:right="11" w:firstLine="566" w:firstLineChars="200"/>
        <w:rPr>
          <w:rFonts w:hint="eastAsia" w:ascii="仿宋" w:hAnsi="仿宋" w:eastAsia="仿宋" w:cs="仿宋"/>
          <w:color w:val="000000"/>
        </w:rPr>
      </w:pPr>
      <w:r>
        <w:rPr>
          <w:rFonts w:hint="eastAsia" w:ascii="仿宋" w:hAnsi="仿宋" w:eastAsia="仿宋" w:cs="仿宋"/>
          <w:color w:val="000000"/>
        </w:rPr>
        <w:t>我方作为《</w:t>
      </w:r>
      <w:r>
        <w:rPr>
          <w:rFonts w:hint="eastAsia" w:ascii="仿宋" w:hAnsi="仿宋" w:eastAsia="仿宋" w:cs="仿宋"/>
          <w:color w:val="000000"/>
          <w:u w:val="single"/>
        </w:rPr>
        <w:t>项目名称</w:t>
      </w:r>
      <w:r>
        <w:rPr>
          <w:rFonts w:hint="eastAsia" w:ascii="仿宋" w:hAnsi="仿宋" w:eastAsia="仿宋" w:cs="仿宋"/>
          <w:color w:val="000000"/>
        </w:rPr>
        <w:t>》（项目编号：</w:t>
      </w:r>
      <w:r>
        <w:rPr>
          <w:rFonts w:hint="eastAsia" w:ascii="仿宋" w:hAnsi="仿宋" w:eastAsia="仿宋" w:cs="仿宋"/>
          <w:color w:val="000000"/>
          <w:u w:val="single"/>
        </w:rPr>
        <w:t xml:space="preserve">     </w:t>
      </w:r>
      <w:r>
        <w:rPr>
          <w:rFonts w:hint="eastAsia" w:ascii="仿宋" w:hAnsi="仿宋" w:eastAsia="仿宋" w:cs="仿宋"/>
          <w:color w:val="000000"/>
        </w:rPr>
        <w:t>）第</w:t>
      </w:r>
      <w:r>
        <w:rPr>
          <w:rFonts w:hint="eastAsia" w:ascii="仿宋" w:hAnsi="仿宋" w:eastAsia="仿宋" w:cs="仿宋"/>
          <w:color w:val="000000"/>
          <w:u w:val="single"/>
        </w:rPr>
        <w:t xml:space="preserve">   </w:t>
      </w:r>
      <w:r>
        <w:rPr>
          <w:rFonts w:hint="eastAsia" w:ascii="仿宋" w:hAnsi="仿宋" w:eastAsia="仿宋" w:cs="仿宋"/>
          <w:color w:val="000000"/>
        </w:rPr>
        <w:t>标段的供应商，在此郑重声明：</w:t>
      </w:r>
    </w:p>
    <w:p w14:paraId="4D863320">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1、在参加本次政府采购活动前</w:t>
      </w:r>
      <w:r>
        <w:rPr>
          <w:rFonts w:ascii="仿宋" w:hAnsi="仿宋" w:eastAsia="仿宋" w:cs="仿宋"/>
          <w:color w:val="000000"/>
        </w:rPr>
        <w:t>3</w:t>
      </w:r>
      <w:r>
        <w:rPr>
          <w:rFonts w:hint="eastAsia" w:ascii="仿宋" w:hAnsi="仿宋" w:eastAsia="仿宋" w:cs="仿宋"/>
          <w:color w:val="000000"/>
        </w:rPr>
        <w:t>年内的经营活动中____（填“没有”或“有”）重大违法记录。</w:t>
      </w:r>
      <w:r>
        <w:rPr>
          <w:rFonts w:hint="eastAsia" w:ascii="仿宋" w:hAnsi="仿宋" w:eastAsia="仿宋" w:cs="仿宋"/>
          <w:b/>
          <w:bCs/>
          <w:color w:val="000000"/>
        </w:rPr>
        <w:t>供应商在参加政府采购活动前</w:t>
      </w:r>
      <w:r>
        <w:rPr>
          <w:rFonts w:ascii="仿宋" w:hAnsi="仿宋" w:eastAsia="仿宋" w:cs="仿宋"/>
          <w:b/>
          <w:bCs/>
          <w:color w:val="000000"/>
        </w:rPr>
        <w:t>3</w:t>
      </w:r>
      <w:r>
        <w:rPr>
          <w:rFonts w:hint="eastAsia" w:ascii="仿宋" w:hAnsi="仿宋" w:eastAsia="仿宋" w:cs="仿宋"/>
          <w:b/>
          <w:bCs/>
          <w:color w:val="000000"/>
        </w:rPr>
        <w:t>年内因违法经营被禁止在一定期限内参加政府采购活动，期限届满的，可以参加政府采购活动，但应提供期限届满的证明材料。</w:t>
      </w:r>
    </w:p>
    <w:p w14:paraId="6AD2601B">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2、我方______（填“未被列入”或“被列入”）失信被执行人名单。</w:t>
      </w:r>
    </w:p>
    <w:p w14:paraId="2CD3F204">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3、我方______（填“未被列入”或“被列入”）重大税收违法案件当事人名单。</w:t>
      </w:r>
    </w:p>
    <w:p w14:paraId="5AF2EAB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4、我方______（填“未被列入”或“被列入”）政府采购严重违法失信行为记录名单。</w:t>
      </w:r>
    </w:p>
    <w:p w14:paraId="164368A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如有不实，我方将无条件地退出本项目的采购活动，并遵照《政府采购法》有关“提供虚假材料的规定”接受处罚。</w:t>
      </w:r>
    </w:p>
    <w:p w14:paraId="332EDE7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特此声明。</w:t>
      </w:r>
    </w:p>
    <w:p w14:paraId="01EECA5E">
      <w:pPr>
        <w:widowControl w:val="0"/>
        <w:spacing w:line="500" w:lineRule="exact"/>
        <w:ind w:firstLine="4811" w:firstLineChars="17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w:t>
      </w:r>
    </w:p>
    <w:p w14:paraId="3296678B">
      <w:pPr>
        <w:widowControl w:val="0"/>
        <w:spacing w:line="500" w:lineRule="exact"/>
        <w:ind w:firstLine="5094" w:firstLineChars="1800"/>
        <w:rPr>
          <w:rFonts w:hint="eastAsia" w:ascii="仿宋" w:hAnsi="仿宋" w:eastAsia="仿宋" w:cs="仿宋"/>
          <w:color w:val="000000"/>
        </w:rPr>
      </w:pPr>
      <w:r>
        <w:rPr>
          <w:rFonts w:hint="eastAsia" w:ascii="仿宋" w:hAnsi="仿宋" w:eastAsia="仿宋" w:cs="仿宋"/>
          <w:color w:val="000000"/>
        </w:rPr>
        <w:t>日期：　　年　月　日</w:t>
      </w:r>
    </w:p>
    <w:p w14:paraId="5867BD98">
      <w:pPr>
        <w:widowControl w:val="0"/>
        <w:spacing w:line="500" w:lineRule="exact"/>
        <w:ind w:firstLine="426" w:firstLineChars="200"/>
        <w:rPr>
          <w:rFonts w:hint="eastAsia" w:ascii="宋体" w:hAnsi="宋体" w:eastAsia="宋体" w:cs="Times New Roman"/>
          <w:color w:val="000000"/>
          <w:sz w:val="21"/>
          <w:szCs w:val="21"/>
        </w:rPr>
      </w:pPr>
    </w:p>
    <w:p w14:paraId="4A14DC8D">
      <w:pPr>
        <w:pStyle w:val="24"/>
        <w:widowControl w:val="0"/>
        <w:ind w:firstLine="213"/>
        <w:rPr>
          <w:color w:val="000000"/>
        </w:rPr>
      </w:pPr>
      <w:r>
        <w:rPr>
          <w:rFonts w:hint="eastAsia" w:ascii="宋体" w:hAnsi="宋体" w:eastAsia="宋体" w:cs="宋体"/>
          <w:color w:val="000000"/>
          <w:sz w:val="21"/>
          <w:szCs w:val="21"/>
        </w:rPr>
        <w:t>备注：项目不分标段的，第</w:t>
      </w:r>
      <w:r>
        <w:rPr>
          <w:rFonts w:ascii="宋体" w:hAnsi="宋体" w:eastAsia="宋体" w:cs="宋体"/>
          <w:color w:val="000000"/>
          <w:sz w:val="21"/>
          <w:szCs w:val="21"/>
        </w:rPr>
        <w:t>___</w:t>
      </w:r>
      <w:r>
        <w:rPr>
          <w:rFonts w:hint="eastAsia" w:ascii="宋体" w:hAnsi="宋体" w:eastAsia="宋体" w:cs="宋体"/>
          <w:color w:val="000000"/>
          <w:sz w:val="21"/>
          <w:szCs w:val="21"/>
        </w:rPr>
        <w:t>标段空白处填写“</w:t>
      </w:r>
      <w:r>
        <w:rPr>
          <w:rFonts w:ascii="宋体" w:hAnsi="宋体" w:eastAsia="宋体" w:cs="宋体"/>
          <w:color w:val="000000"/>
          <w:sz w:val="21"/>
          <w:szCs w:val="21"/>
        </w:rPr>
        <w:t>/</w:t>
      </w:r>
      <w:r>
        <w:rPr>
          <w:rFonts w:hint="eastAsia" w:ascii="宋体" w:hAnsi="宋体" w:eastAsia="宋体" w:cs="宋体"/>
          <w:color w:val="000000"/>
          <w:sz w:val="21"/>
          <w:szCs w:val="21"/>
        </w:rPr>
        <w:t>”。</w:t>
      </w:r>
    </w:p>
    <w:p w14:paraId="673164E4">
      <w:pPr>
        <w:pStyle w:val="24"/>
        <w:widowControl w:val="0"/>
        <w:ind w:firstLine="183"/>
        <w:rPr>
          <w:color w:val="000000"/>
        </w:rPr>
      </w:pPr>
    </w:p>
    <w:p w14:paraId="389ACE67">
      <w:pPr>
        <w:pStyle w:val="24"/>
        <w:widowControl w:val="0"/>
        <w:ind w:firstLine="183"/>
        <w:rPr>
          <w:color w:val="000000"/>
        </w:rPr>
      </w:pPr>
    </w:p>
    <w:p w14:paraId="7CA62363">
      <w:pPr>
        <w:pStyle w:val="48"/>
        <w:widowControl w:val="0"/>
        <w:rPr>
          <w:rFonts w:cs="Times New Roman"/>
          <w:color w:val="000000"/>
          <w:sz w:val="28"/>
          <w:szCs w:val="28"/>
        </w:rPr>
      </w:pPr>
      <w:bookmarkStart w:id="578" w:name="_Toc29757"/>
      <w:bookmarkStart w:id="579" w:name="_Toc9550"/>
    </w:p>
    <w:p w14:paraId="4100B64C">
      <w:pPr>
        <w:pStyle w:val="44"/>
        <w:widowControl w:val="0"/>
        <w:ind w:firstLine="0" w:firstLineChars="0"/>
        <w:rPr>
          <w:rFonts w:cs="Times New Roman"/>
          <w:color w:val="000000"/>
        </w:rPr>
      </w:pPr>
    </w:p>
    <w:p w14:paraId="7939B9F2">
      <w:pPr>
        <w:pStyle w:val="44"/>
        <w:widowControl w:val="0"/>
        <w:rPr>
          <w:rFonts w:cs="Times New Roman"/>
          <w:color w:val="000000"/>
        </w:rPr>
      </w:pPr>
    </w:p>
    <w:p w14:paraId="3B737434">
      <w:pPr>
        <w:pStyle w:val="44"/>
        <w:widowControl w:val="0"/>
        <w:ind w:firstLine="0" w:firstLineChars="0"/>
        <w:rPr>
          <w:rFonts w:cs="Times New Roman"/>
          <w:color w:val="000000"/>
        </w:rPr>
      </w:pPr>
    </w:p>
    <w:p w14:paraId="20911838">
      <w:pPr>
        <w:pStyle w:val="44"/>
        <w:widowControl w:val="0"/>
        <w:ind w:firstLine="0" w:firstLineChars="0"/>
        <w:rPr>
          <w:rFonts w:cs="Times New Roman"/>
          <w:color w:val="000000"/>
        </w:rPr>
      </w:pPr>
    </w:p>
    <w:p w14:paraId="2576C0AD">
      <w:pPr>
        <w:pStyle w:val="44"/>
        <w:widowControl w:val="0"/>
        <w:ind w:firstLine="0" w:firstLineChars="0"/>
        <w:rPr>
          <w:rFonts w:cs="Times New Roman"/>
          <w:color w:val="000000"/>
        </w:rPr>
      </w:pPr>
    </w:p>
    <w:p w14:paraId="3D4D480B">
      <w:pPr>
        <w:pStyle w:val="44"/>
        <w:widowControl w:val="0"/>
        <w:ind w:firstLine="0" w:firstLineChars="0"/>
        <w:rPr>
          <w:rFonts w:cs="Times New Roman"/>
          <w:color w:val="000000"/>
        </w:rPr>
      </w:pPr>
    </w:p>
    <w:p w14:paraId="0E80B842">
      <w:pPr>
        <w:pStyle w:val="44"/>
        <w:widowControl w:val="0"/>
        <w:ind w:firstLine="0" w:firstLineChars="0"/>
        <w:rPr>
          <w:rFonts w:cs="Times New Roman"/>
          <w:color w:val="000000"/>
        </w:rPr>
      </w:pPr>
    </w:p>
    <w:p w14:paraId="1D84ECBB">
      <w:pPr>
        <w:pStyle w:val="44"/>
        <w:widowControl w:val="0"/>
        <w:ind w:firstLine="0" w:firstLineChars="0"/>
        <w:rPr>
          <w:rFonts w:cs="Times New Roman"/>
          <w:color w:val="000000"/>
        </w:rPr>
      </w:pPr>
    </w:p>
    <w:p w14:paraId="56CE8D8B">
      <w:pPr>
        <w:pStyle w:val="44"/>
        <w:widowControl w:val="0"/>
        <w:ind w:firstLine="0" w:firstLineChars="0"/>
        <w:rPr>
          <w:rFonts w:cs="Times New Roman"/>
          <w:color w:val="000000"/>
        </w:rPr>
      </w:pPr>
    </w:p>
    <w:p w14:paraId="0C8BE764">
      <w:pPr>
        <w:pStyle w:val="44"/>
        <w:widowControl w:val="0"/>
        <w:ind w:firstLine="0" w:firstLineChars="0"/>
        <w:rPr>
          <w:rFonts w:cs="Times New Roman"/>
          <w:color w:val="000000"/>
        </w:rPr>
      </w:pPr>
    </w:p>
    <w:p w14:paraId="2A5749C9">
      <w:pPr>
        <w:pStyle w:val="44"/>
        <w:widowControl w:val="0"/>
        <w:ind w:firstLine="0" w:firstLineChars="0"/>
        <w:rPr>
          <w:rFonts w:cs="Times New Roman"/>
          <w:color w:val="000000"/>
        </w:rPr>
      </w:pPr>
    </w:p>
    <w:p w14:paraId="1FD7A0F4">
      <w:pPr>
        <w:pStyle w:val="44"/>
        <w:widowControl w:val="0"/>
        <w:ind w:firstLine="0" w:firstLineChars="0"/>
        <w:rPr>
          <w:rFonts w:cs="Times New Roman"/>
          <w:color w:val="000000"/>
        </w:rPr>
      </w:pPr>
    </w:p>
    <w:p w14:paraId="33015013">
      <w:pPr>
        <w:pStyle w:val="44"/>
        <w:widowControl w:val="0"/>
        <w:ind w:firstLine="0" w:firstLineChars="0"/>
        <w:rPr>
          <w:rFonts w:cs="Times New Roman"/>
          <w:color w:val="000000"/>
        </w:rPr>
      </w:pPr>
    </w:p>
    <w:p w14:paraId="44BA4D91">
      <w:pPr>
        <w:pStyle w:val="44"/>
        <w:widowControl w:val="0"/>
        <w:ind w:firstLine="0" w:firstLineChars="0"/>
        <w:rPr>
          <w:rFonts w:cs="Times New Roman"/>
          <w:color w:val="000000"/>
        </w:rPr>
      </w:pPr>
    </w:p>
    <w:p w14:paraId="360F80D8">
      <w:pPr>
        <w:pStyle w:val="44"/>
        <w:widowControl w:val="0"/>
        <w:ind w:firstLine="0" w:firstLineChars="0"/>
        <w:rPr>
          <w:rFonts w:cs="Times New Roman"/>
          <w:color w:val="000000"/>
        </w:rPr>
      </w:pPr>
    </w:p>
    <w:p w14:paraId="4222EAB9">
      <w:pPr>
        <w:pStyle w:val="44"/>
        <w:widowControl w:val="0"/>
        <w:ind w:firstLine="0" w:firstLineChars="0"/>
        <w:rPr>
          <w:rFonts w:cs="Times New Roman"/>
          <w:color w:val="000000"/>
        </w:rPr>
      </w:pPr>
    </w:p>
    <w:p w14:paraId="4F724EE5">
      <w:pPr>
        <w:pStyle w:val="44"/>
        <w:widowControl w:val="0"/>
        <w:ind w:firstLine="0" w:firstLineChars="0"/>
        <w:rPr>
          <w:rFonts w:cs="Times New Roman"/>
          <w:color w:val="000000"/>
        </w:rPr>
      </w:pPr>
    </w:p>
    <w:p w14:paraId="668C85D0">
      <w:pPr>
        <w:pStyle w:val="44"/>
        <w:widowControl w:val="0"/>
        <w:ind w:firstLine="0" w:firstLineChars="0"/>
        <w:rPr>
          <w:rFonts w:cs="Times New Roman"/>
          <w:color w:val="000000"/>
        </w:rPr>
      </w:pPr>
    </w:p>
    <w:p w14:paraId="344BC3C7">
      <w:pPr>
        <w:pStyle w:val="44"/>
        <w:widowControl w:val="0"/>
        <w:ind w:firstLine="0" w:firstLineChars="0"/>
        <w:rPr>
          <w:rFonts w:cs="Times New Roman"/>
          <w:color w:val="000000"/>
        </w:rPr>
      </w:pPr>
    </w:p>
    <w:p w14:paraId="74312A41">
      <w:pPr>
        <w:pStyle w:val="44"/>
        <w:widowControl w:val="0"/>
        <w:ind w:firstLine="0" w:firstLineChars="0"/>
        <w:rPr>
          <w:rFonts w:cs="Times New Roman"/>
          <w:color w:val="000000"/>
        </w:rPr>
      </w:pPr>
    </w:p>
    <w:p w14:paraId="74201CD1">
      <w:pPr>
        <w:pStyle w:val="24"/>
        <w:widowControl w:val="0"/>
        <w:numPr>
          <w:ilvl w:val="0"/>
          <w:numId w:val="9"/>
        </w:numPr>
        <w:spacing w:afterLines="0" w:line="500" w:lineRule="exact"/>
        <w:ind w:firstLine="630" w:firstLineChars="208"/>
        <w:outlineLvl w:val="2"/>
        <w:rPr>
          <w:rFonts w:hint="eastAsia" w:ascii="仿宋" w:hAnsi="仿宋" w:eastAsia="仿宋" w:cs="仿宋"/>
          <w:b/>
          <w:bCs/>
          <w:color w:val="000000"/>
          <w:sz w:val="30"/>
          <w:szCs w:val="30"/>
        </w:rPr>
      </w:pPr>
      <w:bookmarkStart w:id="580" w:name="_Toc14054"/>
      <w:bookmarkStart w:id="581" w:name="_Toc3475"/>
      <w:bookmarkStart w:id="582" w:name="_Toc3778"/>
      <w:bookmarkStart w:id="583" w:name="_Toc25845"/>
      <w:bookmarkStart w:id="584" w:name="_Toc3159"/>
      <w:bookmarkStart w:id="585" w:name="_Toc27297"/>
      <w:bookmarkStart w:id="586" w:name="_Toc24508"/>
      <w:bookmarkStart w:id="587" w:name="_Toc5613"/>
      <w:bookmarkStart w:id="588" w:name="_Toc6220"/>
      <w:bookmarkStart w:id="589" w:name="_Toc6319"/>
      <w:bookmarkStart w:id="590" w:name="_Toc14266"/>
      <w:bookmarkStart w:id="591" w:name="_Toc28599"/>
      <w:bookmarkStart w:id="592" w:name="_Toc13686"/>
      <w:bookmarkStart w:id="593" w:name="_Toc27767"/>
      <w:r>
        <w:rPr>
          <w:rFonts w:hint="eastAsia" w:ascii="仿宋" w:hAnsi="仿宋" w:eastAsia="仿宋" w:cs="仿宋"/>
          <w:b/>
          <w:bCs/>
          <w:color w:val="000000"/>
          <w:sz w:val="30"/>
          <w:szCs w:val="30"/>
          <w:highlight w:val="none"/>
        </w:rPr>
        <w:t>控股管理关</w:t>
      </w:r>
      <w:r>
        <w:rPr>
          <w:rFonts w:hint="eastAsia" w:ascii="仿宋" w:hAnsi="仿宋" w:eastAsia="仿宋" w:cs="仿宋"/>
          <w:b/>
          <w:bCs/>
          <w:color w:val="000000"/>
          <w:sz w:val="30"/>
          <w:szCs w:val="30"/>
        </w:rPr>
        <w:t>系</w:t>
      </w:r>
      <w:bookmarkEnd w:id="580"/>
      <w:bookmarkEnd w:id="581"/>
      <w:bookmarkEnd w:id="582"/>
      <w:bookmarkEnd w:id="583"/>
      <w:bookmarkEnd w:id="584"/>
      <w:bookmarkEnd w:id="585"/>
      <w:bookmarkEnd w:id="586"/>
      <w:bookmarkEnd w:id="587"/>
      <w:bookmarkEnd w:id="588"/>
      <w:bookmarkEnd w:id="589"/>
      <w:bookmarkEnd w:id="590"/>
    </w:p>
    <w:p w14:paraId="60B0ACDD">
      <w:pPr>
        <w:pStyle w:val="24"/>
        <w:widowControl w:val="0"/>
        <w:numPr>
          <w:ilvl w:val="0"/>
          <w:numId w:val="0"/>
        </w:numPr>
        <w:spacing w:afterLines="0" w:line="500" w:lineRule="exact"/>
        <w:ind w:firstLine="630" w:firstLineChars="208"/>
        <w:jc w:val="center"/>
        <w:outlineLvl w:val="2"/>
        <w:rPr>
          <w:rFonts w:hint="eastAsia" w:ascii="仿宋" w:hAnsi="仿宋" w:eastAsia="仿宋" w:cs="仿宋"/>
          <w:b/>
          <w:bCs/>
          <w:color w:val="000000"/>
          <w:sz w:val="30"/>
          <w:szCs w:val="30"/>
        </w:rPr>
      </w:pPr>
      <w:bookmarkStart w:id="594" w:name="_Toc26760"/>
      <w:bookmarkStart w:id="595" w:name="_Toc952"/>
      <w:bookmarkStart w:id="596" w:name="_Toc21260"/>
      <w:bookmarkStart w:id="597" w:name="_Toc27988"/>
      <w:bookmarkStart w:id="598" w:name="_Toc12979"/>
      <w:bookmarkStart w:id="599" w:name="_Toc10651"/>
      <w:bookmarkStart w:id="600" w:name="_Toc15131"/>
      <w:bookmarkStart w:id="601" w:name="_Toc22023"/>
      <w:bookmarkStart w:id="602" w:name="_Toc27526"/>
      <w:r>
        <w:rPr>
          <w:rFonts w:hint="eastAsia" w:ascii="仿宋" w:hAnsi="仿宋" w:eastAsia="仿宋" w:cs="仿宋"/>
          <w:b/>
          <w:bCs/>
          <w:color w:val="000000"/>
          <w:sz w:val="30"/>
          <w:szCs w:val="30"/>
        </w:rPr>
        <w:t>控股管</w:t>
      </w:r>
      <w:r>
        <w:rPr>
          <w:rFonts w:hint="eastAsia" w:ascii="仿宋" w:hAnsi="仿宋" w:eastAsia="仿宋" w:cs="仿宋"/>
          <w:b/>
          <w:bCs/>
          <w:color w:val="000000"/>
          <w:sz w:val="30"/>
          <w:szCs w:val="30"/>
          <w:highlight w:val="none"/>
        </w:rPr>
        <w:t>理关系（</w:t>
      </w:r>
      <w:r>
        <w:rPr>
          <w:rFonts w:hint="eastAsia" w:ascii="仿宋" w:hAnsi="仿宋" w:eastAsia="仿宋" w:cs="仿宋"/>
          <w:b/>
          <w:bCs/>
          <w:color w:val="000000"/>
          <w:sz w:val="30"/>
          <w:szCs w:val="30"/>
          <w:highlight w:val="none"/>
          <w:lang w:val="en-US" w:eastAsia="zh-CN"/>
        </w:rPr>
        <w:t>格式</w:t>
      </w:r>
      <w:r>
        <w:rPr>
          <w:rFonts w:hint="eastAsia" w:ascii="仿宋" w:hAnsi="仿宋" w:eastAsia="仿宋" w:cs="仿宋"/>
          <w:b/>
          <w:bCs/>
          <w:color w:val="000000"/>
          <w:sz w:val="30"/>
          <w:szCs w:val="30"/>
          <w:highlight w:val="none"/>
        </w:rPr>
        <w:t>）</w:t>
      </w:r>
      <w:bookmarkEnd w:id="594"/>
      <w:bookmarkEnd w:id="595"/>
      <w:bookmarkEnd w:id="596"/>
    </w:p>
    <w:p w14:paraId="688F8EE0">
      <w:pPr>
        <w:widowControl w:val="0"/>
        <w:spacing w:line="500" w:lineRule="exact"/>
        <w:rPr>
          <w:rFonts w:hint="eastAsia" w:ascii="仿宋" w:hAnsi="仿宋" w:eastAsia="仿宋" w:cs="仿宋"/>
          <w:color w:val="000000"/>
        </w:rPr>
      </w:pPr>
      <w:r>
        <w:rPr>
          <w:rFonts w:hint="eastAsia" w:ascii="仿宋" w:hAnsi="仿宋" w:eastAsia="仿宋" w:cs="仿宋"/>
          <w:color w:val="000000"/>
        </w:rPr>
        <w:t>陕西省省级单位政府采购中心：</w:t>
      </w:r>
    </w:p>
    <w:p w14:paraId="6D056E8E">
      <w:pPr>
        <w:widowControl w:val="0"/>
        <w:spacing w:line="500" w:lineRule="exact"/>
        <w:ind w:firstLine="566" w:firstLineChars="200"/>
        <w:rPr>
          <w:rFonts w:hint="eastAsia" w:ascii="仿宋" w:hAnsi="仿宋" w:eastAsia="仿宋" w:cs="仿宋"/>
          <w:b/>
          <w:bCs/>
          <w:color w:val="000000"/>
          <w:sz w:val="30"/>
          <w:szCs w:val="30"/>
        </w:rPr>
      </w:pPr>
      <w:r>
        <w:rPr>
          <w:rFonts w:hint="eastAsia" w:ascii="仿宋" w:hAnsi="仿宋" w:eastAsia="仿宋" w:cs="仿宋"/>
          <w:color w:val="000000"/>
        </w:rPr>
        <w:t>我方与以下供应商存在直接控股、管理关系：</w:t>
      </w:r>
    </w:p>
    <w:tbl>
      <w:tblPr>
        <w:tblStyle w:val="2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43EBC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vAlign w:val="center"/>
          </w:tcPr>
          <w:p w14:paraId="221BBE38">
            <w:pPr>
              <w:widowControl w:val="0"/>
              <w:autoSpaceDE w:val="0"/>
              <w:autoSpaceDN w:val="0"/>
              <w:adjustRightInd w:val="0"/>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存在直接控股、管理关系的相关供应商</w:t>
            </w:r>
          </w:p>
        </w:tc>
      </w:tr>
      <w:tr w14:paraId="31E2A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0DD3B526">
            <w:pPr>
              <w:widowControl w:val="0"/>
              <w:autoSpaceDE w:val="0"/>
              <w:autoSpaceDN w:val="0"/>
              <w:adjustRightInd w:val="0"/>
              <w:spacing w:line="32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序号</w:t>
            </w:r>
          </w:p>
        </w:tc>
        <w:tc>
          <w:tcPr>
            <w:tcW w:w="2855" w:type="dxa"/>
            <w:tcBorders>
              <w:right w:val="single" w:color="auto" w:sz="4" w:space="0"/>
            </w:tcBorders>
            <w:vAlign w:val="center"/>
          </w:tcPr>
          <w:p w14:paraId="37651B52">
            <w:pPr>
              <w:widowControl w:val="0"/>
              <w:autoSpaceDE w:val="0"/>
              <w:autoSpaceDN w:val="0"/>
              <w:adjustRightInd w:val="0"/>
              <w:spacing w:line="32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直接控股股东名称及出资比例</w:t>
            </w:r>
          </w:p>
        </w:tc>
        <w:tc>
          <w:tcPr>
            <w:tcW w:w="2646" w:type="dxa"/>
            <w:tcBorders>
              <w:left w:val="single" w:color="auto" w:sz="4" w:space="0"/>
              <w:right w:val="single" w:color="auto" w:sz="4" w:space="0"/>
            </w:tcBorders>
            <w:vAlign w:val="center"/>
          </w:tcPr>
          <w:p w14:paraId="7787006C">
            <w:pPr>
              <w:widowControl w:val="0"/>
              <w:autoSpaceDE w:val="0"/>
              <w:autoSpaceDN w:val="0"/>
              <w:adjustRightInd w:val="0"/>
              <w:spacing w:line="32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直接管理关系单位</w:t>
            </w:r>
          </w:p>
          <w:p w14:paraId="6B0FA237">
            <w:pPr>
              <w:widowControl w:val="0"/>
              <w:autoSpaceDE w:val="0"/>
              <w:autoSpaceDN w:val="0"/>
              <w:adjustRightInd w:val="0"/>
              <w:spacing w:line="32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名称</w:t>
            </w:r>
          </w:p>
        </w:tc>
        <w:tc>
          <w:tcPr>
            <w:tcW w:w="1993" w:type="dxa"/>
            <w:tcBorders>
              <w:left w:val="single" w:color="auto" w:sz="4" w:space="0"/>
              <w:right w:val="single" w:color="auto" w:sz="12" w:space="0"/>
            </w:tcBorders>
            <w:vAlign w:val="center"/>
          </w:tcPr>
          <w:p w14:paraId="0D5676B9">
            <w:pPr>
              <w:widowControl w:val="0"/>
              <w:autoSpaceDE w:val="0"/>
              <w:autoSpaceDN w:val="0"/>
              <w:adjustRightInd w:val="0"/>
              <w:spacing w:line="32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14:paraId="285C9E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0314D78">
            <w:pPr>
              <w:widowControl w:val="0"/>
              <w:autoSpaceDE w:val="0"/>
              <w:autoSpaceDN w:val="0"/>
              <w:adjustRightInd w:val="0"/>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855" w:type="dxa"/>
            <w:tcBorders>
              <w:right w:val="single" w:color="auto" w:sz="4" w:space="0"/>
            </w:tcBorders>
            <w:vAlign w:val="center"/>
          </w:tcPr>
          <w:p w14:paraId="4C37048A">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2646" w:type="dxa"/>
            <w:tcBorders>
              <w:left w:val="single" w:color="auto" w:sz="4" w:space="0"/>
              <w:right w:val="single" w:color="auto" w:sz="4" w:space="0"/>
            </w:tcBorders>
            <w:vAlign w:val="center"/>
          </w:tcPr>
          <w:p w14:paraId="52288847">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1993" w:type="dxa"/>
            <w:tcBorders>
              <w:left w:val="single" w:color="auto" w:sz="4" w:space="0"/>
              <w:right w:val="single" w:color="auto" w:sz="12" w:space="0"/>
            </w:tcBorders>
            <w:vAlign w:val="center"/>
          </w:tcPr>
          <w:p w14:paraId="006BF398">
            <w:pPr>
              <w:widowControl w:val="0"/>
              <w:autoSpaceDE w:val="0"/>
              <w:autoSpaceDN w:val="0"/>
              <w:adjustRightInd w:val="0"/>
              <w:spacing w:line="320" w:lineRule="exact"/>
              <w:rPr>
                <w:rFonts w:hint="eastAsia" w:ascii="仿宋" w:hAnsi="仿宋" w:eastAsia="仿宋" w:cs="仿宋"/>
                <w:bCs/>
                <w:color w:val="000000"/>
                <w:kern w:val="0"/>
                <w:sz w:val="24"/>
                <w:szCs w:val="24"/>
              </w:rPr>
            </w:pPr>
          </w:p>
        </w:tc>
      </w:tr>
      <w:tr w14:paraId="5A7EC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DB06045">
            <w:pPr>
              <w:widowControl w:val="0"/>
              <w:autoSpaceDE w:val="0"/>
              <w:autoSpaceDN w:val="0"/>
              <w:adjustRightInd w:val="0"/>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855" w:type="dxa"/>
            <w:tcBorders>
              <w:right w:val="single" w:color="auto" w:sz="4" w:space="0"/>
            </w:tcBorders>
            <w:vAlign w:val="center"/>
          </w:tcPr>
          <w:p w14:paraId="056CECFA">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2646" w:type="dxa"/>
            <w:tcBorders>
              <w:left w:val="single" w:color="auto" w:sz="4" w:space="0"/>
              <w:right w:val="single" w:color="auto" w:sz="4" w:space="0"/>
            </w:tcBorders>
            <w:vAlign w:val="center"/>
          </w:tcPr>
          <w:p w14:paraId="6320E052">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1993" w:type="dxa"/>
            <w:tcBorders>
              <w:left w:val="single" w:color="auto" w:sz="4" w:space="0"/>
              <w:right w:val="single" w:color="auto" w:sz="12" w:space="0"/>
            </w:tcBorders>
            <w:vAlign w:val="center"/>
          </w:tcPr>
          <w:p w14:paraId="44045884">
            <w:pPr>
              <w:widowControl w:val="0"/>
              <w:autoSpaceDE w:val="0"/>
              <w:autoSpaceDN w:val="0"/>
              <w:adjustRightInd w:val="0"/>
              <w:spacing w:line="320" w:lineRule="exact"/>
              <w:rPr>
                <w:rFonts w:hint="eastAsia" w:ascii="仿宋" w:hAnsi="仿宋" w:eastAsia="仿宋" w:cs="仿宋"/>
                <w:bCs/>
                <w:color w:val="000000"/>
                <w:kern w:val="0"/>
                <w:sz w:val="24"/>
                <w:szCs w:val="24"/>
              </w:rPr>
            </w:pPr>
          </w:p>
        </w:tc>
      </w:tr>
      <w:tr w14:paraId="72F3C5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70A0A533">
            <w:pPr>
              <w:widowControl w:val="0"/>
              <w:autoSpaceDE w:val="0"/>
              <w:autoSpaceDN w:val="0"/>
              <w:adjustRightInd w:val="0"/>
              <w:spacing w:line="32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855" w:type="dxa"/>
            <w:tcBorders>
              <w:right w:val="single" w:color="auto" w:sz="4" w:space="0"/>
            </w:tcBorders>
            <w:vAlign w:val="center"/>
          </w:tcPr>
          <w:p w14:paraId="55A660D7">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2646" w:type="dxa"/>
            <w:tcBorders>
              <w:left w:val="single" w:color="auto" w:sz="4" w:space="0"/>
              <w:right w:val="single" w:color="auto" w:sz="4" w:space="0"/>
            </w:tcBorders>
            <w:vAlign w:val="center"/>
          </w:tcPr>
          <w:p w14:paraId="60C25090">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1993" w:type="dxa"/>
            <w:tcBorders>
              <w:left w:val="single" w:color="auto" w:sz="4" w:space="0"/>
              <w:right w:val="single" w:color="auto" w:sz="12" w:space="0"/>
            </w:tcBorders>
            <w:vAlign w:val="center"/>
          </w:tcPr>
          <w:p w14:paraId="76A50059">
            <w:pPr>
              <w:widowControl w:val="0"/>
              <w:autoSpaceDE w:val="0"/>
              <w:autoSpaceDN w:val="0"/>
              <w:adjustRightInd w:val="0"/>
              <w:spacing w:line="320" w:lineRule="exact"/>
              <w:rPr>
                <w:rFonts w:hint="eastAsia" w:ascii="仿宋" w:hAnsi="仿宋" w:eastAsia="仿宋" w:cs="仿宋"/>
                <w:bCs/>
                <w:color w:val="000000"/>
                <w:kern w:val="0"/>
                <w:sz w:val="24"/>
                <w:szCs w:val="24"/>
              </w:rPr>
            </w:pPr>
          </w:p>
        </w:tc>
      </w:tr>
      <w:tr w14:paraId="0E035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7735B32">
            <w:pPr>
              <w:widowControl w:val="0"/>
              <w:autoSpaceDE w:val="0"/>
              <w:autoSpaceDN w:val="0"/>
              <w:adjustRightInd w:val="0"/>
              <w:spacing w:line="320" w:lineRule="exact"/>
              <w:jc w:val="center"/>
              <w:rPr>
                <w:rFonts w:hint="eastAsia" w:ascii="仿宋" w:hAnsi="仿宋" w:eastAsia="仿宋" w:cs="仿宋"/>
                <w:color w:val="000000"/>
                <w:kern w:val="0"/>
                <w:sz w:val="24"/>
                <w:szCs w:val="24"/>
              </w:rPr>
            </w:pPr>
            <w:r>
              <w:rPr>
                <w:rFonts w:hint="eastAsia" w:ascii="宋体" w:hAnsi="宋体" w:cs="宋体"/>
                <w:color w:val="000000"/>
                <w:kern w:val="0"/>
                <w:sz w:val="24"/>
              </w:rPr>
              <w:t>……</w:t>
            </w:r>
          </w:p>
        </w:tc>
        <w:tc>
          <w:tcPr>
            <w:tcW w:w="2855" w:type="dxa"/>
            <w:tcBorders>
              <w:right w:val="single" w:color="auto" w:sz="4" w:space="0"/>
            </w:tcBorders>
            <w:vAlign w:val="center"/>
          </w:tcPr>
          <w:p w14:paraId="0A5F3548">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2646" w:type="dxa"/>
            <w:tcBorders>
              <w:left w:val="single" w:color="auto" w:sz="4" w:space="0"/>
              <w:right w:val="single" w:color="auto" w:sz="4" w:space="0"/>
            </w:tcBorders>
            <w:vAlign w:val="center"/>
          </w:tcPr>
          <w:p w14:paraId="7412CFAC">
            <w:pPr>
              <w:widowControl w:val="0"/>
              <w:autoSpaceDE w:val="0"/>
              <w:autoSpaceDN w:val="0"/>
              <w:adjustRightInd w:val="0"/>
              <w:spacing w:line="320" w:lineRule="exact"/>
              <w:rPr>
                <w:rFonts w:hint="eastAsia" w:ascii="仿宋" w:hAnsi="仿宋" w:eastAsia="仿宋" w:cs="仿宋"/>
                <w:bCs/>
                <w:color w:val="000000"/>
                <w:kern w:val="0"/>
                <w:sz w:val="24"/>
                <w:szCs w:val="24"/>
              </w:rPr>
            </w:pPr>
          </w:p>
        </w:tc>
        <w:tc>
          <w:tcPr>
            <w:tcW w:w="1993" w:type="dxa"/>
            <w:tcBorders>
              <w:left w:val="single" w:color="auto" w:sz="4" w:space="0"/>
              <w:right w:val="single" w:color="auto" w:sz="12" w:space="0"/>
            </w:tcBorders>
            <w:vAlign w:val="center"/>
          </w:tcPr>
          <w:p w14:paraId="183BC7F2">
            <w:pPr>
              <w:widowControl w:val="0"/>
              <w:autoSpaceDE w:val="0"/>
              <w:autoSpaceDN w:val="0"/>
              <w:adjustRightInd w:val="0"/>
              <w:spacing w:line="320" w:lineRule="exact"/>
              <w:rPr>
                <w:rFonts w:hint="eastAsia" w:ascii="仿宋" w:hAnsi="仿宋" w:eastAsia="仿宋" w:cs="仿宋"/>
                <w:bCs/>
                <w:color w:val="000000"/>
                <w:kern w:val="0"/>
                <w:sz w:val="24"/>
                <w:szCs w:val="24"/>
              </w:rPr>
            </w:pPr>
          </w:p>
        </w:tc>
      </w:tr>
    </w:tbl>
    <w:p w14:paraId="37037430">
      <w:pPr>
        <w:widowControl w:val="0"/>
        <w:spacing w:line="500" w:lineRule="exact"/>
        <w:ind w:firstLine="4528" w:firstLineChars="1600"/>
        <w:rPr>
          <w:rFonts w:hint="eastAsia" w:ascii="仿宋" w:hAnsi="仿宋" w:eastAsia="仿宋" w:cs="仿宋"/>
          <w:color w:val="000000"/>
        </w:rPr>
      </w:pPr>
    </w:p>
    <w:p w14:paraId="5E83A10A">
      <w:pPr>
        <w:widowControl w:val="0"/>
        <w:spacing w:line="500" w:lineRule="exact"/>
        <w:ind w:firstLine="4528" w:firstLineChars="1600"/>
        <w:rPr>
          <w:rFonts w:hint="eastAsia" w:ascii="仿宋" w:hAnsi="仿宋" w:eastAsia="仿宋" w:cs="仿宋"/>
          <w:color w:val="000000"/>
        </w:rPr>
      </w:pPr>
      <w:r>
        <w:rPr>
          <w:rFonts w:hint="eastAsia" w:ascii="仿宋" w:hAnsi="仿宋" w:eastAsia="仿宋" w:cs="仿宋"/>
          <w:color w:val="000000"/>
        </w:rPr>
        <w:t xml:space="preserve">供应商： </w:t>
      </w:r>
      <w:r>
        <w:rPr>
          <w:rFonts w:hint="eastAsia" w:ascii="仿宋" w:hAnsi="仿宋" w:eastAsia="仿宋" w:cs="仿宋"/>
          <w:color w:val="000000"/>
          <w:u w:val="single"/>
        </w:rPr>
        <w:t>名称</w:t>
      </w:r>
      <w:r>
        <w:rPr>
          <w:rFonts w:hint="eastAsia" w:ascii="仿宋" w:hAnsi="仿宋" w:eastAsia="仿宋" w:cs="仿宋"/>
          <w:color w:val="000000"/>
        </w:rPr>
        <w:t>（加盖公章）</w:t>
      </w:r>
    </w:p>
    <w:p w14:paraId="3B81A10F">
      <w:pPr>
        <w:widowControl w:val="0"/>
        <w:spacing w:line="500" w:lineRule="exact"/>
        <w:ind w:firstLine="4528" w:firstLineChars="1600"/>
        <w:rPr>
          <w:rFonts w:hint="eastAsia" w:ascii="仿宋" w:hAnsi="仿宋" w:eastAsia="仿宋" w:cs="仿宋"/>
          <w:color w:val="000000"/>
        </w:rPr>
      </w:pPr>
      <w:r>
        <w:rPr>
          <w:rFonts w:hint="eastAsia" w:ascii="仿宋" w:hAnsi="仿宋" w:eastAsia="仿宋" w:cs="仿宋"/>
          <w:color w:val="000000"/>
        </w:rPr>
        <w:t>日期：  年  月  日</w:t>
      </w:r>
    </w:p>
    <w:p w14:paraId="1A6B6182">
      <w:pPr>
        <w:pStyle w:val="24"/>
        <w:widowControl w:val="0"/>
        <w:wordWrap w:val="0"/>
        <w:spacing w:afterLines="0" w:line="40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备注：</w:t>
      </w:r>
    </w:p>
    <w:p w14:paraId="6E696294">
      <w:pPr>
        <w:pStyle w:val="24"/>
        <w:widowControl w:val="0"/>
        <w:wordWrap w:val="0"/>
        <w:spacing w:afterLines="0" w:line="40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9359F23">
      <w:pPr>
        <w:pStyle w:val="24"/>
        <w:widowControl w:val="0"/>
        <w:wordWrap w:val="0"/>
        <w:spacing w:afterLines="0" w:line="400" w:lineRule="exact"/>
        <w:ind w:firstLine="426"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管理关系：是指不具有出资持股关系的其他单位之间存在的管理与被管理关系，如一些上下级关系的事业单位和团体组织。</w:t>
      </w:r>
    </w:p>
    <w:p w14:paraId="401DC976">
      <w:pPr>
        <w:pStyle w:val="24"/>
        <w:widowControl w:val="0"/>
        <w:wordWrap w:val="0"/>
        <w:spacing w:afterLines="0" w:line="400" w:lineRule="exact"/>
        <w:ind w:firstLine="426"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本表所指的控股、管理关系仅限于直接控股、直接管理关系，不包括间接的控股或管理关系。公司实际控制人与公司之间的关系不属于本表所指的直接控股关系。</w:t>
      </w:r>
    </w:p>
    <w:p w14:paraId="6B5B8506">
      <w:pPr>
        <w:pStyle w:val="24"/>
        <w:widowControl w:val="0"/>
        <w:wordWrap w:val="0"/>
        <w:spacing w:afterLines="0" w:line="400" w:lineRule="exact"/>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供</w:t>
      </w:r>
      <w:r>
        <w:rPr>
          <w:rFonts w:hint="eastAsia" w:ascii="宋体" w:hAnsi="宋体" w:eastAsia="宋体" w:cs="宋体"/>
          <w:color w:val="000000"/>
          <w:sz w:val="21"/>
          <w:szCs w:val="21"/>
        </w:rPr>
        <w:t>应商如不存在直接控股股东的，则在“直接控股股东名称及出资比例”处填写“无”或“/”。供应商不存在直接管理关系的，则在“直接管理关系单位名称”中填“无”或“/”。</w:t>
      </w:r>
    </w:p>
    <w:bookmarkEnd w:id="597"/>
    <w:bookmarkEnd w:id="598"/>
    <w:bookmarkEnd w:id="599"/>
    <w:bookmarkEnd w:id="600"/>
    <w:bookmarkEnd w:id="601"/>
    <w:bookmarkEnd w:id="602"/>
    <w:p w14:paraId="5EF970B4">
      <w:pPr>
        <w:widowControl/>
        <w:numPr>
          <w:ilvl w:val="0"/>
          <w:numId w:val="0"/>
        </w:numPr>
        <w:spacing w:line="240" w:lineRule="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br w:type="page"/>
      </w:r>
    </w:p>
    <w:p w14:paraId="2880B48E">
      <w:pPr>
        <w:widowControl w:val="0"/>
        <w:numPr>
          <w:ilvl w:val="0"/>
          <w:numId w:val="0"/>
        </w:numPr>
        <w:spacing w:line="500" w:lineRule="exact"/>
        <w:ind w:firstLine="606"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七、</w:t>
      </w:r>
      <w:r>
        <w:rPr>
          <w:rFonts w:hint="eastAsia" w:ascii="仿宋" w:hAnsi="仿宋" w:eastAsia="仿宋" w:cs="仿宋"/>
          <w:b/>
          <w:bCs/>
          <w:color w:val="000000"/>
          <w:sz w:val="30"/>
          <w:szCs w:val="30"/>
        </w:rPr>
        <w:t>书面声明</w:t>
      </w:r>
    </w:p>
    <w:p w14:paraId="3EA5348B">
      <w:pPr>
        <w:widowControl w:val="0"/>
        <w:spacing w:line="500" w:lineRule="exact"/>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书面声明</w:t>
      </w:r>
      <w:r>
        <w:rPr>
          <w:rFonts w:hint="eastAsia" w:cs="华文仿宋"/>
          <w:b/>
          <w:bCs/>
          <w:color w:val="000000"/>
          <w:sz w:val="30"/>
          <w:szCs w:val="30"/>
        </w:rPr>
        <w:t>（格式）</w:t>
      </w:r>
    </w:p>
    <w:p w14:paraId="12A37B94">
      <w:pPr>
        <w:widowControl w:val="0"/>
        <w:spacing w:line="500" w:lineRule="exact"/>
        <w:rPr>
          <w:rFonts w:hint="eastAsia" w:ascii="仿宋" w:hAnsi="仿宋" w:eastAsia="仿宋" w:cs="仿宋"/>
          <w:color w:val="000000"/>
        </w:rPr>
      </w:pPr>
      <w:r>
        <w:rPr>
          <w:rFonts w:hint="eastAsia" w:ascii="仿宋" w:hAnsi="仿宋" w:eastAsia="仿宋" w:cs="仿宋"/>
          <w:color w:val="000000"/>
        </w:rPr>
        <w:t>陕西省省级单位政府采购中心：</w:t>
      </w:r>
    </w:p>
    <w:p w14:paraId="7F2C338A">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我方作为</w:t>
      </w:r>
      <w:r>
        <w:rPr>
          <w:rFonts w:hint="eastAsia" w:ascii="仿宋" w:hAnsi="仿宋" w:eastAsia="仿宋" w:cs="仿宋"/>
          <w:color w:val="000000"/>
          <w:u w:val="single"/>
        </w:rPr>
        <w:t>项目名称</w:t>
      </w:r>
      <w:r>
        <w:rPr>
          <w:rFonts w:hint="eastAsia" w:ascii="仿宋" w:hAnsi="仿宋" w:eastAsia="仿宋" w:cs="仿宋"/>
          <w:color w:val="000000"/>
        </w:rPr>
        <w:t>（项目编号：</w:t>
      </w:r>
      <w:r>
        <w:rPr>
          <w:rFonts w:hint="eastAsia" w:ascii="仿宋" w:hAnsi="仿宋" w:eastAsia="仿宋" w:cs="仿宋"/>
          <w:color w:val="000000"/>
          <w:u w:val="single"/>
        </w:rPr>
        <w:t xml:space="preserve">     </w:t>
      </w:r>
      <w:r>
        <w:rPr>
          <w:rFonts w:hint="eastAsia" w:ascii="仿宋" w:hAnsi="仿宋" w:eastAsia="仿宋" w:cs="仿宋"/>
          <w:color w:val="000000"/>
        </w:rPr>
        <w:t>）第</w:t>
      </w:r>
      <w:r>
        <w:rPr>
          <w:rFonts w:hint="eastAsia" w:ascii="仿宋" w:hAnsi="仿宋" w:eastAsia="仿宋" w:cs="仿宋"/>
          <w:color w:val="000000"/>
          <w:u w:val="single"/>
        </w:rPr>
        <w:t xml:space="preserve">  </w:t>
      </w:r>
      <w:r>
        <w:rPr>
          <w:rFonts w:hint="eastAsia" w:ascii="仿宋" w:hAnsi="仿宋" w:eastAsia="仿宋" w:cs="仿宋"/>
          <w:color w:val="000000"/>
        </w:rPr>
        <w:t>标段的供应商，在此郑重声明：</w:t>
      </w:r>
    </w:p>
    <w:p w14:paraId="0056D411">
      <w:pPr>
        <w:widowControl w:val="0"/>
        <w:numPr>
          <w:ilvl w:val="0"/>
          <w:numId w:val="10"/>
        </w:num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我方具备履行合同所必须的设备和专业技术能力。</w:t>
      </w:r>
    </w:p>
    <w:p w14:paraId="44C8DC1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2、我方未为本项目提供整体设计、规范编制或者项目管理、监理、检测等服务。</w:t>
      </w:r>
    </w:p>
    <w:p w14:paraId="181D43C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如有不实，我方将无条件地退出本项目的采购活动，并遵照《政府采购法》有关“提供虚假材料的规定”接受处罚。</w:t>
      </w:r>
    </w:p>
    <w:p w14:paraId="239916ED">
      <w:pPr>
        <w:widowControl w:val="0"/>
        <w:spacing w:line="500" w:lineRule="exact"/>
        <w:rPr>
          <w:rFonts w:hint="eastAsia" w:ascii="仿宋" w:hAnsi="仿宋" w:eastAsia="仿宋" w:cs="仿宋"/>
          <w:color w:val="000000"/>
        </w:rPr>
      </w:pPr>
      <w:r>
        <w:rPr>
          <w:rFonts w:hint="eastAsia" w:ascii="仿宋" w:hAnsi="仿宋" w:eastAsia="仿宋" w:cs="仿宋"/>
          <w:color w:val="000000"/>
        </w:rPr>
        <w:t>特此声明。</w:t>
      </w:r>
    </w:p>
    <w:p w14:paraId="548BC923">
      <w:pPr>
        <w:widowControl w:val="0"/>
        <w:spacing w:line="500" w:lineRule="exact"/>
        <w:ind w:firstLine="4528" w:firstLineChars="1600"/>
        <w:rPr>
          <w:rFonts w:hint="eastAsia" w:ascii="仿宋" w:hAnsi="仿宋" w:eastAsia="仿宋" w:cs="仿宋"/>
          <w:color w:val="000000"/>
        </w:rPr>
      </w:pPr>
      <w:r>
        <w:rPr>
          <w:rFonts w:hint="eastAsia" w:eastAsia="仿宋" w:cs="华文仿宋"/>
          <w:color w:val="000000"/>
        </w:rPr>
        <w:t>供应商</w:t>
      </w:r>
      <w:r>
        <w:rPr>
          <w:rFonts w:hint="eastAsia" w:ascii="仿宋" w:hAnsi="仿宋" w:eastAsia="仿宋" w:cs="仿宋"/>
          <w:color w:val="000000"/>
        </w:rPr>
        <w:t xml:space="preserve">： </w:t>
      </w:r>
      <w:r>
        <w:rPr>
          <w:rFonts w:hint="eastAsia" w:ascii="仿宋" w:hAnsi="仿宋" w:eastAsia="仿宋" w:cs="仿宋"/>
          <w:color w:val="000000"/>
          <w:u w:val="single"/>
        </w:rPr>
        <w:t>名称</w:t>
      </w:r>
      <w:r>
        <w:rPr>
          <w:rFonts w:hint="eastAsia" w:ascii="仿宋" w:hAnsi="仿宋" w:eastAsia="仿宋" w:cs="仿宋"/>
          <w:color w:val="000000"/>
        </w:rPr>
        <w:t>（加盖公章）</w:t>
      </w:r>
    </w:p>
    <w:p w14:paraId="0F96F841">
      <w:pPr>
        <w:widowControl w:val="0"/>
        <w:spacing w:line="500" w:lineRule="exact"/>
        <w:ind w:firstLine="4528" w:firstLineChars="1600"/>
        <w:rPr>
          <w:rFonts w:hint="eastAsia" w:ascii="仿宋" w:hAnsi="仿宋" w:eastAsia="仿宋" w:cs="仿宋"/>
          <w:color w:val="000000"/>
        </w:rPr>
      </w:pPr>
      <w:r>
        <w:rPr>
          <w:rFonts w:hint="eastAsia" w:ascii="仿宋" w:hAnsi="仿宋" w:eastAsia="仿宋" w:cs="仿宋"/>
          <w:color w:val="000000"/>
        </w:rPr>
        <w:t>日期：  年  月  日</w:t>
      </w:r>
    </w:p>
    <w:p w14:paraId="1C326830">
      <w:pPr>
        <w:pStyle w:val="7"/>
        <w:widowControl w:val="0"/>
        <w:rPr>
          <w:rFonts w:hint="eastAsia" w:ascii="仿宋" w:hAnsi="仿宋" w:eastAsia="仿宋" w:cs="仿宋"/>
          <w:color w:val="000000"/>
        </w:rPr>
      </w:pPr>
    </w:p>
    <w:p w14:paraId="23EE80C2">
      <w:pPr>
        <w:pStyle w:val="7"/>
        <w:widowControl w:val="0"/>
        <w:rPr>
          <w:rFonts w:hint="eastAsia" w:ascii="仿宋" w:hAnsi="仿宋" w:eastAsia="仿宋" w:cs="仿宋"/>
          <w:color w:val="000000"/>
        </w:rPr>
      </w:pPr>
    </w:p>
    <w:p w14:paraId="4C9DC7EB">
      <w:pPr>
        <w:widowControl w:val="0"/>
        <w:spacing w:line="500" w:lineRule="exact"/>
        <w:rPr>
          <w:rFonts w:hint="eastAsia" w:ascii="仿宋" w:hAnsi="仿宋" w:eastAsia="宋体" w:cs="仿宋"/>
          <w:b/>
          <w:bCs/>
          <w:color w:val="000000"/>
          <w:sz w:val="30"/>
          <w:szCs w:val="30"/>
        </w:rPr>
      </w:pPr>
      <w:r>
        <w:rPr>
          <w:rFonts w:hint="eastAsia" w:ascii="宋体" w:hAnsi="宋体" w:eastAsia="宋体" w:cs="宋体"/>
          <w:color w:val="000000"/>
          <w:sz w:val="21"/>
          <w:szCs w:val="21"/>
        </w:rPr>
        <w:t>备注：项目不分标段的，第</w:t>
      </w:r>
      <w:r>
        <w:rPr>
          <w:rFonts w:ascii="宋体" w:hAnsi="宋体" w:eastAsia="宋体" w:cs="宋体"/>
          <w:color w:val="000000"/>
          <w:sz w:val="21"/>
          <w:szCs w:val="21"/>
        </w:rPr>
        <w:t>___</w:t>
      </w:r>
      <w:r>
        <w:rPr>
          <w:rFonts w:hint="eastAsia" w:ascii="宋体" w:hAnsi="宋体" w:eastAsia="宋体" w:cs="宋体"/>
          <w:color w:val="000000"/>
          <w:sz w:val="21"/>
          <w:szCs w:val="21"/>
        </w:rPr>
        <w:t>标段空白处填写“/”。</w:t>
      </w:r>
    </w:p>
    <w:p w14:paraId="0A0F611D">
      <w:pPr>
        <w:widowControl w:val="0"/>
        <w:tabs>
          <w:tab w:val="right" w:pos="9070"/>
        </w:tabs>
        <w:spacing w:line="500" w:lineRule="exact"/>
        <w:rPr>
          <w:rFonts w:hint="eastAsia" w:ascii="仿宋" w:hAnsi="仿宋" w:eastAsia="仿宋" w:cs="仿宋"/>
          <w:bCs/>
          <w:color w:val="000000"/>
        </w:rPr>
      </w:pPr>
      <w:r>
        <w:rPr>
          <w:rFonts w:hint="eastAsia" w:ascii="仿宋" w:hAnsi="仿宋" w:eastAsia="仿宋" w:cs="仿宋"/>
          <w:bCs/>
          <w:color w:val="000000"/>
        </w:rPr>
        <w:tab/>
      </w:r>
    </w:p>
    <w:p w14:paraId="57059880">
      <w:pPr>
        <w:widowControl w:val="0"/>
        <w:tabs>
          <w:tab w:val="right" w:pos="9070"/>
        </w:tabs>
        <w:spacing w:line="500" w:lineRule="exact"/>
        <w:rPr>
          <w:rFonts w:hint="eastAsia" w:ascii="仿宋" w:hAnsi="仿宋" w:eastAsia="仿宋" w:cs="仿宋"/>
          <w:bCs/>
          <w:color w:val="000000"/>
        </w:rPr>
      </w:pPr>
      <w:r>
        <w:rPr>
          <w:rFonts w:hint="eastAsia" w:ascii="仿宋" w:hAnsi="仿宋" w:eastAsia="仿宋" w:cs="仿宋"/>
          <w:bCs/>
          <w:color w:val="000000"/>
        </w:rPr>
        <w:tab/>
      </w:r>
    </w:p>
    <w:p w14:paraId="04849FF1">
      <w:pPr>
        <w:pStyle w:val="48"/>
        <w:widowControl w:val="0"/>
        <w:spacing w:line="500" w:lineRule="exact"/>
        <w:ind w:firstLine="646" w:firstLineChars="200"/>
        <w:rPr>
          <w:rFonts w:cs="Times New Roman"/>
          <w:color w:val="000000"/>
        </w:rPr>
      </w:pPr>
      <w:r>
        <w:rPr>
          <w:rFonts w:hint="eastAsia" w:ascii="仿宋" w:hAnsi="仿宋" w:eastAsia="仿宋" w:cs="仿宋"/>
          <w:color w:val="000000"/>
        </w:rPr>
        <w:br w:type="page"/>
      </w:r>
      <w:bookmarkStart w:id="603" w:name="_Toc21964"/>
      <w:bookmarkStart w:id="604" w:name="_Toc17141"/>
      <w:bookmarkStart w:id="605" w:name="_Toc23754"/>
      <w:bookmarkStart w:id="606" w:name="_Toc24934"/>
      <w:bookmarkStart w:id="607" w:name="_Toc6427"/>
      <w:bookmarkStart w:id="608" w:name="_Toc29668"/>
      <w:bookmarkStart w:id="609" w:name="_Toc6900"/>
      <w:bookmarkStart w:id="610" w:name="_Toc17830"/>
      <w:bookmarkStart w:id="611" w:name="_Toc4405"/>
      <w:bookmarkStart w:id="612" w:name="_Toc22384"/>
      <w:bookmarkStart w:id="613" w:name="_Toc28669"/>
      <w:r>
        <w:rPr>
          <w:rFonts w:hint="eastAsia" w:cs="华文仿宋"/>
          <w:color w:val="000000"/>
          <w:sz w:val="30"/>
          <w:szCs w:val="30"/>
        </w:rPr>
        <w:t>八、法定代表人授权委托书</w:t>
      </w:r>
      <w:bookmarkEnd w:id="603"/>
      <w:bookmarkEnd w:id="604"/>
      <w:bookmarkEnd w:id="605"/>
      <w:bookmarkEnd w:id="606"/>
      <w:bookmarkEnd w:id="607"/>
      <w:bookmarkEnd w:id="608"/>
      <w:bookmarkEnd w:id="609"/>
      <w:bookmarkEnd w:id="610"/>
      <w:bookmarkEnd w:id="611"/>
      <w:bookmarkEnd w:id="612"/>
      <w:bookmarkEnd w:id="613"/>
    </w:p>
    <w:p w14:paraId="61DAA0B0">
      <w:pPr>
        <w:pStyle w:val="48"/>
        <w:widowControl w:val="0"/>
        <w:jc w:val="center"/>
        <w:rPr>
          <w:rFonts w:hint="eastAsia" w:ascii="仿宋" w:hAnsi="仿宋" w:eastAsia="仿宋" w:cs="仿宋"/>
          <w:color w:val="000000"/>
          <w:sz w:val="30"/>
          <w:szCs w:val="30"/>
        </w:rPr>
      </w:pPr>
      <w:bookmarkStart w:id="614" w:name="_Toc17482"/>
      <w:bookmarkStart w:id="615" w:name="_Toc13312"/>
      <w:bookmarkStart w:id="616" w:name="_Toc12408"/>
      <w:bookmarkStart w:id="617" w:name="_Toc27641"/>
      <w:bookmarkStart w:id="618" w:name="_Toc14158"/>
      <w:bookmarkStart w:id="619" w:name="_Toc30877"/>
      <w:bookmarkStart w:id="620" w:name="_Toc12801"/>
      <w:bookmarkStart w:id="621" w:name="_Toc1535"/>
      <w:bookmarkStart w:id="622" w:name="_Toc16636"/>
      <w:bookmarkStart w:id="623" w:name="_Toc25764"/>
      <w:bookmarkStart w:id="624" w:name="_Toc7695"/>
      <w:r>
        <w:rPr>
          <w:rFonts w:hint="eastAsia" w:ascii="仿宋" w:hAnsi="仿宋" w:eastAsia="仿宋" w:cs="仿宋"/>
          <w:color w:val="000000"/>
          <w:sz w:val="30"/>
          <w:szCs w:val="30"/>
        </w:rPr>
        <w:t>法定代表人授权委托书</w:t>
      </w:r>
      <w:bookmarkEnd w:id="614"/>
      <w:bookmarkEnd w:id="615"/>
      <w:bookmarkEnd w:id="616"/>
      <w:r>
        <w:rPr>
          <w:rFonts w:hint="eastAsia" w:ascii="仿宋" w:hAnsi="仿宋" w:eastAsia="仿宋" w:cs="仿宋"/>
          <w:color w:val="000000"/>
          <w:sz w:val="30"/>
          <w:szCs w:val="30"/>
        </w:rPr>
        <w:t>（格式）</w:t>
      </w:r>
      <w:bookmarkEnd w:id="617"/>
      <w:bookmarkEnd w:id="618"/>
      <w:bookmarkEnd w:id="619"/>
      <w:bookmarkEnd w:id="620"/>
      <w:bookmarkEnd w:id="621"/>
      <w:bookmarkEnd w:id="622"/>
      <w:bookmarkEnd w:id="623"/>
      <w:bookmarkEnd w:id="624"/>
    </w:p>
    <w:p w14:paraId="78BA562F">
      <w:pPr>
        <w:widowControl w:val="0"/>
        <w:snapToGrid w:val="0"/>
        <w:spacing w:after="190" w:afterLines="50" w:line="500" w:lineRule="exact"/>
        <w:rPr>
          <w:rFonts w:hint="eastAsia" w:ascii="仿宋" w:hAnsi="仿宋" w:eastAsia="仿宋" w:cs="仿宋"/>
          <w:color w:val="000000"/>
        </w:rPr>
      </w:pPr>
      <w:r>
        <w:rPr>
          <w:rFonts w:hint="eastAsia" w:ascii="仿宋" w:hAnsi="仿宋" w:eastAsia="仿宋" w:cs="仿宋"/>
          <w:color w:val="000000"/>
        </w:rPr>
        <w:t>陕西省省级单位政府采购中心：</w:t>
      </w:r>
    </w:p>
    <w:p w14:paraId="13F9F228">
      <w:pPr>
        <w:widowControl w:val="0"/>
        <w:spacing w:line="460" w:lineRule="exact"/>
        <w:ind w:right="11" w:firstLine="566" w:firstLineChars="200"/>
        <w:rPr>
          <w:rFonts w:hint="eastAsia" w:ascii="仿宋" w:hAnsi="仿宋" w:eastAsia="仿宋" w:cs="仿宋"/>
          <w:color w:val="000000"/>
        </w:rPr>
      </w:pPr>
      <w:r>
        <w:rPr>
          <w:rFonts w:hint="eastAsia" w:ascii="仿宋" w:hAnsi="仿宋" w:eastAsia="仿宋" w:cs="仿宋"/>
          <w:color w:val="000000"/>
        </w:rPr>
        <w:t>现委派（</w:t>
      </w:r>
      <w:r>
        <w:rPr>
          <w:rFonts w:hint="eastAsia" w:ascii="仿宋" w:hAnsi="仿宋" w:eastAsia="仿宋" w:cs="仿宋"/>
          <w:color w:val="000000"/>
          <w:u w:val="single"/>
        </w:rPr>
        <w:t>被授权代表姓名</w:t>
      </w:r>
      <w:r>
        <w:rPr>
          <w:rFonts w:hint="eastAsia" w:ascii="仿宋" w:hAnsi="仿宋" w:eastAsia="仿宋" w:cs="仿宋"/>
          <w:color w:val="000000"/>
        </w:rPr>
        <w:t>）（身份证号</w:t>
      </w:r>
      <w:r>
        <w:rPr>
          <w:rFonts w:hint="eastAsia" w:ascii="仿宋" w:hAnsi="仿宋" w:eastAsia="仿宋" w:cs="仿宋"/>
          <w:color w:val="000000"/>
          <w:u w:val="single"/>
        </w:rPr>
        <w:t xml:space="preserve">：          </w:t>
      </w:r>
      <w:r>
        <w:rPr>
          <w:rFonts w:hint="eastAsia" w:ascii="仿宋" w:hAnsi="仿宋" w:eastAsia="仿宋" w:cs="仿宋"/>
          <w:color w:val="000000"/>
        </w:rPr>
        <w:t>）为本公司的被授权代表，参加贵中心组织的</w:t>
      </w:r>
      <w:r>
        <w:rPr>
          <w:rFonts w:hint="eastAsia" w:ascii="仿宋" w:hAnsi="仿宋" w:eastAsia="仿宋" w:cs="仿宋"/>
          <w:color w:val="000000"/>
          <w:u w:val="single"/>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54000"/>
                <wp:effectExtent l="0" t="0" r="635" b="0"/>
                <wp:wrapNone/>
                <wp:docPr id="1026" name="文本框 3"/>
                <wp:cNvGraphicFramePr/>
                <a:graphic xmlns:a="http://schemas.openxmlformats.org/drawingml/2006/main">
                  <a:graphicData uri="http://schemas.microsoft.com/office/word/2010/wordprocessingShape">
                    <wps:wsp>
                      <wps:cNvSpPr/>
                      <wps:spPr>
                        <a:xfrm>
                          <a:off x="0" y="0"/>
                          <a:ext cx="114934" cy="254000"/>
                        </a:xfrm>
                        <a:prstGeom prst="rect">
                          <a:avLst/>
                        </a:prstGeom>
                        <a:ln>
                          <a:noFill/>
                        </a:ln>
                      </wps:spPr>
                      <wps:txbx>
                        <w:txbxContent>
                          <w:p w14:paraId="68C011DB"/>
                        </w:txbxContent>
                      </wps:txbx>
                      <wps:bodyPr vert="horz" wrap="none" lIns="0" tIns="0" rIns="0" bIns="0" anchor="t" upright="1">
                        <a:spAutoFit/>
                      </wps:bodyPr>
                    </wps:wsp>
                  </a:graphicData>
                </a:graphic>
              </wp:anchor>
            </w:drawing>
          </mc:Choice>
          <mc:Fallback>
            <w:pict>
              <v:rect id="文本框 3" o:spid="_x0000_s1026" o:spt="1" style="position:absolute;left:0pt;margin-top:0pt;height:20pt;width:9.05pt;mso-position-horizontal:center;mso-position-horizontal-relative:margin;mso-wrap-style:none;z-index:251659264;mso-width-relative:page;mso-height-relative:page;" filled="f" stroked="f" coordsize="21600,21600" o:gfxdata="UEsDBAoAAAAAAIdO4kAAAAAAAAAAAAAAAAAEAAAAZHJzL1BLAwQUAAAACACHTuJAuTHRftEAAAAD&#10;AQAADwAAAGRycy9kb3ducmV2LnhtbE2PzWrDMBCE74W+g9hAb43kUIpxLecQCLSllzh9gI21/qHS&#10;ykhKnL59lV7ay8Iww8y39fbqrLhQiJNnDcVagSDuvJl40PB53D+WIGJCNmg9k4ZvirBt7u9qrIxf&#10;+ECXNg0il3CsUMOY0lxJGbuRHMa1n4mz1/vgMGUZBmkCLrncWblR6lk6nDgvjDjTbqTuqz07DfLY&#10;7peytUH5903/Yd9eDz15rR9WhXoBkeia/sJww8/o0GSmkz+zicJqyI+k33vzygLEScOTUiCbWv5n&#10;b34AUEsDBBQAAAAIAIdO4kCrzxmh1wEAAJwDAAAOAAAAZHJzL2Uyb0RvYy54bWytU82O0zAQviPx&#10;DpbvNEm3rKBqukKqFiEhWGnhAVzHaSz5TzNuk/IA8AacuHDnufocO3bSLloue+DijD32N9/3zWR1&#10;M1jDDgpQe1fzalZyppz0jXa7mn/9cvvqDWcYhWuE8U7V/KiQ36xfvlj1YanmvvOmUcAIxOGyDzXv&#10;YgzLokDZKStw5oNylGw9WBFpC7uiAdETujXFvCyvi95DE8BLhUinmzHJJ0R4DqBvWy3Vxsu9VS6O&#10;qKCMiCQJOx2QrzPbtlUyfm5bVJGZmpPSmFcqQvE2rcV6JZY7EKHTcqIgnkPhiSYrtKOiF6iNiILt&#10;Qf8DZbUEj76NM+ltMQrJjpCKqnzizX0ngspayGoMF9Px/8HKT4c7YLqhSSjn15w5Yannp58/Tr/+&#10;nH5/Z1fJoT7gki7ehzuYdkhhkju0YNOXhLAhu3q8uKqGyCQdVtXi7dWCM0mp+etFWWbXi8fHATC+&#10;V96yFNQcqGnZS3H4iJEK0tXzlVTLuLQ6f6uNGbPppEgkR1opisN2mLhufXMkjTTyBN55+MZZTw2v&#10;uaP55sx8cORnmo1zAOdgew6Ek/Sw5pGzfQC96wipyhwxvNtHopJ5psJjtYkPNS3TnwYsTcXf+3zr&#10;8ada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MdF+0QAAAAMBAAAPAAAAAAAAAAEAIAAAACIA&#10;AABkcnMvZG93bnJldi54bWxQSwECFAAUAAAACACHTuJAq88ZodcBAACcAwAADgAAAAAAAAABACAA&#10;AAAgAQAAZHJzL2Uyb0RvYy54bWxQSwUGAAAAAAYABgBZAQAAaQUAAAAA&#10;">
                <v:fill on="f" focussize="0,0"/>
                <v:stroke on="f"/>
                <v:imagedata o:title=""/>
                <o:lock v:ext="edit" aspectratio="f"/>
                <v:textbox inset="0mm,0mm,0mm,0mm" style="mso-fit-shape-to-text:t;">
                  <w:txbxContent>
                    <w:p w14:paraId="68C011DB"/>
                  </w:txbxContent>
                </v:textbox>
              </v:rect>
            </w:pict>
          </mc:Fallback>
        </mc:AlternateContent>
      </w:r>
      <w:r>
        <w:rPr>
          <w:rFonts w:hint="eastAsia" w:ascii="仿宋" w:hAnsi="仿宋" w:eastAsia="仿宋" w:cs="仿宋"/>
          <w:color w:val="000000"/>
          <w:u w:val="single"/>
        </w:rPr>
        <w:t>《项目名称》</w:t>
      </w:r>
      <w:r>
        <w:rPr>
          <w:rFonts w:hint="eastAsia" w:ascii="仿宋" w:hAnsi="仿宋" w:eastAsia="仿宋" w:cs="仿宋"/>
          <w:color w:val="000000"/>
        </w:rPr>
        <w:t>（项目编号：</w:t>
      </w:r>
      <w:r>
        <w:rPr>
          <w:rFonts w:hint="eastAsia" w:ascii="仿宋" w:hAnsi="仿宋" w:eastAsia="仿宋" w:cs="仿宋"/>
          <w:color w:val="000000"/>
          <w:u w:val="single"/>
        </w:rPr>
        <w:t xml:space="preserve">           </w:t>
      </w:r>
      <w:r>
        <w:rPr>
          <w:rFonts w:hint="eastAsia" w:ascii="仿宋" w:hAnsi="仿宋" w:eastAsia="仿宋" w:cs="仿宋"/>
          <w:color w:val="000000"/>
        </w:rPr>
        <w:t>）第</w:t>
      </w:r>
      <w:r>
        <w:rPr>
          <w:rFonts w:hint="eastAsia" w:ascii="仿宋" w:hAnsi="仿宋" w:eastAsia="仿宋" w:cs="仿宋"/>
          <w:color w:val="000000"/>
          <w:u w:val="single"/>
        </w:rPr>
        <w:t xml:space="preserve">  </w:t>
      </w:r>
      <w:r>
        <w:rPr>
          <w:rFonts w:hint="eastAsia" w:ascii="仿宋" w:hAnsi="仿宋" w:eastAsia="仿宋" w:cs="仿宋"/>
          <w:color w:val="000000"/>
        </w:rPr>
        <w:t>标段政府采购活动，就该项目的投标及合同的执行和完成，以本公司的名义处理一切与之有关的事宜。本授权自开标之日起生效，有效期与响应文件有效期一致。</w:t>
      </w:r>
    </w:p>
    <w:p w14:paraId="1BAA8FA8">
      <w:pPr>
        <w:widowControl w:val="0"/>
        <w:tabs>
          <w:tab w:val="left" w:pos="5245"/>
        </w:tabs>
        <w:snapToGrid w:val="0"/>
        <w:ind w:firstLine="566" w:firstLineChars="200"/>
        <w:rPr>
          <w:rFonts w:hint="eastAsia" w:ascii="仿宋" w:hAnsi="仿宋" w:eastAsia="仿宋" w:cs="仿宋"/>
          <w:color w:val="000000"/>
        </w:rPr>
      </w:pPr>
      <w:r>
        <w:rPr>
          <w:rFonts w:hint="eastAsia" w:ascii="仿宋" w:hAnsi="仿宋" w:eastAsia="仿宋" w:cs="仿宋"/>
          <w:color w:val="000000"/>
        </w:rPr>
        <w:t>被授权代表姓名：______       性别：________________</w:t>
      </w:r>
    </w:p>
    <w:p w14:paraId="1D245C9C">
      <w:pPr>
        <w:widowControl w:val="0"/>
        <w:tabs>
          <w:tab w:val="left" w:pos="5245"/>
        </w:tabs>
        <w:snapToGrid w:val="0"/>
        <w:ind w:firstLine="566" w:firstLineChars="200"/>
        <w:rPr>
          <w:rFonts w:hint="eastAsia" w:ascii="仿宋" w:hAnsi="仿宋" w:eastAsia="仿宋" w:cs="仿宋"/>
          <w:color w:val="000000"/>
        </w:rPr>
      </w:pPr>
      <w:r>
        <w:rPr>
          <w:rFonts w:hint="eastAsia" w:ascii="仿宋" w:hAnsi="仿宋" w:eastAsia="仿宋" w:cs="仿宋"/>
          <w:color w:val="000000"/>
        </w:rPr>
        <w:t>电话：__________通讯地址：______________</w:t>
      </w:r>
    </w:p>
    <w:tbl>
      <w:tblPr>
        <w:tblStyle w:val="26"/>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04D3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7379D2F6">
            <w:pPr>
              <w:widowControl w:val="0"/>
              <w:snapToGrid w:val="0"/>
              <w:jc w:val="center"/>
              <w:rPr>
                <w:rFonts w:hint="eastAsia" w:ascii="仿宋" w:hAnsi="仿宋" w:eastAsia="仿宋" w:cs="仿宋"/>
                <w:color w:val="000000"/>
              </w:rPr>
            </w:pPr>
            <w:r>
              <w:rPr>
                <w:rFonts w:hint="eastAsia" w:ascii="仿宋" w:hAnsi="仿宋" w:eastAsia="仿宋" w:cs="仿宋"/>
                <w:color w:val="000000"/>
              </w:rPr>
              <w:t>法定代表人身份证复印件</w:t>
            </w:r>
          </w:p>
          <w:p w14:paraId="53EF765F">
            <w:pPr>
              <w:widowControl w:val="0"/>
              <w:snapToGrid w:val="0"/>
              <w:jc w:val="center"/>
              <w:rPr>
                <w:rFonts w:hint="eastAsia" w:ascii="仿宋" w:hAnsi="仿宋" w:eastAsia="仿宋" w:cs="仿宋"/>
                <w:color w:val="000000"/>
              </w:rPr>
            </w:pPr>
            <w:r>
              <w:rPr>
                <w:rFonts w:hint="eastAsia" w:ascii="仿宋" w:hAnsi="仿宋" w:eastAsia="仿宋" w:cs="仿宋"/>
                <w:color w:val="000000"/>
              </w:rPr>
              <w:t>（有人像面）</w:t>
            </w:r>
          </w:p>
        </w:tc>
        <w:tc>
          <w:tcPr>
            <w:tcW w:w="4098" w:type="dxa"/>
            <w:vAlign w:val="center"/>
          </w:tcPr>
          <w:p w14:paraId="26DFA2F5">
            <w:pPr>
              <w:widowControl w:val="0"/>
              <w:snapToGrid w:val="0"/>
              <w:jc w:val="center"/>
              <w:rPr>
                <w:rFonts w:hint="eastAsia" w:ascii="仿宋" w:hAnsi="仿宋" w:eastAsia="仿宋" w:cs="仿宋"/>
                <w:color w:val="000000"/>
              </w:rPr>
            </w:pPr>
            <w:r>
              <w:rPr>
                <w:rFonts w:hint="eastAsia" w:ascii="仿宋" w:hAnsi="仿宋" w:eastAsia="仿宋" w:cs="仿宋"/>
                <w:color w:val="000000"/>
              </w:rPr>
              <w:t>被授权代表身份证复印件</w:t>
            </w:r>
          </w:p>
          <w:p w14:paraId="7089D0F4">
            <w:pPr>
              <w:widowControl w:val="0"/>
              <w:snapToGrid w:val="0"/>
              <w:jc w:val="center"/>
              <w:rPr>
                <w:rFonts w:hint="eastAsia" w:ascii="仿宋" w:hAnsi="仿宋" w:eastAsia="仿宋" w:cs="仿宋"/>
                <w:color w:val="000000"/>
              </w:rPr>
            </w:pPr>
            <w:r>
              <w:rPr>
                <w:rFonts w:hint="eastAsia" w:ascii="仿宋" w:hAnsi="仿宋" w:eastAsia="仿宋" w:cs="仿宋"/>
                <w:color w:val="000000"/>
              </w:rPr>
              <w:t>（有人像面）</w:t>
            </w:r>
          </w:p>
        </w:tc>
      </w:tr>
      <w:tr w14:paraId="3872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7DC6E35E">
            <w:pPr>
              <w:widowControl w:val="0"/>
              <w:jc w:val="center"/>
              <w:rPr>
                <w:rFonts w:hint="eastAsia" w:ascii="仿宋" w:hAnsi="仿宋" w:eastAsia="仿宋" w:cs="仿宋"/>
                <w:color w:val="000000"/>
              </w:rPr>
            </w:pPr>
            <w:r>
              <w:rPr>
                <w:rFonts w:hint="eastAsia" w:ascii="仿宋" w:hAnsi="仿宋" w:eastAsia="仿宋" w:cs="仿宋"/>
                <w:color w:val="000000"/>
              </w:rPr>
              <w:t>法定代表人身份证复印件</w:t>
            </w:r>
          </w:p>
          <w:p w14:paraId="56E27E73">
            <w:pPr>
              <w:widowControl w:val="0"/>
              <w:jc w:val="center"/>
              <w:rPr>
                <w:rFonts w:hint="eastAsia" w:ascii="仿宋" w:hAnsi="仿宋" w:eastAsia="仿宋" w:cs="仿宋"/>
                <w:color w:val="000000"/>
              </w:rPr>
            </w:pPr>
            <w:r>
              <w:rPr>
                <w:rFonts w:hint="eastAsia" w:ascii="仿宋" w:hAnsi="仿宋" w:eastAsia="仿宋" w:cs="仿宋"/>
                <w:color w:val="000000"/>
              </w:rPr>
              <w:t>（有国徽面）</w:t>
            </w:r>
          </w:p>
        </w:tc>
        <w:tc>
          <w:tcPr>
            <w:tcW w:w="4098" w:type="dxa"/>
            <w:vAlign w:val="center"/>
          </w:tcPr>
          <w:p w14:paraId="5E0D3608">
            <w:pPr>
              <w:widowControl w:val="0"/>
              <w:jc w:val="center"/>
              <w:rPr>
                <w:rFonts w:hint="eastAsia" w:ascii="仿宋" w:hAnsi="仿宋" w:eastAsia="仿宋" w:cs="仿宋"/>
                <w:color w:val="000000"/>
              </w:rPr>
            </w:pPr>
            <w:r>
              <w:rPr>
                <w:rFonts w:hint="eastAsia" w:ascii="仿宋" w:hAnsi="仿宋" w:eastAsia="仿宋" w:cs="仿宋"/>
                <w:color w:val="000000"/>
              </w:rPr>
              <w:t>被授权代表身份证复印件</w:t>
            </w:r>
          </w:p>
          <w:p w14:paraId="2371B304">
            <w:pPr>
              <w:widowControl w:val="0"/>
              <w:jc w:val="center"/>
              <w:rPr>
                <w:rFonts w:hint="eastAsia" w:ascii="仿宋" w:hAnsi="仿宋" w:eastAsia="仿宋" w:cs="仿宋"/>
                <w:color w:val="000000"/>
              </w:rPr>
            </w:pPr>
            <w:r>
              <w:rPr>
                <w:rFonts w:hint="eastAsia" w:ascii="仿宋" w:hAnsi="仿宋" w:eastAsia="仿宋" w:cs="仿宋"/>
                <w:color w:val="000000"/>
              </w:rPr>
              <w:t>（有国徽面）</w:t>
            </w:r>
          </w:p>
        </w:tc>
      </w:tr>
    </w:tbl>
    <w:p w14:paraId="72F1E7F9">
      <w:pPr>
        <w:widowControl w:val="0"/>
        <w:tabs>
          <w:tab w:val="right" w:pos="8931"/>
        </w:tabs>
        <w:ind w:firstLine="566" w:firstLineChars="2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       法定代表人：（签字或盖章）</w:t>
      </w:r>
    </w:p>
    <w:p w14:paraId="06F00B9B">
      <w:pPr>
        <w:widowControl w:val="0"/>
        <w:spacing w:line="440" w:lineRule="exact"/>
        <w:ind w:firstLine="5789" w:firstLineChars="2046"/>
        <w:rPr>
          <w:rFonts w:hint="eastAsia" w:ascii="仿宋" w:hAnsi="仿宋" w:eastAsia="仿宋" w:cs="仿宋"/>
          <w:color w:val="000000"/>
        </w:rPr>
      </w:pPr>
      <w:r>
        <w:rPr>
          <w:rFonts w:hint="eastAsia" w:ascii="仿宋" w:hAnsi="仿宋" w:eastAsia="仿宋" w:cs="仿宋"/>
          <w:color w:val="000000"/>
        </w:rPr>
        <w:t>日期：　年　月　日</w:t>
      </w:r>
    </w:p>
    <w:p w14:paraId="5DE9F287">
      <w:pPr>
        <w:widowControl w:val="0"/>
        <w:spacing w:line="340" w:lineRule="exact"/>
        <w:rPr>
          <w:rFonts w:hint="eastAsia" w:ascii="宋体" w:hAnsi="宋体" w:eastAsia="宋体" w:cs="Times New Roman"/>
          <w:color w:val="000000"/>
          <w:sz w:val="21"/>
          <w:szCs w:val="21"/>
        </w:rPr>
      </w:pPr>
      <w:r>
        <w:rPr>
          <w:rFonts w:hint="eastAsia" w:ascii="宋体" w:hAnsi="宋体" w:eastAsia="宋体" w:cs="宋体"/>
          <w:color w:val="000000"/>
          <w:sz w:val="21"/>
          <w:szCs w:val="21"/>
        </w:rPr>
        <w:t>备注：</w:t>
      </w:r>
      <w:r>
        <w:rPr>
          <w:rFonts w:ascii="宋体" w:hAnsi="宋体" w:eastAsia="宋体" w:cs="宋体"/>
          <w:color w:val="000000"/>
          <w:sz w:val="21"/>
          <w:szCs w:val="21"/>
        </w:rPr>
        <w:t>1</w:t>
      </w:r>
      <w:r>
        <w:rPr>
          <w:rFonts w:hint="eastAsia" w:ascii="宋体" w:hAnsi="宋体" w:eastAsia="宋体" w:cs="宋体"/>
          <w:color w:val="000000"/>
          <w:sz w:val="21"/>
          <w:szCs w:val="21"/>
        </w:rPr>
        <w:t>、项目不分标段的，第</w:t>
      </w:r>
      <w:r>
        <w:rPr>
          <w:rFonts w:ascii="宋体" w:hAnsi="宋体" w:eastAsia="宋体" w:cs="宋体"/>
          <w:color w:val="000000"/>
          <w:sz w:val="21"/>
          <w:szCs w:val="21"/>
        </w:rPr>
        <w:t>___</w:t>
      </w:r>
      <w:r>
        <w:rPr>
          <w:rFonts w:hint="eastAsia" w:ascii="宋体" w:hAnsi="宋体" w:eastAsia="宋体" w:cs="宋体"/>
          <w:color w:val="000000"/>
          <w:sz w:val="21"/>
          <w:szCs w:val="21"/>
        </w:rPr>
        <w:t>标段空白处填写“</w:t>
      </w:r>
      <w:r>
        <w:rPr>
          <w:rFonts w:ascii="宋体" w:hAnsi="宋体" w:eastAsia="宋体" w:cs="宋体"/>
          <w:color w:val="000000"/>
          <w:sz w:val="21"/>
          <w:szCs w:val="21"/>
        </w:rPr>
        <w:t>/</w:t>
      </w:r>
      <w:r>
        <w:rPr>
          <w:rFonts w:hint="eastAsia" w:ascii="宋体" w:hAnsi="宋体" w:eastAsia="宋体" w:cs="宋体"/>
          <w:color w:val="000000"/>
          <w:sz w:val="21"/>
          <w:szCs w:val="21"/>
        </w:rPr>
        <w:t>”。</w:t>
      </w:r>
    </w:p>
    <w:p w14:paraId="751EC0C9">
      <w:pPr>
        <w:pStyle w:val="24"/>
        <w:widowControl w:val="0"/>
        <w:spacing w:afterLines="0" w:line="340" w:lineRule="exact"/>
        <w:ind w:firstLine="639" w:firstLineChars="300"/>
        <w:rPr>
          <w:rFonts w:hint="eastAsia" w:ascii="宋体" w:hAnsi="宋体" w:eastAsia="宋体"/>
          <w:color w:val="000000"/>
          <w:sz w:val="21"/>
          <w:szCs w:val="21"/>
        </w:rPr>
      </w:pPr>
      <w:r>
        <w:rPr>
          <w:rFonts w:ascii="宋体" w:hAnsi="宋体" w:eastAsia="宋体" w:cs="宋体"/>
          <w:b/>
          <w:bCs/>
          <w:color w:val="000000"/>
          <w:sz w:val="21"/>
          <w:szCs w:val="21"/>
        </w:rPr>
        <w:t>2</w:t>
      </w:r>
      <w:r>
        <w:rPr>
          <w:rFonts w:hint="eastAsia" w:ascii="宋体" w:hAnsi="宋体" w:eastAsia="宋体" w:cs="宋体"/>
          <w:b/>
          <w:bCs/>
          <w:color w:val="000000"/>
          <w:sz w:val="21"/>
          <w:szCs w:val="21"/>
        </w:rPr>
        <w:t>、法定代表人亲自参加磋商的，无需提供该委托授权书，但须提供法定代表人本人身份证（正反面）复印件，并在复印件中注明联系方式。</w:t>
      </w:r>
    </w:p>
    <w:p w14:paraId="2CC94A87">
      <w:pPr>
        <w:pStyle w:val="24"/>
        <w:widowControl w:val="0"/>
        <w:spacing w:afterLines="0" w:line="340" w:lineRule="exact"/>
        <w:ind w:firstLine="639" w:firstLineChars="300"/>
        <w:rPr>
          <w:rFonts w:hint="eastAsia"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、法定代表人签字或盖章可采用纸质签字或盖章后，上传至电子响应文件，也可使用法定代表人</w:t>
      </w:r>
      <w:r>
        <w:rPr>
          <w:rFonts w:ascii="宋体" w:hAnsi="宋体" w:eastAsia="宋体" w:cs="宋体"/>
          <w:color w:val="000000"/>
          <w:sz w:val="21"/>
          <w:szCs w:val="21"/>
        </w:rPr>
        <w:t>CA</w:t>
      </w:r>
      <w:r>
        <w:rPr>
          <w:rFonts w:hint="eastAsia" w:ascii="宋体" w:hAnsi="宋体" w:eastAsia="宋体" w:cs="宋体"/>
          <w:color w:val="000000"/>
          <w:sz w:val="21"/>
          <w:szCs w:val="21"/>
        </w:rPr>
        <w:t>锁在电子响应文件制作软件中签章。</w:t>
      </w:r>
    </w:p>
    <w:p w14:paraId="2DD1D0CA">
      <w:pPr>
        <w:pStyle w:val="24"/>
        <w:widowControl w:val="0"/>
        <w:spacing w:afterLines="0" w:line="340" w:lineRule="exact"/>
        <w:ind w:firstLine="639" w:firstLineChars="300"/>
        <w:rPr>
          <w:rFonts w:hint="eastAsia" w:ascii="宋体" w:hAnsi="宋体" w:eastAsia="宋体"/>
          <w:color w:val="000000"/>
          <w:sz w:val="21"/>
          <w:szCs w:val="21"/>
        </w:rPr>
      </w:pPr>
      <w:r>
        <w:rPr>
          <w:rFonts w:hint="eastAsia" w:ascii="宋体" w:hAnsi="宋体" w:eastAsia="宋体" w:cs="宋体"/>
          <w:color w:val="000000"/>
          <w:sz w:val="21"/>
          <w:szCs w:val="21"/>
        </w:rPr>
        <w:t>4、法人的分支机构参与磋商时，除提供《法定代表人授权委托书》外，还须同时提供法人给分支机构出具的授权书。授权书附此处。</w:t>
      </w:r>
    </w:p>
    <w:bookmarkEnd w:id="578"/>
    <w:bookmarkEnd w:id="579"/>
    <w:bookmarkEnd w:id="591"/>
    <w:bookmarkEnd w:id="592"/>
    <w:bookmarkEnd w:id="593"/>
    <w:p w14:paraId="03239684">
      <w:pPr>
        <w:widowControl w:val="0"/>
        <w:spacing w:line="340" w:lineRule="exact"/>
        <w:rPr>
          <w:rFonts w:cs="华文仿宋"/>
          <w:color w:val="000000"/>
        </w:rPr>
      </w:pPr>
      <w:bookmarkStart w:id="625" w:name="_Toc2556"/>
      <w:bookmarkStart w:id="626" w:name="_Toc7264"/>
      <w:bookmarkStart w:id="627" w:name="_Toc5624"/>
      <w:bookmarkStart w:id="628" w:name="_Toc14776"/>
      <w:r>
        <w:rPr>
          <w:rFonts w:hint="eastAsia" w:cs="华文仿宋"/>
          <w:color w:val="000000"/>
        </w:rPr>
        <w:br w:type="page"/>
      </w:r>
    </w:p>
    <w:p w14:paraId="27E8C83A">
      <w:pPr>
        <w:pStyle w:val="24"/>
        <w:widowControl w:val="0"/>
        <w:ind w:firstLine="606" w:firstLineChars="200"/>
        <w:rPr>
          <w:rFonts w:cs="华文仿宋"/>
          <w:b/>
          <w:bCs/>
          <w:color w:val="000000"/>
          <w:sz w:val="30"/>
          <w:szCs w:val="30"/>
        </w:rPr>
        <w:sectPr>
          <w:headerReference r:id="rId9" w:type="default"/>
          <w:footerReference r:id="rId10" w:type="default"/>
          <w:pgSz w:w="11906" w:h="16838"/>
          <w:pgMar w:top="1417" w:right="1417" w:bottom="1417" w:left="1417" w:header="850" w:footer="794" w:gutter="0"/>
          <w:pgNumType w:fmt="decimal" w:start="1"/>
          <w:cols w:space="720" w:num="1"/>
          <w:docGrid w:type="linesAndChars" w:linePitch="381" w:charSpace="704"/>
        </w:sectPr>
      </w:pPr>
      <w:bookmarkStart w:id="629" w:name="_Toc1763"/>
      <w:bookmarkStart w:id="630" w:name="_Toc9402"/>
      <w:bookmarkStart w:id="631" w:name="_Toc3866"/>
    </w:p>
    <w:p w14:paraId="74A01317">
      <w:pPr>
        <w:spacing w:line="500" w:lineRule="exact"/>
        <w:ind w:firstLine="606"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九、落实政府采购政策须满足的资格要求</w:t>
      </w:r>
    </w:p>
    <w:p w14:paraId="76334250">
      <w:pPr>
        <w:pStyle w:val="48"/>
        <w:widowControl w:val="0"/>
        <w:spacing w:line="500" w:lineRule="exact"/>
        <w:ind w:firstLine="566" w:firstLineChars="200"/>
        <w:jc w:val="both"/>
        <w:outlineLvl w:val="9"/>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本项目为专门面向中小企业项目，供应商应为</w:t>
      </w:r>
      <w:r>
        <w:rPr>
          <w:rFonts w:hint="eastAsia" w:ascii="仿宋" w:hAnsi="仿宋" w:eastAsia="仿宋" w:cs="仿宋"/>
          <w:b w:val="0"/>
          <w:bCs w:val="0"/>
          <w:color w:val="000000"/>
          <w:sz w:val="28"/>
          <w:szCs w:val="28"/>
          <w:highlight w:val="none"/>
        </w:rPr>
        <w:t>中</w:t>
      </w:r>
      <w:r>
        <w:rPr>
          <w:rFonts w:hint="eastAsia" w:ascii="仿宋" w:hAnsi="仿宋" w:eastAsia="仿宋" w:cs="仿宋"/>
          <w:b w:val="0"/>
          <w:bCs w:val="0"/>
          <w:color w:val="000000"/>
          <w:sz w:val="28"/>
          <w:szCs w:val="28"/>
          <w:highlight w:val="none"/>
          <w:lang w:val="en-US" w:eastAsia="zh-CN"/>
        </w:rPr>
        <w:t>型企业、</w:t>
      </w:r>
      <w:r>
        <w:rPr>
          <w:rFonts w:hint="eastAsia" w:ascii="仿宋" w:hAnsi="仿宋" w:eastAsia="仿宋" w:cs="仿宋"/>
          <w:b w:val="0"/>
          <w:bCs w:val="0"/>
          <w:color w:val="000000"/>
          <w:sz w:val="28"/>
          <w:szCs w:val="28"/>
          <w:highlight w:val="none"/>
        </w:rPr>
        <w:t>小</w:t>
      </w:r>
      <w:r>
        <w:rPr>
          <w:rFonts w:hint="eastAsia" w:ascii="仿宋" w:hAnsi="仿宋" w:eastAsia="仿宋" w:cs="仿宋"/>
          <w:b w:val="0"/>
          <w:bCs w:val="0"/>
          <w:color w:val="000000"/>
          <w:sz w:val="28"/>
          <w:szCs w:val="28"/>
          <w:highlight w:val="none"/>
          <w:lang w:val="en-US" w:eastAsia="zh-CN"/>
        </w:rPr>
        <w:t>型</w:t>
      </w:r>
      <w:r>
        <w:rPr>
          <w:rFonts w:hint="eastAsia" w:ascii="仿宋" w:hAnsi="仿宋" w:eastAsia="仿宋" w:cs="仿宋"/>
          <w:b w:val="0"/>
          <w:bCs w:val="0"/>
          <w:color w:val="000000"/>
          <w:sz w:val="28"/>
          <w:szCs w:val="28"/>
          <w:highlight w:val="none"/>
        </w:rPr>
        <w:t>企业</w:t>
      </w:r>
      <w:r>
        <w:rPr>
          <w:rFonts w:hint="eastAsia" w:ascii="仿宋" w:hAnsi="仿宋" w:eastAsia="仿宋" w:cs="仿宋"/>
          <w:b w:val="0"/>
          <w:bCs w:val="0"/>
          <w:color w:val="000000"/>
          <w:sz w:val="28"/>
          <w:szCs w:val="28"/>
          <w:lang w:val="en-US" w:eastAsia="zh-CN"/>
        </w:rPr>
        <w:t>和微型企业</w:t>
      </w:r>
      <w:r>
        <w:rPr>
          <w:rFonts w:hint="eastAsia" w:ascii="仿宋" w:hAnsi="仿宋" w:eastAsia="仿宋" w:cs="仿宋"/>
          <w:b w:val="0"/>
          <w:bCs w:val="0"/>
          <w:color w:val="000000"/>
          <w:sz w:val="28"/>
          <w:szCs w:val="28"/>
        </w:rPr>
        <w:t>或监狱企业或残疾人福利性单位。供应商为</w:t>
      </w:r>
      <w:r>
        <w:rPr>
          <w:rFonts w:hint="eastAsia" w:ascii="仿宋" w:hAnsi="仿宋" w:eastAsia="仿宋" w:cs="仿宋"/>
          <w:b w:val="0"/>
          <w:bCs w:val="0"/>
          <w:color w:val="000000"/>
          <w:sz w:val="28"/>
          <w:szCs w:val="28"/>
          <w:highlight w:val="none"/>
        </w:rPr>
        <w:t>中小</w:t>
      </w:r>
      <w:r>
        <w:rPr>
          <w:rFonts w:hint="eastAsia" w:ascii="仿宋" w:hAnsi="仿宋" w:eastAsia="仿宋" w:cs="仿宋"/>
          <w:b w:val="0"/>
          <w:bCs w:val="0"/>
          <w:color w:val="000000"/>
          <w:sz w:val="28"/>
          <w:szCs w:val="28"/>
        </w:rPr>
        <w:t>企业的，提供《中小企业声明函》，且</w:t>
      </w:r>
      <w:r>
        <w:rPr>
          <w:rFonts w:hint="eastAsia" w:ascii="仿宋" w:hAnsi="仿宋" w:eastAsia="仿宋" w:cs="仿宋"/>
          <w:b w:val="0"/>
          <w:bCs w:val="0"/>
          <w:color w:val="000000"/>
          <w:sz w:val="28"/>
          <w:szCs w:val="28"/>
          <w:highlight w:val="none"/>
        </w:rPr>
        <w:t>中小企业</w:t>
      </w:r>
      <w:r>
        <w:rPr>
          <w:rFonts w:hint="eastAsia" w:ascii="仿宋" w:hAnsi="仿宋" w:eastAsia="仿宋" w:cs="仿宋"/>
          <w:b w:val="0"/>
          <w:bCs w:val="0"/>
          <w:color w:val="000000"/>
          <w:sz w:val="28"/>
          <w:szCs w:val="28"/>
        </w:rPr>
        <w:t>的划分标准所属行业为</w:t>
      </w:r>
      <w:r>
        <w:rPr>
          <w:rFonts w:hint="eastAsia" w:ascii="仿宋" w:hAnsi="仿宋" w:eastAsia="仿宋" w:cs="仿宋"/>
          <w:b/>
          <w:bCs/>
          <w:color w:val="000000"/>
          <w:sz w:val="28"/>
          <w:szCs w:val="28"/>
          <w:u w:val="none"/>
        </w:rPr>
        <w:t>物业管理</w:t>
      </w:r>
      <w:r>
        <w:rPr>
          <w:rFonts w:hint="eastAsia" w:ascii="仿宋" w:hAnsi="仿宋" w:eastAsia="仿宋" w:cs="仿宋"/>
          <w:b w:val="0"/>
          <w:bCs w:val="0"/>
          <w:color w:val="000000"/>
          <w:sz w:val="28"/>
          <w:szCs w:val="28"/>
        </w:rPr>
        <w:t>；供应商为监狱企业的，应提供监狱企业的证明文件；供应商为残疾人福利性单位的，应提供《残疾人福利性单位声明函》（监狱企业或残疾人福利性单位视同小型、微型企业）。</w:t>
      </w:r>
    </w:p>
    <w:p w14:paraId="397408B8">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特别提醒：成交供应商的《中小企业声明函》或《残疾人福利性单位声明函》或监狱企业证明文件将随成交结果公告一同公布，接受社会监督。</w:t>
      </w:r>
    </w:p>
    <w:p w14:paraId="73719B80">
      <w:pPr>
        <w:widowControl w:val="0"/>
        <w:spacing w:line="400" w:lineRule="exact"/>
        <w:ind w:firstLine="446" w:firstLineChars="200"/>
        <w:rPr>
          <w:rFonts w:hint="eastAsia" w:asciiTheme="majorEastAsia" w:hAnsiTheme="majorEastAsia" w:eastAsiaTheme="majorEastAsia" w:cstheme="majorEastAsia"/>
          <w:color w:val="000000"/>
          <w:sz w:val="22"/>
          <w:szCs w:val="22"/>
          <w:u w:val="none"/>
        </w:rPr>
      </w:pPr>
      <w:r>
        <w:rPr>
          <w:rFonts w:hint="eastAsia" w:asciiTheme="majorEastAsia" w:hAnsiTheme="majorEastAsia" w:eastAsiaTheme="majorEastAsia" w:cstheme="majorEastAsia"/>
          <w:color w:val="000000"/>
          <w:sz w:val="22"/>
          <w:szCs w:val="22"/>
          <w:u w:val="none"/>
        </w:rPr>
        <w:t>备注：各供应商可根据企业从业人员、营业收入、资产总额等指标，按照磋商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14:paraId="695D1100">
      <w:pPr>
        <w:pStyle w:val="7"/>
        <w:widowControl w:val="0"/>
        <w:spacing w:line="500" w:lineRule="exact"/>
        <w:ind w:firstLine="566" w:firstLineChars="200"/>
        <w:rPr>
          <w:rFonts w:hint="eastAsia" w:ascii="华文仿宋" w:hAnsi="华文仿宋" w:cs="华文仿宋"/>
          <w:color w:val="000000"/>
        </w:rPr>
      </w:pPr>
    </w:p>
    <w:p w14:paraId="76588525">
      <w:pPr>
        <w:rPr>
          <w:rFonts w:cs="华文仿宋"/>
          <w:b/>
          <w:bCs/>
          <w:color w:val="000000"/>
          <w:kern w:val="0"/>
          <w:sz w:val="30"/>
          <w:szCs w:val="30"/>
        </w:rPr>
      </w:pPr>
      <w:r>
        <w:rPr>
          <w:rFonts w:hint="eastAsia" w:cs="华文仿宋"/>
          <w:b/>
          <w:bCs/>
          <w:color w:val="000000"/>
          <w:kern w:val="0"/>
          <w:sz w:val="30"/>
          <w:szCs w:val="30"/>
        </w:rPr>
        <w:br w:type="page"/>
      </w:r>
    </w:p>
    <w:p w14:paraId="25B7BA5F">
      <w:pPr>
        <w:widowControl w:val="0"/>
        <w:jc w:val="center"/>
        <w:rPr>
          <w:rFonts w:hint="eastAsia" w:ascii="仿宋" w:hAnsi="仿宋" w:eastAsia="仿宋" w:cs="仿宋"/>
          <w:color w:val="000000"/>
        </w:rPr>
      </w:pPr>
      <w:r>
        <w:rPr>
          <w:rFonts w:hint="eastAsia" w:ascii="仿宋" w:hAnsi="仿宋" w:eastAsia="仿宋" w:cs="仿宋"/>
          <w:b/>
          <w:color w:val="000000"/>
          <w:kern w:val="0"/>
        </w:rPr>
        <w:t>中小企业声明函</w:t>
      </w:r>
    </w:p>
    <w:p w14:paraId="0118D82B">
      <w:pPr>
        <w:widowControl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color w:val="000000"/>
          <w:kern w:val="0"/>
        </w:rPr>
        <w:t>本公司郑重声明，根据《政府采购促进中小企业发展管理办法》（财库﹝2020﹞46号）的规定，本公司参加陕西省省级单位政府采购中心组织的</w:t>
      </w:r>
      <w:r>
        <w:rPr>
          <w:rFonts w:hint="eastAsia" w:ascii="仿宋" w:hAnsi="仿宋" w:eastAsia="仿宋" w:cs="仿宋"/>
          <w:iCs/>
          <w:color w:val="000000"/>
          <w:kern w:val="0"/>
          <w:u w:val="single"/>
        </w:rPr>
        <w:t>（项目名称）</w:t>
      </w:r>
      <w:r>
        <w:rPr>
          <w:rFonts w:hint="eastAsia" w:ascii="仿宋" w:hAnsi="仿宋" w:eastAsia="仿宋" w:cs="仿宋"/>
          <w:color w:val="000000"/>
          <w:kern w:val="0"/>
        </w:rPr>
        <w:t>采购活动，服务全部由符合政策要求的中小企业承接。相关企业的具体情况如下：</w:t>
      </w:r>
    </w:p>
    <w:p w14:paraId="26DF8A14">
      <w:pPr>
        <w:widowControl w:val="0"/>
        <w:spacing w:line="500" w:lineRule="exact"/>
        <w:ind w:firstLine="566" w:firstLineChars="200"/>
        <w:jc w:val="left"/>
        <w:rPr>
          <w:rFonts w:hint="eastAsia" w:ascii="仿宋" w:hAnsi="仿宋" w:eastAsia="仿宋" w:cs="仿宋"/>
          <w:color w:val="000000"/>
          <w:kern w:val="0"/>
        </w:rPr>
      </w:pPr>
      <w:r>
        <w:rPr>
          <w:rFonts w:hint="eastAsia" w:ascii="仿宋" w:hAnsi="仿宋" w:eastAsia="仿宋" w:cs="仿宋"/>
          <w:color w:val="000000"/>
          <w:kern w:val="0"/>
          <w:u w:val="single"/>
        </w:rPr>
        <w:t>（项目名称）</w:t>
      </w:r>
      <w:r>
        <w:rPr>
          <w:rFonts w:hint="eastAsia" w:ascii="仿宋" w:hAnsi="仿宋" w:eastAsia="仿宋" w:cs="仿宋"/>
          <w:color w:val="000000"/>
          <w:kern w:val="0"/>
        </w:rPr>
        <w:t>，属于</w:t>
      </w:r>
      <w:r>
        <w:rPr>
          <w:rFonts w:hint="eastAsia" w:ascii="仿宋" w:hAnsi="仿宋" w:eastAsia="仿宋" w:cs="仿宋"/>
          <w:color w:val="000000"/>
          <w:kern w:val="0"/>
          <w:u w:val="single"/>
        </w:rPr>
        <w:t xml:space="preserve">           </w:t>
      </w:r>
      <w:r>
        <w:rPr>
          <w:rFonts w:hint="eastAsia" w:ascii="仿宋" w:hAnsi="仿宋" w:eastAsia="仿宋" w:cs="仿宋"/>
          <w:color w:val="000000"/>
          <w:kern w:val="0"/>
        </w:rPr>
        <w:t>（磋商文件中明确的所属行业）；承接企业为</w:t>
      </w:r>
      <w:r>
        <w:rPr>
          <w:rFonts w:hint="eastAsia" w:ascii="仿宋" w:hAnsi="仿宋" w:eastAsia="仿宋" w:cs="仿宋"/>
          <w:color w:val="000000"/>
          <w:kern w:val="0"/>
          <w:u w:val="single"/>
        </w:rPr>
        <w:t>（企业名称）</w:t>
      </w:r>
      <w:r>
        <w:rPr>
          <w:rFonts w:hint="eastAsia" w:ascii="仿宋" w:hAnsi="仿宋" w:eastAsia="仿宋" w:cs="仿宋"/>
          <w:color w:val="000000"/>
          <w:kern w:val="0"/>
        </w:rPr>
        <w:t>，从业人员</w:t>
      </w:r>
      <w:r>
        <w:rPr>
          <w:rFonts w:hint="eastAsia" w:ascii="仿宋" w:hAnsi="仿宋" w:eastAsia="仿宋" w:cs="仿宋"/>
          <w:color w:val="000000"/>
          <w:kern w:val="0"/>
          <w:u w:val="single"/>
        </w:rPr>
        <w:t xml:space="preserve">     </w:t>
      </w:r>
      <w:r>
        <w:rPr>
          <w:rFonts w:hint="eastAsia" w:ascii="仿宋" w:hAnsi="仿宋" w:eastAsia="仿宋" w:cs="仿宋"/>
          <w:color w:val="000000"/>
          <w:kern w:val="0"/>
        </w:rPr>
        <w:t>人，营业收入为</w:t>
      </w:r>
      <w:r>
        <w:rPr>
          <w:rFonts w:hint="eastAsia" w:ascii="仿宋" w:hAnsi="仿宋" w:eastAsia="仿宋" w:cs="仿宋"/>
          <w:color w:val="000000"/>
          <w:kern w:val="0"/>
          <w:u w:val="single"/>
        </w:rPr>
        <w:t xml:space="preserve">     </w:t>
      </w:r>
      <w:r>
        <w:rPr>
          <w:rFonts w:hint="eastAsia" w:ascii="仿宋" w:hAnsi="仿宋" w:eastAsia="仿宋" w:cs="仿宋"/>
          <w:color w:val="000000"/>
          <w:kern w:val="0"/>
        </w:rPr>
        <w:t>万元，资产总额为</w:t>
      </w:r>
      <w:r>
        <w:rPr>
          <w:rFonts w:hint="eastAsia" w:ascii="仿宋" w:hAnsi="仿宋" w:eastAsia="仿宋" w:cs="仿宋"/>
          <w:color w:val="000000"/>
          <w:kern w:val="0"/>
          <w:u w:val="single"/>
        </w:rPr>
        <w:t xml:space="preserve">      </w:t>
      </w:r>
      <w:r>
        <w:rPr>
          <w:rFonts w:hint="eastAsia" w:ascii="仿宋" w:hAnsi="仿宋" w:eastAsia="仿宋" w:cs="仿宋"/>
          <w:color w:val="000000"/>
          <w:kern w:val="0"/>
        </w:rPr>
        <w:t>万元，属于</w:t>
      </w:r>
      <w:r>
        <w:rPr>
          <w:rFonts w:hint="eastAsia" w:ascii="仿宋" w:hAnsi="仿宋" w:eastAsia="仿宋" w:cs="仿宋"/>
          <w:color w:val="000000"/>
          <w:kern w:val="0"/>
          <w:u w:val="single"/>
        </w:rPr>
        <w:t xml:space="preserve">         </w:t>
      </w:r>
      <w:r>
        <w:rPr>
          <w:rFonts w:hint="eastAsia" w:ascii="仿宋" w:hAnsi="仿宋" w:eastAsia="仿宋" w:cs="仿宋"/>
          <w:color w:val="000000"/>
          <w:kern w:val="0"/>
        </w:rPr>
        <w:t>（中型企业、小型企业、微型企业）。</w:t>
      </w:r>
    </w:p>
    <w:p w14:paraId="33297557">
      <w:pPr>
        <w:widowControl w:val="0"/>
        <w:spacing w:line="500" w:lineRule="exact"/>
        <w:ind w:firstLine="566" w:firstLineChars="200"/>
        <w:jc w:val="left"/>
        <w:rPr>
          <w:rFonts w:hint="eastAsia" w:ascii="仿宋" w:hAnsi="仿宋" w:eastAsia="仿宋" w:cs="仿宋"/>
          <w:color w:val="000000"/>
          <w:kern w:val="0"/>
        </w:rPr>
      </w:pPr>
      <w:r>
        <w:rPr>
          <w:rFonts w:hint="eastAsia" w:ascii="仿宋" w:hAnsi="仿宋" w:eastAsia="仿宋" w:cs="仿宋"/>
          <w:color w:val="000000"/>
          <w:kern w:val="0"/>
        </w:rPr>
        <w:t>以上企业，不属于大企业的分支机构，不存在控股股东为大企业的情形，也不存在与大企业的负责人为同一人的情形。</w:t>
      </w:r>
    </w:p>
    <w:p w14:paraId="70AF4136">
      <w:pPr>
        <w:widowControl w:val="0"/>
        <w:spacing w:line="500" w:lineRule="exact"/>
        <w:ind w:firstLine="566" w:firstLineChars="200"/>
        <w:jc w:val="left"/>
        <w:rPr>
          <w:rFonts w:hint="eastAsia" w:ascii="仿宋" w:hAnsi="仿宋" w:eastAsia="仿宋" w:cs="仿宋"/>
          <w:color w:val="000000"/>
          <w:kern w:val="0"/>
        </w:rPr>
      </w:pPr>
      <w:r>
        <w:rPr>
          <w:rFonts w:hint="eastAsia" w:ascii="仿宋" w:hAnsi="仿宋" w:eastAsia="仿宋" w:cs="仿宋"/>
          <w:color w:val="000000"/>
          <w:kern w:val="0"/>
        </w:rPr>
        <w:t>本企业对上述声明内容的真实性负责。如有虚假，将依法承担相应责任。</w:t>
      </w:r>
    </w:p>
    <w:p w14:paraId="4A54D64A">
      <w:pPr>
        <w:pStyle w:val="7"/>
        <w:widowControl w:val="0"/>
        <w:rPr>
          <w:rFonts w:hint="eastAsia" w:ascii="仿宋" w:hAnsi="仿宋" w:eastAsia="仿宋" w:cs="仿宋"/>
          <w:color w:val="000000"/>
        </w:rPr>
      </w:pPr>
    </w:p>
    <w:p w14:paraId="35C18883">
      <w:pPr>
        <w:widowControl w:val="0"/>
        <w:spacing w:line="500" w:lineRule="exact"/>
        <w:rPr>
          <w:rFonts w:hint="eastAsia" w:ascii="华文仿宋" w:hAnsi="华文仿宋" w:cs="华文仿宋"/>
          <w:color w:val="000000"/>
          <w:kern w:val="0"/>
        </w:rPr>
      </w:pPr>
      <w:r>
        <w:rPr>
          <w:rFonts w:hint="eastAsia"/>
          <w:color w:val="000000"/>
        </w:rPr>
        <w:t xml:space="preserve">                                 供应商</w:t>
      </w:r>
      <w:r>
        <w:rPr>
          <w:rFonts w:hint="eastAsia" w:ascii="华文仿宋" w:hAnsi="华文仿宋" w:cs="华文仿宋"/>
          <w:color w:val="000000"/>
          <w:kern w:val="0"/>
        </w:rPr>
        <w:t>：</w:t>
      </w:r>
      <w:r>
        <w:rPr>
          <w:rFonts w:hint="eastAsia" w:ascii="华文仿宋" w:hAnsi="华文仿宋" w:cs="华文仿宋"/>
          <w:color w:val="000000"/>
          <w:kern w:val="0"/>
          <w:u w:val="single"/>
        </w:rPr>
        <w:t>名称</w:t>
      </w:r>
      <w:r>
        <w:rPr>
          <w:rFonts w:hint="eastAsia" w:ascii="华文仿宋" w:hAnsi="华文仿宋" w:cs="华文仿宋"/>
          <w:color w:val="000000"/>
          <w:kern w:val="0"/>
        </w:rPr>
        <w:t>（加盖公章）</w:t>
      </w:r>
    </w:p>
    <w:p w14:paraId="03ED8081">
      <w:pPr>
        <w:widowControl w:val="0"/>
        <w:spacing w:line="500" w:lineRule="exact"/>
        <w:ind w:firstLine="566" w:firstLineChars="200"/>
        <w:jc w:val="center"/>
        <w:rPr>
          <w:rFonts w:hint="eastAsia" w:ascii="华文仿宋" w:hAnsi="华文仿宋" w:cs="华文仿宋"/>
          <w:color w:val="000000"/>
          <w:kern w:val="0"/>
        </w:rPr>
      </w:pPr>
      <w:r>
        <w:rPr>
          <w:rFonts w:hint="eastAsia" w:ascii="华文仿宋" w:hAnsi="华文仿宋" w:cs="华文仿宋"/>
          <w:color w:val="000000"/>
          <w:kern w:val="0"/>
        </w:rPr>
        <w:t xml:space="preserve">                      日期：    年  月  日</w:t>
      </w:r>
    </w:p>
    <w:p w14:paraId="3A2C10FF">
      <w:pPr>
        <w:widowControl w:val="0"/>
        <w:ind w:firstLine="426" w:firstLineChars="200"/>
        <w:rPr>
          <w:rFonts w:hint="eastAsia" w:ascii="宋体" w:hAnsi="宋体" w:eastAsia="宋体" w:cs="宋体"/>
          <w:b/>
          <w:bCs/>
          <w:color w:val="000000"/>
          <w:kern w:val="0"/>
          <w:sz w:val="21"/>
          <w:szCs w:val="21"/>
        </w:rPr>
      </w:pPr>
    </w:p>
    <w:p w14:paraId="35D4AB2F">
      <w:pPr>
        <w:widowControl w:val="0"/>
        <w:ind w:firstLine="426"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备注：</w:t>
      </w:r>
    </w:p>
    <w:p w14:paraId="3626E38B">
      <w:pPr>
        <w:widowControl w:val="0"/>
        <w:ind w:firstLine="426" w:firstLineChars="200"/>
        <w:rPr>
          <w:color w:val="000000"/>
          <w:sz w:val="21"/>
          <w:szCs w:val="21"/>
        </w:rPr>
      </w:pPr>
      <w:r>
        <w:rPr>
          <w:rFonts w:hint="eastAsia" w:ascii="宋体" w:hAnsi="宋体" w:eastAsia="宋体" w:cs="宋体"/>
          <w:color w:val="000000"/>
          <w:kern w:val="0"/>
          <w:sz w:val="21"/>
          <w:szCs w:val="21"/>
        </w:rPr>
        <w:t>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767593AF">
      <w:pPr>
        <w:widowControl w:val="0"/>
        <w:ind w:firstLine="426" w:firstLineChars="200"/>
        <w:rPr>
          <w:color w:val="000000"/>
          <w:sz w:val="21"/>
          <w:szCs w:val="21"/>
        </w:rPr>
      </w:pPr>
      <w:r>
        <w:rPr>
          <w:rFonts w:hint="eastAsia" w:ascii="宋体" w:hAnsi="宋体" w:eastAsia="宋体" w:cs="宋体"/>
          <w:color w:val="000000"/>
          <w:kern w:val="0"/>
          <w:sz w:val="21"/>
          <w:szCs w:val="21"/>
        </w:rPr>
        <w:t>2、从业人员、营业收入、资产总额填报上一年度数据，无上一年度数据的新成立企业可不填</w:t>
      </w:r>
    </w:p>
    <w:p w14:paraId="7C320BBD">
      <w:pPr>
        <w:widowControl w:val="0"/>
        <w:rPr>
          <w:rFonts w:eastAsia="宋体"/>
          <w:color w:val="000000"/>
          <w:sz w:val="21"/>
          <w:szCs w:val="21"/>
        </w:rPr>
      </w:pPr>
      <w:r>
        <w:rPr>
          <w:rFonts w:hint="eastAsia" w:ascii="宋体" w:hAnsi="宋体" w:eastAsia="宋体" w:cs="宋体"/>
          <w:color w:val="000000"/>
          <w:kern w:val="0"/>
          <w:sz w:val="21"/>
          <w:szCs w:val="21"/>
        </w:rPr>
        <w:t>报。</w:t>
      </w:r>
    </w:p>
    <w:p w14:paraId="1C7CB599">
      <w:pPr>
        <w:widowControl w:val="0"/>
        <w:ind w:firstLine="426" w:firstLineChars="200"/>
        <w:rPr>
          <w:rFonts w:eastAsia="宋体"/>
          <w:color w:val="000000"/>
          <w:sz w:val="21"/>
          <w:szCs w:val="21"/>
        </w:rPr>
      </w:pPr>
      <w:r>
        <w:rPr>
          <w:rFonts w:hint="eastAsia" w:ascii="宋体" w:hAnsi="宋体" w:eastAsia="宋体" w:cs="宋体"/>
          <w:color w:val="000000"/>
          <w:kern w:val="0"/>
          <w:sz w:val="21"/>
          <w:szCs w:val="21"/>
        </w:rPr>
        <w:t>3、根据《工业和信息化部、国家统计局、国家发展和改革委员会、财政部关于印发中小企业</w:t>
      </w:r>
    </w:p>
    <w:p w14:paraId="01083113">
      <w:pPr>
        <w:widowControl w:val="0"/>
        <w:rPr>
          <w:color w:val="000000"/>
          <w:sz w:val="21"/>
          <w:szCs w:val="21"/>
        </w:rPr>
      </w:pPr>
      <w:r>
        <w:rPr>
          <w:rFonts w:hint="eastAsia" w:ascii="宋体" w:hAnsi="宋体" w:eastAsia="宋体" w:cs="宋体"/>
          <w:color w:val="000000"/>
          <w:kern w:val="0"/>
          <w:sz w:val="21"/>
          <w:szCs w:val="21"/>
        </w:rPr>
        <w:t>划型标准规定的通知》（工信部联企业[2011]300号），本项目所属行业中小企业划型标准具体如</w:t>
      </w:r>
    </w:p>
    <w:p w14:paraId="759525E7">
      <w:pPr>
        <w:widowControl w:val="0"/>
        <w:rPr>
          <w:color w:val="000000"/>
        </w:rPr>
      </w:pPr>
      <w:r>
        <w:rPr>
          <w:rFonts w:hint="eastAsia" w:ascii="宋体" w:hAnsi="宋体" w:eastAsia="宋体" w:cs="宋体"/>
          <w:color w:val="000000"/>
          <w:kern w:val="0"/>
          <w:sz w:val="21"/>
          <w:szCs w:val="21"/>
        </w:rPr>
        <w:t>下：</w:t>
      </w:r>
      <w:r>
        <w:rPr>
          <w:rFonts w:hint="eastAsia" w:ascii="宋体" w:hAnsi="宋体" w:eastAsia="宋体" w:cs="宋体"/>
          <w:color w:val="000000"/>
          <w:sz w:val="21"/>
          <w:szCs w:val="21"/>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627E7EA">
      <w:pPr>
        <w:widowControl w:val="0"/>
        <w:spacing w:line="240" w:lineRule="auto"/>
        <w:jc w:val="left"/>
        <w:rPr>
          <w:b/>
          <w:bCs/>
          <w:color w:val="000000"/>
        </w:rPr>
      </w:pPr>
      <w:r>
        <w:rPr>
          <w:rFonts w:hint="eastAsia"/>
          <w:b/>
          <w:bCs/>
          <w:color w:val="000000"/>
        </w:rPr>
        <w:br w:type="page"/>
      </w:r>
    </w:p>
    <w:p w14:paraId="048A9F45">
      <w:pPr>
        <w:widowControl w:val="0"/>
        <w:tabs>
          <w:tab w:val="left" w:pos="5670"/>
        </w:tabs>
        <w:spacing w:line="500" w:lineRule="exact"/>
        <w:jc w:val="center"/>
        <w:outlineLvl w:val="1"/>
        <w:rPr>
          <w:color w:val="000000"/>
        </w:rPr>
      </w:pPr>
      <w:bookmarkStart w:id="632" w:name="_Toc9361"/>
      <w:bookmarkStart w:id="633" w:name="_Toc27918"/>
      <w:bookmarkStart w:id="634" w:name="_Toc8407"/>
      <w:bookmarkStart w:id="635" w:name="_Toc17829"/>
      <w:bookmarkStart w:id="636" w:name="_Toc14796"/>
      <w:r>
        <w:rPr>
          <w:rFonts w:hint="eastAsia"/>
          <w:b/>
          <w:bCs/>
          <w:color w:val="000000"/>
        </w:rPr>
        <w:t>关于监狱企业的证明文件</w:t>
      </w:r>
      <w:bookmarkEnd w:id="632"/>
      <w:bookmarkEnd w:id="633"/>
      <w:bookmarkEnd w:id="634"/>
      <w:bookmarkEnd w:id="635"/>
      <w:bookmarkEnd w:id="636"/>
    </w:p>
    <w:p w14:paraId="0212856D">
      <w:pPr>
        <w:widowControl w:val="0"/>
        <w:tabs>
          <w:tab w:val="left" w:pos="5670"/>
        </w:tabs>
        <w:spacing w:line="500" w:lineRule="exact"/>
        <w:ind w:firstLine="566" w:firstLineChars="200"/>
        <w:jc w:val="left"/>
        <w:outlineLvl w:val="1"/>
        <w:rPr>
          <w:rFonts w:hint="eastAsia" w:ascii="仿宋" w:hAnsi="仿宋" w:eastAsia="仿宋" w:cs="仿宋"/>
          <w:color w:val="000000"/>
        </w:rPr>
      </w:pPr>
      <w:bookmarkStart w:id="637" w:name="_Toc20169"/>
      <w:bookmarkStart w:id="638" w:name="_Toc21705"/>
      <w:bookmarkStart w:id="639" w:name="_Toc5399"/>
      <w:bookmarkStart w:id="640" w:name="_Toc937"/>
      <w:bookmarkStart w:id="641" w:name="_Toc28686"/>
      <w:r>
        <w:rPr>
          <w:rFonts w:hint="eastAsia" w:ascii="仿宋" w:hAnsi="仿宋" w:eastAsia="仿宋" w:cs="仿宋"/>
          <w:color w:val="000000"/>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637"/>
      <w:bookmarkEnd w:id="638"/>
      <w:bookmarkEnd w:id="639"/>
      <w:bookmarkEnd w:id="640"/>
      <w:bookmarkEnd w:id="641"/>
    </w:p>
    <w:p w14:paraId="244DC00D">
      <w:pPr>
        <w:widowControl w:val="0"/>
        <w:spacing w:line="500" w:lineRule="exact"/>
        <w:ind w:firstLine="566" w:firstLineChars="200"/>
        <w:jc w:val="left"/>
        <w:rPr>
          <w:color w:val="000000"/>
        </w:rPr>
      </w:pPr>
      <w:r>
        <w:rPr>
          <w:rFonts w:hint="eastAsia" w:ascii="仿宋" w:hAnsi="仿宋" w:eastAsia="仿宋" w:cs="仿宋"/>
          <w:color w:val="000000"/>
        </w:rPr>
        <w:t>监狱企业参加政府采购活动时，应当提供由省级以上监狱管理局、戒毒管理局（含新疆生产建设兵团）出具的属于监狱企业的证明文件</w:t>
      </w:r>
      <w:r>
        <w:rPr>
          <w:rFonts w:hint="eastAsia"/>
          <w:color w:val="000000"/>
        </w:rPr>
        <w:t>。</w:t>
      </w:r>
    </w:p>
    <w:p w14:paraId="3A978B81">
      <w:pPr>
        <w:pStyle w:val="24"/>
        <w:widowControl w:val="0"/>
        <w:ind w:firstLine="639" w:firstLineChars="300"/>
        <w:rPr>
          <w:rFonts w:hint="eastAsia" w:ascii="宋体" w:hAnsi="宋体" w:eastAsia="宋体"/>
          <w:color w:val="000000"/>
          <w:sz w:val="21"/>
          <w:szCs w:val="21"/>
        </w:rPr>
      </w:pPr>
    </w:p>
    <w:p w14:paraId="47E1948A">
      <w:pPr>
        <w:widowControl w:val="0"/>
        <w:tabs>
          <w:tab w:val="left" w:pos="5670"/>
        </w:tabs>
        <w:spacing w:line="500" w:lineRule="exact"/>
        <w:ind w:firstLine="426" w:firstLineChars="200"/>
        <w:jc w:val="left"/>
        <w:rPr>
          <w:color w:val="000000"/>
        </w:rPr>
      </w:pPr>
      <w:r>
        <w:rPr>
          <w:rFonts w:hint="eastAsia" w:ascii="宋体" w:hAnsi="宋体" w:eastAsia="宋体"/>
          <w:color w:val="000000"/>
          <w:sz w:val="21"/>
          <w:szCs w:val="21"/>
        </w:rPr>
        <w:br w:type="page"/>
      </w:r>
    </w:p>
    <w:p w14:paraId="787F44F4">
      <w:pPr>
        <w:widowControl w:val="0"/>
        <w:tabs>
          <w:tab w:val="left" w:pos="5670"/>
        </w:tabs>
        <w:spacing w:after="190" w:afterLines="50" w:line="5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残疾人福利性单位声明函（格式）</w:t>
      </w:r>
    </w:p>
    <w:p w14:paraId="36C5EA21">
      <w:pPr>
        <w:widowControl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u w:val="single"/>
        </w:rPr>
        <w:t>（项目名称）</w:t>
      </w:r>
      <w:r>
        <w:rPr>
          <w:rFonts w:hint="eastAsia" w:ascii="仿宋" w:hAnsi="仿宋" w:eastAsia="仿宋" w:cs="仿宋"/>
          <w:color w:val="000000"/>
        </w:rPr>
        <w:t>（项目编号：</w:t>
      </w:r>
      <w:r>
        <w:rPr>
          <w:rFonts w:hint="eastAsia" w:ascii="仿宋" w:hAnsi="仿宋" w:eastAsia="仿宋" w:cs="仿宋"/>
          <w:color w:val="000000"/>
          <w:u w:val="single"/>
        </w:rPr>
        <w:t xml:space="preserve">        </w:t>
      </w:r>
      <w:r>
        <w:rPr>
          <w:rFonts w:hint="eastAsia" w:ascii="仿宋" w:hAnsi="仿宋" w:eastAsia="仿宋" w:cs="仿宋"/>
          <w:color w:val="000000"/>
        </w:rPr>
        <w:t>）第___标段采购活动提供本单位制造的货物（由本单位承担工程/提供服务），或者提供其他残疾人福利性单位制造的货物（不包括使用非残疾人福利性单位注册商标的货物）。</w:t>
      </w:r>
    </w:p>
    <w:p w14:paraId="601A00E1">
      <w:pPr>
        <w:widowControl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color w:val="000000"/>
        </w:rPr>
        <w:t>本单位对上述声明的真实性负责。如有虚假，将依法承担相应责任。</w:t>
      </w:r>
    </w:p>
    <w:p w14:paraId="4EC15F39">
      <w:pPr>
        <w:widowControl w:val="0"/>
        <w:spacing w:line="500" w:lineRule="exact"/>
        <w:ind w:firstLine="566" w:firstLineChars="200"/>
        <w:jc w:val="left"/>
        <w:rPr>
          <w:rFonts w:hint="eastAsia" w:ascii="仿宋" w:hAnsi="仿宋" w:eastAsia="仿宋" w:cs="仿宋"/>
          <w:color w:val="000000"/>
        </w:rPr>
      </w:pPr>
    </w:p>
    <w:p w14:paraId="74BBF2B1">
      <w:pPr>
        <w:widowControl w:val="0"/>
        <w:spacing w:line="500" w:lineRule="exact"/>
        <w:ind w:firstLine="5094" w:firstLineChars="18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w:t>
      </w:r>
    </w:p>
    <w:p w14:paraId="528551B6">
      <w:pPr>
        <w:widowControl w:val="0"/>
        <w:tabs>
          <w:tab w:val="left" w:pos="5670"/>
        </w:tabs>
        <w:spacing w:line="500" w:lineRule="exact"/>
        <w:ind w:firstLine="5377" w:firstLineChars="1900"/>
        <w:jc w:val="left"/>
        <w:rPr>
          <w:rFonts w:hint="eastAsia" w:ascii="仿宋" w:hAnsi="仿宋" w:eastAsia="仿宋" w:cs="仿宋"/>
          <w:color w:val="000000"/>
        </w:rPr>
      </w:pPr>
      <w:r>
        <w:rPr>
          <w:rFonts w:hint="eastAsia" w:ascii="仿宋" w:hAnsi="仿宋" w:eastAsia="仿宋" w:cs="仿宋"/>
          <w:color w:val="000000"/>
        </w:rPr>
        <w:t>日期：　　年　月　日</w:t>
      </w:r>
    </w:p>
    <w:p w14:paraId="79B72DA2">
      <w:pPr>
        <w:widowControl w:val="0"/>
        <w:tabs>
          <w:tab w:val="left" w:pos="5670"/>
        </w:tabs>
        <w:spacing w:line="240" w:lineRule="auto"/>
        <w:ind w:firstLine="566"/>
        <w:jc w:val="left"/>
        <w:rPr>
          <w:rFonts w:hint="eastAsia" w:ascii="宋体" w:hAnsi="宋体" w:eastAsia="宋体" w:cs="宋体"/>
          <w:b/>
          <w:bCs/>
          <w:color w:val="000000"/>
          <w:sz w:val="21"/>
          <w:szCs w:val="21"/>
        </w:rPr>
      </w:pPr>
    </w:p>
    <w:p w14:paraId="001B0EAE">
      <w:pPr>
        <w:widowControl w:val="0"/>
        <w:tabs>
          <w:tab w:val="left" w:pos="5670"/>
        </w:tabs>
        <w:spacing w:line="240" w:lineRule="auto"/>
        <w:ind w:firstLine="566"/>
        <w:jc w:val="left"/>
        <w:rPr>
          <w:rFonts w:hint="eastAsia" w:ascii="宋体" w:hAnsi="宋体" w:eastAsia="宋体" w:cs="宋体"/>
          <w:b/>
          <w:bCs/>
          <w:color w:val="000000"/>
          <w:sz w:val="21"/>
          <w:szCs w:val="21"/>
        </w:rPr>
      </w:pPr>
    </w:p>
    <w:p w14:paraId="486945CF">
      <w:pPr>
        <w:widowControl w:val="0"/>
        <w:tabs>
          <w:tab w:val="left" w:pos="5670"/>
        </w:tabs>
        <w:spacing w:line="240" w:lineRule="auto"/>
        <w:ind w:firstLine="566"/>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备注：供应商非残疾人福利性单位不用填写此表。</w:t>
      </w:r>
    </w:p>
    <w:p w14:paraId="79652602">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项目不分标段的，第___标段空白处填写“/”。</w:t>
      </w:r>
    </w:p>
    <w:p w14:paraId="44011864">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根据《财政部 民政部 中国残疾人联合会关于促进残疾人就业政府采购政策的通知》（财库〔2017〕141号）的规定：</w:t>
      </w:r>
    </w:p>
    <w:p w14:paraId="04082CE6">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一、享受政府采购支持政策的残疾人福利性单位应当同时满足以下条件：</w:t>
      </w:r>
    </w:p>
    <w:p w14:paraId="1D7717F1">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（一）安置的残疾人占本单位在职职工人数的比例不低于</w:t>
      </w:r>
      <w:r>
        <w:rPr>
          <w:rFonts w:hint="eastAsia" w:ascii="仿宋" w:hAnsi="仿宋" w:cs="仿宋"/>
          <w:color w:val="000000"/>
          <w:sz w:val="21"/>
          <w:szCs w:val="21"/>
        </w:rPr>
        <w:t>25</w:t>
      </w:r>
      <w:r>
        <w:rPr>
          <w:rFonts w:hint="eastAsia" w:ascii="宋体" w:hAnsi="宋体" w:eastAsia="宋体" w:cs="宋体"/>
          <w:color w:val="000000"/>
          <w:sz w:val="21"/>
          <w:szCs w:val="21"/>
        </w:rPr>
        <w:t>%（含</w:t>
      </w:r>
      <w:r>
        <w:rPr>
          <w:rFonts w:hint="eastAsia" w:ascii="仿宋" w:hAnsi="仿宋" w:cs="仿宋"/>
          <w:color w:val="000000"/>
          <w:sz w:val="21"/>
          <w:szCs w:val="21"/>
        </w:rPr>
        <w:t>25</w:t>
      </w:r>
      <w:r>
        <w:rPr>
          <w:rFonts w:hint="eastAsia" w:ascii="宋体" w:hAnsi="宋体" w:eastAsia="宋体" w:cs="宋体"/>
          <w:color w:val="000000"/>
          <w:sz w:val="21"/>
          <w:szCs w:val="21"/>
        </w:rPr>
        <w:t>%），并且安置的残疾人人数不少于10人（含10人）；</w:t>
      </w:r>
    </w:p>
    <w:p w14:paraId="4663D22E">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（二）依法与安置的每位残疾人签订了一年以上（含一年）的劳动合同或服务协议；</w:t>
      </w:r>
    </w:p>
    <w:p w14:paraId="25162E89">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（三）为安置的每位残疾人按月足额缴纳了基本养老保险、基本医疗保险、失业保险、工伤保险和生育保险等社会保险费；</w:t>
      </w:r>
    </w:p>
    <w:p w14:paraId="122598B9">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（四）通过银行等金融机构向安置的每位残疾人，按月支付了不低于单位所在区县适用的经省级人民政府批准的月最低工资标准的工资；</w:t>
      </w:r>
    </w:p>
    <w:p w14:paraId="291F6F4A">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（五）提供本单位制造的货物、承担的工程或者服务（以下简称产品），或者提供其他残疾人福利性单位制造的货物（不包括使用非残疾人福利性单位注册商标的货物）。</w:t>
      </w:r>
    </w:p>
    <w:p w14:paraId="5659D0CD">
      <w:pPr>
        <w:widowControl w:val="0"/>
        <w:tabs>
          <w:tab w:val="left" w:pos="5670"/>
        </w:tabs>
        <w:spacing w:line="240" w:lineRule="auto"/>
        <w:ind w:firstLine="566"/>
        <w:jc w:val="left"/>
        <w:rPr>
          <w:rFonts w:hint="eastAsia" w:ascii="宋体" w:hAnsi="宋体" w:eastAsia="宋体" w:cs="宋体"/>
          <w:color w:val="000000"/>
          <w:sz w:val="21"/>
          <w:szCs w:val="21"/>
        </w:rPr>
      </w:pPr>
      <w:r>
        <w:rPr>
          <w:rFonts w:hint="eastAsia" w:ascii="宋体" w:hAnsi="宋体" w:eastAsia="宋体" w:cs="宋体"/>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CB3858">
      <w:pPr>
        <w:pStyle w:val="24"/>
        <w:widowControl w:val="0"/>
        <w:ind w:firstLine="426" w:firstLineChars="200"/>
        <w:rPr>
          <w:rFonts w:ascii="Calibri Light" w:hAnsi="Calibri Light" w:cs="华文仿宋"/>
          <w:b/>
          <w:bCs/>
          <w:color w:val="000000"/>
          <w:sz w:val="30"/>
          <w:szCs w:val="30"/>
        </w:rPr>
      </w:pPr>
      <w:r>
        <w:rPr>
          <w:rFonts w:hint="eastAsia" w:ascii="宋体" w:hAnsi="宋体" w:eastAsia="宋体" w:cs="宋体"/>
          <w:color w:val="000000"/>
          <w:sz w:val="21"/>
          <w:szCs w:val="21"/>
        </w:rPr>
        <w:t>二、成交供应商为残疾人福利性单位的，采购人或者其委托的采购代理机构应当随成交结果同时公告其《残疾人福利性单位声明函》，接受社会监督。</w:t>
      </w:r>
    </w:p>
    <w:p w14:paraId="7B141850">
      <w:pPr>
        <w:rPr>
          <w:rFonts w:cs="华文仿宋"/>
          <w:b/>
          <w:bCs/>
          <w:color w:val="000000"/>
          <w:sz w:val="30"/>
          <w:szCs w:val="30"/>
        </w:rPr>
      </w:pPr>
      <w:r>
        <w:rPr>
          <w:rFonts w:hint="eastAsia" w:cs="华文仿宋"/>
          <w:b/>
          <w:bCs/>
          <w:color w:val="000000"/>
          <w:sz w:val="30"/>
          <w:szCs w:val="30"/>
        </w:rPr>
        <w:br w:type="page"/>
      </w:r>
    </w:p>
    <w:p w14:paraId="30A7A212">
      <w:pPr>
        <w:pStyle w:val="24"/>
        <w:widowControl w:val="0"/>
        <w:ind w:firstLine="566" w:firstLineChars="200"/>
        <w:rPr>
          <w:rFonts w:hint="eastAsia" w:ascii="华文仿宋" w:hAnsi="华文仿宋" w:cs="华文仿宋"/>
          <w:color w:val="000000"/>
          <w:sz w:val="28"/>
          <w:szCs w:val="28"/>
        </w:rPr>
        <w:sectPr>
          <w:pgSz w:w="11906" w:h="16838"/>
          <w:pgMar w:top="1417" w:right="1417" w:bottom="1417" w:left="1417" w:header="850" w:footer="794" w:gutter="0"/>
          <w:pgNumType w:fmt="decimal"/>
          <w:cols w:space="720" w:num="1"/>
          <w:docGrid w:type="linesAndChars" w:linePitch="381" w:charSpace="704"/>
        </w:sectPr>
      </w:pPr>
    </w:p>
    <w:p w14:paraId="42038339">
      <w:pPr>
        <w:pStyle w:val="24"/>
        <w:ind w:firstLine="606" w:firstLineChars="200"/>
        <w:rPr>
          <w:rFonts w:hint="eastAsia" w:ascii="仿宋" w:hAnsi="仿宋" w:eastAsia="仿宋" w:cs="仿宋"/>
          <w:color w:val="000000"/>
        </w:rPr>
      </w:pPr>
      <w:r>
        <w:rPr>
          <w:rFonts w:hint="eastAsia" w:ascii="仿宋" w:hAnsi="仿宋" w:eastAsia="仿宋" w:cs="仿宋"/>
          <w:b/>
          <w:bCs/>
          <w:color w:val="000000"/>
          <w:sz w:val="30"/>
          <w:szCs w:val="30"/>
        </w:rPr>
        <w:t>十、本项目不接受联合体响应，不允许分包</w:t>
      </w:r>
      <w:bookmarkEnd w:id="625"/>
      <w:bookmarkEnd w:id="626"/>
      <w:bookmarkEnd w:id="627"/>
      <w:bookmarkEnd w:id="629"/>
      <w:bookmarkEnd w:id="630"/>
      <w:bookmarkEnd w:id="631"/>
    </w:p>
    <w:p w14:paraId="7ACC0757">
      <w:pPr>
        <w:pStyle w:val="7"/>
        <w:widowControl w:val="0"/>
        <w:jc w:val="center"/>
        <w:rPr>
          <w:rFonts w:hint="eastAsia" w:ascii="仿宋" w:hAnsi="仿宋" w:eastAsia="仿宋" w:cs="仿宋"/>
          <w:b/>
          <w:bCs/>
          <w:color w:val="000000"/>
        </w:rPr>
      </w:pPr>
      <w:r>
        <w:rPr>
          <w:rFonts w:hint="eastAsia" w:ascii="仿宋" w:hAnsi="仿宋" w:eastAsia="仿宋" w:cs="仿宋"/>
          <w:b/>
          <w:bCs/>
          <w:color w:val="000000"/>
        </w:rPr>
        <w:t>非联合体不分包投标声明（格式）</w:t>
      </w:r>
    </w:p>
    <w:p w14:paraId="17EBE354">
      <w:pPr>
        <w:widowControl w:val="0"/>
        <w:spacing w:line="500" w:lineRule="exact"/>
        <w:ind w:firstLine="566" w:firstLineChars="200"/>
        <w:rPr>
          <w:rFonts w:hint="eastAsia" w:ascii="仿宋" w:hAnsi="仿宋" w:eastAsia="仿宋" w:cs="仿宋"/>
          <w:color w:val="000000"/>
        </w:rPr>
      </w:pPr>
    </w:p>
    <w:p w14:paraId="4C780C0C">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本单位郑重声明，参加陕西省省级单位政府采购中心的</w:t>
      </w:r>
      <w:r>
        <w:rPr>
          <w:rFonts w:hint="eastAsia" w:ascii="仿宋" w:hAnsi="仿宋" w:eastAsia="仿宋" w:cs="仿宋"/>
          <w:color w:val="000000"/>
          <w:u w:val="single"/>
        </w:rPr>
        <w:t>项目名称</w:t>
      </w:r>
      <w:r>
        <w:rPr>
          <w:rFonts w:hint="eastAsia" w:ascii="仿宋" w:hAnsi="仿宋" w:eastAsia="仿宋" w:cs="仿宋"/>
          <w:color w:val="000000"/>
        </w:rPr>
        <w:t>（项目编号：</w:t>
      </w:r>
      <w:r>
        <w:rPr>
          <w:rFonts w:hint="eastAsia" w:ascii="仿宋" w:hAnsi="仿宋" w:eastAsia="仿宋" w:cs="仿宋"/>
          <w:color w:val="000000"/>
          <w:u w:val="single"/>
        </w:rPr>
        <w:t xml:space="preserve">        </w:t>
      </w:r>
      <w:r>
        <w:rPr>
          <w:rFonts w:hint="eastAsia" w:ascii="仿宋" w:hAnsi="仿宋" w:eastAsia="仿宋" w:cs="仿宋"/>
          <w:color w:val="000000"/>
        </w:rPr>
        <w:t>）第</w:t>
      </w:r>
      <w:r>
        <w:rPr>
          <w:rFonts w:hint="eastAsia" w:ascii="仿宋" w:hAnsi="仿宋" w:eastAsia="仿宋" w:cs="仿宋"/>
          <w:color w:val="000000"/>
          <w:u w:val="single"/>
        </w:rPr>
        <w:t xml:space="preserve">   </w:t>
      </w:r>
      <w:r>
        <w:rPr>
          <w:rFonts w:hint="eastAsia" w:ascii="仿宋" w:hAnsi="仿宋" w:eastAsia="仿宋" w:cs="仿宋"/>
          <w:color w:val="000000"/>
        </w:rPr>
        <w:t>标段采购活动，为非联合体投标，本项目实施过程由本单位独立承担。</w:t>
      </w:r>
    </w:p>
    <w:p w14:paraId="1549E651">
      <w:pPr>
        <w:widowControl w:val="0"/>
        <w:spacing w:line="500" w:lineRule="exact"/>
        <w:ind w:firstLine="566" w:firstLineChars="200"/>
        <w:jc w:val="left"/>
        <w:rPr>
          <w:rFonts w:hint="eastAsia" w:ascii="仿宋" w:hAnsi="仿宋" w:eastAsia="仿宋" w:cs="仿宋"/>
          <w:color w:val="000000"/>
        </w:rPr>
      </w:pPr>
      <w:r>
        <w:rPr>
          <w:rFonts w:hint="eastAsia" w:ascii="仿宋" w:hAnsi="仿宋" w:eastAsia="仿宋" w:cs="仿宋"/>
          <w:color w:val="000000"/>
        </w:rPr>
        <w:t>本单位对上述声明的真实性负责。如有虚假，将依法承担相应责任。</w:t>
      </w:r>
    </w:p>
    <w:p w14:paraId="5C3E5860">
      <w:pPr>
        <w:widowControl w:val="0"/>
        <w:spacing w:line="500" w:lineRule="exact"/>
        <w:ind w:firstLine="566" w:firstLineChars="200"/>
        <w:jc w:val="left"/>
        <w:rPr>
          <w:rFonts w:hint="eastAsia" w:ascii="仿宋" w:hAnsi="仿宋" w:eastAsia="仿宋" w:cs="仿宋"/>
          <w:color w:val="000000"/>
        </w:rPr>
      </w:pPr>
    </w:p>
    <w:p w14:paraId="179A4F5D">
      <w:pPr>
        <w:pStyle w:val="7"/>
        <w:widowControl w:val="0"/>
        <w:rPr>
          <w:rFonts w:hint="eastAsia" w:ascii="仿宋" w:hAnsi="仿宋" w:eastAsia="仿宋" w:cs="仿宋"/>
          <w:color w:val="000000"/>
        </w:rPr>
      </w:pPr>
    </w:p>
    <w:p w14:paraId="47BB98DD">
      <w:pPr>
        <w:widowControl w:val="0"/>
        <w:spacing w:line="500" w:lineRule="exact"/>
        <w:ind w:firstLine="5094" w:firstLineChars="18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w:t>
      </w:r>
    </w:p>
    <w:p w14:paraId="6E7C98E1">
      <w:pPr>
        <w:widowControl w:val="0"/>
        <w:tabs>
          <w:tab w:val="left" w:pos="5670"/>
        </w:tabs>
        <w:spacing w:line="500" w:lineRule="exact"/>
        <w:ind w:firstLine="5377" w:firstLineChars="1900"/>
        <w:jc w:val="left"/>
        <w:rPr>
          <w:rFonts w:hint="eastAsia" w:ascii="仿宋" w:hAnsi="仿宋" w:eastAsia="仿宋" w:cs="仿宋"/>
          <w:color w:val="000000"/>
        </w:rPr>
      </w:pPr>
      <w:r>
        <w:rPr>
          <w:rFonts w:hint="eastAsia" w:ascii="仿宋" w:hAnsi="仿宋" w:eastAsia="仿宋" w:cs="仿宋"/>
          <w:color w:val="000000"/>
        </w:rPr>
        <w:t>日期：　　年　月　日</w:t>
      </w:r>
    </w:p>
    <w:p w14:paraId="44C42B1A">
      <w:pPr>
        <w:pStyle w:val="24"/>
        <w:widowControl w:val="0"/>
        <w:ind w:firstLine="183"/>
        <w:rPr>
          <w:rFonts w:hint="eastAsia" w:ascii="仿宋" w:hAnsi="仿宋" w:eastAsia="仿宋" w:cs="仿宋"/>
          <w:color w:val="000000"/>
        </w:rPr>
      </w:pPr>
    </w:p>
    <w:p w14:paraId="0B9AE2AD">
      <w:pPr>
        <w:widowControl w:val="0"/>
        <w:autoSpaceDE w:val="0"/>
        <w:autoSpaceDN w:val="0"/>
        <w:spacing w:line="240" w:lineRule="auto"/>
        <w:ind w:firstLine="213"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备注：项目不分标段的，第___标段空白处填写“/”。</w:t>
      </w:r>
    </w:p>
    <w:p w14:paraId="17E49F92">
      <w:pPr>
        <w:pStyle w:val="24"/>
        <w:widowControl w:val="0"/>
        <w:ind w:firstLine="183"/>
        <w:rPr>
          <w:rFonts w:ascii="华文仿宋"/>
          <w:color w:val="000000"/>
        </w:rPr>
      </w:pPr>
    </w:p>
    <w:p w14:paraId="25087AF6">
      <w:pPr>
        <w:pStyle w:val="24"/>
        <w:widowControl w:val="0"/>
        <w:ind w:firstLine="183"/>
        <w:rPr>
          <w:rFonts w:ascii="华文仿宋"/>
          <w:color w:val="000000"/>
        </w:rPr>
      </w:pPr>
    </w:p>
    <w:p w14:paraId="4D09215E">
      <w:pPr>
        <w:pStyle w:val="24"/>
        <w:widowControl w:val="0"/>
        <w:ind w:firstLine="183"/>
        <w:rPr>
          <w:rFonts w:ascii="华文仿宋"/>
          <w:color w:val="000000"/>
        </w:rPr>
      </w:pPr>
    </w:p>
    <w:p w14:paraId="7DF272D7">
      <w:pPr>
        <w:pStyle w:val="24"/>
        <w:widowControl w:val="0"/>
        <w:ind w:firstLine="183"/>
        <w:rPr>
          <w:rFonts w:ascii="华文仿宋"/>
          <w:color w:val="000000"/>
        </w:rPr>
      </w:pPr>
    </w:p>
    <w:p w14:paraId="1656751B">
      <w:pPr>
        <w:pStyle w:val="24"/>
        <w:widowControl w:val="0"/>
        <w:ind w:firstLine="183"/>
        <w:rPr>
          <w:rFonts w:ascii="华文仿宋"/>
          <w:color w:val="000000"/>
        </w:rPr>
      </w:pPr>
    </w:p>
    <w:p w14:paraId="1CB6A421">
      <w:pPr>
        <w:pStyle w:val="24"/>
        <w:widowControl w:val="0"/>
        <w:ind w:firstLine="183"/>
        <w:rPr>
          <w:rFonts w:ascii="华文仿宋"/>
          <w:color w:val="000000"/>
        </w:rPr>
      </w:pPr>
    </w:p>
    <w:p w14:paraId="6CB62DBD">
      <w:pPr>
        <w:pStyle w:val="24"/>
        <w:widowControl w:val="0"/>
        <w:ind w:firstLine="183"/>
        <w:rPr>
          <w:rFonts w:ascii="华文仿宋"/>
          <w:color w:val="000000"/>
        </w:rPr>
      </w:pPr>
    </w:p>
    <w:p w14:paraId="104E531D">
      <w:pPr>
        <w:pStyle w:val="24"/>
        <w:widowControl w:val="0"/>
        <w:ind w:firstLine="183"/>
        <w:rPr>
          <w:rFonts w:ascii="华文仿宋"/>
          <w:color w:val="000000"/>
        </w:rPr>
      </w:pPr>
    </w:p>
    <w:p w14:paraId="1613ED11">
      <w:pPr>
        <w:pStyle w:val="24"/>
        <w:widowControl w:val="0"/>
        <w:ind w:firstLine="183"/>
        <w:rPr>
          <w:rFonts w:ascii="华文仿宋"/>
          <w:color w:val="000000"/>
        </w:rPr>
      </w:pPr>
    </w:p>
    <w:p w14:paraId="062581F3">
      <w:pPr>
        <w:pStyle w:val="24"/>
        <w:widowControl w:val="0"/>
        <w:ind w:firstLine="183"/>
        <w:rPr>
          <w:rFonts w:ascii="华文仿宋"/>
          <w:color w:val="000000"/>
        </w:rPr>
      </w:pPr>
    </w:p>
    <w:p w14:paraId="6AAA4844">
      <w:pPr>
        <w:pStyle w:val="24"/>
        <w:widowControl w:val="0"/>
        <w:ind w:firstLine="183"/>
        <w:rPr>
          <w:rFonts w:ascii="华文仿宋"/>
          <w:color w:val="000000"/>
        </w:rPr>
      </w:pPr>
    </w:p>
    <w:p w14:paraId="28B6FDAD">
      <w:pPr>
        <w:pStyle w:val="24"/>
        <w:widowControl w:val="0"/>
        <w:ind w:firstLine="0" w:firstLineChars="0"/>
        <w:rPr>
          <w:rFonts w:ascii="华文仿宋"/>
          <w:color w:val="000000"/>
        </w:rPr>
      </w:pPr>
    </w:p>
    <w:p w14:paraId="713F9524">
      <w:pPr>
        <w:rPr>
          <w:rFonts w:hint="eastAsia" w:ascii="黑体" w:hAnsi="黑体" w:eastAsia="黑体" w:cs="黑体"/>
          <w:b w:val="0"/>
          <w:bCs w:val="0"/>
          <w:color w:val="000000"/>
        </w:rPr>
      </w:pPr>
      <w:bookmarkStart w:id="642" w:name="_Toc23551"/>
      <w:bookmarkStart w:id="643" w:name="_Toc25329"/>
      <w:bookmarkStart w:id="644" w:name="_Toc22417"/>
      <w:bookmarkStart w:id="645" w:name="_Toc11106"/>
      <w:r>
        <w:rPr>
          <w:rFonts w:hint="eastAsia" w:ascii="黑体" w:hAnsi="黑体" w:eastAsia="黑体" w:cs="黑体"/>
          <w:b w:val="0"/>
          <w:bCs w:val="0"/>
          <w:color w:val="000000"/>
        </w:rPr>
        <w:br w:type="page"/>
      </w:r>
      <w:bookmarkStart w:id="646" w:name="_Toc681"/>
      <w:bookmarkStart w:id="647" w:name="_Toc15670"/>
    </w:p>
    <w:p w14:paraId="42642342">
      <w:pPr>
        <w:pStyle w:val="24"/>
        <w:widowControl w:val="0"/>
        <w:spacing w:afterLines="0" w:line="500" w:lineRule="exact"/>
        <w:ind w:firstLine="606" w:firstLineChars="200"/>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、特定资格要求</w:t>
      </w:r>
    </w:p>
    <w:p w14:paraId="11AB61E0">
      <w:pPr>
        <w:pStyle w:val="43"/>
        <w:pageBreakBefore w:val="0"/>
        <w:kinsoku/>
        <w:overflowPunct/>
        <w:topLinePunct w:val="0"/>
        <w:autoSpaceDE/>
        <w:autoSpaceDN/>
        <w:bidi w:val="0"/>
        <w:adjustRightInd/>
        <w:snapToGrid/>
        <w:spacing w:after="0" w:line="500" w:lineRule="exact"/>
        <w:ind w:left="0" w:leftChars="0" w:firstLine="566" w:firstLineChars="200"/>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本项目采购内容以物业服务为主，其中涉及保安服务的，须以承诺书形式提供以下资料（承诺书格式不限），以下两种形式提供其中任意一种均可：</w:t>
      </w:r>
    </w:p>
    <w:p w14:paraId="00D02A21">
      <w:pPr>
        <w:pStyle w:val="43"/>
        <w:pageBreakBefore w:val="0"/>
        <w:kinsoku/>
        <w:overflowPunct/>
        <w:topLinePunct w:val="0"/>
        <w:autoSpaceDE/>
        <w:autoSpaceDN/>
        <w:bidi w:val="0"/>
        <w:adjustRightInd/>
        <w:snapToGrid/>
        <w:spacing w:after="0" w:line="500" w:lineRule="exact"/>
        <w:ind w:left="0" w:leftChars="0" w:firstLine="566" w:firstLineChars="200"/>
        <w:textAlignment w:val="auto"/>
        <w:rPr>
          <w:rFonts w:hint="eastAsia" w:ascii="仿宋" w:hAnsi="仿宋" w:eastAsia="仿宋" w:cs="仿宋"/>
          <w:kern w:val="2"/>
          <w:sz w:val="28"/>
          <w:szCs w:val="28"/>
          <w:highlight w:val="none"/>
          <w:lang w:eastAsia="zh-CN"/>
        </w:rPr>
      </w:pPr>
      <w:r>
        <w:rPr>
          <w:rFonts w:hint="eastAsia" w:ascii="仿宋" w:hAnsi="仿宋" w:eastAsia="仿宋" w:cs="仿宋"/>
          <w:kern w:val="2"/>
          <w:sz w:val="28"/>
          <w:szCs w:val="28"/>
          <w:lang w:eastAsia="zh-CN"/>
        </w:rPr>
        <w:t>（1）自行招用保安员的</w:t>
      </w:r>
      <w:r>
        <w:rPr>
          <w:rFonts w:hint="eastAsia" w:ascii="仿宋" w:hAnsi="仿宋" w:eastAsia="仿宋" w:cs="仿宋"/>
          <w:kern w:val="2"/>
          <w:sz w:val="28"/>
          <w:szCs w:val="28"/>
          <w:highlight w:val="none"/>
          <w:lang w:val="en-US" w:eastAsia="zh-CN"/>
        </w:rPr>
        <w:t>供应商</w:t>
      </w:r>
      <w:r>
        <w:rPr>
          <w:rFonts w:hint="eastAsia" w:ascii="仿宋" w:hAnsi="仿宋" w:eastAsia="仿宋" w:cs="仿宋"/>
          <w:kern w:val="2"/>
          <w:sz w:val="28"/>
          <w:szCs w:val="28"/>
          <w:highlight w:val="none"/>
          <w:lang w:eastAsia="zh-CN"/>
        </w:rPr>
        <w:t>须承诺：自承接本项目之日起30日内，向采购人所在地设区的市级人民政府公安机关备案。</w:t>
      </w:r>
    </w:p>
    <w:p w14:paraId="2223C741">
      <w:pPr>
        <w:spacing w:line="500" w:lineRule="exact"/>
        <w:ind w:firstLine="566" w:firstLineChars="200"/>
        <w:rPr>
          <w:rFonts w:hint="eastAsia" w:ascii="黑体" w:hAnsi="黑体" w:eastAsia="黑体" w:cs="黑体"/>
          <w:b w:val="0"/>
          <w:bCs w:val="0"/>
          <w:color w:val="000000"/>
        </w:rPr>
      </w:pPr>
      <w:r>
        <w:rPr>
          <w:rFonts w:hint="eastAsia" w:ascii="仿宋" w:hAnsi="仿宋" w:eastAsia="仿宋" w:cs="仿宋"/>
          <w:kern w:val="2"/>
          <w:sz w:val="28"/>
          <w:szCs w:val="28"/>
          <w:highlight w:val="none"/>
          <w:lang w:eastAsia="zh-CN"/>
        </w:rPr>
        <w:t>（2）从保安服务公司购买保安服务的</w:t>
      </w:r>
      <w:r>
        <w:rPr>
          <w:rFonts w:hint="eastAsia" w:ascii="仿宋" w:hAnsi="仿宋" w:eastAsia="仿宋" w:cs="仿宋"/>
          <w:kern w:val="2"/>
          <w:sz w:val="28"/>
          <w:szCs w:val="28"/>
          <w:highlight w:val="none"/>
          <w:lang w:val="en-US" w:eastAsia="zh-CN"/>
        </w:rPr>
        <w:t>供应商</w:t>
      </w:r>
      <w:r>
        <w:rPr>
          <w:rFonts w:hint="eastAsia" w:ascii="仿宋" w:hAnsi="仿宋" w:eastAsia="仿宋" w:cs="仿宋"/>
          <w:kern w:val="2"/>
          <w:sz w:val="28"/>
          <w:szCs w:val="28"/>
          <w:lang w:eastAsia="zh-CN"/>
        </w:rPr>
        <w:t>须承诺：</w:t>
      </w:r>
      <w:r>
        <w:rPr>
          <w:rFonts w:hint="eastAsia" w:ascii="仿宋" w:hAnsi="仿宋" w:eastAsia="仿宋" w:cs="仿宋"/>
          <w:kern w:val="2"/>
          <w:sz w:val="28"/>
          <w:szCs w:val="28"/>
          <w:lang w:val="en-US" w:eastAsia="zh-CN"/>
        </w:rPr>
        <w:t>成交</w:t>
      </w:r>
      <w:r>
        <w:rPr>
          <w:rFonts w:hint="eastAsia" w:ascii="仿宋" w:hAnsi="仿宋" w:eastAsia="仿宋" w:cs="仿宋"/>
          <w:kern w:val="2"/>
          <w:sz w:val="28"/>
          <w:szCs w:val="28"/>
          <w:lang w:eastAsia="zh-CN"/>
        </w:rPr>
        <w:t>后</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lang w:eastAsia="zh-CN"/>
        </w:rPr>
        <w:t>日内，与保安服务公司签订保安服务合同，明确规定服务的项目、内容以及双方的权利义务，以满足本项目采购人的保安服务需求。</w:t>
      </w:r>
      <w:r>
        <w:rPr>
          <w:rFonts w:hint="eastAsia" w:ascii="黑体" w:hAnsi="黑体" w:eastAsia="黑体" w:cs="黑体"/>
          <w:b w:val="0"/>
          <w:bCs w:val="0"/>
          <w:color w:val="000000"/>
        </w:rPr>
        <w:br w:type="page"/>
      </w:r>
    </w:p>
    <w:p w14:paraId="42A546A8">
      <w:pPr>
        <w:pStyle w:val="47"/>
        <w:widowControl w:val="0"/>
        <w:spacing w:line="500" w:lineRule="exact"/>
        <w:rPr>
          <w:rFonts w:hint="eastAsia" w:ascii="黑体" w:hAnsi="黑体" w:eastAsia="黑体" w:cs="Times New Roman"/>
          <w:b w:val="0"/>
          <w:bCs w:val="0"/>
          <w:color w:val="000000"/>
        </w:rPr>
      </w:pPr>
      <w:r>
        <w:rPr>
          <w:rFonts w:hint="eastAsia" w:ascii="黑体" w:hAnsi="黑体" w:eastAsia="黑体" w:cs="黑体"/>
          <w:b w:val="0"/>
          <w:bCs w:val="0"/>
          <w:color w:val="000000"/>
        </w:rPr>
        <w:t>第二部分  符合性证明文件</w:t>
      </w:r>
      <w:bookmarkEnd w:id="628"/>
      <w:bookmarkEnd w:id="642"/>
      <w:bookmarkEnd w:id="643"/>
      <w:bookmarkEnd w:id="644"/>
      <w:bookmarkEnd w:id="645"/>
      <w:bookmarkEnd w:id="646"/>
      <w:bookmarkEnd w:id="647"/>
    </w:p>
    <w:p w14:paraId="72E8A029">
      <w:pPr>
        <w:pStyle w:val="47"/>
        <w:widowControl w:val="0"/>
        <w:spacing w:before="190" w:beforeLines="50" w:line="500" w:lineRule="exact"/>
        <w:ind w:firstLine="606" w:firstLineChars="200"/>
        <w:jc w:val="both"/>
        <w:rPr>
          <w:rFonts w:hint="eastAsia" w:ascii="仿宋" w:hAnsi="仿宋" w:eastAsia="仿宋" w:cs="Times New Roman"/>
          <w:color w:val="000000"/>
        </w:rPr>
      </w:pPr>
      <w:bookmarkStart w:id="648" w:name="_Toc5204"/>
      <w:bookmarkStart w:id="649" w:name="_Toc16480"/>
      <w:bookmarkStart w:id="650" w:name="_Toc4254"/>
      <w:bookmarkStart w:id="651" w:name="_Toc16590"/>
      <w:bookmarkStart w:id="652" w:name="_Toc17687"/>
      <w:bookmarkStart w:id="653" w:name="_Toc26064"/>
      <w:bookmarkStart w:id="654" w:name="_Toc23035"/>
      <w:bookmarkStart w:id="655" w:name="_Toc26252"/>
      <w:bookmarkStart w:id="656" w:name="_Toc4366"/>
      <w:bookmarkStart w:id="657" w:name="_Toc9124"/>
      <w:bookmarkStart w:id="658" w:name="_Toc1167"/>
      <w:bookmarkStart w:id="659" w:name="_Toc4753"/>
      <w:bookmarkStart w:id="660" w:name="_Toc31044"/>
      <w:bookmarkStart w:id="661" w:name="_Toc4834"/>
      <w:bookmarkStart w:id="662" w:name="_Toc32108"/>
      <w:bookmarkStart w:id="663" w:name="_Toc26288"/>
      <w:bookmarkStart w:id="664" w:name="_Toc30414"/>
      <w:bookmarkStart w:id="665" w:name="_Toc1620"/>
      <w:bookmarkStart w:id="666" w:name="_Toc30709"/>
      <w:r>
        <w:rPr>
          <w:rFonts w:hint="eastAsia" w:ascii="仿宋" w:hAnsi="仿宋" w:eastAsia="仿宋" w:cs="仿宋"/>
          <w:color w:val="000000"/>
          <w:sz w:val="30"/>
          <w:szCs w:val="30"/>
        </w:rPr>
        <w:t>一、响应函格式</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F13ABEC">
      <w:pPr>
        <w:pStyle w:val="47"/>
        <w:widowControl w:val="0"/>
        <w:spacing w:line="500" w:lineRule="exact"/>
        <w:outlineLvl w:val="9"/>
        <w:rPr>
          <w:rFonts w:hint="eastAsia" w:ascii="黑体" w:hAnsi="黑体" w:eastAsia="黑体" w:cs="Times New Roman"/>
          <w:b w:val="0"/>
          <w:bCs w:val="0"/>
          <w:color w:val="000000"/>
        </w:rPr>
      </w:pPr>
      <w:bookmarkStart w:id="667" w:name="_Toc30597"/>
      <w:bookmarkStart w:id="668" w:name="_Toc21850"/>
      <w:bookmarkStart w:id="669" w:name="_Toc19672"/>
      <w:bookmarkStart w:id="670" w:name="_Toc16608"/>
      <w:bookmarkStart w:id="671" w:name="_Toc23615"/>
      <w:bookmarkStart w:id="672" w:name="_Toc17151"/>
      <w:bookmarkStart w:id="673" w:name="_Toc5467"/>
      <w:bookmarkStart w:id="674" w:name="_Toc528596088"/>
      <w:bookmarkStart w:id="675" w:name="_Toc6798"/>
      <w:bookmarkStart w:id="676" w:name="_Toc18782"/>
      <w:bookmarkStart w:id="677" w:name="_Toc29087"/>
      <w:bookmarkStart w:id="678" w:name="_Toc23313"/>
      <w:bookmarkStart w:id="679" w:name="_Toc2848"/>
      <w:bookmarkStart w:id="680" w:name="_Toc18135"/>
      <w:bookmarkStart w:id="681" w:name="_Toc12334"/>
      <w:bookmarkStart w:id="682" w:name="_Toc16759"/>
      <w:bookmarkStart w:id="683" w:name="_Toc20547"/>
      <w:r>
        <w:rPr>
          <w:rFonts w:hint="eastAsia" w:ascii="黑体" w:hAnsi="黑体" w:eastAsia="黑体" w:cs="黑体"/>
          <w:b w:val="0"/>
          <w:bCs w:val="0"/>
          <w:color w:val="000000"/>
        </w:rPr>
        <w:t>响应函</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6E6B6D6A">
      <w:pPr>
        <w:pStyle w:val="46"/>
        <w:widowControl w:val="0"/>
        <w:spacing w:line="500" w:lineRule="exact"/>
        <w:ind w:firstLine="0" w:firstLineChars="0"/>
        <w:rPr>
          <w:rFonts w:hint="eastAsia" w:ascii="仿宋" w:hAnsi="仿宋" w:eastAsia="仿宋" w:cs="Times New Roman"/>
          <w:color w:val="000000"/>
          <w:lang w:val="zh-CN"/>
        </w:rPr>
      </w:pPr>
      <w:r>
        <w:rPr>
          <w:rFonts w:hint="eastAsia" w:ascii="仿宋" w:hAnsi="仿宋" w:eastAsia="仿宋" w:cs="仿宋"/>
          <w:color w:val="000000"/>
        </w:rPr>
        <w:t>陕西省省级单位政府采购中心</w:t>
      </w:r>
      <w:r>
        <w:rPr>
          <w:rFonts w:hint="eastAsia" w:ascii="仿宋" w:hAnsi="仿宋" w:eastAsia="仿宋" w:cs="仿宋"/>
          <w:color w:val="000000"/>
          <w:lang w:val="zh-CN"/>
        </w:rPr>
        <w:t>：</w:t>
      </w:r>
    </w:p>
    <w:p w14:paraId="7E45B8EB">
      <w:pPr>
        <w:widowControl w:val="0"/>
        <w:spacing w:line="500" w:lineRule="exact"/>
        <w:ind w:right="11" w:firstLine="566" w:firstLineChars="200"/>
        <w:rPr>
          <w:rFonts w:hint="eastAsia" w:ascii="仿宋" w:hAnsi="仿宋" w:eastAsia="仿宋" w:cs="仿宋"/>
          <w:color w:val="000000"/>
        </w:rPr>
      </w:pPr>
      <w:r>
        <w:rPr>
          <w:rFonts w:hint="eastAsia" w:ascii="仿宋" w:hAnsi="仿宋" w:eastAsia="仿宋" w:cs="仿宋"/>
          <w:color w:val="000000"/>
        </w:rPr>
        <w:t>我方收到贵中心发布的《</w:t>
      </w:r>
      <w:r>
        <w:rPr>
          <w:rFonts w:hint="eastAsia" w:ascii="仿宋" w:hAnsi="仿宋" w:eastAsia="仿宋" w:cs="仿宋"/>
          <w:color w:val="000000"/>
          <w:u w:val="single"/>
        </w:rPr>
        <w:t>项目名称</w:t>
      </w:r>
      <w:r>
        <w:rPr>
          <w:rFonts w:hint="eastAsia" w:ascii="仿宋" w:hAnsi="仿宋" w:eastAsia="仿宋" w:cs="仿宋"/>
          <w:color w:val="000000"/>
        </w:rPr>
        <w:t>》（项目编号：</w:t>
      </w:r>
      <w:r>
        <w:rPr>
          <w:rFonts w:hint="eastAsia" w:ascii="仿宋" w:hAnsi="仿宋" w:eastAsia="仿宋" w:cs="仿宋"/>
          <w:color w:val="000000"/>
          <w:u w:val="single"/>
        </w:rPr>
        <w:t xml:space="preserve">         </w:t>
      </w:r>
      <w:r>
        <w:rPr>
          <w:rFonts w:hint="eastAsia" w:ascii="仿宋" w:hAnsi="仿宋" w:eastAsia="仿宋" w:cs="仿宋"/>
          <w:color w:val="000000"/>
        </w:rPr>
        <w:t>）第</w:t>
      </w:r>
      <w:r>
        <w:rPr>
          <w:rFonts w:hint="eastAsia" w:ascii="仿宋" w:hAnsi="仿宋" w:eastAsia="仿宋" w:cs="仿宋"/>
          <w:color w:val="000000"/>
          <w:u w:val="single"/>
        </w:rPr>
        <w:t xml:space="preserve">  </w:t>
      </w:r>
      <w:r>
        <w:rPr>
          <w:rFonts w:hint="eastAsia" w:ascii="仿宋" w:hAnsi="仿宋" w:eastAsia="仿宋" w:cs="仿宋"/>
          <w:color w:val="000000"/>
        </w:rPr>
        <w:t>标段磋商文件，经详细研究，我方决定参加该项目第</w:t>
      </w:r>
      <w:r>
        <w:rPr>
          <w:rFonts w:hint="eastAsia" w:ascii="仿宋" w:hAnsi="仿宋" w:eastAsia="仿宋" w:cs="仿宋"/>
          <w:color w:val="000000"/>
          <w:u w:val="single"/>
        </w:rPr>
        <w:t xml:space="preserve">  </w:t>
      </w:r>
      <w:r>
        <w:rPr>
          <w:rFonts w:hint="eastAsia" w:ascii="仿宋" w:hAnsi="仿宋" w:eastAsia="仿宋" w:cs="仿宋"/>
          <w:color w:val="000000"/>
        </w:rPr>
        <w:t>标段磋商活动。为此，我方郑重声明以下诸点，并负法律责任。</w:t>
      </w:r>
    </w:p>
    <w:p w14:paraId="6E49DA5D">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一、我方已详细阅读了磋商文件，完全理解并同意磋商文件的所有事项及内容。</w:t>
      </w:r>
    </w:p>
    <w:p w14:paraId="625D719A">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04A693F3">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三、我方同意向贵方提供与本磋商有关的任何证明材料，保证所提交的证明材料真实、合法、有效。我方理解最低价不是中标的唯一条件，并尊重磋商小组的评审结果。</w:t>
      </w:r>
    </w:p>
    <w:p w14:paraId="23395C07">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四、我方愿意按照磋商文件中的一切要求，完成本项目合同责任和义务。</w:t>
      </w:r>
    </w:p>
    <w:p w14:paraId="6B909B0B">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五、我方提交的</w:t>
      </w:r>
      <w:r>
        <w:rPr>
          <w:rFonts w:hint="eastAsia" w:ascii="仿宋" w:hAnsi="仿宋" w:eastAsia="仿宋" w:cs="仿宋"/>
          <w:b/>
          <w:bCs/>
          <w:color w:val="000000"/>
        </w:rPr>
        <w:t>电子响应文件</w:t>
      </w:r>
      <w:r>
        <w:rPr>
          <w:rFonts w:hint="eastAsia" w:ascii="仿宋" w:hAnsi="仿宋" w:eastAsia="仿宋" w:cs="仿宋"/>
          <w:b/>
          <w:bCs/>
          <w:color w:val="000000"/>
          <w:u w:val="single"/>
        </w:rPr>
        <w:t>1</w:t>
      </w:r>
      <w:r>
        <w:rPr>
          <w:rFonts w:hint="eastAsia" w:ascii="仿宋" w:hAnsi="仿宋" w:eastAsia="仿宋" w:cs="仿宋"/>
          <w:b/>
          <w:bCs/>
          <w:color w:val="000000"/>
        </w:rPr>
        <w:t>份</w:t>
      </w:r>
      <w:r>
        <w:rPr>
          <w:rFonts w:hint="eastAsia" w:ascii="仿宋" w:hAnsi="仿宋" w:eastAsia="仿宋" w:cs="仿宋"/>
          <w:color w:val="000000"/>
        </w:rPr>
        <w:t>。</w:t>
      </w:r>
    </w:p>
    <w:p w14:paraId="70601B1B">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lang w:eastAsia="zh-CN"/>
        </w:rPr>
        <w:t>六</w:t>
      </w:r>
      <w:r>
        <w:rPr>
          <w:rFonts w:hint="eastAsia" w:ascii="仿宋" w:hAnsi="仿宋" w:eastAsia="仿宋" w:cs="仿宋"/>
          <w:color w:val="000000"/>
        </w:rPr>
        <w:t>、开标后在规定的投标有效期内撤回投标，我们愿接受政府采购的有关处罚决定。</w:t>
      </w:r>
    </w:p>
    <w:p w14:paraId="273D3313">
      <w:pPr>
        <w:widowControl w:val="0"/>
        <w:autoSpaceDE w:val="0"/>
        <w:autoSpaceDN w:val="0"/>
        <w:adjustRightInd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lang w:eastAsia="zh-CN"/>
        </w:rPr>
        <w:t>七</w:t>
      </w:r>
      <w:r>
        <w:rPr>
          <w:rFonts w:hint="eastAsia" w:ascii="仿宋" w:hAnsi="仿宋" w:eastAsia="仿宋" w:cs="仿宋"/>
          <w:color w:val="000000"/>
        </w:rPr>
        <w:t>、我方的响应文件在开标之日起</w:t>
      </w:r>
      <w:r>
        <w:rPr>
          <w:rFonts w:hint="eastAsia" w:ascii="仿宋" w:hAnsi="仿宋" w:eastAsia="仿宋" w:cs="仿宋"/>
          <w:b/>
          <w:bCs/>
          <w:color w:val="000000"/>
          <w:u w:val="single"/>
        </w:rPr>
        <w:t>90</w:t>
      </w:r>
      <w:r>
        <w:rPr>
          <w:rFonts w:hint="eastAsia" w:ascii="仿宋" w:hAnsi="仿宋" w:eastAsia="仿宋" w:cs="仿宋"/>
          <w:color w:val="000000"/>
        </w:rPr>
        <w:t>个日历日内有效，如成交，延长至合同执行完毕时止。</w:t>
      </w:r>
    </w:p>
    <w:p w14:paraId="0CDFEF8A">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lang w:eastAsia="zh-CN"/>
        </w:rPr>
        <w:t>八</w:t>
      </w:r>
      <w:r>
        <w:rPr>
          <w:rFonts w:hint="eastAsia" w:ascii="仿宋" w:hAnsi="仿宋" w:eastAsia="仿宋" w:cs="仿宋"/>
          <w:color w:val="000000"/>
        </w:rPr>
        <w:t>、所有关于此次磋商活动的函电，请按下列地址联系：</w:t>
      </w:r>
    </w:p>
    <w:p w14:paraId="2FC682C6">
      <w:pPr>
        <w:pStyle w:val="46"/>
        <w:widowControl w:val="0"/>
        <w:spacing w:line="500" w:lineRule="exact"/>
        <w:ind w:firstLine="567"/>
        <w:rPr>
          <w:rFonts w:hint="eastAsia" w:ascii="仿宋" w:hAnsi="仿宋" w:eastAsia="仿宋" w:cs="仿宋"/>
          <w:color w:val="000000"/>
        </w:rPr>
      </w:pPr>
    </w:p>
    <w:p w14:paraId="2BEAD108">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w:t>
      </w:r>
    </w:p>
    <w:p w14:paraId="390A2F88">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地址：</w:t>
      </w:r>
    </w:p>
    <w:p w14:paraId="0A719FD1">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开户银行：</w:t>
      </w:r>
    </w:p>
    <w:p w14:paraId="03F79353">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账号：</w:t>
      </w:r>
    </w:p>
    <w:p w14:paraId="5EF5707F">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电话：</w:t>
      </w:r>
    </w:p>
    <w:p w14:paraId="72B67009">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传真：</w:t>
      </w:r>
    </w:p>
    <w:p w14:paraId="228CE6C2">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邮编：</w:t>
      </w:r>
    </w:p>
    <w:p w14:paraId="4F5CE072">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电子邮箱：</w:t>
      </w:r>
    </w:p>
    <w:p w14:paraId="0EFBEDCA">
      <w:pPr>
        <w:pStyle w:val="46"/>
        <w:widowControl w:val="0"/>
        <w:spacing w:line="500" w:lineRule="exact"/>
        <w:ind w:firstLine="567"/>
        <w:rPr>
          <w:rFonts w:hint="eastAsia" w:ascii="仿宋" w:hAnsi="仿宋" w:eastAsia="仿宋" w:cs="仿宋"/>
          <w:color w:val="000000"/>
        </w:rPr>
      </w:pPr>
      <w:r>
        <w:rPr>
          <w:rFonts w:hint="eastAsia" w:ascii="仿宋" w:hAnsi="仿宋" w:eastAsia="仿宋" w:cs="仿宋"/>
          <w:color w:val="000000"/>
        </w:rPr>
        <w:t>日期：　　年　月　日</w:t>
      </w:r>
    </w:p>
    <w:p w14:paraId="1D6AC455">
      <w:pPr>
        <w:pStyle w:val="46"/>
        <w:widowControl w:val="0"/>
        <w:ind w:firstLine="0" w:firstLineChars="0"/>
        <w:rPr>
          <w:rFonts w:cs="Times New Roman"/>
          <w:color w:val="000000"/>
          <w:sz w:val="36"/>
          <w:szCs w:val="36"/>
        </w:rPr>
      </w:pPr>
    </w:p>
    <w:p w14:paraId="18F65028">
      <w:pPr>
        <w:pStyle w:val="46"/>
        <w:widowControl w:val="0"/>
        <w:ind w:firstLine="0" w:firstLineChars="0"/>
        <w:rPr>
          <w:rFonts w:cs="Times New Roman"/>
          <w:color w:val="000000"/>
          <w:sz w:val="36"/>
          <w:szCs w:val="36"/>
        </w:rPr>
      </w:pPr>
    </w:p>
    <w:p w14:paraId="43A789A8">
      <w:pPr>
        <w:pStyle w:val="46"/>
        <w:widowControl w:val="0"/>
        <w:ind w:firstLine="0" w:firstLineChars="0"/>
        <w:rPr>
          <w:rFonts w:cs="Times New Roman"/>
          <w:color w:val="000000"/>
          <w:sz w:val="36"/>
          <w:szCs w:val="36"/>
        </w:rPr>
      </w:pPr>
    </w:p>
    <w:p w14:paraId="7B1B8E6F">
      <w:pPr>
        <w:pStyle w:val="46"/>
        <w:widowControl w:val="0"/>
        <w:ind w:firstLine="426"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备注：</w:t>
      </w:r>
    </w:p>
    <w:p w14:paraId="24B12F16">
      <w:pPr>
        <w:pStyle w:val="46"/>
        <w:widowControl w:val="0"/>
        <w:ind w:firstLine="426" w:firstLineChars="200"/>
        <w:rPr>
          <w:rFonts w:hint="eastAsia" w:ascii="宋体" w:hAnsi="宋体" w:eastAsia="宋体" w:cs="Times New Roman"/>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、项目不分标段的，第</w:t>
      </w:r>
      <w:r>
        <w:rPr>
          <w:rFonts w:ascii="宋体" w:hAnsi="宋体" w:eastAsia="宋体" w:cs="宋体"/>
          <w:color w:val="000000"/>
          <w:sz w:val="21"/>
          <w:szCs w:val="21"/>
        </w:rPr>
        <w:t>___</w:t>
      </w:r>
      <w:r>
        <w:rPr>
          <w:rFonts w:hint="eastAsia" w:ascii="宋体" w:hAnsi="宋体" w:eastAsia="宋体" w:cs="宋体"/>
          <w:color w:val="000000"/>
          <w:sz w:val="21"/>
          <w:szCs w:val="21"/>
        </w:rPr>
        <w:t>标段空白处填写“</w:t>
      </w:r>
      <w:r>
        <w:rPr>
          <w:rFonts w:ascii="宋体" w:hAnsi="宋体" w:eastAsia="宋体" w:cs="宋体"/>
          <w:color w:val="000000"/>
          <w:sz w:val="21"/>
          <w:szCs w:val="21"/>
        </w:rPr>
        <w:t>/</w:t>
      </w:r>
      <w:r>
        <w:rPr>
          <w:rFonts w:hint="eastAsia" w:ascii="宋体" w:hAnsi="宋体" w:eastAsia="宋体" w:cs="宋体"/>
          <w:color w:val="000000"/>
          <w:sz w:val="21"/>
          <w:szCs w:val="21"/>
        </w:rPr>
        <w:t>”。</w:t>
      </w:r>
    </w:p>
    <w:p w14:paraId="7EC8D07C">
      <w:pPr>
        <w:pStyle w:val="46"/>
        <w:widowControl w:val="0"/>
        <w:ind w:firstLine="426" w:firstLineChars="200"/>
        <w:rPr>
          <w:rFonts w:hint="eastAsia" w:ascii="宋体" w:hAnsi="宋体" w:eastAsia="宋体" w:cs="Times New Roman"/>
          <w:color w:val="000000"/>
          <w:sz w:val="21"/>
          <w:szCs w:val="21"/>
        </w:rPr>
      </w:pPr>
      <w:r>
        <w:rPr>
          <w:rFonts w:ascii="宋体" w:hAnsi="宋体" w:eastAsia="宋体" w:cs="宋体"/>
          <w:color w:val="000000"/>
          <w:sz w:val="21"/>
          <w:szCs w:val="21"/>
        </w:rPr>
        <w:t>2</w:t>
      </w:r>
      <w:r>
        <w:rPr>
          <w:rFonts w:hint="eastAsia" w:ascii="宋体" w:hAnsi="宋体" w:eastAsia="宋体" w:cs="宋体"/>
          <w:color w:val="000000"/>
          <w:sz w:val="21"/>
          <w:szCs w:val="21"/>
        </w:rPr>
        <w:t>、除可填报项目外，对本响应函的任何实质性内容修改将被视为非实质性响应，在评审时将其视为无效响应。</w:t>
      </w:r>
    </w:p>
    <w:p w14:paraId="30C6714A">
      <w:pPr>
        <w:pStyle w:val="46"/>
        <w:widowControl w:val="0"/>
        <w:ind w:firstLine="0" w:firstLineChars="0"/>
        <w:rPr>
          <w:rFonts w:hint="eastAsia" w:ascii="宋体" w:hAnsi="宋体" w:eastAsia="宋体" w:cs="Times New Roman"/>
          <w:b/>
          <w:bCs/>
          <w:color w:val="000000"/>
          <w:sz w:val="21"/>
          <w:szCs w:val="21"/>
        </w:rPr>
      </w:pPr>
    </w:p>
    <w:p w14:paraId="0DDBD3B9">
      <w:pPr>
        <w:pStyle w:val="46"/>
        <w:widowControl w:val="0"/>
        <w:ind w:firstLine="0" w:firstLineChars="0"/>
        <w:rPr>
          <w:rFonts w:hint="eastAsia" w:ascii="黑体" w:hAnsi="黑体" w:eastAsia="黑体" w:cs="Times New Roman"/>
          <w:color w:val="000000"/>
          <w:sz w:val="32"/>
          <w:szCs w:val="32"/>
        </w:rPr>
      </w:pPr>
    </w:p>
    <w:p w14:paraId="2DA52B97">
      <w:pPr>
        <w:pStyle w:val="46"/>
        <w:widowControl w:val="0"/>
        <w:ind w:firstLine="0" w:firstLineChars="0"/>
        <w:rPr>
          <w:rFonts w:hint="eastAsia" w:ascii="黑体" w:hAnsi="黑体" w:eastAsia="黑体" w:cs="Times New Roman"/>
          <w:color w:val="000000"/>
          <w:sz w:val="32"/>
          <w:szCs w:val="32"/>
        </w:rPr>
      </w:pPr>
    </w:p>
    <w:p w14:paraId="59943DB4">
      <w:pPr>
        <w:pStyle w:val="46"/>
        <w:widowControl w:val="0"/>
        <w:ind w:firstLine="0" w:firstLineChars="0"/>
        <w:rPr>
          <w:rFonts w:hint="eastAsia" w:ascii="黑体" w:hAnsi="黑体" w:eastAsia="黑体" w:cs="Times New Roman"/>
          <w:color w:val="000000"/>
          <w:sz w:val="32"/>
          <w:szCs w:val="32"/>
        </w:rPr>
      </w:pPr>
    </w:p>
    <w:p w14:paraId="772D4E8A">
      <w:pPr>
        <w:pStyle w:val="46"/>
        <w:widowControl w:val="0"/>
        <w:ind w:firstLine="0" w:firstLineChars="0"/>
        <w:rPr>
          <w:rFonts w:hint="eastAsia" w:ascii="黑体" w:hAnsi="黑体" w:eastAsia="黑体" w:cs="Times New Roman"/>
          <w:color w:val="000000"/>
          <w:sz w:val="32"/>
          <w:szCs w:val="32"/>
        </w:rPr>
      </w:pPr>
    </w:p>
    <w:p w14:paraId="3B069BB3">
      <w:pPr>
        <w:pStyle w:val="46"/>
        <w:widowControl w:val="0"/>
        <w:ind w:firstLine="0" w:firstLineChars="0"/>
        <w:rPr>
          <w:rFonts w:hint="eastAsia" w:ascii="黑体" w:hAnsi="黑体" w:eastAsia="黑体" w:cs="Times New Roman"/>
          <w:color w:val="000000"/>
          <w:sz w:val="32"/>
          <w:szCs w:val="32"/>
        </w:rPr>
      </w:pPr>
    </w:p>
    <w:p w14:paraId="42A7F4C9">
      <w:pPr>
        <w:pStyle w:val="46"/>
        <w:widowControl w:val="0"/>
        <w:ind w:firstLine="0" w:firstLineChars="0"/>
        <w:rPr>
          <w:rFonts w:hint="eastAsia" w:ascii="黑体" w:hAnsi="黑体" w:eastAsia="黑体" w:cs="Times New Roman"/>
          <w:color w:val="000000"/>
          <w:sz w:val="32"/>
          <w:szCs w:val="32"/>
        </w:rPr>
      </w:pPr>
    </w:p>
    <w:p w14:paraId="56282AB8">
      <w:pPr>
        <w:pStyle w:val="46"/>
        <w:widowControl w:val="0"/>
        <w:ind w:firstLine="0" w:firstLineChars="0"/>
        <w:rPr>
          <w:rFonts w:hint="eastAsia" w:ascii="黑体" w:hAnsi="黑体" w:eastAsia="黑体" w:cs="Times New Roman"/>
          <w:color w:val="000000"/>
          <w:sz w:val="32"/>
          <w:szCs w:val="32"/>
        </w:rPr>
      </w:pPr>
    </w:p>
    <w:p w14:paraId="6BACD012">
      <w:pPr>
        <w:pStyle w:val="46"/>
        <w:widowControl w:val="0"/>
        <w:ind w:firstLine="0" w:firstLineChars="0"/>
        <w:rPr>
          <w:rFonts w:hint="eastAsia" w:ascii="黑体" w:hAnsi="黑体" w:eastAsia="黑体" w:cs="Times New Roman"/>
          <w:color w:val="000000"/>
          <w:sz w:val="32"/>
          <w:szCs w:val="32"/>
        </w:rPr>
      </w:pPr>
    </w:p>
    <w:p w14:paraId="6EC4E73C">
      <w:pPr>
        <w:pStyle w:val="46"/>
        <w:widowControl w:val="0"/>
        <w:ind w:firstLine="0" w:firstLineChars="0"/>
        <w:rPr>
          <w:rFonts w:hint="eastAsia" w:ascii="黑体" w:hAnsi="黑体" w:eastAsia="黑体" w:cs="Times New Roman"/>
          <w:color w:val="000000"/>
          <w:sz w:val="32"/>
          <w:szCs w:val="32"/>
        </w:rPr>
      </w:pPr>
    </w:p>
    <w:p w14:paraId="656B13FA">
      <w:pPr>
        <w:pStyle w:val="46"/>
        <w:widowControl w:val="0"/>
        <w:ind w:firstLine="0" w:firstLineChars="0"/>
        <w:rPr>
          <w:rFonts w:hint="eastAsia" w:ascii="黑体" w:hAnsi="黑体" w:eastAsia="黑体" w:cs="Times New Roman"/>
          <w:color w:val="000000"/>
          <w:sz w:val="32"/>
          <w:szCs w:val="32"/>
        </w:rPr>
      </w:pPr>
    </w:p>
    <w:p w14:paraId="5A1C24F2">
      <w:pPr>
        <w:pStyle w:val="46"/>
        <w:widowControl w:val="0"/>
        <w:ind w:firstLine="0" w:firstLineChars="0"/>
        <w:rPr>
          <w:rFonts w:hint="eastAsia" w:ascii="黑体" w:hAnsi="黑体" w:eastAsia="黑体" w:cs="Times New Roman"/>
          <w:color w:val="000000"/>
          <w:sz w:val="32"/>
          <w:szCs w:val="32"/>
        </w:rPr>
      </w:pPr>
    </w:p>
    <w:p w14:paraId="0CA21095">
      <w:pPr>
        <w:pStyle w:val="46"/>
        <w:widowControl w:val="0"/>
        <w:ind w:firstLine="0" w:firstLineChars="0"/>
        <w:rPr>
          <w:rFonts w:hint="eastAsia" w:ascii="黑体" w:hAnsi="黑体" w:eastAsia="黑体" w:cs="Times New Roman"/>
          <w:color w:val="000000"/>
          <w:sz w:val="32"/>
          <w:szCs w:val="32"/>
        </w:rPr>
      </w:pPr>
    </w:p>
    <w:p w14:paraId="05F4AFD1">
      <w:pPr>
        <w:pStyle w:val="46"/>
        <w:widowControl w:val="0"/>
        <w:ind w:firstLine="0" w:firstLineChars="0"/>
        <w:rPr>
          <w:rFonts w:hint="eastAsia" w:ascii="黑体" w:hAnsi="黑体" w:eastAsia="黑体" w:cs="Times New Roman"/>
          <w:color w:val="000000"/>
          <w:sz w:val="32"/>
          <w:szCs w:val="32"/>
        </w:rPr>
      </w:pPr>
    </w:p>
    <w:p w14:paraId="4CD1111D">
      <w:pPr>
        <w:widowControl w:val="0"/>
        <w:rPr>
          <w:rFonts w:hint="eastAsia" w:ascii="仿宋" w:hAnsi="仿宋" w:eastAsia="仿宋" w:cs="仿宋"/>
          <w:color w:val="000000"/>
        </w:rPr>
      </w:pPr>
      <w:bookmarkStart w:id="684" w:name="_Toc23720"/>
      <w:bookmarkStart w:id="685" w:name="_Toc28380"/>
      <w:bookmarkStart w:id="686" w:name="_Toc8061"/>
      <w:bookmarkStart w:id="687" w:name="_Toc26017"/>
      <w:bookmarkStart w:id="688" w:name="_Toc940"/>
      <w:bookmarkStart w:id="689" w:name="_Toc28620"/>
      <w:bookmarkStart w:id="690" w:name="_Toc15271"/>
      <w:bookmarkStart w:id="691" w:name="_Toc28261"/>
      <w:bookmarkStart w:id="692" w:name="_Toc5710"/>
      <w:bookmarkStart w:id="693" w:name="_Toc28505"/>
      <w:bookmarkStart w:id="694" w:name="_Toc14393"/>
      <w:bookmarkStart w:id="695" w:name="_Toc27965"/>
      <w:bookmarkStart w:id="696" w:name="_Toc6164"/>
      <w:bookmarkStart w:id="697" w:name="_Toc6674"/>
      <w:r>
        <w:rPr>
          <w:rFonts w:hint="eastAsia" w:ascii="仿宋" w:hAnsi="仿宋" w:eastAsia="仿宋" w:cs="仿宋"/>
          <w:color w:val="000000"/>
        </w:rPr>
        <w:br w:type="page"/>
      </w:r>
    </w:p>
    <w:p w14:paraId="418CF7D5">
      <w:pPr>
        <w:widowControl w:val="0"/>
        <w:tabs>
          <w:tab w:val="left" w:pos="5670"/>
        </w:tabs>
        <w:spacing w:line="500" w:lineRule="exact"/>
        <w:ind w:firstLine="606" w:firstLineChars="200"/>
        <w:jc w:val="left"/>
        <w:rPr>
          <w:rFonts w:hint="eastAsia" w:ascii="仿宋" w:hAnsi="仿宋" w:eastAsia="仿宋" w:cs="仿宋"/>
          <w:b/>
          <w:bCs/>
          <w:color w:val="000000"/>
        </w:rPr>
      </w:pPr>
      <w:r>
        <w:rPr>
          <w:rFonts w:hint="eastAsia" w:ascii="仿宋" w:hAnsi="仿宋" w:eastAsia="仿宋" w:cs="仿宋"/>
          <w:b/>
          <w:bCs/>
          <w:color w:val="000000"/>
          <w:sz w:val="30"/>
          <w:szCs w:val="30"/>
        </w:rPr>
        <w:t>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Pr>
          <w:rFonts w:hint="eastAsia" w:ascii="仿宋" w:hAnsi="仿宋" w:eastAsia="仿宋" w:cs="仿宋"/>
          <w:b/>
          <w:bCs/>
          <w:color w:val="000000"/>
          <w:sz w:val="30"/>
          <w:szCs w:val="30"/>
        </w:rPr>
        <w:t>第一次磋商报价表</w:t>
      </w:r>
    </w:p>
    <w:p w14:paraId="46F2AB06">
      <w:pPr>
        <w:widowControl w:val="0"/>
        <w:spacing w:line="600" w:lineRule="exact"/>
        <w:ind w:firstLine="283" w:firstLineChars="100"/>
        <w:jc w:val="left"/>
        <w:rPr>
          <w:rFonts w:hint="eastAsia" w:ascii="仿宋" w:hAnsi="仿宋" w:eastAsia="仿宋" w:cs="仿宋"/>
          <w:color w:val="000000"/>
        </w:rPr>
      </w:pPr>
      <w:r>
        <w:rPr>
          <w:rFonts w:hint="eastAsia" w:ascii="仿宋" w:hAnsi="仿宋" w:eastAsia="仿宋" w:cs="仿宋"/>
          <w:color w:val="000000"/>
        </w:rPr>
        <w:t>项目编号：</w:t>
      </w:r>
    </w:p>
    <w:p w14:paraId="1E2FB72B">
      <w:pPr>
        <w:widowControl w:val="0"/>
        <w:spacing w:line="600" w:lineRule="exact"/>
        <w:ind w:firstLine="283" w:firstLineChars="100"/>
        <w:jc w:val="left"/>
        <w:rPr>
          <w:rFonts w:hint="eastAsia" w:ascii="仿宋" w:hAnsi="仿宋" w:eastAsia="仿宋" w:cs="仿宋"/>
          <w:color w:val="000000"/>
        </w:rPr>
      </w:pPr>
      <w:r>
        <w:rPr>
          <w:rFonts w:hint="eastAsia" w:ascii="仿宋" w:hAnsi="仿宋" w:eastAsia="仿宋" w:cs="仿宋"/>
          <w:color w:val="000000"/>
        </w:rPr>
        <w:t>项目名称：</w:t>
      </w:r>
    </w:p>
    <w:tbl>
      <w:tblPr>
        <w:tblStyle w:val="26"/>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14:paraId="0E3C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restart"/>
            <w:vAlign w:val="center"/>
          </w:tcPr>
          <w:p w14:paraId="152927C0">
            <w:pPr>
              <w:pStyle w:val="7"/>
              <w:spacing w:line="360" w:lineRule="auto"/>
              <w:ind w:firstLine="0"/>
              <w:jc w:val="center"/>
              <w:rPr>
                <w:rFonts w:hint="eastAsia" w:ascii="仿宋" w:hAnsi="仿宋" w:eastAsia="仿宋" w:cs="仿宋"/>
                <w:color w:val="000000"/>
                <w:szCs w:val="24"/>
              </w:rPr>
            </w:pPr>
            <w:r>
              <w:rPr>
                <w:rFonts w:hint="eastAsia" w:ascii="仿宋" w:hAnsi="仿宋" w:eastAsia="仿宋" w:cs="仿宋"/>
                <w:color w:val="000000"/>
                <w:szCs w:val="24"/>
              </w:rPr>
              <w:t>磋商报价</w:t>
            </w:r>
          </w:p>
        </w:tc>
        <w:tc>
          <w:tcPr>
            <w:tcW w:w="5752" w:type="dxa"/>
            <w:vAlign w:val="center"/>
          </w:tcPr>
          <w:p w14:paraId="06DBF12F">
            <w:pPr>
              <w:spacing w:line="440" w:lineRule="exact"/>
              <w:jc w:val="center"/>
              <w:rPr>
                <w:rFonts w:hint="eastAsia" w:ascii="仿宋" w:hAnsi="仿宋" w:eastAsia="仿宋" w:cs="仿宋"/>
                <w:color w:val="000000"/>
                <w:szCs w:val="24"/>
              </w:rPr>
            </w:pPr>
            <w:r>
              <w:rPr>
                <w:rFonts w:hint="eastAsia" w:ascii="仿宋" w:hAnsi="仿宋" w:eastAsia="仿宋" w:cs="仿宋"/>
                <w:color w:val="000000"/>
                <w:szCs w:val="24"/>
              </w:rPr>
              <w:t>内容</w:t>
            </w:r>
          </w:p>
        </w:tc>
      </w:tr>
      <w:tr w14:paraId="59B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continue"/>
            <w:vAlign w:val="center"/>
          </w:tcPr>
          <w:p w14:paraId="38441CC3">
            <w:pPr>
              <w:pStyle w:val="7"/>
              <w:spacing w:line="360" w:lineRule="auto"/>
              <w:ind w:firstLine="0"/>
              <w:jc w:val="center"/>
              <w:rPr>
                <w:rFonts w:hint="eastAsia" w:ascii="仿宋" w:hAnsi="仿宋" w:eastAsia="仿宋" w:cs="仿宋"/>
                <w:color w:val="000000"/>
                <w:szCs w:val="24"/>
              </w:rPr>
            </w:pPr>
          </w:p>
        </w:tc>
        <w:tc>
          <w:tcPr>
            <w:tcW w:w="5752" w:type="dxa"/>
            <w:vAlign w:val="center"/>
          </w:tcPr>
          <w:p w14:paraId="74AA8CBA">
            <w:pPr>
              <w:autoSpaceDE w:val="0"/>
              <w:autoSpaceDN w:val="0"/>
              <w:spacing w:line="360" w:lineRule="auto"/>
              <w:rPr>
                <w:rFonts w:hint="eastAsia" w:ascii="仿宋" w:hAnsi="仿宋" w:eastAsia="仿宋" w:cs="仿宋"/>
                <w:color w:val="000000"/>
                <w:kern w:val="0"/>
                <w:szCs w:val="24"/>
                <w:lang w:val="zh-CN"/>
              </w:rPr>
            </w:pPr>
            <w:r>
              <w:rPr>
                <w:rFonts w:hint="eastAsia" w:ascii="仿宋" w:hAnsi="仿宋" w:eastAsia="仿宋" w:cs="仿宋"/>
                <w:color w:val="000000"/>
                <w:kern w:val="0"/>
                <w:szCs w:val="24"/>
                <w:lang w:val="zh-CN"/>
              </w:rPr>
              <w:t>小写：</w:t>
            </w:r>
          </w:p>
          <w:p w14:paraId="35C8706A">
            <w:pPr>
              <w:pStyle w:val="24"/>
              <w:ind w:firstLine="0" w:firstLineChars="0"/>
              <w:rPr>
                <w:rFonts w:hint="eastAsia" w:ascii="仿宋" w:hAnsi="仿宋" w:eastAsia="仿宋" w:cs="仿宋"/>
                <w:color w:val="000000"/>
                <w:kern w:val="0"/>
                <w:sz w:val="28"/>
                <w:szCs w:val="24"/>
                <w:lang w:val="zh-CN"/>
              </w:rPr>
            </w:pPr>
          </w:p>
          <w:p w14:paraId="39446925">
            <w:pPr>
              <w:pStyle w:val="24"/>
              <w:ind w:firstLine="0" w:firstLineChars="0"/>
              <w:rPr>
                <w:rFonts w:hint="eastAsia" w:ascii="仿宋" w:hAnsi="仿宋" w:eastAsia="仿宋" w:cs="仿宋"/>
                <w:color w:val="000000"/>
                <w:kern w:val="0"/>
                <w:sz w:val="28"/>
                <w:szCs w:val="24"/>
                <w:lang w:val="zh-CN"/>
              </w:rPr>
            </w:pPr>
            <w:r>
              <w:rPr>
                <w:rFonts w:hint="eastAsia" w:ascii="仿宋" w:hAnsi="仿宋" w:eastAsia="仿宋" w:cs="仿宋"/>
                <w:color w:val="000000"/>
                <w:kern w:val="0"/>
                <w:sz w:val="28"/>
                <w:szCs w:val="24"/>
                <w:lang w:val="zh-CN"/>
              </w:rPr>
              <w:t>大写：</w:t>
            </w:r>
          </w:p>
          <w:p w14:paraId="7FE47BB2">
            <w:pPr>
              <w:autoSpaceDE w:val="0"/>
              <w:autoSpaceDN w:val="0"/>
              <w:spacing w:line="360" w:lineRule="auto"/>
              <w:rPr>
                <w:rFonts w:hint="eastAsia" w:ascii="仿宋" w:hAnsi="仿宋" w:eastAsia="仿宋" w:cs="仿宋"/>
                <w:color w:val="000000"/>
              </w:rPr>
            </w:pPr>
            <w:r>
              <w:rPr>
                <w:rFonts w:hint="eastAsia" w:ascii="仿宋" w:hAnsi="仿宋" w:eastAsia="仿宋" w:cs="仿宋"/>
                <w:color w:val="000000"/>
                <w:sz w:val="24"/>
                <w:szCs w:val="24"/>
              </w:rPr>
              <w:t xml:space="preserve">           单位：元（</w:t>
            </w:r>
            <w:r>
              <w:rPr>
                <w:rFonts w:hint="eastAsia" w:ascii="仿宋" w:hAnsi="仿宋" w:eastAsia="仿宋" w:cs="仿宋"/>
                <w:color w:val="000000"/>
                <w:sz w:val="24"/>
                <w:szCs w:val="24"/>
                <w:lang w:val="en-US" w:eastAsia="zh-CN"/>
              </w:rPr>
              <w:t>报价最多保留到小数点后两位</w:t>
            </w:r>
            <w:r>
              <w:rPr>
                <w:rFonts w:hint="eastAsia" w:ascii="仿宋" w:hAnsi="仿宋" w:eastAsia="仿宋" w:cs="仿宋"/>
                <w:color w:val="000000"/>
                <w:sz w:val="24"/>
                <w:szCs w:val="24"/>
              </w:rPr>
              <w:t>）</w:t>
            </w:r>
          </w:p>
        </w:tc>
      </w:tr>
    </w:tbl>
    <w:p w14:paraId="52F6DBEB">
      <w:pPr>
        <w:widowControl w:val="0"/>
        <w:autoSpaceDE w:val="0"/>
        <w:autoSpaceDN w:val="0"/>
        <w:spacing w:line="240" w:lineRule="auto"/>
        <w:ind w:firstLine="213" w:firstLineChars="100"/>
        <w:rPr>
          <w:rFonts w:hint="eastAsia" w:ascii="宋体" w:hAnsi="宋体" w:eastAsia="宋体" w:cs="宋体"/>
          <w:color w:val="000000"/>
          <w:sz w:val="21"/>
          <w:szCs w:val="21"/>
        </w:rPr>
      </w:pPr>
      <w:r>
        <w:rPr>
          <w:rFonts w:hint="eastAsia" w:ascii="宋体" w:hAnsi="宋体" w:eastAsia="宋体" w:cs="宋体"/>
          <w:color w:val="000000"/>
          <w:kern w:val="2"/>
          <w:sz w:val="21"/>
          <w:szCs w:val="21"/>
        </w:rPr>
        <w:t>备注</w:t>
      </w:r>
      <w:r>
        <w:rPr>
          <w:rFonts w:hint="eastAsia" w:ascii="宋体" w:hAnsi="宋体" w:eastAsia="宋体" w:cs="宋体"/>
          <w:color w:val="000000"/>
          <w:kern w:val="2"/>
          <w:sz w:val="21"/>
          <w:szCs w:val="21"/>
          <w:lang w:val="en-US"/>
        </w:rPr>
        <w:t>：“磋商报价”为</w:t>
      </w:r>
      <w:r>
        <w:rPr>
          <w:rFonts w:hint="eastAsia" w:ascii="宋体" w:hAnsi="宋体" w:eastAsia="宋体" w:cs="宋体"/>
          <w:color w:val="000000"/>
          <w:kern w:val="2"/>
          <w:sz w:val="21"/>
          <w:szCs w:val="21"/>
        </w:rPr>
        <w:t>磋商总价</w:t>
      </w:r>
      <w:r>
        <w:rPr>
          <w:rFonts w:hint="eastAsia" w:ascii="宋体" w:hAnsi="宋体" w:eastAsia="宋体" w:cs="宋体"/>
          <w:color w:val="000000"/>
          <w:kern w:val="2"/>
          <w:sz w:val="21"/>
          <w:szCs w:val="21"/>
          <w:lang w:val="en-US"/>
        </w:rPr>
        <w:t>。</w:t>
      </w:r>
      <w:bookmarkStart w:id="698" w:name="_Toc25597_WPSOffice_Level2"/>
      <w:bookmarkStart w:id="699" w:name="_Toc29740_WPSOffice_Level2"/>
      <w:bookmarkStart w:id="700" w:name="_Toc31114"/>
      <w:bookmarkStart w:id="701" w:name="_Toc8006"/>
      <w:bookmarkStart w:id="702" w:name="_Toc29232"/>
      <w:bookmarkStart w:id="703" w:name="_Toc26334"/>
      <w:bookmarkStart w:id="704" w:name="_Toc24699_WPSOffice_Level2"/>
      <w:bookmarkStart w:id="705" w:name="_Toc5592"/>
      <w:r>
        <w:rPr>
          <w:rFonts w:hint="eastAsia" w:ascii="宋体" w:hAnsi="宋体" w:eastAsia="宋体" w:cs="宋体"/>
          <w:color w:val="000000"/>
          <w:kern w:val="2"/>
          <w:sz w:val="21"/>
          <w:szCs w:val="21"/>
          <w:lang w:val="en-US"/>
        </w:rPr>
        <w:t>磋商报价必须包括本项目所需全部费用。</w:t>
      </w:r>
    </w:p>
    <w:bookmarkEnd w:id="698"/>
    <w:bookmarkEnd w:id="699"/>
    <w:bookmarkEnd w:id="700"/>
    <w:bookmarkEnd w:id="701"/>
    <w:bookmarkEnd w:id="702"/>
    <w:bookmarkEnd w:id="703"/>
    <w:bookmarkEnd w:id="704"/>
    <w:p w14:paraId="557675EE">
      <w:pPr>
        <w:widowControl w:val="0"/>
        <w:autoSpaceDE w:val="0"/>
        <w:autoSpaceDN w:val="0"/>
        <w:spacing w:before="190" w:beforeLines="50" w:line="500" w:lineRule="exact"/>
        <w:ind w:firstLine="5377" w:firstLineChars="1900"/>
        <w:rPr>
          <w:rFonts w:hint="eastAsia" w:ascii="华文仿宋" w:hAnsi="华文仿宋" w:cs="华文仿宋"/>
          <w:color w:val="000000"/>
        </w:rPr>
      </w:pPr>
    </w:p>
    <w:p w14:paraId="445CD5C0">
      <w:pPr>
        <w:widowControl w:val="0"/>
        <w:autoSpaceDE w:val="0"/>
        <w:autoSpaceDN w:val="0"/>
        <w:spacing w:before="190" w:beforeLines="50" w:line="500" w:lineRule="exact"/>
        <w:ind w:firstLine="5377" w:firstLineChars="1900"/>
        <w:rPr>
          <w:rFonts w:ascii="华文仿宋" w:cs="Times New Roman"/>
          <w:color w:val="000000"/>
        </w:rPr>
      </w:pPr>
      <w:r>
        <w:rPr>
          <w:rFonts w:hint="eastAsia" w:cs="华文仿宋"/>
          <w:color w:val="000000"/>
        </w:rPr>
        <w:t>供应商</w:t>
      </w:r>
      <w:r>
        <w:rPr>
          <w:rFonts w:hint="eastAsia" w:ascii="华文仿宋" w:hAnsi="华文仿宋" w:cs="华文仿宋"/>
          <w:color w:val="000000"/>
        </w:rPr>
        <w:t>：</w:t>
      </w:r>
      <w:r>
        <w:rPr>
          <w:rFonts w:hint="eastAsia" w:ascii="华文仿宋" w:hAnsi="华文仿宋" w:cs="华文仿宋"/>
          <w:color w:val="000000"/>
          <w:u w:val="single"/>
        </w:rPr>
        <w:t>名称</w:t>
      </w:r>
      <w:r>
        <w:rPr>
          <w:rFonts w:hint="eastAsia" w:ascii="华文仿宋" w:hAnsi="华文仿宋" w:cs="华文仿宋"/>
          <w:color w:val="000000"/>
        </w:rPr>
        <w:t>（加盖公章）</w:t>
      </w:r>
    </w:p>
    <w:p w14:paraId="037045BA">
      <w:pPr>
        <w:widowControl w:val="0"/>
        <w:spacing w:line="500" w:lineRule="exact"/>
        <w:ind w:firstLine="5660" w:firstLineChars="2000"/>
        <w:rPr>
          <w:rFonts w:cs="Times New Roman"/>
          <w:color w:val="000000"/>
        </w:rPr>
      </w:pPr>
      <w:r>
        <w:rPr>
          <w:rFonts w:hint="eastAsia" w:cs="华文仿宋"/>
          <w:color w:val="000000"/>
        </w:rPr>
        <w:t>日期：　年　月　日</w:t>
      </w:r>
    </w:p>
    <w:p w14:paraId="5369AF73">
      <w:pPr>
        <w:widowControl w:val="0"/>
        <w:spacing w:after="190" w:afterLines="50" w:line="500" w:lineRule="exact"/>
        <w:jc w:val="center"/>
        <w:rPr>
          <w:rFonts w:hint="eastAsia" w:ascii="华文仿宋" w:hAnsi="华文仿宋" w:cs="华文仿宋"/>
          <w:b/>
          <w:color w:val="000000"/>
        </w:rPr>
        <w:sectPr>
          <w:pgSz w:w="11906" w:h="16838"/>
          <w:pgMar w:top="1417" w:right="1417" w:bottom="1417" w:left="1417" w:header="850" w:footer="794" w:gutter="0"/>
          <w:pgNumType w:fmt="decimal"/>
          <w:cols w:space="720" w:num="1"/>
          <w:docGrid w:type="linesAndChars" w:linePitch="381" w:charSpace="704"/>
        </w:sectPr>
      </w:pPr>
    </w:p>
    <w:p w14:paraId="17D3ADEC">
      <w:pPr>
        <w:widowControl w:val="0"/>
        <w:spacing w:after="190" w:afterLines="50" w:line="500" w:lineRule="exact"/>
        <w:jc w:val="center"/>
        <w:rPr>
          <w:rFonts w:hint="eastAsia" w:ascii="仿宋" w:hAnsi="仿宋"/>
          <w:b/>
          <w:bCs/>
          <w:color w:val="000000"/>
          <w:sz w:val="32"/>
          <w:szCs w:val="32"/>
        </w:rPr>
      </w:pPr>
      <w:r>
        <w:rPr>
          <w:rFonts w:hint="eastAsia" w:ascii="华文仿宋" w:hAnsi="华文仿宋" w:cs="华文仿宋"/>
          <w:b/>
          <w:color w:val="000000"/>
        </w:rPr>
        <w:t>分项报价表</w:t>
      </w:r>
    </w:p>
    <w:tbl>
      <w:tblPr>
        <w:tblStyle w:val="26"/>
        <w:tblW w:w="8854" w:type="dxa"/>
        <w:jc w:val="center"/>
        <w:tblLayout w:type="fixed"/>
        <w:tblCellMar>
          <w:top w:w="0" w:type="dxa"/>
          <w:left w:w="28" w:type="dxa"/>
          <w:bottom w:w="0" w:type="dxa"/>
          <w:right w:w="28" w:type="dxa"/>
        </w:tblCellMar>
      </w:tblPr>
      <w:tblGrid>
        <w:gridCol w:w="713"/>
        <w:gridCol w:w="1250"/>
        <w:gridCol w:w="1162"/>
        <w:gridCol w:w="1769"/>
        <w:gridCol w:w="1035"/>
        <w:gridCol w:w="825"/>
        <w:gridCol w:w="1334"/>
        <w:gridCol w:w="766"/>
      </w:tblGrid>
      <w:tr w14:paraId="36043A29">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vAlign w:val="center"/>
          </w:tcPr>
          <w:p w14:paraId="3908BF3E">
            <w:pPr>
              <w:widowControl w:val="0"/>
              <w:autoSpaceDE w:val="0"/>
              <w:autoSpaceDN w:val="0"/>
              <w:spacing w:line="240" w:lineRule="auto"/>
              <w:jc w:val="center"/>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序号</w:t>
            </w:r>
          </w:p>
        </w:tc>
        <w:tc>
          <w:tcPr>
            <w:tcW w:w="1250" w:type="dxa"/>
            <w:tcBorders>
              <w:top w:val="single" w:color="000000" w:sz="8" w:space="0"/>
              <w:left w:val="single" w:color="000000" w:sz="6" w:space="0"/>
              <w:bottom w:val="single" w:color="000000" w:sz="6" w:space="0"/>
              <w:right w:val="single" w:color="000000" w:sz="6" w:space="0"/>
            </w:tcBorders>
            <w:vAlign w:val="center"/>
          </w:tcPr>
          <w:p w14:paraId="50C296BE">
            <w:pPr>
              <w:widowControl w:val="0"/>
              <w:autoSpaceDE w:val="0"/>
              <w:autoSpaceDN w:val="0"/>
              <w:spacing w:line="24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服务名称</w:t>
            </w:r>
          </w:p>
        </w:tc>
        <w:tc>
          <w:tcPr>
            <w:tcW w:w="1162" w:type="dxa"/>
            <w:tcBorders>
              <w:top w:val="single" w:color="000000" w:sz="8" w:space="0"/>
              <w:left w:val="single" w:color="000000" w:sz="6" w:space="0"/>
              <w:bottom w:val="single" w:color="000000" w:sz="6" w:space="0"/>
              <w:right w:val="single" w:color="000000" w:sz="6" w:space="0"/>
            </w:tcBorders>
            <w:vAlign w:val="center"/>
          </w:tcPr>
          <w:p w14:paraId="3097D9AB">
            <w:pPr>
              <w:pStyle w:val="47"/>
              <w:widowControl w:val="0"/>
              <w:rPr>
                <w:rFonts w:hint="eastAsia" w:ascii="仿宋" w:hAnsi="仿宋" w:eastAsia="仿宋" w:cs="仿宋"/>
                <w:b w:val="0"/>
                <w:bCs w:val="0"/>
                <w:color w:val="000000"/>
                <w:kern w:val="0"/>
                <w:sz w:val="24"/>
                <w:szCs w:val="24"/>
              </w:rPr>
            </w:pPr>
            <w:bookmarkStart w:id="706" w:name="_Toc16359"/>
            <w:bookmarkStart w:id="707" w:name="_Toc14584"/>
            <w:bookmarkStart w:id="708" w:name="_Toc16202"/>
            <w:bookmarkStart w:id="709" w:name="_Toc30487"/>
            <w:bookmarkStart w:id="710" w:name="_Toc29462"/>
            <w:bookmarkStart w:id="711" w:name="_Toc32559"/>
            <w:bookmarkStart w:id="712" w:name="_Toc2385"/>
            <w:bookmarkStart w:id="713" w:name="_Toc3271"/>
            <w:bookmarkStart w:id="714" w:name="_Toc28616"/>
            <w:r>
              <w:rPr>
                <w:rFonts w:hint="eastAsia" w:ascii="仿宋" w:hAnsi="仿宋" w:eastAsia="仿宋" w:cs="仿宋"/>
                <w:bCs w:val="0"/>
                <w:color w:val="000000"/>
                <w:sz w:val="24"/>
                <w:szCs w:val="24"/>
              </w:rPr>
              <w:t>计量单位</w:t>
            </w:r>
            <w:bookmarkEnd w:id="706"/>
            <w:bookmarkEnd w:id="707"/>
            <w:bookmarkEnd w:id="708"/>
            <w:bookmarkEnd w:id="709"/>
            <w:bookmarkEnd w:id="710"/>
            <w:bookmarkEnd w:id="711"/>
            <w:bookmarkEnd w:id="712"/>
            <w:bookmarkEnd w:id="713"/>
            <w:bookmarkEnd w:id="714"/>
          </w:p>
        </w:tc>
        <w:tc>
          <w:tcPr>
            <w:tcW w:w="1769" w:type="dxa"/>
            <w:tcBorders>
              <w:top w:val="single" w:color="000000" w:sz="8" w:space="0"/>
              <w:left w:val="single" w:color="000000" w:sz="6" w:space="0"/>
              <w:bottom w:val="single" w:color="000000" w:sz="6" w:space="0"/>
              <w:right w:val="single" w:color="000000" w:sz="6" w:space="0"/>
            </w:tcBorders>
            <w:vAlign w:val="center"/>
          </w:tcPr>
          <w:p w14:paraId="3E72B202">
            <w:pPr>
              <w:pStyle w:val="47"/>
              <w:widowControl w:val="0"/>
              <w:rPr>
                <w:rFonts w:hint="eastAsia" w:ascii="仿宋" w:hAnsi="仿宋" w:eastAsia="仿宋" w:cs="仿宋"/>
                <w:b w:val="0"/>
                <w:bCs w:val="0"/>
                <w:color w:val="000000"/>
                <w:kern w:val="0"/>
                <w:sz w:val="24"/>
                <w:szCs w:val="24"/>
                <w:lang w:val="zh-CN"/>
              </w:rPr>
            </w:pPr>
            <w:bookmarkStart w:id="715" w:name="_Toc8156"/>
            <w:bookmarkStart w:id="716" w:name="_Toc30775"/>
            <w:bookmarkStart w:id="717" w:name="_Toc15906"/>
            <w:bookmarkStart w:id="718" w:name="_Toc4371"/>
            <w:bookmarkStart w:id="719" w:name="_Toc31626"/>
            <w:bookmarkStart w:id="720" w:name="_Toc5340"/>
            <w:bookmarkStart w:id="721" w:name="_Toc29236"/>
            <w:bookmarkStart w:id="722" w:name="_Toc26417"/>
            <w:bookmarkStart w:id="723" w:name="_Toc1212"/>
            <w:r>
              <w:rPr>
                <w:rFonts w:hint="eastAsia" w:ascii="仿宋" w:hAnsi="仿宋" w:eastAsia="仿宋" w:cs="仿宋"/>
                <w:bCs w:val="0"/>
                <w:color w:val="000000"/>
                <w:sz w:val="24"/>
                <w:szCs w:val="24"/>
              </w:rPr>
              <w:t>具体要求说明</w:t>
            </w:r>
            <w:bookmarkEnd w:id="715"/>
            <w:bookmarkEnd w:id="716"/>
            <w:bookmarkEnd w:id="717"/>
            <w:bookmarkEnd w:id="718"/>
            <w:bookmarkEnd w:id="719"/>
            <w:bookmarkEnd w:id="720"/>
            <w:bookmarkEnd w:id="721"/>
            <w:bookmarkEnd w:id="722"/>
            <w:bookmarkEnd w:id="723"/>
          </w:p>
        </w:tc>
        <w:tc>
          <w:tcPr>
            <w:tcW w:w="1035" w:type="dxa"/>
            <w:tcBorders>
              <w:top w:val="single" w:color="000000" w:sz="8" w:space="0"/>
              <w:left w:val="single" w:color="000000" w:sz="6" w:space="0"/>
              <w:bottom w:val="single" w:color="000000" w:sz="6" w:space="0"/>
              <w:right w:val="single" w:color="auto" w:sz="4" w:space="0"/>
            </w:tcBorders>
            <w:vAlign w:val="center"/>
          </w:tcPr>
          <w:p w14:paraId="31BC82F1">
            <w:pPr>
              <w:pStyle w:val="47"/>
              <w:widowControl w:val="0"/>
              <w:rPr>
                <w:rFonts w:hint="eastAsia" w:ascii="仿宋" w:hAnsi="仿宋" w:eastAsia="仿宋" w:cs="仿宋"/>
                <w:b w:val="0"/>
                <w:bCs w:val="0"/>
                <w:color w:val="000000"/>
                <w:kern w:val="0"/>
                <w:sz w:val="24"/>
                <w:szCs w:val="24"/>
              </w:rPr>
            </w:pPr>
            <w:bookmarkStart w:id="724" w:name="_Toc12816"/>
            <w:bookmarkStart w:id="725" w:name="_Toc15513"/>
            <w:bookmarkStart w:id="726" w:name="_Toc28130"/>
            <w:bookmarkStart w:id="727" w:name="_Toc15529"/>
            <w:bookmarkStart w:id="728" w:name="_Toc22256"/>
            <w:r>
              <w:rPr>
                <w:rFonts w:hint="eastAsia" w:ascii="仿宋" w:hAnsi="仿宋" w:eastAsia="仿宋" w:cs="仿宋"/>
                <w:bCs w:val="0"/>
                <w:color w:val="000000"/>
                <w:sz w:val="24"/>
                <w:szCs w:val="24"/>
              </w:rPr>
              <w:t>单价</w:t>
            </w:r>
            <w:bookmarkEnd w:id="724"/>
            <w:bookmarkEnd w:id="725"/>
            <w:bookmarkEnd w:id="726"/>
            <w:bookmarkEnd w:id="727"/>
            <w:bookmarkEnd w:id="728"/>
          </w:p>
        </w:tc>
        <w:tc>
          <w:tcPr>
            <w:tcW w:w="825" w:type="dxa"/>
            <w:tcBorders>
              <w:top w:val="single" w:color="000000" w:sz="8" w:space="0"/>
              <w:left w:val="single" w:color="auto" w:sz="4" w:space="0"/>
              <w:bottom w:val="single" w:color="000000" w:sz="6" w:space="0"/>
              <w:right w:val="single" w:color="auto" w:sz="4" w:space="0"/>
            </w:tcBorders>
            <w:vAlign w:val="center"/>
          </w:tcPr>
          <w:p w14:paraId="7D062AE9">
            <w:pPr>
              <w:pStyle w:val="47"/>
              <w:widowControl w:val="0"/>
              <w:rPr>
                <w:rFonts w:hint="eastAsia" w:ascii="仿宋" w:hAnsi="仿宋" w:eastAsia="仿宋" w:cs="仿宋"/>
                <w:bCs w:val="0"/>
                <w:color w:val="000000"/>
                <w:sz w:val="24"/>
                <w:szCs w:val="24"/>
              </w:rPr>
            </w:pPr>
            <w:bookmarkStart w:id="729" w:name="_Toc3275"/>
            <w:bookmarkStart w:id="730" w:name="_Toc2450"/>
            <w:bookmarkStart w:id="731" w:name="_Toc19992"/>
            <w:bookmarkStart w:id="732" w:name="_Toc21556"/>
            <w:bookmarkStart w:id="733" w:name="_Toc26247"/>
            <w:bookmarkStart w:id="734" w:name="_Toc18908"/>
            <w:bookmarkStart w:id="735" w:name="_Toc9206"/>
            <w:bookmarkStart w:id="736" w:name="_Toc14670"/>
            <w:bookmarkStart w:id="737" w:name="_Toc24317"/>
            <w:r>
              <w:rPr>
                <w:rFonts w:hint="eastAsia" w:ascii="仿宋" w:hAnsi="仿宋" w:eastAsia="仿宋" w:cs="仿宋"/>
                <w:bCs w:val="0"/>
                <w:color w:val="000000"/>
                <w:sz w:val="24"/>
                <w:szCs w:val="24"/>
              </w:rPr>
              <w:t>数量</w:t>
            </w:r>
            <w:bookmarkEnd w:id="729"/>
            <w:bookmarkEnd w:id="730"/>
            <w:bookmarkEnd w:id="731"/>
            <w:bookmarkEnd w:id="732"/>
            <w:bookmarkEnd w:id="733"/>
          </w:p>
        </w:tc>
        <w:tc>
          <w:tcPr>
            <w:tcW w:w="1334" w:type="dxa"/>
            <w:tcBorders>
              <w:top w:val="single" w:color="000000" w:sz="8" w:space="0"/>
              <w:left w:val="single" w:color="auto" w:sz="4" w:space="0"/>
              <w:bottom w:val="single" w:color="000000" w:sz="6" w:space="0"/>
              <w:right w:val="single" w:color="000000" w:sz="6" w:space="0"/>
            </w:tcBorders>
            <w:vAlign w:val="center"/>
          </w:tcPr>
          <w:p w14:paraId="00F8B55C">
            <w:pPr>
              <w:pStyle w:val="47"/>
              <w:widowControl w:val="0"/>
              <w:rPr>
                <w:rFonts w:hint="eastAsia" w:ascii="仿宋" w:hAnsi="仿宋" w:eastAsia="仿宋" w:cs="仿宋"/>
                <w:bCs w:val="0"/>
                <w:color w:val="000000"/>
                <w:sz w:val="24"/>
                <w:szCs w:val="24"/>
              </w:rPr>
            </w:pPr>
            <w:bookmarkStart w:id="738" w:name="_Toc5649"/>
            <w:bookmarkStart w:id="739" w:name="_Toc12891"/>
            <w:bookmarkStart w:id="740" w:name="_Toc13444"/>
            <w:bookmarkStart w:id="741" w:name="_Toc15744"/>
            <w:bookmarkStart w:id="742" w:name="_Toc9060"/>
            <w:r>
              <w:rPr>
                <w:rFonts w:hint="eastAsia" w:ascii="仿宋" w:hAnsi="仿宋" w:eastAsia="仿宋" w:cs="仿宋"/>
                <w:bCs w:val="0"/>
                <w:color w:val="000000"/>
                <w:sz w:val="24"/>
                <w:szCs w:val="24"/>
              </w:rPr>
              <w:t>金额</w:t>
            </w:r>
            <w:bookmarkEnd w:id="738"/>
            <w:bookmarkEnd w:id="739"/>
            <w:bookmarkEnd w:id="740"/>
            <w:bookmarkEnd w:id="741"/>
            <w:bookmarkEnd w:id="742"/>
          </w:p>
        </w:tc>
        <w:tc>
          <w:tcPr>
            <w:tcW w:w="766" w:type="dxa"/>
            <w:tcBorders>
              <w:top w:val="single" w:color="000000" w:sz="8" w:space="0"/>
              <w:left w:val="single" w:color="000000" w:sz="6" w:space="0"/>
              <w:bottom w:val="single" w:color="000000" w:sz="6" w:space="0"/>
              <w:right w:val="single" w:color="000000" w:sz="8" w:space="0"/>
            </w:tcBorders>
            <w:vAlign w:val="center"/>
          </w:tcPr>
          <w:p w14:paraId="327B911B">
            <w:pPr>
              <w:pStyle w:val="47"/>
              <w:widowControl w:val="0"/>
              <w:rPr>
                <w:rFonts w:hint="eastAsia" w:ascii="仿宋" w:hAnsi="仿宋" w:eastAsia="仿宋" w:cs="仿宋"/>
                <w:b w:val="0"/>
                <w:bCs w:val="0"/>
                <w:color w:val="000000"/>
                <w:sz w:val="24"/>
                <w:szCs w:val="24"/>
              </w:rPr>
            </w:pPr>
            <w:bookmarkStart w:id="743" w:name="_Toc2004"/>
            <w:bookmarkStart w:id="744" w:name="_Toc9668"/>
            <w:bookmarkStart w:id="745" w:name="_Toc17541"/>
            <w:bookmarkStart w:id="746" w:name="_Toc10380"/>
            <w:bookmarkStart w:id="747" w:name="_Toc30365"/>
            <w:r>
              <w:rPr>
                <w:rFonts w:hint="eastAsia" w:ascii="仿宋" w:hAnsi="仿宋" w:eastAsia="仿宋" w:cs="仿宋"/>
                <w:bCs w:val="0"/>
                <w:color w:val="000000"/>
                <w:sz w:val="24"/>
                <w:szCs w:val="24"/>
              </w:rPr>
              <w:t>备注</w:t>
            </w:r>
            <w:bookmarkEnd w:id="734"/>
            <w:bookmarkEnd w:id="735"/>
            <w:bookmarkEnd w:id="736"/>
            <w:bookmarkEnd w:id="737"/>
            <w:bookmarkEnd w:id="743"/>
            <w:bookmarkEnd w:id="744"/>
            <w:bookmarkEnd w:id="745"/>
            <w:bookmarkEnd w:id="746"/>
            <w:bookmarkEnd w:id="747"/>
          </w:p>
        </w:tc>
      </w:tr>
      <w:tr w14:paraId="51549F68">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5617685D">
            <w:pPr>
              <w:autoSpaceDE w:val="0"/>
              <w:autoSpaceDN w:val="0"/>
              <w:spacing w:line="240" w:lineRule="auto"/>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1</w:t>
            </w:r>
          </w:p>
        </w:tc>
        <w:tc>
          <w:tcPr>
            <w:tcW w:w="1250" w:type="dxa"/>
            <w:tcBorders>
              <w:top w:val="single" w:color="000000" w:sz="6" w:space="0"/>
              <w:left w:val="single" w:color="000000" w:sz="6" w:space="0"/>
              <w:bottom w:val="single" w:color="000000" w:sz="6" w:space="0"/>
              <w:right w:val="single" w:color="000000" w:sz="6" w:space="0"/>
            </w:tcBorders>
            <w:vAlign w:val="center"/>
          </w:tcPr>
          <w:p w14:paraId="1CD08DBC">
            <w:pPr>
              <w:autoSpaceDE w:val="0"/>
              <w:autoSpaceDN w:val="0"/>
              <w:spacing w:line="240" w:lineRule="auto"/>
              <w:jc w:val="center"/>
              <w:rPr>
                <w:rFonts w:hint="eastAsia" w:ascii="仿宋" w:hAnsi="仿宋" w:eastAsia="仿宋" w:cs="仿宋"/>
                <w:color w:val="000000"/>
                <w:kern w:val="0"/>
                <w:sz w:val="24"/>
                <w:szCs w:val="24"/>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1EC9AD9D">
            <w:pPr>
              <w:autoSpaceDE w:val="0"/>
              <w:autoSpaceDN w:val="0"/>
              <w:spacing w:line="240" w:lineRule="auto"/>
              <w:jc w:val="center"/>
              <w:rPr>
                <w:rFonts w:hint="eastAsia" w:ascii="仿宋" w:hAnsi="仿宋" w:eastAsia="仿宋" w:cs="仿宋"/>
                <w:color w:val="000000"/>
                <w:kern w:val="0"/>
                <w:sz w:val="24"/>
                <w:szCs w:val="24"/>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7A64AD62">
            <w:pPr>
              <w:autoSpaceDE w:val="0"/>
              <w:autoSpaceDN w:val="0"/>
              <w:spacing w:line="240" w:lineRule="auto"/>
              <w:jc w:val="center"/>
              <w:rPr>
                <w:rFonts w:hint="eastAsia" w:ascii="仿宋" w:hAnsi="仿宋" w:eastAsia="仿宋" w:cs="仿宋"/>
                <w:color w:val="000000"/>
                <w:kern w:val="0"/>
                <w:sz w:val="24"/>
                <w:szCs w:val="24"/>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1B7471B9">
            <w:pPr>
              <w:autoSpaceDE w:val="0"/>
              <w:autoSpaceDN w:val="0"/>
              <w:spacing w:line="240" w:lineRule="auto"/>
              <w:jc w:val="center"/>
              <w:rPr>
                <w:rFonts w:hint="eastAsia" w:ascii="仿宋" w:hAnsi="仿宋" w:eastAsia="仿宋" w:cs="仿宋"/>
                <w:color w:val="000000"/>
                <w:kern w:val="0"/>
                <w:sz w:val="24"/>
                <w:szCs w:val="24"/>
              </w:rPr>
            </w:pPr>
          </w:p>
        </w:tc>
        <w:tc>
          <w:tcPr>
            <w:tcW w:w="825" w:type="dxa"/>
            <w:tcBorders>
              <w:top w:val="single" w:color="000000" w:sz="6" w:space="0"/>
              <w:left w:val="single" w:color="auto" w:sz="4" w:space="0"/>
              <w:bottom w:val="single" w:color="000000" w:sz="6" w:space="0"/>
              <w:right w:val="single" w:color="auto" w:sz="4" w:space="0"/>
            </w:tcBorders>
            <w:vAlign w:val="center"/>
          </w:tcPr>
          <w:p w14:paraId="67DB92F6">
            <w:pPr>
              <w:autoSpaceDE w:val="0"/>
              <w:autoSpaceDN w:val="0"/>
              <w:spacing w:line="240" w:lineRule="auto"/>
              <w:jc w:val="center"/>
              <w:rPr>
                <w:rFonts w:hint="eastAsia" w:ascii="仿宋" w:hAnsi="仿宋" w:eastAsia="仿宋" w:cs="仿宋"/>
                <w:color w:val="000000"/>
                <w:kern w:val="0"/>
                <w:sz w:val="24"/>
                <w:szCs w:val="24"/>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4ED04C37">
            <w:pPr>
              <w:autoSpaceDE w:val="0"/>
              <w:autoSpaceDN w:val="0"/>
              <w:spacing w:line="240" w:lineRule="auto"/>
              <w:jc w:val="center"/>
              <w:rPr>
                <w:rFonts w:hint="eastAsia" w:ascii="仿宋" w:hAnsi="仿宋" w:eastAsia="仿宋" w:cs="仿宋"/>
                <w:color w:val="000000"/>
                <w:kern w:val="0"/>
                <w:sz w:val="24"/>
                <w:szCs w:val="24"/>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5421E515">
            <w:pPr>
              <w:autoSpaceDE w:val="0"/>
              <w:autoSpaceDN w:val="0"/>
              <w:spacing w:line="240" w:lineRule="auto"/>
              <w:jc w:val="center"/>
              <w:rPr>
                <w:rFonts w:hint="eastAsia" w:ascii="仿宋" w:hAnsi="仿宋" w:eastAsia="仿宋" w:cs="仿宋"/>
                <w:color w:val="000000"/>
                <w:kern w:val="0"/>
                <w:sz w:val="24"/>
                <w:szCs w:val="24"/>
                <w:lang w:val="zh-CN"/>
              </w:rPr>
            </w:pPr>
          </w:p>
        </w:tc>
      </w:tr>
      <w:tr w14:paraId="353F9BDF">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6DEA1694">
            <w:pPr>
              <w:autoSpaceDE w:val="0"/>
              <w:autoSpaceDN w:val="0"/>
              <w:spacing w:line="240" w:lineRule="auto"/>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2</w:t>
            </w:r>
          </w:p>
        </w:tc>
        <w:tc>
          <w:tcPr>
            <w:tcW w:w="1250" w:type="dxa"/>
            <w:tcBorders>
              <w:top w:val="single" w:color="000000" w:sz="6" w:space="0"/>
              <w:left w:val="single" w:color="000000" w:sz="6" w:space="0"/>
              <w:bottom w:val="single" w:color="000000" w:sz="6" w:space="0"/>
              <w:right w:val="single" w:color="000000" w:sz="6" w:space="0"/>
            </w:tcBorders>
            <w:vAlign w:val="center"/>
          </w:tcPr>
          <w:p w14:paraId="6E4E6086">
            <w:pPr>
              <w:autoSpaceDE w:val="0"/>
              <w:autoSpaceDN w:val="0"/>
              <w:spacing w:line="240" w:lineRule="auto"/>
              <w:jc w:val="center"/>
              <w:rPr>
                <w:rFonts w:hint="eastAsia" w:ascii="仿宋" w:hAnsi="仿宋" w:eastAsia="仿宋" w:cs="仿宋"/>
                <w:color w:val="000000"/>
                <w:kern w:val="0"/>
                <w:sz w:val="24"/>
                <w:szCs w:val="24"/>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5496A40C">
            <w:pPr>
              <w:autoSpaceDE w:val="0"/>
              <w:autoSpaceDN w:val="0"/>
              <w:spacing w:line="240" w:lineRule="auto"/>
              <w:jc w:val="center"/>
              <w:rPr>
                <w:rFonts w:hint="eastAsia" w:ascii="仿宋" w:hAnsi="仿宋" w:eastAsia="仿宋" w:cs="仿宋"/>
                <w:color w:val="000000"/>
                <w:kern w:val="0"/>
                <w:sz w:val="24"/>
                <w:szCs w:val="24"/>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3130F13E">
            <w:pPr>
              <w:autoSpaceDE w:val="0"/>
              <w:autoSpaceDN w:val="0"/>
              <w:spacing w:line="240" w:lineRule="auto"/>
              <w:jc w:val="center"/>
              <w:rPr>
                <w:rFonts w:hint="eastAsia" w:ascii="仿宋" w:hAnsi="仿宋" w:eastAsia="仿宋" w:cs="仿宋"/>
                <w:color w:val="000000"/>
                <w:kern w:val="0"/>
                <w:sz w:val="24"/>
                <w:szCs w:val="24"/>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142E26F5">
            <w:pPr>
              <w:autoSpaceDE w:val="0"/>
              <w:autoSpaceDN w:val="0"/>
              <w:spacing w:line="240" w:lineRule="auto"/>
              <w:jc w:val="center"/>
              <w:rPr>
                <w:rFonts w:hint="eastAsia" w:ascii="仿宋" w:hAnsi="仿宋" w:eastAsia="仿宋" w:cs="仿宋"/>
                <w:color w:val="000000"/>
                <w:kern w:val="0"/>
                <w:sz w:val="24"/>
                <w:szCs w:val="24"/>
              </w:rPr>
            </w:pPr>
          </w:p>
        </w:tc>
        <w:tc>
          <w:tcPr>
            <w:tcW w:w="825" w:type="dxa"/>
            <w:tcBorders>
              <w:top w:val="single" w:color="000000" w:sz="6" w:space="0"/>
              <w:left w:val="single" w:color="auto" w:sz="4" w:space="0"/>
              <w:bottom w:val="single" w:color="000000" w:sz="6" w:space="0"/>
              <w:right w:val="single" w:color="auto" w:sz="4" w:space="0"/>
            </w:tcBorders>
            <w:vAlign w:val="center"/>
          </w:tcPr>
          <w:p w14:paraId="61C3A28E">
            <w:pPr>
              <w:autoSpaceDE w:val="0"/>
              <w:autoSpaceDN w:val="0"/>
              <w:spacing w:line="240" w:lineRule="auto"/>
              <w:jc w:val="center"/>
              <w:rPr>
                <w:rFonts w:hint="eastAsia" w:ascii="仿宋" w:hAnsi="仿宋" w:eastAsia="仿宋" w:cs="仿宋"/>
                <w:color w:val="000000"/>
                <w:kern w:val="0"/>
                <w:sz w:val="24"/>
                <w:szCs w:val="24"/>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60A3106D">
            <w:pPr>
              <w:autoSpaceDE w:val="0"/>
              <w:autoSpaceDN w:val="0"/>
              <w:spacing w:line="240" w:lineRule="auto"/>
              <w:jc w:val="center"/>
              <w:rPr>
                <w:rFonts w:hint="eastAsia" w:ascii="仿宋" w:hAnsi="仿宋" w:eastAsia="仿宋" w:cs="仿宋"/>
                <w:color w:val="000000"/>
                <w:kern w:val="0"/>
                <w:sz w:val="24"/>
                <w:szCs w:val="24"/>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3AEFE82C">
            <w:pPr>
              <w:autoSpaceDE w:val="0"/>
              <w:autoSpaceDN w:val="0"/>
              <w:spacing w:line="240" w:lineRule="auto"/>
              <w:jc w:val="center"/>
              <w:rPr>
                <w:rFonts w:hint="eastAsia" w:ascii="仿宋" w:hAnsi="仿宋" w:eastAsia="仿宋" w:cs="仿宋"/>
                <w:color w:val="000000"/>
                <w:kern w:val="0"/>
                <w:sz w:val="24"/>
                <w:szCs w:val="24"/>
                <w:lang w:val="zh-CN"/>
              </w:rPr>
            </w:pPr>
          </w:p>
        </w:tc>
      </w:tr>
      <w:tr w14:paraId="17127B5A">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455EBF2B">
            <w:pPr>
              <w:autoSpaceDE w:val="0"/>
              <w:autoSpaceDN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1"/>
                <w:szCs w:val="21"/>
                <w:lang w:val="zh-CN"/>
              </w:rPr>
              <w:t>…</w:t>
            </w:r>
          </w:p>
        </w:tc>
        <w:tc>
          <w:tcPr>
            <w:tcW w:w="1250" w:type="dxa"/>
            <w:tcBorders>
              <w:top w:val="single" w:color="000000" w:sz="6" w:space="0"/>
              <w:left w:val="single" w:color="000000" w:sz="6" w:space="0"/>
              <w:bottom w:val="single" w:color="000000" w:sz="6" w:space="0"/>
              <w:right w:val="single" w:color="000000" w:sz="6" w:space="0"/>
            </w:tcBorders>
            <w:vAlign w:val="center"/>
          </w:tcPr>
          <w:p w14:paraId="5FBD933F">
            <w:pPr>
              <w:autoSpaceDE w:val="0"/>
              <w:autoSpaceDN w:val="0"/>
              <w:spacing w:line="240" w:lineRule="auto"/>
              <w:jc w:val="center"/>
              <w:rPr>
                <w:rFonts w:hint="eastAsia" w:ascii="仿宋" w:hAnsi="仿宋" w:eastAsia="仿宋" w:cs="仿宋"/>
                <w:color w:val="000000"/>
                <w:kern w:val="0"/>
                <w:sz w:val="24"/>
                <w:szCs w:val="24"/>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48F25C9C">
            <w:pPr>
              <w:autoSpaceDE w:val="0"/>
              <w:autoSpaceDN w:val="0"/>
              <w:spacing w:line="240" w:lineRule="auto"/>
              <w:jc w:val="center"/>
              <w:rPr>
                <w:rFonts w:hint="eastAsia" w:ascii="仿宋" w:hAnsi="仿宋" w:eastAsia="仿宋" w:cs="仿宋"/>
                <w:color w:val="000000"/>
                <w:kern w:val="0"/>
                <w:sz w:val="24"/>
                <w:szCs w:val="24"/>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69A2F97E">
            <w:pPr>
              <w:autoSpaceDE w:val="0"/>
              <w:autoSpaceDN w:val="0"/>
              <w:spacing w:line="240" w:lineRule="auto"/>
              <w:jc w:val="center"/>
              <w:rPr>
                <w:rFonts w:hint="eastAsia" w:ascii="仿宋" w:hAnsi="仿宋" w:eastAsia="仿宋" w:cs="仿宋"/>
                <w:color w:val="000000"/>
                <w:kern w:val="0"/>
                <w:sz w:val="24"/>
                <w:szCs w:val="24"/>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58AB31DD">
            <w:pPr>
              <w:autoSpaceDE w:val="0"/>
              <w:autoSpaceDN w:val="0"/>
              <w:spacing w:line="240" w:lineRule="auto"/>
              <w:jc w:val="center"/>
              <w:rPr>
                <w:rFonts w:hint="eastAsia" w:ascii="仿宋" w:hAnsi="仿宋" w:eastAsia="仿宋" w:cs="仿宋"/>
                <w:color w:val="000000"/>
                <w:kern w:val="0"/>
                <w:sz w:val="24"/>
                <w:szCs w:val="24"/>
              </w:rPr>
            </w:pPr>
          </w:p>
        </w:tc>
        <w:tc>
          <w:tcPr>
            <w:tcW w:w="825" w:type="dxa"/>
            <w:tcBorders>
              <w:top w:val="single" w:color="000000" w:sz="6" w:space="0"/>
              <w:left w:val="single" w:color="auto" w:sz="4" w:space="0"/>
              <w:bottom w:val="single" w:color="000000" w:sz="6" w:space="0"/>
              <w:right w:val="single" w:color="auto" w:sz="4" w:space="0"/>
            </w:tcBorders>
            <w:vAlign w:val="center"/>
          </w:tcPr>
          <w:p w14:paraId="00F85BC0">
            <w:pPr>
              <w:autoSpaceDE w:val="0"/>
              <w:autoSpaceDN w:val="0"/>
              <w:spacing w:line="240" w:lineRule="auto"/>
              <w:jc w:val="center"/>
              <w:rPr>
                <w:rFonts w:hint="eastAsia" w:ascii="仿宋" w:hAnsi="仿宋" w:eastAsia="仿宋" w:cs="仿宋"/>
                <w:color w:val="000000"/>
                <w:kern w:val="0"/>
                <w:sz w:val="24"/>
                <w:szCs w:val="24"/>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5D53B377">
            <w:pPr>
              <w:autoSpaceDE w:val="0"/>
              <w:autoSpaceDN w:val="0"/>
              <w:spacing w:line="240" w:lineRule="auto"/>
              <w:jc w:val="center"/>
              <w:rPr>
                <w:rFonts w:hint="eastAsia" w:ascii="仿宋" w:hAnsi="仿宋" w:eastAsia="仿宋" w:cs="仿宋"/>
                <w:color w:val="000000"/>
                <w:kern w:val="0"/>
                <w:sz w:val="24"/>
                <w:szCs w:val="24"/>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18A05FC0">
            <w:pPr>
              <w:autoSpaceDE w:val="0"/>
              <w:autoSpaceDN w:val="0"/>
              <w:spacing w:line="240" w:lineRule="auto"/>
              <w:jc w:val="center"/>
              <w:rPr>
                <w:rFonts w:hint="eastAsia" w:ascii="仿宋" w:hAnsi="仿宋" w:eastAsia="仿宋" w:cs="仿宋"/>
                <w:color w:val="000000"/>
                <w:kern w:val="0"/>
                <w:sz w:val="24"/>
                <w:szCs w:val="24"/>
                <w:lang w:val="zh-CN"/>
              </w:rPr>
            </w:pPr>
          </w:p>
        </w:tc>
      </w:tr>
      <w:tr w14:paraId="761A8DBD">
        <w:tblPrEx>
          <w:tblCellMar>
            <w:top w:w="0" w:type="dxa"/>
            <w:left w:w="28" w:type="dxa"/>
            <w:bottom w:w="0" w:type="dxa"/>
            <w:right w:w="28" w:type="dxa"/>
          </w:tblCellMar>
        </w:tblPrEx>
        <w:trPr>
          <w:trHeight w:val="801" w:hRule="atLeast"/>
          <w:jc w:val="center"/>
        </w:trPr>
        <w:tc>
          <w:tcPr>
            <w:tcW w:w="8854" w:type="dxa"/>
            <w:gridSpan w:val="8"/>
            <w:tcBorders>
              <w:top w:val="single" w:color="000000" w:sz="6" w:space="0"/>
              <w:left w:val="single" w:color="000000" w:sz="8" w:space="0"/>
              <w:bottom w:val="single" w:color="000000" w:sz="6" w:space="0"/>
              <w:right w:val="single" w:color="000000" w:sz="8" w:space="0"/>
            </w:tcBorders>
            <w:vAlign w:val="center"/>
          </w:tcPr>
          <w:p w14:paraId="5EB3632C">
            <w:pPr>
              <w:autoSpaceDE w:val="0"/>
              <w:autoSpaceDN w:val="0"/>
              <w:spacing w:line="240" w:lineRule="auto"/>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合计（元）：</w:t>
            </w:r>
          </w:p>
        </w:tc>
      </w:tr>
      <w:tr w14:paraId="22D1A531">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vAlign w:val="center"/>
          </w:tcPr>
          <w:p w14:paraId="229219AA">
            <w:pPr>
              <w:autoSpaceDE w:val="0"/>
              <w:autoSpaceDN w:val="0"/>
              <w:spacing w:line="240" w:lineRule="auto"/>
              <w:jc w:val="center"/>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磋商报价</w:t>
            </w:r>
          </w:p>
        </w:tc>
        <w:tc>
          <w:tcPr>
            <w:tcW w:w="6891" w:type="dxa"/>
            <w:gridSpan w:val="6"/>
            <w:tcBorders>
              <w:top w:val="single" w:color="000000" w:sz="6" w:space="0"/>
              <w:left w:val="single" w:color="000000" w:sz="6" w:space="0"/>
              <w:bottom w:val="single" w:color="000000" w:sz="6" w:space="0"/>
              <w:right w:val="single" w:color="000000" w:sz="8" w:space="0"/>
            </w:tcBorders>
            <w:vAlign w:val="center"/>
          </w:tcPr>
          <w:p w14:paraId="74B4C5C5">
            <w:pPr>
              <w:autoSpaceDE w:val="0"/>
              <w:autoSpaceDN w:val="0"/>
              <w:spacing w:before="190" w:beforeLines="50" w:line="240" w:lineRule="auto"/>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小写：</w:t>
            </w:r>
          </w:p>
          <w:p w14:paraId="49B0AE13">
            <w:pPr>
              <w:autoSpaceDE w:val="0"/>
              <w:autoSpaceDN w:val="0"/>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sz w:val="24"/>
                <w:szCs w:val="24"/>
              </w:rPr>
              <w:t>单位：元（</w:t>
            </w:r>
            <w:r>
              <w:rPr>
                <w:rFonts w:hint="eastAsia" w:ascii="仿宋" w:hAnsi="仿宋" w:eastAsia="仿宋" w:cs="仿宋"/>
                <w:color w:val="000000"/>
                <w:sz w:val="24"/>
                <w:szCs w:val="24"/>
                <w:lang w:val="en-US" w:eastAsia="zh-CN"/>
              </w:rPr>
              <w:t>报价最多保留到小数点后两位</w:t>
            </w:r>
            <w:r>
              <w:rPr>
                <w:rFonts w:hint="eastAsia" w:ascii="仿宋" w:hAnsi="仿宋" w:eastAsia="仿宋" w:cs="仿宋"/>
                <w:color w:val="000000"/>
                <w:sz w:val="24"/>
                <w:szCs w:val="24"/>
              </w:rPr>
              <w:t>）</w:t>
            </w:r>
          </w:p>
        </w:tc>
      </w:tr>
    </w:tbl>
    <w:p w14:paraId="15CB2252">
      <w:pPr>
        <w:tabs>
          <w:tab w:val="right" w:pos="9072"/>
        </w:tabs>
        <w:ind w:firstLine="426" w:firstLineChars="200"/>
        <w:rPr>
          <w:rFonts w:hint="eastAsia" w:ascii="宋体" w:hAnsi="宋体" w:eastAsia="宋体" w:cs="Times New Roman"/>
          <w:color w:val="000000"/>
          <w:sz w:val="21"/>
          <w:szCs w:val="21"/>
        </w:rPr>
      </w:pPr>
      <w:r>
        <w:rPr>
          <w:rFonts w:hint="eastAsia" w:ascii="宋体" w:hAnsi="宋体" w:eastAsia="宋体" w:cs="宋体"/>
          <w:color w:val="000000"/>
          <w:sz w:val="21"/>
          <w:szCs w:val="21"/>
        </w:rPr>
        <w:t>备注：</w:t>
      </w:r>
      <w:r>
        <w:rPr>
          <w:rFonts w:ascii="宋体" w:hAnsi="宋体" w:eastAsia="宋体" w:cs="宋体"/>
          <w:color w:val="000000"/>
          <w:sz w:val="21"/>
          <w:szCs w:val="21"/>
        </w:rPr>
        <w:t>1</w:t>
      </w:r>
      <w:r>
        <w:rPr>
          <w:rFonts w:hint="eastAsia" w:ascii="宋体" w:hAnsi="宋体" w:eastAsia="宋体" w:cs="宋体"/>
          <w:color w:val="000000"/>
          <w:sz w:val="21"/>
          <w:szCs w:val="21"/>
        </w:rPr>
        <w:t>、本表“磋商报价”金额应与“第一次磋商报价表”中的“磋商报价”一致；</w:t>
      </w:r>
    </w:p>
    <w:p w14:paraId="2CB868F3">
      <w:pPr>
        <w:tabs>
          <w:tab w:val="right" w:pos="9072"/>
        </w:tabs>
        <w:spacing w:line="360" w:lineRule="exact"/>
        <w:ind w:firstLine="1065" w:firstLineChars="500"/>
        <w:rPr>
          <w:rFonts w:hint="eastAsia" w:ascii="宋体" w:hAnsi="宋体" w:eastAsia="宋体" w:cs="宋体"/>
          <w:b/>
          <w:bCs/>
          <w:color w:val="000000"/>
          <w:sz w:val="21"/>
          <w:szCs w:val="21"/>
        </w:rPr>
      </w:pPr>
      <w:r>
        <w:rPr>
          <w:rFonts w:ascii="宋体" w:hAnsi="宋体" w:eastAsia="宋体" w:cs="宋体"/>
          <w:color w:val="000000"/>
          <w:sz w:val="21"/>
          <w:szCs w:val="21"/>
        </w:rPr>
        <w:t>2</w:t>
      </w:r>
      <w:r>
        <w:rPr>
          <w:rFonts w:hint="eastAsia" w:ascii="宋体" w:hAnsi="宋体" w:eastAsia="宋体" w:cs="宋体"/>
          <w:color w:val="000000"/>
          <w:sz w:val="21"/>
          <w:szCs w:val="21"/>
        </w:rPr>
        <w:t>、本表为样表，仅供参考，供应商根据项目实际需求进行填写。</w:t>
      </w:r>
    </w:p>
    <w:p w14:paraId="1BE804A3">
      <w:pPr>
        <w:pStyle w:val="11"/>
        <w:ind w:right="34"/>
        <w:rPr>
          <w:rFonts w:hint="eastAsia"/>
          <w:color w:val="000000"/>
        </w:rPr>
      </w:pPr>
    </w:p>
    <w:p w14:paraId="2EAE78A5">
      <w:pPr>
        <w:widowControl w:val="0"/>
        <w:tabs>
          <w:tab w:val="right" w:pos="9072"/>
        </w:tabs>
        <w:ind w:firstLine="1981" w:firstLineChars="700"/>
        <w:rPr>
          <w:rFonts w:eastAsia="宋体"/>
          <w:color w:val="000000"/>
        </w:rPr>
      </w:pPr>
    </w:p>
    <w:p w14:paraId="787F47F2">
      <w:pPr>
        <w:widowControl w:val="0"/>
        <w:spacing w:line="500" w:lineRule="exact"/>
        <w:ind w:firstLine="4811" w:firstLineChars="1700"/>
        <w:jc w:val="right"/>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w:t>
      </w:r>
    </w:p>
    <w:p w14:paraId="2846B0ED">
      <w:pPr>
        <w:pStyle w:val="2"/>
        <w:widowControl w:val="0"/>
        <w:spacing w:after="190"/>
        <w:ind w:firstLine="5660" w:firstLineChars="2000"/>
        <w:rPr>
          <w:rFonts w:hint="eastAsia" w:cs="Times New Roman"/>
          <w:color w:val="000000"/>
        </w:rPr>
        <w:sectPr>
          <w:pgSz w:w="11906" w:h="16838"/>
          <w:pgMar w:top="1304" w:right="1417" w:bottom="1304" w:left="1417" w:header="850" w:footer="992" w:gutter="0"/>
          <w:pgNumType w:fmt="decimal"/>
          <w:cols w:space="720" w:num="1"/>
          <w:docGrid w:type="linesAndChars" w:linePitch="381" w:charSpace="704"/>
        </w:sectPr>
      </w:pPr>
      <w:r>
        <w:rPr>
          <w:rFonts w:hint="eastAsia" w:ascii="仿宋" w:hAnsi="仿宋" w:eastAsia="仿宋" w:cs="仿宋"/>
          <w:color w:val="000000"/>
          <w:sz w:val="28"/>
          <w:szCs w:val="28"/>
        </w:rPr>
        <w:t>日期：　　年　月　日</w:t>
      </w:r>
    </w:p>
    <w:bookmarkEnd w:id="705"/>
    <w:p w14:paraId="5E6BB28F">
      <w:pPr>
        <w:pStyle w:val="47"/>
        <w:widowControl w:val="0"/>
        <w:spacing w:line="500" w:lineRule="exact"/>
        <w:ind w:firstLine="606" w:firstLineChars="200"/>
        <w:jc w:val="left"/>
        <w:rPr>
          <w:rFonts w:hint="eastAsia" w:ascii="仿宋" w:hAnsi="仿宋" w:eastAsia="仿宋" w:cs="仿宋"/>
          <w:color w:val="000000"/>
          <w:sz w:val="30"/>
          <w:szCs w:val="30"/>
        </w:rPr>
      </w:pPr>
      <w:bookmarkStart w:id="748" w:name="_Toc30708"/>
      <w:bookmarkStart w:id="749" w:name="_Toc15442"/>
      <w:bookmarkStart w:id="750" w:name="_Toc4946"/>
      <w:bookmarkStart w:id="751" w:name="_Toc27127"/>
      <w:bookmarkStart w:id="752" w:name="_Toc10991"/>
      <w:bookmarkStart w:id="753" w:name="_Toc6005"/>
      <w:bookmarkStart w:id="754" w:name="_Toc27481"/>
      <w:bookmarkStart w:id="755" w:name="_Toc811"/>
      <w:bookmarkStart w:id="756" w:name="_Toc25704"/>
      <w:bookmarkStart w:id="757" w:name="_Toc15322"/>
      <w:bookmarkStart w:id="758" w:name="_Toc9028"/>
      <w:bookmarkStart w:id="759" w:name="_Toc21044"/>
      <w:bookmarkStart w:id="760" w:name="_Toc32030"/>
      <w:bookmarkStart w:id="761" w:name="_Toc24491"/>
      <w:bookmarkStart w:id="762" w:name="_Toc3051"/>
      <w:bookmarkStart w:id="763" w:name="_Toc2012"/>
      <w:r>
        <w:rPr>
          <w:rFonts w:hint="eastAsia" w:ascii="仿宋" w:hAnsi="仿宋" w:eastAsia="仿宋" w:cs="仿宋"/>
          <w:color w:val="000000"/>
          <w:sz w:val="30"/>
          <w:szCs w:val="30"/>
        </w:rPr>
        <w:t>三、供应商承诺书</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0915082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未签署下列承诺书的，其责任由供应商自行承担。</w:t>
      </w:r>
    </w:p>
    <w:p w14:paraId="0311CB84">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（一）质量安全责任承诺书</w:t>
      </w:r>
    </w:p>
    <w:p w14:paraId="70D13CCB">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为保证本采购项目顺利进行，作为供应商，现郑重承诺：</w:t>
      </w:r>
    </w:p>
    <w:p w14:paraId="564573F2">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1、我方所投产品的生产（包括设计、制造、安装、改造、维修等）、投入使用的材料等均完全符合国家现行质量、安全、环保标准和要求。</w:t>
      </w:r>
    </w:p>
    <w:p w14:paraId="38F8E584">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2、我方将严格按照国家现行相关储存、运输、安装调试技术标准及规范、服务标准及规范、施工标准及规范，在规定的时限内，保质、保量完成项目全部内容，并向采购人交付合格产品。</w:t>
      </w:r>
    </w:p>
    <w:p w14:paraId="72E179EA">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3、对于因产品生产质量以及储存、运输、安装调试、服务、施工等过程中产生的任何安全事故，我方承担全部责任。</w:t>
      </w:r>
    </w:p>
    <w:p w14:paraId="6302208F">
      <w:p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4、我方提供的货物、工程、服务等符合现行的国家、行业、地区、企业标准及要求，标准不一致的，以更为严格的为准，我方对提供的货物、工程、服务等的质量、安全、环保等承担全部责任。</w:t>
      </w:r>
    </w:p>
    <w:p w14:paraId="4126C04F">
      <w:pPr>
        <w:widowControl w:val="0"/>
        <w:spacing w:line="500" w:lineRule="exact"/>
        <w:rPr>
          <w:rFonts w:cs="Times New Roman"/>
          <w:color w:val="000000"/>
        </w:rPr>
      </w:pPr>
    </w:p>
    <w:p w14:paraId="0BABB346">
      <w:pPr>
        <w:widowControl w:val="0"/>
        <w:spacing w:line="500" w:lineRule="exact"/>
        <w:ind w:firstLine="566" w:firstLineChars="200"/>
        <w:rPr>
          <w:rFonts w:cs="Times New Roman"/>
          <w:color w:val="000000"/>
        </w:rPr>
      </w:pPr>
    </w:p>
    <w:p w14:paraId="3CFA43E5">
      <w:pPr>
        <w:widowControl w:val="0"/>
        <w:spacing w:line="500" w:lineRule="exact"/>
        <w:ind w:firstLine="5094" w:firstLineChars="1800"/>
        <w:rPr>
          <w:rFonts w:cs="Times New Roman"/>
          <w:color w:val="000000"/>
        </w:rPr>
      </w:pPr>
      <w:r>
        <w:rPr>
          <w:rFonts w:hint="eastAsia" w:cs="华文仿宋"/>
          <w:color w:val="000000"/>
        </w:rPr>
        <w:t>供应商：</w:t>
      </w:r>
      <w:r>
        <w:rPr>
          <w:rFonts w:hint="eastAsia" w:cs="华文仿宋"/>
          <w:color w:val="000000"/>
          <w:u w:val="single"/>
        </w:rPr>
        <w:t>名称</w:t>
      </w:r>
      <w:r>
        <w:rPr>
          <w:rFonts w:hint="eastAsia" w:cs="华文仿宋"/>
          <w:color w:val="000000"/>
        </w:rPr>
        <w:t>（加盖公章）</w:t>
      </w:r>
    </w:p>
    <w:p w14:paraId="42262D28">
      <w:pPr>
        <w:widowControl w:val="0"/>
        <w:spacing w:line="500" w:lineRule="exact"/>
        <w:ind w:firstLine="5377" w:firstLineChars="1900"/>
        <w:rPr>
          <w:rFonts w:cs="Times New Roman"/>
          <w:color w:val="000000"/>
        </w:rPr>
      </w:pPr>
      <w:r>
        <w:rPr>
          <w:rFonts w:hint="eastAsia" w:cs="华文仿宋"/>
          <w:color w:val="000000"/>
        </w:rPr>
        <w:t>日期：　年　月　日</w:t>
      </w:r>
    </w:p>
    <w:p w14:paraId="208BCE87">
      <w:pPr>
        <w:widowControl w:val="0"/>
        <w:spacing w:line="500" w:lineRule="exact"/>
        <w:rPr>
          <w:rFonts w:cs="Times New Roman"/>
          <w:color w:val="000000"/>
        </w:rPr>
      </w:pPr>
    </w:p>
    <w:p w14:paraId="644E09E0">
      <w:pPr>
        <w:widowControl w:val="0"/>
        <w:spacing w:line="500" w:lineRule="exact"/>
        <w:rPr>
          <w:rFonts w:cs="Times New Roman"/>
          <w:color w:val="000000"/>
        </w:rPr>
      </w:pPr>
    </w:p>
    <w:p w14:paraId="2FC4997C">
      <w:pPr>
        <w:widowControl w:val="0"/>
        <w:spacing w:line="500" w:lineRule="exact"/>
        <w:rPr>
          <w:rFonts w:cs="Times New Roman"/>
          <w:color w:val="000000"/>
        </w:rPr>
      </w:pPr>
    </w:p>
    <w:p w14:paraId="73FCB1EB">
      <w:pPr>
        <w:widowControl w:val="0"/>
        <w:spacing w:line="500" w:lineRule="exact"/>
        <w:rPr>
          <w:rFonts w:cs="Times New Roman"/>
          <w:color w:val="000000"/>
        </w:rPr>
      </w:pPr>
    </w:p>
    <w:p w14:paraId="2A27BFC6">
      <w:pPr>
        <w:widowControl w:val="0"/>
        <w:spacing w:line="500" w:lineRule="exact"/>
        <w:rPr>
          <w:rFonts w:cs="Times New Roman"/>
          <w:color w:val="000000"/>
        </w:rPr>
      </w:pPr>
    </w:p>
    <w:p w14:paraId="31C880BF">
      <w:pPr>
        <w:pStyle w:val="24"/>
        <w:widowControl w:val="0"/>
        <w:ind w:firstLine="183"/>
        <w:rPr>
          <w:color w:val="000000"/>
        </w:rPr>
      </w:pPr>
    </w:p>
    <w:p w14:paraId="1FC61F41">
      <w:pPr>
        <w:widowControl w:val="0"/>
        <w:spacing w:line="500" w:lineRule="exact"/>
        <w:rPr>
          <w:rFonts w:cs="Times New Roman"/>
          <w:color w:val="000000"/>
        </w:rPr>
      </w:pPr>
    </w:p>
    <w:p w14:paraId="26B0DC79">
      <w:pPr>
        <w:pStyle w:val="24"/>
        <w:widowControl w:val="0"/>
        <w:ind w:firstLine="183"/>
        <w:rPr>
          <w:color w:val="000000"/>
        </w:rPr>
      </w:pPr>
    </w:p>
    <w:p w14:paraId="017D4DD7">
      <w:pPr>
        <w:widowControl w:val="0"/>
        <w:spacing w:before="190" w:beforeLines="50" w:line="500" w:lineRule="exact"/>
        <w:ind w:firstLine="566" w:firstLineChars="200"/>
        <w:rPr>
          <w:rFonts w:cs="Times New Roman"/>
          <w:b/>
          <w:bCs/>
          <w:color w:val="000000"/>
        </w:rPr>
      </w:pPr>
    </w:p>
    <w:p w14:paraId="7F3C7F9A">
      <w:pPr>
        <w:widowControl w:val="0"/>
        <w:spacing w:before="190" w:beforeLines="50" w:line="500" w:lineRule="exact"/>
        <w:ind w:firstLine="566" w:firstLineChars="200"/>
        <w:rPr>
          <w:rFonts w:hint="eastAsia" w:ascii="仿宋" w:hAnsi="仿宋" w:eastAsia="仿宋" w:cs="仿宋"/>
          <w:b/>
          <w:bCs/>
          <w:color w:val="000000"/>
        </w:rPr>
      </w:pPr>
      <w:r>
        <w:rPr>
          <w:rFonts w:hint="eastAsia" w:ascii="仿宋" w:hAnsi="仿宋" w:eastAsia="仿宋" w:cs="仿宋"/>
          <w:b/>
          <w:bCs/>
          <w:color w:val="000000"/>
        </w:rPr>
        <w:t>（二）拒绝政府采购领域商业贿赂承诺书</w:t>
      </w:r>
    </w:p>
    <w:p w14:paraId="124438DA">
      <w:pPr>
        <w:widowControl w:val="0"/>
        <w:overflowPunct w:val="0"/>
        <w:topLinePunct/>
        <w:spacing w:line="440" w:lineRule="exact"/>
        <w:jc w:val="center"/>
        <w:rPr>
          <w:rFonts w:hint="eastAsia" w:ascii="仿宋" w:hAnsi="仿宋" w:eastAsia="仿宋" w:cs="仿宋"/>
          <w:color w:val="000000"/>
        </w:rPr>
      </w:pPr>
      <w:r>
        <w:rPr>
          <w:rFonts w:hint="eastAsia" w:ascii="仿宋" w:hAnsi="仿宋" w:eastAsia="仿宋" w:cs="仿宋"/>
          <w:color w:val="000000"/>
        </w:rPr>
        <w:t>（执行陕财办采管</w:t>
      </w:r>
      <w:r>
        <w:rPr>
          <w:rFonts w:ascii="仿宋" w:hAnsi="仿宋" w:eastAsia="仿宋" w:cs="仿宋"/>
          <w:color w:val="000000"/>
        </w:rPr>
        <w:t>[2006]21</w:t>
      </w:r>
      <w:r>
        <w:rPr>
          <w:rFonts w:hint="eastAsia" w:ascii="仿宋" w:hAnsi="仿宋" w:eastAsia="仿宋" w:cs="仿宋"/>
          <w:color w:val="000000"/>
        </w:rPr>
        <w:t>号文件）</w:t>
      </w:r>
    </w:p>
    <w:p w14:paraId="39A64668">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为响应党中央、国务院关于治理政府采购领域商业贿赂行为的号召，我公司在此庄严承诺：</w:t>
      </w:r>
    </w:p>
    <w:p w14:paraId="48AC6A38">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1、在参与政府采购活动中遵纪守法、诚信经营、公平竞标。</w:t>
      </w:r>
    </w:p>
    <w:p w14:paraId="5577072A">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2、不向政府采购人、采购代理机构和政府采购评审专家进行任何形式的商业贿赂以谋取交易机会。</w:t>
      </w:r>
    </w:p>
    <w:p w14:paraId="000BA6B6">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3、不向政府采购代理机构和采购人提供虚假资质文件或采用虚假应标方式参与政府采购市场竞争并谋取中标、成交。</w:t>
      </w:r>
    </w:p>
    <w:p w14:paraId="16C336AC">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4、不采取“围标、陪标”等商业欺诈手段获得政府采购定单。</w:t>
      </w:r>
    </w:p>
    <w:p w14:paraId="56ED8265">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5、不采取不正当手段诋毁、排挤其他供应商。</w:t>
      </w:r>
    </w:p>
    <w:p w14:paraId="73044BBF">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6、不在提供商品和服务时“偷梁换柱、以次充好”损害采购人的合法权益。</w:t>
      </w:r>
    </w:p>
    <w:p w14:paraId="1210008A">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7、不与采购人、采购代理机构政府采购评审专家或其它供应商恶意串通，进行质疑和投诉，维护政府采购市场秩序。</w:t>
      </w:r>
    </w:p>
    <w:p w14:paraId="114208B3">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8、尊重和接受政府采购监督管理部门的监督和政府采购代理机构招标采购要求，承担因违约行为给采购人造成的损失。</w:t>
      </w:r>
    </w:p>
    <w:p w14:paraId="158515A2">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9、不发生其他有悖于政府采购公开、公平、公正和诚信原则的行为。</w:t>
      </w:r>
    </w:p>
    <w:p w14:paraId="16AD1E68">
      <w:pPr>
        <w:widowControl w:val="0"/>
        <w:spacing w:line="500" w:lineRule="exact"/>
        <w:rPr>
          <w:rFonts w:hint="eastAsia" w:ascii="仿宋" w:hAnsi="仿宋" w:eastAsia="仿宋" w:cs="仿宋"/>
          <w:color w:val="000000"/>
        </w:rPr>
      </w:pPr>
    </w:p>
    <w:p w14:paraId="6D2BB40B">
      <w:pPr>
        <w:widowControl w:val="0"/>
        <w:spacing w:line="500" w:lineRule="exact"/>
        <w:ind w:firstLine="5094" w:firstLineChars="18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名称</w:t>
      </w:r>
      <w:r>
        <w:rPr>
          <w:rFonts w:hint="eastAsia" w:ascii="仿宋" w:hAnsi="仿宋" w:eastAsia="仿宋" w:cs="仿宋"/>
          <w:color w:val="000000"/>
        </w:rPr>
        <w:t>（加盖公章）</w:t>
      </w:r>
    </w:p>
    <w:p w14:paraId="3976479D">
      <w:pPr>
        <w:widowControl w:val="0"/>
        <w:spacing w:line="500" w:lineRule="exact"/>
        <w:ind w:firstLine="5377" w:firstLineChars="1900"/>
        <w:rPr>
          <w:rFonts w:hint="eastAsia" w:ascii="仿宋" w:hAnsi="仿宋" w:eastAsia="仿宋" w:cs="仿宋"/>
          <w:color w:val="000000"/>
        </w:rPr>
      </w:pPr>
      <w:r>
        <w:rPr>
          <w:rFonts w:hint="eastAsia" w:ascii="仿宋" w:hAnsi="仿宋" w:eastAsia="仿宋" w:cs="仿宋"/>
          <w:color w:val="000000"/>
        </w:rPr>
        <w:t>日期：　年　月　日</w:t>
      </w:r>
    </w:p>
    <w:p w14:paraId="48EDE627">
      <w:pPr>
        <w:widowControl w:val="0"/>
        <w:spacing w:line="500" w:lineRule="exact"/>
        <w:ind w:firstLine="566" w:firstLineChars="200"/>
        <w:jc w:val="left"/>
        <w:rPr>
          <w:rFonts w:hint="eastAsia" w:ascii="华文仿宋" w:hAnsi="华文仿宋" w:eastAsia="仿宋" w:cs="华文仿宋"/>
          <w:b/>
          <w:bCs/>
          <w:color w:val="000000"/>
          <w:sz w:val="32"/>
          <w:szCs w:val="32"/>
        </w:rPr>
      </w:pPr>
      <w:r>
        <w:rPr>
          <w:rFonts w:cs="Times New Roman"/>
          <w:color w:val="000000"/>
        </w:rPr>
        <w:br w:type="page"/>
      </w:r>
      <w:r>
        <w:rPr>
          <w:rFonts w:hint="eastAsia" w:ascii="仿宋" w:hAnsi="仿宋" w:eastAsia="仿宋" w:cs="仿宋"/>
          <w:b/>
          <w:bCs/>
          <w:color w:val="000000"/>
          <w:sz w:val="30"/>
          <w:szCs w:val="30"/>
        </w:rPr>
        <w:t>四、实质性条款响应</w:t>
      </w:r>
    </w:p>
    <w:p w14:paraId="1B743911">
      <w:pPr>
        <w:tabs>
          <w:tab w:val="right" w:pos="9070"/>
        </w:tabs>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（一）按照磋商文件第三章“磋商内容及采购要求”中“★”内容要求，</w:t>
      </w:r>
      <w:r>
        <w:rPr>
          <w:rFonts w:hint="eastAsia" w:ascii="仿宋" w:hAnsi="仿宋" w:eastAsia="仿宋" w:cs="仿宋"/>
          <w:color w:val="000000"/>
          <w:lang w:val="en-US" w:eastAsia="zh-CN"/>
        </w:rPr>
        <w:t>如须</w:t>
      </w:r>
      <w:r>
        <w:rPr>
          <w:rFonts w:hint="eastAsia" w:ascii="仿宋" w:hAnsi="仿宋" w:eastAsia="仿宋" w:cs="仿宋"/>
          <w:color w:val="000000"/>
        </w:rPr>
        <w:t>提供相关承诺函</w:t>
      </w:r>
      <w:r>
        <w:rPr>
          <w:rFonts w:hint="eastAsia" w:ascii="仿宋" w:hAnsi="仿宋" w:eastAsia="仿宋" w:cs="仿宋"/>
          <w:color w:val="000000"/>
          <w:lang w:eastAsia="zh-CN"/>
        </w:rPr>
        <w:t>，</w:t>
      </w:r>
      <w:r>
        <w:rPr>
          <w:rFonts w:hint="eastAsia" w:ascii="仿宋" w:hAnsi="仿宋" w:eastAsia="仿宋" w:cs="仿宋"/>
          <w:color w:val="000000"/>
        </w:rPr>
        <w:t>供应商将承诺函附至此处。</w:t>
      </w:r>
    </w:p>
    <w:p w14:paraId="56D61194">
      <w:pPr>
        <w:pStyle w:val="2"/>
        <w:spacing w:after="190" w:line="500" w:lineRule="exact"/>
        <w:rPr>
          <w:rFonts w:hint="eastAsia" w:ascii="仿宋" w:hAnsi="仿宋" w:eastAsia="仿宋" w:cs="仿宋"/>
          <w:color w:val="000000"/>
        </w:rPr>
      </w:pPr>
    </w:p>
    <w:p w14:paraId="6AE527DA">
      <w:pPr>
        <w:pStyle w:val="2"/>
        <w:spacing w:after="190"/>
        <w:rPr>
          <w:rFonts w:hint="eastAsia" w:ascii="仿宋" w:hAnsi="仿宋" w:eastAsia="仿宋" w:cs="仿宋"/>
          <w:color w:val="000000"/>
        </w:rPr>
      </w:pPr>
    </w:p>
    <w:p w14:paraId="32C0CE64">
      <w:pPr>
        <w:rPr>
          <w:rFonts w:hint="eastAsia" w:ascii="仿宋" w:hAnsi="仿宋" w:eastAsia="仿宋" w:cs="仿宋"/>
          <w:color w:val="000000"/>
        </w:rPr>
      </w:pPr>
    </w:p>
    <w:p w14:paraId="1BEACF5C">
      <w:pPr>
        <w:rPr>
          <w:rFonts w:hint="eastAsia" w:ascii="仿宋" w:hAnsi="仿宋" w:eastAsia="仿宋" w:cs="仿宋"/>
          <w:color w:val="000000"/>
        </w:rPr>
      </w:pPr>
    </w:p>
    <w:p w14:paraId="1078B14A">
      <w:pPr>
        <w:rPr>
          <w:rFonts w:hint="eastAsia" w:ascii="仿宋" w:hAnsi="仿宋" w:eastAsia="仿宋" w:cs="仿宋"/>
          <w:color w:val="000000"/>
        </w:rPr>
      </w:pPr>
    </w:p>
    <w:p w14:paraId="2CE64D42">
      <w:pPr>
        <w:widowControl w:val="0"/>
        <w:numPr>
          <w:ilvl w:val="0"/>
          <w:numId w:val="11"/>
        </w:numPr>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按照磋商文件第三章“磋商内容及采购要求”中“★”内容要求，</w:t>
      </w:r>
      <w:r>
        <w:rPr>
          <w:rFonts w:hint="eastAsia" w:ascii="仿宋" w:hAnsi="仿宋" w:eastAsia="仿宋" w:cs="仿宋"/>
          <w:color w:val="000000"/>
          <w:lang w:val="en-US" w:eastAsia="zh-CN"/>
        </w:rPr>
        <w:t>如须</w:t>
      </w:r>
      <w:r>
        <w:rPr>
          <w:rFonts w:hint="eastAsia" w:ascii="仿宋" w:hAnsi="仿宋" w:eastAsia="仿宋" w:cs="仿宋"/>
          <w:color w:val="000000"/>
        </w:rPr>
        <w:t>提供证书复印件等相关证明材料</w:t>
      </w:r>
      <w:r>
        <w:rPr>
          <w:rFonts w:hint="eastAsia" w:ascii="仿宋" w:hAnsi="仿宋" w:eastAsia="仿宋" w:cs="仿宋"/>
          <w:color w:val="000000"/>
          <w:lang w:eastAsia="zh-CN"/>
        </w:rPr>
        <w:t>，</w:t>
      </w:r>
      <w:r>
        <w:rPr>
          <w:rFonts w:hint="eastAsia" w:ascii="仿宋" w:hAnsi="仿宋" w:eastAsia="仿宋" w:cs="仿宋"/>
          <w:color w:val="000000"/>
        </w:rPr>
        <w:t>供应商将</w:t>
      </w:r>
      <w:r>
        <w:rPr>
          <w:rFonts w:hint="eastAsia" w:ascii="仿宋" w:hAnsi="仿宋" w:eastAsia="仿宋" w:cs="仿宋"/>
          <w:color w:val="000000"/>
          <w:lang w:val="en-US" w:eastAsia="zh-CN"/>
        </w:rPr>
        <w:t>证明材料</w:t>
      </w:r>
      <w:r>
        <w:rPr>
          <w:rFonts w:hint="eastAsia" w:ascii="仿宋" w:hAnsi="仿宋" w:eastAsia="仿宋" w:cs="仿宋"/>
          <w:color w:val="000000"/>
        </w:rPr>
        <w:t>附至此处。</w:t>
      </w:r>
    </w:p>
    <w:p w14:paraId="4073AF7E">
      <w:pPr>
        <w:widowControl w:val="0"/>
        <w:spacing w:line="500" w:lineRule="exact"/>
        <w:rPr>
          <w:rFonts w:hint="eastAsia" w:ascii="宋体" w:hAnsi="宋体" w:eastAsia="宋体" w:cs="宋体"/>
          <w:b/>
          <w:bCs/>
          <w:color w:val="000000"/>
          <w:sz w:val="21"/>
          <w:szCs w:val="21"/>
        </w:rPr>
      </w:pPr>
    </w:p>
    <w:p w14:paraId="25B369B3">
      <w:pPr>
        <w:pStyle w:val="2"/>
        <w:spacing w:after="190"/>
        <w:rPr>
          <w:rFonts w:hint="eastAsia" w:eastAsia="宋体"/>
          <w:b/>
          <w:bCs/>
          <w:color w:val="000000"/>
          <w:sz w:val="21"/>
          <w:szCs w:val="21"/>
        </w:rPr>
      </w:pPr>
    </w:p>
    <w:p w14:paraId="6209F6C4">
      <w:pPr>
        <w:rPr>
          <w:color w:val="000000"/>
        </w:rPr>
      </w:pPr>
    </w:p>
    <w:p w14:paraId="639CA2FA">
      <w:pPr>
        <w:ind w:firstLine="426"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备注：</w:t>
      </w:r>
    </w:p>
    <w:p w14:paraId="15F925A2">
      <w:pPr>
        <w:widowControl w:val="0"/>
        <w:ind w:firstLine="426" w:firstLineChars="200"/>
        <w:jc w:val="left"/>
        <w:rPr>
          <w:rFonts w:hint="eastAsia" w:ascii="宋体" w:hAnsi="宋体" w:eastAsia="宋体" w:cs="宋体"/>
          <w:b w:val="0"/>
          <w:bCs/>
          <w:color w:val="000000"/>
          <w:sz w:val="21"/>
          <w:szCs w:val="21"/>
        </w:rPr>
      </w:pPr>
      <w:r>
        <w:rPr>
          <w:rFonts w:hint="eastAsia" w:eastAsia="宋体" w:cs="宋体"/>
          <w:b w:val="0"/>
          <w:bCs/>
          <w:color w:val="000000"/>
          <w:sz w:val="21"/>
          <w:szCs w:val="21"/>
        </w:rPr>
        <w:t>1、供应商</w:t>
      </w:r>
      <w:r>
        <w:rPr>
          <w:rFonts w:hint="eastAsia" w:ascii="宋体" w:hAnsi="宋体" w:eastAsia="宋体" w:cs="宋体"/>
          <w:b w:val="0"/>
          <w:bCs/>
          <w:color w:val="000000"/>
          <w:sz w:val="21"/>
          <w:szCs w:val="21"/>
        </w:rPr>
        <w:t>填写须以第</w:t>
      </w:r>
      <w:r>
        <w:rPr>
          <w:rFonts w:hint="eastAsia" w:eastAsia="宋体" w:cs="宋体"/>
          <w:b w:val="0"/>
          <w:bCs/>
          <w:color w:val="000000"/>
          <w:sz w:val="21"/>
          <w:szCs w:val="21"/>
        </w:rPr>
        <w:t>三</w:t>
      </w:r>
      <w:r>
        <w:rPr>
          <w:rFonts w:hint="eastAsia" w:ascii="宋体" w:hAnsi="宋体" w:eastAsia="宋体" w:cs="宋体"/>
          <w:b w:val="0"/>
          <w:bCs/>
          <w:color w:val="000000"/>
          <w:sz w:val="21"/>
          <w:szCs w:val="21"/>
        </w:rPr>
        <w:t>章“</w:t>
      </w:r>
      <w:r>
        <w:rPr>
          <w:rFonts w:hint="eastAsia" w:eastAsia="宋体" w:cs="宋体"/>
          <w:b w:val="0"/>
          <w:bCs/>
          <w:color w:val="000000"/>
          <w:sz w:val="21"/>
          <w:szCs w:val="21"/>
        </w:rPr>
        <w:t>磋商</w:t>
      </w:r>
      <w:r>
        <w:rPr>
          <w:rFonts w:hint="eastAsia" w:ascii="宋体" w:hAnsi="宋体" w:eastAsia="宋体" w:cs="宋体"/>
          <w:b w:val="0"/>
          <w:bCs/>
          <w:color w:val="000000"/>
          <w:sz w:val="21"/>
          <w:szCs w:val="21"/>
        </w:rPr>
        <w:t>内容及</w:t>
      </w:r>
      <w:r>
        <w:rPr>
          <w:rFonts w:hint="eastAsia" w:eastAsia="宋体" w:cs="宋体"/>
          <w:b w:val="0"/>
          <w:bCs/>
          <w:color w:val="000000"/>
          <w:sz w:val="21"/>
          <w:szCs w:val="21"/>
        </w:rPr>
        <w:t>采购</w:t>
      </w:r>
      <w:r>
        <w:rPr>
          <w:rFonts w:hint="eastAsia" w:ascii="宋体" w:hAnsi="宋体" w:eastAsia="宋体" w:cs="宋体"/>
          <w:b w:val="0"/>
          <w:bCs/>
          <w:color w:val="000000"/>
          <w:sz w:val="21"/>
          <w:szCs w:val="21"/>
        </w:rPr>
        <w:t>要求”中“★”内容项为基本响应要求，须逐条响应，未逐条响应、有缺漏将视为无效</w:t>
      </w:r>
      <w:r>
        <w:rPr>
          <w:rFonts w:hint="eastAsia" w:eastAsia="宋体" w:cs="宋体"/>
          <w:b w:val="0"/>
          <w:bCs/>
          <w:color w:val="000000"/>
          <w:sz w:val="21"/>
          <w:szCs w:val="21"/>
        </w:rPr>
        <w:t>响应</w:t>
      </w:r>
      <w:r>
        <w:rPr>
          <w:rFonts w:hint="eastAsia" w:ascii="宋体" w:hAnsi="宋体" w:eastAsia="宋体" w:cs="宋体"/>
          <w:b w:val="0"/>
          <w:bCs/>
          <w:color w:val="000000"/>
          <w:sz w:val="21"/>
          <w:szCs w:val="21"/>
        </w:rPr>
        <w:t>。</w:t>
      </w:r>
    </w:p>
    <w:p w14:paraId="0C916CD3">
      <w:pPr>
        <w:widowControl w:val="0"/>
        <w:ind w:firstLine="426" w:firstLineChars="200"/>
        <w:jc w:val="left"/>
        <w:rPr>
          <w:rFonts w:hint="eastAsia" w:ascii="宋体" w:hAnsi="宋体" w:eastAsia="宋体" w:cs="宋体"/>
          <w:bCs/>
          <w:color w:val="000000"/>
          <w:sz w:val="21"/>
          <w:szCs w:val="21"/>
        </w:rPr>
      </w:pPr>
      <w:r>
        <w:rPr>
          <w:rFonts w:hint="eastAsia" w:ascii="宋体" w:hAnsi="宋体" w:eastAsia="宋体" w:cs="宋体"/>
          <w:b w:val="0"/>
          <w:bCs/>
          <w:color w:val="000000"/>
          <w:sz w:val="21"/>
          <w:szCs w:val="21"/>
        </w:rPr>
        <w:t>2、承诺函、证书复印件等相关证明材料均须加盖供应商公章。</w:t>
      </w:r>
      <w:r>
        <w:rPr>
          <w:rFonts w:hint="eastAsia" w:ascii="宋体" w:hAnsi="宋体" w:eastAsia="宋体" w:cs="宋体"/>
          <w:bCs/>
          <w:color w:val="000000"/>
          <w:sz w:val="21"/>
          <w:szCs w:val="21"/>
        </w:rPr>
        <w:tab/>
      </w:r>
    </w:p>
    <w:p w14:paraId="10FD8CC2">
      <w:pPr>
        <w:widowControl w:val="0"/>
        <w:spacing w:line="500" w:lineRule="exact"/>
        <w:ind w:firstLine="566" w:firstLineChars="200"/>
        <w:rPr>
          <w:rFonts w:hint="eastAsia" w:ascii="华文仿宋" w:hAnsi="华文仿宋" w:cs="华文仿宋"/>
          <w:color w:val="000000"/>
        </w:rPr>
      </w:pPr>
    </w:p>
    <w:p w14:paraId="1E87D00E">
      <w:pPr>
        <w:widowControl w:val="0"/>
        <w:spacing w:line="5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p>
    <w:p w14:paraId="5599372D">
      <w:pPr>
        <w:widowControl w:val="0"/>
        <w:spacing w:line="500" w:lineRule="exact"/>
        <w:ind w:firstLine="606"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五、合同草案条款响应</w:t>
      </w:r>
    </w:p>
    <w:p w14:paraId="0927172B">
      <w:pPr>
        <w:widowControl w:val="0"/>
        <w:spacing w:line="500" w:lineRule="exact"/>
        <w:ind w:firstLine="566" w:firstLineChars="200"/>
        <w:rPr>
          <w:rFonts w:hint="eastAsia" w:ascii="仿宋" w:hAnsi="仿宋" w:eastAsia="仿宋" w:cs="仿宋"/>
          <w:color w:val="000000"/>
        </w:rPr>
      </w:pPr>
      <w:r>
        <w:rPr>
          <w:rFonts w:hint="eastAsia" w:ascii="仿宋" w:hAnsi="仿宋" w:eastAsia="仿宋" w:cs="仿宋"/>
          <w:color w:val="000000"/>
        </w:rPr>
        <w:t>完全理解并接受磋商文件中“合同草案条款”要求。</w:t>
      </w:r>
    </w:p>
    <w:p w14:paraId="0D6EEFCA">
      <w:pPr>
        <w:widowControl w:val="0"/>
        <w:spacing w:line="500" w:lineRule="exact"/>
        <w:ind w:firstLine="4811" w:firstLineChars="1700"/>
        <w:rPr>
          <w:rFonts w:hint="eastAsia" w:ascii="仿宋" w:hAnsi="仿宋" w:eastAsia="仿宋" w:cs="Times New Roman"/>
          <w:color w:val="000000"/>
        </w:rPr>
      </w:pPr>
    </w:p>
    <w:p w14:paraId="3C88313D">
      <w:pPr>
        <w:pStyle w:val="2"/>
        <w:widowControl w:val="0"/>
        <w:spacing w:after="190"/>
        <w:rPr>
          <w:rFonts w:hint="eastAsia" w:cs="Times New Roman"/>
          <w:color w:val="000000"/>
        </w:rPr>
      </w:pPr>
    </w:p>
    <w:p w14:paraId="01121320">
      <w:pPr>
        <w:pStyle w:val="2"/>
        <w:widowControl w:val="0"/>
        <w:spacing w:line="500" w:lineRule="exact"/>
        <w:ind w:firstLine="5377" w:firstLineChars="1900"/>
        <w:rPr>
          <w:rFonts w:hint="eastAsia" w:ascii="仿宋" w:hAnsi="仿宋" w:eastAsia="仿宋" w:cs="Times New Roman"/>
          <w:color w:val="000000"/>
        </w:rPr>
      </w:pPr>
      <w:r>
        <w:rPr>
          <w:rFonts w:hint="eastAsia" w:ascii="华文仿宋" w:hAnsi="华文仿宋" w:cs="华文仿宋"/>
          <w:color w:val="000000"/>
          <w:sz w:val="28"/>
          <w:szCs w:val="28"/>
        </w:rPr>
        <w:t>供应商：</w:t>
      </w:r>
      <w:r>
        <w:rPr>
          <w:rFonts w:hint="eastAsia" w:ascii="华文仿宋" w:hAnsi="华文仿宋" w:cs="华文仿宋"/>
          <w:color w:val="000000"/>
          <w:sz w:val="28"/>
          <w:szCs w:val="28"/>
          <w:u w:val="single"/>
        </w:rPr>
        <w:t>名称</w:t>
      </w:r>
      <w:r>
        <w:rPr>
          <w:rFonts w:hint="eastAsia" w:ascii="华文仿宋" w:hAnsi="华文仿宋" w:cs="华文仿宋"/>
          <w:color w:val="000000"/>
          <w:sz w:val="28"/>
          <w:szCs w:val="28"/>
        </w:rPr>
        <w:t>（加盖公章）</w:t>
      </w:r>
      <w:r>
        <w:rPr>
          <w:rFonts w:ascii="仿宋" w:hAnsi="仿宋" w:eastAsia="仿宋" w:cs="Times New Roman"/>
          <w:color w:val="000000"/>
        </w:rPr>
        <w:tab/>
      </w:r>
    </w:p>
    <w:p w14:paraId="53F7BA9B">
      <w:pPr>
        <w:pStyle w:val="24"/>
        <w:widowControl w:val="0"/>
        <w:spacing w:line="500" w:lineRule="exact"/>
        <w:ind w:firstLine="5660" w:firstLineChars="2000"/>
        <w:rPr>
          <w:rFonts w:ascii="华文仿宋"/>
          <w:color w:val="000000"/>
          <w:sz w:val="28"/>
          <w:szCs w:val="28"/>
        </w:rPr>
      </w:pPr>
      <w:r>
        <w:rPr>
          <w:rFonts w:hint="eastAsia" w:ascii="华文仿宋" w:hAnsi="华文仿宋" w:cs="华文仿宋"/>
          <w:color w:val="000000"/>
          <w:sz w:val="28"/>
          <w:szCs w:val="28"/>
        </w:rPr>
        <w:t>日期：　年　月　日</w:t>
      </w:r>
    </w:p>
    <w:p w14:paraId="1B0E8408">
      <w:pPr>
        <w:pStyle w:val="24"/>
        <w:widowControl w:val="0"/>
        <w:ind w:firstLine="183"/>
        <w:rPr>
          <w:rFonts w:hint="eastAsia" w:ascii="仿宋" w:hAnsi="仿宋" w:eastAsia="仿宋"/>
          <w:color w:val="000000"/>
        </w:rPr>
      </w:pPr>
    </w:p>
    <w:p w14:paraId="07DFF8BB">
      <w:pPr>
        <w:pStyle w:val="24"/>
        <w:widowControl w:val="0"/>
        <w:ind w:firstLine="183"/>
        <w:rPr>
          <w:rFonts w:hint="eastAsia" w:ascii="仿宋" w:hAnsi="仿宋" w:eastAsia="仿宋"/>
          <w:color w:val="000000"/>
        </w:rPr>
      </w:pPr>
    </w:p>
    <w:p w14:paraId="55DF7A06">
      <w:pPr>
        <w:pStyle w:val="24"/>
        <w:widowControl w:val="0"/>
        <w:ind w:firstLine="183"/>
        <w:rPr>
          <w:rFonts w:hint="eastAsia" w:ascii="仿宋" w:hAnsi="仿宋" w:eastAsia="仿宋"/>
          <w:color w:val="000000"/>
        </w:rPr>
      </w:pPr>
    </w:p>
    <w:p w14:paraId="7171AF96">
      <w:pPr>
        <w:pStyle w:val="24"/>
        <w:widowControl w:val="0"/>
        <w:ind w:firstLine="183"/>
        <w:rPr>
          <w:rFonts w:hint="eastAsia" w:ascii="仿宋" w:hAnsi="仿宋" w:eastAsia="仿宋"/>
          <w:color w:val="000000"/>
        </w:rPr>
      </w:pPr>
    </w:p>
    <w:p w14:paraId="07E6EE86">
      <w:pPr>
        <w:pStyle w:val="24"/>
        <w:widowControl w:val="0"/>
        <w:ind w:firstLine="183"/>
        <w:rPr>
          <w:rFonts w:hint="eastAsia" w:ascii="仿宋" w:hAnsi="仿宋" w:eastAsia="仿宋"/>
          <w:color w:val="000000"/>
        </w:rPr>
      </w:pPr>
    </w:p>
    <w:p w14:paraId="6183BDF0">
      <w:pPr>
        <w:pStyle w:val="24"/>
        <w:widowControl w:val="0"/>
        <w:ind w:firstLine="183"/>
        <w:rPr>
          <w:rFonts w:hint="eastAsia" w:ascii="仿宋" w:hAnsi="仿宋" w:eastAsia="仿宋"/>
          <w:color w:val="000000"/>
        </w:rPr>
      </w:pPr>
    </w:p>
    <w:p w14:paraId="4DEAD894">
      <w:pPr>
        <w:pStyle w:val="24"/>
        <w:widowControl w:val="0"/>
        <w:ind w:firstLine="183"/>
        <w:rPr>
          <w:rFonts w:hint="eastAsia" w:ascii="仿宋" w:hAnsi="仿宋" w:eastAsia="仿宋"/>
          <w:color w:val="000000"/>
        </w:rPr>
      </w:pPr>
    </w:p>
    <w:p w14:paraId="41C1F0AB">
      <w:pPr>
        <w:pStyle w:val="24"/>
        <w:widowControl w:val="0"/>
        <w:ind w:firstLine="183"/>
        <w:rPr>
          <w:rFonts w:hint="eastAsia" w:ascii="仿宋" w:hAnsi="仿宋" w:eastAsia="仿宋"/>
          <w:color w:val="000000"/>
        </w:rPr>
      </w:pPr>
    </w:p>
    <w:p w14:paraId="0FE4BC12">
      <w:pPr>
        <w:pStyle w:val="24"/>
        <w:widowControl w:val="0"/>
        <w:ind w:firstLine="183"/>
        <w:rPr>
          <w:rFonts w:hint="eastAsia" w:ascii="仿宋" w:hAnsi="仿宋" w:eastAsia="仿宋"/>
          <w:color w:val="000000"/>
        </w:rPr>
      </w:pPr>
    </w:p>
    <w:p w14:paraId="4A047E14">
      <w:pPr>
        <w:pStyle w:val="24"/>
        <w:widowControl w:val="0"/>
        <w:ind w:firstLine="183"/>
        <w:rPr>
          <w:rFonts w:hint="eastAsia" w:ascii="仿宋" w:hAnsi="仿宋" w:eastAsia="仿宋"/>
          <w:color w:val="000000"/>
        </w:rPr>
      </w:pPr>
    </w:p>
    <w:p w14:paraId="0B4861C9">
      <w:pPr>
        <w:pStyle w:val="24"/>
        <w:widowControl w:val="0"/>
        <w:ind w:firstLine="183"/>
        <w:rPr>
          <w:rFonts w:hint="eastAsia" w:ascii="仿宋" w:hAnsi="仿宋" w:eastAsia="仿宋"/>
          <w:color w:val="000000"/>
        </w:rPr>
      </w:pPr>
    </w:p>
    <w:p w14:paraId="7F7F043D">
      <w:pPr>
        <w:pStyle w:val="24"/>
        <w:widowControl w:val="0"/>
        <w:ind w:firstLine="183"/>
        <w:rPr>
          <w:rFonts w:hint="eastAsia" w:ascii="仿宋" w:hAnsi="仿宋" w:eastAsia="仿宋"/>
          <w:color w:val="000000"/>
        </w:rPr>
      </w:pPr>
    </w:p>
    <w:p w14:paraId="29B5383B">
      <w:pPr>
        <w:pStyle w:val="24"/>
        <w:widowControl w:val="0"/>
        <w:ind w:firstLine="183"/>
        <w:rPr>
          <w:rFonts w:hint="eastAsia" w:ascii="仿宋" w:hAnsi="仿宋" w:eastAsia="仿宋"/>
          <w:color w:val="000000"/>
        </w:rPr>
      </w:pPr>
    </w:p>
    <w:p w14:paraId="5C38684E">
      <w:pPr>
        <w:pStyle w:val="24"/>
        <w:widowControl w:val="0"/>
        <w:ind w:firstLine="183"/>
        <w:rPr>
          <w:rFonts w:hint="eastAsia" w:ascii="仿宋" w:hAnsi="仿宋" w:eastAsia="仿宋"/>
          <w:color w:val="000000"/>
        </w:rPr>
      </w:pPr>
    </w:p>
    <w:p w14:paraId="1D56B085">
      <w:pPr>
        <w:pStyle w:val="24"/>
        <w:widowControl w:val="0"/>
        <w:ind w:firstLine="183"/>
        <w:rPr>
          <w:rFonts w:hint="eastAsia" w:ascii="仿宋" w:hAnsi="仿宋" w:eastAsia="仿宋"/>
          <w:color w:val="000000"/>
        </w:rPr>
      </w:pPr>
    </w:p>
    <w:p w14:paraId="781A597F">
      <w:pPr>
        <w:pStyle w:val="24"/>
        <w:widowControl w:val="0"/>
        <w:ind w:firstLine="183"/>
        <w:rPr>
          <w:rFonts w:hint="eastAsia" w:ascii="仿宋" w:hAnsi="仿宋" w:eastAsia="仿宋"/>
          <w:color w:val="000000"/>
        </w:rPr>
      </w:pPr>
    </w:p>
    <w:p w14:paraId="4F56DA78">
      <w:pPr>
        <w:pStyle w:val="24"/>
        <w:widowControl w:val="0"/>
        <w:ind w:firstLine="183"/>
        <w:rPr>
          <w:rFonts w:hint="eastAsia" w:ascii="仿宋" w:hAnsi="仿宋" w:eastAsia="仿宋"/>
          <w:color w:val="000000"/>
        </w:rPr>
      </w:pPr>
    </w:p>
    <w:p w14:paraId="30236F0A">
      <w:pPr>
        <w:rPr>
          <w:rFonts w:hint="eastAsia" w:ascii="黑体" w:hAnsi="黑体" w:eastAsia="黑体" w:cs="Times New Roman"/>
          <w:b w:val="0"/>
          <w:bCs w:val="0"/>
          <w:color w:val="000000"/>
        </w:rPr>
      </w:pPr>
      <w:r>
        <w:rPr>
          <w:rFonts w:hint="eastAsia" w:ascii="黑体" w:hAnsi="黑体" w:eastAsia="黑体" w:cs="Times New Roman"/>
          <w:b w:val="0"/>
          <w:bCs w:val="0"/>
          <w:color w:val="000000"/>
        </w:rPr>
        <w:br w:type="page"/>
      </w:r>
    </w:p>
    <w:p w14:paraId="5BD1AB66">
      <w:pPr>
        <w:pStyle w:val="47"/>
        <w:widowControl w:val="0"/>
        <w:rPr>
          <w:rFonts w:hint="eastAsia" w:ascii="黑体" w:hAnsi="黑体" w:eastAsia="黑体" w:cs="Times New Roman"/>
          <w:b w:val="0"/>
          <w:bCs w:val="0"/>
          <w:color w:val="000000"/>
          <w:highlight w:val="none"/>
        </w:rPr>
      </w:pPr>
      <w:bookmarkStart w:id="764" w:name="_Toc20524"/>
      <w:bookmarkStart w:id="765" w:name="_Toc30644"/>
      <w:bookmarkStart w:id="766" w:name="_Toc30067"/>
      <w:bookmarkStart w:id="767" w:name="_Toc13676"/>
      <w:bookmarkStart w:id="768" w:name="_Toc9350"/>
      <w:bookmarkStart w:id="769" w:name="_Toc26612"/>
      <w:bookmarkStart w:id="770" w:name="_Toc7239"/>
      <w:r>
        <w:rPr>
          <w:rFonts w:hint="eastAsia" w:ascii="黑体" w:hAnsi="黑体" w:eastAsia="黑体" w:cs="黑体"/>
          <w:b w:val="0"/>
          <w:bCs w:val="0"/>
          <w:color w:val="000000"/>
          <w:highlight w:val="none"/>
        </w:rPr>
        <w:t>第三部分  响应方案</w:t>
      </w:r>
      <w:bookmarkEnd w:id="764"/>
      <w:bookmarkEnd w:id="765"/>
      <w:bookmarkEnd w:id="766"/>
      <w:bookmarkEnd w:id="767"/>
      <w:bookmarkEnd w:id="768"/>
      <w:bookmarkEnd w:id="769"/>
      <w:bookmarkEnd w:id="770"/>
    </w:p>
    <w:p w14:paraId="7D98A0F2">
      <w:pPr>
        <w:pStyle w:val="47"/>
        <w:widowControl w:val="0"/>
        <w:spacing w:line="500" w:lineRule="exact"/>
        <w:ind w:firstLine="606" w:firstLineChars="200"/>
        <w:jc w:val="both"/>
        <w:rPr>
          <w:rFonts w:hint="eastAsia" w:ascii="仿宋" w:hAnsi="仿宋" w:eastAsia="仿宋" w:cs="仿宋"/>
          <w:color w:val="000000"/>
        </w:rPr>
      </w:pPr>
      <w:bookmarkStart w:id="771" w:name="_Toc30676"/>
      <w:bookmarkStart w:id="772" w:name="_Toc31882"/>
      <w:bookmarkStart w:id="773" w:name="_Toc9795"/>
      <w:bookmarkStart w:id="774" w:name="_Toc23944"/>
      <w:bookmarkStart w:id="775" w:name="_Toc32512"/>
      <w:bookmarkStart w:id="776" w:name="_Toc2565"/>
      <w:bookmarkStart w:id="777" w:name="_Toc21184"/>
      <w:bookmarkStart w:id="778" w:name="_Toc6378"/>
      <w:bookmarkStart w:id="779" w:name="_Toc11877"/>
      <w:bookmarkStart w:id="780" w:name="_Toc18389"/>
      <w:bookmarkStart w:id="781" w:name="_Toc9535"/>
      <w:bookmarkStart w:id="782" w:name="_Toc11480"/>
      <w:bookmarkStart w:id="783" w:name="_Toc7814"/>
      <w:bookmarkStart w:id="784" w:name="_Toc22123"/>
      <w:bookmarkStart w:id="785" w:name="_Toc59"/>
      <w:bookmarkStart w:id="786" w:name="_Toc4666"/>
      <w:bookmarkStart w:id="787" w:name="_Toc27668"/>
      <w:bookmarkStart w:id="788" w:name="_Toc14902"/>
      <w:bookmarkStart w:id="789" w:name="_Toc5596"/>
      <w:bookmarkStart w:id="790" w:name="_Toc26478"/>
      <w:r>
        <w:rPr>
          <w:rFonts w:hint="eastAsia" w:ascii="仿宋" w:hAnsi="仿宋" w:eastAsia="仿宋" w:cs="仿宋"/>
          <w:color w:val="000000"/>
          <w:sz w:val="30"/>
          <w:szCs w:val="30"/>
        </w:rPr>
        <w:t>一、供应商概况</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1" w:name="_Toc17171"/>
      <w:bookmarkStart w:id="792" w:name="_Toc12342"/>
      <w:bookmarkStart w:id="793" w:name="_Toc4085"/>
      <w:bookmarkStart w:id="794" w:name="_Toc2826"/>
      <w:bookmarkStart w:id="795" w:name="_Toc6405"/>
      <w:bookmarkStart w:id="796" w:name="_Toc4295"/>
      <w:bookmarkStart w:id="797" w:name="_Toc1568"/>
      <w:bookmarkStart w:id="798" w:name="_Toc14867"/>
      <w:bookmarkStart w:id="799" w:name="_Toc13373"/>
      <w:bookmarkStart w:id="800" w:name="_Toc17436"/>
      <w:bookmarkStart w:id="801" w:name="_Toc3411"/>
      <w:bookmarkStart w:id="802" w:name="_Toc24226"/>
      <w:bookmarkStart w:id="803" w:name="_Toc26403"/>
      <w:bookmarkStart w:id="804" w:name="_Toc9336"/>
      <w:bookmarkStart w:id="805" w:name="_Toc15509"/>
    </w:p>
    <w:p w14:paraId="3A94AB05">
      <w:pPr>
        <w:widowControl w:val="0"/>
        <w:spacing w:line="500" w:lineRule="exact"/>
        <w:ind w:firstLine="566" w:firstLineChars="200"/>
        <w:jc w:val="left"/>
        <w:rPr>
          <w:rFonts w:hint="eastAsia" w:ascii="仿宋" w:hAnsi="仿宋" w:eastAsia="仿宋" w:cs="仿宋"/>
          <w:b/>
          <w:bCs/>
          <w:color w:val="000000"/>
        </w:rPr>
      </w:pPr>
      <w:r>
        <w:rPr>
          <w:rFonts w:hint="eastAsia" w:ascii="仿宋" w:hAnsi="仿宋" w:eastAsia="仿宋" w:cs="仿宋"/>
          <w:color w:val="000000"/>
        </w:rPr>
        <w:t>包括但不限于成立时间、经营范围、股权变更、总公司分公司分布及经营状况、管理制度、人员配备、用户评价、正在实施的项目，评优获奖情况</w:t>
      </w:r>
      <w:r>
        <w:rPr>
          <w:rFonts w:hint="eastAsia" w:ascii="仿宋" w:hAnsi="仿宋" w:eastAsia="仿宋" w:cs="仿宋"/>
          <w:b/>
          <w:bCs/>
          <w:color w:val="000000"/>
        </w:rPr>
        <w:t>，</w:t>
      </w:r>
      <w:r>
        <w:rPr>
          <w:rFonts w:hint="eastAsia" w:ascii="仿宋" w:hAnsi="仿宋" w:eastAsia="仿宋" w:cs="仿宋"/>
          <w:color w:val="000000"/>
        </w:rPr>
        <w:t>以及供应商认为有利于中标的其他情况说明。</w:t>
      </w:r>
    </w:p>
    <w:p w14:paraId="5C18011B">
      <w:pPr>
        <w:widowControl w:val="0"/>
        <w:rPr>
          <w:rFonts w:cs="华文仿宋"/>
          <w:color w:val="000000"/>
        </w:rPr>
      </w:pPr>
      <w:r>
        <w:rPr>
          <w:rFonts w:hint="eastAsia" w:ascii="华文仿宋" w:hAnsi="华文仿宋" w:cs="华文仿宋"/>
          <w:color w:val="000000"/>
        </w:rPr>
        <w:br w:type="page"/>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69CA12A8">
      <w:pPr>
        <w:pStyle w:val="47"/>
        <w:widowControl w:val="0"/>
        <w:spacing w:line="500" w:lineRule="exact"/>
        <w:ind w:firstLine="606" w:firstLineChars="200"/>
        <w:jc w:val="both"/>
        <w:outlineLvl w:val="2"/>
        <w:rPr>
          <w:rFonts w:hint="eastAsia" w:ascii="仿宋" w:hAnsi="仿宋" w:eastAsia="仿宋" w:cs="仿宋"/>
          <w:color w:val="000000"/>
        </w:rPr>
      </w:pPr>
      <w:bookmarkStart w:id="806" w:name="_Toc12346"/>
      <w:bookmarkStart w:id="807" w:name="_Toc14764"/>
      <w:bookmarkStart w:id="808" w:name="_Toc18145"/>
      <w:bookmarkStart w:id="809" w:name="_Toc15082"/>
      <w:bookmarkStart w:id="810" w:name="_Toc4225"/>
      <w:r>
        <w:rPr>
          <w:rFonts w:hint="eastAsia" w:ascii="仿宋" w:hAnsi="仿宋" w:eastAsia="仿宋" w:cs="仿宋"/>
          <w:color w:val="000000"/>
          <w:sz w:val="30"/>
          <w:szCs w:val="30"/>
        </w:rPr>
        <w:t>二、</w:t>
      </w:r>
      <w:bookmarkStart w:id="811" w:name="_Toc13262"/>
      <w:r>
        <w:rPr>
          <w:rFonts w:hint="eastAsia" w:ascii="仿宋" w:hAnsi="仿宋" w:eastAsia="仿宋" w:cs="仿宋"/>
          <w:color w:val="000000"/>
        </w:rPr>
        <w:t>响应方案</w:t>
      </w:r>
      <w:bookmarkEnd w:id="806"/>
      <w:bookmarkEnd w:id="807"/>
      <w:bookmarkEnd w:id="808"/>
      <w:bookmarkEnd w:id="809"/>
      <w:bookmarkEnd w:id="810"/>
      <w:bookmarkEnd w:id="811"/>
    </w:p>
    <w:p w14:paraId="2FB47848">
      <w:pPr>
        <w:widowControl w:val="0"/>
        <w:spacing w:line="500" w:lineRule="exact"/>
        <w:ind w:firstLine="566" w:firstLineChars="200"/>
        <w:rPr>
          <w:rFonts w:hint="eastAsia" w:ascii="仿宋" w:hAnsi="仿宋" w:eastAsia="仿宋" w:cs="仿宋"/>
          <w:b/>
          <w:bCs/>
          <w:color w:val="000000"/>
        </w:rPr>
      </w:pPr>
      <w:r>
        <w:rPr>
          <w:rFonts w:hint="eastAsia" w:ascii="仿宋" w:hAnsi="仿宋" w:eastAsia="仿宋" w:cs="仿宋"/>
          <w:color w:val="000000"/>
        </w:rPr>
        <w:t>参照磋商文件第二章第八项《组织评审》各条款的要求，结合第三章《磋商内容及采购要求》编制响应方案。</w:t>
      </w:r>
    </w:p>
    <w:p w14:paraId="201A2413">
      <w:pPr>
        <w:widowControl w:val="0"/>
        <w:spacing w:line="500" w:lineRule="exact"/>
        <w:rPr>
          <w:rFonts w:hint="eastAsia" w:ascii="华文仿宋" w:hAnsi="华文仿宋" w:cs="华文仿宋"/>
          <w:b/>
          <w:bCs/>
          <w:color w:val="000000"/>
          <w:sz w:val="32"/>
          <w:szCs w:val="32"/>
        </w:rPr>
      </w:pPr>
    </w:p>
    <w:p w14:paraId="30A04DD9">
      <w:pPr>
        <w:widowControl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2B9BF083">
      <w:pPr>
        <w:widowControl w:val="0"/>
        <w:spacing w:line="500" w:lineRule="exact"/>
        <w:ind w:firstLine="606"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三、参考样表</w:t>
      </w:r>
    </w:p>
    <w:p w14:paraId="712CE5BB">
      <w:pPr>
        <w:widowControl w:val="0"/>
        <w:spacing w:line="500" w:lineRule="exact"/>
        <w:ind w:firstLine="566" w:firstLineChars="200"/>
        <w:jc w:val="center"/>
        <w:rPr>
          <w:rFonts w:hint="eastAsia" w:ascii="仿宋" w:hAnsi="仿宋" w:eastAsia="仿宋" w:cs="仿宋"/>
          <w:b/>
          <w:bCs/>
          <w:color w:val="000000"/>
        </w:rPr>
      </w:pPr>
      <w:r>
        <w:rPr>
          <w:rFonts w:hint="eastAsia" w:ascii="仿宋" w:hAnsi="仿宋" w:eastAsia="仿宋" w:cs="仿宋"/>
          <w:b/>
          <w:bCs/>
          <w:color w:val="000000"/>
        </w:rPr>
        <w:t>业绩合同样表（仅供参考）</w:t>
      </w:r>
    </w:p>
    <w:tbl>
      <w:tblPr>
        <w:tblStyle w:val="2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038F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2BD5F655">
            <w:pPr>
              <w:widowControl w:val="0"/>
              <w:adjustRightInd w:val="0"/>
              <w:snapToGrid w:val="0"/>
              <w:spacing w:line="440" w:lineRule="exact"/>
              <w:jc w:val="center"/>
              <w:rPr>
                <w:rFonts w:ascii="宋体" w:cs="Times New Roman"/>
                <w:b/>
                <w:bCs/>
                <w:color w:val="000000"/>
                <w:sz w:val="24"/>
                <w:szCs w:val="24"/>
              </w:rPr>
            </w:pPr>
            <w:r>
              <w:rPr>
                <w:rFonts w:hint="eastAsia" w:ascii="宋体" w:cs="华文仿宋"/>
                <w:b/>
                <w:bCs/>
                <w:color w:val="000000"/>
                <w:sz w:val="24"/>
                <w:szCs w:val="24"/>
              </w:rPr>
              <w:t>序号</w:t>
            </w:r>
          </w:p>
        </w:tc>
        <w:tc>
          <w:tcPr>
            <w:tcW w:w="1736" w:type="dxa"/>
            <w:vAlign w:val="center"/>
          </w:tcPr>
          <w:p w14:paraId="68F1BCF1">
            <w:pPr>
              <w:widowControl w:val="0"/>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采购单位名称</w:t>
            </w:r>
          </w:p>
        </w:tc>
        <w:tc>
          <w:tcPr>
            <w:tcW w:w="1701" w:type="dxa"/>
            <w:vAlign w:val="center"/>
          </w:tcPr>
          <w:p w14:paraId="5223B9BA">
            <w:pPr>
              <w:widowControl w:val="0"/>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合同名称</w:t>
            </w:r>
          </w:p>
        </w:tc>
        <w:tc>
          <w:tcPr>
            <w:tcW w:w="2557" w:type="dxa"/>
            <w:vAlign w:val="center"/>
          </w:tcPr>
          <w:p w14:paraId="105AD236">
            <w:pPr>
              <w:widowControl w:val="0"/>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合同起止时间</w:t>
            </w:r>
          </w:p>
        </w:tc>
        <w:tc>
          <w:tcPr>
            <w:tcW w:w="1984" w:type="dxa"/>
            <w:vAlign w:val="center"/>
          </w:tcPr>
          <w:p w14:paraId="4D3FDBAC">
            <w:pPr>
              <w:widowControl w:val="0"/>
              <w:jc w:val="center"/>
              <w:rPr>
                <w:rFonts w:hint="eastAsia" w:ascii="仿宋" w:hAnsi="仿宋" w:eastAsia="仿宋" w:cs="Times New Roman"/>
                <w:b/>
                <w:bCs/>
                <w:color w:val="000000"/>
                <w:sz w:val="24"/>
                <w:szCs w:val="24"/>
              </w:rPr>
            </w:pPr>
            <w:r>
              <w:rPr>
                <w:rFonts w:hint="eastAsia" w:ascii="仿宋" w:hAnsi="仿宋" w:eastAsia="仿宋" w:cs="仿宋"/>
                <w:b/>
                <w:bCs/>
                <w:color w:val="000000"/>
                <w:sz w:val="24"/>
                <w:szCs w:val="24"/>
              </w:rPr>
              <w:t>合同金额（万元）</w:t>
            </w:r>
          </w:p>
        </w:tc>
      </w:tr>
      <w:tr w14:paraId="667A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360126F0">
            <w:pPr>
              <w:widowControl w:val="0"/>
              <w:spacing w:line="440" w:lineRule="exact"/>
              <w:jc w:val="center"/>
              <w:rPr>
                <w:rFonts w:ascii="宋体" w:eastAsia="宋体" w:cs="Times New Roman"/>
                <w:color w:val="000000"/>
                <w:sz w:val="24"/>
                <w:szCs w:val="24"/>
              </w:rPr>
            </w:pPr>
          </w:p>
        </w:tc>
        <w:tc>
          <w:tcPr>
            <w:tcW w:w="1736" w:type="dxa"/>
            <w:vAlign w:val="center"/>
          </w:tcPr>
          <w:p w14:paraId="57B7D07C">
            <w:pPr>
              <w:widowControl w:val="0"/>
              <w:spacing w:line="440" w:lineRule="exact"/>
              <w:jc w:val="center"/>
              <w:rPr>
                <w:rFonts w:ascii="宋体" w:eastAsia="宋体" w:cs="Times New Roman"/>
                <w:color w:val="000000"/>
                <w:sz w:val="24"/>
                <w:szCs w:val="24"/>
              </w:rPr>
            </w:pPr>
          </w:p>
        </w:tc>
        <w:tc>
          <w:tcPr>
            <w:tcW w:w="1701" w:type="dxa"/>
            <w:vAlign w:val="center"/>
          </w:tcPr>
          <w:p w14:paraId="53FEAB1D">
            <w:pPr>
              <w:widowControl w:val="0"/>
              <w:spacing w:line="440" w:lineRule="exact"/>
              <w:jc w:val="center"/>
              <w:rPr>
                <w:rFonts w:ascii="宋体" w:eastAsia="宋体" w:cs="Times New Roman"/>
                <w:color w:val="000000"/>
                <w:sz w:val="24"/>
                <w:szCs w:val="24"/>
              </w:rPr>
            </w:pPr>
          </w:p>
        </w:tc>
        <w:tc>
          <w:tcPr>
            <w:tcW w:w="2557" w:type="dxa"/>
            <w:vAlign w:val="center"/>
          </w:tcPr>
          <w:p w14:paraId="6BB533BE">
            <w:pPr>
              <w:widowControl w:val="0"/>
              <w:spacing w:line="440" w:lineRule="exact"/>
              <w:jc w:val="center"/>
              <w:rPr>
                <w:rFonts w:ascii="宋体" w:eastAsia="宋体" w:cs="Times New Roman"/>
                <w:color w:val="000000"/>
                <w:sz w:val="24"/>
                <w:szCs w:val="24"/>
              </w:rPr>
            </w:pPr>
          </w:p>
        </w:tc>
        <w:tc>
          <w:tcPr>
            <w:tcW w:w="1984" w:type="dxa"/>
            <w:vAlign w:val="center"/>
          </w:tcPr>
          <w:p w14:paraId="51A46EE3">
            <w:pPr>
              <w:widowControl w:val="0"/>
              <w:spacing w:line="440" w:lineRule="exact"/>
              <w:jc w:val="center"/>
              <w:rPr>
                <w:rFonts w:ascii="宋体" w:eastAsia="宋体" w:cs="Times New Roman"/>
                <w:color w:val="000000"/>
                <w:sz w:val="24"/>
                <w:szCs w:val="24"/>
              </w:rPr>
            </w:pPr>
          </w:p>
        </w:tc>
      </w:tr>
      <w:tr w14:paraId="34B6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239394D4">
            <w:pPr>
              <w:widowControl w:val="0"/>
              <w:spacing w:line="440" w:lineRule="exact"/>
              <w:jc w:val="center"/>
              <w:rPr>
                <w:rFonts w:ascii="宋体" w:eastAsia="宋体" w:cs="Times New Roman"/>
                <w:color w:val="000000"/>
                <w:sz w:val="24"/>
                <w:szCs w:val="24"/>
              </w:rPr>
            </w:pPr>
          </w:p>
        </w:tc>
        <w:tc>
          <w:tcPr>
            <w:tcW w:w="1736" w:type="dxa"/>
            <w:vAlign w:val="center"/>
          </w:tcPr>
          <w:p w14:paraId="371CEDF1">
            <w:pPr>
              <w:widowControl w:val="0"/>
              <w:spacing w:line="440" w:lineRule="exact"/>
              <w:jc w:val="center"/>
              <w:rPr>
                <w:rFonts w:ascii="宋体" w:eastAsia="宋体" w:cs="Times New Roman"/>
                <w:color w:val="000000"/>
                <w:sz w:val="24"/>
                <w:szCs w:val="24"/>
              </w:rPr>
            </w:pPr>
          </w:p>
        </w:tc>
        <w:tc>
          <w:tcPr>
            <w:tcW w:w="1701" w:type="dxa"/>
            <w:vAlign w:val="center"/>
          </w:tcPr>
          <w:p w14:paraId="5D88133B">
            <w:pPr>
              <w:widowControl w:val="0"/>
              <w:spacing w:line="440" w:lineRule="exact"/>
              <w:jc w:val="center"/>
              <w:rPr>
                <w:rFonts w:ascii="宋体" w:eastAsia="宋体" w:cs="Times New Roman"/>
                <w:color w:val="000000"/>
                <w:sz w:val="24"/>
                <w:szCs w:val="24"/>
              </w:rPr>
            </w:pPr>
          </w:p>
        </w:tc>
        <w:tc>
          <w:tcPr>
            <w:tcW w:w="2557" w:type="dxa"/>
            <w:vAlign w:val="center"/>
          </w:tcPr>
          <w:p w14:paraId="290F8AFF">
            <w:pPr>
              <w:widowControl w:val="0"/>
              <w:spacing w:line="440" w:lineRule="exact"/>
              <w:jc w:val="center"/>
              <w:rPr>
                <w:rFonts w:ascii="宋体" w:eastAsia="宋体" w:cs="Times New Roman"/>
                <w:color w:val="000000"/>
                <w:sz w:val="24"/>
                <w:szCs w:val="24"/>
              </w:rPr>
            </w:pPr>
          </w:p>
        </w:tc>
        <w:tc>
          <w:tcPr>
            <w:tcW w:w="1984" w:type="dxa"/>
            <w:vAlign w:val="center"/>
          </w:tcPr>
          <w:p w14:paraId="3922974A">
            <w:pPr>
              <w:widowControl w:val="0"/>
              <w:spacing w:line="440" w:lineRule="exact"/>
              <w:jc w:val="center"/>
              <w:rPr>
                <w:rFonts w:ascii="宋体" w:eastAsia="宋体" w:cs="Times New Roman"/>
                <w:color w:val="000000"/>
                <w:sz w:val="24"/>
                <w:szCs w:val="24"/>
              </w:rPr>
            </w:pPr>
          </w:p>
        </w:tc>
      </w:tr>
      <w:tr w14:paraId="41A3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17210CDE">
            <w:pPr>
              <w:widowControl w:val="0"/>
              <w:spacing w:line="440" w:lineRule="exact"/>
              <w:jc w:val="left"/>
              <w:rPr>
                <w:rFonts w:ascii="宋体" w:eastAsia="宋体" w:cs="Times New Roman"/>
                <w:color w:val="000000"/>
                <w:sz w:val="24"/>
                <w:szCs w:val="24"/>
              </w:rPr>
            </w:pPr>
            <w:r>
              <w:rPr>
                <w:rFonts w:hint="eastAsia" w:ascii="仿宋" w:hAnsi="仿宋" w:eastAsia="仿宋" w:cs="仿宋"/>
                <w:b/>
                <w:bCs/>
                <w:color w:val="000000"/>
                <w:sz w:val="24"/>
                <w:szCs w:val="24"/>
              </w:rPr>
              <w:t>数量合计（个）</w:t>
            </w:r>
            <w:r>
              <w:rPr>
                <w:rFonts w:hint="eastAsia" w:ascii="宋体" w:hAnsi="宋体" w:cs="华文仿宋"/>
                <w:color w:val="000000"/>
                <w:sz w:val="24"/>
                <w:szCs w:val="24"/>
              </w:rPr>
              <w:t>：</w:t>
            </w:r>
          </w:p>
        </w:tc>
      </w:tr>
    </w:tbl>
    <w:p w14:paraId="30F2D970">
      <w:pPr>
        <w:widowControl w:val="0"/>
        <w:rPr>
          <w:color w:val="000000"/>
        </w:rPr>
      </w:pPr>
    </w:p>
    <w:p w14:paraId="1E7A23A6">
      <w:pPr>
        <w:rPr>
          <w:color w:val="000000"/>
        </w:rPr>
      </w:pPr>
    </w:p>
    <w:p w14:paraId="633817AD">
      <w:pPr>
        <w:rPr>
          <w:color w:val="000000"/>
        </w:rPr>
      </w:pPr>
    </w:p>
    <w:sectPr>
      <w:pgSz w:w="11906" w:h="16838"/>
      <w:pgMar w:top="1417" w:right="1418" w:bottom="1417" w:left="1418" w:header="851" w:footer="794" w:gutter="0"/>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58F729-B010-478D-B4BB-ABFE27754A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embedRegular r:id="rId2" w:fontKey="{4C165D3F-FC2D-47BE-9D5E-7F239D716A9F}"/>
  </w:font>
  <w:font w:name="华文仿宋">
    <w:panose1 w:val="02010600040101010101"/>
    <w:charset w:val="86"/>
    <w:family w:val="auto"/>
    <w:pitch w:val="default"/>
    <w:sig w:usb0="00000287" w:usb1="080F0000" w:usb2="00000000" w:usb3="00000000" w:csb0="0004009F" w:csb1="DFD70000"/>
    <w:embedRegular r:id="rId3" w:fontKey="{D3CB1838-3A1A-4EB7-8125-80CEF792FC91}"/>
  </w:font>
  <w:font w:name="仿宋">
    <w:panose1 w:val="02010609060101010101"/>
    <w:charset w:val="86"/>
    <w:family w:val="auto"/>
    <w:pitch w:val="default"/>
    <w:sig w:usb0="800002BF" w:usb1="38CF7CFA" w:usb2="00000016" w:usb3="00000000" w:csb0="00040001" w:csb1="00000000"/>
    <w:embedRegular r:id="rId4" w:fontKey="{C8900A8F-F77D-4EC7-9766-FA1168B1DB14}"/>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5" w:fontKey="{6D6E344B-66BD-46CB-8970-813727BE7B70}"/>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EACC">
    <w:pPr>
      <w:pStyle w:val="15"/>
      <w:jc w:val="center"/>
      <w:rPr>
        <w:sz w:val="21"/>
        <w:szCs w:val="21"/>
      </w:rPr>
    </w:pPr>
  </w:p>
  <w:p w14:paraId="266878A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963">
    <w:pPr>
      <w:pStyle w:val="15"/>
      <w:jc w:val="center"/>
      <w:rPr>
        <w:sz w:val="21"/>
        <w:szCs w:val="21"/>
      </w:rPr>
    </w:pPr>
  </w:p>
  <w:p w14:paraId="21B5795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2162">
    <w:pPr>
      <w:pStyle w:val="15"/>
      <w:tabs>
        <w:tab w:val="clear" w:pos="4153"/>
        <w:tab w:val="clear" w:pos="8306"/>
      </w:tabs>
      <w:rPr>
        <w:rFonts w:hint="eastAsia" w:ascii="宋体" w:eastAsia="宋体"/>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4445" r="635" b="0"/>
              <wp:wrapNone/>
              <wp:docPr id="4098" name="文本框 2"/>
              <wp:cNvGraphicFramePr/>
              <a:graphic xmlns:a="http://schemas.openxmlformats.org/drawingml/2006/main">
                <a:graphicData uri="http://schemas.microsoft.com/office/word/2010/wordprocessingShape">
                  <wps:wsp>
                    <wps:cNvSpPr/>
                    <wps:spPr>
                      <a:xfrm>
                        <a:off x="0" y="0"/>
                        <a:ext cx="457835" cy="147955"/>
                      </a:xfrm>
                      <a:prstGeom prst="rect">
                        <a:avLst/>
                      </a:prstGeom>
                      <a:ln>
                        <a:noFill/>
                      </a:ln>
                    </wps:spPr>
                    <wps:txbx>
                      <w:txbxContent>
                        <w:p w14:paraId="1C2E3A9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Vz22G9IAAAAD&#10;AQAADwAAAGRycy9kb3ducmV2LnhtbE2PzU7DMBCE70i8g7VI3KidVIIqxOkBqRIgLk37ANt48yPs&#10;dWS7TXl7DBe4rDSa0cy39fbqrLhQiJNnDcVKgSDuvJl40HA87B42IGJCNmg9k4YvirBtbm9qrIxf&#10;eE+XNg0il3CsUMOY0lxJGbuRHMaVn4mz1/vgMGUZBmkCLrncWVkq9SgdTpwXRpzpZaTusz07DfLQ&#10;7pZNa4Py72X/Yd9e9z15re/vCvUMItE1/YXhBz+jQ5OZTv7MJgqrIT+Sfm/2nsoCxElDuV6DbGr5&#10;n735BlBLAwQUAAAACACHTuJAE9n3KtcBAACcAwAADgAAAGRycy9lMm9Eb2MueG1srVPNjtMwEL4j&#10;8Q6W7zRtadndqOkKqVqEhGClhQdwHaex5D/NuE3KA8AbcOLCnefqczB20i5aLnvg4ow99jff981k&#10;ddtbww4KUHtX8dlkyply0tfa7Sr+5fPdq2vOMApXC+OdqvhRIb9dv3yx6kKp5r71plbACMRh2YWK&#10;tzGGsihQtsoKnPigHCUbD1ZE2sKuqEF0hG5NMZ9O3xSdhzqAlwqRTjdDko+I8BxA3zRaqo2Xe6tc&#10;HFBBGRFJErY6IF9ntk2jZPzUNKgiMxUnpTGvVITibVqL9UqUOxCh1XKkIJ5D4YkmK7SjoheojYiC&#10;7UH/A2W1BI++iRPpbTEIyY6Qitn0iTcPrQgqayGrMVxMx/8HKz8e7oHpuuKL6Q113glLPT/9+H76&#10;+fv06xubJ4e6gCVdfAj3MO6QwiS3b8CmLwlhfXb1eHFV9ZFJOlwsr65fLzmTlJotrm6Wy4RZPD4O&#10;gPGd8paloOJATcteisMHjMPV85VUy7i0On+njRmy6aRIJAdaKYr9th+5bn19JI008gTeevjKWUcN&#10;r7ij+ebMvHfkZ5qNcwDnYHsOhJP0sOKRs30AvWsJaZY5Yni7j0Ql80yFh2ojH2paVjoOWJqKv/f5&#10;1uNPt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z22G9IAAAADAQAADwAAAAAAAAABACAAAAAi&#10;AAAAZHJzL2Rvd25yZXYueG1sUEsBAhQAFAAAAAgAh07iQBPZ9yrXAQAAnAMAAA4AAAAAAAAAAQAg&#10;AAAAIQEAAGRycy9lMm9Eb2MueG1sUEsFBgAAAAAGAAYAWQEAAGoFAAAAAA==&#10;">
              <v:fill on="f" focussize="0,0"/>
              <v:stroke on="f"/>
              <v:imagedata o:title=""/>
              <o:lock v:ext="edit" aspectratio="f"/>
              <v:textbox inset="0mm,0mm,0mm,0mm" style="mso-fit-shape-to-text:t;">
                <w:txbxContent>
                  <w:p w14:paraId="1C2E3A9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rPr>
        <w:rFonts w:hint="eastAsia" w:ascii="宋体"/>
      </w:rPr>
      <w:tab/>
    </w:r>
  </w:p>
  <w:p w14:paraId="15914032">
    <w:pPr>
      <w:pStyle w:val="15"/>
      <w:tabs>
        <w:tab w:val="clear" w:pos="4153"/>
        <w:tab w:val="clear" w:pos="8306"/>
      </w:tabs>
      <w:ind w:right="-2"/>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4714">
    <w:pPr>
      <w:spacing w:line="240" w:lineRule="auto"/>
      <w:rPr>
        <w:rFonts w:ascii="宋体" w:eastAsia="宋体"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0BEF">
    <w:pPr>
      <w:pStyle w:val="16"/>
      <w:pBdr>
        <w:bottom w:val="none" w:color="auto" w:sz="0" w:space="1"/>
      </w:pBdr>
      <w:rPr>
        <w:rFonts w:hint="eastAsia" w:ascii="仿宋" w:hAnsi="仿宋" w:eastAsia="仿宋" w:cs="仿宋"/>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FDCB">
    <w:pPr>
      <w:pStyle w:val="16"/>
      <w:rPr>
        <w:rFonts w:hint="eastAsia" w:ascii="仿宋" w:hAnsi="仿宋" w:eastAsia="仿宋" w:cs="仿宋"/>
        <w:sz w:val="21"/>
        <w:szCs w:val="21"/>
        <w:lang w:eastAsia="zh-CN"/>
      </w:rPr>
    </w:pPr>
    <w:r>
      <w:rPr>
        <w:rFonts w:hint="eastAsia" w:ascii="仿宋" w:hAnsi="仿宋" w:eastAsia="仿宋" w:cs="仿宋"/>
        <w:sz w:val="21"/>
        <w:szCs w:val="21"/>
        <w:lang w:eastAsia="zh-CN"/>
      </w:rPr>
      <w:t>陕西省特殊教育学校2025年物业服务项目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2081"/>
    <w:multiLevelType w:val="singleLevel"/>
    <w:tmpl w:val="91262081"/>
    <w:lvl w:ilvl="0" w:tentative="0">
      <w:start w:val="1"/>
      <w:numFmt w:val="decimal"/>
      <w:suff w:val="nothing"/>
      <w:lvlText w:val="%1、"/>
      <w:lvlJc w:val="left"/>
    </w:lvl>
  </w:abstractNum>
  <w:abstractNum w:abstractNumId="1">
    <w:nsid w:val="967640A0"/>
    <w:multiLevelType w:val="singleLevel"/>
    <w:tmpl w:val="967640A0"/>
    <w:lvl w:ilvl="0" w:tentative="0">
      <w:start w:val="1"/>
      <w:numFmt w:val="decimal"/>
      <w:suff w:val="nothing"/>
      <w:lvlText w:val="%1、"/>
      <w:lvlJc w:val="left"/>
    </w:lvl>
  </w:abstractNum>
  <w:abstractNum w:abstractNumId="2">
    <w:nsid w:val="D9D3734F"/>
    <w:multiLevelType w:val="singleLevel"/>
    <w:tmpl w:val="D9D3734F"/>
    <w:lvl w:ilvl="0" w:tentative="0">
      <w:start w:val="1"/>
      <w:numFmt w:val="decimal"/>
      <w:suff w:val="nothing"/>
      <w:lvlText w:val="%1、"/>
      <w:lvlJc w:val="left"/>
    </w:lvl>
  </w:abstractNum>
  <w:abstractNum w:abstractNumId="3">
    <w:nsid w:val="E38360AB"/>
    <w:multiLevelType w:val="singleLevel"/>
    <w:tmpl w:val="E38360AB"/>
    <w:lvl w:ilvl="0" w:tentative="0">
      <w:start w:val="1"/>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0000002"/>
    <w:multiLevelType w:val="singleLevel"/>
    <w:tmpl w:val="00000002"/>
    <w:lvl w:ilvl="0" w:tentative="0">
      <w:start w:val="2"/>
      <w:numFmt w:val="decimal"/>
      <w:suff w:val="nothing"/>
      <w:lvlText w:val="%1、"/>
      <w:lvlJc w:val="left"/>
      <w:rPr>
        <w:rFonts w:hint="default" w:ascii="华文仿宋" w:hAnsi="华文仿宋" w:eastAsia="华文仿宋" w:cs="华文仿宋"/>
      </w:rPr>
    </w:lvl>
  </w:abstractNum>
  <w:abstractNum w:abstractNumId="6">
    <w:nsid w:val="00000003"/>
    <w:multiLevelType w:val="singleLevel"/>
    <w:tmpl w:val="00000003"/>
    <w:lvl w:ilvl="0" w:tentative="0">
      <w:start w:val="2"/>
      <w:numFmt w:val="chineseCounting"/>
      <w:suff w:val="nothing"/>
      <w:lvlText w:val="（%1）"/>
      <w:lvlJc w:val="left"/>
      <w:rPr>
        <w:rFonts w:hint="eastAsia"/>
      </w:rPr>
    </w:lvl>
  </w:abstractNum>
  <w:abstractNum w:abstractNumId="7">
    <w:nsid w:val="04551FEB"/>
    <w:multiLevelType w:val="singleLevel"/>
    <w:tmpl w:val="04551FEB"/>
    <w:lvl w:ilvl="0" w:tentative="0">
      <w:start w:val="6"/>
      <w:numFmt w:val="chineseCounting"/>
      <w:suff w:val="nothing"/>
      <w:lvlText w:val="%1、"/>
      <w:lvlJc w:val="left"/>
      <w:rPr>
        <w:rFonts w:hint="eastAsia"/>
      </w:rPr>
    </w:lvl>
  </w:abstractNum>
  <w:abstractNum w:abstractNumId="8">
    <w:nsid w:val="19F079D8"/>
    <w:multiLevelType w:val="singleLevel"/>
    <w:tmpl w:val="19F079D8"/>
    <w:lvl w:ilvl="0" w:tentative="0">
      <w:start w:val="1"/>
      <w:numFmt w:val="decimal"/>
      <w:suff w:val="nothing"/>
      <w:lvlText w:val="%1、"/>
      <w:lvlJc w:val="left"/>
    </w:lvl>
  </w:abstractNum>
  <w:abstractNum w:abstractNumId="9">
    <w:nsid w:val="45EB6636"/>
    <w:multiLevelType w:val="singleLevel"/>
    <w:tmpl w:val="45EB6636"/>
    <w:lvl w:ilvl="0" w:tentative="0">
      <w:start w:val="1"/>
      <w:numFmt w:val="decimal"/>
      <w:suff w:val="nothing"/>
      <w:lvlText w:val="%1、"/>
      <w:lvlJc w:val="left"/>
    </w:lvl>
  </w:abstractNum>
  <w:abstractNum w:abstractNumId="10">
    <w:nsid w:val="718DCE8E"/>
    <w:multiLevelType w:val="singleLevel"/>
    <w:tmpl w:val="718DCE8E"/>
    <w:lvl w:ilvl="0" w:tentative="0">
      <w:start w:val="1"/>
      <w:numFmt w:val="decimal"/>
      <w:suff w:val="nothing"/>
      <w:lvlText w:val="%1、"/>
      <w:lvlJc w:val="left"/>
    </w:lvl>
  </w:abstractNum>
  <w:num w:numId="1">
    <w:abstractNumId w:val="5"/>
  </w:num>
  <w:num w:numId="2">
    <w:abstractNumId w:val="1"/>
  </w:num>
  <w:num w:numId="3">
    <w:abstractNumId w:val="0"/>
  </w:num>
  <w:num w:numId="4">
    <w:abstractNumId w:val="8"/>
  </w:num>
  <w:num w:numId="5">
    <w:abstractNumId w:val="10"/>
  </w:num>
  <w:num w:numId="6">
    <w:abstractNumId w:val="3"/>
  </w:num>
  <w:num w:numId="7">
    <w:abstractNumId w:val="2"/>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72E78"/>
    <w:rsid w:val="00285085"/>
    <w:rsid w:val="00884BB2"/>
    <w:rsid w:val="01891B53"/>
    <w:rsid w:val="01C20BC1"/>
    <w:rsid w:val="01CC7EBE"/>
    <w:rsid w:val="022C24DE"/>
    <w:rsid w:val="025B2DC4"/>
    <w:rsid w:val="02714395"/>
    <w:rsid w:val="028247F4"/>
    <w:rsid w:val="02975B92"/>
    <w:rsid w:val="02B20C36"/>
    <w:rsid w:val="02CB1CF7"/>
    <w:rsid w:val="033F6241"/>
    <w:rsid w:val="03A013D6"/>
    <w:rsid w:val="04002D23"/>
    <w:rsid w:val="041B280B"/>
    <w:rsid w:val="04854128"/>
    <w:rsid w:val="04A3117E"/>
    <w:rsid w:val="04AE1048"/>
    <w:rsid w:val="04BC5D9C"/>
    <w:rsid w:val="04DC7F02"/>
    <w:rsid w:val="04E50B95"/>
    <w:rsid w:val="05045994"/>
    <w:rsid w:val="056D7096"/>
    <w:rsid w:val="05B60A3D"/>
    <w:rsid w:val="05D9472B"/>
    <w:rsid w:val="064B2778"/>
    <w:rsid w:val="06A42F8B"/>
    <w:rsid w:val="06AC0501"/>
    <w:rsid w:val="06E31D05"/>
    <w:rsid w:val="07087D7E"/>
    <w:rsid w:val="074A31ED"/>
    <w:rsid w:val="07874E0B"/>
    <w:rsid w:val="079256ED"/>
    <w:rsid w:val="07944DAE"/>
    <w:rsid w:val="07BB67DE"/>
    <w:rsid w:val="07C5140B"/>
    <w:rsid w:val="08057A5A"/>
    <w:rsid w:val="08A61507"/>
    <w:rsid w:val="08D86F1C"/>
    <w:rsid w:val="092263E9"/>
    <w:rsid w:val="0925299D"/>
    <w:rsid w:val="09331ABF"/>
    <w:rsid w:val="09336E74"/>
    <w:rsid w:val="09415724"/>
    <w:rsid w:val="09420839"/>
    <w:rsid w:val="094E3682"/>
    <w:rsid w:val="099472E7"/>
    <w:rsid w:val="09AB63DF"/>
    <w:rsid w:val="09D724F3"/>
    <w:rsid w:val="0A636CB9"/>
    <w:rsid w:val="0A681E50"/>
    <w:rsid w:val="0A7333A0"/>
    <w:rsid w:val="0AA01CBB"/>
    <w:rsid w:val="0B2616E1"/>
    <w:rsid w:val="0B654C55"/>
    <w:rsid w:val="0B7D6C74"/>
    <w:rsid w:val="0BB97C7D"/>
    <w:rsid w:val="0C2D3A23"/>
    <w:rsid w:val="0C4C20FB"/>
    <w:rsid w:val="0C6C454B"/>
    <w:rsid w:val="0CE82491"/>
    <w:rsid w:val="0CF0217F"/>
    <w:rsid w:val="0D224C0A"/>
    <w:rsid w:val="0D35493D"/>
    <w:rsid w:val="0D887163"/>
    <w:rsid w:val="0DA026E6"/>
    <w:rsid w:val="0DB937C0"/>
    <w:rsid w:val="0DBC0BBA"/>
    <w:rsid w:val="0DBD19A5"/>
    <w:rsid w:val="0DD04666"/>
    <w:rsid w:val="0DF76096"/>
    <w:rsid w:val="0DFD5ABA"/>
    <w:rsid w:val="0E1C3D4F"/>
    <w:rsid w:val="0E35096D"/>
    <w:rsid w:val="0E383460"/>
    <w:rsid w:val="0E635D43"/>
    <w:rsid w:val="0E666D78"/>
    <w:rsid w:val="0E6F5786"/>
    <w:rsid w:val="0E9C0543"/>
    <w:rsid w:val="0F027A0E"/>
    <w:rsid w:val="0F4470B9"/>
    <w:rsid w:val="0F4B669A"/>
    <w:rsid w:val="0F9D06BA"/>
    <w:rsid w:val="0F9D4A1B"/>
    <w:rsid w:val="102173FB"/>
    <w:rsid w:val="10507EB4"/>
    <w:rsid w:val="105E41AB"/>
    <w:rsid w:val="108F0808"/>
    <w:rsid w:val="10CF32FA"/>
    <w:rsid w:val="10D93795"/>
    <w:rsid w:val="10E741A0"/>
    <w:rsid w:val="10F13359"/>
    <w:rsid w:val="10F60887"/>
    <w:rsid w:val="10FF19E3"/>
    <w:rsid w:val="11782338"/>
    <w:rsid w:val="11A42091"/>
    <w:rsid w:val="11B624B1"/>
    <w:rsid w:val="11F528ED"/>
    <w:rsid w:val="12170AB5"/>
    <w:rsid w:val="125D0492"/>
    <w:rsid w:val="12900868"/>
    <w:rsid w:val="12EA7F78"/>
    <w:rsid w:val="1303728B"/>
    <w:rsid w:val="13203999"/>
    <w:rsid w:val="13580A0A"/>
    <w:rsid w:val="136C52B9"/>
    <w:rsid w:val="13743CE5"/>
    <w:rsid w:val="13AB6A60"/>
    <w:rsid w:val="13B65E3E"/>
    <w:rsid w:val="13EB4F75"/>
    <w:rsid w:val="14107459"/>
    <w:rsid w:val="14B8039B"/>
    <w:rsid w:val="14D40EDF"/>
    <w:rsid w:val="150443FD"/>
    <w:rsid w:val="153F13EA"/>
    <w:rsid w:val="154A1D20"/>
    <w:rsid w:val="15EA64E1"/>
    <w:rsid w:val="1606156C"/>
    <w:rsid w:val="16302145"/>
    <w:rsid w:val="163B3D7C"/>
    <w:rsid w:val="164A31D5"/>
    <w:rsid w:val="165231E1"/>
    <w:rsid w:val="16655BAE"/>
    <w:rsid w:val="16753FFC"/>
    <w:rsid w:val="169805FA"/>
    <w:rsid w:val="16A14DF1"/>
    <w:rsid w:val="16AF2A39"/>
    <w:rsid w:val="16BE2DCD"/>
    <w:rsid w:val="16D725BD"/>
    <w:rsid w:val="170F61FF"/>
    <w:rsid w:val="1772678E"/>
    <w:rsid w:val="17793FC0"/>
    <w:rsid w:val="17D26ACD"/>
    <w:rsid w:val="17EF7DDE"/>
    <w:rsid w:val="18075128"/>
    <w:rsid w:val="18351F3D"/>
    <w:rsid w:val="186F0DB0"/>
    <w:rsid w:val="1876405C"/>
    <w:rsid w:val="18AB1F57"/>
    <w:rsid w:val="18B76B4E"/>
    <w:rsid w:val="193A32DB"/>
    <w:rsid w:val="19A215AC"/>
    <w:rsid w:val="19AF0CB4"/>
    <w:rsid w:val="19FC64CD"/>
    <w:rsid w:val="19FD67E3"/>
    <w:rsid w:val="1A404921"/>
    <w:rsid w:val="1A442663"/>
    <w:rsid w:val="1A501008"/>
    <w:rsid w:val="1AA16DCC"/>
    <w:rsid w:val="1AB4206D"/>
    <w:rsid w:val="1ADD03C2"/>
    <w:rsid w:val="1B1F4E7E"/>
    <w:rsid w:val="1B302BE8"/>
    <w:rsid w:val="1B965141"/>
    <w:rsid w:val="1BBB67B1"/>
    <w:rsid w:val="1BC021BE"/>
    <w:rsid w:val="1BCE63A0"/>
    <w:rsid w:val="1C204A0A"/>
    <w:rsid w:val="1C27223D"/>
    <w:rsid w:val="1C5D17BA"/>
    <w:rsid w:val="1C5F3784"/>
    <w:rsid w:val="1C752741"/>
    <w:rsid w:val="1C901B90"/>
    <w:rsid w:val="1C9F6277"/>
    <w:rsid w:val="1CB00DE8"/>
    <w:rsid w:val="1CBD66FD"/>
    <w:rsid w:val="1CC01D49"/>
    <w:rsid w:val="1CC20D26"/>
    <w:rsid w:val="1D4B3D09"/>
    <w:rsid w:val="1DA17DCD"/>
    <w:rsid w:val="1DBB0E8E"/>
    <w:rsid w:val="1DD761AF"/>
    <w:rsid w:val="1DDB32DF"/>
    <w:rsid w:val="1EAA4A5F"/>
    <w:rsid w:val="1EFD54D7"/>
    <w:rsid w:val="1F100D66"/>
    <w:rsid w:val="1F444EB4"/>
    <w:rsid w:val="1F65724C"/>
    <w:rsid w:val="1F7E34F3"/>
    <w:rsid w:val="1F861028"/>
    <w:rsid w:val="1F883C85"/>
    <w:rsid w:val="1FCD30FB"/>
    <w:rsid w:val="20052895"/>
    <w:rsid w:val="201E2B8A"/>
    <w:rsid w:val="2020147D"/>
    <w:rsid w:val="208F215E"/>
    <w:rsid w:val="20A0611A"/>
    <w:rsid w:val="211508B6"/>
    <w:rsid w:val="211A2370"/>
    <w:rsid w:val="21266E6B"/>
    <w:rsid w:val="219638C4"/>
    <w:rsid w:val="21A606D7"/>
    <w:rsid w:val="220821C8"/>
    <w:rsid w:val="22B21F07"/>
    <w:rsid w:val="23A221A9"/>
    <w:rsid w:val="23AB72AF"/>
    <w:rsid w:val="23BA3996"/>
    <w:rsid w:val="23C93BD9"/>
    <w:rsid w:val="241A466C"/>
    <w:rsid w:val="241F43BD"/>
    <w:rsid w:val="242332EA"/>
    <w:rsid w:val="24466FD8"/>
    <w:rsid w:val="24B6415E"/>
    <w:rsid w:val="24DE1906"/>
    <w:rsid w:val="25072C0B"/>
    <w:rsid w:val="259A75DB"/>
    <w:rsid w:val="25A8619C"/>
    <w:rsid w:val="25DC7BF4"/>
    <w:rsid w:val="25E66CC5"/>
    <w:rsid w:val="25E940BF"/>
    <w:rsid w:val="261A0D1D"/>
    <w:rsid w:val="26445799"/>
    <w:rsid w:val="26964247"/>
    <w:rsid w:val="269F0C21"/>
    <w:rsid w:val="26CA3EF0"/>
    <w:rsid w:val="26D42FC1"/>
    <w:rsid w:val="271E248E"/>
    <w:rsid w:val="272F6449"/>
    <w:rsid w:val="274A6DDF"/>
    <w:rsid w:val="274E2D73"/>
    <w:rsid w:val="27A26C1B"/>
    <w:rsid w:val="27B00FDA"/>
    <w:rsid w:val="27C05FAA"/>
    <w:rsid w:val="280859AC"/>
    <w:rsid w:val="2835183D"/>
    <w:rsid w:val="285223EF"/>
    <w:rsid w:val="28A95D87"/>
    <w:rsid w:val="294D2BB7"/>
    <w:rsid w:val="29947356"/>
    <w:rsid w:val="2A81671B"/>
    <w:rsid w:val="2A9D36CA"/>
    <w:rsid w:val="2AA35184"/>
    <w:rsid w:val="2AAB228B"/>
    <w:rsid w:val="2ACD7074"/>
    <w:rsid w:val="2B1E2A5D"/>
    <w:rsid w:val="2B3C1135"/>
    <w:rsid w:val="2B485D2C"/>
    <w:rsid w:val="2B5841C1"/>
    <w:rsid w:val="2B5C2194"/>
    <w:rsid w:val="2BBE1B4A"/>
    <w:rsid w:val="2C363DD6"/>
    <w:rsid w:val="2C3A5674"/>
    <w:rsid w:val="2C42277B"/>
    <w:rsid w:val="2C526E62"/>
    <w:rsid w:val="2C956D4E"/>
    <w:rsid w:val="2CA376BD"/>
    <w:rsid w:val="2CB96A46"/>
    <w:rsid w:val="2CED0939"/>
    <w:rsid w:val="2D3E1194"/>
    <w:rsid w:val="2D7050C6"/>
    <w:rsid w:val="2D7B5F44"/>
    <w:rsid w:val="2DCD0BD5"/>
    <w:rsid w:val="2E141EF5"/>
    <w:rsid w:val="2E4439BD"/>
    <w:rsid w:val="2F212B1B"/>
    <w:rsid w:val="2F4B3D06"/>
    <w:rsid w:val="2F590507"/>
    <w:rsid w:val="2F681955"/>
    <w:rsid w:val="2FD23E16"/>
    <w:rsid w:val="2FE853E7"/>
    <w:rsid w:val="303845C1"/>
    <w:rsid w:val="304C3BC8"/>
    <w:rsid w:val="3062054B"/>
    <w:rsid w:val="30823A8E"/>
    <w:rsid w:val="309F1F4A"/>
    <w:rsid w:val="312E5A3D"/>
    <w:rsid w:val="31381BD0"/>
    <w:rsid w:val="31682C84"/>
    <w:rsid w:val="317909ED"/>
    <w:rsid w:val="318D6246"/>
    <w:rsid w:val="31DD71CE"/>
    <w:rsid w:val="31F2079F"/>
    <w:rsid w:val="32663727"/>
    <w:rsid w:val="329D070B"/>
    <w:rsid w:val="32A10934"/>
    <w:rsid w:val="32B12408"/>
    <w:rsid w:val="32B53CA7"/>
    <w:rsid w:val="32C043F9"/>
    <w:rsid w:val="33244988"/>
    <w:rsid w:val="332D5F33"/>
    <w:rsid w:val="332E5BDE"/>
    <w:rsid w:val="333F7A14"/>
    <w:rsid w:val="33482D6D"/>
    <w:rsid w:val="33541711"/>
    <w:rsid w:val="33B65F28"/>
    <w:rsid w:val="33FC76B3"/>
    <w:rsid w:val="34394463"/>
    <w:rsid w:val="3454129D"/>
    <w:rsid w:val="34795C01"/>
    <w:rsid w:val="349618B6"/>
    <w:rsid w:val="34B1049E"/>
    <w:rsid w:val="34BF2BBB"/>
    <w:rsid w:val="34C24459"/>
    <w:rsid w:val="34CB4255"/>
    <w:rsid w:val="351E5918"/>
    <w:rsid w:val="35236EAC"/>
    <w:rsid w:val="355C48AD"/>
    <w:rsid w:val="35843E04"/>
    <w:rsid w:val="35FC0887"/>
    <w:rsid w:val="35FE3BB6"/>
    <w:rsid w:val="36400C61"/>
    <w:rsid w:val="36415851"/>
    <w:rsid w:val="36515492"/>
    <w:rsid w:val="365437D6"/>
    <w:rsid w:val="36750AA8"/>
    <w:rsid w:val="36CC7811"/>
    <w:rsid w:val="36D733FE"/>
    <w:rsid w:val="36EE7787"/>
    <w:rsid w:val="37054AD1"/>
    <w:rsid w:val="371A057C"/>
    <w:rsid w:val="37321D6A"/>
    <w:rsid w:val="37783736"/>
    <w:rsid w:val="377E4FAF"/>
    <w:rsid w:val="37881E3B"/>
    <w:rsid w:val="37E2423D"/>
    <w:rsid w:val="37F41099"/>
    <w:rsid w:val="3801173C"/>
    <w:rsid w:val="381C6576"/>
    <w:rsid w:val="382D2531"/>
    <w:rsid w:val="387939C8"/>
    <w:rsid w:val="388F6D48"/>
    <w:rsid w:val="38AA1DD4"/>
    <w:rsid w:val="38B36EDA"/>
    <w:rsid w:val="390C6E45"/>
    <w:rsid w:val="391A2AB5"/>
    <w:rsid w:val="39665E7A"/>
    <w:rsid w:val="39CB3DB0"/>
    <w:rsid w:val="39D215E2"/>
    <w:rsid w:val="39F634B7"/>
    <w:rsid w:val="3A520B9B"/>
    <w:rsid w:val="3A8328DC"/>
    <w:rsid w:val="3A992100"/>
    <w:rsid w:val="3AB42A96"/>
    <w:rsid w:val="3AEF17EB"/>
    <w:rsid w:val="3B4F27BE"/>
    <w:rsid w:val="3B6C5507"/>
    <w:rsid w:val="3BBC42F8"/>
    <w:rsid w:val="3BCB2A38"/>
    <w:rsid w:val="3BD57167"/>
    <w:rsid w:val="3BDE7771"/>
    <w:rsid w:val="3BE13D5E"/>
    <w:rsid w:val="3BFE5367"/>
    <w:rsid w:val="3C1D466B"/>
    <w:rsid w:val="3C39506D"/>
    <w:rsid w:val="3C6978B0"/>
    <w:rsid w:val="3C830972"/>
    <w:rsid w:val="3CCB2319"/>
    <w:rsid w:val="3CD76F0F"/>
    <w:rsid w:val="3CF25AF7"/>
    <w:rsid w:val="3D3954D4"/>
    <w:rsid w:val="3D494F99"/>
    <w:rsid w:val="3D601C6F"/>
    <w:rsid w:val="3D820C29"/>
    <w:rsid w:val="3D9D3CB5"/>
    <w:rsid w:val="3DD5527F"/>
    <w:rsid w:val="3E1C4E5F"/>
    <w:rsid w:val="3E3D0EE5"/>
    <w:rsid w:val="3E5F540E"/>
    <w:rsid w:val="3EB63280"/>
    <w:rsid w:val="3F0F400B"/>
    <w:rsid w:val="3F3441A5"/>
    <w:rsid w:val="3F3D74FE"/>
    <w:rsid w:val="3F785466"/>
    <w:rsid w:val="3FC512A1"/>
    <w:rsid w:val="3FD140EA"/>
    <w:rsid w:val="40356FE4"/>
    <w:rsid w:val="40630C22"/>
    <w:rsid w:val="406C7E85"/>
    <w:rsid w:val="40A67324"/>
    <w:rsid w:val="40E63BC5"/>
    <w:rsid w:val="40EB2F89"/>
    <w:rsid w:val="40F8389B"/>
    <w:rsid w:val="418C02C8"/>
    <w:rsid w:val="41B31CF9"/>
    <w:rsid w:val="41CC4B69"/>
    <w:rsid w:val="41D43A1D"/>
    <w:rsid w:val="41D67795"/>
    <w:rsid w:val="41E55C2A"/>
    <w:rsid w:val="420C1409"/>
    <w:rsid w:val="424728EB"/>
    <w:rsid w:val="42707BEA"/>
    <w:rsid w:val="42843695"/>
    <w:rsid w:val="42C45840"/>
    <w:rsid w:val="42E83C24"/>
    <w:rsid w:val="43010842"/>
    <w:rsid w:val="43217136"/>
    <w:rsid w:val="434D7F2B"/>
    <w:rsid w:val="43762FDE"/>
    <w:rsid w:val="439F7EFB"/>
    <w:rsid w:val="44243658"/>
    <w:rsid w:val="44250560"/>
    <w:rsid w:val="44305A50"/>
    <w:rsid w:val="447A08AC"/>
    <w:rsid w:val="44D2693A"/>
    <w:rsid w:val="45482758"/>
    <w:rsid w:val="456B6447"/>
    <w:rsid w:val="45B46040"/>
    <w:rsid w:val="45E00BE3"/>
    <w:rsid w:val="45F34DBA"/>
    <w:rsid w:val="45F60406"/>
    <w:rsid w:val="462431C5"/>
    <w:rsid w:val="46492C2C"/>
    <w:rsid w:val="46A37022"/>
    <w:rsid w:val="46CD560B"/>
    <w:rsid w:val="471D1659"/>
    <w:rsid w:val="47266AC9"/>
    <w:rsid w:val="473D0859"/>
    <w:rsid w:val="477E6905"/>
    <w:rsid w:val="47A81BD4"/>
    <w:rsid w:val="47B02837"/>
    <w:rsid w:val="47C84024"/>
    <w:rsid w:val="47F34229"/>
    <w:rsid w:val="4819662E"/>
    <w:rsid w:val="48482A6F"/>
    <w:rsid w:val="484E5131"/>
    <w:rsid w:val="486C2C02"/>
    <w:rsid w:val="48E1539E"/>
    <w:rsid w:val="48E72288"/>
    <w:rsid w:val="492D05E3"/>
    <w:rsid w:val="49553696"/>
    <w:rsid w:val="49793828"/>
    <w:rsid w:val="4989333F"/>
    <w:rsid w:val="49A4503C"/>
    <w:rsid w:val="49B22896"/>
    <w:rsid w:val="49CD147E"/>
    <w:rsid w:val="49EB7B56"/>
    <w:rsid w:val="4A185268"/>
    <w:rsid w:val="4A6873F9"/>
    <w:rsid w:val="4AAC5537"/>
    <w:rsid w:val="4ABE526B"/>
    <w:rsid w:val="4AEA6060"/>
    <w:rsid w:val="4AFD5D93"/>
    <w:rsid w:val="4BA10E14"/>
    <w:rsid w:val="4BDF1120"/>
    <w:rsid w:val="4BEB6533"/>
    <w:rsid w:val="4BF03B4A"/>
    <w:rsid w:val="4C1C7AE5"/>
    <w:rsid w:val="4C51283A"/>
    <w:rsid w:val="4C7D6CC5"/>
    <w:rsid w:val="4CD82614"/>
    <w:rsid w:val="4CEA2347"/>
    <w:rsid w:val="4CFF724F"/>
    <w:rsid w:val="4D0A29E9"/>
    <w:rsid w:val="4D562915"/>
    <w:rsid w:val="4D747DC0"/>
    <w:rsid w:val="4D752558"/>
    <w:rsid w:val="4D84279B"/>
    <w:rsid w:val="4DB50BA7"/>
    <w:rsid w:val="4DCA62DD"/>
    <w:rsid w:val="4DDC6134"/>
    <w:rsid w:val="4DF109EE"/>
    <w:rsid w:val="4E047438"/>
    <w:rsid w:val="4E5008D0"/>
    <w:rsid w:val="4F463D2D"/>
    <w:rsid w:val="4F511FB2"/>
    <w:rsid w:val="4F5712DA"/>
    <w:rsid w:val="4F7C6AC5"/>
    <w:rsid w:val="4F932AC0"/>
    <w:rsid w:val="4FAD1DBA"/>
    <w:rsid w:val="4FC14613"/>
    <w:rsid w:val="4FDC241B"/>
    <w:rsid w:val="4FE53195"/>
    <w:rsid w:val="4FE94B38"/>
    <w:rsid w:val="500B71A4"/>
    <w:rsid w:val="50334005"/>
    <w:rsid w:val="504E619F"/>
    <w:rsid w:val="5060304C"/>
    <w:rsid w:val="50716043"/>
    <w:rsid w:val="50E07B05"/>
    <w:rsid w:val="50E50FB0"/>
    <w:rsid w:val="510461F3"/>
    <w:rsid w:val="510B737C"/>
    <w:rsid w:val="514069D9"/>
    <w:rsid w:val="51475FBA"/>
    <w:rsid w:val="5153670D"/>
    <w:rsid w:val="51624BA2"/>
    <w:rsid w:val="516E79EA"/>
    <w:rsid w:val="51A11B6E"/>
    <w:rsid w:val="51D35A9F"/>
    <w:rsid w:val="51DD247A"/>
    <w:rsid w:val="51F6353C"/>
    <w:rsid w:val="52374280"/>
    <w:rsid w:val="52B14033"/>
    <w:rsid w:val="5336727E"/>
    <w:rsid w:val="536522FB"/>
    <w:rsid w:val="537C5950"/>
    <w:rsid w:val="537D5CC3"/>
    <w:rsid w:val="53AE5BD4"/>
    <w:rsid w:val="53BB2150"/>
    <w:rsid w:val="53DA4EC3"/>
    <w:rsid w:val="544B1810"/>
    <w:rsid w:val="54707232"/>
    <w:rsid w:val="548C2AFB"/>
    <w:rsid w:val="54E81862"/>
    <w:rsid w:val="553C5611"/>
    <w:rsid w:val="553D6AAD"/>
    <w:rsid w:val="555D3FFE"/>
    <w:rsid w:val="559B2D78"/>
    <w:rsid w:val="56095F34"/>
    <w:rsid w:val="566B62A7"/>
    <w:rsid w:val="57400A23"/>
    <w:rsid w:val="57435475"/>
    <w:rsid w:val="574A05B2"/>
    <w:rsid w:val="575C2093"/>
    <w:rsid w:val="57AA1051"/>
    <w:rsid w:val="57B27E15"/>
    <w:rsid w:val="57FC048B"/>
    <w:rsid w:val="581E344B"/>
    <w:rsid w:val="5831536C"/>
    <w:rsid w:val="58773629"/>
    <w:rsid w:val="58800AD5"/>
    <w:rsid w:val="5891175F"/>
    <w:rsid w:val="589D2963"/>
    <w:rsid w:val="58B06B3A"/>
    <w:rsid w:val="59103135"/>
    <w:rsid w:val="59A815C0"/>
    <w:rsid w:val="59D85887"/>
    <w:rsid w:val="5A551748"/>
    <w:rsid w:val="5A9102A6"/>
    <w:rsid w:val="5A97463C"/>
    <w:rsid w:val="5A9C726A"/>
    <w:rsid w:val="5AA13369"/>
    <w:rsid w:val="5AA922D5"/>
    <w:rsid w:val="5AFA22EF"/>
    <w:rsid w:val="5B34765A"/>
    <w:rsid w:val="5B7200D7"/>
    <w:rsid w:val="5B775EF3"/>
    <w:rsid w:val="5B800A46"/>
    <w:rsid w:val="5B9B762E"/>
    <w:rsid w:val="5BF84A80"/>
    <w:rsid w:val="5C1949F7"/>
    <w:rsid w:val="5C277114"/>
    <w:rsid w:val="5C55127E"/>
    <w:rsid w:val="5C6C0FCA"/>
    <w:rsid w:val="5C8956D8"/>
    <w:rsid w:val="5C9D73D6"/>
    <w:rsid w:val="5CD94447"/>
    <w:rsid w:val="5CE15514"/>
    <w:rsid w:val="5D1D108A"/>
    <w:rsid w:val="5D3665F9"/>
    <w:rsid w:val="5D3970FE"/>
    <w:rsid w:val="5D3F25BA"/>
    <w:rsid w:val="5D551A5E"/>
    <w:rsid w:val="5D577585"/>
    <w:rsid w:val="5D5D75DB"/>
    <w:rsid w:val="5D7E0FB5"/>
    <w:rsid w:val="5D8E4A8A"/>
    <w:rsid w:val="5DCB1D21"/>
    <w:rsid w:val="5DCF7A63"/>
    <w:rsid w:val="5DF254FF"/>
    <w:rsid w:val="5E14191A"/>
    <w:rsid w:val="5E27032A"/>
    <w:rsid w:val="5E7D301B"/>
    <w:rsid w:val="5EBC30A5"/>
    <w:rsid w:val="5EC05B97"/>
    <w:rsid w:val="5F2564C4"/>
    <w:rsid w:val="5F4905E3"/>
    <w:rsid w:val="5F836CEA"/>
    <w:rsid w:val="5FA36AB1"/>
    <w:rsid w:val="600A2FD4"/>
    <w:rsid w:val="606D70BF"/>
    <w:rsid w:val="60BA67A8"/>
    <w:rsid w:val="60C53352"/>
    <w:rsid w:val="60F33A68"/>
    <w:rsid w:val="614147D4"/>
    <w:rsid w:val="6199324A"/>
    <w:rsid w:val="61D57FFD"/>
    <w:rsid w:val="61E22754"/>
    <w:rsid w:val="62261C1B"/>
    <w:rsid w:val="62724E61"/>
    <w:rsid w:val="627B5AC3"/>
    <w:rsid w:val="62C54F90"/>
    <w:rsid w:val="635D341B"/>
    <w:rsid w:val="636F378B"/>
    <w:rsid w:val="638D25FA"/>
    <w:rsid w:val="63A320F7"/>
    <w:rsid w:val="64030466"/>
    <w:rsid w:val="64032214"/>
    <w:rsid w:val="64326656"/>
    <w:rsid w:val="644B5339"/>
    <w:rsid w:val="645371E5"/>
    <w:rsid w:val="645D5023"/>
    <w:rsid w:val="64794284"/>
    <w:rsid w:val="649D4417"/>
    <w:rsid w:val="64E262CE"/>
    <w:rsid w:val="65295CAB"/>
    <w:rsid w:val="65336B29"/>
    <w:rsid w:val="65660CAD"/>
    <w:rsid w:val="6587477F"/>
    <w:rsid w:val="65DA24B0"/>
    <w:rsid w:val="65EB11B2"/>
    <w:rsid w:val="65EC0A86"/>
    <w:rsid w:val="65EE67C8"/>
    <w:rsid w:val="660E6C4E"/>
    <w:rsid w:val="662B0582"/>
    <w:rsid w:val="66307C4D"/>
    <w:rsid w:val="666F3B91"/>
    <w:rsid w:val="667747F4"/>
    <w:rsid w:val="668B1B57"/>
    <w:rsid w:val="66AA6977"/>
    <w:rsid w:val="66EB29E6"/>
    <w:rsid w:val="66EF2D8E"/>
    <w:rsid w:val="66FE6113"/>
    <w:rsid w:val="676E0EEA"/>
    <w:rsid w:val="6793565D"/>
    <w:rsid w:val="67AC2BC3"/>
    <w:rsid w:val="67BC1058"/>
    <w:rsid w:val="67E4410B"/>
    <w:rsid w:val="684E5A28"/>
    <w:rsid w:val="6887316D"/>
    <w:rsid w:val="68A67612"/>
    <w:rsid w:val="693052F5"/>
    <w:rsid w:val="69392234"/>
    <w:rsid w:val="69531548"/>
    <w:rsid w:val="69883070"/>
    <w:rsid w:val="6992608B"/>
    <w:rsid w:val="69D00DEB"/>
    <w:rsid w:val="69EA3831"/>
    <w:rsid w:val="6A4470E3"/>
    <w:rsid w:val="6A4C3CE8"/>
    <w:rsid w:val="6A520292"/>
    <w:rsid w:val="6A723C50"/>
    <w:rsid w:val="6A7D43A3"/>
    <w:rsid w:val="6A8C6A3D"/>
    <w:rsid w:val="6AE12B83"/>
    <w:rsid w:val="6B261E4C"/>
    <w:rsid w:val="6B476E8A"/>
    <w:rsid w:val="6B4F62C2"/>
    <w:rsid w:val="6B9940F9"/>
    <w:rsid w:val="6BD36A27"/>
    <w:rsid w:val="6BE862CD"/>
    <w:rsid w:val="6C2471CC"/>
    <w:rsid w:val="6C68355C"/>
    <w:rsid w:val="6C7A503E"/>
    <w:rsid w:val="6C7C2B64"/>
    <w:rsid w:val="6CB71DEE"/>
    <w:rsid w:val="6D7F4976"/>
    <w:rsid w:val="6E054A68"/>
    <w:rsid w:val="6E1B015A"/>
    <w:rsid w:val="6E1D776A"/>
    <w:rsid w:val="6E2540ED"/>
    <w:rsid w:val="6E315BD0"/>
    <w:rsid w:val="6E4476B1"/>
    <w:rsid w:val="6E5813AF"/>
    <w:rsid w:val="6F045092"/>
    <w:rsid w:val="6F4436E1"/>
    <w:rsid w:val="6F6D70DC"/>
    <w:rsid w:val="6F8754C1"/>
    <w:rsid w:val="6F8C7562"/>
    <w:rsid w:val="702C664F"/>
    <w:rsid w:val="704B11CB"/>
    <w:rsid w:val="70744A3C"/>
    <w:rsid w:val="70C920F0"/>
    <w:rsid w:val="70D25448"/>
    <w:rsid w:val="70F76836"/>
    <w:rsid w:val="7128150C"/>
    <w:rsid w:val="71456AD4"/>
    <w:rsid w:val="719B43E9"/>
    <w:rsid w:val="719C15B2"/>
    <w:rsid w:val="71A22356"/>
    <w:rsid w:val="724C2230"/>
    <w:rsid w:val="72512A78"/>
    <w:rsid w:val="72CE1C3F"/>
    <w:rsid w:val="731109F8"/>
    <w:rsid w:val="7352461E"/>
    <w:rsid w:val="738E13A2"/>
    <w:rsid w:val="73EC1C67"/>
    <w:rsid w:val="74455F31"/>
    <w:rsid w:val="74575C64"/>
    <w:rsid w:val="74620891"/>
    <w:rsid w:val="74896172"/>
    <w:rsid w:val="748A7DE8"/>
    <w:rsid w:val="749D7B1B"/>
    <w:rsid w:val="74CC6652"/>
    <w:rsid w:val="74DE570B"/>
    <w:rsid w:val="74EE0377"/>
    <w:rsid w:val="75120509"/>
    <w:rsid w:val="751C1388"/>
    <w:rsid w:val="753F0BD2"/>
    <w:rsid w:val="75644ADD"/>
    <w:rsid w:val="757E5B9F"/>
    <w:rsid w:val="75866801"/>
    <w:rsid w:val="759929D8"/>
    <w:rsid w:val="75995B66"/>
    <w:rsid w:val="759E4B5A"/>
    <w:rsid w:val="75A924F0"/>
    <w:rsid w:val="75AF5D58"/>
    <w:rsid w:val="75E874BC"/>
    <w:rsid w:val="760065B4"/>
    <w:rsid w:val="766C1E9B"/>
    <w:rsid w:val="768B022F"/>
    <w:rsid w:val="769D02A6"/>
    <w:rsid w:val="76B64EC4"/>
    <w:rsid w:val="76C9234A"/>
    <w:rsid w:val="76CA0970"/>
    <w:rsid w:val="76CC293A"/>
    <w:rsid w:val="76D90BB3"/>
    <w:rsid w:val="778574ED"/>
    <w:rsid w:val="77880890"/>
    <w:rsid w:val="77A64F39"/>
    <w:rsid w:val="77D25D2E"/>
    <w:rsid w:val="78074156"/>
    <w:rsid w:val="781520BE"/>
    <w:rsid w:val="78E63D03"/>
    <w:rsid w:val="79004B1D"/>
    <w:rsid w:val="790C526F"/>
    <w:rsid w:val="7931117A"/>
    <w:rsid w:val="79630533"/>
    <w:rsid w:val="796B468C"/>
    <w:rsid w:val="796C5D0E"/>
    <w:rsid w:val="79AE27CB"/>
    <w:rsid w:val="79CD0EA3"/>
    <w:rsid w:val="7A1F0FD2"/>
    <w:rsid w:val="7A4E3666"/>
    <w:rsid w:val="7A574C10"/>
    <w:rsid w:val="7A6730A5"/>
    <w:rsid w:val="7A721E73"/>
    <w:rsid w:val="7A8F398F"/>
    <w:rsid w:val="7AAD2FB8"/>
    <w:rsid w:val="7ACF29F8"/>
    <w:rsid w:val="7ADB314B"/>
    <w:rsid w:val="7B007056"/>
    <w:rsid w:val="7B06299B"/>
    <w:rsid w:val="7B32705A"/>
    <w:rsid w:val="7B436548"/>
    <w:rsid w:val="7B4856C3"/>
    <w:rsid w:val="7C15617E"/>
    <w:rsid w:val="7C211032"/>
    <w:rsid w:val="7C4D7D2C"/>
    <w:rsid w:val="7C8C438A"/>
    <w:rsid w:val="7CB640AF"/>
    <w:rsid w:val="7CC8244B"/>
    <w:rsid w:val="7CDB7433"/>
    <w:rsid w:val="7CE666F5"/>
    <w:rsid w:val="7D133070"/>
    <w:rsid w:val="7D2D3A06"/>
    <w:rsid w:val="7D6F3217"/>
    <w:rsid w:val="7D7D498E"/>
    <w:rsid w:val="7DB3215D"/>
    <w:rsid w:val="7DC242E0"/>
    <w:rsid w:val="7DDC50EB"/>
    <w:rsid w:val="7E34331A"/>
    <w:rsid w:val="7E8A38E4"/>
    <w:rsid w:val="7F0A3FFF"/>
    <w:rsid w:val="7F1255AA"/>
    <w:rsid w:val="7F3E014D"/>
    <w:rsid w:val="7F5948C8"/>
    <w:rsid w:val="7F6556D9"/>
    <w:rsid w:val="7F827866"/>
    <w:rsid w:val="7FBF12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qFormat/>
    <w:uiPriority w:val="99"/>
    <w:pPr>
      <w:keepNext/>
      <w:keepLines/>
      <w:spacing w:line="240" w:lineRule="auto"/>
      <w:jc w:val="center"/>
      <w:outlineLvl w:val="0"/>
    </w:pPr>
    <w:rPr>
      <w:rFonts w:eastAsia="仿宋"/>
      <w:b/>
      <w:bCs/>
      <w:color w:val="000000"/>
      <w:kern w:val="44"/>
      <w:sz w:val="36"/>
      <w:szCs w:val="36"/>
    </w:rPr>
  </w:style>
  <w:style w:type="paragraph" w:styleId="4">
    <w:name w:val="heading 2"/>
    <w:basedOn w:val="1"/>
    <w:next w:val="1"/>
    <w:link w:val="61"/>
    <w:qFormat/>
    <w:uiPriority w:val="99"/>
    <w:pPr>
      <w:keepNext/>
      <w:keepLines/>
      <w:spacing w:line="240" w:lineRule="auto"/>
      <w:outlineLvl w:val="1"/>
    </w:pPr>
    <w:rPr>
      <w:rFonts w:ascii="Calibri" w:hAnsi="Calibri" w:cs="Calibri"/>
      <w:b/>
      <w:bCs/>
      <w:sz w:val="32"/>
      <w:szCs w:val="32"/>
    </w:rPr>
  </w:style>
  <w:style w:type="paragraph" w:styleId="5">
    <w:name w:val="heading 3"/>
    <w:basedOn w:val="1"/>
    <w:next w:val="1"/>
    <w:qFormat/>
    <w:uiPriority w:val="99"/>
    <w:pPr>
      <w:keepNext/>
      <w:keepLines/>
      <w:spacing w:line="400" w:lineRule="atLeast"/>
      <w:jc w:val="center"/>
      <w:outlineLvl w:val="2"/>
    </w:pPr>
    <w:rPr>
      <w:b/>
      <w:bCs/>
      <w:sz w:val="32"/>
      <w:szCs w:val="32"/>
      <w:u w:val="double"/>
    </w:rPr>
  </w:style>
  <w:style w:type="paragraph" w:styleId="6">
    <w:name w:val="heading 4"/>
    <w:basedOn w:val="1"/>
    <w:next w:val="1"/>
    <w:qFormat/>
    <w:uiPriority w:val="99"/>
    <w:pPr>
      <w:keepNext/>
      <w:keepLines/>
      <w:spacing w:before="280" w:after="290" w:line="376" w:lineRule="atLeast"/>
      <w:outlineLvl w:val="3"/>
    </w:pPr>
    <w:rPr>
      <w:rFonts w:ascii="Calibri" w:hAnsi="Calibri" w:cs="Calibri"/>
      <w:b/>
      <w:bCs/>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Lines="50" w:line="360" w:lineRule="auto"/>
    </w:pPr>
    <w:rPr>
      <w:rFonts w:ascii="宋体" w:hAnsi="宋体" w:cs="宋体"/>
      <w:color w:val="000000"/>
      <w:sz w:val="24"/>
      <w:szCs w:val="24"/>
    </w:rPr>
  </w:style>
  <w:style w:type="paragraph" w:styleId="7">
    <w:name w:val="Normal Indent"/>
    <w:basedOn w:val="1"/>
    <w:qFormat/>
    <w:uiPriority w:val="99"/>
    <w:pPr>
      <w:ind w:firstLine="420"/>
    </w:pPr>
  </w:style>
  <w:style w:type="paragraph" w:styleId="8">
    <w:name w:val="annotation text"/>
    <w:basedOn w:val="1"/>
    <w:link w:val="62"/>
    <w:qFormat/>
    <w:uiPriority w:val="0"/>
    <w:pPr>
      <w:jc w:val="left"/>
    </w:pPr>
  </w:style>
  <w:style w:type="paragraph" w:styleId="9">
    <w:name w:val="Body Text Indent"/>
    <w:basedOn w:val="1"/>
    <w:next w:val="10"/>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Block Text"/>
    <w:basedOn w:val="1"/>
    <w:qFormat/>
    <w:uiPriority w:val="0"/>
    <w:pPr>
      <w:ind w:left="2" w:right="25" w:rightChars="12" w:hanging="2"/>
    </w:pPr>
    <w:rPr>
      <w:rFonts w:ascii="楷体_GB2312" w:hAnsi="宋体" w:eastAsia="楷体_GB2312"/>
      <w:szCs w:val="24"/>
    </w:rPr>
  </w:style>
  <w:style w:type="paragraph" w:styleId="12">
    <w:name w:val="toc 3"/>
    <w:basedOn w:val="1"/>
    <w:next w:val="1"/>
    <w:qFormat/>
    <w:uiPriority w:val="0"/>
    <w:pPr>
      <w:ind w:left="840" w:leftChars="400"/>
    </w:pPr>
  </w:style>
  <w:style w:type="paragraph" w:styleId="13">
    <w:name w:val="Plain Text"/>
    <w:basedOn w:val="1"/>
    <w:qFormat/>
    <w:uiPriority w:val="0"/>
    <w:pPr>
      <w:spacing w:line="324" w:lineRule="auto"/>
    </w:pPr>
    <w:rPr>
      <w:rFonts w:ascii="宋体" w:hAnsi="Courier New" w:cs="Times New Roman"/>
      <w:kern w:val="0"/>
      <w:sz w:val="20"/>
    </w:rPr>
  </w:style>
  <w:style w:type="paragraph" w:styleId="14">
    <w:name w:val="Balloon Text"/>
    <w:basedOn w:val="1"/>
    <w:link w:val="64"/>
    <w:qFormat/>
    <w:uiPriority w:val="0"/>
    <w:pPr>
      <w:spacing w:line="240" w:lineRule="auto"/>
    </w:pPr>
    <w:rPr>
      <w:sz w:val="18"/>
      <w:szCs w:val="18"/>
    </w:rPr>
  </w:style>
  <w:style w:type="paragraph" w:styleId="15">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6">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7">
    <w:name w:val="toc 1"/>
    <w:basedOn w:val="1"/>
    <w:next w:val="1"/>
    <w:qFormat/>
    <w:uiPriority w:val="99"/>
  </w:style>
  <w:style w:type="paragraph" w:styleId="18">
    <w:name w:val="toc 4"/>
    <w:basedOn w:val="1"/>
    <w:next w:val="1"/>
    <w:qFormat/>
    <w:uiPriority w:val="39"/>
    <w:pPr>
      <w:spacing w:line="240" w:lineRule="auto"/>
      <w:ind w:left="1260" w:leftChars="600"/>
    </w:pPr>
  </w:style>
  <w:style w:type="paragraph" w:styleId="19">
    <w:name w:val="toc 2"/>
    <w:basedOn w:val="1"/>
    <w:next w:val="1"/>
    <w:qFormat/>
    <w:uiPriority w:val="99"/>
    <w:pPr>
      <w:ind w:left="420" w:leftChars="200"/>
    </w:pPr>
  </w:style>
  <w:style w:type="paragraph" w:styleId="20">
    <w:name w:val="Body Text 2"/>
    <w:basedOn w:val="1"/>
    <w:qFormat/>
    <w:uiPriority w:val="0"/>
    <w:pPr>
      <w:spacing w:after="120" w:line="480" w:lineRule="auto"/>
    </w:pPr>
  </w:style>
  <w:style w:type="paragraph" w:styleId="21">
    <w:name w:val="HTML Preformatted"/>
    <w:basedOn w:val="1"/>
    <w:qFormat/>
    <w:uiPriority w:val="99"/>
    <w:pPr>
      <w:jc w:val="left"/>
    </w:pPr>
    <w:rPr>
      <w:rFonts w:ascii="Arial" w:hAnsi="Arial" w:cs="Arial"/>
      <w:kern w:val="0"/>
      <w:sz w:val="24"/>
    </w:rPr>
  </w:style>
  <w:style w:type="paragraph" w:styleId="22">
    <w:name w:val="Normal (Web)"/>
    <w:basedOn w:val="1"/>
    <w:qFormat/>
    <w:uiPriority w:val="99"/>
    <w:pPr>
      <w:spacing w:beforeAutospacing="1" w:afterAutospacing="1"/>
      <w:jc w:val="left"/>
    </w:pPr>
    <w:rPr>
      <w:kern w:val="0"/>
      <w:sz w:val="24"/>
      <w:szCs w:val="24"/>
    </w:rPr>
  </w:style>
  <w:style w:type="paragraph" w:styleId="23">
    <w:name w:val="annotation subject"/>
    <w:basedOn w:val="8"/>
    <w:next w:val="8"/>
    <w:link w:val="63"/>
    <w:qFormat/>
    <w:uiPriority w:val="0"/>
    <w:rPr>
      <w:b/>
      <w:bCs/>
    </w:rPr>
  </w:style>
  <w:style w:type="paragraph" w:styleId="24">
    <w:name w:val="Body Text First Indent"/>
    <w:basedOn w:val="2"/>
    <w:next w:val="25"/>
    <w:qFormat/>
    <w:uiPriority w:val="99"/>
    <w:pPr>
      <w:spacing w:line="240" w:lineRule="auto"/>
      <w:ind w:firstLine="420" w:firstLineChars="100"/>
    </w:pPr>
    <w:rPr>
      <w:rFonts w:ascii="Times New Roman" w:hAnsi="Times New Roman" w:cs="Times New Roman"/>
      <w:color w:val="auto"/>
      <w:sz w:val="18"/>
      <w:szCs w:val="18"/>
    </w:rPr>
  </w:style>
  <w:style w:type="paragraph" w:styleId="25">
    <w:name w:val="Body Text First Indent 2"/>
    <w:basedOn w:val="9"/>
    <w:next w:val="1"/>
    <w:qFormat/>
    <w:uiPriority w:val="0"/>
    <w:pPr>
      <w:tabs>
        <w:tab w:val="left" w:pos="0"/>
      </w:tabs>
      <w:spacing w:line="240" w:lineRule="auto"/>
      <w:ind w:firstLine="420" w:firstLineChars="200"/>
    </w:pPr>
    <w:rPr>
      <w:rFonts w:eastAsia="楷体_GB2312"/>
      <w:b/>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FollowedHyperlink"/>
    <w:basedOn w:val="28"/>
    <w:qFormat/>
    <w:uiPriority w:val="0"/>
    <w:rPr>
      <w:color w:val="800080"/>
      <w:u w:val="none"/>
    </w:rPr>
  </w:style>
  <w:style w:type="character" w:styleId="31">
    <w:name w:val="Emphasis"/>
    <w:basedOn w:val="28"/>
    <w:qFormat/>
    <w:uiPriority w:val="0"/>
    <w:rPr>
      <w:b/>
      <w:bCs/>
    </w:rPr>
  </w:style>
  <w:style w:type="character" w:styleId="32">
    <w:name w:val="HTML Definition"/>
    <w:basedOn w:val="28"/>
    <w:qFormat/>
    <w:uiPriority w:val="0"/>
  </w:style>
  <w:style w:type="character" w:styleId="33">
    <w:name w:val="HTML Typewriter"/>
    <w:basedOn w:val="28"/>
    <w:qFormat/>
    <w:uiPriority w:val="0"/>
    <w:rPr>
      <w:rFonts w:hint="default"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qFormat/>
    <w:uiPriority w:val="99"/>
    <w:rPr>
      <w:color w:val="000000"/>
      <w:sz w:val="18"/>
      <w:szCs w:val="18"/>
      <w:u w:val="none"/>
    </w:rPr>
  </w:style>
  <w:style w:type="character" w:styleId="37">
    <w:name w:val="HTML Code"/>
    <w:basedOn w:val="28"/>
    <w:qFormat/>
    <w:uiPriority w:val="0"/>
    <w:rPr>
      <w:rFonts w:ascii="monospace" w:hAnsi="monospace" w:eastAsia="monospace" w:cs="monospace"/>
      <w:sz w:val="20"/>
    </w:rPr>
  </w:style>
  <w:style w:type="character" w:styleId="38">
    <w:name w:val="annotation reference"/>
    <w:basedOn w:val="28"/>
    <w:qFormat/>
    <w:uiPriority w:val="0"/>
    <w:rPr>
      <w:sz w:val="21"/>
      <w:szCs w:val="21"/>
    </w:rPr>
  </w:style>
  <w:style w:type="character" w:styleId="39">
    <w:name w:val="HTML Cite"/>
    <w:basedOn w:val="28"/>
    <w:qFormat/>
    <w:uiPriority w:val="0"/>
  </w:style>
  <w:style w:type="character" w:styleId="40">
    <w:name w:val="HTML Keyboard"/>
    <w:basedOn w:val="28"/>
    <w:qFormat/>
    <w:uiPriority w:val="0"/>
    <w:rPr>
      <w:rFonts w:hint="default"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BodyText"/>
    <w:basedOn w:val="1"/>
    <w:next w:val="1"/>
    <w:qFormat/>
    <w:uiPriority w:val="0"/>
    <w:pPr>
      <w:spacing w:after="156" w:line="360" w:lineRule="auto"/>
      <w:textAlignment w:val="baseline"/>
    </w:pPr>
    <w:rPr>
      <w:rFonts w:ascii="宋体" w:hAnsi="宋体"/>
      <w:color w:val="000000"/>
      <w:sz w:val="24"/>
    </w:rPr>
  </w:style>
  <w:style w:type="paragraph" w:customStyle="1" w:styleId="43">
    <w:name w:val="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4">
    <w:name w:val="正文（缩进 4 字符）"/>
    <w:basedOn w:val="1"/>
    <w:qFormat/>
    <w:uiPriority w:val="99"/>
    <w:pPr>
      <w:ind w:firstLine="1134" w:firstLineChars="400"/>
    </w:pPr>
  </w:style>
  <w:style w:type="paragraph" w:customStyle="1" w:styleId="45">
    <w:name w:val="无缩进格式"/>
    <w:basedOn w:val="1"/>
    <w:qFormat/>
    <w:uiPriority w:val="0"/>
    <w:pPr>
      <w:spacing w:line="360" w:lineRule="auto"/>
      <w:jc w:val="center"/>
    </w:pPr>
    <w:rPr>
      <w:sz w:val="24"/>
      <w:szCs w:val="24"/>
    </w:rPr>
  </w:style>
  <w:style w:type="paragraph" w:customStyle="1" w:styleId="46">
    <w:name w:val="正文（缩进 2 字符）"/>
    <w:basedOn w:val="1"/>
    <w:qFormat/>
    <w:uiPriority w:val="99"/>
    <w:pPr>
      <w:ind w:firstLine="200" w:firstLineChars="200"/>
    </w:pPr>
  </w:style>
  <w:style w:type="paragraph" w:customStyle="1" w:styleId="47">
    <w:name w:val="标题 2（投标文件）"/>
    <w:basedOn w:val="4"/>
    <w:qFormat/>
    <w:uiPriority w:val="99"/>
    <w:pPr>
      <w:jc w:val="center"/>
    </w:pPr>
  </w:style>
  <w:style w:type="paragraph" w:customStyle="1" w:styleId="48">
    <w:name w:val="标题 3（投标文件）"/>
    <w:basedOn w:val="5"/>
    <w:qFormat/>
    <w:uiPriority w:val="99"/>
    <w:pPr>
      <w:jc w:val="left"/>
    </w:pPr>
    <w:rPr>
      <w:u w:val="none"/>
    </w:rPr>
  </w:style>
  <w:style w:type="paragraph" w:customStyle="1" w:styleId="49">
    <w:name w:val="列表段落1"/>
    <w:basedOn w:val="1"/>
    <w:qFormat/>
    <w:uiPriority w:val="0"/>
    <w:pPr>
      <w:ind w:firstLine="420" w:firstLineChars="200"/>
    </w:pPr>
    <w:rPr>
      <w:rFonts w:ascii="Calibri" w:hAnsi="Calibri"/>
      <w:szCs w:val="22"/>
    </w:rPr>
  </w:style>
  <w:style w:type="paragraph" w:customStyle="1" w:styleId="50">
    <w:name w:val="修订1"/>
    <w:qFormat/>
    <w:uiPriority w:val="99"/>
    <w:rPr>
      <w:rFonts w:ascii="Calibri Light" w:hAnsi="Calibri Light" w:eastAsia="华文仿宋" w:cs="Calibri Light"/>
      <w:kern w:val="2"/>
      <w:sz w:val="28"/>
      <w:szCs w:val="28"/>
      <w:lang w:val="en-US" w:eastAsia="zh-CN" w:bidi="ar-SA"/>
    </w:rPr>
  </w:style>
  <w:style w:type="paragraph" w:customStyle="1" w:styleId="51">
    <w:name w:val="正文文本 31"/>
    <w:basedOn w:val="1"/>
    <w:qFormat/>
    <w:uiPriority w:val="0"/>
    <w:rPr>
      <w:sz w:val="16"/>
      <w:szCs w:val="16"/>
    </w:rPr>
  </w:style>
  <w:style w:type="paragraph" w:customStyle="1" w:styleId="52">
    <w:name w:val="列出段落1"/>
    <w:basedOn w:val="1"/>
    <w:qFormat/>
    <w:uiPriority w:val="0"/>
    <w:pPr>
      <w:ind w:firstLine="420" w:firstLineChars="200"/>
    </w:pPr>
    <w:rPr>
      <w:rFonts w:ascii="Calibri" w:hAnsi="Calibri"/>
      <w:szCs w:val="22"/>
    </w:rPr>
  </w:style>
  <w:style w:type="paragraph" w:customStyle="1" w:styleId="53">
    <w:name w:val="样式3"/>
    <w:basedOn w:val="13"/>
    <w:qFormat/>
    <w:uiPriority w:val="0"/>
    <w:pPr>
      <w:spacing w:line="640" w:lineRule="exact"/>
      <w:jc w:val="center"/>
      <w:outlineLvl w:val="0"/>
    </w:pPr>
    <w:rPr>
      <w:rFonts w:hAnsi="宋体" w:eastAsia="宋体"/>
      <w:b/>
      <w:sz w:val="36"/>
    </w:rPr>
  </w:style>
  <w:style w:type="paragraph" w:customStyle="1" w:styleId="54">
    <w:name w:val="BodyText1I"/>
    <w:basedOn w:val="42"/>
    <w:next w:val="55"/>
    <w:qFormat/>
    <w:uiPriority w:val="0"/>
    <w:pPr>
      <w:spacing w:line="240" w:lineRule="auto"/>
      <w:ind w:firstLine="420" w:firstLineChars="100"/>
    </w:pPr>
    <w:rPr>
      <w:rFonts w:ascii="Times New Roman" w:hAnsi="Times New Roman"/>
      <w:sz w:val="18"/>
      <w:szCs w:val="18"/>
    </w:rPr>
  </w:style>
  <w:style w:type="paragraph" w:customStyle="1" w:styleId="55">
    <w:name w:val="BodyText1I2"/>
    <w:basedOn w:val="56"/>
    <w:next w:val="1"/>
    <w:qFormat/>
    <w:uiPriority w:val="0"/>
    <w:pPr>
      <w:tabs>
        <w:tab w:val="left" w:pos="0"/>
      </w:tabs>
      <w:spacing w:line="240" w:lineRule="auto"/>
      <w:ind w:firstLine="420" w:firstLineChars="200"/>
    </w:pPr>
    <w:rPr>
      <w:rFonts w:eastAsia="楷体_GB2312"/>
      <w:b/>
      <w:szCs w:val="24"/>
    </w:rPr>
  </w:style>
  <w:style w:type="paragraph" w:customStyle="1" w:styleId="56">
    <w:name w:val="BodyTextIndent"/>
    <w:basedOn w:val="1"/>
    <w:qFormat/>
    <w:uiPriority w:val="0"/>
    <w:pPr>
      <w:spacing w:after="120"/>
      <w:ind w:left="420" w:leftChars="200"/>
      <w:textAlignment w:val="baseline"/>
    </w:pPr>
  </w:style>
  <w:style w:type="paragraph" w:customStyle="1" w:styleId="57">
    <w:name w:val="Other|1"/>
    <w:basedOn w:val="1"/>
    <w:qFormat/>
    <w:uiPriority w:val="0"/>
    <w:pPr>
      <w:widowControl w:val="0"/>
      <w:spacing w:line="384" w:lineRule="auto"/>
      <w:ind w:firstLine="400"/>
    </w:pPr>
    <w:rPr>
      <w:rFonts w:ascii="宋体" w:hAnsi="宋体" w:eastAsia="宋体" w:cs="宋体"/>
      <w:lang w:val="zh-TW" w:eastAsia="zh-TW" w:bidi="zh-TW"/>
    </w:rPr>
  </w:style>
  <w:style w:type="paragraph" w:customStyle="1" w:styleId="58">
    <w:name w:val="列表段落2"/>
    <w:basedOn w:val="1"/>
    <w:qFormat/>
    <w:uiPriority w:val="99"/>
    <w:pPr>
      <w:ind w:firstLine="420" w:firstLineChars="200"/>
    </w:pPr>
  </w:style>
  <w:style w:type="paragraph" w:customStyle="1" w:styleId="59">
    <w:name w:val="@正文"/>
    <w:basedOn w:val="60"/>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60">
    <w:name w:val="※正文"/>
    <w:basedOn w:val="1"/>
    <w:next w:val="1"/>
    <w:qFormat/>
    <w:uiPriority w:val="0"/>
    <w:pPr>
      <w:wordWrap w:val="0"/>
    </w:pPr>
  </w:style>
  <w:style w:type="character" w:customStyle="1" w:styleId="61">
    <w:name w:val="标题 2 字符"/>
    <w:link w:val="4"/>
    <w:qFormat/>
    <w:uiPriority w:val="9"/>
    <w:rPr>
      <w:rFonts w:ascii="Calibri" w:hAnsi="Calibri" w:cs="Calibri"/>
      <w:b/>
      <w:bCs/>
      <w:sz w:val="32"/>
      <w:szCs w:val="32"/>
    </w:rPr>
  </w:style>
  <w:style w:type="character" w:customStyle="1" w:styleId="62">
    <w:name w:val="批注文字 字符"/>
    <w:basedOn w:val="28"/>
    <w:link w:val="8"/>
    <w:qFormat/>
    <w:uiPriority w:val="0"/>
    <w:rPr>
      <w:rFonts w:ascii="Calibri Light" w:hAnsi="Calibri Light" w:eastAsia="华文仿宋" w:cs="Calibri Light"/>
      <w:kern w:val="2"/>
      <w:sz w:val="28"/>
      <w:szCs w:val="28"/>
    </w:rPr>
  </w:style>
  <w:style w:type="character" w:customStyle="1" w:styleId="63">
    <w:name w:val="批注主题 字符"/>
    <w:basedOn w:val="62"/>
    <w:link w:val="23"/>
    <w:qFormat/>
    <w:uiPriority w:val="0"/>
    <w:rPr>
      <w:rFonts w:ascii="Calibri Light" w:hAnsi="Calibri Light" w:eastAsia="华文仿宋" w:cs="Calibri Light"/>
      <w:b/>
      <w:bCs/>
      <w:kern w:val="2"/>
      <w:sz w:val="28"/>
      <w:szCs w:val="28"/>
    </w:rPr>
  </w:style>
  <w:style w:type="character" w:customStyle="1" w:styleId="64">
    <w:name w:val="批注框文本 字符"/>
    <w:basedOn w:val="28"/>
    <w:link w:val="14"/>
    <w:qFormat/>
    <w:uiPriority w:val="0"/>
    <w:rPr>
      <w:rFonts w:ascii="Calibri Light" w:hAnsi="Calibri Light" w:eastAsia="华文仿宋" w:cs="Calibri Light"/>
      <w:kern w:val="2"/>
      <w:sz w:val="18"/>
      <w:szCs w:val="18"/>
    </w:rPr>
  </w:style>
  <w:style w:type="character" w:customStyle="1" w:styleId="65">
    <w:name w:val="font61"/>
    <w:basedOn w:val="28"/>
    <w:qFormat/>
    <w:uiPriority w:val="0"/>
    <w:rPr>
      <w:rFonts w:hint="eastAsia" w:ascii="宋体" w:hAnsi="宋体" w:eastAsia="宋体" w:cs="宋体"/>
      <w:color w:val="000000"/>
      <w:sz w:val="21"/>
      <w:szCs w:val="21"/>
      <w:u w:val="none"/>
    </w:rPr>
  </w:style>
  <w:style w:type="character" w:customStyle="1" w:styleId="66">
    <w:name w:val="ca-2"/>
    <w:basedOn w:val="28"/>
    <w:qFormat/>
    <w:uiPriority w:val="0"/>
  </w:style>
  <w:style w:type="table" w:customStyle="1" w:styleId="67">
    <w:name w:val="Table Normal"/>
    <w:qFormat/>
    <w:uiPriority w:val="2"/>
    <w:tblPr>
      <w:tblCellMar>
        <w:top w:w="0" w:type="dxa"/>
        <w:left w:w="0" w:type="dxa"/>
        <w:bottom w:w="0" w:type="dxa"/>
        <w:right w:w="0" w:type="dxa"/>
      </w:tblCellMar>
    </w:tblPr>
  </w:style>
  <w:style w:type="character" w:customStyle="1" w:styleId="68">
    <w:name w:val="NormalCharacter"/>
    <w:qFormat/>
    <w:uiPriority w:val="0"/>
    <w:rPr>
      <w:rFonts w:ascii="Calibri Light" w:hAnsi="Calibri Light" w:eastAsia="华文仿宋" w:cs="Calibri Light"/>
      <w:kern w:val="2"/>
      <w:sz w:val="28"/>
      <w:szCs w:val="28"/>
      <w:lang w:val="en-US" w:eastAsia="zh-CN" w:bidi="ar-SA"/>
    </w:rPr>
  </w:style>
  <w:style w:type="character" w:customStyle="1" w:styleId="69">
    <w:name w:val="UserStyle_2"/>
    <w:qFormat/>
    <w:uiPriority w:val="0"/>
    <w:rPr>
      <w:rFonts w:ascii="仿宋_GB2312" w:eastAsia="仿宋_GB2312"/>
      <w:color w:val="000000"/>
      <w:sz w:val="28"/>
      <w:u w:val="single"/>
    </w:rPr>
  </w:style>
  <w:style w:type="paragraph" w:customStyle="1" w:styleId="70">
    <w:name w:val="Table Text"/>
    <w:basedOn w:val="1"/>
    <w:semiHidden/>
    <w:qFormat/>
    <w:uiPriority w:val="0"/>
    <w:rPr>
      <w:rFonts w:ascii="仿宋" w:hAnsi="仿宋" w:eastAsia="仿宋" w:cs="仿宋"/>
      <w:sz w:val="24"/>
      <w:szCs w:val="24"/>
      <w:lang w:val="en-US" w:eastAsia="en-US" w:bidi="ar-SA"/>
    </w:rPr>
  </w:style>
  <w:style w:type="character" w:customStyle="1" w:styleId="71">
    <w:name w:val="font31"/>
    <w:basedOn w:val="28"/>
    <w:qFormat/>
    <w:uiPriority w:val="0"/>
    <w:rPr>
      <w:rFonts w:hint="default" w:ascii="Segoe UI" w:hAnsi="Segoe UI" w:eastAsia="Segoe UI" w:cs="Segoe UI"/>
      <w:color w:val="0F1115"/>
      <w:sz w:val="22"/>
      <w:szCs w:val="22"/>
      <w:u w:val="none"/>
    </w:rPr>
  </w:style>
  <w:style w:type="character" w:customStyle="1" w:styleId="72">
    <w:name w:val="font21"/>
    <w:basedOn w:val="28"/>
    <w:qFormat/>
    <w:uiPriority w:val="0"/>
    <w:rPr>
      <w:rFonts w:hint="eastAsia" w:ascii="宋体" w:hAnsi="宋体" w:eastAsia="宋体" w:cs="宋体"/>
      <w:color w:val="0F1115"/>
      <w:sz w:val="23"/>
      <w:szCs w:val="23"/>
      <w:u w:val="none"/>
    </w:rPr>
  </w:style>
  <w:style w:type="character" w:customStyle="1" w:styleId="73">
    <w:name w:val="font41"/>
    <w:basedOn w:val="28"/>
    <w:qFormat/>
    <w:uiPriority w:val="0"/>
    <w:rPr>
      <w:rFonts w:hint="default" w:ascii="Segoe UI" w:hAnsi="Segoe UI" w:eastAsia="Segoe UI" w:cs="Segoe UI"/>
      <w:color w:val="0F1115"/>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83</Pages>
  <Words>15377</Words>
  <Characters>16178</Characters>
  <Paragraphs>2677</Paragraphs>
  <TotalTime>1</TotalTime>
  <ScaleCrop>false</ScaleCrop>
  <LinksUpToDate>false</LinksUpToDate>
  <CharactersWithSpaces>16241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2024-09-09T05:11:00Z</dcterms:created>
  <dc:creator>一颗糖豆</dc:creator>
  <cp:lastModifiedBy>腼腆小马</cp:lastModifiedBy>
  <cp:lastPrinted>2025-04-02T09:18:00Z</cp:lastPrinted>
  <dcterms:modified xsi:type="dcterms:W3CDTF">2025-11-20T07:40:16Z</dcterms:modified>
  <dc:title>陕西省省级单位政府采购中心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9DFFDDFB4C854D3399ABC32CD1FAF84D_13</vt:lpwstr>
  </property>
  <property fmtid="{D5CDD505-2E9C-101B-9397-08002B2CF9AE}" pid="4" name="KSOTemplateDocerSaveRecord">
    <vt:lpwstr>eyJoZGlkIjoiZTQ4Y2RkOTA1ZGE2MTQyMzIyZWY2NWQyNDA4MWRiMzUiLCJ1c2VySWQiOiIzNzMzMDk5MzUifQ==</vt:lpwstr>
  </property>
</Properties>
</file>