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02DF6">
      <w:pPr>
        <w:keepNext w:val="0"/>
        <w:keepLines w:val="0"/>
        <w:spacing w:line="360" w:lineRule="auto"/>
        <w:jc w:val="both"/>
        <w:outlineLvl w:val="9"/>
        <w:rPr>
          <w:rFonts w:hint="eastAsia" w:ascii="宋体" w:hAnsi="宋体" w:eastAsia="宋体" w:cs="Times New Roman"/>
          <w:b w:val="0"/>
          <w:bCs w:val="0"/>
          <w:sz w:val="24"/>
          <w:szCs w:val="24"/>
        </w:rPr>
      </w:pPr>
      <w:bookmarkStart w:id="0" w:name="_Toc10730"/>
      <w:r>
        <w:rPr>
          <w:rFonts w:hint="eastAsia" w:ascii="宋体" w:hAnsi="宋体" w:eastAsia="宋体" w:cs="Times New Roman"/>
          <w:b w:val="0"/>
          <w:bCs w:val="0"/>
          <w:sz w:val="24"/>
          <w:szCs w:val="24"/>
        </w:rPr>
        <w:t>1、供应商提供中药制剂的研究、调试、自检、实验等服务，包括以下内容：</w:t>
      </w:r>
      <w:bookmarkEnd w:id="0"/>
    </w:p>
    <w:p w14:paraId="3B4AE701">
      <w:pPr>
        <w:keepNext w:val="0"/>
        <w:keepLines w:val="0"/>
        <w:spacing w:line="360" w:lineRule="auto"/>
        <w:jc w:val="both"/>
        <w:outlineLvl w:val="9"/>
        <w:rPr>
          <w:rFonts w:hint="eastAsia" w:ascii="宋体" w:hAnsi="宋体" w:eastAsia="宋体" w:cs="Times New Roman"/>
          <w:b w:val="0"/>
          <w:bCs w:val="0"/>
          <w:sz w:val="24"/>
          <w:szCs w:val="24"/>
        </w:rPr>
      </w:pPr>
      <w:bookmarkStart w:id="1" w:name="_Toc17893"/>
      <w:r>
        <w:rPr>
          <w:rFonts w:hint="eastAsia" w:ascii="宋体" w:hAnsi="宋体" w:eastAsia="宋体" w:cs="Times New Roman"/>
          <w:b w:val="0"/>
          <w:bCs w:val="0"/>
          <w:sz w:val="24"/>
          <w:szCs w:val="24"/>
        </w:rPr>
        <w:t>颗粒剂：</w:t>
      </w:r>
      <w:bookmarkEnd w:id="1"/>
    </w:p>
    <w:p w14:paraId="7B877935">
      <w:pPr>
        <w:keepNext w:val="0"/>
        <w:keepLines w:val="0"/>
        <w:spacing w:line="360" w:lineRule="auto"/>
        <w:jc w:val="both"/>
        <w:outlineLvl w:val="9"/>
        <w:rPr>
          <w:rFonts w:hint="eastAsia" w:ascii="宋体" w:hAnsi="宋体" w:eastAsia="宋体" w:cs="Times New Roman"/>
          <w:b w:val="0"/>
          <w:bCs w:val="0"/>
          <w:sz w:val="24"/>
          <w:szCs w:val="24"/>
        </w:rPr>
      </w:pPr>
      <w:bookmarkStart w:id="2" w:name="_Toc22012"/>
      <w:r>
        <w:rPr>
          <w:rFonts w:hint="eastAsia" w:ascii="宋体" w:hAnsi="宋体" w:eastAsia="宋体" w:cs="Times New Roman"/>
          <w:b w:val="0"/>
          <w:bCs w:val="0"/>
          <w:sz w:val="24"/>
          <w:szCs w:val="24"/>
        </w:rPr>
        <w:t>（1）详细的提取工艺研究</w:t>
      </w:r>
      <w:bookmarkEnd w:id="2"/>
    </w:p>
    <w:p w14:paraId="5B0DE890">
      <w:pPr>
        <w:keepNext w:val="0"/>
        <w:keepLines w:val="0"/>
        <w:spacing w:line="360" w:lineRule="auto"/>
        <w:jc w:val="both"/>
        <w:outlineLvl w:val="9"/>
        <w:rPr>
          <w:rFonts w:hint="eastAsia" w:ascii="宋体" w:hAnsi="宋体" w:eastAsia="宋体" w:cs="Times New Roman"/>
          <w:b w:val="0"/>
          <w:bCs w:val="0"/>
          <w:sz w:val="24"/>
          <w:szCs w:val="24"/>
        </w:rPr>
      </w:pPr>
      <w:bookmarkStart w:id="3" w:name="_Toc21908"/>
      <w:r>
        <w:rPr>
          <w:rFonts w:hint="eastAsia" w:ascii="宋体" w:hAnsi="宋体" w:eastAsia="宋体" w:cs="Times New Roman"/>
          <w:b w:val="0"/>
          <w:bCs w:val="0"/>
          <w:sz w:val="24"/>
          <w:szCs w:val="24"/>
        </w:rPr>
        <w:t>（2）详细的无蔗糖颗粒成型工艺研究</w:t>
      </w:r>
      <w:bookmarkEnd w:id="3"/>
    </w:p>
    <w:p w14:paraId="4C316BE6">
      <w:pPr>
        <w:keepNext w:val="0"/>
        <w:keepLines w:val="0"/>
        <w:spacing w:line="360" w:lineRule="auto"/>
        <w:jc w:val="both"/>
        <w:outlineLvl w:val="9"/>
        <w:rPr>
          <w:rFonts w:hint="eastAsia" w:ascii="宋体" w:hAnsi="宋体" w:eastAsia="宋体" w:cs="Times New Roman"/>
          <w:b w:val="0"/>
          <w:bCs w:val="0"/>
          <w:sz w:val="24"/>
          <w:szCs w:val="24"/>
        </w:rPr>
      </w:pPr>
      <w:bookmarkStart w:id="4" w:name="_Toc29539"/>
      <w:r>
        <w:rPr>
          <w:rFonts w:hint="eastAsia" w:ascii="宋体" w:hAnsi="宋体" w:eastAsia="宋体" w:cs="Times New Roman"/>
          <w:b w:val="0"/>
          <w:bCs w:val="0"/>
          <w:sz w:val="24"/>
          <w:szCs w:val="24"/>
        </w:rPr>
        <w:t>（3）质量标准研究</w:t>
      </w:r>
      <w:bookmarkEnd w:id="4"/>
    </w:p>
    <w:p w14:paraId="521F5B85">
      <w:pPr>
        <w:keepNext w:val="0"/>
        <w:keepLines w:val="0"/>
        <w:spacing w:line="360" w:lineRule="auto"/>
        <w:jc w:val="both"/>
        <w:outlineLvl w:val="9"/>
        <w:rPr>
          <w:rFonts w:hint="eastAsia" w:ascii="宋体" w:hAnsi="宋体" w:eastAsia="宋体" w:cs="Times New Roman"/>
          <w:b w:val="0"/>
          <w:bCs w:val="0"/>
          <w:sz w:val="24"/>
          <w:szCs w:val="24"/>
        </w:rPr>
      </w:pPr>
      <w:bookmarkStart w:id="5" w:name="_Toc32672"/>
      <w:r>
        <w:rPr>
          <w:rFonts w:hint="eastAsia" w:ascii="宋体" w:hAnsi="宋体" w:eastAsia="宋体" w:cs="Times New Roman"/>
          <w:b w:val="0"/>
          <w:bCs w:val="0"/>
          <w:sz w:val="24"/>
          <w:szCs w:val="24"/>
        </w:rPr>
        <w:t>（4）内控制剂标准研究</w:t>
      </w:r>
      <w:bookmarkEnd w:id="5"/>
    </w:p>
    <w:p w14:paraId="786704F1">
      <w:pPr>
        <w:keepNext w:val="0"/>
        <w:keepLines w:val="0"/>
        <w:spacing w:line="360" w:lineRule="auto"/>
        <w:jc w:val="both"/>
        <w:outlineLvl w:val="9"/>
        <w:rPr>
          <w:rFonts w:hint="eastAsia" w:ascii="宋体" w:hAnsi="宋体" w:eastAsia="宋体" w:cs="Times New Roman"/>
          <w:b w:val="0"/>
          <w:bCs w:val="0"/>
          <w:sz w:val="24"/>
          <w:szCs w:val="24"/>
        </w:rPr>
      </w:pPr>
      <w:bookmarkStart w:id="6" w:name="_Toc14240"/>
      <w:r>
        <w:rPr>
          <w:rFonts w:hint="eastAsia" w:ascii="宋体" w:hAnsi="宋体" w:eastAsia="宋体" w:cs="Times New Roman"/>
          <w:b w:val="0"/>
          <w:bCs w:val="0"/>
          <w:sz w:val="24"/>
          <w:szCs w:val="24"/>
        </w:rPr>
        <w:t>（5）制剂的稳定性试验研究</w:t>
      </w:r>
      <w:bookmarkEnd w:id="6"/>
    </w:p>
    <w:p w14:paraId="670D4704">
      <w:pPr>
        <w:keepNext w:val="0"/>
        <w:keepLines w:val="0"/>
        <w:spacing w:line="360" w:lineRule="auto"/>
        <w:jc w:val="both"/>
        <w:outlineLvl w:val="9"/>
        <w:rPr>
          <w:rFonts w:hint="eastAsia" w:ascii="宋体" w:hAnsi="宋体" w:eastAsia="宋体" w:cs="Times New Roman"/>
          <w:b w:val="0"/>
          <w:bCs w:val="0"/>
          <w:sz w:val="24"/>
          <w:szCs w:val="24"/>
        </w:rPr>
      </w:pPr>
      <w:bookmarkStart w:id="7" w:name="_Toc4196"/>
      <w:r>
        <w:rPr>
          <w:rFonts w:hint="eastAsia" w:ascii="宋体" w:hAnsi="宋体" w:eastAsia="宋体" w:cs="Times New Roman"/>
          <w:b w:val="0"/>
          <w:bCs w:val="0"/>
          <w:sz w:val="24"/>
          <w:szCs w:val="24"/>
        </w:rPr>
        <w:t>（6）连续3批样品的自检</w:t>
      </w:r>
      <w:bookmarkEnd w:id="7"/>
    </w:p>
    <w:p w14:paraId="78ACA6B6">
      <w:pPr>
        <w:keepNext w:val="0"/>
        <w:keepLines w:val="0"/>
        <w:spacing w:line="360" w:lineRule="auto"/>
        <w:jc w:val="both"/>
        <w:outlineLvl w:val="9"/>
        <w:rPr>
          <w:rFonts w:hint="eastAsia" w:ascii="宋体" w:hAnsi="宋体" w:eastAsia="宋体" w:cs="Times New Roman"/>
          <w:b w:val="0"/>
          <w:bCs w:val="0"/>
          <w:sz w:val="24"/>
          <w:szCs w:val="24"/>
        </w:rPr>
      </w:pPr>
      <w:bookmarkStart w:id="8" w:name="_Toc32506"/>
      <w:r>
        <w:rPr>
          <w:rFonts w:hint="eastAsia" w:ascii="宋体" w:hAnsi="宋体" w:eastAsia="宋体" w:cs="Times New Roman"/>
          <w:b w:val="0"/>
          <w:bCs w:val="0"/>
          <w:sz w:val="24"/>
          <w:szCs w:val="24"/>
        </w:rPr>
        <w:t>（7）接接触制剂的包装材料和容器的选择依据研究</w:t>
      </w:r>
      <w:bookmarkEnd w:id="8"/>
    </w:p>
    <w:p w14:paraId="643525E2">
      <w:pPr>
        <w:keepNext w:val="0"/>
        <w:keepLines w:val="0"/>
        <w:spacing w:line="360" w:lineRule="auto"/>
        <w:jc w:val="both"/>
        <w:outlineLvl w:val="9"/>
        <w:rPr>
          <w:rFonts w:hint="eastAsia" w:ascii="宋体" w:hAnsi="宋体" w:eastAsia="宋体" w:cs="Times New Roman"/>
          <w:b w:val="0"/>
          <w:bCs w:val="0"/>
          <w:sz w:val="24"/>
          <w:szCs w:val="24"/>
        </w:rPr>
      </w:pPr>
      <w:bookmarkStart w:id="9" w:name="_Toc5894"/>
      <w:r>
        <w:rPr>
          <w:rFonts w:hint="eastAsia" w:ascii="宋体" w:hAnsi="宋体" w:eastAsia="宋体" w:cs="Times New Roman"/>
          <w:b w:val="0"/>
          <w:bCs w:val="0"/>
          <w:sz w:val="24"/>
          <w:szCs w:val="24"/>
        </w:rPr>
        <w:t>（8）满足颗粒剂批量生产的设备、场地及检验设施。</w:t>
      </w:r>
      <w:bookmarkEnd w:id="9"/>
    </w:p>
    <w:p w14:paraId="5F132FF9">
      <w:pPr>
        <w:keepNext w:val="0"/>
        <w:keepLines w:val="0"/>
        <w:spacing w:line="360" w:lineRule="auto"/>
        <w:jc w:val="both"/>
        <w:outlineLvl w:val="9"/>
        <w:rPr>
          <w:rFonts w:hint="eastAsia" w:ascii="宋体" w:hAnsi="宋体"/>
          <w:b w:val="0"/>
          <w:bCs w:val="0"/>
          <w:sz w:val="24"/>
          <w:szCs w:val="24"/>
        </w:rPr>
      </w:pPr>
      <w:bookmarkStart w:id="10" w:name="_Toc30762"/>
      <w:r>
        <w:rPr>
          <w:rFonts w:hint="eastAsia" w:ascii="宋体" w:hAnsi="宋体"/>
          <w:b w:val="0"/>
          <w:bCs w:val="0"/>
          <w:sz w:val="24"/>
          <w:szCs w:val="24"/>
        </w:rPr>
        <w:t>2、供应商需对以上中药制剂品种逐步进行配制，通过工艺研究（小试+中试）、内控制剂标准研究、稳定性试验、样品自检等，确定该处方工艺的标准化生产规程。</w:t>
      </w:r>
      <w:bookmarkEnd w:id="10"/>
    </w:p>
    <w:p w14:paraId="2A11C1AB">
      <w:pPr>
        <w:keepNext w:val="0"/>
        <w:keepLines w:val="0"/>
        <w:spacing w:line="360" w:lineRule="auto"/>
        <w:jc w:val="both"/>
        <w:outlineLvl w:val="9"/>
        <w:rPr>
          <w:rFonts w:hint="eastAsia" w:ascii="宋体" w:hAnsi="宋体"/>
          <w:b w:val="0"/>
          <w:bCs w:val="0"/>
          <w:sz w:val="24"/>
          <w:szCs w:val="24"/>
        </w:rPr>
      </w:pPr>
      <w:bookmarkStart w:id="11" w:name="_Toc6870"/>
      <w:r>
        <w:rPr>
          <w:rFonts w:hint="eastAsia" w:ascii="宋体" w:hAnsi="宋体"/>
          <w:b w:val="0"/>
          <w:bCs w:val="0"/>
          <w:sz w:val="24"/>
          <w:szCs w:val="24"/>
        </w:rPr>
        <w:t>3、供应商需完成以上中药制剂品种的质量标准、完成稳定性研究等。</w:t>
      </w:r>
      <w:bookmarkEnd w:id="11"/>
    </w:p>
    <w:p w14:paraId="6C5403F3">
      <w:pPr>
        <w:keepNext w:val="0"/>
        <w:keepLines w:val="0"/>
        <w:spacing w:line="360" w:lineRule="auto"/>
        <w:jc w:val="both"/>
        <w:outlineLvl w:val="9"/>
        <w:rPr>
          <w:rFonts w:hint="eastAsia" w:ascii="宋体" w:hAnsi="宋体"/>
          <w:b w:val="0"/>
          <w:bCs w:val="0"/>
          <w:sz w:val="24"/>
          <w:szCs w:val="24"/>
        </w:rPr>
      </w:pPr>
      <w:bookmarkStart w:id="12" w:name="_Toc23223"/>
      <w:r>
        <w:rPr>
          <w:rFonts w:hint="eastAsia" w:ascii="宋体" w:hAnsi="宋体"/>
          <w:b w:val="0"/>
          <w:bCs w:val="0"/>
          <w:sz w:val="24"/>
          <w:szCs w:val="24"/>
        </w:rPr>
        <w:t>4、供应商最终应完成以上中药制剂品种的研发工作，形成备案资料，按《陕西省医疗机构应用传统工艺配制中药制剂备案管理实施细则》完成备案工作，并取得备案号。并协助采购人按陕西省省药品监管理局要求完成该中药制剂品种的备案工作。</w:t>
      </w:r>
      <w:bookmarkEnd w:id="12"/>
    </w:p>
    <w:p w14:paraId="7F16F797">
      <w:pPr>
        <w:keepNext w:val="0"/>
        <w:keepLines w:val="0"/>
        <w:spacing w:line="360" w:lineRule="auto"/>
        <w:jc w:val="both"/>
        <w:outlineLvl w:val="9"/>
        <w:rPr>
          <w:rFonts w:hint="eastAsia" w:ascii="宋体" w:hAnsi="宋体"/>
          <w:b w:val="0"/>
          <w:bCs w:val="0"/>
          <w:sz w:val="24"/>
          <w:szCs w:val="24"/>
        </w:rPr>
      </w:pPr>
      <w:bookmarkStart w:id="13" w:name="_Toc29907"/>
      <w:r>
        <w:rPr>
          <w:rFonts w:hint="eastAsia" w:ascii="宋体" w:hAnsi="宋体"/>
          <w:b w:val="0"/>
          <w:bCs w:val="0"/>
          <w:sz w:val="24"/>
          <w:szCs w:val="24"/>
        </w:rPr>
        <w:t>5、人员配置要求：供应商拟投入团队能力项目负责人及团队人员具备专业技能和相关工作经验。</w:t>
      </w:r>
      <w:bookmarkEnd w:id="13"/>
    </w:p>
    <w:p w14:paraId="775D9BDE">
      <w:pPr>
        <w:keepNext w:val="0"/>
        <w:keepLines w:val="0"/>
        <w:spacing w:line="360" w:lineRule="auto"/>
        <w:jc w:val="both"/>
        <w:outlineLvl w:val="9"/>
        <w:rPr>
          <w:rFonts w:hint="eastAsia" w:ascii="宋体" w:hAnsi="宋体"/>
          <w:b w:val="0"/>
          <w:bCs w:val="0"/>
          <w:sz w:val="24"/>
          <w:szCs w:val="24"/>
        </w:rPr>
      </w:pPr>
      <w:bookmarkStart w:id="14" w:name="_Toc25843"/>
      <w:r>
        <w:rPr>
          <w:rFonts w:hint="eastAsia" w:ascii="宋体" w:hAnsi="宋体"/>
          <w:b w:val="0"/>
          <w:bCs w:val="0"/>
          <w:sz w:val="24"/>
          <w:szCs w:val="24"/>
        </w:rPr>
        <w:t>6、供应商应具有承担工艺、质量标准和研究的实验设备设施条件。</w:t>
      </w:r>
      <w:bookmarkEnd w:id="14"/>
    </w:p>
    <w:p w14:paraId="611982E7">
      <w:pPr>
        <w:keepNext w:val="0"/>
        <w:keepLines w:val="0"/>
        <w:spacing w:line="360" w:lineRule="auto"/>
        <w:jc w:val="both"/>
        <w:outlineLvl w:val="9"/>
        <w:rPr>
          <w:rFonts w:hint="eastAsia" w:ascii="宋体" w:hAnsi="宋体"/>
          <w:b w:val="0"/>
          <w:bCs w:val="0"/>
          <w:sz w:val="24"/>
          <w:szCs w:val="24"/>
        </w:rPr>
      </w:pPr>
      <w:bookmarkStart w:id="15" w:name="_Toc13868"/>
      <w:r>
        <w:rPr>
          <w:rFonts w:hint="eastAsia" w:ascii="宋体" w:hAnsi="宋体"/>
          <w:b w:val="0"/>
          <w:bCs w:val="0"/>
          <w:sz w:val="24"/>
          <w:szCs w:val="24"/>
        </w:rPr>
        <w:t>7、其他要求：</w:t>
      </w:r>
      <w:bookmarkEnd w:id="15"/>
    </w:p>
    <w:p w14:paraId="5580FF46">
      <w:pPr>
        <w:keepNext w:val="0"/>
        <w:keepLines w:val="0"/>
        <w:spacing w:line="360" w:lineRule="auto"/>
        <w:jc w:val="both"/>
        <w:outlineLvl w:val="9"/>
        <w:rPr>
          <w:rFonts w:hint="eastAsia" w:ascii="宋体" w:hAnsi="宋体"/>
          <w:b w:val="0"/>
          <w:bCs w:val="0"/>
          <w:sz w:val="24"/>
          <w:szCs w:val="24"/>
        </w:rPr>
      </w:pPr>
      <w:bookmarkStart w:id="16" w:name="_Toc1765"/>
      <w:r>
        <w:rPr>
          <w:rFonts w:hint="eastAsia" w:ascii="宋体" w:hAnsi="宋体"/>
          <w:b w:val="0"/>
          <w:bCs w:val="0"/>
          <w:sz w:val="24"/>
          <w:szCs w:val="24"/>
        </w:rPr>
        <w:t>（1）资料收集、整理部分：供应商应按照《陕西省医疗机构应用传统工艺配制中药制剂备案管理实施细则》要求，协助、指导临床完成（《传统工艺配制中药制剂备案申请表》）、首次备案证明性文件、首次备案说明书样稿、首次备案标签样稿。协助整理所有申报资料、备案，直至备案成功。</w:t>
      </w:r>
      <w:bookmarkEnd w:id="16"/>
    </w:p>
    <w:p w14:paraId="39FE45C4">
      <w:pPr>
        <w:keepNext w:val="0"/>
        <w:keepLines w:val="0"/>
        <w:spacing w:line="360" w:lineRule="auto"/>
        <w:jc w:val="both"/>
        <w:outlineLvl w:val="9"/>
        <w:rPr>
          <w:rFonts w:hint="eastAsia" w:ascii="宋体" w:hAnsi="宋体"/>
          <w:b w:val="0"/>
          <w:bCs w:val="0"/>
          <w:sz w:val="24"/>
          <w:szCs w:val="24"/>
        </w:rPr>
      </w:pPr>
      <w:bookmarkStart w:id="17" w:name="_Toc3063"/>
      <w:r>
        <w:rPr>
          <w:rFonts w:hint="eastAsia" w:ascii="宋体" w:hAnsi="宋体"/>
          <w:b w:val="0"/>
          <w:bCs w:val="0"/>
          <w:sz w:val="24"/>
          <w:szCs w:val="24"/>
        </w:rPr>
        <w:t>（2）提交成果要求：</w:t>
      </w:r>
      <w:bookmarkEnd w:id="17"/>
    </w:p>
    <w:p w14:paraId="1766F20A">
      <w:pPr>
        <w:keepNext w:val="0"/>
        <w:keepLines w:val="0"/>
        <w:spacing w:line="360" w:lineRule="auto"/>
        <w:jc w:val="both"/>
        <w:outlineLvl w:val="9"/>
        <w:rPr>
          <w:rFonts w:hint="eastAsia" w:ascii="宋体" w:hAnsi="宋体"/>
          <w:b w:val="0"/>
          <w:bCs w:val="0"/>
          <w:sz w:val="24"/>
          <w:szCs w:val="24"/>
        </w:rPr>
      </w:pPr>
      <w:bookmarkStart w:id="18" w:name="_Toc2490"/>
      <w:r>
        <w:rPr>
          <w:rFonts w:hint="eastAsia" w:ascii="宋体" w:hAnsi="宋体"/>
          <w:b w:val="0"/>
          <w:bCs w:val="0"/>
          <w:sz w:val="24"/>
          <w:szCs w:val="24"/>
        </w:rPr>
        <w:t>①按照《陕西省医疗机构应用传统工艺配制中药制剂备案管理实施细则》要求，完成相应研究内容和申报资料撰写后，需向采购人提交符合要求的书面及电子版研究报告及其他技术资料各一份。所有的研究成果归采购人所有。</w:t>
      </w:r>
      <w:bookmarkEnd w:id="18"/>
    </w:p>
    <w:p w14:paraId="6E168ABE">
      <w:pPr>
        <w:keepNext w:val="0"/>
        <w:keepLines w:val="0"/>
        <w:spacing w:line="360" w:lineRule="auto"/>
        <w:jc w:val="both"/>
        <w:outlineLvl w:val="9"/>
        <w:rPr>
          <w:rFonts w:hint="eastAsia" w:ascii="宋体" w:hAnsi="宋体"/>
          <w:b w:val="0"/>
          <w:bCs w:val="0"/>
          <w:sz w:val="24"/>
          <w:szCs w:val="24"/>
        </w:rPr>
      </w:pPr>
      <w:bookmarkStart w:id="19" w:name="_Toc20854"/>
      <w:r>
        <w:rPr>
          <w:rFonts w:hint="eastAsia" w:ascii="宋体" w:hAnsi="宋体"/>
          <w:b w:val="0"/>
          <w:bCs w:val="0"/>
          <w:sz w:val="24"/>
          <w:szCs w:val="24"/>
        </w:rPr>
        <w:t>②完成的所有申报资料并进行备案。</w:t>
      </w:r>
      <w:bookmarkEnd w:id="19"/>
    </w:p>
    <w:p w14:paraId="4A39C78A">
      <w:pPr>
        <w:keepNext w:val="0"/>
        <w:keepLines w:val="0"/>
        <w:spacing w:line="360" w:lineRule="auto"/>
        <w:jc w:val="both"/>
        <w:outlineLvl w:val="9"/>
        <w:rPr>
          <w:rFonts w:hint="eastAsia" w:ascii="宋体" w:hAnsi="宋体"/>
          <w:b w:val="0"/>
          <w:bCs w:val="0"/>
          <w:sz w:val="24"/>
          <w:szCs w:val="24"/>
        </w:rPr>
      </w:pPr>
      <w:bookmarkStart w:id="20" w:name="_Toc16231"/>
      <w:r>
        <w:rPr>
          <w:rFonts w:hint="eastAsia" w:ascii="宋体" w:hAnsi="宋体"/>
          <w:b w:val="0"/>
          <w:bCs w:val="0"/>
          <w:sz w:val="24"/>
          <w:szCs w:val="24"/>
        </w:rPr>
        <w:t>③取得陕西省药监局颁发的备案号。</w:t>
      </w:r>
      <w:bookmarkEnd w:id="20"/>
    </w:p>
    <w:p w14:paraId="3E8BE2C2">
      <w:pPr>
        <w:keepNext w:val="0"/>
        <w:keepLines w:val="0"/>
        <w:spacing w:line="360" w:lineRule="auto"/>
        <w:jc w:val="both"/>
        <w:outlineLvl w:val="9"/>
        <w:rPr>
          <w:rFonts w:hint="eastAsia" w:ascii="宋体" w:hAnsi="宋体"/>
          <w:b w:val="0"/>
          <w:bCs w:val="0"/>
          <w:sz w:val="24"/>
          <w:szCs w:val="24"/>
        </w:rPr>
      </w:pPr>
      <w:bookmarkStart w:id="21" w:name="_Toc19866"/>
      <w:r>
        <w:rPr>
          <w:rFonts w:hint="eastAsia" w:ascii="宋体" w:hAnsi="宋体"/>
          <w:b w:val="0"/>
          <w:bCs w:val="0"/>
          <w:sz w:val="24"/>
          <w:szCs w:val="24"/>
        </w:rPr>
        <w:t>④保密要求：供应商需对采购人提供的所有信息保密，包括但不仅限于制剂处方（包括处方组成、药物剂量等）和现有的制备工艺（含中药饮片、辅料、剂型）详细资料等。不得将委托研发内容的申报资料、研究内容、研究成果及其相关知识产权泄露给第三方。</w:t>
      </w:r>
      <w:bookmarkEnd w:id="21"/>
    </w:p>
    <w:p w14:paraId="22BF8D02">
      <w:pPr>
        <w:keepNext w:val="0"/>
        <w:keepLines w:val="0"/>
        <w:spacing w:line="360" w:lineRule="auto"/>
        <w:jc w:val="both"/>
        <w:outlineLvl w:val="9"/>
        <w:rPr>
          <w:rFonts w:hint="eastAsia" w:ascii="宋体" w:hAnsi="宋体"/>
          <w:b w:val="0"/>
          <w:bCs w:val="0"/>
          <w:sz w:val="24"/>
          <w:szCs w:val="24"/>
        </w:rPr>
      </w:pPr>
      <w:bookmarkStart w:id="22" w:name="_Toc25756"/>
      <w:r>
        <w:rPr>
          <w:rFonts w:hint="eastAsia" w:ascii="宋体" w:hAnsi="宋体"/>
          <w:b w:val="0"/>
          <w:bCs w:val="0"/>
          <w:sz w:val="24"/>
          <w:szCs w:val="24"/>
        </w:rPr>
        <w:t>⑤现场核查要求：若相关部门提出现场核查要求，应协助采购人完成现场核查。</w:t>
      </w:r>
      <w:bookmarkEnd w:id="22"/>
    </w:p>
    <w:p w14:paraId="415A2EA9">
      <w:pPr>
        <w:keepNext w:val="0"/>
        <w:keepLines w:val="0"/>
        <w:spacing w:line="360" w:lineRule="auto"/>
        <w:jc w:val="both"/>
        <w:outlineLvl w:val="9"/>
        <w:rPr>
          <w:rFonts w:hint="eastAsia" w:ascii="宋体" w:hAnsi="宋体"/>
          <w:b w:val="0"/>
          <w:bCs w:val="0"/>
          <w:sz w:val="24"/>
          <w:szCs w:val="24"/>
        </w:rPr>
      </w:pPr>
      <w:bookmarkStart w:id="23" w:name="_Toc15795"/>
      <w:r>
        <w:rPr>
          <w:rFonts w:hint="eastAsia" w:ascii="宋体" w:hAnsi="宋体"/>
          <w:b w:val="0"/>
          <w:bCs w:val="0"/>
          <w:sz w:val="24"/>
          <w:szCs w:val="24"/>
        </w:rPr>
        <w:t>⑥人才培养：协助采购人培养院内制剂研究人员骨干1-2名吸纳其参与院内制剂研究和备案的全过程，提供培养方案至少包括培养计划、培养方式、考核方式。</w:t>
      </w:r>
      <w:bookmarkEnd w:id="23"/>
    </w:p>
    <w:p w14:paraId="517383E5">
      <w:pPr>
        <w:keepNext w:val="0"/>
        <w:keepLines w:val="0"/>
        <w:spacing w:line="360" w:lineRule="auto"/>
        <w:jc w:val="both"/>
        <w:outlineLvl w:val="9"/>
        <w:rPr>
          <w:rFonts w:hint="eastAsia" w:ascii="宋体" w:hAnsi="宋体"/>
          <w:b w:val="0"/>
          <w:bCs w:val="0"/>
          <w:sz w:val="24"/>
          <w:szCs w:val="24"/>
        </w:rPr>
      </w:pPr>
      <w:bookmarkStart w:id="24" w:name="_Toc28491"/>
      <w:r>
        <w:rPr>
          <w:rFonts w:hint="eastAsia" w:ascii="宋体" w:hAnsi="宋体"/>
          <w:b w:val="0"/>
          <w:bCs w:val="0"/>
          <w:sz w:val="24"/>
          <w:szCs w:val="24"/>
        </w:rPr>
        <w:t>8、供应商需在签订合同之日起4个月内完成中药制剂品种的工艺研究，并向采购人提交研发原始数据。</w:t>
      </w:r>
      <w:r>
        <w:rPr>
          <w:rFonts w:hint="eastAsia" w:ascii="宋体" w:hAnsi="宋体"/>
          <w:b/>
          <w:bCs/>
          <w:sz w:val="24"/>
          <w:szCs w:val="24"/>
        </w:rPr>
        <w:t>（供应商需单独提供承诺函，格式自拟）</w:t>
      </w:r>
      <w:bookmarkEnd w:id="24"/>
    </w:p>
    <w:p w14:paraId="5564B60D">
      <w:pPr>
        <w:keepNext w:val="0"/>
        <w:keepLines w:val="0"/>
        <w:spacing w:line="360" w:lineRule="auto"/>
        <w:jc w:val="both"/>
        <w:outlineLvl w:val="9"/>
        <w:rPr>
          <w:rFonts w:hint="eastAsia" w:ascii="宋体" w:hAnsi="宋体"/>
          <w:b/>
          <w:bCs/>
          <w:sz w:val="24"/>
          <w:szCs w:val="24"/>
        </w:rPr>
      </w:pPr>
      <w:bookmarkStart w:id="25" w:name="_Toc7774"/>
      <w:r>
        <w:rPr>
          <w:rFonts w:hint="eastAsia" w:ascii="宋体" w:hAnsi="宋体"/>
          <w:b w:val="0"/>
          <w:bCs w:val="0"/>
          <w:sz w:val="24"/>
          <w:szCs w:val="24"/>
        </w:rPr>
        <w:t>9、供应商需在签订合同之日起1年内完成中药制剂品种质量研究；并向采购人提交研发原始数据。</w:t>
      </w:r>
      <w:r>
        <w:rPr>
          <w:rFonts w:hint="eastAsia" w:ascii="宋体" w:hAnsi="宋体"/>
          <w:b/>
          <w:bCs/>
          <w:sz w:val="24"/>
          <w:szCs w:val="24"/>
        </w:rPr>
        <w:t>（供应商需单独提供承诺函，格式自拟）</w:t>
      </w:r>
      <w:bookmarkEnd w:id="25"/>
    </w:p>
    <w:p w14:paraId="531A6E24">
      <w:bookmarkStart w:id="26" w:name="_GoBack"/>
      <w:bookmarkEnd w:id="2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33FDC"/>
    <w:rsid w:val="49333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2025-12-03T10:25:00Z</dcterms:created>
  <dc:creator>白日梦</dc:creator>
  <cp:lastModifiedBy>白日梦</cp:lastModifiedBy>
  <dcterms:modified xsi:type="dcterms:W3CDTF">2025-12-03T10:25:14Z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AA7941E0F6CC4D06938D2BF27FF10B52_11</vt:lpwstr>
  </property>
  <property fmtid="{D5CDD505-2E9C-101B-9397-08002B2CF9AE}" pid="4" name="KSOTemplateDocerSaveRecord">
    <vt:lpwstr>eyJoZGlkIjoiOTQyNjJhYWQ1Y2ZkMWY1OTgyN2E4ZDZkNGNkNDQwMjYiLCJ1c2VySWQiOiIzMTI3MDEwNzEifQ==</vt:lpwstr>
  </property>
</Properties>
</file>