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C0F63">
      <w:pPr>
        <w:jc w:val="left"/>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项目编号：</w:t>
      </w:r>
      <w:r>
        <w:rPr>
          <w:rFonts w:hint="eastAsia" w:asciiTheme="minorEastAsia" w:hAnsiTheme="minorEastAsia" w:eastAsiaTheme="minorEastAsia" w:cstheme="minorEastAsia"/>
          <w:b/>
          <w:bCs/>
          <w:sz w:val="32"/>
          <w:szCs w:val="32"/>
          <w:highlight w:val="none"/>
          <w:lang w:eastAsia="zh-CN"/>
        </w:rPr>
        <w:t>QH2025-GK-102</w:t>
      </w:r>
    </w:p>
    <w:p w14:paraId="320F8FED">
      <w:pPr>
        <w:jc w:val="center"/>
        <w:rPr>
          <w:rFonts w:asciiTheme="minorEastAsia" w:hAnsiTheme="minorEastAsia" w:eastAsiaTheme="minorEastAsia" w:cstheme="minorEastAsia"/>
          <w:b/>
          <w:sz w:val="36"/>
          <w:highlight w:val="none"/>
        </w:rPr>
      </w:pPr>
    </w:p>
    <w:p w14:paraId="2794946B">
      <w:pPr>
        <w:jc w:val="center"/>
        <w:rPr>
          <w:rFonts w:asciiTheme="minorEastAsia" w:hAnsiTheme="minorEastAsia" w:eastAsiaTheme="minorEastAsia" w:cstheme="minorEastAsia"/>
          <w:b/>
          <w:sz w:val="36"/>
          <w:highlight w:val="none"/>
        </w:rPr>
      </w:pPr>
    </w:p>
    <w:p w14:paraId="6D2CA5C6">
      <w:pPr>
        <w:jc w:val="center"/>
        <w:rPr>
          <w:rFonts w:asciiTheme="minorEastAsia" w:hAnsiTheme="minorEastAsia" w:eastAsiaTheme="minorEastAsia" w:cstheme="minorEastAsia"/>
          <w:b/>
          <w:sz w:val="48"/>
          <w:szCs w:val="48"/>
          <w:highlight w:val="none"/>
        </w:rPr>
      </w:pPr>
    </w:p>
    <w:p w14:paraId="5FD1D335">
      <w:pPr>
        <w:jc w:val="center"/>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56"/>
          <w:szCs w:val="56"/>
          <w:highlight w:val="none"/>
          <w:lang w:eastAsia="zh-CN"/>
        </w:rPr>
        <w:t>柞水县2025年中央财政森林修复项目（第二批）</w:t>
      </w:r>
    </w:p>
    <w:p w14:paraId="18AD3CEE">
      <w:pPr>
        <w:jc w:val="center"/>
        <w:rPr>
          <w:rFonts w:asciiTheme="minorEastAsia" w:hAnsiTheme="minorEastAsia" w:eastAsiaTheme="minorEastAsia" w:cstheme="minorEastAsia"/>
          <w:b/>
          <w:sz w:val="40"/>
          <w:szCs w:val="40"/>
          <w:highlight w:val="none"/>
        </w:rPr>
      </w:pPr>
    </w:p>
    <w:p w14:paraId="04FFC196">
      <w:pPr>
        <w:jc w:val="center"/>
        <w:rPr>
          <w:rFonts w:asciiTheme="minorEastAsia" w:hAnsiTheme="minorEastAsia" w:eastAsiaTheme="minorEastAsia" w:cstheme="minorEastAsia"/>
          <w:b/>
          <w:sz w:val="36"/>
          <w:szCs w:val="36"/>
          <w:highlight w:val="none"/>
        </w:rPr>
      </w:pPr>
    </w:p>
    <w:p w14:paraId="7A534D86">
      <w:pPr>
        <w:pStyle w:val="26"/>
        <w:ind w:left="0" w:leftChars="0" w:firstLine="0" w:firstLineChars="0"/>
        <w:jc w:val="center"/>
        <w:rPr>
          <w:rFonts w:hint="eastAsia" w:ascii="宋体" w:hAnsi="宋体" w:eastAsia="宋体" w:cs="宋体"/>
          <w:b/>
          <w:bCs/>
          <w:sz w:val="40"/>
          <w:szCs w:val="32"/>
          <w:highlight w:val="none"/>
          <w:lang w:val="en-US" w:eastAsia="zh-CN"/>
        </w:rPr>
      </w:pPr>
    </w:p>
    <w:p w14:paraId="5A031886">
      <w:pPr>
        <w:spacing w:line="780" w:lineRule="auto"/>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招标文件</w:t>
      </w:r>
    </w:p>
    <w:p w14:paraId="5B89C55C">
      <w:pPr>
        <w:rPr>
          <w:rFonts w:asciiTheme="minorEastAsia" w:hAnsiTheme="minorEastAsia" w:eastAsiaTheme="minorEastAsia" w:cstheme="minorEastAsia"/>
          <w:highlight w:val="none"/>
        </w:rPr>
      </w:pPr>
      <w:bookmarkStart w:id="0" w:name="_Toc363463325"/>
    </w:p>
    <w:p w14:paraId="435D9C8F">
      <w:pPr>
        <w:rPr>
          <w:rFonts w:asciiTheme="minorEastAsia" w:hAnsiTheme="minorEastAsia" w:eastAsiaTheme="minorEastAsia" w:cstheme="minorEastAsia"/>
          <w:highlight w:val="none"/>
        </w:rPr>
      </w:pPr>
    </w:p>
    <w:bookmarkEnd w:id="0"/>
    <w:p w14:paraId="13FE9850">
      <w:pPr>
        <w:jc w:val="center"/>
        <w:rPr>
          <w:rFonts w:asciiTheme="minorEastAsia" w:hAnsiTheme="minorEastAsia" w:eastAsiaTheme="minorEastAsia" w:cstheme="minorEastAsia"/>
          <w:b/>
          <w:sz w:val="36"/>
          <w:szCs w:val="36"/>
          <w:highlight w:val="none"/>
        </w:rPr>
      </w:pPr>
    </w:p>
    <w:p w14:paraId="7925760D">
      <w:pPr>
        <w:rPr>
          <w:rFonts w:asciiTheme="minorEastAsia" w:hAnsiTheme="minorEastAsia" w:eastAsiaTheme="minorEastAsia" w:cstheme="minorEastAsia"/>
          <w:sz w:val="36"/>
          <w:szCs w:val="36"/>
          <w:highlight w:val="none"/>
        </w:rPr>
      </w:pPr>
    </w:p>
    <w:p w14:paraId="0CBBF01F">
      <w:pPr>
        <w:jc w:val="center"/>
        <w:rPr>
          <w:rFonts w:asciiTheme="minorEastAsia" w:hAnsiTheme="minorEastAsia" w:eastAsiaTheme="minorEastAsia" w:cstheme="minorEastAsia"/>
          <w:sz w:val="36"/>
          <w:szCs w:val="36"/>
          <w:highlight w:val="none"/>
        </w:rPr>
      </w:pPr>
    </w:p>
    <w:p w14:paraId="7EB40656">
      <w:pPr>
        <w:jc w:val="center"/>
        <w:rPr>
          <w:rFonts w:asciiTheme="minorEastAsia" w:hAnsiTheme="minorEastAsia" w:eastAsiaTheme="minorEastAsia" w:cstheme="minorEastAsia"/>
          <w:sz w:val="36"/>
          <w:szCs w:val="36"/>
          <w:highlight w:val="none"/>
        </w:rPr>
      </w:pPr>
    </w:p>
    <w:p w14:paraId="29229B6B">
      <w:pPr>
        <w:rPr>
          <w:rFonts w:asciiTheme="minorEastAsia" w:hAnsiTheme="minorEastAsia" w:eastAsiaTheme="minorEastAsia" w:cstheme="minorEastAsia"/>
          <w:sz w:val="18"/>
          <w:szCs w:val="18"/>
          <w:highlight w:val="none"/>
        </w:rPr>
      </w:pPr>
    </w:p>
    <w:p w14:paraId="7D051F8A">
      <w:pPr>
        <w:rPr>
          <w:rFonts w:asciiTheme="minorEastAsia" w:hAnsiTheme="minorEastAsia" w:eastAsiaTheme="minorEastAsia" w:cstheme="minorEastAsia"/>
          <w:sz w:val="18"/>
          <w:szCs w:val="18"/>
          <w:highlight w:val="none"/>
        </w:rPr>
      </w:pPr>
    </w:p>
    <w:p w14:paraId="4519BEDF">
      <w:pPr>
        <w:pStyle w:val="26"/>
        <w:ind w:firstLine="1067" w:firstLineChars="332"/>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采 购 人：</w:t>
      </w:r>
      <w:r>
        <w:rPr>
          <w:rFonts w:hint="eastAsia" w:asciiTheme="minorEastAsia" w:hAnsiTheme="minorEastAsia" w:eastAsiaTheme="minorEastAsia" w:cstheme="minorEastAsia"/>
          <w:b/>
          <w:bCs/>
          <w:sz w:val="32"/>
          <w:szCs w:val="32"/>
          <w:highlight w:val="none"/>
          <w:lang w:eastAsia="zh-CN"/>
        </w:rPr>
        <w:t>柞水县凤凰国有林场</w:t>
      </w:r>
    </w:p>
    <w:p w14:paraId="5AE0DCFA">
      <w:pPr>
        <w:pStyle w:val="26"/>
        <w:ind w:firstLine="1067" w:firstLineChars="332"/>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代理机构：</w:t>
      </w:r>
      <w:r>
        <w:rPr>
          <w:rFonts w:hint="eastAsia" w:asciiTheme="minorEastAsia" w:hAnsiTheme="minorEastAsia" w:eastAsiaTheme="minorEastAsia" w:cstheme="minorEastAsia"/>
          <w:b/>
          <w:bCs/>
          <w:sz w:val="32"/>
          <w:szCs w:val="32"/>
          <w:highlight w:val="none"/>
          <w:lang w:eastAsia="zh-CN"/>
        </w:rPr>
        <w:t>陕西启航项目管理咨询有限公司</w:t>
      </w:r>
    </w:p>
    <w:p w14:paraId="2B10FF23">
      <w:pPr>
        <w:pStyle w:val="26"/>
        <w:ind w:firstLine="1067" w:firstLineChars="332"/>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日    期：二〇二五年</w:t>
      </w:r>
      <w:r>
        <w:rPr>
          <w:rFonts w:hint="eastAsia" w:asciiTheme="minorEastAsia" w:hAnsiTheme="minorEastAsia" w:eastAsiaTheme="minorEastAsia" w:cstheme="minorEastAsia"/>
          <w:b/>
          <w:bCs/>
          <w:sz w:val="32"/>
          <w:szCs w:val="32"/>
          <w:highlight w:val="none"/>
          <w:lang w:val="en-US" w:eastAsia="zh-CN"/>
        </w:rPr>
        <w:t>十一</w:t>
      </w:r>
      <w:r>
        <w:rPr>
          <w:rFonts w:hint="eastAsia" w:asciiTheme="minorEastAsia" w:hAnsiTheme="minorEastAsia" w:eastAsiaTheme="minorEastAsia" w:cstheme="minorEastAsia"/>
          <w:b/>
          <w:bCs/>
          <w:sz w:val="32"/>
          <w:szCs w:val="32"/>
          <w:highlight w:val="none"/>
        </w:rPr>
        <w:t>月</w:t>
      </w:r>
    </w:p>
    <w:p w14:paraId="3B42D458">
      <w:pPr>
        <w:pStyle w:val="26"/>
        <w:ind w:firstLine="749"/>
        <w:rPr>
          <w:rFonts w:asciiTheme="minorEastAsia" w:hAnsiTheme="minorEastAsia" w:eastAsiaTheme="minorEastAsia" w:cstheme="minorEastAsia"/>
          <w:b/>
          <w:bCs/>
          <w:sz w:val="32"/>
          <w:szCs w:val="32"/>
          <w:highlight w:val="none"/>
        </w:rPr>
      </w:pPr>
    </w:p>
    <w:p w14:paraId="60630330">
      <w:pPr>
        <w:pStyle w:val="26"/>
        <w:ind w:firstLine="749"/>
        <w:rPr>
          <w:rFonts w:asciiTheme="minorEastAsia" w:hAnsiTheme="minorEastAsia" w:eastAsiaTheme="minorEastAsia" w:cstheme="minorEastAsia"/>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04" w:right="1361" w:bottom="1304" w:left="1361" w:header="851" w:footer="992" w:gutter="0"/>
          <w:pgNumType w:start="1"/>
          <w:cols w:space="720" w:num="1"/>
          <w:titlePg/>
          <w:docGrid w:type="lines" w:linePitch="312" w:charSpace="0"/>
        </w:sectPr>
      </w:pPr>
    </w:p>
    <w:p w14:paraId="3AE44E09">
      <w:pPr>
        <w:spacing w:line="480" w:lineRule="auto"/>
        <w:jc w:val="center"/>
        <w:rPr>
          <w:rFonts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目   录</w:t>
      </w:r>
    </w:p>
    <w:p w14:paraId="1E288154">
      <w:pPr>
        <w:pStyle w:val="19"/>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"1-4"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_Toc11394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_Toc11394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69A28A5">
      <w:pPr>
        <w:pStyle w:val="19"/>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_Toc24715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_Toc24715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4997D7D">
      <w:pPr>
        <w:pStyle w:val="22"/>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_Toc23536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_Toc23536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D60B019">
      <w:pPr>
        <w:pStyle w:val="19"/>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_Toc19056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_Toc19056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7E76FFE">
      <w:pPr>
        <w:pStyle w:val="19"/>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_Toc10065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第四章  </w:t>
      </w:r>
      <w:r>
        <w:rPr>
          <w:rFonts w:hint="eastAsia" w:ascii="宋体" w:hAnsi="宋体" w:eastAsia="宋体" w:cs="宋体"/>
          <w:bCs/>
          <w:sz w:val="24"/>
          <w:szCs w:val="24"/>
          <w:highlight w:val="none"/>
        </w:rPr>
        <w:t>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_Toc10065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74D32BB">
      <w:pPr>
        <w:pStyle w:val="22"/>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_Toc30782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合同条款及格式前附表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_Toc30782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8D1DD56">
      <w:pPr>
        <w:pStyle w:val="19"/>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_Toc27836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第五章  项目概况及技术要求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_Toc27836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F99001">
      <w:pPr>
        <w:pStyle w:val="19"/>
        <w:keepNext w:val="0"/>
        <w:keepLines w:val="0"/>
        <w:pageBreakBefore w:val="0"/>
        <w:widowControl w:val="0"/>
        <w:tabs>
          <w:tab w:val="right" w:leader="dot" w:pos="9184"/>
        </w:tabs>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_Toc11907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投标文件构成及格式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_Toc11907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491B576">
      <w:pPr>
        <w:keepNext w:val="0"/>
        <w:keepLines w:val="0"/>
        <w:pageBreakBefore w:val="0"/>
        <w:widowControl w:val="0"/>
        <w:kinsoku/>
        <w:wordWrap/>
        <w:overflowPunct/>
        <w:topLinePunct w:val="0"/>
        <w:autoSpaceDE/>
        <w:autoSpaceDN/>
        <w:bidi w:val="0"/>
        <w:adjustRightInd/>
        <w:snapToGrid/>
        <w:spacing w:line="480" w:lineRule="auto"/>
        <w:textAlignment w:val="auto"/>
        <w:rPr>
          <w:rFonts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rPr>
        <w:fldChar w:fldCharType="end"/>
      </w:r>
      <w:r>
        <w:rPr>
          <w:rFonts w:hint="eastAsia" w:asciiTheme="minorEastAsia" w:hAnsiTheme="minorEastAsia" w:eastAsiaTheme="minorEastAsia" w:cstheme="minorEastAsia"/>
          <w:sz w:val="24"/>
          <w:szCs w:val="24"/>
          <w:highlight w:val="none"/>
        </w:rPr>
        <w:br w:type="page"/>
      </w:r>
    </w:p>
    <w:p w14:paraId="17A15A6A">
      <w:pPr>
        <w:pStyle w:val="3"/>
        <w:jc w:val="center"/>
        <w:rPr>
          <w:rFonts w:asciiTheme="minorEastAsia" w:hAnsiTheme="minorEastAsia" w:eastAsiaTheme="minorEastAsia" w:cstheme="minorEastAsia"/>
          <w:highlight w:val="none"/>
        </w:rPr>
      </w:pPr>
      <w:bookmarkStart w:id="1" w:name="_Toc14968"/>
      <w:bookmarkStart w:id="2" w:name="_Toc11394"/>
      <w:r>
        <w:rPr>
          <w:rFonts w:hint="eastAsia" w:asciiTheme="minorEastAsia" w:hAnsiTheme="minorEastAsia" w:eastAsiaTheme="minorEastAsia" w:cstheme="minorEastAsia"/>
          <w:highlight w:val="none"/>
        </w:rPr>
        <w:t>第一章  招标公告</w:t>
      </w:r>
      <w:bookmarkEnd w:id="1"/>
      <w:bookmarkEnd w:id="2"/>
    </w:p>
    <w:p w14:paraId="16B7BB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auto"/>
          <w:spacing w:val="0"/>
          <w:sz w:val="24"/>
          <w:szCs w:val="24"/>
          <w:shd w:val="clear" w:fill="FFFFFF"/>
        </w:rPr>
      </w:pPr>
      <w:bookmarkStart w:id="3" w:name="_Toc421778363"/>
      <w:bookmarkStart w:id="4" w:name="_Toc18593"/>
      <w:r>
        <w:rPr>
          <w:rStyle w:val="30"/>
          <w:rFonts w:hint="eastAsia" w:ascii="宋体" w:hAnsi="宋体" w:eastAsia="宋体" w:cs="宋体"/>
          <w:b/>
          <w:bCs/>
          <w:i w:val="0"/>
          <w:iCs w:val="0"/>
          <w:caps w:val="0"/>
          <w:color w:val="auto"/>
          <w:spacing w:val="0"/>
          <w:sz w:val="24"/>
          <w:szCs w:val="24"/>
          <w:shd w:val="clear" w:fill="FFFFFF"/>
        </w:rPr>
        <w:t>项目概况</w:t>
      </w:r>
    </w:p>
    <w:p w14:paraId="13AF1B9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柞水县2025年中央财政森林修复项目（第二批）招标项目的潜在投标人应在sxqhxmglyxgs@163.com获取招标文件，并于2025年12月03日14时00分（北京时间）前递交投标文件。</w:t>
      </w:r>
    </w:p>
    <w:p w14:paraId="1B0ED1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auto"/>
          <w:spacing w:val="0"/>
          <w:sz w:val="24"/>
          <w:szCs w:val="24"/>
          <w:shd w:val="clear" w:fill="FFFFFF"/>
        </w:rPr>
      </w:pPr>
      <w:r>
        <w:rPr>
          <w:rStyle w:val="30"/>
          <w:rFonts w:hint="eastAsia" w:ascii="宋体" w:hAnsi="宋体" w:eastAsia="宋体" w:cs="宋体"/>
          <w:b/>
          <w:bCs/>
          <w:i w:val="0"/>
          <w:iCs w:val="0"/>
          <w:caps w:val="0"/>
          <w:color w:val="auto"/>
          <w:spacing w:val="0"/>
          <w:sz w:val="24"/>
          <w:szCs w:val="24"/>
          <w:shd w:val="clear" w:fill="FFFFFF"/>
        </w:rPr>
        <w:t>一、项目基本情况</w:t>
      </w:r>
    </w:p>
    <w:p w14:paraId="43EF0E3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项目编号：QH2025-GK-102</w:t>
      </w:r>
    </w:p>
    <w:p w14:paraId="2CD6ED7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项目名称：柞水县2025年中央财政森林修复项目（第二批）</w:t>
      </w:r>
    </w:p>
    <w:p w14:paraId="305E9D3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采购方式：公开招标</w:t>
      </w:r>
    </w:p>
    <w:p w14:paraId="3D84D7F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预算金额：3,850,000.00元</w:t>
      </w:r>
    </w:p>
    <w:p w14:paraId="0E6DB94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采购需求：</w:t>
      </w:r>
    </w:p>
    <w:p w14:paraId="4A46275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合同包1(一标段):</w:t>
      </w:r>
    </w:p>
    <w:p w14:paraId="603B89A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合同包预算金额：561,050.00元</w:t>
      </w:r>
    </w:p>
    <w:p w14:paraId="567B4E9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合同包最高限价：561,050.00元</w:t>
      </w:r>
    </w:p>
    <w:tbl>
      <w:tblPr>
        <w:tblStyle w:val="2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780"/>
        <w:gridCol w:w="3780"/>
        <w:gridCol w:w="722"/>
        <w:gridCol w:w="1216"/>
        <w:gridCol w:w="1441"/>
      </w:tblGrid>
      <w:tr w14:paraId="0F47FA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AA6D7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1EF75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0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880FD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977BE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7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C589B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4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FC1BD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1A60E2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2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C40FF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0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3E2E0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林木抚育管理服务</w:t>
            </w:r>
          </w:p>
        </w:tc>
        <w:tc>
          <w:tcPr>
            <w:tcW w:w="20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74E2B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一标段（作业区1、2、3、4、6、7、小班，抚育方式为综合抚育疏伐+补植+割灌）</w:t>
            </w:r>
          </w:p>
        </w:tc>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424DB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1,603(亩)</w:t>
            </w:r>
          </w:p>
        </w:tc>
        <w:tc>
          <w:tcPr>
            <w:tcW w:w="7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0DD15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4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7D8132">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561,050.00</w:t>
            </w:r>
          </w:p>
        </w:tc>
      </w:tr>
    </w:tbl>
    <w:p w14:paraId="3DA5723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14:paraId="0AA8611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合同履行期限：详见招标文件</w:t>
      </w:r>
    </w:p>
    <w:p w14:paraId="7EDA878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合同包2(二标段):</w:t>
      </w:r>
    </w:p>
    <w:p w14:paraId="1775A1E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合同包预算金额：620,900.00元</w:t>
      </w:r>
    </w:p>
    <w:p w14:paraId="5BBFBAC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合同包最高限价：620,900.00元</w:t>
      </w:r>
    </w:p>
    <w:tbl>
      <w:tblPr>
        <w:tblStyle w:val="2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690"/>
        <w:gridCol w:w="3913"/>
        <w:gridCol w:w="722"/>
        <w:gridCol w:w="1173"/>
        <w:gridCol w:w="1441"/>
      </w:tblGrid>
      <w:tr w14:paraId="130F0F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33505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FE521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1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243699">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3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4424D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6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B5047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4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6453C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681661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2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97D99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10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C9C58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林木抚育管理服务</w:t>
            </w:r>
          </w:p>
        </w:tc>
        <w:tc>
          <w:tcPr>
            <w:tcW w:w="21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7BD3E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二标段（作业区5、8、9、10、11、12、16小班，抚育方式为综合抚育疏伐+补植+割灌）</w:t>
            </w:r>
          </w:p>
        </w:tc>
        <w:tc>
          <w:tcPr>
            <w:tcW w:w="3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A1988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1,774(亩)</w:t>
            </w:r>
          </w:p>
        </w:tc>
        <w:tc>
          <w:tcPr>
            <w:tcW w:w="6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34D9D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4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121E0A">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620,900.00</w:t>
            </w:r>
          </w:p>
        </w:tc>
      </w:tr>
    </w:tbl>
    <w:p w14:paraId="313726D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14:paraId="62F4DA7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合同履行期限：详见招标文件</w:t>
      </w:r>
    </w:p>
    <w:p w14:paraId="7FBA3AE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合同包3(三标段):</w:t>
      </w:r>
    </w:p>
    <w:p w14:paraId="67E2D8E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合同包预算金额：606,550.00元</w:t>
      </w:r>
    </w:p>
    <w:p w14:paraId="1B7EE96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合同包最高限价：606,550.00元</w:t>
      </w:r>
    </w:p>
    <w:tbl>
      <w:tblPr>
        <w:tblStyle w:val="2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645"/>
        <w:gridCol w:w="3981"/>
        <w:gridCol w:w="722"/>
        <w:gridCol w:w="1150"/>
        <w:gridCol w:w="1441"/>
      </w:tblGrid>
      <w:tr w14:paraId="118C33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C3CB8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4B5F3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1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D6B55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3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CBC1D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6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B5683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4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DDCF7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211D7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2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2A292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9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F4D85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林木抚育管理服务</w:t>
            </w:r>
          </w:p>
        </w:tc>
        <w:tc>
          <w:tcPr>
            <w:tcW w:w="21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58124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三标段（作业区13、14、15、17、18、19、20小班，抚育方式为综合抚育疏伐+补植+割灌）</w:t>
            </w:r>
          </w:p>
        </w:tc>
        <w:tc>
          <w:tcPr>
            <w:tcW w:w="3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99A93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1,733(亩)</w:t>
            </w:r>
          </w:p>
        </w:tc>
        <w:tc>
          <w:tcPr>
            <w:tcW w:w="6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7CFE3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4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CB9952">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606,550.00</w:t>
            </w:r>
          </w:p>
        </w:tc>
      </w:tr>
    </w:tbl>
    <w:p w14:paraId="67D6A03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14:paraId="12C2861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合同履行期限：详见招标文件</w:t>
      </w:r>
    </w:p>
    <w:p w14:paraId="3280A4F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合同包4(四标段):</w:t>
      </w:r>
    </w:p>
    <w:p w14:paraId="725C19C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合同包预算金额：565,600.00元</w:t>
      </w:r>
    </w:p>
    <w:p w14:paraId="5655FD4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合同包最高限价：565,600.00元</w:t>
      </w:r>
    </w:p>
    <w:tbl>
      <w:tblPr>
        <w:tblStyle w:val="2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645"/>
        <w:gridCol w:w="3981"/>
        <w:gridCol w:w="722"/>
        <w:gridCol w:w="1150"/>
        <w:gridCol w:w="1441"/>
      </w:tblGrid>
      <w:tr w14:paraId="62B7D4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25393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F41DC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1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AF04B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3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9E59F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6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FE874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4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E1077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4F2F0F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2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1CA1E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4-1</w:t>
            </w:r>
          </w:p>
        </w:tc>
        <w:tc>
          <w:tcPr>
            <w:tcW w:w="9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FCFD2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林木抚育管理服务</w:t>
            </w:r>
          </w:p>
        </w:tc>
        <w:tc>
          <w:tcPr>
            <w:tcW w:w="21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634A39">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四标段（作业区21、22、23、24、25、26、27小班，抚育方式为综合抚育疏伐+补植+割灌）</w:t>
            </w:r>
          </w:p>
        </w:tc>
        <w:tc>
          <w:tcPr>
            <w:tcW w:w="3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AF02B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1,616(亩)</w:t>
            </w:r>
          </w:p>
        </w:tc>
        <w:tc>
          <w:tcPr>
            <w:tcW w:w="6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C8849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4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380600">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565,600.00</w:t>
            </w:r>
          </w:p>
        </w:tc>
      </w:tr>
    </w:tbl>
    <w:p w14:paraId="529ADC2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14:paraId="247BD1B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合同履行期限：详见招标文件</w:t>
      </w:r>
    </w:p>
    <w:p w14:paraId="2675E15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合同包5(五标段):</w:t>
      </w:r>
    </w:p>
    <w:p w14:paraId="1D06C74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合同包预算金额：631,750.00元</w:t>
      </w:r>
    </w:p>
    <w:p w14:paraId="00DA445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合同包最高限价：631,750.00元</w:t>
      </w:r>
    </w:p>
    <w:tbl>
      <w:tblPr>
        <w:tblStyle w:val="2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645"/>
        <w:gridCol w:w="3981"/>
        <w:gridCol w:w="722"/>
        <w:gridCol w:w="1150"/>
        <w:gridCol w:w="1441"/>
      </w:tblGrid>
      <w:tr w14:paraId="6E50B5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06CE8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6D6B7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1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F5F5E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3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F79DA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6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18DD7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4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BFC64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4A47BA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2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A06CD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5-1</w:t>
            </w:r>
          </w:p>
        </w:tc>
        <w:tc>
          <w:tcPr>
            <w:tcW w:w="9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87D12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林木抚育管理服务</w:t>
            </w:r>
          </w:p>
        </w:tc>
        <w:tc>
          <w:tcPr>
            <w:tcW w:w="21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ECD9D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五标段（作业区28、29、30、31、32、33、34小班，抚育方式为综合抚育疏伐+补植+割灌）</w:t>
            </w:r>
          </w:p>
        </w:tc>
        <w:tc>
          <w:tcPr>
            <w:tcW w:w="3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4B5E1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1,805(亩)</w:t>
            </w:r>
          </w:p>
        </w:tc>
        <w:tc>
          <w:tcPr>
            <w:tcW w:w="6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D9824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4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CC1AF3">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631,750.00</w:t>
            </w:r>
          </w:p>
        </w:tc>
      </w:tr>
    </w:tbl>
    <w:p w14:paraId="6BE4223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14:paraId="7B9A09F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合同履行期限：详见招标文件</w:t>
      </w:r>
    </w:p>
    <w:p w14:paraId="419A3DB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合同包6(六标段):</w:t>
      </w:r>
    </w:p>
    <w:p w14:paraId="546B970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合同包预算金额：557,550.00元</w:t>
      </w:r>
    </w:p>
    <w:p w14:paraId="0B30523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合同包最高限价：557,550.00元</w:t>
      </w:r>
    </w:p>
    <w:tbl>
      <w:tblPr>
        <w:tblStyle w:val="2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530"/>
        <w:gridCol w:w="4149"/>
        <w:gridCol w:w="722"/>
        <w:gridCol w:w="1097"/>
        <w:gridCol w:w="1441"/>
      </w:tblGrid>
      <w:tr w14:paraId="7A53DB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A4348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9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897B6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2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16EF7C">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3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9C48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6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9781A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4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F889F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71A236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2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C80F6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6-1</w:t>
            </w:r>
          </w:p>
        </w:tc>
        <w:tc>
          <w:tcPr>
            <w:tcW w:w="9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FF487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林木抚育管理服务</w:t>
            </w:r>
          </w:p>
        </w:tc>
        <w:tc>
          <w:tcPr>
            <w:tcW w:w="22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79AB3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六标段（作业区35、36、37、38、44、45、46、47、48小班，抚育方式为综合抚育疏伐+补植+割灌）</w:t>
            </w:r>
          </w:p>
        </w:tc>
        <w:tc>
          <w:tcPr>
            <w:tcW w:w="3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53BE10">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1,593(亩)</w:t>
            </w:r>
          </w:p>
        </w:tc>
        <w:tc>
          <w:tcPr>
            <w:tcW w:w="6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47F1A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4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78E3E1">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557,550.00</w:t>
            </w:r>
          </w:p>
        </w:tc>
      </w:tr>
    </w:tbl>
    <w:p w14:paraId="424B84E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14:paraId="2B9CD1E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合同履行期限：详见招标文件</w:t>
      </w:r>
    </w:p>
    <w:p w14:paraId="2765819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合同包7(七标段):</w:t>
      </w:r>
    </w:p>
    <w:p w14:paraId="4189A0F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合同包预算金额：306,600.00元</w:t>
      </w:r>
    </w:p>
    <w:p w14:paraId="1382A80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合同包最高限价：306,600.00元</w:t>
      </w:r>
    </w:p>
    <w:tbl>
      <w:tblPr>
        <w:tblStyle w:val="27"/>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705"/>
        <w:gridCol w:w="3890"/>
        <w:gridCol w:w="722"/>
        <w:gridCol w:w="1179"/>
        <w:gridCol w:w="1441"/>
      </w:tblGrid>
      <w:tr w14:paraId="24E77F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2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B8DA8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0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0FAAD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1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DBD28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3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87220F">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7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35C38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4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3BB58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6774E1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34225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7-1</w:t>
            </w:r>
          </w:p>
        </w:tc>
        <w:tc>
          <w:tcPr>
            <w:tcW w:w="10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9AAFC5">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林木抚育管理服务</w:t>
            </w:r>
          </w:p>
        </w:tc>
        <w:tc>
          <w:tcPr>
            <w:tcW w:w="21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C9FC9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七标段（银碗作业区39、40、41、42、43小班，抚育方式为综合抚育疏伐+补植+割灌）</w:t>
            </w:r>
          </w:p>
        </w:tc>
        <w:tc>
          <w:tcPr>
            <w:tcW w:w="3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4C1CC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876(亩)</w:t>
            </w:r>
          </w:p>
        </w:tc>
        <w:tc>
          <w:tcPr>
            <w:tcW w:w="7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2EE6D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47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336F27">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306,600.00</w:t>
            </w:r>
          </w:p>
        </w:tc>
      </w:tr>
    </w:tbl>
    <w:p w14:paraId="1E0F903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14:paraId="2153016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合同履行期限：详见招标文件</w:t>
      </w:r>
    </w:p>
    <w:p w14:paraId="23AFEF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auto"/>
          <w:spacing w:val="0"/>
          <w:sz w:val="24"/>
          <w:szCs w:val="24"/>
          <w:shd w:val="clear" w:fill="FFFFFF"/>
        </w:rPr>
      </w:pPr>
      <w:r>
        <w:rPr>
          <w:rStyle w:val="30"/>
          <w:rFonts w:hint="eastAsia" w:ascii="宋体" w:hAnsi="宋体" w:eastAsia="宋体" w:cs="宋体"/>
          <w:b/>
          <w:bCs/>
          <w:i w:val="0"/>
          <w:iCs w:val="0"/>
          <w:caps w:val="0"/>
          <w:color w:val="auto"/>
          <w:spacing w:val="0"/>
          <w:sz w:val="24"/>
          <w:szCs w:val="24"/>
          <w:shd w:val="clear" w:fill="FFFFFF"/>
        </w:rPr>
        <w:t>二、申请人的资格要求：</w:t>
      </w:r>
    </w:p>
    <w:p w14:paraId="5C8244D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14:paraId="66B167F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34BD506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合同包1(一标段)落实政府采购政策需满足的资格要求如下:</w:t>
      </w:r>
    </w:p>
    <w:p w14:paraId="7ED803D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14:paraId="7F9AEBF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14:paraId="0385FF7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（3）《关于促进残疾人就业政府采购政策的通知》（财库〔2017〕141号）；</w:t>
      </w:r>
    </w:p>
    <w:p w14:paraId="0093126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14:paraId="58C9AF5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14:paraId="51DA160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（6）《国务院办公厅关于建立政府强制采购节能产品制度的通知》（国办发〔2007〕51号）；</w:t>
      </w:r>
    </w:p>
    <w:p w14:paraId="3DA114C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（7）财政部发展改革委生态环境部市场监管总局关于调整优化节能产品、环境标志产品政府采购执行机制的通知（财库〔2019〕9号）；</w:t>
      </w:r>
    </w:p>
    <w:p w14:paraId="155FF03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（8）《关于印发环境标志产品政府采购品目清单的通知》--（财库〔2019〕18号）；</w:t>
      </w:r>
    </w:p>
    <w:p w14:paraId="08556D4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（9）《关于印发节能产品政府采购品目清单的通知》--（财库〔2019〕19号）；</w:t>
      </w:r>
    </w:p>
    <w:p w14:paraId="618FED7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（10）《关于发布参与实施政府采购节能产品、环境标志产品认证机构名录的公告》—2019年第16号；</w:t>
      </w:r>
    </w:p>
    <w:p w14:paraId="7F796FF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（11）《关于运用政府采购政策支持乡村产业振兴的通知》（财库〔2021〕19号）；</w:t>
      </w:r>
    </w:p>
    <w:p w14:paraId="08213B3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（12）陕西省财政厅关于印发《陕西省中小企业政府采购信用融资办法》（陕财办采〔2018〕23号），相关政策、业务流程、办理平台（详见http://www.ccgp-shaanxi.gov.cn/zcdservice/zcd/shanxi/）；</w:t>
      </w:r>
    </w:p>
    <w:p w14:paraId="1114C0B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（13）《陕西省财政厅关于加快推进我省中小企业政府采购信用融资工作的通知》（陕财办采〔2020〕15号）；</w:t>
      </w:r>
    </w:p>
    <w:p w14:paraId="38F8B50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（14）《关于进一步加强政府绿色采购有关问题的通知》（陕财办采〔2021〕29号）</w:t>
      </w:r>
    </w:p>
    <w:p w14:paraId="2E282A7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（15）《陕西省财政厅陕西省工业和信息化厅关于运用政府采购政策支持首台（套）及创新产品有关事项的通知》（陕财办采〔2021〕17号）；</w:t>
      </w:r>
    </w:p>
    <w:p w14:paraId="208C11F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（16）《关于进一步加大政府采购支持中小企业力度的通知》（财库〔2022〕19号）、《关于落实政府采购支持中小企业政策有关事项的通知》（陕财办采函〔2022〕10号）；</w:t>
      </w:r>
    </w:p>
    <w:p w14:paraId="752626B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（17）其他需要落实的政府采购政策。</w:t>
      </w:r>
    </w:p>
    <w:p w14:paraId="2843FC4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合同包2(二标段)落实政府采购政策需满足的资格要求如下:</w:t>
      </w:r>
    </w:p>
    <w:p w14:paraId="1F5FCFE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67BCA09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合同包3(三标段)落实政府采购政策需满足的资格要求如下:</w:t>
      </w:r>
    </w:p>
    <w:p w14:paraId="06D1690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42C9244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合同包4(四标段)落实政府采购政策需满足的资格要求如下:</w:t>
      </w:r>
    </w:p>
    <w:p w14:paraId="30273EA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11CF400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合同包5(五标段)落实政府采购政策需满足的资格要求如下:</w:t>
      </w:r>
    </w:p>
    <w:p w14:paraId="3EA2358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0DAA3F8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合同包6(六标段)落实政府采购政策需满足的资格要求如下:</w:t>
      </w:r>
    </w:p>
    <w:p w14:paraId="0DBE856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44B3B53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合同包7(七标段)落实政府采购政策需满足的资格要求如下:</w:t>
      </w:r>
    </w:p>
    <w:p w14:paraId="26606D6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751B8E8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3.本项目的特定资格要求：</w:t>
      </w:r>
    </w:p>
    <w:p w14:paraId="2378A94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合同包1(一标段)特定资格要求如下:</w:t>
      </w:r>
    </w:p>
    <w:p w14:paraId="66C5B34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（1）提供合格有效的法人或者其他组织的营业执照等证明文件，自然人的身份证明；</w:t>
      </w:r>
    </w:p>
    <w:p w14:paraId="1702134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（2）提供法定代表人授权书（附法定代表人、被授权人身份证复印件，法定代表人直接参加投标，须提供法定代表人身份证明及身份证复印件）；</w:t>
      </w:r>
    </w:p>
    <w:p w14:paraId="7AA29D2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（3）提供2024年度的财务审计报告（成立时间至提交投标文件截止时间不足一年的可提供成立后任意时段的资产负债表）或开标时间前六个月内银行出具的资信证明；</w:t>
      </w:r>
    </w:p>
    <w:p w14:paraId="44CD188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（4）税收缴纳证明：提供投标截止日前近一年内任意一个月的纳税证明或完税证明（任意税种），依法免税的单位应提供相关证明材料；</w:t>
      </w:r>
    </w:p>
    <w:p w14:paraId="3076326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（5）社会保障资金缴纳证明：提供投标截止日前近一年内任意一个月的社会保障资金缴存单据或社保机构开具的社会保险参保缴费情况证明，依法不需要缴纳社会保障资金的单位应提供相关证明材料；</w:t>
      </w:r>
    </w:p>
    <w:p w14:paraId="2E3FFA8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（6）提供具有履行本合同所必需的设备和专业技术能力的说明及承诺书；</w:t>
      </w:r>
    </w:p>
    <w:p w14:paraId="58609C7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（7）供应商通过“信用中国”网站(www.creditchina.gov.cn)、中国政府采购网(www.ccgp.gov.cn)等查询相关主体信用记录；</w:t>
      </w:r>
    </w:p>
    <w:p w14:paraId="47FC062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（8）参加政府采购活动前3年内，在经营活动中没有重大违法记录的书面声明；</w:t>
      </w:r>
    </w:p>
    <w:p w14:paraId="613DE8A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（9）提供中小企业声明函（供应商须为小型或微型企业）；</w:t>
      </w:r>
    </w:p>
    <w:p w14:paraId="4D08FBB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（10）本项目不接受联合体投标（提供承诺书）。</w:t>
      </w:r>
    </w:p>
    <w:p w14:paraId="09EEF58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合同包2(二标段)特定资格要求如下:</w:t>
      </w:r>
    </w:p>
    <w:p w14:paraId="763B76E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5B23701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合同包3(三标段)特定资格要求如下:</w:t>
      </w:r>
    </w:p>
    <w:p w14:paraId="1BAF77F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1F31FEF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合同包4(四标段)特定资格要求如下:</w:t>
      </w:r>
    </w:p>
    <w:p w14:paraId="0530095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4609F38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合同包5(五标段)特定资格要求如下:</w:t>
      </w:r>
    </w:p>
    <w:p w14:paraId="042D7A1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51FE7AB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合同包6(六标段)特定资格要求如下:</w:t>
      </w:r>
    </w:p>
    <w:p w14:paraId="7A10C3C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20D5CB5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合同包7(七标段)特定资格要求如下:</w:t>
      </w:r>
    </w:p>
    <w:p w14:paraId="37266B2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同合同包1。</w:t>
      </w:r>
    </w:p>
    <w:p w14:paraId="57957B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auto"/>
          <w:spacing w:val="0"/>
          <w:sz w:val="24"/>
          <w:szCs w:val="24"/>
          <w:shd w:val="clear" w:fill="FFFFFF"/>
        </w:rPr>
      </w:pPr>
      <w:r>
        <w:rPr>
          <w:rStyle w:val="30"/>
          <w:rFonts w:hint="eastAsia" w:ascii="宋体" w:hAnsi="宋体" w:eastAsia="宋体" w:cs="宋体"/>
          <w:b/>
          <w:bCs/>
          <w:i w:val="0"/>
          <w:iCs w:val="0"/>
          <w:caps w:val="0"/>
          <w:color w:val="auto"/>
          <w:spacing w:val="0"/>
          <w:sz w:val="24"/>
          <w:szCs w:val="24"/>
          <w:shd w:val="clear" w:fill="FFFFFF"/>
        </w:rPr>
        <w:t>三、获取招标文件</w:t>
      </w:r>
    </w:p>
    <w:p w14:paraId="51881FF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时间：2025年11月13日至2025年11月19日，每天上午09:00:00至12:00:00，下午14:00:00至17:00:00（北京时间）</w:t>
      </w:r>
    </w:p>
    <w:p w14:paraId="22EF5A0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途径：sxqhxmglyxgs@163.com</w:t>
      </w:r>
    </w:p>
    <w:p w14:paraId="6CE81BE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方式：在线获取</w:t>
      </w:r>
    </w:p>
    <w:p w14:paraId="1AB8F64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售价：0元</w:t>
      </w:r>
    </w:p>
    <w:p w14:paraId="02670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auto"/>
          <w:spacing w:val="0"/>
          <w:sz w:val="24"/>
          <w:szCs w:val="24"/>
          <w:shd w:val="clear" w:fill="FFFFFF"/>
        </w:rPr>
      </w:pPr>
      <w:r>
        <w:rPr>
          <w:rStyle w:val="30"/>
          <w:rFonts w:hint="eastAsia" w:ascii="宋体" w:hAnsi="宋体" w:eastAsia="宋体" w:cs="宋体"/>
          <w:b/>
          <w:bCs/>
          <w:i w:val="0"/>
          <w:iCs w:val="0"/>
          <w:caps w:val="0"/>
          <w:color w:val="auto"/>
          <w:spacing w:val="0"/>
          <w:sz w:val="24"/>
          <w:szCs w:val="24"/>
          <w:shd w:val="clear" w:fill="FFFFFF"/>
        </w:rPr>
        <w:t>四、提交投标文件截止时间、开标时间和地点</w:t>
      </w:r>
    </w:p>
    <w:p w14:paraId="7CF117D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时间：2025年12月03日14时00分00秒（北京时间）</w:t>
      </w:r>
    </w:p>
    <w:p w14:paraId="7DD00E1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提交投标文件地点：西安市碑林区南二环西段华融国际商务大厦A座21层D室</w:t>
      </w:r>
    </w:p>
    <w:p w14:paraId="766DAAE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开标地点：西安市碑林区南二环西段华融国际商务大厦A座21层D室</w:t>
      </w:r>
    </w:p>
    <w:p w14:paraId="4905D0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auto"/>
          <w:spacing w:val="0"/>
          <w:sz w:val="24"/>
          <w:szCs w:val="24"/>
          <w:shd w:val="clear" w:fill="FFFFFF"/>
        </w:rPr>
      </w:pPr>
      <w:r>
        <w:rPr>
          <w:rStyle w:val="30"/>
          <w:rFonts w:hint="eastAsia" w:ascii="宋体" w:hAnsi="宋体" w:eastAsia="宋体" w:cs="宋体"/>
          <w:b/>
          <w:bCs/>
          <w:i w:val="0"/>
          <w:iCs w:val="0"/>
          <w:caps w:val="0"/>
          <w:color w:val="auto"/>
          <w:spacing w:val="0"/>
          <w:sz w:val="24"/>
          <w:szCs w:val="24"/>
          <w:shd w:val="clear" w:fill="FFFFFF"/>
        </w:rPr>
        <w:t>五、公告期限</w:t>
      </w:r>
    </w:p>
    <w:p w14:paraId="466BA21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自本公告发布之日起5个工作日。</w:t>
      </w:r>
    </w:p>
    <w:p w14:paraId="3135E0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auto"/>
          <w:spacing w:val="0"/>
          <w:sz w:val="24"/>
          <w:szCs w:val="24"/>
          <w:shd w:val="clear" w:fill="FFFFFF"/>
        </w:rPr>
      </w:pPr>
      <w:r>
        <w:rPr>
          <w:rStyle w:val="30"/>
          <w:rFonts w:hint="eastAsia" w:ascii="宋体" w:hAnsi="宋体" w:eastAsia="宋体" w:cs="宋体"/>
          <w:b/>
          <w:bCs/>
          <w:i w:val="0"/>
          <w:iCs w:val="0"/>
          <w:caps w:val="0"/>
          <w:color w:val="auto"/>
          <w:spacing w:val="0"/>
          <w:sz w:val="24"/>
          <w:szCs w:val="24"/>
          <w:shd w:val="clear" w:fill="FFFFFF"/>
        </w:rPr>
        <w:t>六、其他补充事宜</w:t>
      </w:r>
    </w:p>
    <w:p w14:paraId="44E79CA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（1）供应商领取招标文件时，请将报名表（公告附件中下载）填写后、单位介绍信及经办人身份证复印件加盖公章扫描为一个PDF文件后发送至sxqhxmglyxgs@163.com；</w:t>
      </w:r>
    </w:p>
    <w:p w14:paraId="17082A9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（2）请供应商按照《陕西省财政厅关于政府采购供应商注册登记有关事项的通知》中的要求，通过陕西省政府采购网（http://www.ccgp-shaanxi.gov.cn/）注册登记加入陕西省政府采购供应商库；</w:t>
      </w:r>
    </w:p>
    <w:p w14:paraId="237EB4E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（3）本项目为专门面向小微企业采购；</w:t>
      </w:r>
    </w:p>
    <w:p w14:paraId="704046B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（4）本项目允许供应商对多个标段同时投标，但只允许中一个标段。</w:t>
      </w:r>
    </w:p>
    <w:p w14:paraId="2274B75E">
      <w:pPr>
        <w:rPr>
          <w:rStyle w:val="30"/>
          <w:rFonts w:hint="eastAsia" w:ascii="宋体" w:hAnsi="宋体" w:eastAsia="宋体" w:cs="宋体"/>
          <w:b/>
          <w:bCs/>
          <w:i w:val="0"/>
          <w:iCs w:val="0"/>
          <w:caps w:val="0"/>
          <w:color w:val="auto"/>
          <w:spacing w:val="0"/>
          <w:sz w:val="24"/>
          <w:szCs w:val="24"/>
          <w:shd w:val="clear" w:fill="FFFFFF"/>
        </w:rPr>
      </w:pPr>
      <w:r>
        <w:rPr>
          <w:rStyle w:val="30"/>
          <w:rFonts w:hint="eastAsia" w:ascii="宋体" w:hAnsi="宋体" w:eastAsia="宋体" w:cs="宋体"/>
          <w:b/>
          <w:bCs/>
          <w:i w:val="0"/>
          <w:iCs w:val="0"/>
          <w:caps w:val="0"/>
          <w:color w:val="auto"/>
          <w:spacing w:val="0"/>
          <w:sz w:val="24"/>
          <w:szCs w:val="24"/>
          <w:shd w:val="clear" w:fill="FFFFFF"/>
        </w:rPr>
        <w:br w:type="page"/>
      </w:r>
    </w:p>
    <w:p w14:paraId="193453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30"/>
          <w:rFonts w:hint="eastAsia" w:ascii="宋体" w:hAnsi="宋体" w:eastAsia="宋体" w:cs="宋体"/>
          <w:b/>
          <w:bCs/>
          <w:i w:val="0"/>
          <w:iCs w:val="0"/>
          <w:caps w:val="0"/>
          <w:color w:val="auto"/>
          <w:spacing w:val="0"/>
          <w:sz w:val="24"/>
          <w:szCs w:val="24"/>
          <w:shd w:val="clear" w:fill="FFFFFF"/>
        </w:rPr>
      </w:pPr>
      <w:r>
        <w:rPr>
          <w:rStyle w:val="30"/>
          <w:rFonts w:hint="eastAsia" w:ascii="宋体" w:hAnsi="宋体" w:eastAsia="宋体" w:cs="宋体"/>
          <w:b/>
          <w:bCs/>
          <w:i w:val="0"/>
          <w:iCs w:val="0"/>
          <w:caps w:val="0"/>
          <w:color w:val="auto"/>
          <w:spacing w:val="0"/>
          <w:sz w:val="24"/>
          <w:szCs w:val="24"/>
          <w:shd w:val="clear" w:fill="FFFFFF"/>
        </w:rPr>
        <w:t>七、对本次招标提出询问，请按以下方式联系。</w:t>
      </w:r>
    </w:p>
    <w:p w14:paraId="569F5D2E">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1.采购人信息</w:t>
      </w:r>
    </w:p>
    <w:p w14:paraId="670100E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名称：柞水县凤凰国有林场</w:t>
      </w:r>
    </w:p>
    <w:p w14:paraId="3C17613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地址：柞水县凤凰镇凤镇社区</w:t>
      </w:r>
    </w:p>
    <w:p w14:paraId="55E796D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联系方式：15191698134</w:t>
      </w:r>
    </w:p>
    <w:p w14:paraId="5FC3A48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2.采购代理机构信息</w:t>
      </w:r>
    </w:p>
    <w:p w14:paraId="73C8EE5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名称：陕西启航项目管理咨询有限公司</w:t>
      </w:r>
    </w:p>
    <w:p w14:paraId="7274296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地址：陕西省西安市雁塔区高新路25号瑞欣大厦6楼B户</w:t>
      </w:r>
    </w:p>
    <w:p w14:paraId="3A5AB77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联系方式：029-89182979</w:t>
      </w:r>
    </w:p>
    <w:p w14:paraId="775AD1B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3.项目联系方式</w:t>
      </w:r>
    </w:p>
    <w:p w14:paraId="753EAED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项目联系人：高俊峰、杨思佳、尹紫涵</w:t>
      </w:r>
    </w:p>
    <w:p w14:paraId="5CA6E2A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电话：029-89182979</w:t>
      </w:r>
    </w:p>
    <w:p w14:paraId="227889E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lang w:val="en-US" w:eastAsia="zh-CN"/>
        </w:rPr>
      </w:pPr>
    </w:p>
    <w:p w14:paraId="259BA94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陕西启航项目管理咨询有限公司</w:t>
      </w:r>
    </w:p>
    <w:p w14:paraId="0061870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2025年11月</w:t>
      </w:r>
      <w:r>
        <w:rPr>
          <w:rFonts w:hint="eastAsia" w:ascii="宋体" w:hAnsi="宋体" w:cs="宋体"/>
          <w:i w:val="0"/>
          <w:iCs w:val="0"/>
          <w:caps w:val="0"/>
          <w:color w:val="auto"/>
          <w:spacing w:val="0"/>
          <w:sz w:val="24"/>
          <w:szCs w:val="24"/>
          <w:shd w:val="clear" w:fill="FFFFFF"/>
          <w:lang w:val="en-US" w:eastAsia="zh-CN"/>
        </w:rPr>
        <w:t>12</w:t>
      </w:r>
      <w:r>
        <w:rPr>
          <w:rFonts w:hint="eastAsia" w:ascii="宋体" w:hAnsi="宋体" w:eastAsia="宋体" w:cs="宋体"/>
          <w:i w:val="0"/>
          <w:iCs w:val="0"/>
          <w:caps w:val="0"/>
          <w:color w:val="auto"/>
          <w:spacing w:val="0"/>
          <w:sz w:val="24"/>
          <w:szCs w:val="24"/>
          <w:shd w:val="clear" w:fill="FFFFFF"/>
          <w:lang w:val="en-US" w:eastAsia="zh-CN"/>
        </w:rPr>
        <w:t>日</w:t>
      </w:r>
    </w:p>
    <w:p w14:paraId="3AEB1073">
      <w:pPr>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br w:type="page"/>
      </w:r>
    </w:p>
    <w:p w14:paraId="6159F2C6">
      <w:pPr>
        <w:pStyle w:val="3"/>
        <w:keepNext w:val="0"/>
        <w:pageBreakBefore/>
        <w:spacing w:line="350" w:lineRule="auto"/>
        <w:jc w:val="center"/>
        <w:rPr>
          <w:rFonts w:asciiTheme="minorEastAsia" w:hAnsiTheme="minorEastAsia" w:eastAsiaTheme="minorEastAsia" w:cstheme="minorEastAsia"/>
          <w:sz w:val="36"/>
          <w:szCs w:val="20"/>
          <w:highlight w:val="none"/>
        </w:rPr>
      </w:pPr>
      <w:bookmarkStart w:id="5" w:name="_Toc24715"/>
      <w:r>
        <w:rPr>
          <w:rFonts w:hint="eastAsia" w:asciiTheme="minorEastAsia" w:hAnsiTheme="minorEastAsia" w:eastAsiaTheme="minorEastAsia" w:cstheme="minorEastAsia"/>
          <w:sz w:val="36"/>
          <w:szCs w:val="20"/>
          <w:highlight w:val="none"/>
        </w:rPr>
        <w:t>第二章  投标人须知</w:t>
      </w:r>
      <w:bookmarkEnd w:id="3"/>
      <w:bookmarkEnd w:id="4"/>
      <w:bookmarkEnd w:id="5"/>
    </w:p>
    <w:p w14:paraId="680282EA">
      <w:pPr>
        <w:spacing w:line="360" w:lineRule="auto"/>
        <w:jc w:val="center"/>
        <w:outlineLvl w:val="1"/>
        <w:rPr>
          <w:rFonts w:asciiTheme="minorEastAsia" w:hAnsiTheme="minorEastAsia" w:eastAsiaTheme="minorEastAsia" w:cstheme="minorEastAsia"/>
          <w:b/>
          <w:bCs/>
          <w:sz w:val="28"/>
          <w:szCs w:val="28"/>
          <w:highlight w:val="none"/>
        </w:rPr>
      </w:pPr>
      <w:bookmarkStart w:id="6" w:name="_Toc420591642"/>
      <w:bookmarkStart w:id="7" w:name="_Toc421778364"/>
      <w:bookmarkStart w:id="8" w:name="_Toc23536"/>
      <w:bookmarkStart w:id="9" w:name="_Toc19675"/>
      <w:r>
        <w:rPr>
          <w:rFonts w:hint="eastAsia" w:asciiTheme="minorEastAsia" w:hAnsiTheme="minorEastAsia" w:eastAsiaTheme="minorEastAsia" w:cstheme="minorEastAsia"/>
          <w:b/>
          <w:bCs/>
          <w:sz w:val="28"/>
          <w:szCs w:val="28"/>
          <w:highlight w:val="none"/>
        </w:rPr>
        <w:t>投标人须知前附表</w:t>
      </w:r>
      <w:bookmarkEnd w:id="6"/>
      <w:bookmarkEnd w:id="7"/>
      <w:bookmarkEnd w:id="8"/>
      <w:bookmarkEnd w:id="9"/>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2053"/>
        <w:gridCol w:w="6319"/>
      </w:tblGrid>
      <w:tr w14:paraId="11FDF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6387364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1091" w:type="pct"/>
            <w:vAlign w:val="center"/>
          </w:tcPr>
          <w:p w14:paraId="3CE9F0D6">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条款名称</w:t>
            </w:r>
          </w:p>
        </w:tc>
        <w:tc>
          <w:tcPr>
            <w:tcW w:w="3361" w:type="pct"/>
            <w:vAlign w:val="center"/>
          </w:tcPr>
          <w:p w14:paraId="6103602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编列内容</w:t>
            </w:r>
          </w:p>
        </w:tc>
      </w:tr>
      <w:tr w14:paraId="69A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18C576C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1.1.2</w:t>
            </w:r>
          </w:p>
        </w:tc>
        <w:tc>
          <w:tcPr>
            <w:tcW w:w="1091" w:type="pct"/>
            <w:vAlign w:val="center"/>
          </w:tcPr>
          <w:p w14:paraId="2BCE6EA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招标人</w:t>
            </w:r>
          </w:p>
        </w:tc>
        <w:tc>
          <w:tcPr>
            <w:tcW w:w="3361" w:type="pct"/>
            <w:vAlign w:val="center"/>
          </w:tcPr>
          <w:p w14:paraId="6D8069F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招标人：</w:t>
            </w:r>
            <w:r>
              <w:rPr>
                <w:rFonts w:hint="eastAsia" w:ascii="宋体" w:hAnsi="宋体" w:cs="宋体"/>
                <w:sz w:val="24"/>
                <w:szCs w:val="24"/>
                <w:highlight w:val="none"/>
                <w:lang w:eastAsia="zh-CN"/>
              </w:rPr>
              <w:t>柞水县凤凰国有林场</w:t>
            </w:r>
          </w:p>
          <w:p w14:paraId="2381AA21">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cs="宋体"/>
                <w:sz w:val="24"/>
                <w:szCs w:val="24"/>
                <w:highlight w:val="none"/>
                <w:lang w:eastAsia="zh-CN"/>
              </w:rPr>
              <w:t>柞水县凤凰镇凤镇社区</w:t>
            </w:r>
          </w:p>
        </w:tc>
      </w:tr>
      <w:tr w14:paraId="73BC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389F69D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1.1.3</w:t>
            </w:r>
          </w:p>
        </w:tc>
        <w:tc>
          <w:tcPr>
            <w:tcW w:w="1091" w:type="pct"/>
            <w:vAlign w:val="center"/>
          </w:tcPr>
          <w:p w14:paraId="7D57943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招标代理机构</w:t>
            </w:r>
          </w:p>
        </w:tc>
        <w:tc>
          <w:tcPr>
            <w:tcW w:w="3361" w:type="pct"/>
            <w:vAlign w:val="center"/>
          </w:tcPr>
          <w:p w14:paraId="1FDBDA4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r>
              <w:rPr>
                <w:rFonts w:hint="eastAsia" w:ascii="宋体" w:hAnsi="宋体" w:eastAsia="宋体" w:cs="宋体"/>
                <w:kern w:val="0"/>
                <w:sz w:val="24"/>
                <w:szCs w:val="24"/>
                <w:highlight w:val="none"/>
                <w:lang w:eastAsia="zh-CN"/>
              </w:rPr>
              <w:t>陕西启航项目管理咨询有限公司</w:t>
            </w:r>
            <w:r>
              <w:rPr>
                <w:rFonts w:hint="eastAsia" w:ascii="宋体" w:hAnsi="宋体" w:eastAsia="宋体" w:cs="宋体"/>
                <w:kern w:val="0"/>
                <w:sz w:val="24"/>
                <w:szCs w:val="24"/>
                <w:highlight w:val="none"/>
              </w:rPr>
              <w:t xml:space="preserve"> </w:t>
            </w:r>
          </w:p>
          <w:p w14:paraId="67B588A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lang w:eastAsia="zh-CN"/>
              </w:rPr>
              <w:t>陕西省西安市雁塔区高新路25号瑞欣大厦6楼B户</w:t>
            </w:r>
          </w:p>
          <w:p w14:paraId="69E04F4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eastAsia="zh-CN"/>
              </w:rPr>
              <w:t>高俊峰、杨思佳、尹紫涵</w:t>
            </w:r>
          </w:p>
          <w:p w14:paraId="7597A70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i w:val="0"/>
                <w:iCs w:val="0"/>
                <w:caps w:val="0"/>
                <w:color w:val="333333"/>
                <w:spacing w:val="0"/>
                <w:sz w:val="24"/>
                <w:szCs w:val="24"/>
                <w:shd w:val="clear" w:fill="FFFFFF"/>
                <w:vertAlign w:val="baseline"/>
              </w:rPr>
              <w:t>029-89182979</w:t>
            </w:r>
          </w:p>
        </w:tc>
      </w:tr>
      <w:tr w14:paraId="21BF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50D4267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1.1.5</w:t>
            </w:r>
          </w:p>
        </w:tc>
        <w:tc>
          <w:tcPr>
            <w:tcW w:w="1091" w:type="pct"/>
            <w:vAlign w:val="center"/>
          </w:tcPr>
          <w:p w14:paraId="1525EF5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建设地点</w:t>
            </w:r>
          </w:p>
        </w:tc>
        <w:tc>
          <w:tcPr>
            <w:tcW w:w="3361" w:type="pct"/>
            <w:vAlign w:val="center"/>
          </w:tcPr>
          <w:p w14:paraId="799A901E">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柞水县</w:t>
            </w:r>
          </w:p>
        </w:tc>
      </w:tr>
      <w:tr w14:paraId="7744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4F00F28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091" w:type="pct"/>
            <w:vAlign w:val="center"/>
          </w:tcPr>
          <w:p w14:paraId="416E3D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3361" w:type="pct"/>
            <w:vAlign w:val="center"/>
          </w:tcPr>
          <w:p w14:paraId="16EBA9AE">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林业草原生态保护恢复资金</w:t>
            </w:r>
          </w:p>
        </w:tc>
      </w:tr>
      <w:tr w14:paraId="755A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3586678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1.2.2</w:t>
            </w:r>
          </w:p>
        </w:tc>
        <w:tc>
          <w:tcPr>
            <w:tcW w:w="1091" w:type="pct"/>
            <w:vAlign w:val="center"/>
          </w:tcPr>
          <w:p w14:paraId="73FC73E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资金落实情况</w:t>
            </w:r>
          </w:p>
        </w:tc>
        <w:tc>
          <w:tcPr>
            <w:tcW w:w="3361" w:type="pct"/>
            <w:vAlign w:val="center"/>
          </w:tcPr>
          <w:p w14:paraId="2218524C">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资金已落实到位</w:t>
            </w:r>
          </w:p>
        </w:tc>
      </w:tr>
      <w:tr w14:paraId="5966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0F06DC1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1091" w:type="pct"/>
            <w:vAlign w:val="center"/>
          </w:tcPr>
          <w:p w14:paraId="7A0FA61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招标范围</w:t>
            </w:r>
          </w:p>
        </w:tc>
        <w:tc>
          <w:tcPr>
            <w:tcW w:w="3361" w:type="pct"/>
            <w:vAlign w:val="center"/>
          </w:tcPr>
          <w:p w14:paraId="14307C1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本项目包含的所有施工内容</w:t>
            </w:r>
          </w:p>
        </w:tc>
      </w:tr>
      <w:tr w14:paraId="3C0C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1EF8D9B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1.3.2</w:t>
            </w:r>
          </w:p>
        </w:tc>
        <w:tc>
          <w:tcPr>
            <w:tcW w:w="1091" w:type="pct"/>
            <w:vAlign w:val="center"/>
          </w:tcPr>
          <w:p w14:paraId="1EF27D3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工期</w:t>
            </w:r>
          </w:p>
        </w:tc>
        <w:tc>
          <w:tcPr>
            <w:tcW w:w="3361" w:type="pct"/>
            <w:vAlign w:val="center"/>
          </w:tcPr>
          <w:p w14:paraId="72E245A0">
            <w:pPr>
              <w:spacing w:line="360" w:lineRule="auto"/>
              <w:rPr>
                <w:rFonts w:hint="default"/>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自合同签订之日起</w:t>
            </w:r>
            <w:r>
              <w:rPr>
                <w:rFonts w:hint="eastAsia" w:ascii="宋体" w:hAnsi="宋体" w:cs="宋体"/>
                <w:b/>
                <w:bCs/>
                <w:color w:val="000000" w:themeColor="text1"/>
                <w:sz w:val="24"/>
                <w:szCs w:val="24"/>
                <w:highlight w:val="none"/>
                <w:lang w:val="en-US" w:eastAsia="zh-CN"/>
                <w14:textFill>
                  <w14:solidFill>
                    <w14:schemeClr w14:val="tx1"/>
                  </w14:solidFill>
                </w14:textFill>
              </w:rPr>
              <w:t>90</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日历天内</w:t>
            </w:r>
            <w:r>
              <w:rPr>
                <w:rFonts w:hint="eastAsia" w:ascii="宋体" w:hAnsi="宋体" w:cs="宋体"/>
                <w:b/>
                <w:bCs/>
                <w:color w:val="000000" w:themeColor="text1"/>
                <w:sz w:val="24"/>
                <w:szCs w:val="24"/>
                <w:highlight w:val="none"/>
                <w:lang w:val="en-US" w:eastAsia="zh-CN"/>
                <w14:textFill>
                  <w14:solidFill>
                    <w14:schemeClr w14:val="tx1"/>
                  </w14:solidFill>
                </w14:textFill>
              </w:rPr>
              <w:t>（因天气因素影响工期可顺延）；</w:t>
            </w:r>
          </w:p>
        </w:tc>
      </w:tr>
      <w:tr w14:paraId="51F6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2E42ED0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1.3.3</w:t>
            </w:r>
          </w:p>
        </w:tc>
        <w:tc>
          <w:tcPr>
            <w:tcW w:w="1091" w:type="pct"/>
            <w:vAlign w:val="center"/>
          </w:tcPr>
          <w:p w14:paraId="50C3EDD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3361" w:type="pct"/>
            <w:vAlign w:val="center"/>
          </w:tcPr>
          <w:p w14:paraId="161B3273">
            <w:pPr>
              <w:spacing w:line="360" w:lineRule="auto"/>
              <w:rPr>
                <w:rFonts w:hint="eastAsia" w:ascii="宋体" w:hAnsi="宋体" w:eastAsia="宋体" w:cs="宋体"/>
                <w:sz w:val="24"/>
                <w:szCs w:val="24"/>
                <w:highlight w:val="none"/>
              </w:rPr>
            </w:pPr>
            <w:bookmarkStart w:id="10" w:name="OLE_LINK18"/>
            <w:bookmarkStart w:id="11" w:name="OLE_LINK34"/>
            <w:r>
              <w:rPr>
                <w:rFonts w:hint="eastAsia" w:ascii="宋体" w:hAnsi="宋体" w:eastAsia="宋体" w:cs="宋体"/>
                <w:kern w:val="0"/>
                <w:sz w:val="24"/>
                <w:szCs w:val="24"/>
                <w:highlight w:val="none"/>
              </w:rPr>
              <w:t>符合国家现行有关质量验收规范“合格”要求。</w:t>
            </w:r>
            <w:bookmarkEnd w:id="10"/>
            <w:bookmarkEnd w:id="11"/>
          </w:p>
        </w:tc>
      </w:tr>
      <w:tr w14:paraId="75FB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670CAEB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1.4.1</w:t>
            </w:r>
          </w:p>
        </w:tc>
        <w:tc>
          <w:tcPr>
            <w:tcW w:w="1091" w:type="pct"/>
            <w:vAlign w:val="center"/>
          </w:tcPr>
          <w:p w14:paraId="7D5CC0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资格审查条件</w:t>
            </w:r>
          </w:p>
        </w:tc>
        <w:tc>
          <w:tcPr>
            <w:tcW w:w="3361" w:type="pct"/>
            <w:vAlign w:val="center"/>
          </w:tcPr>
          <w:p w14:paraId="7AF1386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（1）提供合格有效的法人或者其他组织的营业执照等证明文件，自然人的身份证明；</w:t>
            </w:r>
          </w:p>
          <w:p w14:paraId="015D14D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（2）提供法定代表人授权书（附法定代表人、被授权人身份证复印件，法定代表人直接参加投标，须提供法定代表人身份证明及身份证复印件）；</w:t>
            </w:r>
          </w:p>
          <w:p w14:paraId="2D722C8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（3）提供2024年度的财务审计报告（成立时间至提交投标文件截止时间不足一年的可提供成立后任意时段的资产负债表）或开标时间前六个月内银行出具的资信证明；</w:t>
            </w:r>
          </w:p>
          <w:p w14:paraId="659F801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（4）税收缴纳证明：提供投标截止日前近一年内任意一个月的纳税证明或完税证明（任意税种），依法免税的单位应提供相关证明材料；</w:t>
            </w:r>
          </w:p>
          <w:p w14:paraId="3510FB5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p>
          <w:p w14:paraId="2D07AD2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（6）提供具有履行本合同所必需的设备和专业技术能力的说明及承诺书；</w:t>
            </w:r>
          </w:p>
          <w:p w14:paraId="07AF695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（7）供应商通过“信用中国”网站(www.creditchina.gov.cn)、中国政府采购网(www.ccgp.gov.cn)等查询相关主体信用记录；</w:t>
            </w:r>
          </w:p>
          <w:p w14:paraId="7E94CF8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（8）参加政府采购活动前3年内，在经营活动中没有重大违法记录的书面声明；</w:t>
            </w:r>
          </w:p>
          <w:p w14:paraId="13B46F6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（9）提供中小企业声明函（供应商须为小型或微型企业）；</w:t>
            </w:r>
          </w:p>
          <w:p w14:paraId="2289A17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（10）本项目不接受联合体投标（提供承诺书）。</w:t>
            </w:r>
          </w:p>
          <w:p w14:paraId="67A932DF">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以上（1-10）为必备资质，缺一项或某项达不到要求，按无效投标处理。</w:t>
            </w:r>
          </w:p>
        </w:tc>
      </w:tr>
      <w:tr w14:paraId="4F4C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12A4279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1.4.2</w:t>
            </w:r>
          </w:p>
        </w:tc>
        <w:tc>
          <w:tcPr>
            <w:tcW w:w="1091" w:type="pct"/>
            <w:vAlign w:val="center"/>
          </w:tcPr>
          <w:p w14:paraId="6AC1AF0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时间</w:t>
            </w:r>
          </w:p>
        </w:tc>
        <w:tc>
          <w:tcPr>
            <w:tcW w:w="3361" w:type="pct"/>
            <w:vAlign w:val="center"/>
          </w:tcPr>
          <w:p w14:paraId="1DB3AF0C">
            <w:pPr>
              <w:spacing w:line="4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详见招标公告</w:t>
            </w:r>
          </w:p>
        </w:tc>
      </w:tr>
      <w:tr w14:paraId="62C5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4064E2F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1091" w:type="pct"/>
            <w:vAlign w:val="center"/>
          </w:tcPr>
          <w:p w14:paraId="77319D2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3361" w:type="pct"/>
            <w:vAlign w:val="center"/>
          </w:tcPr>
          <w:p w14:paraId="7F26C7B2">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1）招标代理机构不组织统一踏勘，各投标人自行踏勘，相关费用及安全由投标人自行承担，踏勘时遵守相关规定，不得扰民。</w:t>
            </w:r>
          </w:p>
          <w:p w14:paraId="0396038D">
            <w:pPr>
              <w:spacing w:line="42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2）踏勘内容包含：完成本次招标所需要的现场工况及周围环境等资料。</w:t>
            </w:r>
          </w:p>
          <w:p w14:paraId="44118A4E">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cs="宋体"/>
                <w:sz w:val="24"/>
                <w:szCs w:val="24"/>
                <w:highlight w:val="none"/>
                <w:lang w:eastAsia="zh-CN"/>
              </w:rPr>
              <w:t>柞水县凤凰国有林场</w:t>
            </w:r>
          </w:p>
          <w:p w14:paraId="0834EDA0">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联系电话：</w:t>
            </w:r>
            <w:r>
              <w:rPr>
                <w:rFonts w:hint="eastAsia" w:ascii="宋体" w:hAnsi="宋体" w:cs="宋体"/>
                <w:sz w:val="24"/>
                <w:szCs w:val="24"/>
                <w:highlight w:val="none"/>
                <w:lang w:eastAsia="zh-CN"/>
              </w:rPr>
              <w:t>15191698134</w:t>
            </w:r>
          </w:p>
        </w:tc>
      </w:tr>
      <w:tr w14:paraId="3702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05B9E31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1.10</w:t>
            </w:r>
          </w:p>
        </w:tc>
        <w:tc>
          <w:tcPr>
            <w:tcW w:w="1091" w:type="pct"/>
            <w:vAlign w:val="center"/>
          </w:tcPr>
          <w:p w14:paraId="66D6600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投标答疑会</w:t>
            </w:r>
          </w:p>
        </w:tc>
        <w:tc>
          <w:tcPr>
            <w:tcW w:w="3361" w:type="pct"/>
            <w:vAlign w:val="center"/>
          </w:tcPr>
          <w:p w14:paraId="2681096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不召开；若有疑问，均应在购买招标文件后7个工作日内以书面形式向采购代理机构提出。</w:t>
            </w:r>
          </w:p>
        </w:tc>
      </w:tr>
      <w:tr w14:paraId="3AEC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4D2F6C3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1.11</w:t>
            </w:r>
          </w:p>
        </w:tc>
        <w:tc>
          <w:tcPr>
            <w:tcW w:w="1091" w:type="pct"/>
            <w:vAlign w:val="center"/>
          </w:tcPr>
          <w:p w14:paraId="193C5C2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分包</w:t>
            </w:r>
          </w:p>
        </w:tc>
        <w:tc>
          <w:tcPr>
            <w:tcW w:w="3361" w:type="pct"/>
            <w:vAlign w:val="center"/>
          </w:tcPr>
          <w:p w14:paraId="4BB6F58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19BA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1B943AF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3.1.1</w:t>
            </w:r>
          </w:p>
        </w:tc>
        <w:tc>
          <w:tcPr>
            <w:tcW w:w="1091" w:type="pct"/>
            <w:vAlign w:val="center"/>
          </w:tcPr>
          <w:p w14:paraId="21BD598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构成投标文件的其他材料</w:t>
            </w:r>
          </w:p>
        </w:tc>
        <w:tc>
          <w:tcPr>
            <w:tcW w:w="3361" w:type="pct"/>
            <w:vAlign w:val="center"/>
          </w:tcPr>
          <w:p w14:paraId="7EEFB49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投标人按照招标文件的要求认为有利于投标的材料。</w:t>
            </w:r>
          </w:p>
        </w:tc>
      </w:tr>
      <w:tr w14:paraId="6B31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08CE4AE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1091" w:type="pct"/>
            <w:vAlign w:val="center"/>
          </w:tcPr>
          <w:p w14:paraId="04CACD7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tc>
        <w:tc>
          <w:tcPr>
            <w:tcW w:w="3361" w:type="pct"/>
            <w:vAlign w:val="center"/>
          </w:tcPr>
          <w:p w14:paraId="45EA02A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以中标价为依据签订总价合同。</w:t>
            </w:r>
          </w:p>
        </w:tc>
      </w:tr>
      <w:tr w14:paraId="3777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10438D8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1091" w:type="pct"/>
            <w:vAlign w:val="center"/>
          </w:tcPr>
          <w:p w14:paraId="1E01333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3361" w:type="pct"/>
            <w:vAlign w:val="center"/>
          </w:tcPr>
          <w:p w14:paraId="02997E84">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90日历天（从投标截止之日算起）</w:t>
            </w:r>
          </w:p>
        </w:tc>
      </w:tr>
      <w:tr w14:paraId="468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6948B8A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w:t>
            </w:r>
          </w:p>
        </w:tc>
        <w:tc>
          <w:tcPr>
            <w:tcW w:w="1091" w:type="pct"/>
            <w:vAlign w:val="center"/>
          </w:tcPr>
          <w:p w14:paraId="72BF4EE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3361" w:type="pct"/>
            <w:vAlign w:val="center"/>
          </w:tcPr>
          <w:p w14:paraId="1F74469E">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投标保证金：本项目不缴纳投标保证金（招标文件中关于投标保证金要求均不适用）</w:t>
            </w:r>
          </w:p>
        </w:tc>
      </w:tr>
      <w:tr w14:paraId="7BE8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50A4276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3.4.2</w:t>
            </w:r>
          </w:p>
        </w:tc>
        <w:tc>
          <w:tcPr>
            <w:tcW w:w="1091" w:type="pct"/>
            <w:vAlign w:val="center"/>
          </w:tcPr>
          <w:p w14:paraId="67785FF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w:t>
            </w:r>
          </w:p>
        </w:tc>
        <w:tc>
          <w:tcPr>
            <w:tcW w:w="3361" w:type="pct"/>
            <w:vAlign w:val="center"/>
          </w:tcPr>
          <w:p w14:paraId="7953DB5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1.收费标准：按国家计委颁发的《招标代理服务收费管理暂行办法》（计价格[2002]1980号）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国家发展</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改革委员会办公厅颁发的《关于招标代理服务收费有关问题的通知》（发改办价格[2003]857号）的有关标准执行。</w:t>
            </w:r>
          </w:p>
          <w:p w14:paraId="505C6AE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2.由中标单位向招标代理机构一次性缴付招标代理服务费。</w:t>
            </w:r>
          </w:p>
        </w:tc>
      </w:tr>
      <w:tr w14:paraId="4AC9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4FE1F44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3.5</w:t>
            </w:r>
          </w:p>
        </w:tc>
        <w:tc>
          <w:tcPr>
            <w:tcW w:w="1091" w:type="pct"/>
            <w:vAlign w:val="center"/>
          </w:tcPr>
          <w:p w14:paraId="75B9C55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是否允许递交</w:t>
            </w:r>
          </w:p>
          <w:p w14:paraId="497DBFD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备选投标方案</w:t>
            </w:r>
          </w:p>
        </w:tc>
        <w:tc>
          <w:tcPr>
            <w:tcW w:w="3361" w:type="pct"/>
            <w:vAlign w:val="center"/>
          </w:tcPr>
          <w:p w14:paraId="5A13AF2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w:t>
            </w:r>
          </w:p>
        </w:tc>
      </w:tr>
      <w:tr w14:paraId="611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60FEF9E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3.6.3</w:t>
            </w:r>
          </w:p>
        </w:tc>
        <w:tc>
          <w:tcPr>
            <w:tcW w:w="1091" w:type="pct"/>
            <w:vAlign w:val="center"/>
          </w:tcPr>
          <w:p w14:paraId="20BFC28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签字或盖章要求</w:t>
            </w:r>
          </w:p>
        </w:tc>
        <w:tc>
          <w:tcPr>
            <w:tcW w:w="3361" w:type="pct"/>
            <w:vAlign w:val="center"/>
          </w:tcPr>
          <w:p w14:paraId="19C691E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投标文件封面、投标函及其它有要求处必须加盖投标人公章并经法定代表人或其委托代理人签字或盖章。</w:t>
            </w:r>
            <w:bookmarkStart w:id="12" w:name="_Toc343511347"/>
          </w:p>
          <w:p w14:paraId="76C33B0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投标文件应无涂改或行间插字和增删。如确需修改，修改处必须由投标人加盖投标人公章并经法定代表人或其委托代理人签字或盖章。</w:t>
            </w:r>
            <w:bookmarkEnd w:id="12"/>
          </w:p>
        </w:tc>
      </w:tr>
      <w:tr w14:paraId="059F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359B33C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3.6.4</w:t>
            </w:r>
          </w:p>
        </w:tc>
        <w:tc>
          <w:tcPr>
            <w:tcW w:w="1091" w:type="pct"/>
            <w:vAlign w:val="center"/>
          </w:tcPr>
          <w:p w14:paraId="79CA15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投标文件份数</w:t>
            </w:r>
          </w:p>
        </w:tc>
        <w:tc>
          <w:tcPr>
            <w:tcW w:w="3361" w:type="pct"/>
            <w:vAlign w:val="center"/>
          </w:tcPr>
          <w:p w14:paraId="6F75615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投标文件正本</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份,副本</w:t>
            </w:r>
            <w:r>
              <w:rPr>
                <w:rFonts w:hint="eastAsia" w:ascii="宋体" w:hAnsi="宋体" w:eastAsia="宋体" w:cs="宋体"/>
                <w:sz w:val="24"/>
                <w:szCs w:val="24"/>
                <w:highlight w:val="none"/>
                <w:u w:val="single"/>
              </w:rPr>
              <w:t>贰</w:t>
            </w:r>
            <w:r>
              <w:rPr>
                <w:rFonts w:hint="eastAsia" w:ascii="宋体" w:hAnsi="宋体" w:eastAsia="宋体" w:cs="宋体"/>
                <w:sz w:val="24"/>
                <w:szCs w:val="24"/>
                <w:highlight w:val="none"/>
              </w:rPr>
              <w:t>份,</w:t>
            </w:r>
            <w:r>
              <w:rPr>
                <w:rFonts w:hint="eastAsia" w:ascii="宋体" w:hAnsi="宋体" w:eastAsia="宋体" w:cs="宋体"/>
                <w:b/>
                <w:bCs/>
                <w:sz w:val="24"/>
                <w:szCs w:val="24"/>
                <w:highlight w:val="none"/>
              </w:rPr>
              <w:t>投标文件电子版</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word及PDF)</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份（U盘），开标一览表</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w:t>
            </w:r>
          </w:p>
        </w:tc>
      </w:tr>
      <w:tr w14:paraId="28B2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35922FA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4.1.2</w:t>
            </w:r>
          </w:p>
        </w:tc>
        <w:tc>
          <w:tcPr>
            <w:tcW w:w="1091" w:type="pct"/>
            <w:vAlign w:val="center"/>
          </w:tcPr>
          <w:p w14:paraId="298C98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投标文件密封</w:t>
            </w:r>
          </w:p>
        </w:tc>
        <w:tc>
          <w:tcPr>
            <w:tcW w:w="3361" w:type="pct"/>
            <w:vAlign w:val="center"/>
          </w:tcPr>
          <w:p w14:paraId="0072F78B">
            <w:pPr>
              <w:spacing w:line="360" w:lineRule="auto"/>
              <w:ind w:left="360" w:hanging="360" w:hangingChars="15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1、投标文件正、副本应分别装订成册，装订应牢固、不易拆散和换页，不得采用活页装订。封袋应加贴封条，并在封线处由法定代表人或委托代理人签字盖章后加盖投标人公章。</w:t>
            </w:r>
          </w:p>
          <w:p w14:paraId="3C84858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2、密封包装方式：</w:t>
            </w:r>
          </w:p>
          <w:p w14:paraId="65A661D9">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（1）投标文件正本、开标一览表、电子版一包密封。</w:t>
            </w:r>
          </w:p>
          <w:p w14:paraId="1314E342">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（2）投标文件所有副本一包密封。</w:t>
            </w:r>
          </w:p>
          <w:p w14:paraId="140B1BE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3、外层包装请按以下要求标记：</w:t>
            </w:r>
          </w:p>
          <w:p w14:paraId="287ADA03">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p>
          <w:p w14:paraId="52EA60A9">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63C868F9">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包号：第  包</w:t>
            </w:r>
          </w:p>
          <w:p w14:paraId="05D5F07B">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p w14:paraId="55EF1252">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内容：“正本”或“副本”</w:t>
            </w:r>
          </w:p>
          <w:p w14:paraId="4566725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投标文件在</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分前不得开启；</w:t>
            </w:r>
          </w:p>
        </w:tc>
      </w:tr>
      <w:tr w14:paraId="75D0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49A9489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4.2.2</w:t>
            </w:r>
          </w:p>
        </w:tc>
        <w:tc>
          <w:tcPr>
            <w:tcW w:w="1091" w:type="pct"/>
            <w:vAlign w:val="center"/>
          </w:tcPr>
          <w:p w14:paraId="4713343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递交投标文件截止时间、地点</w:t>
            </w:r>
          </w:p>
        </w:tc>
        <w:tc>
          <w:tcPr>
            <w:tcW w:w="3361" w:type="pct"/>
            <w:vAlign w:val="center"/>
          </w:tcPr>
          <w:p w14:paraId="1C5891B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03</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 xml:space="preserve">分00秒 </w:t>
            </w:r>
          </w:p>
          <w:p w14:paraId="25BD26E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地点：西安市碑林区南二环西段华融国际商务大厦A座21层D室</w:t>
            </w:r>
          </w:p>
        </w:tc>
      </w:tr>
      <w:tr w14:paraId="6A10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33823FB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4.2.3</w:t>
            </w:r>
          </w:p>
        </w:tc>
        <w:tc>
          <w:tcPr>
            <w:tcW w:w="1091" w:type="pct"/>
            <w:vAlign w:val="center"/>
          </w:tcPr>
          <w:p w14:paraId="201DD9B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是否退还投标文件</w:t>
            </w:r>
          </w:p>
        </w:tc>
        <w:tc>
          <w:tcPr>
            <w:tcW w:w="3361" w:type="pct"/>
            <w:vAlign w:val="center"/>
          </w:tcPr>
          <w:p w14:paraId="463CCD1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6113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2281755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5.1</w:t>
            </w:r>
          </w:p>
        </w:tc>
        <w:tc>
          <w:tcPr>
            <w:tcW w:w="1091" w:type="pct"/>
            <w:vAlign w:val="center"/>
          </w:tcPr>
          <w:p w14:paraId="3391C5F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开标时间和地点</w:t>
            </w:r>
          </w:p>
        </w:tc>
        <w:tc>
          <w:tcPr>
            <w:tcW w:w="3361" w:type="pct"/>
            <w:vAlign w:val="center"/>
          </w:tcPr>
          <w:p w14:paraId="0470805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03</w:t>
            </w:r>
            <w:r>
              <w:rPr>
                <w:rFonts w:hint="eastAsia" w:ascii="宋体" w:hAnsi="宋体" w:eastAsia="宋体" w:cs="宋体"/>
                <w:sz w:val="24"/>
                <w:szCs w:val="24"/>
                <w:highlight w:val="none"/>
              </w:rPr>
              <w:t>日</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00</w:t>
            </w:r>
            <w:r>
              <w:rPr>
                <w:rFonts w:hint="eastAsia" w:ascii="宋体" w:hAnsi="宋体" w:eastAsia="宋体" w:cs="宋体"/>
                <w:sz w:val="24"/>
                <w:szCs w:val="24"/>
                <w:highlight w:val="none"/>
              </w:rPr>
              <w:t xml:space="preserve">分00秒 </w:t>
            </w:r>
          </w:p>
          <w:p w14:paraId="43091C6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开标地点</w:t>
            </w:r>
            <w:r>
              <w:rPr>
                <w:rFonts w:hint="eastAsia" w:ascii="宋体" w:hAnsi="宋体" w:eastAsia="宋体" w:cs="宋体"/>
                <w:sz w:val="24"/>
                <w:szCs w:val="24"/>
                <w:highlight w:val="none"/>
                <w:lang w:eastAsia="zh-CN"/>
              </w:rPr>
              <w:t>：西安市碑林区南二环西段华融国际商务大厦A座21层D室</w:t>
            </w:r>
          </w:p>
        </w:tc>
      </w:tr>
      <w:tr w14:paraId="5ED3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6" w:type="pct"/>
            <w:vAlign w:val="center"/>
          </w:tcPr>
          <w:p w14:paraId="1AA7AA7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7.1</w:t>
            </w:r>
          </w:p>
        </w:tc>
        <w:tc>
          <w:tcPr>
            <w:tcW w:w="1091" w:type="pct"/>
            <w:vAlign w:val="center"/>
          </w:tcPr>
          <w:p w14:paraId="3BCE4F2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是否授权评标委员会确定中标人</w:t>
            </w:r>
          </w:p>
        </w:tc>
        <w:tc>
          <w:tcPr>
            <w:tcW w:w="3361" w:type="pct"/>
            <w:vAlign w:val="center"/>
          </w:tcPr>
          <w:p w14:paraId="4BBB75C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bookmarkStart w:id="13" w:name="OLE_LINK6"/>
            <w:r>
              <w:rPr>
                <w:rFonts w:hint="eastAsia" w:ascii="宋体" w:hAnsi="宋体" w:eastAsia="宋体" w:cs="宋体"/>
                <w:sz w:val="24"/>
                <w:szCs w:val="24"/>
                <w:highlight w:val="none"/>
              </w:rPr>
              <w:t>推荐3名中标候选人</w:t>
            </w:r>
            <w:bookmarkEnd w:id="13"/>
          </w:p>
        </w:tc>
      </w:tr>
      <w:tr w14:paraId="3B889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0AFED42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10.1计算机辅助评标</w:t>
            </w:r>
          </w:p>
        </w:tc>
      </w:tr>
      <w:tr w14:paraId="206F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38" w:type="pct"/>
            <w:gridSpan w:val="2"/>
            <w:vAlign w:val="center"/>
          </w:tcPr>
          <w:p w14:paraId="00DF983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是否实行计算机辅助评标</w:t>
            </w:r>
          </w:p>
        </w:tc>
        <w:tc>
          <w:tcPr>
            <w:tcW w:w="3361" w:type="pct"/>
            <w:vAlign w:val="center"/>
          </w:tcPr>
          <w:p w14:paraId="5113109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tc>
      </w:tr>
      <w:tr w14:paraId="6E6A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F8D8FB7">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10.2 知识产权</w:t>
            </w:r>
          </w:p>
        </w:tc>
      </w:tr>
      <w:tr w14:paraId="3F16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0B36B5A">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5756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5218EC2E">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10.3 重新招标的其他情形</w:t>
            </w:r>
          </w:p>
        </w:tc>
      </w:tr>
      <w:tr w14:paraId="7B1A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889DEBB">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除投标人须知正文第8条规定的情形外，除非已经产生中标候选人，在投标有效期内同意延长投标有效期的投标人少于三个的，招标人应当依法重新招标。</w:t>
            </w:r>
          </w:p>
        </w:tc>
      </w:tr>
      <w:tr w14:paraId="6888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294CB0F7">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10.4  同义词语</w:t>
            </w:r>
          </w:p>
        </w:tc>
      </w:tr>
      <w:tr w14:paraId="0A4A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4E0B711A">
            <w:pPr>
              <w:spacing w:line="360" w:lineRule="auto"/>
              <w:ind w:left="110" w:leftChars="52" w:hanging="1"/>
              <w:rPr>
                <w:rFonts w:hint="eastAsia" w:ascii="宋体" w:hAnsi="宋体" w:eastAsia="宋体" w:cs="宋体"/>
                <w:sz w:val="24"/>
                <w:szCs w:val="24"/>
                <w:highlight w:val="none"/>
              </w:rPr>
            </w:pPr>
            <w:r>
              <w:rPr>
                <w:rFonts w:hint="eastAsia" w:ascii="宋体" w:hAnsi="宋体" w:eastAsia="宋体" w:cs="宋体"/>
                <w:sz w:val="24"/>
                <w:szCs w:val="24"/>
                <w:highlight w:val="none"/>
              </w:rPr>
              <w:t>构成招标文件组成部分的“通用合同条款”、“专用合同条款”、“技术标准和要求”等章节中出现的措辞“发包人”和“承包人”，在招标投标阶段应当分别按“招标人”和“投标人”进行理解。</w:t>
            </w:r>
          </w:p>
        </w:tc>
      </w:tr>
      <w:tr w14:paraId="611F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25CF227">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sz w:val="24"/>
                <w:szCs w:val="24"/>
                <w:highlight w:val="none"/>
              </w:rPr>
              <w:t>10.5  解释权</w:t>
            </w:r>
          </w:p>
        </w:tc>
      </w:tr>
      <w:tr w14:paraId="72DF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00" w:type="pct"/>
            <w:gridSpan w:val="3"/>
            <w:vAlign w:val="center"/>
          </w:tcPr>
          <w:p w14:paraId="184CA6E7">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sz w:val="24"/>
                <w:szCs w:val="24"/>
                <w:highlight w:val="none"/>
              </w:rPr>
              <w:t>本招标文件由招标人和招标代理机构负责解释。</w:t>
            </w:r>
          </w:p>
        </w:tc>
      </w:tr>
      <w:tr w14:paraId="0AED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38E309E9">
            <w:pPr>
              <w:spacing w:line="360" w:lineRule="auto"/>
              <w:ind w:left="68" w:leftChars="-2" w:hanging="72" w:hangingChars="30"/>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其他</w:t>
            </w:r>
          </w:p>
        </w:tc>
      </w:tr>
      <w:tr w14:paraId="6940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0E5BBE88">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项目</w:t>
            </w:r>
            <w:r>
              <w:rPr>
                <w:rFonts w:hint="eastAsia" w:ascii="宋体" w:hAnsi="宋体" w:eastAsia="宋体" w:cs="宋体"/>
                <w:b/>
                <w:bCs/>
                <w:sz w:val="24"/>
                <w:szCs w:val="24"/>
                <w:highlight w:val="none"/>
              </w:rPr>
              <w:t>所属行业：农、林、牧、渔业</w:t>
            </w:r>
          </w:p>
        </w:tc>
      </w:tr>
      <w:tr w14:paraId="15E8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7F91E4CD">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项目性质：本项目为专门面向小微企业采购</w:t>
            </w:r>
          </w:p>
        </w:tc>
      </w:tr>
      <w:tr w14:paraId="257A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A378900">
            <w:pPr>
              <w:spacing w:line="360" w:lineRule="auto"/>
              <w:ind w:left="68" w:leftChars="-2" w:hanging="72" w:hangingChars="30"/>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划分标准：农、林、牧、渔业。营业收入20000万元以下的为中小微型企业。其中，营业收入500万元及以上的为中型企业，营业收入50万元及以上的为小型企业，营业收入50万元以下的为微型企业。</w:t>
            </w:r>
          </w:p>
        </w:tc>
      </w:tr>
      <w:tr w14:paraId="02BD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62C3CBE6">
            <w:pPr>
              <w:spacing w:line="360" w:lineRule="auto"/>
              <w:ind w:left="235" w:leftChars="112" w:firstLine="405" w:firstLineChars="16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中小企业政策性扣减：对符合《政府采购促进中小企业发展管理办法》(财库(2020)46号)规定的小微企业(监狱企业视同小型、微型企业)的报价给予10%(10%-20%)的扣除,用扣除后的价格参加评审。本项目</w:t>
            </w:r>
            <w:r>
              <w:rPr>
                <w:rFonts w:hint="eastAsia" w:ascii="宋体" w:hAnsi="宋体" w:cs="宋体"/>
                <w:sz w:val="24"/>
                <w:szCs w:val="24"/>
                <w:highlight w:val="none"/>
                <w:lang w:val="en-US" w:eastAsia="zh-CN"/>
              </w:rPr>
              <w:t>为</w:t>
            </w:r>
            <w:r>
              <w:rPr>
                <w:rFonts w:hint="eastAsia" w:ascii="宋体" w:hAnsi="宋体" w:eastAsia="宋体" w:cs="宋体"/>
                <w:sz w:val="24"/>
                <w:szCs w:val="24"/>
                <w:highlight w:val="none"/>
              </w:rPr>
              <w:t>专门面向中小企业采购，不在进行价格</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扣减。</w:t>
            </w:r>
          </w:p>
        </w:tc>
      </w:tr>
      <w:tr w14:paraId="398C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1A8E0E3B">
            <w:pPr>
              <w:spacing w:line="360" w:lineRule="auto"/>
              <w:ind w:left="68" w:leftChars="-2" w:hanging="72" w:hangingChars="30"/>
              <w:rPr>
                <w:rFonts w:hint="eastAsia" w:ascii="宋体" w:hAnsi="宋体" w:eastAsia="宋体" w:cs="宋体"/>
                <w:sz w:val="24"/>
                <w:szCs w:val="24"/>
                <w:highlight w:val="none"/>
              </w:rPr>
            </w:pPr>
            <w:r>
              <w:rPr>
                <w:rFonts w:hint="eastAsia" w:ascii="宋体" w:hAnsi="宋体" w:eastAsia="宋体" w:cs="宋体"/>
                <w:b/>
                <w:bCs/>
                <w:sz w:val="24"/>
                <w:szCs w:val="24"/>
                <w:highlight w:val="none"/>
              </w:rPr>
              <w:t>本项目允许</w:t>
            </w:r>
            <w:r>
              <w:rPr>
                <w:rFonts w:hint="eastAsia" w:ascii="宋体" w:hAnsi="宋体" w:eastAsia="宋体" w:cs="宋体"/>
                <w:b/>
                <w:bCs/>
                <w:sz w:val="24"/>
                <w:szCs w:val="24"/>
                <w:highlight w:val="none"/>
                <w:lang w:val="en-US" w:eastAsia="zh-CN"/>
              </w:rPr>
              <w:t>投标人</w:t>
            </w:r>
            <w:r>
              <w:rPr>
                <w:rFonts w:hint="eastAsia" w:ascii="宋体" w:hAnsi="宋体" w:eastAsia="宋体" w:cs="宋体"/>
                <w:b/>
                <w:bCs/>
                <w:sz w:val="24"/>
                <w:szCs w:val="24"/>
                <w:highlight w:val="none"/>
              </w:rPr>
              <w:t>多个标段</w:t>
            </w:r>
            <w:r>
              <w:rPr>
                <w:rFonts w:hint="eastAsia" w:ascii="宋体" w:hAnsi="宋体" w:eastAsia="宋体" w:cs="宋体"/>
                <w:b/>
                <w:bCs/>
                <w:sz w:val="24"/>
                <w:szCs w:val="24"/>
                <w:highlight w:val="none"/>
                <w:lang w:val="en-US" w:eastAsia="zh-CN"/>
              </w:rPr>
              <w:t>同时</w:t>
            </w:r>
            <w:r>
              <w:rPr>
                <w:rFonts w:hint="eastAsia" w:ascii="宋体" w:hAnsi="宋体" w:eastAsia="宋体" w:cs="宋体"/>
                <w:b/>
                <w:bCs/>
                <w:sz w:val="24"/>
                <w:szCs w:val="24"/>
                <w:highlight w:val="none"/>
              </w:rPr>
              <w:t>投标，但只允许中一个标段。</w:t>
            </w:r>
          </w:p>
        </w:tc>
      </w:tr>
      <w:tr w14:paraId="29EA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5ADCD531">
            <w:pPr>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备注：供应商注册登记提醒：</w:t>
            </w:r>
          </w:p>
          <w:p w14:paraId="4E79BB43">
            <w:pPr>
              <w:spacing w:line="500" w:lineRule="exact"/>
              <w:ind w:firstLine="482" w:firstLineChars="200"/>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http://www.ccgp-shaanxi.gov.cn/information/informationDetail.do?informationguid=8a85be3567ed23460167ed36804d0009</w:t>
            </w:r>
            <w:r>
              <w:rPr>
                <w:rFonts w:hint="eastAsia" w:ascii="宋体" w:hAnsi="宋体" w:eastAsia="宋体" w:cs="宋体"/>
                <w:b/>
                <w:bCs/>
                <w:sz w:val="24"/>
                <w:szCs w:val="24"/>
                <w:highlight w:val="none"/>
              </w:rPr>
              <w:fldChar w:fldCharType="end"/>
            </w:r>
            <w:r>
              <w:rPr>
                <w:rFonts w:hint="eastAsia" w:ascii="宋体" w:hAnsi="宋体" w:eastAsia="宋体" w:cs="宋体"/>
                <w:b/>
                <w:bCs/>
                <w:sz w:val="24"/>
                <w:szCs w:val="24"/>
                <w:highlight w:val="none"/>
              </w:rPr>
              <w:t>）注册登记加入陕西省政府采购供应商库的，应按要求及时办理注册登记，并接受财政部门监督管理。</w:t>
            </w:r>
          </w:p>
        </w:tc>
      </w:tr>
      <w:tr w14:paraId="5FF8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3"/>
            <w:vAlign w:val="center"/>
          </w:tcPr>
          <w:p w14:paraId="53915CC1">
            <w:pPr>
              <w:spacing w:line="360" w:lineRule="auto"/>
              <w:ind w:firstLine="480" w:firstLineChars="200"/>
              <w:rPr>
                <w:rFonts w:hint="eastAsia" w:ascii="宋体" w:hAnsi="宋体" w:eastAsia="宋体" w:cs="宋体"/>
                <w:sz w:val="24"/>
                <w:szCs w:val="24"/>
                <w:highlight w:val="none"/>
              </w:rPr>
            </w:pPr>
            <w:bookmarkStart w:id="14" w:name="_Toc403077639"/>
            <w:bookmarkStart w:id="15" w:name="_Toc363474017"/>
            <w:bookmarkStart w:id="16" w:name="_Toc363473972"/>
            <w:bookmarkStart w:id="17" w:name="_Toc29568"/>
            <w:bookmarkStart w:id="18" w:name="_Toc8072"/>
            <w:r>
              <w:rPr>
                <w:rFonts w:hint="eastAsia" w:ascii="宋体" w:hAnsi="宋体" w:eastAsia="宋体" w:cs="宋体"/>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27E5C2A6">
            <w:pPr>
              <w:spacing w:line="360" w:lineRule="auto"/>
              <w:ind w:left="68" w:leftChars="-2" w:hanging="72" w:hangingChars="3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bl>
    <w:p w14:paraId="1F603CC8">
      <w:pPr>
        <w:rPr>
          <w:rFonts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br w:type="page"/>
      </w:r>
    </w:p>
    <w:bookmarkEnd w:id="14"/>
    <w:bookmarkEnd w:id="15"/>
    <w:bookmarkEnd w:id="16"/>
    <w:p w14:paraId="35AC5D1D">
      <w:pPr>
        <w:jc w:val="center"/>
        <w:rPr>
          <w:rFonts w:asciiTheme="minorEastAsia" w:hAnsiTheme="minorEastAsia" w:eastAsiaTheme="minorEastAsia" w:cstheme="minorEastAsia"/>
          <w:highlight w:val="none"/>
        </w:rPr>
      </w:pPr>
      <w:r>
        <w:rPr>
          <w:rFonts w:hint="eastAsia"/>
          <w:b/>
          <w:bCs/>
          <w:sz w:val="28"/>
          <w:szCs w:val="28"/>
          <w:highlight w:val="none"/>
        </w:rPr>
        <w:t>投标人须知</w:t>
      </w:r>
      <w:bookmarkEnd w:id="17"/>
      <w:bookmarkEnd w:id="18"/>
    </w:p>
    <w:p w14:paraId="498A24B4">
      <w:pPr>
        <w:spacing w:beforeLines="50" w:afterLines="50" w:line="360" w:lineRule="auto"/>
        <w:rPr>
          <w:rFonts w:asciiTheme="minorEastAsia" w:hAnsiTheme="minorEastAsia" w:eastAsiaTheme="minorEastAsia" w:cstheme="minorEastAsia"/>
          <w:b/>
          <w:bCs/>
          <w:sz w:val="24"/>
          <w:szCs w:val="24"/>
          <w:highlight w:val="none"/>
        </w:rPr>
      </w:pPr>
      <w:bookmarkStart w:id="19" w:name="_Toc425240464"/>
      <w:bookmarkStart w:id="20" w:name="_Toc420591643"/>
      <w:bookmarkStart w:id="21" w:name="_Toc421778365"/>
      <w:r>
        <w:rPr>
          <w:rFonts w:hint="eastAsia" w:asciiTheme="minorEastAsia" w:hAnsiTheme="minorEastAsia" w:eastAsiaTheme="minorEastAsia" w:cstheme="minorEastAsia"/>
          <w:b/>
          <w:bCs/>
          <w:sz w:val="24"/>
          <w:szCs w:val="24"/>
          <w:highlight w:val="none"/>
        </w:rPr>
        <w:t>1</w:t>
      </w:r>
      <w:bookmarkEnd w:id="19"/>
      <w:bookmarkEnd w:id="20"/>
      <w:bookmarkEnd w:id="21"/>
      <w:r>
        <w:rPr>
          <w:rFonts w:hint="eastAsia" w:asciiTheme="minorEastAsia" w:hAnsiTheme="minorEastAsia" w:eastAsiaTheme="minorEastAsia" w:cstheme="minorEastAsia"/>
          <w:b/>
          <w:bCs/>
          <w:sz w:val="24"/>
          <w:szCs w:val="24"/>
          <w:highlight w:val="none"/>
        </w:rPr>
        <w:t>．总则</w:t>
      </w:r>
    </w:p>
    <w:p w14:paraId="28D20A0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 项目概况</w:t>
      </w:r>
    </w:p>
    <w:p w14:paraId="08545211">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 根据《中华人民共和国政府采购法》、《中华人民共和国招标投标法》等有关法律、法规和规章的规定，本招标项目己具备招标条件，现对本招标项目施工进行招标。</w:t>
      </w:r>
    </w:p>
    <w:p w14:paraId="6326B7E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 本招标项目招标人：见投标人须知前附表。</w:t>
      </w:r>
    </w:p>
    <w:p w14:paraId="6CD0849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 本招标项目招标代理机构：见投标人须知前附表。</w:t>
      </w:r>
    </w:p>
    <w:p w14:paraId="1D1AD1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1.1.4本招标项目名称：见投标人须知前附表。</w:t>
      </w:r>
    </w:p>
    <w:p w14:paraId="24DA16D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1.1.5本招标项目建设地点：见投标人须知前附表。</w:t>
      </w:r>
    </w:p>
    <w:p w14:paraId="4040FD91">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 资金来源和落实情况</w:t>
      </w:r>
    </w:p>
    <w:p w14:paraId="3463A39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 本招标项目的资金来源：见投标人须知前附表。</w:t>
      </w:r>
    </w:p>
    <w:p w14:paraId="0256BF4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 本招标项目的资金落实情况：见投标人须知前附表。</w:t>
      </w:r>
    </w:p>
    <w:p w14:paraId="2386729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1.3 招标范围、计划工期和质量要求</w:t>
      </w:r>
    </w:p>
    <w:p w14:paraId="61541F8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本次招标范围：见投标人须知前附表。</w:t>
      </w:r>
    </w:p>
    <w:p w14:paraId="122B2BB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本招标项目的计划工期：</w:t>
      </w:r>
      <w:bookmarkStart w:id="22" w:name="OLE_LINK8"/>
      <w:r>
        <w:rPr>
          <w:rFonts w:hint="eastAsia" w:asciiTheme="minorEastAsia" w:hAnsiTheme="minorEastAsia" w:eastAsiaTheme="minorEastAsia" w:cstheme="minorEastAsia"/>
          <w:sz w:val="24"/>
          <w:szCs w:val="24"/>
          <w:highlight w:val="none"/>
        </w:rPr>
        <w:t>见投标人须知前附表。</w:t>
      </w:r>
      <w:bookmarkEnd w:id="22"/>
    </w:p>
    <w:p w14:paraId="0F3793D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 本招标项目的质量要求：见投标人须知前附表。</w:t>
      </w:r>
    </w:p>
    <w:p w14:paraId="28D95B35">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1.4 投标人资格要求及招标文件发售时间</w:t>
      </w:r>
    </w:p>
    <w:p w14:paraId="0D4792A6">
      <w:pPr>
        <w:pStyle w:val="9"/>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1.4.1资格审查条件：见投标人须知前附表。</w:t>
      </w:r>
    </w:p>
    <w:p w14:paraId="5399674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1.4.2招标文件发售时间：见投标人须知前附表。</w:t>
      </w:r>
    </w:p>
    <w:p w14:paraId="7D8626E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1.5 费用承担</w:t>
      </w:r>
    </w:p>
    <w:p w14:paraId="07D90DB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投标人准备和参加投标活动发生的费用自理。</w:t>
      </w:r>
    </w:p>
    <w:p w14:paraId="78DAA2F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1.6 保密</w:t>
      </w:r>
    </w:p>
    <w:p w14:paraId="08E395B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参与招标投标活动的各方应对招标文件和投标文件中的商业和技术等秘密保密，违者应对由此造成的后果承担法律责任。</w:t>
      </w:r>
    </w:p>
    <w:p w14:paraId="692EC76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1.7 语言文字</w:t>
      </w:r>
    </w:p>
    <w:p w14:paraId="39247D9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除专用术语外，与招标投标有关的语言均使用中文。必要时专用术语应附有中文注释。</w:t>
      </w:r>
    </w:p>
    <w:p w14:paraId="7D4D373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1.8 计量单位</w:t>
      </w:r>
    </w:p>
    <w:p w14:paraId="201FB56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所有计量均采用中华人民共和国法定计量单位。</w:t>
      </w:r>
    </w:p>
    <w:p w14:paraId="5A071BB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1.9 踏勘现场</w:t>
      </w:r>
    </w:p>
    <w:p w14:paraId="5120458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1.9.1见投标人须知前附表。</w:t>
      </w:r>
    </w:p>
    <w:p w14:paraId="527B202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 投标人踏勘现场发生的费用自理，并自行负责在踏勘现场中所发生的人员伤亡和财产损失。</w:t>
      </w:r>
    </w:p>
    <w:p w14:paraId="393C81F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1.9.3 投标人应对工程现场及周围环境进行踏勘，充分了解现场环境、总体布置情况、地形地貌、现场道路、储存空间、运输、装卸等限制条件及其它任何足以影响投标报价的情况，以便各投标人获取须自主考虑的有关投标文件编制和合同签署所需的相关资料和数据，任何因忽视或误解工地情况而导致的索赔或工期延长申请将不获批准。</w:t>
      </w:r>
    </w:p>
    <w:p w14:paraId="362058E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1.9.4 招标人在踏勘现场中介绍的工程场地和相关的周边环境情况，供投标人在编制投标文件时参考，招标人不对投标人据此作出的判断和决策负责。</w:t>
      </w:r>
    </w:p>
    <w:p w14:paraId="6FDF5812">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1.10 投标答疑会</w:t>
      </w:r>
    </w:p>
    <w:p w14:paraId="5301531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不召开；若有疑问，均应在购买招标文件后7个工作日内以书面形式向采购代理机构提出。</w:t>
      </w:r>
    </w:p>
    <w:p w14:paraId="4F8440E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1.11 分包</w:t>
      </w:r>
    </w:p>
    <w:p w14:paraId="61DCBF1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不允许。</w:t>
      </w:r>
    </w:p>
    <w:p w14:paraId="4A7C543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1.12 偏离</w:t>
      </w:r>
    </w:p>
    <w:p w14:paraId="28B356A2">
      <w:pPr>
        <w:spacing w:beforeLines="50" w:afterLines="50" w:line="360" w:lineRule="auto"/>
        <w:ind w:firstLine="480" w:firstLineChars="200"/>
        <w:rPr>
          <w:rFonts w:asciiTheme="minorEastAsia" w:hAnsiTheme="minorEastAsia" w:eastAsiaTheme="minorEastAsia" w:cstheme="minorEastAsia"/>
          <w:sz w:val="24"/>
          <w:szCs w:val="24"/>
          <w:highlight w:val="none"/>
        </w:rPr>
      </w:pPr>
      <w:bookmarkStart w:id="23" w:name="_Toc421778366"/>
      <w:bookmarkStart w:id="24" w:name="_Toc420591644"/>
      <w:bookmarkStart w:id="25" w:name="_Toc425240465"/>
      <w:r>
        <w:rPr>
          <w:rFonts w:hint="eastAsia" w:asciiTheme="minorEastAsia" w:hAnsiTheme="minorEastAsia" w:eastAsiaTheme="minorEastAsia" w:cstheme="minorEastAsia"/>
          <w:sz w:val="24"/>
          <w:szCs w:val="24"/>
          <w:highlight w:val="none"/>
        </w:rPr>
        <w:t>不满足评标办法中初步评审标准的，视为发生重大偏离，其投标被否决。其余偏离视为细微偏离，评标委员会将通过澄清方式对细微偏离进行澄清或修改。</w:t>
      </w:r>
    </w:p>
    <w:p w14:paraId="5306B58D">
      <w:pPr>
        <w:spacing w:beforeLines="50" w:afterLines="50"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2．招标文件</w:t>
      </w:r>
      <w:bookmarkEnd w:id="23"/>
      <w:bookmarkEnd w:id="24"/>
      <w:bookmarkEnd w:id="25"/>
    </w:p>
    <w:p w14:paraId="25D72A4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2.1 招标文件的组成</w:t>
      </w:r>
    </w:p>
    <w:p w14:paraId="1A9D23A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本招标文件包括：</w:t>
      </w:r>
    </w:p>
    <w:p w14:paraId="246E61C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(1）招标公告；</w:t>
      </w:r>
    </w:p>
    <w:p w14:paraId="010B7AA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(2）投标人须知前附表及投标人须知；</w:t>
      </w:r>
    </w:p>
    <w:p w14:paraId="01636AF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评审</w:t>
      </w:r>
      <w:r>
        <w:rPr>
          <w:rFonts w:hint="eastAsia" w:asciiTheme="minorEastAsia" w:hAnsiTheme="minorEastAsia" w:eastAsiaTheme="minorEastAsia" w:cstheme="minorEastAsia"/>
          <w:sz w:val="24"/>
          <w:szCs w:val="24"/>
          <w:highlight w:val="none"/>
        </w:rPr>
        <w:t>办法；</w:t>
      </w:r>
    </w:p>
    <w:p w14:paraId="7DF7EFA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(4）合同条款及格式；</w:t>
      </w:r>
    </w:p>
    <w:p w14:paraId="47B69CC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(5）项目概况及技术要求;</w:t>
      </w:r>
    </w:p>
    <w:p w14:paraId="759D826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(6）投标文件格式。</w:t>
      </w:r>
    </w:p>
    <w:p w14:paraId="7A2102E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根据本章第1.10 款、第2.2 款和第2.3 款对招标文件所作的澄清、修改，构成招标文件的组成部分。</w:t>
      </w:r>
    </w:p>
    <w:p w14:paraId="58CC56B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2.2 招标文件的澄清及修改</w:t>
      </w:r>
    </w:p>
    <w:p w14:paraId="320AE99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2.2.1在投标文件递交截止时间三个工作日前，采购代理机构可以视采购具体情况，延长投标截止时间和开标时间并在财政部门指定的媒体上发布变更公告，同时将变更时间书面通知所有招标文件收受人。</w:t>
      </w:r>
    </w:p>
    <w:p w14:paraId="33F6BE8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2.2.2采购代理机构如果对已发出的招标文件进行修改，将在招标文件要求提交投标文件截止时间十五日前，在发布招标公告的财政部门指定媒体上发布更正公告，并以书面形式通知所有招标文件收受人。该澄清或者修改的内容为招标文件的组成部分。 </w:t>
      </w:r>
    </w:p>
    <w:p w14:paraId="2DDAD9D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2.2.3已经购买招标文件的投标人对招标文件有疑问的，均应在购买招标文件后7个工作日内以书面形式向采购代理机构提出。采购代理机构视情况必要时将书面答复传送给所有招标文件收受人。</w:t>
      </w:r>
    </w:p>
    <w:p w14:paraId="4F4AD2E8">
      <w:pPr>
        <w:spacing w:line="360" w:lineRule="auto"/>
        <w:ind w:firstLine="480"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2.2.4投标人在收到上述通知后，应立即向采购代理机构回函确认。</w:t>
      </w:r>
    </w:p>
    <w:p w14:paraId="69EE9B3D">
      <w:pPr>
        <w:spacing w:beforeLines="50" w:afterLines="50" w:line="360" w:lineRule="auto"/>
        <w:rPr>
          <w:rFonts w:asciiTheme="minorEastAsia" w:hAnsiTheme="minorEastAsia" w:eastAsiaTheme="minorEastAsia" w:cstheme="minorEastAsia"/>
          <w:b/>
          <w:bCs/>
          <w:sz w:val="24"/>
          <w:szCs w:val="24"/>
          <w:highlight w:val="none"/>
        </w:rPr>
      </w:pPr>
      <w:bookmarkStart w:id="26" w:name="_Toc421778367"/>
      <w:bookmarkStart w:id="27" w:name="_Toc425240466"/>
      <w:bookmarkStart w:id="28" w:name="_Toc420591645"/>
      <w:r>
        <w:rPr>
          <w:rFonts w:hint="eastAsia" w:asciiTheme="minorEastAsia" w:hAnsiTheme="minorEastAsia" w:eastAsiaTheme="minorEastAsia" w:cstheme="minorEastAsia"/>
          <w:b/>
          <w:bCs/>
          <w:sz w:val="24"/>
          <w:szCs w:val="24"/>
          <w:highlight w:val="none"/>
        </w:rPr>
        <w:t>3．投标文件</w:t>
      </w:r>
      <w:bookmarkEnd w:id="26"/>
      <w:bookmarkEnd w:id="27"/>
      <w:bookmarkEnd w:id="28"/>
    </w:p>
    <w:p w14:paraId="71A8AE7C">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3.1.投标语言和投标货币</w:t>
      </w:r>
    </w:p>
    <w:p w14:paraId="01D1B2C5">
      <w:pPr>
        <w:spacing w:line="360" w:lineRule="auto"/>
        <w:ind w:firstLine="480"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3.1.1投标人提交的投标文件以及投标人与采购代理机构就有关投标的所有来往函电均应使用中文。</w:t>
      </w:r>
    </w:p>
    <w:p w14:paraId="24F2189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3.1.2投标应以人民币报价。任何包含非人民币报价的投标将按无效投标处理。</w:t>
      </w:r>
    </w:p>
    <w:p w14:paraId="70EE8B08">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3.2.投标文件的构成</w:t>
      </w:r>
    </w:p>
    <w:p w14:paraId="6B47811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投标人提交的投标文件应包含下列部分的内容：</w:t>
      </w:r>
    </w:p>
    <w:p w14:paraId="278831A3">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1）按照投标人须知的要求和招标文件规定格式填写的招标函、开标一览表、法定代表人授权委托书。</w:t>
      </w:r>
    </w:p>
    <w:p w14:paraId="4A970FFC">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2）按照招标文件的要求编制的投标方案说明书。</w:t>
      </w:r>
    </w:p>
    <w:p w14:paraId="7A5E5C73">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3）按照招标文件投标人须知前附表的要求提交的资格证明文件；</w:t>
      </w:r>
    </w:p>
    <w:p w14:paraId="5590C07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4）按照本须知第14条要求提交的投标保证金。</w:t>
      </w:r>
    </w:p>
    <w:p w14:paraId="2BB1F56B">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5）招标文件中要求的其他证明文件。</w:t>
      </w:r>
    </w:p>
    <w:p w14:paraId="244A34E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 如果在招标文件中没有允许提供备选方案，则每个投标人只允许提交一个投标方案，否则，其投标将被作无效响应处理。</w:t>
      </w:r>
    </w:p>
    <w:p w14:paraId="7C616A1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 本次投标的最小单元为“标段”</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w:t>
      </w:r>
      <w:r>
        <w:rPr>
          <w:rFonts w:hint="eastAsia" w:asciiTheme="minorEastAsia" w:hAnsiTheme="minorEastAsia" w:eastAsiaTheme="minorEastAsia" w:cstheme="minorEastAsia"/>
          <w:kern w:val="0"/>
          <w:sz w:val="24"/>
          <w:szCs w:val="24"/>
          <w:highlight w:val="none"/>
        </w:rPr>
        <w:t>可根据自身的资质情况和经营范围对本次项目进行投标，不得将其子目再行分解或只对本次项目中的品目进行不完全投标，任何不完全的响应将会被拒绝。</w:t>
      </w:r>
    </w:p>
    <w:p w14:paraId="52CA61A0">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 xml:space="preserve">3.3.投标文件格式 </w:t>
      </w:r>
    </w:p>
    <w:p w14:paraId="0569240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 投标人应按照招标文件中第六章“投标文件格式及构成”所提供的格式和要求制作投标文件，明确表达投标意愿，详细说明投标方案、承诺及价格。</w:t>
      </w:r>
    </w:p>
    <w:p w14:paraId="22AFF51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3.3.2按招标文件第六章提供的格式和要求编写其投标文件，投标人不得缺少或留空任何招标文件要求填写的表格或提交的资料。</w:t>
      </w:r>
    </w:p>
    <w:p w14:paraId="5463835B">
      <w:pPr>
        <w:spacing w:line="360" w:lineRule="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3.4 投标报价</w:t>
      </w:r>
    </w:p>
    <w:p w14:paraId="35AFDFC7">
      <w:pPr>
        <w:spacing w:line="560" w:lineRule="exact"/>
        <w:ind w:firstLine="496" w:firstLineChars="207"/>
        <w:rPr>
          <w:rFonts w:ascii="宋体" w:hAnsi="宋体" w:cs="宋体"/>
          <w:sz w:val="24"/>
          <w:szCs w:val="24"/>
          <w:highlight w:val="none"/>
        </w:rPr>
      </w:pPr>
      <w:r>
        <w:rPr>
          <w:rFonts w:hint="eastAsia" w:ascii="宋体" w:hAnsi="宋体" w:cs="宋体"/>
          <w:sz w:val="24"/>
          <w:szCs w:val="24"/>
          <w:highlight w:val="none"/>
        </w:rPr>
        <w:t>3.4.1以中标固定总价为依据签订合同。</w:t>
      </w:r>
    </w:p>
    <w:p w14:paraId="7120B1BA">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2本项目投标总价包含：</w:t>
      </w:r>
      <w:r>
        <w:rPr>
          <w:rFonts w:hint="eastAsia" w:ascii="宋体" w:hAnsi="宋体" w:cs="宋体"/>
          <w:color w:val="000000" w:themeColor="text1"/>
          <w:sz w:val="24"/>
          <w:szCs w:val="24"/>
          <w:highlight w:val="none"/>
          <w:lang w:val="en-US" w:eastAsia="zh-CN"/>
          <w14:textFill>
            <w14:solidFill>
              <w14:schemeClr w14:val="tx1"/>
            </w14:solidFill>
          </w14:textFill>
        </w:rPr>
        <w:t>种子</w:t>
      </w:r>
      <w:r>
        <w:rPr>
          <w:rFonts w:hint="eastAsia" w:ascii="宋体" w:hAnsi="宋体" w:cs="宋体"/>
          <w:color w:val="auto"/>
          <w:sz w:val="24"/>
          <w:szCs w:val="24"/>
          <w:highlight w:val="none"/>
        </w:rPr>
        <w:t>费、</w:t>
      </w:r>
      <w:r>
        <w:rPr>
          <w:rFonts w:hint="eastAsia" w:ascii="宋体" w:hAnsi="宋体" w:cs="宋体"/>
          <w:color w:val="000000" w:themeColor="text1"/>
          <w:sz w:val="24"/>
          <w:szCs w:val="24"/>
          <w:highlight w:val="none"/>
          <w14:textFill>
            <w14:solidFill>
              <w14:schemeClr w14:val="tx1"/>
            </w14:solidFill>
          </w14:textFill>
        </w:rPr>
        <w:t>人</w:t>
      </w:r>
      <w:r>
        <w:rPr>
          <w:rFonts w:hint="eastAsia" w:ascii="宋体" w:hAnsi="宋体" w:cs="宋体"/>
          <w:sz w:val="24"/>
          <w:szCs w:val="24"/>
          <w:highlight w:val="none"/>
        </w:rPr>
        <w:t>工（劳务）费、机械设备费、物料、其他、运输费、应缴税费等，完成项目所需的其他全部费用；</w:t>
      </w:r>
    </w:p>
    <w:p w14:paraId="215D3205">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bookmarkStart w:id="29" w:name="OLE_LINK44"/>
      <w:r>
        <w:rPr>
          <w:rFonts w:hint="eastAsia" w:ascii="宋体" w:hAnsi="宋体" w:cs="宋体"/>
          <w:sz w:val="24"/>
          <w:szCs w:val="24"/>
          <w:highlight w:val="none"/>
        </w:rPr>
        <w:t>3本工程投标组价时应妥善考虑，正式施工时固定总价不因国家法律、行政法规和国家政策变化及原材料市场价发生变化等进行调整。</w:t>
      </w:r>
    </w:p>
    <w:bookmarkEnd w:id="29"/>
    <w:p w14:paraId="5F6BF42C">
      <w:pPr>
        <w:spacing w:line="360" w:lineRule="auto"/>
        <w:ind w:firstLine="480" w:firstLineChars="200"/>
        <w:rPr>
          <w:rFonts w:ascii="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4投标人应先到工地踏勘以充分了解工地位置、情况、道路、储存空间、装卸限制及任何其他足以影响投标价的情况，任何因投标人忽视或误解工地情况而导致的其提出的任何索赔或工期延长申请将不被批准。凡因投标人对招标文件阅读疏忽或误解，或因对施工现场、施工环境、市场行情等了解不清而造成的后果和风险，均由投标人负责。</w:t>
      </w:r>
    </w:p>
    <w:p w14:paraId="235EB2F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3.4.5编制投标报价的其他约定</w:t>
      </w:r>
    </w:p>
    <w:p w14:paraId="10858727">
      <w:pPr>
        <w:spacing w:line="360" w:lineRule="auto"/>
        <w:ind w:firstLine="480" w:firstLineChars="200"/>
        <w:rPr>
          <w:rFonts w:asciiTheme="minorEastAsia" w:hAnsiTheme="minorEastAsia" w:eastAsiaTheme="minorEastAsia" w:cstheme="minorEastAsia"/>
          <w:sz w:val="24"/>
          <w:szCs w:val="24"/>
          <w:highlight w:val="none"/>
        </w:rPr>
      </w:pPr>
      <w:bookmarkStart w:id="30" w:name="OLE_LINK21"/>
      <w:r>
        <w:rPr>
          <w:rFonts w:hint="eastAsia" w:asciiTheme="minorEastAsia" w:hAnsiTheme="minorEastAsia" w:eastAsiaTheme="minorEastAsia" w:cstheme="minorEastAsia"/>
          <w:sz w:val="24"/>
          <w:szCs w:val="24"/>
          <w:highlight w:val="none"/>
        </w:rPr>
        <w:t>3.4.6.</w:t>
      </w:r>
      <w:bookmarkEnd w:id="30"/>
      <w:r>
        <w:rPr>
          <w:rFonts w:hint="eastAsia" w:asciiTheme="minorEastAsia" w:hAnsiTheme="minorEastAsia" w:eastAsiaTheme="minorEastAsia" w:cstheme="minorEastAsia"/>
          <w:sz w:val="24"/>
          <w:szCs w:val="24"/>
          <w:highlight w:val="none"/>
        </w:rPr>
        <w:t>1投标人根据自行确定的施工组织设计或施工方案进行自主报价。</w:t>
      </w:r>
    </w:p>
    <w:p w14:paraId="379A342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3.4.6.2投标人应针对拟建工程编制保证安全施工、文明施工和环境保护的技术措施方案。</w:t>
      </w:r>
    </w:p>
    <w:p w14:paraId="79CC6AA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3.4.6.3投标人因承包本合同工程需缴纳的一切税费均由投标人承担，并包含在所报的单价或总额价内。</w:t>
      </w:r>
    </w:p>
    <w:p w14:paraId="5A48499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3.4.6.4投标人应为建设工程和施工场地内自有人员及第三方人员生命财产及运至施工场地内用于工程的材料办理保险，投标人的投标价中应含的保险费，承包人装备险和承包人职工的（人身）事故险由投标人在其他项目清单保险费栏内自主列报，中标后包干使用。施工期间在施工区域内因非招标人原因发生的设备、材料、人员等的损害、伤害，招标人不再承担任何责任和费用。</w:t>
      </w:r>
    </w:p>
    <w:p w14:paraId="79025DF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3.4.6.5投标报价中的总价要与综合单价相对应。</w:t>
      </w:r>
    </w:p>
    <w:p w14:paraId="3D16433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3.4.6.6投标函中的投标报价应与“投标总价”表中的投标总价数字相符，不允许在投标文件中出现两个报价。任何有选择的报价将不予接受，如“若我方中标，愿在中标价基础上再优惠或下浮多少”等类似报价方法,否则按无效投标处理。</w:t>
      </w:r>
      <w:bookmarkStart w:id="31" w:name="OLE_LINK64"/>
      <w:bookmarkStart w:id="32" w:name="OLE_LINK63"/>
      <w:bookmarkStart w:id="33" w:name="OLE_LINK74"/>
      <w:bookmarkStart w:id="34" w:name="OLE_LINK113"/>
      <w:bookmarkStart w:id="35" w:name="OLE_LINK20"/>
      <w:bookmarkStart w:id="36" w:name="OLE_LINK114"/>
    </w:p>
    <w:bookmarkEnd w:id="31"/>
    <w:bookmarkEnd w:id="32"/>
    <w:bookmarkEnd w:id="33"/>
    <w:bookmarkEnd w:id="34"/>
    <w:bookmarkEnd w:id="35"/>
    <w:bookmarkEnd w:id="36"/>
    <w:p w14:paraId="5AC2E4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3.4.7服务费收费标准：按国家计委颁发的《招标代理服务收费管理暂行办法》（计价格[2002]1980号）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国家发展</w:t>
      </w:r>
      <w:r>
        <w:rPr>
          <w:rFonts w:hint="eastAsia" w:asciiTheme="minorEastAsia" w:hAnsiTheme="minorEastAsia" w:eastAsiaTheme="minorEastAsia" w:cstheme="minorEastAsia"/>
          <w:sz w:val="24"/>
          <w:szCs w:val="24"/>
          <w:highlight w:val="none"/>
          <w:lang w:val="en-US" w:eastAsia="zh-CN"/>
        </w:rPr>
        <w:t>和</w:t>
      </w:r>
      <w:r>
        <w:rPr>
          <w:rFonts w:hint="eastAsia" w:asciiTheme="minorEastAsia" w:hAnsiTheme="minorEastAsia" w:eastAsiaTheme="minorEastAsia" w:cstheme="minorEastAsia"/>
          <w:sz w:val="24"/>
          <w:szCs w:val="24"/>
          <w:highlight w:val="none"/>
        </w:rPr>
        <w:t>改革委员会办公厅颁发的《关于招标代理服务收费有关问题的通知》（发改办价格[2003]857号）的有关标准执行。</w:t>
      </w:r>
    </w:p>
    <w:p w14:paraId="13C509F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服务费收取方式：中标人承担招标代理服务费，中标人在领取中标通知书前，须向</w:t>
      </w: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代理机构一次性支付招标代理服务费。</w:t>
      </w:r>
    </w:p>
    <w:p w14:paraId="2E8EDC30">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3.5 投标有效期</w:t>
      </w:r>
    </w:p>
    <w:p w14:paraId="438AE2E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 在投标人须知前附表规定的投标有效期内，投标人不得要求撤销或修改其投标文件。</w:t>
      </w:r>
    </w:p>
    <w:p w14:paraId="626726D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58C973">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3.6 投标保证金（本项目不缴纳投标保证金）</w:t>
      </w:r>
    </w:p>
    <w:p w14:paraId="7F94BC2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3.7备选投标方案</w:t>
      </w:r>
    </w:p>
    <w:p w14:paraId="058025C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除投标人须知前附表另有规定外，投标人不得递交备选投标方案。</w:t>
      </w:r>
    </w:p>
    <w:p w14:paraId="68CEF91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3.8投标文件的编制</w:t>
      </w:r>
    </w:p>
    <w:p w14:paraId="34A4CA6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3.8.1 投标文件应按“投标文件格式”进行编写，如有必要，可以增加附页，作为投标文件的组成部分。</w:t>
      </w:r>
    </w:p>
    <w:p w14:paraId="62FC5F8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3.8.2 投标文件应当对招标文件有关工期、投标有效期、质量要求、技术标准和要求、招标范围等实质性内容作出响应。</w:t>
      </w:r>
    </w:p>
    <w:p w14:paraId="19ACA08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3.8.3 投标文件需打印或用不褪色的蓝(黑)色墨水(汁)书写,并由投标人法定代表人或经法定代表人正式授权的代表签字。投标文件若由授权代表签署，须按招标文件规定的格式出具的“法定代表人授权委托书”原件附在投标文件中。所有要求签字（名）处，均须由签字（名）者本人用不褪色的蓝(黑)色墨水(汁)书写，不得用任何形式的图章代替。所有投标文件按第六章规定的顺序编排、并应编制目录、逐页标注连续页码，每一页的正下方清楚标明第几页、共几页等字样，并统一装订（胶装）成册。</w:t>
      </w:r>
    </w:p>
    <w:p w14:paraId="0998B06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3.8.4 投标文件正本、副本份数见投标人须知前附表。正本和副本的封面上应清楚地标记“正本”或“副本”、“包号：第  包”的字样。当副本和正本不一致时，以正本为准。电子版投标文件内容包括投标文件的所有内容。</w:t>
      </w:r>
    </w:p>
    <w:p w14:paraId="657C8398">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3.8.5 所有投标文件正本和副本须按第八章规定的顺序编排、编制目录、</w:t>
      </w:r>
      <w:r>
        <w:rPr>
          <w:rFonts w:hint="eastAsia" w:asciiTheme="minorEastAsia" w:hAnsiTheme="minorEastAsia" w:eastAsiaTheme="minorEastAsia" w:cstheme="minorEastAsia"/>
          <w:b/>
          <w:bCs/>
          <w:sz w:val="24"/>
          <w:szCs w:val="24"/>
          <w:highlight w:val="none"/>
        </w:rPr>
        <w:t>投标文件正本需逐页加盖投标人公章</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sz w:val="24"/>
          <w:szCs w:val="24"/>
          <w:highlight w:val="none"/>
        </w:rPr>
        <w:t>并分别胶装成册。</w:t>
      </w:r>
    </w:p>
    <w:p w14:paraId="465551CB">
      <w:pPr>
        <w:spacing w:beforeLines="50" w:afterLines="50" w:line="360" w:lineRule="auto"/>
        <w:rPr>
          <w:rFonts w:asciiTheme="minorEastAsia" w:hAnsiTheme="minorEastAsia" w:eastAsiaTheme="minorEastAsia" w:cstheme="minorEastAsia"/>
          <w:b/>
          <w:bCs/>
          <w:sz w:val="24"/>
          <w:szCs w:val="24"/>
          <w:highlight w:val="none"/>
        </w:rPr>
      </w:pPr>
      <w:bookmarkStart w:id="37" w:name="_Toc420591646"/>
      <w:bookmarkStart w:id="38" w:name="_Toc421778368"/>
      <w:bookmarkStart w:id="39" w:name="_Toc425240467"/>
      <w:r>
        <w:rPr>
          <w:rFonts w:hint="eastAsia" w:asciiTheme="minorEastAsia" w:hAnsiTheme="minorEastAsia" w:eastAsiaTheme="minorEastAsia" w:cstheme="minorEastAsia"/>
          <w:b/>
          <w:bCs/>
          <w:sz w:val="24"/>
          <w:szCs w:val="24"/>
          <w:highlight w:val="none"/>
        </w:rPr>
        <w:t>4．投标</w:t>
      </w:r>
      <w:bookmarkEnd w:id="37"/>
      <w:bookmarkEnd w:id="38"/>
      <w:bookmarkEnd w:id="39"/>
    </w:p>
    <w:p w14:paraId="4F001A59">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4.1 投标文件的密封和标记</w:t>
      </w:r>
    </w:p>
    <w:p w14:paraId="02D7F16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4.1.1投标文件的密封：投标文件须胶装成套且须用密封袋密封，包括投标文件正本、副本、投标文件电子版，开标一览表（投标人需另外单独准备一份与正本内容一致的开标一览表），若与正本内容不一致，则按单独的开标一览表为准。</w:t>
      </w:r>
    </w:p>
    <w:p w14:paraId="595BF84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4.1.2投标文件的封套上应清楚地标记“正本”、“副本”“第</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包”字样，封套上应写明的其他内容见投标人须知前附表。</w:t>
      </w:r>
    </w:p>
    <w:p w14:paraId="0E30EE7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4.1.3未按本章第3.6.3、第3.6.4项和第4.1.2项要求密封和加写标记的投标文件，招标代理机构不予受理。</w:t>
      </w:r>
    </w:p>
    <w:p w14:paraId="0F3DE11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4.2 投标文件的递交</w:t>
      </w:r>
    </w:p>
    <w:p w14:paraId="7C25818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 投标人应在投标人须知前附表第4.2.2 项规定的投标截止时间前递交投标文件。</w:t>
      </w:r>
    </w:p>
    <w:p w14:paraId="77E8FD7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 投标人递交投标文件的地点：见投标人须知前附表。</w:t>
      </w:r>
    </w:p>
    <w:p w14:paraId="6E06687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 投标人所递交的投标文件不予退还。</w:t>
      </w:r>
    </w:p>
    <w:p w14:paraId="7DA6FC7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4.2.4逾期送达的或者未送达指定地点的投标文件，</w:t>
      </w:r>
      <w:bookmarkStart w:id="40" w:name="OLE_LINK50"/>
      <w:r>
        <w:rPr>
          <w:rFonts w:hint="eastAsia" w:asciiTheme="minorEastAsia" w:hAnsiTheme="minorEastAsia" w:eastAsiaTheme="minorEastAsia" w:cstheme="minorEastAsia"/>
          <w:sz w:val="24"/>
          <w:szCs w:val="24"/>
          <w:highlight w:val="none"/>
        </w:rPr>
        <w:t>招标代理机构</w:t>
      </w:r>
      <w:bookmarkEnd w:id="40"/>
      <w:r>
        <w:rPr>
          <w:rFonts w:hint="eastAsia" w:asciiTheme="minorEastAsia" w:hAnsiTheme="minorEastAsia" w:eastAsiaTheme="minorEastAsia" w:cstheme="minorEastAsia"/>
          <w:sz w:val="24"/>
          <w:szCs w:val="24"/>
          <w:highlight w:val="none"/>
        </w:rPr>
        <w:t>不予受理。</w:t>
      </w:r>
    </w:p>
    <w:p w14:paraId="5A35447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4.3 投标文件的修改与撤回</w:t>
      </w:r>
    </w:p>
    <w:p w14:paraId="5B39BF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 在投标人须知前附表第4.2.2 项规定的投标截止时间前，投标人可以修改或撤回已递交的投标文件，但应以书面形式通知招标人。</w:t>
      </w:r>
    </w:p>
    <w:p w14:paraId="1FE3888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 投标人修改或撤回已递交投标文件的书面通知应按照本章第3.6.5项的要求签字和盖章。</w:t>
      </w:r>
    </w:p>
    <w:p w14:paraId="66358C7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4.3.3 修改的内容为投标文件的组成部分。修改的投标文件应按照本章第3条、第4条规定进行编制、密封、标记和递交，并标明“修改”字样。</w:t>
      </w:r>
    </w:p>
    <w:p w14:paraId="79C1C76A">
      <w:pPr>
        <w:spacing w:beforeLines="50" w:afterLines="50" w:line="360" w:lineRule="auto"/>
        <w:rPr>
          <w:rFonts w:asciiTheme="minorEastAsia" w:hAnsiTheme="minorEastAsia" w:eastAsiaTheme="minorEastAsia" w:cstheme="minorEastAsia"/>
          <w:b/>
          <w:bCs/>
          <w:sz w:val="24"/>
          <w:szCs w:val="24"/>
          <w:highlight w:val="none"/>
        </w:rPr>
      </w:pPr>
      <w:bookmarkStart w:id="41" w:name="_Toc420591647"/>
      <w:bookmarkStart w:id="42" w:name="_Toc425240468"/>
      <w:bookmarkStart w:id="43" w:name="_Toc421778369"/>
      <w:r>
        <w:rPr>
          <w:rFonts w:hint="eastAsia" w:asciiTheme="minorEastAsia" w:hAnsiTheme="minorEastAsia" w:eastAsiaTheme="minorEastAsia" w:cstheme="minorEastAsia"/>
          <w:b/>
          <w:bCs/>
          <w:sz w:val="24"/>
          <w:szCs w:val="24"/>
          <w:highlight w:val="none"/>
        </w:rPr>
        <w:t>5．开标</w:t>
      </w:r>
      <w:bookmarkEnd w:id="41"/>
      <w:bookmarkEnd w:id="42"/>
      <w:bookmarkEnd w:id="43"/>
    </w:p>
    <w:p w14:paraId="246F6C7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5.1 开标时间和地点</w:t>
      </w:r>
    </w:p>
    <w:p w14:paraId="019752B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见投标人须知前附表。</w:t>
      </w:r>
    </w:p>
    <w:p w14:paraId="20E640E2">
      <w:pPr>
        <w:spacing w:beforeLines="50" w:afterLines="50" w:line="360" w:lineRule="auto"/>
        <w:rPr>
          <w:rFonts w:asciiTheme="minorEastAsia" w:hAnsiTheme="minorEastAsia" w:eastAsiaTheme="minorEastAsia" w:cstheme="minorEastAsia"/>
          <w:b/>
          <w:bCs/>
          <w:sz w:val="24"/>
          <w:szCs w:val="24"/>
          <w:highlight w:val="none"/>
        </w:rPr>
      </w:pPr>
      <w:bookmarkStart w:id="44" w:name="_Toc420591648"/>
      <w:bookmarkStart w:id="45" w:name="_Toc421778370"/>
      <w:bookmarkStart w:id="46" w:name="_Toc425240469"/>
      <w:r>
        <w:rPr>
          <w:rFonts w:hint="eastAsia" w:asciiTheme="minorEastAsia" w:hAnsiTheme="minorEastAsia" w:eastAsiaTheme="minorEastAsia" w:cstheme="minorEastAsia"/>
          <w:b/>
          <w:bCs/>
          <w:sz w:val="24"/>
          <w:szCs w:val="24"/>
          <w:highlight w:val="none"/>
        </w:rPr>
        <w:t>6．评标</w:t>
      </w:r>
      <w:bookmarkEnd w:id="44"/>
      <w:bookmarkEnd w:id="45"/>
      <w:bookmarkEnd w:id="46"/>
    </w:p>
    <w:p w14:paraId="2D2B85EC">
      <w:pPr>
        <w:spacing w:line="360" w:lineRule="auto"/>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6.1 评标委员会</w:t>
      </w:r>
    </w:p>
    <w:p w14:paraId="0FA4B4A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 评标由招标人依法组建的评标委员会负责。评标委员会由招标人代表和具备相关专业的专家等</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人以上单数组成评标委员会；</w:t>
      </w:r>
    </w:p>
    <w:p w14:paraId="46C6191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6.1.2 评标委员会成员有下列情形之一的，应当回避：</w:t>
      </w:r>
    </w:p>
    <w:p w14:paraId="773D50C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(1）投标人或投标人的主要负责人的近亲属；</w:t>
      </w:r>
    </w:p>
    <w:p w14:paraId="606D70A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(2）与投标人有经济利益关系，可能影响对投标公正评审的；</w:t>
      </w:r>
    </w:p>
    <w:p w14:paraId="709D960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(3）曾因在招标、评标以及其他与招标投标有关活动中从事违法行为而受过行政处罚或刑事处罚的。</w:t>
      </w:r>
    </w:p>
    <w:p w14:paraId="30B7D37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6.2 评标原则</w:t>
      </w:r>
    </w:p>
    <w:p w14:paraId="57A4CD4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评标活动遵循公平、公正、科学和择优的原则。</w:t>
      </w:r>
    </w:p>
    <w:p w14:paraId="7FC0521D">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6.3 评标</w:t>
      </w:r>
    </w:p>
    <w:p w14:paraId="426E27E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6.3.1评标委员会按照第三章“评标办法”规定的方法、评审因素、标准和程序对投标文件进行评审。第三章“评标办法”没有规定的方法、评审因素和标准，不作为评标依据。</w:t>
      </w:r>
    </w:p>
    <w:p w14:paraId="08FD190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6.3.2评标过程的保密</w:t>
      </w:r>
    </w:p>
    <w:p w14:paraId="03FBD73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（1）开标后，直至授予中标人合同为止，凡属于对投标文件的审查、补遗、评价和比较的有关资料以及中标候选人的推荐情况等均严格保密。</w:t>
      </w:r>
    </w:p>
    <w:p w14:paraId="39EF210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（2）在投标文件的评审、中标候选人推荐以及授予合同的过程中，投标人向招标人和评标委员会施加影响的任何行为，都将会导致其投标被拒绝直至取消其中标资格。</w:t>
      </w:r>
    </w:p>
    <w:p w14:paraId="35BD8E6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（3）中标人确定后，招标人不对未中标人就评标过程以及未能中标原因作出任何解释。未中标人不得向评标委员会组成人员或其他有关人员索问评标过程的情况和材料。</w:t>
      </w:r>
    </w:p>
    <w:p w14:paraId="3446D31E">
      <w:pPr>
        <w:spacing w:beforeLines="50" w:afterLines="50" w:line="360" w:lineRule="auto"/>
        <w:rPr>
          <w:rFonts w:asciiTheme="minorEastAsia" w:hAnsiTheme="minorEastAsia" w:eastAsiaTheme="minorEastAsia" w:cstheme="minorEastAsia"/>
          <w:b/>
          <w:bCs/>
          <w:sz w:val="24"/>
          <w:szCs w:val="24"/>
          <w:highlight w:val="none"/>
        </w:rPr>
      </w:pPr>
      <w:bookmarkStart w:id="47" w:name="_Toc420591649"/>
      <w:bookmarkStart w:id="48" w:name="_Toc425240470"/>
      <w:bookmarkStart w:id="49" w:name="_Toc421778371"/>
      <w:r>
        <w:rPr>
          <w:rFonts w:hint="eastAsia" w:asciiTheme="minorEastAsia" w:hAnsiTheme="minorEastAsia" w:eastAsiaTheme="minorEastAsia" w:cstheme="minorEastAsia"/>
          <w:b/>
          <w:bCs/>
          <w:sz w:val="24"/>
          <w:szCs w:val="24"/>
          <w:highlight w:val="none"/>
        </w:rPr>
        <w:t>7．合同授予</w:t>
      </w:r>
      <w:bookmarkEnd w:id="47"/>
      <w:bookmarkEnd w:id="48"/>
      <w:bookmarkEnd w:id="49"/>
    </w:p>
    <w:p w14:paraId="30D1846F">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7.1 定标方式</w:t>
      </w:r>
    </w:p>
    <w:p w14:paraId="1FFA482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评标委员会推荐3名中标候选人，并标明推荐顺序，招标人依据评标委员会推荐的中标候选人确定中标人。</w:t>
      </w:r>
    </w:p>
    <w:p w14:paraId="582AE27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7.2 中标通知</w:t>
      </w:r>
    </w:p>
    <w:p w14:paraId="0752FBA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在本章第3.3 款规定的投标有效期内，经招标人同意由招标代理机构以书面形式向中标人发出中标通知书。</w:t>
      </w:r>
    </w:p>
    <w:p w14:paraId="4B5F336A">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7.3 签订合同</w:t>
      </w:r>
    </w:p>
    <w:p w14:paraId="3D428C9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7.3.1 招标人和中标人应当自中标通知书发出之日起30天内，根据招标文件和中标人的投标文件订立书面合同；中标人无正当理由拒签合同的，招标人取消其中标资格，其投标保证金不予退还；给招标人和招标代理机构造成的损失超过投标保证金数额的，中标人还应当对超过部分予以赔偿。</w:t>
      </w:r>
    </w:p>
    <w:p w14:paraId="2F37A574">
      <w:pPr>
        <w:spacing w:beforeLines="50" w:afterLines="50" w:line="360" w:lineRule="auto"/>
        <w:rPr>
          <w:rFonts w:asciiTheme="minorEastAsia" w:hAnsiTheme="minorEastAsia" w:eastAsiaTheme="minorEastAsia" w:cstheme="minorEastAsia"/>
          <w:b/>
          <w:bCs/>
          <w:sz w:val="24"/>
          <w:szCs w:val="24"/>
          <w:highlight w:val="none"/>
        </w:rPr>
      </w:pPr>
      <w:bookmarkStart w:id="50" w:name="_Toc421778372"/>
      <w:bookmarkStart w:id="51" w:name="_Toc420591650"/>
      <w:bookmarkStart w:id="52" w:name="_Toc425240471"/>
      <w:r>
        <w:rPr>
          <w:rFonts w:hint="eastAsia" w:asciiTheme="minorEastAsia" w:hAnsiTheme="minorEastAsia" w:eastAsiaTheme="minorEastAsia" w:cstheme="minorEastAsia"/>
          <w:b/>
          <w:bCs/>
          <w:sz w:val="24"/>
          <w:szCs w:val="24"/>
          <w:highlight w:val="none"/>
        </w:rPr>
        <w:t>8．重新招标和不再招标</w:t>
      </w:r>
      <w:bookmarkEnd w:id="50"/>
      <w:bookmarkEnd w:id="51"/>
      <w:bookmarkEnd w:id="52"/>
    </w:p>
    <w:p w14:paraId="6A1EF8F8">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8.1 重新招标</w:t>
      </w:r>
    </w:p>
    <w:p w14:paraId="6EF6120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有下列情形之一的，招标人将重新招标：</w:t>
      </w:r>
    </w:p>
    <w:p w14:paraId="0134393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（l）投标截止时间止，投标人少于3个的；</w:t>
      </w:r>
    </w:p>
    <w:p w14:paraId="217047D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（2）经评标委员会评审后否决所有投标的。</w:t>
      </w:r>
    </w:p>
    <w:p w14:paraId="349ABA27">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8.2 不再招标</w:t>
      </w:r>
    </w:p>
    <w:p w14:paraId="5202994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重新招标后投标人仍少于3个或者所有投标被否决的，属于必须审批或核准的工程建设项目，经原审批或核准部门批准后不再进行招标。</w:t>
      </w:r>
    </w:p>
    <w:p w14:paraId="536BD6C1">
      <w:pPr>
        <w:spacing w:beforeLines="50" w:afterLines="50" w:line="360" w:lineRule="auto"/>
        <w:rPr>
          <w:rFonts w:asciiTheme="minorEastAsia" w:hAnsiTheme="minorEastAsia" w:eastAsiaTheme="minorEastAsia" w:cstheme="minorEastAsia"/>
          <w:b/>
          <w:bCs/>
          <w:sz w:val="24"/>
          <w:szCs w:val="24"/>
          <w:highlight w:val="none"/>
        </w:rPr>
      </w:pPr>
      <w:bookmarkStart w:id="53" w:name="_Toc425240472"/>
      <w:bookmarkStart w:id="54" w:name="_Toc420591651"/>
      <w:bookmarkStart w:id="55" w:name="_Toc421778373"/>
      <w:r>
        <w:rPr>
          <w:rFonts w:hint="eastAsia" w:asciiTheme="minorEastAsia" w:hAnsiTheme="minorEastAsia" w:eastAsiaTheme="minorEastAsia" w:cstheme="minorEastAsia"/>
          <w:b/>
          <w:bCs/>
          <w:sz w:val="24"/>
          <w:szCs w:val="24"/>
          <w:highlight w:val="none"/>
        </w:rPr>
        <w:t>9．纪律和监督</w:t>
      </w:r>
      <w:bookmarkEnd w:id="53"/>
      <w:bookmarkEnd w:id="54"/>
      <w:bookmarkEnd w:id="55"/>
    </w:p>
    <w:p w14:paraId="479437A4">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9.1 对招标人的纪律要求</w:t>
      </w:r>
    </w:p>
    <w:p w14:paraId="2A1BA90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招标人不得泄漏招标投标活动中应当保密的情况和资料，不得与投标人串通损害国家利益、社会公共利益或者他人合法权益。</w:t>
      </w:r>
    </w:p>
    <w:p w14:paraId="76B1E816">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9.2 对投标人的纪律要求</w:t>
      </w:r>
    </w:p>
    <w:p w14:paraId="7D0A0D7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9B6D96E">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9.3 对评标委员会成员的纪律要求</w:t>
      </w:r>
    </w:p>
    <w:p w14:paraId="1B0F920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33146DC">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9.4 对与评标活动有关的工作人员的纪律要求</w:t>
      </w:r>
    </w:p>
    <w:p w14:paraId="7B882A32">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B393ABB">
      <w:pPr>
        <w:spacing w:line="360" w:lineRule="auto"/>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9.5 投诉</w:t>
      </w:r>
    </w:p>
    <w:p w14:paraId="485068F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投标人和其他利害关系人认为本次招标活动违反法律、法规和规章规定的，有权向有关行政监督部门投诉。</w:t>
      </w:r>
    </w:p>
    <w:p w14:paraId="4C6A6C7D">
      <w:pPr>
        <w:spacing w:beforeLines="50" w:afterLines="50" w:line="360" w:lineRule="auto"/>
        <w:rPr>
          <w:rFonts w:asciiTheme="minorEastAsia" w:hAnsiTheme="minorEastAsia" w:eastAsiaTheme="minorEastAsia" w:cstheme="minorEastAsia"/>
          <w:b/>
          <w:bCs/>
          <w:sz w:val="24"/>
          <w:szCs w:val="24"/>
          <w:highlight w:val="none"/>
        </w:rPr>
      </w:pPr>
      <w:bookmarkStart w:id="56" w:name="_Toc425240473"/>
      <w:bookmarkStart w:id="57" w:name="_Toc420591652"/>
      <w:bookmarkStart w:id="58" w:name="_Toc421778374"/>
      <w:r>
        <w:rPr>
          <w:rFonts w:hint="eastAsia" w:asciiTheme="minorEastAsia" w:hAnsiTheme="minorEastAsia" w:eastAsiaTheme="minorEastAsia" w:cstheme="minorEastAsia"/>
          <w:b/>
          <w:bCs/>
          <w:sz w:val="24"/>
          <w:szCs w:val="24"/>
          <w:highlight w:val="none"/>
        </w:rPr>
        <w:t>10、需要补充的其他内容：</w:t>
      </w:r>
      <w:bookmarkStart w:id="59" w:name="_Toc356305901"/>
      <w:r>
        <w:rPr>
          <w:rFonts w:hint="eastAsia" w:asciiTheme="minorEastAsia" w:hAnsiTheme="minorEastAsia" w:eastAsiaTheme="minorEastAsia" w:cstheme="minorEastAsia"/>
          <w:b/>
          <w:bCs/>
          <w:sz w:val="24"/>
          <w:szCs w:val="24"/>
          <w:highlight w:val="none"/>
        </w:rPr>
        <w:t>详见投标人须知前附表</w:t>
      </w:r>
      <w:bookmarkEnd w:id="59"/>
      <w:r>
        <w:rPr>
          <w:rFonts w:hint="eastAsia" w:asciiTheme="minorEastAsia" w:hAnsiTheme="minorEastAsia" w:eastAsiaTheme="minorEastAsia" w:cstheme="minorEastAsia"/>
          <w:b/>
          <w:bCs/>
          <w:sz w:val="24"/>
          <w:szCs w:val="24"/>
          <w:highlight w:val="none"/>
        </w:rPr>
        <w:t>。</w:t>
      </w:r>
      <w:bookmarkEnd w:id="56"/>
      <w:bookmarkEnd w:id="57"/>
      <w:bookmarkEnd w:id="58"/>
    </w:p>
    <w:p w14:paraId="0EDC1FAD">
      <w:pPr>
        <w:spacing w:beforeLines="50" w:afterLines="50" w:line="360" w:lineRule="auto"/>
        <w:rPr>
          <w:rFonts w:asciiTheme="minorEastAsia" w:hAnsiTheme="minorEastAsia" w:eastAsiaTheme="minorEastAsia" w:cstheme="minorEastAsia"/>
          <w:b/>
          <w:bCs/>
          <w:sz w:val="24"/>
          <w:szCs w:val="24"/>
          <w:highlight w:val="none"/>
        </w:rPr>
      </w:pPr>
      <w:bookmarkStart w:id="60" w:name="_Toc421778375"/>
      <w:bookmarkStart w:id="61" w:name="_Toc425240474"/>
      <w:bookmarkStart w:id="62" w:name="_Toc420591653"/>
      <w:r>
        <w:rPr>
          <w:rFonts w:hint="eastAsia" w:asciiTheme="minorEastAsia" w:hAnsiTheme="minorEastAsia" w:eastAsiaTheme="minorEastAsia" w:cstheme="minorEastAsia"/>
          <w:b/>
          <w:bCs/>
          <w:sz w:val="24"/>
          <w:szCs w:val="24"/>
          <w:highlight w:val="none"/>
        </w:rPr>
        <w:t>11、招标代理服务费</w:t>
      </w:r>
      <w:bookmarkEnd w:id="60"/>
      <w:bookmarkEnd w:id="61"/>
      <w:bookmarkEnd w:id="62"/>
    </w:p>
    <w:p w14:paraId="6A0045D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11.1由中标单位向招标代理机构一次性缴付招标代理服务费。</w:t>
      </w:r>
    </w:p>
    <w:p w14:paraId="4F514AA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收费标准：按国家计委颁发的《招标代理服务收费管理暂行办法》（计价格[2002]1980号）、国家发展和改革委员会办公厅颁发的《关于招标代理服务收费有关问题的通知》（发改办价格[2003]857号）的有关标准执行。</w:t>
      </w:r>
    </w:p>
    <w:p w14:paraId="1FFFB191">
      <w:pPr>
        <w:spacing w:line="500" w:lineRule="exact"/>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12.质疑</w:t>
      </w:r>
    </w:p>
    <w:p w14:paraId="021C793B">
      <w:pPr>
        <w:spacing w:line="500" w:lineRule="exact"/>
        <w:ind w:right="12"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12.1投标人认为招标文件、招标过程、中标结果使自己的权益受到损害的，可以在知道或者应知其权益受到损害之日起7个工作日内，以书面形式向采购人、采购代理机构提出质疑。</w:t>
      </w:r>
    </w:p>
    <w:p w14:paraId="215DE7F6">
      <w:pPr>
        <w:spacing w:line="500" w:lineRule="exact"/>
        <w:ind w:right="12" w:firstLine="480"/>
        <w:rPr>
          <w:rStyle w:val="30"/>
          <w:rFonts w:asciiTheme="minorEastAsia" w:hAnsiTheme="minorEastAsia" w:eastAsiaTheme="minorEastAsia" w:cstheme="minorEastAsia"/>
          <w:bCs w:val="0"/>
          <w:sz w:val="24"/>
          <w:szCs w:val="24"/>
          <w:highlight w:val="none"/>
          <w:shd w:val="clear" w:color="auto" w:fill="FFFFFF"/>
        </w:rPr>
      </w:pPr>
      <w:r>
        <w:rPr>
          <w:rFonts w:hint="eastAsia" w:asciiTheme="minorEastAsia" w:hAnsiTheme="minorEastAsia" w:eastAsiaTheme="minorEastAsia" w:cstheme="minorEastAsia"/>
          <w:sz w:val="24"/>
          <w:szCs w:val="24"/>
          <w:highlight w:val="none"/>
        </w:rPr>
        <w:t>12.2投标人必须在法定质疑期内一次性提出针对同一采购程序环节的质疑。</w:t>
      </w:r>
    </w:p>
    <w:p w14:paraId="3377DE62">
      <w:pPr>
        <w:spacing w:line="500" w:lineRule="exact"/>
        <w:ind w:left="3" w:firstLine="518" w:firstLineChars="216"/>
        <w:rPr>
          <w:rStyle w:val="30"/>
          <w:rFonts w:asciiTheme="minorEastAsia" w:hAnsiTheme="minorEastAsia" w:eastAsiaTheme="minorEastAsia" w:cstheme="minorEastAsia"/>
          <w:sz w:val="24"/>
          <w:szCs w:val="24"/>
          <w:highlight w:val="none"/>
          <w:shd w:val="clear" w:color="auto" w:fill="FFFFFF"/>
        </w:rPr>
      </w:pPr>
      <w:r>
        <w:rPr>
          <w:rStyle w:val="30"/>
          <w:rFonts w:hint="eastAsia" w:asciiTheme="minorEastAsia" w:hAnsiTheme="minorEastAsia" w:eastAsiaTheme="minorEastAsia" w:cstheme="minorEastAsia"/>
          <w:sz w:val="24"/>
          <w:szCs w:val="24"/>
          <w:highlight w:val="none"/>
          <w:shd w:val="clear" w:color="auto" w:fill="FFFFFF"/>
        </w:rPr>
        <w:t>12.3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8EB3907">
      <w:pPr>
        <w:spacing w:line="500" w:lineRule="exact"/>
        <w:ind w:left="3" w:firstLine="518" w:firstLineChars="216"/>
        <w:rPr>
          <w:rStyle w:val="30"/>
          <w:rFonts w:asciiTheme="minorEastAsia" w:hAnsiTheme="minorEastAsia" w:eastAsiaTheme="minorEastAsia" w:cstheme="minorEastAsia"/>
          <w:sz w:val="24"/>
          <w:szCs w:val="24"/>
          <w:highlight w:val="none"/>
          <w:shd w:val="clear" w:color="auto" w:fill="FFFFFF"/>
        </w:rPr>
      </w:pPr>
      <w:r>
        <w:rPr>
          <w:rStyle w:val="30"/>
          <w:rFonts w:hint="eastAsia" w:asciiTheme="minorEastAsia" w:hAnsiTheme="minorEastAsia" w:eastAsiaTheme="minorEastAsia" w:cstheme="minorEastAsia"/>
          <w:sz w:val="24"/>
          <w:szCs w:val="24"/>
          <w:highlight w:val="none"/>
          <w:shd w:val="clear" w:color="auto" w:fill="FFFFFF"/>
        </w:rPr>
        <w:t>12.4以联合体形式参加政府采购活动的，其质疑应当由组成联合体的所有投标人共同提出。</w:t>
      </w:r>
    </w:p>
    <w:p w14:paraId="4C0AC3EC">
      <w:pPr>
        <w:spacing w:line="500" w:lineRule="exact"/>
        <w:ind w:right="12" w:firstLine="480" w:firstLineChars="200"/>
        <w:rPr>
          <w:rFonts w:asciiTheme="minorEastAsia" w:hAnsiTheme="minorEastAsia" w:eastAsiaTheme="minorEastAsia" w:cstheme="minorEastAsia"/>
          <w:sz w:val="24"/>
          <w:szCs w:val="24"/>
          <w:highlight w:val="none"/>
        </w:rPr>
      </w:pPr>
      <w:r>
        <w:rPr>
          <w:rStyle w:val="30"/>
          <w:rFonts w:hint="eastAsia" w:asciiTheme="minorEastAsia" w:hAnsiTheme="minorEastAsia" w:eastAsiaTheme="minorEastAsia" w:cstheme="minorEastAsia"/>
          <w:sz w:val="24"/>
          <w:szCs w:val="24"/>
          <w:highlight w:val="none"/>
          <w:shd w:val="clear" w:color="auto" w:fill="FFFFFF"/>
        </w:rPr>
        <w:t>12</w:t>
      </w:r>
      <w:r>
        <w:rPr>
          <w:rFonts w:hint="eastAsia" w:asciiTheme="minorEastAsia" w:hAnsiTheme="minorEastAsia" w:eastAsiaTheme="minorEastAsia" w:cstheme="minorEastAsia"/>
          <w:sz w:val="24"/>
          <w:szCs w:val="24"/>
          <w:highlight w:val="none"/>
        </w:rPr>
        <w:t>.5投标人提出质疑应当提交质疑函和必要的证明材料。质疑函应当包括下列内容：</w:t>
      </w:r>
    </w:p>
    <w:p w14:paraId="54E392A1">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12.5.1投标人的姓名或者名称、地址、邮编、联系人及联系电话；</w:t>
      </w:r>
    </w:p>
    <w:p w14:paraId="2803FA07">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12.5.2质疑项目的名称、编号；</w:t>
      </w:r>
    </w:p>
    <w:p w14:paraId="356D75AC">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12.5.3具体、明确的质疑事项和与质疑事项相关的请求；</w:t>
      </w:r>
    </w:p>
    <w:p w14:paraId="43F208BC">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12.5.4事实依据；</w:t>
      </w:r>
    </w:p>
    <w:p w14:paraId="53BDE7F9">
      <w:pPr>
        <w:spacing w:line="500" w:lineRule="exact"/>
        <w:ind w:right="12"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12.5.5必要的法律依据；</w:t>
      </w:r>
    </w:p>
    <w:p w14:paraId="6D880EA8">
      <w:pPr>
        <w:spacing w:line="500" w:lineRule="exact"/>
        <w:ind w:right="12" w:firstLine="480" w:firstLineChars="200"/>
        <w:rPr>
          <w:rStyle w:val="30"/>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12.5.6提出质疑的日期。</w:t>
      </w:r>
    </w:p>
    <w:p w14:paraId="25E1B1E3">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12.6有下列情形之一的，属于无效质疑，采购代理机构和采购人不予受理：</w:t>
      </w:r>
    </w:p>
    <w:p w14:paraId="5E026B7B">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12.6.1质疑投标人不是参与本次政府采购项目的投标人；</w:t>
      </w:r>
    </w:p>
    <w:p w14:paraId="003E2F59">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12.6.2质疑投标人与质疑事项不存在利害关系的；</w:t>
      </w:r>
    </w:p>
    <w:p w14:paraId="628DAB3D">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12.6.3未在法定期限内提出质疑的；</w:t>
      </w:r>
    </w:p>
    <w:p w14:paraId="68EAB890">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12.6.4质疑未以书面形式提出，或质疑函主要内容构成不完整的；</w:t>
      </w:r>
    </w:p>
    <w:p w14:paraId="2CA6FD17">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12.6.5应当提交授权书而未提交的；</w:t>
      </w:r>
    </w:p>
    <w:p w14:paraId="2C4DDAD0">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12.6.6以非法手段取得证据、材料的；</w:t>
      </w:r>
    </w:p>
    <w:p w14:paraId="53E5ACA5">
      <w:pPr>
        <w:widowControl/>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12.6.7质疑答复后，同一质疑人就同一事项或同一采购程序环节再次提出质疑的；</w:t>
      </w:r>
    </w:p>
    <w:p w14:paraId="3D183759">
      <w:pPr>
        <w:widowControl/>
        <w:spacing w:line="500" w:lineRule="exact"/>
        <w:ind w:firstLine="480" w:firstLineChars="200"/>
        <w:rPr>
          <w:rStyle w:val="30"/>
          <w:rFonts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rPr>
        <w:t>12.6.8不符合法律、法规、规章和政府采购监管机构规定的其他条件的。</w:t>
      </w:r>
    </w:p>
    <w:p w14:paraId="06689DE1">
      <w:pPr>
        <w:spacing w:line="500" w:lineRule="exact"/>
        <w:ind w:right="1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12.7质疑答复</w:t>
      </w:r>
    </w:p>
    <w:p w14:paraId="70CDDD8E">
      <w:pPr>
        <w:pStyle w:val="41"/>
        <w:spacing w:line="500" w:lineRule="exact"/>
        <w:ind w:firstLine="48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12.7.1采购人或采购代理机构在收到质疑函后7个工作日内作出答复，并以书面形式通知质疑投标人和其他有关投标人。</w:t>
      </w:r>
    </w:p>
    <w:p w14:paraId="53898CA7">
      <w:pPr>
        <w:pStyle w:val="41"/>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12.7.2质疑投标人对采购人、采购代理机构的答复不满意，或者采购人、采购代理机构未在规定时间内作出答复的，可以在答复期满后15个工作日内向项目主管财政部门提起投诉。</w:t>
      </w:r>
    </w:p>
    <w:p w14:paraId="1ABA2E51">
      <w:pPr>
        <w:pStyle w:val="41"/>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12.8.1质疑函须按财政部《质疑函范本》给定的格式进行填写，范本下载详见【财政部国库司（gks.mof.gov.cn）】网站〖首页·政府采购管理〗栏目中的《政府采购供应商质疑函范本》。《政府采购供应商质疑函范本》链接地址：</w:t>
      </w:r>
    </w:p>
    <w:p w14:paraId="565789B2">
      <w:pPr>
        <w:pStyle w:val="41"/>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http://gks.mof.gov.cn/zhengfucaigouguanli/201802/t20180201_2804589.html</w:t>
      </w:r>
    </w:p>
    <w:p w14:paraId="1AC2E63E">
      <w:pPr>
        <w:pStyle w:val="41"/>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12.8.2接收质疑函的方式：书面形式</w:t>
      </w:r>
    </w:p>
    <w:p w14:paraId="70380300">
      <w:pPr>
        <w:pStyle w:val="41"/>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12.8.3联系部门：</w:t>
      </w:r>
      <w:r>
        <w:rPr>
          <w:rFonts w:hint="eastAsia" w:asciiTheme="minorEastAsia" w:hAnsiTheme="minorEastAsia" w:eastAsiaTheme="minorEastAsia" w:cstheme="minorEastAsia"/>
          <w:sz w:val="24"/>
          <w:szCs w:val="24"/>
          <w:highlight w:val="none"/>
          <w:lang w:eastAsia="zh-CN"/>
        </w:rPr>
        <w:t>陕西启航项目管理咨询有限公司</w:t>
      </w:r>
      <w:r>
        <w:rPr>
          <w:rFonts w:hint="eastAsia" w:asciiTheme="minorEastAsia" w:hAnsiTheme="minorEastAsia" w:eastAsiaTheme="minorEastAsia" w:cstheme="minorEastAsia"/>
          <w:sz w:val="24"/>
          <w:szCs w:val="24"/>
          <w:highlight w:val="none"/>
        </w:rPr>
        <w:t>前台</w:t>
      </w:r>
    </w:p>
    <w:p w14:paraId="09694EEE">
      <w:pPr>
        <w:pStyle w:val="41"/>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12.8.4联系电话：</w:t>
      </w:r>
      <w:r>
        <w:rPr>
          <w:rFonts w:hint="eastAsia" w:ascii="宋体" w:hAnsi="宋体" w:eastAsia="宋体" w:cs="宋体"/>
          <w:i w:val="0"/>
          <w:iCs w:val="0"/>
          <w:caps w:val="0"/>
          <w:color w:val="333333"/>
          <w:spacing w:val="0"/>
          <w:sz w:val="24"/>
          <w:szCs w:val="24"/>
          <w:shd w:val="clear" w:fill="FFFFFF"/>
          <w:vertAlign w:val="baseline"/>
        </w:rPr>
        <w:t>029-89182979</w:t>
      </w:r>
    </w:p>
    <w:p w14:paraId="41BAA35D">
      <w:pPr>
        <w:pStyle w:val="41"/>
        <w:spacing w:line="500" w:lineRule="exact"/>
        <w:ind w:firstLine="48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31.8.5通讯地址：</w:t>
      </w:r>
      <w:r>
        <w:rPr>
          <w:rFonts w:hint="eastAsia" w:asciiTheme="minorEastAsia" w:hAnsiTheme="minorEastAsia" w:eastAsiaTheme="minorEastAsia" w:cstheme="minorEastAsia"/>
          <w:sz w:val="24"/>
          <w:szCs w:val="24"/>
          <w:highlight w:val="none"/>
          <w:lang w:eastAsia="zh-CN"/>
        </w:rPr>
        <w:t>陕西省西安市雁塔区高新路25号瑞欣大厦6楼B户</w:t>
      </w:r>
    </w:p>
    <w:p w14:paraId="2036A4B7">
      <w:pPr>
        <w:spacing w:line="500" w:lineRule="exac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13.其他</w:t>
      </w:r>
    </w:p>
    <w:p w14:paraId="7665213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 废标的情形</w:t>
      </w:r>
    </w:p>
    <w:p w14:paraId="0766F70E">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13.1.1招标采购中，出现下列情形之一的，应予以废标：</w:t>
      </w:r>
    </w:p>
    <w:p w14:paraId="3A9749C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（1）符合专业条件的投标人或者对招标文件作实质响应的投标人不足3家的；</w:t>
      </w:r>
    </w:p>
    <w:p w14:paraId="034FEE91">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（2）出现影响采购公正的违法、违规行为的；</w:t>
      </w:r>
    </w:p>
    <w:p w14:paraId="42DE7FF9">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（3）投标人的报价均超过了采购预算，采购人不能支付的；</w:t>
      </w:r>
    </w:p>
    <w:p w14:paraId="73E143DE">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（4）因重大变故，采购任务取消的。</w:t>
      </w:r>
    </w:p>
    <w:p w14:paraId="185FF750">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13.1.2废标后，采购代理机构应在财政部门指定采购网上公告，并公告废标的详细理由。</w:t>
      </w:r>
    </w:p>
    <w:p w14:paraId="321A072E">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13.2变更采购方式</w:t>
      </w:r>
    </w:p>
    <w:p w14:paraId="181A5937">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13.2.1存在下列情形之一的，除采购任务取消情形外，采购人经同级财政部门同意后，可按《政府采购货物和服务招标投标管理办法》（财政部87号令）第四十三条规定的方式处理：</w:t>
      </w:r>
    </w:p>
    <w:p w14:paraId="52ED0AA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（1）投标截止后参加投标的人不足3家的；</w:t>
      </w:r>
    </w:p>
    <w:p w14:paraId="22812675">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（2）通过资格审查的投标人不足3家的；</w:t>
      </w:r>
    </w:p>
    <w:p w14:paraId="6E8508E1">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（3）通过符合性审查的投标人不足3家的。</w:t>
      </w:r>
    </w:p>
    <w:p w14:paraId="51F5FB2C">
      <w:pPr>
        <w:spacing w:line="50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13.2.2通过符合性审查的投标人只有2家时，采购人经同级财政部门同意后，可以按《政府采购非招标采购方式管理办法》（财政部第74号令）的规定与该2家投标人进行竞争性谈判采购。</w:t>
      </w:r>
    </w:p>
    <w:p w14:paraId="17A2B8CA">
      <w:pPr>
        <w:spacing w:line="360" w:lineRule="auto"/>
        <w:ind w:firstLine="480" w:firstLineChars="200"/>
        <w:rPr>
          <w:rFonts w:asciiTheme="minorEastAsia" w:hAnsiTheme="minorEastAsia" w:eastAsiaTheme="minorEastAsia" w:cstheme="minorEastAsia"/>
          <w:sz w:val="24"/>
          <w:szCs w:val="24"/>
          <w:highlight w:val="none"/>
        </w:rPr>
      </w:pPr>
    </w:p>
    <w:p w14:paraId="2DF01B80">
      <w:pPr>
        <w:spacing w:line="360" w:lineRule="auto"/>
        <w:ind w:firstLine="420" w:firstLineChars="200"/>
        <w:rPr>
          <w:rFonts w:asciiTheme="minorEastAsia" w:hAnsiTheme="minorEastAsia" w:eastAsiaTheme="minorEastAsia" w:cstheme="minorEastAsia"/>
          <w:highlight w:val="none"/>
        </w:rPr>
        <w:sectPr>
          <w:footerReference r:id="rId8" w:type="default"/>
          <w:pgSz w:w="11906" w:h="16838"/>
          <w:pgMar w:top="1304" w:right="1361" w:bottom="1304" w:left="1361" w:header="851" w:footer="992" w:gutter="0"/>
          <w:pgNumType w:start="1"/>
          <w:cols w:space="0" w:num="1"/>
          <w:docGrid w:type="lines" w:linePitch="312" w:charSpace="0"/>
        </w:sectPr>
      </w:pPr>
    </w:p>
    <w:p w14:paraId="247B05BE">
      <w:pPr>
        <w:pStyle w:val="3"/>
        <w:keepNext w:val="0"/>
        <w:pageBreakBefore/>
        <w:spacing w:line="350" w:lineRule="auto"/>
        <w:jc w:val="center"/>
        <w:rPr>
          <w:rFonts w:hint="eastAsia" w:asciiTheme="minorEastAsia" w:hAnsiTheme="minorEastAsia" w:eastAsiaTheme="minorEastAsia" w:cstheme="minorEastAsia"/>
          <w:sz w:val="36"/>
          <w:szCs w:val="20"/>
          <w:highlight w:val="none"/>
        </w:rPr>
      </w:pPr>
      <w:bookmarkStart w:id="63" w:name="_Toc19056"/>
      <w:bookmarkStart w:id="64" w:name="_Toc8864"/>
      <w:bookmarkStart w:id="65" w:name="_Toc30469"/>
      <w:bookmarkStart w:id="66" w:name="_Toc13146"/>
      <w:bookmarkStart w:id="67" w:name="_Toc389582038"/>
      <w:bookmarkStart w:id="68" w:name="_Toc20481"/>
      <w:bookmarkStart w:id="69" w:name="_Toc23856"/>
      <w:bookmarkStart w:id="70" w:name="_Toc1025"/>
      <w:bookmarkStart w:id="71" w:name="_Toc11450"/>
      <w:bookmarkStart w:id="72" w:name="_Toc2711"/>
      <w:bookmarkStart w:id="73" w:name="_Toc4053"/>
      <w:bookmarkStart w:id="74" w:name="_Toc221523521"/>
      <w:bookmarkStart w:id="75" w:name="_Toc19346"/>
      <w:bookmarkStart w:id="76" w:name="_Toc351989128"/>
      <w:bookmarkStart w:id="77" w:name="_Toc421778377"/>
      <w:bookmarkStart w:id="78" w:name="_Toc9479"/>
      <w:r>
        <w:rPr>
          <w:rFonts w:hint="eastAsia" w:asciiTheme="minorEastAsia" w:hAnsiTheme="minorEastAsia" w:eastAsiaTheme="minorEastAsia" w:cstheme="minorEastAsia"/>
          <w:sz w:val="36"/>
          <w:szCs w:val="20"/>
          <w:highlight w:val="none"/>
        </w:rPr>
        <w:t>第三章  评审方法</w:t>
      </w:r>
      <w:bookmarkEnd w:id="63"/>
      <w:bookmarkEnd w:id="64"/>
      <w:bookmarkEnd w:id="65"/>
      <w:bookmarkEnd w:id="66"/>
    </w:p>
    <w:bookmarkEnd w:id="67"/>
    <w:bookmarkEnd w:id="68"/>
    <w:bookmarkEnd w:id="69"/>
    <w:bookmarkEnd w:id="70"/>
    <w:bookmarkEnd w:id="71"/>
    <w:bookmarkEnd w:id="72"/>
    <w:bookmarkEnd w:id="73"/>
    <w:p w14:paraId="55A63A6E">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一．评标方法</w:t>
      </w:r>
    </w:p>
    <w:p w14:paraId="1D72333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中华人民共和国政府采购法》及实施条例和《中华人民共和国招标投标法》及其实施条例的规定，本次评标采用综合评分法，即在最大限度地满足招标文件实质性要求前提下，按照招标文件中规定的各项因素和相应的权重分值进行综合评审后，以总得分最高的投标人作为中标候选人并依次排序（最低报价不是中标的唯一标准）。</w:t>
      </w:r>
    </w:p>
    <w:p w14:paraId="191D3EC5">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二．评标委员会负责具体评标事务，并独立履行下列职责：</w:t>
      </w:r>
    </w:p>
    <w:p w14:paraId="6D285E6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（一）审查、评价投标文件是否符合招标文件的商务、技术等实质性要求；</w:t>
      </w:r>
    </w:p>
    <w:p w14:paraId="15A6ED4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（二）要求投标人对投标文件有关事项作出澄清或者说明；</w:t>
      </w:r>
    </w:p>
    <w:p w14:paraId="2789C37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（三）对投标文件进行比较和评价；</w:t>
      </w:r>
    </w:p>
    <w:p w14:paraId="72F012F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（四）确定中标候选人名单，以及根据采购人委托直接确定中标人；</w:t>
      </w:r>
    </w:p>
    <w:p w14:paraId="22DD32B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（五）向采购人、采购代理机构或者有关部门报告评标中发现的违法行为。</w:t>
      </w:r>
    </w:p>
    <w:p w14:paraId="63FBECED">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三.投标人存在下列情况之一的，投标无效：</w:t>
      </w:r>
    </w:p>
    <w:p w14:paraId="7D04143C">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1）没有按照招标文件要求提供的投标文件或投标文件构成有重大缺项；</w:t>
      </w:r>
    </w:p>
    <w:p w14:paraId="1146BEF3">
      <w:pPr>
        <w:kinsoku w:val="0"/>
        <w:spacing w:line="500" w:lineRule="exact"/>
        <w:ind w:firstLine="482" w:firstLineChars="200"/>
        <w:rPr>
          <w:rFonts w:asciiTheme="minorEastAsia" w:hAnsiTheme="minorEastAsia" w:eastAsiaTheme="minorEastAsia" w:cstheme="minorEastAsia"/>
          <w:b/>
          <w:bCs/>
          <w:spacing w:val="-6"/>
          <w:sz w:val="24"/>
          <w:szCs w:val="24"/>
          <w:highlight w:val="none"/>
        </w:rPr>
      </w:pPr>
      <w:r>
        <w:rPr>
          <w:rFonts w:hint="eastAsia" w:asciiTheme="minorEastAsia" w:hAnsiTheme="minorEastAsia" w:eastAsiaTheme="minorEastAsia" w:cstheme="minorEastAsia"/>
          <w:b/>
          <w:bCs/>
          <w:sz w:val="24"/>
          <w:szCs w:val="24"/>
          <w:highlight w:val="none"/>
        </w:rPr>
        <w:t>2）投标</w:t>
      </w:r>
      <w:r>
        <w:rPr>
          <w:rFonts w:hint="eastAsia" w:asciiTheme="minorEastAsia" w:hAnsiTheme="minorEastAsia" w:eastAsiaTheme="minorEastAsia" w:cstheme="minorEastAsia"/>
          <w:b/>
          <w:bCs/>
          <w:spacing w:val="-6"/>
          <w:sz w:val="24"/>
          <w:szCs w:val="24"/>
          <w:highlight w:val="none"/>
        </w:rPr>
        <w:t>文件</w:t>
      </w:r>
      <w:r>
        <w:rPr>
          <w:rFonts w:hint="eastAsia" w:asciiTheme="minorEastAsia" w:hAnsiTheme="minorEastAsia" w:eastAsiaTheme="minorEastAsia" w:cstheme="minorEastAsia"/>
          <w:b/>
          <w:bCs/>
          <w:sz w:val="24"/>
          <w:szCs w:val="24"/>
          <w:highlight w:val="none"/>
        </w:rPr>
        <w:t>未按招标文件要求密封、签署、盖章的；</w:t>
      </w:r>
    </w:p>
    <w:p w14:paraId="143F7CB6">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3）投标人未提交有效的投标保证金或金额不足的、投标保证金形式不符合招标文件要求的；</w:t>
      </w:r>
    </w:p>
    <w:p w14:paraId="24FC1A24">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4）资格证明文件不全的或无效的，或不符合国家规定的；</w:t>
      </w:r>
    </w:p>
    <w:p w14:paraId="73D1487C">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5）投标文件无投标人公章、无法定代表人或授权人签章或签章人无法定代表人有效委托书的；</w:t>
      </w:r>
    </w:p>
    <w:p w14:paraId="617AAED1">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6）</w:t>
      </w:r>
      <w:r>
        <w:rPr>
          <w:rFonts w:hint="eastAsia" w:asciiTheme="minorEastAsia" w:hAnsiTheme="minorEastAsia" w:eastAsiaTheme="minorEastAsia" w:cstheme="minorEastAsia"/>
          <w:b/>
          <w:bCs/>
          <w:spacing w:val="-6"/>
          <w:sz w:val="24"/>
          <w:szCs w:val="24"/>
          <w:highlight w:val="none"/>
        </w:rPr>
        <w:t>无投标有效期或有效期达不到招标文件要求的</w:t>
      </w:r>
      <w:r>
        <w:rPr>
          <w:rFonts w:hint="eastAsia" w:asciiTheme="minorEastAsia" w:hAnsiTheme="minorEastAsia" w:eastAsiaTheme="minorEastAsia" w:cstheme="minorEastAsia"/>
          <w:b/>
          <w:bCs/>
          <w:sz w:val="24"/>
          <w:szCs w:val="24"/>
          <w:highlight w:val="none"/>
        </w:rPr>
        <w:t>；</w:t>
      </w:r>
    </w:p>
    <w:p w14:paraId="281CDBEB">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7）投标人在同一份投标文件中，对同一招标产品报有两个或多个报价的；</w:t>
      </w:r>
    </w:p>
    <w:p w14:paraId="055B8443">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8）存在有重大缺漏项和重大技术偏离的投标产品；</w:t>
      </w:r>
    </w:p>
    <w:p w14:paraId="3D810360">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9）投标人有串通投标、以他人名义投标、弄虚作假、行贿等违法行为的；</w:t>
      </w:r>
    </w:p>
    <w:p w14:paraId="45C76427">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10）投标总报价低于成本或者高于招标文件公布的采购预算的。</w:t>
      </w:r>
    </w:p>
    <w:p w14:paraId="145C7F06">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11）提供虚假投标文件和资料的。</w:t>
      </w:r>
    </w:p>
    <w:p w14:paraId="5E4AB7BF">
      <w:pPr>
        <w:tabs>
          <w:tab w:val="left" w:pos="1260"/>
        </w:tabs>
        <w:spacing w:line="500" w:lineRule="exact"/>
        <w:ind w:firstLine="482" w:firstLineChars="200"/>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12）法律、法规和招标文件规定的其他无效情形；</w:t>
      </w:r>
    </w:p>
    <w:p w14:paraId="2069AD1C">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四.投标人有下列情形之一的，视为投标人串通投标，其投标无效：</w:t>
      </w:r>
    </w:p>
    <w:p w14:paraId="4390330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（一）不同投标人的投标文件由同一单位或者个人编制；</w:t>
      </w:r>
    </w:p>
    <w:p w14:paraId="21C21EF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（二）不同投标人委托同一单位或者个人办理投标事宜；</w:t>
      </w:r>
    </w:p>
    <w:p w14:paraId="52A525C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（三）不同投标人的投标文件载明的项目管理成员或者联系人员为同一人；</w:t>
      </w:r>
    </w:p>
    <w:p w14:paraId="395695C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（四）不同投标人的投标文件异常一致或者投标报价呈规律性差异；</w:t>
      </w:r>
    </w:p>
    <w:p w14:paraId="569CDD6B">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（五）不同投标人的投标文件相互混装；</w:t>
      </w:r>
    </w:p>
    <w:p w14:paraId="19E65E2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（六）不同投标人的投标保证金从同一单位或者个人的账户转出。</w:t>
      </w:r>
    </w:p>
    <w:p w14:paraId="79E833AB">
      <w:pPr>
        <w:spacing w:beforeLines="50"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五.评标程序</w:t>
      </w:r>
    </w:p>
    <w:p w14:paraId="0426CA41">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1、投标文件的资格性审查：</w:t>
      </w:r>
    </w:p>
    <w:p w14:paraId="5FDBCDE9">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采购人及代理机构对投标人的投标文件进行资格性审查，以确定其是否满足招标文件的资格要求。</w:t>
      </w:r>
    </w:p>
    <w:p w14:paraId="70AA056C">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2、投标文件的符合性审查：</w:t>
      </w:r>
    </w:p>
    <w:p w14:paraId="4D7F3690">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评标委员会对符合资格的投标人的投标文件进行符合性审查，以确定其是否满足招标文件的商务、技术等实质性要求。</w:t>
      </w:r>
    </w:p>
    <w:p w14:paraId="424B4143">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3、评委会对报价明显偏低的审查：</w:t>
      </w:r>
    </w:p>
    <w:p w14:paraId="52A6C041">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5F41675F">
      <w:pPr>
        <w:spacing w:line="360" w:lineRule="auto"/>
        <w:ind w:firstLine="482" w:firstLineChars="200"/>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4、澄清有关问题：</w:t>
      </w:r>
    </w:p>
    <w:p w14:paraId="1985A03D">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2B9AAE1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4.2投标文件报价出现前后不一致的，按照下列规定修正：</w:t>
      </w:r>
    </w:p>
    <w:p w14:paraId="00E50A7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（一）大写金额和小写金额不一致的，以大写金额为准；</w:t>
      </w:r>
    </w:p>
    <w:p w14:paraId="348E8A0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（二）单价金额小数点或者百分比有明显错位的，以开标一览表的总价为准，并修改单价；</w:t>
      </w:r>
    </w:p>
    <w:p w14:paraId="5F75563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（三）总价金额与按单价汇总金额不一致的，以单价金额计算结果为准。</w:t>
      </w:r>
    </w:p>
    <w:p w14:paraId="116B9FD4">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同时出现两种以上不一致的，按照前款规定的顺序修正。修正后的报价经投标人书面确认后产生约束力，投标人不确认的，其投标无效。</w:t>
      </w:r>
    </w:p>
    <w:p w14:paraId="66D25823">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5、比较与评价：</w:t>
      </w:r>
    </w:p>
    <w:p w14:paraId="2C6A3B8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评委会各成员按照《评审因素量化赋分表》规定的内容，独立进行综合比较、评价打分。 </w:t>
      </w:r>
    </w:p>
    <w:p w14:paraId="016DB3BB">
      <w:pPr>
        <w:spacing w:beforeLines="50" w:line="360" w:lineRule="auto"/>
        <w:ind w:firstLine="498" w:firstLineChars="200"/>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6、推荐中标候选人名单：</w:t>
      </w:r>
    </w:p>
    <w:p w14:paraId="3F0C56C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6.1汇总全体评委对每个投标人的赋分，计算出每个投标人的综合得分，按标段得分从高到低顺序排列，推荐前1～3名为中标候选人。</w:t>
      </w:r>
    </w:p>
    <w:p w14:paraId="5261910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6.2得分相同的，按投标报价由低到高顺序排列。得分且投标报价相同的并列。</w:t>
      </w:r>
    </w:p>
    <w:p w14:paraId="34222E8C">
      <w:pPr>
        <w:keepNext w:val="0"/>
        <w:keepLines w:val="0"/>
        <w:pageBreakBefore w:val="0"/>
        <w:widowControl w:val="0"/>
        <w:kinsoku/>
        <w:wordWrap/>
        <w:overflowPunct/>
        <w:topLinePunct w:val="0"/>
        <w:autoSpaceDE/>
        <w:autoSpaceDN/>
        <w:bidi w:val="0"/>
        <w:spacing w:line="360" w:lineRule="auto"/>
        <w:ind w:firstLine="120" w:firstLineChars="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四、政策性扣减</w:t>
      </w:r>
    </w:p>
    <w:p w14:paraId="6B465010">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1、政策性扣减范围</w:t>
      </w:r>
    </w:p>
    <w:p w14:paraId="78B9CA7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1.1供应商符合小型、微型企业或监狱企业、残疾人福利性单位条件的，其投标报价价格评审时将按相应比例进行扣减。</w:t>
      </w:r>
    </w:p>
    <w:p w14:paraId="1E75884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1.2依照&lt;关于印发《政府采购促进中小企业发展暂行办法》的通知&gt;财库〔2020〕46号的规定，小型、微型企业应当同时符合以下条件：</w:t>
      </w:r>
    </w:p>
    <w:p w14:paraId="5A4E913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1.2.1符合中小企业划分标准（中小企业划分标准是指国务院有关部门根据企业从业人员、营业收入、资产总额等指标制定的中小企业划型标准（工信部联企业〔2011〕300号））。</w:t>
      </w:r>
    </w:p>
    <w:p w14:paraId="5DAFAE2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14:paraId="140A8C5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14:paraId="487386D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所投产品符合政府采购强制采购政策的，实行强制采购。</w:t>
      </w:r>
    </w:p>
    <w:p w14:paraId="3665B91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节能产品政府采购清单”：符合政府采购优先采购政策的，所投产品属于“节能产品政府采购清单”中品目的产品，需提供最新一期“节能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33"/>
          <w:rFonts w:hint="eastAsia" w:ascii="宋体" w:hAnsi="宋体" w:eastAsia="宋体" w:cs="宋体"/>
          <w:color w:val="auto"/>
          <w:sz w:val="24"/>
          <w:szCs w:val="24"/>
          <w:highlight w:val="none"/>
        </w:rPr>
        <w:t>http://www.ccgp.gov.cn/</w:t>
      </w:r>
      <w:r>
        <w:rPr>
          <w:rStyle w:val="33"/>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71B9C1B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环境标志产品政府采购清单”：所投产品属于“环境标志产品政府采购清单”中品目的产品，需提供最新一期“环境标志产品政府采购清单”中投标产品所在清单页并加盖供应商公章。该清单可在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33"/>
          <w:rFonts w:hint="eastAsia" w:ascii="宋体" w:hAnsi="宋体" w:eastAsia="宋体" w:cs="宋体"/>
          <w:color w:val="auto"/>
          <w:sz w:val="24"/>
          <w:szCs w:val="24"/>
          <w:highlight w:val="none"/>
        </w:rPr>
        <w:t>http://www.ccgp.gov.cn/</w:t>
      </w:r>
      <w:r>
        <w:rPr>
          <w:rStyle w:val="33"/>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）上查找。</w:t>
      </w:r>
    </w:p>
    <w:p w14:paraId="0AD121A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0C0D065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6426ACC6">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2、政策性扣减方式：</w:t>
      </w:r>
    </w:p>
    <w:p w14:paraId="4D73BB6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2.1在投标报价的基础上，对小微企业、监狱企业、残疾人福利性单位，按“投标报价×</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%”进行扣减；</w:t>
      </w:r>
    </w:p>
    <w:p w14:paraId="304B9C3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2.2供应商为联合体参与投标，且联合协议中约定小型或微型企业的协议合同金额占到联合体协议合同总金额30％以上的，按“投标报价×2%”进行扣减；</w:t>
      </w:r>
    </w:p>
    <w:p w14:paraId="4B5BBE0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2.3供应商享受</w:t>
      </w:r>
      <w:r>
        <w:rPr>
          <w:rFonts w:hint="eastAsia" w:ascii="宋体" w:hAnsi="宋体" w:eastAsia="宋体" w:cs="宋体"/>
          <w:bCs/>
          <w:color w:val="auto"/>
          <w:sz w:val="24"/>
          <w:szCs w:val="24"/>
          <w:highlight w:val="none"/>
        </w:rPr>
        <w:t>支持</w:t>
      </w:r>
      <w:r>
        <w:rPr>
          <w:rFonts w:hint="eastAsia" w:ascii="宋体" w:hAnsi="宋体" w:eastAsia="宋体" w:cs="宋体"/>
          <w:color w:val="auto"/>
          <w:sz w:val="24"/>
          <w:szCs w:val="24"/>
          <w:highlight w:val="none"/>
        </w:rPr>
        <w:t>中小型企业发展政策优惠的，可以同时享受节能、环境标志产品优先采购政策；</w:t>
      </w:r>
    </w:p>
    <w:p w14:paraId="21DE11FC">
      <w:pPr>
        <w:bidi w:val="0"/>
        <w:rPr>
          <w:rFonts w:hint="eastAsia"/>
        </w:rPr>
      </w:pPr>
      <w:r>
        <w:rPr>
          <w:rFonts w:hint="eastAsia" w:ascii="宋体" w:hAnsi="宋体" w:eastAsia="宋体" w:cs="宋体"/>
          <w:color w:val="auto"/>
          <w:sz w:val="24"/>
          <w:szCs w:val="24"/>
          <w:highlight w:val="none"/>
        </w:rPr>
        <w:t>3、中标价格=中标供应商的有效投标报价。</w:t>
      </w:r>
    </w:p>
    <w:p w14:paraId="77484340">
      <w:pPr>
        <w:bidi w:val="0"/>
      </w:pPr>
    </w:p>
    <w:p w14:paraId="571E3434">
      <w:pPr>
        <w:spacing w:line="360" w:lineRule="auto"/>
        <w:ind w:right="40" w:rightChars="19" w:firstLine="42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Cs w:val="28"/>
          <w:highlight w:val="none"/>
        </w:rPr>
        <w:br w:type="page"/>
      </w:r>
    </w:p>
    <w:p w14:paraId="39EC07D5">
      <w:pPr>
        <w:pStyle w:val="11"/>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b/>
          <w:bCs/>
          <w:szCs w:val="28"/>
          <w:highlight w:val="none"/>
        </w:rPr>
        <w:t>附件1：</w:t>
      </w:r>
    </w:p>
    <w:p w14:paraId="4CDEBD60">
      <w:pPr>
        <w:tabs>
          <w:tab w:val="left" w:pos="0"/>
        </w:tabs>
        <w:adjustRightInd w:val="0"/>
        <w:snapToGrid w:val="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初步审查要素表</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577"/>
        <w:gridCol w:w="540"/>
        <w:gridCol w:w="2224"/>
        <w:gridCol w:w="5239"/>
      </w:tblGrid>
      <w:tr w14:paraId="4E9C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43" w:type="pct"/>
            <w:gridSpan w:val="2"/>
            <w:vAlign w:val="center"/>
          </w:tcPr>
          <w:p w14:paraId="37448C75">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条款号</w:t>
            </w:r>
          </w:p>
        </w:tc>
        <w:tc>
          <w:tcPr>
            <w:tcW w:w="1470" w:type="pct"/>
            <w:gridSpan w:val="2"/>
            <w:vAlign w:val="center"/>
          </w:tcPr>
          <w:p w14:paraId="14B04A0F">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评审因素</w:t>
            </w:r>
          </w:p>
        </w:tc>
        <w:tc>
          <w:tcPr>
            <w:tcW w:w="2786" w:type="pct"/>
            <w:vAlign w:val="center"/>
          </w:tcPr>
          <w:p w14:paraId="59BD54CD">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评审标准</w:t>
            </w:r>
          </w:p>
        </w:tc>
      </w:tr>
      <w:tr w14:paraId="1BE3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3" w:type="pct"/>
            <w:gridSpan w:val="2"/>
            <w:vMerge w:val="restart"/>
            <w:vAlign w:val="center"/>
          </w:tcPr>
          <w:p w14:paraId="440A8536">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2.1.1</w:t>
            </w:r>
          </w:p>
          <w:p w14:paraId="4604B086">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资格评审</w:t>
            </w:r>
          </w:p>
          <w:p w14:paraId="788371D9">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标准</w:t>
            </w:r>
          </w:p>
        </w:tc>
        <w:tc>
          <w:tcPr>
            <w:tcW w:w="1470" w:type="pct"/>
            <w:gridSpan w:val="2"/>
            <w:vAlign w:val="center"/>
          </w:tcPr>
          <w:p w14:paraId="3EB7963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营业执照等主体资格证明文件</w:t>
            </w:r>
          </w:p>
        </w:tc>
        <w:tc>
          <w:tcPr>
            <w:tcW w:w="2786" w:type="pct"/>
            <w:vAlign w:val="center"/>
          </w:tcPr>
          <w:p w14:paraId="154C5CAF">
            <w:pPr>
              <w:tabs>
                <w:tab w:val="left" w:pos="0"/>
              </w:tabs>
              <w:adjustRightInd w:val="0"/>
              <w:snapToGrid w:val="0"/>
              <w:jc w:val="center"/>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提供合格有效的法人或者其他组织的营业执照等证明文件，自然人的身份证明</w:t>
            </w:r>
            <w:r>
              <w:rPr>
                <w:rFonts w:hint="eastAsia" w:ascii="宋体" w:hAnsi="宋体" w:cs="宋体"/>
                <w:sz w:val="24"/>
                <w:szCs w:val="24"/>
                <w:highlight w:val="none"/>
                <w:lang w:eastAsia="zh-CN"/>
              </w:rPr>
              <w:t>；</w:t>
            </w:r>
          </w:p>
        </w:tc>
      </w:tr>
      <w:tr w14:paraId="58C1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43" w:type="pct"/>
            <w:gridSpan w:val="2"/>
            <w:vMerge w:val="continue"/>
            <w:vAlign w:val="center"/>
          </w:tcPr>
          <w:p w14:paraId="6A9F867E">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6920C2B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法定代表人授权书/法定</w:t>
            </w:r>
          </w:p>
          <w:p w14:paraId="74A7D01E">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代表人身份证明</w:t>
            </w:r>
          </w:p>
        </w:tc>
        <w:tc>
          <w:tcPr>
            <w:tcW w:w="2786" w:type="pct"/>
            <w:vAlign w:val="center"/>
          </w:tcPr>
          <w:p w14:paraId="4E235674">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提供法定代表人授权书（附法定代表人、被授权人身份证复印件，法定代表人直接参加投标，须提供法定代表人身份证明及身份证复印件）；</w:t>
            </w:r>
          </w:p>
        </w:tc>
      </w:tr>
      <w:tr w14:paraId="2803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743" w:type="pct"/>
            <w:gridSpan w:val="2"/>
            <w:vMerge w:val="continue"/>
            <w:vAlign w:val="center"/>
          </w:tcPr>
          <w:p w14:paraId="2C2F1247">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7EE891C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财务状况</w:t>
            </w:r>
          </w:p>
        </w:tc>
        <w:tc>
          <w:tcPr>
            <w:tcW w:w="2786" w:type="pct"/>
            <w:vAlign w:val="center"/>
          </w:tcPr>
          <w:p w14:paraId="36A96AA2">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提供2024年度或的财务审计报告（成立时间至提交投标文件截止时间不足一年的可提供成立后任意时段的资产负债表）或开标时间前六个月内银行出具的资信证明；</w:t>
            </w:r>
          </w:p>
        </w:tc>
      </w:tr>
      <w:tr w14:paraId="1E6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43" w:type="pct"/>
            <w:gridSpan w:val="2"/>
            <w:vMerge w:val="continue"/>
            <w:vAlign w:val="center"/>
          </w:tcPr>
          <w:p w14:paraId="387BFD80">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3260CE9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税收缴纳证明</w:t>
            </w:r>
          </w:p>
        </w:tc>
        <w:tc>
          <w:tcPr>
            <w:tcW w:w="2786" w:type="pct"/>
            <w:vAlign w:val="center"/>
          </w:tcPr>
          <w:p w14:paraId="7D8A7EA5">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提供投标截止日前近一年内任意一个月的纳税证明或完税证明（任意税种），依法免税的单位应提供相关证明材料；</w:t>
            </w:r>
          </w:p>
        </w:tc>
      </w:tr>
      <w:tr w14:paraId="2AC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43" w:type="pct"/>
            <w:gridSpan w:val="2"/>
            <w:vMerge w:val="continue"/>
            <w:vAlign w:val="center"/>
          </w:tcPr>
          <w:p w14:paraId="2C63F1BB">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081695B1">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社会保障资金缴纳证明</w:t>
            </w:r>
          </w:p>
        </w:tc>
        <w:tc>
          <w:tcPr>
            <w:tcW w:w="2786" w:type="pct"/>
            <w:vAlign w:val="center"/>
          </w:tcPr>
          <w:p w14:paraId="5736FCAF">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提供投标截止日前近一年内任意一个月的社会保障资金缴存单据或社保机构开具的社会保险参保缴费情况证明，依法不需要缴纳社会保障资金的单位应提供相关证明材料；</w:t>
            </w:r>
          </w:p>
        </w:tc>
      </w:tr>
      <w:tr w14:paraId="512D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43" w:type="pct"/>
            <w:gridSpan w:val="2"/>
            <w:vMerge w:val="continue"/>
            <w:vAlign w:val="center"/>
          </w:tcPr>
          <w:p w14:paraId="2D94DF1C">
            <w:pPr>
              <w:tabs>
                <w:tab w:val="left" w:pos="0"/>
              </w:tabs>
              <w:adjustRightInd w:val="0"/>
              <w:snapToGrid w:val="0"/>
              <w:jc w:val="center"/>
              <w:rPr>
                <w:rFonts w:ascii="宋体" w:hAnsi="宋体" w:cs="宋体"/>
                <w:b/>
                <w:sz w:val="24"/>
                <w:szCs w:val="24"/>
                <w:highlight w:val="none"/>
              </w:rPr>
            </w:pPr>
          </w:p>
        </w:tc>
        <w:tc>
          <w:tcPr>
            <w:tcW w:w="1470" w:type="pct"/>
            <w:gridSpan w:val="2"/>
            <w:shd w:val="clear" w:color="auto" w:fill="auto"/>
            <w:vAlign w:val="center"/>
          </w:tcPr>
          <w:p w14:paraId="564CCF5E">
            <w:pPr>
              <w:tabs>
                <w:tab w:val="left" w:pos="0"/>
              </w:tabs>
              <w:adjustRightInd w:val="0"/>
              <w:snapToGrid w:val="0"/>
              <w:jc w:val="center"/>
              <w:rPr>
                <w:rFonts w:hint="eastAsia" w:ascii="宋体" w:hAnsi="宋体" w:eastAsia="宋体" w:cs="宋体"/>
                <w:b/>
                <w:kern w:val="2"/>
                <w:sz w:val="24"/>
                <w:szCs w:val="24"/>
                <w:highlight w:val="none"/>
                <w:lang w:val="en-US" w:eastAsia="zh-CN" w:bidi="ar-SA"/>
              </w:rPr>
            </w:pPr>
            <w:r>
              <w:rPr>
                <w:rFonts w:hint="eastAsia" w:ascii="宋体" w:hAnsi="宋体" w:cs="宋体"/>
                <w:b/>
                <w:sz w:val="24"/>
                <w:szCs w:val="24"/>
                <w:highlight w:val="none"/>
              </w:rPr>
              <w:t>书面承诺书</w:t>
            </w:r>
          </w:p>
        </w:tc>
        <w:tc>
          <w:tcPr>
            <w:tcW w:w="2786" w:type="pct"/>
            <w:shd w:val="clear" w:color="auto" w:fill="auto"/>
            <w:vAlign w:val="center"/>
          </w:tcPr>
          <w:p w14:paraId="65DE278D">
            <w:pPr>
              <w:tabs>
                <w:tab w:val="left" w:pos="0"/>
              </w:tabs>
              <w:adjustRightInd w:val="0"/>
              <w:snapToGrid w:val="0"/>
              <w:jc w:val="center"/>
              <w:rPr>
                <w:rFonts w:hint="eastAsia" w:ascii="宋体" w:hAnsi="宋体" w:eastAsia="宋体" w:cs="宋体"/>
                <w:kern w:val="2"/>
                <w:sz w:val="24"/>
                <w:szCs w:val="24"/>
                <w:highlight w:val="none"/>
                <w:lang w:val="en-US" w:eastAsia="zh-CN" w:bidi="ar-SA"/>
              </w:rPr>
            </w:pPr>
            <w:r>
              <w:rPr>
                <w:rFonts w:hint="eastAsia" w:ascii="宋体" w:hAnsi="宋体" w:cs="宋体"/>
                <w:sz w:val="24"/>
                <w:szCs w:val="24"/>
                <w:highlight w:val="none"/>
              </w:rPr>
              <w:t>提供具有履行合同所必需的设备和专业技术能力的书面承诺；</w:t>
            </w:r>
          </w:p>
        </w:tc>
      </w:tr>
      <w:tr w14:paraId="0732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743" w:type="pct"/>
            <w:gridSpan w:val="2"/>
            <w:vMerge w:val="continue"/>
            <w:vAlign w:val="center"/>
          </w:tcPr>
          <w:p w14:paraId="49B5F90E">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729702FB">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信用记录</w:t>
            </w:r>
          </w:p>
        </w:tc>
        <w:tc>
          <w:tcPr>
            <w:tcW w:w="2786" w:type="pct"/>
            <w:vAlign w:val="center"/>
          </w:tcPr>
          <w:p w14:paraId="11B8F5BF">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供应商通过“信用中国”网站(www.creditchina.gov.cn)、中国政府采购网(www.ccgp.gov.cn)等查询相关主体信用记录；</w:t>
            </w:r>
          </w:p>
        </w:tc>
      </w:tr>
      <w:tr w14:paraId="195D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3" w:type="pct"/>
            <w:gridSpan w:val="2"/>
            <w:vMerge w:val="continue"/>
            <w:vAlign w:val="center"/>
          </w:tcPr>
          <w:p w14:paraId="0B2C9256">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711BB5A4">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书面声明</w:t>
            </w:r>
          </w:p>
        </w:tc>
        <w:tc>
          <w:tcPr>
            <w:tcW w:w="2786" w:type="pct"/>
            <w:vAlign w:val="center"/>
          </w:tcPr>
          <w:p w14:paraId="27DB8B5A">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参加政府采购活动前3年内，在经营活动中没有重大违法记录的书面声明；</w:t>
            </w:r>
          </w:p>
        </w:tc>
      </w:tr>
      <w:tr w14:paraId="65B8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3" w:type="pct"/>
            <w:gridSpan w:val="2"/>
            <w:vMerge w:val="continue"/>
            <w:vAlign w:val="center"/>
          </w:tcPr>
          <w:p w14:paraId="43E52D3D">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3A7DFEAA">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中小企业声明函</w:t>
            </w:r>
          </w:p>
        </w:tc>
        <w:tc>
          <w:tcPr>
            <w:tcW w:w="2786" w:type="pct"/>
            <w:vAlign w:val="center"/>
          </w:tcPr>
          <w:p w14:paraId="76B8E427">
            <w:pPr>
              <w:tabs>
                <w:tab w:val="left" w:pos="0"/>
              </w:tabs>
              <w:adjustRightInd w:val="0"/>
              <w:snapToGrid w:val="0"/>
              <w:jc w:val="center"/>
              <w:rPr>
                <w:rFonts w:ascii="宋体" w:hAnsi="宋体" w:cs="宋体"/>
                <w:sz w:val="24"/>
                <w:szCs w:val="24"/>
                <w:highlight w:val="none"/>
              </w:rPr>
            </w:pPr>
            <w:r>
              <w:rPr>
                <w:rFonts w:hint="eastAsia" w:ascii="宋体" w:hAnsi="宋体" w:cs="宋体"/>
                <w:sz w:val="24"/>
                <w:szCs w:val="24"/>
                <w:highlight w:val="none"/>
              </w:rPr>
              <w:t>供应商须提供中小企业声明函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企业类型须为小型或微型企业</w:t>
            </w:r>
            <w:r>
              <w:rPr>
                <w:rFonts w:hint="eastAsia" w:ascii="宋体" w:hAnsi="宋体" w:cs="宋体"/>
                <w:sz w:val="24"/>
                <w:szCs w:val="24"/>
                <w:highlight w:val="none"/>
              </w:rPr>
              <w:t>；</w:t>
            </w:r>
          </w:p>
        </w:tc>
      </w:tr>
      <w:tr w14:paraId="3532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3" w:type="pct"/>
            <w:gridSpan w:val="2"/>
            <w:vMerge w:val="continue"/>
            <w:vAlign w:val="center"/>
          </w:tcPr>
          <w:p w14:paraId="75C6545F">
            <w:pPr>
              <w:tabs>
                <w:tab w:val="left" w:pos="0"/>
              </w:tabs>
              <w:adjustRightInd w:val="0"/>
              <w:snapToGrid w:val="0"/>
              <w:jc w:val="center"/>
              <w:rPr>
                <w:rFonts w:ascii="宋体" w:hAnsi="宋体" w:cs="宋体"/>
                <w:b/>
                <w:sz w:val="24"/>
                <w:szCs w:val="24"/>
                <w:highlight w:val="none"/>
              </w:rPr>
            </w:pPr>
          </w:p>
        </w:tc>
        <w:tc>
          <w:tcPr>
            <w:tcW w:w="1470" w:type="pct"/>
            <w:gridSpan w:val="2"/>
            <w:vAlign w:val="center"/>
          </w:tcPr>
          <w:p w14:paraId="1793AEFA">
            <w:pPr>
              <w:tabs>
                <w:tab w:val="left" w:pos="0"/>
              </w:tabs>
              <w:adjustRightInd w:val="0"/>
              <w:snapToGrid w:val="0"/>
              <w:jc w:val="center"/>
              <w:rPr>
                <w:rFonts w:ascii="宋体" w:hAnsi="宋体" w:cs="宋体"/>
                <w:b/>
                <w:sz w:val="24"/>
                <w:szCs w:val="24"/>
                <w:highlight w:val="none"/>
              </w:rPr>
            </w:pPr>
            <w:r>
              <w:rPr>
                <w:rFonts w:hint="eastAsia" w:ascii="宋体" w:hAnsi="宋体" w:cs="宋体"/>
                <w:b/>
                <w:sz w:val="24"/>
                <w:szCs w:val="24"/>
                <w:highlight w:val="none"/>
              </w:rPr>
              <w:t>非联合体</w:t>
            </w:r>
          </w:p>
        </w:tc>
        <w:tc>
          <w:tcPr>
            <w:tcW w:w="2786" w:type="pct"/>
            <w:vAlign w:val="center"/>
          </w:tcPr>
          <w:p w14:paraId="0218369E">
            <w:pPr>
              <w:tabs>
                <w:tab w:val="left" w:pos="0"/>
              </w:tabs>
              <w:adjustRightInd w:val="0"/>
              <w:snapToGrid w:val="0"/>
              <w:jc w:val="center"/>
              <w:rPr>
                <w:rFonts w:ascii="宋体" w:hAnsi="宋体" w:cs="宋体"/>
                <w:bCs/>
                <w:sz w:val="24"/>
                <w:szCs w:val="24"/>
                <w:highlight w:val="none"/>
              </w:rPr>
            </w:pPr>
            <w:r>
              <w:rPr>
                <w:rFonts w:hint="eastAsia" w:ascii="宋体" w:hAnsi="宋体" w:cs="宋体"/>
                <w:sz w:val="24"/>
                <w:szCs w:val="24"/>
                <w:highlight w:val="none"/>
              </w:rPr>
              <w:t>供应商须</w:t>
            </w:r>
            <w:r>
              <w:rPr>
                <w:rFonts w:hint="eastAsia" w:ascii="宋体" w:hAnsi="宋体" w:cs="宋体"/>
                <w:bCs/>
                <w:sz w:val="24"/>
                <w:szCs w:val="24"/>
                <w:highlight w:val="none"/>
              </w:rPr>
              <w:t>提供非联合体投标</w:t>
            </w:r>
            <w:r>
              <w:rPr>
                <w:rFonts w:hint="eastAsia" w:ascii="宋体" w:hAnsi="宋体" w:cs="宋体"/>
                <w:bCs/>
                <w:sz w:val="24"/>
                <w:szCs w:val="24"/>
                <w:highlight w:val="none"/>
                <w:lang w:val="en-US" w:eastAsia="zh-CN"/>
              </w:rPr>
              <w:t>承诺书</w:t>
            </w:r>
            <w:r>
              <w:rPr>
                <w:rFonts w:hint="eastAsia" w:ascii="宋体" w:hAnsi="宋体" w:cs="宋体"/>
                <w:bCs/>
                <w:sz w:val="24"/>
                <w:szCs w:val="24"/>
                <w:highlight w:val="none"/>
              </w:rPr>
              <w:t>；</w:t>
            </w:r>
          </w:p>
        </w:tc>
      </w:tr>
      <w:tr w14:paraId="7FD9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5000" w:type="pct"/>
            <w:gridSpan w:val="5"/>
            <w:vAlign w:val="center"/>
          </w:tcPr>
          <w:p w14:paraId="372987CB">
            <w:pPr>
              <w:tabs>
                <w:tab w:val="left" w:pos="0"/>
              </w:tabs>
              <w:adjustRightInd w:val="0"/>
              <w:snapToGrid w:val="0"/>
              <w:jc w:val="left"/>
              <w:rPr>
                <w:rFonts w:ascii="宋体" w:hAnsi="宋体" w:cs="宋体"/>
                <w:b/>
                <w:sz w:val="24"/>
                <w:szCs w:val="24"/>
                <w:highlight w:val="none"/>
              </w:rPr>
            </w:pPr>
            <w:r>
              <w:rPr>
                <w:rFonts w:hint="eastAsia" w:ascii="宋体" w:hAnsi="宋体" w:cs="宋体"/>
                <w:b/>
                <w:sz w:val="24"/>
                <w:szCs w:val="24"/>
                <w:highlight w:val="none"/>
              </w:rPr>
              <w:t>注：以上为必备资质，缺一项或某项达不到要求，按无效投标处理。资格审查时以投标文件中所附证明材料为准，原件备查。</w:t>
            </w:r>
          </w:p>
        </w:tc>
      </w:tr>
      <w:tr w14:paraId="1579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36" w:type="pct"/>
            <w:vMerge w:val="restart"/>
            <w:vAlign w:val="center"/>
          </w:tcPr>
          <w:p w14:paraId="1E874278">
            <w:pPr>
              <w:tabs>
                <w:tab w:val="left" w:pos="0"/>
              </w:tabs>
              <w:adjustRightInd w:val="0"/>
              <w:snapToGrid w:val="0"/>
              <w:spacing w:line="360" w:lineRule="auto"/>
              <w:jc w:val="center"/>
              <w:rPr>
                <w:rFonts w:ascii="宋体" w:hAnsi="宋体" w:cs="宋体"/>
                <w:sz w:val="24"/>
                <w:szCs w:val="24"/>
                <w:highlight w:val="none"/>
              </w:rPr>
            </w:pPr>
            <w:r>
              <w:rPr>
                <w:rFonts w:hint="eastAsia" w:ascii="宋体" w:hAnsi="宋体" w:cs="宋体"/>
                <w:sz w:val="24"/>
                <w:szCs w:val="24"/>
                <w:highlight w:val="none"/>
              </w:rPr>
              <w:t>2.1.2</w:t>
            </w:r>
          </w:p>
        </w:tc>
        <w:tc>
          <w:tcPr>
            <w:tcW w:w="306" w:type="pct"/>
            <w:vMerge w:val="restart"/>
            <w:vAlign w:val="center"/>
          </w:tcPr>
          <w:p w14:paraId="787FE36F">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符合性评审标准</w:t>
            </w:r>
          </w:p>
        </w:tc>
        <w:tc>
          <w:tcPr>
            <w:tcW w:w="287" w:type="pct"/>
            <w:vMerge w:val="restart"/>
            <w:vAlign w:val="center"/>
          </w:tcPr>
          <w:p w14:paraId="39596F56">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有效性审查</w:t>
            </w:r>
          </w:p>
        </w:tc>
        <w:tc>
          <w:tcPr>
            <w:tcW w:w="1182" w:type="pct"/>
            <w:vAlign w:val="center"/>
          </w:tcPr>
          <w:p w14:paraId="679D38A3">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投标文件的签署盖章</w:t>
            </w:r>
          </w:p>
        </w:tc>
        <w:tc>
          <w:tcPr>
            <w:tcW w:w="2786" w:type="pct"/>
            <w:vAlign w:val="center"/>
          </w:tcPr>
          <w:p w14:paraId="1E400978">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投标文件上法定代表人或其授权代表人的签字齐全并加盖公章</w:t>
            </w:r>
          </w:p>
        </w:tc>
      </w:tr>
      <w:tr w14:paraId="5079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tcPr>
          <w:p w14:paraId="521A73F5">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55E7C4E9">
            <w:pPr>
              <w:tabs>
                <w:tab w:val="left" w:pos="0"/>
              </w:tabs>
              <w:adjustRightInd w:val="0"/>
              <w:snapToGrid w:val="0"/>
              <w:spacing w:line="360" w:lineRule="auto"/>
              <w:rPr>
                <w:rFonts w:ascii="宋体" w:hAnsi="宋体" w:cs="宋体"/>
                <w:b/>
                <w:bCs/>
                <w:sz w:val="24"/>
                <w:szCs w:val="24"/>
                <w:highlight w:val="none"/>
              </w:rPr>
            </w:pPr>
          </w:p>
        </w:tc>
        <w:tc>
          <w:tcPr>
            <w:tcW w:w="287" w:type="pct"/>
            <w:vMerge w:val="continue"/>
          </w:tcPr>
          <w:p w14:paraId="41823D98">
            <w:pPr>
              <w:tabs>
                <w:tab w:val="left" w:pos="0"/>
              </w:tabs>
              <w:adjustRightInd w:val="0"/>
              <w:snapToGrid w:val="0"/>
              <w:spacing w:line="360" w:lineRule="auto"/>
              <w:rPr>
                <w:rFonts w:ascii="宋体" w:hAnsi="宋体" w:cs="宋体"/>
                <w:b/>
                <w:bCs/>
                <w:sz w:val="24"/>
                <w:szCs w:val="24"/>
                <w:highlight w:val="none"/>
              </w:rPr>
            </w:pPr>
          </w:p>
        </w:tc>
        <w:tc>
          <w:tcPr>
            <w:tcW w:w="1182" w:type="pct"/>
            <w:vAlign w:val="center"/>
          </w:tcPr>
          <w:p w14:paraId="00ACD4AA">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投标文件格式</w:t>
            </w:r>
          </w:p>
        </w:tc>
        <w:tc>
          <w:tcPr>
            <w:tcW w:w="2786" w:type="pct"/>
            <w:vAlign w:val="center"/>
          </w:tcPr>
          <w:p w14:paraId="17074C24">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应符合“投标文件格式”要求</w:t>
            </w:r>
          </w:p>
        </w:tc>
      </w:tr>
      <w:tr w14:paraId="6D48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36" w:type="pct"/>
            <w:vMerge w:val="continue"/>
          </w:tcPr>
          <w:p w14:paraId="3EA686A7">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6A84AA87">
            <w:pPr>
              <w:tabs>
                <w:tab w:val="left" w:pos="0"/>
              </w:tabs>
              <w:adjustRightInd w:val="0"/>
              <w:snapToGrid w:val="0"/>
              <w:spacing w:line="360" w:lineRule="auto"/>
              <w:rPr>
                <w:rFonts w:ascii="宋体" w:hAnsi="宋体" w:cs="宋体"/>
                <w:b/>
                <w:bCs/>
                <w:sz w:val="24"/>
                <w:szCs w:val="24"/>
                <w:highlight w:val="none"/>
              </w:rPr>
            </w:pPr>
          </w:p>
        </w:tc>
        <w:tc>
          <w:tcPr>
            <w:tcW w:w="287" w:type="pct"/>
            <w:vMerge w:val="continue"/>
          </w:tcPr>
          <w:p w14:paraId="01A8F967">
            <w:pPr>
              <w:tabs>
                <w:tab w:val="left" w:pos="0"/>
              </w:tabs>
              <w:adjustRightInd w:val="0"/>
              <w:snapToGrid w:val="0"/>
              <w:spacing w:line="360" w:lineRule="auto"/>
              <w:rPr>
                <w:rFonts w:ascii="宋体" w:hAnsi="宋体" w:cs="宋体"/>
                <w:b/>
                <w:bCs/>
                <w:sz w:val="24"/>
                <w:szCs w:val="24"/>
                <w:highlight w:val="none"/>
              </w:rPr>
            </w:pPr>
          </w:p>
        </w:tc>
        <w:tc>
          <w:tcPr>
            <w:tcW w:w="1182" w:type="pct"/>
            <w:vAlign w:val="center"/>
          </w:tcPr>
          <w:p w14:paraId="4C636764">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报价唯一</w:t>
            </w:r>
          </w:p>
        </w:tc>
        <w:tc>
          <w:tcPr>
            <w:tcW w:w="2786" w:type="pct"/>
            <w:vAlign w:val="center"/>
          </w:tcPr>
          <w:p w14:paraId="6E9D003A">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只能有一个有效报价，不得提交选择性报价，且报价不超过采购预算金额或最高限价</w:t>
            </w:r>
          </w:p>
        </w:tc>
      </w:tr>
      <w:tr w14:paraId="03D5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436" w:type="pct"/>
            <w:vMerge w:val="continue"/>
            <w:vAlign w:val="center"/>
          </w:tcPr>
          <w:p w14:paraId="7A8EB966">
            <w:pPr>
              <w:tabs>
                <w:tab w:val="left" w:pos="0"/>
              </w:tabs>
              <w:adjustRightInd w:val="0"/>
              <w:snapToGrid w:val="0"/>
              <w:spacing w:line="360" w:lineRule="auto"/>
              <w:jc w:val="center"/>
              <w:rPr>
                <w:rFonts w:ascii="宋体" w:hAnsi="宋体" w:cs="宋体"/>
                <w:sz w:val="24"/>
                <w:szCs w:val="24"/>
                <w:highlight w:val="none"/>
              </w:rPr>
            </w:pPr>
          </w:p>
        </w:tc>
        <w:tc>
          <w:tcPr>
            <w:tcW w:w="306" w:type="pct"/>
            <w:vMerge w:val="continue"/>
            <w:vAlign w:val="center"/>
          </w:tcPr>
          <w:p w14:paraId="09671418">
            <w:pPr>
              <w:tabs>
                <w:tab w:val="left" w:pos="0"/>
              </w:tabs>
              <w:adjustRightInd w:val="0"/>
              <w:snapToGrid w:val="0"/>
              <w:jc w:val="center"/>
              <w:rPr>
                <w:rFonts w:ascii="宋体" w:hAnsi="宋体" w:cs="宋体"/>
                <w:b/>
                <w:bCs/>
                <w:sz w:val="24"/>
                <w:szCs w:val="24"/>
                <w:highlight w:val="none"/>
              </w:rPr>
            </w:pPr>
          </w:p>
        </w:tc>
        <w:tc>
          <w:tcPr>
            <w:tcW w:w="287" w:type="pct"/>
            <w:vMerge w:val="restart"/>
            <w:vAlign w:val="center"/>
          </w:tcPr>
          <w:p w14:paraId="35C2E43D">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完整性审查</w:t>
            </w:r>
          </w:p>
        </w:tc>
        <w:tc>
          <w:tcPr>
            <w:tcW w:w="1182" w:type="pct"/>
            <w:vAlign w:val="center"/>
          </w:tcPr>
          <w:p w14:paraId="172ED3FB">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投标文件份数</w:t>
            </w:r>
          </w:p>
        </w:tc>
        <w:tc>
          <w:tcPr>
            <w:tcW w:w="2786" w:type="pct"/>
            <w:vAlign w:val="center"/>
          </w:tcPr>
          <w:p w14:paraId="7C0EED19">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应符合“投标人须知前附表”规定的正本、副本、电子文件数量</w:t>
            </w:r>
          </w:p>
        </w:tc>
      </w:tr>
      <w:tr w14:paraId="6433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436" w:type="pct"/>
            <w:vMerge w:val="continue"/>
          </w:tcPr>
          <w:p w14:paraId="788B71CC">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567E3D66">
            <w:pPr>
              <w:tabs>
                <w:tab w:val="left" w:pos="0"/>
              </w:tabs>
              <w:adjustRightInd w:val="0"/>
              <w:snapToGrid w:val="0"/>
              <w:spacing w:line="360" w:lineRule="auto"/>
              <w:rPr>
                <w:rFonts w:ascii="宋体" w:hAnsi="宋体" w:cs="宋体"/>
                <w:b/>
                <w:bCs/>
                <w:sz w:val="24"/>
                <w:szCs w:val="24"/>
                <w:highlight w:val="none"/>
              </w:rPr>
            </w:pPr>
          </w:p>
        </w:tc>
        <w:tc>
          <w:tcPr>
            <w:tcW w:w="287" w:type="pct"/>
            <w:vMerge w:val="continue"/>
          </w:tcPr>
          <w:p w14:paraId="257429A8">
            <w:pPr>
              <w:tabs>
                <w:tab w:val="left" w:pos="0"/>
              </w:tabs>
              <w:adjustRightInd w:val="0"/>
              <w:snapToGrid w:val="0"/>
              <w:spacing w:line="360" w:lineRule="auto"/>
              <w:rPr>
                <w:rFonts w:ascii="宋体" w:hAnsi="宋体" w:cs="宋体"/>
                <w:b/>
                <w:bCs/>
                <w:sz w:val="24"/>
                <w:szCs w:val="24"/>
                <w:highlight w:val="none"/>
              </w:rPr>
            </w:pPr>
          </w:p>
        </w:tc>
        <w:tc>
          <w:tcPr>
            <w:tcW w:w="1182" w:type="pct"/>
            <w:vAlign w:val="center"/>
          </w:tcPr>
          <w:p w14:paraId="4EDEEA30">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投标文件内容</w:t>
            </w:r>
          </w:p>
        </w:tc>
        <w:tc>
          <w:tcPr>
            <w:tcW w:w="2786" w:type="pct"/>
            <w:vAlign w:val="center"/>
          </w:tcPr>
          <w:p w14:paraId="4E0DE3F5">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投标文件内容齐全、无遗漏</w:t>
            </w:r>
          </w:p>
        </w:tc>
      </w:tr>
      <w:tr w14:paraId="7931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36" w:type="pct"/>
            <w:vMerge w:val="continue"/>
            <w:vAlign w:val="center"/>
          </w:tcPr>
          <w:p w14:paraId="41AE911D">
            <w:pPr>
              <w:tabs>
                <w:tab w:val="left" w:pos="0"/>
              </w:tabs>
              <w:adjustRightInd w:val="0"/>
              <w:snapToGrid w:val="0"/>
              <w:spacing w:line="360" w:lineRule="auto"/>
              <w:jc w:val="center"/>
              <w:rPr>
                <w:rFonts w:ascii="宋体" w:hAnsi="宋体" w:cs="宋体"/>
                <w:sz w:val="24"/>
                <w:szCs w:val="24"/>
                <w:highlight w:val="none"/>
              </w:rPr>
            </w:pPr>
          </w:p>
        </w:tc>
        <w:tc>
          <w:tcPr>
            <w:tcW w:w="306" w:type="pct"/>
            <w:vMerge w:val="continue"/>
            <w:vAlign w:val="center"/>
          </w:tcPr>
          <w:p w14:paraId="6B269CA0">
            <w:pPr>
              <w:tabs>
                <w:tab w:val="left" w:pos="0"/>
              </w:tabs>
              <w:adjustRightInd w:val="0"/>
              <w:snapToGrid w:val="0"/>
              <w:jc w:val="center"/>
              <w:rPr>
                <w:rFonts w:ascii="宋体" w:hAnsi="宋体" w:cs="宋体"/>
                <w:b/>
                <w:bCs/>
                <w:sz w:val="24"/>
                <w:szCs w:val="24"/>
                <w:highlight w:val="none"/>
              </w:rPr>
            </w:pPr>
          </w:p>
        </w:tc>
        <w:tc>
          <w:tcPr>
            <w:tcW w:w="287" w:type="pct"/>
            <w:vMerge w:val="restart"/>
            <w:vAlign w:val="center"/>
          </w:tcPr>
          <w:p w14:paraId="4D8A6FCD">
            <w:pPr>
              <w:tabs>
                <w:tab w:val="left" w:pos="0"/>
              </w:tabs>
              <w:adjustRightInd w:val="0"/>
              <w:snapToGrid w:val="0"/>
              <w:jc w:val="center"/>
              <w:rPr>
                <w:rFonts w:ascii="宋体" w:hAnsi="宋体" w:cs="宋体"/>
                <w:b/>
                <w:bCs/>
                <w:sz w:val="24"/>
                <w:szCs w:val="24"/>
                <w:highlight w:val="none"/>
              </w:rPr>
            </w:pPr>
            <w:r>
              <w:rPr>
                <w:rFonts w:hint="eastAsia" w:ascii="宋体" w:hAnsi="宋体" w:cs="宋体"/>
                <w:b/>
                <w:bCs/>
                <w:sz w:val="24"/>
                <w:szCs w:val="24"/>
                <w:highlight w:val="none"/>
              </w:rPr>
              <w:t>响应性审查</w:t>
            </w:r>
          </w:p>
        </w:tc>
        <w:tc>
          <w:tcPr>
            <w:tcW w:w="1182" w:type="pct"/>
            <w:vAlign w:val="center"/>
          </w:tcPr>
          <w:p w14:paraId="139B6160">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对招标文件响应程度</w:t>
            </w:r>
          </w:p>
        </w:tc>
        <w:tc>
          <w:tcPr>
            <w:tcW w:w="2786" w:type="pct"/>
            <w:vAlign w:val="center"/>
          </w:tcPr>
          <w:p w14:paraId="7C8AAB6F">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要求全面响应，不能有任何采购人不能接受的附加条件</w:t>
            </w:r>
          </w:p>
        </w:tc>
      </w:tr>
      <w:tr w14:paraId="4D1C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tcPr>
          <w:p w14:paraId="7E440BC2">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3681C8A2">
            <w:pPr>
              <w:tabs>
                <w:tab w:val="left" w:pos="0"/>
              </w:tabs>
              <w:adjustRightInd w:val="0"/>
              <w:snapToGrid w:val="0"/>
              <w:spacing w:line="360" w:lineRule="auto"/>
              <w:rPr>
                <w:rFonts w:ascii="宋体" w:hAnsi="宋体" w:cs="宋体"/>
                <w:b/>
                <w:bCs/>
                <w:sz w:val="24"/>
                <w:szCs w:val="24"/>
                <w:highlight w:val="none"/>
              </w:rPr>
            </w:pPr>
          </w:p>
        </w:tc>
        <w:tc>
          <w:tcPr>
            <w:tcW w:w="287" w:type="pct"/>
            <w:vMerge w:val="continue"/>
          </w:tcPr>
          <w:p w14:paraId="2B457400">
            <w:pPr>
              <w:tabs>
                <w:tab w:val="left" w:pos="0"/>
              </w:tabs>
              <w:adjustRightInd w:val="0"/>
              <w:snapToGrid w:val="0"/>
              <w:spacing w:line="360" w:lineRule="auto"/>
              <w:rPr>
                <w:rFonts w:ascii="宋体" w:hAnsi="宋体" w:cs="宋体"/>
                <w:b/>
                <w:bCs/>
                <w:sz w:val="24"/>
                <w:szCs w:val="24"/>
                <w:highlight w:val="none"/>
              </w:rPr>
            </w:pPr>
          </w:p>
        </w:tc>
        <w:tc>
          <w:tcPr>
            <w:tcW w:w="1182" w:type="pct"/>
            <w:vAlign w:val="center"/>
          </w:tcPr>
          <w:p w14:paraId="6A67B0AA">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工期</w:t>
            </w:r>
          </w:p>
        </w:tc>
        <w:tc>
          <w:tcPr>
            <w:tcW w:w="2786" w:type="pct"/>
            <w:vAlign w:val="center"/>
          </w:tcPr>
          <w:p w14:paraId="3C786392">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应满足招标文件中要求的工期</w:t>
            </w:r>
          </w:p>
        </w:tc>
      </w:tr>
      <w:tr w14:paraId="6614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pct"/>
            <w:vMerge w:val="continue"/>
          </w:tcPr>
          <w:p w14:paraId="5F89B942">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3BC896BE">
            <w:pPr>
              <w:tabs>
                <w:tab w:val="left" w:pos="0"/>
              </w:tabs>
              <w:adjustRightInd w:val="0"/>
              <w:snapToGrid w:val="0"/>
              <w:spacing w:line="360" w:lineRule="auto"/>
              <w:rPr>
                <w:rFonts w:ascii="宋体" w:hAnsi="宋体" w:cs="宋体"/>
                <w:b/>
                <w:bCs/>
                <w:sz w:val="24"/>
                <w:szCs w:val="24"/>
                <w:highlight w:val="none"/>
              </w:rPr>
            </w:pPr>
          </w:p>
        </w:tc>
        <w:tc>
          <w:tcPr>
            <w:tcW w:w="287" w:type="pct"/>
            <w:vMerge w:val="continue"/>
          </w:tcPr>
          <w:p w14:paraId="7FC5F284">
            <w:pPr>
              <w:tabs>
                <w:tab w:val="left" w:pos="0"/>
              </w:tabs>
              <w:adjustRightInd w:val="0"/>
              <w:snapToGrid w:val="0"/>
              <w:spacing w:line="360" w:lineRule="auto"/>
              <w:rPr>
                <w:rFonts w:ascii="宋体" w:hAnsi="宋体" w:cs="宋体"/>
                <w:b/>
                <w:bCs/>
                <w:sz w:val="24"/>
                <w:szCs w:val="24"/>
                <w:highlight w:val="none"/>
              </w:rPr>
            </w:pPr>
          </w:p>
        </w:tc>
        <w:tc>
          <w:tcPr>
            <w:tcW w:w="1182" w:type="pct"/>
            <w:vAlign w:val="center"/>
          </w:tcPr>
          <w:p w14:paraId="0134830A">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施工地点</w:t>
            </w:r>
          </w:p>
        </w:tc>
        <w:tc>
          <w:tcPr>
            <w:tcW w:w="2786" w:type="pct"/>
            <w:vAlign w:val="center"/>
          </w:tcPr>
          <w:p w14:paraId="58AAE024">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应满足招标文件中要求的施工地点</w:t>
            </w:r>
          </w:p>
        </w:tc>
      </w:tr>
      <w:tr w14:paraId="2E82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36" w:type="pct"/>
            <w:vMerge w:val="continue"/>
          </w:tcPr>
          <w:p w14:paraId="6394F494">
            <w:pPr>
              <w:tabs>
                <w:tab w:val="left" w:pos="0"/>
              </w:tabs>
              <w:adjustRightInd w:val="0"/>
              <w:snapToGrid w:val="0"/>
              <w:spacing w:line="360" w:lineRule="auto"/>
              <w:rPr>
                <w:rFonts w:ascii="宋体" w:hAnsi="宋体" w:cs="宋体"/>
                <w:sz w:val="24"/>
                <w:szCs w:val="24"/>
                <w:highlight w:val="none"/>
              </w:rPr>
            </w:pPr>
          </w:p>
        </w:tc>
        <w:tc>
          <w:tcPr>
            <w:tcW w:w="306" w:type="pct"/>
            <w:vMerge w:val="continue"/>
          </w:tcPr>
          <w:p w14:paraId="2BC850E8">
            <w:pPr>
              <w:tabs>
                <w:tab w:val="left" w:pos="0"/>
              </w:tabs>
              <w:adjustRightInd w:val="0"/>
              <w:snapToGrid w:val="0"/>
              <w:spacing w:line="360" w:lineRule="auto"/>
              <w:rPr>
                <w:rFonts w:ascii="宋体" w:hAnsi="宋体" w:cs="宋体"/>
                <w:b/>
                <w:bCs/>
                <w:sz w:val="24"/>
                <w:szCs w:val="24"/>
                <w:highlight w:val="none"/>
              </w:rPr>
            </w:pPr>
          </w:p>
        </w:tc>
        <w:tc>
          <w:tcPr>
            <w:tcW w:w="287" w:type="pct"/>
            <w:vMerge w:val="continue"/>
          </w:tcPr>
          <w:p w14:paraId="5052A1A2">
            <w:pPr>
              <w:tabs>
                <w:tab w:val="left" w:pos="0"/>
              </w:tabs>
              <w:adjustRightInd w:val="0"/>
              <w:snapToGrid w:val="0"/>
              <w:spacing w:line="360" w:lineRule="auto"/>
              <w:rPr>
                <w:rFonts w:ascii="宋体" w:hAnsi="宋体" w:cs="宋体"/>
                <w:b/>
                <w:bCs/>
                <w:sz w:val="24"/>
                <w:szCs w:val="24"/>
                <w:highlight w:val="none"/>
              </w:rPr>
            </w:pPr>
          </w:p>
        </w:tc>
        <w:tc>
          <w:tcPr>
            <w:tcW w:w="1182" w:type="pct"/>
            <w:vAlign w:val="center"/>
          </w:tcPr>
          <w:p w14:paraId="5536DA59">
            <w:pPr>
              <w:tabs>
                <w:tab w:val="left" w:pos="0"/>
              </w:tabs>
              <w:adjustRightInd w:val="0"/>
              <w:snapToGrid w:val="0"/>
              <w:rPr>
                <w:rFonts w:ascii="宋体" w:hAnsi="宋体" w:cs="宋体"/>
                <w:b/>
                <w:bCs/>
                <w:sz w:val="24"/>
                <w:szCs w:val="24"/>
                <w:highlight w:val="none"/>
              </w:rPr>
            </w:pPr>
            <w:r>
              <w:rPr>
                <w:rFonts w:hint="eastAsia" w:ascii="宋体" w:hAnsi="宋体" w:cs="宋体"/>
                <w:b/>
                <w:bCs/>
                <w:sz w:val="24"/>
                <w:szCs w:val="24"/>
                <w:highlight w:val="none"/>
              </w:rPr>
              <w:t>投标有效期</w:t>
            </w:r>
          </w:p>
        </w:tc>
        <w:tc>
          <w:tcPr>
            <w:tcW w:w="2786" w:type="pct"/>
            <w:vAlign w:val="center"/>
          </w:tcPr>
          <w:p w14:paraId="6BD2208C">
            <w:pPr>
              <w:tabs>
                <w:tab w:val="left" w:pos="0"/>
              </w:tabs>
              <w:adjustRightInd w:val="0"/>
              <w:snapToGrid w:val="0"/>
              <w:rPr>
                <w:rFonts w:ascii="宋体" w:hAnsi="宋体" w:cs="宋体"/>
                <w:sz w:val="24"/>
                <w:szCs w:val="24"/>
                <w:highlight w:val="none"/>
              </w:rPr>
            </w:pPr>
            <w:r>
              <w:rPr>
                <w:rFonts w:hint="eastAsia" w:ascii="宋体" w:hAnsi="宋体" w:cs="宋体"/>
                <w:sz w:val="24"/>
                <w:szCs w:val="24"/>
                <w:highlight w:val="none"/>
              </w:rPr>
              <w:t>应满足招标文件中的规定</w:t>
            </w:r>
          </w:p>
        </w:tc>
      </w:tr>
    </w:tbl>
    <w:p w14:paraId="06D29E21">
      <w:pPr>
        <w:spacing w:line="600" w:lineRule="exact"/>
        <w:jc w:val="left"/>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附件2分值构成与评分标准</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280"/>
        <w:gridCol w:w="1438"/>
        <w:gridCol w:w="5842"/>
      </w:tblGrid>
      <w:tr w14:paraId="037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5" w:type="pct"/>
            <w:vAlign w:val="center"/>
          </w:tcPr>
          <w:p w14:paraId="5C1BFCE0">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评分因素</w:t>
            </w:r>
          </w:p>
        </w:tc>
        <w:tc>
          <w:tcPr>
            <w:tcW w:w="680" w:type="pct"/>
            <w:vAlign w:val="center"/>
          </w:tcPr>
          <w:p w14:paraId="18ED73FA">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总分</w:t>
            </w:r>
          </w:p>
          <w:p w14:paraId="62A3A09C">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（100分）</w:t>
            </w:r>
          </w:p>
        </w:tc>
        <w:tc>
          <w:tcPr>
            <w:tcW w:w="765" w:type="pct"/>
            <w:vAlign w:val="center"/>
          </w:tcPr>
          <w:p w14:paraId="3202E956">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评审要素</w:t>
            </w:r>
          </w:p>
        </w:tc>
        <w:tc>
          <w:tcPr>
            <w:tcW w:w="3107" w:type="pct"/>
            <w:vAlign w:val="center"/>
          </w:tcPr>
          <w:p w14:paraId="4AF0BA9F">
            <w:pPr>
              <w:spacing w:line="480" w:lineRule="exact"/>
              <w:jc w:val="center"/>
              <w:rPr>
                <w:rFonts w:ascii="宋体" w:hAnsi="宋体" w:cs="宋体"/>
                <w:b/>
                <w:sz w:val="24"/>
                <w:szCs w:val="24"/>
                <w:highlight w:val="none"/>
              </w:rPr>
            </w:pPr>
            <w:r>
              <w:rPr>
                <w:rFonts w:hint="eastAsia" w:ascii="宋体" w:hAnsi="宋体" w:cs="宋体"/>
                <w:b/>
                <w:sz w:val="24"/>
                <w:szCs w:val="24"/>
                <w:highlight w:val="none"/>
              </w:rPr>
              <w:t>评分标准</w:t>
            </w:r>
          </w:p>
        </w:tc>
      </w:tr>
      <w:tr w14:paraId="27A8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restart"/>
            <w:vAlign w:val="center"/>
          </w:tcPr>
          <w:p w14:paraId="1DDCDCCB">
            <w:pPr>
              <w:spacing w:line="480" w:lineRule="exact"/>
              <w:jc w:val="center"/>
              <w:rPr>
                <w:rFonts w:ascii="宋体" w:hAnsi="宋体" w:cs="宋体"/>
                <w:sz w:val="24"/>
                <w:szCs w:val="24"/>
                <w:highlight w:val="none"/>
              </w:rPr>
            </w:pPr>
            <w:r>
              <w:rPr>
                <w:rFonts w:hint="eastAsia" w:ascii="宋体" w:hAnsi="宋体" w:cs="宋体"/>
                <w:sz w:val="24"/>
                <w:szCs w:val="24"/>
                <w:highlight w:val="none"/>
              </w:rPr>
              <w:t>技术评分部分</w:t>
            </w:r>
          </w:p>
        </w:tc>
        <w:tc>
          <w:tcPr>
            <w:tcW w:w="680" w:type="pct"/>
            <w:vMerge w:val="restart"/>
            <w:vAlign w:val="center"/>
          </w:tcPr>
          <w:p w14:paraId="04D9D355">
            <w:pPr>
              <w:spacing w:line="480" w:lineRule="exact"/>
              <w:jc w:val="center"/>
              <w:rPr>
                <w:rFonts w:ascii="宋体" w:hAnsi="宋体" w:cs="宋体"/>
                <w:sz w:val="24"/>
                <w:szCs w:val="24"/>
                <w:highlight w:val="none"/>
              </w:rPr>
            </w:pPr>
            <w:r>
              <w:rPr>
                <w:rFonts w:hint="eastAsia" w:ascii="宋体" w:hAnsi="宋体" w:cs="宋体"/>
                <w:sz w:val="24"/>
                <w:szCs w:val="24"/>
                <w:highlight w:val="none"/>
              </w:rPr>
              <w:t>（70分）</w:t>
            </w:r>
          </w:p>
        </w:tc>
        <w:tc>
          <w:tcPr>
            <w:tcW w:w="765" w:type="pct"/>
            <w:vAlign w:val="center"/>
          </w:tcPr>
          <w:p w14:paraId="132D4F44">
            <w:pPr>
              <w:spacing w:line="480" w:lineRule="exact"/>
              <w:jc w:val="center"/>
              <w:rPr>
                <w:rFonts w:ascii="宋体" w:hAnsi="宋体" w:cs="宋体"/>
                <w:sz w:val="24"/>
                <w:szCs w:val="24"/>
                <w:highlight w:val="none"/>
              </w:rPr>
            </w:pPr>
            <w:r>
              <w:rPr>
                <w:rFonts w:hint="eastAsia" w:ascii="宋体" w:hAnsi="宋体" w:cs="宋体"/>
                <w:sz w:val="24"/>
                <w:szCs w:val="24"/>
                <w:highlight w:val="none"/>
              </w:rPr>
              <w:t>①项目管理部门及人员配备（5分）</w:t>
            </w:r>
          </w:p>
        </w:tc>
        <w:tc>
          <w:tcPr>
            <w:tcW w:w="3107" w:type="pct"/>
            <w:vAlign w:val="center"/>
          </w:tcPr>
          <w:p w14:paraId="7EF5A983">
            <w:pPr>
              <w:spacing w:line="480" w:lineRule="exact"/>
              <w:rPr>
                <w:rFonts w:ascii="宋体" w:hAnsi="宋体" w:cs="宋体"/>
                <w:sz w:val="24"/>
                <w:szCs w:val="24"/>
                <w:highlight w:val="none"/>
              </w:rPr>
            </w:pPr>
            <w:r>
              <w:rPr>
                <w:rFonts w:hint="eastAsia" w:ascii="宋体" w:hAnsi="宋体" w:cs="宋体"/>
                <w:sz w:val="24"/>
                <w:szCs w:val="24"/>
                <w:highlight w:val="none"/>
              </w:rPr>
              <w:t>依据本项目成立项目管理部，项目部门技术人员配备合理，岗位职责清晰明确，满足本项目需求得</w:t>
            </w:r>
            <w:r>
              <w:rPr>
                <w:rFonts w:hint="eastAsia" w:ascii="宋体" w:hAnsi="宋体" w:cs="宋体"/>
                <w:sz w:val="24"/>
                <w:szCs w:val="24"/>
                <w:highlight w:val="none"/>
                <w:lang w:val="en-US" w:eastAsia="zh-CN"/>
              </w:rPr>
              <w:t>3</w:t>
            </w:r>
            <w:r>
              <w:rPr>
                <w:rFonts w:hint="eastAsia" w:ascii="宋体" w:hAnsi="宋体" w:cs="宋体"/>
                <w:sz w:val="24"/>
                <w:szCs w:val="24"/>
                <w:highlight w:val="none"/>
              </w:rPr>
              <w:t>（含3）～</w:t>
            </w:r>
            <w:r>
              <w:rPr>
                <w:rFonts w:hint="eastAsia" w:ascii="宋体" w:hAnsi="宋体" w:cs="宋体"/>
                <w:sz w:val="24"/>
                <w:szCs w:val="24"/>
                <w:highlight w:val="none"/>
                <w:lang w:val="en-US" w:eastAsia="zh-CN"/>
              </w:rPr>
              <w:t>5</w:t>
            </w:r>
            <w:r>
              <w:rPr>
                <w:rFonts w:hint="eastAsia" w:ascii="宋体" w:hAnsi="宋体" w:cs="宋体"/>
                <w:sz w:val="24"/>
                <w:szCs w:val="24"/>
                <w:highlight w:val="none"/>
              </w:rPr>
              <w:t>分；项目部门技术人员配备较合理，岗位职责较为清晰明确，基本满足本项目需求得1（含</w:t>
            </w:r>
            <w:r>
              <w:rPr>
                <w:rFonts w:hint="eastAsia" w:ascii="宋体" w:hAnsi="宋体" w:cs="宋体"/>
                <w:sz w:val="24"/>
                <w:szCs w:val="24"/>
                <w:highlight w:val="none"/>
                <w:lang w:val="en-US" w:eastAsia="zh-CN"/>
              </w:rPr>
              <w:t>1</w:t>
            </w:r>
            <w:r>
              <w:rPr>
                <w:rFonts w:hint="eastAsia" w:ascii="宋体" w:hAnsi="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cs="宋体"/>
                <w:sz w:val="24"/>
                <w:szCs w:val="24"/>
                <w:highlight w:val="none"/>
              </w:rPr>
              <w:t>分；项目部门技术人员配备不合理，岗位职责较不清晰明确，不能满足本项目需求得0分。</w:t>
            </w:r>
          </w:p>
        </w:tc>
      </w:tr>
      <w:tr w14:paraId="607C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45" w:type="pct"/>
            <w:vMerge w:val="continue"/>
            <w:vAlign w:val="center"/>
          </w:tcPr>
          <w:p w14:paraId="2013E8F8">
            <w:pPr>
              <w:spacing w:line="480" w:lineRule="exact"/>
              <w:jc w:val="center"/>
              <w:rPr>
                <w:rFonts w:ascii="宋体" w:hAnsi="宋体" w:cs="宋体"/>
                <w:sz w:val="24"/>
                <w:szCs w:val="24"/>
                <w:highlight w:val="none"/>
              </w:rPr>
            </w:pPr>
          </w:p>
        </w:tc>
        <w:tc>
          <w:tcPr>
            <w:tcW w:w="680" w:type="pct"/>
            <w:vMerge w:val="continue"/>
            <w:vAlign w:val="center"/>
          </w:tcPr>
          <w:p w14:paraId="58C5D5DE">
            <w:pPr>
              <w:spacing w:line="480" w:lineRule="exact"/>
              <w:jc w:val="center"/>
              <w:rPr>
                <w:rFonts w:ascii="宋体" w:hAnsi="宋体" w:cs="宋体"/>
                <w:sz w:val="24"/>
                <w:szCs w:val="24"/>
                <w:highlight w:val="none"/>
              </w:rPr>
            </w:pPr>
          </w:p>
        </w:tc>
        <w:tc>
          <w:tcPr>
            <w:tcW w:w="765" w:type="pct"/>
            <w:vAlign w:val="center"/>
          </w:tcPr>
          <w:p w14:paraId="5645D56E">
            <w:pPr>
              <w:spacing w:line="480" w:lineRule="exact"/>
              <w:jc w:val="center"/>
              <w:rPr>
                <w:rFonts w:ascii="宋体" w:hAnsi="宋体" w:cs="宋体"/>
                <w:sz w:val="24"/>
                <w:szCs w:val="24"/>
                <w:highlight w:val="none"/>
              </w:rPr>
            </w:pPr>
            <w:r>
              <w:rPr>
                <w:rFonts w:hint="eastAsia" w:ascii="宋体" w:hAnsi="宋体" w:cs="宋体"/>
                <w:sz w:val="24"/>
                <w:szCs w:val="24"/>
                <w:highlight w:val="none"/>
              </w:rPr>
              <w:t>②项目实施方案</w:t>
            </w:r>
          </w:p>
          <w:p w14:paraId="372FB067">
            <w:pPr>
              <w:spacing w:line="480" w:lineRule="exact"/>
              <w:jc w:val="center"/>
              <w:rPr>
                <w:rFonts w:ascii="宋体" w:hAnsi="宋体" w:cs="宋体"/>
                <w:sz w:val="24"/>
                <w:szCs w:val="24"/>
                <w:highlight w:val="none"/>
              </w:rPr>
            </w:pPr>
            <w:r>
              <w:rPr>
                <w:rFonts w:hint="eastAsia" w:ascii="宋体" w:hAnsi="宋体" w:cs="宋体"/>
                <w:sz w:val="24"/>
                <w:szCs w:val="24"/>
                <w:highlight w:val="none"/>
              </w:rPr>
              <w:t>（15分）</w:t>
            </w:r>
          </w:p>
        </w:tc>
        <w:tc>
          <w:tcPr>
            <w:tcW w:w="3107" w:type="pct"/>
            <w:vAlign w:val="center"/>
          </w:tcPr>
          <w:p w14:paraId="4643E4BE">
            <w:pPr>
              <w:spacing w:line="480" w:lineRule="exact"/>
              <w:rPr>
                <w:rFonts w:ascii="宋体" w:hAnsi="宋体" w:cs="宋体"/>
                <w:sz w:val="24"/>
                <w:szCs w:val="24"/>
                <w:highlight w:val="none"/>
              </w:rPr>
            </w:pPr>
            <w:r>
              <w:rPr>
                <w:rFonts w:hint="eastAsia" w:ascii="宋体" w:hAnsi="宋体" w:cs="宋体"/>
                <w:sz w:val="24"/>
                <w:szCs w:val="24"/>
                <w:highlight w:val="none"/>
              </w:rPr>
              <w:t>针对本项目实际情况就工程内容编写施工方案：</w:t>
            </w:r>
          </w:p>
          <w:p w14:paraId="6AF7AA0D">
            <w:pPr>
              <w:spacing w:line="480" w:lineRule="exact"/>
              <w:rPr>
                <w:rFonts w:ascii="宋体" w:hAnsi="宋体" w:cs="宋体"/>
                <w:sz w:val="24"/>
                <w:szCs w:val="24"/>
                <w:highlight w:val="none"/>
              </w:rPr>
            </w:pPr>
            <w:r>
              <w:rPr>
                <w:rFonts w:hint="eastAsia" w:ascii="宋体" w:hAnsi="宋体" w:cs="宋体"/>
                <w:sz w:val="24"/>
                <w:szCs w:val="24"/>
                <w:highlight w:val="none"/>
              </w:rPr>
              <w:t>①方案切合实际、因地制宜、科学合理完全满足本项目要求10（含10）～15分；</w:t>
            </w:r>
          </w:p>
          <w:p w14:paraId="5DEB5396">
            <w:pPr>
              <w:spacing w:line="480" w:lineRule="exact"/>
              <w:rPr>
                <w:rFonts w:ascii="宋体" w:hAnsi="宋体" w:cs="宋体"/>
                <w:sz w:val="24"/>
                <w:szCs w:val="24"/>
                <w:highlight w:val="none"/>
              </w:rPr>
            </w:pPr>
            <w:r>
              <w:rPr>
                <w:rFonts w:hint="eastAsia" w:ascii="宋体" w:hAnsi="宋体" w:cs="宋体"/>
                <w:sz w:val="24"/>
                <w:szCs w:val="24"/>
                <w:highlight w:val="none"/>
              </w:rPr>
              <w:t>②方案较为切合实际、因地制宜性一般、较为满足本项目要求5（含5）～10分；</w:t>
            </w:r>
          </w:p>
          <w:p w14:paraId="6D2FA7B8">
            <w:pPr>
              <w:spacing w:line="480" w:lineRule="exact"/>
              <w:rPr>
                <w:rFonts w:ascii="宋体" w:hAnsi="宋体" w:cs="宋体"/>
                <w:sz w:val="24"/>
                <w:szCs w:val="24"/>
                <w:highlight w:val="none"/>
              </w:rPr>
            </w:pPr>
            <w:r>
              <w:rPr>
                <w:rFonts w:hint="eastAsia" w:ascii="宋体" w:hAnsi="宋体" w:cs="宋体"/>
                <w:sz w:val="24"/>
                <w:szCs w:val="24"/>
                <w:highlight w:val="none"/>
              </w:rPr>
              <w:t>③方案不切合实际情况、因地制宜性差，不能满足本项目实际要求0～5分。</w:t>
            </w:r>
          </w:p>
        </w:tc>
      </w:tr>
      <w:tr w14:paraId="392B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45" w:type="pct"/>
            <w:vMerge w:val="continue"/>
            <w:vAlign w:val="center"/>
          </w:tcPr>
          <w:p w14:paraId="449CE7A1">
            <w:pPr>
              <w:spacing w:line="480" w:lineRule="exact"/>
              <w:jc w:val="center"/>
              <w:rPr>
                <w:rFonts w:ascii="宋体" w:hAnsi="宋体" w:cs="宋体"/>
                <w:sz w:val="24"/>
                <w:szCs w:val="24"/>
                <w:highlight w:val="none"/>
              </w:rPr>
            </w:pPr>
          </w:p>
        </w:tc>
        <w:tc>
          <w:tcPr>
            <w:tcW w:w="680" w:type="pct"/>
            <w:vMerge w:val="continue"/>
            <w:vAlign w:val="center"/>
          </w:tcPr>
          <w:p w14:paraId="361A798A">
            <w:pPr>
              <w:spacing w:line="480" w:lineRule="exact"/>
              <w:jc w:val="center"/>
              <w:rPr>
                <w:rFonts w:ascii="宋体" w:hAnsi="宋体" w:cs="宋体"/>
                <w:sz w:val="24"/>
                <w:szCs w:val="24"/>
                <w:highlight w:val="none"/>
              </w:rPr>
            </w:pPr>
          </w:p>
        </w:tc>
        <w:tc>
          <w:tcPr>
            <w:tcW w:w="765" w:type="pct"/>
            <w:vAlign w:val="center"/>
          </w:tcPr>
          <w:p w14:paraId="3A5E1B69">
            <w:pPr>
              <w:spacing w:line="480" w:lineRule="exact"/>
              <w:jc w:val="center"/>
              <w:rPr>
                <w:rFonts w:ascii="宋体" w:hAnsi="宋体" w:cs="宋体"/>
                <w:sz w:val="24"/>
                <w:szCs w:val="24"/>
                <w:highlight w:val="none"/>
              </w:rPr>
            </w:pPr>
            <w:r>
              <w:rPr>
                <w:rFonts w:hint="eastAsia" w:ascii="宋体" w:hAnsi="宋体" w:cs="宋体"/>
                <w:sz w:val="24"/>
                <w:szCs w:val="24"/>
                <w:highlight w:val="none"/>
              </w:rPr>
              <w:t>③工程进度计划与保障措施（7分）</w:t>
            </w:r>
          </w:p>
        </w:tc>
        <w:tc>
          <w:tcPr>
            <w:tcW w:w="3107" w:type="pct"/>
            <w:vAlign w:val="center"/>
          </w:tcPr>
          <w:p w14:paraId="788C1CA6">
            <w:pPr>
              <w:spacing w:line="480" w:lineRule="exact"/>
              <w:rPr>
                <w:rFonts w:ascii="宋体" w:hAnsi="宋体" w:cs="宋体"/>
                <w:sz w:val="24"/>
                <w:szCs w:val="24"/>
                <w:highlight w:val="none"/>
              </w:rPr>
            </w:pPr>
            <w:r>
              <w:rPr>
                <w:rFonts w:hint="eastAsia" w:ascii="宋体" w:hAnsi="宋体" w:cs="宋体"/>
                <w:sz w:val="24"/>
                <w:szCs w:val="24"/>
                <w:highlight w:val="none"/>
              </w:rPr>
              <w:t>进度计划及保障措施合理、完善，4（含</w:t>
            </w:r>
            <w:r>
              <w:rPr>
                <w:rFonts w:hint="eastAsia" w:ascii="宋体" w:hAnsi="宋体" w:cs="宋体"/>
                <w:sz w:val="24"/>
                <w:szCs w:val="24"/>
                <w:highlight w:val="none"/>
                <w:lang w:val="en-US" w:eastAsia="zh-CN"/>
              </w:rPr>
              <w:t>4</w:t>
            </w:r>
            <w:r>
              <w:rPr>
                <w:rFonts w:hint="eastAsia" w:ascii="宋体" w:hAnsi="宋体" w:cs="宋体"/>
                <w:sz w:val="24"/>
                <w:szCs w:val="24"/>
                <w:highlight w:val="none"/>
              </w:rPr>
              <w:t>）～7分</w:t>
            </w:r>
          </w:p>
          <w:p w14:paraId="13D3D6FA">
            <w:pPr>
              <w:spacing w:line="480" w:lineRule="exact"/>
              <w:rPr>
                <w:rFonts w:ascii="宋体" w:hAnsi="宋体" w:cs="宋体"/>
                <w:sz w:val="24"/>
                <w:szCs w:val="24"/>
                <w:highlight w:val="none"/>
              </w:rPr>
            </w:pPr>
            <w:r>
              <w:rPr>
                <w:rFonts w:hint="eastAsia" w:ascii="宋体" w:hAnsi="宋体" w:cs="宋体"/>
                <w:sz w:val="24"/>
                <w:szCs w:val="24"/>
                <w:highlight w:val="none"/>
              </w:rPr>
              <w:t>进度计划及保障措施基本合理、比较完善，2（含</w:t>
            </w:r>
            <w:r>
              <w:rPr>
                <w:rFonts w:hint="eastAsia" w:ascii="宋体" w:hAnsi="宋体" w:cs="宋体"/>
                <w:sz w:val="24"/>
                <w:szCs w:val="24"/>
                <w:highlight w:val="none"/>
                <w:lang w:val="en-US" w:eastAsia="zh-CN"/>
              </w:rPr>
              <w:t>2</w:t>
            </w:r>
            <w:r>
              <w:rPr>
                <w:rFonts w:hint="eastAsia" w:ascii="宋体" w:hAnsi="宋体" w:cs="宋体"/>
                <w:sz w:val="24"/>
                <w:szCs w:val="24"/>
                <w:highlight w:val="none"/>
              </w:rPr>
              <w:t>）～4分</w:t>
            </w:r>
          </w:p>
          <w:p w14:paraId="48426DA0">
            <w:pPr>
              <w:spacing w:line="480" w:lineRule="exact"/>
              <w:rPr>
                <w:rFonts w:ascii="宋体" w:hAnsi="宋体" w:cs="宋体"/>
                <w:sz w:val="24"/>
                <w:szCs w:val="24"/>
                <w:highlight w:val="none"/>
              </w:rPr>
            </w:pPr>
            <w:r>
              <w:rPr>
                <w:rFonts w:hint="eastAsia" w:ascii="宋体" w:hAnsi="宋体" w:cs="宋体"/>
                <w:sz w:val="24"/>
                <w:szCs w:val="24"/>
                <w:highlight w:val="none"/>
              </w:rPr>
              <w:t>进度计划及保障措施一般，0～2分；</w:t>
            </w:r>
          </w:p>
        </w:tc>
      </w:tr>
      <w:tr w14:paraId="04EC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45" w:type="pct"/>
            <w:vMerge w:val="continue"/>
            <w:vAlign w:val="center"/>
          </w:tcPr>
          <w:p w14:paraId="0EBCC39F">
            <w:pPr>
              <w:spacing w:line="480" w:lineRule="exact"/>
              <w:jc w:val="center"/>
              <w:rPr>
                <w:rFonts w:ascii="宋体" w:hAnsi="宋体" w:cs="宋体"/>
                <w:sz w:val="24"/>
                <w:szCs w:val="24"/>
                <w:highlight w:val="none"/>
              </w:rPr>
            </w:pPr>
          </w:p>
        </w:tc>
        <w:tc>
          <w:tcPr>
            <w:tcW w:w="680" w:type="pct"/>
            <w:vMerge w:val="continue"/>
            <w:vAlign w:val="center"/>
          </w:tcPr>
          <w:p w14:paraId="209FB96D">
            <w:pPr>
              <w:spacing w:line="480" w:lineRule="exact"/>
              <w:jc w:val="center"/>
              <w:rPr>
                <w:rFonts w:ascii="宋体" w:hAnsi="宋体" w:cs="宋体"/>
                <w:sz w:val="24"/>
                <w:szCs w:val="24"/>
                <w:highlight w:val="none"/>
              </w:rPr>
            </w:pPr>
          </w:p>
        </w:tc>
        <w:tc>
          <w:tcPr>
            <w:tcW w:w="765" w:type="pct"/>
            <w:vAlign w:val="center"/>
          </w:tcPr>
          <w:p w14:paraId="1F4FB69C">
            <w:pPr>
              <w:spacing w:line="480" w:lineRule="exact"/>
              <w:jc w:val="center"/>
              <w:rPr>
                <w:rFonts w:ascii="宋体" w:hAnsi="宋体" w:cs="宋体"/>
                <w:sz w:val="24"/>
                <w:szCs w:val="24"/>
                <w:highlight w:val="none"/>
              </w:rPr>
            </w:pPr>
            <w:r>
              <w:rPr>
                <w:rFonts w:hint="eastAsia" w:ascii="宋体" w:hAnsi="宋体" w:cs="宋体"/>
                <w:sz w:val="24"/>
                <w:szCs w:val="24"/>
                <w:highlight w:val="none"/>
              </w:rPr>
              <w:t>④确保工程质量的组织措施（6分）</w:t>
            </w:r>
          </w:p>
        </w:tc>
        <w:tc>
          <w:tcPr>
            <w:tcW w:w="3107" w:type="pct"/>
            <w:vAlign w:val="center"/>
          </w:tcPr>
          <w:p w14:paraId="537E51E4">
            <w:pPr>
              <w:spacing w:line="480" w:lineRule="exact"/>
              <w:rPr>
                <w:rFonts w:ascii="宋体" w:hAnsi="宋体" w:cs="宋体"/>
                <w:sz w:val="24"/>
                <w:szCs w:val="24"/>
                <w:highlight w:val="none"/>
              </w:rPr>
            </w:pPr>
            <w:r>
              <w:rPr>
                <w:rFonts w:hint="eastAsia" w:ascii="宋体" w:hAnsi="宋体" w:cs="宋体"/>
                <w:sz w:val="24"/>
                <w:szCs w:val="24"/>
                <w:highlight w:val="none"/>
              </w:rPr>
              <w:t>所述内容切合工程实际，质量措施切实可行，根据响应的不同程度赋分4（含</w:t>
            </w:r>
            <w:r>
              <w:rPr>
                <w:rFonts w:hint="eastAsia" w:ascii="宋体" w:hAnsi="宋体" w:cs="宋体"/>
                <w:sz w:val="24"/>
                <w:szCs w:val="24"/>
                <w:highlight w:val="none"/>
                <w:lang w:val="en-US" w:eastAsia="zh-CN"/>
              </w:rPr>
              <w:t>4</w:t>
            </w:r>
            <w:r>
              <w:rPr>
                <w:rFonts w:hint="eastAsia" w:ascii="宋体" w:hAnsi="宋体" w:cs="宋体"/>
                <w:sz w:val="24"/>
                <w:szCs w:val="24"/>
                <w:highlight w:val="none"/>
              </w:rPr>
              <w:t>）～6分；</w:t>
            </w:r>
          </w:p>
          <w:p w14:paraId="3AE97607">
            <w:pPr>
              <w:spacing w:line="480" w:lineRule="exact"/>
              <w:rPr>
                <w:rFonts w:ascii="宋体" w:hAnsi="宋体" w:cs="宋体"/>
                <w:sz w:val="24"/>
                <w:szCs w:val="24"/>
                <w:highlight w:val="none"/>
              </w:rPr>
            </w:pPr>
            <w:r>
              <w:rPr>
                <w:rFonts w:hint="eastAsia" w:ascii="宋体" w:hAnsi="宋体" w:cs="宋体"/>
                <w:sz w:val="24"/>
                <w:szCs w:val="24"/>
                <w:highlight w:val="none"/>
              </w:rPr>
              <w:t>质量措施基本合理、比较完善2（含</w:t>
            </w:r>
            <w:r>
              <w:rPr>
                <w:rFonts w:hint="eastAsia" w:ascii="宋体" w:hAnsi="宋体" w:cs="宋体"/>
                <w:sz w:val="24"/>
                <w:szCs w:val="24"/>
                <w:highlight w:val="none"/>
                <w:lang w:val="en-US" w:eastAsia="zh-CN"/>
              </w:rPr>
              <w:t>2</w:t>
            </w:r>
            <w:r>
              <w:rPr>
                <w:rFonts w:hint="eastAsia" w:ascii="宋体" w:hAnsi="宋体" w:cs="宋体"/>
                <w:sz w:val="24"/>
                <w:szCs w:val="24"/>
                <w:highlight w:val="none"/>
              </w:rPr>
              <w:t>）～4分；质量措施一般，0～2分</w:t>
            </w:r>
          </w:p>
        </w:tc>
      </w:tr>
      <w:tr w14:paraId="581B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45" w:type="pct"/>
            <w:vMerge w:val="continue"/>
            <w:vAlign w:val="center"/>
          </w:tcPr>
          <w:p w14:paraId="1784E38D">
            <w:pPr>
              <w:spacing w:line="480" w:lineRule="exact"/>
              <w:jc w:val="center"/>
              <w:rPr>
                <w:rFonts w:ascii="宋体" w:hAnsi="宋体" w:cs="宋体"/>
                <w:sz w:val="24"/>
                <w:szCs w:val="24"/>
                <w:highlight w:val="none"/>
              </w:rPr>
            </w:pPr>
          </w:p>
        </w:tc>
        <w:tc>
          <w:tcPr>
            <w:tcW w:w="680" w:type="pct"/>
            <w:vMerge w:val="continue"/>
            <w:vAlign w:val="center"/>
          </w:tcPr>
          <w:p w14:paraId="590E0A2D">
            <w:pPr>
              <w:spacing w:line="480" w:lineRule="exact"/>
              <w:jc w:val="center"/>
              <w:rPr>
                <w:rFonts w:ascii="宋体" w:hAnsi="宋体" w:cs="宋体"/>
                <w:sz w:val="24"/>
                <w:szCs w:val="24"/>
                <w:highlight w:val="none"/>
              </w:rPr>
            </w:pPr>
          </w:p>
        </w:tc>
        <w:tc>
          <w:tcPr>
            <w:tcW w:w="765" w:type="pct"/>
            <w:vAlign w:val="center"/>
          </w:tcPr>
          <w:p w14:paraId="11D2FEA7">
            <w:pPr>
              <w:spacing w:line="480" w:lineRule="exact"/>
              <w:jc w:val="center"/>
              <w:rPr>
                <w:rFonts w:ascii="宋体" w:hAnsi="宋体" w:cs="宋体"/>
                <w:sz w:val="24"/>
                <w:szCs w:val="24"/>
                <w:highlight w:val="none"/>
              </w:rPr>
            </w:pPr>
            <w:r>
              <w:rPr>
                <w:rFonts w:hint="eastAsia" w:ascii="宋体" w:hAnsi="宋体" w:cs="宋体"/>
                <w:sz w:val="24"/>
                <w:szCs w:val="24"/>
                <w:highlight w:val="none"/>
              </w:rPr>
              <w:t>⑤文明施工、环境保护管理体系与措施</w:t>
            </w:r>
          </w:p>
          <w:p w14:paraId="016B1F90">
            <w:pPr>
              <w:spacing w:line="480" w:lineRule="exact"/>
              <w:jc w:val="center"/>
              <w:rPr>
                <w:rFonts w:ascii="宋体" w:hAnsi="宋体" w:cs="宋体"/>
                <w:sz w:val="24"/>
                <w:szCs w:val="24"/>
                <w:highlight w:val="none"/>
              </w:rPr>
            </w:pPr>
            <w:r>
              <w:rPr>
                <w:rFonts w:hint="eastAsia" w:ascii="宋体" w:hAnsi="宋体" w:cs="宋体"/>
                <w:sz w:val="24"/>
                <w:szCs w:val="24"/>
                <w:highlight w:val="none"/>
              </w:rPr>
              <w:t>（6分）</w:t>
            </w:r>
          </w:p>
        </w:tc>
        <w:tc>
          <w:tcPr>
            <w:tcW w:w="3107" w:type="pct"/>
            <w:vAlign w:val="center"/>
          </w:tcPr>
          <w:p w14:paraId="0DB5BA5B">
            <w:pPr>
              <w:spacing w:line="480" w:lineRule="exact"/>
              <w:rPr>
                <w:rFonts w:ascii="宋体" w:hAnsi="宋体" w:cs="宋体"/>
                <w:sz w:val="24"/>
                <w:szCs w:val="24"/>
                <w:highlight w:val="none"/>
              </w:rPr>
            </w:pPr>
            <w:r>
              <w:rPr>
                <w:rFonts w:hint="eastAsia" w:ascii="宋体" w:hAnsi="宋体" w:cs="宋体"/>
                <w:sz w:val="24"/>
                <w:szCs w:val="24"/>
                <w:highlight w:val="none"/>
              </w:rPr>
              <w:t>文明施工、环境保障措施合理、完善，4（含</w:t>
            </w:r>
            <w:r>
              <w:rPr>
                <w:rFonts w:hint="eastAsia" w:ascii="宋体" w:hAnsi="宋体" w:cs="宋体"/>
                <w:sz w:val="24"/>
                <w:szCs w:val="24"/>
                <w:highlight w:val="none"/>
                <w:lang w:val="en-US" w:eastAsia="zh-CN"/>
              </w:rPr>
              <w:t>4</w:t>
            </w:r>
            <w:r>
              <w:rPr>
                <w:rFonts w:hint="eastAsia" w:ascii="宋体" w:hAnsi="宋体" w:cs="宋体"/>
                <w:sz w:val="24"/>
                <w:szCs w:val="24"/>
                <w:highlight w:val="none"/>
              </w:rPr>
              <w:t>）～6分</w:t>
            </w:r>
          </w:p>
          <w:p w14:paraId="1B2DD7DF">
            <w:pPr>
              <w:spacing w:line="480" w:lineRule="exact"/>
              <w:rPr>
                <w:rFonts w:ascii="宋体" w:hAnsi="宋体" w:cs="宋体"/>
                <w:sz w:val="24"/>
                <w:szCs w:val="24"/>
                <w:highlight w:val="none"/>
              </w:rPr>
            </w:pPr>
            <w:r>
              <w:rPr>
                <w:rFonts w:hint="eastAsia" w:ascii="宋体" w:hAnsi="宋体" w:cs="宋体"/>
                <w:sz w:val="24"/>
                <w:szCs w:val="24"/>
                <w:highlight w:val="none"/>
              </w:rPr>
              <w:t>文明施工、环境保障措施基本合理、比较完善，2（含</w:t>
            </w:r>
            <w:r>
              <w:rPr>
                <w:rFonts w:hint="eastAsia" w:ascii="宋体" w:hAnsi="宋体" w:cs="宋体"/>
                <w:sz w:val="24"/>
                <w:szCs w:val="24"/>
                <w:highlight w:val="none"/>
                <w:lang w:val="en-US" w:eastAsia="zh-CN"/>
              </w:rPr>
              <w:t>2</w:t>
            </w:r>
            <w:r>
              <w:rPr>
                <w:rFonts w:hint="eastAsia" w:ascii="宋体" w:hAnsi="宋体" w:cs="宋体"/>
                <w:sz w:val="24"/>
                <w:szCs w:val="24"/>
                <w:highlight w:val="none"/>
              </w:rPr>
              <w:t>）～4分；</w:t>
            </w:r>
          </w:p>
          <w:p w14:paraId="3F116434">
            <w:pPr>
              <w:spacing w:line="480" w:lineRule="exact"/>
              <w:rPr>
                <w:rFonts w:ascii="宋体" w:hAnsi="宋体" w:cs="宋体"/>
                <w:sz w:val="24"/>
                <w:szCs w:val="24"/>
                <w:highlight w:val="none"/>
              </w:rPr>
            </w:pPr>
            <w:r>
              <w:rPr>
                <w:rFonts w:hint="eastAsia" w:ascii="宋体" w:hAnsi="宋体" w:cs="宋体"/>
                <w:sz w:val="24"/>
                <w:szCs w:val="24"/>
                <w:highlight w:val="none"/>
              </w:rPr>
              <w:t>文明施工、环境保障措施一般，0～2分</w:t>
            </w:r>
          </w:p>
        </w:tc>
      </w:tr>
      <w:tr w14:paraId="4C7F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vAlign w:val="center"/>
          </w:tcPr>
          <w:p w14:paraId="3FA5231E">
            <w:pPr>
              <w:spacing w:line="480" w:lineRule="exact"/>
              <w:jc w:val="center"/>
              <w:rPr>
                <w:rFonts w:ascii="宋体" w:hAnsi="宋体" w:cs="宋体"/>
                <w:sz w:val="24"/>
                <w:szCs w:val="24"/>
                <w:highlight w:val="none"/>
              </w:rPr>
            </w:pPr>
          </w:p>
        </w:tc>
        <w:tc>
          <w:tcPr>
            <w:tcW w:w="680" w:type="pct"/>
            <w:vMerge w:val="continue"/>
            <w:vAlign w:val="center"/>
          </w:tcPr>
          <w:p w14:paraId="4C622996">
            <w:pPr>
              <w:spacing w:line="480" w:lineRule="exact"/>
              <w:jc w:val="center"/>
              <w:rPr>
                <w:rFonts w:ascii="宋体" w:hAnsi="宋体" w:cs="宋体"/>
                <w:sz w:val="24"/>
                <w:szCs w:val="24"/>
                <w:highlight w:val="none"/>
              </w:rPr>
            </w:pPr>
          </w:p>
        </w:tc>
        <w:tc>
          <w:tcPr>
            <w:tcW w:w="765" w:type="pct"/>
            <w:vAlign w:val="center"/>
          </w:tcPr>
          <w:p w14:paraId="75715D4D">
            <w:pPr>
              <w:spacing w:line="480" w:lineRule="exact"/>
              <w:jc w:val="center"/>
              <w:rPr>
                <w:rFonts w:ascii="宋体" w:hAnsi="宋体" w:cs="宋体"/>
                <w:sz w:val="24"/>
                <w:szCs w:val="24"/>
                <w:highlight w:val="none"/>
              </w:rPr>
            </w:pPr>
            <w:r>
              <w:rPr>
                <w:rFonts w:hint="eastAsia" w:ascii="宋体" w:hAnsi="宋体" w:cs="宋体"/>
                <w:sz w:val="24"/>
                <w:szCs w:val="24"/>
                <w:highlight w:val="none"/>
              </w:rPr>
              <w:t>⑥主要机具、设备和劳动力配备情况（6分）</w:t>
            </w:r>
          </w:p>
        </w:tc>
        <w:tc>
          <w:tcPr>
            <w:tcW w:w="3107" w:type="pct"/>
            <w:vAlign w:val="center"/>
          </w:tcPr>
          <w:p w14:paraId="5A26610F">
            <w:pPr>
              <w:spacing w:line="480" w:lineRule="exact"/>
              <w:rPr>
                <w:rFonts w:ascii="宋体" w:hAnsi="宋体" w:cs="宋体"/>
                <w:sz w:val="24"/>
                <w:szCs w:val="24"/>
                <w:highlight w:val="none"/>
              </w:rPr>
            </w:pPr>
            <w:r>
              <w:rPr>
                <w:rFonts w:hint="eastAsia" w:ascii="宋体" w:hAnsi="宋体" w:cs="宋体"/>
                <w:sz w:val="24"/>
                <w:szCs w:val="24"/>
                <w:highlight w:val="none"/>
              </w:rPr>
              <w:t>投入的主要机具、设备先进，劳动力配备情况充分、合理、完善计4（含4）～6分</w:t>
            </w:r>
          </w:p>
          <w:p w14:paraId="42B23F88">
            <w:pPr>
              <w:spacing w:line="480" w:lineRule="exact"/>
              <w:rPr>
                <w:rFonts w:ascii="宋体" w:hAnsi="宋体" w:cs="宋体"/>
                <w:sz w:val="24"/>
                <w:szCs w:val="24"/>
                <w:highlight w:val="none"/>
              </w:rPr>
            </w:pPr>
            <w:r>
              <w:rPr>
                <w:rFonts w:hint="eastAsia" w:ascii="宋体" w:hAnsi="宋体" w:cs="宋体"/>
                <w:sz w:val="24"/>
                <w:szCs w:val="24"/>
                <w:highlight w:val="none"/>
              </w:rPr>
              <w:t>配备情况基本合理、基本能够满足施工需求计2（含2）～4分</w:t>
            </w:r>
          </w:p>
          <w:p w14:paraId="49F5B2DA">
            <w:pPr>
              <w:spacing w:line="480" w:lineRule="exact"/>
              <w:rPr>
                <w:rFonts w:ascii="宋体" w:hAnsi="宋体" w:cs="宋体"/>
                <w:sz w:val="24"/>
                <w:szCs w:val="24"/>
                <w:highlight w:val="none"/>
              </w:rPr>
            </w:pPr>
            <w:r>
              <w:rPr>
                <w:rFonts w:hint="eastAsia" w:ascii="宋体" w:hAnsi="宋体" w:cs="宋体"/>
                <w:sz w:val="24"/>
                <w:szCs w:val="24"/>
                <w:highlight w:val="none"/>
              </w:rPr>
              <w:t>施工器具不够合理完善不能满足项目需求计0～2分；</w:t>
            </w:r>
          </w:p>
        </w:tc>
      </w:tr>
      <w:tr w14:paraId="225A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vAlign w:val="center"/>
          </w:tcPr>
          <w:p w14:paraId="27C70267">
            <w:pPr>
              <w:spacing w:line="480" w:lineRule="exact"/>
              <w:jc w:val="center"/>
              <w:rPr>
                <w:rFonts w:ascii="宋体" w:hAnsi="宋体" w:cs="宋体"/>
                <w:sz w:val="24"/>
                <w:szCs w:val="24"/>
                <w:highlight w:val="none"/>
              </w:rPr>
            </w:pPr>
          </w:p>
        </w:tc>
        <w:tc>
          <w:tcPr>
            <w:tcW w:w="680" w:type="pct"/>
            <w:vMerge w:val="continue"/>
            <w:vAlign w:val="center"/>
          </w:tcPr>
          <w:p w14:paraId="244A61C9">
            <w:pPr>
              <w:spacing w:line="480" w:lineRule="exact"/>
              <w:jc w:val="center"/>
              <w:rPr>
                <w:rFonts w:ascii="宋体" w:hAnsi="宋体" w:cs="宋体"/>
                <w:sz w:val="24"/>
                <w:szCs w:val="24"/>
                <w:highlight w:val="none"/>
              </w:rPr>
            </w:pPr>
          </w:p>
        </w:tc>
        <w:tc>
          <w:tcPr>
            <w:tcW w:w="765" w:type="pct"/>
            <w:vAlign w:val="center"/>
          </w:tcPr>
          <w:p w14:paraId="03FF4D0F">
            <w:pPr>
              <w:spacing w:line="480" w:lineRule="exact"/>
              <w:jc w:val="center"/>
              <w:rPr>
                <w:rFonts w:ascii="宋体" w:hAnsi="宋体" w:cs="宋体"/>
                <w:sz w:val="24"/>
                <w:szCs w:val="24"/>
                <w:highlight w:val="none"/>
              </w:rPr>
            </w:pPr>
            <w:r>
              <w:rPr>
                <w:rFonts w:hint="eastAsia" w:ascii="宋体" w:hAnsi="宋体" w:cs="宋体"/>
                <w:sz w:val="24"/>
                <w:szCs w:val="24"/>
                <w:highlight w:val="none"/>
              </w:rPr>
              <w:t>⑦安全保障方案及应急措施</w:t>
            </w:r>
          </w:p>
          <w:p w14:paraId="0289416B">
            <w:pPr>
              <w:spacing w:line="480" w:lineRule="exact"/>
              <w:jc w:val="center"/>
              <w:rPr>
                <w:highlight w:val="none"/>
              </w:rPr>
            </w:pPr>
            <w:r>
              <w:rPr>
                <w:rFonts w:hint="eastAsia" w:ascii="宋体" w:hAnsi="宋体" w:cs="宋体"/>
                <w:sz w:val="24"/>
                <w:szCs w:val="24"/>
                <w:highlight w:val="none"/>
              </w:rPr>
              <w:t>（10分）</w:t>
            </w:r>
          </w:p>
        </w:tc>
        <w:tc>
          <w:tcPr>
            <w:tcW w:w="3107" w:type="pct"/>
            <w:vAlign w:val="center"/>
          </w:tcPr>
          <w:p w14:paraId="403DC4DC">
            <w:pPr>
              <w:spacing w:line="480" w:lineRule="exact"/>
              <w:rPr>
                <w:rFonts w:ascii="宋体" w:hAnsi="宋体" w:cs="宋体"/>
                <w:sz w:val="24"/>
                <w:szCs w:val="24"/>
                <w:highlight w:val="none"/>
              </w:rPr>
            </w:pPr>
            <w:r>
              <w:rPr>
                <w:rFonts w:hint="eastAsia" w:ascii="宋体" w:hAnsi="宋体" w:cs="宋体"/>
                <w:sz w:val="24"/>
                <w:szCs w:val="24"/>
                <w:highlight w:val="none"/>
              </w:rPr>
              <w:t>保障方案、措施合理、完善，7（含</w:t>
            </w:r>
            <w:r>
              <w:rPr>
                <w:rFonts w:hint="eastAsia" w:ascii="宋体" w:hAnsi="宋体" w:cs="宋体"/>
                <w:sz w:val="24"/>
                <w:szCs w:val="24"/>
                <w:highlight w:val="none"/>
                <w:lang w:val="en-US" w:eastAsia="zh-CN"/>
              </w:rPr>
              <w:t>7</w:t>
            </w:r>
            <w:r>
              <w:rPr>
                <w:rFonts w:hint="eastAsia" w:ascii="宋体" w:hAnsi="宋体" w:cs="宋体"/>
                <w:sz w:val="24"/>
                <w:szCs w:val="24"/>
                <w:highlight w:val="none"/>
              </w:rPr>
              <w:t>）～10分</w:t>
            </w:r>
          </w:p>
          <w:p w14:paraId="564A55C9">
            <w:pPr>
              <w:spacing w:line="480" w:lineRule="exact"/>
              <w:rPr>
                <w:rFonts w:ascii="宋体" w:hAnsi="宋体" w:cs="宋体"/>
                <w:sz w:val="24"/>
                <w:szCs w:val="24"/>
                <w:highlight w:val="none"/>
              </w:rPr>
            </w:pPr>
            <w:r>
              <w:rPr>
                <w:rFonts w:hint="eastAsia" w:ascii="宋体" w:hAnsi="宋体" w:cs="宋体"/>
                <w:sz w:val="24"/>
                <w:szCs w:val="24"/>
                <w:highlight w:val="none"/>
              </w:rPr>
              <w:t>保障方案、措施基本合理、比较完善，4（含</w:t>
            </w:r>
            <w:r>
              <w:rPr>
                <w:rFonts w:hint="eastAsia" w:ascii="宋体" w:hAnsi="宋体" w:cs="宋体"/>
                <w:sz w:val="24"/>
                <w:szCs w:val="24"/>
                <w:highlight w:val="none"/>
                <w:lang w:val="en-US" w:eastAsia="zh-CN"/>
              </w:rPr>
              <w:t>4</w:t>
            </w:r>
            <w:r>
              <w:rPr>
                <w:rFonts w:hint="eastAsia" w:ascii="宋体" w:hAnsi="宋体" w:cs="宋体"/>
                <w:sz w:val="24"/>
                <w:szCs w:val="24"/>
                <w:highlight w:val="none"/>
              </w:rPr>
              <w:t>）～7分</w:t>
            </w:r>
          </w:p>
          <w:p w14:paraId="7DCFB26E">
            <w:pPr>
              <w:spacing w:line="480" w:lineRule="exact"/>
              <w:rPr>
                <w:rFonts w:ascii="宋体" w:hAnsi="宋体" w:cs="宋体"/>
                <w:sz w:val="24"/>
                <w:szCs w:val="24"/>
                <w:highlight w:val="none"/>
              </w:rPr>
            </w:pPr>
            <w:r>
              <w:rPr>
                <w:rFonts w:hint="eastAsia" w:ascii="宋体" w:hAnsi="宋体" w:cs="宋体"/>
                <w:sz w:val="24"/>
                <w:szCs w:val="24"/>
                <w:highlight w:val="none"/>
              </w:rPr>
              <w:t>保障方案、措施一般，0～4分；</w:t>
            </w:r>
          </w:p>
        </w:tc>
      </w:tr>
      <w:tr w14:paraId="01C8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vAlign w:val="center"/>
          </w:tcPr>
          <w:p w14:paraId="0A0897B8">
            <w:pPr>
              <w:spacing w:line="480" w:lineRule="exact"/>
              <w:jc w:val="center"/>
              <w:rPr>
                <w:rFonts w:ascii="宋体" w:hAnsi="宋体" w:cs="宋体"/>
                <w:sz w:val="24"/>
                <w:szCs w:val="24"/>
                <w:highlight w:val="none"/>
              </w:rPr>
            </w:pPr>
          </w:p>
        </w:tc>
        <w:tc>
          <w:tcPr>
            <w:tcW w:w="680" w:type="pct"/>
            <w:vMerge w:val="continue"/>
            <w:vAlign w:val="center"/>
          </w:tcPr>
          <w:p w14:paraId="1463BA43">
            <w:pPr>
              <w:spacing w:line="480" w:lineRule="exact"/>
              <w:jc w:val="center"/>
              <w:rPr>
                <w:rFonts w:ascii="宋体" w:hAnsi="宋体" w:cs="宋体"/>
                <w:sz w:val="24"/>
                <w:szCs w:val="24"/>
                <w:highlight w:val="none"/>
              </w:rPr>
            </w:pPr>
          </w:p>
        </w:tc>
        <w:tc>
          <w:tcPr>
            <w:tcW w:w="765" w:type="pct"/>
            <w:vAlign w:val="center"/>
          </w:tcPr>
          <w:p w14:paraId="7ED7A973">
            <w:pPr>
              <w:spacing w:line="480" w:lineRule="exact"/>
              <w:jc w:val="center"/>
              <w:rPr>
                <w:rFonts w:ascii="宋体" w:hAnsi="宋体" w:cs="宋体"/>
                <w:sz w:val="24"/>
                <w:szCs w:val="24"/>
                <w:highlight w:val="none"/>
              </w:rPr>
            </w:pPr>
            <w:r>
              <w:rPr>
                <w:rFonts w:hint="eastAsia" w:ascii="宋体" w:hAnsi="宋体" w:cs="宋体"/>
                <w:sz w:val="24"/>
                <w:szCs w:val="24"/>
                <w:highlight w:val="none"/>
              </w:rPr>
              <w:t>⑧质量承诺</w:t>
            </w:r>
          </w:p>
          <w:p w14:paraId="07EA32DA">
            <w:pPr>
              <w:spacing w:line="480" w:lineRule="exact"/>
              <w:jc w:val="center"/>
              <w:rPr>
                <w:highlight w:val="none"/>
              </w:rPr>
            </w:pPr>
            <w:r>
              <w:rPr>
                <w:rFonts w:hint="eastAsia" w:ascii="宋体" w:hAnsi="宋体" w:cs="宋体"/>
                <w:sz w:val="24"/>
                <w:szCs w:val="24"/>
                <w:highlight w:val="none"/>
              </w:rPr>
              <w:t>（5分）</w:t>
            </w:r>
          </w:p>
        </w:tc>
        <w:tc>
          <w:tcPr>
            <w:tcW w:w="3107" w:type="pct"/>
            <w:vAlign w:val="center"/>
          </w:tcPr>
          <w:p w14:paraId="79441685">
            <w:pPr>
              <w:spacing w:line="480" w:lineRule="exact"/>
              <w:rPr>
                <w:rFonts w:ascii="宋体" w:hAnsi="宋体" w:cs="宋体"/>
                <w:b/>
                <w:bCs/>
                <w:sz w:val="24"/>
                <w:szCs w:val="24"/>
                <w:highlight w:val="none"/>
              </w:rPr>
            </w:pPr>
            <w:r>
              <w:rPr>
                <w:rFonts w:hint="eastAsia" w:ascii="宋体" w:hAnsi="宋体" w:cs="宋体"/>
                <w:sz w:val="24"/>
                <w:szCs w:val="24"/>
                <w:highlight w:val="none"/>
              </w:rPr>
              <w:t>提供本项目的相关质量承诺，依据响应情况综合赋分。（0-5分）</w:t>
            </w:r>
          </w:p>
        </w:tc>
      </w:tr>
      <w:tr w14:paraId="744D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445" w:type="pct"/>
            <w:vMerge w:val="continue"/>
            <w:vAlign w:val="center"/>
          </w:tcPr>
          <w:p w14:paraId="5C7F68A9">
            <w:pPr>
              <w:spacing w:line="480" w:lineRule="exact"/>
              <w:jc w:val="center"/>
              <w:rPr>
                <w:rFonts w:ascii="宋体" w:hAnsi="宋体" w:cs="宋体"/>
                <w:sz w:val="24"/>
                <w:szCs w:val="24"/>
                <w:highlight w:val="none"/>
              </w:rPr>
            </w:pPr>
          </w:p>
        </w:tc>
        <w:tc>
          <w:tcPr>
            <w:tcW w:w="680" w:type="pct"/>
            <w:vMerge w:val="continue"/>
            <w:vAlign w:val="center"/>
          </w:tcPr>
          <w:p w14:paraId="3BE884B0">
            <w:pPr>
              <w:spacing w:line="480" w:lineRule="exact"/>
              <w:jc w:val="center"/>
              <w:rPr>
                <w:rFonts w:ascii="宋体" w:hAnsi="宋体" w:cs="宋体"/>
                <w:sz w:val="24"/>
                <w:szCs w:val="24"/>
                <w:highlight w:val="none"/>
              </w:rPr>
            </w:pPr>
          </w:p>
        </w:tc>
        <w:tc>
          <w:tcPr>
            <w:tcW w:w="765" w:type="pct"/>
            <w:vAlign w:val="center"/>
          </w:tcPr>
          <w:p w14:paraId="65F682C1">
            <w:pPr>
              <w:spacing w:line="480" w:lineRule="exact"/>
              <w:jc w:val="center"/>
              <w:rPr>
                <w:rFonts w:ascii="宋体" w:hAnsi="宋体" w:cs="宋体"/>
                <w:sz w:val="24"/>
                <w:szCs w:val="24"/>
                <w:highlight w:val="none"/>
              </w:rPr>
            </w:pPr>
            <w:r>
              <w:rPr>
                <w:rFonts w:hint="eastAsia" w:ascii="宋体" w:hAnsi="宋体" w:cs="宋体"/>
                <w:sz w:val="24"/>
                <w:szCs w:val="24"/>
                <w:highlight w:val="none"/>
              </w:rPr>
              <w:t>⑨业绩</w:t>
            </w:r>
          </w:p>
          <w:p w14:paraId="39E832B1">
            <w:pPr>
              <w:spacing w:line="480" w:lineRule="exact"/>
              <w:jc w:val="center"/>
              <w:rPr>
                <w:rFonts w:ascii="宋体" w:hAnsi="宋体" w:cs="宋体"/>
                <w:sz w:val="24"/>
                <w:szCs w:val="24"/>
                <w:highlight w:val="none"/>
              </w:rPr>
            </w:pPr>
            <w:r>
              <w:rPr>
                <w:rFonts w:hint="eastAsia" w:ascii="宋体" w:hAnsi="宋体" w:cs="宋体"/>
                <w:sz w:val="24"/>
                <w:szCs w:val="24"/>
                <w:highlight w:val="none"/>
              </w:rPr>
              <w:t>（10分）</w:t>
            </w:r>
          </w:p>
        </w:tc>
        <w:tc>
          <w:tcPr>
            <w:tcW w:w="3107" w:type="pct"/>
            <w:vAlign w:val="center"/>
          </w:tcPr>
          <w:p w14:paraId="142F6270">
            <w:pPr>
              <w:spacing w:line="480" w:lineRule="exact"/>
              <w:rPr>
                <w:rFonts w:ascii="宋体" w:hAnsi="宋体" w:cs="宋体"/>
                <w:sz w:val="24"/>
                <w:szCs w:val="24"/>
                <w:highlight w:val="none"/>
              </w:rPr>
            </w:pPr>
            <w:r>
              <w:rPr>
                <w:rFonts w:hint="eastAsia" w:ascii="宋体" w:hAnsi="宋体" w:cs="宋体"/>
                <w:sz w:val="24"/>
                <w:szCs w:val="24"/>
                <w:highlight w:val="none"/>
              </w:rPr>
              <w:t>提供202</w:t>
            </w:r>
            <w:r>
              <w:rPr>
                <w:rFonts w:hint="eastAsia" w:ascii="宋体" w:hAnsi="宋体" w:cs="宋体"/>
                <w:sz w:val="24"/>
                <w:szCs w:val="24"/>
                <w:highlight w:val="none"/>
                <w:lang w:val="en-US" w:eastAsia="zh-CN"/>
              </w:rPr>
              <w:t>2</w:t>
            </w:r>
            <w:r>
              <w:rPr>
                <w:rFonts w:hint="eastAsia" w:ascii="宋体" w:hAnsi="宋体" w:cs="宋体"/>
                <w:sz w:val="24"/>
                <w:szCs w:val="24"/>
                <w:highlight w:val="none"/>
              </w:rPr>
              <w:t>年以后得类似工程施工业绩（业绩以合同复印件或中标通知书为依据）。每个业绩计2分，共10分。</w:t>
            </w:r>
          </w:p>
        </w:tc>
      </w:tr>
      <w:tr w14:paraId="15B2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Align w:val="center"/>
          </w:tcPr>
          <w:p w14:paraId="35C0B038">
            <w:pPr>
              <w:spacing w:line="480" w:lineRule="exact"/>
              <w:jc w:val="center"/>
              <w:rPr>
                <w:rFonts w:ascii="宋体" w:hAnsi="宋体" w:cs="宋体"/>
                <w:sz w:val="24"/>
                <w:szCs w:val="24"/>
                <w:highlight w:val="none"/>
              </w:rPr>
            </w:pPr>
            <w:r>
              <w:rPr>
                <w:rFonts w:hint="eastAsia" w:ascii="宋体" w:hAnsi="宋体" w:cs="宋体"/>
                <w:sz w:val="24"/>
                <w:szCs w:val="24"/>
                <w:highlight w:val="none"/>
              </w:rPr>
              <w:t>报价评分标准</w:t>
            </w:r>
          </w:p>
        </w:tc>
        <w:tc>
          <w:tcPr>
            <w:tcW w:w="680" w:type="pct"/>
            <w:vAlign w:val="center"/>
          </w:tcPr>
          <w:p w14:paraId="433BE154">
            <w:pPr>
              <w:spacing w:line="480" w:lineRule="exact"/>
              <w:jc w:val="center"/>
              <w:rPr>
                <w:rFonts w:ascii="宋体" w:hAnsi="宋体" w:cs="宋体"/>
                <w:sz w:val="24"/>
                <w:szCs w:val="24"/>
                <w:highlight w:val="none"/>
              </w:rPr>
            </w:pPr>
            <w:r>
              <w:rPr>
                <w:rFonts w:hint="eastAsia" w:ascii="宋体" w:hAnsi="宋体" w:cs="宋体"/>
                <w:sz w:val="24"/>
                <w:szCs w:val="24"/>
                <w:highlight w:val="none"/>
              </w:rPr>
              <w:t>（30分）</w:t>
            </w:r>
          </w:p>
        </w:tc>
        <w:tc>
          <w:tcPr>
            <w:tcW w:w="765" w:type="pct"/>
            <w:vAlign w:val="center"/>
          </w:tcPr>
          <w:p w14:paraId="25917EF7">
            <w:pPr>
              <w:spacing w:line="480" w:lineRule="exact"/>
              <w:jc w:val="center"/>
              <w:rPr>
                <w:rFonts w:ascii="宋体" w:hAnsi="宋体" w:cs="宋体"/>
                <w:sz w:val="24"/>
                <w:szCs w:val="24"/>
                <w:highlight w:val="none"/>
              </w:rPr>
            </w:pPr>
            <w:r>
              <w:rPr>
                <w:rFonts w:hint="eastAsia" w:ascii="宋体" w:hAnsi="宋体" w:cs="宋体"/>
                <w:sz w:val="24"/>
                <w:szCs w:val="24"/>
                <w:highlight w:val="none"/>
              </w:rPr>
              <w:t>投标报价评分标准</w:t>
            </w:r>
          </w:p>
          <w:p w14:paraId="4C4BE073">
            <w:pPr>
              <w:spacing w:line="480" w:lineRule="exact"/>
              <w:jc w:val="center"/>
              <w:rPr>
                <w:rFonts w:ascii="宋体" w:hAnsi="宋体" w:cs="宋体"/>
                <w:sz w:val="24"/>
                <w:szCs w:val="24"/>
                <w:highlight w:val="none"/>
              </w:rPr>
            </w:pPr>
            <w:r>
              <w:rPr>
                <w:rFonts w:hint="eastAsia" w:ascii="宋体" w:hAnsi="宋体" w:cs="宋体"/>
                <w:sz w:val="24"/>
                <w:szCs w:val="24"/>
                <w:highlight w:val="none"/>
              </w:rPr>
              <w:t>（30分）</w:t>
            </w:r>
          </w:p>
        </w:tc>
        <w:tc>
          <w:tcPr>
            <w:tcW w:w="3107" w:type="pct"/>
            <w:vAlign w:val="center"/>
          </w:tcPr>
          <w:p w14:paraId="2FF4B99C">
            <w:pPr>
              <w:spacing w:line="480" w:lineRule="exact"/>
              <w:rPr>
                <w:rFonts w:ascii="宋体" w:hAnsi="宋体" w:cs="宋体"/>
                <w:sz w:val="24"/>
                <w:szCs w:val="24"/>
                <w:highlight w:val="none"/>
              </w:rPr>
            </w:pPr>
            <w:r>
              <w:rPr>
                <w:rFonts w:hint="eastAsia" w:ascii="宋体" w:hAnsi="宋体" w:cs="宋体"/>
                <w:sz w:val="24"/>
                <w:szCs w:val="24"/>
                <w:highlight w:val="none"/>
              </w:rPr>
              <w:t>1.经初审合格的投标文件，其投标报价为有效投标价。</w:t>
            </w:r>
          </w:p>
          <w:p w14:paraId="16A98F7D">
            <w:pPr>
              <w:spacing w:line="480" w:lineRule="exact"/>
              <w:rPr>
                <w:rFonts w:ascii="宋体" w:hAnsi="宋体" w:cs="宋体"/>
                <w:sz w:val="24"/>
                <w:szCs w:val="24"/>
                <w:highlight w:val="none"/>
              </w:rPr>
            </w:pPr>
            <w:r>
              <w:rPr>
                <w:rFonts w:hint="eastAsia" w:ascii="宋体" w:hAnsi="宋体" w:cs="宋体"/>
                <w:sz w:val="24"/>
                <w:szCs w:val="24"/>
                <w:highlight w:val="none"/>
              </w:rPr>
              <w:t>2.有效最低报价为基准价得30分。</w:t>
            </w:r>
          </w:p>
          <w:p w14:paraId="1B34D851">
            <w:pPr>
              <w:spacing w:line="480" w:lineRule="exact"/>
              <w:rPr>
                <w:rFonts w:ascii="宋体" w:hAnsi="宋体" w:cs="宋体"/>
                <w:sz w:val="24"/>
                <w:szCs w:val="24"/>
                <w:highlight w:val="none"/>
              </w:rPr>
            </w:pPr>
            <w:r>
              <w:rPr>
                <w:rFonts w:hint="eastAsia" w:ascii="宋体" w:hAnsi="宋体" w:cs="宋体"/>
                <w:sz w:val="24"/>
                <w:szCs w:val="24"/>
                <w:highlight w:val="none"/>
              </w:rPr>
              <w:t>3.按（有效最低报价/有效投标报价）×30的公式计算其得分。</w:t>
            </w:r>
          </w:p>
          <w:p w14:paraId="68B0ED7F">
            <w:pPr>
              <w:spacing w:line="480" w:lineRule="exact"/>
              <w:rPr>
                <w:rFonts w:hint="default" w:eastAsia="仿宋_GB2312"/>
                <w:highlight w:val="none"/>
                <w:lang w:val="en-US" w:eastAsia="zh-CN"/>
              </w:rPr>
            </w:pPr>
            <w:r>
              <w:rPr>
                <w:rFonts w:hint="eastAsia" w:ascii="宋体" w:hAnsi="宋体" w:cs="宋体"/>
                <w:sz w:val="24"/>
                <w:szCs w:val="24"/>
                <w:highlight w:val="none"/>
              </w:rPr>
              <w:t>4.经评委一致认定，投标人的投标总报价低于公认市场成本，或超过采购预算,其投标将被拒绝。</w:t>
            </w:r>
          </w:p>
        </w:tc>
      </w:tr>
      <w:tr w14:paraId="0B78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26" w:type="pct"/>
            <w:gridSpan w:val="2"/>
            <w:vAlign w:val="center"/>
          </w:tcPr>
          <w:p w14:paraId="411A8E19">
            <w:pPr>
              <w:spacing w:line="480" w:lineRule="exact"/>
              <w:jc w:val="center"/>
              <w:rPr>
                <w:rFonts w:ascii="宋体" w:hAnsi="宋体" w:cs="宋体"/>
                <w:sz w:val="24"/>
                <w:szCs w:val="24"/>
                <w:highlight w:val="none"/>
              </w:rPr>
            </w:pPr>
            <w:r>
              <w:rPr>
                <w:rFonts w:hint="eastAsia" w:ascii="宋体" w:hAnsi="宋体" w:cs="宋体"/>
                <w:sz w:val="24"/>
                <w:szCs w:val="24"/>
                <w:highlight w:val="none"/>
              </w:rPr>
              <w:t>备注</w:t>
            </w:r>
          </w:p>
        </w:tc>
        <w:tc>
          <w:tcPr>
            <w:tcW w:w="3873" w:type="pct"/>
            <w:gridSpan w:val="2"/>
            <w:vAlign w:val="center"/>
          </w:tcPr>
          <w:p w14:paraId="75FE3FC7">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1）各评标委员会独立打分。</w:t>
            </w:r>
          </w:p>
          <w:p w14:paraId="4B25EAD1">
            <w:pPr>
              <w:spacing w:line="360" w:lineRule="auto"/>
              <w:jc w:val="left"/>
              <w:rPr>
                <w:rFonts w:ascii="宋体" w:hAnsi="宋体" w:cs="宋体"/>
                <w:b/>
                <w:bCs/>
                <w:sz w:val="24"/>
                <w:szCs w:val="24"/>
                <w:highlight w:val="none"/>
              </w:rPr>
            </w:pPr>
            <w:r>
              <w:rPr>
                <w:rFonts w:hint="eastAsia" w:ascii="宋体" w:hAnsi="宋体" w:eastAsia="宋体" w:cs="宋体"/>
                <w:sz w:val="24"/>
                <w:szCs w:val="24"/>
                <w:highlight w:val="none"/>
              </w:rPr>
              <w:t>2）评标委员会成员打分超过得分界限或未按本表规定赋分时，该成员的打分作废，不计入汇总分。</w:t>
            </w:r>
          </w:p>
        </w:tc>
      </w:tr>
    </w:tbl>
    <w:p w14:paraId="57C14ABF">
      <w:pPr>
        <w:spacing w:line="360" w:lineRule="auto"/>
        <w:rPr>
          <w:rFonts w:hint="eastAsia" w:asciiTheme="minorEastAsia" w:hAnsiTheme="minorEastAsia" w:eastAsiaTheme="minorEastAsia" w:cstheme="minorEastAsia"/>
          <w:b/>
          <w:spacing w:val="4"/>
          <w:sz w:val="24"/>
          <w:szCs w:val="24"/>
          <w:highlight w:val="none"/>
        </w:rPr>
      </w:pPr>
    </w:p>
    <w:p w14:paraId="5DAC6F0C">
      <w:pPr>
        <w:spacing w:line="360" w:lineRule="auto"/>
        <w:rPr>
          <w:rFonts w:asciiTheme="minorEastAsia" w:hAnsiTheme="minorEastAsia" w:eastAsiaTheme="minorEastAsia" w:cstheme="minorEastAsia"/>
          <w:b/>
          <w:spacing w:val="4"/>
          <w:sz w:val="24"/>
          <w:szCs w:val="24"/>
          <w:highlight w:val="none"/>
        </w:rPr>
      </w:pPr>
      <w:r>
        <w:rPr>
          <w:rFonts w:hint="eastAsia" w:asciiTheme="minorEastAsia" w:hAnsiTheme="minorEastAsia" w:eastAsiaTheme="minorEastAsia" w:cstheme="minorEastAsia"/>
          <w:b/>
          <w:spacing w:val="4"/>
          <w:sz w:val="24"/>
          <w:szCs w:val="24"/>
          <w:highlight w:val="none"/>
        </w:rPr>
        <w:t>五、定标：</w:t>
      </w:r>
    </w:p>
    <w:p w14:paraId="34375C95">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1、评标结果由全体</w:t>
      </w:r>
      <w:r>
        <w:rPr>
          <w:rFonts w:hint="eastAsia" w:asciiTheme="minorEastAsia" w:hAnsiTheme="minorEastAsia" w:eastAsiaTheme="minorEastAsia" w:cstheme="minorEastAsia"/>
          <w:sz w:val="24"/>
          <w:szCs w:val="24"/>
          <w:highlight w:val="none"/>
        </w:rPr>
        <w:t>评标委员会成员</w:t>
      </w:r>
      <w:r>
        <w:rPr>
          <w:rFonts w:hint="eastAsia" w:asciiTheme="minorEastAsia" w:hAnsiTheme="minorEastAsia" w:eastAsiaTheme="minorEastAsia" w:cstheme="minorEastAsia"/>
          <w:spacing w:val="4"/>
          <w:sz w:val="24"/>
          <w:szCs w:val="24"/>
          <w:highlight w:val="none"/>
        </w:rPr>
        <w:t>签字确认。</w:t>
      </w:r>
    </w:p>
    <w:p w14:paraId="722641E6">
      <w:pPr>
        <w:spacing w:line="360" w:lineRule="auto"/>
        <w:ind w:firstLine="496" w:firstLineChars="200"/>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2、采购人根据评标报告中推荐的中标候选人排列顺序确定供应商，以复函通知招标代理机构。</w:t>
      </w:r>
    </w:p>
    <w:p w14:paraId="3817D531">
      <w:pPr>
        <w:spacing w:line="360" w:lineRule="auto"/>
        <w:rPr>
          <w:rFonts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p>
    <w:p w14:paraId="1F636EA2">
      <w:pPr>
        <w:pStyle w:val="3"/>
        <w:jc w:val="center"/>
        <w:rPr>
          <w:rFonts w:asciiTheme="minorEastAsia" w:hAnsiTheme="minorEastAsia" w:eastAsiaTheme="minorEastAsia" w:cstheme="minorEastAsia"/>
          <w:bCs/>
          <w:sz w:val="36"/>
          <w:szCs w:val="36"/>
          <w:highlight w:val="none"/>
        </w:rPr>
      </w:pPr>
      <w:bookmarkStart w:id="79" w:name="_Toc10065"/>
      <w:r>
        <w:rPr>
          <w:rFonts w:hint="eastAsia" w:asciiTheme="minorEastAsia" w:hAnsiTheme="minorEastAsia" w:eastAsiaTheme="minorEastAsia" w:cstheme="minorEastAsia"/>
          <w:sz w:val="36"/>
          <w:szCs w:val="36"/>
          <w:highlight w:val="none"/>
        </w:rPr>
        <w:t xml:space="preserve">第四章 </w:t>
      </w:r>
      <w:bookmarkEnd w:id="74"/>
      <w:bookmarkEnd w:id="75"/>
      <w:bookmarkEnd w:id="76"/>
      <w:bookmarkEnd w:id="77"/>
      <w:bookmarkStart w:id="80" w:name="_Toc2068"/>
      <w:r>
        <w:rPr>
          <w:rFonts w:hint="eastAsia" w:asciiTheme="minorEastAsia" w:hAnsiTheme="minorEastAsia" w:eastAsiaTheme="minorEastAsia" w:cstheme="minorEastAsia"/>
          <w:sz w:val="36"/>
          <w:szCs w:val="36"/>
          <w:highlight w:val="none"/>
        </w:rPr>
        <w:t xml:space="preserve"> </w:t>
      </w:r>
      <w:r>
        <w:rPr>
          <w:rFonts w:hint="eastAsia" w:asciiTheme="minorEastAsia" w:hAnsiTheme="minorEastAsia" w:eastAsiaTheme="minorEastAsia" w:cstheme="minorEastAsia"/>
          <w:bCs/>
          <w:sz w:val="36"/>
          <w:szCs w:val="36"/>
          <w:highlight w:val="none"/>
        </w:rPr>
        <w:t>合同条款及格式</w:t>
      </w:r>
      <w:bookmarkEnd w:id="78"/>
      <w:bookmarkEnd w:id="79"/>
      <w:bookmarkEnd w:id="80"/>
    </w:p>
    <w:p w14:paraId="3D2B0895">
      <w:pPr>
        <w:pStyle w:val="4"/>
        <w:jc w:val="center"/>
        <w:rPr>
          <w:rFonts w:asciiTheme="minorEastAsia" w:hAnsiTheme="minorEastAsia" w:eastAsiaTheme="minorEastAsia" w:cstheme="minorEastAsia"/>
          <w:highlight w:val="none"/>
        </w:rPr>
      </w:pPr>
      <w:bookmarkStart w:id="81" w:name="_Toc30560"/>
      <w:bookmarkStart w:id="82" w:name="_Toc30782"/>
      <w:bookmarkStart w:id="83" w:name="_Toc6935"/>
      <w:r>
        <w:rPr>
          <w:rFonts w:hint="eastAsia" w:asciiTheme="minorEastAsia" w:hAnsiTheme="minorEastAsia" w:eastAsiaTheme="minorEastAsia" w:cstheme="minorEastAsia"/>
          <w:highlight w:val="none"/>
        </w:rPr>
        <w:t>合同条款及格式前附表</w:t>
      </w:r>
      <w:bookmarkEnd w:id="81"/>
      <w:bookmarkEnd w:id="82"/>
      <w:bookmarkEnd w:id="83"/>
    </w:p>
    <w:p w14:paraId="3347DD25">
      <w:pPr>
        <w:ind w:firstLine="480" w:firstLineChars="200"/>
        <w:rPr>
          <w:rFonts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sz w:val="24"/>
          <w:szCs w:val="24"/>
          <w:highlight w:val="none"/>
        </w:rPr>
        <w:t>本表是对合同条款的具体补充和修改，如有矛盾，应以本资料表为准。</w:t>
      </w:r>
    </w:p>
    <w:tbl>
      <w:tblPr>
        <w:tblStyle w:val="27"/>
        <w:tblW w:w="923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7"/>
        <w:gridCol w:w="8152"/>
      </w:tblGrid>
      <w:tr w14:paraId="1415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13A46308">
            <w:pPr>
              <w:spacing w:line="360" w:lineRule="auto"/>
              <w:jc w:val="center"/>
              <w:rPr>
                <w:rFonts w:ascii="宋体" w:hAnsi="宋体" w:cs="宋体"/>
                <w:b/>
                <w:sz w:val="24"/>
                <w:szCs w:val="24"/>
                <w:highlight w:val="none"/>
              </w:rPr>
            </w:pPr>
            <w:bookmarkStart w:id="84" w:name="_Toc19199"/>
            <w:bookmarkStart w:id="85" w:name="_Toc26595"/>
            <w:bookmarkStart w:id="86" w:name="_Toc31520"/>
            <w:bookmarkStart w:id="87" w:name="_Toc19246"/>
            <w:bookmarkStart w:id="88" w:name="_Toc8333"/>
            <w:bookmarkStart w:id="89" w:name="_Toc4679"/>
            <w:bookmarkStart w:id="90" w:name="_Toc29888"/>
            <w:bookmarkStart w:id="91" w:name="_Toc389582037"/>
            <w:r>
              <w:rPr>
                <w:rFonts w:hint="eastAsia" w:ascii="宋体" w:hAnsi="宋体" w:cs="宋体"/>
                <w:b/>
                <w:sz w:val="24"/>
                <w:szCs w:val="24"/>
                <w:highlight w:val="none"/>
              </w:rPr>
              <w:t>序号</w:t>
            </w:r>
          </w:p>
        </w:tc>
        <w:tc>
          <w:tcPr>
            <w:tcW w:w="8152" w:type="dxa"/>
            <w:vAlign w:val="center"/>
          </w:tcPr>
          <w:p w14:paraId="10655483">
            <w:pPr>
              <w:spacing w:line="360" w:lineRule="auto"/>
              <w:jc w:val="center"/>
              <w:rPr>
                <w:rFonts w:ascii="宋体" w:hAnsi="宋体" w:cs="宋体"/>
                <w:b/>
                <w:sz w:val="24"/>
                <w:szCs w:val="24"/>
                <w:highlight w:val="none"/>
              </w:rPr>
            </w:pPr>
            <w:r>
              <w:rPr>
                <w:rFonts w:hint="eastAsia" w:ascii="宋体" w:hAnsi="宋体" w:cs="宋体"/>
                <w:b/>
                <w:sz w:val="24"/>
                <w:szCs w:val="24"/>
                <w:highlight w:val="none"/>
              </w:rPr>
              <w:t>内      容</w:t>
            </w:r>
          </w:p>
        </w:tc>
      </w:tr>
      <w:tr w14:paraId="4D8EC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134984E6">
            <w:pPr>
              <w:jc w:val="center"/>
              <w:rPr>
                <w:rFonts w:ascii="宋体" w:hAnsi="宋体" w:cs="宋体"/>
                <w:sz w:val="24"/>
                <w:szCs w:val="24"/>
                <w:highlight w:val="none"/>
              </w:rPr>
            </w:pPr>
            <w:r>
              <w:rPr>
                <w:rFonts w:hint="eastAsia" w:ascii="宋体" w:hAnsi="宋体" w:cs="宋体"/>
                <w:sz w:val="24"/>
                <w:szCs w:val="24"/>
                <w:highlight w:val="none"/>
              </w:rPr>
              <w:t>1</w:t>
            </w:r>
          </w:p>
        </w:tc>
        <w:tc>
          <w:tcPr>
            <w:tcW w:w="8152" w:type="dxa"/>
            <w:vAlign w:val="center"/>
          </w:tcPr>
          <w:p w14:paraId="0A3D8D6C">
            <w:pPr>
              <w:spacing w:line="336"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kern w:val="0"/>
                <w:sz w:val="24"/>
                <w:szCs w:val="24"/>
                <w:highlight w:val="none"/>
                <w:lang w:eastAsia="zh-CN"/>
              </w:rPr>
              <w:t>柞水县凤凰国有林场</w:t>
            </w:r>
          </w:p>
          <w:p w14:paraId="161EE969">
            <w:pPr>
              <w:spacing w:line="336"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sz w:val="24"/>
                <w:szCs w:val="24"/>
                <w:highlight w:val="none"/>
              </w:rPr>
              <w:t>地址：</w:t>
            </w:r>
            <w:r>
              <w:rPr>
                <w:rFonts w:hint="eastAsia" w:ascii="宋体" w:hAnsi="宋体" w:cs="宋体"/>
                <w:kern w:val="0"/>
                <w:sz w:val="24"/>
                <w:szCs w:val="24"/>
                <w:highlight w:val="none"/>
                <w:lang w:eastAsia="zh-CN"/>
              </w:rPr>
              <w:t>柞水县凤凰镇凤镇社区</w:t>
            </w:r>
          </w:p>
          <w:p w14:paraId="57CB4EF6">
            <w:pPr>
              <w:spacing w:line="336" w:lineRule="auto"/>
              <w:rPr>
                <w:rFonts w:hint="eastAsia" w:ascii="宋体" w:hAnsi="宋体" w:eastAsia="宋体" w:cs="宋体"/>
                <w:sz w:val="24"/>
                <w:szCs w:val="24"/>
                <w:highlight w:val="none"/>
                <w:lang w:eastAsia="zh-CN"/>
              </w:rPr>
            </w:pPr>
            <w:r>
              <w:rPr>
                <w:rFonts w:hint="eastAsia" w:ascii="宋体" w:hAnsi="宋体" w:cs="宋体"/>
                <w:color w:val="000000" w:themeColor="text1"/>
                <w:sz w:val="24"/>
                <w:szCs w:val="24"/>
                <w:highlight w:val="none"/>
                <w14:textFill>
                  <w14:solidFill>
                    <w14:schemeClr w14:val="tx1"/>
                  </w14:solidFill>
                </w14:textFill>
              </w:rPr>
              <w:t>项目名称：</w:t>
            </w:r>
            <w:r>
              <w:rPr>
                <w:rFonts w:hint="eastAsia" w:ascii="宋体" w:hAnsi="宋体" w:cs="宋体"/>
                <w:color w:val="000000" w:themeColor="text1"/>
                <w:sz w:val="24"/>
                <w:szCs w:val="24"/>
                <w:highlight w:val="none"/>
                <w:lang w:eastAsia="zh-CN"/>
                <w14:textFill>
                  <w14:solidFill>
                    <w14:schemeClr w14:val="tx1"/>
                  </w14:solidFill>
                </w14:textFill>
              </w:rPr>
              <w:t>柞水县2025年中央财政森林修复项目（第二批）</w:t>
            </w:r>
          </w:p>
          <w:p w14:paraId="1B90FEBD">
            <w:pPr>
              <w:spacing w:line="360" w:lineRule="auto"/>
              <w:rPr>
                <w:rFonts w:ascii="宋体" w:hAnsi="宋体" w:cs="宋体"/>
                <w:sz w:val="24"/>
                <w:szCs w:val="24"/>
                <w:highlight w:val="none"/>
              </w:rPr>
            </w:pPr>
            <w:r>
              <w:rPr>
                <w:rFonts w:hint="eastAsia" w:ascii="宋体" w:hAnsi="宋体" w:cs="宋体"/>
                <w:sz w:val="24"/>
                <w:szCs w:val="24"/>
                <w:highlight w:val="none"/>
              </w:rPr>
              <w:t>资金来源：林业草原生态保护恢复资金，资金已落实</w:t>
            </w:r>
          </w:p>
        </w:tc>
      </w:tr>
      <w:tr w14:paraId="4E66A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shd w:val="clear" w:color="auto" w:fill="auto"/>
            <w:vAlign w:val="center"/>
          </w:tcPr>
          <w:p w14:paraId="16F9C571">
            <w:pPr>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8152" w:type="dxa"/>
            <w:shd w:val="clear" w:color="auto" w:fill="auto"/>
            <w:vAlign w:val="center"/>
          </w:tcPr>
          <w:p w14:paraId="23ADAE86">
            <w:pPr>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项目实施地点：</w:t>
            </w:r>
            <w:r>
              <w:rPr>
                <w:rFonts w:hint="eastAsia" w:ascii="宋体" w:hAnsi="宋体" w:cs="宋体"/>
                <w:kern w:val="0"/>
                <w:sz w:val="24"/>
                <w:szCs w:val="24"/>
                <w:highlight w:val="none"/>
                <w:lang w:val="en-US" w:eastAsia="zh-CN"/>
              </w:rPr>
              <w:t>柞水县</w:t>
            </w:r>
          </w:p>
        </w:tc>
      </w:tr>
      <w:tr w14:paraId="07B39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shd w:val="clear" w:color="auto" w:fill="auto"/>
            <w:vAlign w:val="center"/>
          </w:tcPr>
          <w:p w14:paraId="2FA27DED">
            <w:pPr>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8152" w:type="dxa"/>
            <w:shd w:val="clear" w:color="auto" w:fill="auto"/>
            <w:vAlign w:val="center"/>
          </w:tcPr>
          <w:p w14:paraId="78C1F6EE">
            <w:pPr>
              <w:spacing w:line="360" w:lineRule="auto"/>
              <w:rPr>
                <w:rFonts w:hint="eastAsia"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工期：自合同签订之日起90日历天内（因天气因素影响工期可顺延）；</w:t>
            </w:r>
          </w:p>
        </w:tc>
      </w:tr>
      <w:tr w14:paraId="39D5B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shd w:val="clear" w:color="auto" w:fill="auto"/>
            <w:vAlign w:val="center"/>
          </w:tcPr>
          <w:p w14:paraId="43BA900C">
            <w:pPr>
              <w:spacing w:line="360" w:lineRule="auto"/>
              <w:jc w:val="center"/>
              <w:rPr>
                <w:rFonts w:ascii="宋体" w:hAnsi="宋体" w:cs="宋体"/>
                <w:sz w:val="24"/>
                <w:szCs w:val="24"/>
                <w:highlight w:val="none"/>
              </w:rPr>
            </w:pPr>
            <w:r>
              <w:rPr>
                <w:rFonts w:hint="eastAsia" w:ascii="宋体" w:hAnsi="宋体" w:cs="宋体"/>
                <w:sz w:val="24"/>
                <w:szCs w:val="24"/>
                <w:highlight w:val="none"/>
              </w:rPr>
              <w:t>4</w:t>
            </w:r>
          </w:p>
        </w:tc>
        <w:tc>
          <w:tcPr>
            <w:tcW w:w="8152" w:type="dxa"/>
            <w:shd w:val="clear" w:color="auto" w:fill="auto"/>
            <w:vAlign w:val="center"/>
          </w:tcPr>
          <w:p w14:paraId="67AF40B4">
            <w:pPr>
              <w:spacing w:line="360" w:lineRule="auto"/>
              <w:rPr>
                <w:rFonts w:ascii="宋体" w:hAnsi="宋体" w:cs="宋体"/>
                <w:sz w:val="24"/>
                <w:szCs w:val="24"/>
                <w:highlight w:val="none"/>
              </w:rPr>
            </w:pPr>
            <w:r>
              <w:rPr>
                <w:rFonts w:hint="eastAsia" w:ascii="宋体" w:hAnsi="宋体" w:cs="宋体"/>
                <w:sz w:val="24"/>
                <w:szCs w:val="24"/>
                <w:highlight w:val="none"/>
              </w:rPr>
              <w:t>质量标准：符合国家现行有关质量验收规范“合格”要求。</w:t>
            </w:r>
          </w:p>
        </w:tc>
      </w:tr>
      <w:tr w14:paraId="6F625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5FBD3D00">
            <w:pPr>
              <w:spacing w:line="360" w:lineRule="auto"/>
              <w:jc w:val="center"/>
              <w:rPr>
                <w:rFonts w:ascii="宋体" w:hAnsi="宋体" w:cs="宋体"/>
                <w:sz w:val="24"/>
                <w:szCs w:val="24"/>
                <w:highlight w:val="none"/>
                <w:shd w:val="clear" w:color="FFFFFF" w:fill="D9D9D9"/>
              </w:rPr>
            </w:pPr>
            <w:r>
              <w:rPr>
                <w:rFonts w:hint="eastAsia" w:ascii="宋体" w:hAnsi="宋体" w:cs="宋体"/>
                <w:sz w:val="24"/>
                <w:szCs w:val="24"/>
                <w:highlight w:val="none"/>
              </w:rPr>
              <w:t>5</w:t>
            </w:r>
          </w:p>
        </w:tc>
        <w:tc>
          <w:tcPr>
            <w:tcW w:w="8152" w:type="dxa"/>
            <w:vAlign w:val="center"/>
          </w:tcPr>
          <w:p w14:paraId="5C0056D8">
            <w:pPr>
              <w:spacing w:line="360" w:lineRule="auto"/>
              <w:rPr>
                <w:rFonts w:ascii="宋体" w:hAnsi="宋体" w:cs="宋体"/>
                <w:sz w:val="24"/>
                <w:szCs w:val="24"/>
                <w:highlight w:val="none"/>
              </w:rPr>
            </w:pPr>
            <w:r>
              <w:rPr>
                <w:rFonts w:hint="eastAsia" w:ascii="宋体" w:hAnsi="宋体" w:cs="宋体"/>
                <w:sz w:val="24"/>
                <w:szCs w:val="24"/>
                <w:highlight w:val="none"/>
              </w:rPr>
              <w:t>1.合同总价即中标价，中标报价采用固定总价。中标报价是招标文件所确定的全部工程内容的价格体现。任何有选择的报价将不予接受，按无效投标响应。投标人根据自行确定的施工方案进行自主报价。</w:t>
            </w:r>
          </w:p>
          <w:p w14:paraId="3E225AF2">
            <w:pPr>
              <w:spacing w:line="360" w:lineRule="auto"/>
              <w:rPr>
                <w:rFonts w:ascii="宋体" w:hAnsi="宋体" w:cs="宋体"/>
                <w:sz w:val="24"/>
                <w:szCs w:val="24"/>
                <w:highlight w:val="none"/>
              </w:rPr>
            </w:pPr>
            <w:r>
              <w:rPr>
                <w:rFonts w:hint="eastAsia" w:ascii="宋体" w:hAnsi="宋体" w:cs="宋体"/>
                <w:sz w:val="24"/>
                <w:szCs w:val="24"/>
                <w:highlight w:val="none"/>
              </w:rPr>
              <w:t>2.中标后合同总价不做调整，不再因为环境的变化和工程量的增减而变化，任何有选择的报价将不予接受。</w:t>
            </w:r>
          </w:p>
          <w:p w14:paraId="31D87753">
            <w:pPr>
              <w:spacing w:line="360" w:lineRule="auto"/>
              <w:rPr>
                <w:rFonts w:ascii="宋体" w:hAnsi="宋体" w:cs="宋体"/>
                <w:sz w:val="24"/>
                <w:szCs w:val="24"/>
                <w:highlight w:val="none"/>
              </w:rPr>
            </w:pPr>
            <w:r>
              <w:rPr>
                <w:rFonts w:hint="eastAsia" w:ascii="宋体" w:hAnsi="宋体" w:cs="宋体"/>
                <w:sz w:val="24"/>
                <w:szCs w:val="24"/>
                <w:highlight w:val="none"/>
              </w:rPr>
              <w:t>3.付款方式和程序：</w:t>
            </w:r>
          </w:p>
          <w:p w14:paraId="5E2C942E">
            <w:pPr>
              <w:spacing w:line="360" w:lineRule="auto"/>
              <w:rPr>
                <w:rFonts w:ascii="宋体" w:hAnsi="宋体" w:cs="宋体"/>
                <w:sz w:val="24"/>
                <w:szCs w:val="24"/>
                <w:highlight w:val="none"/>
              </w:rPr>
            </w:pPr>
            <w:r>
              <w:rPr>
                <w:rFonts w:hint="eastAsia" w:ascii="宋体" w:hAnsi="宋体" w:cs="宋体"/>
                <w:sz w:val="24"/>
                <w:szCs w:val="24"/>
                <w:highlight w:val="none"/>
              </w:rPr>
              <w:t>（1）银行转账，项目实施完成并通过验收后，由供应商提供票据等财务报账所需材料进行报账。</w:t>
            </w:r>
            <w:bookmarkStart w:id="239" w:name="_GoBack"/>
            <w:bookmarkEnd w:id="239"/>
          </w:p>
          <w:p w14:paraId="5F5A4739">
            <w:pPr>
              <w:spacing w:line="360" w:lineRule="auto"/>
              <w:rPr>
                <w:rFonts w:hint="eastAsia" w:ascii="宋体" w:hAnsi="宋体" w:eastAsia="宋体" w:cs="宋体"/>
                <w:sz w:val="24"/>
                <w:szCs w:val="24"/>
                <w:highlight w:val="none"/>
                <w:lang w:eastAsia="zh-CN"/>
              </w:rPr>
            </w:pPr>
            <w:r>
              <w:rPr>
                <w:rFonts w:hint="eastAsia" w:ascii="宋体" w:hAnsi="宋体" w:cs="宋体"/>
                <w:b/>
                <w:bCs/>
                <w:sz w:val="24"/>
                <w:szCs w:val="24"/>
                <w:highlight w:val="none"/>
              </w:rPr>
              <w:t>（2）</w:t>
            </w:r>
            <w:r>
              <w:rPr>
                <w:rFonts w:hint="eastAsia" w:ascii="宋体" w:hAnsi="宋体" w:eastAsia="宋体" w:cs="宋体"/>
                <w:b/>
                <w:bCs/>
                <w:sz w:val="24"/>
                <w:szCs w:val="24"/>
                <w:highlight w:val="none"/>
              </w:rPr>
              <w:t>付款方式：具体以合同签订为准</w:t>
            </w:r>
            <w:r>
              <w:rPr>
                <w:rFonts w:hint="eastAsia" w:ascii="宋体" w:hAnsi="宋体" w:cs="宋体"/>
                <w:b/>
                <w:bCs/>
                <w:sz w:val="24"/>
                <w:szCs w:val="24"/>
                <w:highlight w:val="none"/>
                <w:lang w:eastAsia="zh-CN"/>
              </w:rPr>
              <w:t>。</w:t>
            </w:r>
          </w:p>
        </w:tc>
      </w:tr>
      <w:tr w14:paraId="3DECF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09EDB383">
            <w:pPr>
              <w:spacing w:line="360" w:lineRule="auto"/>
              <w:jc w:val="center"/>
              <w:rPr>
                <w:rFonts w:ascii="宋体" w:hAnsi="宋体" w:cs="宋体"/>
                <w:sz w:val="24"/>
                <w:szCs w:val="24"/>
                <w:highlight w:val="none"/>
              </w:rPr>
            </w:pPr>
            <w:r>
              <w:rPr>
                <w:rFonts w:hint="eastAsia" w:ascii="宋体" w:hAnsi="宋体" w:cs="宋体"/>
                <w:sz w:val="24"/>
                <w:szCs w:val="24"/>
                <w:highlight w:val="none"/>
              </w:rPr>
              <w:t>6</w:t>
            </w:r>
          </w:p>
        </w:tc>
        <w:tc>
          <w:tcPr>
            <w:tcW w:w="8152" w:type="dxa"/>
            <w:vAlign w:val="center"/>
          </w:tcPr>
          <w:p w14:paraId="31922E73">
            <w:pPr>
              <w:pStyle w:val="14"/>
              <w:spacing w:line="360" w:lineRule="auto"/>
              <w:rPr>
                <w:rFonts w:hAnsi="宋体"/>
                <w:b/>
                <w:bCs/>
                <w:kern w:val="0"/>
                <w:sz w:val="24"/>
                <w:szCs w:val="24"/>
                <w:highlight w:val="none"/>
              </w:rPr>
            </w:pPr>
            <w:r>
              <w:rPr>
                <w:rFonts w:hint="eastAsia" w:hAnsi="宋体"/>
                <w:b/>
                <w:bCs/>
                <w:kern w:val="0"/>
                <w:sz w:val="24"/>
                <w:szCs w:val="24"/>
                <w:highlight w:val="none"/>
              </w:rPr>
              <w:t>质量保证：</w:t>
            </w:r>
          </w:p>
          <w:p w14:paraId="6F4D3F51">
            <w:pPr>
              <w:spacing w:line="520" w:lineRule="exact"/>
              <w:ind w:firstLine="480" w:firstLineChars="200"/>
              <w:rPr>
                <w:rFonts w:ascii="宋体" w:hAnsi="宋体" w:cs="宋体"/>
                <w:kern w:val="0"/>
                <w:sz w:val="24"/>
                <w:szCs w:val="24"/>
                <w:highlight w:val="none"/>
              </w:rPr>
            </w:pPr>
            <w:r>
              <w:rPr>
                <w:rFonts w:hint="eastAsia" w:ascii="宋体" w:hAnsi="宋体" w:cs="宋体"/>
                <w:sz w:val="24"/>
                <w:szCs w:val="24"/>
                <w:highlight w:val="none"/>
              </w:rPr>
              <w:t>供应商必须保证工程及服务质量可靠，并全面满足招标文件的要求，招标文件未明确要求的内容，供应商须按采购人的补充要求为准。技术标准严格按国家最新发布的规范标准执行，如发生质量问题由供应商承担全部责任。</w:t>
            </w:r>
          </w:p>
        </w:tc>
      </w:tr>
      <w:tr w14:paraId="7070B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24BFDCB3">
            <w:pPr>
              <w:spacing w:line="360" w:lineRule="auto"/>
              <w:jc w:val="center"/>
              <w:rPr>
                <w:rFonts w:ascii="宋体" w:hAnsi="宋体" w:cs="宋体"/>
                <w:sz w:val="24"/>
                <w:szCs w:val="24"/>
                <w:highlight w:val="none"/>
              </w:rPr>
            </w:pPr>
            <w:r>
              <w:rPr>
                <w:rFonts w:hint="eastAsia" w:ascii="宋体" w:hAnsi="宋体" w:cs="宋体"/>
                <w:sz w:val="24"/>
                <w:szCs w:val="24"/>
                <w:highlight w:val="none"/>
              </w:rPr>
              <w:t>7</w:t>
            </w:r>
          </w:p>
        </w:tc>
        <w:tc>
          <w:tcPr>
            <w:tcW w:w="8152" w:type="dxa"/>
            <w:vAlign w:val="center"/>
          </w:tcPr>
          <w:p w14:paraId="303BB2BA">
            <w:pPr>
              <w:spacing w:line="360" w:lineRule="auto"/>
              <w:rPr>
                <w:rFonts w:ascii="宋体" w:hAnsi="宋体" w:cs="宋体"/>
                <w:b/>
                <w:sz w:val="24"/>
                <w:szCs w:val="24"/>
                <w:highlight w:val="none"/>
              </w:rPr>
            </w:pPr>
            <w:r>
              <w:rPr>
                <w:rFonts w:hint="eastAsia" w:ascii="宋体" w:hAnsi="宋体" w:cs="宋体"/>
                <w:b/>
                <w:sz w:val="24"/>
                <w:szCs w:val="24"/>
                <w:highlight w:val="none"/>
              </w:rPr>
              <w:t>验收：</w:t>
            </w:r>
          </w:p>
          <w:p w14:paraId="07F3233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由采购人和供应商共同对项目进行整体验收。其内容包括</w:t>
            </w:r>
            <w:r>
              <w:rPr>
                <w:rFonts w:hint="eastAsia" w:ascii="宋体" w:hAnsi="宋体" w:cs="宋体"/>
                <w:sz w:val="24"/>
                <w:szCs w:val="24"/>
                <w:highlight w:val="none"/>
                <w:lang w:val="en-US" w:eastAsia="zh-CN"/>
              </w:rPr>
              <w:t>工程</w:t>
            </w:r>
            <w:r>
              <w:rPr>
                <w:rFonts w:hint="eastAsia" w:ascii="宋体" w:hAnsi="宋体" w:cs="宋体"/>
                <w:sz w:val="24"/>
                <w:szCs w:val="24"/>
                <w:highlight w:val="none"/>
              </w:rPr>
              <w:t>是否达到现行国家有关验收规范“合格”标准、是否按照采购人要求按时完工。</w:t>
            </w:r>
          </w:p>
          <w:p w14:paraId="182C8946">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1.所验各项内容最终验收达不到招标文件要求和投标文件承诺的，或在后续使用中发现采购人不能容忍的缺陷等，将视为验收不合格，供应商应在采购人要求的时间内无条件整改及恢复。</w:t>
            </w:r>
          </w:p>
          <w:p w14:paraId="49AA56B0">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2.若发现供应商有弄虚作假的，在投标阶段故意或随意夸大技术能力、工程、服务质量的，采购人有权解除合同，并且要求供应商赔偿相关损失。</w:t>
            </w:r>
          </w:p>
          <w:p w14:paraId="4253242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3.验收标准：按招标文件、投标文件及澄清函等技术指标进行验收。各项指标均应符合验收标准及要求。</w:t>
            </w:r>
          </w:p>
          <w:p w14:paraId="4402DC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4.验收合格后，填写验收单，双方签字生效。</w:t>
            </w:r>
          </w:p>
          <w:p w14:paraId="69270F8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5.验收依据：</w:t>
            </w:r>
          </w:p>
          <w:p w14:paraId="059CED0B">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合同文本；</w:t>
            </w:r>
          </w:p>
          <w:p w14:paraId="6E6DB112">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招标文件及澄清函、投标文件；</w:t>
            </w:r>
          </w:p>
          <w:p w14:paraId="424774D5">
            <w:pPr>
              <w:numPr>
                <w:ilvl w:val="0"/>
                <w:numId w:val="1"/>
              </w:numPr>
              <w:tabs>
                <w:tab w:val="left" w:pos="498"/>
                <w:tab w:val="clear" w:pos="840"/>
              </w:tabs>
              <w:spacing w:line="360" w:lineRule="auto"/>
              <w:ind w:hanging="625"/>
              <w:rPr>
                <w:rFonts w:ascii="宋体" w:hAnsi="宋体" w:cs="宋体"/>
                <w:sz w:val="24"/>
                <w:szCs w:val="24"/>
                <w:highlight w:val="none"/>
              </w:rPr>
            </w:pPr>
            <w:r>
              <w:rPr>
                <w:rFonts w:hint="eastAsia" w:ascii="宋体" w:hAnsi="宋体" w:cs="宋体"/>
                <w:sz w:val="24"/>
                <w:szCs w:val="24"/>
                <w:highlight w:val="none"/>
              </w:rPr>
              <w:t>国家和行业制定的相应的标准和规范；</w:t>
            </w:r>
          </w:p>
          <w:p w14:paraId="3E4B1E1D">
            <w:pPr>
              <w:tabs>
                <w:tab w:val="left" w:pos="498"/>
              </w:tabs>
              <w:spacing w:line="360" w:lineRule="auto"/>
              <w:ind w:firstLine="240" w:firstLineChars="100"/>
              <w:rPr>
                <w:rFonts w:ascii="宋体" w:hAnsi="宋体" w:cs="宋体"/>
                <w:sz w:val="24"/>
                <w:szCs w:val="24"/>
                <w:highlight w:val="none"/>
              </w:rPr>
            </w:pPr>
            <w:r>
              <w:rPr>
                <w:rFonts w:hint="eastAsia" w:ascii="宋体" w:hAnsi="宋体" w:cs="宋体"/>
                <w:sz w:val="24"/>
                <w:szCs w:val="24"/>
                <w:highlight w:val="none"/>
              </w:rPr>
              <w:t>d)验收清单。</w:t>
            </w:r>
          </w:p>
        </w:tc>
      </w:tr>
      <w:tr w14:paraId="43BF3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1AE03D57">
            <w:pPr>
              <w:pStyle w:val="14"/>
              <w:spacing w:line="360" w:lineRule="auto"/>
              <w:jc w:val="center"/>
              <w:rPr>
                <w:rFonts w:hAnsi="宋体"/>
                <w:sz w:val="24"/>
                <w:szCs w:val="24"/>
                <w:highlight w:val="none"/>
              </w:rPr>
            </w:pPr>
            <w:r>
              <w:rPr>
                <w:rFonts w:hint="eastAsia" w:hAnsi="宋体"/>
                <w:sz w:val="24"/>
                <w:szCs w:val="24"/>
                <w:highlight w:val="none"/>
              </w:rPr>
              <w:t>8</w:t>
            </w:r>
          </w:p>
        </w:tc>
        <w:tc>
          <w:tcPr>
            <w:tcW w:w="8152" w:type="dxa"/>
            <w:vAlign w:val="center"/>
          </w:tcPr>
          <w:p w14:paraId="53398401">
            <w:pPr>
              <w:spacing w:line="360" w:lineRule="auto"/>
              <w:rPr>
                <w:rFonts w:ascii="宋体" w:hAnsi="宋体" w:cs="宋体"/>
                <w:b/>
                <w:bCs/>
                <w:sz w:val="24"/>
                <w:szCs w:val="24"/>
                <w:highlight w:val="none"/>
              </w:rPr>
            </w:pPr>
            <w:r>
              <w:rPr>
                <w:rFonts w:hint="eastAsia" w:ascii="宋体" w:hAnsi="宋体" w:cs="宋体"/>
                <w:b/>
                <w:bCs/>
                <w:sz w:val="24"/>
                <w:szCs w:val="24"/>
                <w:highlight w:val="none"/>
              </w:rPr>
              <w:t>安全责任：</w:t>
            </w:r>
          </w:p>
          <w:p w14:paraId="5957A24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本项目施工过程中的安全责任均由中标单位负责。</w:t>
            </w:r>
          </w:p>
        </w:tc>
      </w:tr>
      <w:tr w14:paraId="7EC43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45F2A002">
            <w:pPr>
              <w:pStyle w:val="14"/>
              <w:spacing w:line="360" w:lineRule="auto"/>
              <w:jc w:val="center"/>
              <w:rPr>
                <w:rFonts w:hAnsi="宋体"/>
                <w:sz w:val="24"/>
                <w:szCs w:val="24"/>
                <w:highlight w:val="none"/>
              </w:rPr>
            </w:pPr>
            <w:r>
              <w:rPr>
                <w:rFonts w:hint="eastAsia" w:hAnsi="宋体"/>
                <w:sz w:val="24"/>
                <w:szCs w:val="24"/>
                <w:highlight w:val="none"/>
              </w:rPr>
              <w:t>9</w:t>
            </w:r>
          </w:p>
        </w:tc>
        <w:tc>
          <w:tcPr>
            <w:tcW w:w="8152" w:type="dxa"/>
            <w:vAlign w:val="center"/>
          </w:tcPr>
          <w:p w14:paraId="2EFF77C6">
            <w:pPr>
              <w:spacing w:line="360" w:lineRule="auto"/>
              <w:rPr>
                <w:rFonts w:ascii="宋体" w:hAnsi="宋体" w:cs="宋体"/>
                <w:b/>
                <w:sz w:val="24"/>
                <w:szCs w:val="24"/>
                <w:highlight w:val="none"/>
              </w:rPr>
            </w:pPr>
            <w:r>
              <w:rPr>
                <w:rFonts w:hint="eastAsia" w:ascii="宋体" w:hAnsi="宋体" w:cs="宋体"/>
                <w:b/>
                <w:sz w:val="24"/>
                <w:szCs w:val="24"/>
                <w:highlight w:val="none"/>
              </w:rPr>
              <w:t>违约责任：</w:t>
            </w:r>
          </w:p>
          <w:p w14:paraId="4DE2D179">
            <w:pPr>
              <w:tabs>
                <w:tab w:val="left" w:pos="152"/>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1、按《民法典》中的相关条款执行。</w:t>
            </w:r>
          </w:p>
          <w:p w14:paraId="544ABFE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tc>
      </w:tr>
      <w:tr w14:paraId="7135F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1087" w:type="dxa"/>
            <w:vAlign w:val="center"/>
          </w:tcPr>
          <w:p w14:paraId="6F1FC836">
            <w:pPr>
              <w:spacing w:line="360" w:lineRule="auto"/>
              <w:jc w:val="center"/>
              <w:rPr>
                <w:rFonts w:ascii="宋体" w:hAnsi="宋体" w:cs="宋体"/>
                <w:sz w:val="24"/>
                <w:szCs w:val="24"/>
                <w:highlight w:val="none"/>
              </w:rPr>
            </w:pPr>
            <w:r>
              <w:rPr>
                <w:rFonts w:hint="eastAsia" w:ascii="宋体" w:hAnsi="宋体" w:cs="宋体"/>
                <w:sz w:val="24"/>
                <w:szCs w:val="24"/>
                <w:highlight w:val="none"/>
              </w:rPr>
              <w:t>10</w:t>
            </w:r>
          </w:p>
        </w:tc>
        <w:tc>
          <w:tcPr>
            <w:tcW w:w="8152" w:type="dxa"/>
            <w:vAlign w:val="center"/>
          </w:tcPr>
          <w:p w14:paraId="480E15AA">
            <w:pPr>
              <w:spacing w:line="360" w:lineRule="auto"/>
              <w:rPr>
                <w:rFonts w:ascii="宋体" w:hAnsi="宋体" w:cs="宋体"/>
                <w:b/>
                <w:sz w:val="24"/>
                <w:szCs w:val="24"/>
                <w:highlight w:val="none"/>
              </w:rPr>
            </w:pPr>
            <w:r>
              <w:rPr>
                <w:rFonts w:hint="eastAsia" w:ascii="宋体" w:hAnsi="宋体" w:cs="宋体"/>
                <w:b/>
                <w:sz w:val="24"/>
                <w:szCs w:val="24"/>
                <w:highlight w:val="none"/>
              </w:rPr>
              <w:t>政府采购合同：</w:t>
            </w:r>
          </w:p>
          <w:p w14:paraId="41D190F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政府采购合同适用民法典。采购人和供应商之间的权利和义务，应当按照平等、自愿的原则以合同方式约定。</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政府采购合同应当采用书面形式。</w:t>
            </w:r>
          </w:p>
          <w:p w14:paraId="6AF0899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国务院政府采购监督管理部门应当会同国务院有关部门，规定政府采购合同必须具备的条款。</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采购人与中标、成交供应商应当在中标、成交通知书发出之日起</w:t>
            </w:r>
            <w:r>
              <w:rPr>
                <w:rFonts w:hint="eastAsia" w:ascii="宋体" w:hAnsi="宋体" w:cs="宋体"/>
                <w:sz w:val="24"/>
                <w:szCs w:val="24"/>
                <w:highlight w:val="none"/>
                <w:lang w:val="en-US" w:eastAsia="zh-CN"/>
              </w:rPr>
              <w:t>二十五</w:t>
            </w:r>
            <w:r>
              <w:rPr>
                <w:rFonts w:hint="eastAsia" w:ascii="宋体" w:hAnsi="宋体" w:cs="宋体"/>
                <w:sz w:val="24"/>
                <w:szCs w:val="24"/>
                <w:highlight w:val="none"/>
              </w:rPr>
              <w:t>内，按照采购文件确定的事项签订政府采购合同。</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7E1402AF">
            <w:pPr>
              <w:pStyle w:val="14"/>
              <w:spacing w:line="360" w:lineRule="auto"/>
              <w:ind w:firstLine="480" w:firstLineChars="200"/>
              <w:rPr>
                <w:rFonts w:hAnsi="宋体"/>
                <w:sz w:val="24"/>
                <w:szCs w:val="24"/>
                <w:highlight w:val="none"/>
              </w:rPr>
            </w:pPr>
            <w:r>
              <w:rPr>
                <w:rFonts w:hint="eastAsia" w:hAnsi="宋体"/>
                <w:sz w:val="24"/>
                <w:szCs w:val="24"/>
                <w:highlight w:val="none"/>
              </w:rPr>
              <w:t>政府采购项目的采购合同自签订之日起七个工作日内，采购人应当将合同副本报同级政府采购监督管理部门和有关部门备案。</w:t>
            </w:r>
            <w:r>
              <w:rPr>
                <w:rFonts w:hint="eastAsia" w:hAnsi="宋体"/>
                <w:sz w:val="24"/>
                <w:szCs w:val="24"/>
                <w:highlight w:val="none"/>
              </w:rPr>
              <w:br w:type="textWrapping"/>
            </w:r>
            <w:r>
              <w:rPr>
                <w:rFonts w:hint="eastAsia" w:hAnsi="宋体"/>
                <w:sz w:val="24"/>
                <w:szCs w:val="24"/>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sz w:val="24"/>
                <w:szCs w:val="24"/>
                <w:highlight w:val="none"/>
              </w:rPr>
              <w:br w:type="textWrapping"/>
            </w:r>
            <w:r>
              <w:rPr>
                <w:rFonts w:hint="eastAsia" w:hAnsi="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sz w:val="24"/>
                <w:szCs w:val="24"/>
                <w:highlight w:val="none"/>
              </w:rPr>
              <w:br w:type="textWrapping"/>
            </w:r>
            <w:r>
              <w:rPr>
                <w:rFonts w:hint="eastAsia" w:hAnsi="宋体"/>
                <w:sz w:val="24"/>
                <w:szCs w:val="24"/>
                <w:highlight w:val="none"/>
              </w:rPr>
              <w:t xml:space="preserve">    政府采购合同的双方当事人不得擅自变更、中止或者终止合同。</w:t>
            </w:r>
            <w:r>
              <w:rPr>
                <w:rFonts w:hint="eastAsia" w:hAnsi="宋体"/>
                <w:sz w:val="24"/>
                <w:szCs w:val="24"/>
                <w:highlight w:val="none"/>
              </w:rPr>
              <w:br w:type="textWrapping"/>
            </w:r>
            <w:r>
              <w:rPr>
                <w:rFonts w:hint="eastAsia" w:hAnsi="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5A7417CC">
      <w:pPr>
        <w:spacing w:line="360" w:lineRule="auto"/>
        <w:rPr>
          <w:rFonts w:asciiTheme="minorEastAsia" w:hAnsiTheme="minorEastAsia" w:eastAsiaTheme="minorEastAsia" w:cstheme="minorEastAsia"/>
          <w:b/>
          <w:bCs/>
          <w:sz w:val="48"/>
          <w:szCs w:val="48"/>
          <w:highlight w:val="none"/>
        </w:rPr>
      </w:pPr>
      <w:r>
        <w:rPr>
          <w:rFonts w:hint="eastAsia" w:asciiTheme="minorEastAsia" w:hAnsiTheme="minorEastAsia" w:eastAsiaTheme="minorEastAsia" w:cstheme="minorEastAsia"/>
          <w:b/>
          <w:bCs/>
          <w:sz w:val="48"/>
          <w:szCs w:val="48"/>
          <w:highlight w:val="none"/>
        </w:rPr>
        <w:br w:type="page"/>
      </w:r>
    </w:p>
    <w:p w14:paraId="1D3B6D31">
      <w:pPr>
        <w:jc w:val="center"/>
        <w:rPr>
          <w:rFonts w:ascii="华文仿宋" w:hAnsi="华文仿宋" w:eastAsia="华文仿宋" w:cs="华文仿宋"/>
          <w:b/>
          <w:sz w:val="52"/>
          <w:szCs w:val="52"/>
          <w:highlight w:val="none"/>
        </w:rPr>
      </w:pPr>
    </w:p>
    <w:p w14:paraId="15D86D1F">
      <w:pPr>
        <w:jc w:val="center"/>
        <w:rPr>
          <w:rFonts w:ascii="华文仿宋" w:hAnsi="华文仿宋" w:eastAsia="华文仿宋" w:cs="华文仿宋"/>
          <w:b/>
          <w:sz w:val="52"/>
          <w:szCs w:val="52"/>
          <w:highlight w:val="none"/>
        </w:rPr>
      </w:pPr>
    </w:p>
    <w:p w14:paraId="4F6E495B">
      <w:pPr>
        <w:jc w:val="center"/>
        <w:rPr>
          <w:rFonts w:ascii="华文仿宋" w:hAnsi="华文仿宋" w:eastAsia="华文仿宋" w:cs="华文仿宋"/>
          <w:b/>
          <w:sz w:val="52"/>
          <w:szCs w:val="52"/>
          <w:highlight w:val="none"/>
        </w:rPr>
      </w:pPr>
    </w:p>
    <w:p w14:paraId="3351A120">
      <w:pPr>
        <w:jc w:val="center"/>
        <w:rPr>
          <w:rFonts w:ascii="华文仿宋" w:hAnsi="华文仿宋" w:eastAsia="华文仿宋" w:cs="华文仿宋"/>
          <w:b/>
          <w:sz w:val="52"/>
          <w:szCs w:val="52"/>
          <w:highlight w:val="none"/>
        </w:rPr>
      </w:pPr>
    </w:p>
    <w:p w14:paraId="1B565ADD">
      <w:pPr>
        <w:jc w:val="center"/>
        <w:rPr>
          <w:rFonts w:ascii="华文仿宋" w:hAnsi="华文仿宋" w:eastAsia="华文仿宋" w:cs="华文仿宋"/>
          <w:b/>
          <w:sz w:val="52"/>
          <w:szCs w:val="52"/>
          <w:highlight w:val="none"/>
        </w:rPr>
      </w:pPr>
    </w:p>
    <w:p w14:paraId="6F81CC43">
      <w:pPr>
        <w:jc w:val="center"/>
        <w:rPr>
          <w:rFonts w:hint="eastAsia" w:eastAsia="宋体"/>
          <w:b/>
          <w:sz w:val="32"/>
          <w:szCs w:val="32"/>
          <w:highlight w:val="none"/>
          <w:lang w:eastAsia="zh-CN"/>
        </w:rPr>
      </w:pPr>
      <w:r>
        <w:rPr>
          <w:rFonts w:hint="eastAsia" w:ascii="华文仿宋" w:hAnsi="华文仿宋" w:eastAsia="华文仿宋" w:cs="华文仿宋"/>
          <w:b/>
          <w:sz w:val="40"/>
          <w:szCs w:val="40"/>
          <w:highlight w:val="none"/>
          <w:lang w:eastAsia="zh-CN"/>
        </w:rPr>
        <w:t>柞水县2025年中央财政森林修复项目（第二批）</w:t>
      </w:r>
    </w:p>
    <w:p w14:paraId="279A52AC">
      <w:pPr>
        <w:jc w:val="center"/>
        <w:rPr>
          <w:b/>
          <w:sz w:val="44"/>
          <w:szCs w:val="44"/>
          <w:highlight w:val="none"/>
        </w:rPr>
      </w:pPr>
    </w:p>
    <w:p w14:paraId="468FE67C">
      <w:pPr>
        <w:jc w:val="center"/>
        <w:rPr>
          <w:sz w:val="28"/>
          <w:szCs w:val="28"/>
          <w:highlight w:val="none"/>
        </w:rPr>
      </w:pPr>
      <w:r>
        <w:rPr>
          <w:rFonts w:hint="eastAsia"/>
          <w:b/>
          <w:sz w:val="44"/>
          <w:szCs w:val="44"/>
          <w:highlight w:val="none"/>
        </w:rPr>
        <w:t>（示范文本）</w:t>
      </w:r>
    </w:p>
    <w:p w14:paraId="775C4BE1">
      <w:pPr>
        <w:jc w:val="center"/>
        <w:rPr>
          <w:sz w:val="28"/>
          <w:szCs w:val="28"/>
          <w:highlight w:val="none"/>
        </w:rPr>
      </w:pPr>
    </w:p>
    <w:p w14:paraId="5B8F6BC3">
      <w:pPr>
        <w:jc w:val="center"/>
        <w:rPr>
          <w:sz w:val="28"/>
          <w:szCs w:val="28"/>
          <w:highlight w:val="none"/>
        </w:rPr>
      </w:pPr>
    </w:p>
    <w:p w14:paraId="1385B052">
      <w:pPr>
        <w:rPr>
          <w:sz w:val="28"/>
          <w:szCs w:val="28"/>
          <w:highlight w:val="none"/>
        </w:rPr>
      </w:pPr>
    </w:p>
    <w:p w14:paraId="1A03FED5">
      <w:pPr>
        <w:rPr>
          <w:sz w:val="28"/>
          <w:szCs w:val="28"/>
          <w:highlight w:val="none"/>
        </w:rPr>
      </w:pPr>
    </w:p>
    <w:p w14:paraId="484A2FAC">
      <w:pPr>
        <w:rPr>
          <w:sz w:val="28"/>
          <w:szCs w:val="28"/>
          <w:highlight w:val="none"/>
        </w:rPr>
      </w:pPr>
    </w:p>
    <w:p w14:paraId="636C1F98">
      <w:pPr>
        <w:rPr>
          <w:sz w:val="28"/>
          <w:szCs w:val="28"/>
          <w:highlight w:val="none"/>
        </w:rPr>
      </w:pPr>
    </w:p>
    <w:p w14:paraId="2BBF7780">
      <w:pPr>
        <w:rPr>
          <w:sz w:val="28"/>
          <w:szCs w:val="28"/>
          <w:highlight w:val="none"/>
        </w:rPr>
      </w:pPr>
    </w:p>
    <w:p w14:paraId="562E1A29">
      <w:pPr>
        <w:rPr>
          <w:sz w:val="28"/>
          <w:szCs w:val="28"/>
          <w:highlight w:val="none"/>
        </w:rPr>
      </w:pPr>
    </w:p>
    <w:p w14:paraId="3DFD8668">
      <w:pPr>
        <w:rPr>
          <w:sz w:val="28"/>
          <w:szCs w:val="28"/>
          <w:highlight w:val="none"/>
        </w:rPr>
      </w:pPr>
    </w:p>
    <w:p w14:paraId="6BB96E66">
      <w:pPr>
        <w:rPr>
          <w:sz w:val="28"/>
          <w:szCs w:val="28"/>
          <w:highlight w:val="none"/>
        </w:rPr>
      </w:pPr>
    </w:p>
    <w:p w14:paraId="7A147CE6">
      <w:pPr>
        <w:rPr>
          <w:sz w:val="28"/>
          <w:szCs w:val="28"/>
          <w:highlight w:val="none"/>
        </w:rPr>
      </w:pPr>
    </w:p>
    <w:p w14:paraId="481F64EF">
      <w:pPr>
        <w:ind w:firstLine="1960" w:firstLineChars="700"/>
        <w:rPr>
          <w:sz w:val="28"/>
          <w:szCs w:val="28"/>
          <w:highlight w:val="none"/>
          <w:u w:val="single"/>
        </w:rPr>
      </w:pPr>
    </w:p>
    <w:p w14:paraId="3A175702">
      <w:pPr>
        <w:ind w:firstLine="1960" w:firstLineChars="700"/>
        <w:rPr>
          <w:sz w:val="28"/>
          <w:szCs w:val="28"/>
          <w:highlight w:val="none"/>
          <w:u w:val="single"/>
        </w:rPr>
      </w:pPr>
    </w:p>
    <w:p w14:paraId="018BF219">
      <w:pPr>
        <w:pageBreakBefore/>
        <w:spacing w:afterLines="50" w:line="360" w:lineRule="auto"/>
        <w:jc w:val="center"/>
        <w:rPr>
          <w:rFonts w:hAnsi="宋体"/>
          <w:b/>
          <w:sz w:val="32"/>
          <w:szCs w:val="32"/>
          <w:highlight w:val="none"/>
        </w:rPr>
      </w:pPr>
      <w:bookmarkStart w:id="92" w:name="_Toc18407"/>
      <w:bookmarkStart w:id="93" w:name="_Toc826"/>
      <w:bookmarkStart w:id="94" w:name="_Toc27199"/>
      <w:r>
        <w:rPr>
          <w:rFonts w:hint="eastAsia" w:hAnsi="宋体"/>
          <w:b/>
          <w:sz w:val="32"/>
          <w:szCs w:val="32"/>
          <w:highlight w:val="none"/>
        </w:rPr>
        <w:t>第一部分  协议书</w:t>
      </w:r>
      <w:bookmarkEnd w:id="92"/>
      <w:bookmarkEnd w:id="93"/>
      <w:bookmarkEnd w:id="94"/>
    </w:p>
    <w:p w14:paraId="74E10DC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发包人（全称）：</w:t>
      </w:r>
      <w:r>
        <w:rPr>
          <w:rFonts w:hint="eastAsia" w:ascii="宋体" w:hAnsi="宋体" w:cs="宋体"/>
          <w:sz w:val="24"/>
          <w:szCs w:val="24"/>
          <w:highlight w:val="none"/>
          <w:u w:val="single"/>
        </w:rPr>
        <w:t xml:space="preserve">                                  </w:t>
      </w:r>
    </w:p>
    <w:p w14:paraId="79D13E23">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承包人（全称）：</w:t>
      </w:r>
      <w:r>
        <w:rPr>
          <w:rFonts w:hint="eastAsia" w:ascii="宋体" w:hAnsi="宋体" w:cs="宋体"/>
          <w:sz w:val="24"/>
          <w:szCs w:val="24"/>
          <w:highlight w:val="none"/>
          <w:u w:val="single"/>
        </w:rPr>
        <w:t xml:space="preserve">                                  </w:t>
      </w:r>
    </w:p>
    <w:p w14:paraId="2FF56EF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依照《中华人民共和国民法典》及其他有关法律、行政法规，遵循平等、自愿、公平和诚实信用的原则，双方就本建设工程施工事项协商一致，订立本合同。 </w:t>
      </w:r>
    </w:p>
    <w:p w14:paraId="03D1BA7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一、工程概况：</w:t>
      </w:r>
    </w:p>
    <w:p w14:paraId="738A2E9A">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工程名称：</w:t>
      </w:r>
      <w:r>
        <w:rPr>
          <w:rFonts w:hint="eastAsia" w:ascii="宋体" w:hAnsi="宋体" w:cs="宋体"/>
          <w:sz w:val="24"/>
          <w:szCs w:val="24"/>
          <w:highlight w:val="none"/>
          <w:u w:val="single"/>
        </w:rPr>
        <w:t xml:space="preserve">                                                          </w:t>
      </w:r>
    </w:p>
    <w:p w14:paraId="1BE5E44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工程地点：</w:t>
      </w:r>
      <w:r>
        <w:rPr>
          <w:rFonts w:hint="eastAsia" w:ascii="宋体" w:hAnsi="宋体" w:cs="宋体"/>
          <w:sz w:val="24"/>
          <w:szCs w:val="24"/>
          <w:highlight w:val="none"/>
          <w:u w:val="single"/>
        </w:rPr>
        <w:t xml:space="preserve">                                                          </w:t>
      </w:r>
    </w:p>
    <w:p w14:paraId="04E4F03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资金来源：</w:t>
      </w:r>
      <w:r>
        <w:rPr>
          <w:rFonts w:hint="eastAsia" w:ascii="宋体" w:hAnsi="宋体" w:cs="宋体"/>
          <w:sz w:val="24"/>
          <w:szCs w:val="24"/>
          <w:highlight w:val="none"/>
          <w:u w:val="single"/>
        </w:rPr>
        <w:t xml:space="preserve">                                                          </w:t>
      </w:r>
    </w:p>
    <w:p w14:paraId="2477DC4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二、工程承包范围 </w:t>
      </w:r>
    </w:p>
    <w:p w14:paraId="46264C9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承包范围：</w:t>
      </w:r>
      <w:r>
        <w:rPr>
          <w:rFonts w:hint="eastAsia" w:ascii="宋体" w:hAnsi="宋体" w:cs="宋体"/>
          <w:sz w:val="24"/>
          <w:szCs w:val="24"/>
          <w:highlight w:val="none"/>
          <w:u w:val="single"/>
        </w:rPr>
        <w:t xml:space="preserve">                                                          </w:t>
      </w:r>
    </w:p>
    <w:p w14:paraId="3E8D971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三、合同工期</w:t>
      </w:r>
    </w:p>
    <w:p w14:paraId="1B3DAA5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开工日期：</w:t>
      </w:r>
      <w:r>
        <w:rPr>
          <w:rFonts w:hint="eastAsia" w:ascii="宋体" w:hAnsi="宋体" w:cs="宋体"/>
          <w:sz w:val="24"/>
          <w:szCs w:val="24"/>
          <w:highlight w:val="none"/>
          <w:u w:val="single"/>
        </w:rPr>
        <w:t xml:space="preserve">           </w:t>
      </w:r>
    </w:p>
    <w:p w14:paraId="072D3B1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竣工日期：</w:t>
      </w:r>
      <w:r>
        <w:rPr>
          <w:rFonts w:hint="eastAsia" w:ascii="宋体" w:hAnsi="宋体" w:cs="宋体"/>
          <w:sz w:val="24"/>
          <w:szCs w:val="24"/>
          <w:highlight w:val="none"/>
          <w:u w:val="single"/>
        </w:rPr>
        <w:t xml:space="preserve">           </w:t>
      </w:r>
    </w:p>
    <w:p w14:paraId="3A93471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合同工期总日历天数</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日历日。</w:t>
      </w:r>
    </w:p>
    <w:p w14:paraId="15BA0DE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四、质量标准</w:t>
      </w:r>
    </w:p>
    <w:p w14:paraId="2F8E5FF4">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工程质量标准：达到国家质量验收合格标准</w:t>
      </w:r>
    </w:p>
    <w:p w14:paraId="4297656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五、合同价款</w:t>
      </w:r>
    </w:p>
    <w:p w14:paraId="3485D42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合同金额（大写）：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44CB2B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合同总价即成交价，合同总价为总承包价，不受市场价变化或实际工作量变化的影响，合同价格为含税价，供应商提供本工程所发生的一切税（包括增值税）费等都已包含于合同价款中。</w:t>
      </w:r>
    </w:p>
    <w:p w14:paraId="5D041D8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六、组成合同的文件</w:t>
      </w:r>
    </w:p>
    <w:p w14:paraId="02EE2F1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组成本合同的文件包括：</w:t>
      </w:r>
    </w:p>
    <w:p w14:paraId="5ED9A583">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1、本合同协议书</w:t>
      </w:r>
    </w:p>
    <w:p w14:paraId="3FD4EAF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2、本合同专用条款</w:t>
      </w:r>
    </w:p>
    <w:p w14:paraId="3624CC6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3、本合同通用条款</w:t>
      </w:r>
    </w:p>
    <w:p w14:paraId="546E3B3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4、中标通知书</w:t>
      </w:r>
    </w:p>
    <w:p w14:paraId="5950EB08">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5、投标文件、工程报价单或预算书及其附件</w:t>
      </w:r>
    </w:p>
    <w:p w14:paraId="0614AB7B">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6、招标文件、答疑纪要</w:t>
      </w:r>
    </w:p>
    <w:p w14:paraId="425F759C">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7、标准、规范及有关技术文件</w:t>
      </w:r>
    </w:p>
    <w:p w14:paraId="423FE95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双方为履行本合同的有关洽商、变更等书面协议或文件视为本合同的组成部分。</w:t>
      </w:r>
    </w:p>
    <w:p w14:paraId="57FF730C">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七、本协议书中有关词语含义与本合同第二部分《通用条款》中分别赋予它们的定义相同。</w:t>
      </w:r>
    </w:p>
    <w:p w14:paraId="270D5BA0">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八、承包人向发包人承诺按照合同约定进行施工、竣工并在质量保修期内承担工程质量保修责任。</w:t>
      </w:r>
    </w:p>
    <w:p w14:paraId="3034CD7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九、发包人向承包人承诺按照合同约定的期限和方式支付合同价款及其他应当支付的款项。</w:t>
      </w:r>
    </w:p>
    <w:p w14:paraId="1EAE685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十、合同生效</w:t>
      </w:r>
    </w:p>
    <w:p w14:paraId="7066643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合同订立时间：          年            月            日</w:t>
      </w:r>
    </w:p>
    <w:p w14:paraId="5B2223B9">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 xml:space="preserve">合同订立地点：                                       </w:t>
      </w:r>
    </w:p>
    <w:p w14:paraId="51D4CF9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本合同双方约定双方签字盖章后生效。</w:t>
      </w:r>
    </w:p>
    <w:p w14:paraId="09CEF725">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发包人：          （公章）         承包人：         （公章）</w:t>
      </w:r>
    </w:p>
    <w:p w14:paraId="4A017087">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法定代表人：                         法定代表人：</w:t>
      </w:r>
    </w:p>
    <w:p w14:paraId="166C2F4D">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委托代理人：                         委托代理人：</w:t>
      </w:r>
    </w:p>
    <w:p w14:paraId="21B0D4CE">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联系人：                             联系人：</w:t>
      </w:r>
    </w:p>
    <w:p w14:paraId="787D8992">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电话：                               电话：</w:t>
      </w:r>
    </w:p>
    <w:p w14:paraId="37BC131A">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传真：                               传真：</w:t>
      </w:r>
    </w:p>
    <w:p w14:paraId="0B04BBA1">
      <w:pPr>
        <w:spacing w:beforeLines="100" w:afterLines="100" w:line="360" w:lineRule="auto"/>
        <w:ind w:firstLine="460" w:firstLineChars="192"/>
        <w:jc w:val="left"/>
        <w:rPr>
          <w:rFonts w:ascii="宋体" w:hAnsi="宋体" w:cs="宋体"/>
          <w:sz w:val="24"/>
          <w:szCs w:val="24"/>
          <w:highlight w:val="none"/>
        </w:rPr>
      </w:pPr>
      <w:r>
        <w:rPr>
          <w:rFonts w:hint="eastAsia" w:ascii="宋体" w:hAnsi="宋体" w:cs="宋体"/>
          <w:sz w:val="24"/>
          <w:szCs w:val="24"/>
          <w:highlight w:val="none"/>
        </w:rPr>
        <w:t>开户银行：                           开户银行：</w:t>
      </w:r>
    </w:p>
    <w:p w14:paraId="69E0CDE3">
      <w:pPr>
        <w:spacing w:beforeLines="100" w:afterLines="100" w:line="360" w:lineRule="auto"/>
        <w:ind w:firstLine="460" w:firstLineChars="192"/>
        <w:jc w:val="left"/>
        <w:rPr>
          <w:rFonts w:ascii="宋体" w:hAnsi="宋体" w:cs="宋体"/>
          <w:sz w:val="24"/>
          <w:szCs w:val="24"/>
          <w:highlight w:val="none"/>
        </w:rPr>
        <w:sectPr>
          <w:footerReference r:id="rId9" w:type="default"/>
          <w:pgSz w:w="11907" w:h="16840"/>
          <w:pgMar w:top="1304" w:right="1361" w:bottom="1304" w:left="1361" w:header="720" w:footer="720" w:gutter="0"/>
          <w:cols w:space="720" w:num="1"/>
        </w:sectPr>
      </w:pPr>
      <w:r>
        <w:rPr>
          <w:rFonts w:hint="eastAsia" w:ascii="宋体" w:hAnsi="宋体" w:cs="宋体"/>
          <w:sz w:val="24"/>
          <w:szCs w:val="24"/>
          <w:highlight w:val="none"/>
        </w:rPr>
        <w:t>账号：                               账号：</w:t>
      </w:r>
    </w:p>
    <w:p w14:paraId="278EE397">
      <w:pPr>
        <w:spacing w:line="360" w:lineRule="auto"/>
        <w:ind w:firstLine="723" w:firstLineChars="200"/>
        <w:jc w:val="center"/>
        <w:rPr>
          <w:rFonts w:hAnsi="宋体"/>
          <w:highlight w:val="none"/>
        </w:rPr>
      </w:pPr>
      <w:r>
        <w:rPr>
          <w:rFonts w:hint="eastAsia" w:hAnsi="宋体"/>
          <w:b/>
          <w:bCs/>
          <w:sz w:val="36"/>
          <w:szCs w:val="36"/>
          <w:highlight w:val="none"/>
        </w:rPr>
        <w:t>第二部分  通用合同条款</w:t>
      </w:r>
    </w:p>
    <w:p w14:paraId="13C1B72D">
      <w:pPr>
        <w:pStyle w:val="24"/>
        <w:spacing w:line="300" w:lineRule="auto"/>
        <w:jc w:val="center"/>
        <w:rPr>
          <w:rFonts w:cs="宋体"/>
          <w:b/>
          <w:bCs/>
          <w:color w:val="auto"/>
          <w:sz w:val="28"/>
          <w:szCs w:val="28"/>
          <w:highlight w:val="none"/>
        </w:rPr>
      </w:pPr>
      <w:r>
        <w:rPr>
          <w:rFonts w:hint="eastAsia" w:cs="宋体"/>
          <w:b/>
          <w:bCs/>
          <w:color w:val="auto"/>
          <w:sz w:val="28"/>
          <w:szCs w:val="28"/>
          <w:highlight w:val="none"/>
        </w:rPr>
        <w:t>执行《陕西省建设工程施工合同》（示范文本）</w:t>
      </w:r>
    </w:p>
    <w:p w14:paraId="0931FACB">
      <w:pPr>
        <w:pStyle w:val="24"/>
        <w:spacing w:line="300" w:lineRule="auto"/>
        <w:jc w:val="center"/>
        <w:rPr>
          <w:rFonts w:cs="宋体"/>
          <w:b/>
          <w:bCs/>
          <w:color w:val="auto"/>
          <w:sz w:val="28"/>
          <w:szCs w:val="28"/>
          <w:highlight w:val="none"/>
        </w:rPr>
      </w:pPr>
    </w:p>
    <w:p w14:paraId="0DF86D70">
      <w:pPr>
        <w:pStyle w:val="24"/>
        <w:spacing w:line="300" w:lineRule="auto"/>
        <w:jc w:val="center"/>
        <w:rPr>
          <w:rFonts w:cs="宋体"/>
          <w:b/>
          <w:bCs/>
          <w:color w:val="auto"/>
          <w:sz w:val="28"/>
          <w:szCs w:val="28"/>
          <w:highlight w:val="none"/>
        </w:rPr>
        <w:sectPr>
          <w:pgSz w:w="11906" w:h="16838"/>
          <w:pgMar w:top="1304" w:right="1361" w:bottom="1304" w:left="1361" w:header="720" w:footer="720" w:gutter="0"/>
          <w:cols w:space="720" w:num="1"/>
        </w:sectPr>
      </w:pPr>
    </w:p>
    <w:p w14:paraId="183D3019">
      <w:pPr>
        <w:jc w:val="center"/>
        <w:rPr>
          <w:rFonts w:ascii="黑体" w:eastAsia="黑体"/>
          <w:sz w:val="30"/>
          <w:szCs w:val="30"/>
          <w:highlight w:val="none"/>
        </w:rPr>
      </w:pPr>
      <w:r>
        <w:rPr>
          <w:rFonts w:hint="eastAsia" w:hAnsi="宋体"/>
          <w:b/>
          <w:bCs/>
          <w:sz w:val="36"/>
          <w:szCs w:val="36"/>
          <w:highlight w:val="none"/>
        </w:rPr>
        <w:t>第三部分  专用合同条款</w:t>
      </w:r>
    </w:p>
    <w:p w14:paraId="3E1E78EE">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一、词语定义及合同文件</w:t>
      </w:r>
    </w:p>
    <w:p w14:paraId="5A57D952">
      <w:pPr>
        <w:spacing w:line="360" w:lineRule="auto"/>
        <w:ind w:firstLine="482" w:firstLineChars="200"/>
        <w:jc w:val="left"/>
        <w:rPr>
          <w:rFonts w:ascii="宋体" w:hAnsi="宋体" w:cs="宋体"/>
          <w:sz w:val="24"/>
          <w:szCs w:val="24"/>
          <w:highlight w:val="none"/>
        </w:rPr>
      </w:pPr>
      <w:r>
        <w:rPr>
          <w:rFonts w:hint="eastAsia" w:ascii="宋体" w:hAnsi="宋体" w:cs="宋体"/>
          <w:b/>
          <w:bCs/>
          <w:sz w:val="24"/>
          <w:szCs w:val="24"/>
          <w:highlight w:val="none"/>
        </w:rPr>
        <w:t>1、</w:t>
      </w:r>
      <w:r>
        <w:rPr>
          <w:rFonts w:hint="eastAsia" w:ascii="宋体" w:hAnsi="宋体" w:cs="宋体"/>
          <w:sz w:val="24"/>
          <w:szCs w:val="24"/>
          <w:highlight w:val="none"/>
          <w:u w:val="single"/>
        </w:rPr>
        <w:t>专用合同条款是对通用条款中相应条款内容的解释、补充、删除或修改，其序号与通用条款中条款一一对应，未作改动的条款按通用条款执行。</w:t>
      </w:r>
    </w:p>
    <w:p w14:paraId="2E36423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2、合同文件及解释顺序</w:t>
      </w:r>
    </w:p>
    <w:p w14:paraId="0999A1DD">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合同文件组成及解释顺序：</w:t>
      </w:r>
      <w:r>
        <w:rPr>
          <w:rFonts w:hint="eastAsia" w:ascii="宋体" w:hAnsi="宋体" w:cs="宋体"/>
          <w:sz w:val="24"/>
          <w:szCs w:val="24"/>
          <w:highlight w:val="none"/>
          <w:u w:val="single"/>
        </w:rPr>
        <w:t>﹙1﹚本合同协议书；﹙2﹚本合同专用条款；﹙3﹚中标通知书；﹙4﹚招标文件答疑纪要；﹙5﹚本合同通用条款；﹙6﹚标准规范及有关技术文件；（7）其他。</w:t>
      </w:r>
    </w:p>
    <w:p w14:paraId="28DE2D2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3、语言文字和适用法律语言文字和适用法律、标准及规范</w:t>
      </w:r>
    </w:p>
    <w:p w14:paraId="3A4D9DE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3.1  本合同除使用汉语外，还使用_________</w:t>
      </w:r>
      <w:r>
        <w:rPr>
          <w:rFonts w:hint="eastAsia" w:ascii="宋体" w:hAnsi="宋体" w:cs="宋体"/>
          <w:sz w:val="24"/>
          <w:szCs w:val="24"/>
          <w:highlight w:val="none"/>
          <w:u w:val="single"/>
        </w:rPr>
        <w:t>/</w:t>
      </w:r>
      <w:r>
        <w:rPr>
          <w:rFonts w:hint="eastAsia" w:ascii="宋体" w:hAnsi="宋体" w:cs="宋体"/>
          <w:sz w:val="24"/>
          <w:szCs w:val="24"/>
          <w:highlight w:val="none"/>
        </w:rPr>
        <w:t>__________语言文字。</w:t>
      </w:r>
    </w:p>
    <w:p w14:paraId="25D1F5D6">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3.2  适用法律和法规需要明示的法律、行政法规：</w:t>
      </w:r>
      <w:r>
        <w:rPr>
          <w:rFonts w:hint="eastAsia" w:ascii="宋体" w:hAnsi="宋体" w:cs="宋体"/>
          <w:sz w:val="24"/>
          <w:szCs w:val="24"/>
          <w:highlight w:val="none"/>
          <w:u w:val="single"/>
        </w:rPr>
        <w:t>本合同适用于中华人民共和国法律，行政法规、陕西省地方法规。</w:t>
      </w:r>
    </w:p>
    <w:p w14:paraId="7B9183E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3.3  适用标准、规范 </w:t>
      </w:r>
    </w:p>
    <w:p w14:paraId="10055617">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适用标准、规范的名称：</w:t>
      </w:r>
      <w:r>
        <w:rPr>
          <w:rFonts w:hint="eastAsia" w:ascii="宋体" w:hAnsi="宋体" w:cs="宋体"/>
          <w:sz w:val="24"/>
          <w:szCs w:val="24"/>
          <w:highlight w:val="none"/>
          <w:u w:val="single"/>
        </w:rPr>
        <w:t>﹙1﹚国家现行和相关技术规程；﹙2﹚工程所在地建设主管部门的标准、规范；﹙3﹚工程所在地行业的标准、规范。</w:t>
      </w:r>
    </w:p>
    <w:p w14:paraId="31EB7E82">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发包人提供标准、规范的时间：</w:t>
      </w:r>
      <w:r>
        <w:rPr>
          <w:rFonts w:hint="eastAsia" w:ascii="宋体" w:hAnsi="宋体" w:cs="宋体"/>
          <w:sz w:val="24"/>
          <w:szCs w:val="24"/>
          <w:highlight w:val="none"/>
          <w:u w:val="single"/>
        </w:rPr>
        <w:t xml:space="preserve">               /                    _</w:t>
      </w:r>
    </w:p>
    <w:p w14:paraId="12A3C5D3">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国内没有相应标准、规范时的约定：</w:t>
      </w:r>
      <w:r>
        <w:rPr>
          <w:rFonts w:hint="eastAsia" w:ascii="宋体" w:hAnsi="宋体" w:cs="宋体"/>
          <w:sz w:val="24"/>
          <w:szCs w:val="24"/>
          <w:highlight w:val="none"/>
          <w:u w:val="single"/>
        </w:rPr>
        <w:t xml:space="preserve">                              。</w:t>
      </w:r>
    </w:p>
    <w:p w14:paraId="6C8DEC07">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4、图纸</w:t>
      </w:r>
    </w:p>
    <w:p w14:paraId="24756107">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4.1发包人向承包人提供图纸日期和套数</w:t>
      </w:r>
      <w:r>
        <w:rPr>
          <w:rFonts w:hint="eastAsia" w:ascii="宋体" w:hAnsi="宋体" w:cs="宋体"/>
          <w:sz w:val="24"/>
          <w:szCs w:val="24"/>
          <w:highlight w:val="none"/>
          <w:u w:val="single"/>
        </w:rPr>
        <w:t>：    /                       。</w:t>
      </w:r>
    </w:p>
    <w:p w14:paraId="3152ECE9">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发包人对图纸的保密要求</w:t>
      </w:r>
      <w:r>
        <w:rPr>
          <w:rFonts w:hint="eastAsia" w:ascii="宋体" w:hAnsi="宋体" w:cs="宋体"/>
          <w:sz w:val="24"/>
          <w:szCs w:val="24"/>
          <w:highlight w:val="none"/>
          <w:u w:val="single"/>
        </w:rPr>
        <w:t>：         /           。</w:t>
      </w:r>
    </w:p>
    <w:p w14:paraId="750B4852">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使用国外图纸的要求及费用承担：</w:t>
      </w:r>
      <w:r>
        <w:rPr>
          <w:rFonts w:hint="eastAsia" w:ascii="宋体" w:hAnsi="宋体" w:cs="宋体"/>
          <w:sz w:val="24"/>
          <w:szCs w:val="24"/>
          <w:highlight w:val="none"/>
          <w:u w:val="single"/>
        </w:rPr>
        <w:t>____无_____</w:t>
      </w:r>
    </w:p>
    <w:p w14:paraId="0499916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二、双方一般权利和义务</w:t>
      </w:r>
    </w:p>
    <w:p w14:paraId="2B0F4E2D">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5、工程师</w:t>
      </w:r>
    </w:p>
    <w:p w14:paraId="36F32A98">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5.2监理单位委派的工程师 </w:t>
      </w:r>
    </w:p>
    <w:p w14:paraId="331F2A4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姓名：______/_________职务：______/________</w:t>
      </w:r>
    </w:p>
    <w:p w14:paraId="0877B6C6">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发包人委托的职权：</w:t>
      </w:r>
      <w:r>
        <w:rPr>
          <w:rFonts w:hint="eastAsia" w:ascii="宋体" w:hAnsi="宋体" w:cs="宋体"/>
          <w:sz w:val="24"/>
          <w:szCs w:val="24"/>
          <w:highlight w:val="none"/>
          <w:u w:val="single"/>
        </w:rPr>
        <w:t xml:space="preserve">               /                   </w:t>
      </w:r>
    </w:p>
    <w:p w14:paraId="2BAE7485">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需要取得发包人批准才能行使的职权：</w:t>
      </w:r>
      <w:r>
        <w:rPr>
          <w:rFonts w:hint="eastAsia" w:ascii="宋体" w:hAnsi="宋体" w:cs="宋体"/>
          <w:sz w:val="24"/>
          <w:szCs w:val="24"/>
          <w:highlight w:val="none"/>
          <w:u w:val="single"/>
        </w:rPr>
        <w:t xml:space="preserve">         /          </w:t>
      </w:r>
    </w:p>
    <w:p w14:paraId="713A8D7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5.4发包人派驻的工程师 </w:t>
      </w:r>
    </w:p>
    <w:p w14:paraId="3B511AB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姓名：____________________职务：________________________________</w:t>
      </w:r>
    </w:p>
    <w:p w14:paraId="7CF67730">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职权：</w:t>
      </w:r>
      <w:r>
        <w:rPr>
          <w:rFonts w:hint="eastAsia" w:ascii="宋体" w:hAnsi="宋体" w:cs="宋体"/>
          <w:sz w:val="24"/>
          <w:szCs w:val="24"/>
          <w:highlight w:val="none"/>
          <w:u w:val="single"/>
        </w:rPr>
        <w:t xml:space="preserve">                                                          </w:t>
      </w:r>
    </w:p>
    <w:p w14:paraId="506F123B">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5.6不实行监理的，工程师的职权：________</w:t>
      </w:r>
      <w:r>
        <w:rPr>
          <w:rFonts w:hint="eastAsia" w:ascii="宋体" w:hAnsi="宋体" w:cs="宋体"/>
          <w:sz w:val="24"/>
          <w:szCs w:val="24"/>
          <w:highlight w:val="none"/>
          <w:u w:val="single"/>
        </w:rPr>
        <w:t>/_</w:t>
      </w:r>
      <w:r>
        <w:rPr>
          <w:rFonts w:hint="eastAsia" w:ascii="宋体" w:hAnsi="宋体" w:cs="宋体"/>
          <w:sz w:val="24"/>
          <w:szCs w:val="24"/>
          <w:highlight w:val="none"/>
        </w:rPr>
        <w:t>____________________</w:t>
      </w:r>
    </w:p>
    <w:p w14:paraId="021A1ED6">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6、项目经理</w:t>
      </w:r>
    </w:p>
    <w:p w14:paraId="7981FDE5">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姓名：___________职务：___________________</w:t>
      </w:r>
    </w:p>
    <w:p w14:paraId="6D946790">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7、发包人工作</w:t>
      </w:r>
    </w:p>
    <w:p w14:paraId="27693094">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7.1发包人应按约定的时间和要求完成以下工作：</w:t>
      </w:r>
    </w:p>
    <w:p w14:paraId="11870928">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（1）施工场地具备施工条件的要求及完成的时间：</w:t>
      </w:r>
      <w:r>
        <w:rPr>
          <w:rFonts w:hint="eastAsia" w:ascii="宋体" w:hAnsi="宋体" w:cs="宋体"/>
          <w:sz w:val="24"/>
          <w:szCs w:val="24"/>
          <w:highlight w:val="none"/>
          <w:u w:val="single"/>
        </w:rPr>
        <w:t>工程开工前五日内完成。</w:t>
      </w:r>
    </w:p>
    <w:p w14:paraId="66298FA4">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（2）将施工所需的水、电、电讯线路接至施工场地的时间、地点和供应要求：</w:t>
      </w:r>
      <w:r>
        <w:rPr>
          <w:rFonts w:hint="eastAsia" w:ascii="宋体" w:hAnsi="宋体" w:cs="宋体"/>
          <w:sz w:val="24"/>
          <w:szCs w:val="24"/>
          <w:highlight w:val="none"/>
          <w:u w:val="single"/>
        </w:rPr>
        <w:t>本工程施工水源、电源、电讯均由承包人自行解决并承担费用。</w:t>
      </w:r>
    </w:p>
    <w:p w14:paraId="0E358440">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其计量和计价方法为：</w:t>
      </w:r>
      <w:r>
        <w:rPr>
          <w:rFonts w:hint="eastAsia" w:ascii="宋体" w:hAnsi="宋体" w:cs="宋体"/>
          <w:sz w:val="24"/>
          <w:szCs w:val="24"/>
          <w:highlight w:val="none"/>
          <w:u w:val="single"/>
        </w:rPr>
        <w:t>由承包人承担费用，按不同来源在投标时自主报价，结算时不再调整。</w:t>
      </w:r>
    </w:p>
    <w:p w14:paraId="227EBD5A">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（3）施工场地与公共道路的通道开通时间和要求：</w:t>
      </w:r>
      <w:r>
        <w:rPr>
          <w:rFonts w:hint="eastAsia" w:ascii="宋体" w:hAnsi="宋体" w:cs="宋体"/>
          <w:sz w:val="24"/>
          <w:szCs w:val="24"/>
          <w:highlight w:val="none"/>
          <w:u w:val="single"/>
        </w:rPr>
        <w:t xml:space="preserve">             </w:t>
      </w:r>
    </w:p>
    <w:p w14:paraId="7308E9A8">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（4）工程地质和地下管线资料的提供时间：</w:t>
      </w:r>
      <w:r>
        <w:rPr>
          <w:rFonts w:hint="eastAsia" w:ascii="宋体" w:hAnsi="宋体" w:cs="宋体"/>
          <w:sz w:val="24"/>
          <w:szCs w:val="24"/>
          <w:highlight w:val="none"/>
          <w:u w:val="single"/>
        </w:rPr>
        <w:t>合同签订七日内提供发包人已知的情况，其它由承包人自行勘测和解决。</w:t>
      </w:r>
    </w:p>
    <w:p w14:paraId="3383611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（5）由发包人办理的施工所需证件、批件的名称和完成时间：</w:t>
      </w:r>
      <w:r>
        <w:rPr>
          <w:rFonts w:hint="eastAsia" w:ascii="宋体" w:hAnsi="宋体" w:cs="宋体"/>
          <w:sz w:val="24"/>
          <w:szCs w:val="24"/>
          <w:highlight w:val="none"/>
          <w:u w:val="single"/>
        </w:rPr>
        <w:t>合同签订后发包人积极办理，需要承包人配合的承包人必须积极配合在开工前完成</w:t>
      </w:r>
      <w:r>
        <w:rPr>
          <w:rFonts w:hint="eastAsia" w:ascii="宋体" w:hAnsi="宋体" w:cs="宋体"/>
          <w:sz w:val="24"/>
          <w:szCs w:val="24"/>
          <w:highlight w:val="none"/>
        </w:rPr>
        <w:t>。</w:t>
      </w:r>
    </w:p>
    <w:p w14:paraId="2813F927">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（6）水准点与座标控制点交验要求：</w:t>
      </w:r>
      <w:r>
        <w:rPr>
          <w:rFonts w:hint="eastAsia" w:ascii="宋体" w:hAnsi="宋体" w:cs="宋体"/>
          <w:sz w:val="24"/>
          <w:szCs w:val="24"/>
          <w:highlight w:val="none"/>
          <w:u w:val="single"/>
        </w:rPr>
        <w:t>/。</w:t>
      </w:r>
    </w:p>
    <w:p w14:paraId="581195F7">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（7）施工交底时间：</w:t>
      </w:r>
      <w:r>
        <w:rPr>
          <w:rFonts w:hint="eastAsia" w:ascii="宋体" w:hAnsi="宋体" w:cs="宋体"/>
          <w:sz w:val="24"/>
          <w:szCs w:val="24"/>
          <w:highlight w:val="none"/>
          <w:u w:val="single"/>
        </w:rPr>
        <w:t xml:space="preserve">       。</w:t>
      </w:r>
    </w:p>
    <w:p w14:paraId="202EA0F6">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（8）协调处理施工场地周围地下管线和邻近建筑物、构筑物（含文物保护建筑）、古树名木的保护工作：</w:t>
      </w:r>
      <w:r>
        <w:rPr>
          <w:rFonts w:hint="eastAsia" w:ascii="宋体" w:hAnsi="宋体" w:cs="宋体"/>
          <w:sz w:val="24"/>
          <w:szCs w:val="24"/>
          <w:highlight w:val="none"/>
          <w:u w:val="single"/>
        </w:rPr>
        <w:t>由发包人和承包人协商确定。</w:t>
      </w:r>
    </w:p>
    <w:p w14:paraId="77225BA9">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（9）双方约定发包人应做的其他工作：</w:t>
      </w:r>
      <w:r>
        <w:rPr>
          <w:rFonts w:hint="eastAsia" w:ascii="宋体" w:hAnsi="宋体" w:cs="宋体"/>
          <w:sz w:val="24"/>
          <w:szCs w:val="24"/>
          <w:highlight w:val="none"/>
          <w:u w:val="single"/>
        </w:rPr>
        <w:t>施工中的协调配合工作。</w:t>
      </w:r>
    </w:p>
    <w:p w14:paraId="56AF14E1">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7.2发包人委托承包人办理的工作：</w:t>
      </w:r>
      <w:r>
        <w:rPr>
          <w:rFonts w:hint="eastAsia" w:ascii="宋体" w:hAnsi="宋体" w:cs="宋体"/>
          <w:sz w:val="24"/>
          <w:szCs w:val="24"/>
          <w:highlight w:val="none"/>
          <w:u w:val="single"/>
        </w:rPr>
        <w:t>配合发包人办理施工许可证、质量监督备案手续。</w:t>
      </w:r>
    </w:p>
    <w:p w14:paraId="4F6B4D18">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8、承包人工作</w:t>
      </w:r>
    </w:p>
    <w:p w14:paraId="3E4F5C70">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8.1承包人应按约定时间和要求，完成以下工作：</w:t>
      </w:r>
    </w:p>
    <w:p w14:paraId="0E7CE979">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（1）需由设计资质等级和业务范围允许的承包人完成的设计文件提交时间：</w:t>
      </w:r>
      <w:r>
        <w:rPr>
          <w:rFonts w:hint="eastAsia" w:ascii="宋体" w:hAnsi="宋体" w:cs="宋体"/>
          <w:sz w:val="24"/>
          <w:szCs w:val="24"/>
          <w:highlight w:val="none"/>
          <w:u w:val="single"/>
        </w:rPr>
        <w:t>按发包人的要求提供。</w:t>
      </w:r>
    </w:p>
    <w:p w14:paraId="7E4D0EF9">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（2）应提供计划、报表的名称及完成时间：</w:t>
      </w:r>
      <w:r>
        <w:rPr>
          <w:rFonts w:hint="eastAsia" w:ascii="宋体" w:hAnsi="宋体" w:cs="宋体"/>
          <w:sz w:val="24"/>
          <w:szCs w:val="24"/>
          <w:highlight w:val="none"/>
          <w:u w:val="single"/>
        </w:rPr>
        <w:t xml:space="preserve">        /          。</w:t>
      </w:r>
    </w:p>
    <w:p w14:paraId="4F6B6376">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（3）承担施工安全保卫工作及非夜间施工照明的责任和要求：</w:t>
      </w:r>
      <w:r>
        <w:rPr>
          <w:rFonts w:hint="eastAsia" w:ascii="宋体" w:hAnsi="宋体" w:cs="宋体"/>
          <w:sz w:val="24"/>
          <w:szCs w:val="24"/>
          <w:highlight w:val="none"/>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14:paraId="3A51569D">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（4）向发包人提供的办公和生活房屋及设施的要求：</w:t>
      </w:r>
      <w:r>
        <w:rPr>
          <w:rFonts w:hint="eastAsia" w:ascii="宋体" w:hAnsi="宋体" w:cs="宋体"/>
          <w:sz w:val="24"/>
          <w:szCs w:val="24"/>
          <w:highlight w:val="none"/>
          <w:u w:val="single"/>
        </w:rPr>
        <w:t>/</w:t>
      </w:r>
    </w:p>
    <w:p w14:paraId="3334B93E">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（5）需承包人办理的有关施工场地交通、环卫和施工噪音管理等手续：</w:t>
      </w:r>
      <w:r>
        <w:rPr>
          <w:rFonts w:hint="eastAsia" w:ascii="宋体" w:hAnsi="宋体" w:cs="宋体"/>
          <w:sz w:val="24"/>
          <w:szCs w:val="24"/>
          <w:highlight w:val="none"/>
          <w:u w:val="single"/>
        </w:rPr>
        <w:t>由承包人负责各项手续的办理并承担费用。</w:t>
      </w:r>
    </w:p>
    <w:p w14:paraId="2D50559B">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（6）已完工程成品保护的特殊要求及费用承担：</w:t>
      </w:r>
      <w:r>
        <w:rPr>
          <w:rFonts w:hint="eastAsia" w:ascii="宋体" w:hAnsi="宋体" w:cs="宋体"/>
          <w:sz w:val="24"/>
          <w:szCs w:val="24"/>
          <w:highlight w:val="none"/>
          <w:u w:val="single"/>
        </w:rPr>
        <w:t>承包人负责，费用由承包人承担。</w:t>
      </w:r>
    </w:p>
    <w:p w14:paraId="00231AAB">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（7）施工场地周围地下管线和邻近建筑物、构筑物（含文物保护建筑）、古树名木的保护要求及费用承担：</w:t>
      </w:r>
      <w:r>
        <w:rPr>
          <w:rFonts w:hint="eastAsia" w:ascii="宋体" w:hAnsi="宋体" w:cs="宋体"/>
          <w:sz w:val="24"/>
          <w:szCs w:val="24"/>
          <w:highlight w:val="none"/>
          <w:u w:val="single"/>
        </w:rPr>
        <w:t>由发包人和承包人负责协商确定。</w:t>
      </w:r>
    </w:p>
    <w:p w14:paraId="77A7391E">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（8）施工场地清洁卫生的要求：</w:t>
      </w:r>
      <w:r>
        <w:rPr>
          <w:rFonts w:hint="eastAsia" w:ascii="宋体" w:hAnsi="宋体" w:cs="宋体"/>
          <w:sz w:val="24"/>
          <w:szCs w:val="24"/>
          <w:highlight w:val="none"/>
          <w:u w:val="single"/>
        </w:rPr>
        <w:t>由承包人负责。</w:t>
      </w:r>
    </w:p>
    <w:p w14:paraId="70D6CE65">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（9）双方约定承包人应做的其他工作：</w:t>
      </w:r>
      <w:r>
        <w:rPr>
          <w:rFonts w:hint="eastAsia" w:ascii="宋体" w:hAnsi="宋体" w:cs="宋体"/>
          <w:sz w:val="24"/>
          <w:szCs w:val="24"/>
          <w:highlight w:val="none"/>
          <w:u w:val="single"/>
        </w:rPr>
        <w:t>相关的对外协调工作。</w:t>
      </w:r>
    </w:p>
    <w:p w14:paraId="3362E26E">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三、施工组织设计和工期</w:t>
      </w:r>
    </w:p>
    <w:p w14:paraId="1BD0035C">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9、进度计划</w:t>
      </w:r>
    </w:p>
    <w:p w14:paraId="067F24B5">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9.1承包人提供施工组织设计（施工方案）和进度计划的时间：</w:t>
      </w:r>
      <w:r>
        <w:rPr>
          <w:rFonts w:hint="eastAsia" w:ascii="宋体" w:hAnsi="宋体" w:cs="宋体"/>
          <w:sz w:val="24"/>
          <w:szCs w:val="24"/>
          <w:highlight w:val="none"/>
          <w:u w:val="single"/>
        </w:rPr>
        <w:t>合同签订后15日内。</w:t>
      </w:r>
    </w:p>
    <w:p w14:paraId="2CA67481">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工程师确认的时间：</w:t>
      </w:r>
      <w:r>
        <w:rPr>
          <w:rFonts w:hint="eastAsia" w:ascii="宋体" w:hAnsi="宋体" w:cs="宋体"/>
          <w:sz w:val="24"/>
          <w:szCs w:val="24"/>
          <w:highlight w:val="none"/>
          <w:u w:val="single"/>
        </w:rPr>
        <w:t>承包人接交之日起七日内。</w:t>
      </w:r>
    </w:p>
    <w:p w14:paraId="654E44F4">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9.2群体工程中有关进度计划的要求：</w:t>
      </w:r>
      <w:r>
        <w:rPr>
          <w:rFonts w:hint="eastAsia" w:ascii="宋体" w:hAnsi="宋体" w:cs="宋体"/>
          <w:sz w:val="24"/>
          <w:szCs w:val="24"/>
          <w:highlight w:val="none"/>
          <w:u w:val="single"/>
        </w:rPr>
        <w:t>以发包人的要求为准。</w:t>
      </w:r>
    </w:p>
    <w:p w14:paraId="2719FB8F">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10、工期延误</w:t>
      </w:r>
    </w:p>
    <w:p w14:paraId="37F92368">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10.1双方约定工期顺延的其他情况：</w:t>
      </w:r>
      <w:r>
        <w:rPr>
          <w:rFonts w:hint="eastAsia" w:ascii="宋体" w:hAnsi="宋体" w:cs="宋体"/>
          <w:sz w:val="24"/>
          <w:szCs w:val="24"/>
          <w:highlight w:val="none"/>
          <w:u w:val="single"/>
        </w:rPr>
        <w:t>执行《通用条款》。</w:t>
      </w:r>
    </w:p>
    <w:p w14:paraId="5B70ECD1">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四、质量与检验</w:t>
      </w:r>
    </w:p>
    <w:p w14:paraId="35F33F4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11、隐蔽工程和中间验收 </w:t>
      </w:r>
    </w:p>
    <w:p w14:paraId="628B2F00">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11.1双方约定中间验收部位：</w:t>
      </w:r>
      <w:r>
        <w:rPr>
          <w:rFonts w:hint="eastAsia" w:ascii="宋体" w:hAnsi="宋体" w:cs="宋体"/>
          <w:sz w:val="24"/>
          <w:szCs w:val="24"/>
          <w:highlight w:val="none"/>
          <w:u w:val="single"/>
        </w:rPr>
        <w:t>执行《通用条款》。</w:t>
      </w:r>
    </w:p>
    <w:p w14:paraId="58410FEF">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12、工程试车 </w:t>
      </w:r>
    </w:p>
    <w:p w14:paraId="49E1F6EE">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12.1试车费用的承担：</w:t>
      </w:r>
      <w:r>
        <w:rPr>
          <w:rFonts w:hint="eastAsia" w:ascii="宋体" w:hAnsi="宋体" w:cs="宋体"/>
          <w:sz w:val="24"/>
          <w:szCs w:val="24"/>
          <w:highlight w:val="none"/>
          <w:u w:val="single"/>
        </w:rPr>
        <w:t>由承包人承担。</w:t>
      </w:r>
    </w:p>
    <w:p w14:paraId="5DD3EBF9">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五、安全生产</w:t>
      </w:r>
    </w:p>
    <w:p w14:paraId="104FAFB6">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13、项目实施单位履行安全生产监管责任，项目施工单位履行安全生产主体责任。（详见作业设计说明书）</w:t>
      </w:r>
    </w:p>
    <w:p w14:paraId="27B87AEA">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六、合同价款</w:t>
      </w:r>
    </w:p>
    <w:p w14:paraId="3C773F4A">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13、合同价款约定 </w:t>
      </w:r>
    </w:p>
    <w:p w14:paraId="087E3A91">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13.1本合同价款采用</w:t>
      </w:r>
      <w:r>
        <w:rPr>
          <w:rFonts w:hint="eastAsia" w:ascii="宋体" w:hAnsi="宋体" w:cs="宋体"/>
          <w:sz w:val="24"/>
          <w:szCs w:val="24"/>
          <w:highlight w:val="none"/>
          <w:u w:val="single"/>
        </w:rPr>
        <w:t xml:space="preserve">  （1）_</w:t>
      </w:r>
      <w:r>
        <w:rPr>
          <w:rFonts w:hint="eastAsia" w:ascii="宋体" w:hAnsi="宋体" w:cs="宋体"/>
          <w:sz w:val="24"/>
          <w:szCs w:val="24"/>
          <w:highlight w:val="none"/>
        </w:rPr>
        <w:t>方式确定。</w:t>
      </w:r>
    </w:p>
    <w:p w14:paraId="0A7BA2B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（1）采用固定总价合同：</w:t>
      </w:r>
    </w:p>
    <w:p w14:paraId="4438F67E">
      <w:pPr>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（2）采用固定综合单价合同，综合单价中包括的风险范围：</w:t>
      </w:r>
      <w:r>
        <w:rPr>
          <w:rFonts w:hint="eastAsia" w:ascii="宋体" w:hAnsi="宋体" w:cs="宋体"/>
          <w:sz w:val="24"/>
          <w:szCs w:val="24"/>
          <w:highlight w:val="none"/>
          <w:u w:val="single"/>
        </w:rPr>
        <w:t xml:space="preserve">  /  </w:t>
      </w:r>
    </w:p>
    <w:p w14:paraId="795076A8">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（3）采用可调价格合同，合同价款调整方法：_______</w:t>
      </w:r>
      <w:r>
        <w:rPr>
          <w:rFonts w:hint="eastAsia" w:ascii="宋体" w:hAnsi="宋体" w:cs="宋体"/>
          <w:sz w:val="24"/>
          <w:szCs w:val="24"/>
          <w:highlight w:val="none"/>
          <w:u w:val="single"/>
        </w:rPr>
        <w:t>__/__</w:t>
      </w:r>
      <w:r>
        <w:rPr>
          <w:rFonts w:hint="eastAsia" w:ascii="宋体" w:hAnsi="宋体" w:cs="宋体"/>
          <w:sz w:val="24"/>
          <w:szCs w:val="24"/>
          <w:highlight w:val="none"/>
        </w:rPr>
        <w:t>___________</w:t>
      </w:r>
    </w:p>
    <w:p w14:paraId="70E19620">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14、合同价款调整</w:t>
      </w:r>
    </w:p>
    <w:p w14:paraId="601FB6B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14.1双方约定合同价款的其他调整因素：__________</w:t>
      </w:r>
      <w:r>
        <w:rPr>
          <w:rFonts w:hint="eastAsia" w:ascii="宋体" w:hAnsi="宋体" w:cs="宋体"/>
          <w:sz w:val="24"/>
          <w:szCs w:val="24"/>
          <w:highlight w:val="none"/>
          <w:u w:val="single"/>
        </w:rPr>
        <w:t>_/</w:t>
      </w:r>
      <w:r>
        <w:rPr>
          <w:rFonts w:hint="eastAsia" w:ascii="宋体" w:hAnsi="宋体" w:cs="宋体"/>
          <w:sz w:val="24"/>
          <w:szCs w:val="24"/>
          <w:highlight w:val="none"/>
        </w:rPr>
        <w:t>_______________</w:t>
      </w:r>
    </w:p>
    <w:p w14:paraId="6E8820A8">
      <w:pPr>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15、工程预付款</w:t>
      </w:r>
    </w:p>
    <w:p w14:paraId="79AC0A7E">
      <w:pPr>
        <w:spacing w:line="360" w:lineRule="auto"/>
        <w:ind w:firstLine="480" w:firstLineChars="200"/>
        <w:jc w:val="left"/>
        <w:rPr>
          <w:rFonts w:ascii="宋体" w:hAnsi="宋体" w:cs="宋体"/>
          <w:sz w:val="24"/>
          <w:szCs w:val="24"/>
          <w:highlight w:val="none"/>
          <w:u w:val="thick"/>
        </w:rPr>
      </w:pPr>
      <w:r>
        <w:rPr>
          <w:rFonts w:hint="eastAsia" w:ascii="宋体" w:hAnsi="宋体" w:cs="宋体"/>
          <w:sz w:val="24"/>
          <w:szCs w:val="24"/>
          <w:highlight w:val="none"/>
        </w:rPr>
        <w:t>发包人向承包人预付工程款的时间和金额或占合同价款总额的比例：</w:t>
      </w:r>
      <w:r>
        <w:rPr>
          <w:rFonts w:hint="eastAsia" w:ascii="宋体" w:hAnsi="宋体" w:cs="宋体"/>
          <w:sz w:val="24"/>
          <w:szCs w:val="24"/>
          <w:highlight w:val="none"/>
          <w:u w:val="single"/>
        </w:rPr>
        <w:t xml:space="preserve"> / </w:t>
      </w:r>
    </w:p>
    <w:p w14:paraId="5DC2E7B7">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预付安全防护、文明施工措施费用的比例和时间：</w:t>
      </w:r>
      <w:r>
        <w:rPr>
          <w:rFonts w:hint="eastAsia" w:ascii="宋体" w:hAnsi="宋体" w:cs="宋体"/>
          <w:sz w:val="24"/>
          <w:szCs w:val="24"/>
          <w:highlight w:val="none"/>
          <w:u w:val="single"/>
        </w:rPr>
        <w:t xml:space="preserve"> / </w:t>
      </w:r>
    </w:p>
    <w:p w14:paraId="18B519E3">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16、工程量确认</w:t>
      </w:r>
    </w:p>
    <w:p w14:paraId="07E435BA">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16.1承包人向工程师提交已完工程量报告的时间：</w:t>
      </w:r>
      <w:r>
        <w:rPr>
          <w:rFonts w:hint="eastAsia" w:ascii="宋体" w:hAnsi="宋体" w:cs="宋体"/>
          <w:sz w:val="24"/>
          <w:szCs w:val="24"/>
          <w:highlight w:val="none"/>
          <w:u w:val="single"/>
        </w:rPr>
        <w:t>每月的2</w:t>
      </w:r>
      <w:r>
        <w:rPr>
          <w:rFonts w:hint="eastAsia" w:ascii="宋体" w:hAnsi="宋体" w:cs="宋体"/>
          <w:sz w:val="24"/>
          <w:szCs w:val="24"/>
          <w:highlight w:val="none"/>
          <w:u w:val="single"/>
          <w:lang w:val="en-US" w:eastAsia="zh-CN"/>
        </w:rPr>
        <w:t>0</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前</w:t>
      </w:r>
      <w:r>
        <w:rPr>
          <w:rFonts w:hint="eastAsia" w:ascii="宋体" w:hAnsi="宋体" w:cs="宋体"/>
          <w:sz w:val="24"/>
          <w:szCs w:val="24"/>
          <w:highlight w:val="none"/>
          <w:u w:val="single"/>
        </w:rPr>
        <w:t>承包人向发包人提交25日以前已完工程量报告。</w:t>
      </w:r>
    </w:p>
    <w:p w14:paraId="5B664DE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17、工程进度款结算与支付</w:t>
      </w:r>
    </w:p>
    <w:p w14:paraId="5D9B54F7">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双方约定的工程进度款支付的方式、时间和比例是：详见合同条款及格式前附表</w:t>
      </w:r>
    </w:p>
    <w:p w14:paraId="29E6845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七、材料设备供应</w:t>
      </w:r>
    </w:p>
    <w:p w14:paraId="451685B4">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31发包人供应材料设备，承包人应按计划领取使用，在结算时发包人按暂定价从工程款中扣除。</w:t>
      </w:r>
    </w:p>
    <w:p w14:paraId="0A7C4DB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31.4发包人供应的材料设备与一览表不符时，双方约定发包人承担责任如下：</w:t>
      </w:r>
    </w:p>
    <w:p w14:paraId="3F61E2D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（1）材料设备单价与一览表不符：</w:t>
      </w:r>
      <w:r>
        <w:rPr>
          <w:rFonts w:hint="eastAsia" w:ascii="宋体" w:hAnsi="宋体" w:cs="宋体"/>
          <w:sz w:val="24"/>
          <w:szCs w:val="24"/>
          <w:highlight w:val="none"/>
          <w:u w:val="single"/>
        </w:rPr>
        <w:t>执行《通用条款》31.4.（1）款。</w:t>
      </w:r>
    </w:p>
    <w:p w14:paraId="481A9EF3">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（2）材料设备的品种、规格、型号、质量等级与一览表不符：</w:t>
      </w:r>
      <w:r>
        <w:rPr>
          <w:rFonts w:hint="eastAsia" w:ascii="宋体" w:hAnsi="宋体" w:cs="宋体"/>
          <w:sz w:val="24"/>
          <w:szCs w:val="24"/>
          <w:highlight w:val="none"/>
          <w:u w:val="single"/>
        </w:rPr>
        <w:t>执行《通用条款》31.4(2)款。</w:t>
      </w:r>
    </w:p>
    <w:p w14:paraId="4C677705">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（3）承包人可代为调剂串换的材料：</w:t>
      </w:r>
      <w:r>
        <w:rPr>
          <w:rFonts w:hint="eastAsia" w:ascii="宋体" w:hAnsi="宋体" w:cs="宋体"/>
          <w:sz w:val="24"/>
          <w:szCs w:val="24"/>
          <w:highlight w:val="none"/>
          <w:u w:val="single"/>
        </w:rPr>
        <w:t>执行《通用条款》31.4.（3）款。</w:t>
      </w:r>
    </w:p>
    <w:p w14:paraId="0C2D0A3B">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（4）到货地点与一览表不符：</w:t>
      </w:r>
      <w:r>
        <w:rPr>
          <w:rFonts w:hint="eastAsia" w:ascii="宋体" w:hAnsi="宋体" w:cs="宋体"/>
          <w:sz w:val="24"/>
          <w:szCs w:val="24"/>
          <w:highlight w:val="none"/>
          <w:u w:val="single"/>
        </w:rPr>
        <w:t>执行《通用条款》31.4.（4）款。</w:t>
      </w:r>
    </w:p>
    <w:p w14:paraId="572C2AB8">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（5）供应数量与一览表不符：</w:t>
      </w:r>
      <w:r>
        <w:rPr>
          <w:rFonts w:hint="eastAsia" w:ascii="宋体" w:hAnsi="宋体" w:cs="宋体"/>
          <w:sz w:val="24"/>
          <w:szCs w:val="24"/>
          <w:highlight w:val="none"/>
          <w:u w:val="single"/>
        </w:rPr>
        <w:t>执行《通用条款》31.4.（5）款。</w:t>
      </w:r>
    </w:p>
    <w:p w14:paraId="2BA365F3">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（6）到货时间与一览表不符：</w:t>
      </w:r>
      <w:r>
        <w:rPr>
          <w:rFonts w:hint="eastAsia" w:ascii="宋体" w:hAnsi="宋体" w:cs="宋体"/>
          <w:sz w:val="24"/>
          <w:szCs w:val="24"/>
          <w:highlight w:val="none"/>
          <w:u w:val="single"/>
        </w:rPr>
        <w:t>执行《通用条款》31.4.（6）款。</w:t>
      </w:r>
    </w:p>
    <w:p w14:paraId="65977BAF">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31.6发包人供应材料设备的结算方法：</w:t>
      </w:r>
      <w:r>
        <w:rPr>
          <w:rFonts w:hint="eastAsia" w:ascii="宋体" w:hAnsi="宋体" w:cs="宋体"/>
          <w:sz w:val="24"/>
          <w:szCs w:val="24"/>
          <w:highlight w:val="none"/>
          <w:u w:val="single"/>
        </w:rPr>
        <w:t xml:space="preserve">  无 </w:t>
      </w:r>
    </w:p>
    <w:p w14:paraId="047519C7">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32、承包人采购材料设备</w:t>
      </w:r>
    </w:p>
    <w:p w14:paraId="56F9619F">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32.1承包人采购材料设备的约定：</w:t>
      </w:r>
      <w:r>
        <w:rPr>
          <w:rFonts w:hint="eastAsia" w:ascii="宋体" w:hAnsi="宋体" w:cs="宋体"/>
          <w:sz w:val="24"/>
          <w:szCs w:val="24"/>
          <w:highlight w:val="none"/>
          <w:u w:val="single"/>
        </w:rPr>
        <w:t>乙方自行采购的材料规格型号应与设计方案相符，质量等级必须合格。</w:t>
      </w:r>
    </w:p>
    <w:p w14:paraId="30EACBB6">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八、工程变更</w:t>
      </w:r>
    </w:p>
    <w:p w14:paraId="26566D9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33、在本工程实施过程中若发生变更，按下列各项执行：</w:t>
      </w:r>
    </w:p>
    <w:p w14:paraId="5EC03B20">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33.1</w:t>
      </w:r>
      <w:r>
        <w:rPr>
          <w:rFonts w:hint="eastAsia" w:ascii="宋体" w:hAnsi="宋体" w:cs="宋体"/>
          <w:sz w:val="24"/>
          <w:szCs w:val="24"/>
          <w:highlight w:val="none"/>
          <w:u w:val="single"/>
        </w:rPr>
        <w:t>合同中已有适用综合单价的，可参照类似综合单价调整；</w:t>
      </w:r>
    </w:p>
    <w:p w14:paraId="20DDF755">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33.2</w:t>
      </w:r>
      <w:r>
        <w:rPr>
          <w:rFonts w:hint="eastAsia" w:ascii="宋体" w:hAnsi="宋体" w:cs="宋体"/>
          <w:sz w:val="24"/>
          <w:szCs w:val="24"/>
          <w:highlight w:val="none"/>
          <w:u w:val="single"/>
        </w:rPr>
        <w:t>合同中有类似综合单价的，可参照类似综合单价调整；</w:t>
      </w:r>
    </w:p>
    <w:p w14:paraId="2E6987BA">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33.3</w:t>
      </w:r>
      <w:r>
        <w:rPr>
          <w:rFonts w:hint="eastAsia" w:ascii="宋体" w:hAnsi="宋体" w:cs="宋体"/>
          <w:sz w:val="24"/>
          <w:szCs w:val="24"/>
          <w:highlight w:val="none"/>
          <w:u w:val="single"/>
        </w:rPr>
        <w:t>合同中没有适用或类似综合单价的承包人按照投标书人工工日、材料、机械台班单价进行组价，报发包人审核认可。</w:t>
      </w:r>
    </w:p>
    <w:p w14:paraId="1CAE2A36">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九、竣工验收与结算</w:t>
      </w:r>
    </w:p>
    <w:p w14:paraId="040D372E">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36、竣工验收</w:t>
      </w:r>
    </w:p>
    <w:p w14:paraId="17F77CDA">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36.1承包人提供竣工图的约定：</w:t>
      </w:r>
      <w:r>
        <w:rPr>
          <w:rFonts w:hint="eastAsia" w:ascii="宋体" w:hAnsi="宋体" w:cs="宋体"/>
          <w:sz w:val="24"/>
          <w:szCs w:val="24"/>
          <w:highlight w:val="none"/>
          <w:u w:val="single"/>
        </w:rPr>
        <w:t>完整资料文件两套。</w:t>
      </w:r>
    </w:p>
    <w:p w14:paraId="00DAC18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36.6中间交工工程的范围和竣工时间：_______________</w:t>
      </w:r>
      <w:r>
        <w:rPr>
          <w:rFonts w:hint="eastAsia" w:ascii="宋体" w:hAnsi="宋体" w:cs="宋体"/>
          <w:sz w:val="24"/>
          <w:szCs w:val="24"/>
          <w:highlight w:val="none"/>
          <w:u w:val="single"/>
        </w:rPr>
        <w:t>/</w:t>
      </w:r>
      <w:r>
        <w:rPr>
          <w:rFonts w:hint="eastAsia" w:ascii="宋体" w:hAnsi="宋体" w:cs="宋体"/>
          <w:sz w:val="24"/>
          <w:szCs w:val="24"/>
          <w:highlight w:val="none"/>
        </w:rPr>
        <w:t>_______________</w:t>
      </w:r>
    </w:p>
    <w:p w14:paraId="4EF93DA6">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37、竣工结算</w:t>
      </w:r>
    </w:p>
    <w:p w14:paraId="2B4C2DCD">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 xml:space="preserve">结算审查期限： </w:t>
      </w:r>
      <w:r>
        <w:rPr>
          <w:rFonts w:hint="eastAsia" w:ascii="宋体" w:hAnsi="宋体" w:cs="宋体"/>
          <w:sz w:val="24"/>
          <w:szCs w:val="24"/>
          <w:highlight w:val="none"/>
          <w:u w:val="single"/>
        </w:rPr>
        <w:t xml:space="preserve">  /   </w:t>
      </w:r>
    </w:p>
    <w:p w14:paraId="305FB47F">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十、违约、索赔和争议</w:t>
      </w:r>
    </w:p>
    <w:p w14:paraId="2B6BB137">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39、违约</w:t>
      </w:r>
    </w:p>
    <w:p w14:paraId="0577587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39.1  本合同中关于发包人违约的具体责任如下： </w:t>
      </w:r>
    </w:p>
    <w:p w14:paraId="1B9CC295">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本合同通用条款第28.1条约定发包人违约应承担的违约责任：</w:t>
      </w:r>
      <w:r>
        <w:rPr>
          <w:rFonts w:hint="eastAsia" w:ascii="宋体" w:hAnsi="宋体" w:cs="宋体"/>
          <w:sz w:val="24"/>
          <w:szCs w:val="24"/>
          <w:highlight w:val="none"/>
          <w:u w:val="single"/>
        </w:rPr>
        <w:t xml:space="preserve">  _</w:t>
      </w:r>
      <w:r>
        <w:rPr>
          <w:rFonts w:hint="eastAsia" w:ascii="宋体" w:hAnsi="宋体" w:cs="宋体"/>
          <w:sz w:val="24"/>
          <w:szCs w:val="24"/>
          <w:highlight w:val="none"/>
        </w:rPr>
        <w:t>/_</w:t>
      </w:r>
      <w:r>
        <w:rPr>
          <w:rFonts w:hint="eastAsia" w:ascii="宋体" w:hAnsi="宋体" w:cs="宋体"/>
          <w:sz w:val="24"/>
          <w:szCs w:val="24"/>
          <w:highlight w:val="none"/>
          <w:u w:val="single"/>
        </w:rPr>
        <w:t xml:space="preserve">_   </w:t>
      </w:r>
    </w:p>
    <w:p w14:paraId="5F795668">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本合同通用条款第30.5款约定发包人违约应承担的违约责任：</w:t>
      </w:r>
      <w:r>
        <w:rPr>
          <w:rFonts w:hint="eastAsia" w:ascii="宋体" w:hAnsi="宋体" w:cs="宋体"/>
          <w:sz w:val="24"/>
          <w:szCs w:val="24"/>
          <w:highlight w:val="none"/>
          <w:u w:val="single"/>
        </w:rPr>
        <w:t>执行《通用条款》30.5款。</w:t>
      </w:r>
    </w:p>
    <w:p w14:paraId="11713C6C">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本合同通用条款第37.6款约定发包人违约应承担的违约责任：</w:t>
      </w:r>
      <w:r>
        <w:rPr>
          <w:rFonts w:hint="eastAsia" w:ascii="宋体" w:hAnsi="宋体" w:cs="宋体"/>
          <w:sz w:val="24"/>
          <w:szCs w:val="24"/>
          <w:highlight w:val="none"/>
          <w:u w:val="single"/>
        </w:rPr>
        <w:t>执行《通用条款》37.6款。</w:t>
      </w:r>
    </w:p>
    <w:p w14:paraId="4E03F017">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双方约定的发包人其他违约责任：__________/_________</w:t>
      </w:r>
    </w:p>
    <w:p w14:paraId="1D7AE417">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39.2  本合同中关于承包人违约的具体责任如下：本合同通用条款第14.2款约定承包人违约承担的违约责任：</w:t>
      </w:r>
      <w:r>
        <w:rPr>
          <w:rFonts w:hint="eastAsia" w:ascii="宋体" w:hAnsi="宋体" w:cs="宋体"/>
          <w:sz w:val="24"/>
          <w:szCs w:val="24"/>
          <w:highlight w:val="none"/>
          <w:u w:val="single"/>
        </w:rPr>
        <w:t>承包人工期每推迟一天罚款1000元，若影响到发包人使用另行赔偿给甲方造成的损失。</w:t>
      </w:r>
    </w:p>
    <w:p w14:paraId="03DD1716">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本合同通用条款第15.1款约定承包人违约应承担的违约责任：</w:t>
      </w:r>
      <w:r>
        <w:rPr>
          <w:rFonts w:hint="eastAsia" w:ascii="宋体" w:hAnsi="宋体" w:cs="宋体"/>
          <w:sz w:val="24"/>
          <w:szCs w:val="24"/>
          <w:highlight w:val="none"/>
          <w:u w:val="single"/>
        </w:rPr>
        <w:t>承包方除按合同价款的2%承担违约金外，另按国务院279号令有关规定执行。</w:t>
      </w:r>
    </w:p>
    <w:p w14:paraId="1753CC8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双方约定的承包人其他违约责任：______</w:t>
      </w:r>
      <w:r>
        <w:rPr>
          <w:rFonts w:hint="eastAsia" w:ascii="宋体" w:hAnsi="宋体" w:cs="宋体"/>
          <w:sz w:val="24"/>
          <w:szCs w:val="24"/>
          <w:highlight w:val="none"/>
          <w:u w:val="single"/>
        </w:rPr>
        <w:t>/</w:t>
      </w:r>
      <w:r>
        <w:rPr>
          <w:rFonts w:hint="eastAsia" w:ascii="宋体" w:hAnsi="宋体" w:cs="宋体"/>
          <w:sz w:val="24"/>
          <w:szCs w:val="24"/>
          <w:highlight w:val="none"/>
        </w:rPr>
        <w:t>________</w:t>
      </w:r>
    </w:p>
    <w:p w14:paraId="12320B00">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41、争议</w:t>
      </w:r>
    </w:p>
    <w:p w14:paraId="5FF3C3AF">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41.1双方当事人约定，在履行合同过程中产生争议时：</w:t>
      </w:r>
    </w:p>
    <w:p w14:paraId="15B871E3">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（1）请_</w:t>
      </w:r>
      <w:r>
        <w:rPr>
          <w:rFonts w:hint="eastAsia" w:ascii="宋体" w:hAnsi="宋体" w:cs="宋体"/>
          <w:sz w:val="24"/>
          <w:szCs w:val="24"/>
          <w:highlight w:val="none"/>
          <w:u w:val="single"/>
        </w:rPr>
        <w:t>合同管理部门和其他有关部门</w:t>
      </w:r>
      <w:r>
        <w:rPr>
          <w:rFonts w:hint="eastAsia" w:ascii="宋体" w:hAnsi="宋体" w:cs="宋体"/>
          <w:sz w:val="24"/>
          <w:szCs w:val="24"/>
          <w:highlight w:val="none"/>
        </w:rPr>
        <w:t>_调解；</w:t>
      </w:r>
    </w:p>
    <w:p w14:paraId="6B26696B">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（2）合同争议调解不成的，按下列第_</w:t>
      </w:r>
      <w:r>
        <w:rPr>
          <w:rFonts w:hint="eastAsia" w:ascii="宋体" w:hAnsi="宋体" w:cs="宋体"/>
          <w:sz w:val="24"/>
          <w:szCs w:val="24"/>
          <w:highlight w:val="none"/>
          <w:u w:val="single"/>
        </w:rPr>
        <w:t xml:space="preserve"> 1）</w:t>
      </w:r>
      <w:r>
        <w:rPr>
          <w:rFonts w:hint="eastAsia" w:ascii="宋体" w:hAnsi="宋体" w:cs="宋体"/>
          <w:sz w:val="24"/>
          <w:szCs w:val="24"/>
          <w:highlight w:val="none"/>
        </w:rPr>
        <w:t>_种方式解决：</w:t>
      </w:r>
    </w:p>
    <w:p w14:paraId="2CC5BB6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1）提交</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仲裁委员会申请仲裁； </w:t>
      </w:r>
    </w:p>
    <w:p w14:paraId="2A9E16AC">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2）依法</w:t>
      </w:r>
      <w:r>
        <w:rPr>
          <w:rFonts w:hint="eastAsia" w:ascii="宋体" w:hAnsi="宋体" w:cs="宋体"/>
          <w:sz w:val="24"/>
          <w:szCs w:val="24"/>
          <w:highlight w:val="none"/>
          <w:u w:val="single"/>
        </w:rPr>
        <w:t xml:space="preserve">向     </w:t>
      </w:r>
      <w:r>
        <w:rPr>
          <w:rFonts w:hint="eastAsia" w:ascii="宋体" w:hAnsi="宋体" w:cs="宋体"/>
          <w:sz w:val="24"/>
          <w:szCs w:val="24"/>
          <w:highlight w:val="none"/>
        </w:rPr>
        <w:t xml:space="preserve">人民法院提起诉讼。 </w:t>
      </w:r>
    </w:p>
    <w:p w14:paraId="65B37962">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十一、其他</w:t>
      </w:r>
    </w:p>
    <w:p w14:paraId="7F198275">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42、工程分包</w:t>
      </w:r>
    </w:p>
    <w:p w14:paraId="4E4232D1">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42.1本工程发包人同意承包人分包的专业工程：</w:t>
      </w:r>
      <w:r>
        <w:rPr>
          <w:rFonts w:hint="eastAsia" w:ascii="宋体" w:hAnsi="宋体" w:cs="宋体"/>
          <w:sz w:val="24"/>
          <w:szCs w:val="24"/>
          <w:highlight w:val="none"/>
          <w:u w:val="single"/>
        </w:rPr>
        <w:t xml:space="preserve">   无  </w:t>
      </w:r>
    </w:p>
    <w:p w14:paraId="673FB1B5">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分包施工单位为：___________</w:t>
      </w:r>
      <w:r>
        <w:rPr>
          <w:rFonts w:hint="eastAsia" w:ascii="宋体" w:hAnsi="宋体" w:cs="宋体"/>
          <w:sz w:val="24"/>
          <w:szCs w:val="24"/>
          <w:highlight w:val="none"/>
          <w:u w:val="single"/>
        </w:rPr>
        <w:t>/</w:t>
      </w:r>
      <w:r>
        <w:rPr>
          <w:rFonts w:hint="eastAsia" w:ascii="宋体" w:hAnsi="宋体" w:cs="宋体"/>
          <w:sz w:val="24"/>
          <w:szCs w:val="24"/>
          <w:highlight w:val="none"/>
        </w:rPr>
        <w:t>_____________</w:t>
      </w:r>
    </w:p>
    <w:p w14:paraId="6B53B29E">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43、不可抗力</w:t>
      </w:r>
    </w:p>
    <w:p w14:paraId="3A1A7C63">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 xml:space="preserve">43.1双方关于不可抗力的约定： </w:t>
      </w:r>
      <w:r>
        <w:rPr>
          <w:rFonts w:hint="eastAsia" w:ascii="宋体" w:hAnsi="宋体" w:cs="宋体"/>
          <w:sz w:val="24"/>
          <w:szCs w:val="24"/>
          <w:highlight w:val="none"/>
          <w:u w:val="single"/>
        </w:rPr>
        <w:t>_根据国家的法律规定执行。</w:t>
      </w:r>
    </w:p>
    <w:p w14:paraId="542B497D">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44、保险</w:t>
      </w:r>
    </w:p>
    <w:p w14:paraId="44DEC2A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44.6本工程双方约定投保内容如下：</w:t>
      </w:r>
    </w:p>
    <w:p w14:paraId="5A076501">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（1）发包人投保内容：</w:t>
      </w:r>
      <w:r>
        <w:rPr>
          <w:rFonts w:hint="eastAsia" w:ascii="宋体" w:hAnsi="宋体" w:cs="宋体"/>
          <w:sz w:val="24"/>
          <w:szCs w:val="24"/>
          <w:highlight w:val="none"/>
          <w:u w:val="single"/>
        </w:rPr>
        <w:t>执行《通用条款》44.1款，费用由发包人承担。</w:t>
      </w:r>
    </w:p>
    <w:p w14:paraId="18E5ECDA">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发包人委托承包人办理的保险事项：____________/________________</w:t>
      </w:r>
    </w:p>
    <w:p w14:paraId="5C63B921">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（2）承包人投保内容：</w:t>
      </w:r>
      <w:r>
        <w:rPr>
          <w:rFonts w:hint="eastAsia" w:ascii="宋体" w:hAnsi="宋体" w:cs="宋体"/>
          <w:sz w:val="24"/>
          <w:szCs w:val="24"/>
          <w:highlight w:val="none"/>
          <w:u w:val="single"/>
        </w:rPr>
        <w:t>执行《通用条款》44.4款，费用由承包人承担。</w:t>
      </w:r>
    </w:p>
    <w:p w14:paraId="579BBE53">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45、担保</w:t>
      </w:r>
    </w:p>
    <w:p w14:paraId="63B0DD01">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45.3本工程双方约定担保事项如下： </w:t>
      </w:r>
    </w:p>
    <w:p w14:paraId="4990626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（1）发包人向承包人提供支付担保，担保方式为：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，担保金额：</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，担保有效期：</w:t>
      </w:r>
      <w:r>
        <w:rPr>
          <w:rFonts w:hint="eastAsia" w:ascii="宋体" w:hAnsi="宋体" w:cs="宋体"/>
          <w:sz w:val="24"/>
          <w:szCs w:val="24"/>
          <w:highlight w:val="none"/>
          <w:u w:val="single"/>
        </w:rPr>
        <w:t xml:space="preserve">    _</w:t>
      </w:r>
      <w:r>
        <w:rPr>
          <w:rFonts w:hint="eastAsia" w:ascii="宋体" w:hAnsi="宋体" w:cs="宋体"/>
          <w:sz w:val="24"/>
          <w:szCs w:val="24"/>
          <w:highlight w:val="none"/>
        </w:rPr>
        <w:t>。</w:t>
      </w:r>
    </w:p>
    <w:p w14:paraId="10720999">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（2）承包人向发包人提供履约担保，担保方式为：</w:t>
      </w:r>
      <w:r>
        <w:rPr>
          <w:rFonts w:hint="eastAsia" w:ascii="宋体" w:hAnsi="宋体" w:cs="宋体"/>
          <w:sz w:val="24"/>
          <w:szCs w:val="24"/>
          <w:highlight w:val="none"/>
          <w:u w:val="single"/>
        </w:rPr>
        <w:t xml:space="preserve"> / </w:t>
      </w:r>
      <w:r>
        <w:rPr>
          <w:rFonts w:hint="eastAsia" w:ascii="宋体" w:hAnsi="宋体" w:cs="宋体"/>
          <w:sz w:val="24"/>
          <w:szCs w:val="24"/>
          <w:highlight w:val="none"/>
        </w:rPr>
        <w:t>，担保金额：</w:t>
      </w:r>
      <w:r>
        <w:rPr>
          <w:rFonts w:hint="eastAsia" w:ascii="宋体" w:hAnsi="宋体" w:cs="宋体"/>
          <w:sz w:val="24"/>
          <w:szCs w:val="24"/>
          <w:highlight w:val="none"/>
          <w:u w:val="single"/>
        </w:rPr>
        <w:t>/</w:t>
      </w:r>
      <w:r>
        <w:rPr>
          <w:rFonts w:hint="eastAsia" w:ascii="宋体" w:hAnsi="宋体" w:cs="宋体"/>
          <w:sz w:val="24"/>
          <w:szCs w:val="24"/>
          <w:highlight w:val="none"/>
        </w:rPr>
        <w:t>，担保有效期：</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251981A6">
      <w:pPr>
        <w:widowControl/>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（3）双方约定的其他担保事项：_______________/________________</w:t>
      </w:r>
    </w:p>
    <w:p w14:paraId="665222B5">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50、合同份数</w:t>
      </w:r>
    </w:p>
    <w:p w14:paraId="40759D07">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50.2双方约定合同副本份数：</w:t>
      </w:r>
      <w:r>
        <w:rPr>
          <w:rFonts w:hint="eastAsia" w:ascii="宋体" w:hAnsi="宋体" w:cs="宋体"/>
          <w:sz w:val="24"/>
          <w:szCs w:val="24"/>
          <w:highlight w:val="none"/>
          <w:u w:val="thick"/>
        </w:rPr>
        <w:t>捌份。</w:t>
      </w:r>
    </w:p>
    <w:p w14:paraId="37A67AD9">
      <w:pPr>
        <w:widowControl/>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51、补充条款</w:t>
      </w:r>
    </w:p>
    <w:p w14:paraId="131DCE04">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51.1</w:t>
      </w:r>
      <w:r>
        <w:rPr>
          <w:rFonts w:hint="eastAsia" w:ascii="宋体" w:hAnsi="宋体" w:cs="宋体"/>
          <w:sz w:val="24"/>
          <w:szCs w:val="24"/>
          <w:highlight w:val="none"/>
          <w:u w:val="single"/>
        </w:rPr>
        <w:t>本工程禁止转包，若发现承包方私自转包和未经发包人许可私自分包，发包人有权终止合同，对已完工程不予结算，并由承包人赔偿因此给发包方造成的直接或间接的经济损失。</w:t>
      </w:r>
    </w:p>
    <w:p w14:paraId="5C207C8E">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51.2</w:t>
      </w:r>
      <w:r>
        <w:rPr>
          <w:rFonts w:hint="eastAsia" w:ascii="宋体" w:hAnsi="宋体" w:cs="宋体"/>
          <w:sz w:val="24"/>
          <w:szCs w:val="24"/>
          <w:highlight w:val="none"/>
          <w:u w:val="single"/>
        </w:rPr>
        <w:t>施工企业须承诺按国务院及当地政府的规定按时、足额、实名方式支付农民工工资，否则发包人在工程款中代扣支付，并在工程结算时扣除。</w:t>
      </w:r>
    </w:p>
    <w:p w14:paraId="1EC83018">
      <w:pPr>
        <w:widowControl/>
        <w:spacing w:line="360" w:lineRule="auto"/>
        <w:ind w:firstLine="480" w:firstLineChars="200"/>
        <w:rPr>
          <w:rFonts w:ascii="宋体" w:hAnsi="宋体" w:cs="宋体"/>
          <w:sz w:val="24"/>
          <w:szCs w:val="24"/>
          <w:highlight w:val="none"/>
          <w:u w:val="thick"/>
        </w:rPr>
      </w:pPr>
      <w:r>
        <w:rPr>
          <w:rFonts w:hint="eastAsia" w:ascii="宋体" w:hAnsi="宋体" w:cs="宋体"/>
          <w:sz w:val="24"/>
          <w:szCs w:val="24"/>
          <w:highlight w:val="none"/>
        </w:rPr>
        <w:t>51.3</w:t>
      </w:r>
      <w:r>
        <w:rPr>
          <w:rFonts w:hint="eastAsia" w:ascii="宋体" w:hAnsi="宋体" w:cs="宋体"/>
          <w:sz w:val="24"/>
          <w:szCs w:val="24"/>
          <w:highlight w:val="none"/>
          <w:u w:val="single"/>
        </w:rPr>
        <w:t>本工程竣工后，应免费将建筑物周围和施工单位生活区周围内施工现场清除干净；无建筑材料、无建筑设备、无建筑垃圾、和施工垃圾，做到场地整洁。</w:t>
      </w:r>
    </w:p>
    <w:p w14:paraId="586A39E2">
      <w:pPr>
        <w:widowControl/>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51.4</w:t>
      </w:r>
      <w:r>
        <w:rPr>
          <w:rFonts w:hint="eastAsia" w:ascii="宋体" w:hAnsi="宋体" w:cs="宋体"/>
          <w:sz w:val="24"/>
          <w:szCs w:val="24"/>
          <w:highlight w:val="none"/>
          <w:u w:val="single"/>
        </w:rPr>
        <w:t>承包人在施工过程中应服从、遵守发包人和当地政府职能部门的管理制度。关于安全防护、文明施工措施费用的其他约定如下：</w:t>
      </w:r>
    </w:p>
    <w:p w14:paraId="0C133984">
      <w:pPr>
        <w:numPr>
          <w:ilvl w:val="0"/>
          <w:numId w:val="2"/>
        </w:num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承包人需提供安全防护、文明施工措施费用的支付计划落实情况；</w:t>
      </w:r>
    </w:p>
    <w:p w14:paraId="536413DB">
      <w:pPr>
        <w:numPr>
          <w:ilvl w:val="0"/>
          <w:numId w:val="2"/>
        </w:num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工程师对承包人落实安全防护、文明施工措施分情况进行现场监理，若发现承包人为落实安全防护、文明施工措施的，有权责令其立即整改；</w:t>
      </w:r>
    </w:p>
    <w:p w14:paraId="49F93E2B">
      <w:pPr>
        <w:widowControl/>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3、</w:t>
      </w:r>
      <w:r>
        <w:rPr>
          <w:rFonts w:hint="eastAsia" w:ascii="宋体" w:hAnsi="宋体" w:cs="宋体"/>
          <w:sz w:val="24"/>
          <w:szCs w:val="24"/>
          <w:highlight w:val="none"/>
          <w:u w:val="single"/>
        </w:rPr>
        <w:t>发包人和承包人应在财务管理中单独列支安全防护、文明施工措施项目费用的支付情况。</w:t>
      </w:r>
    </w:p>
    <w:p w14:paraId="2D82DAA3">
      <w:pPr>
        <w:widowControl/>
        <w:spacing w:line="360" w:lineRule="auto"/>
        <w:ind w:firstLine="480" w:firstLineChars="200"/>
        <w:rPr>
          <w:rFonts w:hAnsi="宋体"/>
          <w:szCs w:val="24"/>
          <w:highlight w:val="none"/>
        </w:rPr>
      </w:pPr>
      <w:r>
        <w:rPr>
          <w:rFonts w:hint="eastAsia" w:ascii="宋体" w:hAnsi="宋体" w:cs="宋体"/>
          <w:sz w:val="24"/>
          <w:szCs w:val="24"/>
          <w:highlight w:val="none"/>
        </w:rPr>
        <w:t>51.5</w:t>
      </w:r>
      <w:r>
        <w:rPr>
          <w:rFonts w:hint="eastAsia" w:ascii="宋体" w:hAnsi="宋体" w:cs="宋体"/>
          <w:sz w:val="24"/>
          <w:szCs w:val="24"/>
          <w:highlight w:val="none"/>
          <w:u w:val="single"/>
        </w:rPr>
        <w:t>以上未尽事宜，双方协商解决或另行签署补充协议并到建设行政主管部门备案。</w:t>
      </w:r>
    </w:p>
    <w:p w14:paraId="70F44539">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p>
    <w:bookmarkEnd w:id="84"/>
    <w:bookmarkEnd w:id="85"/>
    <w:bookmarkEnd w:id="86"/>
    <w:bookmarkEnd w:id="87"/>
    <w:bookmarkEnd w:id="88"/>
    <w:bookmarkEnd w:id="89"/>
    <w:bookmarkEnd w:id="90"/>
    <w:bookmarkEnd w:id="91"/>
    <w:p w14:paraId="7B7E1875">
      <w:pPr>
        <w:pStyle w:val="3"/>
        <w:spacing w:line="360" w:lineRule="auto"/>
        <w:jc w:val="center"/>
        <w:rPr>
          <w:rFonts w:asciiTheme="minorEastAsia" w:hAnsiTheme="minorEastAsia" w:eastAsiaTheme="minorEastAsia" w:cstheme="minorEastAsia"/>
          <w:sz w:val="36"/>
          <w:szCs w:val="36"/>
          <w:highlight w:val="none"/>
        </w:rPr>
      </w:pPr>
      <w:bookmarkStart w:id="95" w:name="_Toc410"/>
      <w:bookmarkStart w:id="96" w:name="_Toc27836"/>
      <w:bookmarkStart w:id="97" w:name="_Toc421778381"/>
      <w:bookmarkStart w:id="98" w:name="_Toc344572156"/>
      <w:r>
        <w:rPr>
          <w:rFonts w:hint="eastAsia" w:asciiTheme="minorEastAsia" w:hAnsiTheme="minorEastAsia" w:eastAsiaTheme="minorEastAsia" w:cstheme="minorEastAsia"/>
          <w:sz w:val="36"/>
          <w:szCs w:val="36"/>
          <w:highlight w:val="none"/>
        </w:rPr>
        <w:t>第五章  项目概况及技术要求</w:t>
      </w:r>
      <w:bookmarkEnd w:id="95"/>
      <w:bookmarkEnd w:id="96"/>
      <w:bookmarkEnd w:id="97"/>
      <w:bookmarkStart w:id="99" w:name="_Toc8126"/>
    </w:p>
    <w:p w14:paraId="6231F4C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val="0"/>
          <w:sz w:val="24"/>
          <w:szCs w:val="24"/>
          <w:highlight w:val="none"/>
          <w:lang w:val="en-US" w:eastAsia="zh-CN"/>
        </w:rPr>
      </w:pPr>
      <w:bookmarkStart w:id="100" w:name="bookmark21"/>
      <w:bookmarkEnd w:id="100"/>
      <w:bookmarkStart w:id="101" w:name="bookmark1"/>
      <w:bookmarkEnd w:id="101"/>
      <w:bookmarkStart w:id="102" w:name="bookmark2"/>
      <w:bookmarkEnd w:id="102"/>
      <w:bookmarkStart w:id="103" w:name="bookmark5"/>
      <w:bookmarkEnd w:id="103"/>
      <w:bookmarkStart w:id="104" w:name="bookmark20"/>
      <w:bookmarkEnd w:id="104"/>
      <w:bookmarkStart w:id="105" w:name="bookmark3"/>
      <w:bookmarkEnd w:id="105"/>
      <w:bookmarkStart w:id="106" w:name="bookmark7"/>
      <w:bookmarkEnd w:id="106"/>
      <w:bookmarkStart w:id="107" w:name="_Toc3785"/>
      <w:bookmarkStart w:id="108" w:name="_Toc16294"/>
      <w:r>
        <w:rPr>
          <w:rFonts w:hint="eastAsia" w:ascii="宋体" w:hAnsi="宋体" w:eastAsia="宋体" w:cs="宋体"/>
          <w:b/>
          <w:bCs w:val="0"/>
          <w:sz w:val="24"/>
          <w:szCs w:val="24"/>
          <w:highlight w:val="none"/>
          <w:lang w:val="en-US" w:eastAsia="zh-CN"/>
        </w:rPr>
        <w:t>一、</w:t>
      </w:r>
      <w:bookmarkEnd w:id="107"/>
      <w:bookmarkEnd w:id="108"/>
      <w:r>
        <w:rPr>
          <w:rFonts w:hint="eastAsia" w:ascii="宋体" w:hAnsi="宋体" w:eastAsia="宋体" w:cs="宋体"/>
          <w:b/>
          <w:bCs w:val="0"/>
          <w:sz w:val="24"/>
          <w:szCs w:val="24"/>
          <w:highlight w:val="none"/>
          <w:lang w:val="en-US" w:eastAsia="zh-CN"/>
        </w:rPr>
        <w:t>项目区域概况</w:t>
      </w:r>
    </w:p>
    <w:p w14:paraId="1C5B67F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1.1 自然社会概况</w:t>
      </w:r>
    </w:p>
    <w:p w14:paraId="360F0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1、地理位置</w:t>
      </w:r>
    </w:p>
    <w:p w14:paraId="46D696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项目区位于柞水县曹坪镇，曹坪镇地处柞水县东北部，金井河中上游，东与</w:t>
      </w: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color w:val="auto"/>
          <w:sz w:val="24"/>
          <w:szCs w:val="24"/>
          <w:lang w:val="en-US" w:eastAsia="zh-CN"/>
        </w:rPr>
        <w:instrText xml:space="preserve"> HYPERLINK "https://baike.baidu.com/item/%E8%A5%BF%E5%AE%89%E5%B8%82/1002501?fromModule=lemma_inlink" \t "https://baike.baidu.com/item/_blank" </w:instrText>
      </w:r>
      <w:r>
        <w:rPr>
          <w:rFonts w:hint="eastAsia" w:ascii="宋体" w:hAnsi="宋体" w:eastAsia="宋体" w:cs="宋体"/>
          <w:bCs/>
          <w:color w:val="auto"/>
          <w:sz w:val="24"/>
          <w:szCs w:val="24"/>
          <w:lang w:val="en-US" w:eastAsia="zh-CN"/>
        </w:rPr>
        <w:fldChar w:fldCharType="separate"/>
      </w:r>
      <w:r>
        <w:rPr>
          <w:rFonts w:hint="eastAsia" w:ascii="宋体" w:hAnsi="宋体" w:eastAsia="宋体" w:cs="宋体"/>
          <w:bCs/>
          <w:color w:val="auto"/>
          <w:sz w:val="24"/>
          <w:szCs w:val="24"/>
          <w:lang w:val="en-US" w:eastAsia="zh-CN"/>
        </w:rPr>
        <w:t>西安市</w:t>
      </w:r>
      <w:r>
        <w:rPr>
          <w:rFonts w:hint="eastAsia" w:ascii="宋体" w:hAnsi="宋体" w:eastAsia="宋体" w:cs="宋体"/>
          <w:bCs/>
          <w:color w:val="auto"/>
          <w:sz w:val="24"/>
          <w:szCs w:val="24"/>
          <w:lang w:val="en-US" w:eastAsia="zh-CN"/>
        </w:rPr>
        <w:fldChar w:fldCharType="end"/>
      </w: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color w:val="auto"/>
          <w:sz w:val="24"/>
          <w:szCs w:val="24"/>
          <w:lang w:val="en-US" w:eastAsia="zh-CN"/>
        </w:rPr>
        <w:instrText xml:space="preserve"> HYPERLINK "https://baike.baidu.com/item/%E8%93%9D%E7%94%B0%E5%8E%BF/2686006?fromModule=lemma_inlink" \t "https://baike.baidu.com/item/_blank" </w:instrText>
      </w:r>
      <w:r>
        <w:rPr>
          <w:rFonts w:hint="eastAsia" w:ascii="宋体" w:hAnsi="宋体" w:eastAsia="宋体" w:cs="宋体"/>
          <w:bCs/>
          <w:color w:val="auto"/>
          <w:sz w:val="24"/>
          <w:szCs w:val="24"/>
          <w:lang w:val="en-US" w:eastAsia="zh-CN"/>
        </w:rPr>
        <w:fldChar w:fldCharType="separate"/>
      </w:r>
      <w:r>
        <w:rPr>
          <w:rFonts w:hint="eastAsia" w:ascii="宋体" w:hAnsi="宋体" w:eastAsia="宋体" w:cs="宋体"/>
          <w:bCs/>
          <w:color w:val="auto"/>
          <w:sz w:val="24"/>
          <w:szCs w:val="24"/>
          <w:lang w:val="en-US" w:eastAsia="zh-CN"/>
        </w:rPr>
        <w:t>蓝田县</w:t>
      </w:r>
      <w:r>
        <w:rPr>
          <w:rFonts w:hint="eastAsia" w:ascii="宋体" w:hAnsi="宋体" w:eastAsia="宋体" w:cs="宋体"/>
          <w:bCs/>
          <w:color w:val="auto"/>
          <w:sz w:val="24"/>
          <w:szCs w:val="24"/>
          <w:lang w:val="en-US" w:eastAsia="zh-CN"/>
        </w:rPr>
        <w:fldChar w:fldCharType="end"/>
      </w:r>
      <w:r>
        <w:rPr>
          <w:rFonts w:hint="eastAsia" w:ascii="宋体" w:hAnsi="宋体" w:eastAsia="宋体" w:cs="宋体"/>
          <w:bCs/>
          <w:color w:val="auto"/>
          <w:sz w:val="24"/>
          <w:szCs w:val="24"/>
          <w:lang w:val="en-US" w:eastAsia="zh-CN"/>
        </w:rPr>
        <w:t>葛牌镇相邻，南与</w:t>
      </w: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color w:val="auto"/>
          <w:sz w:val="24"/>
          <w:szCs w:val="24"/>
          <w:lang w:val="en-US" w:eastAsia="zh-CN"/>
        </w:rPr>
        <w:instrText xml:space="preserve"> HYPERLINK "https://baike.baidu.com/item/%E7%93%A6%E6%88%BF%E5%8F%A3%E9%95%87/10361980?fromModule=lemma_inlink" \t "https://baike.baidu.com/item/_blank" </w:instrText>
      </w:r>
      <w:r>
        <w:rPr>
          <w:rFonts w:hint="eastAsia" w:ascii="宋体" w:hAnsi="宋体" w:eastAsia="宋体" w:cs="宋体"/>
          <w:bCs/>
          <w:color w:val="auto"/>
          <w:sz w:val="24"/>
          <w:szCs w:val="24"/>
          <w:lang w:val="en-US" w:eastAsia="zh-CN"/>
        </w:rPr>
        <w:fldChar w:fldCharType="separate"/>
      </w:r>
      <w:r>
        <w:rPr>
          <w:rFonts w:hint="eastAsia" w:ascii="宋体" w:hAnsi="宋体" w:eastAsia="宋体" w:cs="宋体"/>
          <w:bCs/>
          <w:color w:val="auto"/>
          <w:sz w:val="24"/>
          <w:szCs w:val="24"/>
          <w:lang w:val="en-US" w:eastAsia="zh-CN"/>
        </w:rPr>
        <w:t>瓦房口镇</w:t>
      </w:r>
      <w:r>
        <w:rPr>
          <w:rFonts w:hint="eastAsia" w:ascii="宋体" w:hAnsi="宋体" w:eastAsia="宋体" w:cs="宋体"/>
          <w:bCs/>
          <w:color w:val="auto"/>
          <w:sz w:val="24"/>
          <w:szCs w:val="24"/>
          <w:lang w:val="en-US" w:eastAsia="zh-CN"/>
        </w:rPr>
        <w:fldChar w:fldCharType="end"/>
      </w:r>
      <w:r>
        <w:rPr>
          <w:rFonts w:hint="eastAsia" w:ascii="宋体" w:hAnsi="宋体" w:eastAsia="宋体" w:cs="宋体"/>
          <w:bCs/>
          <w:color w:val="auto"/>
          <w:sz w:val="24"/>
          <w:szCs w:val="24"/>
          <w:lang w:val="en-US" w:eastAsia="zh-CN"/>
        </w:rPr>
        <w:t>相连，西与</w:t>
      </w: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color w:val="auto"/>
          <w:sz w:val="24"/>
          <w:szCs w:val="24"/>
          <w:lang w:val="en-US" w:eastAsia="zh-CN"/>
        </w:rPr>
        <w:instrText xml:space="preserve"> HYPERLINK "https://baike.baidu.com/item/%E8%94%A1%E7%8E%89%E7%AA%91%E9%95%87/3358630?fromModule=lemma_inlink" \t "https://baike.baidu.com/item/_blank" </w:instrText>
      </w:r>
      <w:r>
        <w:rPr>
          <w:rFonts w:hint="eastAsia" w:ascii="宋体" w:hAnsi="宋体" w:eastAsia="宋体" w:cs="宋体"/>
          <w:bCs/>
          <w:color w:val="auto"/>
          <w:sz w:val="24"/>
          <w:szCs w:val="24"/>
          <w:lang w:val="en-US" w:eastAsia="zh-CN"/>
        </w:rPr>
        <w:fldChar w:fldCharType="separate"/>
      </w:r>
      <w:r>
        <w:rPr>
          <w:rFonts w:hint="eastAsia" w:ascii="宋体" w:hAnsi="宋体" w:eastAsia="宋体" w:cs="宋体"/>
          <w:bCs/>
          <w:color w:val="auto"/>
          <w:sz w:val="24"/>
          <w:szCs w:val="24"/>
          <w:lang w:val="en-US" w:eastAsia="zh-CN"/>
        </w:rPr>
        <w:t>蔡玉窑镇</w:t>
      </w:r>
      <w:r>
        <w:rPr>
          <w:rFonts w:hint="eastAsia" w:ascii="宋体" w:hAnsi="宋体" w:eastAsia="宋体" w:cs="宋体"/>
          <w:bCs/>
          <w:color w:val="auto"/>
          <w:sz w:val="24"/>
          <w:szCs w:val="24"/>
          <w:lang w:val="en-US" w:eastAsia="zh-CN"/>
        </w:rPr>
        <w:fldChar w:fldCharType="end"/>
      </w:r>
      <w:r>
        <w:rPr>
          <w:rFonts w:hint="eastAsia" w:ascii="宋体" w:hAnsi="宋体" w:eastAsia="宋体" w:cs="宋体"/>
          <w:bCs/>
          <w:color w:val="auto"/>
          <w:sz w:val="24"/>
          <w:szCs w:val="24"/>
          <w:lang w:val="en-US" w:eastAsia="zh-CN"/>
        </w:rPr>
        <w:t>相接，北与</w:t>
      </w:r>
      <w:r>
        <w:rPr>
          <w:rFonts w:hint="eastAsia" w:ascii="宋体" w:hAnsi="宋体" w:eastAsia="宋体" w:cs="宋体"/>
          <w:bCs/>
          <w:color w:val="auto"/>
          <w:sz w:val="24"/>
          <w:szCs w:val="24"/>
          <w:lang w:val="en-US" w:eastAsia="zh-CN"/>
        </w:rPr>
        <w:fldChar w:fldCharType="begin"/>
      </w:r>
      <w:r>
        <w:rPr>
          <w:rFonts w:hint="eastAsia" w:ascii="宋体" w:hAnsi="宋体" w:eastAsia="宋体" w:cs="宋体"/>
          <w:bCs/>
          <w:color w:val="auto"/>
          <w:sz w:val="24"/>
          <w:szCs w:val="24"/>
          <w:lang w:val="en-US" w:eastAsia="zh-CN"/>
        </w:rPr>
        <w:instrText xml:space="preserve"> HYPERLINK "https://baike.baidu.com/item/%E4%B8%B0%E5%8C%97%E6%B2%B3%E9%95%87/8608120?fromModule=lemma_inlink" \t "https://baike.baidu.com/item/_blank" </w:instrText>
      </w:r>
      <w:r>
        <w:rPr>
          <w:rFonts w:hint="eastAsia" w:ascii="宋体" w:hAnsi="宋体" w:eastAsia="宋体" w:cs="宋体"/>
          <w:bCs/>
          <w:color w:val="auto"/>
          <w:sz w:val="24"/>
          <w:szCs w:val="24"/>
          <w:lang w:val="en-US" w:eastAsia="zh-CN"/>
        </w:rPr>
        <w:fldChar w:fldCharType="separate"/>
      </w:r>
      <w:r>
        <w:rPr>
          <w:rFonts w:hint="eastAsia" w:ascii="宋体" w:hAnsi="宋体" w:eastAsia="宋体" w:cs="宋体"/>
          <w:bCs/>
          <w:color w:val="auto"/>
          <w:sz w:val="24"/>
          <w:szCs w:val="24"/>
          <w:lang w:val="en-US" w:eastAsia="zh-CN"/>
        </w:rPr>
        <w:t>丰北河镇</w:t>
      </w:r>
      <w:r>
        <w:rPr>
          <w:rFonts w:hint="eastAsia" w:ascii="宋体" w:hAnsi="宋体" w:eastAsia="宋体" w:cs="宋体"/>
          <w:bCs/>
          <w:color w:val="auto"/>
          <w:sz w:val="24"/>
          <w:szCs w:val="24"/>
          <w:lang w:val="en-US" w:eastAsia="zh-CN"/>
        </w:rPr>
        <w:fldChar w:fldCharType="end"/>
      </w:r>
      <w:r>
        <w:rPr>
          <w:rFonts w:hint="eastAsia" w:ascii="宋体" w:hAnsi="宋体" w:eastAsia="宋体" w:cs="宋体"/>
          <w:bCs/>
          <w:color w:val="auto"/>
          <w:sz w:val="24"/>
          <w:szCs w:val="24"/>
          <w:lang w:val="en-US" w:eastAsia="zh-CN"/>
        </w:rPr>
        <w:t>接壤，总面积218.56平方千米。</w:t>
      </w:r>
    </w:p>
    <w:p w14:paraId="1930D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2、地形地貌</w:t>
      </w:r>
    </w:p>
    <w:p w14:paraId="77BC50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项目区地处秦岭腹地。地势北高南低，地形以山地为主。主要山脉有九华山、云雾山，境内最高点位于九华山，海拔2600m；最低点为田口村，海拔700m。</w:t>
      </w:r>
    </w:p>
    <w:p w14:paraId="7D1F5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3、气候</w:t>
      </w:r>
    </w:p>
    <w:p w14:paraId="2962D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项目区全年日照1860.2小时，最冷平均气温0.2℃，最热平均气温23.6℃。极端最高气温37.1℃，最低气温13.9℃，无霜期209天，年降水量742mm，最大降水量1225.9mm，最小降水量567.6mm，四季分明，温暖湿润，夏无酷暑，冬无严寒。</w:t>
      </w:r>
    </w:p>
    <w:p w14:paraId="08AF33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4、河流水系</w:t>
      </w:r>
    </w:p>
    <w:p w14:paraId="54646F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项目区河道属于长江流域汉江水系。主要河流有社川河。</w:t>
      </w:r>
    </w:p>
    <w:p w14:paraId="25178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5、土壤</w:t>
      </w:r>
    </w:p>
    <w:p w14:paraId="12108D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项目区土壤类别以棕壤和黄棕壤为主，土层厚度在30～60cm左右。</w:t>
      </w:r>
    </w:p>
    <w:p w14:paraId="73B0F3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6、植被</w:t>
      </w:r>
    </w:p>
    <w:p w14:paraId="686444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项目区属北亚热带，受气候影响，植物带垂直和平行分布特点明显，适宜多种类植物群，原始种类保留与繁衍、进化、生长。乔木以油松、栎类为主，次有其它软阔叶树种混生；灌木以胡枝子、盐肤木为主，次有胡颓子、金银木、荚蒾、木桎子等；草本以羊胡子草，蒿类为主。总盖度0.2～0.8。</w:t>
      </w:r>
    </w:p>
    <w:p w14:paraId="34F85B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7、行政区划</w:t>
      </w:r>
    </w:p>
    <w:p w14:paraId="72D0D0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曹坪镇下辖2个社区、7个行政村。</w:t>
      </w:r>
    </w:p>
    <w:p w14:paraId="6BA38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8、经济发展</w:t>
      </w:r>
    </w:p>
    <w:p w14:paraId="05862C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曹坪镇共有16840人，耕地总面积12243亩；粮食作物有小麦、玉米等，经济作物以木耳和药材为主。林果业以核桃和板栗为主。</w:t>
      </w:r>
    </w:p>
    <w:p w14:paraId="29A8C6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9、交通条件</w:t>
      </w:r>
    </w:p>
    <w:p w14:paraId="146352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项目区中乡道贯穿而过，交通便利。</w:t>
      </w:r>
    </w:p>
    <w:p w14:paraId="3D1539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bookmarkStart w:id="109" w:name="_Toc21604"/>
      <w:bookmarkStart w:id="110" w:name="_Toc495392799"/>
      <w:bookmarkStart w:id="111" w:name="_Toc311490547"/>
      <w:bookmarkStart w:id="112" w:name="_Toc204844358"/>
      <w:bookmarkStart w:id="113" w:name="_Toc57363330"/>
      <w:bookmarkStart w:id="114" w:name="_Toc82485338"/>
      <w:r>
        <w:rPr>
          <w:rFonts w:hint="eastAsia" w:ascii="宋体" w:hAnsi="宋体" w:eastAsia="宋体" w:cs="宋体"/>
          <w:b/>
          <w:bCs w:val="0"/>
          <w:color w:val="auto"/>
          <w:sz w:val="24"/>
          <w:szCs w:val="24"/>
          <w:lang w:val="en-US" w:eastAsia="zh-CN"/>
        </w:rPr>
        <w:t>1.2作业区分布情况</w:t>
      </w:r>
    </w:p>
    <w:p w14:paraId="0F0A1D3A">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商洛市柞水县202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年中央财政森林修复项目</w:t>
      </w:r>
      <w:r>
        <w:rPr>
          <w:rFonts w:hint="eastAsia" w:ascii="宋体" w:hAnsi="宋体" w:eastAsia="宋体" w:cs="宋体"/>
          <w:spacing w:val="0"/>
          <w:sz w:val="24"/>
          <w:szCs w:val="24"/>
        </w:rPr>
        <w:t>作业区总设计面积</w:t>
      </w:r>
      <w:r>
        <w:rPr>
          <w:rFonts w:hint="eastAsia" w:ascii="宋体" w:hAnsi="宋体" w:eastAsia="宋体" w:cs="宋体"/>
          <w:color w:val="auto"/>
          <w:spacing w:val="14"/>
          <w:sz w:val="24"/>
          <w:szCs w:val="24"/>
        </w:rPr>
        <w:t>设计面积</w:t>
      </w:r>
      <w:r>
        <w:rPr>
          <w:rFonts w:hint="eastAsia" w:ascii="宋体" w:hAnsi="宋体" w:eastAsia="宋体" w:cs="宋体"/>
          <w:color w:val="auto"/>
          <w:spacing w:val="14"/>
          <w:sz w:val="24"/>
          <w:szCs w:val="24"/>
          <w:lang w:val="en-US" w:eastAsia="zh-CN"/>
        </w:rPr>
        <w:t>11120</w:t>
      </w:r>
      <w:r>
        <w:rPr>
          <w:rFonts w:hint="eastAsia" w:ascii="宋体" w:hAnsi="宋体" w:eastAsia="宋体" w:cs="宋体"/>
          <w:color w:val="auto"/>
          <w:spacing w:val="14"/>
          <w:sz w:val="24"/>
          <w:szCs w:val="24"/>
        </w:rPr>
        <w:t>亩，作业面积</w:t>
      </w:r>
      <w:r>
        <w:rPr>
          <w:rFonts w:hint="eastAsia" w:ascii="宋体" w:hAnsi="宋体" w:eastAsia="宋体" w:cs="宋体"/>
          <w:color w:val="auto"/>
          <w:spacing w:val="14"/>
          <w:sz w:val="24"/>
          <w:szCs w:val="24"/>
          <w:lang w:val="en-US" w:eastAsia="zh-CN"/>
        </w:rPr>
        <w:t>11000</w:t>
      </w:r>
      <w:r>
        <w:rPr>
          <w:rFonts w:hint="eastAsia" w:ascii="宋体" w:hAnsi="宋体" w:eastAsia="宋体" w:cs="宋体"/>
          <w:color w:val="auto"/>
          <w:spacing w:val="14"/>
          <w:sz w:val="24"/>
          <w:szCs w:val="24"/>
        </w:rPr>
        <w:t>亩</w:t>
      </w:r>
      <w:r>
        <w:rPr>
          <w:rFonts w:hint="eastAsia" w:ascii="宋体" w:hAnsi="宋体" w:eastAsia="宋体" w:cs="宋体"/>
          <w:color w:val="auto"/>
          <w:spacing w:val="14"/>
          <w:sz w:val="24"/>
          <w:szCs w:val="24"/>
          <w:lang w:eastAsia="zh-CN"/>
        </w:rPr>
        <w:t>。</w:t>
      </w:r>
      <w:r>
        <w:rPr>
          <w:rFonts w:hint="eastAsia" w:ascii="宋体" w:hAnsi="宋体" w:eastAsia="宋体" w:cs="宋体"/>
          <w:color w:val="auto"/>
          <w:spacing w:val="0"/>
          <w:sz w:val="24"/>
          <w:szCs w:val="24"/>
          <w:lang w:eastAsia="zh-CN"/>
        </w:rPr>
        <w:t>作业区</w:t>
      </w:r>
      <w:r>
        <w:rPr>
          <w:rFonts w:hint="eastAsia" w:ascii="宋体" w:hAnsi="宋体" w:eastAsia="宋体" w:cs="宋体"/>
          <w:color w:val="auto"/>
          <w:spacing w:val="0"/>
          <w:sz w:val="24"/>
          <w:szCs w:val="24"/>
          <w:lang w:val="en-US" w:eastAsia="zh-CN"/>
        </w:rPr>
        <w:t>离秦岭主梁南侧直线距离18000米，离秦岭支脉直线距离15000米，</w:t>
      </w:r>
      <w:r>
        <w:rPr>
          <w:rFonts w:hint="eastAsia" w:ascii="宋体" w:hAnsi="宋体" w:eastAsia="宋体" w:cs="宋体"/>
          <w:color w:val="auto"/>
          <w:spacing w:val="0"/>
          <w:sz w:val="24"/>
          <w:szCs w:val="24"/>
          <w:lang w:eastAsia="zh-CN"/>
        </w:rPr>
        <w:t>最高小班海拔</w:t>
      </w:r>
      <w:r>
        <w:rPr>
          <w:rFonts w:hint="eastAsia" w:ascii="宋体" w:hAnsi="宋体" w:eastAsia="宋体" w:cs="宋体"/>
          <w:color w:val="auto"/>
          <w:spacing w:val="0"/>
          <w:sz w:val="24"/>
          <w:szCs w:val="24"/>
          <w:lang w:val="en-US" w:eastAsia="zh-CN"/>
        </w:rPr>
        <w:t>1275米。作业区不涉及国家公园所划范围，不属于其他法律规定禁止开展森林经营活动的区域。</w:t>
      </w:r>
    </w:p>
    <w:bookmarkEnd w:id="109"/>
    <w:bookmarkEnd w:id="110"/>
    <w:bookmarkEnd w:id="111"/>
    <w:bookmarkEnd w:id="112"/>
    <w:bookmarkEnd w:id="113"/>
    <w:bookmarkEnd w:id="114"/>
    <w:p w14:paraId="51FCD8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val="0"/>
          <w:sz w:val="24"/>
          <w:szCs w:val="24"/>
          <w:highlight w:val="none"/>
          <w:lang w:val="en-US" w:eastAsia="zh-CN"/>
        </w:rPr>
      </w:pPr>
      <w:bookmarkStart w:id="115" w:name="_Toc28681"/>
      <w:bookmarkStart w:id="116" w:name="_Toc17194"/>
      <w:r>
        <w:rPr>
          <w:rFonts w:hint="eastAsia" w:ascii="宋体" w:hAnsi="宋体" w:eastAsia="宋体" w:cs="宋体"/>
          <w:b/>
          <w:bCs w:val="0"/>
          <w:sz w:val="24"/>
          <w:szCs w:val="24"/>
          <w:highlight w:val="none"/>
          <w:lang w:val="en-US" w:eastAsia="zh-CN"/>
        </w:rPr>
        <w:t>二、</w:t>
      </w:r>
      <w:bookmarkEnd w:id="115"/>
      <w:bookmarkEnd w:id="116"/>
      <w:r>
        <w:rPr>
          <w:rFonts w:hint="eastAsia" w:ascii="宋体" w:hAnsi="宋体" w:eastAsia="宋体" w:cs="宋体"/>
          <w:b/>
          <w:bCs w:val="0"/>
          <w:sz w:val="24"/>
          <w:szCs w:val="24"/>
          <w:highlight w:val="none"/>
          <w:lang w:val="en-US" w:eastAsia="zh-CN"/>
        </w:rPr>
        <w:t>作业设计方案</w:t>
      </w:r>
    </w:p>
    <w:p w14:paraId="00E7754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bookmarkStart w:id="117" w:name="_Toc18373"/>
      <w:bookmarkStart w:id="118" w:name="_Toc3612"/>
      <w:bookmarkStart w:id="119" w:name="_Toc14922"/>
      <w:bookmarkStart w:id="120" w:name="_Toc257557310"/>
      <w:bookmarkStart w:id="121" w:name="_Toc50204796"/>
      <w:bookmarkStart w:id="122" w:name="_Toc257559097"/>
      <w:bookmarkStart w:id="123" w:name="_Toc344383007"/>
      <w:bookmarkStart w:id="124" w:name="_Toc23359"/>
      <w:bookmarkStart w:id="125" w:name="_Toc446515590"/>
      <w:r>
        <w:rPr>
          <w:rFonts w:hint="eastAsia" w:ascii="宋体" w:hAnsi="宋体" w:eastAsia="宋体" w:cs="宋体"/>
          <w:b/>
          <w:bCs w:val="0"/>
          <w:color w:val="auto"/>
          <w:sz w:val="24"/>
          <w:szCs w:val="24"/>
          <w:lang w:val="en-US" w:eastAsia="zh-CN"/>
        </w:rPr>
        <w:t>2.1 修复方式确定</w:t>
      </w:r>
      <w:bookmarkEnd w:id="117"/>
      <w:bookmarkEnd w:id="118"/>
      <w:bookmarkEnd w:id="119"/>
    </w:p>
    <w:p w14:paraId="516DE47A">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经过现地踏查，</w:t>
      </w:r>
      <w:r>
        <w:rPr>
          <w:rFonts w:hint="eastAsia" w:ascii="宋体" w:hAnsi="宋体" w:eastAsia="宋体" w:cs="宋体"/>
          <w:color w:val="auto"/>
          <w:spacing w:val="-6"/>
          <w:sz w:val="24"/>
          <w:szCs w:val="24"/>
          <w:lang w:eastAsia="zh-CN"/>
        </w:rPr>
        <w:t>商洛市柞水县2025年中央财政森林修复项目</w:t>
      </w:r>
      <w:r>
        <w:rPr>
          <w:rFonts w:hint="eastAsia" w:ascii="宋体" w:hAnsi="宋体" w:eastAsia="宋体" w:cs="宋体"/>
          <w:color w:val="auto"/>
          <w:spacing w:val="-6"/>
          <w:sz w:val="24"/>
          <w:szCs w:val="24"/>
        </w:rPr>
        <w:t>作业区林分主要为天然次生</w:t>
      </w:r>
      <w:r>
        <w:rPr>
          <w:rFonts w:hint="eastAsia" w:ascii="宋体" w:hAnsi="宋体" w:eastAsia="宋体" w:cs="宋体"/>
          <w:color w:val="auto"/>
          <w:spacing w:val="-6"/>
          <w:sz w:val="24"/>
          <w:szCs w:val="24"/>
          <w:lang w:val="en-US" w:eastAsia="zh-CN"/>
        </w:rPr>
        <w:t>中</w:t>
      </w:r>
      <w:r>
        <w:rPr>
          <w:rFonts w:hint="eastAsia" w:ascii="宋体" w:hAnsi="宋体" w:eastAsia="宋体" w:cs="宋体"/>
          <w:color w:val="auto"/>
          <w:spacing w:val="-6"/>
          <w:sz w:val="24"/>
          <w:szCs w:val="24"/>
        </w:rPr>
        <w:t>龄林和人工</w:t>
      </w:r>
      <w:r>
        <w:rPr>
          <w:rFonts w:hint="eastAsia" w:ascii="宋体" w:hAnsi="宋体" w:eastAsia="宋体" w:cs="宋体"/>
          <w:color w:val="auto"/>
          <w:spacing w:val="-6"/>
          <w:sz w:val="24"/>
          <w:szCs w:val="24"/>
          <w:lang w:val="en-US" w:eastAsia="zh-CN"/>
        </w:rPr>
        <w:t>幼龄林</w:t>
      </w:r>
      <w:r>
        <w:rPr>
          <w:rFonts w:hint="eastAsia" w:ascii="宋体" w:hAnsi="宋体" w:eastAsia="宋体" w:cs="宋体"/>
          <w:color w:val="auto"/>
          <w:spacing w:val="-6"/>
          <w:sz w:val="24"/>
          <w:szCs w:val="24"/>
        </w:rPr>
        <w:t>，成林树种主要为栎类、油松、毛栗、阔杂等，郁闭度较高，集中连片。根据以上林分实际情况和</w:t>
      </w:r>
      <w:r>
        <w:rPr>
          <w:rFonts w:hint="eastAsia" w:ascii="宋体" w:hAnsi="宋体" w:eastAsia="宋体" w:cs="宋体"/>
          <w:color w:val="auto"/>
          <w:spacing w:val="-6"/>
          <w:sz w:val="24"/>
          <w:szCs w:val="24"/>
          <w:lang w:eastAsia="zh-CN"/>
        </w:rPr>
        <w:t>森林</w:t>
      </w:r>
      <w:r>
        <w:rPr>
          <w:rFonts w:hint="eastAsia" w:ascii="宋体" w:hAnsi="宋体" w:eastAsia="宋体" w:cs="宋体"/>
          <w:color w:val="auto"/>
          <w:spacing w:val="-6"/>
          <w:sz w:val="24"/>
          <w:szCs w:val="24"/>
          <w:lang w:val="en-US" w:eastAsia="zh-CN"/>
        </w:rPr>
        <w:t>抚育</w:t>
      </w:r>
      <w:r>
        <w:rPr>
          <w:rFonts w:hint="eastAsia" w:ascii="宋体" w:hAnsi="宋体" w:eastAsia="宋体" w:cs="宋体"/>
          <w:color w:val="auto"/>
          <w:spacing w:val="-6"/>
          <w:sz w:val="24"/>
          <w:szCs w:val="24"/>
        </w:rPr>
        <w:t>规程、</w:t>
      </w:r>
      <w:r>
        <w:rPr>
          <w:rFonts w:hint="eastAsia" w:ascii="宋体" w:hAnsi="宋体" w:eastAsia="宋体" w:cs="宋体"/>
          <w:color w:val="auto"/>
          <w:spacing w:val="-6"/>
          <w:sz w:val="24"/>
          <w:szCs w:val="24"/>
          <w:lang w:eastAsia="zh-CN"/>
        </w:rPr>
        <w:t>森林</w:t>
      </w:r>
      <w:r>
        <w:rPr>
          <w:rFonts w:hint="eastAsia" w:ascii="宋体" w:hAnsi="宋体" w:eastAsia="宋体" w:cs="宋体"/>
          <w:color w:val="auto"/>
          <w:spacing w:val="-6"/>
          <w:sz w:val="24"/>
          <w:szCs w:val="24"/>
          <w:lang w:val="en-US" w:eastAsia="zh-CN"/>
        </w:rPr>
        <w:t>抚育</w:t>
      </w:r>
      <w:r>
        <w:rPr>
          <w:rFonts w:hint="eastAsia" w:ascii="宋体" w:hAnsi="宋体" w:eastAsia="宋体" w:cs="宋体"/>
          <w:color w:val="auto"/>
          <w:spacing w:val="-6"/>
          <w:sz w:val="24"/>
          <w:szCs w:val="24"/>
        </w:rPr>
        <w:t>作业设计规定，</w:t>
      </w:r>
      <w:r>
        <w:rPr>
          <w:rFonts w:hint="eastAsia" w:ascii="宋体" w:hAnsi="宋体" w:eastAsia="宋体" w:cs="宋体"/>
          <w:color w:val="auto"/>
          <w:spacing w:val="-6"/>
          <w:sz w:val="24"/>
          <w:szCs w:val="24"/>
          <w:lang w:eastAsia="zh-CN"/>
        </w:rPr>
        <w:t>森林修复</w:t>
      </w:r>
      <w:r>
        <w:rPr>
          <w:rFonts w:hint="eastAsia" w:ascii="宋体" w:hAnsi="宋体" w:eastAsia="宋体" w:cs="宋体"/>
          <w:color w:val="auto"/>
          <w:spacing w:val="-6"/>
          <w:sz w:val="24"/>
          <w:szCs w:val="24"/>
        </w:rPr>
        <w:t>方式确定</w:t>
      </w:r>
      <w:r>
        <w:rPr>
          <w:rFonts w:hint="eastAsia" w:ascii="宋体" w:hAnsi="宋体" w:eastAsia="宋体" w:cs="宋体"/>
          <w:color w:val="auto"/>
          <w:spacing w:val="-6"/>
          <w:sz w:val="24"/>
          <w:szCs w:val="24"/>
          <w:lang w:val="en-US" w:eastAsia="zh-CN"/>
        </w:rPr>
        <w:t>为综合修复方式。修复方式为综合抚育（</w:t>
      </w:r>
      <w:r>
        <w:rPr>
          <w:rFonts w:hint="eastAsia" w:ascii="宋体" w:hAnsi="宋体" w:eastAsia="宋体" w:cs="宋体"/>
          <w:color w:val="auto"/>
          <w:spacing w:val="-6"/>
          <w:sz w:val="24"/>
          <w:szCs w:val="24"/>
        </w:rPr>
        <w:t>疏伐</w:t>
      </w:r>
      <w:r>
        <w:rPr>
          <w:rFonts w:hint="eastAsia" w:ascii="宋体" w:hAnsi="宋体" w:eastAsia="宋体" w:cs="宋体"/>
          <w:color w:val="auto"/>
          <w:spacing w:val="-6"/>
          <w:sz w:val="24"/>
          <w:szCs w:val="24"/>
          <w:lang w:val="en-US" w:eastAsia="zh-CN"/>
        </w:rPr>
        <w:t>和补植+割灌）</w:t>
      </w:r>
      <w:r>
        <w:rPr>
          <w:rFonts w:hint="eastAsia" w:ascii="宋体" w:hAnsi="宋体" w:eastAsia="宋体" w:cs="宋体"/>
          <w:color w:val="auto"/>
          <w:spacing w:val="-6"/>
          <w:sz w:val="24"/>
          <w:szCs w:val="24"/>
          <w:lang w:eastAsia="zh-CN"/>
        </w:rPr>
        <w:t>修复</w:t>
      </w:r>
      <w:r>
        <w:rPr>
          <w:rFonts w:hint="eastAsia" w:ascii="宋体" w:hAnsi="宋体" w:eastAsia="宋体" w:cs="宋体"/>
          <w:color w:val="auto"/>
          <w:spacing w:val="-6"/>
          <w:sz w:val="24"/>
          <w:szCs w:val="24"/>
          <w:lang w:val="en-US" w:eastAsia="zh-CN"/>
        </w:rPr>
        <w:t>措施</w:t>
      </w:r>
      <w:r>
        <w:rPr>
          <w:rFonts w:hint="eastAsia" w:ascii="宋体" w:hAnsi="宋体" w:eastAsia="宋体" w:cs="宋体"/>
          <w:color w:val="auto"/>
          <w:spacing w:val="-6"/>
          <w:sz w:val="24"/>
          <w:szCs w:val="24"/>
        </w:rPr>
        <w:t>。</w:t>
      </w:r>
    </w:p>
    <w:p w14:paraId="321FF5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bookmarkStart w:id="126" w:name="_Toc17693"/>
      <w:bookmarkStart w:id="127" w:name="_Toc3920"/>
      <w:bookmarkStart w:id="128" w:name="_Toc2144"/>
      <w:r>
        <w:rPr>
          <w:rFonts w:hint="eastAsia" w:ascii="宋体" w:hAnsi="宋体" w:eastAsia="宋体" w:cs="宋体"/>
          <w:b/>
          <w:bCs w:val="0"/>
          <w:color w:val="auto"/>
          <w:sz w:val="24"/>
          <w:szCs w:val="24"/>
          <w:lang w:val="en-US" w:eastAsia="zh-CN"/>
        </w:rPr>
        <w:t>2.2 森林修复对象</w:t>
      </w:r>
      <w:bookmarkEnd w:id="120"/>
      <w:bookmarkEnd w:id="121"/>
      <w:bookmarkEnd w:id="122"/>
      <w:bookmarkEnd w:id="123"/>
      <w:bookmarkEnd w:id="124"/>
      <w:bookmarkEnd w:id="125"/>
      <w:bookmarkEnd w:id="126"/>
      <w:bookmarkEnd w:id="127"/>
      <w:bookmarkEnd w:id="128"/>
    </w:p>
    <w:p w14:paraId="17DAD900">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森林修复</w:t>
      </w:r>
      <w:r>
        <w:rPr>
          <w:rFonts w:hint="eastAsia" w:ascii="宋体" w:hAnsi="宋体" w:eastAsia="宋体" w:cs="宋体"/>
          <w:color w:val="auto"/>
          <w:sz w:val="24"/>
          <w:szCs w:val="24"/>
        </w:rPr>
        <w:t>是幼林郁闭后到主伐利用前围绕培育目标</w:t>
      </w:r>
      <w:r>
        <w:rPr>
          <w:rFonts w:hint="eastAsia" w:ascii="宋体" w:hAnsi="宋体" w:eastAsia="宋体" w:cs="宋体"/>
          <w:color w:val="auto"/>
          <w:sz w:val="24"/>
          <w:szCs w:val="24"/>
          <w:lang w:val="en-US" w:eastAsia="zh-CN"/>
        </w:rPr>
        <w:t>树</w:t>
      </w:r>
      <w:r>
        <w:rPr>
          <w:rFonts w:hint="eastAsia" w:ascii="宋体" w:hAnsi="宋体" w:eastAsia="宋体" w:cs="宋体"/>
          <w:color w:val="auto"/>
          <w:sz w:val="24"/>
          <w:szCs w:val="24"/>
        </w:rPr>
        <w:t>所采取的营林措施的总称。通过</w:t>
      </w:r>
      <w:r>
        <w:rPr>
          <w:rFonts w:hint="eastAsia" w:ascii="宋体" w:hAnsi="宋体" w:eastAsia="宋体" w:cs="宋体"/>
          <w:color w:val="auto"/>
          <w:sz w:val="24"/>
          <w:szCs w:val="24"/>
          <w:lang w:eastAsia="zh-CN"/>
        </w:rPr>
        <w:t>修复</w:t>
      </w:r>
      <w:r>
        <w:rPr>
          <w:rFonts w:hint="eastAsia" w:ascii="宋体" w:hAnsi="宋体" w:eastAsia="宋体" w:cs="宋体"/>
          <w:color w:val="auto"/>
          <w:sz w:val="24"/>
          <w:szCs w:val="24"/>
        </w:rPr>
        <w:t>改善林分卫生状况、林木生长环境，促进林木生长，提高森林质量，扩大森林资源，增强和发挥森林的多重效能。</w:t>
      </w:r>
      <w:r>
        <w:rPr>
          <w:rFonts w:hint="eastAsia" w:ascii="宋体" w:hAnsi="宋体" w:eastAsia="宋体" w:cs="宋体"/>
          <w:color w:val="auto"/>
          <w:sz w:val="24"/>
          <w:szCs w:val="24"/>
          <w:lang w:eastAsia="zh-CN"/>
        </w:rPr>
        <w:t>森林修复</w:t>
      </w:r>
      <w:r>
        <w:rPr>
          <w:rFonts w:hint="eastAsia" w:ascii="宋体" w:hAnsi="宋体" w:eastAsia="宋体" w:cs="宋体"/>
          <w:color w:val="auto"/>
          <w:sz w:val="24"/>
          <w:szCs w:val="24"/>
        </w:rPr>
        <w:t>的主要对象为：</w:t>
      </w:r>
    </w:p>
    <w:p w14:paraId="3246CFAE">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（1）对林分密度过大、郁闭度0.8以上的中、幼龄林或者天然更新以及飞播和人工直播等起源的中、幼龄林，林分郁闭度0.7以上，林分光照不良，林木间开始出现水肥激烈竞争。</w:t>
      </w:r>
    </w:p>
    <w:p w14:paraId="52DD38A4">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（2）在林分郁闭前或郁闭后，当灌草总覆盖度达60%以上，灌木杂草高度超过目的幼苗幼树并对其生长造成严重影响时。</w:t>
      </w:r>
    </w:p>
    <w:p w14:paraId="1B7D7DF7">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（3）在以封育为主要经营措施的复层林或</w:t>
      </w:r>
      <w:r>
        <w:rPr>
          <w:rFonts w:hint="eastAsia" w:ascii="宋体" w:hAnsi="宋体" w:eastAsia="宋体" w:cs="宋体"/>
          <w:color w:val="auto"/>
          <w:sz w:val="24"/>
          <w:szCs w:val="24"/>
          <w:lang w:val="en-US" w:eastAsia="zh-CN"/>
        </w:rPr>
        <w:t>中幼林</w:t>
      </w:r>
      <w:r>
        <w:rPr>
          <w:rFonts w:hint="eastAsia" w:ascii="宋体" w:hAnsi="宋体" w:eastAsia="宋体" w:cs="宋体"/>
          <w:color w:val="auto"/>
          <w:sz w:val="24"/>
          <w:szCs w:val="24"/>
        </w:rPr>
        <w:t>中，目的树种天然更新等级为中等以下、幼苗幼树株数占林分幼苗幼树总株数的50%以下，且依靠其自然生长发育难以达到成林标准的。</w:t>
      </w:r>
    </w:p>
    <w:p w14:paraId="073DBA3B">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（4）人工林郁闭成林后的第一个龄级，目的树种、辅助树种的幼苗幼树保存率小于80%；郁闭成林后的第二个龄级及以后各龄级，郁闭度小于0.5；</w:t>
      </w:r>
      <w:r>
        <w:rPr>
          <w:rFonts w:hint="eastAsia" w:ascii="宋体" w:hAnsi="宋体" w:eastAsia="宋体" w:cs="宋体"/>
          <w:color w:val="auto"/>
          <w:sz w:val="24"/>
          <w:szCs w:val="24"/>
          <w:lang w:val="en-US" w:eastAsia="zh-CN"/>
        </w:rPr>
        <w:t>疏伐</w:t>
      </w:r>
      <w:r>
        <w:rPr>
          <w:rFonts w:hint="eastAsia" w:ascii="宋体" w:hAnsi="宋体" w:eastAsia="宋体" w:cs="宋体"/>
          <w:color w:val="auto"/>
          <w:sz w:val="24"/>
          <w:szCs w:val="24"/>
        </w:rPr>
        <w:t>后，郁闭度小于0.5的；含有大于25</w:t>
      </w:r>
      <w:r>
        <w:rPr>
          <w:rFonts w:hint="eastAsia" w:ascii="宋体" w:hAnsi="宋体" w:eastAsia="宋体" w:cs="宋体"/>
          <w:color w:val="auto"/>
          <w:sz w:val="24"/>
          <w:szCs w:val="24"/>
          <w:lang w:val="en-US" w:eastAsia="zh-CN"/>
        </w:rPr>
        <w:t>m</w:t>
      </w:r>
      <w:r>
        <w:rPr>
          <w:rFonts w:hint="eastAsia" w:ascii="宋体" w:hAnsi="宋体" w:eastAsia="宋体" w:cs="宋体"/>
          <w:color w:val="auto"/>
          <w:sz w:val="24"/>
          <w:szCs w:val="24"/>
          <w:vertAlign w:val="superscript"/>
          <w:lang w:val="en-US" w:eastAsia="zh-CN"/>
        </w:rPr>
        <w:t>2</w:t>
      </w:r>
      <w:r>
        <w:rPr>
          <w:rFonts w:hint="eastAsia" w:ascii="宋体" w:hAnsi="宋体" w:eastAsia="宋体" w:cs="宋体"/>
          <w:color w:val="auto"/>
          <w:sz w:val="24"/>
          <w:szCs w:val="24"/>
        </w:rPr>
        <w:t>林中空地的；立地条件良好、符合森林培育目标的目的树种株数较少的有林地。</w:t>
      </w:r>
    </w:p>
    <w:p w14:paraId="544ECD04">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（5）天然幼龄林、中龄林郁闭度在0.8以上，或下层目的树种的幼树较多，且分布比较均匀、郁闭度在0.7以上的林分；</w:t>
      </w:r>
    </w:p>
    <w:p w14:paraId="6EC0BC83">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（6）有特殊培育目标的特种用途林林分；</w:t>
      </w:r>
    </w:p>
    <w:p w14:paraId="7EC9F941">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（7）遭受轻度病虫害、火灾、雪压及风折等自然灾害的林分；</w:t>
      </w:r>
    </w:p>
    <w:p w14:paraId="1F772666">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（8）小班平均郁闭度虽未达到上述标准，但林木呈团状分布，部分坡段已达到</w:t>
      </w:r>
      <w:r>
        <w:rPr>
          <w:rFonts w:hint="eastAsia" w:ascii="宋体" w:hAnsi="宋体" w:eastAsia="宋体" w:cs="宋体"/>
          <w:color w:val="auto"/>
          <w:sz w:val="24"/>
          <w:szCs w:val="24"/>
          <w:lang w:eastAsia="zh-CN"/>
        </w:rPr>
        <w:t>修复</w:t>
      </w:r>
      <w:r>
        <w:rPr>
          <w:rFonts w:hint="eastAsia" w:ascii="宋体" w:hAnsi="宋体" w:eastAsia="宋体" w:cs="宋体"/>
          <w:color w:val="auto"/>
          <w:sz w:val="24"/>
          <w:szCs w:val="24"/>
        </w:rPr>
        <w:t>标准的林分。</w:t>
      </w:r>
    </w:p>
    <w:p w14:paraId="10060D8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bookmarkStart w:id="129" w:name="_Toc50204798"/>
      <w:bookmarkStart w:id="130" w:name="_Toc22431"/>
      <w:bookmarkStart w:id="131" w:name="_Toc9864"/>
      <w:bookmarkStart w:id="132" w:name="_Toc344383008"/>
      <w:bookmarkStart w:id="133" w:name="_Toc257559099"/>
      <w:bookmarkStart w:id="134" w:name="_Toc257557312"/>
      <w:bookmarkStart w:id="135" w:name="_Toc446515592"/>
      <w:bookmarkStart w:id="136" w:name="_Toc26539"/>
      <w:bookmarkStart w:id="137" w:name="_Toc18377"/>
      <w:r>
        <w:rPr>
          <w:rFonts w:hint="eastAsia" w:ascii="宋体" w:hAnsi="宋体" w:eastAsia="宋体" w:cs="宋体"/>
          <w:b/>
          <w:bCs w:val="0"/>
          <w:color w:val="auto"/>
          <w:sz w:val="24"/>
          <w:szCs w:val="24"/>
          <w:lang w:val="en-US" w:eastAsia="zh-CN"/>
        </w:rPr>
        <w:t>2.3 森林修复规模</w:t>
      </w:r>
      <w:bookmarkEnd w:id="129"/>
      <w:bookmarkEnd w:id="130"/>
      <w:bookmarkEnd w:id="131"/>
      <w:bookmarkEnd w:id="132"/>
      <w:bookmarkEnd w:id="133"/>
      <w:bookmarkEnd w:id="134"/>
      <w:bookmarkEnd w:id="135"/>
      <w:bookmarkEnd w:id="136"/>
      <w:bookmarkEnd w:id="137"/>
    </w:p>
    <w:p w14:paraId="03460312">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商洛市柞水县2025年中央财政森林修复项目</w:t>
      </w:r>
      <w:r>
        <w:rPr>
          <w:rFonts w:hint="eastAsia" w:ascii="宋体" w:hAnsi="宋体" w:eastAsia="宋体" w:cs="宋体"/>
          <w:color w:val="auto"/>
          <w:sz w:val="24"/>
          <w:szCs w:val="24"/>
        </w:rPr>
        <w:t>作业总面积</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000亩，按</w:t>
      </w:r>
      <w:r>
        <w:rPr>
          <w:rFonts w:hint="eastAsia" w:ascii="宋体" w:hAnsi="宋体" w:eastAsia="宋体" w:cs="宋体"/>
          <w:color w:val="auto"/>
          <w:sz w:val="24"/>
          <w:szCs w:val="24"/>
          <w:lang w:eastAsia="zh-CN"/>
        </w:rPr>
        <w:t>修复</w:t>
      </w:r>
      <w:r>
        <w:rPr>
          <w:rFonts w:hint="eastAsia" w:ascii="宋体" w:hAnsi="宋体" w:eastAsia="宋体" w:cs="宋体"/>
          <w:color w:val="auto"/>
          <w:sz w:val="24"/>
          <w:szCs w:val="24"/>
        </w:rPr>
        <w:t>方</w:t>
      </w:r>
      <w:r>
        <w:rPr>
          <w:rFonts w:hint="eastAsia" w:ascii="宋体" w:hAnsi="宋体" w:eastAsia="宋体" w:cs="宋体"/>
          <w:color w:val="auto"/>
          <w:sz w:val="24"/>
          <w:szCs w:val="24"/>
          <w:lang w:val="en-US" w:eastAsia="zh-CN"/>
        </w:rPr>
        <w:t>法</w:t>
      </w:r>
      <w:r>
        <w:rPr>
          <w:rFonts w:hint="eastAsia" w:ascii="宋体" w:hAnsi="宋体" w:eastAsia="宋体" w:cs="宋体"/>
          <w:color w:val="auto"/>
          <w:sz w:val="24"/>
          <w:szCs w:val="24"/>
        </w:rPr>
        <w:t>分：</w:t>
      </w:r>
    </w:p>
    <w:p w14:paraId="2953601C">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1、疏伐</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一共</w:t>
      </w:r>
      <w:r>
        <w:rPr>
          <w:rFonts w:hint="eastAsia" w:ascii="宋体" w:hAnsi="宋体" w:eastAsia="宋体" w:cs="宋体"/>
          <w:color w:val="auto"/>
          <w:sz w:val="24"/>
          <w:szCs w:val="24"/>
          <w:lang w:val="en-US" w:eastAsia="zh-CN"/>
        </w:rPr>
        <w:t>48</w:t>
      </w:r>
      <w:r>
        <w:rPr>
          <w:rFonts w:hint="eastAsia" w:ascii="宋体" w:hAnsi="宋体" w:eastAsia="宋体" w:cs="宋体"/>
          <w:color w:val="auto"/>
          <w:sz w:val="24"/>
          <w:szCs w:val="24"/>
        </w:rPr>
        <w:t>个作业小班，面积</w:t>
      </w:r>
      <w:r>
        <w:rPr>
          <w:rFonts w:hint="eastAsia" w:ascii="宋体" w:hAnsi="宋体" w:eastAsia="宋体" w:cs="宋体"/>
          <w:color w:val="auto"/>
          <w:sz w:val="24"/>
          <w:szCs w:val="24"/>
          <w:lang w:val="en-US" w:eastAsia="zh-CN"/>
        </w:rPr>
        <w:t>10400</w:t>
      </w:r>
      <w:r>
        <w:rPr>
          <w:rFonts w:hint="eastAsia" w:ascii="宋体" w:hAnsi="宋体" w:eastAsia="宋体" w:cs="宋体"/>
          <w:color w:val="auto"/>
          <w:sz w:val="24"/>
          <w:szCs w:val="24"/>
        </w:rPr>
        <w:t>亩，占总面积的</w:t>
      </w:r>
      <w:r>
        <w:rPr>
          <w:rFonts w:hint="eastAsia" w:ascii="宋体" w:hAnsi="宋体" w:eastAsia="宋体" w:cs="宋体"/>
          <w:color w:val="auto"/>
          <w:sz w:val="24"/>
          <w:szCs w:val="24"/>
          <w:lang w:val="en-US" w:eastAsia="zh-CN"/>
        </w:rPr>
        <w:t>95</w:t>
      </w:r>
      <w:r>
        <w:rPr>
          <w:rFonts w:hint="eastAsia" w:ascii="宋体" w:hAnsi="宋体" w:eastAsia="宋体" w:cs="宋体"/>
          <w:color w:val="auto"/>
          <w:sz w:val="24"/>
          <w:szCs w:val="24"/>
        </w:rPr>
        <w:t>%</w:t>
      </w:r>
    </w:p>
    <w:p w14:paraId="02A0F763">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、含</w:t>
      </w:r>
      <w:r>
        <w:rPr>
          <w:rFonts w:hint="eastAsia" w:ascii="宋体" w:hAnsi="宋体" w:eastAsia="宋体" w:cs="宋体"/>
          <w:color w:val="auto"/>
          <w:sz w:val="24"/>
          <w:szCs w:val="24"/>
          <w:lang w:val="en-US" w:eastAsia="zh-CN"/>
        </w:rPr>
        <w:t>补植+割灌修枝，</w:t>
      </w:r>
      <w:r>
        <w:rPr>
          <w:rFonts w:hint="eastAsia" w:ascii="宋体" w:hAnsi="宋体" w:eastAsia="宋体" w:cs="宋体"/>
          <w:color w:val="auto"/>
          <w:sz w:val="24"/>
          <w:szCs w:val="24"/>
        </w:rPr>
        <w:t>一共</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个作业小班，面积</w:t>
      </w:r>
      <w:r>
        <w:rPr>
          <w:rFonts w:hint="eastAsia" w:ascii="宋体" w:hAnsi="宋体" w:eastAsia="宋体" w:cs="宋体"/>
          <w:color w:val="auto"/>
          <w:sz w:val="24"/>
          <w:szCs w:val="24"/>
          <w:lang w:val="en-US" w:eastAsia="zh-CN"/>
        </w:rPr>
        <w:t>600</w:t>
      </w:r>
      <w:r>
        <w:rPr>
          <w:rFonts w:hint="eastAsia" w:ascii="宋体" w:hAnsi="宋体" w:eastAsia="宋体" w:cs="宋体"/>
          <w:color w:val="auto"/>
          <w:sz w:val="24"/>
          <w:szCs w:val="24"/>
        </w:rPr>
        <w:t>亩，占总面积的</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14:paraId="30856618">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中1、2、3、4、5、9、10、12、15、16、17、18、20、23、25、27、28、30、34、35、46、47、48小班修复方法为疏伐+补植+割灌。其中6、7、8、11、13、14、19、21、22、24、26、29、31、32、33、36、37、38、39、40、41、42、43、44、45小班修复方法为疏伐+割灌。</w:t>
      </w:r>
    </w:p>
    <w:p w14:paraId="03D28F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bookmarkStart w:id="138" w:name="_Toc8678"/>
      <w:bookmarkStart w:id="139" w:name="_Toc14413"/>
      <w:bookmarkStart w:id="140" w:name="_Toc3427"/>
      <w:bookmarkStart w:id="141" w:name="_Toc446515593"/>
      <w:bookmarkStart w:id="142" w:name="_Toc20384"/>
      <w:r>
        <w:rPr>
          <w:rFonts w:hint="eastAsia" w:ascii="宋体" w:hAnsi="宋体" w:eastAsia="宋体" w:cs="宋体"/>
          <w:b/>
          <w:bCs w:val="0"/>
          <w:color w:val="auto"/>
          <w:sz w:val="24"/>
          <w:szCs w:val="24"/>
          <w:lang w:val="en-US" w:eastAsia="zh-CN"/>
        </w:rPr>
        <w:t>2.4 森林修复作业内容</w:t>
      </w:r>
      <w:bookmarkEnd w:id="138"/>
      <w:bookmarkEnd w:id="139"/>
      <w:bookmarkEnd w:id="140"/>
      <w:bookmarkEnd w:id="141"/>
      <w:bookmarkEnd w:id="142"/>
    </w:p>
    <w:p w14:paraId="17E3490D">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（1）清除影响目的树种和生态有益木生长的干扰木；</w:t>
      </w:r>
    </w:p>
    <w:p w14:paraId="3B3F84D9">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（2）清除林内的枯立木、濒死木、病虫木和风倒木以及胸径在5cm以下的有害木；</w:t>
      </w:r>
    </w:p>
    <w:p w14:paraId="660ECBDE">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（3）清除丛生林木中生长落后、杆形较差的不良林木个体；</w:t>
      </w:r>
    </w:p>
    <w:p w14:paraId="15531B37">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（4）清除密度过大、生长不良、杆形较差、无培育前途的目的树种林木个体；</w:t>
      </w:r>
    </w:p>
    <w:p w14:paraId="4352E131">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（5）清除密度过大、生长不良的生态有益木林木个体。</w:t>
      </w:r>
    </w:p>
    <w:p w14:paraId="4E0B624A">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（6）清除林下影响天然更新幼树幼苗生长的灌木、蔓藤和高大草本物；</w:t>
      </w:r>
    </w:p>
    <w:p w14:paraId="0F5B89ED">
      <w:pPr>
        <w:pStyle w:val="39"/>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（7）对郁闭度小于0.5的对象，林中空地进行补植造林，形成针阔混交异龄林。</w:t>
      </w:r>
    </w:p>
    <w:p w14:paraId="687077B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bookmarkStart w:id="143" w:name="_Toc25967"/>
      <w:bookmarkStart w:id="144" w:name="_Toc245"/>
      <w:r>
        <w:rPr>
          <w:rFonts w:hint="eastAsia" w:ascii="宋体" w:hAnsi="宋体" w:eastAsia="宋体" w:cs="宋体"/>
          <w:b/>
          <w:bCs w:val="0"/>
          <w:color w:val="auto"/>
          <w:sz w:val="24"/>
          <w:szCs w:val="24"/>
          <w:lang w:val="en-US" w:eastAsia="zh-CN"/>
        </w:rPr>
        <w:t>2.4.1 疏伐</w:t>
      </w:r>
      <w:bookmarkEnd w:id="143"/>
      <w:bookmarkEnd w:id="144"/>
    </w:p>
    <w:p w14:paraId="0CBE5A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bookmarkStart w:id="145" w:name="_Toc26006"/>
      <w:r>
        <w:rPr>
          <w:rFonts w:hint="eastAsia" w:ascii="宋体" w:hAnsi="宋体" w:eastAsia="宋体" w:cs="宋体"/>
          <w:color w:val="auto"/>
          <w:sz w:val="24"/>
          <w:szCs w:val="24"/>
          <w:lang w:val="en-US" w:eastAsia="zh-CN"/>
        </w:rPr>
        <w:t>依据国家林业和草原局林生发（2018）117号《松材线虫病疫区和疫木管理办法》第三章疫木管理第十三条即“松材线虫病疫区松科植物只能进行除治性采伐”之规定，抚育疏伐对象为除松科植物以外的乔木树种，本次设计森林修复疏伐面积共计10400亩，共48个小班。</w:t>
      </w:r>
    </w:p>
    <w:p w14:paraId="2A536E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1、保留木和采伐木的确定</w:t>
      </w:r>
    </w:p>
    <w:p w14:paraId="33CAB9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小班调查的同时，调查人员根据林分生长状况，将检尺的树木分为优势木、亚优势木、中等木、被压木、病虫木、濒死木或枯死木6级，现地确定保留木和采伐木。采伐木：指濒死木、枯倒木、被压木以及过密的或受害的中等木、亚优势木和优势木；保留木：指生长健壮的优势木、亚优势木和中等木，同时应注意保留针叶纯林中的阔叶幼树以及林缘木、林界木和孤立木。</w:t>
      </w:r>
    </w:p>
    <w:p w14:paraId="44EE4A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2、采伐强度的确定</w:t>
      </w:r>
    </w:p>
    <w:p w14:paraId="5EAFC8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各小班的采伐强度根据现地确定的采伐木计算而得，但采伐强度有如下要求：</w:t>
      </w:r>
    </w:p>
    <w:p w14:paraId="729C52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①株数采伐强度</w:t>
      </w:r>
    </w:p>
    <w:p w14:paraId="110438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本次设计株数强度在7.0%-15.8%之间，伐后每公顷平均保留1095-2085株。</w:t>
      </w:r>
    </w:p>
    <w:p w14:paraId="31285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②蓄积采伐强度</w:t>
      </w:r>
    </w:p>
    <w:p w14:paraId="3DE5C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本次设计蓄积强度在4.0%—9.7%之间，伐后每公顷平均保留45.74-93.02</w:t>
      </w:r>
      <w:r>
        <w:rPr>
          <w:rFonts w:hint="eastAsia" w:ascii="宋体" w:hAnsi="宋体" w:eastAsia="宋体" w:cs="宋体"/>
          <w:bCs/>
          <w:color w:val="auto"/>
          <w:sz w:val="24"/>
          <w:szCs w:val="24"/>
          <w:lang w:val="en-US" w:eastAsia="zh-CN"/>
        </w:rPr>
        <w:t>m</w:t>
      </w:r>
      <w:r>
        <w:rPr>
          <w:rFonts w:hint="eastAsia" w:ascii="宋体" w:hAnsi="宋体" w:eastAsia="宋体" w:cs="宋体"/>
          <w:bCs/>
          <w:color w:val="auto"/>
          <w:sz w:val="24"/>
          <w:szCs w:val="24"/>
          <w:vertAlign w:val="superscript"/>
          <w:lang w:val="en-US" w:eastAsia="zh-CN"/>
        </w:rPr>
        <w:t>3</w:t>
      </w:r>
      <w:r>
        <w:rPr>
          <w:rFonts w:hint="eastAsia" w:ascii="宋体" w:hAnsi="宋体" w:eastAsia="宋体" w:cs="宋体"/>
          <w:color w:val="auto"/>
          <w:sz w:val="24"/>
          <w:szCs w:val="24"/>
          <w:lang w:val="en-US" w:eastAsia="zh-CN"/>
        </w:rPr>
        <w:t>。</w:t>
      </w:r>
    </w:p>
    <w:p w14:paraId="0F5962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③伐前、伐后林分郁闭度的变化</w:t>
      </w:r>
    </w:p>
    <w:p w14:paraId="58BE80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根据伐前、伐后林分郁闭度不得降低0.2的设计要求，疏伐后林分郁闭不得低于0.6，首次疏伐后的郁闭度控制在0.6—0.8。依据本次设计，作业各小班的郁闭度均降低0.1左右，平均保留郁闭度为0.72-0.77之间。</w:t>
      </w:r>
    </w:p>
    <w:p w14:paraId="7AC317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3、出材率的确定</w:t>
      </w:r>
    </w:p>
    <w:p w14:paraId="2FA1F1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本次采伐的主要树种为栎类，出材种类全部为非规格材，非规格材主要用于食用菌材和薪柴。</w:t>
      </w:r>
    </w:p>
    <w:p w14:paraId="4A2B26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本次设计共计采伐蓄积量2846m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，平均每公顷采伐蓄积量3.68m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，出材率为50%，总出材量为1139m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vertAlign w:val="baseline"/>
          <w:lang w:val="en-US" w:eastAsia="zh-CN"/>
        </w:rPr>
        <w:t>，</w:t>
      </w:r>
      <w:r>
        <w:rPr>
          <w:rFonts w:hint="eastAsia" w:ascii="宋体" w:hAnsi="宋体" w:eastAsia="宋体" w:cs="宋体"/>
          <w:color w:val="auto"/>
          <w:sz w:val="24"/>
          <w:szCs w:val="24"/>
          <w:lang w:val="en-US" w:eastAsia="zh-CN"/>
        </w:rPr>
        <w:t>全部为非规格材。</w:t>
      </w:r>
    </w:p>
    <w:p w14:paraId="230226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4、采伐剩余物的利用</w:t>
      </w:r>
    </w:p>
    <w:p w14:paraId="01CF1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根据柞水县产业发展规划，结合木耳产业发展需求，柞水县2025森林修复疏伐出材和剩余物以栎类为主，作业区适宜木耳、香菇生长，疏伐结束后，将栎类按照椴木栽培木耳和香菇种植标准要求进行短截，运出至距栽植场地较近处堆放。对出材后的剩余物，以及树枝、灌木等应进行清理。有条件的地方（或因森林防火要求）应尽量运出林外加以利用。不能利用的应散铺平放，将枯死木的枝干、枯枝、割除的灌木、藤蔓等截成短节，坡度平缓处顺山坡进行散铺，在陡坡可沿等高线散铺。散铺时不妨碍保留木和幼苗、幼树生长，不影响林内卫生，不造成水土流失为原则。</w:t>
      </w:r>
    </w:p>
    <w:bookmarkEnd w:id="145"/>
    <w:p w14:paraId="611AA5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2.4.2补植+割灌修枝</w:t>
      </w:r>
    </w:p>
    <w:p w14:paraId="73F5425B">
      <w:pPr>
        <w:pStyle w:val="39"/>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本次设计森林修复</w:t>
      </w:r>
      <w:r>
        <w:rPr>
          <w:rFonts w:hint="eastAsia" w:ascii="宋体" w:hAnsi="宋体" w:eastAsia="宋体" w:cs="宋体"/>
          <w:b w:val="0"/>
          <w:bCs/>
          <w:color w:val="auto"/>
          <w:sz w:val="24"/>
          <w:szCs w:val="24"/>
          <w:lang w:val="en-US" w:eastAsia="zh-CN"/>
        </w:rPr>
        <w:t>补植+割灌修枝</w:t>
      </w:r>
      <w:r>
        <w:rPr>
          <w:rFonts w:hint="eastAsia" w:ascii="宋体" w:hAnsi="宋体" w:eastAsia="宋体" w:cs="宋体"/>
          <w:color w:val="auto"/>
          <w:sz w:val="24"/>
          <w:szCs w:val="24"/>
          <w:lang w:val="en-US" w:eastAsia="zh-CN"/>
        </w:rPr>
        <w:t>面积共计600亩，共涉及23个小班。</w:t>
      </w:r>
    </w:p>
    <w:p w14:paraId="6DAC31E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0"/>
          <w:kern w:val="2"/>
          <w:sz w:val="24"/>
          <w:szCs w:val="24"/>
          <w:lang w:val="en-US" w:eastAsia="zh-CN" w:bidi="ar-SA"/>
        </w:rPr>
        <w:t>（1）条件：本次适宜于天保工程启动初期人工荒山造林地，以油</w:t>
      </w:r>
      <w:r>
        <w:rPr>
          <w:rFonts w:hint="eastAsia" w:ascii="宋体" w:hAnsi="宋体" w:eastAsia="宋体" w:cs="宋体"/>
          <w:color w:val="auto"/>
          <w:spacing w:val="-6"/>
          <w:kern w:val="2"/>
          <w:sz w:val="24"/>
          <w:szCs w:val="24"/>
          <w:lang w:val="en-US" w:eastAsia="zh-CN" w:bidi="ar-SA"/>
        </w:rPr>
        <w:t>松、侧柏为主的幼龄林，天然整枝不良、林木密度小、有林中空地的林分；</w:t>
      </w:r>
    </w:p>
    <w:p w14:paraId="3C45D99E">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kern w:val="2"/>
          <w:sz w:val="24"/>
          <w:szCs w:val="24"/>
          <w:lang w:val="en-US" w:eastAsia="zh-CN" w:bidi="ar-SA"/>
        </w:rPr>
        <w:t>（2）目的：通过修枝、割灌，调整林分光照条件，减少林木水肥竞争环境，改善林内通风、光照状况，培养目的树种生长优势，提高林地生产率，增加林木生长量，改善林内卫生状况，充分发挥林地潜力；对郁闭度小于0.5的对象，林中空地进行补植造林，形成针阔混交异龄</w:t>
      </w:r>
      <w:r>
        <w:rPr>
          <w:rFonts w:hint="eastAsia" w:ascii="宋体" w:hAnsi="宋体" w:eastAsia="宋体" w:cs="宋体"/>
          <w:color w:val="auto"/>
          <w:spacing w:val="-6"/>
          <w:sz w:val="24"/>
          <w:szCs w:val="24"/>
        </w:rPr>
        <w:t>林。</w:t>
      </w:r>
    </w:p>
    <w:p w14:paraId="37C1EC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（3）对象：针对影响目的树种生长的灌草进行清理；通过</w:t>
      </w:r>
      <w:r>
        <w:rPr>
          <w:rFonts w:hint="eastAsia" w:ascii="宋体" w:hAnsi="宋体" w:eastAsia="宋体" w:cs="宋体"/>
          <w:color w:val="auto"/>
          <w:spacing w:val="0"/>
          <w:sz w:val="24"/>
          <w:szCs w:val="24"/>
          <w:lang w:eastAsia="zh-CN"/>
        </w:rPr>
        <w:t>修复</w:t>
      </w:r>
      <w:r>
        <w:rPr>
          <w:rFonts w:hint="eastAsia" w:ascii="宋体" w:hAnsi="宋体" w:eastAsia="宋体" w:cs="宋体"/>
          <w:color w:val="auto"/>
          <w:spacing w:val="0"/>
          <w:sz w:val="24"/>
          <w:szCs w:val="24"/>
        </w:rPr>
        <w:t>，达到森林植被恢复，提高森林生态功能。</w:t>
      </w:r>
    </w:p>
    <w:p w14:paraId="5CBC93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（4）技术要求：</w:t>
      </w:r>
    </w:p>
    <w:p w14:paraId="6A9D016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rPr>
        <w:t>补植+</w:t>
      </w:r>
      <w:r>
        <w:rPr>
          <w:rFonts w:hint="eastAsia" w:ascii="宋体" w:hAnsi="宋体" w:eastAsia="宋体" w:cs="宋体"/>
          <w:color w:val="auto"/>
          <w:spacing w:val="0"/>
          <w:sz w:val="24"/>
          <w:szCs w:val="24"/>
          <w:lang w:val="en-US" w:eastAsia="zh-CN"/>
        </w:rPr>
        <w:t>割灌修枝</w:t>
      </w:r>
      <w:r>
        <w:rPr>
          <w:rFonts w:hint="eastAsia" w:ascii="宋体" w:hAnsi="宋体" w:eastAsia="宋体" w:cs="宋体"/>
          <w:color w:val="auto"/>
          <w:spacing w:val="0"/>
          <w:sz w:val="24"/>
          <w:szCs w:val="24"/>
          <w:lang w:eastAsia="zh-CN"/>
        </w:rPr>
        <w:t>修复</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lang w:val="en-US" w:eastAsia="zh-CN"/>
        </w:rPr>
        <w:t>对影响成林栎类和油松幼龄林生长的灌木藤本进行清除，</w:t>
      </w:r>
      <w:r>
        <w:rPr>
          <w:rFonts w:hint="eastAsia" w:ascii="宋体" w:hAnsi="宋体" w:eastAsia="宋体" w:cs="宋体"/>
          <w:color w:val="auto"/>
          <w:spacing w:val="0"/>
          <w:sz w:val="24"/>
          <w:szCs w:val="24"/>
        </w:rPr>
        <w:t>对林木分布稀少的地段和林中空地进行补植，树种选择按照适地适树的原则，选择</w:t>
      </w:r>
      <w:r>
        <w:rPr>
          <w:rFonts w:hint="eastAsia" w:ascii="宋体" w:hAnsi="宋体" w:eastAsia="宋体" w:cs="宋体"/>
          <w:color w:val="auto"/>
          <w:spacing w:val="0"/>
          <w:sz w:val="24"/>
          <w:szCs w:val="24"/>
          <w:lang w:val="en-US" w:eastAsia="zh-CN"/>
        </w:rPr>
        <w:t>栓皮栎</w:t>
      </w:r>
      <w:r>
        <w:rPr>
          <w:rFonts w:hint="eastAsia" w:ascii="宋体" w:hAnsi="宋体" w:eastAsia="宋体" w:cs="宋体"/>
          <w:color w:val="auto"/>
          <w:spacing w:val="0"/>
          <w:sz w:val="24"/>
          <w:szCs w:val="24"/>
        </w:rPr>
        <w:t>作为补植树种。整地方式为穴状整地，规格</w:t>
      </w: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rPr>
        <w:t>0cm×</w:t>
      </w: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rPr>
        <w:t>0cm×</w:t>
      </w: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rPr>
        <w:t>0cm，初植密度</w:t>
      </w:r>
      <w:r>
        <w:rPr>
          <w:rFonts w:hint="eastAsia" w:ascii="宋体" w:hAnsi="宋体" w:eastAsia="宋体" w:cs="宋体"/>
          <w:color w:val="auto"/>
          <w:spacing w:val="0"/>
          <w:sz w:val="24"/>
          <w:szCs w:val="24"/>
          <w:lang w:val="en-US" w:eastAsia="zh-CN"/>
        </w:rPr>
        <w:t>74</w:t>
      </w:r>
      <w:r>
        <w:rPr>
          <w:rFonts w:hint="eastAsia" w:ascii="宋体" w:hAnsi="宋体" w:eastAsia="宋体" w:cs="宋体"/>
          <w:color w:val="auto"/>
          <w:spacing w:val="0"/>
          <w:sz w:val="24"/>
          <w:szCs w:val="24"/>
        </w:rPr>
        <w:t>株/亩，株行距</w:t>
      </w: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m</w:t>
      </w: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m</w:t>
      </w:r>
      <w:r>
        <w:rPr>
          <w:rFonts w:hint="eastAsia" w:ascii="宋体" w:hAnsi="宋体" w:eastAsia="宋体" w:cs="宋体"/>
          <w:color w:val="auto"/>
          <w:spacing w:val="0"/>
          <w:sz w:val="24"/>
          <w:szCs w:val="24"/>
        </w:rPr>
        <w:t>；整地时间提前一个季度进行或随整地随栽植；补植造林时间以秋季为主；对补植小班，进行松土、除草、扩穴等</w:t>
      </w:r>
      <w:r>
        <w:rPr>
          <w:rFonts w:hint="eastAsia" w:ascii="宋体" w:hAnsi="宋体" w:eastAsia="宋体" w:cs="宋体"/>
          <w:color w:val="auto"/>
          <w:spacing w:val="0"/>
          <w:sz w:val="24"/>
          <w:szCs w:val="24"/>
          <w:lang w:val="en-US" w:eastAsia="zh-CN"/>
        </w:rPr>
        <w:t>抚育</w:t>
      </w:r>
      <w:r>
        <w:rPr>
          <w:rFonts w:hint="eastAsia" w:ascii="宋体" w:hAnsi="宋体" w:eastAsia="宋体" w:cs="宋体"/>
          <w:color w:val="auto"/>
          <w:spacing w:val="0"/>
          <w:sz w:val="24"/>
          <w:szCs w:val="24"/>
        </w:rPr>
        <w:t>措施；补植时采用</w:t>
      </w:r>
      <w:r>
        <w:rPr>
          <w:rFonts w:hint="eastAsia" w:ascii="宋体" w:hAnsi="宋体" w:eastAsia="宋体" w:cs="宋体"/>
          <w:color w:val="auto"/>
          <w:spacing w:val="0"/>
          <w:sz w:val="24"/>
          <w:szCs w:val="24"/>
          <w:lang w:val="en-US" w:eastAsia="zh-CN"/>
        </w:rPr>
        <w:t>2年生栓皮栎容器苗，苗高≥40</w:t>
      </w:r>
      <w:r>
        <w:rPr>
          <w:rFonts w:hint="eastAsia" w:ascii="宋体" w:hAnsi="宋体" w:eastAsia="宋体" w:cs="宋体"/>
          <w:color w:val="auto"/>
          <w:spacing w:val="0"/>
          <w:sz w:val="24"/>
          <w:szCs w:val="24"/>
        </w:rPr>
        <w:t>cm</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地径≥0.5cm，</w:t>
      </w:r>
      <w:r>
        <w:rPr>
          <w:rFonts w:hint="eastAsia" w:ascii="宋体" w:hAnsi="宋体" w:eastAsia="宋体" w:cs="宋体"/>
          <w:color w:val="auto"/>
          <w:spacing w:val="0"/>
          <w:sz w:val="24"/>
          <w:szCs w:val="24"/>
        </w:rPr>
        <w:t>苗木质量等级I-II级</w:t>
      </w:r>
      <w:r>
        <w:rPr>
          <w:rFonts w:hint="eastAsia" w:ascii="宋体" w:hAnsi="宋体" w:eastAsia="宋体" w:cs="宋体"/>
          <w:color w:val="auto"/>
          <w:spacing w:val="0"/>
          <w:sz w:val="24"/>
          <w:szCs w:val="24"/>
          <w:lang w:val="en-US" w:eastAsia="zh-CN"/>
        </w:rPr>
        <w:t>并附“三证一签”</w:t>
      </w:r>
      <w:r>
        <w:rPr>
          <w:rFonts w:hint="eastAsia" w:ascii="宋体" w:hAnsi="宋体" w:eastAsia="宋体" w:cs="宋体"/>
          <w:color w:val="auto"/>
          <w:spacing w:val="0"/>
          <w:sz w:val="24"/>
          <w:szCs w:val="24"/>
        </w:rPr>
        <w:t>。</w:t>
      </w:r>
      <w:r>
        <w:rPr>
          <w:rFonts w:hint="eastAsia" w:ascii="宋体" w:hAnsi="宋体" w:eastAsia="宋体" w:cs="宋体"/>
          <w:color w:val="auto"/>
          <w:spacing w:val="0"/>
          <w:sz w:val="24"/>
          <w:szCs w:val="24"/>
          <w:lang w:eastAsia="zh-CN"/>
        </w:rPr>
        <w:t>补植面积</w:t>
      </w:r>
      <w:r>
        <w:rPr>
          <w:rFonts w:hint="eastAsia" w:ascii="宋体" w:hAnsi="宋体" w:eastAsia="宋体" w:cs="宋体"/>
          <w:color w:val="auto"/>
          <w:spacing w:val="0"/>
          <w:sz w:val="24"/>
          <w:szCs w:val="24"/>
          <w:lang w:val="en-US" w:eastAsia="zh-CN"/>
        </w:rPr>
        <w:t>600亩，用苗量为44400株。</w:t>
      </w:r>
    </w:p>
    <w:p w14:paraId="5E8C891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bookmarkStart w:id="146" w:name="_Toc7329"/>
      <w:r>
        <w:rPr>
          <w:rFonts w:hint="eastAsia" w:ascii="宋体" w:hAnsi="宋体" w:eastAsia="宋体" w:cs="宋体"/>
          <w:b/>
          <w:bCs w:val="0"/>
          <w:color w:val="auto"/>
          <w:sz w:val="24"/>
          <w:szCs w:val="24"/>
          <w:lang w:val="en-US" w:eastAsia="zh-CN"/>
        </w:rPr>
        <w:t>2.5 修复目的</w:t>
      </w:r>
      <w:bookmarkEnd w:id="146"/>
    </w:p>
    <w:p w14:paraId="632E0C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pacing w:val="0"/>
          <w:sz w:val="24"/>
          <w:szCs w:val="24"/>
        </w:rPr>
      </w:pPr>
      <w:bookmarkStart w:id="147" w:name="_Toc19497"/>
      <w:bookmarkStart w:id="148" w:name="_Toc7709"/>
      <w:r>
        <w:rPr>
          <w:rFonts w:hint="eastAsia" w:ascii="宋体" w:hAnsi="宋体" w:eastAsia="宋体" w:cs="宋体"/>
          <w:color w:val="auto"/>
          <w:spacing w:val="0"/>
          <w:sz w:val="24"/>
          <w:szCs w:val="24"/>
        </w:rPr>
        <w:t>改善林内卫生状况，提高目标树单株林木生长量，促进林木生长和林下天然更新，促使复层林形成，增强森林稳定性和健康。</w:t>
      </w:r>
      <w:bookmarkEnd w:id="147"/>
      <w:bookmarkEnd w:id="148"/>
    </w:p>
    <w:p w14:paraId="7EDD74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bookmarkStart w:id="149" w:name="_Toc19067"/>
      <w:r>
        <w:rPr>
          <w:rFonts w:hint="eastAsia" w:ascii="宋体" w:hAnsi="宋体" w:eastAsia="宋体" w:cs="宋体"/>
          <w:b/>
          <w:bCs w:val="0"/>
          <w:color w:val="auto"/>
          <w:sz w:val="24"/>
          <w:szCs w:val="24"/>
          <w:lang w:val="en-US" w:eastAsia="zh-CN"/>
        </w:rPr>
        <w:t>2.6 修复内容</w:t>
      </w:r>
      <w:bookmarkEnd w:id="149"/>
    </w:p>
    <w:p w14:paraId="202D78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pacing w:val="0"/>
          <w:sz w:val="24"/>
          <w:szCs w:val="24"/>
          <w:lang w:eastAsia="zh-CN"/>
        </w:rPr>
      </w:pPr>
      <w:bookmarkStart w:id="150" w:name="_Toc24227"/>
      <w:bookmarkStart w:id="151" w:name="_Toc31409"/>
      <w:r>
        <w:rPr>
          <w:rFonts w:hint="eastAsia" w:ascii="宋体" w:hAnsi="宋体" w:eastAsia="宋体" w:cs="宋体"/>
          <w:color w:val="auto"/>
          <w:spacing w:val="0"/>
          <w:sz w:val="24"/>
          <w:szCs w:val="24"/>
        </w:rPr>
        <w:t>清除林分中过密的（胸径5cm以下）、生长弱的干扰木，以及枯立木、濒死木及部分被压木、病虫木和风倒木。清除影响目的树及幼苗幼树生长的藤蔓。同时对林木分布稀少的地段和林中空地进行补植</w:t>
      </w:r>
      <w:r>
        <w:rPr>
          <w:rFonts w:hint="eastAsia" w:ascii="宋体" w:hAnsi="宋体" w:eastAsia="宋体" w:cs="宋体"/>
          <w:color w:val="auto"/>
          <w:spacing w:val="0"/>
          <w:sz w:val="24"/>
          <w:szCs w:val="24"/>
          <w:lang w:eastAsia="zh-CN"/>
        </w:rPr>
        <w:t>。</w:t>
      </w:r>
      <w:bookmarkEnd w:id="150"/>
      <w:bookmarkEnd w:id="151"/>
    </w:p>
    <w:p w14:paraId="403A15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bookmarkStart w:id="152" w:name="_Toc12986"/>
      <w:r>
        <w:rPr>
          <w:rFonts w:hint="eastAsia" w:ascii="宋体" w:hAnsi="宋体" w:eastAsia="宋体" w:cs="宋体"/>
          <w:b/>
          <w:bCs w:val="0"/>
          <w:color w:val="auto"/>
          <w:sz w:val="24"/>
          <w:szCs w:val="24"/>
          <w:lang w:val="en-US" w:eastAsia="zh-CN"/>
        </w:rPr>
        <w:t>2.7 修复强度</w:t>
      </w:r>
      <w:bookmarkEnd w:id="152"/>
    </w:p>
    <w:p w14:paraId="620C1C5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pacing w:val="0"/>
          <w:sz w:val="24"/>
          <w:szCs w:val="24"/>
        </w:rPr>
      </w:pPr>
      <w:bookmarkStart w:id="153" w:name="_Toc4626"/>
      <w:bookmarkStart w:id="154" w:name="_Toc16772"/>
      <w:r>
        <w:rPr>
          <w:rFonts w:hint="eastAsia" w:ascii="宋体" w:hAnsi="宋体" w:eastAsia="宋体" w:cs="宋体"/>
          <w:color w:val="auto"/>
          <w:spacing w:val="0"/>
          <w:sz w:val="24"/>
          <w:szCs w:val="24"/>
        </w:rPr>
        <w:t>平均株数强度</w:t>
      </w:r>
      <w:r>
        <w:rPr>
          <w:rFonts w:hint="eastAsia" w:ascii="宋体" w:hAnsi="宋体" w:eastAsia="宋体" w:cs="宋体"/>
          <w:color w:val="auto"/>
          <w:spacing w:val="0"/>
          <w:sz w:val="24"/>
          <w:szCs w:val="24"/>
          <w:lang w:val="en-US" w:eastAsia="zh-CN"/>
        </w:rPr>
        <w:t>7.0%-15.8%</w:t>
      </w:r>
      <w:r>
        <w:rPr>
          <w:rFonts w:hint="eastAsia" w:ascii="宋体" w:hAnsi="宋体" w:eastAsia="宋体" w:cs="宋体"/>
          <w:color w:val="auto"/>
          <w:spacing w:val="0"/>
          <w:sz w:val="24"/>
          <w:szCs w:val="24"/>
          <w:lang w:eastAsia="zh-CN"/>
        </w:rPr>
        <w:t>，蓄积强度</w:t>
      </w:r>
      <w:r>
        <w:rPr>
          <w:rFonts w:hint="eastAsia" w:ascii="宋体" w:hAnsi="宋体" w:eastAsia="宋体" w:cs="宋体"/>
          <w:color w:val="auto"/>
          <w:spacing w:val="0"/>
          <w:sz w:val="24"/>
          <w:szCs w:val="24"/>
          <w:lang w:val="en-US" w:eastAsia="zh-CN"/>
        </w:rPr>
        <w:t>4.0%—9.7%</w:t>
      </w:r>
      <w:r>
        <w:rPr>
          <w:rFonts w:hint="eastAsia" w:ascii="宋体" w:hAnsi="宋体" w:eastAsia="宋体" w:cs="宋体"/>
          <w:color w:val="auto"/>
          <w:spacing w:val="0"/>
          <w:sz w:val="24"/>
          <w:szCs w:val="24"/>
        </w:rPr>
        <w:t>。枯立木、濒死木和病虫木全部清除。</w:t>
      </w:r>
      <w:bookmarkEnd w:id="153"/>
      <w:bookmarkEnd w:id="154"/>
    </w:p>
    <w:p w14:paraId="0A045AB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bookmarkStart w:id="155" w:name="_Toc3528"/>
      <w:r>
        <w:rPr>
          <w:rFonts w:hint="eastAsia" w:ascii="宋体" w:hAnsi="宋体" w:eastAsia="宋体" w:cs="宋体"/>
          <w:b/>
          <w:bCs w:val="0"/>
          <w:color w:val="auto"/>
          <w:sz w:val="24"/>
          <w:szCs w:val="24"/>
          <w:lang w:val="en-US" w:eastAsia="zh-CN"/>
        </w:rPr>
        <w:t>2.8 修复间隔期</w:t>
      </w:r>
      <w:bookmarkEnd w:id="155"/>
    </w:p>
    <w:p w14:paraId="4BE4F7E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pacing w:val="0"/>
          <w:sz w:val="24"/>
          <w:szCs w:val="24"/>
        </w:rPr>
      </w:pPr>
      <w:bookmarkStart w:id="156" w:name="_Toc29383"/>
      <w:bookmarkStart w:id="157" w:name="_Toc8394"/>
      <w:r>
        <w:rPr>
          <w:rFonts w:hint="eastAsia" w:ascii="宋体" w:hAnsi="宋体" w:eastAsia="宋体" w:cs="宋体"/>
          <w:color w:val="auto"/>
          <w:spacing w:val="0"/>
          <w:sz w:val="24"/>
          <w:szCs w:val="24"/>
          <w:lang w:eastAsia="zh-CN"/>
        </w:rPr>
        <w:t>修复间隔年限为</w:t>
      </w:r>
      <w:r>
        <w:rPr>
          <w:rFonts w:hint="eastAsia" w:ascii="宋体" w:hAnsi="宋体" w:eastAsia="宋体" w:cs="宋体"/>
          <w:color w:val="auto"/>
          <w:spacing w:val="0"/>
          <w:sz w:val="24"/>
          <w:szCs w:val="24"/>
        </w:rPr>
        <w:t>5年。</w:t>
      </w:r>
      <w:bookmarkEnd w:id="156"/>
      <w:bookmarkEnd w:id="157"/>
    </w:p>
    <w:p w14:paraId="67396C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val="en-US" w:eastAsia="zh-CN"/>
        </w:rPr>
      </w:pPr>
      <w:bookmarkStart w:id="158" w:name="_Toc27239"/>
      <w:bookmarkStart w:id="159" w:name="_Toc16089"/>
      <w:bookmarkStart w:id="160" w:name="_Toc255547351"/>
      <w:bookmarkStart w:id="161" w:name="_Toc446515596"/>
      <w:bookmarkStart w:id="162" w:name="_Toc7958"/>
      <w:r>
        <w:rPr>
          <w:rFonts w:hint="eastAsia" w:ascii="宋体" w:hAnsi="宋体" w:eastAsia="宋体" w:cs="宋体"/>
          <w:b/>
          <w:bCs w:val="0"/>
          <w:color w:val="auto"/>
          <w:sz w:val="24"/>
          <w:szCs w:val="24"/>
          <w:lang w:val="en-US" w:eastAsia="zh-CN"/>
        </w:rPr>
        <w:t>2.9 附属工程</w:t>
      </w:r>
      <w:bookmarkEnd w:id="158"/>
      <w:bookmarkEnd w:id="159"/>
      <w:bookmarkEnd w:id="160"/>
      <w:bookmarkEnd w:id="161"/>
      <w:bookmarkEnd w:id="162"/>
    </w:p>
    <w:p w14:paraId="675C9E5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 xml:space="preserve"> </w:t>
      </w:r>
      <w:r>
        <w:rPr>
          <w:rFonts w:hint="eastAsia" w:ascii="宋体" w:hAnsi="宋体" w:eastAsia="宋体" w:cs="宋体"/>
          <w:color w:val="auto"/>
          <w:sz w:val="24"/>
          <w:szCs w:val="24"/>
        </w:rPr>
        <w:t>辅助设施：本作业区交通条件基本能满足需要，以及成本资金不足，不需要维修道路、修建简易集材道。</w:t>
      </w:r>
    </w:p>
    <w:p w14:paraId="48605F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 xml:space="preserve"> </w:t>
      </w:r>
      <w:r>
        <w:rPr>
          <w:rFonts w:hint="eastAsia" w:ascii="宋体" w:hAnsi="宋体" w:eastAsia="宋体" w:cs="宋体"/>
          <w:color w:val="auto"/>
          <w:sz w:val="24"/>
          <w:szCs w:val="24"/>
        </w:rPr>
        <w:t>根据生产需要在</w:t>
      </w:r>
      <w:r>
        <w:rPr>
          <w:rFonts w:hint="eastAsia" w:ascii="宋体" w:hAnsi="宋体" w:eastAsia="宋体" w:cs="宋体"/>
          <w:color w:val="auto"/>
          <w:sz w:val="24"/>
          <w:szCs w:val="24"/>
          <w:lang w:eastAsia="zh-CN"/>
        </w:rPr>
        <w:t>森林修复</w:t>
      </w:r>
      <w:r>
        <w:rPr>
          <w:rFonts w:hint="eastAsia" w:ascii="宋体" w:hAnsi="宋体" w:eastAsia="宋体" w:cs="宋体"/>
          <w:color w:val="auto"/>
          <w:sz w:val="24"/>
          <w:szCs w:val="24"/>
        </w:rPr>
        <w:t>作业区搭建临时简易工棚，实际搭建数量和位置可以灵活设置，费用包含在施工作业费中。工棚要搭在作业区附近以方便施工，建在地势较高的安全地方，同时要注意森林防火。</w:t>
      </w:r>
    </w:p>
    <w:p w14:paraId="781120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9.</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工器具、材料</w:t>
      </w:r>
      <w:r>
        <w:rPr>
          <w:rFonts w:hint="eastAsia" w:ascii="宋体" w:hAnsi="宋体" w:eastAsia="宋体" w:cs="宋体"/>
          <w:color w:val="auto"/>
          <w:sz w:val="24"/>
          <w:szCs w:val="24"/>
        </w:rPr>
        <w:t>：本项目施工作业需购买弯把锯、砍刀、油锯等工器具及材料。</w:t>
      </w:r>
    </w:p>
    <w:p w14:paraId="2362C1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val="0"/>
          <w:sz w:val="24"/>
          <w:szCs w:val="24"/>
          <w:highlight w:val="none"/>
          <w:lang w:val="en-US" w:eastAsia="zh-CN"/>
        </w:rPr>
      </w:pPr>
      <w:bookmarkStart w:id="163" w:name="_Toc11239"/>
      <w:bookmarkStart w:id="164" w:name="_Toc29152"/>
      <w:r>
        <w:rPr>
          <w:rFonts w:hint="eastAsia" w:ascii="宋体" w:hAnsi="宋体" w:eastAsia="宋体" w:cs="宋体"/>
          <w:b/>
          <w:bCs w:val="0"/>
          <w:sz w:val="24"/>
          <w:szCs w:val="24"/>
          <w:highlight w:val="none"/>
          <w:lang w:val="en-US" w:eastAsia="zh-CN"/>
        </w:rPr>
        <w:t>三、</w:t>
      </w:r>
      <w:bookmarkEnd w:id="163"/>
      <w:bookmarkEnd w:id="164"/>
      <w:r>
        <w:rPr>
          <w:rFonts w:hint="eastAsia" w:ascii="宋体" w:hAnsi="宋体" w:eastAsia="宋体" w:cs="宋体"/>
          <w:b/>
          <w:bCs w:val="0"/>
          <w:sz w:val="24"/>
          <w:szCs w:val="24"/>
          <w:highlight w:val="none"/>
          <w:lang w:val="en-US" w:eastAsia="zh-CN"/>
        </w:rPr>
        <w:t>生物多样性保护</w:t>
      </w:r>
    </w:p>
    <w:p w14:paraId="31D67E1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val="0"/>
          <w:sz w:val="24"/>
          <w:szCs w:val="24"/>
          <w:highlight w:val="none"/>
          <w:lang w:val="en-US" w:eastAsia="zh-CN"/>
        </w:rPr>
      </w:pPr>
      <w:bookmarkStart w:id="165" w:name="_Toc1870"/>
      <w:r>
        <w:rPr>
          <w:rFonts w:hint="eastAsia" w:ascii="宋体" w:hAnsi="宋体" w:eastAsia="宋体" w:cs="宋体"/>
          <w:b/>
          <w:bCs w:val="0"/>
          <w:sz w:val="24"/>
          <w:szCs w:val="24"/>
          <w:highlight w:val="none"/>
          <w:lang w:val="en-US" w:eastAsia="zh-CN"/>
        </w:rPr>
        <w:t>3.1 野生动物保护</w:t>
      </w:r>
      <w:bookmarkEnd w:id="165"/>
    </w:p>
    <w:p w14:paraId="689E8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森林抚育活动中，应采取以下措施保护野生动物:</w:t>
      </w:r>
    </w:p>
    <w:p w14:paraId="1A285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a)树冠上有鸟巢的林木，树干上有动物巢穴林木;作为动物巢穴隐蔽物的林木，应作为辅助木保留</w:t>
      </w:r>
      <w:r>
        <w:rPr>
          <w:rFonts w:hint="eastAsia" w:ascii="宋体" w:hAnsi="宋体" w:eastAsia="宋体" w:cs="宋体"/>
          <w:color w:val="auto"/>
          <w:sz w:val="24"/>
          <w:szCs w:val="24"/>
          <w:lang w:eastAsia="zh-CN"/>
        </w:rPr>
        <w:t>；</w:t>
      </w:r>
    </w:p>
    <w:p w14:paraId="10C35C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b)保护野生动物的栖息地和动物廊道。森林抚育作业设计和抚育作业实施过程均要考虑作业次序和作业区的在时间空间上隔离，以便在作业时野生动物有躲避场所。</w:t>
      </w:r>
    </w:p>
    <w:p w14:paraId="62EFC325">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val="0"/>
          <w:sz w:val="24"/>
          <w:szCs w:val="24"/>
          <w:highlight w:val="none"/>
          <w:lang w:val="en-US" w:eastAsia="zh-CN"/>
        </w:rPr>
      </w:pPr>
      <w:bookmarkStart w:id="166" w:name="_Toc17842"/>
      <w:r>
        <w:rPr>
          <w:rFonts w:hint="eastAsia" w:ascii="宋体" w:hAnsi="宋体" w:eastAsia="宋体" w:cs="宋体"/>
          <w:b/>
          <w:bCs w:val="0"/>
          <w:sz w:val="24"/>
          <w:szCs w:val="24"/>
          <w:highlight w:val="none"/>
          <w:lang w:val="en-US" w:eastAsia="zh-CN"/>
        </w:rPr>
        <w:t>3.2 野生植物保护</w:t>
      </w:r>
      <w:bookmarkEnd w:id="166"/>
    </w:p>
    <w:p w14:paraId="65C6BF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森林抚育活动中，应采取以下措施保护野生植物:</w:t>
      </w:r>
    </w:p>
    <w:p w14:paraId="59A167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国家或地方重点保护树种，或列入珍稀濒危植物名录的树种，要标记为辅助树或目标树保留:</w:t>
      </w:r>
    </w:p>
    <w:p w14:paraId="5ACD0A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)在针叶纯林中的当地乡土树种应作为辅助树保留;</w:t>
      </w:r>
    </w:p>
    <w:p w14:paraId="008E51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c)保留国家或地方重点保护的植物种类:</w:t>
      </w:r>
    </w:p>
    <w:p w14:paraId="7C7A35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d)保留有观赏和食用药用价值的植物:</w:t>
      </w:r>
    </w:p>
    <w:p w14:paraId="1BB160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e)保留利用价值不大但不影响林分卫生条件和目标树生长的林木。</w:t>
      </w:r>
    </w:p>
    <w:p w14:paraId="5246E94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val="0"/>
          <w:sz w:val="24"/>
          <w:szCs w:val="24"/>
          <w:highlight w:val="none"/>
          <w:lang w:val="en-US" w:eastAsia="zh-CN"/>
        </w:rPr>
      </w:pPr>
      <w:bookmarkStart w:id="167" w:name="_Toc16314"/>
      <w:r>
        <w:rPr>
          <w:rFonts w:hint="eastAsia" w:ascii="宋体" w:hAnsi="宋体" w:eastAsia="宋体" w:cs="宋体"/>
          <w:b/>
          <w:bCs w:val="0"/>
          <w:sz w:val="24"/>
          <w:szCs w:val="24"/>
          <w:highlight w:val="none"/>
          <w:lang w:val="en-US" w:eastAsia="zh-CN"/>
        </w:rPr>
        <w:t>3.3 其他保护措施</w:t>
      </w:r>
      <w:bookmarkEnd w:id="167"/>
    </w:p>
    <w:p w14:paraId="517AED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森林抚育活动中，还应采取以下措施保护生物多样性</w:t>
      </w:r>
      <w:r>
        <w:rPr>
          <w:rFonts w:hint="eastAsia" w:ascii="宋体" w:hAnsi="宋体" w:eastAsia="宋体" w:cs="宋体"/>
          <w:color w:val="auto"/>
          <w:sz w:val="24"/>
          <w:szCs w:val="24"/>
          <w:lang w:eastAsia="zh-CN"/>
        </w:rPr>
        <w:t>：</w:t>
      </w:r>
    </w:p>
    <w:p w14:paraId="49EDA0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森林抚育作业时要采取必要措施保护林下目的树种及珍贵树种幼苗、幼树</w:t>
      </w:r>
      <w:r>
        <w:rPr>
          <w:rFonts w:hint="eastAsia" w:ascii="宋体" w:hAnsi="宋体" w:eastAsia="宋体" w:cs="宋体"/>
          <w:color w:val="auto"/>
          <w:sz w:val="24"/>
          <w:szCs w:val="24"/>
          <w:lang w:eastAsia="zh-CN"/>
        </w:rPr>
        <w:t>；</w:t>
      </w:r>
    </w:p>
    <w:p w14:paraId="18416A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适当保留下木，凡不影响作业或目的树种幼苗、幼树生长的林下灌木不得伐除(割除)</w:t>
      </w:r>
      <w:r>
        <w:rPr>
          <w:rFonts w:hint="eastAsia" w:ascii="宋体" w:hAnsi="宋体" w:eastAsia="宋体" w:cs="宋体"/>
          <w:color w:val="auto"/>
          <w:sz w:val="24"/>
          <w:szCs w:val="24"/>
          <w:lang w:eastAsia="zh-CN"/>
        </w:rPr>
        <w:t>；</w:t>
      </w:r>
    </w:p>
    <w:p w14:paraId="283140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c)要结合除草、修枝等抚育措施清除可燃物</w:t>
      </w:r>
      <w:r>
        <w:rPr>
          <w:rFonts w:hint="eastAsia" w:ascii="宋体" w:hAnsi="宋体" w:eastAsia="宋体" w:cs="宋体"/>
          <w:color w:val="auto"/>
          <w:sz w:val="24"/>
          <w:szCs w:val="24"/>
          <w:lang w:eastAsia="zh-CN"/>
        </w:rPr>
        <w:t>；</w:t>
      </w:r>
    </w:p>
    <w:p w14:paraId="270F7F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color w:val="auto"/>
          <w:sz w:val="24"/>
          <w:szCs w:val="24"/>
        </w:rPr>
        <w:t>d)抚育采伐作业按照LY/T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1646和LY/T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1724的规定执行。</w:t>
      </w:r>
    </w:p>
    <w:p w14:paraId="1A14E9A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val="0"/>
          <w:sz w:val="24"/>
          <w:szCs w:val="24"/>
          <w:highlight w:val="none"/>
          <w:lang w:val="en-US" w:eastAsia="zh-CN"/>
        </w:rPr>
      </w:pPr>
      <w:bookmarkStart w:id="168" w:name="_Toc22238"/>
      <w:r>
        <w:rPr>
          <w:rFonts w:hint="eastAsia" w:ascii="宋体" w:hAnsi="宋体" w:eastAsia="宋体" w:cs="宋体"/>
          <w:b/>
          <w:bCs w:val="0"/>
          <w:sz w:val="24"/>
          <w:szCs w:val="24"/>
          <w:highlight w:val="none"/>
          <w:lang w:val="en-US" w:eastAsia="zh-CN"/>
        </w:rPr>
        <w:t>四、</w:t>
      </w:r>
      <w:bookmarkEnd w:id="168"/>
      <w:r>
        <w:rPr>
          <w:rFonts w:hint="eastAsia" w:ascii="宋体" w:hAnsi="宋体" w:eastAsia="宋体" w:cs="宋体"/>
          <w:b/>
          <w:bCs w:val="0"/>
          <w:sz w:val="24"/>
          <w:szCs w:val="24"/>
          <w:highlight w:val="none"/>
          <w:lang w:val="en-US" w:eastAsia="zh-CN"/>
        </w:rPr>
        <w:t>安全生产及森林防火</w:t>
      </w:r>
    </w:p>
    <w:p w14:paraId="7DE6B6A5">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val="0"/>
          <w:sz w:val="24"/>
          <w:szCs w:val="24"/>
          <w:highlight w:val="none"/>
          <w:lang w:val="en-US" w:eastAsia="zh-CN"/>
        </w:rPr>
      </w:pPr>
      <w:bookmarkStart w:id="169" w:name="_Toc15450"/>
      <w:bookmarkStart w:id="170" w:name="_Toc144353328"/>
      <w:bookmarkStart w:id="171" w:name="_Toc29037"/>
      <w:bookmarkStart w:id="172" w:name="_Toc280706032"/>
      <w:bookmarkStart w:id="173" w:name="_Toc93211337"/>
      <w:bookmarkStart w:id="174" w:name="_Toc446515598"/>
      <w:bookmarkStart w:id="175" w:name="_Toc5634"/>
      <w:r>
        <w:rPr>
          <w:rFonts w:hint="eastAsia" w:ascii="宋体" w:hAnsi="宋体" w:eastAsia="宋体" w:cs="宋体"/>
          <w:b/>
          <w:bCs w:val="0"/>
          <w:sz w:val="24"/>
          <w:szCs w:val="24"/>
          <w:highlight w:val="none"/>
          <w:lang w:val="en-US" w:eastAsia="zh-CN"/>
        </w:rPr>
        <w:t>4.1 安全生产</w:t>
      </w:r>
      <w:bookmarkEnd w:id="169"/>
      <w:bookmarkEnd w:id="170"/>
      <w:bookmarkEnd w:id="171"/>
      <w:bookmarkEnd w:id="172"/>
      <w:bookmarkEnd w:id="173"/>
      <w:bookmarkEnd w:id="174"/>
      <w:bookmarkEnd w:id="175"/>
    </w:p>
    <w:p w14:paraId="6BA5B3FE">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森</w:t>
      </w:r>
      <w:r>
        <w:rPr>
          <w:rFonts w:hint="eastAsia" w:ascii="宋体" w:hAnsi="宋体" w:eastAsia="宋体" w:cs="宋体"/>
          <w:color w:val="auto"/>
          <w:sz w:val="24"/>
          <w:szCs w:val="24"/>
        </w:rPr>
        <w:t>林</w:t>
      </w:r>
      <w:r>
        <w:rPr>
          <w:rFonts w:hint="eastAsia" w:ascii="宋体" w:hAnsi="宋体" w:eastAsia="宋体" w:cs="宋体"/>
          <w:color w:val="auto"/>
          <w:sz w:val="24"/>
          <w:szCs w:val="24"/>
          <w:lang w:eastAsia="zh-CN"/>
        </w:rPr>
        <w:t>修复</w:t>
      </w:r>
      <w:r>
        <w:rPr>
          <w:rFonts w:hint="eastAsia" w:ascii="宋体" w:hAnsi="宋体" w:eastAsia="宋体" w:cs="宋体"/>
          <w:color w:val="auto"/>
          <w:sz w:val="24"/>
          <w:szCs w:val="24"/>
        </w:rPr>
        <w:t>作业首先要做到“安全第一”，保证作业人员的安全与健康，避免发生伤亡事故。</w:t>
      </w:r>
    </w:p>
    <w:p w14:paraId="0086DA8B">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（1）安全管理</w:t>
      </w:r>
    </w:p>
    <w:p w14:paraId="3E0BE411">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主管部门和施工单位必须建立相应的安全管理、监督、检查机构，明确相应的工作职责，制定严格的安全生产管理制度，与有关施工单位和个人签订安全生产责任书，并对安全生产和劳动安全实施有效的管理、监督和检查。</w:t>
      </w:r>
    </w:p>
    <w:p w14:paraId="61619A86">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②当劳动保护设施不完备、作业场地不安全、作业环境不适宜时，施工单位应及时采取相应的措施。</w:t>
      </w:r>
    </w:p>
    <w:p w14:paraId="30EF591D">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③施工单位要组织开展有关安全生产和劳动安全的教育，增强作业人员的安全意识。</w:t>
      </w:r>
    </w:p>
    <w:p w14:paraId="0546B3C3">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（2）安全操作</w:t>
      </w:r>
    </w:p>
    <w:p w14:paraId="33B0A745">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①作业人员或施工单位必须严格执行相关的安全生产技术操作规程。</w:t>
      </w:r>
    </w:p>
    <w:p w14:paraId="00C49240">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②凡违反相关的安全生产技术操作规程造成事故的，必须追究当事人、生产单位和主管部门的责任。</w:t>
      </w:r>
    </w:p>
    <w:p w14:paraId="490F2495">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w:t>
      </w:r>
      <w:r>
        <w:rPr>
          <w:rFonts w:hint="eastAsia" w:ascii="宋体" w:hAnsi="宋体" w:eastAsia="宋体" w:cs="宋体"/>
          <w:color w:val="auto"/>
          <w:sz w:val="24"/>
          <w:szCs w:val="24"/>
          <w:lang w:val="en-US" w:eastAsia="zh-CN"/>
        </w:rPr>
        <w:t>森林</w:t>
      </w:r>
      <w:r>
        <w:rPr>
          <w:rFonts w:hint="eastAsia" w:ascii="宋体" w:hAnsi="宋体" w:eastAsia="宋体" w:cs="宋体"/>
          <w:color w:val="auto"/>
          <w:sz w:val="24"/>
          <w:szCs w:val="24"/>
          <w:lang w:eastAsia="zh-CN"/>
        </w:rPr>
        <w:t>修复</w:t>
      </w:r>
      <w:r>
        <w:rPr>
          <w:rFonts w:hint="eastAsia" w:ascii="宋体" w:hAnsi="宋体" w:eastAsia="宋体" w:cs="宋体"/>
          <w:color w:val="auto"/>
          <w:sz w:val="24"/>
          <w:szCs w:val="24"/>
        </w:rPr>
        <w:t>时应使用专用的作业工具。</w:t>
      </w:r>
    </w:p>
    <w:p w14:paraId="0FD9A330">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（3）劳动保护</w:t>
      </w:r>
    </w:p>
    <w:p w14:paraId="46771800">
      <w:pPr>
        <w:pStyle w:val="39"/>
        <w:keepNext w:val="0"/>
        <w:keepLines w:val="0"/>
        <w:pageBreakBefore w:val="0"/>
        <w:widowControl w:val="0"/>
        <w:tabs>
          <w:tab w:val="left" w:pos="842"/>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w:t>
      </w:r>
      <w:r>
        <w:rPr>
          <w:rFonts w:hint="eastAsia" w:ascii="宋体" w:hAnsi="宋体" w:eastAsia="宋体" w:cs="宋体"/>
          <w:color w:val="auto"/>
          <w:sz w:val="24"/>
          <w:szCs w:val="24"/>
          <w:lang w:val="en-US" w:eastAsia="zh-CN"/>
        </w:rPr>
        <w:t>施</w:t>
      </w:r>
      <w:r>
        <w:rPr>
          <w:rFonts w:hint="eastAsia" w:ascii="宋体" w:hAnsi="宋体" w:eastAsia="宋体" w:cs="宋体"/>
          <w:color w:val="auto"/>
          <w:sz w:val="24"/>
          <w:szCs w:val="24"/>
        </w:rPr>
        <w:t>工单位必须为作业工人提供安全、健康的工作环境。</w:t>
      </w:r>
    </w:p>
    <w:p w14:paraId="32A812B3">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②必须为中幼龄林</w:t>
      </w:r>
      <w:r>
        <w:rPr>
          <w:rFonts w:hint="eastAsia" w:ascii="宋体" w:hAnsi="宋体" w:eastAsia="宋体" w:cs="宋体"/>
          <w:color w:val="auto"/>
          <w:sz w:val="24"/>
          <w:szCs w:val="24"/>
          <w:lang w:eastAsia="zh-CN"/>
        </w:rPr>
        <w:t>修复</w:t>
      </w:r>
      <w:r>
        <w:rPr>
          <w:rFonts w:hint="eastAsia" w:ascii="宋体" w:hAnsi="宋体" w:eastAsia="宋体" w:cs="宋体"/>
          <w:color w:val="auto"/>
          <w:sz w:val="24"/>
          <w:szCs w:val="24"/>
        </w:rPr>
        <w:t>作业人员提供足够的、符合饮用标准的生活用水。</w:t>
      </w:r>
    </w:p>
    <w:p w14:paraId="24546AA5">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③必须为作业人员配备安全设备和劳动保护用品。</w:t>
      </w:r>
    </w:p>
    <w:p w14:paraId="40D6FDF6">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④作业点或作业点附近要有常用的急救药品和器具。</w:t>
      </w:r>
    </w:p>
    <w:p w14:paraId="7BFFFF70">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⑤作业人员在作业现场必须佩戴所要求的防护用品。</w:t>
      </w:r>
    </w:p>
    <w:p w14:paraId="5704FEBD">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val="0"/>
          <w:sz w:val="24"/>
          <w:szCs w:val="24"/>
          <w:highlight w:val="none"/>
          <w:lang w:val="en-US" w:eastAsia="zh-CN"/>
        </w:rPr>
      </w:pPr>
      <w:bookmarkStart w:id="176" w:name="_Toc144353329"/>
      <w:bookmarkStart w:id="177" w:name="_Toc280706033"/>
      <w:bookmarkStart w:id="178" w:name="_Toc26869"/>
      <w:bookmarkStart w:id="179" w:name="_Toc446515599"/>
      <w:bookmarkStart w:id="180" w:name="_Toc1989"/>
      <w:bookmarkStart w:id="181" w:name="_Toc10823"/>
      <w:r>
        <w:rPr>
          <w:rFonts w:hint="eastAsia" w:ascii="宋体" w:hAnsi="宋体" w:eastAsia="宋体" w:cs="宋体"/>
          <w:b/>
          <w:bCs w:val="0"/>
          <w:sz w:val="24"/>
          <w:szCs w:val="24"/>
          <w:highlight w:val="none"/>
          <w:lang w:val="en-US" w:eastAsia="zh-CN"/>
        </w:rPr>
        <w:t>4.2 森林防火</w:t>
      </w:r>
      <w:bookmarkEnd w:id="176"/>
      <w:bookmarkEnd w:id="177"/>
      <w:bookmarkEnd w:id="178"/>
      <w:bookmarkEnd w:id="179"/>
      <w:bookmarkEnd w:id="180"/>
      <w:bookmarkEnd w:id="181"/>
    </w:p>
    <w:p w14:paraId="256A818E">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森林防火要</w:t>
      </w:r>
      <w:r>
        <w:rPr>
          <w:rFonts w:hint="eastAsia" w:ascii="宋体" w:hAnsi="宋体" w:eastAsia="宋体" w:cs="宋体"/>
          <w:color w:val="auto"/>
          <w:sz w:val="24"/>
          <w:szCs w:val="24"/>
          <w:lang w:val="en-US" w:eastAsia="zh-CN"/>
        </w:rPr>
        <w:t>坚持</w:t>
      </w:r>
      <w:r>
        <w:rPr>
          <w:rFonts w:hint="eastAsia" w:ascii="宋体" w:hAnsi="宋体" w:eastAsia="宋体" w:cs="宋体"/>
          <w:color w:val="auto"/>
          <w:sz w:val="24"/>
          <w:szCs w:val="24"/>
        </w:rPr>
        <w:t>以预防为主，积极消灭为原则。在中幼龄林</w:t>
      </w:r>
      <w:r>
        <w:rPr>
          <w:rFonts w:hint="eastAsia" w:ascii="宋体" w:hAnsi="宋体" w:eastAsia="宋体" w:cs="宋体"/>
          <w:color w:val="auto"/>
          <w:sz w:val="24"/>
          <w:szCs w:val="24"/>
          <w:lang w:eastAsia="zh-CN"/>
        </w:rPr>
        <w:t>修复</w:t>
      </w:r>
      <w:r>
        <w:rPr>
          <w:rFonts w:hint="eastAsia" w:ascii="宋体" w:hAnsi="宋体" w:eastAsia="宋体" w:cs="宋体"/>
          <w:color w:val="auto"/>
          <w:sz w:val="24"/>
          <w:szCs w:val="24"/>
        </w:rPr>
        <w:t>作业的全部活动中，都要严格执行当地有关的防火规定，避免发生森林火灾和居住场地火灾。</w:t>
      </w:r>
    </w:p>
    <w:p w14:paraId="2903187E">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（1）防火、灭火教育</w:t>
      </w:r>
    </w:p>
    <w:p w14:paraId="71086DDC">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对于所有参与中幼龄林</w:t>
      </w:r>
      <w:r>
        <w:rPr>
          <w:rFonts w:hint="eastAsia" w:ascii="宋体" w:hAnsi="宋体" w:eastAsia="宋体" w:cs="宋体"/>
          <w:color w:val="auto"/>
          <w:sz w:val="24"/>
          <w:szCs w:val="24"/>
          <w:lang w:eastAsia="zh-CN"/>
        </w:rPr>
        <w:t>修复</w:t>
      </w:r>
      <w:r>
        <w:rPr>
          <w:rFonts w:hint="eastAsia" w:ascii="宋体" w:hAnsi="宋体" w:eastAsia="宋体" w:cs="宋体"/>
          <w:color w:val="auto"/>
          <w:sz w:val="24"/>
          <w:szCs w:val="24"/>
        </w:rPr>
        <w:t>作业的工作人员，都要进行防火、灭火的教育与培训。</w:t>
      </w:r>
    </w:p>
    <w:p w14:paraId="304AF257">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（2）临时居住场地防火</w:t>
      </w:r>
    </w:p>
    <w:p w14:paraId="6D43C794">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①为作业人员休息、吃饭所搭建的帐蓬、简易房屋、工棚或其附近的活动场地，都要设置防火隔离带，清除隔离带中的杂草、灌木、枯木、倒木。</w:t>
      </w:r>
    </w:p>
    <w:p w14:paraId="155AB769">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②居住场地必须配备消防器材。</w:t>
      </w:r>
    </w:p>
    <w:p w14:paraId="58C6F2FA">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③用于取暖、做饭、照明的火源，必须有专人看管，火源周围不得有可燃物质。</w:t>
      </w:r>
    </w:p>
    <w:p w14:paraId="7C2B64EF">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④吸烟必须在特定的地点，吸剩的烟头要马上熄灭，不得乱扔。</w:t>
      </w:r>
    </w:p>
    <w:p w14:paraId="57D8069D">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⑤工棚、房屋外的烟囱必须安装防火罩，并防止风向改变造成一氧化碳中毒。</w:t>
      </w:r>
    </w:p>
    <w:p w14:paraId="7801B535">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⑥及时清除容易引起火灾的油料、燃料、各种废弃物。</w:t>
      </w:r>
    </w:p>
    <w:p w14:paraId="1DE3B18B">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（3）作业区防火</w:t>
      </w:r>
    </w:p>
    <w:p w14:paraId="737FA23C">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在作业区内不得用火。如遇特殊情况必须用火时，要清理出场地，火源半径3m内不得有任何可燃物质，作业人员离开火源时，必须彻底将火熄灭。</w:t>
      </w:r>
    </w:p>
    <w:p w14:paraId="4EAD75FD">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（4）机械设备防火</w:t>
      </w:r>
    </w:p>
    <w:p w14:paraId="3B9E9F14">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①清除机械设备表面多余的油污，以防高温或遇明火而引起火灾。</w:t>
      </w:r>
    </w:p>
    <w:p w14:paraId="7313BB61">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②机械加油时，应保证加油点3m内无任何可燃物质。</w:t>
      </w:r>
    </w:p>
    <w:p w14:paraId="1D4F1904">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③机械的排气、点火或产生高温的系统，要安装防火装置或采取必要的防火措施。</w:t>
      </w:r>
    </w:p>
    <w:p w14:paraId="2EF3BC3B">
      <w:pPr>
        <w:pStyle w:val="3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（5）火情处理</w:t>
      </w:r>
    </w:p>
    <w:p w14:paraId="43553D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color w:val="auto"/>
          <w:sz w:val="24"/>
          <w:szCs w:val="24"/>
        </w:rPr>
        <w:t>一旦发生火情，必须立即停止作业，采取必要的灭火措施，并向有关部门报告。火情处理时，要对火情进行危险性估计，以保证人身安全。</w:t>
      </w:r>
    </w:p>
    <w:p w14:paraId="30C05FEC">
      <w:pPr>
        <w:rPr>
          <w:rFonts w:hint="eastAsia" w:asciiTheme="minorEastAsia" w:hAnsiTheme="minorEastAsia" w:eastAsiaTheme="minorEastAsia" w:cstheme="minorEastAsia"/>
          <w:bCs/>
          <w:sz w:val="36"/>
          <w:szCs w:val="36"/>
          <w:highlight w:val="none"/>
        </w:rPr>
      </w:pPr>
      <w:r>
        <w:rPr>
          <w:rFonts w:hint="eastAsia" w:asciiTheme="minorEastAsia" w:hAnsiTheme="minorEastAsia" w:eastAsiaTheme="minorEastAsia" w:cstheme="minorEastAsia"/>
          <w:bCs/>
          <w:sz w:val="36"/>
          <w:szCs w:val="36"/>
          <w:highlight w:val="none"/>
        </w:rPr>
        <w:br w:type="page"/>
      </w:r>
    </w:p>
    <w:p w14:paraId="7F335ED8">
      <w:pPr>
        <w:pStyle w:val="3"/>
        <w:spacing w:line="360" w:lineRule="auto"/>
        <w:jc w:val="center"/>
        <w:rPr>
          <w:rFonts w:asciiTheme="minorEastAsia" w:hAnsiTheme="minorEastAsia" w:eastAsiaTheme="minorEastAsia" w:cstheme="minorEastAsia"/>
          <w:bCs/>
          <w:sz w:val="36"/>
          <w:szCs w:val="36"/>
          <w:highlight w:val="none"/>
        </w:rPr>
      </w:pPr>
      <w:bookmarkStart w:id="182" w:name="_Toc11907"/>
      <w:r>
        <w:rPr>
          <w:rFonts w:hint="eastAsia" w:asciiTheme="minorEastAsia" w:hAnsiTheme="minorEastAsia" w:eastAsiaTheme="minorEastAsia" w:cstheme="minorEastAsia"/>
          <w:bCs/>
          <w:sz w:val="36"/>
          <w:szCs w:val="36"/>
          <w:highlight w:val="none"/>
        </w:rPr>
        <w:t>第六章  投标文件构成及格式</w:t>
      </w:r>
      <w:bookmarkEnd w:id="99"/>
      <w:bookmarkEnd w:id="182"/>
    </w:p>
    <w:p w14:paraId="7445FF89">
      <w:pPr>
        <w:rPr>
          <w:rFonts w:asciiTheme="minorEastAsia" w:hAnsiTheme="minorEastAsia" w:eastAsiaTheme="minorEastAsia" w:cstheme="minorEastAsia"/>
          <w:highlight w:val="none"/>
        </w:rPr>
      </w:pPr>
    </w:p>
    <w:p w14:paraId="6C21A659">
      <w:pPr>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rPr>
        <w:t>项目编号：</w:t>
      </w:r>
      <w:r>
        <w:rPr>
          <w:rFonts w:hint="eastAsia" w:asciiTheme="minorEastAsia" w:hAnsiTheme="minorEastAsia" w:eastAsiaTheme="minorEastAsia" w:cstheme="minorEastAsia"/>
          <w:b/>
          <w:sz w:val="32"/>
          <w:szCs w:val="32"/>
          <w:highlight w:val="none"/>
          <w:lang w:eastAsia="zh-CN"/>
        </w:rPr>
        <w:t>QH2025-GK-102</w:t>
      </w:r>
    </w:p>
    <w:p w14:paraId="0D29E724">
      <w:pPr>
        <w:jc w:val="right"/>
        <w:rPr>
          <w:rFonts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（正本或副本）</w:t>
      </w:r>
    </w:p>
    <w:p w14:paraId="7B28B8F1">
      <w:pPr>
        <w:jc w:val="center"/>
        <w:rPr>
          <w:rFonts w:asciiTheme="minorEastAsia" w:hAnsiTheme="minorEastAsia" w:eastAsiaTheme="minorEastAsia" w:cstheme="minorEastAsia"/>
          <w:b/>
          <w:sz w:val="36"/>
          <w:szCs w:val="36"/>
          <w:highlight w:val="none"/>
        </w:rPr>
      </w:pPr>
    </w:p>
    <w:p w14:paraId="0213693A">
      <w:pPr>
        <w:rPr>
          <w:rFonts w:asciiTheme="minorEastAsia" w:hAnsiTheme="minorEastAsia" w:eastAsiaTheme="minorEastAsia" w:cstheme="minorEastAsia"/>
          <w:b/>
          <w:sz w:val="52"/>
          <w:szCs w:val="52"/>
          <w:highlight w:val="none"/>
        </w:rPr>
      </w:pPr>
    </w:p>
    <w:p w14:paraId="5CE1865E">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56"/>
          <w:szCs w:val="56"/>
          <w:highlight w:val="none"/>
          <w:lang w:eastAsia="zh-CN"/>
        </w:rPr>
        <w:t>柞水县2025年中央财政森林修复项目（第二批）</w:t>
      </w:r>
    </w:p>
    <w:p w14:paraId="06736E7B">
      <w:pPr>
        <w:pStyle w:val="11"/>
        <w:rPr>
          <w:highlight w:val="none"/>
        </w:rPr>
      </w:pPr>
    </w:p>
    <w:p w14:paraId="5DD06657">
      <w:pPr>
        <w:jc w:val="center"/>
        <w:rPr>
          <w:rFonts w:asciiTheme="minorEastAsia" w:hAnsiTheme="minorEastAsia" w:eastAsiaTheme="minorEastAsia" w:cstheme="minorEastAsia"/>
          <w:b/>
          <w:sz w:val="48"/>
          <w:szCs w:val="48"/>
          <w:highlight w:val="none"/>
        </w:rPr>
      </w:pPr>
      <w:r>
        <w:rPr>
          <w:rFonts w:hint="eastAsia" w:asciiTheme="minorEastAsia" w:hAnsiTheme="minorEastAsia" w:eastAsiaTheme="minorEastAsia" w:cstheme="minorEastAsia"/>
          <w:b/>
          <w:sz w:val="48"/>
          <w:szCs w:val="48"/>
          <w:highlight w:val="none"/>
        </w:rPr>
        <w:t>（</w:t>
      </w:r>
      <w:r>
        <w:rPr>
          <w:rFonts w:hint="eastAsia" w:asciiTheme="minorEastAsia" w:hAnsiTheme="minorEastAsia" w:eastAsiaTheme="minorEastAsia" w:cstheme="minorEastAsia"/>
          <w:b/>
          <w:sz w:val="48"/>
          <w:szCs w:val="48"/>
          <w:highlight w:val="none"/>
          <w:lang w:val="en-US" w:eastAsia="zh-CN"/>
        </w:rPr>
        <w:t>合同包</w:t>
      </w:r>
      <w:r>
        <w:rPr>
          <w:rFonts w:hint="eastAsia" w:asciiTheme="minorEastAsia" w:hAnsiTheme="minorEastAsia" w:eastAsiaTheme="minorEastAsia" w:cstheme="minorEastAsia"/>
          <w:b/>
          <w:sz w:val="48"/>
          <w:szCs w:val="48"/>
          <w:highlight w:val="none"/>
          <w:u w:val="single"/>
          <w:lang w:val="en-US" w:eastAsia="zh-CN"/>
        </w:rPr>
        <w:t xml:space="preserve">   </w:t>
      </w:r>
      <w:r>
        <w:rPr>
          <w:rFonts w:hint="eastAsia" w:asciiTheme="minorEastAsia" w:hAnsiTheme="minorEastAsia" w:eastAsiaTheme="minorEastAsia" w:cstheme="minorEastAsia"/>
          <w:b/>
          <w:sz w:val="48"/>
          <w:szCs w:val="48"/>
          <w:highlight w:val="none"/>
        </w:rPr>
        <w:t>）</w:t>
      </w:r>
    </w:p>
    <w:p w14:paraId="28269D88">
      <w:pPr>
        <w:rPr>
          <w:rFonts w:asciiTheme="minorEastAsia" w:hAnsiTheme="minorEastAsia" w:eastAsiaTheme="minorEastAsia" w:cstheme="minorEastAsia"/>
          <w:highlight w:val="none"/>
        </w:rPr>
      </w:pPr>
    </w:p>
    <w:p w14:paraId="2B44A58A">
      <w:pPr>
        <w:jc w:val="center"/>
        <w:rPr>
          <w:rFonts w:asciiTheme="minorEastAsia" w:hAnsiTheme="minorEastAsia" w:eastAsiaTheme="minorEastAsia" w:cstheme="minorEastAsia"/>
          <w:b/>
          <w:sz w:val="72"/>
          <w:szCs w:val="72"/>
          <w:highlight w:val="none"/>
        </w:rPr>
      </w:pPr>
      <w:r>
        <w:rPr>
          <w:rFonts w:hint="eastAsia" w:asciiTheme="minorEastAsia" w:hAnsiTheme="minorEastAsia" w:eastAsiaTheme="minorEastAsia" w:cstheme="minorEastAsia"/>
          <w:b/>
          <w:sz w:val="72"/>
          <w:szCs w:val="72"/>
          <w:highlight w:val="none"/>
        </w:rPr>
        <w:t>投 标 文 件</w:t>
      </w:r>
    </w:p>
    <w:p w14:paraId="7F801EE3">
      <w:pPr>
        <w:jc w:val="center"/>
        <w:rPr>
          <w:rFonts w:asciiTheme="minorEastAsia" w:hAnsiTheme="minorEastAsia" w:eastAsiaTheme="minorEastAsia" w:cstheme="minorEastAsia"/>
          <w:b/>
          <w:sz w:val="72"/>
          <w:szCs w:val="72"/>
          <w:highlight w:val="none"/>
        </w:rPr>
      </w:pPr>
    </w:p>
    <w:p w14:paraId="52863992">
      <w:pPr>
        <w:rPr>
          <w:rFonts w:asciiTheme="minorEastAsia" w:hAnsiTheme="minorEastAsia" w:eastAsiaTheme="minorEastAsia" w:cstheme="minorEastAsia"/>
          <w:b/>
          <w:sz w:val="36"/>
          <w:szCs w:val="36"/>
          <w:highlight w:val="none"/>
        </w:rPr>
      </w:pPr>
    </w:p>
    <w:p w14:paraId="5D4A6CC6">
      <w:pPr>
        <w:spacing w:line="360" w:lineRule="auto"/>
        <w:rPr>
          <w:rFonts w:asciiTheme="minorEastAsia" w:hAnsiTheme="minorEastAsia" w:eastAsiaTheme="minorEastAsia" w:cstheme="minorEastAsia"/>
          <w:b/>
          <w:bCs/>
          <w:sz w:val="28"/>
          <w:szCs w:val="28"/>
          <w:highlight w:val="none"/>
        </w:rPr>
      </w:pPr>
    </w:p>
    <w:p w14:paraId="37E85B0B">
      <w:pPr>
        <w:spacing w:line="360" w:lineRule="auto"/>
        <w:rPr>
          <w:rFonts w:asciiTheme="minorEastAsia" w:hAnsiTheme="minorEastAsia" w:eastAsiaTheme="minorEastAsia" w:cstheme="minorEastAsia"/>
          <w:b/>
          <w:bCs/>
          <w:sz w:val="28"/>
          <w:szCs w:val="28"/>
          <w:highlight w:val="none"/>
        </w:rPr>
      </w:pPr>
    </w:p>
    <w:p w14:paraId="4BC7E4AF">
      <w:pPr>
        <w:spacing w:line="360" w:lineRule="auto"/>
        <w:rPr>
          <w:rFonts w:asciiTheme="minorEastAsia" w:hAnsiTheme="minorEastAsia" w:eastAsiaTheme="minorEastAsia" w:cstheme="minorEastAsia"/>
          <w:b/>
          <w:bCs/>
          <w:sz w:val="28"/>
          <w:szCs w:val="28"/>
          <w:highlight w:val="none"/>
        </w:rPr>
      </w:pPr>
    </w:p>
    <w:p w14:paraId="4E398752">
      <w:pPr>
        <w:spacing w:line="360" w:lineRule="auto"/>
        <w:rPr>
          <w:rFonts w:asciiTheme="minorEastAsia" w:hAnsiTheme="minorEastAsia" w:eastAsiaTheme="minorEastAsia" w:cstheme="minorEastAsia"/>
          <w:b/>
          <w:bCs/>
          <w:sz w:val="28"/>
          <w:szCs w:val="28"/>
          <w:highlight w:val="none"/>
          <w:u w:val="single"/>
        </w:rPr>
      </w:pPr>
      <w:r>
        <w:rPr>
          <w:rFonts w:hint="eastAsia" w:asciiTheme="minorEastAsia" w:hAnsiTheme="minorEastAsia" w:eastAsiaTheme="minorEastAsia" w:cstheme="minorEastAsia"/>
          <w:b/>
          <w:bCs/>
          <w:sz w:val="28"/>
          <w:szCs w:val="28"/>
          <w:highlight w:val="none"/>
        </w:rPr>
        <w:t>投标人名称：（盖章）</w:t>
      </w:r>
      <w:r>
        <w:rPr>
          <w:rFonts w:hint="eastAsia" w:asciiTheme="minorEastAsia" w:hAnsiTheme="minorEastAsia" w:eastAsiaTheme="minorEastAsia" w:cstheme="minorEastAsia"/>
          <w:b/>
          <w:bCs/>
          <w:sz w:val="28"/>
          <w:szCs w:val="28"/>
          <w:highlight w:val="none"/>
          <w:u w:val="single"/>
        </w:rPr>
        <w:t xml:space="preserve">                     </w:t>
      </w:r>
    </w:p>
    <w:p w14:paraId="0B5314F5">
      <w:pPr>
        <w:spacing w:line="360" w:lineRule="auto"/>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法定代表人或其委托代理人：</w:t>
      </w:r>
      <w:r>
        <w:rPr>
          <w:rFonts w:hint="eastAsia" w:asciiTheme="minorEastAsia" w:hAnsiTheme="minorEastAsia" w:eastAsiaTheme="minorEastAsia" w:cstheme="minorEastAsia"/>
          <w:b/>
          <w:bCs/>
          <w:sz w:val="28"/>
          <w:szCs w:val="28"/>
          <w:highlight w:val="none"/>
          <w:lang w:val="en-US" w:eastAsia="zh-CN"/>
        </w:rPr>
        <w:t xml:space="preserve">        </w:t>
      </w:r>
      <w:r>
        <w:rPr>
          <w:rFonts w:hint="eastAsia" w:asciiTheme="minorEastAsia" w:hAnsiTheme="minorEastAsia" w:eastAsiaTheme="minorEastAsia" w:cstheme="minorEastAsia"/>
          <w:b/>
          <w:bCs/>
          <w:sz w:val="28"/>
          <w:szCs w:val="28"/>
          <w:highlight w:val="none"/>
        </w:rPr>
        <w:t>（签字或盖章）</w:t>
      </w:r>
    </w:p>
    <w:p w14:paraId="3A9B29B6">
      <w:pPr>
        <w:spacing w:line="360" w:lineRule="auto"/>
        <w:jc w:val="center"/>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年      月      日</w:t>
      </w:r>
    </w:p>
    <w:p w14:paraId="09C230FF">
      <w:pPr>
        <w:spacing w:line="360" w:lineRule="auto"/>
        <w:rPr>
          <w:rFonts w:asciiTheme="minorEastAsia" w:hAnsiTheme="minorEastAsia" w:eastAsiaTheme="minorEastAsia" w:cstheme="minorEastAsia"/>
          <w:highlight w:val="none"/>
        </w:rPr>
      </w:pPr>
    </w:p>
    <w:p w14:paraId="66F75822">
      <w:pPr>
        <w:spacing w:line="360" w:lineRule="auto"/>
        <w:rPr>
          <w:rFonts w:asciiTheme="minorEastAsia" w:hAnsiTheme="minorEastAsia" w:eastAsiaTheme="minorEastAsia" w:cstheme="minorEastAsia"/>
          <w:highlight w:val="none"/>
        </w:rPr>
        <w:sectPr>
          <w:footerReference r:id="rId10" w:type="default"/>
          <w:pgSz w:w="11906" w:h="16838"/>
          <w:pgMar w:top="1304" w:right="1361" w:bottom="1304" w:left="1361" w:header="851" w:footer="992" w:gutter="0"/>
          <w:cols w:space="0" w:num="1"/>
          <w:docGrid w:type="lines" w:linePitch="312" w:charSpace="0"/>
        </w:sectPr>
      </w:pPr>
    </w:p>
    <w:p w14:paraId="202A010E">
      <w:pPr>
        <w:spacing w:beforeLines="50" w:afterLines="50" w:line="360" w:lineRule="auto"/>
        <w:jc w:val="center"/>
        <w:rPr>
          <w:rFonts w:asciiTheme="minorEastAsia" w:hAnsiTheme="minorEastAsia" w:eastAsiaTheme="minorEastAsia" w:cstheme="minorEastAsia"/>
          <w:b/>
          <w:bCs/>
          <w:spacing w:val="4"/>
          <w:sz w:val="36"/>
          <w:szCs w:val="36"/>
          <w:highlight w:val="none"/>
        </w:rPr>
      </w:pPr>
      <w:r>
        <w:rPr>
          <w:rFonts w:hint="eastAsia" w:asciiTheme="minorEastAsia" w:hAnsiTheme="minorEastAsia" w:eastAsiaTheme="minorEastAsia" w:cstheme="minorEastAsia"/>
          <w:b/>
          <w:bCs/>
          <w:spacing w:val="4"/>
          <w:sz w:val="36"/>
          <w:szCs w:val="36"/>
          <w:highlight w:val="none"/>
        </w:rPr>
        <w:t>目 录</w:t>
      </w:r>
    </w:p>
    <w:p w14:paraId="45801741">
      <w:pPr>
        <w:tabs>
          <w:tab w:val="left" w:pos="7656"/>
        </w:tabs>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（一）投标函</w:t>
      </w:r>
    </w:p>
    <w:p w14:paraId="57B6742F">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（二）开标一览表</w:t>
      </w:r>
    </w:p>
    <w:p w14:paraId="335424BB">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（三）商务响应偏离表</w:t>
      </w:r>
    </w:p>
    <w:p w14:paraId="7BC1CFB5">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（四）投标方案说明书</w:t>
      </w:r>
    </w:p>
    <w:p w14:paraId="1B4A39AC">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（五）企业类似业绩</w:t>
      </w:r>
    </w:p>
    <w:p w14:paraId="40A7E053">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（六）陕西省政府采购投标人拒绝政府采购领域商业贿赂承诺书</w:t>
      </w:r>
    </w:p>
    <w:p w14:paraId="0B6401B6">
      <w:pPr>
        <w:spacing w:line="480" w:lineRule="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（七）资格证明文件</w:t>
      </w:r>
    </w:p>
    <w:p w14:paraId="101C72DC">
      <w:pPr>
        <w:rPr>
          <w:rFonts w:asciiTheme="minorEastAsia" w:hAnsiTheme="minorEastAsia" w:eastAsiaTheme="minorEastAsia" w:cstheme="minorEastAsia"/>
          <w:sz w:val="28"/>
          <w:highlight w:val="none"/>
        </w:rPr>
      </w:pPr>
      <w:bookmarkStart w:id="183" w:name="_Toc22992"/>
      <w:r>
        <w:rPr>
          <w:rFonts w:hint="eastAsia" w:asciiTheme="minorEastAsia" w:hAnsiTheme="minorEastAsia" w:eastAsiaTheme="minorEastAsia" w:cstheme="minorEastAsia"/>
          <w:sz w:val="28"/>
          <w:highlight w:val="none"/>
        </w:rPr>
        <w:br w:type="page"/>
      </w:r>
    </w:p>
    <w:bookmarkEnd w:id="183"/>
    <w:p w14:paraId="294935E2">
      <w:pPr>
        <w:pStyle w:val="4"/>
        <w:spacing w:beforeLines="100" w:line="360" w:lineRule="auto"/>
        <w:jc w:val="center"/>
        <w:rPr>
          <w:rFonts w:asciiTheme="minorEastAsia" w:hAnsiTheme="minorEastAsia" w:eastAsiaTheme="minorEastAsia" w:cstheme="minorEastAsia"/>
          <w:sz w:val="32"/>
          <w:szCs w:val="32"/>
          <w:highlight w:val="none"/>
        </w:rPr>
      </w:pPr>
      <w:bookmarkStart w:id="184" w:name="_Toc30488"/>
      <w:bookmarkStart w:id="185" w:name="_Toc19529"/>
      <w:bookmarkStart w:id="186" w:name="_Toc6822"/>
      <w:bookmarkStart w:id="187" w:name="_Toc4974"/>
      <w:bookmarkStart w:id="188" w:name="_Toc11460"/>
      <w:bookmarkStart w:id="189" w:name="_Toc22435"/>
      <w:bookmarkStart w:id="190" w:name="_Toc29539"/>
      <w:r>
        <w:rPr>
          <w:rFonts w:hint="eastAsia" w:asciiTheme="minorEastAsia" w:hAnsiTheme="minorEastAsia" w:eastAsiaTheme="minorEastAsia" w:cstheme="minorEastAsia"/>
          <w:sz w:val="32"/>
          <w:szCs w:val="32"/>
          <w:highlight w:val="none"/>
        </w:rPr>
        <w:t>一、投标函</w:t>
      </w:r>
      <w:bookmarkEnd w:id="184"/>
      <w:bookmarkEnd w:id="185"/>
      <w:bookmarkEnd w:id="186"/>
      <w:bookmarkEnd w:id="187"/>
      <w:bookmarkEnd w:id="188"/>
      <w:bookmarkEnd w:id="189"/>
      <w:bookmarkEnd w:id="190"/>
    </w:p>
    <w:p w14:paraId="7A15CAE7">
      <w:pPr>
        <w:spacing w:line="360" w:lineRule="auto"/>
        <w:jc w:val="left"/>
        <w:rPr>
          <w:rFonts w:asciiTheme="minorEastAsia" w:hAnsiTheme="minorEastAsia" w:eastAsiaTheme="minorEastAsia" w:cstheme="minorEastAsia"/>
          <w:spacing w:val="4"/>
          <w:sz w:val="24"/>
          <w:szCs w:val="24"/>
          <w:highlight w:val="none"/>
          <w:u w:val="single"/>
        </w:rPr>
      </w:pPr>
      <w:r>
        <w:rPr>
          <w:rFonts w:hint="eastAsia" w:asciiTheme="minorEastAsia" w:hAnsiTheme="minorEastAsia" w:eastAsiaTheme="minorEastAsia" w:cstheme="minorEastAsia"/>
          <w:spacing w:val="4"/>
          <w:sz w:val="24"/>
          <w:szCs w:val="24"/>
          <w:highlight w:val="none"/>
        </w:rPr>
        <w:t>致：</w:t>
      </w:r>
      <w:r>
        <w:rPr>
          <w:rFonts w:hint="eastAsia" w:asciiTheme="minorEastAsia" w:hAnsiTheme="minorEastAsia" w:eastAsiaTheme="minorEastAsia" w:cstheme="minorEastAsia"/>
          <w:spacing w:val="4"/>
          <w:sz w:val="24"/>
          <w:szCs w:val="24"/>
          <w:highlight w:val="none"/>
          <w:lang w:eastAsia="zh-CN"/>
        </w:rPr>
        <w:t>陕西启航项目管理咨询有限公司</w:t>
      </w:r>
      <w:r>
        <w:rPr>
          <w:rFonts w:hint="eastAsia" w:asciiTheme="minorEastAsia" w:hAnsiTheme="minorEastAsia" w:eastAsiaTheme="minorEastAsia" w:cstheme="minorEastAsia"/>
          <w:spacing w:val="4"/>
          <w:sz w:val="24"/>
          <w:szCs w:val="24"/>
          <w:highlight w:val="none"/>
        </w:rPr>
        <w:t xml:space="preserve"> </w:t>
      </w:r>
    </w:p>
    <w:p w14:paraId="0946DB7D">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根据贵方“</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”项目的投标邀请</w:t>
      </w:r>
      <w:r>
        <w:rPr>
          <w:rFonts w:hint="eastAsia" w:asciiTheme="minorEastAsia" w:hAnsiTheme="minorEastAsia" w:eastAsiaTheme="minorEastAsia" w:cstheme="minorEastAsia"/>
          <w:spacing w:val="4"/>
          <w:sz w:val="24"/>
          <w:szCs w:val="24"/>
          <w:highlight w:val="none"/>
          <w:u w:val="single"/>
        </w:rPr>
        <w:t>(编号：     包号： 第 包   )</w:t>
      </w:r>
      <w:r>
        <w:rPr>
          <w:rFonts w:hint="eastAsia" w:asciiTheme="minorEastAsia" w:hAnsiTheme="minorEastAsia" w:eastAsiaTheme="minorEastAsia" w:cstheme="minorEastAsia"/>
          <w:spacing w:val="4"/>
          <w:sz w:val="24"/>
          <w:szCs w:val="24"/>
          <w:highlight w:val="none"/>
        </w:rPr>
        <w:t>，签字代表</w:t>
      </w:r>
      <w:r>
        <w:rPr>
          <w:rFonts w:hint="eastAsia" w:asciiTheme="minorEastAsia" w:hAnsiTheme="minorEastAsia" w:eastAsiaTheme="minorEastAsia" w:cstheme="minorEastAsia"/>
          <w:spacing w:val="4"/>
          <w:sz w:val="24"/>
          <w:szCs w:val="24"/>
          <w:highlight w:val="none"/>
          <w:u w:val="single"/>
        </w:rPr>
        <w:t>（全名、职务）</w:t>
      </w:r>
      <w:r>
        <w:rPr>
          <w:rFonts w:hint="eastAsia" w:asciiTheme="minorEastAsia" w:hAnsiTheme="minorEastAsia" w:eastAsiaTheme="minorEastAsia" w:cstheme="minorEastAsia"/>
          <w:spacing w:val="4"/>
          <w:sz w:val="24"/>
          <w:szCs w:val="24"/>
          <w:highlight w:val="none"/>
        </w:rPr>
        <w:t>经正式授权并代表投标人</w:t>
      </w:r>
      <w:r>
        <w:rPr>
          <w:rFonts w:hint="eastAsia" w:asciiTheme="minorEastAsia" w:hAnsiTheme="minorEastAsia" w:eastAsiaTheme="minorEastAsia" w:cstheme="minorEastAsia"/>
          <w:spacing w:val="4"/>
          <w:sz w:val="24"/>
          <w:szCs w:val="24"/>
          <w:highlight w:val="none"/>
          <w:u w:val="single"/>
        </w:rPr>
        <w:t>(投标人名称、地址)</w:t>
      </w:r>
      <w:r>
        <w:rPr>
          <w:rFonts w:hint="eastAsia" w:asciiTheme="minorEastAsia" w:hAnsiTheme="minorEastAsia" w:eastAsiaTheme="minorEastAsia" w:cstheme="minorEastAsia"/>
          <w:spacing w:val="4"/>
          <w:sz w:val="24"/>
          <w:szCs w:val="24"/>
          <w:highlight w:val="none"/>
        </w:rPr>
        <w:t xml:space="preserve"> 提交投标文件正本壹份、副本一式</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份,电子版</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份。</w:t>
      </w:r>
    </w:p>
    <w:p w14:paraId="4B0288BC">
      <w:pPr>
        <w:keepNext w:val="0"/>
        <w:keepLines w:val="0"/>
        <w:pageBreakBefore w:val="0"/>
        <w:widowControl w:val="0"/>
        <w:kinsoku/>
        <w:wordWrap/>
        <w:overflowPunct/>
        <w:topLinePunct w:val="0"/>
        <w:autoSpaceDE/>
        <w:autoSpaceDN/>
        <w:bidi w:val="0"/>
        <w:adjustRightInd/>
        <w:snapToGrid/>
        <w:spacing w:line="360" w:lineRule="auto"/>
        <w:ind w:left="549" w:leftChars="251" w:hanging="22" w:hangingChars="9"/>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我方承诺如下：</w:t>
      </w:r>
    </w:p>
    <w:p w14:paraId="44C71761">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1）投标总价为</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pacing w:val="4"/>
          <w:sz w:val="24"/>
          <w:szCs w:val="24"/>
          <w:highlight w:val="none"/>
        </w:rPr>
        <w:t>（人民币）（用文字和数字表示的投标总价）。</w:t>
      </w:r>
    </w:p>
    <w:p w14:paraId="463B3C8A">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2）如果成交，我们根据公开招标文件的规定，履行合同的责任和义务。</w:t>
      </w:r>
    </w:p>
    <w:p w14:paraId="2518D5FB">
      <w:pPr>
        <w:pStyle w:val="11"/>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default" w:eastAsiaTheme="minorEastAsia"/>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3）我公司拟派项目经理姓名：</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；执业证书名称：</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；执业证书信息（证书编号）：</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none"/>
          <w:lang w:val="en-US" w:eastAsia="zh-CN"/>
        </w:rPr>
        <w:t>。</w:t>
      </w:r>
    </w:p>
    <w:p w14:paraId="1B162F0D">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）我们已详细阅读和审核全部公开招标文件（含修改部分，如有的话），及有关附件，我们知道必须放弃提出含糊不清或误解的问题的权利。</w:t>
      </w:r>
    </w:p>
    <w:p w14:paraId="4D0944FD">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5</w:t>
      </w:r>
      <w:r>
        <w:rPr>
          <w:rFonts w:hint="eastAsia" w:asciiTheme="minorEastAsia" w:hAnsiTheme="minorEastAsia" w:eastAsiaTheme="minorEastAsia" w:cstheme="minorEastAsia"/>
          <w:spacing w:val="4"/>
          <w:sz w:val="24"/>
          <w:szCs w:val="24"/>
          <w:highlight w:val="none"/>
        </w:rPr>
        <w:t>）我们同意在投标有效期内（</w:t>
      </w:r>
      <w:r>
        <w:rPr>
          <w:rFonts w:hint="eastAsia" w:asciiTheme="minorEastAsia" w:hAnsiTheme="minorEastAsia" w:eastAsiaTheme="minorEastAsia" w:cstheme="minorEastAsia"/>
          <w:spacing w:val="4"/>
          <w:sz w:val="24"/>
          <w:szCs w:val="24"/>
          <w:highlight w:val="none"/>
          <w:u w:val="single"/>
        </w:rPr>
        <w:t>自投标之日起  天内</w:t>
      </w:r>
      <w:r>
        <w:rPr>
          <w:rFonts w:hint="eastAsia" w:asciiTheme="minorEastAsia" w:hAnsiTheme="minorEastAsia" w:eastAsiaTheme="minorEastAsia" w:cstheme="minorEastAsia"/>
          <w:spacing w:val="4"/>
          <w:sz w:val="24"/>
          <w:szCs w:val="24"/>
          <w:highlight w:val="none"/>
        </w:rPr>
        <w:t>），本投标函对我方具有约束力。</w:t>
      </w:r>
    </w:p>
    <w:p w14:paraId="61EB3757">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6</w:t>
      </w:r>
      <w:r>
        <w:rPr>
          <w:rFonts w:hint="eastAsia" w:asciiTheme="minorEastAsia" w:hAnsiTheme="minorEastAsia" w:eastAsiaTheme="minorEastAsia" w:cstheme="minorEastAsia"/>
          <w:spacing w:val="4"/>
          <w:sz w:val="24"/>
          <w:szCs w:val="24"/>
          <w:highlight w:val="none"/>
        </w:rPr>
        <w:t xml:space="preserve">）同意提供贵方可能另外要求的与本投标有关的任何证据和资料。 </w:t>
      </w:r>
    </w:p>
    <w:p w14:paraId="7ECD5FEB">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7</w:t>
      </w:r>
      <w:r>
        <w:rPr>
          <w:rFonts w:hint="eastAsia" w:asciiTheme="minorEastAsia" w:hAnsiTheme="minorEastAsia" w:eastAsiaTheme="minorEastAsia" w:cstheme="minorEastAsia"/>
          <w:spacing w:val="4"/>
          <w:sz w:val="24"/>
          <w:szCs w:val="24"/>
          <w:highlight w:val="none"/>
        </w:rPr>
        <w:t>）我们同意，如果成交，向</w:t>
      </w:r>
      <w:r>
        <w:rPr>
          <w:rFonts w:hint="eastAsia" w:asciiTheme="minorEastAsia" w:hAnsiTheme="minorEastAsia" w:eastAsiaTheme="minorEastAsia" w:cstheme="minorEastAsia"/>
          <w:spacing w:val="4"/>
          <w:sz w:val="24"/>
          <w:szCs w:val="24"/>
          <w:highlight w:val="none"/>
          <w:lang w:eastAsia="zh-CN"/>
        </w:rPr>
        <w:t>陕西启航项目管理咨询有限公司</w:t>
      </w:r>
      <w:r>
        <w:rPr>
          <w:rFonts w:hint="eastAsia" w:asciiTheme="minorEastAsia" w:hAnsiTheme="minorEastAsia" w:eastAsiaTheme="minorEastAsia" w:cstheme="minorEastAsia"/>
          <w:spacing w:val="4"/>
          <w:sz w:val="24"/>
          <w:szCs w:val="24"/>
          <w:highlight w:val="none"/>
        </w:rPr>
        <w:t>交纳招标代理服务费。</w:t>
      </w:r>
    </w:p>
    <w:p w14:paraId="197AFECB">
      <w:pPr>
        <w:keepNext w:val="0"/>
        <w:keepLines w:val="0"/>
        <w:pageBreakBefore w:val="0"/>
        <w:widowControl w:val="0"/>
        <w:tabs>
          <w:tab w:val="left" w:pos="2160"/>
        </w:tabs>
        <w:kinsoku/>
        <w:wordWrap/>
        <w:overflowPunct/>
        <w:topLinePunct w:val="0"/>
        <w:autoSpaceDE/>
        <w:autoSpaceDN/>
        <w:bidi w:val="0"/>
        <w:adjustRightInd/>
        <w:snapToGrid/>
        <w:spacing w:line="360" w:lineRule="auto"/>
        <w:ind w:firstLine="496" w:firstLineChars="200"/>
        <w:jc w:val="left"/>
        <w:textAlignment w:val="auto"/>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8</w:t>
      </w:r>
      <w:r>
        <w:rPr>
          <w:rFonts w:hint="eastAsia" w:asciiTheme="minorEastAsia" w:hAnsiTheme="minorEastAsia" w:eastAsiaTheme="minorEastAsia" w:cstheme="minorEastAsia"/>
          <w:spacing w:val="4"/>
          <w:sz w:val="24"/>
          <w:szCs w:val="24"/>
          <w:highlight w:val="none"/>
        </w:rPr>
        <w:t>）与本投标有关的一切正式往来通讯为：</w:t>
      </w:r>
    </w:p>
    <w:p w14:paraId="71C49E05">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联系地址：</w:t>
      </w:r>
    </w:p>
    <w:p w14:paraId="7F118EC3">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邮政编码：</w:t>
      </w:r>
    </w:p>
    <w:p w14:paraId="1615B1C7">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电    话：</w:t>
      </w:r>
    </w:p>
    <w:p w14:paraId="4808AAF1">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传    真：</w:t>
      </w:r>
    </w:p>
    <w:p w14:paraId="7A66FF9E">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投标人名称（盖章）：</w:t>
      </w:r>
    </w:p>
    <w:p w14:paraId="746EB3A8">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投标人法定代表人签字或盖章：</w:t>
      </w:r>
    </w:p>
    <w:p w14:paraId="6285649A">
      <w:pPr>
        <w:spacing w:line="360" w:lineRule="auto"/>
        <w:ind w:firstLine="1240" w:firstLineChars="5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日    期：</w:t>
      </w:r>
    </w:p>
    <w:p w14:paraId="66573800">
      <w:pPr>
        <w:pStyle w:val="4"/>
        <w:spacing w:beforeLines="100"/>
        <w:jc w:val="cente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highlight w:val="none"/>
        </w:rPr>
        <w:br w:type="page"/>
      </w:r>
      <w:bookmarkStart w:id="191" w:name="_Toc16455"/>
      <w:bookmarkStart w:id="192" w:name="_Toc14574"/>
      <w:bookmarkStart w:id="193" w:name="_Toc3285"/>
      <w:bookmarkStart w:id="194" w:name="_Toc25464"/>
      <w:bookmarkStart w:id="195" w:name="_Toc31119"/>
      <w:bookmarkStart w:id="196" w:name="_Toc13504"/>
      <w:bookmarkStart w:id="197" w:name="_Toc4562"/>
      <w:r>
        <w:rPr>
          <w:rFonts w:hint="eastAsia" w:asciiTheme="minorEastAsia" w:hAnsiTheme="minorEastAsia" w:eastAsiaTheme="minorEastAsia" w:cstheme="minorEastAsia"/>
          <w:sz w:val="32"/>
          <w:szCs w:val="32"/>
          <w:highlight w:val="none"/>
        </w:rPr>
        <w:t>二、开标一览表</w:t>
      </w:r>
      <w:bookmarkEnd w:id="191"/>
      <w:bookmarkEnd w:id="192"/>
      <w:bookmarkEnd w:id="193"/>
      <w:bookmarkEnd w:id="194"/>
      <w:bookmarkEnd w:id="195"/>
      <w:bookmarkEnd w:id="196"/>
      <w:bookmarkEnd w:id="197"/>
    </w:p>
    <w:p w14:paraId="7A7AC619">
      <w:pPr>
        <w:jc w:val="center"/>
        <w:rPr>
          <w:rFonts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2.1报价一览表</w:t>
      </w:r>
    </w:p>
    <w:p w14:paraId="32712AD4">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p w14:paraId="61BEB304">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项目编号、包号（第  包）：</w:t>
      </w:r>
    </w:p>
    <w:tbl>
      <w:tblPr>
        <w:tblStyle w:val="2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593"/>
      </w:tblGrid>
      <w:tr w14:paraId="40B1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restart"/>
            <w:vAlign w:val="center"/>
          </w:tcPr>
          <w:p w14:paraId="27F526E1">
            <w:pPr>
              <w:jc w:val="center"/>
              <w:rPr>
                <w:rFonts w:ascii="宋体"/>
                <w:sz w:val="24"/>
                <w:szCs w:val="24"/>
                <w:highlight w:val="none"/>
              </w:rPr>
            </w:pPr>
            <w:r>
              <w:rPr>
                <w:rFonts w:hint="eastAsia" w:ascii="宋体" w:hAnsi="宋体" w:cs="宋体"/>
                <w:sz w:val="24"/>
                <w:szCs w:val="24"/>
                <w:highlight w:val="none"/>
              </w:rPr>
              <w:t>投标总报价（元）</w:t>
            </w:r>
          </w:p>
        </w:tc>
        <w:tc>
          <w:tcPr>
            <w:tcW w:w="6593" w:type="dxa"/>
            <w:vAlign w:val="center"/>
          </w:tcPr>
          <w:p w14:paraId="18878E30">
            <w:pPr>
              <w:rPr>
                <w:rFonts w:ascii="宋体"/>
                <w:sz w:val="24"/>
                <w:szCs w:val="24"/>
                <w:highlight w:val="none"/>
              </w:rPr>
            </w:pPr>
            <w:r>
              <w:rPr>
                <w:rFonts w:hint="eastAsia" w:ascii="宋体" w:hAnsi="宋体" w:cs="宋体"/>
                <w:sz w:val="24"/>
                <w:szCs w:val="24"/>
                <w:highlight w:val="none"/>
              </w:rPr>
              <w:t>小写：</w:t>
            </w:r>
          </w:p>
        </w:tc>
      </w:tr>
      <w:tr w14:paraId="091F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Merge w:val="continue"/>
            <w:vAlign w:val="center"/>
          </w:tcPr>
          <w:p w14:paraId="3869AC6A">
            <w:pPr>
              <w:rPr>
                <w:highlight w:val="none"/>
              </w:rPr>
            </w:pPr>
          </w:p>
        </w:tc>
        <w:tc>
          <w:tcPr>
            <w:tcW w:w="6593" w:type="dxa"/>
            <w:vAlign w:val="center"/>
          </w:tcPr>
          <w:p w14:paraId="2D87EC8E">
            <w:pPr>
              <w:rPr>
                <w:rFonts w:ascii="宋体"/>
                <w:sz w:val="24"/>
                <w:szCs w:val="24"/>
                <w:highlight w:val="none"/>
              </w:rPr>
            </w:pPr>
            <w:r>
              <w:rPr>
                <w:rFonts w:hint="eastAsia" w:ascii="宋体" w:hAnsi="宋体" w:cs="宋体"/>
                <w:sz w:val="24"/>
                <w:szCs w:val="24"/>
                <w:highlight w:val="none"/>
              </w:rPr>
              <w:t>大写：</w:t>
            </w:r>
          </w:p>
        </w:tc>
      </w:tr>
      <w:tr w14:paraId="79E9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2DCEEAFF">
            <w:pPr>
              <w:jc w:val="center"/>
              <w:rPr>
                <w:rFonts w:ascii="宋体" w:hAnsi="宋体" w:cs="宋体"/>
                <w:sz w:val="24"/>
                <w:szCs w:val="24"/>
                <w:highlight w:val="none"/>
              </w:rPr>
            </w:pPr>
            <w:r>
              <w:rPr>
                <w:rFonts w:hint="eastAsia" w:ascii="宋体" w:hAnsi="宋体" w:cs="宋体"/>
                <w:sz w:val="24"/>
                <w:szCs w:val="24"/>
                <w:highlight w:val="none"/>
              </w:rPr>
              <w:t>工期</w:t>
            </w:r>
          </w:p>
        </w:tc>
        <w:tc>
          <w:tcPr>
            <w:tcW w:w="6593" w:type="dxa"/>
            <w:vAlign w:val="center"/>
          </w:tcPr>
          <w:p w14:paraId="35F92C78">
            <w:pPr>
              <w:rPr>
                <w:rFonts w:ascii="宋体"/>
                <w:sz w:val="24"/>
                <w:szCs w:val="24"/>
                <w:highlight w:val="none"/>
              </w:rPr>
            </w:pPr>
          </w:p>
        </w:tc>
      </w:tr>
      <w:tr w14:paraId="03D8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5F157131">
            <w:pPr>
              <w:jc w:val="center"/>
              <w:rPr>
                <w:rFonts w:ascii="宋体"/>
                <w:sz w:val="24"/>
                <w:szCs w:val="24"/>
                <w:highlight w:val="none"/>
              </w:rPr>
            </w:pPr>
            <w:r>
              <w:rPr>
                <w:rFonts w:hint="eastAsia" w:ascii="宋体" w:hAnsi="宋体" w:cs="宋体"/>
                <w:sz w:val="24"/>
                <w:szCs w:val="24"/>
                <w:highlight w:val="none"/>
              </w:rPr>
              <w:t>质量标准</w:t>
            </w:r>
          </w:p>
        </w:tc>
        <w:tc>
          <w:tcPr>
            <w:tcW w:w="6593" w:type="dxa"/>
            <w:vAlign w:val="center"/>
          </w:tcPr>
          <w:p w14:paraId="16126AFE">
            <w:pPr>
              <w:rPr>
                <w:rFonts w:ascii="宋体"/>
                <w:sz w:val="24"/>
                <w:szCs w:val="24"/>
                <w:highlight w:val="none"/>
              </w:rPr>
            </w:pPr>
          </w:p>
        </w:tc>
      </w:tr>
      <w:tr w14:paraId="1E68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7" w:type="dxa"/>
            <w:vAlign w:val="center"/>
          </w:tcPr>
          <w:p w14:paraId="515EA6AC">
            <w:pPr>
              <w:jc w:val="center"/>
              <w:rPr>
                <w:rFonts w:ascii="宋体"/>
                <w:sz w:val="24"/>
                <w:szCs w:val="24"/>
                <w:highlight w:val="none"/>
              </w:rPr>
            </w:pPr>
            <w:r>
              <w:rPr>
                <w:rFonts w:hint="eastAsia" w:ascii="宋体" w:hAnsi="宋体" w:cs="宋体"/>
                <w:sz w:val="24"/>
                <w:szCs w:val="24"/>
                <w:highlight w:val="none"/>
              </w:rPr>
              <w:t>备注</w:t>
            </w:r>
          </w:p>
        </w:tc>
        <w:tc>
          <w:tcPr>
            <w:tcW w:w="6593" w:type="dxa"/>
            <w:vAlign w:val="center"/>
          </w:tcPr>
          <w:p w14:paraId="10E8B591">
            <w:pPr>
              <w:rPr>
                <w:rFonts w:ascii="宋体"/>
                <w:sz w:val="24"/>
                <w:szCs w:val="24"/>
                <w:highlight w:val="none"/>
              </w:rPr>
            </w:pPr>
          </w:p>
        </w:tc>
      </w:tr>
    </w:tbl>
    <w:p w14:paraId="5476FA9B">
      <w:pPr>
        <w:spacing w:line="120" w:lineRule="exact"/>
        <w:rPr>
          <w:rFonts w:asciiTheme="minorEastAsia" w:hAnsiTheme="minorEastAsia" w:eastAsiaTheme="minorEastAsia" w:cstheme="minorEastAsia"/>
          <w:sz w:val="24"/>
          <w:szCs w:val="24"/>
          <w:highlight w:val="none"/>
        </w:rPr>
      </w:pPr>
    </w:p>
    <w:p w14:paraId="2FD32F8C">
      <w:pPr>
        <w:spacing w:line="360" w:lineRule="auto"/>
        <w:rPr>
          <w:rFonts w:asciiTheme="minorEastAsia" w:hAnsiTheme="minorEastAsia" w:eastAsiaTheme="minorEastAsia" w:cstheme="minorEastAsia"/>
          <w:sz w:val="24"/>
          <w:szCs w:val="24"/>
          <w:highlight w:val="none"/>
        </w:rPr>
      </w:pPr>
    </w:p>
    <w:p w14:paraId="17E1BB52">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r>
        <w:rPr>
          <w:rFonts w:hint="eastAsia" w:asciiTheme="minorEastAsia" w:hAnsiTheme="minorEastAsia" w:eastAsiaTheme="minorEastAsia" w:cstheme="minorEastAsia"/>
          <w:sz w:val="24"/>
          <w:szCs w:val="24"/>
          <w:highlight w:val="none"/>
          <w:u w:val="single"/>
        </w:rPr>
        <w:t xml:space="preserve">      （加盖投标人公章）      </w:t>
      </w:r>
    </w:p>
    <w:p w14:paraId="5A5B2494">
      <w:pPr>
        <w:spacing w:line="480" w:lineRule="auto"/>
        <w:ind w:right="540" w:rightChars="257"/>
        <w:jc w:val="left"/>
        <w:rPr>
          <w:rFonts w:asciiTheme="minorEastAsia" w:hAnsiTheme="minorEastAsia" w:eastAsiaTheme="minorEastAsia" w:cstheme="minorEastAsia"/>
          <w:sz w:val="24"/>
          <w:szCs w:val="24"/>
          <w:highlight w:val="none"/>
        </w:rPr>
      </w:pPr>
    </w:p>
    <w:p w14:paraId="3F0AB549">
      <w:pPr>
        <w:spacing w:line="480" w:lineRule="auto"/>
        <w:ind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771FF6C0">
      <w:pPr>
        <w:spacing w:line="480" w:lineRule="auto"/>
        <w:ind w:right="540" w:rightChars="257"/>
        <w:jc w:val="left"/>
        <w:rPr>
          <w:rFonts w:asciiTheme="minorEastAsia" w:hAnsiTheme="minorEastAsia" w:eastAsiaTheme="minorEastAsia" w:cstheme="minorEastAsia"/>
          <w:sz w:val="24"/>
          <w:szCs w:val="24"/>
          <w:highlight w:val="none"/>
        </w:rPr>
      </w:pPr>
    </w:p>
    <w:p w14:paraId="13A8560E">
      <w:pPr>
        <w:spacing w:line="480" w:lineRule="auto"/>
        <w:ind w:right="540" w:rightChars="257"/>
        <w:rPr>
          <w:rFonts w:hint="eastAsia" w:asciiTheme="minorEastAsia" w:hAnsiTheme="minorEastAsia" w:eastAsiaTheme="minorEastAsia" w:cstheme="minorEastAsia"/>
          <w:sz w:val="24"/>
          <w:szCs w:val="24"/>
          <w:highlight w:val="none"/>
        </w:rPr>
        <w:sectPr>
          <w:pgSz w:w="11906" w:h="16838"/>
          <w:pgMar w:top="1304" w:right="1361" w:bottom="1304" w:left="1361" w:header="851" w:footer="992" w:gutter="0"/>
          <w:cols w:space="720" w:num="1"/>
          <w:docGrid w:type="lines" w:linePitch="312" w:charSpace="0"/>
        </w:sectPr>
      </w:pPr>
      <w:r>
        <w:rPr>
          <w:rFonts w:hint="eastAsia" w:asciiTheme="minorEastAsia" w:hAnsiTheme="minorEastAsia" w:eastAsiaTheme="minorEastAsia" w:cstheme="minorEastAsia"/>
          <w:sz w:val="24"/>
          <w:szCs w:val="24"/>
          <w:highlight w:val="none"/>
        </w:rPr>
        <w:t>日    期：</w:t>
      </w:r>
    </w:p>
    <w:p w14:paraId="67DF3724">
      <w:pPr>
        <w:rPr>
          <w:rFonts w:hint="eastAsia" w:asciiTheme="minorEastAsia" w:hAnsiTheme="minorEastAsia" w:eastAsiaTheme="minorEastAsia" w:cstheme="minorEastAsia"/>
          <w:b/>
          <w:sz w:val="30"/>
          <w:szCs w:val="30"/>
          <w:highlight w:val="none"/>
          <w:lang w:val="en-US" w:eastAsia="zh-CN"/>
        </w:rPr>
      </w:pPr>
      <w:r>
        <w:rPr>
          <w:rFonts w:hint="eastAsia" w:asciiTheme="minorEastAsia" w:hAnsiTheme="minorEastAsia" w:eastAsiaTheme="minorEastAsia" w:cstheme="minorEastAsia"/>
          <w:b/>
          <w:sz w:val="30"/>
          <w:szCs w:val="30"/>
          <w:highlight w:val="none"/>
          <w:lang w:val="en-US" w:eastAsia="zh-CN"/>
        </w:rPr>
        <w:br w:type="page"/>
      </w:r>
    </w:p>
    <w:p w14:paraId="64098909">
      <w:pPr>
        <w:jc w:val="center"/>
        <w:rPr>
          <w:rFonts w:hint="eastAsia" w:asciiTheme="minorEastAsia" w:hAnsiTheme="minorEastAsia" w:eastAsiaTheme="minorEastAsia" w:cstheme="minorEastAsia"/>
          <w:b/>
          <w:sz w:val="30"/>
          <w:szCs w:val="30"/>
          <w:highlight w:val="none"/>
          <w:lang w:val="en-US" w:eastAsia="zh-CN"/>
        </w:rPr>
      </w:pPr>
      <w:r>
        <w:rPr>
          <w:rFonts w:hint="eastAsia" w:asciiTheme="minorEastAsia" w:hAnsiTheme="minorEastAsia" w:eastAsiaTheme="minorEastAsia" w:cstheme="minorEastAsia"/>
          <w:b/>
          <w:sz w:val="30"/>
          <w:szCs w:val="30"/>
          <w:highlight w:val="none"/>
          <w:lang w:val="en-US" w:eastAsia="zh-CN"/>
        </w:rPr>
        <w:t>2.2分项报价表</w:t>
      </w:r>
    </w:p>
    <w:p w14:paraId="25C2FD15">
      <w:pPr>
        <w:jc w:val="center"/>
        <w:rPr>
          <w:rFonts w:hint="default" w:eastAsia="宋体"/>
          <w:b/>
          <w:bCs/>
          <w:sz w:val="28"/>
          <w:szCs w:val="32"/>
          <w:highlight w:val="none"/>
          <w:lang w:val="en-US" w:eastAsia="zh-CN"/>
        </w:rPr>
      </w:pPr>
      <w:r>
        <w:rPr>
          <w:rFonts w:hint="eastAsia"/>
          <w:b/>
          <w:bCs/>
          <w:sz w:val="28"/>
          <w:szCs w:val="32"/>
          <w:highlight w:val="none"/>
          <w:lang w:val="en-US" w:eastAsia="zh-CN"/>
        </w:rPr>
        <w:t>报价格式详见附件</w:t>
      </w:r>
    </w:p>
    <w:p w14:paraId="26AA2390">
      <w:pPr>
        <w:spacing w:line="312" w:lineRule="auto"/>
        <w:ind w:right="540" w:rightChars="257"/>
        <w:jc w:val="left"/>
        <w:rPr>
          <w:rFonts w:hint="eastAsia" w:asciiTheme="minorEastAsia" w:hAnsiTheme="minorEastAsia" w:eastAsiaTheme="minorEastAsia" w:cstheme="minorEastAsia"/>
          <w:sz w:val="24"/>
          <w:highlight w:val="none"/>
        </w:rPr>
      </w:pPr>
    </w:p>
    <w:p w14:paraId="2710A828">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32D3F05">
      <w:pPr>
        <w:spacing w:line="312" w:lineRule="auto"/>
        <w:ind w:right="540" w:rightChars="257"/>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11F93AA5">
      <w:pPr>
        <w:pStyle w:val="4"/>
        <w:tabs>
          <w:tab w:val="left" w:pos="4860"/>
        </w:tabs>
        <w:spacing w:beforeLines="0" w:afterLines="50"/>
        <w:jc w:val="center"/>
        <w:rPr>
          <w:rFonts w:asciiTheme="minorEastAsia" w:hAnsiTheme="minorEastAsia" w:eastAsiaTheme="minorEastAsia" w:cstheme="minorEastAsia"/>
          <w:sz w:val="32"/>
          <w:szCs w:val="32"/>
          <w:highlight w:val="none"/>
        </w:rPr>
      </w:pPr>
      <w:r>
        <w:rPr>
          <w:rFonts w:hint="eastAsia"/>
          <w:highlight w:val="none"/>
          <w:lang w:val="en-US" w:eastAsia="zh-CN"/>
        </w:rPr>
        <w:br w:type="page"/>
      </w:r>
      <w:bookmarkStart w:id="198" w:name="_Toc2477"/>
      <w:bookmarkStart w:id="199" w:name="_Toc15813"/>
      <w:bookmarkStart w:id="200" w:name="_Toc6360"/>
      <w:bookmarkStart w:id="201" w:name="_Toc26747"/>
      <w:bookmarkStart w:id="202" w:name="_Toc10537"/>
      <w:bookmarkStart w:id="203" w:name="_Toc31089"/>
      <w:bookmarkStart w:id="204" w:name="_Toc344572163"/>
      <w:r>
        <w:rPr>
          <w:rFonts w:hint="eastAsia" w:asciiTheme="minorEastAsia" w:hAnsiTheme="minorEastAsia" w:eastAsiaTheme="minorEastAsia" w:cstheme="minorEastAsia"/>
          <w:sz w:val="30"/>
          <w:szCs w:val="30"/>
          <w:highlight w:val="none"/>
        </w:rPr>
        <w:t>三、</w:t>
      </w:r>
      <w:r>
        <w:rPr>
          <w:rFonts w:hint="eastAsia" w:asciiTheme="minorEastAsia" w:hAnsiTheme="minorEastAsia" w:eastAsiaTheme="minorEastAsia" w:cstheme="minorEastAsia"/>
          <w:sz w:val="32"/>
          <w:szCs w:val="32"/>
          <w:highlight w:val="none"/>
        </w:rPr>
        <w:t>商务响应偏离表</w:t>
      </w:r>
      <w:bookmarkEnd w:id="198"/>
      <w:bookmarkEnd w:id="199"/>
      <w:bookmarkEnd w:id="200"/>
      <w:bookmarkEnd w:id="201"/>
      <w:bookmarkEnd w:id="202"/>
      <w:bookmarkEnd w:id="203"/>
    </w:p>
    <w:p w14:paraId="6E88DD95">
      <w:pPr>
        <w:spacing w:after="120" w:line="276" w:lineRule="auto"/>
        <w:rPr>
          <w:rFonts w:hint="eastAsia" w:asciiTheme="minorEastAsia" w:hAnsiTheme="minorEastAsia" w:eastAsiaTheme="minorEastAsia" w:cstheme="minorEastAsia"/>
          <w:sz w:val="24"/>
          <w:szCs w:val="32"/>
          <w:highlight w:val="none"/>
          <w:lang w:eastAsia="zh-CN"/>
        </w:rPr>
      </w:pPr>
      <w:r>
        <w:rPr>
          <w:rFonts w:hint="eastAsia" w:asciiTheme="minorEastAsia" w:hAnsiTheme="minorEastAsia" w:eastAsiaTheme="minorEastAsia" w:cstheme="minorEastAsia"/>
          <w:sz w:val="24"/>
          <w:szCs w:val="32"/>
          <w:highlight w:val="none"/>
        </w:rPr>
        <w:t>项目名称</w:t>
      </w:r>
      <w:r>
        <w:rPr>
          <w:rFonts w:hint="eastAsia" w:asciiTheme="minorEastAsia" w:hAnsiTheme="minorEastAsia" w:eastAsiaTheme="minorEastAsia" w:cstheme="minorEastAsia"/>
          <w:sz w:val="24"/>
          <w:szCs w:val="32"/>
          <w:highlight w:val="none"/>
          <w:lang w:eastAsia="zh-CN"/>
        </w:rPr>
        <w:t>：</w:t>
      </w:r>
    </w:p>
    <w:p w14:paraId="7D0DFBF2">
      <w:pPr>
        <w:spacing w:after="120" w:line="276" w:lineRule="auto"/>
        <w:rPr>
          <w:rFonts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项目编号、包号（第  包）：</w:t>
      </w:r>
    </w:p>
    <w:tbl>
      <w:tblPr>
        <w:tblStyle w:val="27"/>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688"/>
        <w:gridCol w:w="1212"/>
        <w:gridCol w:w="1007"/>
      </w:tblGrid>
      <w:tr w14:paraId="4CD60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890" w:type="dxa"/>
            <w:vAlign w:val="center"/>
          </w:tcPr>
          <w:p w14:paraId="2E3C642C">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名称</w:t>
            </w:r>
          </w:p>
        </w:tc>
        <w:tc>
          <w:tcPr>
            <w:tcW w:w="1995" w:type="dxa"/>
            <w:vAlign w:val="center"/>
          </w:tcPr>
          <w:p w14:paraId="28BB0EF3">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招标文件商务要求</w:t>
            </w:r>
          </w:p>
        </w:tc>
        <w:tc>
          <w:tcPr>
            <w:tcW w:w="2688" w:type="dxa"/>
            <w:vAlign w:val="center"/>
          </w:tcPr>
          <w:p w14:paraId="0CF7263E">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投标文件商务响应</w:t>
            </w:r>
          </w:p>
        </w:tc>
        <w:tc>
          <w:tcPr>
            <w:tcW w:w="1212" w:type="dxa"/>
            <w:vAlign w:val="center"/>
          </w:tcPr>
          <w:p w14:paraId="6DB9DA80">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偏离</w:t>
            </w:r>
          </w:p>
        </w:tc>
        <w:tc>
          <w:tcPr>
            <w:tcW w:w="1007" w:type="dxa"/>
            <w:vAlign w:val="center"/>
          </w:tcPr>
          <w:p w14:paraId="4F30A377">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w:t>
            </w:r>
          </w:p>
        </w:tc>
      </w:tr>
      <w:tr w14:paraId="1D4C8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4523CFDC">
            <w:pPr>
              <w:spacing w:line="360" w:lineRule="auto"/>
              <w:jc w:val="center"/>
              <w:rPr>
                <w:rFonts w:asciiTheme="minorEastAsia" w:hAnsiTheme="minorEastAsia" w:eastAsiaTheme="minorEastAsia" w:cstheme="minorEastAsia"/>
                <w:sz w:val="24"/>
                <w:szCs w:val="24"/>
                <w:highlight w:val="none"/>
              </w:rPr>
            </w:pPr>
          </w:p>
        </w:tc>
        <w:tc>
          <w:tcPr>
            <w:tcW w:w="1995" w:type="dxa"/>
          </w:tcPr>
          <w:p w14:paraId="4318391D">
            <w:pPr>
              <w:spacing w:line="360" w:lineRule="auto"/>
              <w:jc w:val="center"/>
              <w:rPr>
                <w:rFonts w:asciiTheme="minorEastAsia" w:hAnsiTheme="minorEastAsia" w:eastAsiaTheme="minorEastAsia" w:cstheme="minorEastAsia"/>
                <w:sz w:val="24"/>
                <w:szCs w:val="24"/>
                <w:highlight w:val="none"/>
              </w:rPr>
            </w:pPr>
          </w:p>
        </w:tc>
        <w:tc>
          <w:tcPr>
            <w:tcW w:w="2688" w:type="dxa"/>
          </w:tcPr>
          <w:p w14:paraId="3EFFF2C7">
            <w:pPr>
              <w:spacing w:line="360" w:lineRule="auto"/>
              <w:jc w:val="center"/>
              <w:rPr>
                <w:rFonts w:asciiTheme="minorEastAsia" w:hAnsiTheme="minorEastAsia" w:eastAsiaTheme="minorEastAsia" w:cstheme="minorEastAsia"/>
                <w:sz w:val="24"/>
                <w:szCs w:val="24"/>
                <w:highlight w:val="none"/>
              </w:rPr>
            </w:pPr>
          </w:p>
        </w:tc>
        <w:tc>
          <w:tcPr>
            <w:tcW w:w="1212" w:type="dxa"/>
          </w:tcPr>
          <w:p w14:paraId="1C2A86C3">
            <w:pPr>
              <w:spacing w:line="360" w:lineRule="auto"/>
              <w:jc w:val="center"/>
              <w:rPr>
                <w:rFonts w:asciiTheme="minorEastAsia" w:hAnsiTheme="minorEastAsia" w:eastAsiaTheme="minorEastAsia" w:cstheme="minorEastAsia"/>
                <w:sz w:val="24"/>
                <w:szCs w:val="24"/>
                <w:highlight w:val="none"/>
              </w:rPr>
            </w:pPr>
          </w:p>
        </w:tc>
        <w:tc>
          <w:tcPr>
            <w:tcW w:w="1007" w:type="dxa"/>
          </w:tcPr>
          <w:p w14:paraId="1A4A7648">
            <w:pPr>
              <w:spacing w:line="360" w:lineRule="auto"/>
              <w:jc w:val="center"/>
              <w:rPr>
                <w:rFonts w:asciiTheme="minorEastAsia" w:hAnsiTheme="minorEastAsia" w:eastAsiaTheme="minorEastAsia" w:cstheme="minorEastAsia"/>
                <w:sz w:val="24"/>
                <w:szCs w:val="24"/>
                <w:highlight w:val="none"/>
              </w:rPr>
            </w:pPr>
          </w:p>
        </w:tc>
      </w:tr>
      <w:tr w14:paraId="524AC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1D1B6B07">
            <w:pPr>
              <w:spacing w:line="360" w:lineRule="auto"/>
              <w:jc w:val="center"/>
              <w:rPr>
                <w:rFonts w:asciiTheme="minorEastAsia" w:hAnsiTheme="minorEastAsia" w:eastAsiaTheme="minorEastAsia" w:cstheme="minorEastAsia"/>
                <w:sz w:val="24"/>
                <w:szCs w:val="24"/>
                <w:highlight w:val="none"/>
              </w:rPr>
            </w:pPr>
          </w:p>
        </w:tc>
        <w:tc>
          <w:tcPr>
            <w:tcW w:w="1995" w:type="dxa"/>
          </w:tcPr>
          <w:p w14:paraId="3C39C386">
            <w:pPr>
              <w:spacing w:line="360" w:lineRule="auto"/>
              <w:jc w:val="center"/>
              <w:rPr>
                <w:rFonts w:asciiTheme="minorEastAsia" w:hAnsiTheme="minorEastAsia" w:eastAsiaTheme="minorEastAsia" w:cstheme="minorEastAsia"/>
                <w:sz w:val="24"/>
                <w:szCs w:val="24"/>
                <w:highlight w:val="none"/>
              </w:rPr>
            </w:pPr>
          </w:p>
        </w:tc>
        <w:tc>
          <w:tcPr>
            <w:tcW w:w="2688" w:type="dxa"/>
          </w:tcPr>
          <w:p w14:paraId="6F0E9E91">
            <w:pPr>
              <w:spacing w:line="360" w:lineRule="auto"/>
              <w:jc w:val="center"/>
              <w:rPr>
                <w:rFonts w:asciiTheme="minorEastAsia" w:hAnsiTheme="minorEastAsia" w:eastAsiaTheme="minorEastAsia" w:cstheme="minorEastAsia"/>
                <w:sz w:val="24"/>
                <w:szCs w:val="24"/>
                <w:highlight w:val="none"/>
              </w:rPr>
            </w:pPr>
          </w:p>
        </w:tc>
        <w:tc>
          <w:tcPr>
            <w:tcW w:w="1212" w:type="dxa"/>
          </w:tcPr>
          <w:p w14:paraId="3643E325">
            <w:pPr>
              <w:spacing w:line="360" w:lineRule="auto"/>
              <w:jc w:val="center"/>
              <w:rPr>
                <w:rFonts w:asciiTheme="minorEastAsia" w:hAnsiTheme="minorEastAsia" w:eastAsiaTheme="minorEastAsia" w:cstheme="minorEastAsia"/>
                <w:sz w:val="24"/>
                <w:szCs w:val="24"/>
                <w:highlight w:val="none"/>
              </w:rPr>
            </w:pPr>
          </w:p>
        </w:tc>
        <w:tc>
          <w:tcPr>
            <w:tcW w:w="1007" w:type="dxa"/>
          </w:tcPr>
          <w:p w14:paraId="0594691A">
            <w:pPr>
              <w:spacing w:line="360" w:lineRule="auto"/>
              <w:jc w:val="center"/>
              <w:rPr>
                <w:rFonts w:asciiTheme="minorEastAsia" w:hAnsiTheme="minorEastAsia" w:eastAsiaTheme="minorEastAsia" w:cstheme="minorEastAsia"/>
                <w:sz w:val="24"/>
                <w:szCs w:val="24"/>
                <w:highlight w:val="none"/>
              </w:rPr>
            </w:pPr>
          </w:p>
        </w:tc>
      </w:tr>
      <w:tr w14:paraId="3BEAF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2A7D87E7">
            <w:pPr>
              <w:spacing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1995" w:type="dxa"/>
          </w:tcPr>
          <w:p w14:paraId="546D2889">
            <w:pPr>
              <w:spacing w:line="360" w:lineRule="auto"/>
              <w:jc w:val="center"/>
              <w:rPr>
                <w:rFonts w:asciiTheme="minorEastAsia" w:hAnsiTheme="minorEastAsia" w:eastAsiaTheme="minorEastAsia" w:cstheme="minorEastAsia"/>
                <w:sz w:val="24"/>
                <w:szCs w:val="24"/>
                <w:highlight w:val="none"/>
              </w:rPr>
            </w:pPr>
          </w:p>
        </w:tc>
        <w:tc>
          <w:tcPr>
            <w:tcW w:w="2688" w:type="dxa"/>
          </w:tcPr>
          <w:p w14:paraId="365632CD">
            <w:pPr>
              <w:spacing w:line="360" w:lineRule="auto"/>
              <w:jc w:val="center"/>
              <w:rPr>
                <w:rFonts w:asciiTheme="minorEastAsia" w:hAnsiTheme="minorEastAsia" w:eastAsiaTheme="minorEastAsia" w:cstheme="minorEastAsia"/>
                <w:sz w:val="24"/>
                <w:szCs w:val="24"/>
                <w:highlight w:val="none"/>
              </w:rPr>
            </w:pPr>
          </w:p>
        </w:tc>
        <w:tc>
          <w:tcPr>
            <w:tcW w:w="1212" w:type="dxa"/>
          </w:tcPr>
          <w:p w14:paraId="6AF75D37">
            <w:pPr>
              <w:spacing w:line="360" w:lineRule="auto"/>
              <w:jc w:val="center"/>
              <w:rPr>
                <w:rFonts w:asciiTheme="minorEastAsia" w:hAnsiTheme="minorEastAsia" w:eastAsiaTheme="minorEastAsia" w:cstheme="minorEastAsia"/>
                <w:sz w:val="24"/>
                <w:szCs w:val="24"/>
                <w:highlight w:val="none"/>
              </w:rPr>
            </w:pPr>
          </w:p>
        </w:tc>
        <w:tc>
          <w:tcPr>
            <w:tcW w:w="1007" w:type="dxa"/>
          </w:tcPr>
          <w:p w14:paraId="1364DC7F">
            <w:pPr>
              <w:spacing w:line="360" w:lineRule="auto"/>
              <w:jc w:val="center"/>
              <w:rPr>
                <w:rFonts w:asciiTheme="minorEastAsia" w:hAnsiTheme="minorEastAsia" w:eastAsiaTheme="minorEastAsia" w:cstheme="minorEastAsia"/>
                <w:sz w:val="24"/>
                <w:szCs w:val="24"/>
                <w:highlight w:val="none"/>
              </w:rPr>
            </w:pPr>
          </w:p>
        </w:tc>
      </w:tr>
      <w:tr w14:paraId="3DB2D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5A40A98A">
            <w:pPr>
              <w:spacing w:line="360" w:lineRule="auto"/>
              <w:jc w:val="center"/>
              <w:rPr>
                <w:rFonts w:asciiTheme="minorEastAsia" w:hAnsiTheme="minorEastAsia" w:eastAsiaTheme="minorEastAsia" w:cstheme="minorEastAsia"/>
                <w:sz w:val="24"/>
                <w:szCs w:val="24"/>
                <w:highlight w:val="none"/>
              </w:rPr>
            </w:pPr>
          </w:p>
        </w:tc>
        <w:tc>
          <w:tcPr>
            <w:tcW w:w="1995" w:type="dxa"/>
          </w:tcPr>
          <w:p w14:paraId="4FFA24DB">
            <w:pPr>
              <w:spacing w:line="360" w:lineRule="auto"/>
              <w:jc w:val="center"/>
              <w:rPr>
                <w:rFonts w:asciiTheme="minorEastAsia" w:hAnsiTheme="minorEastAsia" w:eastAsiaTheme="minorEastAsia" w:cstheme="minorEastAsia"/>
                <w:sz w:val="24"/>
                <w:szCs w:val="24"/>
                <w:highlight w:val="none"/>
              </w:rPr>
            </w:pPr>
          </w:p>
        </w:tc>
        <w:tc>
          <w:tcPr>
            <w:tcW w:w="2688" w:type="dxa"/>
          </w:tcPr>
          <w:p w14:paraId="226C1B78">
            <w:pPr>
              <w:spacing w:line="360" w:lineRule="auto"/>
              <w:jc w:val="center"/>
              <w:rPr>
                <w:rFonts w:asciiTheme="minorEastAsia" w:hAnsiTheme="minorEastAsia" w:eastAsiaTheme="minorEastAsia" w:cstheme="minorEastAsia"/>
                <w:sz w:val="24"/>
                <w:szCs w:val="24"/>
                <w:highlight w:val="none"/>
              </w:rPr>
            </w:pPr>
          </w:p>
        </w:tc>
        <w:tc>
          <w:tcPr>
            <w:tcW w:w="1212" w:type="dxa"/>
          </w:tcPr>
          <w:p w14:paraId="0F0B0983">
            <w:pPr>
              <w:spacing w:line="360" w:lineRule="auto"/>
              <w:jc w:val="center"/>
              <w:rPr>
                <w:rFonts w:asciiTheme="minorEastAsia" w:hAnsiTheme="minorEastAsia" w:eastAsiaTheme="minorEastAsia" w:cstheme="minorEastAsia"/>
                <w:sz w:val="24"/>
                <w:szCs w:val="24"/>
                <w:highlight w:val="none"/>
              </w:rPr>
            </w:pPr>
          </w:p>
        </w:tc>
        <w:tc>
          <w:tcPr>
            <w:tcW w:w="1007" w:type="dxa"/>
          </w:tcPr>
          <w:p w14:paraId="41F9A70A">
            <w:pPr>
              <w:spacing w:line="360" w:lineRule="auto"/>
              <w:jc w:val="center"/>
              <w:rPr>
                <w:rFonts w:asciiTheme="minorEastAsia" w:hAnsiTheme="minorEastAsia" w:eastAsiaTheme="minorEastAsia" w:cstheme="minorEastAsia"/>
                <w:sz w:val="24"/>
                <w:szCs w:val="24"/>
                <w:highlight w:val="none"/>
              </w:rPr>
            </w:pPr>
          </w:p>
        </w:tc>
      </w:tr>
      <w:tr w14:paraId="2F2B9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tcPr>
          <w:p w14:paraId="11049AF3">
            <w:pPr>
              <w:spacing w:line="360" w:lineRule="auto"/>
              <w:jc w:val="center"/>
              <w:rPr>
                <w:rFonts w:asciiTheme="minorEastAsia" w:hAnsiTheme="minorEastAsia" w:eastAsiaTheme="minorEastAsia" w:cstheme="minorEastAsia"/>
                <w:sz w:val="24"/>
                <w:szCs w:val="24"/>
                <w:highlight w:val="none"/>
              </w:rPr>
            </w:pPr>
          </w:p>
        </w:tc>
        <w:tc>
          <w:tcPr>
            <w:tcW w:w="1995" w:type="dxa"/>
          </w:tcPr>
          <w:p w14:paraId="1766A5A3">
            <w:pPr>
              <w:spacing w:line="360" w:lineRule="auto"/>
              <w:jc w:val="center"/>
              <w:rPr>
                <w:rFonts w:asciiTheme="minorEastAsia" w:hAnsiTheme="minorEastAsia" w:eastAsiaTheme="minorEastAsia" w:cstheme="minorEastAsia"/>
                <w:sz w:val="24"/>
                <w:szCs w:val="24"/>
                <w:highlight w:val="none"/>
              </w:rPr>
            </w:pPr>
          </w:p>
        </w:tc>
        <w:tc>
          <w:tcPr>
            <w:tcW w:w="2688" w:type="dxa"/>
          </w:tcPr>
          <w:p w14:paraId="3A462474">
            <w:pPr>
              <w:spacing w:line="360" w:lineRule="auto"/>
              <w:jc w:val="center"/>
              <w:rPr>
                <w:rFonts w:asciiTheme="minorEastAsia" w:hAnsiTheme="minorEastAsia" w:eastAsiaTheme="minorEastAsia" w:cstheme="minorEastAsia"/>
                <w:sz w:val="24"/>
                <w:szCs w:val="24"/>
                <w:highlight w:val="none"/>
              </w:rPr>
            </w:pPr>
          </w:p>
        </w:tc>
        <w:tc>
          <w:tcPr>
            <w:tcW w:w="1212" w:type="dxa"/>
          </w:tcPr>
          <w:p w14:paraId="48CD91F4">
            <w:pPr>
              <w:spacing w:line="360" w:lineRule="auto"/>
              <w:jc w:val="center"/>
              <w:rPr>
                <w:rFonts w:asciiTheme="minorEastAsia" w:hAnsiTheme="minorEastAsia" w:eastAsiaTheme="minorEastAsia" w:cstheme="minorEastAsia"/>
                <w:sz w:val="24"/>
                <w:szCs w:val="24"/>
                <w:highlight w:val="none"/>
              </w:rPr>
            </w:pPr>
          </w:p>
        </w:tc>
        <w:tc>
          <w:tcPr>
            <w:tcW w:w="1007" w:type="dxa"/>
          </w:tcPr>
          <w:p w14:paraId="28D3619F">
            <w:pPr>
              <w:spacing w:line="360" w:lineRule="auto"/>
              <w:jc w:val="center"/>
              <w:rPr>
                <w:rFonts w:asciiTheme="minorEastAsia" w:hAnsiTheme="minorEastAsia" w:eastAsiaTheme="minorEastAsia" w:cstheme="minorEastAsia"/>
                <w:sz w:val="24"/>
                <w:szCs w:val="24"/>
                <w:highlight w:val="none"/>
              </w:rPr>
            </w:pPr>
          </w:p>
        </w:tc>
      </w:tr>
    </w:tbl>
    <w:p w14:paraId="5D00CFF9">
      <w:pPr>
        <w:spacing w:line="360" w:lineRule="auto"/>
        <w:ind w:firstLine="48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声明：除本商务偏离表中所列的偏离项目外，其它所有商务均完全响应“招标文件”中的要求。</w:t>
      </w:r>
    </w:p>
    <w:bookmarkEnd w:id="204"/>
    <w:p w14:paraId="24E7B749">
      <w:pPr>
        <w:spacing w:line="312" w:lineRule="auto"/>
        <w:ind w:right="540" w:rightChars="257"/>
        <w:jc w:val="left"/>
        <w:rPr>
          <w:rFonts w:asciiTheme="minorEastAsia" w:hAnsiTheme="minorEastAsia" w:eastAsiaTheme="minorEastAsia" w:cstheme="minorEastAsia"/>
          <w:sz w:val="24"/>
          <w:highlight w:val="none"/>
        </w:rPr>
      </w:pPr>
    </w:p>
    <w:p w14:paraId="38FC534D">
      <w:pPr>
        <w:spacing w:line="312" w:lineRule="auto"/>
        <w:ind w:right="540" w:rightChars="257"/>
        <w:jc w:val="left"/>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投标人名称：</w:t>
      </w:r>
      <w:r>
        <w:rPr>
          <w:rFonts w:hint="eastAsia" w:asciiTheme="minorEastAsia" w:hAnsiTheme="minorEastAsia" w:eastAsiaTheme="minorEastAsia" w:cstheme="minorEastAsia"/>
          <w:sz w:val="24"/>
          <w:highlight w:val="none"/>
          <w:u w:val="single"/>
        </w:rPr>
        <w:t xml:space="preserve">      （加盖投标人公章）      </w:t>
      </w:r>
    </w:p>
    <w:p w14:paraId="770A7C0C">
      <w:pPr>
        <w:spacing w:line="312" w:lineRule="auto"/>
        <w:ind w:right="540" w:rightChars="257"/>
        <w:jc w:val="left"/>
        <w:rPr>
          <w:rFonts w:asciiTheme="minorEastAsia" w:hAnsiTheme="minorEastAsia" w:eastAsiaTheme="minorEastAsia" w:cstheme="minorEastAsia"/>
          <w:sz w:val="24"/>
          <w:highlight w:val="none"/>
          <w:u w:val="single"/>
        </w:rPr>
      </w:pPr>
    </w:p>
    <w:p w14:paraId="3DD4415E">
      <w:pPr>
        <w:spacing w:line="312" w:lineRule="auto"/>
        <w:ind w:right="540" w:rightChars="257"/>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法定代表人或被授权人签字或盖章：</w:t>
      </w:r>
    </w:p>
    <w:p w14:paraId="3AF47065">
      <w:pPr>
        <w:spacing w:line="312" w:lineRule="auto"/>
        <w:ind w:right="540" w:rightChars="257"/>
        <w:jc w:val="left"/>
        <w:rPr>
          <w:rFonts w:asciiTheme="minorEastAsia" w:hAnsiTheme="minorEastAsia" w:eastAsiaTheme="minorEastAsia" w:cstheme="minorEastAsia"/>
          <w:sz w:val="24"/>
          <w:highlight w:val="none"/>
        </w:rPr>
      </w:pPr>
    </w:p>
    <w:p w14:paraId="33C3E93B">
      <w:pPr>
        <w:spacing w:line="312" w:lineRule="auto"/>
        <w:ind w:right="540" w:rightChars="25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0FC44FE9">
      <w:pPr>
        <w:pStyle w:val="24"/>
        <w:rPr>
          <w:rFonts w:asciiTheme="minorEastAsia" w:hAnsiTheme="minorEastAsia" w:eastAsiaTheme="minorEastAsia" w:cstheme="minorEastAsia"/>
          <w:color w:val="auto"/>
          <w:highlight w:val="none"/>
        </w:rPr>
      </w:pPr>
    </w:p>
    <w:p w14:paraId="6CB23B86">
      <w:pPr>
        <w:pStyle w:val="24"/>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14:paraId="54E0B24D">
      <w:pPr>
        <w:pStyle w:val="24"/>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1.本表只填写投标文件中与招标文件有偏离（包括正偏离和负偏离）的内容，投标文件中商务响应与招标文件要求完全一致的，不用在此表中列出，但必须提交空白表。</w:t>
      </w:r>
    </w:p>
    <w:p w14:paraId="389A4B97">
      <w:pPr>
        <w:pStyle w:val="24"/>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2.投标人必须据实填写，不得虚假响应，否则将取消其投标或中标资格，并按有关规定进处罚。</w:t>
      </w:r>
    </w:p>
    <w:p w14:paraId="39B2D5D0">
      <w:pPr>
        <w:pStyle w:val="24"/>
        <w:rPr>
          <w:rFonts w:asciiTheme="minorEastAsia" w:hAnsiTheme="minorEastAsia" w:eastAsiaTheme="minorEastAsia" w:cstheme="minorEastAsia"/>
          <w:color w:val="auto"/>
          <w:highlight w:val="none"/>
        </w:rPr>
      </w:pPr>
    </w:p>
    <w:p w14:paraId="51EB1476">
      <w:pPr>
        <w:rPr>
          <w:rFonts w:asciiTheme="minorEastAsia" w:hAnsiTheme="minorEastAsia" w:eastAsiaTheme="minorEastAsia" w:cstheme="minorEastAsia"/>
          <w:sz w:val="24"/>
          <w:highlight w:val="none"/>
        </w:rPr>
      </w:pPr>
    </w:p>
    <w:p w14:paraId="6FD57E9D">
      <w:pPr>
        <w:pStyle w:val="4"/>
        <w:spacing w:beforeLines="100"/>
        <w:jc w:val="center"/>
        <w:rPr>
          <w:rFonts w:asciiTheme="minorEastAsia" w:hAnsiTheme="minorEastAsia" w:eastAsiaTheme="minorEastAsia" w:cstheme="minorEastAsia"/>
          <w:b w:val="0"/>
          <w:highlight w:val="none"/>
        </w:rPr>
      </w:pPr>
      <w:r>
        <w:rPr>
          <w:rFonts w:hint="eastAsia" w:asciiTheme="minorEastAsia" w:hAnsiTheme="minorEastAsia" w:eastAsiaTheme="minorEastAsia" w:cstheme="minorEastAsia"/>
          <w:sz w:val="32"/>
          <w:szCs w:val="32"/>
          <w:highlight w:val="none"/>
        </w:rPr>
        <w:br w:type="page"/>
      </w:r>
      <w:bookmarkStart w:id="205" w:name="_Toc27879"/>
      <w:bookmarkStart w:id="206" w:name="_Toc11699"/>
      <w:bookmarkStart w:id="207" w:name="_Toc400"/>
      <w:bookmarkStart w:id="208" w:name="_Toc13500"/>
      <w:bookmarkStart w:id="209" w:name="_Toc28513"/>
      <w:bookmarkStart w:id="210" w:name="_Toc9782"/>
      <w:bookmarkStart w:id="211" w:name="_Toc28845"/>
      <w:r>
        <w:rPr>
          <w:rFonts w:hint="eastAsia" w:asciiTheme="minorEastAsia" w:hAnsiTheme="minorEastAsia" w:eastAsiaTheme="minorEastAsia" w:cstheme="minorEastAsia"/>
          <w:sz w:val="32"/>
          <w:szCs w:val="32"/>
          <w:highlight w:val="none"/>
        </w:rPr>
        <w:t>四、投标方案说明书</w:t>
      </w:r>
      <w:bookmarkEnd w:id="205"/>
      <w:bookmarkEnd w:id="206"/>
      <w:bookmarkEnd w:id="207"/>
      <w:bookmarkEnd w:id="208"/>
      <w:bookmarkEnd w:id="209"/>
      <w:bookmarkEnd w:id="210"/>
      <w:bookmarkEnd w:id="211"/>
    </w:p>
    <w:p w14:paraId="3E7C6982">
      <w:pPr>
        <w:rPr>
          <w:rFonts w:asciiTheme="minorEastAsia" w:hAnsiTheme="minorEastAsia" w:eastAsiaTheme="minorEastAsia" w:cstheme="minorEastAsia"/>
          <w:highlight w:val="none"/>
        </w:rPr>
      </w:pPr>
    </w:p>
    <w:p w14:paraId="7D079A1C">
      <w:pPr>
        <w:adjustRightInd w:val="0"/>
        <w:spacing w:after="120" w:line="440" w:lineRule="exact"/>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按照招标文件的要求编制，根据评审办法进行编制，主要内容包含但不限于以下内容：</w:t>
      </w:r>
    </w:p>
    <w:p w14:paraId="3442F830">
      <w:pPr>
        <w:spacing w:line="48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①项目管理部门及人员配备</w:t>
      </w:r>
    </w:p>
    <w:p w14:paraId="6CCBF670">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②项目实施方案</w:t>
      </w:r>
    </w:p>
    <w:p w14:paraId="484414FF">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③工程进度计划与保障措施</w:t>
      </w:r>
    </w:p>
    <w:p w14:paraId="55C1A436">
      <w:pPr>
        <w:pStyle w:val="2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④确保工程质量</w:t>
      </w:r>
      <w:r>
        <w:rPr>
          <w:rFonts w:hint="eastAsia" w:hAnsi="宋体" w:cs="宋体"/>
          <w:sz w:val="24"/>
          <w:szCs w:val="24"/>
          <w:highlight w:val="none"/>
        </w:rPr>
        <w:t>的</w:t>
      </w:r>
      <w:r>
        <w:rPr>
          <w:rFonts w:hint="eastAsia" w:ascii="宋体" w:hAnsi="宋体" w:cs="宋体"/>
          <w:sz w:val="24"/>
          <w:szCs w:val="24"/>
          <w:highlight w:val="none"/>
        </w:rPr>
        <w:t>组织措施</w:t>
      </w:r>
    </w:p>
    <w:p w14:paraId="1560AA69">
      <w:pPr>
        <w:pStyle w:val="2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⑤文明施工、环境保护管理体系与措施</w:t>
      </w:r>
    </w:p>
    <w:p w14:paraId="45B8D937">
      <w:pPr>
        <w:pStyle w:val="26"/>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⑥主要机具、设备和劳动力配备情况</w:t>
      </w:r>
    </w:p>
    <w:p w14:paraId="63870CF6">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⑦安全保障方案及应急措施</w:t>
      </w:r>
    </w:p>
    <w:p w14:paraId="1A78F479">
      <w:pPr>
        <w:spacing w:line="480" w:lineRule="auto"/>
        <w:ind w:firstLine="480" w:firstLineChars="200"/>
        <w:rPr>
          <w:rFonts w:ascii="宋体" w:hAnsi="宋体" w:cs="宋体"/>
          <w:sz w:val="24"/>
          <w:szCs w:val="24"/>
          <w:highlight w:val="none"/>
        </w:rPr>
      </w:pPr>
      <w:r>
        <w:rPr>
          <w:rFonts w:hint="eastAsia" w:ascii="宋体" w:hAnsi="宋体" w:cs="宋体"/>
          <w:sz w:val="24"/>
          <w:szCs w:val="24"/>
          <w:highlight w:val="none"/>
        </w:rPr>
        <w:t>⑧质量承诺</w:t>
      </w:r>
    </w:p>
    <w:p w14:paraId="3B2410E8">
      <w:pPr>
        <w:spacing w:line="580" w:lineRule="exact"/>
        <w:ind w:firstLine="480" w:firstLineChars="200"/>
        <w:rPr>
          <w:rFonts w:asciiTheme="minorEastAsia" w:hAnsiTheme="minorEastAsia" w:eastAsiaTheme="minorEastAsia" w:cstheme="minorEastAsia"/>
          <w:sz w:val="24"/>
          <w:szCs w:val="24"/>
          <w:highlight w:val="none"/>
        </w:rPr>
      </w:pPr>
    </w:p>
    <w:p w14:paraId="373FDA0F">
      <w:pPr>
        <w:spacing w:line="580" w:lineRule="exact"/>
        <w:ind w:firstLine="480" w:firstLineChars="200"/>
        <w:rPr>
          <w:rFonts w:hint="default" w:asciiTheme="minorEastAsia" w:hAnsiTheme="minorEastAsia" w:eastAsiaTheme="minorEastAsia" w:cstheme="minorEastAsia"/>
          <w:sz w:val="24"/>
          <w:szCs w:val="24"/>
          <w:highlight w:val="none"/>
          <w:lang w:val="en-US" w:eastAsia="zh-CN"/>
        </w:rPr>
      </w:pPr>
    </w:p>
    <w:p w14:paraId="5CCCA2A2">
      <w:pPr>
        <w:kinsoku w:val="0"/>
        <w:spacing w:line="580" w:lineRule="exact"/>
        <w:rPr>
          <w:rFonts w:asciiTheme="minorEastAsia" w:hAnsiTheme="minorEastAsia" w:eastAsiaTheme="minorEastAsia" w:cstheme="minorEastAsia"/>
          <w:sz w:val="24"/>
          <w:szCs w:val="24"/>
          <w:highlight w:val="none"/>
        </w:rPr>
      </w:pPr>
    </w:p>
    <w:p w14:paraId="29221AA0">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法定代表人/或被授权人签字或盖章：</w:t>
      </w:r>
    </w:p>
    <w:p w14:paraId="26A0110F">
      <w:pPr>
        <w:spacing w:line="440" w:lineRule="exact"/>
        <w:ind w:left="3259" w:leftChars="1552"/>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      章：</w:t>
      </w:r>
    </w:p>
    <w:p w14:paraId="4A04CD02">
      <w:pPr>
        <w:spacing w:line="440" w:lineRule="exact"/>
        <w:ind w:firstLine="3259" w:firstLineChars="1358"/>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      期：</w:t>
      </w:r>
    </w:p>
    <w:p w14:paraId="6FCA0547">
      <w:pPr>
        <w:spacing w:line="440" w:lineRule="exact"/>
        <w:rPr>
          <w:rFonts w:asciiTheme="minorEastAsia" w:hAnsiTheme="minorEastAsia" w:eastAsiaTheme="minorEastAsia" w:cstheme="minorEastAsia"/>
          <w:sz w:val="24"/>
          <w:szCs w:val="24"/>
          <w:highlight w:val="none"/>
        </w:rPr>
      </w:pPr>
    </w:p>
    <w:p w14:paraId="5B44C358">
      <w:pPr>
        <w:rPr>
          <w:rFonts w:asciiTheme="minorEastAsia" w:hAnsiTheme="minorEastAsia" w:eastAsiaTheme="minorEastAsia" w:cstheme="minorEastAsia"/>
          <w:highlight w:val="none"/>
        </w:rPr>
      </w:pPr>
    </w:p>
    <w:p w14:paraId="32B2FC81">
      <w:pPr>
        <w:spacing w:line="580" w:lineRule="exact"/>
        <w:rPr>
          <w:rFonts w:asciiTheme="minorEastAsia" w:hAnsiTheme="minorEastAsia" w:eastAsiaTheme="minorEastAsia" w:cstheme="minorEastAsia"/>
          <w:sz w:val="24"/>
          <w:szCs w:val="24"/>
          <w:highlight w:val="none"/>
        </w:rPr>
      </w:pPr>
    </w:p>
    <w:p w14:paraId="6A94C2E7">
      <w:pPr>
        <w:rPr>
          <w:rFonts w:asciiTheme="minorEastAsia" w:hAnsiTheme="minorEastAsia" w:eastAsiaTheme="minorEastAsia" w:cstheme="minorEastAsia"/>
          <w:highlight w:val="none"/>
        </w:rPr>
      </w:pPr>
    </w:p>
    <w:p w14:paraId="31B5B7B6">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36"/>
          <w:highlight w:val="none"/>
        </w:rPr>
        <w:br w:type="page"/>
      </w:r>
    </w:p>
    <w:p w14:paraId="520AB718">
      <w:pPr>
        <w:pStyle w:val="4"/>
        <w:spacing w:beforeLines="100"/>
        <w:jc w:val="center"/>
        <w:rPr>
          <w:rFonts w:asciiTheme="minorEastAsia" w:hAnsiTheme="minorEastAsia" w:eastAsiaTheme="minorEastAsia" w:cstheme="minorEastAsia"/>
          <w:spacing w:val="4"/>
          <w:sz w:val="28"/>
          <w:szCs w:val="28"/>
          <w:highlight w:val="none"/>
        </w:rPr>
      </w:pPr>
      <w:bookmarkStart w:id="212" w:name="_Toc13827"/>
      <w:bookmarkStart w:id="213" w:name="_Toc14604"/>
      <w:bookmarkStart w:id="214" w:name="_Toc112"/>
      <w:bookmarkStart w:id="215" w:name="_Toc28048"/>
      <w:bookmarkStart w:id="216" w:name="_Toc29611"/>
      <w:bookmarkStart w:id="217" w:name="_Toc21059"/>
      <w:r>
        <w:rPr>
          <w:rFonts w:hint="eastAsia" w:asciiTheme="minorEastAsia" w:hAnsiTheme="minorEastAsia" w:eastAsiaTheme="minorEastAsia" w:cstheme="minorEastAsia"/>
          <w:spacing w:val="4"/>
          <w:sz w:val="28"/>
          <w:szCs w:val="28"/>
          <w:highlight w:val="none"/>
        </w:rPr>
        <w:t>五、企业类似业绩</w:t>
      </w:r>
      <w:bookmarkEnd w:id="212"/>
      <w:bookmarkEnd w:id="213"/>
      <w:bookmarkEnd w:id="214"/>
      <w:bookmarkEnd w:id="215"/>
      <w:bookmarkEnd w:id="216"/>
      <w:bookmarkEnd w:id="217"/>
    </w:p>
    <w:p w14:paraId="2A3988B2">
      <w:pPr>
        <w:rPr>
          <w:rFonts w:asciiTheme="minorEastAsia" w:hAnsiTheme="minorEastAsia" w:eastAsiaTheme="minorEastAsia" w:cstheme="minorEastAsia"/>
          <w:b/>
          <w:sz w:val="28"/>
          <w:highlight w:val="none"/>
        </w:rPr>
      </w:pPr>
      <w:bookmarkStart w:id="218" w:name="_Toc26309"/>
      <w:bookmarkStart w:id="219" w:name="_Toc15893"/>
      <w:bookmarkStart w:id="220" w:name="_Toc27577"/>
      <w:bookmarkStart w:id="221" w:name="_Toc24879"/>
      <w:r>
        <w:rPr>
          <w:rFonts w:hint="eastAsia" w:asciiTheme="minorEastAsia" w:hAnsiTheme="minorEastAsia" w:eastAsiaTheme="minorEastAsia" w:cstheme="minorEastAsia"/>
          <w:b/>
          <w:sz w:val="28"/>
          <w:highlight w:val="none"/>
        </w:rPr>
        <w:br w:type="page"/>
      </w:r>
    </w:p>
    <w:p w14:paraId="09441FB9">
      <w:pPr>
        <w:pStyle w:val="4"/>
        <w:spacing w:beforeLines="100"/>
        <w:jc w:val="center"/>
        <w:rPr>
          <w:rFonts w:asciiTheme="minorEastAsia" w:hAnsiTheme="minorEastAsia" w:eastAsiaTheme="minorEastAsia" w:cstheme="minorEastAsia"/>
          <w:sz w:val="28"/>
          <w:highlight w:val="none"/>
        </w:rPr>
      </w:pPr>
      <w:bookmarkStart w:id="222" w:name="_Toc20158"/>
      <w:bookmarkStart w:id="223" w:name="_Toc25837"/>
      <w:r>
        <w:rPr>
          <w:rFonts w:hint="eastAsia" w:asciiTheme="minorEastAsia" w:hAnsiTheme="minorEastAsia" w:eastAsiaTheme="minorEastAsia" w:cstheme="minorEastAsia"/>
          <w:sz w:val="28"/>
          <w:highlight w:val="none"/>
        </w:rPr>
        <w:t>六、陕西省政府采购投标人</w:t>
      </w:r>
      <w:r>
        <w:rPr>
          <w:rFonts w:hint="eastAsia" w:asciiTheme="minorEastAsia" w:hAnsiTheme="minorEastAsia" w:eastAsiaTheme="minorEastAsia" w:cstheme="minorEastAsia"/>
          <w:spacing w:val="4"/>
          <w:sz w:val="28"/>
          <w:szCs w:val="28"/>
          <w:highlight w:val="none"/>
        </w:rPr>
        <w:t>拒绝政府采购领域商业贿赂承诺书</w:t>
      </w:r>
      <w:bookmarkEnd w:id="218"/>
      <w:bookmarkEnd w:id="219"/>
      <w:bookmarkEnd w:id="220"/>
      <w:bookmarkEnd w:id="221"/>
      <w:bookmarkEnd w:id="222"/>
      <w:bookmarkEnd w:id="223"/>
    </w:p>
    <w:p w14:paraId="486C3899">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为响应党中央、国务院关于治理政府采购领域商业贿赂行为的号召，我公司在此庄严承诺：</w:t>
      </w:r>
    </w:p>
    <w:p w14:paraId="50124EE1">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1、在参与政府采购活动中遵纪守法、诚信经营、公平竞标。</w:t>
      </w:r>
    </w:p>
    <w:p w14:paraId="56F767E1">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2、不向政府采购人、采购代理机构和政府采购评审专家进行任何形式的商业贿赂以谋取交易机会。</w:t>
      </w:r>
    </w:p>
    <w:p w14:paraId="77D18CC5">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3、不向政府采购代理机构和采购人提供虚假资质文件或采用虚假应标方式参与政府采购市场竞争并谋取成交、成交。</w:t>
      </w:r>
    </w:p>
    <w:p w14:paraId="7E8D0C7B">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4、不采取“围标、陪标”等商业欺诈手段获得政府采购定单。</w:t>
      </w:r>
    </w:p>
    <w:p w14:paraId="0956A629">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5、不采取不正当手段诋毁、排挤其他投标人。</w:t>
      </w:r>
    </w:p>
    <w:p w14:paraId="786D7D59">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6、不在提供商品和服务时“偷梁换柱、以次充好”损害采购人的合法权益。</w:t>
      </w:r>
    </w:p>
    <w:p w14:paraId="7120671D">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7、不与采购人、采购代理机构政府采购评审专家或其它投标人恶意串通，进行质疑和投诉，维护政府采购市场秩序。</w:t>
      </w:r>
    </w:p>
    <w:p w14:paraId="42FD97F5">
      <w:pPr>
        <w:spacing w:line="600" w:lineRule="exact"/>
        <w:ind w:firstLine="480" w:firstLineChars="20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8、尊重和接受政府采购监督管理部门的监督和政府采购代理机构招标采购要求，承担因违约行为给采购人造成的损失。</w:t>
      </w:r>
    </w:p>
    <w:p w14:paraId="35BFB52A">
      <w:pPr>
        <w:spacing w:line="600" w:lineRule="exact"/>
        <w:ind w:left="681" w:leftChars="267" w:hanging="120" w:hangingChars="50"/>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9、不发生其他有悖于政府采购公开、公平、公正和诚信原则的行为。</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承诺单位（盖章）：</w:t>
      </w:r>
    </w:p>
    <w:p w14:paraId="695AC0FD">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被授权代表（签字或盖章）：</w:t>
      </w:r>
    </w:p>
    <w:p w14:paraId="72BD486B">
      <w:pPr>
        <w:spacing w:line="600" w:lineRule="exact"/>
        <w:ind w:left="701"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    址：</w:t>
      </w:r>
    </w:p>
    <w:p w14:paraId="442CE1A4">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    编：</w:t>
      </w:r>
    </w:p>
    <w:p w14:paraId="5FF8E4B4">
      <w:pPr>
        <w:spacing w:line="600" w:lineRule="exact"/>
        <w:ind w:left="659" w:leftChars="31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    话：</w:t>
      </w:r>
    </w:p>
    <w:p w14:paraId="5E704128">
      <w:pPr>
        <w:spacing w:line="600" w:lineRule="exact"/>
        <w:ind w:left="659" w:leftChars="314"/>
        <w:jc w:val="righ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年     月     日</w:t>
      </w:r>
    </w:p>
    <w:p w14:paraId="752DC5F2">
      <w:pPr>
        <w:spacing w:line="360" w:lineRule="auto"/>
        <w:rPr>
          <w:rFonts w:asciiTheme="minorEastAsia" w:hAnsiTheme="minorEastAsia" w:eastAsiaTheme="minorEastAsia" w:cstheme="minorEastAsia"/>
          <w:b/>
          <w:kern w:val="0"/>
          <w:sz w:val="24"/>
          <w:szCs w:val="24"/>
          <w:highlight w:val="none"/>
        </w:rPr>
      </w:pPr>
    </w:p>
    <w:p w14:paraId="51E4392D">
      <w:pPr>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br w:type="page"/>
      </w:r>
    </w:p>
    <w:p w14:paraId="321AEF58">
      <w:pPr>
        <w:pStyle w:val="4"/>
        <w:spacing w:beforeLines="100" w:afterLines="100"/>
        <w:jc w:val="center"/>
        <w:rPr>
          <w:rFonts w:asciiTheme="minorEastAsia" w:hAnsiTheme="minorEastAsia" w:eastAsiaTheme="minorEastAsia" w:cstheme="minorEastAsia"/>
          <w:sz w:val="32"/>
          <w:szCs w:val="32"/>
          <w:highlight w:val="none"/>
        </w:rPr>
      </w:pPr>
      <w:bookmarkStart w:id="224" w:name="_Toc24556"/>
      <w:bookmarkStart w:id="225" w:name="_Toc11841"/>
      <w:bookmarkStart w:id="226" w:name="_Toc16808"/>
      <w:bookmarkStart w:id="227" w:name="_Toc27000"/>
      <w:bookmarkStart w:id="228" w:name="_Toc17923"/>
      <w:bookmarkStart w:id="229" w:name="_Toc12945"/>
      <w:r>
        <w:rPr>
          <w:rFonts w:hint="eastAsia" w:asciiTheme="minorEastAsia" w:hAnsiTheme="minorEastAsia" w:eastAsiaTheme="minorEastAsia" w:cstheme="minorEastAsia"/>
          <w:sz w:val="32"/>
          <w:szCs w:val="32"/>
          <w:highlight w:val="none"/>
        </w:rPr>
        <w:t>七、资格证明文件</w:t>
      </w:r>
      <w:bookmarkEnd w:id="224"/>
      <w:bookmarkEnd w:id="225"/>
      <w:bookmarkEnd w:id="226"/>
      <w:bookmarkEnd w:id="227"/>
      <w:bookmarkEnd w:id="228"/>
      <w:bookmarkEnd w:id="229"/>
    </w:p>
    <w:p w14:paraId="565D344C">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（1）提供合格有效的法人或者其他组织的营业执照等证明文件，自然人的身份证明；</w:t>
      </w:r>
    </w:p>
    <w:p w14:paraId="15373F56">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（2）提供法定代表人授权书（附法定代表人、被授权人身份证复印件，法定代表人直接参加投标，须提供法定代表人身份证明及身份证复印件）；</w:t>
      </w:r>
    </w:p>
    <w:p w14:paraId="2E8E613A">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（3）提供2024年度的财务审计报告（成立时间至提交投标文件截止时间不足一年的可提供成立后任意时段的资产负债表）或开标时间前六个月内银行出具的资信证明；</w:t>
      </w:r>
    </w:p>
    <w:p w14:paraId="19E5FE28">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（4）税收缴纳证明：提供投标截止日前近一年内任意一个月的纳税证明或完税证明（任意税种），依法免税的单位应提供相关证明材料；</w:t>
      </w:r>
    </w:p>
    <w:p w14:paraId="58C7CAA3">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（5）社会保障资金缴纳证明：提供投标截止日前近一年内任意一个月的社会保障资金缴存单据或社保机构开具的社会保险参保缴费情况证明，依法不需要缴纳社会保障资金的单位应提供相关证明材料；</w:t>
      </w:r>
    </w:p>
    <w:p w14:paraId="4A3FB680">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（6）提供具有履行本合同所必需的设备和专业技术能力的说明及承诺书；</w:t>
      </w:r>
    </w:p>
    <w:p w14:paraId="0D2F2DCE">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（7）供应商通过“信用中国”网站(www.creditchina.gov.cn)、中国政府采购网(www.ccgp.gov.cn)等查询相关主体信用记录；</w:t>
      </w:r>
    </w:p>
    <w:p w14:paraId="693271CA">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（8）参加政府采购活动前3年内，在经营活动中没有重大违法记录的书面声明；</w:t>
      </w:r>
    </w:p>
    <w:p w14:paraId="5DD2B4FE">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（9）提供中小企业声明函（供应商须为小型或微型企业）；</w:t>
      </w:r>
    </w:p>
    <w:p w14:paraId="4BE366BB">
      <w:pPr>
        <w:pStyle w:val="24"/>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（10）本项目不接受联合体投标（提供承诺书）。</w:t>
      </w:r>
    </w:p>
    <w:p w14:paraId="5BEF34D4">
      <w:pPr>
        <w:rPr>
          <w:rFonts w:asciiTheme="minorEastAsia" w:hAnsiTheme="minorEastAsia" w:eastAsiaTheme="minorEastAsia" w:cstheme="minorEastAsia"/>
          <w:b/>
          <w:bCs/>
          <w:sz w:val="30"/>
          <w:szCs w:val="30"/>
          <w:highlight w:val="none"/>
        </w:rPr>
      </w:pPr>
      <w:bookmarkStart w:id="230" w:name="_Toc19075"/>
      <w:bookmarkStart w:id="231" w:name="_Toc25348"/>
      <w:bookmarkStart w:id="232" w:name="_Toc16097"/>
      <w:bookmarkStart w:id="233" w:name="_Toc4867"/>
      <w:bookmarkStart w:id="234" w:name="_Toc363474028"/>
      <w:bookmarkStart w:id="235" w:name="_Toc403077649"/>
      <w:bookmarkStart w:id="236" w:name="_Toc426457701"/>
      <w:bookmarkStart w:id="237" w:name="_Toc30210"/>
      <w:r>
        <w:rPr>
          <w:rFonts w:hint="eastAsia" w:asciiTheme="minorEastAsia" w:hAnsiTheme="minorEastAsia" w:eastAsiaTheme="minorEastAsia" w:cstheme="minorEastAsia"/>
          <w:b/>
          <w:bCs/>
          <w:sz w:val="30"/>
          <w:szCs w:val="30"/>
          <w:highlight w:val="none"/>
        </w:rPr>
        <w:br w:type="page"/>
      </w:r>
    </w:p>
    <w:p w14:paraId="07EBFFFC">
      <w:pPr>
        <w:pStyle w:val="11"/>
        <w:rPr>
          <w:rFonts w:asciiTheme="minorEastAsia" w:hAnsiTheme="minorEastAsia" w:eastAsiaTheme="minorEastAsia" w:cstheme="minorEastAsia"/>
          <w:b/>
          <w:bCs/>
          <w:szCs w:val="28"/>
          <w:highlight w:val="none"/>
        </w:rPr>
      </w:pPr>
      <w:r>
        <w:rPr>
          <w:rFonts w:hint="eastAsia" w:asciiTheme="minorEastAsia" w:hAnsiTheme="minorEastAsia" w:eastAsiaTheme="minorEastAsia" w:cstheme="minorEastAsia"/>
          <w:b/>
          <w:bCs/>
          <w:szCs w:val="28"/>
          <w:highlight w:val="none"/>
        </w:rPr>
        <w:t>附件1：</w:t>
      </w:r>
    </w:p>
    <w:p w14:paraId="742ABB61">
      <w:pPr>
        <w:spacing w:beforeLines="10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法定代表人身份证明/法定代表人授权书</w:t>
      </w:r>
    </w:p>
    <w:p w14:paraId="59227AD3">
      <w:pPr>
        <w:pStyle w:val="11"/>
        <w:spacing w:beforeLines="50"/>
        <w:jc w:val="center"/>
        <w:rPr>
          <w:rFonts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法定代表人身份证明</w:t>
      </w:r>
    </w:p>
    <w:p w14:paraId="640B0A6F">
      <w:pPr>
        <w:autoSpaceDE w:val="0"/>
        <w:autoSpaceDN w:val="0"/>
        <w:adjustRightInd w:val="0"/>
        <w:snapToGrid w:val="0"/>
        <w:spacing w:beforeLines="50"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7818A712">
      <w:pPr>
        <w:autoSpaceDE w:val="0"/>
        <w:autoSpaceDN w:val="0"/>
        <w:adjustRightInd w:val="0"/>
        <w:snapToGrid w:val="0"/>
        <w:spacing w:beforeLines="50"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统一社会信用代码：</w:t>
      </w:r>
      <w:r>
        <w:rPr>
          <w:rFonts w:hint="eastAsia" w:asciiTheme="minorEastAsia" w:hAnsiTheme="minorEastAsia" w:eastAsiaTheme="minorEastAsia" w:cstheme="minorEastAsia"/>
          <w:sz w:val="24"/>
          <w:szCs w:val="24"/>
          <w:highlight w:val="none"/>
          <w:u w:val="single"/>
        </w:rPr>
        <w:t xml:space="preserve">                </w:t>
      </w:r>
    </w:p>
    <w:p w14:paraId="79ADB9F8">
      <w:pPr>
        <w:autoSpaceDE w:val="0"/>
        <w:autoSpaceDN w:val="0"/>
        <w:adjustRightInd w:val="0"/>
        <w:snapToGrid w:val="0"/>
        <w:spacing w:beforeLines="50"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注册地址：</w:t>
      </w:r>
      <w:r>
        <w:rPr>
          <w:rFonts w:hint="eastAsia" w:asciiTheme="minorEastAsia" w:hAnsiTheme="minorEastAsia" w:eastAsiaTheme="minorEastAsia" w:cstheme="minorEastAsia"/>
          <w:sz w:val="24"/>
          <w:szCs w:val="24"/>
          <w:highlight w:val="none"/>
          <w:u w:val="single"/>
        </w:rPr>
        <w:t xml:space="preserve">                        </w:t>
      </w:r>
    </w:p>
    <w:p w14:paraId="5C8F07E9">
      <w:pPr>
        <w:autoSpaceDE w:val="0"/>
        <w:autoSpaceDN w:val="0"/>
        <w:adjustRightInd w:val="0"/>
        <w:snapToGrid w:val="0"/>
        <w:spacing w:beforeLines="50"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14:paraId="25C51178">
      <w:pPr>
        <w:autoSpaceDE w:val="0"/>
        <w:autoSpaceDN w:val="0"/>
        <w:adjustRightInd w:val="0"/>
        <w:snapToGrid w:val="0"/>
        <w:spacing w:beforeLines="50" w:line="360" w:lineRule="auto"/>
        <w:jc w:val="left"/>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经营期限：</w:t>
      </w:r>
      <w:r>
        <w:rPr>
          <w:rFonts w:hint="eastAsia" w:asciiTheme="minorEastAsia" w:hAnsiTheme="minorEastAsia" w:eastAsiaTheme="minorEastAsia" w:cstheme="minorEastAsia"/>
          <w:sz w:val="24"/>
          <w:szCs w:val="24"/>
          <w:highlight w:val="none"/>
          <w:u w:val="single"/>
        </w:rPr>
        <w:t xml:space="preserve">                  </w:t>
      </w:r>
    </w:p>
    <w:p w14:paraId="68E45357">
      <w:pPr>
        <w:autoSpaceDE w:val="0"/>
        <w:autoSpaceDN w:val="0"/>
        <w:adjustRightInd w:val="0"/>
        <w:snapToGrid w:val="0"/>
        <w:spacing w:beforeLines="50"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性别：</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（投标人名称）的法定代表人。</w:t>
      </w:r>
    </w:p>
    <w:p w14:paraId="71169D01">
      <w:pPr>
        <w:autoSpaceDE w:val="0"/>
        <w:autoSpaceDN w:val="0"/>
        <w:adjustRightInd w:val="0"/>
        <w:snapToGrid w:val="0"/>
        <w:spacing w:beforeLines="50"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14:paraId="19E4BC76">
      <w:pPr>
        <w:autoSpaceDE w:val="0"/>
        <w:autoSpaceDN w:val="0"/>
        <w:adjustRightInd w:val="0"/>
        <w:snapToGrid w:val="0"/>
        <w:spacing w:beforeLines="50"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附：法定代表人身份证复印件</w:t>
      </w:r>
    </w:p>
    <w:tbl>
      <w:tblPr>
        <w:tblStyle w:val="28"/>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010E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97F00E3">
            <w:pPr>
              <w:snapToGrid w:val="0"/>
              <w:spacing w:line="480" w:lineRule="auto"/>
              <w:jc w:val="center"/>
              <w:rPr>
                <w:rFonts w:asciiTheme="minorEastAsia" w:hAnsiTheme="minorEastAsia" w:eastAsiaTheme="minorEastAsia" w:cstheme="minorEastAsia"/>
                <w:sz w:val="24"/>
                <w:szCs w:val="24"/>
                <w:highlight w:val="none"/>
              </w:rPr>
            </w:pPr>
          </w:p>
          <w:p w14:paraId="55A63F4E">
            <w:pPr>
              <w:snapToGrid w:val="0"/>
              <w:spacing w:line="480" w:lineRule="auto"/>
              <w:jc w:val="center"/>
              <w:rPr>
                <w:rFonts w:asciiTheme="minorEastAsia" w:hAnsiTheme="minorEastAsia" w:eastAsiaTheme="minorEastAsia" w:cstheme="minorEastAsia"/>
                <w:sz w:val="24"/>
                <w:szCs w:val="24"/>
                <w:highlight w:val="none"/>
              </w:rPr>
            </w:pPr>
          </w:p>
          <w:p w14:paraId="2E31C46B">
            <w:pPr>
              <w:autoSpaceDE w:val="0"/>
              <w:autoSpaceDN w:val="0"/>
              <w:adjustRightInd w:val="0"/>
              <w:snapToGrid w:val="0"/>
              <w:spacing w:beforeLines="50"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法定代表人身份证复印件粘贴处</w:t>
            </w:r>
          </w:p>
          <w:p w14:paraId="25D1BAC9">
            <w:pPr>
              <w:pStyle w:val="11"/>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（正反面）</w:t>
            </w:r>
          </w:p>
          <w:p w14:paraId="7145FEEA">
            <w:pPr>
              <w:snapToGrid w:val="0"/>
              <w:spacing w:line="480" w:lineRule="auto"/>
              <w:jc w:val="center"/>
              <w:rPr>
                <w:rFonts w:asciiTheme="minorEastAsia" w:hAnsiTheme="minorEastAsia" w:eastAsiaTheme="minorEastAsia" w:cstheme="minorEastAsia"/>
                <w:sz w:val="24"/>
                <w:szCs w:val="24"/>
                <w:highlight w:val="none"/>
              </w:rPr>
            </w:pPr>
          </w:p>
          <w:p w14:paraId="6E519B9B">
            <w:pPr>
              <w:snapToGrid w:val="0"/>
              <w:spacing w:line="480" w:lineRule="auto"/>
              <w:jc w:val="center"/>
              <w:rPr>
                <w:rFonts w:asciiTheme="minorEastAsia" w:hAnsiTheme="minorEastAsia" w:eastAsiaTheme="minorEastAsia" w:cstheme="minorEastAsia"/>
                <w:sz w:val="24"/>
                <w:szCs w:val="24"/>
                <w:highlight w:val="none"/>
              </w:rPr>
            </w:pPr>
          </w:p>
        </w:tc>
      </w:tr>
    </w:tbl>
    <w:p w14:paraId="0F63A757">
      <w:pPr>
        <w:snapToGrid w:val="0"/>
        <w:spacing w:line="480" w:lineRule="auto"/>
        <w:rPr>
          <w:rFonts w:asciiTheme="minorEastAsia" w:hAnsiTheme="minorEastAsia" w:eastAsiaTheme="minorEastAsia" w:cstheme="minorEastAsia"/>
          <w:sz w:val="24"/>
          <w:szCs w:val="24"/>
          <w:highlight w:val="none"/>
        </w:rPr>
      </w:pPr>
    </w:p>
    <w:p w14:paraId="778D06A1">
      <w:pPr>
        <w:snapToGrid w:val="0"/>
        <w:rPr>
          <w:rFonts w:asciiTheme="minorEastAsia" w:hAnsiTheme="minorEastAsia" w:eastAsiaTheme="minorEastAsia" w:cstheme="minorEastAsia"/>
          <w:sz w:val="24"/>
          <w:szCs w:val="24"/>
          <w:highlight w:val="none"/>
        </w:rPr>
      </w:pPr>
    </w:p>
    <w:p w14:paraId="17358EFC">
      <w:pPr>
        <w:snapToGrid w:val="0"/>
        <w:rPr>
          <w:rFonts w:asciiTheme="minorEastAsia" w:hAnsiTheme="minorEastAsia" w:eastAsiaTheme="minorEastAsia" w:cstheme="minorEastAsia"/>
          <w:sz w:val="24"/>
          <w:szCs w:val="24"/>
          <w:highlight w:val="none"/>
        </w:rPr>
      </w:pPr>
    </w:p>
    <w:p w14:paraId="7B295BB9">
      <w:pPr>
        <w:snapToGrid w:val="0"/>
        <w:rPr>
          <w:rFonts w:asciiTheme="minorEastAsia" w:hAnsiTheme="minorEastAsia" w:eastAsiaTheme="minorEastAsia" w:cstheme="minorEastAsia"/>
          <w:sz w:val="24"/>
          <w:szCs w:val="24"/>
          <w:highlight w:val="none"/>
        </w:rPr>
      </w:pPr>
    </w:p>
    <w:p w14:paraId="77215DC2">
      <w:pPr>
        <w:snapToGrid w:val="0"/>
        <w:rPr>
          <w:rFonts w:asciiTheme="minorEastAsia" w:hAnsiTheme="minorEastAsia" w:eastAsiaTheme="minorEastAsia" w:cstheme="minorEastAsia"/>
          <w:sz w:val="24"/>
          <w:szCs w:val="24"/>
          <w:highlight w:val="none"/>
        </w:rPr>
      </w:pPr>
    </w:p>
    <w:p w14:paraId="59A8B06E">
      <w:pPr>
        <w:adjustRightInd w:val="0"/>
        <w:snapToGrid w:val="0"/>
        <w:spacing w:line="360" w:lineRule="auto"/>
        <w:rPr>
          <w:rFonts w:asciiTheme="minorEastAsia" w:hAnsiTheme="minorEastAsia" w:eastAsiaTheme="minorEastAsia" w:cstheme="minorEastAsia"/>
          <w:sz w:val="24"/>
          <w:szCs w:val="24"/>
          <w:highlight w:val="none"/>
        </w:rPr>
      </w:pPr>
    </w:p>
    <w:p w14:paraId="7C1F8F09">
      <w:pPr>
        <w:adjustRightInd w:val="0"/>
        <w:snapToGrid w:val="0"/>
        <w:spacing w:line="360" w:lineRule="auto"/>
        <w:ind w:right="420"/>
        <w:rPr>
          <w:rFonts w:asciiTheme="minorEastAsia" w:hAnsiTheme="minorEastAsia" w:eastAsiaTheme="minorEastAsia" w:cstheme="minorEastAsia"/>
          <w:sz w:val="24"/>
          <w:szCs w:val="24"/>
          <w:highlight w:val="none"/>
        </w:rPr>
      </w:pPr>
    </w:p>
    <w:p w14:paraId="41683DB7">
      <w:pPr>
        <w:adjustRightInd w:val="0"/>
        <w:snapToGrid w:val="0"/>
        <w:spacing w:line="360" w:lineRule="auto"/>
        <w:ind w:right="420"/>
        <w:rPr>
          <w:rFonts w:asciiTheme="minorEastAsia" w:hAnsiTheme="minorEastAsia" w:eastAsiaTheme="minorEastAsia" w:cstheme="minorEastAsia"/>
          <w:sz w:val="24"/>
          <w:szCs w:val="24"/>
          <w:highlight w:val="none"/>
        </w:rPr>
      </w:pPr>
    </w:p>
    <w:p w14:paraId="59C5295E">
      <w:pPr>
        <w:adjustRightInd w:val="0"/>
        <w:snapToGrid w:val="0"/>
        <w:spacing w:line="360" w:lineRule="auto"/>
        <w:ind w:right="420"/>
        <w:rPr>
          <w:rFonts w:asciiTheme="minorEastAsia" w:hAnsiTheme="minorEastAsia" w:eastAsiaTheme="minorEastAsia" w:cstheme="minorEastAsia"/>
          <w:sz w:val="24"/>
          <w:szCs w:val="24"/>
          <w:highlight w:val="none"/>
        </w:rPr>
      </w:pPr>
    </w:p>
    <w:p w14:paraId="24BF3910">
      <w:pPr>
        <w:adjustRightInd w:val="0"/>
        <w:snapToGrid w:val="0"/>
        <w:spacing w:line="360" w:lineRule="auto"/>
        <w:ind w:right="420"/>
        <w:rPr>
          <w:rFonts w:asciiTheme="minorEastAsia" w:hAnsiTheme="minorEastAsia" w:eastAsiaTheme="minorEastAsia" w:cstheme="minorEastAsia"/>
          <w:sz w:val="24"/>
          <w:szCs w:val="24"/>
          <w:highlight w:val="none"/>
        </w:rPr>
      </w:pPr>
    </w:p>
    <w:p w14:paraId="7FB80D8A">
      <w:pPr>
        <w:adjustRightInd w:val="0"/>
        <w:snapToGrid w:val="0"/>
        <w:spacing w:line="360" w:lineRule="auto"/>
        <w:ind w:right="42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投标人名称（公章）：</w:t>
      </w:r>
    </w:p>
    <w:p w14:paraId="760B67BE">
      <w:pPr>
        <w:adjustRightInd w:val="0"/>
        <w:snapToGrid w:val="0"/>
        <w:spacing w:line="360" w:lineRule="auto"/>
        <w:ind w:right="42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年  月  日</w:t>
      </w:r>
    </w:p>
    <w:p w14:paraId="44701B2B">
      <w:pPr>
        <w:adjustRightInd w:val="0"/>
        <w:snapToGrid w:val="0"/>
        <w:spacing w:line="360" w:lineRule="auto"/>
        <w:ind w:right="420"/>
        <w:rPr>
          <w:rFonts w:asciiTheme="minorEastAsia" w:hAnsiTheme="minorEastAsia" w:eastAsiaTheme="minorEastAsia" w:cstheme="minorEastAsia"/>
          <w:highlight w:val="none"/>
        </w:rPr>
      </w:pPr>
    </w:p>
    <w:p w14:paraId="02697175">
      <w:pPr>
        <w:rPr>
          <w:rFonts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br w:type="page"/>
      </w:r>
    </w:p>
    <w:p w14:paraId="2A941643">
      <w:pPr>
        <w:keepNext/>
        <w:spacing w:beforeLines="100"/>
        <w:jc w:val="center"/>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法定代表人授权书</w:t>
      </w:r>
      <w:bookmarkEnd w:id="230"/>
      <w:bookmarkEnd w:id="231"/>
      <w:bookmarkEnd w:id="232"/>
      <w:bookmarkEnd w:id="233"/>
      <w:bookmarkEnd w:id="234"/>
      <w:bookmarkEnd w:id="235"/>
      <w:bookmarkEnd w:id="236"/>
      <w:bookmarkEnd w:id="237"/>
    </w:p>
    <w:p w14:paraId="49DACE69">
      <w:pPr>
        <w:spacing w:line="560" w:lineRule="exact"/>
        <w:jc w:val="left"/>
        <w:rPr>
          <w:rFonts w:hint="eastAsia" w:asciiTheme="minorEastAsia" w:hAnsiTheme="minorEastAsia" w:eastAsiaTheme="minorEastAsia" w:cstheme="minorEastAsia"/>
          <w:spacing w:val="4"/>
          <w:sz w:val="24"/>
          <w:szCs w:val="24"/>
          <w:highlight w:val="none"/>
          <w:lang w:eastAsia="zh-CN"/>
        </w:rPr>
      </w:pPr>
      <w:r>
        <w:rPr>
          <w:rFonts w:hint="eastAsia" w:asciiTheme="minorEastAsia" w:hAnsiTheme="minorEastAsia" w:eastAsiaTheme="minorEastAsia" w:cstheme="minorEastAsia"/>
          <w:b/>
          <w:spacing w:val="4"/>
          <w:sz w:val="24"/>
          <w:szCs w:val="24"/>
          <w:highlight w:val="none"/>
        </w:rPr>
        <w:t>致：</w:t>
      </w:r>
      <w:r>
        <w:rPr>
          <w:rFonts w:hint="eastAsia" w:asciiTheme="minorEastAsia" w:hAnsiTheme="minorEastAsia" w:eastAsiaTheme="minorEastAsia" w:cstheme="minorEastAsia"/>
          <w:b/>
          <w:spacing w:val="4"/>
          <w:sz w:val="24"/>
          <w:szCs w:val="24"/>
          <w:highlight w:val="none"/>
          <w:u w:val="single"/>
          <w:lang w:eastAsia="zh-CN"/>
        </w:rPr>
        <w:t>陕西启航项目管理咨询有限公司</w:t>
      </w:r>
    </w:p>
    <w:p w14:paraId="72675B42">
      <w:pPr>
        <w:spacing w:line="560" w:lineRule="exact"/>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u w:val="single"/>
        </w:rPr>
        <w:t xml:space="preserve">(投标人名称)   </w:t>
      </w:r>
      <w:r>
        <w:rPr>
          <w:rFonts w:hint="eastAsia" w:asciiTheme="minorEastAsia" w:hAnsiTheme="minorEastAsia" w:eastAsiaTheme="minorEastAsia" w:cstheme="minorEastAsia"/>
          <w:spacing w:val="4"/>
          <w:sz w:val="24"/>
          <w:szCs w:val="24"/>
          <w:highlight w:val="none"/>
        </w:rPr>
        <w:t>按中华人民共和国法律于</w:t>
      </w:r>
      <w:r>
        <w:rPr>
          <w:rFonts w:hint="eastAsia" w:asciiTheme="minorEastAsia" w:hAnsiTheme="minorEastAsia" w:eastAsiaTheme="minorEastAsia" w:cstheme="minorEastAsia"/>
          <w:spacing w:val="4"/>
          <w:sz w:val="24"/>
          <w:szCs w:val="24"/>
          <w:highlight w:val="none"/>
          <w:u w:val="single"/>
        </w:rPr>
        <w:t xml:space="preserve">（  年  月  日 ）  </w:t>
      </w:r>
      <w:r>
        <w:rPr>
          <w:rFonts w:hint="eastAsia" w:asciiTheme="minorEastAsia" w:hAnsiTheme="minorEastAsia" w:eastAsiaTheme="minorEastAsia" w:cstheme="minorEastAsia"/>
          <w:spacing w:val="4"/>
          <w:sz w:val="24"/>
          <w:szCs w:val="24"/>
          <w:highlight w:val="none"/>
        </w:rPr>
        <w:t>成立。</w:t>
      </w:r>
      <w:r>
        <w:rPr>
          <w:rFonts w:hint="eastAsia" w:asciiTheme="minorEastAsia" w:hAnsiTheme="minorEastAsia" w:eastAsiaTheme="minorEastAsia" w:cstheme="minorEastAsia"/>
          <w:spacing w:val="4"/>
          <w:sz w:val="24"/>
          <w:szCs w:val="24"/>
          <w:highlight w:val="none"/>
          <w:u w:val="single"/>
        </w:rPr>
        <w:t>(</w:t>
      </w:r>
      <w:r>
        <w:rPr>
          <w:rFonts w:hint="eastAsia" w:asciiTheme="minorEastAsia" w:hAnsiTheme="minorEastAsia" w:eastAsiaTheme="minorEastAsia" w:cstheme="minorEastAsia"/>
          <w:sz w:val="24"/>
          <w:szCs w:val="24"/>
          <w:highlight w:val="none"/>
          <w:u w:val="single"/>
        </w:rPr>
        <w:t>法定代表人</w:t>
      </w:r>
      <w:r>
        <w:rPr>
          <w:rFonts w:hint="eastAsia" w:asciiTheme="minorEastAsia" w:hAnsiTheme="minorEastAsia" w:eastAsiaTheme="minorEastAsia" w:cstheme="minorEastAsia"/>
          <w:spacing w:val="4"/>
          <w:sz w:val="24"/>
          <w:szCs w:val="24"/>
          <w:highlight w:val="none"/>
          <w:u w:val="single"/>
        </w:rPr>
        <w:t>姓名)</w:t>
      </w:r>
      <w:r>
        <w:rPr>
          <w:rFonts w:hint="eastAsia" w:asciiTheme="minorEastAsia" w:hAnsiTheme="minorEastAsia" w:eastAsiaTheme="minorEastAsia" w:cstheme="minorEastAsia"/>
          <w:spacing w:val="4"/>
          <w:sz w:val="24"/>
          <w:szCs w:val="24"/>
          <w:highlight w:val="none"/>
        </w:rPr>
        <w:t>特授权</w:t>
      </w:r>
      <w:r>
        <w:rPr>
          <w:rFonts w:hint="eastAsia" w:asciiTheme="minorEastAsia" w:hAnsiTheme="minorEastAsia" w:eastAsiaTheme="minorEastAsia" w:cstheme="minorEastAsia"/>
          <w:spacing w:val="4"/>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授权代表</w:t>
      </w:r>
      <w:r>
        <w:rPr>
          <w:rFonts w:hint="eastAsia" w:asciiTheme="minorEastAsia" w:hAnsiTheme="minorEastAsia" w:eastAsiaTheme="minorEastAsia" w:cstheme="minorEastAsia"/>
          <w:spacing w:val="4"/>
          <w:sz w:val="24"/>
          <w:szCs w:val="24"/>
          <w:highlight w:val="none"/>
          <w:u w:val="single"/>
        </w:rPr>
        <w:t>姓名 ）</w:t>
      </w:r>
      <w:r>
        <w:rPr>
          <w:rFonts w:hint="eastAsia" w:asciiTheme="minorEastAsia" w:hAnsiTheme="minorEastAsia" w:eastAsiaTheme="minorEastAsia" w:cstheme="minorEastAsia"/>
          <w:spacing w:val="4"/>
          <w:sz w:val="24"/>
          <w:szCs w:val="24"/>
          <w:highlight w:val="none"/>
        </w:rPr>
        <w:t xml:space="preserve">代表我公司全权办理针对本次 </w:t>
      </w:r>
      <w:r>
        <w:rPr>
          <w:rFonts w:hint="eastAsia" w:asciiTheme="minorEastAsia" w:hAnsiTheme="minorEastAsia" w:eastAsiaTheme="minorEastAsia" w:cstheme="minorEastAsia"/>
          <w:spacing w:val="4"/>
          <w:sz w:val="24"/>
          <w:szCs w:val="24"/>
          <w:highlight w:val="none"/>
          <w:u w:val="single"/>
        </w:rPr>
        <w:t xml:space="preserve">（项目名称、项目编号、包号：第  包）    </w:t>
      </w:r>
      <w:r>
        <w:rPr>
          <w:rFonts w:hint="eastAsia" w:asciiTheme="minorEastAsia" w:hAnsiTheme="minorEastAsia" w:eastAsiaTheme="minorEastAsia" w:cstheme="minorEastAsia"/>
          <w:spacing w:val="4"/>
          <w:sz w:val="24"/>
          <w:szCs w:val="24"/>
          <w:highlight w:val="none"/>
        </w:rPr>
        <w:t>投标、谈判、签约等具体工作，并签署全部有关的文件、协议及合同。</w:t>
      </w:r>
    </w:p>
    <w:p w14:paraId="7A98B6A0">
      <w:pPr>
        <w:spacing w:line="560" w:lineRule="exact"/>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我公司对</w:t>
      </w:r>
      <w:r>
        <w:rPr>
          <w:rFonts w:hint="eastAsia" w:asciiTheme="minorEastAsia" w:hAnsiTheme="minorEastAsia" w:eastAsiaTheme="minorEastAsia" w:cstheme="minorEastAsia"/>
          <w:sz w:val="24"/>
          <w:szCs w:val="24"/>
          <w:highlight w:val="none"/>
        </w:rPr>
        <w:t>授权代表</w:t>
      </w:r>
      <w:r>
        <w:rPr>
          <w:rFonts w:hint="eastAsia" w:asciiTheme="minorEastAsia" w:hAnsiTheme="minorEastAsia" w:eastAsiaTheme="minorEastAsia" w:cstheme="minorEastAsia"/>
          <w:spacing w:val="4"/>
          <w:sz w:val="24"/>
          <w:szCs w:val="24"/>
          <w:highlight w:val="none"/>
        </w:rPr>
        <w:t>的签名负全部责任。</w:t>
      </w:r>
    </w:p>
    <w:p w14:paraId="5B4DF62C">
      <w:pPr>
        <w:spacing w:line="560" w:lineRule="exact"/>
        <w:ind w:right="540" w:rightChars="257"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委托期限：</w:t>
      </w:r>
      <w:r>
        <w:rPr>
          <w:rFonts w:hint="eastAsia" w:asciiTheme="minorEastAsia" w:hAnsiTheme="minorEastAsia" w:eastAsiaTheme="minorEastAsia" w:cstheme="minorEastAsia"/>
          <w:sz w:val="24"/>
          <w:szCs w:val="24"/>
          <w:highlight w:val="none"/>
          <w:lang w:val="zh-CN"/>
        </w:rPr>
        <w:t>自开标之日起</w:t>
      </w:r>
      <w:r>
        <w:rPr>
          <w:rFonts w:hint="eastAsia" w:asciiTheme="minorEastAsia" w:hAnsiTheme="minorEastAsia" w:eastAsiaTheme="minorEastAsia" w:cstheme="minorEastAsia"/>
          <w:sz w:val="24"/>
          <w:szCs w:val="24"/>
          <w:highlight w:val="none"/>
        </w:rPr>
        <w:t>90</w:t>
      </w:r>
      <w:r>
        <w:rPr>
          <w:rFonts w:hint="eastAsia" w:asciiTheme="minorEastAsia" w:hAnsiTheme="minorEastAsia" w:eastAsiaTheme="minorEastAsia" w:cstheme="minorEastAsia"/>
          <w:sz w:val="24"/>
          <w:szCs w:val="24"/>
          <w:highlight w:val="none"/>
          <w:lang w:val="zh-CN"/>
        </w:rPr>
        <w:t>天。</w:t>
      </w:r>
    </w:p>
    <w:p w14:paraId="06CE8534">
      <w:pPr>
        <w:spacing w:line="560" w:lineRule="exact"/>
        <w:ind w:firstLine="496" w:firstLineChars="200"/>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本授权书于</w:t>
      </w:r>
      <w:r>
        <w:rPr>
          <w:rFonts w:hint="eastAsia" w:asciiTheme="minorEastAsia" w:hAnsiTheme="minorEastAsia" w:eastAsiaTheme="minorEastAsia" w:cstheme="minorEastAsia"/>
          <w:spacing w:val="4"/>
          <w:sz w:val="24"/>
          <w:szCs w:val="24"/>
          <w:highlight w:val="none"/>
          <w:u w:val="single"/>
        </w:rPr>
        <w:t xml:space="preserve">      年   月   日</w:t>
      </w:r>
      <w:r>
        <w:rPr>
          <w:rFonts w:hint="eastAsia" w:asciiTheme="minorEastAsia" w:hAnsiTheme="minorEastAsia" w:eastAsiaTheme="minorEastAsia" w:cstheme="minorEastAsia"/>
          <w:spacing w:val="4"/>
          <w:sz w:val="24"/>
          <w:szCs w:val="24"/>
          <w:highlight w:val="none"/>
        </w:rPr>
        <w:t>签章生效，特此证明。</w:t>
      </w:r>
    </w:p>
    <w:tbl>
      <w:tblPr>
        <w:tblStyle w:val="27"/>
        <w:tblW w:w="8190" w:type="dxa"/>
        <w:tblInd w:w="633" w:type="dxa"/>
        <w:tblLayout w:type="fixed"/>
        <w:tblCellMar>
          <w:top w:w="0" w:type="dxa"/>
          <w:left w:w="108" w:type="dxa"/>
          <w:bottom w:w="0" w:type="dxa"/>
          <w:right w:w="108" w:type="dxa"/>
        </w:tblCellMar>
      </w:tblPr>
      <w:tblGrid>
        <w:gridCol w:w="4200"/>
        <w:gridCol w:w="3990"/>
      </w:tblGrid>
      <w:tr w14:paraId="15B5A367">
        <w:tblPrEx>
          <w:tblCellMar>
            <w:top w:w="0" w:type="dxa"/>
            <w:left w:w="108" w:type="dxa"/>
            <w:bottom w:w="0" w:type="dxa"/>
            <w:right w:w="108" w:type="dxa"/>
          </w:tblCellMar>
        </w:tblPrEx>
        <w:trPr>
          <w:trHeight w:val="600" w:hRule="atLeast"/>
        </w:trPr>
        <w:tc>
          <w:tcPr>
            <w:tcW w:w="4200" w:type="dxa"/>
          </w:tcPr>
          <w:p w14:paraId="353BC833">
            <w:pPr>
              <w:spacing w:line="520" w:lineRule="exact"/>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被授权人签字或盖章：</w:t>
            </w:r>
          </w:p>
        </w:tc>
        <w:tc>
          <w:tcPr>
            <w:tcW w:w="3990" w:type="dxa"/>
          </w:tcPr>
          <w:p w14:paraId="50AB6273">
            <w:pPr>
              <w:spacing w:line="520" w:lineRule="exact"/>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pacing w:val="4"/>
                <w:sz w:val="24"/>
                <w:szCs w:val="24"/>
                <w:highlight w:val="none"/>
              </w:rPr>
              <w:t>签字或盖章：</w:t>
            </w:r>
          </w:p>
        </w:tc>
      </w:tr>
      <w:tr w14:paraId="7D0A770C">
        <w:tblPrEx>
          <w:tblCellMar>
            <w:top w:w="0" w:type="dxa"/>
            <w:left w:w="108" w:type="dxa"/>
            <w:bottom w:w="0" w:type="dxa"/>
            <w:right w:w="108" w:type="dxa"/>
          </w:tblCellMar>
        </w:tblPrEx>
        <w:trPr>
          <w:trHeight w:val="600" w:hRule="atLeast"/>
        </w:trPr>
        <w:tc>
          <w:tcPr>
            <w:tcW w:w="4200" w:type="dxa"/>
          </w:tcPr>
          <w:p w14:paraId="678B2F39">
            <w:pPr>
              <w:spacing w:line="520" w:lineRule="exact"/>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职务：</w:t>
            </w:r>
          </w:p>
        </w:tc>
        <w:tc>
          <w:tcPr>
            <w:tcW w:w="3990" w:type="dxa"/>
          </w:tcPr>
          <w:p w14:paraId="5CC8B1A4">
            <w:pPr>
              <w:spacing w:line="520" w:lineRule="exact"/>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职务：</w:t>
            </w:r>
          </w:p>
        </w:tc>
      </w:tr>
      <w:tr w14:paraId="1DC9364D">
        <w:tblPrEx>
          <w:tblCellMar>
            <w:top w:w="0" w:type="dxa"/>
            <w:left w:w="108" w:type="dxa"/>
            <w:bottom w:w="0" w:type="dxa"/>
            <w:right w:w="108" w:type="dxa"/>
          </w:tblCellMar>
        </w:tblPrEx>
        <w:trPr>
          <w:trHeight w:val="600" w:hRule="atLeast"/>
        </w:trPr>
        <w:tc>
          <w:tcPr>
            <w:tcW w:w="4200" w:type="dxa"/>
          </w:tcPr>
          <w:p w14:paraId="4AD619FF">
            <w:pPr>
              <w:spacing w:line="520" w:lineRule="exact"/>
              <w:jc w:val="left"/>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所在部门：</w:t>
            </w:r>
          </w:p>
        </w:tc>
        <w:tc>
          <w:tcPr>
            <w:tcW w:w="3990" w:type="dxa"/>
          </w:tcPr>
          <w:p w14:paraId="45D83950">
            <w:pPr>
              <w:spacing w:line="520" w:lineRule="exact"/>
              <w:jc w:val="left"/>
              <w:rPr>
                <w:rFonts w:asciiTheme="minorEastAsia" w:hAnsiTheme="minorEastAsia" w:eastAsiaTheme="minorEastAsia" w:cstheme="minorEastAsia"/>
                <w:spacing w:val="4"/>
                <w:sz w:val="24"/>
                <w:szCs w:val="24"/>
                <w:highlight w:val="none"/>
              </w:rPr>
            </w:pPr>
          </w:p>
        </w:tc>
      </w:tr>
    </w:tbl>
    <w:p w14:paraId="22B1EC1D">
      <w:pPr>
        <w:spacing w:before="240" w:line="360" w:lineRule="auto"/>
        <w:ind w:firstLine="960" w:firstLineChars="400"/>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lang w:val="zh-CN"/>
        </w:rPr>
        <w:t>附法定代表人</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zh-CN"/>
        </w:rPr>
        <w:t>授权代表身份证复印件</w:t>
      </w:r>
    </w:p>
    <w:tbl>
      <w:tblPr>
        <w:tblStyle w:val="27"/>
        <w:tblW w:w="8357" w:type="dxa"/>
        <w:tblInd w:w="540" w:type="dxa"/>
        <w:tblLayout w:type="fixed"/>
        <w:tblCellMar>
          <w:top w:w="0" w:type="dxa"/>
          <w:left w:w="108" w:type="dxa"/>
          <w:bottom w:w="0" w:type="dxa"/>
          <w:right w:w="108" w:type="dxa"/>
        </w:tblCellMar>
      </w:tblPr>
      <w:tblGrid>
        <w:gridCol w:w="4246"/>
        <w:gridCol w:w="4111"/>
      </w:tblGrid>
      <w:tr w14:paraId="1BC7DD45">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43AD3325">
            <w:pPr>
              <w:spacing w:line="360" w:lineRule="auto"/>
              <w:jc w:val="center"/>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法定代表人身份证复印件粘贴处</w:t>
            </w:r>
          </w:p>
          <w:p w14:paraId="63EAAB22">
            <w:pPr>
              <w:spacing w:line="360" w:lineRule="auto"/>
              <w:jc w:val="center"/>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5760FC9A">
            <w:pPr>
              <w:autoSpaceDE w:val="0"/>
              <w:autoSpaceDN w:val="0"/>
              <w:adjustRightInd w:val="0"/>
              <w:snapToGrid w:val="0"/>
              <w:spacing w:beforeLines="50" w:line="36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授权代表身份证复印件粘贴处</w:t>
            </w:r>
          </w:p>
          <w:p w14:paraId="661B3604">
            <w:pPr>
              <w:autoSpaceDE w:val="0"/>
              <w:autoSpaceDN w:val="0"/>
              <w:adjustRightInd w:val="0"/>
              <w:snapToGrid w:val="0"/>
              <w:spacing w:beforeLines="50" w:line="360" w:lineRule="auto"/>
              <w:jc w:val="center"/>
              <w:rPr>
                <w:rFonts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（正反面）</w:t>
            </w:r>
          </w:p>
        </w:tc>
      </w:tr>
    </w:tbl>
    <w:p w14:paraId="0F28EB90">
      <w:pPr>
        <w:spacing w:line="480" w:lineRule="auto"/>
        <w:ind w:left="424" w:leftChars="202" w:right="540" w:rightChars="257"/>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投标人名称：</w:t>
      </w:r>
      <w:r>
        <w:rPr>
          <w:rFonts w:hint="eastAsia" w:asciiTheme="minorEastAsia" w:hAnsiTheme="minorEastAsia" w:eastAsiaTheme="minorEastAsia" w:cstheme="minorEastAsia"/>
          <w:sz w:val="24"/>
          <w:szCs w:val="24"/>
          <w:highlight w:val="none"/>
          <w:u w:val="single"/>
        </w:rPr>
        <w:t xml:space="preserve">      （加盖单位公章）      </w:t>
      </w:r>
    </w:p>
    <w:p w14:paraId="6BB82F4B">
      <w:pPr>
        <w:spacing w:line="440" w:lineRule="exact"/>
        <w:ind w:left="424" w:leftChars="202"/>
        <w:rPr>
          <w:rFonts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日   期：</w:t>
      </w:r>
    </w:p>
    <w:p w14:paraId="09DD028A">
      <w:pPr>
        <w:ind w:firstLine="422" w:firstLineChars="200"/>
        <w:rPr>
          <w:rFonts w:asciiTheme="minorEastAsia" w:hAnsiTheme="minorEastAsia" w:eastAsiaTheme="minorEastAsia" w:cstheme="minorEastAsia"/>
          <w:b/>
          <w:bCs/>
          <w:highlight w:val="none"/>
          <w:lang w:val="zh-CN"/>
        </w:rPr>
      </w:pPr>
    </w:p>
    <w:p w14:paraId="45FE99AE">
      <w:pPr>
        <w:ind w:firstLine="436" w:firstLineChars="200"/>
        <w:rPr>
          <w:rFonts w:asciiTheme="minorEastAsia" w:hAnsiTheme="minorEastAsia" w:eastAsiaTheme="minorEastAsia" w:cstheme="minorEastAsia"/>
          <w:highlight w:val="none"/>
        </w:rPr>
      </w:pPr>
      <w:bookmarkStart w:id="238" w:name="_Toc25905"/>
      <w:r>
        <w:rPr>
          <w:rFonts w:hint="eastAsia" w:asciiTheme="minorEastAsia" w:hAnsiTheme="minorEastAsia" w:eastAsiaTheme="minorEastAsia" w:cstheme="minorEastAsia"/>
          <w:spacing w:val="4"/>
          <w:szCs w:val="30"/>
          <w:highlight w:val="none"/>
        </w:rPr>
        <w:br w:type="page"/>
      </w:r>
      <w:bookmarkEnd w:id="238"/>
    </w:p>
    <w:p w14:paraId="0B595444">
      <w:pPr>
        <w:widowControl/>
        <w:spacing w:line="360" w:lineRule="auto"/>
        <w:ind w:left="1" w:firstLine="281" w:firstLineChars="100"/>
        <w:rPr>
          <w:rFonts w:ascii="宋体" w:hAnsi="宋体" w:cs="宋体"/>
          <w:b/>
          <w:kern w:val="0"/>
          <w:sz w:val="28"/>
          <w:szCs w:val="28"/>
          <w:highlight w:val="none"/>
        </w:rPr>
      </w:pPr>
    </w:p>
    <w:p w14:paraId="5EA473B6">
      <w:pPr>
        <w:widowControl/>
        <w:spacing w:line="360" w:lineRule="auto"/>
        <w:ind w:left="1" w:firstLine="241" w:firstLineChars="100"/>
        <w:jc w:val="center"/>
        <w:rPr>
          <w:rFonts w:hint="eastAsia" w:ascii="宋体" w:hAnsi="宋体" w:cs="宋体"/>
          <w:b/>
          <w:kern w:val="0"/>
          <w:sz w:val="24"/>
          <w:szCs w:val="24"/>
          <w:highlight w:val="none"/>
        </w:rPr>
      </w:pPr>
    </w:p>
    <w:p w14:paraId="3E7A5A64">
      <w:pPr>
        <w:widowControl/>
        <w:spacing w:line="360" w:lineRule="auto"/>
        <w:ind w:left="1" w:firstLine="281" w:firstLineChars="100"/>
        <w:jc w:val="center"/>
        <w:rPr>
          <w:rFonts w:ascii="宋体" w:hAnsi="宋体" w:cs="宋体"/>
          <w:b/>
          <w:kern w:val="0"/>
          <w:sz w:val="28"/>
          <w:szCs w:val="28"/>
          <w:highlight w:val="none"/>
        </w:rPr>
      </w:pPr>
      <w:r>
        <w:rPr>
          <w:rFonts w:hint="eastAsia" w:ascii="宋体" w:hAnsi="宋体" w:cs="宋体"/>
          <w:b/>
          <w:kern w:val="0"/>
          <w:sz w:val="28"/>
          <w:szCs w:val="28"/>
          <w:highlight w:val="none"/>
        </w:rPr>
        <w:t>参加政府采购活动前3年内在经营活动中没有重大违法纪录的书面声明</w:t>
      </w:r>
    </w:p>
    <w:p w14:paraId="61603FC9">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314FDC2E">
      <w:pPr>
        <w:pStyle w:val="24"/>
        <w:wordWrap w:val="0"/>
        <w:spacing w:line="560" w:lineRule="exact"/>
        <w:rPr>
          <w:rFonts w:hint="eastAsia" w:ascii="宋体" w:hAnsi="宋体" w:cs="宋体"/>
          <w:color w:val="auto"/>
          <w:highlight w:val="none"/>
          <w:u w:val="single"/>
          <w:shd w:val="clear" w:color="auto" w:fill="FFFFFF"/>
        </w:rPr>
      </w:pPr>
    </w:p>
    <w:p w14:paraId="672B229C">
      <w:pPr>
        <w:pStyle w:val="24"/>
        <w:wordWrap w:val="0"/>
        <w:spacing w:line="560" w:lineRule="exact"/>
        <w:rPr>
          <w:rFonts w:ascii="宋体" w:hAnsi="宋体" w:cs="宋体"/>
          <w:color w:val="auto"/>
          <w:highlight w:val="none"/>
          <w:u w:val="single"/>
          <w:shd w:val="clear" w:color="auto" w:fill="FFFFFF"/>
        </w:rPr>
      </w:pPr>
      <w:r>
        <w:rPr>
          <w:rFonts w:hint="eastAsia" w:ascii="宋体" w:hAnsi="宋体" w:cs="宋体"/>
          <w:color w:val="auto"/>
          <w:highlight w:val="none"/>
          <w:u w:val="single"/>
          <w:shd w:val="clear" w:color="auto" w:fill="FFFFFF"/>
        </w:rPr>
        <w:t xml:space="preserve">      （采购人）           ：</w:t>
      </w:r>
    </w:p>
    <w:p w14:paraId="0867A1B5">
      <w:pPr>
        <w:pStyle w:val="24"/>
        <w:wordWrap w:val="0"/>
        <w:spacing w:line="560" w:lineRule="exact"/>
        <w:ind w:firstLine="640"/>
        <w:rPr>
          <w:rFonts w:ascii="宋体" w:hAnsi="宋体" w:cs="宋体"/>
          <w:color w:val="auto"/>
          <w:highlight w:val="none"/>
        </w:rPr>
      </w:pPr>
      <w:r>
        <w:rPr>
          <w:rFonts w:hint="eastAsia" w:ascii="宋体" w:hAnsi="宋体" w:cs="宋体"/>
          <w:color w:val="auto"/>
          <w:highlight w:val="none"/>
          <w:shd w:val="clear" w:color="auto" w:fill="FFFFFF"/>
        </w:rPr>
        <w:t>我方作为项目名称</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（项目编号</w:t>
      </w:r>
      <w:r>
        <w:rPr>
          <w:rFonts w:hint="eastAsia" w:cs="宋体"/>
          <w:color w:val="auto"/>
          <w:highlight w:val="none"/>
          <w:shd w:val="clear" w:color="auto" w:fill="FFFFFF"/>
        </w:rPr>
        <w:t>、包号</w:t>
      </w:r>
      <w:r>
        <w:rPr>
          <w:rFonts w:hint="eastAsia" w:ascii="宋体" w:hAnsi="宋体" w:cs="宋体"/>
          <w:color w:val="auto"/>
          <w:highlight w:val="none"/>
          <w:shd w:val="clear" w:color="auto" w:fill="FFFFFF"/>
        </w:rPr>
        <w:t>：</w:t>
      </w:r>
      <w:r>
        <w:rPr>
          <w:rFonts w:hint="eastAsia" w:ascii="宋体" w:hAnsi="宋体" w:cs="宋体"/>
          <w:i/>
          <w:iCs/>
          <w:color w:val="auto"/>
          <w:highlight w:val="none"/>
          <w:u w:val="single"/>
          <w:shd w:val="clear" w:color="auto" w:fill="FFFFFF"/>
        </w:rPr>
        <w:t xml:space="preserve">          </w:t>
      </w:r>
      <w:r>
        <w:rPr>
          <w:rFonts w:hint="eastAsia" w:ascii="宋体" w:hAnsi="宋体" w:cs="宋体"/>
          <w:color w:val="auto"/>
          <w:highlight w:val="none"/>
          <w:shd w:val="clear" w:color="auto" w:fill="FFFFFF"/>
        </w:rPr>
        <w:t xml:space="preserve">）的供应商，在此郑重声明： </w:t>
      </w:r>
    </w:p>
    <w:p w14:paraId="2F2923E7">
      <w:pPr>
        <w:pStyle w:val="24"/>
        <w:wordWrap w:val="0"/>
        <w:spacing w:line="560" w:lineRule="exact"/>
        <w:ind w:firstLine="420"/>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在参加本次政府采购活动前3年内的经营活动中</w:t>
      </w:r>
      <w:r>
        <w:rPr>
          <w:rFonts w:hint="eastAsia" w:ascii="宋体" w:hAnsi="宋体" w:cs="宋体"/>
          <w:color w:val="auto"/>
          <w:highlight w:val="none"/>
          <w:u w:val="single"/>
          <w:shd w:val="clear" w:color="auto" w:fill="FFFFFF"/>
        </w:rPr>
        <w:t xml:space="preserve">          </w:t>
      </w:r>
      <w:r>
        <w:rPr>
          <w:rFonts w:hint="eastAsia" w:ascii="宋体" w:hAnsi="宋体" w:cs="宋体"/>
          <w:color w:val="auto"/>
          <w:highlight w:val="none"/>
          <w:shd w:val="clear" w:color="auto" w:fill="FFFFFF"/>
        </w:rPr>
        <w:t>（填“没有”或“有”）重大违法记录。供应商在参加政府采购活动前3年内因违法经营被禁止在一定期限内参加政府采购活动，期限届满的，可以参加政府采购活动，但应提供期限届满的证明材料。</w:t>
      </w:r>
    </w:p>
    <w:p w14:paraId="17B3EDD6">
      <w:pPr>
        <w:pStyle w:val="24"/>
        <w:wordWrap w:val="0"/>
        <w:spacing w:line="560" w:lineRule="exact"/>
        <w:ind w:firstLine="420"/>
        <w:rPr>
          <w:rFonts w:ascii="宋体" w:hAnsi="宋体" w:cs="宋体"/>
          <w:color w:val="auto"/>
          <w:highlight w:val="none"/>
        </w:rPr>
      </w:pPr>
      <w:r>
        <w:rPr>
          <w:rFonts w:hint="eastAsia" w:ascii="宋体" w:hAnsi="宋体" w:cs="宋体"/>
          <w:color w:val="auto"/>
          <w:highlight w:val="none"/>
          <w:shd w:val="clear" w:color="auto" w:fill="FFFFFF"/>
        </w:rPr>
        <w:t xml:space="preserve">如有不实，我方将无条件地退出本项目的采购活动，并遵照《政府采购法》有关“提供虚假材料的规定”接受处罚。 </w:t>
      </w:r>
    </w:p>
    <w:p w14:paraId="686B6596">
      <w:pPr>
        <w:pStyle w:val="24"/>
        <w:wordWrap w:val="0"/>
        <w:spacing w:line="560" w:lineRule="exact"/>
        <w:ind w:firstLine="42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特此声明！</w:t>
      </w:r>
    </w:p>
    <w:p w14:paraId="6A4203FA">
      <w:pPr>
        <w:pStyle w:val="24"/>
        <w:wordWrap w:val="0"/>
        <w:spacing w:line="560" w:lineRule="exact"/>
        <w:ind w:firstLine="420"/>
        <w:rPr>
          <w:rFonts w:ascii="宋体" w:hAnsi="宋体" w:cs="宋体"/>
          <w:color w:val="auto"/>
          <w:highlight w:val="none"/>
          <w:shd w:val="clear" w:color="auto" w:fill="FFFFFF"/>
        </w:rPr>
      </w:pPr>
    </w:p>
    <w:p w14:paraId="11894A78">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793D77D9">
      <w:pPr>
        <w:pStyle w:val="52"/>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284D777">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75B1A8C2">
      <w:pPr>
        <w:adjustRightInd w:val="0"/>
        <w:snapToGrid w:val="0"/>
        <w:spacing w:line="360" w:lineRule="auto"/>
        <w:jc w:val="center"/>
        <w:rPr>
          <w:rFonts w:asciiTheme="minorEastAsia" w:hAnsiTheme="minorEastAsia" w:eastAsiaTheme="minorEastAsia" w:cstheme="minorEastAsia"/>
          <w:b/>
          <w:sz w:val="28"/>
          <w:szCs w:val="28"/>
          <w:highlight w:val="none"/>
        </w:rPr>
      </w:pPr>
    </w:p>
    <w:p w14:paraId="04B63481">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14:paraId="661FB0D3">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1C1587AB">
      <w:pPr>
        <w:rPr>
          <w:highlight w:val="none"/>
        </w:rPr>
      </w:pPr>
    </w:p>
    <w:p w14:paraId="7D8C93C2">
      <w:pPr>
        <w:pStyle w:val="14"/>
        <w:adjustRightInd w:val="0"/>
        <w:snapToGrid w:val="0"/>
        <w:spacing w:line="720" w:lineRule="exact"/>
        <w:jc w:val="center"/>
        <w:rPr>
          <w:rFonts w:hAnsi="宋体"/>
          <w:b/>
          <w:sz w:val="28"/>
          <w:szCs w:val="28"/>
          <w:highlight w:val="none"/>
        </w:rPr>
      </w:pPr>
    </w:p>
    <w:p w14:paraId="6964F429">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    ：</w:t>
      </w:r>
    </w:p>
    <w:p w14:paraId="1E2237C6">
      <w:pPr>
        <w:pStyle w:val="14"/>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14:paraId="14A16649">
      <w:pPr>
        <w:pStyle w:val="14"/>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14:paraId="4F90ADBC">
      <w:pPr>
        <w:pStyle w:val="14"/>
        <w:adjustRightInd w:val="0"/>
        <w:snapToGrid w:val="0"/>
        <w:spacing w:line="720" w:lineRule="exact"/>
        <w:rPr>
          <w:rFonts w:hAnsi="宋体"/>
          <w:spacing w:val="4"/>
          <w:sz w:val="24"/>
          <w:szCs w:val="24"/>
          <w:highlight w:val="none"/>
        </w:rPr>
      </w:pPr>
    </w:p>
    <w:p w14:paraId="05DA5705">
      <w:pPr>
        <w:pStyle w:val="14"/>
        <w:adjustRightInd w:val="0"/>
        <w:snapToGrid w:val="0"/>
        <w:spacing w:line="720" w:lineRule="exact"/>
        <w:rPr>
          <w:rFonts w:hAnsi="宋体"/>
          <w:spacing w:val="4"/>
          <w:sz w:val="24"/>
          <w:szCs w:val="24"/>
          <w:highlight w:val="none"/>
        </w:rPr>
      </w:pPr>
    </w:p>
    <w:p w14:paraId="6A4BCE50">
      <w:pPr>
        <w:pStyle w:val="14"/>
        <w:adjustRightInd w:val="0"/>
        <w:snapToGrid w:val="0"/>
        <w:spacing w:line="720" w:lineRule="exact"/>
        <w:rPr>
          <w:rFonts w:hAnsi="宋体"/>
          <w:spacing w:val="4"/>
          <w:sz w:val="24"/>
          <w:szCs w:val="24"/>
          <w:highlight w:val="none"/>
        </w:rPr>
      </w:pPr>
    </w:p>
    <w:p w14:paraId="1675D45C">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1D7511FA">
      <w:pPr>
        <w:pStyle w:val="52"/>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6DF11D0">
      <w:pPr>
        <w:rPr>
          <w:rFonts w:asciiTheme="minorEastAsia" w:hAnsiTheme="minorEastAsia" w:eastAsiaTheme="minorEastAsia" w:cstheme="minorEastAsia"/>
          <w:b/>
          <w:sz w:val="28"/>
          <w:szCs w:val="28"/>
          <w:highlight w:val="none"/>
        </w:rPr>
      </w:pPr>
    </w:p>
    <w:p w14:paraId="1A8EBE8E">
      <w:pP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4CE5DF58">
      <w:pPr>
        <w:adjustRightInd w:val="0"/>
        <w:snapToGrid w:val="0"/>
        <w:spacing w:line="360" w:lineRule="auto"/>
        <w:jc w:val="center"/>
        <w:rPr>
          <w:rFonts w:asciiTheme="minorEastAsia" w:hAnsiTheme="minorEastAsia" w:eastAsiaTheme="minorEastAsia" w:cstheme="minorEastAsia"/>
          <w:b/>
          <w:sz w:val="28"/>
          <w:szCs w:val="28"/>
          <w:highlight w:val="none"/>
        </w:rPr>
      </w:pPr>
    </w:p>
    <w:p w14:paraId="2A07BEE7">
      <w:pPr>
        <w:adjustRightInd w:val="0"/>
        <w:snapToGrid w:val="0"/>
        <w:spacing w:line="360" w:lineRule="auto"/>
        <w:jc w:val="center"/>
        <w:rPr>
          <w:rFonts w:hint="eastAsia" w:ascii="宋体" w:hAnsi="宋体" w:cs="宋体"/>
          <w:b/>
          <w:sz w:val="28"/>
          <w:szCs w:val="28"/>
          <w:highlight w:val="none"/>
        </w:rPr>
      </w:pPr>
    </w:p>
    <w:p w14:paraId="5E15FD46">
      <w:pPr>
        <w:adjustRightInd w:val="0"/>
        <w:snapToGrid w:val="0"/>
        <w:spacing w:line="360" w:lineRule="auto"/>
        <w:jc w:val="center"/>
        <w:rPr>
          <w:rFonts w:hint="default" w:ascii="宋体" w:hAnsi="宋体" w:eastAsia="宋体" w:cs="宋体"/>
          <w:b/>
          <w:sz w:val="28"/>
          <w:szCs w:val="28"/>
          <w:highlight w:val="none"/>
          <w:lang w:val="en-US" w:eastAsia="zh-CN"/>
        </w:rPr>
      </w:pPr>
      <w:r>
        <w:rPr>
          <w:rFonts w:hint="eastAsia" w:ascii="宋体" w:hAnsi="宋体" w:cs="宋体"/>
          <w:b/>
          <w:sz w:val="28"/>
          <w:szCs w:val="28"/>
          <w:highlight w:val="none"/>
          <w:lang w:val="en-US" w:eastAsia="zh-CN"/>
        </w:rPr>
        <w:t>非联合体投标承诺书</w:t>
      </w:r>
    </w:p>
    <w:p w14:paraId="1330F5EF">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14899B70">
      <w:pPr>
        <w:rPr>
          <w:rFonts w:hint="eastAsia" w:asciiTheme="minorEastAsia" w:hAnsiTheme="minorEastAsia" w:eastAsiaTheme="minorEastAsia" w:cstheme="minorEastAsia"/>
          <w:b/>
          <w:sz w:val="28"/>
          <w:szCs w:val="28"/>
          <w:highlight w:val="none"/>
        </w:rPr>
      </w:pPr>
    </w:p>
    <w:p w14:paraId="24BE8FA7">
      <w:pPr>
        <w:bidi w:val="0"/>
        <w:rPr>
          <w:rFonts w:hint="eastAsia"/>
        </w:rPr>
      </w:pPr>
    </w:p>
    <w:p w14:paraId="5B523653">
      <w:pPr>
        <w:keepNext w:val="0"/>
        <w:keepLines w:val="0"/>
        <w:pageBreakBefore w:val="0"/>
        <w:widowControl w:val="0"/>
        <w:kinsoku/>
        <w:wordWrap/>
        <w:overflowPunct/>
        <w:topLinePunct w:val="0"/>
        <w:autoSpaceDE/>
        <w:autoSpaceDN/>
        <w:bidi w:val="0"/>
        <w:spacing w:line="720" w:lineRule="exact"/>
        <w:textAlignment w:val="auto"/>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    ：</w:t>
      </w:r>
    </w:p>
    <w:p w14:paraId="722491E5">
      <w:pPr>
        <w:pStyle w:val="14"/>
        <w:keepNext w:val="0"/>
        <w:keepLines w:val="0"/>
        <w:pageBreakBefore w:val="0"/>
        <w:widowControl w:val="0"/>
        <w:kinsoku/>
        <w:wordWrap/>
        <w:overflowPunct/>
        <w:topLinePunct w:val="0"/>
        <w:autoSpaceDE/>
        <w:autoSpaceDN/>
        <w:bidi w:val="0"/>
        <w:adjustRightInd w:val="0"/>
        <w:snapToGrid w:val="0"/>
        <w:spacing w:line="720" w:lineRule="exact"/>
        <w:ind w:firstLine="496" w:firstLineChars="200"/>
        <w:textAlignment w:val="auto"/>
        <w:rPr>
          <w:rFonts w:hint="eastAsia" w:hAnsi="宋体"/>
          <w:spacing w:val="4"/>
          <w:sz w:val="24"/>
          <w:szCs w:val="24"/>
          <w:highlight w:val="none"/>
        </w:rPr>
      </w:pPr>
      <w:r>
        <w:rPr>
          <w:rFonts w:hint="eastAsia" w:hAnsi="宋体"/>
          <w:spacing w:val="4"/>
          <w:sz w:val="24"/>
          <w:szCs w:val="24"/>
          <w:highlight w:val="none"/>
        </w:rPr>
        <w:t>我公司郑重承诺，我公司</w:t>
      </w:r>
      <w:r>
        <w:rPr>
          <w:rFonts w:hint="eastAsia" w:hAnsi="宋体"/>
          <w:spacing w:val="4"/>
          <w:sz w:val="24"/>
          <w:szCs w:val="24"/>
          <w:highlight w:val="none"/>
          <w:lang w:val="en-US" w:eastAsia="zh-CN"/>
        </w:rPr>
        <w:t>在本项目投标中非联合投标</w:t>
      </w:r>
      <w:r>
        <w:rPr>
          <w:rFonts w:hint="eastAsia" w:hAnsi="宋体"/>
          <w:spacing w:val="4"/>
          <w:sz w:val="24"/>
          <w:szCs w:val="24"/>
          <w:highlight w:val="none"/>
        </w:rPr>
        <w:t>。</w:t>
      </w:r>
    </w:p>
    <w:p w14:paraId="32E14265">
      <w:pPr>
        <w:pStyle w:val="14"/>
        <w:keepNext w:val="0"/>
        <w:keepLines w:val="0"/>
        <w:pageBreakBefore w:val="0"/>
        <w:widowControl w:val="0"/>
        <w:kinsoku/>
        <w:wordWrap/>
        <w:overflowPunct/>
        <w:topLinePunct w:val="0"/>
        <w:autoSpaceDE/>
        <w:autoSpaceDN/>
        <w:bidi w:val="0"/>
        <w:adjustRightInd w:val="0"/>
        <w:snapToGrid w:val="0"/>
        <w:spacing w:line="720" w:lineRule="exact"/>
        <w:ind w:firstLine="480" w:firstLineChars="200"/>
        <w:textAlignment w:val="auto"/>
        <w:rPr>
          <w:rFonts w:hint="eastAsia" w:hAnsi="宋体"/>
          <w:spacing w:val="4"/>
          <w:sz w:val="24"/>
          <w:szCs w:val="24"/>
          <w:highlight w:val="none"/>
        </w:rPr>
      </w:pPr>
      <w:r>
        <w:rPr>
          <w:rFonts w:hint="eastAsia" w:ascii="宋体" w:hAnsi="宋体" w:cs="宋体"/>
          <w:color w:val="auto"/>
          <w:sz w:val="24"/>
          <w:szCs w:val="24"/>
          <w:highlight w:val="none"/>
          <w:shd w:val="clear" w:color="auto" w:fill="FFFFFF"/>
        </w:rPr>
        <w:t>如有不实，我方将无条件地退出本项目的采购活动，并遵照《政府采购法》有关“提供虚假材料的规定”接受处罚。</w:t>
      </w:r>
    </w:p>
    <w:p w14:paraId="187407F6">
      <w:pPr>
        <w:pStyle w:val="14"/>
        <w:adjustRightInd w:val="0"/>
        <w:snapToGrid w:val="0"/>
        <w:spacing w:line="720" w:lineRule="exact"/>
        <w:rPr>
          <w:rFonts w:hAnsi="宋体"/>
          <w:spacing w:val="4"/>
          <w:sz w:val="24"/>
          <w:szCs w:val="24"/>
          <w:highlight w:val="none"/>
        </w:rPr>
      </w:pPr>
    </w:p>
    <w:p w14:paraId="6D8ACD61">
      <w:pPr>
        <w:pStyle w:val="14"/>
        <w:adjustRightInd w:val="0"/>
        <w:snapToGrid w:val="0"/>
        <w:spacing w:line="720" w:lineRule="exact"/>
        <w:rPr>
          <w:rFonts w:hAnsi="宋体"/>
          <w:spacing w:val="4"/>
          <w:sz w:val="24"/>
          <w:szCs w:val="24"/>
          <w:highlight w:val="none"/>
        </w:rPr>
      </w:pPr>
    </w:p>
    <w:p w14:paraId="7AF2AEE0">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486EBADF">
      <w:pPr>
        <w:pStyle w:val="52"/>
        <w:spacing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F8D5C7E">
      <w:pPr>
        <w:rPr>
          <w:rFonts w:hint="eastAsia"/>
        </w:rPr>
      </w:pPr>
    </w:p>
    <w:p w14:paraId="5EEE7317">
      <w:pP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BE4367A">
      <w:pP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附件2：</w:t>
      </w:r>
    </w:p>
    <w:p w14:paraId="0EE8415B">
      <w:pPr>
        <w:spacing w:beforeLines="50" w:afterLines="50" w:line="360" w:lineRule="auto"/>
        <w:jc w:val="center"/>
        <w:rPr>
          <w:rFonts w:hAnsi="宋体" w:cs="宋体"/>
          <w:szCs w:val="24"/>
          <w:highlight w:val="none"/>
        </w:rPr>
      </w:pPr>
      <w:r>
        <w:rPr>
          <w:rFonts w:hint="eastAsia" w:hAnsi="宋体" w:cs="宋体"/>
          <w:b/>
          <w:sz w:val="28"/>
          <w:szCs w:val="28"/>
          <w:highlight w:val="none"/>
        </w:rPr>
        <w:t>中小企业声明函</w:t>
      </w:r>
    </w:p>
    <w:p w14:paraId="495EDCEC">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本公司郑重声明，根据《政府采购促进中小企业发展管理办法》（财库﹝2020﹞46 号）的规定，本公司参加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采购活动，工程的施工单位全部为符合政策要求的中小企业（或者：服务全部由符合政策要求的中小企业承接）。相关企业的具体情况如下：</w:t>
      </w:r>
    </w:p>
    <w:p w14:paraId="33D7FAC8">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w:t>
      </w:r>
      <w:r>
        <w:rPr>
          <w:rFonts w:hint="eastAsia" w:ascii="宋体" w:hAnsi="宋体" w:cs="宋体"/>
          <w:sz w:val="24"/>
          <w:szCs w:val="24"/>
          <w:highlight w:val="none"/>
          <w:u w:val="single"/>
        </w:rPr>
        <w:t xml:space="preserve">为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3C1C0B7E">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（标的名称）</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（中型企业、小型企业、微型企业）</w:t>
      </w:r>
      <w:r>
        <w:rPr>
          <w:rFonts w:hint="eastAsia" w:ascii="宋体" w:hAnsi="宋体" w:cs="宋体"/>
          <w:sz w:val="24"/>
          <w:szCs w:val="24"/>
          <w:highlight w:val="none"/>
        </w:rPr>
        <w:t>；</w:t>
      </w:r>
    </w:p>
    <w:p w14:paraId="431EC09F">
      <w:pPr>
        <w:tabs>
          <w:tab w:val="left" w:pos="1620"/>
          <w:tab w:val="left" w:pos="1800"/>
        </w:tabs>
        <w:spacing w:line="500" w:lineRule="exact"/>
        <w:rPr>
          <w:rFonts w:ascii="宋体" w:hAnsi="宋体" w:cs="宋体"/>
          <w:sz w:val="24"/>
          <w:szCs w:val="24"/>
          <w:highlight w:val="none"/>
        </w:rPr>
      </w:pPr>
      <w:r>
        <w:rPr>
          <w:rFonts w:hint="eastAsia" w:ascii="宋体" w:hAnsi="宋体" w:cs="宋体"/>
          <w:sz w:val="24"/>
          <w:szCs w:val="24"/>
          <w:highlight w:val="none"/>
        </w:rPr>
        <w:t>……</w:t>
      </w:r>
    </w:p>
    <w:p w14:paraId="4441E791">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57343BF2">
      <w:pPr>
        <w:tabs>
          <w:tab w:val="left" w:pos="1620"/>
          <w:tab w:val="left" w:pos="1800"/>
        </w:tabs>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1A22B2BB">
      <w:pPr>
        <w:tabs>
          <w:tab w:val="left" w:pos="1620"/>
          <w:tab w:val="left" w:pos="1800"/>
        </w:tabs>
        <w:spacing w:line="500" w:lineRule="exact"/>
        <w:rPr>
          <w:rFonts w:ascii="宋体" w:hAnsi="宋体" w:cs="宋体"/>
          <w:sz w:val="24"/>
          <w:szCs w:val="24"/>
          <w:highlight w:val="none"/>
        </w:rPr>
      </w:pPr>
    </w:p>
    <w:p w14:paraId="204F3D16">
      <w:pPr>
        <w:tabs>
          <w:tab w:val="left" w:pos="1620"/>
          <w:tab w:val="left" w:pos="1800"/>
        </w:tabs>
        <w:spacing w:line="500" w:lineRule="exact"/>
        <w:rPr>
          <w:rFonts w:ascii="宋体" w:hAnsi="宋体" w:cs="宋体"/>
          <w:sz w:val="24"/>
          <w:szCs w:val="24"/>
          <w:highlight w:val="none"/>
        </w:rPr>
      </w:pPr>
    </w:p>
    <w:p w14:paraId="2F1DE82B">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企业名称（盖章）：</w:t>
      </w:r>
    </w:p>
    <w:p w14:paraId="08F99B10">
      <w:pPr>
        <w:tabs>
          <w:tab w:val="left" w:pos="1620"/>
          <w:tab w:val="left" w:pos="1800"/>
        </w:tabs>
        <w:spacing w:line="500" w:lineRule="exact"/>
        <w:ind w:firstLine="4800" w:firstLineChars="2000"/>
        <w:rPr>
          <w:rFonts w:ascii="宋体" w:hAnsi="宋体" w:cs="宋体"/>
          <w:sz w:val="24"/>
          <w:szCs w:val="24"/>
          <w:highlight w:val="none"/>
        </w:rPr>
      </w:pPr>
      <w:r>
        <w:rPr>
          <w:rFonts w:hint="eastAsia" w:ascii="宋体" w:hAnsi="宋体" w:cs="宋体"/>
          <w:sz w:val="24"/>
          <w:szCs w:val="24"/>
          <w:highlight w:val="none"/>
        </w:rPr>
        <w:t>日期：</w:t>
      </w:r>
    </w:p>
    <w:p w14:paraId="6963AB31">
      <w:pPr>
        <w:rPr>
          <w:rFonts w:asciiTheme="minorEastAsia" w:hAnsiTheme="minorEastAsia" w:eastAsiaTheme="minorEastAsia" w:cstheme="minorEastAsia"/>
          <w:highlight w:val="none"/>
        </w:rPr>
      </w:pPr>
      <w:r>
        <w:rPr>
          <w:rFonts w:hint="eastAsia" w:asciiTheme="minorEastAsia" w:hAnsiTheme="minorEastAsia" w:eastAsiaTheme="minorEastAsia" w:cstheme="minorEastAsia"/>
          <w:b/>
          <w:sz w:val="28"/>
          <w:szCs w:val="28"/>
          <w:highlight w:val="none"/>
        </w:rPr>
        <w:br w:type="page"/>
      </w:r>
    </w:p>
    <w:bookmarkEnd w:id="98"/>
    <w:p w14:paraId="5FBE9E49">
      <w:pPr>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附件3：</w:t>
      </w:r>
    </w:p>
    <w:p w14:paraId="107967D8">
      <w:pPr>
        <w:jc w:val="center"/>
        <w:rPr>
          <w:rFonts w:hAnsi="宋体" w:cs="宋体"/>
          <w:b/>
          <w:bCs/>
          <w:sz w:val="44"/>
          <w:szCs w:val="44"/>
          <w:highlight w:val="none"/>
        </w:rPr>
      </w:pPr>
      <w:r>
        <w:rPr>
          <w:rFonts w:hint="eastAsia" w:hAnsi="宋体" w:cs="宋体"/>
          <w:b/>
          <w:bCs/>
          <w:sz w:val="44"/>
          <w:szCs w:val="44"/>
          <w:highlight w:val="none"/>
        </w:rPr>
        <w:t>质疑函范本</w:t>
      </w:r>
    </w:p>
    <w:p w14:paraId="6353B8F3">
      <w:pPr>
        <w:adjustRightInd w:val="0"/>
        <w:snapToGrid w:val="0"/>
        <w:spacing w:beforeLines="100" w:line="360" w:lineRule="auto"/>
        <w:rPr>
          <w:rFonts w:hint="eastAsia" w:ascii="宋体" w:hAnsi="宋体" w:eastAsia="宋体" w:cs="宋体"/>
          <w:bCs/>
          <w:szCs w:val="24"/>
          <w:highlight w:val="none"/>
        </w:rPr>
      </w:pPr>
      <w:r>
        <w:rPr>
          <w:rFonts w:hint="eastAsia" w:ascii="宋体" w:hAnsi="宋体" w:eastAsia="宋体" w:cs="宋体"/>
          <w:bCs/>
          <w:szCs w:val="24"/>
          <w:highlight w:val="none"/>
        </w:rPr>
        <w:t>一、质疑供应商基本信息</w:t>
      </w:r>
    </w:p>
    <w:p w14:paraId="35A77808">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质疑供应商：</w:t>
      </w:r>
      <w:r>
        <w:rPr>
          <w:rFonts w:hint="eastAsia" w:ascii="宋体" w:hAnsi="宋体" w:eastAsia="宋体" w:cs="宋体"/>
          <w:szCs w:val="24"/>
          <w:highlight w:val="none"/>
          <w:u w:val="dotted"/>
        </w:rPr>
        <w:t xml:space="preserve">                                        </w:t>
      </w:r>
    </w:p>
    <w:p w14:paraId="6BC8EB73">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地址：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p>
    <w:p w14:paraId="532D1B63">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514884C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授权代表：</w:t>
      </w:r>
      <w:r>
        <w:rPr>
          <w:rFonts w:hint="eastAsia" w:ascii="宋体" w:hAnsi="宋体" w:eastAsia="宋体" w:cs="宋体"/>
          <w:szCs w:val="24"/>
          <w:highlight w:val="none"/>
          <w:u w:val="dotted"/>
        </w:rPr>
        <w:t xml:space="preserve">                                          </w:t>
      </w:r>
    </w:p>
    <w:p w14:paraId="51831E4D">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3AB90A05">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地址： </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p>
    <w:p w14:paraId="5FB57127">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二、质疑项目基本情况</w:t>
      </w:r>
    </w:p>
    <w:p w14:paraId="771BA7C9">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质疑项目的名称：</w:t>
      </w:r>
      <w:r>
        <w:rPr>
          <w:rFonts w:hint="eastAsia" w:ascii="宋体" w:hAnsi="宋体" w:eastAsia="宋体" w:cs="宋体"/>
          <w:szCs w:val="24"/>
          <w:highlight w:val="none"/>
          <w:u w:val="dotted"/>
        </w:rPr>
        <w:t xml:space="preserve">                                      </w:t>
      </w:r>
    </w:p>
    <w:p w14:paraId="7531CC4B">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质疑项目的编号：</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包号：</w:t>
      </w:r>
      <w:r>
        <w:rPr>
          <w:rFonts w:hint="eastAsia" w:ascii="宋体" w:hAnsi="宋体" w:eastAsia="宋体" w:cs="宋体"/>
          <w:szCs w:val="24"/>
          <w:highlight w:val="none"/>
          <w:u w:val="dotted"/>
        </w:rPr>
        <w:t xml:space="preserve">                 </w:t>
      </w:r>
    </w:p>
    <w:p w14:paraId="7B9D5585">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采购人名称：</w:t>
      </w:r>
      <w:r>
        <w:rPr>
          <w:rFonts w:hint="eastAsia" w:ascii="宋体" w:hAnsi="宋体" w:eastAsia="宋体" w:cs="宋体"/>
          <w:szCs w:val="24"/>
          <w:highlight w:val="none"/>
          <w:u w:val="dotted"/>
        </w:rPr>
        <w:t xml:space="preserve">                                         </w:t>
      </w:r>
    </w:p>
    <w:p w14:paraId="3C2FE8EA">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采购文件获取日期：</w:t>
      </w:r>
      <w:r>
        <w:rPr>
          <w:rFonts w:hint="eastAsia" w:ascii="宋体" w:hAnsi="宋体" w:eastAsia="宋体" w:cs="宋体"/>
          <w:szCs w:val="24"/>
          <w:highlight w:val="none"/>
          <w:u w:val="dotted"/>
        </w:rPr>
        <w:t xml:space="preserve">                                           </w:t>
      </w:r>
    </w:p>
    <w:p w14:paraId="586B27EF">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三、质疑事项具体内容</w:t>
      </w:r>
    </w:p>
    <w:p w14:paraId="0F09C006">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质疑事项1：</w:t>
      </w:r>
      <w:r>
        <w:rPr>
          <w:rFonts w:hint="eastAsia" w:ascii="宋体" w:hAnsi="宋体" w:eastAsia="宋体" w:cs="宋体"/>
          <w:szCs w:val="24"/>
          <w:highlight w:val="none"/>
          <w:u w:val="dotted"/>
        </w:rPr>
        <w:t xml:space="preserve">                                         </w:t>
      </w:r>
    </w:p>
    <w:p w14:paraId="645647C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事实依据：</w:t>
      </w:r>
      <w:r>
        <w:rPr>
          <w:rFonts w:hint="eastAsia" w:ascii="宋体" w:hAnsi="宋体" w:eastAsia="宋体" w:cs="宋体"/>
          <w:szCs w:val="24"/>
          <w:highlight w:val="none"/>
          <w:u w:val="dotted"/>
        </w:rPr>
        <w:t xml:space="preserve">                                          </w:t>
      </w:r>
    </w:p>
    <w:p w14:paraId="77BD7E3D">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u w:val="dotted"/>
        </w:rPr>
        <w:t xml:space="preserve">                                                       </w:t>
      </w:r>
    </w:p>
    <w:p w14:paraId="6BE4839E">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法律依据：</w:t>
      </w:r>
      <w:r>
        <w:rPr>
          <w:rFonts w:hint="eastAsia" w:ascii="宋体" w:hAnsi="宋体" w:eastAsia="宋体" w:cs="宋体"/>
          <w:szCs w:val="24"/>
          <w:highlight w:val="none"/>
          <w:u w:val="dotted"/>
        </w:rPr>
        <w:t xml:space="preserve">                                          </w:t>
      </w:r>
    </w:p>
    <w:p w14:paraId="6C0A3F28">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18744840">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质疑事项2</w:t>
      </w:r>
    </w:p>
    <w:p w14:paraId="18B36B4A">
      <w:pPr>
        <w:adjustRightInd w:val="0"/>
        <w:snapToGrid w:val="0"/>
        <w:spacing w:line="360" w:lineRule="auto"/>
        <w:rPr>
          <w:rFonts w:hint="eastAsia" w:ascii="宋体" w:hAnsi="宋体" w:eastAsia="宋体" w:cs="宋体"/>
          <w:szCs w:val="24"/>
          <w:highlight w:val="none"/>
        </w:rPr>
      </w:pPr>
      <w:r>
        <w:rPr>
          <w:rFonts w:hint="eastAsia" w:ascii="宋体" w:hAnsi="宋体" w:eastAsia="宋体" w:cs="宋体"/>
          <w:szCs w:val="24"/>
          <w:highlight w:val="none"/>
        </w:rPr>
        <w:t>……</w:t>
      </w:r>
    </w:p>
    <w:p w14:paraId="1682827B">
      <w:pPr>
        <w:adjustRightInd w:val="0"/>
        <w:snapToGrid w:val="0"/>
        <w:spacing w:line="360" w:lineRule="auto"/>
        <w:rPr>
          <w:rFonts w:hint="eastAsia" w:ascii="宋体" w:hAnsi="宋体" w:eastAsia="宋体" w:cs="宋体"/>
          <w:bCs/>
          <w:szCs w:val="24"/>
          <w:highlight w:val="none"/>
        </w:rPr>
      </w:pPr>
      <w:r>
        <w:rPr>
          <w:rFonts w:hint="eastAsia" w:ascii="宋体" w:hAnsi="宋体" w:eastAsia="宋体" w:cs="宋体"/>
          <w:bCs/>
          <w:szCs w:val="24"/>
          <w:highlight w:val="none"/>
        </w:rPr>
        <w:t>四、与质疑事项相关的质疑请求</w:t>
      </w:r>
    </w:p>
    <w:p w14:paraId="127333BA">
      <w:pPr>
        <w:adjustRightInd w:val="0"/>
        <w:snapToGrid w:val="0"/>
        <w:spacing w:line="360" w:lineRule="auto"/>
        <w:rPr>
          <w:rFonts w:hint="eastAsia" w:ascii="宋体" w:hAnsi="宋体" w:eastAsia="宋体" w:cs="宋体"/>
          <w:szCs w:val="24"/>
          <w:highlight w:val="none"/>
          <w:u w:val="dotted"/>
        </w:rPr>
      </w:pPr>
      <w:r>
        <w:rPr>
          <w:rFonts w:hint="eastAsia" w:ascii="宋体" w:hAnsi="宋体" w:eastAsia="宋体" w:cs="宋体"/>
          <w:szCs w:val="24"/>
          <w:highlight w:val="none"/>
        </w:rPr>
        <w:t>请求：</w:t>
      </w:r>
      <w:r>
        <w:rPr>
          <w:rFonts w:hint="eastAsia" w:ascii="宋体" w:hAnsi="宋体" w:eastAsia="宋体" w:cs="宋体"/>
          <w:szCs w:val="24"/>
          <w:highlight w:val="none"/>
          <w:u w:val="dotted"/>
        </w:rPr>
        <w:t xml:space="preserve">                                               </w:t>
      </w:r>
    </w:p>
    <w:p w14:paraId="046409A1">
      <w:pPr>
        <w:rPr>
          <w:rFonts w:hint="eastAsia" w:ascii="宋体" w:hAnsi="宋体" w:eastAsia="宋体" w:cs="宋体"/>
          <w:szCs w:val="24"/>
          <w:highlight w:val="none"/>
        </w:rPr>
      </w:pPr>
      <w:r>
        <w:rPr>
          <w:rFonts w:hint="eastAsia" w:ascii="宋体" w:hAnsi="宋体" w:eastAsia="宋体" w:cs="宋体"/>
          <w:szCs w:val="24"/>
          <w:highlight w:val="none"/>
        </w:rPr>
        <w:t xml:space="preserve">签字(签章)：                   公章：                      </w:t>
      </w:r>
    </w:p>
    <w:p w14:paraId="312428CC">
      <w:pPr>
        <w:rPr>
          <w:rFonts w:hint="eastAsia" w:ascii="宋体" w:hAnsi="宋体" w:eastAsia="宋体" w:cs="宋体"/>
          <w:szCs w:val="24"/>
          <w:highlight w:val="none"/>
        </w:rPr>
      </w:pPr>
      <w:r>
        <w:rPr>
          <w:rFonts w:hint="eastAsia" w:ascii="宋体" w:hAnsi="宋体" w:eastAsia="宋体" w:cs="宋体"/>
          <w:szCs w:val="24"/>
          <w:highlight w:val="none"/>
        </w:rPr>
        <w:t xml:space="preserve">日期：    </w:t>
      </w:r>
    </w:p>
    <w:p w14:paraId="00B71893">
      <w:pPr>
        <w:jc w:val="center"/>
        <w:rPr>
          <w:rFonts w:hint="eastAsia" w:ascii="宋体" w:hAnsi="宋体" w:eastAsia="宋体" w:cs="宋体"/>
          <w:b/>
          <w:sz w:val="44"/>
          <w:szCs w:val="44"/>
          <w:highlight w:val="none"/>
        </w:rPr>
      </w:pPr>
    </w:p>
    <w:p w14:paraId="632F2936">
      <w:pPr>
        <w:rPr>
          <w:rFonts w:hint="eastAsia" w:ascii="宋体" w:hAnsi="宋体" w:eastAsia="宋体" w:cs="宋体"/>
          <w:b/>
          <w:sz w:val="44"/>
          <w:szCs w:val="44"/>
          <w:highlight w:val="none"/>
        </w:rPr>
      </w:pPr>
      <w:r>
        <w:rPr>
          <w:rFonts w:hint="eastAsia" w:ascii="宋体" w:hAnsi="宋体" w:eastAsia="宋体" w:cs="宋体"/>
          <w:b/>
          <w:sz w:val="44"/>
          <w:szCs w:val="44"/>
          <w:highlight w:val="none"/>
        </w:rPr>
        <w:br w:type="page"/>
      </w:r>
    </w:p>
    <w:p w14:paraId="64ECF063">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14:paraId="0FCDDF9E">
      <w:pPr>
        <w:rPr>
          <w:rFonts w:hint="eastAsia" w:ascii="宋体" w:hAnsi="宋体" w:eastAsia="宋体" w:cs="宋体"/>
          <w:szCs w:val="24"/>
          <w:highlight w:val="none"/>
        </w:rPr>
      </w:pPr>
      <w:r>
        <w:rPr>
          <w:rFonts w:hint="eastAsia" w:ascii="宋体" w:hAnsi="宋体" w:eastAsia="宋体" w:cs="宋体"/>
          <w:szCs w:val="24"/>
          <w:highlight w:val="none"/>
        </w:rPr>
        <w:t>一、投诉相关主体基本情况</w:t>
      </w:r>
    </w:p>
    <w:p w14:paraId="447C885D">
      <w:pPr>
        <w:rPr>
          <w:rFonts w:hint="eastAsia" w:ascii="宋体" w:hAnsi="宋体" w:eastAsia="宋体" w:cs="宋体"/>
          <w:szCs w:val="24"/>
          <w:highlight w:val="none"/>
          <w:u w:val="dotted"/>
        </w:rPr>
      </w:pPr>
      <w:r>
        <w:rPr>
          <w:rFonts w:hint="eastAsia" w:ascii="宋体" w:hAnsi="宋体" w:eastAsia="宋体" w:cs="宋体"/>
          <w:szCs w:val="24"/>
          <w:highlight w:val="none"/>
        </w:rPr>
        <w:t>投诉人：</w:t>
      </w:r>
      <w:r>
        <w:rPr>
          <w:rFonts w:hint="eastAsia" w:ascii="宋体" w:hAnsi="宋体" w:eastAsia="宋体" w:cs="宋体"/>
          <w:szCs w:val="24"/>
          <w:highlight w:val="none"/>
          <w:u w:val="dotted"/>
        </w:rPr>
        <w:t xml:space="preserve">                                               </w:t>
      </w:r>
    </w:p>
    <w:p w14:paraId="4A799F22">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8A84BD6">
      <w:pPr>
        <w:tabs>
          <w:tab w:val="left" w:pos="6510"/>
        </w:tabs>
        <w:jc w:val="left"/>
        <w:rPr>
          <w:rFonts w:hint="eastAsia" w:ascii="宋体" w:hAnsi="宋体" w:eastAsia="宋体" w:cs="宋体"/>
          <w:szCs w:val="24"/>
          <w:highlight w:val="none"/>
        </w:rPr>
      </w:pPr>
      <w:r>
        <w:rPr>
          <w:rFonts w:hint="eastAsia" w:ascii="宋体" w:hAnsi="宋体" w:eastAsia="宋体" w:cs="宋体"/>
          <w:szCs w:val="24"/>
          <w:highlight w:val="none"/>
        </w:rPr>
        <w:t>法定代表人/主要负责人：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706AD17E">
      <w:pPr>
        <w:tabs>
          <w:tab w:val="left" w:pos="6510"/>
        </w:tabs>
        <w:rPr>
          <w:rFonts w:hint="eastAsia" w:ascii="宋体" w:hAnsi="宋体" w:eastAsia="宋体" w:cs="宋体"/>
          <w:szCs w:val="24"/>
          <w:highlight w:val="none"/>
          <w:u w:val="dotted"/>
        </w:rPr>
      </w:pP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2D7A4252">
      <w:pPr>
        <w:rPr>
          <w:rFonts w:hint="eastAsia" w:ascii="宋体" w:hAnsi="宋体" w:eastAsia="宋体" w:cs="宋体"/>
          <w:szCs w:val="24"/>
          <w:highlight w:val="none"/>
          <w:u w:val="dotted"/>
        </w:rPr>
      </w:pPr>
      <w:r>
        <w:rPr>
          <w:rFonts w:hint="eastAsia" w:ascii="宋体" w:hAnsi="宋体" w:eastAsia="宋体" w:cs="宋体"/>
          <w:szCs w:val="24"/>
          <w:highlight w:val="none"/>
        </w:rPr>
        <w:t>授权代表：</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p>
    <w:p w14:paraId="41154E15">
      <w:pPr>
        <w:rPr>
          <w:rFonts w:hint="eastAsia" w:ascii="宋体" w:hAnsi="宋体" w:eastAsia="宋体" w:cs="宋体"/>
          <w:szCs w:val="24"/>
          <w:highlight w:val="none"/>
          <w:u w:val="dotted"/>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u w:val="dotted"/>
        </w:rPr>
        <w:t xml:space="preserve">                   </w:t>
      </w:r>
    </w:p>
    <w:p w14:paraId="4F718CC3">
      <w:pPr>
        <w:rPr>
          <w:rFonts w:hint="eastAsia" w:ascii="宋体" w:hAnsi="宋体" w:eastAsia="宋体" w:cs="宋体"/>
          <w:szCs w:val="24"/>
          <w:highlight w:val="none"/>
          <w:u w:val="single"/>
        </w:rPr>
      </w:pPr>
      <w:r>
        <w:rPr>
          <w:rFonts w:hint="eastAsia" w:ascii="宋体" w:hAnsi="宋体" w:eastAsia="宋体" w:cs="宋体"/>
          <w:szCs w:val="24"/>
          <w:highlight w:val="none"/>
        </w:rPr>
        <w:t>被投诉人1：</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CA83457">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4820EDBF">
      <w:pPr>
        <w:rPr>
          <w:rFonts w:hint="eastAsia" w:ascii="宋体" w:hAnsi="宋体" w:eastAsia="宋体" w:cs="宋体"/>
          <w:szCs w:val="24"/>
          <w:highlight w:val="none"/>
          <w:u w:val="singl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A241F0C">
      <w:pPr>
        <w:rPr>
          <w:rFonts w:hint="eastAsia" w:ascii="宋体" w:hAnsi="宋体" w:eastAsia="宋体" w:cs="宋体"/>
          <w:szCs w:val="24"/>
          <w:highlight w:val="none"/>
        </w:rPr>
      </w:pPr>
      <w:r>
        <w:rPr>
          <w:rFonts w:hint="eastAsia" w:ascii="宋体" w:hAnsi="宋体" w:eastAsia="宋体" w:cs="宋体"/>
          <w:szCs w:val="24"/>
          <w:highlight w:val="none"/>
        </w:rPr>
        <w:t>被投诉人2</w:t>
      </w:r>
    </w:p>
    <w:p w14:paraId="31E05E82">
      <w:pPr>
        <w:rPr>
          <w:rFonts w:hint="eastAsia" w:ascii="宋体" w:hAnsi="宋体" w:eastAsia="宋体" w:cs="宋体"/>
          <w:szCs w:val="24"/>
          <w:highlight w:val="none"/>
          <w:u w:val="dotted"/>
        </w:rPr>
      </w:pPr>
      <w:r>
        <w:rPr>
          <w:rFonts w:hint="eastAsia" w:ascii="宋体" w:hAnsi="宋体" w:eastAsia="宋体" w:cs="宋体"/>
          <w:szCs w:val="24"/>
          <w:highlight w:val="none"/>
        </w:rPr>
        <w:t>……</w:t>
      </w:r>
    </w:p>
    <w:p w14:paraId="09410796">
      <w:pPr>
        <w:rPr>
          <w:rFonts w:hint="eastAsia" w:ascii="宋体" w:hAnsi="宋体" w:eastAsia="宋体" w:cs="宋体"/>
          <w:szCs w:val="24"/>
          <w:highlight w:val="none"/>
          <w:u w:val="single"/>
        </w:rPr>
      </w:pPr>
      <w:r>
        <w:rPr>
          <w:rFonts w:hint="eastAsia" w:ascii="宋体" w:hAnsi="宋体" w:eastAsia="宋体" w:cs="宋体"/>
          <w:szCs w:val="24"/>
          <w:highlight w:val="none"/>
        </w:rPr>
        <w:t>相关供应商：</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1C4EDC17">
      <w:pPr>
        <w:rPr>
          <w:rFonts w:hint="eastAsia" w:ascii="宋体" w:hAnsi="宋体" w:eastAsia="宋体" w:cs="宋体"/>
          <w:szCs w:val="24"/>
          <w:highlight w:val="none"/>
          <w:u w:val="single"/>
        </w:rPr>
      </w:pPr>
      <w:r>
        <w:rPr>
          <w:rFonts w:hint="eastAsia" w:ascii="宋体" w:hAnsi="宋体" w:eastAsia="宋体" w:cs="宋体"/>
          <w:szCs w:val="24"/>
          <w:highlight w:val="none"/>
        </w:rPr>
        <w:t>地     址：</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邮编：</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0A7515DE">
      <w:pPr>
        <w:rPr>
          <w:rFonts w:hint="eastAsia" w:ascii="宋体" w:hAnsi="宋体" w:eastAsia="宋体" w:cs="宋体"/>
          <w:szCs w:val="24"/>
          <w:highlight w:val="none"/>
          <w:u w:val="single"/>
        </w:rPr>
      </w:pPr>
      <w:r>
        <w:rPr>
          <w:rFonts w:hint="eastAsia" w:ascii="宋体" w:hAnsi="宋体" w:eastAsia="宋体" w:cs="宋体"/>
          <w:szCs w:val="24"/>
          <w:highlight w:val="none"/>
        </w:rPr>
        <w:t>联系人：</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联系电话：</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160C2C2D">
      <w:pPr>
        <w:rPr>
          <w:rFonts w:hint="eastAsia" w:ascii="宋体" w:hAnsi="宋体" w:eastAsia="宋体" w:cs="宋体"/>
          <w:szCs w:val="24"/>
          <w:highlight w:val="none"/>
        </w:rPr>
      </w:pPr>
      <w:r>
        <w:rPr>
          <w:rFonts w:hint="eastAsia" w:ascii="宋体" w:hAnsi="宋体" w:eastAsia="宋体" w:cs="宋体"/>
          <w:szCs w:val="24"/>
          <w:highlight w:val="none"/>
        </w:rPr>
        <w:t>二、投诉项目基本情况</w:t>
      </w:r>
    </w:p>
    <w:p w14:paraId="191E9681">
      <w:pPr>
        <w:rPr>
          <w:rFonts w:hint="eastAsia" w:ascii="宋体" w:hAnsi="宋体" w:eastAsia="宋体" w:cs="宋体"/>
          <w:szCs w:val="24"/>
          <w:highlight w:val="none"/>
          <w:u w:val="dotted"/>
        </w:rPr>
      </w:pPr>
      <w:r>
        <w:rPr>
          <w:rFonts w:hint="eastAsia" w:ascii="宋体" w:hAnsi="宋体" w:eastAsia="宋体" w:cs="宋体"/>
          <w:szCs w:val="24"/>
          <w:highlight w:val="none"/>
        </w:rPr>
        <w:t>采购项目名称：</w:t>
      </w:r>
      <w:r>
        <w:rPr>
          <w:rFonts w:hint="eastAsia" w:ascii="宋体" w:hAnsi="宋体" w:eastAsia="宋体" w:cs="宋体"/>
          <w:szCs w:val="24"/>
          <w:highlight w:val="none"/>
          <w:u w:val="dotted"/>
        </w:rPr>
        <w:t xml:space="preserve">                                        </w:t>
      </w:r>
    </w:p>
    <w:p w14:paraId="43B2EBC6">
      <w:pPr>
        <w:rPr>
          <w:rFonts w:hint="eastAsia" w:ascii="宋体" w:hAnsi="宋体" w:eastAsia="宋体" w:cs="宋体"/>
          <w:szCs w:val="24"/>
          <w:highlight w:val="none"/>
          <w:u w:val="single"/>
        </w:rPr>
      </w:pPr>
      <w:r>
        <w:rPr>
          <w:rFonts w:hint="eastAsia" w:ascii="宋体" w:hAnsi="宋体" w:eastAsia="宋体" w:cs="宋体"/>
          <w:szCs w:val="24"/>
          <w:highlight w:val="none"/>
        </w:rPr>
        <w:t>采购项目编号：</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包号：</w:t>
      </w:r>
      <w:r>
        <w:rPr>
          <w:rFonts w:hint="eastAsia" w:ascii="宋体" w:hAnsi="宋体" w:eastAsia="宋体" w:cs="宋体"/>
          <w:szCs w:val="24"/>
          <w:highlight w:val="none"/>
          <w:u w:val="dotted"/>
        </w:rPr>
        <w:t xml:space="preserve">              </w:t>
      </w:r>
    </w:p>
    <w:p w14:paraId="233994E7">
      <w:pPr>
        <w:rPr>
          <w:rFonts w:hint="eastAsia" w:ascii="宋体" w:hAnsi="宋体" w:eastAsia="宋体" w:cs="宋体"/>
          <w:szCs w:val="24"/>
          <w:highlight w:val="none"/>
        </w:rPr>
      </w:pPr>
      <w:r>
        <w:rPr>
          <w:rFonts w:hint="eastAsia" w:ascii="宋体" w:hAnsi="宋体" w:eastAsia="宋体" w:cs="宋体"/>
          <w:szCs w:val="24"/>
          <w:highlight w:val="none"/>
        </w:rPr>
        <w:t>采购人名称：</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u w:val="single"/>
        </w:rPr>
        <w:t xml:space="preserve">  </w:t>
      </w:r>
    </w:p>
    <w:p w14:paraId="4DC70EEE">
      <w:pPr>
        <w:rPr>
          <w:rFonts w:hint="eastAsia" w:ascii="宋体" w:hAnsi="宋体" w:eastAsia="宋体" w:cs="宋体"/>
          <w:szCs w:val="24"/>
          <w:highlight w:val="none"/>
          <w:u w:val="single"/>
        </w:rPr>
      </w:pPr>
      <w:r>
        <w:rPr>
          <w:rFonts w:hint="eastAsia" w:ascii="宋体" w:hAnsi="宋体" w:eastAsia="宋体" w:cs="宋体"/>
          <w:szCs w:val="24"/>
          <w:highlight w:val="none"/>
        </w:rPr>
        <w:t>代理机构名称：</w:t>
      </w:r>
      <w:r>
        <w:rPr>
          <w:rFonts w:hint="eastAsia" w:ascii="宋体" w:hAnsi="宋体" w:eastAsia="宋体" w:cs="宋体"/>
          <w:szCs w:val="24"/>
          <w:highlight w:val="none"/>
          <w:u w:val="dotted"/>
        </w:rPr>
        <w:t xml:space="preserve">                                         </w:t>
      </w:r>
    </w:p>
    <w:p w14:paraId="1581072D">
      <w:pPr>
        <w:rPr>
          <w:rFonts w:hint="eastAsia" w:ascii="宋体" w:hAnsi="宋体" w:eastAsia="宋体" w:cs="宋体"/>
          <w:szCs w:val="24"/>
          <w:highlight w:val="none"/>
          <w:u w:val="dotted"/>
        </w:rPr>
      </w:pPr>
      <w:r>
        <w:rPr>
          <w:rFonts w:hint="eastAsia" w:ascii="宋体" w:hAnsi="宋体" w:eastAsia="宋体" w:cs="宋体"/>
          <w:szCs w:val="24"/>
          <w:highlight w:val="none"/>
        </w:rPr>
        <w:t>采购文件公告:</w:t>
      </w:r>
      <w:r>
        <w:rPr>
          <w:rFonts w:hint="eastAsia" w:ascii="宋体" w:hAnsi="宋体" w:eastAsia="宋体" w:cs="宋体"/>
          <w:szCs w:val="24"/>
          <w:highlight w:val="none"/>
          <w:u w:val="dotted"/>
        </w:rPr>
        <w:t xml:space="preserve">是/否 </w:t>
      </w:r>
      <w:r>
        <w:rPr>
          <w:rFonts w:hint="eastAsia" w:ascii="宋体" w:hAnsi="宋体" w:eastAsia="宋体" w:cs="宋体"/>
          <w:szCs w:val="24"/>
          <w:highlight w:val="none"/>
        </w:rPr>
        <w:t>公告期限：</w:t>
      </w:r>
      <w:r>
        <w:rPr>
          <w:rFonts w:hint="eastAsia" w:ascii="宋体" w:hAnsi="宋体" w:eastAsia="宋体" w:cs="宋体"/>
          <w:szCs w:val="24"/>
          <w:highlight w:val="none"/>
          <w:u w:val="dotted"/>
        </w:rPr>
        <w:t xml:space="preserve">                                 </w:t>
      </w:r>
    </w:p>
    <w:p w14:paraId="30D97BE7">
      <w:pPr>
        <w:rPr>
          <w:rFonts w:hint="eastAsia" w:ascii="宋体" w:hAnsi="宋体" w:eastAsia="宋体" w:cs="宋体"/>
          <w:szCs w:val="24"/>
          <w:highlight w:val="none"/>
          <w:u w:val="single"/>
        </w:rPr>
      </w:pPr>
      <w:r>
        <w:rPr>
          <w:rFonts w:hint="eastAsia" w:ascii="宋体" w:hAnsi="宋体" w:eastAsia="宋体" w:cs="宋体"/>
          <w:szCs w:val="24"/>
          <w:highlight w:val="none"/>
        </w:rPr>
        <w:t>采购结果公告:</w:t>
      </w:r>
      <w:r>
        <w:rPr>
          <w:rFonts w:hint="eastAsia" w:ascii="宋体" w:hAnsi="宋体" w:eastAsia="宋体" w:cs="宋体"/>
          <w:szCs w:val="24"/>
          <w:highlight w:val="none"/>
          <w:u w:val="dotted"/>
        </w:rPr>
        <w:t xml:space="preserve">是/否 </w:t>
      </w:r>
      <w:r>
        <w:rPr>
          <w:rFonts w:hint="eastAsia" w:ascii="宋体" w:hAnsi="宋体" w:eastAsia="宋体" w:cs="宋体"/>
          <w:szCs w:val="24"/>
          <w:highlight w:val="none"/>
        </w:rPr>
        <w:t>公告期限：</w:t>
      </w:r>
      <w:r>
        <w:rPr>
          <w:rFonts w:hint="eastAsia" w:ascii="宋体" w:hAnsi="宋体" w:eastAsia="宋体" w:cs="宋体"/>
          <w:szCs w:val="24"/>
          <w:highlight w:val="none"/>
          <w:u w:val="dotted"/>
        </w:rPr>
        <w:t xml:space="preserve">                        </w:t>
      </w:r>
    </w:p>
    <w:p w14:paraId="32CB34AF">
      <w:pPr>
        <w:rPr>
          <w:rFonts w:hint="eastAsia" w:ascii="宋体" w:hAnsi="宋体" w:eastAsia="宋体" w:cs="宋体"/>
          <w:szCs w:val="24"/>
          <w:highlight w:val="none"/>
        </w:rPr>
      </w:pPr>
      <w:r>
        <w:rPr>
          <w:rFonts w:hint="eastAsia" w:ascii="宋体" w:hAnsi="宋体" w:eastAsia="宋体" w:cs="宋体"/>
          <w:szCs w:val="24"/>
          <w:highlight w:val="none"/>
        </w:rPr>
        <w:t>三、质疑基本情况</w:t>
      </w:r>
    </w:p>
    <w:p w14:paraId="1725AEC3">
      <w:pPr>
        <w:ind w:firstLine="420" w:firstLineChars="200"/>
        <w:rPr>
          <w:rFonts w:hint="eastAsia" w:ascii="宋体" w:hAnsi="宋体" w:eastAsia="宋体" w:cs="宋体"/>
          <w:szCs w:val="24"/>
          <w:highlight w:val="none"/>
          <w:u w:val="dotted"/>
        </w:rPr>
      </w:pPr>
      <w:r>
        <w:rPr>
          <w:rFonts w:hint="eastAsia" w:ascii="宋体" w:hAnsi="宋体" w:eastAsia="宋体" w:cs="宋体"/>
          <w:szCs w:val="24"/>
          <w:highlight w:val="none"/>
        </w:rPr>
        <w:t>投诉人于</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月</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日,向</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提出质疑，质疑事项为：</w:t>
      </w:r>
      <w:r>
        <w:rPr>
          <w:rFonts w:hint="eastAsia" w:ascii="宋体" w:hAnsi="宋体" w:eastAsia="宋体" w:cs="宋体"/>
          <w:szCs w:val="24"/>
          <w:highlight w:val="none"/>
          <w:u w:val="dotted"/>
        </w:rPr>
        <w:t xml:space="preserve">                                </w:t>
      </w:r>
    </w:p>
    <w:p w14:paraId="04BA0A7A">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57E7C2BD">
      <w:pPr>
        <w:ind w:firstLine="315" w:firstLineChars="150"/>
        <w:rPr>
          <w:rFonts w:hint="eastAsia" w:ascii="宋体" w:hAnsi="宋体" w:eastAsia="宋体" w:cs="宋体"/>
          <w:szCs w:val="24"/>
          <w:highlight w:val="none"/>
        </w:rPr>
      </w:pPr>
      <w:r>
        <w:rPr>
          <w:rFonts w:hint="eastAsia" w:ascii="宋体" w:hAnsi="宋体" w:eastAsia="宋体" w:cs="宋体"/>
          <w:szCs w:val="24"/>
          <w:highlight w:val="none"/>
          <w:u w:val="dotted"/>
        </w:rPr>
        <w:t>采购人/代理机构</w:t>
      </w:r>
      <w:r>
        <w:rPr>
          <w:rFonts w:hint="eastAsia" w:ascii="宋体" w:hAnsi="宋体" w:eastAsia="宋体" w:cs="宋体"/>
          <w:szCs w:val="24"/>
          <w:highlight w:val="none"/>
        </w:rPr>
        <w:t>于</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年</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月</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日,就质疑事项作出了答复/没有在法定期限内作出答复。</w:t>
      </w:r>
    </w:p>
    <w:p w14:paraId="63241B3E">
      <w:pPr>
        <w:rPr>
          <w:rFonts w:hint="eastAsia" w:ascii="宋体" w:hAnsi="宋体" w:eastAsia="宋体" w:cs="宋体"/>
          <w:szCs w:val="24"/>
          <w:highlight w:val="none"/>
        </w:rPr>
      </w:pPr>
      <w:r>
        <w:rPr>
          <w:rFonts w:hint="eastAsia" w:ascii="宋体" w:hAnsi="宋体" w:eastAsia="宋体" w:cs="宋体"/>
          <w:szCs w:val="24"/>
          <w:highlight w:val="none"/>
        </w:rPr>
        <w:t>四、投诉事项具体内容</w:t>
      </w:r>
    </w:p>
    <w:p w14:paraId="2D802ED0">
      <w:pPr>
        <w:rPr>
          <w:rFonts w:hint="eastAsia" w:ascii="宋体" w:hAnsi="宋体" w:eastAsia="宋体" w:cs="宋体"/>
          <w:szCs w:val="24"/>
          <w:highlight w:val="none"/>
          <w:u w:val="single"/>
        </w:rPr>
      </w:pPr>
      <w:r>
        <w:rPr>
          <w:rFonts w:hint="eastAsia" w:ascii="宋体" w:hAnsi="宋体" w:eastAsia="宋体" w:cs="宋体"/>
          <w:szCs w:val="24"/>
          <w:highlight w:val="none"/>
        </w:rPr>
        <w:t>投诉事项 1：</w:t>
      </w:r>
      <w:r>
        <w:rPr>
          <w:rFonts w:hint="eastAsia" w:ascii="宋体" w:hAnsi="宋体" w:eastAsia="宋体" w:cs="宋体"/>
          <w:szCs w:val="24"/>
          <w:highlight w:val="none"/>
          <w:u w:val="dotted"/>
        </w:rPr>
        <w:t xml:space="preserve">                                       </w:t>
      </w:r>
    </w:p>
    <w:p w14:paraId="49E6897C">
      <w:pPr>
        <w:rPr>
          <w:rFonts w:hint="eastAsia" w:ascii="宋体" w:hAnsi="宋体" w:eastAsia="宋体" w:cs="宋体"/>
          <w:szCs w:val="24"/>
          <w:highlight w:val="none"/>
        </w:rPr>
      </w:pPr>
      <w:r>
        <w:rPr>
          <w:rFonts w:hint="eastAsia" w:ascii="宋体" w:hAnsi="宋体" w:eastAsia="宋体" w:cs="宋体"/>
          <w:szCs w:val="24"/>
          <w:highlight w:val="none"/>
        </w:rPr>
        <w:t>事实依据：</w:t>
      </w:r>
      <w:r>
        <w:rPr>
          <w:rFonts w:hint="eastAsia" w:ascii="宋体" w:hAnsi="宋体" w:eastAsia="宋体" w:cs="宋体"/>
          <w:szCs w:val="24"/>
          <w:highlight w:val="none"/>
          <w:u w:val="dotted"/>
        </w:rPr>
        <w:t xml:space="preserve">                                         </w:t>
      </w:r>
    </w:p>
    <w:p w14:paraId="5C3571E1">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1B62B94D">
      <w:pPr>
        <w:rPr>
          <w:rFonts w:hint="eastAsia" w:ascii="宋体" w:hAnsi="宋体" w:eastAsia="宋体" w:cs="宋体"/>
          <w:szCs w:val="24"/>
          <w:highlight w:val="none"/>
          <w:u w:val="single"/>
        </w:rPr>
      </w:pPr>
      <w:r>
        <w:rPr>
          <w:rFonts w:hint="eastAsia" w:ascii="宋体" w:hAnsi="宋体" w:eastAsia="宋体" w:cs="宋体"/>
          <w:szCs w:val="24"/>
          <w:highlight w:val="none"/>
        </w:rPr>
        <w:t>法律依据：</w:t>
      </w:r>
      <w:r>
        <w:rPr>
          <w:rFonts w:hint="eastAsia" w:ascii="宋体" w:hAnsi="宋体" w:eastAsia="宋体" w:cs="宋体"/>
          <w:szCs w:val="24"/>
          <w:highlight w:val="none"/>
          <w:u w:val="dotted"/>
        </w:rPr>
        <w:t xml:space="preserve">                                          </w:t>
      </w:r>
    </w:p>
    <w:p w14:paraId="7DFF5EAE">
      <w:pPr>
        <w:rPr>
          <w:rFonts w:hint="eastAsia" w:ascii="宋体" w:hAnsi="宋体" w:eastAsia="宋体" w:cs="宋体"/>
          <w:szCs w:val="24"/>
          <w:highlight w:val="none"/>
          <w:u w:val="dotted"/>
        </w:rPr>
      </w:pPr>
      <w:r>
        <w:rPr>
          <w:rFonts w:hint="eastAsia" w:ascii="宋体" w:hAnsi="宋体" w:eastAsia="宋体" w:cs="宋体"/>
          <w:szCs w:val="24"/>
          <w:highlight w:val="none"/>
          <w:u w:val="dotted"/>
        </w:rPr>
        <w:t xml:space="preserve">                                                      </w:t>
      </w:r>
    </w:p>
    <w:p w14:paraId="7FA605E8">
      <w:pPr>
        <w:rPr>
          <w:rFonts w:hint="eastAsia" w:ascii="宋体" w:hAnsi="宋体" w:eastAsia="宋体" w:cs="宋体"/>
          <w:szCs w:val="24"/>
          <w:highlight w:val="none"/>
        </w:rPr>
      </w:pPr>
      <w:r>
        <w:rPr>
          <w:rFonts w:hint="eastAsia" w:ascii="宋体" w:hAnsi="宋体" w:eastAsia="宋体" w:cs="宋体"/>
          <w:szCs w:val="24"/>
          <w:highlight w:val="none"/>
        </w:rPr>
        <w:t>投诉事项2</w:t>
      </w:r>
    </w:p>
    <w:p w14:paraId="3DFC8C4B">
      <w:pPr>
        <w:rPr>
          <w:rFonts w:hint="eastAsia" w:ascii="宋体" w:hAnsi="宋体" w:eastAsia="宋体" w:cs="宋体"/>
          <w:szCs w:val="24"/>
          <w:highlight w:val="none"/>
          <w:u w:val="dotted"/>
        </w:rPr>
      </w:pPr>
      <w:r>
        <w:rPr>
          <w:rFonts w:hint="eastAsia" w:ascii="宋体" w:hAnsi="宋体" w:eastAsia="宋体" w:cs="宋体"/>
          <w:szCs w:val="24"/>
          <w:highlight w:val="none"/>
        </w:rPr>
        <w:t>……</w:t>
      </w:r>
    </w:p>
    <w:p w14:paraId="1E07C345">
      <w:pPr>
        <w:rPr>
          <w:rFonts w:hint="eastAsia" w:ascii="宋体" w:hAnsi="宋体" w:eastAsia="宋体" w:cs="宋体"/>
          <w:szCs w:val="24"/>
          <w:highlight w:val="none"/>
        </w:rPr>
      </w:pPr>
      <w:r>
        <w:rPr>
          <w:rFonts w:hint="eastAsia" w:ascii="宋体" w:hAnsi="宋体" w:eastAsia="宋体" w:cs="宋体"/>
          <w:szCs w:val="24"/>
          <w:highlight w:val="none"/>
        </w:rPr>
        <w:t>五、与投诉事项相关的投诉请求</w:t>
      </w:r>
    </w:p>
    <w:p w14:paraId="5B1C01AB">
      <w:pPr>
        <w:rPr>
          <w:rFonts w:hint="eastAsia" w:ascii="宋体" w:hAnsi="宋体" w:eastAsia="宋体" w:cs="宋体"/>
          <w:szCs w:val="24"/>
          <w:highlight w:val="none"/>
        </w:rPr>
      </w:pPr>
      <w:r>
        <w:rPr>
          <w:rFonts w:hint="eastAsia" w:ascii="宋体" w:hAnsi="宋体" w:eastAsia="宋体" w:cs="宋体"/>
          <w:szCs w:val="24"/>
          <w:highlight w:val="none"/>
        </w:rPr>
        <w:t>请求：</w:t>
      </w:r>
      <w:r>
        <w:rPr>
          <w:rFonts w:hint="eastAsia" w:ascii="宋体" w:hAnsi="宋体" w:eastAsia="宋体" w:cs="宋体"/>
          <w:szCs w:val="24"/>
          <w:highlight w:val="none"/>
          <w:u w:val="dotted"/>
        </w:rPr>
        <w:t xml:space="preserve">                                              </w:t>
      </w:r>
      <w:r>
        <w:rPr>
          <w:rFonts w:hint="eastAsia" w:ascii="宋体" w:hAnsi="宋体" w:eastAsia="宋体" w:cs="宋体"/>
          <w:szCs w:val="24"/>
          <w:highlight w:val="none"/>
        </w:rPr>
        <w:t xml:space="preserve"> </w:t>
      </w:r>
    </w:p>
    <w:p w14:paraId="7D5FD6FF">
      <w:pPr>
        <w:rPr>
          <w:rFonts w:hint="eastAsia" w:ascii="宋体" w:hAnsi="宋体" w:eastAsia="宋体" w:cs="宋体"/>
          <w:szCs w:val="24"/>
          <w:highlight w:val="none"/>
          <w:u w:val="single"/>
        </w:rPr>
      </w:pPr>
      <w:r>
        <w:rPr>
          <w:rFonts w:hint="eastAsia" w:ascii="宋体" w:hAnsi="宋体" w:eastAsia="宋体" w:cs="宋体"/>
          <w:szCs w:val="24"/>
          <w:highlight w:val="none"/>
        </w:rPr>
        <w:t xml:space="preserve">                                                                                                    </w:t>
      </w:r>
    </w:p>
    <w:p w14:paraId="614642CE">
      <w:pPr>
        <w:rPr>
          <w:rFonts w:hint="eastAsia" w:ascii="宋体" w:hAnsi="宋体" w:eastAsia="宋体" w:cs="宋体"/>
          <w:szCs w:val="24"/>
          <w:highlight w:val="none"/>
        </w:rPr>
      </w:pPr>
      <w:r>
        <w:rPr>
          <w:rFonts w:hint="eastAsia" w:ascii="宋体" w:hAnsi="宋体" w:eastAsia="宋体" w:cs="宋体"/>
          <w:szCs w:val="24"/>
          <w:highlight w:val="none"/>
        </w:rPr>
        <w:t xml:space="preserve">签字(签章)：                   公章：                      </w:t>
      </w:r>
    </w:p>
    <w:p w14:paraId="4ED6B02C">
      <w:pPr>
        <w:rPr>
          <w:rFonts w:hint="eastAsia" w:ascii="宋体" w:hAnsi="宋体" w:eastAsia="宋体" w:cs="宋体"/>
          <w:sz w:val="32"/>
          <w:szCs w:val="32"/>
          <w:highlight w:val="none"/>
        </w:rPr>
      </w:pPr>
      <w:r>
        <w:rPr>
          <w:rFonts w:hint="eastAsia" w:ascii="宋体" w:hAnsi="宋体" w:eastAsia="宋体" w:cs="宋体"/>
          <w:szCs w:val="24"/>
          <w:highlight w:val="none"/>
        </w:rPr>
        <w:t xml:space="preserve">日期：                      </w:t>
      </w:r>
    </w:p>
    <w:sectPr>
      <w:type w:val="continuous"/>
      <w:pgSz w:w="11906" w:h="16838"/>
      <w:pgMar w:top="1304" w:right="1361" w:bottom="130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0B79BE30">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76E0A">
    <w:pPr>
      <w:pStyle w:val="17"/>
      <w:jc w:val="both"/>
    </w:pPr>
    <w:r>
      <w:rPr>
        <w:rFonts w:hint="eastAsia"/>
        <w:lang w:eastAsia="zh-CN"/>
      </w:rPr>
      <w:t>陕西启航项目管理咨询有限公司</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60BAC">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39531">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D115031">
                          <w:pPr>
                            <w:pStyle w:val="1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LGI8mXRAQAAqwMAAA4AAAAAAAAAAQAgAAAAHgEAAGRy&#10;cy9lMm9Eb2MueG1sUEsFBgAAAAAGAAYAWQEAAGEFAAAAAA==&#10;">
              <v:fill on="f" focussize="0,0"/>
              <v:stroke on="f"/>
              <v:imagedata o:title=""/>
              <o:lock v:ext="edit" aspectratio="f"/>
              <v:textbox inset="0mm,0mm,0mm,0mm" style="mso-fit-shape-to-text:t;">
                <w:txbxContent>
                  <w:p w14:paraId="5D115031">
                    <w:pPr>
                      <w:pStyle w:val="1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2405C">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D81872">
                          <w:pPr>
                            <w:pStyle w:val="1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hQmNABAACrAwAADgAAAGRycy9lMm9Eb2MueG1srVPNjtMwEL4j8Q6W&#10;7zRpkVA3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ecOZFYZe/PL92+XHr8vPr2xZ&#10;rm6SRL3HiirvPdXG4Y0baHHmOFIwMR/aYNKXODHKk8Dnq8AwRCbTpfVqvS4pJSk3O4RfPFz3AeNb&#10;cIYlo+aBXjALK07vMY6lc0nqZt2d0jq/orZ/BQhzjEBeg+l2YjJOnKw47IeJ3t41Z2LX0yrU3NLm&#10;c6bfWVI6bc1shNnYz8bRB3Xo8lql7uhfHyONlCdNHUZYYpgcesPMddq3tCR/+rnq4R/b/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lbhQmNABAACrAwAADgAAAAAAAAABACAAAAAeAQAAZHJz&#10;L2Uyb0RvYy54bWxQSwUGAAAAAAYABgBZAQAAYAUAAAAA&#10;">
              <v:fill on="f" focussize="0,0"/>
              <v:stroke on="f"/>
              <v:imagedata o:title=""/>
              <o:lock v:ext="edit" aspectratio="f"/>
              <v:textbox inset="0mm,0mm,0mm,0mm" style="mso-fit-shape-to-text:t;">
                <w:txbxContent>
                  <w:p w14:paraId="36D81872">
                    <w:pPr>
                      <w:pStyle w:val="1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5F1D3">
    <w:pPr>
      <w:pStyle w:val="17"/>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40DC33">
                          <w:pPr>
                            <w:pStyle w:val="1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81</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F2/V9ABAACrAwAADgAAAAAAAAABACAAAAAeAQAAZHJz&#10;L2Uyb0RvYy54bWxQSwUGAAAAAAYABgBZAQAAYAUAAAAA&#10;">
              <v:fill on="f" focussize="0,0"/>
              <v:stroke on="f"/>
              <v:imagedata o:title=""/>
              <o:lock v:ext="edit" aspectratio="f"/>
              <v:textbox inset="0mm,0mm,0mm,0mm" style="mso-fit-shape-to-text:t;">
                <w:txbxContent>
                  <w:p w14:paraId="6A40DC33">
                    <w:pPr>
                      <w:pStyle w:val="1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81</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CDB29">
    <w:pPr>
      <w:pStyle w:val="18"/>
      <w:ind w:left="7040" w:hanging="7920" w:hangingChars="4400"/>
      <w:jc w:val="both"/>
      <w:rPr>
        <w:rFonts w:ascii="宋体" w:hAnsi="宋体"/>
        <w:sz w:val="20"/>
        <w:szCs w:val="21"/>
      </w:rPr>
    </w:pPr>
    <w:r>
      <w:rPr>
        <w:rFonts w:hint="eastAsia" w:ascii="宋体" w:hAnsi="宋体"/>
        <w:sz w:val="18"/>
        <w:szCs w:val="20"/>
        <w:lang w:eastAsia="zh-CN"/>
      </w:rPr>
      <w:t>柞水县2025年中央财政森林修复项目（第二批）</w:t>
    </w:r>
    <w:r>
      <w:rPr>
        <w:rFonts w:hint="eastAsia" w:ascii="宋体" w:hAnsi="宋体"/>
        <w:sz w:val="18"/>
        <w:szCs w:val="20"/>
      </w:rPr>
      <w:t xml:space="preserve">       </w:t>
    </w:r>
    <w:r>
      <w:rPr>
        <w:rFonts w:hint="eastAsia" w:ascii="宋体" w:hAnsi="宋体"/>
        <w:sz w:val="20"/>
        <w:szCs w:val="21"/>
      </w:rPr>
      <w:t xml:space="preserve">       </w:t>
    </w:r>
    <w:r>
      <w:rPr>
        <w:rFonts w:hint="eastAsia" w:ascii="宋体" w:hAnsi="宋体"/>
        <w:sz w:val="20"/>
        <w:szCs w:val="21"/>
        <w:lang w:val="en-US" w:eastAsia="zh-CN"/>
      </w:rPr>
      <w:t xml:space="preserve">                           </w:t>
    </w:r>
    <w:r>
      <w:rPr>
        <w:rFonts w:hint="eastAsia" w:ascii="宋体" w:hAnsi="宋体"/>
        <w:sz w:val="20"/>
        <w:szCs w:val="21"/>
      </w:rPr>
      <w:t xml:space="preserve">  </w:t>
    </w:r>
    <w:r>
      <w:rPr>
        <w:rFonts w:hint="eastAsia" w:ascii="宋体" w:hAnsi="宋体"/>
        <w:sz w:val="20"/>
        <w:szCs w:val="21"/>
        <w:lang w:val="en-US" w:eastAsia="zh-CN"/>
      </w:rPr>
      <w:t xml:space="preserve">    </w:t>
    </w:r>
    <w:r>
      <w:rPr>
        <w:rFonts w:hint="eastAsia" w:ascii="宋体" w:hAnsi="宋体"/>
        <w:sz w:val="18"/>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81CC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701CA">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DF9E"/>
    <w:multiLevelType w:val="singleLevel"/>
    <w:tmpl w:val="BBFEDF9E"/>
    <w:lvl w:ilvl="0" w:tentative="0">
      <w:start w:val="1"/>
      <w:numFmt w:val="decimal"/>
      <w:suff w:val="nothing"/>
      <w:lvlText w:val="%1、"/>
      <w:lvlJc w:val="left"/>
    </w:lvl>
  </w:abstractNum>
  <w:abstractNum w:abstractNumId="1">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DExZDdkMjM5Y2Y0Mzg4ODYzNWFiMTM4NzI2ZDYifQ=="/>
  </w:docVars>
  <w:rsids>
    <w:rsidRoot w:val="00172A27"/>
    <w:rsid w:val="00067DD7"/>
    <w:rsid w:val="00075362"/>
    <w:rsid w:val="00092A0E"/>
    <w:rsid w:val="000E02AD"/>
    <w:rsid w:val="00127453"/>
    <w:rsid w:val="00143875"/>
    <w:rsid w:val="00156141"/>
    <w:rsid w:val="00164F97"/>
    <w:rsid w:val="00172A27"/>
    <w:rsid w:val="0019127F"/>
    <w:rsid w:val="001D165F"/>
    <w:rsid w:val="001E2A55"/>
    <w:rsid w:val="0024067A"/>
    <w:rsid w:val="00243199"/>
    <w:rsid w:val="00295E6A"/>
    <w:rsid w:val="002F588F"/>
    <w:rsid w:val="002F78A0"/>
    <w:rsid w:val="00373AA4"/>
    <w:rsid w:val="003C1454"/>
    <w:rsid w:val="00413044"/>
    <w:rsid w:val="00455193"/>
    <w:rsid w:val="00473028"/>
    <w:rsid w:val="00490FFC"/>
    <w:rsid w:val="004D7F07"/>
    <w:rsid w:val="005010CF"/>
    <w:rsid w:val="00540F52"/>
    <w:rsid w:val="0054336A"/>
    <w:rsid w:val="005869CD"/>
    <w:rsid w:val="00605D5C"/>
    <w:rsid w:val="006109C6"/>
    <w:rsid w:val="0062509C"/>
    <w:rsid w:val="00632D09"/>
    <w:rsid w:val="00634DB8"/>
    <w:rsid w:val="00637068"/>
    <w:rsid w:val="00665BD9"/>
    <w:rsid w:val="00681549"/>
    <w:rsid w:val="006D4D82"/>
    <w:rsid w:val="006F10CE"/>
    <w:rsid w:val="00721393"/>
    <w:rsid w:val="00747E33"/>
    <w:rsid w:val="007517B5"/>
    <w:rsid w:val="007A5351"/>
    <w:rsid w:val="007B0A1F"/>
    <w:rsid w:val="00806027"/>
    <w:rsid w:val="0081730D"/>
    <w:rsid w:val="00821E5A"/>
    <w:rsid w:val="00824545"/>
    <w:rsid w:val="00827E45"/>
    <w:rsid w:val="00834FBA"/>
    <w:rsid w:val="008A653E"/>
    <w:rsid w:val="008B71B0"/>
    <w:rsid w:val="00901771"/>
    <w:rsid w:val="00936646"/>
    <w:rsid w:val="009946C8"/>
    <w:rsid w:val="009D62FB"/>
    <w:rsid w:val="00A13DE2"/>
    <w:rsid w:val="00A15FAA"/>
    <w:rsid w:val="00A539B1"/>
    <w:rsid w:val="00A603A5"/>
    <w:rsid w:val="00A91C13"/>
    <w:rsid w:val="00A96DA3"/>
    <w:rsid w:val="00AF3108"/>
    <w:rsid w:val="00B02C39"/>
    <w:rsid w:val="00B37D6B"/>
    <w:rsid w:val="00B5776E"/>
    <w:rsid w:val="00B96CCE"/>
    <w:rsid w:val="00BC05F2"/>
    <w:rsid w:val="00BF4B25"/>
    <w:rsid w:val="00C1512E"/>
    <w:rsid w:val="00C26C9B"/>
    <w:rsid w:val="00C36AB8"/>
    <w:rsid w:val="00C61893"/>
    <w:rsid w:val="00CB0C3B"/>
    <w:rsid w:val="00CB767A"/>
    <w:rsid w:val="00CC5894"/>
    <w:rsid w:val="00D10014"/>
    <w:rsid w:val="00D642EA"/>
    <w:rsid w:val="00D704DD"/>
    <w:rsid w:val="00D8028D"/>
    <w:rsid w:val="00DB1A1E"/>
    <w:rsid w:val="00DC7CC3"/>
    <w:rsid w:val="00DE5928"/>
    <w:rsid w:val="00E30694"/>
    <w:rsid w:val="00E72F85"/>
    <w:rsid w:val="00EB4B2A"/>
    <w:rsid w:val="00F50CDF"/>
    <w:rsid w:val="01891B53"/>
    <w:rsid w:val="01A83B03"/>
    <w:rsid w:val="01AC75F0"/>
    <w:rsid w:val="01BC6535"/>
    <w:rsid w:val="02050FB8"/>
    <w:rsid w:val="020E00B4"/>
    <w:rsid w:val="021F1A11"/>
    <w:rsid w:val="0236335D"/>
    <w:rsid w:val="02613983"/>
    <w:rsid w:val="02B773A4"/>
    <w:rsid w:val="02D97BAA"/>
    <w:rsid w:val="03CF3A69"/>
    <w:rsid w:val="044E2916"/>
    <w:rsid w:val="04535D37"/>
    <w:rsid w:val="04E23328"/>
    <w:rsid w:val="04E2543C"/>
    <w:rsid w:val="04E958D9"/>
    <w:rsid w:val="04F306CA"/>
    <w:rsid w:val="054F1888"/>
    <w:rsid w:val="05BE1FE7"/>
    <w:rsid w:val="05F477B7"/>
    <w:rsid w:val="060A6FDB"/>
    <w:rsid w:val="061571D6"/>
    <w:rsid w:val="06466524"/>
    <w:rsid w:val="067D52DB"/>
    <w:rsid w:val="068A7924"/>
    <w:rsid w:val="06EA5F41"/>
    <w:rsid w:val="0744651C"/>
    <w:rsid w:val="078D4DA5"/>
    <w:rsid w:val="07964574"/>
    <w:rsid w:val="07DF7F74"/>
    <w:rsid w:val="085462B9"/>
    <w:rsid w:val="08561B2D"/>
    <w:rsid w:val="08B76089"/>
    <w:rsid w:val="093733E1"/>
    <w:rsid w:val="098B0B6C"/>
    <w:rsid w:val="09D37127"/>
    <w:rsid w:val="0A715AED"/>
    <w:rsid w:val="0A9477F6"/>
    <w:rsid w:val="0AA63A70"/>
    <w:rsid w:val="0AB13C61"/>
    <w:rsid w:val="0AEF3BF8"/>
    <w:rsid w:val="0AF96D8D"/>
    <w:rsid w:val="0AFB2A61"/>
    <w:rsid w:val="0B056F8B"/>
    <w:rsid w:val="0B1B1342"/>
    <w:rsid w:val="0B584344"/>
    <w:rsid w:val="0B6E13BF"/>
    <w:rsid w:val="0BE7390B"/>
    <w:rsid w:val="0BE77AE1"/>
    <w:rsid w:val="0C025E77"/>
    <w:rsid w:val="0C750A2F"/>
    <w:rsid w:val="0C932991"/>
    <w:rsid w:val="0CC52FAD"/>
    <w:rsid w:val="0CC770D4"/>
    <w:rsid w:val="0CE13871"/>
    <w:rsid w:val="0D841421"/>
    <w:rsid w:val="0D8C5C5C"/>
    <w:rsid w:val="0DD762A4"/>
    <w:rsid w:val="0DEC2BF3"/>
    <w:rsid w:val="0E2274C2"/>
    <w:rsid w:val="0E25606B"/>
    <w:rsid w:val="0E547045"/>
    <w:rsid w:val="0E5A6BAA"/>
    <w:rsid w:val="0E7610EC"/>
    <w:rsid w:val="0E87566C"/>
    <w:rsid w:val="0E8C5D73"/>
    <w:rsid w:val="0EBB3568"/>
    <w:rsid w:val="0EBB7BFD"/>
    <w:rsid w:val="0F414ECF"/>
    <w:rsid w:val="0F58722E"/>
    <w:rsid w:val="107B6893"/>
    <w:rsid w:val="10B97633"/>
    <w:rsid w:val="10D20E9D"/>
    <w:rsid w:val="11253867"/>
    <w:rsid w:val="1147751F"/>
    <w:rsid w:val="11DE3370"/>
    <w:rsid w:val="11DE3DA6"/>
    <w:rsid w:val="12104472"/>
    <w:rsid w:val="121C6938"/>
    <w:rsid w:val="1242041E"/>
    <w:rsid w:val="12902616"/>
    <w:rsid w:val="12B55AA0"/>
    <w:rsid w:val="12C15F07"/>
    <w:rsid w:val="12FD22D6"/>
    <w:rsid w:val="13102E15"/>
    <w:rsid w:val="131B0F17"/>
    <w:rsid w:val="133F6E84"/>
    <w:rsid w:val="1343740D"/>
    <w:rsid w:val="137529DA"/>
    <w:rsid w:val="13900552"/>
    <w:rsid w:val="13AA0B25"/>
    <w:rsid w:val="13B042CB"/>
    <w:rsid w:val="14051D6D"/>
    <w:rsid w:val="140D6614"/>
    <w:rsid w:val="14161181"/>
    <w:rsid w:val="145C535D"/>
    <w:rsid w:val="148B7473"/>
    <w:rsid w:val="14AD3953"/>
    <w:rsid w:val="151450A9"/>
    <w:rsid w:val="151B2394"/>
    <w:rsid w:val="15416DE1"/>
    <w:rsid w:val="15752BB9"/>
    <w:rsid w:val="15817CF1"/>
    <w:rsid w:val="15A308B2"/>
    <w:rsid w:val="16BB1A79"/>
    <w:rsid w:val="16F05D79"/>
    <w:rsid w:val="17004346"/>
    <w:rsid w:val="17473BF1"/>
    <w:rsid w:val="17676853"/>
    <w:rsid w:val="17B2155B"/>
    <w:rsid w:val="17DC33B7"/>
    <w:rsid w:val="18096E98"/>
    <w:rsid w:val="18355116"/>
    <w:rsid w:val="184925AF"/>
    <w:rsid w:val="18954A05"/>
    <w:rsid w:val="18DD474A"/>
    <w:rsid w:val="18FE652B"/>
    <w:rsid w:val="191424EE"/>
    <w:rsid w:val="19476C77"/>
    <w:rsid w:val="19720386"/>
    <w:rsid w:val="19DB7B23"/>
    <w:rsid w:val="1A491727"/>
    <w:rsid w:val="1A500DE1"/>
    <w:rsid w:val="1A5E600C"/>
    <w:rsid w:val="1A7D057D"/>
    <w:rsid w:val="1AC2559A"/>
    <w:rsid w:val="1ACA778D"/>
    <w:rsid w:val="1AD877F4"/>
    <w:rsid w:val="1AED14DC"/>
    <w:rsid w:val="1B38680B"/>
    <w:rsid w:val="1B447BB6"/>
    <w:rsid w:val="1B514392"/>
    <w:rsid w:val="1B75684C"/>
    <w:rsid w:val="1BDC78E2"/>
    <w:rsid w:val="1C27223D"/>
    <w:rsid w:val="1C602EC4"/>
    <w:rsid w:val="1C6B4699"/>
    <w:rsid w:val="1C93305A"/>
    <w:rsid w:val="1CFE47D4"/>
    <w:rsid w:val="1D520676"/>
    <w:rsid w:val="1DDE2DFC"/>
    <w:rsid w:val="1E302B54"/>
    <w:rsid w:val="1E6E3BEA"/>
    <w:rsid w:val="1E7F7CE4"/>
    <w:rsid w:val="1EBE7F7F"/>
    <w:rsid w:val="1EC3782A"/>
    <w:rsid w:val="1EDE38A6"/>
    <w:rsid w:val="1F0E5D1E"/>
    <w:rsid w:val="1F1A7531"/>
    <w:rsid w:val="1F3A20FF"/>
    <w:rsid w:val="1F6126BC"/>
    <w:rsid w:val="1F903BF6"/>
    <w:rsid w:val="202D6F14"/>
    <w:rsid w:val="202E7C7A"/>
    <w:rsid w:val="205B7610"/>
    <w:rsid w:val="205E01F7"/>
    <w:rsid w:val="207615D5"/>
    <w:rsid w:val="207B7CB2"/>
    <w:rsid w:val="207D067D"/>
    <w:rsid w:val="20922C90"/>
    <w:rsid w:val="20AD2256"/>
    <w:rsid w:val="20FD6FC3"/>
    <w:rsid w:val="21004DD9"/>
    <w:rsid w:val="21A26E14"/>
    <w:rsid w:val="21B5378E"/>
    <w:rsid w:val="21EC41F6"/>
    <w:rsid w:val="21EF67C9"/>
    <w:rsid w:val="22196A1F"/>
    <w:rsid w:val="2221450D"/>
    <w:rsid w:val="224909C3"/>
    <w:rsid w:val="22CA3922"/>
    <w:rsid w:val="233B1878"/>
    <w:rsid w:val="2346744C"/>
    <w:rsid w:val="23624540"/>
    <w:rsid w:val="23686ACB"/>
    <w:rsid w:val="2369138D"/>
    <w:rsid w:val="23E84E31"/>
    <w:rsid w:val="24042151"/>
    <w:rsid w:val="24294678"/>
    <w:rsid w:val="24303C58"/>
    <w:rsid w:val="24CB595D"/>
    <w:rsid w:val="25973F8F"/>
    <w:rsid w:val="25A1715D"/>
    <w:rsid w:val="25D268A7"/>
    <w:rsid w:val="26047265"/>
    <w:rsid w:val="261A0E1D"/>
    <w:rsid w:val="265C0A8A"/>
    <w:rsid w:val="2673111B"/>
    <w:rsid w:val="26E9382C"/>
    <w:rsid w:val="274664DC"/>
    <w:rsid w:val="274A6BAA"/>
    <w:rsid w:val="274C0949"/>
    <w:rsid w:val="27C070A1"/>
    <w:rsid w:val="2837470D"/>
    <w:rsid w:val="285E1D92"/>
    <w:rsid w:val="28885E11"/>
    <w:rsid w:val="28A42EBB"/>
    <w:rsid w:val="29296871"/>
    <w:rsid w:val="29326CF6"/>
    <w:rsid w:val="29566CD7"/>
    <w:rsid w:val="29A26CD6"/>
    <w:rsid w:val="29B91BA6"/>
    <w:rsid w:val="29D5599D"/>
    <w:rsid w:val="2AAD745B"/>
    <w:rsid w:val="2ADB5882"/>
    <w:rsid w:val="2AE2077F"/>
    <w:rsid w:val="2AE83537"/>
    <w:rsid w:val="2B3471E7"/>
    <w:rsid w:val="2B585F5C"/>
    <w:rsid w:val="2BAD70FD"/>
    <w:rsid w:val="2BB94533"/>
    <w:rsid w:val="2BEE61D7"/>
    <w:rsid w:val="2C1E5B12"/>
    <w:rsid w:val="2C4715CE"/>
    <w:rsid w:val="2C506768"/>
    <w:rsid w:val="2D1A7C83"/>
    <w:rsid w:val="2D2D2C04"/>
    <w:rsid w:val="2DD91AAB"/>
    <w:rsid w:val="2DEA6FFB"/>
    <w:rsid w:val="2E1D04B8"/>
    <w:rsid w:val="2E453B2A"/>
    <w:rsid w:val="2E801B06"/>
    <w:rsid w:val="2F4875FA"/>
    <w:rsid w:val="2F984B4F"/>
    <w:rsid w:val="306D7693"/>
    <w:rsid w:val="30EE7385"/>
    <w:rsid w:val="31017A4B"/>
    <w:rsid w:val="318614E1"/>
    <w:rsid w:val="32434D44"/>
    <w:rsid w:val="326714C1"/>
    <w:rsid w:val="32D560F7"/>
    <w:rsid w:val="333C56DD"/>
    <w:rsid w:val="336D6E92"/>
    <w:rsid w:val="338A49CA"/>
    <w:rsid w:val="33B82D95"/>
    <w:rsid w:val="33C120EC"/>
    <w:rsid w:val="3408225D"/>
    <w:rsid w:val="34364998"/>
    <w:rsid w:val="34365D32"/>
    <w:rsid w:val="34394463"/>
    <w:rsid w:val="348F397D"/>
    <w:rsid w:val="34CB7A86"/>
    <w:rsid w:val="355C7E64"/>
    <w:rsid w:val="35710369"/>
    <w:rsid w:val="36212568"/>
    <w:rsid w:val="365E4655"/>
    <w:rsid w:val="36652F3F"/>
    <w:rsid w:val="369633E0"/>
    <w:rsid w:val="36C95F72"/>
    <w:rsid w:val="371E406C"/>
    <w:rsid w:val="37661A13"/>
    <w:rsid w:val="37727C90"/>
    <w:rsid w:val="37BB447E"/>
    <w:rsid w:val="37C52E2A"/>
    <w:rsid w:val="37D30AEB"/>
    <w:rsid w:val="38583268"/>
    <w:rsid w:val="387C6615"/>
    <w:rsid w:val="38EA4E68"/>
    <w:rsid w:val="39027DE5"/>
    <w:rsid w:val="39187C1C"/>
    <w:rsid w:val="398C3550"/>
    <w:rsid w:val="39EA027C"/>
    <w:rsid w:val="3ABA4320"/>
    <w:rsid w:val="3B822415"/>
    <w:rsid w:val="3B9D543B"/>
    <w:rsid w:val="3BBC17D1"/>
    <w:rsid w:val="3BCB5591"/>
    <w:rsid w:val="3C330DEA"/>
    <w:rsid w:val="3C470E64"/>
    <w:rsid w:val="3C5E715D"/>
    <w:rsid w:val="3CA96812"/>
    <w:rsid w:val="3CD734DF"/>
    <w:rsid w:val="3CF5326E"/>
    <w:rsid w:val="3D2F28A7"/>
    <w:rsid w:val="3DCE0312"/>
    <w:rsid w:val="3DF71617"/>
    <w:rsid w:val="3E6E73FF"/>
    <w:rsid w:val="3E832EAB"/>
    <w:rsid w:val="3EDD3ACE"/>
    <w:rsid w:val="3F461B07"/>
    <w:rsid w:val="3F4866A7"/>
    <w:rsid w:val="3F594E23"/>
    <w:rsid w:val="3F7C478F"/>
    <w:rsid w:val="3FF26BC0"/>
    <w:rsid w:val="401C5365"/>
    <w:rsid w:val="405C4B2A"/>
    <w:rsid w:val="40F128AC"/>
    <w:rsid w:val="410138D0"/>
    <w:rsid w:val="41365A22"/>
    <w:rsid w:val="41AD4734"/>
    <w:rsid w:val="435117C9"/>
    <w:rsid w:val="43831A2F"/>
    <w:rsid w:val="43953D6A"/>
    <w:rsid w:val="43CF4837"/>
    <w:rsid w:val="43E876F6"/>
    <w:rsid w:val="43FF5F3D"/>
    <w:rsid w:val="44366C11"/>
    <w:rsid w:val="44526E5A"/>
    <w:rsid w:val="44857F97"/>
    <w:rsid w:val="448C236A"/>
    <w:rsid w:val="44AB08E1"/>
    <w:rsid w:val="44BF4B76"/>
    <w:rsid w:val="44D957F5"/>
    <w:rsid w:val="44EA4663"/>
    <w:rsid w:val="453216C3"/>
    <w:rsid w:val="45675258"/>
    <w:rsid w:val="45687840"/>
    <w:rsid w:val="458034AA"/>
    <w:rsid w:val="45BE4637"/>
    <w:rsid w:val="460803A8"/>
    <w:rsid w:val="461810FC"/>
    <w:rsid w:val="461B60BF"/>
    <w:rsid w:val="46665B57"/>
    <w:rsid w:val="46680A55"/>
    <w:rsid w:val="466B3B11"/>
    <w:rsid w:val="4695686C"/>
    <w:rsid w:val="469A6156"/>
    <w:rsid w:val="469D0831"/>
    <w:rsid w:val="471E63F5"/>
    <w:rsid w:val="47353BED"/>
    <w:rsid w:val="473571BC"/>
    <w:rsid w:val="48F2082A"/>
    <w:rsid w:val="48FC34FC"/>
    <w:rsid w:val="4911473F"/>
    <w:rsid w:val="491D3A13"/>
    <w:rsid w:val="49282FCC"/>
    <w:rsid w:val="4937360E"/>
    <w:rsid w:val="494E57BD"/>
    <w:rsid w:val="495A5060"/>
    <w:rsid w:val="49AA6EE4"/>
    <w:rsid w:val="49B00420"/>
    <w:rsid w:val="49E135D9"/>
    <w:rsid w:val="4A9768D8"/>
    <w:rsid w:val="4AEB7055"/>
    <w:rsid w:val="4B0F34BE"/>
    <w:rsid w:val="4B274486"/>
    <w:rsid w:val="4B405527"/>
    <w:rsid w:val="4B4F7A37"/>
    <w:rsid w:val="4BA479F4"/>
    <w:rsid w:val="4BB943B0"/>
    <w:rsid w:val="4C151729"/>
    <w:rsid w:val="4C286194"/>
    <w:rsid w:val="4C5379A4"/>
    <w:rsid w:val="4CA50292"/>
    <w:rsid w:val="4CE74F4D"/>
    <w:rsid w:val="4D0E4287"/>
    <w:rsid w:val="4D3320F2"/>
    <w:rsid w:val="4D9E0950"/>
    <w:rsid w:val="4DB971B3"/>
    <w:rsid w:val="4DD13DB7"/>
    <w:rsid w:val="4E3E294A"/>
    <w:rsid w:val="4E541B72"/>
    <w:rsid w:val="4EA6517F"/>
    <w:rsid w:val="4EC445FF"/>
    <w:rsid w:val="4FDC34DE"/>
    <w:rsid w:val="5122082A"/>
    <w:rsid w:val="5132266D"/>
    <w:rsid w:val="518237D8"/>
    <w:rsid w:val="51AB50F9"/>
    <w:rsid w:val="52105F6D"/>
    <w:rsid w:val="529201E3"/>
    <w:rsid w:val="52D42636"/>
    <w:rsid w:val="53603363"/>
    <w:rsid w:val="536B7208"/>
    <w:rsid w:val="53B61356"/>
    <w:rsid w:val="53BE2640"/>
    <w:rsid w:val="54167AFF"/>
    <w:rsid w:val="54383293"/>
    <w:rsid w:val="544955B5"/>
    <w:rsid w:val="546654FD"/>
    <w:rsid w:val="54932A0B"/>
    <w:rsid w:val="54B77366"/>
    <w:rsid w:val="54FD2C72"/>
    <w:rsid w:val="55367403"/>
    <w:rsid w:val="55C76018"/>
    <w:rsid w:val="55C847A2"/>
    <w:rsid w:val="562C5F96"/>
    <w:rsid w:val="562F377B"/>
    <w:rsid w:val="56B57E6A"/>
    <w:rsid w:val="57443C4F"/>
    <w:rsid w:val="57B35D3A"/>
    <w:rsid w:val="57B50DB0"/>
    <w:rsid w:val="57D85BBE"/>
    <w:rsid w:val="57DB71F6"/>
    <w:rsid w:val="586D1BBF"/>
    <w:rsid w:val="58FD4D1C"/>
    <w:rsid w:val="59097FF9"/>
    <w:rsid w:val="599747E8"/>
    <w:rsid w:val="5A03237D"/>
    <w:rsid w:val="5A062A70"/>
    <w:rsid w:val="5A4641B5"/>
    <w:rsid w:val="5A7344E7"/>
    <w:rsid w:val="5B070568"/>
    <w:rsid w:val="5B553294"/>
    <w:rsid w:val="5BBC56DC"/>
    <w:rsid w:val="5BF979BC"/>
    <w:rsid w:val="5C076030"/>
    <w:rsid w:val="5C39779C"/>
    <w:rsid w:val="5C7913C1"/>
    <w:rsid w:val="5CA359AC"/>
    <w:rsid w:val="5D086F45"/>
    <w:rsid w:val="5D302F64"/>
    <w:rsid w:val="5D603594"/>
    <w:rsid w:val="5DE51E64"/>
    <w:rsid w:val="5DFF721C"/>
    <w:rsid w:val="5E080023"/>
    <w:rsid w:val="5EB66EE4"/>
    <w:rsid w:val="5EB83AD6"/>
    <w:rsid w:val="5ED76084"/>
    <w:rsid w:val="5F117C07"/>
    <w:rsid w:val="5F790AC3"/>
    <w:rsid w:val="5F9D525C"/>
    <w:rsid w:val="5FCE2CE8"/>
    <w:rsid w:val="5FEA1C45"/>
    <w:rsid w:val="60091E9A"/>
    <w:rsid w:val="60160FF8"/>
    <w:rsid w:val="60400EFA"/>
    <w:rsid w:val="60937D28"/>
    <w:rsid w:val="60967A11"/>
    <w:rsid w:val="60C92B1C"/>
    <w:rsid w:val="61531164"/>
    <w:rsid w:val="61886EF5"/>
    <w:rsid w:val="61907D1A"/>
    <w:rsid w:val="61CD4A79"/>
    <w:rsid w:val="61E531A5"/>
    <w:rsid w:val="6223294C"/>
    <w:rsid w:val="62303C57"/>
    <w:rsid w:val="62BB48C4"/>
    <w:rsid w:val="633A3BD0"/>
    <w:rsid w:val="63476EDC"/>
    <w:rsid w:val="636B6B6E"/>
    <w:rsid w:val="63747632"/>
    <w:rsid w:val="63861052"/>
    <w:rsid w:val="63943A5A"/>
    <w:rsid w:val="63E63E74"/>
    <w:rsid w:val="6427480A"/>
    <w:rsid w:val="643A6F83"/>
    <w:rsid w:val="64475E7D"/>
    <w:rsid w:val="648B546D"/>
    <w:rsid w:val="649F2933"/>
    <w:rsid w:val="64CE16D2"/>
    <w:rsid w:val="64F1663F"/>
    <w:rsid w:val="64F73135"/>
    <w:rsid w:val="654900FB"/>
    <w:rsid w:val="655565F0"/>
    <w:rsid w:val="657C2DD4"/>
    <w:rsid w:val="65A64376"/>
    <w:rsid w:val="65C47053"/>
    <w:rsid w:val="666B5E35"/>
    <w:rsid w:val="68325815"/>
    <w:rsid w:val="68876088"/>
    <w:rsid w:val="68A5137B"/>
    <w:rsid w:val="691D5F89"/>
    <w:rsid w:val="694126E9"/>
    <w:rsid w:val="696739C1"/>
    <w:rsid w:val="6A5A4B58"/>
    <w:rsid w:val="6A7A48B2"/>
    <w:rsid w:val="6A8037E4"/>
    <w:rsid w:val="6A8D7A7E"/>
    <w:rsid w:val="6AE83140"/>
    <w:rsid w:val="6AEC63A9"/>
    <w:rsid w:val="6AEF4F2E"/>
    <w:rsid w:val="6AF91C7B"/>
    <w:rsid w:val="6AFE5050"/>
    <w:rsid w:val="6B0A38F5"/>
    <w:rsid w:val="6B1A56DA"/>
    <w:rsid w:val="6C080DDD"/>
    <w:rsid w:val="6C387076"/>
    <w:rsid w:val="6C387C5C"/>
    <w:rsid w:val="6C432E6D"/>
    <w:rsid w:val="6C445178"/>
    <w:rsid w:val="6C4E6153"/>
    <w:rsid w:val="6C525378"/>
    <w:rsid w:val="6C65594D"/>
    <w:rsid w:val="6C7233B6"/>
    <w:rsid w:val="6CA1310D"/>
    <w:rsid w:val="6CA44400"/>
    <w:rsid w:val="6CA60A25"/>
    <w:rsid w:val="6CA65F4E"/>
    <w:rsid w:val="6CE5519E"/>
    <w:rsid w:val="6CEC29E0"/>
    <w:rsid w:val="6CEE47AC"/>
    <w:rsid w:val="6D2C731E"/>
    <w:rsid w:val="6D365028"/>
    <w:rsid w:val="6D715243"/>
    <w:rsid w:val="6D8039C3"/>
    <w:rsid w:val="6D9B2D1F"/>
    <w:rsid w:val="6DC70686"/>
    <w:rsid w:val="6DDD1A9E"/>
    <w:rsid w:val="6E1903DA"/>
    <w:rsid w:val="6E661BB9"/>
    <w:rsid w:val="6E665F1E"/>
    <w:rsid w:val="6E781A51"/>
    <w:rsid w:val="6E7E746F"/>
    <w:rsid w:val="6F0B7E5B"/>
    <w:rsid w:val="6F5412F4"/>
    <w:rsid w:val="6FBB0530"/>
    <w:rsid w:val="6FC0544C"/>
    <w:rsid w:val="6FDE756B"/>
    <w:rsid w:val="700D7E81"/>
    <w:rsid w:val="70573900"/>
    <w:rsid w:val="70930445"/>
    <w:rsid w:val="709A42CE"/>
    <w:rsid w:val="70D42421"/>
    <w:rsid w:val="70F822E3"/>
    <w:rsid w:val="713E3AFB"/>
    <w:rsid w:val="71675C25"/>
    <w:rsid w:val="71783771"/>
    <w:rsid w:val="717F3F2C"/>
    <w:rsid w:val="71C368C8"/>
    <w:rsid w:val="726036A6"/>
    <w:rsid w:val="73437A25"/>
    <w:rsid w:val="734952E7"/>
    <w:rsid w:val="73B9644B"/>
    <w:rsid w:val="73E14111"/>
    <w:rsid w:val="73F5728B"/>
    <w:rsid w:val="7415067E"/>
    <w:rsid w:val="74460DDF"/>
    <w:rsid w:val="74B17A6A"/>
    <w:rsid w:val="74C52498"/>
    <w:rsid w:val="74C74C01"/>
    <w:rsid w:val="75147188"/>
    <w:rsid w:val="754E350B"/>
    <w:rsid w:val="75B17B55"/>
    <w:rsid w:val="75D80178"/>
    <w:rsid w:val="76024771"/>
    <w:rsid w:val="760B6D06"/>
    <w:rsid w:val="76290C74"/>
    <w:rsid w:val="76335D64"/>
    <w:rsid w:val="764030D7"/>
    <w:rsid w:val="76607512"/>
    <w:rsid w:val="76B0418D"/>
    <w:rsid w:val="76C21ABB"/>
    <w:rsid w:val="77742A87"/>
    <w:rsid w:val="778B45A3"/>
    <w:rsid w:val="778D031B"/>
    <w:rsid w:val="778E7BEF"/>
    <w:rsid w:val="77CF26E1"/>
    <w:rsid w:val="77D804B5"/>
    <w:rsid w:val="77E23352"/>
    <w:rsid w:val="782E42F7"/>
    <w:rsid w:val="78482187"/>
    <w:rsid w:val="784C4775"/>
    <w:rsid w:val="7852762D"/>
    <w:rsid w:val="7858377C"/>
    <w:rsid w:val="787A3FB1"/>
    <w:rsid w:val="78EE4629"/>
    <w:rsid w:val="79694470"/>
    <w:rsid w:val="79821002"/>
    <w:rsid w:val="79960744"/>
    <w:rsid w:val="7A1E1F2C"/>
    <w:rsid w:val="7A250C81"/>
    <w:rsid w:val="7A82024F"/>
    <w:rsid w:val="7AEE2E6C"/>
    <w:rsid w:val="7C24670B"/>
    <w:rsid w:val="7C5840AD"/>
    <w:rsid w:val="7C96585A"/>
    <w:rsid w:val="7CFA0562"/>
    <w:rsid w:val="7D0629E6"/>
    <w:rsid w:val="7D14649C"/>
    <w:rsid w:val="7D1E661D"/>
    <w:rsid w:val="7D4755BE"/>
    <w:rsid w:val="7D4E1F2C"/>
    <w:rsid w:val="7D4F1987"/>
    <w:rsid w:val="7D764FDD"/>
    <w:rsid w:val="7E015E6B"/>
    <w:rsid w:val="7E0643FD"/>
    <w:rsid w:val="7EB553C3"/>
    <w:rsid w:val="7ED14F91"/>
    <w:rsid w:val="7ED25666"/>
    <w:rsid w:val="7F014E71"/>
    <w:rsid w:val="7F1E36D7"/>
    <w:rsid w:val="7F5020C4"/>
    <w:rsid w:val="7F90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99"/>
    <w:pPr>
      <w:keepNext/>
      <w:keepLines/>
      <w:spacing w:before="260" w:after="260" w:line="416" w:lineRule="auto"/>
      <w:jc w:val="left"/>
      <w:outlineLvl w:val="1"/>
    </w:pPr>
    <w:rPr>
      <w:rFonts w:ascii="Cambria" w:hAnsi="Cambria" w:cs="Cambria"/>
      <w:b/>
      <w:bCs/>
      <w:sz w:val="32"/>
      <w:szCs w:val="32"/>
    </w:rPr>
  </w:style>
  <w:style w:type="paragraph" w:styleId="5">
    <w:name w:val="heading 3"/>
    <w:basedOn w:val="1"/>
    <w:next w:val="1"/>
    <w:qFormat/>
    <w:uiPriority w:val="0"/>
    <w:pPr>
      <w:keepNext/>
      <w:spacing w:beforeLines="200" w:line="400" w:lineRule="exact"/>
      <w:jc w:val="center"/>
      <w:outlineLvl w:val="2"/>
    </w:pPr>
    <w:rPr>
      <w:b/>
      <w:bCs/>
      <w:sz w:val="24"/>
      <w:szCs w:val="24"/>
    </w:rPr>
  </w:style>
  <w:style w:type="paragraph" w:styleId="6">
    <w:name w:val="heading 4"/>
    <w:basedOn w:val="1"/>
    <w:next w:val="1"/>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7">
    <w:name w:val="heading 6"/>
    <w:basedOn w:val="1"/>
    <w:next w:val="1"/>
    <w:qFormat/>
    <w:uiPriority w:val="0"/>
    <w:pPr>
      <w:spacing w:beforeAutospacing="1" w:afterAutospacing="1"/>
      <w:jc w:val="left"/>
      <w:outlineLvl w:val="5"/>
    </w:pPr>
    <w:rPr>
      <w:rFonts w:hint="eastAsia" w:ascii="宋体" w:hAnsi="宋体"/>
      <w:b/>
      <w:bCs/>
      <w:kern w:val="0"/>
      <w:sz w:val="15"/>
      <w:szCs w:val="15"/>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qFormat/>
    <w:uiPriority w:val="0"/>
    <w:pPr>
      <w:spacing w:line="300" w:lineRule="auto"/>
      <w:ind w:firstLine="420" w:firstLineChars="200"/>
    </w:pPr>
    <w:rPr>
      <w:szCs w:val="24"/>
    </w:r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rPr>
      <w:rFonts w:ascii="仿宋_GB2312" w:eastAsia="仿宋_GB2312"/>
      <w:spacing w:val="-20"/>
      <w:sz w:val="28"/>
      <w:szCs w:val="20"/>
    </w:rPr>
  </w:style>
  <w:style w:type="paragraph" w:styleId="12">
    <w:name w:val="Body Text Indent"/>
    <w:basedOn w:val="1"/>
    <w:qFormat/>
    <w:uiPriority w:val="0"/>
    <w:pPr>
      <w:widowControl/>
      <w:ind w:firstLine="652" w:firstLineChars="233"/>
    </w:pPr>
    <w:rPr>
      <w:kern w:val="0"/>
      <w:sz w:val="28"/>
    </w:rPr>
  </w:style>
  <w:style w:type="paragraph" w:styleId="13">
    <w:name w:val="toc 3"/>
    <w:basedOn w:val="1"/>
    <w:next w:val="1"/>
    <w:qFormat/>
    <w:uiPriority w:val="0"/>
    <w:pPr>
      <w:ind w:left="840" w:leftChars="400"/>
    </w:pPr>
  </w:style>
  <w:style w:type="paragraph" w:styleId="14">
    <w:name w:val="Plain Text"/>
    <w:basedOn w:val="1"/>
    <w:qFormat/>
    <w:uiPriority w:val="99"/>
    <w:rPr>
      <w:rFonts w:ascii="宋体" w:hAnsi="Courier New" w:cs="宋体"/>
    </w:rPr>
  </w:style>
  <w:style w:type="paragraph" w:styleId="15">
    <w:name w:val="Date"/>
    <w:basedOn w:val="1"/>
    <w:next w:val="1"/>
    <w:qFormat/>
    <w:uiPriority w:val="0"/>
    <w:rPr>
      <w:sz w:val="28"/>
    </w:rPr>
  </w:style>
  <w:style w:type="paragraph" w:styleId="16">
    <w:name w:val="Balloon Text"/>
    <w:basedOn w:val="1"/>
    <w:link w:val="55"/>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next w:val="1"/>
    <w:qFormat/>
    <w:uiPriority w:val="0"/>
    <w:pPr>
      <w:ind w:left="1260" w:leftChars="600"/>
    </w:pPr>
  </w:style>
  <w:style w:type="paragraph" w:styleId="21">
    <w:name w:val="Body Text Indent 3"/>
    <w:basedOn w:val="1"/>
    <w:qFormat/>
    <w:uiPriority w:val="99"/>
    <w:pPr>
      <w:spacing w:line="360" w:lineRule="auto"/>
      <w:ind w:left="420" w:firstLine="480"/>
    </w:pPr>
    <w:rPr>
      <w:rFonts w:ascii="宋体" w:hAnsi="宋体" w:cs="宋体"/>
      <w:sz w:val="24"/>
      <w:szCs w:val="24"/>
    </w:rPr>
  </w:style>
  <w:style w:type="paragraph" w:styleId="22">
    <w:name w:val="toc 2"/>
    <w:basedOn w:val="1"/>
    <w:next w:val="1"/>
    <w:unhideWhenUsed/>
    <w:qFormat/>
    <w:uiPriority w:val="39"/>
    <w:pPr>
      <w:ind w:left="420" w:leftChars="200"/>
    </w:pPr>
  </w:style>
  <w:style w:type="paragraph" w:styleId="23">
    <w:name w:val="Body Text 2"/>
    <w:basedOn w:val="1"/>
    <w:qFormat/>
    <w:uiPriority w:val="0"/>
    <w:pPr>
      <w:adjustRightInd w:val="0"/>
      <w:snapToGrid w:val="0"/>
      <w:spacing w:line="480" w:lineRule="atLeast"/>
    </w:pPr>
    <w:rPr>
      <w:rFonts w:ascii="宋体" w:hAnsi="宋体"/>
      <w:sz w:val="28"/>
    </w:rPr>
  </w:style>
  <w:style w:type="paragraph" w:styleId="24">
    <w:name w:val="Normal (Web)"/>
    <w:basedOn w:val="1"/>
    <w:qFormat/>
    <w:uiPriority w:val="0"/>
    <w:pPr>
      <w:jc w:val="left"/>
    </w:pPr>
    <w:rPr>
      <w:color w:val="3D3D3D"/>
      <w:kern w:val="0"/>
      <w:sz w:val="24"/>
    </w:rPr>
  </w:style>
  <w:style w:type="paragraph" w:styleId="25">
    <w:name w:val="Body Text First Indent"/>
    <w:basedOn w:val="1"/>
    <w:next w:val="1"/>
    <w:qFormat/>
    <w:uiPriority w:val="0"/>
    <w:pPr>
      <w:ind w:firstLine="420" w:firstLineChars="100"/>
    </w:pPr>
    <w:rPr>
      <w:rFonts w:ascii="Times New Roman" w:eastAsia="宋体"/>
    </w:rPr>
  </w:style>
  <w:style w:type="paragraph" w:styleId="26">
    <w:name w:val="Body Text First Indent 2"/>
    <w:basedOn w:val="12"/>
    <w:next w:val="25"/>
    <w:qFormat/>
    <w:uiPriority w:val="99"/>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Cs/>
    </w:rPr>
  </w:style>
  <w:style w:type="character" w:styleId="31">
    <w:name w:val="FollowedHyperlink"/>
    <w:basedOn w:val="29"/>
    <w:qFormat/>
    <w:uiPriority w:val="0"/>
    <w:rPr>
      <w:color w:val="800080"/>
      <w:u w:val="none"/>
    </w:rPr>
  </w:style>
  <w:style w:type="character" w:styleId="32">
    <w:name w:val="Emphasis"/>
    <w:basedOn w:val="29"/>
    <w:qFormat/>
    <w:uiPriority w:val="0"/>
  </w:style>
  <w:style w:type="character" w:styleId="33">
    <w:name w:val="Hyperlink"/>
    <w:basedOn w:val="29"/>
    <w:qFormat/>
    <w:uiPriority w:val="0"/>
    <w:rPr>
      <w:color w:val="0000FF"/>
      <w:u w:val="none"/>
    </w:rPr>
  </w:style>
  <w:style w:type="paragraph" w:customStyle="1" w:styleId="34">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35">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列出段落1"/>
    <w:basedOn w:val="1"/>
    <w:qFormat/>
    <w:uiPriority w:val="34"/>
    <w:pPr>
      <w:ind w:firstLine="420" w:firstLineChars="200"/>
    </w:pPr>
  </w:style>
  <w:style w:type="paragraph" w:customStyle="1" w:styleId="37">
    <w:name w:val="List Paragraph1"/>
    <w:qFormat/>
    <w:uiPriority w:val="0"/>
    <w:pPr>
      <w:ind w:firstLine="420" w:firstLineChars="200"/>
    </w:pPr>
    <w:rPr>
      <w:rFonts w:ascii="Calibri" w:hAnsi="Calibri" w:eastAsia="宋体" w:cs="Times New Roman"/>
      <w:sz w:val="21"/>
      <w:szCs w:val="22"/>
      <w:lang w:val="en-US" w:eastAsia="zh-CN" w:bidi="ar-SA"/>
    </w:rPr>
  </w:style>
  <w:style w:type="paragraph" w:customStyle="1" w:styleId="38">
    <w:name w:val="样式 标题 2 Char + (西文) 黑体 段前: 6 磅 段后: 0.5 行 行距: 1.5 倍行距"/>
    <w:basedOn w:val="4"/>
    <w:qFormat/>
    <w:uiPriority w:val="0"/>
    <w:pPr>
      <w:spacing w:before="120" w:line="360" w:lineRule="auto"/>
    </w:pPr>
    <w:rPr>
      <w:rFonts w:ascii="黑体" w:hAnsi="黑体" w:cs="宋体"/>
      <w:sz w:val="28"/>
      <w:szCs w:val="20"/>
    </w:rPr>
  </w:style>
  <w:style w:type="paragraph" w:customStyle="1" w:styleId="39">
    <w:name w:val="样式1"/>
    <w:qFormat/>
    <w:uiPriority w:val="0"/>
    <w:pPr>
      <w:widowControl w:val="0"/>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40">
    <w:name w:val="p0"/>
    <w:basedOn w:val="1"/>
    <w:qFormat/>
    <w:uiPriority w:val="0"/>
    <w:pPr>
      <w:widowControl/>
    </w:pPr>
    <w:rPr>
      <w:kern w:val="0"/>
      <w:sz w:val="32"/>
      <w:szCs w:val="21"/>
    </w:rPr>
  </w:style>
  <w:style w:type="paragraph" w:customStyle="1" w:styleId="41">
    <w:name w:val="List Paragraph_2b5ace25-7929-4310-8a1a-2bf2c1be16a7"/>
    <w:basedOn w:val="1"/>
    <w:qFormat/>
    <w:uiPriority w:val="34"/>
    <w:pPr>
      <w:ind w:firstLine="420" w:firstLineChars="200"/>
    </w:pPr>
  </w:style>
  <w:style w:type="paragraph" w:customStyle="1" w:styleId="42">
    <w:name w:val="Char1"/>
    <w:basedOn w:val="1"/>
    <w:qFormat/>
    <w:uiPriority w:val="0"/>
    <w:pPr>
      <w:tabs>
        <w:tab w:val="left" w:pos="360"/>
      </w:tabs>
      <w:ind w:left="360" w:hanging="360" w:hangingChars="200"/>
    </w:pPr>
    <w:rPr>
      <w:szCs w:val="24"/>
    </w:rPr>
  </w:style>
  <w:style w:type="character" w:customStyle="1" w:styleId="43">
    <w:name w:val="font01"/>
    <w:basedOn w:val="29"/>
    <w:qFormat/>
    <w:uiPriority w:val="0"/>
    <w:rPr>
      <w:rFonts w:hint="eastAsia" w:ascii="宋体" w:hAnsi="宋体" w:eastAsia="宋体" w:cs="宋体"/>
      <w:color w:val="000000"/>
      <w:sz w:val="20"/>
      <w:szCs w:val="20"/>
      <w:u w:val="none"/>
    </w:rPr>
  </w:style>
  <w:style w:type="character" w:customStyle="1" w:styleId="44">
    <w:name w:val="proollist"/>
    <w:basedOn w:val="29"/>
    <w:qFormat/>
    <w:uiPriority w:val="0"/>
  </w:style>
  <w:style w:type="character" w:customStyle="1" w:styleId="45">
    <w:name w:val="beforeinfotext"/>
    <w:basedOn w:val="29"/>
    <w:qFormat/>
    <w:uiPriority w:val="0"/>
    <w:rPr>
      <w:color w:val="666666"/>
    </w:rPr>
  </w:style>
  <w:style w:type="character" w:customStyle="1" w:styleId="46">
    <w:name w:val="phone"/>
    <w:basedOn w:val="29"/>
    <w:qFormat/>
    <w:uiPriority w:val="0"/>
    <w:rPr>
      <w:color w:val="FF8833"/>
      <w:sz w:val="18"/>
      <w:szCs w:val="18"/>
    </w:rPr>
  </w:style>
  <w:style w:type="character" w:customStyle="1" w:styleId="47">
    <w:name w:val="number"/>
    <w:basedOn w:val="29"/>
    <w:qFormat/>
    <w:uiPriority w:val="0"/>
    <w:rPr>
      <w:color w:val="FF8833"/>
      <w:sz w:val="18"/>
      <w:szCs w:val="18"/>
    </w:rPr>
  </w:style>
  <w:style w:type="paragraph" w:customStyle="1" w:styleId="48">
    <w:name w:val="title11"/>
    <w:basedOn w:val="1"/>
    <w:qFormat/>
    <w:uiPriority w:val="0"/>
    <w:pPr>
      <w:spacing w:before="150"/>
      <w:jc w:val="left"/>
    </w:pPr>
    <w:rPr>
      <w:b/>
      <w:kern w:val="0"/>
      <w:sz w:val="22"/>
    </w:rPr>
  </w:style>
  <w:style w:type="paragraph" w:customStyle="1" w:styleId="49">
    <w:name w:val="title13"/>
    <w:basedOn w:val="1"/>
    <w:qFormat/>
    <w:uiPriority w:val="0"/>
    <w:pPr>
      <w:spacing w:before="150"/>
      <w:jc w:val="left"/>
    </w:pPr>
    <w:rPr>
      <w:b/>
      <w:kern w:val="0"/>
      <w:sz w:val="22"/>
    </w:rPr>
  </w:style>
  <w:style w:type="character" w:customStyle="1" w:styleId="50">
    <w:name w:val="stclosebtn"/>
    <w:basedOn w:val="29"/>
    <w:qFormat/>
    <w:uiPriority w:val="0"/>
  </w:style>
  <w:style w:type="paragraph" w:customStyle="1" w:styleId="51">
    <w:name w:val="样式 样式 样式 (中文) 仿宋_GB2312 四号 黑色 行距: 固定值 28.5 磅 首行缩进:  1.92 字符 + 首行..."/>
    <w:basedOn w:val="1"/>
    <w:qFormat/>
    <w:uiPriority w:val="0"/>
    <w:pPr>
      <w:widowControl/>
      <w:ind w:firstLine="200" w:firstLineChars="200"/>
      <w:jc w:val="left"/>
    </w:pPr>
    <w:rPr>
      <w:rFonts w:eastAsia="仿宋_GB2312" w:cs="宋体"/>
      <w:color w:val="000000"/>
      <w:kern w:val="0"/>
      <w:sz w:val="28"/>
      <w:szCs w:val="20"/>
    </w:rPr>
  </w:style>
  <w:style w:type="paragraph" w:customStyle="1" w:styleId="52">
    <w:name w:val="列出段落11"/>
    <w:basedOn w:val="1"/>
    <w:qFormat/>
    <w:uiPriority w:val="34"/>
    <w:pPr>
      <w:ind w:firstLine="420" w:firstLineChars="200"/>
    </w:pPr>
    <w:rPr>
      <w:rFonts w:ascii="Calibri" w:hAnsi="Calibri"/>
    </w:rPr>
  </w:style>
  <w:style w:type="paragraph" w:customStyle="1" w:styleId="53">
    <w:name w:val="Body text|1"/>
    <w:basedOn w:val="1"/>
    <w:qFormat/>
    <w:uiPriority w:val="0"/>
    <w:pPr>
      <w:spacing w:line="454" w:lineRule="auto"/>
      <w:ind w:firstLine="400"/>
    </w:pPr>
    <w:rPr>
      <w:rFonts w:ascii="宋体" w:hAnsi="宋体" w:cs="宋体"/>
      <w:sz w:val="26"/>
      <w:szCs w:val="26"/>
      <w:lang w:val="zh-TW" w:eastAsia="zh-TW" w:bidi="zh-TW"/>
    </w:rPr>
  </w:style>
  <w:style w:type="paragraph" w:customStyle="1" w:styleId="54">
    <w:name w:val="标题 21"/>
    <w:basedOn w:val="35"/>
    <w:next w:val="35"/>
    <w:qFormat/>
    <w:uiPriority w:val="0"/>
    <w:pPr>
      <w:ind w:left="270" w:hanging="270"/>
      <w:jc w:val="left"/>
      <w:outlineLvl w:val="1"/>
    </w:pPr>
    <w:rPr>
      <w:rFonts w:ascii="Arial" w:hAnsi="Arial" w:cs="宋体"/>
      <w:kern w:val="0"/>
      <w:sz w:val="32"/>
      <w:szCs w:val="32"/>
      <w:lang w:val="zh-CN"/>
    </w:rPr>
  </w:style>
  <w:style w:type="character" w:customStyle="1" w:styleId="55">
    <w:name w:val="批注框文本 Char"/>
    <w:basedOn w:val="29"/>
    <w:link w:val="16"/>
    <w:qFormat/>
    <w:uiPriority w:val="0"/>
    <w:rPr>
      <w:kern w:val="2"/>
      <w:sz w:val="18"/>
      <w:szCs w:val="18"/>
    </w:rPr>
  </w:style>
  <w:style w:type="paragraph" w:customStyle="1" w:styleId="56">
    <w:name w:val="Table Text"/>
    <w:basedOn w:val="1"/>
    <w:semiHidden/>
    <w:qFormat/>
    <w:uiPriority w:val="0"/>
    <w:rPr>
      <w:rFonts w:ascii="仿宋" w:hAnsi="仿宋" w:eastAsia="仿宋" w:cs="仿宋"/>
      <w:sz w:val="24"/>
      <w:szCs w:val="24"/>
      <w:lang w:val="en-US" w:eastAsia="en-US" w:bidi="ar-SA"/>
    </w:rPr>
  </w:style>
  <w:style w:type="table" w:customStyle="1" w:styleId="57">
    <w:name w:val="Table Normal"/>
    <w:semiHidden/>
    <w:unhideWhenUsed/>
    <w:qFormat/>
    <w:uiPriority w:val="0"/>
    <w:tblPr>
      <w:tblCellMar>
        <w:top w:w="0" w:type="dxa"/>
        <w:left w:w="0" w:type="dxa"/>
        <w:bottom w:w="0" w:type="dxa"/>
        <w:right w:w="0" w:type="dxa"/>
      </w:tblCellMar>
    </w:tblPr>
  </w:style>
  <w:style w:type="character" w:customStyle="1" w:styleId="58">
    <w:name w:val="font11"/>
    <w:basedOn w:val="29"/>
    <w:qFormat/>
    <w:uiPriority w:val="0"/>
    <w:rPr>
      <w:rFonts w:ascii="宋体" w:hAnsi="宋体" w:eastAsia="宋体" w:cs="宋体"/>
      <w:b/>
      <w:bCs/>
      <w:color w:val="000000"/>
      <w:sz w:val="24"/>
      <w:szCs w:val="24"/>
      <w:u w:val="none"/>
    </w:rPr>
  </w:style>
  <w:style w:type="character" w:customStyle="1" w:styleId="59">
    <w:name w:val="font81"/>
    <w:basedOn w:val="29"/>
    <w:qFormat/>
    <w:uiPriority w:val="0"/>
    <w:rPr>
      <w:rFonts w:ascii="宋体" w:hAnsi="宋体" w:eastAsia="宋体" w:cs="宋体"/>
      <w:b/>
      <w:bCs/>
      <w:color w:val="000000"/>
      <w:sz w:val="24"/>
      <w:szCs w:val="24"/>
      <w:u w:val="single"/>
    </w:rPr>
  </w:style>
  <w:style w:type="character" w:customStyle="1" w:styleId="60">
    <w:name w:val="font31"/>
    <w:basedOn w:val="29"/>
    <w:qFormat/>
    <w:uiPriority w:val="0"/>
    <w:rPr>
      <w:rFonts w:ascii="宋体" w:hAnsi="宋体" w:eastAsia="宋体" w:cs="宋体"/>
      <w:color w:val="000000"/>
      <w:sz w:val="16"/>
      <w:szCs w:val="16"/>
      <w:u w:val="none"/>
    </w:rPr>
  </w:style>
  <w:style w:type="character" w:customStyle="1" w:styleId="61">
    <w:name w:val="font41"/>
    <w:basedOn w:val="29"/>
    <w:qFormat/>
    <w:uiPriority w:val="0"/>
    <w:rPr>
      <w:rFonts w:hint="eastAsia" w:ascii="宋体" w:hAnsi="宋体" w:eastAsia="宋体" w:cs="宋体"/>
      <w:color w:val="000000"/>
      <w:sz w:val="22"/>
      <w:szCs w:val="22"/>
      <w:u w:val="none"/>
    </w:rPr>
  </w:style>
  <w:style w:type="character" w:customStyle="1" w:styleId="62">
    <w:name w:val="font91"/>
    <w:basedOn w:val="29"/>
    <w:qFormat/>
    <w:uiPriority w:val="0"/>
    <w:rPr>
      <w:rFonts w:hint="default" w:ascii="Arial" w:hAnsi="Arial" w:cs="Arial"/>
      <w:color w:val="000000"/>
      <w:sz w:val="22"/>
      <w:szCs w:val="22"/>
      <w:u w:val="single"/>
    </w:rPr>
  </w:style>
  <w:style w:type="paragraph" w:customStyle="1" w:styleId="63">
    <w:name w:val="样式 标题 3 + 小三"/>
    <w:basedOn w:val="5"/>
    <w:qFormat/>
    <w:uiPriority w:val="0"/>
    <w:rPr>
      <w:b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74</Pages>
  <Words>3571</Words>
  <Characters>4289</Characters>
  <Lines>411</Lines>
  <Paragraphs>115</Paragraphs>
  <TotalTime>2</TotalTime>
  <ScaleCrop>false</ScaleCrop>
  <LinksUpToDate>false</LinksUpToDate>
  <CharactersWithSpaces>4324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2023-11-13T06:24:00Z</dcterms:created>
  <dc:creator>天海1415003450</dc:creator>
  <cp:lastModifiedBy>救赎</cp:lastModifiedBy>
  <cp:lastPrinted>2018-10-16T02:20:00Z</cp:lastPrinted>
  <dcterms:modified xsi:type="dcterms:W3CDTF">2025-11-13T07:58:25Z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411FDC2A352044BE9657658114C5D1A8_13</vt:lpwstr>
  </property>
  <property fmtid="{D5CDD505-2E9C-101B-9397-08002B2CF9AE}" pid="4" name="KSOTemplateDocerSaveRecord">
    <vt:lpwstr>eyJoZGlkIjoiOTMxMjYxMTc2YmNmM2ZiYzM3MzRiYzBiMTAxOWMxMDciLCJ1c2VySWQiOiIxNTU5MDg0MTUyIn0=</vt:lpwstr>
  </property>
</Properties>
</file>