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79E04">
      <w:pPr>
        <w:keepNext w:val="0"/>
        <w:keepLines w:val="0"/>
        <w:pageBreakBefore w:val="0"/>
        <w:kinsoku/>
        <w:wordWrap/>
        <w:overflowPunct/>
        <w:topLinePunct w:val="0"/>
        <w:autoSpaceDE/>
        <w:autoSpaceDN/>
        <w:bidi w:val="0"/>
        <w:adjustRightInd/>
        <w:snapToGrid/>
        <w:spacing w:line="360" w:lineRule="auto"/>
        <w:ind w:firstLine="480"/>
        <w:jc w:val="left"/>
        <w:outlineLvl w:val="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eastAsia="zh-CN"/>
        </w:rPr>
        <w:t>项目目标</w:t>
      </w:r>
    </w:p>
    <w:p w14:paraId="1FF8DAAF">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政务云服务质量分析服务</w:t>
      </w:r>
    </w:p>
    <w:p w14:paraId="0E229D95">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完善省级政务云管理体系，开展资源使用常态化监督评估，推动精细化管理与效能优化，持续提升政务云服务质量和运营经济效益。</w:t>
      </w:r>
    </w:p>
    <w:p w14:paraId="23B7C5BA">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.基础设施领域技术保障服务</w:t>
      </w:r>
    </w:p>
    <w:p w14:paraId="47A179A2">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完善省级政务基础设施资源审核与需求管理，强化复杂技术研究和规划支持，提供常态化管理及专项技术解决方案，通过全面培训与项目全过程管理，</w:t>
      </w:r>
      <w:r>
        <w:rPr>
          <w:rFonts w:hint="eastAsia" w:ascii="宋体" w:hAnsi="宋体" w:eastAsia="宋体" w:cs="宋体"/>
          <w:color w:val="auto"/>
          <w:kern w:val="0"/>
          <w:sz w:val="24"/>
          <w:szCs w:val="24"/>
          <w:highlight w:val="none"/>
          <w:lang w:val="en-US" w:eastAsia="zh-CN"/>
        </w:rPr>
        <w:t>为</w:t>
      </w:r>
      <w:r>
        <w:rPr>
          <w:rFonts w:hint="eastAsia" w:ascii="宋体" w:hAnsi="宋体" w:eastAsia="宋体" w:cs="宋体"/>
          <w:color w:val="auto"/>
          <w:kern w:val="0"/>
          <w:sz w:val="24"/>
          <w:szCs w:val="24"/>
          <w:highlight w:val="none"/>
          <w:lang w:eastAsia="zh-CN"/>
        </w:rPr>
        <w:t>基础设施</w:t>
      </w:r>
      <w:r>
        <w:rPr>
          <w:rFonts w:hint="eastAsia" w:ascii="宋体" w:hAnsi="宋体" w:eastAsia="宋体" w:cs="宋体"/>
          <w:color w:val="auto"/>
          <w:kern w:val="0"/>
          <w:sz w:val="24"/>
          <w:szCs w:val="24"/>
          <w:highlight w:val="none"/>
          <w:lang w:val="en-US" w:eastAsia="zh-CN"/>
        </w:rPr>
        <w:t>业务开展提供</w:t>
      </w:r>
      <w:r>
        <w:rPr>
          <w:rFonts w:hint="eastAsia" w:ascii="宋体" w:hAnsi="宋体" w:eastAsia="宋体" w:cs="宋体"/>
          <w:color w:val="auto"/>
          <w:kern w:val="0"/>
          <w:sz w:val="24"/>
          <w:szCs w:val="24"/>
          <w:highlight w:val="none"/>
          <w:lang w:eastAsia="zh-CN"/>
        </w:rPr>
        <w:t>技术支撑。</w:t>
      </w:r>
    </w:p>
    <w:p w14:paraId="4E641D94">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lang w:val="en-US" w:eastAsia="zh-CN"/>
        </w:rPr>
        <w:t>基础设施标准规范体系研究服务</w:t>
      </w:r>
    </w:p>
    <w:p w14:paraId="6DF16481">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构建全省一体化政务视频指挥调度体系，开展人工智能大模型等前沿技术研究与应用，制定并完善视频管理及相关基础设施标准规范，为</w:t>
      </w:r>
      <w:r>
        <w:rPr>
          <w:rFonts w:hint="eastAsia" w:ascii="宋体" w:hAnsi="宋体" w:eastAsia="宋体" w:cs="宋体"/>
          <w:color w:val="auto"/>
          <w:kern w:val="0"/>
          <w:sz w:val="24"/>
          <w:szCs w:val="24"/>
          <w:highlight w:val="none"/>
          <w:lang w:val="en-US" w:eastAsia="zh-CN"/>
        </w:rPr>
        <w:t>基础设施业务发展</w:t>
      </w:r>
      <w:r>
        <w:rPr>
          <w:rFonts w:hint="eastAsia" w:ascii="宋体" w:hAnsi="宋体" w:eastAsia="宋体" w:cs="宋体"/>
          <w:color w:val="auto"/>
          <w:kern w:val="0"/>
          <w:sz w:val="24"/>
          <w:szCs w:val="24"/>
          <w:highlight w:val="none"/>
          <w:lang w:eastAsia="zh-CN"/>
        </w:rPr>
        <w:t>提供制度保障与技术决策支撑。</w:t>
      </w:r>
    </w:p>
    <w:p w14:paraId="2CFC4191">
      <w:pPr>
        <w:keepNext w:val="0"/>
        <w:keepLines w:val="0"/>
        <w:pageBreakBefore w:val="0"/>
        <w:kinsoku/>
        <w:overflowPunct/>
        <w:autoSpaceDE/>
        <w:autoSpaceDN/>
        <w:bidi w:val="0"/>
        <w:adjustRightInd/>
        <w:snapToGrid/>
        <w:spacing w:after="0"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二、服务内容</w:t>
      </w:r>
    </w:p>
    <w:p w14:paraId="4BA15C18">
      <w:pPr>
        <w:keepNext w:val="0"/>
        <w:keepLines w:val="0"/>
        <w:pageBreakBefore w:val="0"/>
        <w:kinsoku/>
        <w:overflowPunct/>
        <w:autoSpaceDE/>
        <w:autoSpaceDN/>
        <w:bidi w:val="0"/>
        <w:adjustRightInd/>
        <w:snapToGrid/>
        <w:spacing w:after="0" w:line="360" w:lineRule="auto"/>
        <w:ind w:firstLine="482" w:firstLineChars="200"/>
        <w:outlineLvl w:val="1"/>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政务云</w:t>
      </w:r>
      <w:r>
        <w:rPr>
          <w:rFonts w:hint="eastAsia" w:ascii="宋体" w:hAnsi="宋体" w:eastAsia="宋体" w:cs="宋体"/>
          <w:b/>
          <w:bCs/>
          <w:sz w:val="24"/>
          <w:szCs w:val="24"/>
          <w:highlight w:val="none"/>
          <w:lang w:eastAsia="zh-CN"/>
        </w:rPr>
        <w:t>服务质量分析服务</w:t>
      </w:r>
    </w:p>
    <w:p w14:paraId="78A887F7">
      <w:pPr>
        <w:keepNext w:val="0"/>
        <w:keepLines w:val="0"/>
        <w:pageBreakBefore w:val="0"/>
        <w:kinsoku/>
        <w:overflowPunct/>
        <w:autoSpaceDE/>
        <w:autoSpaceDN/>
        <w:bidi w:val="0"/>
        <w:adjustRightInd/>
        <w:snapToGrid/>
        <w:spacing w:after="0"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服务内容</w:t>
      </w:r>
    </w:p>
    <w:p w14:paraId="35CC2A3D">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政务云</w:t>
      </w:r>
      <w:r>
        <w:rPr>
          <w:rFonts w:hint="eastAsia" w:ascii="宋体" w:hAnsi="宋体" w:eastAsia="宋体" w:cs="宋体"/>
          <w:sz w:val="24"/>
          <w:szCs w:val="24"/>
          <w:highlight w:val="none"/>
        </w:rPr>
        <w:t>摸底</w:t>
      </w:r>
      <w:r>
        <w:rPr>
          <w:rFonts w:hint="eastAsia" w:ascii="宋体" w:hAnsi="宋体" w:eastAsia="宋体" w:cs="宋体"/>
          <w:sz w:val="24"/>
          <w:szCs w:val="24"/>
          <w:highlight w:val="none"/>
          <w:lang w:val="en-US" w:eastAsia="zh-CN"/>
        </w:rPr>
        <w:t>调研</w:t>
      </w:r>
      <w:r>
        <w:rPr>
          <w:rFonts w:hint="eastAsia" w:ascii="宋体" w:hAnsi="宋体" w:eastAsia="宋体" w:cs="宋体"/>
          <w:sz w:val="24"/>
          <w:szCs w:val="24"/>
          <w:highlight w:val="none"/>
        </w:rPr>
        <w:t>服务</w:t>
      </w:r>
    </w:p>
    <w:p w14:paraId="6799728B">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一是对已印发的制度、项目方案、规范指南等文件进行全面梳理，明确</w:t>
      </w:r>
      <w:r>
        <w:rPr>
          <w:rFonts w:hint="eastAsia" w:ascii="宋体" w:hAnsi="宋体" w:eastAsia="宋体" w:cs="宋体"/>
          <w:b w:val="0"/>
          <w:bCs w:val="0"/>
          <w:sz w:val="24"/>
          <w:szCs w:val="24"/>
          <w:highlight w:val="none"/>
          <w:lang w:val="en-US" w:eastAsia="zh-CN"/>
        </w:rPr>
        <w:t>省级政务云</w:t>
      </w:r>
      <w:r>
        <w:rPr>
          <w:rFonts w:hint="eastAsia" w:ascii="宋体" w:hAnsi="宋体" w:eastAsia="宋体" w:cs="宋体"/>
          <w:b w:val="0"/>
          <w:bCs w:val="0"/>
          <w:sz w:val="24"/>
          <w:szCs w:val="24"/>
          <w:highlight w:val="none"/>
        </w:rPr>
        <w:t>各业务板块的完成情况，与先进省份进行对比，包括发展水平，明确制度、系统建设、规范指南、业务开展思路等内容对比，以指导</w:t>
      </w:r>
      <w:r>
        <w:rPr>
          <w:rFonts w:hint="eastAsia" w:ascii="宋体" w:hAnsi="宋体" w:eastAsia="宋体" w:cs="宋体"/>
          <w:b w:val="0"/>
          <w:bCs w:val="0"/>
          <w:sz w:val="24"/>
          <w:szCs w:val="24"/>
          <w:highlight w:val="none"/>
          <w:lang w:val="en-US" w:eastAsia="zh-CN"/>
        </w:rPr>
        <w:t>省级</w:t>
      </w:r>
      <w:r>
        <w:rPr>
          <w:rFonts w:hint="eastAsia" w:ascii="宋体" w:hAnsi="宋体" w:eastAsia="宋体" w:cs="宋体"/>
          <w:b w:val="0"/>
          <w:bCs w:val="0"/>
          <w:sz w:val="24"/>
          <w:szCs w:val="24"/>
          <w:highlight w:val="none"/>
        </w:rPr>
        <w:t>政务</w:t>
      </w:r>
      <w:r>
        <w:rPr>
          <w:rFonts w:hint="eastAsia" w:ascii="宋体" w:hAnsi="宋体" w:eastAsia="宋体" w:cs="宋体"/>
          <w:b w:val="0"/>
          <w:bCs w:val="0"/>
          <w:sz w:val="24"/>
          <w:szCs w:val="24"/>
          <w:highlight w:val="none"/>
          <w:lang w:val="en-US" w:eastAsia="zh-CN"/>
        </w:rPr>
        <w:t>云</w:t>
      </w:r>
      <w:r>
        <w:rPr>
          <w:rFonts w:hint="eastAsia" w:ascii="宋体" w:hAnsi="宋体" w:eastAsia="宋体" w:cs="宋体"/>
          <w:b w:val="0"/>
          <w:bCs w:val="0"/>
          <w:sz w:val="24"/>
          <w:szCs w:val="24"/>
          <w:highlight w:val="none"/>
        </w:rPr>
        <w:t>各板块补齐短板、完善制度，快速提升</w:t>
      </w:r>
      <w:r>
        <w:rPr>
          <w:rFonts w:hint="eastAsia" w:ascii="宋体" w:hAnsi="宋体" w:eastAsia="宋体" w:cs="宋体"/>
          <w:b w:val="0"/>
          <w:bCs w:val="0"/>
          <w:sz w:val="24"/>
          <w:szCs w:val="24"/>
          <w:highlight w:val="none"/>
          <w:lang w:val="en-US" w:eastAsia="zh-CN"/>
        </w:rPr>
        <w:t>政务云</w:t>
      </w:r>
      <w:r>
        <w:rPr>
          <w:rFonts w:hint="eastAsia" w:ascii="宋体" w:hAnsi="宋体" w:eastAsia="宋体" w:cs="宋体"/>
          <w:b w:val="0"/>
          <w:bCs w:val="0"/>
          <w:sz w:val="24"/>
          <w:szCs w:val="24"/>
          <w:highlight w:val="none"/>
        </w:rPr>
        <w:t>服务能力和质量</w:t>
      </w:r>
      <w:r>
        <w:rPr>
          <w:rFonts w:hint="eastAsia" w:ascii="宋体" w:hAnsi="宋体" w:eastAsia="宋体" w:cs="宋体"/>
          <w:b w:val="0"/>
          <w:bCs w:val="0"/>
          <w:sz w:val="24"/>
          <w:szCs w:val="24"/>
          <w:highlight w:val="none"/>
          <w:lang w:eastAsia="zh-CN"/>
        </w:rPr>
        <w:t>。</w:t>
      </w:r>
    </w:p>
    <w:p w14:paraId="1738C64F">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二是全面掌握地市的政务云建设现状，深入了解各地市应用成效和存在问题，听取基层政务</w:t>
      </w:r>
      <w:r>
        <w:rPr>
          <w:rFonts w:hint="eastAsia" w:ascii="宋体" w:hAnsi="宋体" w:eastAsia="宋体" w:cs="宋体"/>
          <w:sz w:val="24"/>
          <w:szCs w:val="24"/>
          <w:highlight w:val="none"/>
        </w:rPr>
        <w:t>信息化建设的意见建议，协助</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赴各地市开展专题调研，为陕西省数字政府</w:t>
      </w:r>
      <w:r>
        <w:rPr>
          <w:rFonts w:hint="eastAsia" w:ascii="宋体" w:hAnsi="宋体" w:eastAsia="宋体" w:cs="宋体"/>
          <w:sz w:val="24"/>
          <w:szCs w:val="24"/>
          <w:highlight w:val="none"/>
          <w:lang w:val="en-US" w:eastAsia="zh-CN"/>
        </w:rPr>
        <w:t>政务云</w:t>
      </w:r>
      <w:r>
        <w:rPr>
          <w:rFonts w:hint="eastAsia" w:ascii="宋体" w:hAnsi="宋体" w:eastAsia="宋体" w:cs="宋体"/>
          <w:sz w:val="24"/>
          <w:szCs w:val="24"/>
          <w:highlight w:val="none"/>
        </w:rPr>
        <w:t>体系制定、监督</w:t>
      </w:r>
      <w:r>
        <w:rPr>
          <w:rFonts w:hint="eastAsia" w:ascii="宋体" w:hAnsi="宋体" w:eastAsia="宋体" w:cs="宋体"/>
          <w:sz w:val="24"/>
          <w:szCs w:val="24"/>
          <w:highlight w:val="none"/>
          <w:lang w:val="en-US" w:eastAsia="zh-CN"/>
        </w:rPr>
        <w:t>评估、效益分析</w:t>
      </w:r>
      <w:r>
        <w:rPr>
          <w:rFonts w:hint="eastAsia" w:ascii="宋体" w:hAnsi="宋体" w:eastAsia="宋体" w:cs="宋体"/>
          <w:sz w:val="24"/>
          <w:szCs w:val="24"/>
          <w:highlight w:val="none"/>
        </w:rPr>
        <w:t>等工作提供素材和依据。</w:t>
      </w:r>
    </w:p>
    <w:p w14:paraId="4FE7372E">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（2）政务云监督指标体系制定服务</w:t>
      </w:r>
    </w:p>
    <w:p w14:paraId="0CCDBF66">
      <w:pPr>
        <w:keepNext w:val="0"/>
        <w:keepLines w:val="0"/>
        <w:pageBreakBefore w:val="0"/>
        <w:kinsoku/>
        <w:overflowPunct/>
        <w:autoSpaceDE/>
        <w:autoSpaceDN/>
        <w:bidi w:val="0"/>
        <w:adjustRightInd/>
        <w:snapToGrid/>
        <w:spacing w:after="0" w:line="360" w:lineRule="auto"/>
        <w:ind w:firstLine="480" w:firstLineChars="200"/>
        <w:outlineLvl w:val="4"/>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政务云服务目录</w:t>
      </w:r>
      <w:r>
        <w:rPr>
          <w:rFonts w:hint="eastAsia" w:ascii="宋体" w:hAnsi="宋体" w:eastAsia="宋体" w:cs="宋体"/>
          <w:b w:val="0"/>
          <w:bCs w:val="0"/>
          <w:sz w:val="24"/>
          <w:szCs w:val="24"/>
          <w:highlight w:val="none"/>
          <w:lang w:val="en-US" w:eastAsia="zh-CN"/>
        </w:rPr>
        <w:t>技术</w:t>
      </w:r>
      <w:r>
        <w:rPr>
          <w:rFonts w:hint="eastAsia" w:ascii="宋体" w:hAnsi="宋体" w:eastAsia="宋体" w:cs="宋体"/>
          <w:b w:val="0"/>
          <w:bCs w:val="0"/>
          <w:sz w:val="24"/>
          <w:szCs w:val="24"/>
          <w:highlight w:val="none"/>
          <w:lang w:eastAsia="zh-CN"/>
        </w:rPr>
        <w:t>服务</w:t>
      </w:r>
    </w:p>
    <w:p w14:paraId="27D8BCFF">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一是调研外省省级政务云管理经验。重点聚焦政务云服务目录制定与执行、信息化资金管理、政务云网服务考核管理等，为陕西省级政务云网资源精细化管理提供借鉴，以规范运营、提升效能。</w:t>
      </w:r>
    </w:p>
    <w:p w14:paraId="298034E2">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b w:val="0"/>
          <w:bCs w:val="0"/>
          <w:sz w:val="24"/>
          <w:szCs w:val="24"/>
          <w:highlight w:val="none"/>
          <w:lang w:val="en-US" w:eastAsia="zh-CN"/>
        </w:rPr>
        <w:t>是编制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陕西省省级政务云统一服务目录及预算标准</w:t>
      </w:r>
      <w:r>
        <w:rPr>
          <w:rFonts w:hint="eastAsia" w:ascii="宋体" w:hAnsi="宋体" w:eastAsia="宋体" w:cs="宋体"/>
          <w:sz w:val="24"/>
          <w:szCs w:val="24"/>
          <w:highlight w:val="none"/>
        </w:rPr>
        <w:t>（建议稿）》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包含政务云的</w:t>
      </w:r>
      <w:r>
        <w:rPr>
          <w:rFonts w:hint="eastAsia" w:ascii="宋体" w:hAnsi="宋体" w:eastAsia="宋体" w:cs="宋体"/>
          <w:sz w:val="24"/>
          <w:szCs w:val="24"/>
          <w:highlight w:val="none"/>
        </w:rPr>
        <w:t>服务分类、服务配置、服务规模、计价逻辑</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为IaaS、PaaS、SaaS、备份、软件等</w:t>
      </w:r>
      <w:r>
        <w:rPr>
          <w:rFonts w:hint="eastAsia" w:ascii="宋体" w:hAnsi="宋体" w:eastAsia="宋体" w:cs="宋体"/>
          <w:sz w:val="24"/>
          <w:szCs w:val="24"/>
          <w:highlight w:val="none"/>
          <w:lang w:val="en-US" w:eastAsia="zh-CN"/>
        </w:rPr>
        <w:t>各项</w:t>
      </w:r>
      <w:r>
        <w:rPr>
          <w:rFonts w:hint="eastAsia" w:ascii="宋体" w:hAnsi="宋体" w:eastAsia="宋体" w:cs="宋体"/>
          <w:sz w:val="24"/>
          <w:szCs w:val="24"/>
          <w:highlight w:val="none"/>
        </w:rPr>
        <w:t>政务云服务明确统一服务内容及预算标准</w:t>
      </w:r>
      <w:r>
        <w:rPr>
          <w:rFonts w:hint="eastAsia" w:ascii="宋体" w:hAnsi="宋体" w:eastAsia="宋体" w:cs="宋体"/>
          <w:sz w:val="24"/>
          <w:szCs w:val="24"/>
          <w:highlight w:val="none"/>
          <w:lang w:eastAsia="zh-CN"/>
        </w:rPr>
        <w:t>，</w:t>
      </w:r>
      <w:r>
        <w:rPr>
          <w:rFonts w:hint="eastAsia" w:ascii="宋体" w:hAnsi="宋体" w:eastAsia="宋体" w:cs="宋体"/>
          <w:bCs w:val="0"/>
          <w:sz w:val="24"/>
          <w:szCs w:val="24"/>
          <w:highlight w:val="none"/>
        </w:rPr>
        <w:t>邀请政务云</w:t>
      </w:r>
      <w:r>
        <w:rPr>
          <w:rFonts w:hint="eastAsia" w:ascii="宋体" w:hAnsi="宋体" w:eastAsia="宋体" w:cs="宋体"/>
          <w:bCs w:val="0"/>
          <w:sz w:val="24"/>
          <w:szCs w:val="24"/>
          <w:highlight w:val="none"/>
          <w:lang w:val="en-US" w:eastAsia="zh-CN"/>
        </w:rPr>
        <w:t>各</w:t>
      </w:r>
      <w:r>
        <w:rPr>
          <w:rFonts w:hint="eastAsia" w:ascii="宋体" w:hAnsi="宋体" w:eastAsia="宋体" w:cs="宋体"/>
          <w:bCs w:val="0"/>
          <w:sz w:val="24"/>
          <w:szCs w:val="24"/>
          <w:highlight w:val="none"/>
        </w:rPr>
        <w:t>领域专家进行论证，</w:t>
      </w:r>
      <w:r>
        <w:rPr>
          <w:rFonts w:hint="eastAsia" w:ascii="宋体" w:hAnsi="宋体" w:eastAsia="宋体" w:cs="宋体"/>
          <w:bCs w:val="0"/>
          <w:sz w:val="24"/>
          <w:szCs w:val="24"/>
          <w:highlight w:val="none"/>
          <w:lang w:val="en-US" w:eastAsia="zh-CN"/>
        </w:rPr>
        <w:t>并广泛征求</w:t>
      </w:r>
      <w:r>
        <w:rPr>
          <w:rFonts w:hint="eastAsia" w:ascii="宋体" w:hAnsi="宋体" w:eastAsia="宋体" w:cs="宋体"/>
          <w:bCs w:val="0"/>
          <w:sz w:val="24"/>
          <w:szCs w:val="24"/>
          <w:highlight w:val="none"/>
        </w:rPr>
        <w:t>意见修改完善</w:t>
      </w:r>
      <w:r>
        <w:rPr>
          <w:rFonts w:hint="eastAsia" w:ascii="宋体" w:hAnsi="宋体" w:eastAsia="宋体" w:cs="宋体"/>
          <w:bCs w:val="0"/>
          <w:sz w:val="24"/>
          <w:szCs w:val="24"/>
          <w:highlight w:val="none"/>
          <w:lang w:val="en-US" w:eastAsia="zh-CN"/>
        </w:rPr>
        <w:t>。</w:t>
      </w:r>
    </w:p>
    <w:p w14:paraId="76F2EA8D">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三是定期更新政务云服务目录。跟踪全国各地市政务云服务能力和价格变动情况，及时提出云服务目录优化建议，发挥集约化采购的规模效益，降低政务云服务价格单价，持续丰富基础设施服务内容。</w:t>
      </w:r>
    </w:p>
    <w:p w14:paraId="12018AD7">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四是常态化开展政务云服务目录技术支撑和省级部门关于云服务目录答疑工作。</w:t>
      </w:r>
    </w:p>
    <w:p w14:paraId="34A5B351">
      <w:pPr>
        <w:keepNext w:val="0"/>
        <w:keepLines w:val="0"/>
        <w:pageBreakBefore w:val="0"/>
        <w:kinsoku/>
        <w:overflowPunct/>
        <w:autoSpaceDE/>
        <w:autoSpaceDN/>
        <w:bidi w:val="0"/>
        <w:adjustRightInd/>
        <w:snapToGrid/>
        <w:spacing w:after="0" w:line="360" w:lineRule="auto"/>
        <w:ind w:firstLine="480" w:firstLineChars="200"/>
        <w:outlineLvl w:val="4"/>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制定政务云服务用量考核结算</w:t>
      </w:r>
      <w:r>
        <w:rPr>
          <w:rFonts w:hint="eastAsia" w:ascii="宋体" w:hAnsi="宋体" w:eastAsia="宋体" w:cs="宋体"/>
          <w:b w:val="0"/>
          <w:bCs w:val="0"/>
          <w:sz w:val="24"/>
          <w:szCs w:val="24"/>
          <w:highlight w:val="none"/>
          <w:lang w:val="en-US" w:eastAsia="zh-CN"/>
        </w:rPr>
        <w:t>标准</w:t>
      </w:r>
    </w:p>
    <w:p w14:paraId="1F391F77">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编制</w:t>
      </w:r>
      <w:r>
        <w:rPr>
          <w:rFonts w:hint="eastAsia" w:ascii="宋体" w:hAnsi="宋体" w:eastAsia="宋体" w:cs="宋体"/>
          <w:sz w:val="24"/>
          <w:szCs w:val="24"/>
          <w:highlight w:val="none"/>
        </w:rPr>
        <w:t>《陕西省省级政务云结算考核办法（建议稿）》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系统构建涵盖职责分工明晰化、用量计量标准化、结算程序规范化的结算</w:t>
      </w:r>
      <w:r>
        <w:rPr>
          <w:rFonts w:hint="eastAsia" w:ascii="宋体" w:hAnsi="宋体" w:eastAsia="宋体" w:cs="宋体"/>
          <w:sz w:val="24"/>
          <w:szCs w:val="24"/>
          <w:highlight w:val="none"/>
          <w:lang w:val="en-US" w:eastAsia="zh-CN"/>
        </w:rPr>
        <w:t>考核</w:t>
      </w:r>
      <w:r>
        <w:rPr>
          <w:rFonts w:hint="eastAsia" w:ascii="宋体" w:hAnsi="宋体" w:eastAsia="宋体" w:cs="宋体"/>
          <w:sz w:val="24"/>
          <w:szCs w:val="24"/>
          <w:highlight w:val="none"/>
        </w:rPr>
        <w:t>管理机制，为政务云资源的精细化管理、服务效能持续提升及财政资金高效使用提供坚实的制度支撑。</w:t>
      </w:r>
    </w:p>
    <w:p w14:paraId="69DEF431">
      <w:pPr>
        <w:keepNext w:val="0"/>
        <w:keepLines w:val="0"/>
        <w:pageBreakBefore w:val="0"/>
        <w:kinsoku/>
        <w:overflowPunct/>
        <w:autoSpaceDE/>
        <w:autoSpaceDN/>
        <w:bidi w:val="0"/>
        <w:adjustRightInd/>
        <w:snapToGrid/>
        <w:spacing w:after="0" w:line="360" w:lineRule="auto"/>
        <w:ind w:firstLine="480" w:firstLineChars="200"/>
        <w:outlineLvl w:val="4"/>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制定政务云使用效率评估标准</w:t>
      </w:r>
    </w:p>
    <w:p w14:paraId="4EE9DA27">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编制《省级政务云资源使用效率评估标准（建议稿）》，明确CPU、内存、存储等核心资源的使用率阈值及弹性调整规则，为省数据和政务服务局提供科学的评估依据，指导省级各部门实现云资源精细化监测与动态管理，提升资源利用效率，促进集约节约和效能优化。</w:t>
      </w:r>
    </w:p>
    <w:p w14:paraId="09E8B0C8">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政务云全</w:t>
      </w:r>
      <w:r>
        <w:rPr>
          <w:rFonts w:hint="eastAsia" w:ascii="宋体" w:hAnsi="宋体" w:eastAsia="宋体" w:cs="宋体"/>
          <w:sz w:val="24"/>
          <w:szCs w:val="24"/>
          <w:highlight w:val="none"/>
          <w:lang w:val="en-US" w:eastAsia="zh-CN"/>
        </w:rPr>
        <w:t>过</w:t>
      </w:r>
      <w:r>
        <w:rPr>
          <w:rFonts w:hint="eastAsia" w:ascii="宋体" w:hAnsi="宋体" w:eastAsia="宋体" w:cs="宋体"/>
          <w:sz w:val="24"/>
          <w:szCs w:val="24"/>
          <w:highlight w:val="none"/>
          <w:lang w:eastAsia="zh-CN"/>
        </w:rPr>
        <w:t>程监督评估服务</w:t>
      </w:r>
    </w:p>
    <w:p w14:paraId="03CF93BA">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一是</w:t>
      </w:r>
      <w:r>
        <w:rPr>
          <w:rFonts w:hint="eastAsia" w:ascii="宋体" w:hAnsi="宋体" w:eastAsia="宋体" w:cs="宋体"/>
          <w:b w:val="0"/>
          <w:bCs w:val="0"/>
          <w:sz w:val="24"/>
          <w:szCs w:val="24"/>
          <w:highlight w:val="none"/>
        </w:rPr>
        <w:t>围绕政务云现有管理制度及规范标准，识别制度体系中的疑难点，提出具体修订、增补或废止建议，</w:t>
      </w:r>
      <w:r>
        <w:rPr>
          <w:rFonts w:hint="eastAsia" w:ascii="宋体" w:hAnsi="宋体" w:eastAsia="宋体" w:cs="宋体"/>
          <w:b w:val="0"/>
          <w:bCs w:val="0"/>
          <w:sz w:val="24"/>
          <w:szCs w:val="24"/>
          <w:highlight w:val="none"/>
          <w:lang w:val="en-US" w:eastAsia="zh-CN"/>
        </w:rPr>
        <w:t>以及</w:t>
      </w:r>
      <w:r>
        <w:rPr>
          <w:rFonts w:hint="eastAsia" w:ascii="宋体" w:hAnsi="宋体" w:eastAsia="宋体" w:cs="宋体"/>
          <w:b w:val="0"/>
          <w:bCs w:val="0"/>
          <w:sz w:val="24"/>
          <w:szCs w:val="24"/>
          <w:highlight w:val="none"/>
        </w:rPr>
        <w:t>评估政务云相关方是否存在制度未落实、政令不统一等情况</w:t>
      </w:r>
      <w:r>
        <w:rPr>
          <w:rFonts w:hint="eastAsia" w:ascii="宋体" w:hAnsi="宋体" w:eastAsia="宋体" w:cs="宋体"/>
          <w:b w:val="0"/>
          <w:bCs w:val="0"/>
          <w:sz w:val="24"/>
          <w:szCs w:val="24"/>
          <w:highlight w:val="none"/>
          <w:lang w:eastAsia="zh-CN"/>
        </w:rPr>
        <w:t>。</w:t>
      </w:r>
    </w:p>
    <w:p w14:paraId="749892D6">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二是针对政务云运行保障部门，</w:t>
      </w:r>
      <w:r>
        <w:rPr>
          <w:rFonts w:hint="eastAsia" w:ascii="宋体" w:hAnsi="宋体" w:eastAsia="宋体" w:cs="宋体"/>
          <w:b w:val="0"/>
          <w:bCs w:val="0"/>
          <w:sz w:val="24"/>
          <w:szCs w:val="24"/>
          <w:highlight w:val="none"/>
        </w:rPr>
        <w:t>对政务云服务资源的建设情况、分配情况和使用情况进行统计分析</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根据分析</w:t>
      </w:r>
      <w:r>
        <w:rPr>
          <w:rFonts w:hint="eastAsia" w:ascii="宋体" w:hAnsi="宋体" w:eastAsia="宋体" w:cs="宋体"/>
          <w:b w:val="0"/>
          <w:bCs w:val="0"/>
          <w:sz w:val="24"/>
          <w:szCs w:val="24"/>
          <w:highlight w:val="none"/>
        </w:rPr>
        <w:t>结果和实际情况，提出合理的建议</w:t>
      </w:r>
      <w:r>
        <w:rPr>
          <w:rFonts w:hint="eastAsia" w:ascii="宋体" w:hAnsi="宋体" w:eastAsia="宋体" w:cs="宋体"/>
          <w:b w:val="0"/>
          <w:bCs w:val="0"/>
          <w:sz w:val="24"/>
          <w:szCs w:val="24"/>
          <w:highlight w:val="none"/>
          <w:lang w:val="en-US" w:eastAsia="zh-CN"/>
        </w:rPr>
        <w:t>或意见</w:t>
      </w:r>
      <w:r>
        <w:rPr>
          <w:rFonts w:hint="eastAsia" w:ascii="宋体" w:hAnsi="宋体" w:eastAsia="宋体" w:cs="宋体"/>
          <w:b w:val="0"/>
          <w:bCs w:val="0"/>
          <w:sz w:val="24"/>
          <w:szCs w:val="24"/>
          <w:highlight w:val="none"/>
        </w:rPr>
        <w:t>，为提升政务云服务质量，规范云服务的建设、分配和使用提供参考</w:t>
      </w:r>
      <w:r>
        <w:rPr>
          <w:rFonts w:hint="eastAsia" w:ascii="宋体" w:hAnsi="宋体" w:eastAsia="宋体" w:cs="宋体"/>
          <w:b w:val="0"/>
          <w:bCs w:val="0"/>
          <w:sz w:val="24"/>
          <w:szCs w:val="24"/>
          <w:highlight w:val="none"/>
          <w:lang w:eastAsia="zh-CN"/>
        </w:rPr>
        <w:t>。</w:t>
      </w:r>
    </w:p>
    <w:p w14:paraId="6FE1B460">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三是针对</w:t>
      </w:r>
      <w:r>
        <w:rPr>
          <w:rFonts w:hint="eastAsia" w:ascii="宋体" w:hAnsi="宋体" w:eastAsia="宋体" w:cs="宋体"/>
          <w:b w:val="0"/>
          <w:bCs w:val="0"/>
          <w:sz w:val="24"/>
          <w:szCs w:val="24"/>
          <w:highlight w:val="none"/>
        </w:rPr>
        <w:t>政务云运营服务商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结合省级政务云运营流程</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开展对</w:t>
      </w:r>
      <w:r>
        <w:rPr>
          <w:rFonts w:hint="eastAsia" w:ascii="宋体" w:hAnsi="宋体" w:eastAsia="宋体" w:cs="宋体"/>
          <w:b w:val="0"/>
          <w:bCs w:val="0"/>
          <w:sz w:val="24"/>
          <w:szCs w:val="24"/>
          <w:highlight w:val="none"/>
          <w:lang w:val="en-US" w:eastAsia="zh-CN"/>
        </w:rPr>
        <w:t>省级</w:t>
      </w:r>
      <w:r>
        <w:rPr>
          <w:rFonts w:hint="eastAsia" w:ascii="宋体" w:hAnsi="宋体" w:eastAsia="宋体" w:cs="宋体"/>
          <w:b w:val="0"/>
          <w:bCs w:val="0"/>
          <w:sz w:val="24"/>
          <w:szCs w:val="24"/>
          <w:highlight w:val="none"/>
        </w:rPr>
        <w:t>政务云的运营评估工作，推动</w:t>
      </w:r>
      <w:r>
        <w:rPr>
          <w:rFonts w:hint="eastAsia" w:ascii="宋体" w:hAnsi="宋体" w:eastAsia="宋体" w:cs="宋体"/>
          <w:b w:val="0"/>
          <w:bCs w:val="0"/>
          <w:sz w:val="24"/>
          <w:szCs w:val="24"/>
          <w:highlight w:val="none"/>
          <w:lang w:val="en-US" w:eastAsia="zh-CN"/>
        </w:rPr>
        <w:t>省级</w:t>
      </w:r>
      <w:r>
        <w:rPr>
          <w:rFonts w:hint="eastAsia" w:ascii="宋体" w:hAnsi="宋体" w:eastAsia="宋体" w:cs="宋体"/>
          <w:b w:val="0"/>
          <w:bCs w:val="0"/>
          <w:sz w:val="24"/>
          <w:szCs w:val="24"/>
          <w:highlight w:val="none"/>
        </w:rPr>
        <w:t>政务云规范化运营，</w:t>
      </w:r>
      <w:r>
        <w:rPr>
          <w:rFonts w:hint="eastAsia" w:ascii="宋体" w:hAnsi="宋体" w:eastAsia="宋体" w:cs="宋体"/>
          <w:b w:val="0"/>
          <w:bCs w:val="0"/>
          <w:sz w:val="24"/>
          <w:szCs w:val="24"/>
          <w:highlight w:val="none"/>
          <w:lang w:val="en-US" w:eastAsia="zh-CN"/>
        </w:rPr>
        <w:t>提出</w:t>
      </w:r>
      <w:r>
        <w:rPr>
          <w:rFonts w:hint="eastAsia" w:ascii="宋体" w:hAnsi="宋体" w:eastAsia="宋体" w:cs="宋体"/>
          <w:b w:val="0"/>
          <w:bCs w:val="0"/>
          <w:sz w:val="24"/>
          <w:szCs w:val="24"/>
          <w:highlight w:val="none"/>
        </w:rPr>
        <w:t>对政务云运营</w:t>
      </w:r>
      <w:r>
        <w:rPr>
          <w:rFonts w:hint="eastAsia" w:ascii="宋体" w:hAnsi="宋体" w:eastAsia="宋体" w:cs="宋体"/>
          <w:b w:val="0"/>
          <w:bCs w:val="0"/>
          <w:sz w:val="24"/>
          <w:szCs w:val="24"/>
          <w:highlight w:val="none"/>
          <w:lang w:eastAsia="zh-CN"/>
        </w:rPr>
        <w:t>的</w:t>
      </w:r>
      <w:r>
        <w:rPr>
          <w:rFonts w:hint="eastAsia" w:ascii="宋体" w:hAnsi="宋体" w:eastAsia="宋体" w:cs="宋体"/>
          <w:b w:val="0"/>
          <w:bCs w:val="0"/>
          <w:sz w:val="24"/>
          <w:szCs w:val="24"/>
          <w:highlight w:val="none"/>
        </w:rPr>
        <w:t>效能要求，分析发掘运营管理工作存在的问题，同时通过总结成功的运营管理经验，提供优化提升运营管理工作的建议，不断推动政务云运营服务商提升运营服务水平</w:t>
      </w:r>
      <w:r>
        <w:rPr>
          <w:rFonts w:hint="eastAsia" w:ascii="宋体" w:hAnsi="宋体" w:eastAsia="宋体" w:cs="宋体"/>
          <w:b w:val="0"/>
          <w:bCs w:val="0"/>
          <w:sz w:val="24"/>
          <w:szCs w:val="24"/>
          <w:highlight w:val="none"/>
          <w:lang w:eastAsia="zh-CN"/>
        </w:rPr>
        <w:t>。</w:t>
      </w:r>
    </w:p>
    <w:p w14:paraId="54CF0EAB">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四是针对政务云服务商，</w:t>
      </w:r>
      <w:r>
        <w:rPr>
          <w:rFonts w:hint="eastAsia" w:ascii="宋体" w:hAnsi="宋体" w:eastAsia="宋体" w:cs="宋体"/>
          <w:b w:val="0"/>
          <w:bCs w:val="0"/>
          <w:sz w:val="24"/>
          <w:szCs w:val="24"/>
          <w:highlight w:val="none"/>
        </w:rPr>
        <w:t>通过收集</w:t>
      </w:r>
      <w:r>
        <w:rPr>
          <w:rFonts w:hint="eastAsia" w:ascii="宋体" w:hAnsi="宋体" w:eastAsia="宋体" w:cs="宋体"/>
          <w:b w:val="0"/>
          <w:bCs w:val="0"/>
          <w:sz w:val="24"/>
          <w:szCs w:val="24"/>
          <w:highlight w:val="none"/>
          <w:lang w:val="en-US" w:eastAsia="zh-CN"/>
        </w:rPr>
        <w:t>省级</w:t>
      </w:r>
      <w:r>
        <w:rPr>
          <w:rFonts w:hint="eastAsia" w:ascii="宋体" w:hAnsi="宋体" w:eastAsia="宋体" w:cs="宋体"/>
          <w:b w:val="0"/>
          <w:bCs w:val="0"/>
          <w:sz w:val="24"/>
          <w:szCs w:val="24"/>
          <w:highlight w:val="none"/>
        </w:rPr>
        <w:t>政务云服务质量数据以及政务云日常运营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运维</w:t>
      </w:r>
      <w:r>
        <w:rPr>
          <w:rFonts w:hint="eastAsia" w:ascii="宋体" w:hAnsi="宋体" w:eastAsia="宋体" w:cs="宋体"/>
          <w:b w:val="0"/>
          <w:bCs w:val="0"/>
          <w:sz w:val="24"/>
          <w:szCs w:val="24"/>
          <w:highlight w:val="none"/>
        </w:rPr>
        <w:t>数据</w:t>
      </w:r>
      <w:r>
        <w:rPr>
          <w:rFonts w:hint="eastAsia" w:ascii="宋体" w:hAnsi="宋体" w:eastAsia="宋体" w:cs="宋体"/>
          <w:sz w:val="24"/>
          <w:szCs w:val="24"/>
          <w:highlight w:val="none"/>
        </w:rPr>
        <w:t>，结合</w:t>
      </w:r>
      <w:r>
        <w:rPr>
          <w:rFonts w:hint="eastAsia" w:ascii="宋体" w:hAnsi="宋体" w:eastAsia="宋体" w:cs="宋体"/>
          <w:sz w:val="24"/>
          <w:szCs w:val="24"/>
          <w:highlight w:val="none"/>
          <w:lang w:val="en-US" w:eastAsia="zh-CN"/>
        </w:rPr>
        <w:t>省级</w:t>
      </w:r>
      <w:r>
        <w:rPr>
          <w:rFonts w:hint="eastAsia" w:ascii="宋体" w:hAnsi="宋体" w:eastAsia="宋体" w:cs="宋体"/>
          <w:sz w:val="24"/>
          <w:szCs w:val="24"/>
          <w:highlight w:val="none"/>
        </w:rPr>
        <w:t>政务云服务质量指标要求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rPr>
        <w:t>服务可用性分析、服务可靠性分析、服务响应性分析</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省级</w:t>
      </w:r>
      <w:r>
        <w:rPr>
          <w:rFonts w:hint="eastAsia" w:ascii="宋体" w:hAnsi="宋体" w:eastAsia="宋体" w:cs="宋体"/>
          <w:sz w:val="24"/>
          <w:szCs w:val="24"/>
          <w:highlight w:val="none"/>
        </w:rPr>
        <w:t>政务云服务</w:t>
      </w:r>
      <w:r>
        <w:rPr>
          <w:rFonts w:hint="eastAsia" w:ascii="宋体" w:hAnsi="宋体" w:eastAsia="宋体" w:cs="宋体"/>
          <w:sz w:val="24"/>
          <w:szCs w:val="24"/>
          <w:highlight w:val="none"/>
          <w:lang w:val="en-US" w:eastAsia="zh-CN"/>
        </w:rPr>
        <w:t>按需进行复核</w:t>
      </w:r>
      <w:r>
        <w:rPr>
          <w:rFonts w:hint="eastAsia" w:ascii="宋体" w:hAnsi="宋体" w:eastAsia="宋体" w:cs="宋体"/>
          <w:sz w:val="24"/>
          <w:szCs w:val="24"/>
          <w:highlight w:val="none"/>
        </w:rPr>
        <w:t>，发现不足并提出</w:t>
      </w:r>
      <w:r>
        <w:rPr>
          <w:rFonts w:hint="eastAsia" w:ascii="宋体" w:hAnsi="宋体" w:eastAsia="宋体" w:cs="宋体"/>
          <w:sz w:val="24"/>
          <w:szCs w:val="24"/>
          <w:highlight w:val="none"/>
          <w:lang w:val="en-US" w:eastAsia="zh-CN"/>
        </w:rPr>
        <w:t>建议或</w:t>
      </w:r>
      <w:r>
        <w:rPr>
          <w:rFonts w:hint="eastAsia" w:ascii="宋体" w:hAnsi="宋体" w:eastAsia="宋体" w:cs="宋体"/>
          <w:sz w:val="24"/>
          <w:szCs w:val="24"/>
          <w:highlight w:val="none"/>
        </w:rPr>
        <w:t>意见，为提高</w:t>
      </w:r>
      <w:r>
        <w:rPr>
          <w:rFonts w:hint="eastAsia" w:ascii="宋体" w:hAnsi="宋体" w:eastAsia="宋体" w:cs="宋体"/>
          <w:sz w:val="24"/>
          <w:szCs w:val="24"/>
          <w:highlight w:val="none"/>
          <w:lang w:val="en-US" w:eastAsia="zh-CN"/>
        </w:rPr>
        <w:t>陕西省省级</w:t>
      </w:r>
      <w:r>
        <w:rPr>
          <w:rFonts w:hint="eastAsia" w:ascii="宋体" w:hAnsi="宋体" w:eastAsia="宋体" w:cs="宋体"/>
          <w:sz w:val="24"/>
          <w:szCs w:val="24"/>
          <w:highlight w:val="none"/>
        </w:rPr>
        <w:t>政务云服务质量提供参考。</w:t>
      </w:r>
    </w:p>
    <w:p w14:paraId="4FBD6962">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省级部门政务云</w:t>
      </w:r>
      <w:r>
        <w:rPr>
          <w:rFonts w:hint="eastAsia" w:ascii="宋体" w:hAnsi="宋体" w:eastAsia="宋体" w:cs="宋体"/>
          <w:sz w:val="24"/>
          <w:szCs w:val="24"/>
          <w:highlight w:val="none"/>
        </w:rPr>
        <w:t>资源使用效益评估服务</w:t>
      </w:r>
    </w:p>
    <w:p w14:paraId="3D677710">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一是开展日常政务云资源数据梳理分析工作。面向省级政务云上部署的400余业务系统开展常态化效益分析，通过收集省级各部门云上政务信息系统的日常数据。</w:t>
      </w:r>
    </w:p>
    <w:p w14:paraId="4BCCE4A7">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二是建立政务云效益分析指标模型。评估陕西现有数据，吸取先进地市评估方式，建立陕西本地政务云资源效益分析模型。</w:t>
      </w:r>
    </w:p>
    <w:p w14:paraId="69F3322A">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三是定期开展政务云效益评估。按月对政务云上各部门业务系统进行评估分析，初步确定政务云资源使用率低和使用量大的系统清单。通过模型分析得出省级各部门资源使用情况及其对应的财政资金额度。</w:t>
      </w:r>
    </w:p>
    <w:p w14:paraId="3451C3D8">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i w:val="0"/>
          <w:iCs w:val="0"/>
          <w:kern w:val="2"/>
          <w:sz w:val="24"/>
          <w:szCs w:val="24"/>
          <w:highlight w:val="none"/>
          <w:u w:val="none"/>
          <w:lang w:val="en-US" w:eastAsia="zh-CN" w:bidi="ar"/>
        </w:rPr>
      </w:pPr>
      <w:r>
        <w:rPr>
          <w:rFonts w:hint="eastAsia" w:ascii="宋体" w:hAnsi="宋体" w:eastAsia="宋体" w:cs="宋体"/>
          <w:i w:val="0"/>
          <w:iCs w:val="0"/>
          <w:kern w:val="2"/>
          <w:sz w:val="24"/>
          <w:szCs w:val="24"/>
          <w:highlight w:val="none"/>
          <w:u w:val="none"/>
          <w:lang w:val="en-US" w:eastAsia="zh-CN" w:bidi="ar"/>
        </w:rPr>
        <w:t>四是针对资源利用率低的单位提出优化建议。面向省级各部门选取政务云资源浪费量较大的前10个省级部门，提出优化整改意见。与省级各部门充分开展技术沟通，指导其做好资源优化整改工作。</w:t>
      </w:r>
    </w:p>
    <w:p w14:paraId="75EE5271">
      <w:pPr>
        <w:keepNext w:val="0"/>
        <w:keepLines w:val="0"/>
        <w:pageBreakBefore w:val="0"/>
        <w:kinsoku/>
        <w:overflowPunct/>
        <w:autoSpaceDE/>
        <w:autoSpaceDN/>
        <w:bidi w:val="0"/>
        <w:adjustRightInd/>
        <w:snapToGrid/>
        <w:spacing w:after="0"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交付成果</w:t>
      </w:r>
    </w:p>
    <w:p w14:paraId="5E73617C">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《陕西省</w:t>
      </w:r>
      <w:r>
        <w:rPr>
          <w:rFonts w:hint="eastAsia" w:ascii="宋体" w:hAnsi="宋体" w:eastAsia="宋体" w:cs="宋体"/>
          <w:sz w:val="24"/>
          <w:szCs w:val="24"/>
          <w:highlight w:val="none"/>
          <w:lang w:val="en-US" w:eastAsia="zh-CN"/>
        </w:rPr>
        <w:t>政务云</w:t>
      </w:r>
      <w:r>
        <w:rPr>
          <w:rFonts w:hint="eastAsia" w:ascii="宋体" w:hAnsi="宋体" w:eastAsia="宋体" w:cs="宋体"/>
          <w:sz w:val="24"/>
          <w:szCs w:val="24"/>
          <w:highlight w:val="none"/>
        </w:rPr>
        <w:t>摸底评估报告》1份</w:t>
      </w:r>
      <w:r>
        <w:rPr>
          <w:rFonts w:hint="eastAsia" w:ascii="宋体" w:hAnsi="宋体" w:eastAsia="宋体" w:cs="宋体"/>
          <w:sz w:val="24"/>
          <w:szCs w:val="24"/>
          <w:highlight w:val="none"/>
          <w:lang w:eastAsia="zh-CN"/>
        </w:rPr>
        <w:t>；</w:t>
      </w:r>
    </w:p>
    <w:p w14:paraId="5E5C5EFE">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陕西省省级政务云统一服务目录及预算标准</w:t>
      </w:r>
      <w:r>
        <w:rPr>
          <w:rFonts w:hint="eastAsia" w:ascii="宋体" w:hAnsi="宋体" w:eastAsia="宋体" w:cs="宋体"/>
          <w:sz w:val="24"/>
          <w:szCs w:val="24"/>
          <w:highlight w:val="none"/>
        </w:rPr>
        <w:t>（建议稿）》1份；</w:t>
      </w:r>
    </w:p>
    <w:p w14:paraId="7C5E9E56">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）《省级政务云服务目录答疑工作台账》1份；</w:t>
      </w:r>
    </w:p>
    <w:p w14:paraId="36E0091A">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w:t>
      </w:r>
      <w:r>
        <w:rPr>
          <w:rFonts w:hint="eastAsia" w:ascii="宋体" w:hAnsi="宋体" w:eastAsia="宋体" w:cs="宋体"/>
          <w:sz w:val="24"/>
          <w:szCs w:val="24"/>
          <w:highlight w:val="none"/>
          <w:lang w:val="en-US" w:eastAsia="zh-CN"/>
        </w:rPr>
        <w:t>省级</w:t>
      </w:r>
      <w:r>
        <w:rPr>
          <w:rFonts w:hint="eastAsia" w:ascii="宋体" w:hAnsi="宋体" w:eastAsia="宋体" w:cs="宋体"/>
          <w:sz w:val="24"/>
          <w:szCs w:val="24"/>
          <w:highlight w:val="none"/>
        </w:rPr>
        <w:t>政务云结算考核办法（建议稿）》1份；</w:t>
      </w:r>
    </w:p>
    <w:p w14:paraId="2452BD42">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val="en-US" w:eastAsia="zh-CN"/>
        </w:rPr>
        <w:t>《省级政务云资源使用效率评估标准（建议稿）》1份；</w:t>
      </w:r>
    </w:p>
    <w:p w14:paraId="2CCDBBCD">
      <w:pPr>
        <w:keepNext w:val="0"/>
        <w:keepLines w:val="0"/>
        <w:pageBreakBefore w:val="0"/>
        <w:shd w:val="clear" w:color="auto" w:fill="auto"/>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省级</w:t>
      </w:r>
      <w:r>
        <w:rPr>
          <w:rFonts w:hint="eastAsia" w:ascii="宋体" w:hAnsi="宋体" w:eastAsia="宋体" w:cs="宋体"/>
          <w:sz w:val="24"/>
          <w:szCs w:val="24"/>
          <w:highlight w:val="none"/>
          <w:lang w:eastAsia="zh-CN"/>
        </w:rPr>
        <w:t>政务云运行</w:t>
      </w:r>
      <w:r>
        <w:rPr>
          <w:rFonts w:hint="eastAsia" w:ascii="宋体" w:hAnsi="宋体" w:eastAsia="宋体" w:cs="宋体"/>
          <w:sz w:val="24"/>
          <w:szCs w:val="24"/>
          <w:highlight w:val="none"/>
          <w:lang w:val="en-US" w:eastAsia="zh-CN"/>
        </w:rPr>
        <w:t>监督评估</w:t>
      </w:r>
      <w:r>
        <w:rPr>
          <w:rFonts w:hint="eastAsia" w:ascii="宋体" w:hAnsi="宋体" w:eastAsia="宋体" w:cs="宋体"/>
          <w:sz w:val="24"/>
          <w:szCs w:val="24"/>
          <w:highlight w:val="none"/>
          <w:lang w:eastAsia="zh-CN"/>
        </w:rPr>
        <w:t>报告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不少于7</w:t>
      </w:r>
      <w:r>
        <w:rPr>
          <w:rFonts w:hint="eastAsia" w:ascii="宋体" w:hAnsi="宋体" w:eastAsia="宋体" w:cs="宋体"/>
          <w:sz w:val="24"/>
          <w:szCs w:val="24"/>
          <w:highlight w:val="none"/>
        </w:rPr>
        <w:t>份；</w:t>
      </w:r>
    </w:p>
    <w:p w14:paraId="6991F079">
      <w:pPr>
        <w:keepNext w:val="0"/>
        <w:keepLines w:val="0"/>
        <w:pageBreakBefore w:val="0"/>
        <w:shd w:val="clear" w:color="auto" w:fill="auto"/>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省级部门政务云资源使用效益评估报告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不少于10</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14:paraId="2E422E6B">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说明：上述交付成果名称以采购人最终确认名称为准。</w:t>
      </w:r>
    </w:p>
    <w:p w14:paraId="58B8CC73">
      <w:pPr>
        <w:keepNext w:val="0"/>
        <w:keepLines w:val="0"/>
        <w:pageBreakBefore w:val="0"/>
        <w:kinsoku/>
        <w:overflowPunct/>
        <w:autoSpaceDE/>
        <w:autoSpaceDN/>
        <w:bidi w:val="0"/>
        <w:adjustRightInd/>
        <w:snapToGrid/>
        <w:spacing w:after="0" w:line="360" w:lineRule="auto"/>
        <w:ind w:firstLine="482" w:firstLineChars="200"/>
        <w:outlineLvl w:val="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基础设施领域技术保障服务</w:t>
      </w:r>
    </w:p>
    <w:p w14:paraId="47D4DF6C">
      <w:pPr>
        <w:keepNext w:val="0"/>
        <w:keepLines w:val="0"/>
        <w:pageBreakBefore w:val="0"/>
        <w:kinsoku/>
        <w:overflowPunct/>
        <w:autoSpaceDE/>
        <w:autoSpaceDN/>
        <w:bidi w:val="0"/>
        <w:adjustRightInd/>
        <w:snapToGrid/>
        <w:spacing w:after="0" w:line="360" w:lineRule="auto"/>
        <w:ind w:firstLine="482" w:firstLineChars="200"/>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服务内容</w:t>
      </w:r>
    </w:p>
    <w:p w14:paraId="66FB458E">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（1）项目方案基础设施资源审核支撑服务</w:t>
      </w:r>
    </w:p>
    <w:p w14:paraId="39C98FED">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资源审核评估方面：一是审核项目方案中是否明确对基础设施资源的需求，所需基础设施资源是否符合相关规范要求，二是初步评估省级各单位所提交的政务信息化项目实施方案的基础设施资源需求，了解该项目对基础设施资源需求的必要性、合理性和完整性，结合项目的实际情况，对方案中所涉及的信息化系统初步提出系统架构、资源需求等的优化建议。</w:t>
      </w:r>
    </w:p>
    <w:p w14:paraId="49C18A63">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在咨询答疑反馈方面：一是将信息化项目方案基础设施资源需求初审建议及相关结果反馈，协助采购人对省级各单位疑问进行答疑；进一步确保各单位信息化项目的基础设施资源需求符合整体云服务的框架和要求，杜绝资源浪费、避免财政资金虚耗，综合方案初审的评估指标，出具相应的评估意见并形成评估报告提交；二是</w:t>
      </w:r>
      <w:r>
        <w:rPr>
          <w:rFonts w:hint="eastAsia" w:ascii="宋体" w:hAnsi="宋体" w:eastAsia="宋体" w:cs="宋体"/>
          <w:sz w:val="24"/>
          <w:szCs w:val="24"/>
          <w:highlight w:val="none"/>
          <w:lang w:val="en-US" w:eastAsia="zh-CN"/>
        </w:rPr>
        <w:t>需对所有方案的基础设施资源需求进行初审、沟通、复审等工作，如遇大型系统或超服务需求的方案，需团队介入并与采购人、省级各单位反复沟通需求。</w:t>
      </w:r>
    </w:p>
    <w:p w14:paraId="179758BA">
      <w:pPr>
        <w:keepNext w:val="0"/>
        <w:keepLines w:val="0"/>
        <w:pageBreakBefore w:val="0"/>
        <w:kinsoku/>
        <w:overflowPunct/>
        <w:autoSpaceDE/>
        <w:autoSpaceDN/>
        <w:bidi w:val="0"/>
        <w:adjustRightInd/>
        <w:snapToGrid/>
        <w:spacing w:after="0"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服务范围</w:t>
      </w:r>
      <w:r>
        <w:rPr>
          <w:rFonts w:hint="eastAsia" w:ascii="宋体" w:hAnsi="宋体" w:eastAsia="宋体" w:cs="宋体"/>
          <w:sz w:val="24"/>
          <w:szCs w:val="24"/>
          <w:highlight w:val="none"/>
          <w:lang w:val="en-US" w:eastAsia="zh-CN"/>
        </w:rPr>
        <w:t>：省级政务信息化项目评审范围是2025年期间各省级部门（单位）申报的政务信息化项目。</w:t>
      </w:r>
    </w:p>
    <w:p w14:paraId="318D8DB2">
      <w:pPr>
        <w:keepNext w:val="0"/>
        <w:keepLines w:val="0"/>
        <w:pageBreakBefore w:val="0"/>
        <w:kinsoku/>
        <w:overflowPunct/>
        <w:autoSpaceDE/>
        <w:autoSpaceDN/>
        <w:bidi w:val="0"/>
        <w:adjustRightInd/>
        <w:snapToGrid/>
        <w:spacing w:after="0"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服务数量</w:t>
      </w:r>
      <w:r>
        <w:rPr>
          <w:rFonts w:hint="eastAsia" w:ascii="宋体" w:hAnsi="宋体" w:eastAsia="宋体" w:cs="宋体"/>
          <w:sz w:val="24"/>
          <w:szCs w:val="24"/>
          <w:highlight w:val="none"/>
          <w:lang w:val="en-US" w:eastAsia="zh-CN"/>
        </w:rPr>
        <w:t>：根据2024年项目审核情况，预计服务期内项目数量超过45个，其中50%以上需要复审，审核超过60次，最终形成60份审核意见及咨询答疑台账。</w:t>
      </w:r>
    </w:p>
    <w:p w14:paraId="550B2FDD">
      <w:pPr>
        <w:keepNext w:val="0"/>
        <w:keepLines w:val="0"/>
        <w:pageBreakBefore w:val="0"/>
        <w:kinsoku/>
        <w:overflowPunct/>
        <w:autoSpaceDE/>
        <w:autoSpaceDN/>
        <w:bidi w:val="0"/>
        <w:adjustRightInd/>
        <w:snapToGrid/>
        <w:spacing w:after="0" w:line="360" w:lineRule="auto"/>
        <w:ind w:firstLine="482"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项目方案基础设施资源初审：</w:t>
      </w:r>
      <w:r>
        <w:rPr>
          <w:rFonts w:hint="eastAsia" w:ascii="宋体" w:hAnsi="宋体" w:eastAsia="宋体" w:cs="宋体"/>
          <w:b w:val="0"/>
          <w:bCs w:val="0"/>
          <w:sz w:val="24"/>
          <w:szCs w:val="24"/>
          <w:highlight w:val="none"/>
          <w:lang w:val="en-US" w:eastAsia="zh-CN"/>
        </w:rPr>
        <w:t>按照工作程序，依据项目技术方案、投资概算编制指南以及陕西省级政务云、电子政务外网、公共支撑组件、智算、大模型等5个基础资源有关管理办法和技术要求，完成项目方案基础设施资源初步审核。参考审核要点如下：</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66"/>
        <w:gridCol w:w="3007"/>
        <w:gridCol w:w="3888"/>
      </w:tblGrid>
      <w:tr w14:paraId="4C02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329" w:type="pct"/>
            <w:noWrap/>
            <w:vAlign w:val="center"/>
          </w:tcPr>
          <w:p w14:paraId="36BC1075">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25" w:type="pct"/>
            <w:noWrap w:val="0"/>
            <w:vAlign w:val="center"/>
          </w:tcPr>
          <w:p w14:paraId="0FAD5C89">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764" w:type="pct"/>
            <w:noWrap w:val="0"/>
            <w:vAlign w:val="center"/>
          </w:tcPr>
          <w:p w14:paraId="79E80242">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审核要点</w:t>
            </w:r>
          </w:p>
        </w:tc>
        <w:tc>
          <w:tcPr>
            <w:tcW w:w="2280" w:type="pct"/>
            <w:noWrap w:val="0"/>
            <w:vAlign w:val="center"/>
          </w:tcPr>
          <w:p w14:paraId="1CC0EB9E">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审核内容</w:t>
            </w:r>
          </w:p>
        </w:tc>
      </w:tr>
      <w:tr w14:paraId="6DF4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29" w:type="pct"/>
            <w:noWrap/>
            <w:vAlign w:val="center"/>
          </w:tcPr>
          <w:p w14:paraId="2787C929">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25" w:type="pct"/>
            <w:vMerge w:val="restart"/>
            <w:noWrap w:val="0"/>
            <w:vAlign w:val="center"/>
          </w:tcPr>
          <w:p w14:paraId="46F3E1E6">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现状分析</w:t>
            </w:r>
          </w:p>
        </w:tc>
        <w:tc>
          <w:tcPr>
            <w:tcW w:w="1764" w:type="pct"/>
            <w:vMerge w:val="restart"/>
            <w:noWrap w:val="0"/>
            <w:vAlign w:val="center"/>
          </w:tcPr>
          <w:p w14:paraId="3F53AA79">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审核方案“信息基础设施现状分析”章节内容</w:t>
            </w:r>
          </w:p>
        </w:tc>
        <w:tc>
          <w:tcPr>
            <w:tcW w:w="2280" w:type="pct"/>
            <w:vMerge w:val="restart"/>
            <w:noWrap/>
            <w:vAlign w:val="center"/>
          </w:tcPr>
          <w:p w14:paraId="5F286B7D">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是否包含政务云资源现状及问题</w:t>
            </w:r>
          </w:p>
        </w:tc>
      </w:tr>
      <w:tr w14:paraId="5BAC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29" w:type="pct"/>
            <w:noWrap/>
            <w:vAlign w:val="center"/>
          </w:tcPr>
          <w:p w14:paraId="64DDC1D7">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25" w:type="pct"/>
            <w:vMerge w:val="continue"/>
            <w:noWrap w:val="0"/>
            <w:vAlign w:val="center"/>
          </w:tcPr>
          <w:p w14:paraId="0FCC46B3">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164FABB1">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vMerge w:val="continue"/>
            <w:noWrap/>
            <w:vAlign w:val="center"/>
          </w:tcPr>
          <w:p w14:paraId="67DC2FA3">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r>
      <w:tr w14:paraId="09FB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noWrap/>
            <w:vAlign w:val="center"/>
          </w:tcPr>
          <w:p w14:paraId="157B6A84">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25" w:type="pct"/>
            <w:vMerge w:val="continue"/>
            <w:noWrap w:val="0"/>
            <w:vAlign w:val="center"/>
          </w:tcPr>
          <w:p w14:paraId="213DF26D">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79C591E1">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vMerge w:val="continue"/>
            <w:noWrap/>
            <w:vAlign w:val="center"/>
          </w:tcPr>
          <w:p w14:paraId="68002D3B">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r>
      <w:tr w14:paraId="7393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29" w:type="pct"/>
            <w:noWrap/>
            <w:vAlign w:val="center"/>
          </w:tcPr>
          <w:p w14:paraId="1DD8C1A5">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25" w:type="pct"/>
            <w:vMerge w:val="continue"/>
            <w:noWrap w:val="0"/>
            <w:vAlign w:val="center"/>
          </w:tcPr>
          <w:p w14:paraId="218D3AEE">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25D4056A">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vMerge w:val="restart"/>
            <w:noWrap/>
            <w:vAlign w:val="center"/>
          </w:tcPr>
          <w:p w14:paraId="71C6DAE8">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是否包含政务外网络环境现状及问题</w:t>
            </w:r>
          </w:p>
        </w:tc>
      </w:tr>
      <w:tr w14:paraId="4945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29" w:type="pct"/>
            <w:noWrap/>
            <w:vAlign w:val="center"/>
          </w:tcPr>
          <w:p w14:paraId="32F25A50">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25" w:type="pct"/>
            <w:vMerge w:val="continue"/>
            <w:noWrap w:val="0"/>
            <w:vAlign w:val="center"/>
          </w:tcPr>
          <w:p w14:paraId="6BA93263">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2CB8F52E">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vMerge w:val="continue"/>
            <w:noWrap/>
            <w:vAlign w:val="center"/>
          </w:tcPr>
          <w:p w14:paraId="27D234F8">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r>
      <w:tr w14:paraId="4B30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noWrap/>
            <w:vAlign w:val="center"/>
          </w:tcPr>
          <w:p w14:paraId="6A3AFF33">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25" w:type="pct"/>
            <w:vMerge w:val="continue"/>
            <w:noWrap w:val="0"/>
            <w:vAlign w:val="center"/>
          </w:tcPr>
          <w:p w14:paraId="0773340F">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restart"/>
            <w:noWrap w:val="0"/>
            <w:vAlign w:val="center"/>
          </w:tcPr>
          <w:p w14:paraId="64F6C10A">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审核方案“应用支撑现状分析”章节内容</w:t>
            </w:r>
          </w:p>
        </w:tc>
        <w:tc>
          <w:tcPr>
            <w:tcW w:w="2280" w:type="pct"/>
            <w:vMerge w:val="restart"/>
            <w:noWrap/>
            <w:vAlign w:val="center"/>
          </w:tcPr>
          <w:p w14:paraId="26417792">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是否包含公共支撑资源现状及问题</w:t>
            </w:r>
          </w:p>
        </w:tc>
      </w:tr>
      <w:tr w14:paraId="4525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29" w:type="pct"/>
            <w:noWrap/>
            <w:vAlign w:val="center"/>
          </w:tcPr>
          <w:p w14:paraId="550E2F5C">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25" w:type="pct"/>
            <w:vMerge w:val="continue"/>
            <w:noWrap w:val="0"/>
            <w:vAlign w:val="center"/>
          </w:tcPr>
          <w:p w14:paraId="68D5A4BD">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0CE518FC">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vMerge w:val="continue"/>
            <w:noWrap/>
            <w:vAlign w:val="center"/>
          </w:tcPr>
          <w:p w14:paraId="0B7E95AC">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r>
      <w:tr w14:paraId="1EAB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29" w:type="pct"/>
            <w:noWrap/>
            <w:vAlign w:val="center"/>
          </w:tcPr>
          <w:p w14:paraId="759D81AB">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25" w:type="pct"/>
            <w:vMerge w:val="continue"/>
            <w:noWrap w:val="0"/>
            <w:vAlign w:val="center"/>
          </w:tcPr>
          <w:p w14:paraId="0F1D3C7F">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50F401CE">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noWrap w:val="0"/>
            <w:vAlign w:val="center"/>
          </w:tcPr>
          <w:p w14:paraId="41CA0D4C">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是否包含人工智能大模型现状及问题</w:t>
            </w:r>
          </w:p>
        </w:tc>
      </w:tr>
      <w:tr w14:paraId="581B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9" w:type="pct"/>
            <w:noWrap/>
            <w:vAlign w:val="center"/>
          </w:tcPr>
          <w:p w14:paraId="52825ABF">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25" w:type="pct"/>
            <w:vMerge w:val="restart"/>
            <w:noWrap/>
            <w:vAlign w:val="center"/>
          </w:tcPr>
          <w:p w14:paraId="3C800147">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需求分析</w:t>
            </w:r>
          </w:p>
        </w:tc>
        <w:tc>
          <w:tcPr>
            <w:tcW w:w="1764" w:type="pct"/>
            <w:vMerge w:val="restart"/>
            <w:noWrap w:val="0"/>
            <w:vAlign w:val="center"/>
          </w:tcPr>
          <w:p w14:paraId="349135DE">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审核方案“基础设施需求分析”章节内容</w:t>
            </w:r>
          </w:p>
        </w:tc>
        <w:tc>
          <w:tcPr>
            <w:tcW w:w="2280" w:type="pct"/>
            <w:noWrap/>
            <w:vAlign w:val="center"/>
          </w:tcPr>
          <w:p w14:paraId="3D3333E6">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是否依据政务云服务能力清单申请云资源</w:t>
            </w:r>
          </w:p>
        </w:tc>
      </w:tr>
      <w:tr w14:paraId="686D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9" w:type="pct"/>
            <w:noWrap/>
            <w:vAlign w:val="center"/>
          </w:tcPr>
          <w:p w14:paraId="47E806CA">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25" w:type="pct"/>
            <w:vMerge w:val="continue"/>
            <w:noWrap/>
            <w:vAlign w:val="center"/>
          </w:tcPr>
          <w:p w14:paraId="21575097">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2962C4A1">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noWrap w:val="0"/>
            <w:vAlign w:val="center"/>
          </w:tcPr>
          <w:p w14:paraId="59B71A75">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是否明确政务外网资源需求</w:t>
            </w:r>
          </w:p>
        </w:tc>
      </w:tr>
      <w:tr w14:paraId="7A80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29" w:type="pct"/>
            <w:noWrap/>
            <w:vAlign w:val="center"/>
          </w:tcPr>
          <w:p w14:paraId="6324BD4D">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25" w:type="pct"/>
            <w:vMerge w:val="continue"/>
            <w:noWrap/>
            <w:vAlign w:val="center"/>
          </w:tcPr>
          <w:p w14:paraId="277AC44B">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restart"/>
            <w:noWrap w:val="0"/>
            <w:vAlign w:val="center"/>
          </w:tcPr>
          <w:p w14:paraId="1F1431AF">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审核方案“应用支撑需求分析”章节内容</w:t>
            </w:r>
          </w:p>
        </w:tc>
        <w:tc>
          <w:tcPr>
            <w:tcW w:w="2280" w:type="pct"/>
            <w:noWrap/>
            <w:vAlign w:val="center"/>
          </w:tcPr>
          <w:p w14:paraId="49C50748">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是否明确公共支撑组件资源需求</w:t>
            </w:r>
          </w:p>
        </w:tc>
      </w:tr>
      <w:tr w14:paraId="2835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9" w:type="pct"/>
            <w:noWrap/>
            <w:vAlign w:val="center"/>
          </w:tcPr>
          <w:p w14:paraId="39AA5728">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25" w:type="pct"/>
            <w:vMerge w:val="continue"/>
            <w:noWrap/>
            <w:vAlign w:val="center"/>
          </w:tcPr>
          <w:p w14:paraId="309028F1">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vMerge w:val="continue"/>
            <w:noWrap w:val="0"/>
            <w:vAlign w:val="center"/>
          </w:tcPr>
          <w:p w14:paraId="2B4D2CA3">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2280" w:type="pct"/>
            <w:noWrap w:val="0"/>
            <w:vAlign w:val="center"/>
          </w:tcPr>
          <w:p w14:paraId="6D2C2F72">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是否描述清楚人工智能</w:t>
            </w:r>
          </w:p>
          <w:p w14:paraId="2124032E">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大模型具体应用场景和需求</w:t>
            </w:r>
          </w:p>
        </w:tc>
      </w:tr>
      <w:tr w14:paraId="7FD6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29" w:type="pct"/>
            <w:noWrap/>
            <w:vAlign w:val="center"/>
          </w:tcPr>
          <w:p w14:paraId="55959607">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625" w:type="pct"/>
            <w:vMerge w:val="restart"/>
            <w:noWrap w:val="0"/>
            <w:vAlign w:val="center"/>
          </w:tcPr>
          <w:p w14:paraId="361E5541">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建设方案</w:t>
            </w:r>
          </w:p>
        </w:tc>
        <w:tc>
          <w:tcPr>
            <w:tcW w:w="1764" w:type="pct"/>
            <w:noWrap/>
            <w:vAlign w:val="center"/>
          </w:tcPr>
          <w:p w14:paraId="33D2D917">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审核方案“架构设计”章节内容</w:t>
            </w:r>
          </w:p>
        </w:tc>
        <w:tc>
          <w:tcPr>
            <w:tcW w:w="2280" w:type="pct"/>
            <w:noWrap/>
            <w:vAlign w:val="center"/>
          </w:tcPr>
          <w:p w14:paraId="763CC718">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是否描述清晰网络拓扑</w:t>
            </w:r>
          </w:p>
        </w:tc>
      </w:tr>
      <w:tr w14:paraId="47D6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9" w:type="pct"/>
            <w:noWrap/>
            <w:vAlign w:val="center"/>
          </w:tcPr>
          <w:p w14:paraId="59C29D9D">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25" w:type="pct"/>
            <w:vMerge w:val="continue"/>
            <w:noWrap w:val="0"/>
            <w:vAlign w:val="center"/>
          </w:tcPr>
          <w:p w14:paraId="48CE4BD8">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noWrap w:val="0"/>
            <w:vAlign w:val="center"/>
          </w:tcPr>
          <w:p w14:paraId="509947E0">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审核方案“应用支撑设计”章节内容</w:t>
            </w:r>
          </w:p>
        </w:tc>
        <w:tc>
          <w:tcPr>
            <w:tcW w:w="2280" w:type="pct"/>
            <w:noWrap/>
            <w:vAlign w:val="center"/>
          </w:tcPr>
          <w:p w14:paraId="4D81E921">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是否描述公共支撑组件对接设计</w:t>
            </w:r>
          </w:p>
        </w:tc>
      </w:tr>
      <w:tr w14:paraId="0C76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9" w:type="pct"/>
            <w:noWrap/>
            <w:vAlign w:val="center"/>
          </w:tcPr>
          <w:p w14:paraId="3E5985C0">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25" w:type="pct"/>
            <w:vMerge w:val="continue"/>
            <w:noWrap w:val="0"/>
            <w:vAlign w:val="center"/>
          </w:tcPr>
          <w:p w14:paraId="0FDF04ED">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noWrap w:val="0"/>
            <w:vAlign w:val="center"/>
          </w:tcPr>
          <w:p w14:paraId="4C950407">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审核方案“基础设施设计”章节内容</w:t>
            </w:r>
          </w:p>
        </w:tc>
        <w:tc>
          <w:tcPr>
            <w:tcW w:w="2280" w:type="pct"/>
            <w:noWrap/>
            <w:vAlign w:val="center"/>
          </w:tcPr>
          <w:p w14:paraId="3BBA6696">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是否描述清楚基础设施设计方案内容</w:t>
            </w:r>
          </w:p>
        </w:tc>
      </w:tr>
      <w:tr w14:paraId="6FE0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29" w:type="pct"/>
            <w:noWrap/>
            <w:vAlign w:val="center"/>
          </w:tcPr>
          <w:p w14:paraId="546939FB">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25" w:type="pct"/>
            <w:vMerge w:val="continue"/>
            <w:noWrap w:val="0"/>
            <w:vAlign w:val="center"/>
          </w:tcPr>
          <w:p w14:paraId="6E5C93F0">
            <w:pPr>
              <w:keepNext w:val="0"/>
              <w:keepLines w:val="0"/>
              <w:pageBreakBefore w:val="0"/>
              <w:kinsoku/>
              <w:overflowPunct/>
              <w:autoSpaceDE/>
              <w:autoSpaceDN/>
              <w:bidi w:val="0"/>
              <w:adjustRightInd/>
              <w:snapToGrid/>
              <w:spacing w:after="0" w:line="360" w:lineRule="auto"/>
              <w:jc w:val="center"/>
              <w:rPr>
                <w:rFonts w:hint="eastAsia" w:ascii="宋体" w:hAnsi="宋体" w:eastAsia="宋体" w:cs="宋体"/>
                <w:i w:val="0"/>
                <w:iCs w:val="0"/>
                <w:color w:val="000000"/>
                <w:sz w:val="24"/>
                <w:szCs w:val="24"/>
                <w:highlight w:val="none"/>
                <w:u w:val="none"/>
              </w:rPr>
            </w:pPr>
          </w:p>
        </w:tc>
        <w:tc>
          <w:tcPr>
            <w:tcW w:w="1764" w:type="pct"/>
            <w:noWrap w:val="0"/>
            <w:vAlign w:val="center"/>
          </w:tcPr>
          <w:p w14:paraId="300736CB">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审核方案“系统备份设计”章节内容</w:t>
            </w:r>
          </w:p>
        </w:tc>
        <w:tc>
          <w:tcPr>
            <w:tcW w:w="2280" w:type="pct"/>
            <w:noWrap/>
            <w:vAlign w:val="center"/>
          </w:tcPr>
          <w:p w14:paraId="2C6D0E5D">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是否描述备份设计内容</w:t>
            </w:r>
          </w:p>
        </w:tc>
      </w:tr>
      <w:tr w14:paraId="187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9" w:type="pct"/>
            <w:noWrap/>
            <w:vAlign w:val="center"/>
          </w:tcPr>
          <w:p w14:paraId="26A37CFA">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625" w:type="pct"/>
            <w:noWrap w:val="0"/>
            <w:vAlign w:val="center"/>
          </w:tcPr>
          <w:p w14:paraId="2A3CE099">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投资概算和资金来源</w:t>
            </w:r>
          </w:p>
        </w:tc>
        <w:tc>
          <w:tcPr>
            <w:tcW w:w="1764" w:type="pct"/>
            <w:noWrap w:val="0"/>
            <w:vAlign w:val="center"/>
          </w:tcPr>
          <w:p w14:paraId="3F3A8235">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审核方案“投资概算和资金来源”章节内容</w:t>
            </w:r>
          </w:p>
        </w:tc>
        <w:tc>
          <w:tcPr>
            <w:tcW w:w="2280" w:type="pct"/>
            <w:noWrap/>
            <w:vAlign w:val="center"/>
          </w:tcPr>
          <w:p w14:paraId="698661D4">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是否描述基础设施相关费用</w:t>
            </w:r>
          </w:p>
        </w:tc>
      </w:tr>
      <w:tr w14:paraId="4DD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9" w:type="pct"/>
            <w:noWrap/>
            <w:vAlign w:val="center"/>
          </w:tcPr>
          <w:p w14:paraId="189FE060">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25" w:type="pct"/>
            <w:noWrap w:val="0"/>
            <w:vAlign w:val="center"/>
          </w:tcPr>
          <w:p w14:paraId="01AF20F6">
            <w:pPr>
              <w:keepNext w:val="0"/>
              <w:keepLines w:val="0"/>
              <w:pageBreakBefore w:val="0"/>
              <w:widowControl/>
              <w:suppressLineNumbers w:val="0"/>
              <w:kinsoku/>
              <w:overflowPunct/>
              <w:autoSpaceDE/>
              <w:autoSpaceDN/>
              <w:bidi w:val="0"/>
              <w:adjustRightInd/>
              <w:snapToGrid/>
              <w:spacing w:after="0" w:line="360" w:lineRule="auto"/>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一致性方面（逻辑一致）</w:t>
            </w:r>
          </w:p>
        </w:tc>
        <w:tc>
          <w:tcPr>
            <w:tcW w:w="1764" w:type="pct"/>
            <w:noWrap w:val="0"/>
            <w:vAlign w:val="center"/>
          </w:tcPr>
          <w:p w14:paraId="6E19C2BD">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审核方案涉及基础设施资源部分前后一致性</w:t>
            </w:r>
          </w:p>
        </w:tc>
        <w:tc>
          <w:tcPr>
            <w:tcW w:w="2280" w:type="pct"/>
            <w:noWrap w:val="0"/>
            <w:vAlign w:val="center"/>
          </w:tcPr>
          <w:p w14:paraId="4DB207DD">
            <w:pPr>
              <w:keepNext w:val="0"/>
              <w:keepLines w:val="0"/>
              <w:pageBreakBefore w:val="0"/>
              <w:widowControl/>
              <w:suppressLineNumbers w:val="0"/>
              <w:kinsoku/>
              <w:overflowPunct/>
              <w:autoSpaceDE/>
              <w:autoSpaceDN/>
              <w:bidi w:val="0"/>
              <w:adjustRightInd/>
              <w:snapToGrid/>
              <w:spacing w:after="0"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方案涉及基础设施的各章节内容，前后逻辑是否一致</w:t>
            </w:r>
          </w:p>
        </w:tc>
      </w:tr>
    </w:tbl>
    <w:p w14:paraId="082F16C0">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3个工作日内，出具初步审核意见，意见经局基础设施处审定后反馈局数字政务处。按局统一组织要求，按需对修改后的项目方案开展基础设施资源复审。</w:t>
      </w:r>
    </w:p>
    <w:p w14:paraId="0583788D">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（2）基础设施资源需求清单梳理服务</w:t>
      </w:r>
    </w:p>
    <w:p w14:paraId="02FDBBE2">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t>通过常态化收集、汇总各省级单位及重点业务系统在</w:t>
      </w:r>
      <w:r>
        <w:rPr>
          <w:rFonts w:hint="eastAsia" w:ascii="宋体" w:hAnsi="宋体" w:eastAsia="宋体" w:cs="宋体"/>
          <w:sz w:val="24"/>
          <w:szCs w:val="24"/>
          <w:highlight w:val="none"/>
          <w:lang w:val="en-US" w:eastAsia="zh-CN"/>
        </w:rPr>
        <w:t>省级</w:t>
      </w:r>
      <w:r>
        <w:rPr>
          <w:rFonts w:hint="eastAsia" w:ascii="宋体" w:hAnsi="宋体" w:eastAsia="宋体" w:cs="宋体"/>
          <w:sz w:val="24"/>
          <w:szCs w:val="24"/>
          <w:highlight w:val="none"/>
        </w:rPr>
        <w:t>政务云、</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政务外网、公共支撑平台、算力资源、数据基础设施等领域的需求，涵盖架构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容量、性能、安全等维度。开展需求整合、冲突识别与优先级排序，形成标准化“需求清单”。深入剖析现有资源瓶颈与痛点问题，编制年度《基础设施资源需求</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rPr>
        <w:t>》，并提出兼具科学性与前瞻性的优化扩容建议。</w:t>
      </w:r>
    </w:p>
    <w:p w14:paraId="4AA43BC2">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（3）政策动态追踪与解读服务</w:t>
      </w:r>
    </w:p>
    <w:p w14:paraId="0ED684C8">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t>系统性跟踪收集</w:t>
      </w:r>
      <w:r>
        <w:rPr>
          <w:rFonts w:hint="eastAsia" w:ascii="宋体" w:hAnsi="宋体" w:eastAsia="宋体" w:cs="宋体"/>
          <w:sz w:val="24"/>
          <w:szCs w:val="24"/>
          <w:highlight w:val="none"/>
          <w:lang w:eastAsia="zh-CN"/>
        </w:rPr>
        <w:t>国家发展改革委</w:t>
      </w:r>
      <w:r>
        <w:rPr>
          <w:rFonts w:hint="eastAsia" w:ascii="宋体" w:hAnsi="宋体" w:eastAsia="宋体" w:cs="宋体"/>
          <w:sz w:val="24"/>
          <w:szCs w:val="24"/>
          <w:highlight w:val="none"/>
        </w:rPr>
        <w:t>、工信部、国家数据局等部委关于“东数西算”、数据</w:t>
      </w:r>
      <w:r>
        <w:rPr>
          <w:rFonts w:hint="eastAsia" w:ascii="宋体" w:hAnsi="宋体" w:eastAsia="宋体" w:cs="宋体"/>
          <w:sz w:val="24"/>
          <w:szCs w:val="24"/>
          <w:highlight w:val="none"/>
          <w:lang w:val="en-US" w:eastAsia="zh-CN"/>
        </w:rPr>
        <w:t>基础设施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可信数据空间</w:t>
      </w:r>
      <w:r>
        <w:rPr>
          <w:rFonts w:hint="eastAsia" w:ascii="宋体" w:hAnsi="宋体" w:eastAsia="宋体" w:cs="宋体"/>
          <w:sz w:val="24"/>
          <w:szCs w:val="24"/>
          <w:highlight w:val="none"/>
        </w:rPr>
        <w:t>等领域的最新政策、规划及标准规范。对政策文件进行专业解读，深入分析其对省级基础设施规划、建设、管理的影响，</w:t>
      </w:r>
      <w:r>
        <w:rPr>
          <w:rFonts w:hint="eastAsia" w:ascii="宋体" w:hAnsi="宋体" w:eastAsia="宋体" w:cs="宋体"/>
          <w:sz w:val="24"/>
          <w:szCs w:val="24"/>
          <w:highlight w:val="none"/>
          <w:lang w:val="en-US" w:eastAsia="zh-CN"/>
        </w:rPr>
        <w:t>提供至少5份政策跟踪解读，</w:t>
      </w:r>
      <w:r>
        <w:rPr>
          <w:rFonts w:hint="eastAsia" w:ascii="宋体" w:hAnsi="宋体" w:eastAsia="宋体" w:cs="宋体"/>
          <w:sz w:val="24"/>
          <w:szCs w:val="24"/>
          <w:highlight w:val="none"/>
        </w:rPr>
        <w:t>为省级决策提供政策导向参考。</w:t>
      </w:r>
    </w:p>
    <w:p w14:paraId="3CCD7879">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（4）政策文件汇编与知识库维护服务</w:t>
      </w:r>
    </w:p>
    <w:p w14:paraId="4638A6B2">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全面收集、整理、分类局内印发的基础设施领域政策、通知、规范、技术指南等文件，建立电子化《省级政务基础设施政策文件汇编》知识库。通过动态维护确保结构清晰、检索便捷，为</w:t>
      </w:r>
      <w:r>
        <w:rPr>
          <w:rFonts w:hint="eastAsia" w:ascii="宋体" w:hAnsi="宋体" w:eastAsia="宋体" w:cs="宋体"/>
          <w:sz w:val="24"/>
          <w:szCs w:val="24"/>
          <w:highlight w:val="none"/>
          <w:lang w:val="en-US" w:eastAsia="zh-CN"/>
        </w:rPr>
        <w:t>全省数据部门基础设施建设管理提供权威政策依据，助力高效获取信息与决策支撑</w:t>
      </w:r>
      <w:r>
        <w:rPr>
          <w:rFonts w:hint="eastAsia" w:ascii="宋体" w:hAnsi="宋体" w:eastAsia="宋体" w:cs="宋体"/>
          <w:sz w:val="24"/>
          <w:szCs w:val="24"/>
          <w:highlight w:val="none"/>
        </w:rPr>
        <w:t>。</w:t>
      </w:r>
    </w:p>
    <w:p w14:paraId="74F23F98">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（5）专项技术研究规划服务</w:t>
      </w:r>
    </w:p>
    <w:p w14:paraId="33FBA2D4">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针对采购人在工作中发现的如省级政务云灾备体系建设、公共组件兼容性、视频网规划等特定复杂技术难题，协助开展深入根因分析，设计包含技术路线、架构设计、实施步骤的可行高效解决方案，为基础设施技术问题提供系统性解决路径，至少形成基础设施技术问题专项分析报告1份。</w:t>
      </w:r>
    </w:p>
    <w:p w14:paraId="2783F3CE">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（6）全省数据基础设施专题培训支撑服务</w:t>
      </w:r>
    </w:p>
    <w:p w14:paraId="5C8948BB">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助完成陕西省数据基础设施系列培训的组织工作，完成培训主题确认、联系培训讲师、审核培训内容、协调培训场地、配合培训会议主持、地市数据部门沟通等工作，服务期内协助组织全省数据系统基础设施培训不少于15次（如可信数据空间、区块链、数字化助手或虚拟人等主题），整理形成培训记录台账与培训材料汇编文件。</w:t>
      </w:r>
    </w:p>
    <w:p w14:paraId="559A50D7">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（7）基础设施项目管理支撑服务</w:t>
      </w:r>
    </w:p>
    <w:p w14:paraId="5C7DD717">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协助采购人</w:t>
      </w:r>
      <w:r>
        <w:rPr>
          <w:rFonts w:hint="eastAsia" w:ascii="宋体" w:hAnsi="宋体" w:eastAsia="宋体" w:cs="宋体"/>
          <w:sz w:val="24"/>
          <w:szCs w:val="24"/>
          <w:highlight w:val="none"/>
        </w:rPr>
        <w:t>梳理2025年度基础设施处实施方案内容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2025年9个实施方案）</w:t>
      </w:r>
      <w:r>
        <w:rPr>
          <w:rFonts w:hint="eastAsia" w:ascii="宋体" w:hAnsi="宋体" w:eastAsia="宋体" w:cs="宋体"/>
          <w:sz w:val="24"/>
          <w:szCs w:val="24"/>
          <w:highlight w:val="none"/>
        </w:rPr>
        <w:t>，精准划分业务边界并形成范围划分建议，为基础设施处方案编制提供专业技术指导；</w:t>
      </w:r>
      <w:r>
        <w:rPr>
          <w:rFonts w:hint="eastAsia" w:ascii="宋体" w:hAnsi="宋体" w:eastAsia="宋体" w:cs="宋体"/>
          <w:sz w:val="24"/>
          <w:szCs w:val="24"/>
          <w:highlight w:val="none"/>
          <w:lang w:val="en-US" w:eastAsia="zh-CN"/>
        </w:rPr>
        <w:t>协助处室做好</w:t>
      </w:r>
      <w:r>
        <w:rPr>
          <w:rFonts w:hint="eastAsia" w:ascii="宋体" w:hAnsi="宋体" w:eastAsia="宋体" w:cs="宋体"/>
          <w:sz w:val="24"/>
          <w:szCs w:val="24"/>
          <w:highlight w:val="none"/>
        </w:rPr>
        <w:t>项目全流程管理，从采购、合同签订到项目实施，严格审核各环节技术要点与关键节点，</w:t>
      </w:r>
      <w:r>
        <w:rPr>
          <w:rFonts w:hint="eastAsia" w:ascii="宋体" w:hAnsi="宋体" w:eastAsia="宋体" w:cs="宋体"/>
          <w:sz w:val="24"/>
          <w:szCs w:val="24"/>
          <w:highlight w:val="none"/>
          <w:lang w:val="en-US" w:eastAsia="zh-CN"/>
        </w:rPr>
        <w:t>定期召开项目管理例会，掌握实施进度，了解存在问题，协助采购人推进解决</w:t>
      </w:r>
      <w:r>
        <w:rPr>
          <w:rFonts w:hint="eastAsia" w:ascii="宋体" w:hAnsi="宋体" w:eastAsia="宋体" w:cs="宋体"/>
          <w:sz w:val="24"/>
          <w:szCs w:val="24"/>
          <w:highlight w:val="none"/>
        </w:rPr>
        <w:t>，形成</w:t>
      </w:r>
      <w:r>
        <w:rPr>
          <w:rFonts w:hint="eastAsia" w:ascii="宋体" w:hAnsi="宋体" w:eastAsia="宋体" w:cs="宋体"/>
          <w:sz w:val="24"/>
          <w:szCs w:val="24"/>
          <w:highlight w:val="none"/>
          <w:lang w:val="en-US" w:eastAsia="zh-CN"/>
        </w:rPr>
        <w:t>9个项目的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实施跟踪台账</w:t>
      </w:r>
      <w:r>
        <w:rPr>
          <w:rFonts w:hint="eastAsia" w:ascii="宋体" w:hAnsi="宋体" w:eastAsia="宋体" w:cs="宋体"/>
          <w:sz w:val="24"/>
          <w:szCs w:val="24"/>
          <w:highlight w:val="none"/>
        </w:rPr>
        <w:t>》。</w:t>
      </w:r>
    </w:p>
    <w:p w14:paraId="30DF30B5">
      <w:pPr>
        <w:keepNext w:val="0"/>
        <w:keepLines w:val="0"/>
        <w:pageBreakBefore w:val="0"/>
        <w:kinsoku/>
        <w:overflowPunct/>
        <w:autoSpaceDE/>
        <w:autoSpaceDN/>
        <w:bidi w:val="0"/>
        <w:adjustRightInd/>
        <w:snapToGrid/>
        <w:spacing w:after="0" w:line="360" w:lineRule="auto"/>
        <w:ind w:firstLine="482" w:firstLineChars="200"/>
        <w:outlineLvl w:val="2"/>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2.交付成果</w:t>
      </w:r>
    </w:p>
    <w:p w14:paraId="339EE12A">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rPr>
      </w:pPr>
      <w:r>
        <w:rPr>
          <w:rFonts w:hint="eastAsia" w:ascii="宋体" w:hAnsi="宋体" w:eastAsia="宋体" w:cs="宋体"/>
          <w:b w:val="0"/>
          <w:bCs w:val="0"/>
          <w:sz w:val="24"/>
          <w:szCs w:val="24"/>
          <w:highlight w:val="none"/>
          <w:lang w:val="en-US" w:eastAsia="zh-CN"/>
        </w:rPr>
        <w:t>（1）《项目方案基础设施资源初审意见台账》（不低于60次审核意见，汇总成1份台账）；</w:t>
      </w:r>
    </w:p>
    <w:p w14:paraId="2AA26BD8">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2）《基础设施资源需求清单》1份；</w:t>
      </w:r>
    </w:p>
    <w:p w14:paraId="7F38FEC6">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（3）《政策跟踪解读报告》5份；</w:t>
      </w:r>
    </w:p>
    <w:p w14:paraId="71AF5A3F">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《省级政务基础设施政策文件汇编》</w:t>
      </w:r>
      <w:r>
        <w:rPr>
          <w:rFonts w:hint="eastAsia" w:ascii="宋体" w:hAnsi="宋体" w:eastAsia="宋体" w:cs="宋体"/>
          <w:b w:val="0"/>
          <w:bCs w:val="0"/>
          <w:sz w:val="24"/>
          <w:szCs w:val="24"/>
          <w:highlight w:val="none"/>
          <w:lang w:val="en-US" w:eastAsia="zh-CN"/>
        </w:rPr>
        <w:t>1份；</w:t>
      </w:r>
    </w:p>
    <w:p w14:paraId="41A6D89B">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《基础设施技术问题专项分析报告》</w:t>
      </w:r>
      <w:r>
        <w:rPr>
          <w:rFonts w:hint="eastAsia" w:ascii="宋体" w:hAnsi="宋体" w:eastAsia="宋体" w:cs="宋体"/>
          <w:b w:val="0"/>
          <w:bCs w:val="0"/>
          <w:sz w:val="24"/>
          <w:szCs w:val="24"/>
          <w:highlight w:val="none"/>
          <w:lang w:val="en-US" w:eastAsia="zh-CN"/>
        </w:rPr>
        <w:t>1份；</w:t>
      </w:r>
    </w:p>
    <w:p w14:paraId="2EA5E9BD">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6）全省数据基础设施培训不低于15次，形成培训台账及培训内容汇编；</w:t>
      </w:r>
    </w:p>
    <w:p w14:paraId="28482CFD">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（7）《2025年度基础设施处项目实施跟踪台账》9份。</w:t>
      </w:r>
    </w:p>
    <w:p w14:paraId="259800D8">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说明：上述交付成果名称以采购人最终确认名称为准。</w:t>
      </w:r>
    </w:p>
    <w:p w14:paraId="5FD201A0">
      <w:pPr>
        <w:keepNext w:val="0"/>
        <w:keepLines w:val="0"/>
        <w:pageBreakBefore w:val="0"/>
        <w:kinsoku/>
        <w:overflowPunct/>
        <w:autoSpaceDE/>
        <w:autoSpaceDN/>
        <w:bidi w:val="0"/>
        <w:adjustRightInd/>
        <w:snapToGrid/>
        <w:spacing w:after="0" w:line="360" w:lineRule="auto"/>
        <w:ind w:firstLine="458" w:firstLineChars="200"/>
        <w:outlineLvl w:val="1"/>
        <w:rPr>
          <w:rFonts w:hint="eastAsia" w:ascii="宋体" w:hAnsi="宋体" w:eastAsia="宋体" w:cs="宋体"/>
          <w:b/>
          <w:bCs/>
          <w:w w:val="95"/>
          <w:sz w:val="24"/>
          <w:szCs w:val="24"/>
          <w:highlight w:val="none"/>
          <w:lang w:val="en-US" w:eastAsia="zh-CN"/>
        </w:rPr>
      </w:pPr>
      <w:r>
        <w:rPr>
          <w:rFonts w:hint="eastAsia" w:ascii="宋体" w:hAnsi="宋体" w:eastAsia="宋体" w:cs="宋体"/>
          <w:b/>
          <w:bCs/>
          <w:w w:val="95"/>
          <w:sz w:val="24"/>
          <w:szCs w:val="24"/>
          <w:highlight w:val="none"/>
        </w:rPr>
        <w:t>（三）</w:t>
      </w:r>
      <w:r>
        <w:rPr>
          <w:rFonts w:hint="eastAsia" w:ascii="宋体" w:hAnsi="宋体" w:eastAsia="宋体" w:cs="宋体"/>
          <w:b/>
          <w:bCs/>
          <w:w w:val="95"/>
          <w:sz w:val="24"/>
          <w:szCs w:val="24"/>
          <w:highlight w:val="none"/>
          <w:lang w:val="en-US" w:eastAsia="zh-CN"/>
        </w:rPr>
        <w:t>基础设施标准规范体系研究服务</w:t>
      </w:r>
    </w:p>
    <w:p w14:paraId="66CCCDCA">
      <w:pPr>
        <w:keepNext w:val="0"/>
        <w:keepLines w:val="0"/>
        <w:pageBreakBefore w:val="0"/>
        <w:kinsoku/>
        <w:overflowPunct/>
        <w:autoSpaceDE/>
        <w:autoSpaceDN/>
        <w:bidi w:val="0"/>
        <w:adjustRightInd/>
        <w:snapToGrid/>
        <w:spacing w:after="0"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1.服务内容</w:t>
      </w:r>
    </w:p>
    <w:p w14:paraId="3769EEC8">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）政务视频会议管理体系研究服务</w:t>
      </w:r>
    </w:p>
    <w:p w14:paraId="2DAF3616">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i w:val="0"/>
          <w:iCs w:val="0"/>
          <w:caps w:val="0"/>
          <w:spacing w:val="0"/>
          <w:sz w:val="24"/>
          <w:szCs w:val="24"/>
          <w:highlight w:val="none"/>
          <w:shd w:val="clear" w:color="auto" w:fill="auto"/>
          <w:lang w:val="en-US" w:eastAsia="zh-CN"/>
        </w:rPr>
        <w:t>编制</w:t>
      </w:r>
      <w:r>
        <w:rPr>
          <w:rFonts w:hint="eastAsia" w:ascii="宋体" w:hAnsi="宋体" w:eastAsia="宋体" w:cs="宋体"/>
          <w:sz w:val="24"/>
          <w:szCs w:val="24"/>
          <w:highlight w:val="none"/>
        </w:rPr>
        <w:t>《陕西省政务视频会议管理办法（建议稿）》</w:t>
      </w:r>
      <w:r>
        <w:rPr>
          <w:rFonts w:hint="eastAsia" w:ascii="宋体" w:hAnsi="宋体" w:eastAsia="宋体" w:cs="宋体"/>
          <w:sz w:val="24"/>
          <w:szCs w:val="24"/>
          <w:highlight w:val="none"/>
          <w:lang w:eastAsia="zh-CN"/>
        </w:rPr>
        <w:t>。结合</w:t>
      </w:r>
      <w:r>
        <w:rPr>
          <w:rFonts w:hint="eastAsia" w:ascii="宋体" w:hAnsi="宋体" w:eastAsia="宋体" w:cs="宋体"/>
          <w:sz w:val="24"/>
          <w:szCs w:val="24"/>
          <w:highlight w:val="none"/>
          <w:lang w:val="en-US" w:eastAsia="zh-CN"/>
        </w:rPr>
        <w:t>我省</w:t>
      </w:r>
      <w:r>
        <w:rPr>
          <w:rFonts w:hint="eastAsia" w:ascii="宋体" w:hAnsi="宋体" w:eastAsia="宋体" w:cs="宋体"/>
          <w:sz w:val="24"/>
          <w:szCs w:val="24"/>
          <w:highlight w:val="none"/>
          <w:lang w:eastAsia="zh-CN"/>
        </w:rPr>
        <w:t>实际，明确</w:t>
      </w:r>
      <w:r>
        <w:rPr>
          <w:rFonts w:hint="eastAsia" w:ascii="宋体" w:hAnsi="宋体" w:eastAsia="宋体" w:cs="宋体"/>
          <w:sz w:val="24"/>
          <w:szCs w:val="24"/>
          <w:highlight w:val="none"/>
        </w:rPr>
        <w:t>政务视频会议</w:t>
      </w:r>
      <w:r>
        <w:rPr>
          <w:rFonts w:hint="eastAsia" w:ascii="宋体" w:hAnsi="宋体" w:eastAsia="宋体" w:cs="宋体"/>
          <w:sz w:val="24"/>
          <w:szCs w:val="24"/>
          <w:highlight w:val="none"/>
          <w:lang w:eastAsia="zh-CN"/>
        </w:rPr>
        <w:t>的管理职责、系统对接规范（含边界）、视频会议体系建设要求等内容，为跨部门跨层级视频会议和应急指挥等重大应用场景提供制度保障。</w:t>
      </w:r>
    </w:p>
    <w:p w14:paraId="1D741EEB">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）政务视频数据共享交换平台管理体系研究服务</w:t>
      </w:r>
    </w:p>
    <w:p w14:paraId="4850FDD8">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i w:val="0"/>
          <w:iCs w:val="0"/>
          <w:caps w:val="0"/>
          <w:spacing w:val="0"/>
          <w:sz w:val="24"/>
          <w:szCs w:val="24"/>
          <w:highlight w:val="none"/>
          <w:shd w:val="clear" w:color="auto" w:fill="auto"/>
          <w:lang w:val="en-US" w:eastAsia="zh-CN"/>
        </w:rPr>
      </w:pPr>
      <w:r>
        <w:rPr>
          <w:rFonts w:hint="eastAsia" w:ascii="宋体" w:hAnsi="宋体" w:eastAsia="宋体" w:cs="宋体"/>
          <w:b w:val="0"/>
          <w:bCs w:val="0"/>
          <w:i w:val="0"/>
          <w:iCs w:val="0"/>
          <w:caps w:val="0"/>
          <w:spacing w:val="0"/>
          <w:sz w:val="24"/>
          <w:szCs w:val="24"/>
          <w:highlight w:val="none"/>
          <w:shd w:val="clear" w:color="auto" w:fill="auto"/>
          <w:lang w:val="en-US" w:eastAsia="zh-CN"/>
        </w:rPr>
        <w:t>编制</w:t>
      </w:r>
      <w:r>
        <w:rPr>
          <w:rFonts w:hint="eastAsia" w:ascii="宋体" w:hAnsi="宋体" w:eastAsia="宋体" w:cs="宋体"/>
          <w:sz w:val="24"/>
          <w:szCs w:val="24"/>
          <w:highlight w:val="none"/>
        </w:rPr>
        <w:t>《陕西省视频数据共享交换平台管理办法（建议稿）》</w:t>
      </w:r>
      <w:r>
        <w:rPr>
          <w:rFonts w:hint="eastAsia" w:ascii="宋体" w:hAnsi="宋体" w:eastAsia="宋体" w:cs="宋体"/>
          <w:i w:val="0"/>
          <w:iCs w:val="0"/>
          <w:caps w:val="0"/>
          <w:color w:val="auto"/>
          <w:spacing w:val="0"/>
          <w:sz w:val="24"/>
          <w:szCs w:val="24"/>
          <w:highlight w:val="none"/>
          <w:shd w:val="clear" w:color="auto" w:fill="auto"/>
          <w:lang w:eastAsia="zh-CN"/>
        </w:rPr>
        <w:t>。通过全面调研全省视频资源现状与共享需求，明确管理职责，制定包括数据目录、共享流程、安全规范和监督考核在内的制度框架，构建跨部门、跨层级、跨地域的视频数据共享交换体系，为平台后续运营与管理提供制度保障</w:t>
      </w:r>
      <w:r>
        <w:rPr>
          <w:rFonts w:hint="eastAsia" w:ascii="宋体" w:hAnsi="宋体" w:eastAsia="宋体" w:cs="宋体"/>
          <w:i w:val="0"/>
          <w:iCs w:val="0"/>
          <w:caps w:val="0"/>
          <w:spacing w:val="0"/>
          <w:sz w:val="24"/>
          <w:szCs w:val="24"/>
          <w:highlight w:val="none"/>
          <w:shd w:val="clear" w:color="auto" w:fill="auto"/>
          <w:lang w:eastAsia="zh-CN"/>
        </w:rPr>
        <w:t>。</w:t>
      </w:r>
    </w:p>
    <w:p w14:paraId="5BDCE819">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3）先进省份人工智能大模型在政务领域部署使用专项调研服务</w:t>
      </w:r>
    </w:p>
    <w:p w14:paraId="56669E83">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一是</w:t>
      </w:r>
      <w:r>
        <w:rPr>
          <w:rFonts w:hint="eastAsia" w:ascii="宋体" w:hAnsi="宋体" w:eastAsia="宋体" w:cs="宋体"/>
          <w:sz w:val="24"/>
          <w:szCs w:val="24"/>
          <w:highlight w:val="none"/>
        </w:rPr>
        <w:t>梳理全国人工智能大模型在政务领域应用部署情况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赴</w:t>
      </w:r>
      <w:r>
        <w:rPr>
          <w:rFonts w:hint="eastAsia" w:ascii="宋体" w:hAnsi="宋体" w:eastAsia="宋体" w:cs="宋体"/>
          <w:sz w:val="24"/>
          <w:szCs w:val="24"/>
          <w:highlight w:val="none"/>
        </w:rPr>
        <w:t>广东、安徽等先进省份</w:t>
      </w:r>
      <w:r>
        <w:rPr>
          <w:rFonts w:hint="eastAsia" w:ascii="宋体" w:hAnsi="宋体" w:eastAsia="宋体" w:cs="宋体"/>
          <w:sz w:val="24"/>
          <w:szCs w:val="24"/>
          <w:highlight w:val="none"/>
          <w:lang w:val="en-US" w:eastAsia="zh-CN"/>
        </w:rPr>
        <w:t>开展</w:t>
      </w:r>
      <w:r>
        <w:rPr>
          <w:rFonts w:hint="eastAsia" w:ascii="宋体" w:hAnsi="宋体" w:eastAsia="宋体" w:cs="宋体"/>
          <w:sz w:val="24"/>
          <w:szCs w:val="24"/>
          <w:highlight w:val="none"/>
        </w:rPr>
        <w:t>专项调研，与今日人才等代表性企业进行座谈交流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充分了解省外及龙头企业大模型部署应用模式。</w:t>
      </w:r>
    </w:p>
    <w:p w14:paraId="701D3B5A">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二是</w:t>
      </w:r>
      <w:r>
        <w:rPr>
          <w:rFonts w:hint="eastAsia" w:ascii="宋体" w:hAnsi="宋体" w:eastAsia="宋体" w:cs="宋体"/>
          <w:sz w:val="24"/>
          <w:szCs w:val="24"/>
          <w:highlight w:val="none"/>
        </w:rPr>
        <w:t>在省内，通过问卷调查、专题座谈、现场访谈等多种形式，与</w:t>
      </w:r>
      <w:r>
        <w:rPr>
          <w:rFonts w:hint="eastAsia" w:ascii="宋体" w:hAnsi="宋体" w:eastAsia="宋体" w:cs="宋体"/>
          <w:sz w:val="24"/>
          <w:szCs w:val="24"/>
          <w:highlight w:val="none"/>
          <w:lang w:val="en-US" w:eastAsia="zh-CN"/>
        </w:rPr>
        <w:t>相关部门和企业</w:t>
      </w:r>
      <w:r>
        <w:rPr>
          <w:rFonts w:hint="eastAsia" w:ascii="宋体" w:hAnsi="宋体" w:eastAsia="宋体" w:cs="宋体"/>
          <w:sz w:val="24"/>
          <w:szCs w:val="24"/>
          <w:highlight w:val="none"/>
        </w:rPr>
        <w:t>进行广泛调研，全面掌握陕西省人工智能大模型在政务领域的需求与现状。</w:t>
      </w:r>
    </w:p>
    <w:p w14:paraId="28AE5EDC">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三是</w:t>
      </w:r>
      <w:r>
        <w:rPr>
          <w:rFonts w:hint="eastAsia" w:ascii="宋体" w:hAnsi="宋体" w:eastAsia="宋体" w:cs="宋体"/>
          <w:sz w:val="24"/>
          <w:szCs w:val="24"/>
          <w:highlight w:val="none"/>
        </w:rPr>
        <w:t>系统总结国内和省内发展现状，精准识别潜在风险，并立足陕西省实际情况，重点围绕政务算力基础设施构建、政务大模型、模型中台搭建、知识库建设、智能体编排等基础支撑体系展开深入探讨，提出具有前瞻性与可操作性的实施建议，推动大模型更好赋能各级政务部门应用创新与服务升级。</w:t>
      </w:r>
    </w:p>
    <w:p w14:paraId="73CFF378">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4）陕西省政务大模型使用指引编制服务</w:t>
      </w:r>
    </w:p>
    <w:p w14:paraId="6C17CA96">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研究编制</w:t>
      </w:r>
      <w:r>
        <w:rPr>
          <w:rFonts w:hint="eastAsia" w:ascii="宋体" w:hAnsi="宋体" w:eastAsia="宋体" w:cs="宋体"/>
          <w:sz w:val="24"/>
          <w:szCs w:val="24"/>
          <w:highlight w:val="none"/>
        </w:rPr>
        <w:t>全省政务领域人工智能部署应用指引，确立人工智能大模型在省级政务领域部署应用的整体框架与原则；清晰界定不同层级、不同部门在人工智能应用中的职责分工。构建覆盖人工智能大模型资源需求分析、资源申请、使用安全责任、接口对接等环节工作流程；明确数据全生命周期安全、模型自身安全、算法安全、应用安全等关键环节的安全防护要求。为省级各部门安全、合规、高效地使用政务领域人工智能大模型提供指导，推动人工智能赋能政务服务效能提升。</w:t>
      </w:r>
    </w:p>
    <w:p w14:paraId="66AB3515">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）政务基础设施年度分析服务</w:t>
      </w:r>
    </w:p>
    <w:p w14:paraId="0ED8E7E1">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面收集、整理政务基础设施运营服务全过程的资料与数据，并基于此对年度基础设施资源发展态势进行深度梳理与综合分析，编制《陕西省政务基础设施年度发展报告（2025年）》，系统总结年度发展成效。重点聚焦本年度政务基础设施在以下关键领域的成果与进展：</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eastAsia="zh-CN"/>
        </w:rPr>
        <w:t>资源整合深化方面，展示跨部门、跨层级基础设施资源集约化建设、共享共用水平提升的具体成效与典型案例；</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eastAsia="zh-CN"/>
        </w:rPr>
        <w:t>成本优化管控方面，量化呈现资源利用率提升、运维效率改进所带来的财政资金节约效果与成本控制机制创新；</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eastAsia="zh-CN"/>
        </w:rPr>
        <w:t>服务效能跃升方面，客观反映基础设施支撑能力增强、业务系统运行稳定性提高对政务服务效率与公众体验的积极影响。</w:t>
      </w:r>
    </w:p>
    <w:p w14:paraId="657F7DC5">
      <w:pPr>
        <w:keepNext w:val="0"/>
        <w:keepLines w:val="0"/>
        <w:pageBreakBefore w:val="0"/>
        <w:widowControl/>
        <w:numPr>
          <w:ilvl w:val="0"/>
          <w:numId w:val="0"/>
        </w:numPr>
        <w:kinsoku/>
        <w:overflowPunct/>
        <w:autoSpaceDE/>
        <w:autoSpaceDN/>
        <w:bidi w:val="0"/>
        <w:adjustRightInd/>
        <w:snapToGrid/>
        <w:spacing w:after="0"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2.交付成果</w:t>
      </w:r>
    </w:p>
    <w:p w14:paraId="06B7E2AE">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《陕西省政务视频会议管理办法（建议稿）》1份；</w:t>
      </w:r>
    </w:p>
    <w:p w14:paraId="1AA247DE">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《陕西省视频数据共享交换平台管理办法（建议稿）》1份；</w:t>
      </w:r>
    </w:p>
    <w:p w14:paraId="27B5CBE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color w:val="000000"/>
          <w:kern w:val="0"/>
          <w:sz w:val="24"/>
          <w:szCs w:val="24"/>
          <w:highlight w:val="none"/>
          <w:lang w:val="en-US" w:eastAsia="zh-CN" w:bidi="ar"/>
        </w:rPr>
        <w:t>《陕西省人工智能大模型在政务领域部署使用专项调研报告</w:t>
      </w:r>
      <w:r>
        <w:rPr>
          <w:rFonts w:hint="eastAsia" w:ascii="宋体" w:hAnsi="宋体" w:eastAsia="宋体" w:cs="宋体"/>
          <w:sz w:val="24"/>
          <w:szCs w:val="24"/>
          <w:highlight w:val="none"/>
        </w:rPr>
        <w:t>》（1份）；</w:t>
      </w:r>
    </w:p>
    <w:p w14:paraId="24899538">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陕西省政务大模型使用指引（建议稿）</w:t>
      </w:r>
      <w:r>
        <w:rPr>
          <w:rFonts w:hint="eastAsia" w:ascii="宋体" w:hAnsi="宋体" w:eastAsia="宋体" w:cs="宋体"/>
          <w:sz w:val="24"/>
          <w:szCs w:val="24"/>
          <w:highlight w:val="none"/>
        </w:rPr>
        <w:t>》（1份）</w:t>
      </w:r>
      <w:r>
        <w:rPr>
          <w:rFonts w:hint="eastAsia" w:ascii="宋体" w:hAnsi="宋体" w:eastAsia="宋体" w:cs="宋体"/>
          <w:sz w:val="24"/>
          <w:szCs w:val="24"/>
          <w:highlight w:val="none"/>
          <w:lang w:eastAsia="zh-CN"/>
        </w:rPr>
        <w:t>；</w:t>
      </w:r>
    </w:p>
    <w:p w14:paraId="6C714DA6">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说明：上述</w:t>
      </w:r>
      <w:r>
        <w:rPr>
          <w:rFonts w:hint="eastAsia" w:ascii="宋体" w:hAnsi="宋体" w:eastAsia="宋体" w:cs="宋体"/>
          <w:sz w:val="24"/>
          <w:szCs w:val="24"/>
          <w:highlight w:val="none"/>
        </w:rPr>
        <w:t>交付成果名称以采购人最终确认名称为准</w:t>
      </w:r>
      <w:r>
        <w:rPr>
          <w:rFonts w:hint="eastAsia" w:ascii="宋体" w:hAnsi="宋体" w:eastAsia="宋体" w:cs="宋体"/>
          <w:sz w:val="24"/>
          <w:szCs w:val="24"/>
          <w:highlight w:val="none"/>
          <w:lang w:eastAsia="zh-CN"/>
        </w:rPr>
        <w:t>。</w:t>
      </w:r>
    </w:p>
    <w:p w14:paraId="3C496C06">
      <w:pPr>
        <w:keepNext w:val="0"/>
        <w:keepLines w:val="0"/>
        <w:pageBreakBefore w:val="0"/>
        <w:kinsoku/>
        <w:overflowPunct/>
        <w:autoSpaceDE/>
        <w:autoSpaceDN/>
        <w:bidi w:val="0"/>
        <w:adjustRightInd/>
        <w:snapToGrid/>
        <w:spacing w:after="0" w:line="360" w:lineRule="auto"/>
        <w:ind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陕西省政务基础设施年度发展报告（2025年）</w:t>
      </w:r>
      <w:r>
        <w:rPr>
          <w:rFonts w:hint="eastAsia" w:ascii="宋体" w:hAnsi="宋体" w:eastAsia="宋体" w:cs="宋体"/>
          <w:sz w:val="24"/>
          <w:szCs w:val="24"/>
          <w:highlight w:val="none"/>
        </w:rPr>
        <w:t>》1份。</w:t>
      </w:r>
    </w:p>
    <w:p w14:paraId="6397671D">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说明：上述</w:t>
      </w:r>
      <w:r>
        <w:rPr>
          <w:rFonts w:hint="eastAsia" w:ascii="宋体" w:hAnsi="宋体" w:eastAsia="宋体" w:cs="宋体"/>
          <w:sz w:val="24"/>
          <w:szCs w:val="24"/>
          <w:highlight w:val="none"/>
        </w:rPr>
        <w:t>交付成果名称以采购人最终确认名称为准</w:t>
      </w:r>
      <w:r>
        <w:rPr>
          <w:rFonts w:hint="eastAsia" w:ascii="宋体" w:hAnsi="宋体" w:eastAsia="宋体" w:cs="宋体"/>
          <w:sz w:val="24"/>
          <w:szCs w:val="24"/>
          <w:highlight w:val="none"/>
          <w:lang w:eastAsia="zh-CN"/>
        </w:rPr>
        <w:t>。</w:t>
      </w:r>
    </w:p>
    <w:p w14:paraId="75E95A82">
      <w:pPr>
        <w:keepNext w:val="0"/>
        <w:keepLines w:val="0"/>
        <w:pageBreakBefore w:val="0"/>
        <w:numPr>
          <w:ilvl w:val="0"/>
          <w:numId w:val="1"/>
        </w:numPr>
        <w:kinsoku/>
        <w:overflowPunct/>
        <w:autoSpaceDE/>
        <w:autoSpaceDN/>
        <w:bidi w:val="0"/>
        <w:adjustRightInd/>
        <w:snapToGrid/>
        <w:spacing w:after="0" w:line="360" w:lineRule="auto"/>
        <w:ind w:firstLine="458" w:firstLineChars="200"/>
        <w:outlineLvl w:val="1"/>
        <w:rPr>
          <w:rFonts w:hint="eastAsia" w:ascii="宋体" w:hAnsi="宋体" w:eastAsia="宋体" w:cs="宋体"/>
          <w:b/>
          <w:bCs/>
          <w:w w:val="95"/>
          <w:kern w:val="2"/>
          <w:sz w:val="24"/>
          <w:szCs w:val="24"/>
          <w:highlight w:val="none"/>
          <w:lang w:val="en-US" w:eastAsia="zh-CN" w:bidi="ar-SA"/>
        </w:rPr>
      </w:pPr>
      <w:r>
        <w:rPr>
          <w:rFonts w:hint="eastAsia" w:ascii="宋体" w:hAnsi="宋体" w:eastAsia="宋体" w:cs="宋体"/>
          <w:b/>
          <w:bCs/>
          <w:w w:val="95"/>
          <w:kern w:val="2"/>
          <w:sz w:val="24"/>
          <w:szCs w:val="24"/>
          <w:highlight w:val="none"/>
          <w:lang w:val="en-US" w:eastAsia="zh-CN" w:bidi="ar-SA"/>
        </w:rPr>
        <w:t>项目交付计划</w:t>
      </w:r>
    </w:p>
    <w:p w14:paraId="18FDCA6A">
      <w:pPr>
        <w:keepNext w:val="0"/>
        <w:keepLines w:val="0"/>
        <w:pageBreakBefore w:val="0"/>
        <w:kinsoku/>
        <w:overflowPunct/>
        <w:autoSpaceDE/>
        <w:autoSpaceDN/>
        <w:bidi w:val="0"/>
        <w:adjustRightInd/>
        <w:snapToGrid/>
        <w:spacing w:after="0" w:line="360" w:lineRule="auto"/>
        <w:ind w:firstLine="480" w:firstLineChars="200"/>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本项目具体交付计划如下，</w:t>
      </w:r>
      <w:r>
        <w:rPr>
          <w:rFonts w:hint="eastAsia" w:ascii="宋体" w:hAnsi="宋体" w:eastAsia="宋体" w:cs="宋体"/>
          <w:sz w:val="24"/>
          <w:highlight w:val="none"/>
        </w:rPr>
        <w:t>（包括但不限于）成果物：</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18"/>
        <w:gridCol w:w="659"/>
        <w:gridCol w:w="659"/>
        <w:gridCol w:w="659"/>
        <w:gridCol w:w="659"/>
        <w:gridCol w:w="659"/>
        <w:gridCol w:w="659"/>
        <w:gridCol w:w="685"/>
        <w:gridCol w:w="686"/>
      </w:tblGrid>
      <w:tr w14:paraId="4A10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455" w:type="pct"/>
            <w:vMerge w:val="restart"/>
            <w:noWrap/>
            <w:vAlign w:val="center"/>
          </w:tcPr>
          <w:p w14:paraId="3CC430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序号</w:t>
            </w:r>
          </w:p>
        </w:tc>
        <w:tc>
          <w:tcPr>
            <w:tcW w:w="1419" w:type="pct"/>
            <w:vMerge w:val="restart"/>
            <w:noWrap/>
            <w:vAlign w:val="center"/>
          </w:tcPr>
          <w:p w14:paraId="527E46C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成果名称</w:t>
            </w:r>
          </w:p>
        </w:tc>
        <w:tc>
          <w:tcPr>
            <w:tcW w:w="2724" w:type="pct"/>
            <w:gridSpan w:val="7"/>
            <w:noWrap/>
            <w:vAlign w:val="center"/>
          </w:tcPr>
          <w:p w14:paraId="1B8AC2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项目交付成果数量及对应时限</w:t>
            </w:r>
          </w:p>
        </w:tc>
        <w:tc>
          <w:tcPr>
            <w:tcW w:w="400" w:type="pct"/>
            <w:vMerge w:val="restart"/>
            <w:noWrap/>
            <w:vAlign w:val="center"/>
          </w:tcPr>
          <w:p w14:paraId="1F3D6F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交付总数量</w:t>
            </w:r>
          </w:p>
        </w:tc>
      </w:tr>
      <w:tr w14:paraId="0C36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455" w:type="pct"/>
            <w:vMerge w:val="continue"/>
            <w:noWrap/>
            <w:vAlign w:val="center"/>
          </w:tcPr>
          <w:p w14:paraId="2056BD48">
            <w:pPr>
              <w:jc w:val="center"/>
              <w:rPr>
                <w:rFonts w:hint="default" w:ascii="Times New Roman" w:hAnsi="Times New Roman" w:eastAsia="宋体" w:cs="Times New Roman"/>
                <w:b/>
                <w:bCs/>
                <w:i w:val="0"/>
                <w:iCs w:val="0"/>
                <w:color w:val="000000"/>
                <w:sz w:val="24"/>
                <w:szCs w:val="24"/>
                <w:highlight w:val="none"/>
                <w:u w:val="none"/>
              </w:rPr>
            </w:pPr>
          </w:p>
        </w:tc>
        <w:tc>
          <w:tcPr>
            <w:tcW w:w="1419" w:type="pct"/>
            <w:vMerge w:val="continue"/>
            <w:noWrap/>
            <w:vAlign w:val="center"/>
          </w:tcPr>
          <w:p w14:paraId="2A505FA8">
            <w:pPr>
              <w:jc w:val="center"/>
              <w:rPr>
                <w:rFonts w:hint="default" w:ascii="Times New Roman" w:hAnsi="Times New Roman" w:eastAsia="宋体" w:cs="Times New Roman"/>
                <w:b/>
                <w:bCs/>
                <w:i w:val="0"/>
                <w:iCs w:val="0"/>
                <w:color w:val="000000"/>
                <w:sz w:val="24"/>
                <w:szCs w:val="24"/>
                <w:highlight w:val="none"/>
                <w:u w:val="none"/>
              </w:rPr>
            </w:pPr>
          </w:p>
        </w:tc>
        <w:tc>
          <w:tcPr>
            <w:tcW w:w="387" w:type="pct"/>
            <w:noWrap/>
            <w:vAlign w:val="center"/>
          </w:tcPr>
          <w:p w14:paraId="64920F2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2026年1月</w:t>
            </w:r>
          </w:p>
        </w:tc>
        <w:tc>
          <w:tcPr>
            <w:tcW w:w="387" w:type="pct"/>
            <w:noWrap/>
            <w:vAlign w:val="center"/>
          </w:tcPr>
          <w:p w14:paraId="3D2A0E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2026年2月</w:t>
            </w:r>
          </w:p>
        </w:tc>
        <w:tc>
          <w:tcPr>
            <w:tcW w:w="387" w:type="pct"/>
            <w:noWrap/>
            <w:vAlign w:val="center"/>
          </w:tcPr>
          <w:p w14:paraId="545854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2026年3月</w:t>
            </w:r>
          </w:p>
        </w:tc>
        <w:tc>
          <w:tcPr>
            <w:tcW w:w="387" w:type="pct"/>
            <w:noWrap/>
            <w:vAlign w:val="center"/>
          </w:tcPr>
          <w:p w14:paraId="244C9CE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2026年4月</w:t>
            </w:r>
          </w:p>
        </w:tc>
        <w:tc>
          <w:tcPr>
            <w:tcW w:w="387" w:type="pct"/>
            <w:noWrap/>
            <w:vAlign w:val="center"/>
          </w:tcPr>
          <w:p w14:paraId="5C464EB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2026年5月</w:t>
            </w:r>
          </w:p>
        </w:tc>
        <w:tc>
          <w:tcPr>
            <w:tcW w:w="387" w:type="pct"/>
            <w:noWrap/>
            <w:vAlign w:val="center"/>
          </w:tcPr>
          <w:p w14:paraId="041AE0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2026年6月</w:t>
            </w:r>
          </w:p>
        </w:tc>
        <w:tc>
          <w:tcPr>
            <w:tcW w:w="399" w:type="pct"/>
            <w:noWrap/>
            <w:vAlign w:val="center"/>
          </w:tcPr>
          <w:p w14:paraId="37212B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2026年7月</w:t>
            </w:r>
          </w:p>
        </w:tc>
        <w:tc>
          <w:tcPr>
            <w:tcW w:w="400" w:type="pct"/>
            <w:vMerge w:val="continue"/>
            <w:noWrap/>
            <w:vAlign w:val="center"/>
          </w:tcPr>
          <w:p w14:paraId="5A77A426">
            <w:pPr>
              <w:jc w:val="center"/>
              <w:rPr>
                <w:rFonts w:hint="default" w:ascii="Times New Roman" w:hAnsi="Times New Roman" w:eastAsia="宋体" w:cs="Times New Roman"/>
                <w:b/>
                <w:bCs/>
                <w:i w:val="0"/>
                <w:iCs w:val="0"/>
                <w:color w:val="000000"/>
                <w:sz w:val="24"/>
                <w:szCs w:val="24"/>
                <w:highlight w:val="none"/>
                <w:u w:val="none"/>
              </w:rPr>
            </w:pPr>
          </w:p>
        </w:tc>
      </w:tr>
      <w:tr w14:paraId="5F40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071A96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（一）</w:t>
            </w:r>
          </w:p>
        </w:tc>
        <w:tc>
          <w:tcPr>
            <w:tcW w:w="4544" w:type="pct"/>
            <w:gridSpan w:val="9"/>
            <w:noWrap/>
            <w:vAlign w:val="center"/>
          </w:tcPr>
          <w:p w14:paraId="7E2352C0">
            <w:pPr>
              <w:keepNext w:val="0"/>
              <w:keepLines w:val="0"/>
              <w:widowControl/>
              <w:suppressLineNumbers w:val="0"/>
              <w:spacing w:line="240" w:lineRule="auto"/>
              <w:ind w:firstLine="0" w:firstLineChars="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政务云服务质量分析服务</w:t>
            </w:r>
          </w:p>
        </w:tc>
      </w:tr>
      <w:tr w14:paraId="7F18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1FA5FD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1419" w:type="pct"/>
            <w:noWrap w:val="0"/>
            <w:vAlign w:val="center"/>
          </w:tcPr>
          <w:p w14:paraId="37688C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《陕西省政务云摸底评估报告》</w:t>
            </w:r>
          </w:p>
        </w:tc>
        <w:tc>
          <w:tcPr>
            <w:tcW w:w="387" w:type="pct"/>
            <w:noWrap/>
            <w:vAlign w:val="center"/>
          </w:tcPr>
          <w:p w14:paraId="03A43C7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0793149E">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0434717B">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64B8E339">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EB760CA">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B4A5468">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51A67E96">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45DDC01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3DC9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009F2C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419" w:type="pct"/>
            <w:noWrap w:val="0"/>
            <w:vAlign w:val="center"/>
          </w:tcPr>
          <w:p w14:paraId="2290BE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《陕西省省级政务云统一服务目录及预算标准（建议稿）》</w:t>
            </w:r>
          </w:p>
        </w:tc>
        <w:tc>
          <w:tcPr>
            <w:tcW w:w="387" w:type="pct"/>
            <w:noWrap/>
            <w:vAlign w:val="center"/>
          </w:tcPr>
          <w:p w14:paraId="1CA734D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270216B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03714FBF">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5568A4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0D4200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E389E25">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0AEF1F58">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54D59F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218C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0D9797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419" w:type="pct"/>
            <w:noWrap w:val="0"/>
            <w:vAlign w:val="center"/>
          </w:tcPr>
          <w:p w14:paraId="55F75B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《省级政务云服务目录答疑工作台账》</w:t>
            </w:r>
          </w:p>
        </w:tc>
        <w:tc>
          <w:tcPr>
            <w:tcW w:w="387" w:type="pct"/>
            <w:noWrap/>
            <w:vAlign w:val="center"/>
          </w:tcPr>
          <w:p w14:paraId="109852F9">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B9484F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490AAA99">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681A9DD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3056C39C">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6EECC41">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3A2DF5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400" w:type="pct"/>
            <w:noWrap/>
            <w:vAlign w:val="center"/>
          </w:tcPr>
          <w:p w14:paraId="2CBA9B3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136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779C90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1419" w:type="pct"/>
            <w:noWrap w:val="0"/>
            <w:vAlign w:val="center"/>
          </w:tcPr>
          <w:p w14:paraId="2BD2B33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《陕西省省级政务云结算考核办法（建议稿）》</w:t>
            </w:r>
          </w:p>
        </w:tc>
        <w:tc>
          <w:tcPr>
            <w:tcW w:w="387" w:type="pct"/>
            <w:noWrap/>
            <w:vAlign w:val="center"/>
          </w:tcPr>
          <w:p w14:paraId="0EA8F2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01826F2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F03A7F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AFE6F29">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6CD0A27">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FD4045F">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33A2736D">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14E86E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72C3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7ACA0C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419" w:type="pct"/>
            <w:noWrap w:val="0"/>
            <w:vAlign w:val="center"/>
          </w:tcPr>
          <w:p w14:paraId="1BB09F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《省级政务云资源使用效率评估标准（建议稿）》</w:t>
            </w:r>
          </w:p>
        </w:tc>
        <w:tc>
          <w:tcPr>
            <w:tcW w:w="387" w:type="pct"/>
            <w:noWrap/>
            <w:vAlign w:val="center"/>
          </w:tcPr>
          <w:p w14:paraId="1DF3553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529B444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CA2839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AAEFD1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BCF7F8B">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D2815BC">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7CD0A3D5">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482557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77E0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2E14E7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419" w:type="pct"/>
            <w:noWrap w:val="0"/>
            <w:vAlign w:val="center"/>
          </w:tcPr>
          <w:p w14:paraId="65AD41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《省级政务云运行监督评估报告》</w:t>
            </w:r>
          </w:p>
        </w:tc>
        <w:tc>
          <w:tcPr>
            <w:tcW w:w="387" w:type="pct"/>
            <w:noWrap/>
            <w:vAlign w:val="center"/>
          </w:tcPr>
          <w:p w14:paraId="6E40075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283A3E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0FD0CDE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1CB3A1F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4AE4E2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057F33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99" w:type="pct"/>
            <w:noWrap/>
            <w:vAlign w:val="center"/>
          </w:tcPr>
          <w:p w14:paraId="7DCE2E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400" w:type="pct"/>
            <w:noWrap/>
            <w:vAlign w:val="center"/>
          </w:tcPr>
          <w:p w14:paraId="3932BE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不少于</w:t>
            </w:r>
            <w:r>
              <w:rPr>
                <w:rStyle w:val="4"/>
                <w:rFonts w:hint="default" w:ascii="Times New Roman" w:hAnsi="Times New Roman" w:eastAsia="宋体" w:cs="Times New Roman"/>
                <w:sz w:val="24"/>
                <w:szCs w:val="24"/>
                <w:highlight w:val="none"/>
                <w:lang w:val="en-US" w:eastAsia="zh-CN" w:bidi="ar"/>
              </w:rPr>
              <w:t>7</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07D5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4D1CE12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419" w:type="pct"/>
            <w:noWrap w:val="0"/>
            <w:vAlign w:val="center"/>
          </w:tcPr>
          <w:p w14:paraId="0962456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《省级部门政务云资源使用效益评估报告》</w:t>
            </w:r>
          </w:p>
        </w:tc>
        <w:tc>
          <w:tcPr>
            <w:tcW w:w="387" w:type="pct"/>
            <w:noWrap/>
            <w:vAlign w:val="bottom"/>
          </w:tcPr>
          <w:p w14:paraId="1BC35A9C">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485AC1F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F181FF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13AF321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36F316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5772B8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99" w:type="pct"/>
            <w:noWrap/>
            <w:vAlign w:val="center"/>
          </w:tcPr>
          <w:p w14:paraId="0BCECF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400" w:type="pct"/>
            <w:noWrap/>
            <w:vAlign w:val="center"/>
          </w:tcPr>
          <w:p w14:paraId="37FDADA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不少于</w:t>
            </w:r>
            <w:r>
              <w:rPr>
                <w:rStyle w:val="4"/>
                <w:rFonts w:hint="default" w:ascii="Times New Roman" w:hAnsi="Times New Roman" w:eastAsia="宋体" w:cs="Times New Roman"/>
                <w:sz w:val="24"/>
                <w:szCs w:val="24"/>
                <w:highlight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05BE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7959A2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（二）</w:t>
            </w:r>
          </w:p>
        </w:tc>
        <w:tc>
          <w:tcPr>
            <w:tcW w:w="4544" w:type="pct"/>
            <w:gridSpan w:val="9"/>
            <w:noWrap/>
            <w:vAlign w:val="center"/>
          </w:tcPr>
          <w:p w14:paraId="157E0B50">
            <w:pPr>
              <w:keepNext w:val="0"/>
              <w:keepLines w:val="0"/>
              <w:widowControl/>
              <w:suppressLineNumbers w:val="0"/>
              <w:spacing w:line="240" w:lineRule="auto"/>
              <w:ind w:firstLine="0" w:firstLineChars="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基础设施领域技术保障服务</w:t>
            </w:r>
          </w:p>
        </w:tc>
      </w:tr>
      <w:tr w14:paraId="6357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5" w:type="pct"/>
            <w:noWrap/>
            <w:vAlign w:val="center"/>
          </w:tcPr>
          <w:p w14:paraId="2EB681D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1419" w:type="pct"/>
            <w:noWrap/>
            <w:vAlign w:val="center"/>
          </w:tcPr>
          <w:p w14:paraId="742A3B3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《项目方案基础设施资源初审意见台账》</w:t>
            </w:r>
          </w:p>
        </w:tc>
        <w:tc>
          <w:tcPr>
            <w:tcW w:w="387" w:type="pct"/>
            <w:noWrap/>
            <w:vAlign w:val="center"/>
          </w:tcPr>
          <w:p w14:paraId="315277F7">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C83045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50A896B">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61D12887">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0E7022E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8C163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99" w:type="pct"/>
            <w:noWrap/>
            <w:vAlign w:val="center"/>
          </w:tcPr>
          <w:p w14:paraId="467C987B">
            <w:pPr>
              <w:jc w:val="center"/>
              <w:rPr>
                <w:rFonts w:hint="default" w:ascii="Times New Roman" w:hAnsi="Times New Roman" w:eastAsia="宋体" w:cs="Times New Roman"/>
                <w:i w:val="0"/>
                <w:iCs w:val="0"/>
                <w:color w:val="000000"/>
                <w:sz w:val="24"/>
                <w:szCs w:val="24"/>
                <w:highlight w:val="none"/>
                <w:u w:val="none"/>
              </w:rPr>
            </w:pPr>
          </w:p>
        </w:tc>
        <w:tc>
          <w:tcPr>
            <w:tcW w:w="400" w:type="pct"/>
            <w:noWrap w:val="0"/>
            <w:vAlign w:val="center"/>
          </w:tcPr>
          <w:p w14:paraId="3642D4F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份（不低于60次审核意见，汇总成1份台账）</w:t>
            </w:r>
          </w:p>
        </w:tc>
      </w:tr>
      <w:tr w14:paraId="564C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308232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419" w:type="pct"/>
            <w:noWrap/>
            <w:vAlign w:val="center"/>
          </w:tcPr>
          <w:p w14:paraId="37A567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《基础设施资源需求清单》</w:t>
            </w:r>
          </w:p>
        </w:tc>
        <w:tc>
          <w:tcPr>
            <w:tcW w:w="387" w:type="pct"/>
            <w:noWrap/>
            <w:vAlign w:val="center"/>
          </w:tcPr>
          <w:p w14:paraId="529C374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F1403D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8030515">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4F60C4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042F834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035D8415">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28F3F4EB">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01F15A2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67FA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3CEE961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419" w:type="pct"/>
            <w:noWrap/>
            <w:vAlign w:val="center"/>
          </w:tcPr>
          <w:p w14:paraId="0956DD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《政策跟踪解读报告》</w:t>
            </w:r>
          </w:p>
        </w:tc>
        <w:tc>
          <w:tcPr>
            <w:tcW w:w="387" w:type="pct"/>
            <w:noWrap/>
            <w:vAlign w:val="center"/>
          </w:tcPr>
          <w:p w14:paraId="74E5547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87FBB46">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26E4E5E">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572D76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5751DC06">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0B2680E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5份</w:t>
            </w:r>
          </w:p>
        </w:tc>
        <w:tc>
          <w:tcPr>
            <w:tcW w:w="399" w:type="pct"/>
            <w:noWrap/>
            <w:vAlign w:val="center"/>
          </w:tcPr>
          <w:p w14:paraId="770F4D2D">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7A3336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5</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0524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692D81A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1419" w:type="pct"/>
            <w:noWrap/>
            <w:vAlign w:val="center"/>
          </w:tcPr>
          <w:p w14:paraId="0318A02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《省级政务基础设施政策文件汇编》</w:t>
            </w:r>
          </w:p>
        </w:tc>
        <w:tc>
          <w:tcPr>
            <w:tcW w:w="387" w:type="pct"/>
            <w:noWrap/>
            <w:vAlign w:val="center"/>
          </w:tcPr>
          <w:p w14:paraId="00C87276">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4892A1F6">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83D49E4">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AF40AB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990320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4AADE0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99" w:type="pct"/>
            <w:noWrap/>
            <w:vAlign w:val="center"/>
          </w:tcPr>
          <w:p w14:paraId="0F4CB76D">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2F5E3A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2A41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330D306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419" w:type="pct"/>
            <w:noWrap/>
            <w:vAlign w:val="center"/>
          </w:tcPr>
          <w:p w14:paraId="7481A4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《基础设施技术问题专项分析报告》</w:t>
            </w:r>
          </w:p>
        </w:tc>
        <w:tc>
          <w:tcPr>
            <w:tcW w:w="387" w:type="pct"/>
            <w:noWrap/>
            <w:vAlign w:val="center"/>
          </w:tcPr>
          <w:p w14:paraId="45C402A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5615E35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3FB532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center"/>
          </w:tcPr>
          <w:p w14:paraId="4687119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6DE690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65A5E88">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0D54853D">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1DF000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1份</w:t>
            </w:r>
          </w:p>
        </w:tc>
      </w:tr>
      <w:tr w14:paraId="10CB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1F3F667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419" w:type="pct"/>
            <w:noWrap/>
            <w:vAlign w:val="center"/>
          </w:tcPr>
          <w:p w14:paraId="4BF825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全省数据基础设施培训，形成培训台账及培训内容汇编</w:t>
            </w:r>
          </w:p>
        </w:tc>
        <w:tc>
          <w:tcPr>
            <w:tcW w:w="387" w:type="pct"/>
            <w:noWrap/>
            <w:vAlign w:val="bottom"/>
          </w:tcPr>
          <w:p w14:paraId="456A9C3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27AAF17">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3DE4E957">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5CFABB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348801F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F1420F6">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2FFBBE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不低于</w:t>
            </w:r>
            <w:r>
              <w:rPr>
                <w:rStyle w:val="4"/>
                <w:rFonts w:hint="default" w:ascii="Times New Roman" w:hAnsi="Times New Roman" w:eastAsia="宋体" w:cs="Times New Roman"/>
                <w:sz w:val="24"/>
                <w:szCs w:val="24"/>
                <w:highlight w:val="none"/>
                <w:lang w:val="en-US" w:eastAsia="zh-CN" w:bidi="ar"/>
              </w:rPr>
              <w:t>15</w:t>
            </w:r>
            <w:r>
              <w:rPr>
                <w:rFonts w:hint="default" w:ascii="Times New Roman" w:hAnsi="Times New Roman" w:eastAsia="宋体" w:cs="Times New Roman"/>
                <w:i w:val="0"/>
                <w:iCs w:val="0"/>
                <w:color w:val="000000"/>
                <w:kern w:val="0"/>
                <w:sz w:val="24"/>
                <w:szCs w:val="24"/>
                <w:highlight w:val="none"/>
                <w:u w:val="none"/>
                <w:lang w:val="en-US" w:eastAsia="zh-CN" w:bidi="ar"/>
              </w:rPr>
              <w:t>次</w:t>
            </w:r>
          </w:p>
        </w:tc>
        <w:tc>
          <w:tcPr>
            <w:tcW w:w="400" w:type="pct"/>
            <w:noWrap/>
            <w:vAlign w:val="center"/>
          </w:tcPr>
          <w:p w14:paraId="66F51E7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不低于</w:t>
            </w:r>
            <w:r>
              <w:rPr>
                <w:rStyle w:val="4"/>
                <w:rFonts w:hint="default" w:ascii="Times New Roman" w:hAnsi="Times New Roman" w:eastAsia="宋体" w:cs="Times New Roman"/>
                <w:sz w:val="24"/>
                <w:szCs w:val="24"/>
                <w:highlight w:val="none"/>
                <w:lang w:val="en-US" w:eastAsia="zh-CN" w:bidi="ar"/>
              </w:rPr>
              <w:t>15</w:t>
            </w:r>
            <w:r>
              <w:rPr>
                <w:rFonts w:hint="default" w:ascii="Times New Roman" w:hAnsi="Times New Roman" w:eastAsia="宋体" w:cs="Times New Roman"/>
                <w:i w:val="0"/>
                <w:iCs w:val="0"/>
                <w:color w:val="000000"/>
                <w:kern w:val="0"/>
                <w:sz w:val="24"/>
                <w:szCs w:val="24"/>
                <w:highlight w:val="none"/>
                <w:u w:val="none"/>
                <w:lang w:val="en-US" w:eastAsia="zh-CN" w:bidi="ar"/>
              </w:rPr>
              <w:t>次</w:t>
            </w:r>
          </w:p>
        </w:tc>
      </w:tr>
      <w:tr w14:paraId="73B6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3478924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419" w:type="pct"/>
            <w:noWrap/>
            <w:vAlign w:val="center"/>
          </w:tcPr>
          <w:p w14:paraId="0D9148C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r>
              <w:rPr>
                <w:rStyle w:val="4"/>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i w:val="0"/>
                <w:iCs w:val="0"/>
                <w:color w:val="000000"/>
                <w:kern w:val="0"/>
                <w:sz w:val="24"/>
                <w:szCs w:val="24"/>
                <w:highlight w:val="none"/>
                <w:u w:val="none"/>
                <w:lang w:val="en-US" w:eastAsia="zh-CN" w:bidi="ar"/>
              </w:rPr>
              <w:t>年度基础设施处项目实施跟踪台账》</w:t>
            </w:r>
          </w:p>
        </w:tc>
        <w:tc>
          <w:tcPr>
            <w:tcW w:w="387" w:type="pct"/>
            <w:noWrap/>
            <w:vAlign w:val="center"/>
          </w:tcPr>
          <w:p w14:paraId="799304AC">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6D9EC47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C7AEB0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222752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4C3D0FE">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6145E567">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center"/>
          </w:tcPr>
          <w:p w14:paraId="06A0922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9份</w:t>
            </w:r>
          </w:p>
        </w:tc>
        <w:tc>
          <w:tcPr>
            <w:tcW w:w="400" w:type="pct"/>
            <w:noWrap/>
            <w:vAlign w:val="center"/>
          </w:tcPr>
          <w:p w14:paraId="43238B6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9份</w:t>
            </w:r>
          </w:p>
        </w:tc>
      </w:tr>
      <w:tr w14:paraId="11BD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center"/>
          </w:tcPr>
          <w:p w14:paraId="1DC81A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（三）</w:t>
            </w:r>
          </w:p>
        </w:tc>
        <w:tc>
          <w:tcPr>
            <w:tcW w:w="4544" w:type="pct"/>
            <w:gridSpan w:val="9"/>
            <w:noWrap/>
            <w:vAlign w:val="center"/>
          </w:tcPr>
          <w:p w14:paraId="6A610AB9">
            <w:pPr>
              <w:keepNext w:val="0"/>
              <w:keepLines w:val="0"/>
              <w:widowControl/>
              <w:suppressLineNumbers w:val="0"/>
              <w:spacing w:line="240" w:lineRule="auto"/>
              <w:ind w:firstLine="0" w:firstLineChars="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基础设施标准规范体系研究服务</w:t>
            </w:r>
          </w:p>
        </w:tc>
      </w:tr>
      <w:tr w14:paraId="2632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bottom"/>
          </w:tcPr>
          <w:p w14:paraId="74252372">
            <w:pPr>
              <w:keepNext w:val="0"/>
              <w:keepLines w:val="0"/>
              <w:widowControl/>
              <w:suppressLineNumbers w:val="0"/>
              <w:spacing w:line="240" w:lineRule="auto"/>
              <w:ind w:firstLine="0" w:firstLineChars="0"/>
              <w:jc w:val="center"/>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1419" w:type="pct"/>
            <w:noWrap/>
            <w:vAlign w:val="center"/>
          </w:tcPr>
          <w:p w14:paraId="427E38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《陕西省政务视频会议管理办法（建议稿）》</w:t>
            </w:r>
          </w:p>
        </w:tc>
        <w:tc>
          <w:tcPr>
            <w:tcW w:w="387" w:type="pct"/>
            <w:noWrap/>
            <w:vAlign w:val="bottom"/>
          </w:tcPr>
          <w:p w14:paraId="7CC719D4">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30ED0954">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2EED2D2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bottom"/>
          </w:tcPr>
          <w:p w14:paraId="20BEDC70">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6D3939CB">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2372552D">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bottom"/>
          </w:tcPr>
          <w:p w14:paraId="0D207335">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052D82B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4415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bottom"/>
          </w:tcPr>
          <w:p w14:paraId="2C8D9AF6">
            <w:pPr>
              <w:keepNext w:val="0"/>
              <w:keepLines w:val="0"/>
              <w:widowControl/>
              <w:suppressLineNumbers w:val="0"/>
              <w:spacing w:line="240" w:lineRule="auto"/>
              <w:ind w:firstLine="0" w:firstLineChars="0"/>
              <w:jc w:val="center"/>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419" w:type="pct"/>
            <w:noWrap/>
            <w:vAlign w:val="center"/>
          </w:tcPr>
          <w:p w14:paraId="6D3260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《陕西省视频数据共享交换平台管理办法（建议稿）》</w:t>
            </w:r>
          </w:p>
        </w:tc>
        <w:tc>
          <w:tcPr>
            <w:tcW w:w="387" w:type="pct"/>
            <w:noWrap/>
            <w:vAlign w:val="bottom"/>
          </w:tcPr>
          <w:p w14:paraId="72598658">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3F6D49B9">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2B1B20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bottom"/>
          </w:tcPr>
          <w:p w14:paraId="41431C2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0266FF9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4EFC7E6B">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bottom"/>
          </w:tcPr>
          <w:p w14:paraId="0EC4481D">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7A0BCD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4944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bottom"/>
          </w:tcPr>
          <w:p w14:paraId="2E94F2BF">
            <w:pPr>
              <w:keepNext w:val="0"/>
              <w:keepLines w:val="0"/>
              <w:widowControl/>
              <w:suppressLineNumbers w:val="0"/>
              <w:spacing w:line="240" w:lineRule="auto"/>
              <w:ind w:firstLine="0" w:firstLineChars="0"/>
              <w:jc w:val="center"/>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419" w:type="pct"/>
            <w:noWrap/>
            <w:vAlign w:val="center"/>
          </w:tcPr>
          <w:p w14:paraId="7D20303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《陕西省人工智能大模型在政务领域部署使用专项调研报告》</w:t>
            </w:r>
          </w:p>
        </w:tc>
        <w:tc>
          <w:tcPr>
            <w:tcW w:w="387" w:type="pct"/>
            <w:noWrap/>
            <w:vAlign w:val="bottom"/>
          </w:tcPr>
          <w:p w14:paraId="75C9BB3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20DC908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7C3D11A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bottom"/>
          </w:tcPr>
          <w:p w14:paraId="2ED706A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0A1AD496">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5BDC1CAF">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bottom"/>
          </w:tcPr>
          <w:p w14:paraId="70E05C91">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09AAAF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61ED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bottom"/>
          </w:tcPr>
          <w:p w14:paraId="7F62CFAF">
            <w:pPr>
              <w:keepNext w:val="0"/>
              <w:keepLines w:val="0"/>
              <w:widowControl/>
              <w:suppressLineNumbers w:val="0"/>
              <w:spacing w:line="240" w:lineRule="auto"/>
              <w:ind w:firstLine="0" w:firstLineChars="0"/>
              <w:jc w:val="center"/>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1419" w:type="pct"/>
            <w:noWrap/>
            <w:vAlign w:val="center"/>
          </w:tcPr>
          <w:p w14:paraId="1F9EEB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《陕西省政务大模型使用指引（建议稿）》</w:t>
            </w:r>
          </w:p>
        </w:tc>
        <w:tc>
          <w:tcPr>
            <w:tcW w:w="387" w:type="pct"/>
            <w:noWrap/>
            <w:vAlign w:val="bottom"/>
          </w:tcPr>
          <w:p w14:paraId="0342F613">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37AD4B8C">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6C1581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bottom"/>
          </w:tcPr>
          <w:p w14:paraId="173093C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4552DDAD">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3397F113">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bottom"/>
          </w:tcPr>
          <w:p w14:paraId="1F407EBB">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1926EB4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r w14:paraId="096A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5" w:type="pct"/>
            <w:noWrap/>
            <w:vAlign w:val="bottom"/>
          </w:tcPr>
          <w:p w14:paraId="0341D823">
            <w:pPr>
              <w:keepNext w:val="0"/>
              <w:keepLines w:val="0"/>
              <w:widowControl/>
              <w:suppressLineNumbers w:val="0"/>
              <w:spacing w:line="240" w:lineRule="auto"/>
              <w:ind w:firstLine="0" w:firstLineChars="0"/>
              <w:jc w:val="center"/>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419" w:type="pct"/>
            <w:noWrap/>
            <w:vAlign w:val="center"/>
          </w:tcPr>
          <w:p w14:paraId="2CC3D4B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《陕西省政务基础设施年度发展报告（</w:t>
            </w:r>
            <w:r>
              <w:rPr>
                <w:rStyle w:val="4"/>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i w:val="0"/>
                <w:iCs w:val="0"/>
                <w:color w:val="000000"/>
                <w:kern w:val="0"/>
                <w:sz w:val="24"/>
                <w:szCs w:val="24"/>
                <w:highlight w:val="none"/>
                <w:u w:val="none"/>
                <w:lang w:val="en-US" w:eastAsia="zh-CN" w:bidi="ar"/>
              </w:rPr>
              <w:t>年）》</w:t>
            </w:r>
          </w:p>
        </w:tc>
        <w:tc>
          <w:tcPr>
            <w:tcW w:w="387" w:type="pct"/>
            <w:noWrap/>
            <w:vAlign w:val="bottom"/>
          </w:tcPr>
          <w:p w14:paraId="56287582">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3AC346D5">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center"/>
          </w:tcPr>
          <w:p w14:paraId="1EAC32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c>
          <w:tcPr>
            <w:tcW w:w="387" w:type="pct"/>
            <w:noWrap/>
            <w:vAlign w:val="bottom"/>
          </w:tcPr>
          <w:p w14:paraId="6EDB0C11">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45A5CDCB">
            <w:pPr>
              <w:jc w:val="center"/>
              <w:rPr>
                <w:rFonts w:hint="default" w:ascii="Times New Roman" w:hAnsi="Times New Roman" w:eastAsia="宋体" w:cs="Times New Roman"/>
                <w:i w:val="0"/>
                <w:iCs w:val="0"/>
                <w:color w:val="000000"/>
                <w:sz w:val="24"/>
                <w:szCs w:val="24"/>
                <w:highlight w:val="none"/>
                <w:u w:val="none"/>
              </w:rPr>
            </w:pPr>
          </w:p>
        </w:tc>
        <w:tc>
          <w:tcPr>
            <w:tcW w:w="387" w:type="pct"/>
            <w:noWrap/>
            <w:vAlign w:val="bottom"/>
          </w:tcPr>
          <w:p w14:paraId="0C42ED38">
            <w:pPr>
              <w:jc w:val="center"/>
              <w:rPr>
                <w:rFonts w:hint="default" w:ascii="Times New Roman" w:hAnsi="Times New Roman" w:eastAsia="宋体" w:cs="Times New Roman"/>
                <w:i w:val="0"/>
                <w:iCs w:val="0"/>
                <w:color w:val="000000"/>
                <w:sz w:val="24"/>
                <w:szCs w:val="24"/>
                <w:highlight w:val="none"/>
                <w:u w:val="none"/>
              </w:rPr>
            </w:pPr>
          </w:p>
        </w:tc>
        <w:tc>
          <w:tcPr>
            <w:tcW w:w="399" w:type="pct"/>
            <w:noWrap/>
            <w:vAlign w:val="bottom"/>
          </w:tcPr>
          <w:p w14:paraId="55083761">
            <w:pPr>
              <w:jc w:val="center"/>
              <w:rPr>
                <w:rFonts w:hint="default" w:ascii="Times New Roman" w:hAnsi="Times New Roman" w:eastAsia="宋体" w:cs="Times New Roman"/>
                <w:i w:val="0"/>
                <w:iCs w:val="0"/>
                <w:color w:val="000000"/>
                <w:sz w:val="24"/>
                <w:szCs w:val="24"/>
                <w:highlight w:val="none"/>
                <w:u w:val="none"/>
              </w:rPr>
            </w:pPr>
          </w:p>
        </w:tc>
        <w:tc>
          <w:tcPr>
            <w:tcW w:w="400" w:type="pct"/>
            <w:noWrap/>
            <w:vAlign w:val="center"/>
          </w:tcPr>
          <w:p w14:paraId="6076275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Style w:val="4"/>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i w:val="0"/>
                <w:iCs w:val="0"/>
                <w:color w:val="000000"/>
                <w:kern w:val="0"/>
                <w:sz w:val="24"/>
                <w:szCs w:val="24"/>
                <w:highlight w:val="none"/>
                <w:u w:val="none"/>
                <w:lang w:val="en-US" w:eastAsia="zh-CN" w:bidi="ar"/>
              </w:rPr>
              <w:t>份</w:t>
            </w:r>
          </w:p>
        </w:tc>
      </w:tr>
    </w:tbl>
    <w:p w14:paraId="6B826AE3">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注：以上进度计划以</w:t>
      </w:r>
      <w:r>
        <w:rPr>
          <w:rFonts w:hint="eastAsia" w:ascii="宋体" w:hAnsi="宋体" w:eastAsia="宋体" w:cs="宋体"/>
          <w:sz w:val="24"/>
          <w:highlight w:val="none"/>
          <w:lang w:val="en-US" w:eastAsia="zh-CN"/>
        </w:rPr>
        <w:t>实际情况</w:t>
      </w:r>
      <w:r>
        <w:rPr>
          <w:rFonts w:hint="eastAsia" w:ascii="宋体" w:hAnsi="宋体" w:eastAsia="宋体" w:cs="宋体"/>
          <w:sz w:val="24"/>
          <w:highlight w:val="none"/>
        </w:rPr>
        <w:t>和采购人要求为准。</w:t>
      </w:r>
    </w:p>
    <w:p w14:paraId="2257D6EE">
      <w:pPr>
        <w:keepNext w:val="0"/>
        <w:keepLines w:val="0"/>
        <w:pageBreakBefore w:val="0"/>
        <w:kinsoku/>
        <w:overflowPunct/>
        <w:autoSpaceDE/>
        <w:autoSpaceDN/>
        <w:bidi w:val="0"/>
        <w:adjustRightInd/>
        <w:snapToGrid/>
        <w:spacing w:after="0"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三、服务要求</w:t>
      </w:r>
    </w:p>
    <w:p w14:paraId="2B0C0288">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研究人员应签署保密协议</w:t>
      </w:r>
      <w:r>
        <w:rPr>
          <w:rFonts w:hint="eastAsia" w:ascii="宋体" w:hAnsi="宋体" w:eastAsia="宋体" w:cs="宋体"/>
          <w:sz w:val="24"/>
          <w:szCs w:val="24"/>
          <w:highlight w:val="none"/>
          <w:lang w:eastAsia="zh-CN"/>
        </w:rPr>
        <w:t>；</w:t>
      </w:r>
    </w:p>
    <w:p w14:paraId="45F211D3">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（二）项目咨询服务过程应参考《GB/T42994-2023管理咨询服务指南项目管理》等相关国家标准执行；</w:t>
      </w:r>
    </w:p>
    <w:p w14:paraId="2378C601">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）在项目实际执行过程中，</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lang w:val="en-US" w:eastAsia="zh-CN"/>
        </w:rPr>
        <w:t>按</w:t>
      </w:r>
      <w:r>
        <w:rPr>
          <w:rFonts w:hint="eastAsia" w:ascii="宋体" w:hAnsi="宋体" w:eastAsia="宋体" w:cs="宋体"/>
          <w:sz w:val="24"/>
          <w:szCs w:val="24"/>
          <w:highlight w:val="none"/>
        </w:rPr>
        <w:t>需开展有关咨询工作，咨询成果的改进应在实践中进行验证，跟踪改进效果，并更新相应的报告或文件。</w:t>
      </w:r>
    </w:p>
    <w:p w14:paraId="075706F9">
      <w:pPr>
        <w:keepNext w:val="0"/>
        <w:keepLines w:val="0"/>
        <w:pageBreakBefore w:val="0"/>
        <w:kinsoku/>
        <w:overflowPunct/>
        <w:autoSpaceDE/>
        <w:autoSpaceDN/>
        <w:bidi w:val="0"/>
        <w:adjustRightInd/>
        <w:snapToGrid/>
        <w:spacing w:after="0"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四、服务实施</w:t>
      </w:r>
    </w:p>
    <w:p w14:paraId="4CF6CF29">
      <w:pPr>
        <w:keepNext w:val="0"/>
        <w:keepLines w:val="0"/>
        <w:pageBreakBefore w:val="0"/>
        <w:kinsoku/>
        <w:overflowPunct/>
        <w:autoSpaceDE/>
        <w:autoSpaceDN/>
        <w:bidi w:val="0"/>
        <w:adjustRightInd/>
        <w:snapToGrid/>
        <w:spacing w:after="0" w:line="360" w:lineRule="auto"/>
        <w:ind w:firstLine="482" w:firstLineChars="20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（一）服务组织</w:t>
      </w:r>
    </w:p>
    <w:p w14:paraId="0B149488">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在局统筹领导下，</w:t>
      </w:r>
      <w:r>
        <w:rPr>
          <w:rFonts w:hint="eastAsia" w:ascii="宋体" w:hAnsi="宋体" w:eastAsia="宋体" w:cs="宋体"/>
          <w:sz w:val="24"/>
          <w:szCs w:val="24"/>
          <w:highlight w:val="none"/>
          <w:lang w:val="en-US" w:eastAsia="zh-CN"/>
        </w:rPr>
        <w:t>组织咨询机构成立2025年陕西省数字政府基础设施标准规范及资源绩效评价过程咨询服务项目，下设项目专家顾问组、基础设施现状摸底及标准研究组、政务云运行监管评估组、政务领域人工智能大模型专项研究组、基础设施领域技术保障组。</w:t>
      </w:r>
      <w:r>
        <w:rPr>
          <w:rFonts w:hint="eastAsia" w:ascii="宋体" w:hAnsi="宋体" w:eastAsia="宋体" w:cs="宋体"/>
          <w:sz w:val="24"/>
          <w:szCs w:val="24"/>
          <w:highlight w:val="none"/>
        </w:rPr>
        <w:t>立足我省</w:t>
      </w:r>
      <w:r>
        <w:rPr>
          <w:rFonts w:hint="eastAsia" w:ascii="宋体" w:hAnsi="宋体" w:eastAsia="宋体" w:cs="宋体"/>
          <w:sz w:val="24"/>
          <w:szCs w:val="24"/>
          <w:highlight w:val="none"/>
          <w:lang w:val="en-US" w:eastAsia="zh-CN"/>
        </w:rPr>
        <w:t>省级</w:t>
      </w:r>
      <w:r>
        <w:rPr>
          <w:rFonts w:hint="eastAsia" w:ascii="宋体" w:hAnsi="宋体" w:eastAsia="宋体" w:cs="宋体"/>
          <w:sz w:val="24"/>
          <w:szCs w:val="24"/>
          <w:highlight w:val="none"/>
        </w:rPr>
        <w:t>政务云、电子政务外网、算力及数据基础设施的发展基础，依据《</w:t>
      </w:r>
      <w:r>
        <w:rPr>
          <w:rFonts w:hint="eastAsia" w:ascii="宋体" w:hAnsi="宋体" w:eastAsia="宋体" w:cs="宋体"/>
          <w:sz w:val="24"/>
          <w:szCs w:val="24"/>
          <w:highlight w:val="none"/>
          <w:lang w:val="en-US" w:eastAsia="zh-CN"/>
        </w:rPr>
        <w:t>陕西</w:t>
      </w:r>
      <w:r>
        <w:rPr>
          <w:rFonts w:hint="eastAsia" w:ascii="宋体" w:hAnsi="宋体" w:eastAsia="宋体" w:cs="宋体"/>
          <w:sz w:val="24"/>
          <w:szCs w:val="24"/>
          <w:highlight w:val="none"/>
        </w:rPr>
        <w:t>省数字政府建设“十四五”规划》要求，以前瞻性、战略性和针对性的视角，科学研判政务基础设施</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数据基础设施发展水平，指引其未来建设与发展方向。</w:t>
      </w:r>
    </w:p>
    <w:p w14:paraId="0DD81EDB">
      <w:pPr>
        <w:keepNext w:val="0"/>
        <w:keepLines w:val="0"/>
        <w:pageBreakBefore w:val="0"/>
        <w:kinsoku/>
        <w:overflowPunct/>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highlight w:val="none"/>
        </w:rPr>
        <w:drawing>
          <wp:inline distT="0" distB="0" distL="114300" distR="114300">
            <wp:extent cx="6186805" cy="4081780"/>
            <wp:effectExtent l="0" t="0" r="444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86805" cy="4081780"/>
                    </a:xfrm>
                    <a:prstGeom prst="rect">
                      <a:avLst/>
                    </a:prstGeom>
                    <a:solidFill>
                      <a:srgbClr val="FFFF00"/>
                    </a:solidFill>
                    <a:ln>
                      <a:noFill/>
                    </a:ln>
                  </pic:spPr>
                </pic:pic>
              </a:graphicData>
            </a:graphic>
          </wp:inline>
        </w:drawing>
      </w:r>
    </w:p>
    <w:p w14:paraId="283BBE3A">
      <w:pPr>
        <w:keepNext w:val="0"/>
        <w:keepLines w:val="0"/>
        <w:pageBreakBefore w:val="0"/>
        <w:kinsoku/>
        <w:overflowPunct/>
        <w:autoSpaceDE/>
        <w:autoSpaceDN/>
        <w:bidi w:val="0"/>
        <w:adjustRightInd/>
        <w:snapToGrid/>
        <w:spacing w:after="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图1项目服务组织架构图</w:t>
      </w:r>
    </w:p>
    <w:p w14:paraId="28B8C599">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基础设施咨询服务实施工作由咨询机构负责，服务团队人数不少于15人，</w:t>
      </w:r>
      <w:r>
        <w:rPr>
          <w:rFonts w:hint="eastAsia" w:ascii="宋体" w:hAnsi="宋体" w:eastAsia="宋体" w:cs="宋体"/>
          <w:sz w:val="24"/>
          <w:szCs w:val="24"/>
          <w:highlight w:val="none"/>
        </w:rPr>
        <w:t>其中：</w:t>
      </w:r>
    </w:p>
    <w:p w14:paraId="2DDA30D1">
      <w:pPr>
        <w:keepNext w:val="0"/>
        <w:keepLines w:val="0"/>
        <w:pageBreakBefore w:val="0"/>
        <w:kinsoku/>
        <w:overflowPunct/>
        <w:autoSpaceDE/>
        <w:autoSpaceDN/>
        <w:bidi w:val="0"/>
        <w:adjustRightInd/>
        <w:snapToGrid/>
        <w:spacing w:after="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1.咨询机构</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（1人）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负责整体项目实施统筹，协调解决项目实施过程中的重大问题，定期向局汇报工作开展情况</w:t>
      </w:r>
      <w:r>
        <w:rPr>
          <w:rFonts w:hint="eastAsia" w:ascii="宋体" w:hAnsi="宋体" w:eastAsia="宋体" w:cs="宋体"/>
          <w:sz w:val="24"/>
          <w:szCs w:val="24"/>
          <w:highlight w:val="none"/>
        </w:rPr>
        <w:t>。</w:t>
      </w:r>
    </w:p>
    <w:p w14:paraId="5C7BD4DD">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2.项目专家顾问组：由咨询机构设立，邀请数字政府基础设施领域内专家组成长聘专家及外部专家团队。按需参与相关论证及成果审核工作。</w:t>
      </w:r>
    </w:p>
    <w:p w14:paraId="398409DD">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政务云服务质量分析组：协助建立省级政务云运行监督分析机制。全面提升陕西省政务云平台的服务质量、资源利用效率及整体运营、运维水平，为数字政府建设提供更高效、更可靠、更经济的省级政务云基础设施支撑。</w:t>
      </w:r>
    </w:p>
    <w:p w14:paraId="6B4D7DAC">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基础设施领域技术保障组：组建专业团队提供常态化支撑，覆盖省级政务云、电子政务外网、公共支撑组件、智算、大模型等板块。核心工作包括：实施基础设施资源初审；编制资源需求清单、政策汇编；建立基础处项目实施过程跟踪台账；强化全周期管理，保障项目进度、质量与安全，提升管理服务水平。</w:t>
      </w:r>
    </w:p>
    <w:p w14:paraId="52923999">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基础设施标准规范体系研究组：开展系统性研究，完成先进省份专题调研、政务领域AI大模型应用、本地人工智能发展建议等专题研究；开展基础设施标准规范体系研究工作，协助编制视频、人工智能、政务基础设施等方面的标准规范或报告。</w:t>
      </w:r>
    </w:p>
    <w:p w14:paraId="2F84392C">
      <w:pPr>
        <w:keepNext w:val="0"/>
        <w:keepLines w:val="0"/>
        <w:pageBreakBefore w:val="0"/>
        <w:kinsoku/>
        <w:overflowPunct/>
        <w:autoSpaceDE/>
        <w:autoSpaceDN/>
        <w:bidi w:val="0"/>
        <w:adjustRightInd/>
        <w:snapToGrid/>
        <w:spacing w:after="0" w:line="360" w:lineRule="auto"/>
        <w:ind w:firstLine="482" w:firstLineChars="20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（二）实施管理</w:t>
      </w:r>
    </w:p>
    <w:p w14:paraId="611056D7">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为保证成果交付质量，</w:t>
      </w:r>
      <w:r>
        <w:rPr>
          <w:rFonts w:hint="eastAsia" w:ascii="宋体" w:hAnsi="宋体" w:eastAsia="宋体" w:cs="宋体"/>
          <w:sz w:val="24"/>
          <w:szCs w:val="24"/>
          <w:highlight w:val="none"/>
          <w:lang w:eastAsia="zh-CN"/>
        </w:rPr>
        <w:t>2025年陕西省数字政府基础设施标准规范及资源绩效评价过程咨询服务项目</w:t>
      </w:r>
      <w:r>
        <w:rPr>
          <w:rFonts w:hint="eastAsia" w:ascii="宋体" w:hAnsi="宋体" w:eastAsia="宋体" w:cs="宋体"/>
          <w:sz w:val="24"/>
          <w:szCs w:val="24"/>
          <w:highlight w:val="none"/>
        </w:rPr>
        <w:t>采购实施中须强化实施管理，主要包括：</w:t>
      </w:r>
    </w:p>
    <w:p w14:paraId="1BA7A184">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1.进度管理。</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应明确本项目工作的方式、方法、过程步骤、按阶段分解的详细计划、对应计划应提交的工作成果、需要局协调与配合的事项，其中需要包括进度计划、里程碑、交付成果、人员安排等，并经局审核、批准。</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须接受并服从局的监督、管理要求，按要求提供中间过程工作成果。</w:t>
      </w:r>
    </w:p>
    <w:p w14:paraId="5C1CE8D2">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组织实施。为使项目按质、按量、按时及有序实施，各课题应建立完善、稳定的项目团队、内部组织管理方式及管理机构、协调机制、技术基础，支撑保障要求及其他相关要求。在机制保障方面，成立组织实施小组和项目领导组的双轨制的组织模式。在项目日常管理和条件保障方面，从行政组织、后勤保障和支撑条件各方面创造良好的服务环境，确保项目的顺利实施。</w:t>
      </w:r>
    </w:p>
    <w:p w14:paraId="5A4ED0F8">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3.沟通管理。</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应制定详细的沟通计划，建立工作汇报机制和问题反馈机制，确定工作沟通对接人，定期向局提交工作情况报告，常态化汇报日常工作进展、存在的问题及下一步工作计划，并就专项工作形成工作专报，呈送各业务处室和相关领导。根据工作需要，及时汇报重大事项和紧急事项。</w:t>
      </w:r>
    </w:p>
    <w:p w14:paraId="0A4DB94B">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4.文档管理。</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应在项目服务期内或完成时，按照档案管理要求，将本项目所有文档、资料汇集成册交付给采购人，所有文件要求用中文书写或有完整的中文注释。</w:t>
      </w:r>
      <w:r>
        <w:rPr>
          <w:rFonts w:hint="eastAsia" w:ascii="宋体" w:hAnsi="宋体" w:eastAsia="宋体" w:cs="宋体"/>
          <w:sz w:val="24"/>
          <w:szCs w:val="24"/>
          <w:highlight w:val="none"/>
          <w:lang w:val="en-US" w:eastAsia="zh-CN"/>
        </w:rPr>
        <w:t>同时应按要求做好成果物版本控制。</w:t>
      </w:r>
    </w:p>
    <w:p w14:paraId="2A147BEA">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5.质量管理。</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应建立项目质量管理体系，包括但不限于质量目标、质量指标、岗位责任、问题处理计划、质量评价、整改完善等内容，并建立奖惩制度。</w:t>
      </w:r>
    </w:p>
    <w:p w14:paraId="4E620DFE">
      <w:pPr>
        <w:keepNext w:val="0"/>
        <w:keepLines w:val="0"/>
        <w:pageBreakBefore w:val="0"/>
        <w:kinsoku/>
        <w:overflowPunct/>
        <w:autoSpaceDE/>
        <w:autoSpaceDN/>
        <w:bidi w:val="0"/>
        <w:adjustRightInd/>
        <w:snapToGrid/>
        <w:spacing w:after="0" w:line="360" w:lineRule="auto"/>
        <w:ind w:firstLine="482" w:firstLineChars="20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（三）成果归属</w:t>
      </w:r>
    </w:p>
    <w:p w14:paraId="68195404">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为履行本项目义务所形成的服务成果的知识产权、数据所有权归</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所有。本项目不会引起任何已申请、登记的知识产权所有权的转移。</w:t>
      </w:r>
    </w:p>
    <w:p w14:paraId="1F4BA531">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提供的相关软件应是自行开发的产品或具备合法、合规授权，满足知识产权等方面的有关规定和要求。</w:t>
      </w:r>
    </w:p>
    <w:p w14:paraId="6C5DE612">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保证向局提供的服务成果是其独立实施完成，不存在任何侵犯第三方专利权、商标权、著作权等合法权益，如第三方提出侵权指控，</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应承担由此而引起的一切法律责任。</w:t>
      </w:r>
    </w:p>
    <w:p w14:paraId="467C1543">
      <w:pPr>
        <w:keepNext w:val="0"/>
        <w:keepLines w:val="0"/>
        <w:pageBreakBefore w:val="0"/>
        <w:kinsoku/>
        <w:overflowPunct/>
        <w:autoSpaceDE/>
        <w:autoSpaceDN/>
        <w:bidi w:val="0"/>
        <w:adjustRightInd/>
        <w:snapToGrid/>
        <w:spacing w:after="0" w:line="360" w:lineRule="auto"/>
        <w:ind w:firstLine="482" w:firstLineChars="20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val="en-US" w:eastAsia="zh-CN"/>
        </w:rPr>
        <w:t>项目验收</w:t>
      </w:r>
    </w:p>
    <w:p w14:paraId="6A4A4F46">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严格遵循《陕西省省级政务信息化项目建设管理办法（暂行）》和《陕西省省级政务信息化项目竣工验收管理办法（试行）》要求，并符合《GB/T 42994-2023 管理咨询服务指南项目管理》等相关国家标准。项目验收：</w:t>
      </w:r>
      <w:r>
        <w:rPr>
          <w:rFonts w:hint="eastAsia" w:ascii="宋体" w:hAnsi="宋体" w:eastAsia="宋体" w:cs="宋体"/>
          <w:sz w:val="24"/>
          <w:szCs w:val="24"/>
          <w:highlight w:val="none"/>
          <w:lang w:val="en-US" w:eastAsia="zh-CN"/>
        </w:rPr>
        <w:t>最终验收</w:t>
      </w:r>
      <w:r>
        <w:rPr>
          <w:rFonts w:hint="eastAsia" w:ascii="宋体" w:hAnsi="宋体" w:eastAsia="宋体" w:cs="宋体"/>
          <w:sz w:val="24"/>
          <w:szCs w:val="24"/>
          <w:highlight w:val="none"/>
        </w:rPr>
        <w:t>一次，由采购人组织专家评审，评审通过即验收合格。</w:t>
      </w:r>
    </w:p>
    <w:p w14:paraId="30DF3ACF">
      <w:pPr>
        <w:keepNext w:val="0"/>
        <w:keepLines w:val="0"/>
        <w:pageBreakBefore w:val="0"/>
        <w:kinsoku/>
        <w:overflowPunct/>
        <w:autoSpaceDE/>
        <w:autoSpaceDN/>
        <w:bidi w:val="0"/>
        <w:adjustRightInd/>
        <w:snapToGrid/>
        <w:spacing w:after="0" w:line="360" w:lineRule="auto"/>
        <w:ind w:firstLine="482" w:firstLineChars="20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）保密要求</w:t>
      </w:r>
    </w:p>
    <w:p w14:paraId="720E5D5F">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项目实施过程中涉及到数字陕西建设、数字政府建设等敏感信息，需要制定严格的保密工作制度，主要包括：</w:t>
      </w:r>
    </w:p>
    <w:p w14:paraId="23101502">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应签订保密协议，对其因身份、职务、职业或技术关系而知悉的党政机关保密信息和省级政务信息化项目敏感信息应严格保守，保证不被披露或使用，包括意外或过失。</w:t>
      </w:r>
    </w:p>
    <w:p w14:paraId="13511190">
      <w:pPr>
        <w:keepNext w:val="0"/>
        <w:keepLines w:val="0"/>
        <w:pageBreakBefore w:val="0"/>
        <w:kinsoku/>
        <w:overflowPunct/>
        <w:autoSpaceDE/>
        <w:autoSpaceDN/>
        <w:bidi w:val="0"/>
        <w:adjustRightInd/>
        <w:snapToGrid/>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不得以竞争为目的</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出于私利</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为第三人谋利而擅自保存、披露、使用党政机关保密信息和省级政务信息化项目敏感信息；未经允许，在从事政府项目时，不得擅自记录、复制、拍摄、摘抄、收藏在工作中涉及的保密信息；未经允许，不得直接或间接地向无关人员泄露党政机关保密信息和省级政务信息化项目敏感信息；未经允许，不得向不承担保密义务的任何第三人披露党政机关保密信息和省级政务信息化项目敏感信息。</w:t>
      </w:r>
    </w:p>
    <w:p w14:paraId="6AFBC5CE">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咨询机构</w:t>
      </w:r>
      <w:r>
        <w:rPr>
          <w:rFonts w:hint="eastAsia" w:ascii="宋体" w:hAnsi="宋体" w:eastAsia="宋体" w:cs="宋体"/>
          <w:sz w:val="24"/>
          <w:szCs w:val="24"/>
          <w:highlight w:val="none"/>
        </w:rPr>
        <w:t>及其工作人员对于工作期间知悉采购人的党政机关保密信息和省级政务信息化项目敏感信息或工作过程中接触到的政府机关文件（包括内部发文、各类通知及会议记录等）的内容，同样承担保密责任，严禁将政府机关内部会议、谈话内容泄露给无关人员；不得翻阅与工作无关的文件和资料。</w:t>
      </w:r>
    </w:p>
    <w:p w14:paraId="5A421109">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商务及其他要求</w:t>
      </w:r>
    </w:p>
    <w:p w14:paraId="33EADC22">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一、服务期及地点：</w:t>
      </w:r>
    </w:p>
    <w:p w14:paraId="6137BDB2">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lang w:val="en-US" w:eastAsia="zh-CN"/>
        </w:rPr>
      </w:pPr>
      <w:bookmarkStart w:id="0" w:name="_Toc167712839"/>
      <w:bookmarkStart w:id="1" w:name="_Toc167715234"/>
      <w:bookmarkStart w:id="2" w:name="_Toc167714037"/>
      <w:r>
        <w:rPr>
          <w:rFonts w:hint="eastAsia" w:ascii="宋体" w:hAnsi="宋体" w:eastAsia="宋体" w:cs="宋体"/>
          <w:color w:val="auto"/>
          <w:kern w:val="0"/>
          <w:sz w:val="24"/>
          <w:highlight w:val="none"/>
        </w:rPr>
        <w:t>1、服务期：</w:t>
      </w:r>
      <w:bookmarkEnd w:id="0"/>
      <w:bookmarkEnd w:id="1"/>
      <w:bookmarkEnd w:id="2"/>
      <w:r>
        <w:rPr>
          <w:rFonts w:hint="eastAsia" w:ascii="宋体" w:hAnsi="宋体" w:eastAsia="宋体" w:cs="宋体"/>
          <w:color w:val="auto"/>
          <w:kern w:val="0"/>
          <w:sz w:val="24"/>
          <w:highlight w:val="none"/>
          <w:lang w:val="en-US" w:eastAsia="zh-CN"/>
        </w:rPr>
        <w:t>自合同签订之日起12个月（服务内容全部完成后可提前开展最终验收）</w:t>
      </w:r>
    </w:p>
    <w:p w14:paraId="3402624F">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、项目地点：采购人指定地点。</w:t>
      </w:r>
      <w:bookmarkStart w:id="3" w:name="_Toc167712840"/>
      <w:bookmarkStart w:id="4" w:name="_Toc167715235"/>
      <w:bookmarkStart w:id="5" w:name="_Toc167714038"/>
    </w:p>
    <w:bookmarkEnd w:id="3"/>
    <w:bookmarkEnd w:id="4"/>
    <w:bookmarkEnd w:id="5"/>
    <w:p w14:paraId="6128006D">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bookmarkStart w:id="6" w:name="_Toc167712843"/>
      <w:bookmarkStart w:id="7" w:name="_Toc167714041"/>
      <w:bookmarkStart w:id="8" w:name="_Toc167715238"/>
      <w:r>
        <w:rPr>
          <w:rFonts w:hint="eastAsia" w:ascii="宋体" w:hAnsi="宋体" w:eastAsia="宋体" w:cs="宋体"/>
          <w:color w:val="auto"/>
          <w:kern w:val="0"/>
          <w:sz w:val="24"/>
          <w:highlight w:val="none"/>
        </w:rPr>
        <w:t>二、付款方式和程序：</w:t>
      </w:r>
    </w:p>
    <w:p w14:paraId="2FAC7219">
      <w:pPr>
        <w:wordWrap w:val="0"/>
        <w:topLinePunct/>
        <w:spacing w:line="360" w:lineRule="auto"/>
        <w:ind w:firstLine="480"/>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auto"/>
        </w:rPr>
        <w:t>1、第一次付款，合同签订生效后，中标供应商向采购人开具等额的增值税普通发票，采购人在收到发票 30 日内应向中标供应商支付 50%合同金额。</w:t>
      </w:r>
    </w:p>
    <w:p w14:paraId="0639B2CB">
      <w:pPr>
        <w:wordWrap w:val="0"/>
        <w:topLinePunct/>
        <w:spacing w:line="360" w:lineRule="auto"/>
        <w:ind w:firstLine="480"/>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auto"/>
        </w:rPr>
        <w:t>第二次付款，项目通过最终验收后，中标供应商向采购人开具等额的增值税普通发票。若乙方（中标供应商）严格按照合同约定的各节点任务要求和时间进度，顺利完成项目并通过最终验收，采购人在收到发票 30 日内一次性付清剩余 50%合同金额。</w:t>
      </w:r>
    </w:p>
    <w:p w14:paraId="0850D665">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i w:val="0"/>
          <w:iCs w:val="0"/>
          <w:caps w:val="0"/>
          <w:color w:val="auto"/>
          <w:spacing w:val="0"/>
          <w:kern w:val="0"/>
          <w:sz w:val="24"/>
          <w:szCs w:val="24"/>
          <w:highlight w:val="none"/>
          <w:shd w:val="clear" w:color="auto" w:fill="auto"/>
        </w:rPr>
        <w:t>如因政府财政部门审查、财政支付管理流程及预算下达导致支付延期，支付期限自动顺延，采购人不承担责任，</w:t>
      </w:r>
      <w:r>
        <w:rPr>
          <w:rFonts w:hint="eastAsia" w:ascii="宋体" w:hAnsi="宋体" w:eastAsia="宋体" w:cs="宋体"/>
          <w:i w:val="0"/>
          <w:iCs w:val="0"/>
          <w:caps w:val="0"/>
          <w:color w:val="auto"/>
          <w:spacing w:val="0"/>
          <w:kern w:val="0"/>
          <w:sz w:val="24"/>
          <w:szCs w:val="24"/>
          <w:highlight w:val="none"/>
          <w:shd w:val="clear" w:color="auto" w:fill="auto"/>
          <w:lang w:val="en-US" w:eastAsia="zh-CN"/>
        </w:rPr>
        <w:t>中标供应商</w:t>
      </w:r>
      <w:r>
        <w:rPr>
          <w:rFonts w:hint="eastAsia" w:ascii="宋体" w:hAnsi="宋体" w:eastAsia="宋体" w:cs="宋体"/>
          <w:i w:val="0"/>
          <w:iCs w:val="0"/>
          <w:caps w:val="0"/>
          <w:color w:val="auto"/>
          <w:spacing w:val="0"/>
          <w:kern w:val="0"/>
          <w:sz w:val="24"/>
          <w:szCs w:val="24"/>
          <w:highlight w:val="none"/>
          <w:shd w:val="clear" w:color="auto" w:fill="auto"/>
        </w:rPr>
        <w:t>不得以此为由迟延履行或不履行合同义务。</w:t>
      </w:r>
    </w:p>
    <w:p w14:paraId="42E59D68">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i w:val="0"/>
          <w:iCs w:val="0"/>
          <w:caps w:val="0"/>
          <w:color w:val="auto"/>
          <w:spacing w:val="0"/>
          <w:kern w:val="0"/>
          <w:sz w:val="24"/>
          <w:szCs w:val="24"/>
          <w:highlight w:val="none"/>
          <w:shd w:val="clear" w:color="auto" w:fill="auto"/>
          <w:lang w:val="en-US" w:eastAsia="zh-CN"/>
        </w:rPr>
        <w:t>中标供应商</w:t>
      </w:r>
      <w:r>
        <w:rPr>
          <w:rFonts w:hint="eastAsia" w:ascii="宋体" w:hAnsi="宋体" w:eastAsia="宋体" w:cs="宋体"/>
          <w:color w:val="auto"/>
          <w:kern w:val="0"/>
          <w:sz w:val="24"/>
          <w:highlight w:val="none"/>
        </w:rPr>
        <w:t>承诺在</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办理支付手续前，为</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出具等额的符合国家规定的发票。</w:t>
      </w:r>
    </w:p>
    <w:p w14:paraId="5282740E">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、上述时间不包括</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正常办理支付报批手续的时间。</w:t>
      </w:r>
    </w:p>
    <w:p w14:paraId="72E348CF">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i w:val="0"/>
          <w:iCs w:val="0"/>
          <w:caps w:val="0"/>
          <w:color w:val="auto"/>
          <w:spacing w:val="0"/>
          <w:kern w:val="0"/>
          <w:sz w:val="24"/>
          <w:szCs w:val="24"/>
          <w:highlight w:val="none"/>
          <w:shd w:val="clear" w:color="auto" w:fill="auto"/>
          <w:lang w:val="en-US" w:eastAsia="zh-CN"/>
        </w:rPr>
        <w:t>中标供应商</w:t>
      </w:r>
      <w:r>
        <w:rPr>
          <w:rFonts w:hint="eastAsia" w:ascii="宋体" w:hAnsi="宋体" w:eastAsia="宋体" w:cs="宋体"/>
          <w:color w:val="auto"/>
          <w:kern w:val="0"/>
          <w:sz w:val="24"/>
          <w:highlight w:val="none"/>
        </w:rPr>
        <w:t>未能按服务</w:t>
      </w:r>
      <w:r>
        <w:rPr>
          <w:rFonts w:hint="eastAsia" w:ascii="宋体" w:hAnsi="宋体" w:eastAsia="宋体" w:cs="宋体"/>
          <w:color w:val="auto"/>
          <w:kern w:val="0"/>
          <w:sz w:val="24"/>
          <w:highlight w:val="none"/>
          <w:lang w:val="en-US" w:eastAsia="zh-CN"/>
        </w:rPr>
        <w:t>节点时间完成相关</w:t>
      </w:r>
      <w:r>
        <w:rPr>
          <w:rFonts w:hint="eastAsia" w:ascii="宋体" w:hAnsi="宋体" w:eastAsia="宋体" w:cs="宋体"/>
          <w:color w:val="auto"/>
          <w:kern w:val="0"/>
          <w:sz w:val="24"/>
          <w:highlight w:val="none"/>
        </w:rPr>
        <w:t>服务，则视为逾期违约，从逾期之日起每日按本合同总价</w:t>
      </w:r>
      <w:r>
        <w:rPr>
          <w:rFonts w:hint="eastAsia" w:ascii="宋体" w:hAnsi="宋体" w:eastAsia="宋体" w:cs="宋体"/>
          <w:color w:val="auto"/>
          <w:kern w:val="0"/>
          <w:sz w:val="24"/>
          <w:highlight w:val="none"/>
          <w:lang w:val="en-US" w:eastAsia="zh-CN"/>
        </w:rPr>
        <w:t>0.01%</w:t>
      </w:r>
      <w:r>
        <w:rPr>
          <w:rFonts w:hint="eastAsia" w:ascii="宋体" w:hAnsi="宋体" w:eastAsia="宋体" w:cs="宋体"/>
          <w:color w:val="auto"/>
          <w:kern w:val="0"/>
          <w:sz w:val="24"/>
          <w:highlight w:val="none"/>
        </w:rPr>
        <w:t>的数额向采购人支付违约金；逾期</w:t>
      </w:r>
      <w:r>
        <w:rPr>
          <w:rFonts w:hint="eastAsia" w:ascii="宋体" w:hAnsi="宋体" w:eastAsia="宋体" w:cs="宋体"/>
          <w:color w:val="auto"/>
          <w:kern w:val="0"/>
          <w:sz w:val="24"/>
          <w:highlight w:val="none"/>
          <w:lang w:val="en-US" w:eastAsia="zh-CN"/>
        </w:rPr>
        <w:t>十</w:t>
      </w:r>
      <w:r>
        <w:rPr>
          <w:rFonts w:hint="eastAsia" w:ascii="宋体" w:hAnsi="宋体" w:eastAsia="宋体" w:cs="宋体"/>
          <w:color w:val="auto"/>
          <w:kern w:val="0"/>
          <w:sz w:val="24"/>
          <w:highlight w:val="none"/>
        </w:rPr>
        <w:t>个工作日以上的，采购人有权终止合同，且有权要求</w:t>
      </w:r>
      <w:r>
        <w:rPr>
          <w:rFonts w:hint="eastAsia" w:ascii="宋体" w:hAnsi="宋体" w:eastAsia="宋体" w:cs="宋体"/>
          <w:i w:val="0"/>
          <w:iCs w:val="0"/>
          <w:caps w:val="0"/>
          <w:color w:val="auto"/>
          <w:spacing w:val="0"/>
          <w:kern w:val="0"/>
          <w:sz w:val="24"/>
          <w:szCs w:val="24"/>
          <w:highlight w:val="none"/>
          <w:shd w:val="clear" w:color="auto" w:fill="auto"/>
          <w:lang w:val="en-US" w:eastAsia="zh-CN"/>
        </w:rPr>
        <w:t>中标供应商</w:t>
      </w:r>
      <w:r>
        <w:rPr>
          <w:rFonts w:hint="eastAsia" w:ascii="宋体" w:hAnsi="宋体" w:eastAsia="宋体" w:cs="宋体"/>
          <w:color w:val="auto"/>
          <w:kern w:val="0"/>
          <w:sz w:val="24"/>
          <w:highlight w:val="none"/>
        </w:rPr>
        <w:t>支付合同总价款20%的违约金，违约金不足以弥补损失的，</w:t>
      </w:r>
      <w:r>
        <w:rPr>
          <w:rFonts w:hint="eastAsia" w:ascii="宋体" w:hAnsi="宋体" w:eastAsia="宋体" w:cs="宋体"/>
          <w:i w:val="0"/>
          <w:iCs w:val="0"/>
          <w:caps w:val="0"/>
          <w:color w:val="auto"/>
          <w:spacing w:val="0"/>
          <w:kern w:val="0"/>
          <w:sz w:val="24"/>
          <w:szCs w:val="24"/>
          <w:highlight w:val="none"/>
          <w:shd w:val="clear" w:color="auto" w:fill="auto"/>
          <w:lang w:val="en-US" w:eastAsia="zh-CN"/>
        </w:rPr>
        <w:t>中标供应商</w:t>
      </w:r>
      <w:r>
        <w:rPr>
          <w:rFonts w:hint="eastAsia" w:ascii="宋体" w:hAnsi="宋体" w:eastAsia="宋体" w:cs="宋体"/>
          <w:color w:val="auto"/>
          <w:kern w:val="0"/>
          <w:sz w:val="24"/>
          <w:highlight w:val="none"/>
        </w:rPr>
        <w:t>应予补足。（须提供承诺函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并加盖公章</w:t>
      </w:r>
      <w:r>
        <w:rPr>
          <w:rFonts w:hint="eastAsia" w:ascii="宋体" w:hAnsi="宋体" w:eastAsia="宋体" w:cs="宋体"/>
          <w:color w:val="auto"/>
          <w:kern w:val="0"/>
          <w:sz w:val="24"/>
          <w:highlight w:val="none"/>
        </w:rPr>
        <w:t>）</w:t>
      </w:r>
    </w:p>
    <w:bookmarkEnd w:id="6"/>
    <w:bookmarkEnd w:id="7"/>
    <w:bookmarkEnd w:id="8"/>
    <w:p w14:paraId="5F74678B">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bookmarkStart w:id="9" w:name="_Toc167715252"/>
      <w:bookmarkStart w:id="10" w:name="_Toc167712857"/>
      <w:bookmarkStart w:id="11" w:name="_Toc167714055"/>
      <w:r>
        <w:rPr>
          <w:rFonts w:hint="eastAsia" w:ascii="宋体" w:hAnsi="宋体" w:eastAsia="宋体" w:cs="宋体"/>
          <w:color w:val="auto"/>
          <w:kern w:val="0"/>
          <w:sz w:val="24"/>
          <w:highlight w:val="none"/>
          <w:lang w:val="en-US" w:eastAsia="zh-CN"/>
        </w:rPr>
        <w:t>三</w:t>
      </w:r>
      <w:r>
        <w:rPr>
          <w:rFonts w:hint="eastAsia" w:ascii="宋体" w:hAnsi="宋体" w:eastAsia="宋体" w:cs="宋体"/>
          <w:color w:val="auto"/>
          <w:kern w:val="0"/>
          <w:sz w:val="24"/>
          <w:highlight w:val="none"/>
        </w:rPr>
        <w:t>、知识产权：</w:t>
      </w:r>
    </w:p>
    <w:p w14:paraId="24052737">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14:paraId="45F20A2C">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bookmarkEnd w:id="9"/>
      <w:bookmarkEnd w:id="10"/>
      <w:bookmarkEnd w:id="11"/>
      <w:r>
        <w:rPr>
          <w:rFonts w:hint="eastAsia" w:ascii="宋体" w:hAnsi="宋体" w:eastAsia="宋体" w:cs="宋体"/>
          <w:color w:val="auto"/>
          <w:kern w:val="0"/>
          <w:sz w:val="24"/>
          <w:highlight w:val="none"/>
        </w:rPr>
        <w:t>服务承诺</w:t>
      </w:r>
    </w:p>
    <w:p w14:paraId="24CF8604">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bookmarkStart w:id="12" w:name="_Toc167714065"/>
      <w:bookmarkStart w:id="13" w:name="_Toc167712867"/>
      <w:bookmarkStart w:id="14" w:name="_Toc167715262"/>
      <w:r>
        <w:rPr>
          <w:rFonts w:hint="eastAsia" w:ascii="宋体" w:hAnsi="宋体" w:eastAsia="宋体" w:cs="宋体"/>
          <w:color w:val="auto"/>
          <w:kern w:val="0"/>
          <w:sz w:val="24"/>
          <w:highlight w:val="none"/>
        </w:rPr>
        <w:t>投标人应遵照国家规范规定的技术服务内容及要求作出明确承诺。</w:t>
      </w:r>
      <w:bookmarkEnd w:id="12"/>
      <w:bookmarkEnd w:id="13"/>
      <w:bookmarkEnd w:id="14"/>
    </w:p>
    <w:p w14:paraId="05DDEA51">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bookmarkStart w:id="15" w:name="_Toc167715263"/>
      <w:bookmarkStart w:id="16" w:name="_Toc167714066"/>
      <w:bookmarkStart w:id="17" w:name="_Toc167712868"/>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rPr>
        <w:t>、</w:t>
      </w:r>
      <w:bookmarkEnd w:id="15"/>
      <w:bookmarkEnd w:id="16"/>
      <w:bookmarkEnd w:id="17"/>
      <w:r>
        <w:rPr>
          <w:rFonts w:hint="eastAsia" w:ascii="宋体" w:hAnsi="宋体" w:eastAsia="宋体" w:cs="宋体"/>
          <w:color w:val="auto"/>
          <w:kern w:val="0"/>
          <w:sz w:val="24"/>
          <w:highlight w:val="none"/>
        </w:rPr>
        <w:t>合同实施</w:t>
      </w:r>
    </w:p>
    <w:p w14:paraId="3091FFF4">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若未能在服务期内完成合同规定的义务，由此对采购人造成的延误和一切损失，由中标人承担和赔偿。</w:t>
      </w:r>
    </w:p>
    <w:p w14:paraId="1BCF8CA0">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、违约责任：</w:t>
      </w:r>
    </w:p>
    <w:p w14:paraId="0F7F69A0">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1、按《中华人民共和国民法典》中的相关条款执行。</w:t>
      </w:r>
    </w:p>
    <w:p w14:paraId="1B577877">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中标供应商</w:t>
      </w:r>
      <w:r>
        <w:rPr>
          <w:rFonts w:hint="eastAsia" w:ascii="宋体" w:hAnsi="宋体" w:cs="宋体"/>
          <w:color w:val="auto"/>
          <w:kern w:val="0"/>
          <w:sz w:val="24"/>
          <w:highlight w:val="none"/>
        </w:rPr>
        <w:t>违反其服务条款时，</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有权要求</w:t>
      </w:r>
      <w:r>
        <w:rPr>
          <w:rFonts w:hint="eastAsia" w:ascii="宋体" w:hAnsi="宋体" w:eastAsia="宋体" w:cs="宋体"/>
          <w:color w:val="auto"/>
          <w:kern w:val="0"/>
          <w:sz w:val="24"/>
          <w:highlight w:val="none"/>
          <w:lang w:val="en-US" w:eastAsia="zh-CN"/>
        </w:rPr>
        <w:t>中标供应商</w:t>
      </w:r>
      <w:r>
        <w:rPr>
          <w:rFonts w:hint="eastAsia" w:ascii="宋体" w:hAnsi="宋体" w:cs="宋体"/>
          <w:color w:val="auto"/>
          <w:kern w:val="0"/>
          <w:sz w:val="24"/>
          <w:highlight w:val="none"/>
        </w:rPr>
        <w:t>在5天内予以改正，逾期不改的，</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有权每日按照合同总金额的0.3%收取</w:t>
      </w:r>
      <w:r>
        <w:rPr>
          <w:rFonts w:hint="eastAsia" w:ascii="宋体" w:hAnsi="宋体" w:eastAsia="宋体" w:cs="宋体"/>
          <w:color w:val="auto"/>
          <w:kern w:val="0"/>
          <w:sz w:val="24"/>
          <w:highlight w:val="none"/>
          <w:lang w:val="en-US" w:eastAsia="zh-CN"/>
        </w:rPr>
        <w:t>中标供应商</w:t>
      </w:r>
      <w:r>
        <w:rPr>
          <w:rFonts w:hint="eastAsia" w:ascii="宋体" w:hAnsi="宋体" w:cs="宋体"/>
          <w:color w:val="auto"/>
          <w:kern w:val="0"/>
          <w:sz w:val="24"/>
          <w:highlight w:val="none"/>
        </w:rPr>
        <w:t>违约金。当以上情况持续30天或以上时，</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有权终止合同，</w:t>
      </w:r>
      <w:r>
        <w:rPr>
          <w:rFonts w:hint="eastAsia" w:ascii="宋体" w:hAnsi="宋体" w:eastAsia="宋体" w:cs="宋体"/>
          <w:color w:val="auto"/>
          <w:kern w:val="0"/>
          <w:sz w:val="24"/>
          <w:highlight w:val="none"/>
          <w:lang w:val="en-US" w:eastAsia="zh-CN"/>
        </w:rPr>
        <w:t>中标供应商</w:t>
      </w:r>
      <w:r>
        <w:rPr>
          <w:rFonts w:hint="eastAsia" w:ascii="宋体" w:hAnsi="宋体" w:cs="宋体"/>
          <w:color w:val="auto"/>
          <w:kern w:val="0"/>
          <w:sz w:val="24"/>
          <w:highlight w:val="none"/>
        </w:rPr>
        <w:t>必须将全部服务资料移交</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并在合同终止之日起10天内，配合</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做好服务交接工作，</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有权追回未完成合同项目的款项，并有权对由此引起的损失要求</w:t>
      </w:r>
      <w:r>
        <w:rPr>
          <w:rFonts w:hint="eastAsia" w:ascii="宋体" w:hAnsi="宋体" w:eastAsia="宋体" w:cs="宋体"/>
          <w:color w:val="auto"/>
          <w:kern w:val="0"/>
          <w:sz w:val="24"/>
          <w:highlight w:val="none"/>
          <w:lang w:val="en-US" w:eastAsia="zh-CN"/>
        </w:rPr>
        <w:t>中标供应商</w:t>
      </w:r>
      <w:r>
        <w:rPr>
          <w:rFonts w:hint="eastAsia" w:ascii="宋体" w:hAnsi="宋体" w:eastAsia="宋体" w:cs="宋体"/>
          <w:color w:val="auto"/>
          <w:kern w:val="0"/>
          <w:sz w:val="24"/>
          <w:highlight w:val="none"/>
        </w:rPr>
        <w:t>予以赔偿</w:t>
      </w:r>
      <w:r>
        <w:rPr>
          <w:rFonts w:hint="eastAsia" w:ascii="宋体" w:hAnsi="宋体" w:eastAsia="宋体" w:cs="宋体"/>
          <w:color w:val="auto"/>
          <w:kern w:val="0"/>
          <w:sz w:val="24"/>
          <w:highlight w:val="none"/>
          <w:lang w:eastAsia="zh-CN"/>
        </w:rPr>
        <w:t>；</w:t>
      </w:r>
    </w:p>
    <w:p w14:paraId="03F5DD75">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因</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rPr>
        <w:t>行为违反法律规定产生引起的民事和刑事责任由</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rPr>
        <w:t>承担；</w:t>
      </w:r>
    </w:p>
    <w:p w14:paraId="727E0CBD">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因</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rPr>
        <w:t>行为侵害第三方权益的，责任和相关损失由</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rPr>
        <w:t>承担；</w:t>
      </w:r>
    </w:p>
    <w:p w14:paraId="208D6A33">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5、中标人</w:t>
      </w:r>
      <w:r>
        <w:rPr>
          <w:rFonts w:hint="eastAsia" w:ascii="宋体" w:hAnsi="宋体" w:eastAsia="宋体" w:cs="宋体"/>
          <w:color w:val="auto"/>
          <w:kern w:val="0"/>
          <w:sz w:val="24"/>
          <w:highlight w:val="none"/>
        </w:rPr>
        <w:t>违反保密规定，全部责任由</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rPr>
        <w:t>承担，并需赔偿</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由此引起的损失。</w:t>
      </w:r>
    </w:p>
    <w:p w14:paraId="7A6FFA4E">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6、中标人</w:t>
      </w:r>
      <w:r>
        <w:rPr>
          <w:rFonts w:hint="eastAsia" w:ascii="宋体" w:hAnsi="宋体" w:eastAsia="宋体" w:cs="宋体"/>
          <w:color w:val="auto"/>
          <w:kern w:val="0"/>
          <w:sz w:val="24"/>
          <w:highlight w:val="none"/>
        </w:rPr>
        <w:t>与其他项目中标企业之间要相互配合完成整体项目，如因不配合或配合不当影响整体项目的，由</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根据工作实际，认定违约企业和不配合企业的违约责任，并由违约企业和不配合企业共同承担相应的责任。</w:t>
      </w:r>
    </w:p>
    <w:p w14:paraId="6FBBC7E2">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7、中标人擅自将本合同所涉事项转委托给第三人的，采购人有权单方解除本合同，同时，中标人还应按照本合同总价款的20%向甲方支付违约金。</w:t>
      </w:r>
    </w:p>
    <w:p w14:paraId="066DF0D7">
      <w:pPr>
        <w:keepNext w:val="0"/>
        <w:keepLines w:val="0"/>
        <w:pageBreakBefore w:val="0"/>
        <w:kinsoku/>
        <w:wordWrap w:val="0"/>
        <w:overflowPunct/>
        <w:topLinePunct/>
        <w:autoSpaceDE/>
        <w:autoSpaceDN/>
        <w:bidi w:val="0"/>
        <w:adjustRightInd/>
        <w:snapToGrid/>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中标人应收到采购人付款后的一个月内结清所有服务提供方（供货商）的欠款，否则中标人应当自行承担逾期支付供货商欠款的违约责任。中标人承诺在甲方按时足额支付合同价款后对服务提供方（供货商）的欠款不再承担任何责任。</w:t>
      </w:r>
    </w:p>
    <w:p w14:paraId="6AB563C9">
      <w:r>
        <w:rPr>
          <w:rFonts w:hint="eastAsia" w:ascii="宋体" w:hAnsi="宋体" w:eastAsia="宋体" w:cs="宋体"/>
          <w:color w:val="auto"/>
          <w:kern w:val="0"/>
          <w:sz w:val="24"/>
          <w:highlight w:val="none"/>
          <w:lang w:val="en-US" w:eastAsia="zh-CN"/>
        </w:rPr>
        <w:t>9、服务过程中，中标人无正当理由提前终止本合同的，采购人有权拒绝支付费用，中标人应返还采购人已支付全部费用，采购人有权要求中标人支付本合同价款20%的违约金，违约金不足以弥补采购人损失的，中标人应予补足。</w:t>
      </w:r>
      <w:bookmarkStart w:id="18" w:name="_GoBack"/>
      <w:bookmarkEnd w:id="1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44FE5"/>
    <w:multiLevelType w:val="singleLevel"/>
    <w:tmpl w:val="BDC44FE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D7B95"/>
    <w:rsid w:val="094D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2025-12-05T03:11:00Z</dcterms:created>
  <dc:creator>Administrator</dc:creator>
  <cp:lastModifiedBy>Administrator</cp:lastModifiedBy>
  <dcterms:modified xsi:type="dcterms:W3CDTF">2025-12-05T03:11:59Z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C5784C1F1DC04F24B31EA3B70EEC2E3C_11</vt:lpwstr>
  </property>
  <property fmtid="{D5CDD505-2E9C-101B-9397-08002B2CF9AE}" pid="4" name="KSOTemplateDocerSaveRecord">
    <vt:lpwstr>eyJoZGlkIjoiYzY3YWNkOWRmMzdkMWY0ODgxYzQ3M2FiOTAxMTEzOTYifQ==</vt:lpwstr>
  </property>
</Properties>
</file>