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50" w:line="217" w:lineRule="auto"/>
        <w:jc w:val="center"/>
        <w:textAlignment w:val="baseline"/>
        <w:outlineLvl w:val="0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8"/>
          <w:kern w:val="0"/>
          <w:sz w:val="30"/>
          <w:szCs w:val="30"/>
          <w:lang w:eastAsia="en-US"/>
        </w:rPr>
        <w:t>技术标准和要求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lang w:eastAsia="en-US"/>
        </w:rPr>
        <w:t>工程概况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/>
        </w:rPr>
        <w:t>工程名称：富平老城县署保护利用基础设施建设项目（一期）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highlight w:val="none"/>
          <w:lang w:val="en-US" w:eastAsia="zh-CN"/>
        </w:rPr>
        <w:t>、标段划分：1个标段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default" w:ascii="仿宋" w:hAnsi="仿宋" w:eastAsia="仿宋" w:cs="仿宋"/>
          <w:snapToGrid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highlight w:val="none"/>
          <w:lang w:val="en-US" w:eastAsia="zh-CN"/>
        </w:rPr>
        <w:t>3、工程地点：渭南市富平县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kern w:val="2"/>
          <w:sz w:val="24"/>
          <w:szCs w:val="24"/>
          <w:highlight w:val="none"/>
          <w:lang w:val="en-US" w:eastAsia="zh-CN" w:bidi="ar-SA"/>
        </w:rPr>
        <w:t>4、计划工期：自合同签订生效之日起5个月内竣工。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napToGrid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kern w:val="2"/>
          <w:sz w:val="24"/>
          <w:szCs w:val="24"/>
          <w:highlight w:val="none"/>
          <w:lang w:val="en-US" w:eastAsia="zh-CN" w:bidi="ar-SA"/>
        </w:rPr>
        <w:t>5、质保期：按照国家、省、市相关标准执行。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highlight w:val="none"/>
          <w:lang w:val="en-US" w:eastAsia="zh-CN"/>
        </w:rPr>
        <w:t>二、质量标准：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highlight w:val="none"/>
          <w:lang w:val="en-US" w:eastAsia="zh-CN"/>
        </w:rPr>
        <w:t>满足现行国家相关质量验收标准和招标要求，质量达到合格标准。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highlight w:val="none"/>
          <w:lang w:val="en-US" w:eastAsia="zh-CN"/>
        </w:rPr>
        <w:t>三、主要建设内容：</w:t>
      </w:r>
      <w:bookmarkStart w:id="0" w:name="OLE_LINK1"/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kern w:val="2"/>
          <w:sz w:val="24"/>
          <w:szCs w:val="24"/>
          <w:lang w:val="en-US" w:eastAsia="zh-CN" w:bidi="ar-SA"/>
        </w:rPr>
        <w:t>对富平老城县署保护利用基础设施建设项目（一期）院内房屋拆除，游客服务中心、1-3号石刻展厅及1号管理用房、东廊房、1号历史文化展厅修缮（含文物本体）</w:t>
      </w:r>
      <w:r>
        <w:rPr>
          <w:rFonts w:hint="eastAsia" w:ascii="仿宋" w:hAnsi="仿宋" w:eastAsia="仿宋" w:cs="仿宋"/>
          <w:snapToGrid w:val="0"/>
          <w:color w:val="auto"/>
          <w:kern w:val="2"/>
          <w:sz w:val="24"/>
          <w:szCs w:val="24"/>
          <w:highlight w:val="none"/>
          <w:lang w:val="en-US" w:eastAsia="zh-CN" w:bidi="ar-SA"/>
        </w:rPr>
        <w:t>等工程施工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四、技术主要要求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480" w:firstLineChars="200"/>
        <w:jc w:val="both"/>
        <w:textAlignment w:val="auto"/>
        <w:rPr>
          <w:rFonts w:hint="default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1.施工须按国家文物局关于印发《古建筑修缮项目施工规程（试行）》标准及、行业及地方现行规范标准执行。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480" w:firstLineChars="200"/>
        <w:jc w:val="both"/>
        <w:textAlignment w:val="auto"/>
        <w:rPr>
          <w:rFonts w:hint="default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2.工程用料应满足国家强制性要求， 符合标准规范和招标要求。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48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3.满足工程量清单标准及相关要求。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具体工程内容详见工程量清单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52DF0"/>
    <w:multiLevelType w:val="singleLevel"/>
    <w:tmpl w:val="03E52D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ZTUyN2RhZjc0Y2I2ZWZkNjBmZjZmNGNhNDhlNzMifQ=="/>
  </w:docVars>
  <w:rsids>
    <w:rsidRoot w:val="00000000"/>
    <w:rsid w:val="4CA5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2025-12-05T01:37:30Z</dcterms:created>
  <dc:creator>Administrator</dc:creator>
  <cp:lastModifiedBy>左左</cp:lastModifiedBy>
  <dcterms:modified xsi:type="dcterms:W3CDTF">2025-12-05T01:38:15Z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F820441F8A3145C4887737D20DAF7CCA_12</vt:lpwstr>
  </property>
</Properties>
</file>