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A8401">
      <w:pPr>
        <w:jc w:val="center"/>
        <w:rPr>
          <w:rFonts w:hint="eastAsia"/>
          <w:b/>
          <w:bCs/>
          <w:sz w:val="32"/>
          <w:szCs w:val="40"/>
          <w:lang w:val="en-US" w:eastAsia="zh-CN"/>
        </w:rPr>
      </w:pPr>
      <w:r>
        <w:rPr>
          <w:rFonts w:hint="eastAsia"/>
          <w:b/>
          <w:bCs/>
          <w:sz w:val="32"/>
          <w:szCs w:val="40"/>
          <w:lang w:val="en-US" w:eastAsia="zh-CN"/>
        </w:rPr>
        <w:t>采购需求</w:t>
      </w:r>
    </w:p>
    <w:p w14:paraId="70B829EF">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一．服务内容</w:t>
      </w:r>
    </w:p>
    <w:p w14:paraId="535F0D30">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分局实际情况及检法两院对案件侦查、诉讼过程中进行司法鉴定的相关要求，选聘符合资质的司法鉴定机构对案件办理过程中存在的专门性问题进行检验、鉴别和评定，出具《司法鉴定意见书》，为案件侦查、报捕、起诉提供相关依据。</w:t>
      </w:r>
    </w:p>
    <w:p w14:paraId="1FDB2C47">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二、服务范围</w:t>
      </w:r>
    </w:p>
    <w:p w14:paraId="6A4E542D">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鉴定业务范围包括:</w:t>
      </w:r>
    </w:p>
    <w:p w14:paraId="3FDCAFC2">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1.法医临床鉴定</w:t>
      </w:r>
    </w:p>
    <w:p w14:paraId="2340427E">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2.法医病理鉴定</w:t>
      </w:r>
    </w:p>
    <w:p w14:paraId="50E6A20C">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3.法医物证鉴定</w:t>
      </w:r>
    </w:p>
    <w:p w14:paraId="2EF7DC6C">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4.法医毒物鉴定</w:t>
      </w:r>
    </w:p>
    <w:p w14:paraId="2F907B47">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5.法医精神病鉴定</w:t>
      </w:r>
    </w:p>
    <w:p w14:paraId="37206199">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6.电子数据类鉴定</w:t>
      </w:r>
    </w:p>
    <w:p w14:paraId="6BC94673">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7.文书、痕迹鉴定</w:t>
      </w:r>
      <w:bookmarkStart w:id="0" w:name="_GoBack"/>
      <w:bookmarkEnd w:id="0"/>
    </w:p>
    <w:p w14:paraId="74BE77C4">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备注：</w:t>
      </w:r>
      <w:r>
        <w:rPr>
          <w:rFonts w:hint="eastAsia" w:ascii="宋体" w:hAnsi="宋体" w:eastAsia="宋体" w:cs="宋体"/>
          <w:b/>
          <w:bCs/>
          <w:color w:val="auto"/>
          <w:sz w:val="28"/>
          <w:szCs w:val="28"/>
          <w:highlight w:val="none"/>
          <w:lang w:val="en-US" w:eastAsia="zh-CN"/>
        </w:rPr>
        <w:t>法医物证鉴定及法医毒物鉴定必须通过CMA或CNAS认证；（须在响应文件中提供证明材料，未提供者按无效文件处理。）</w:t>
      </w:r>
    </w:p>
    <w:p w14:paraId="645916BF">
      <w:pPr>
        <w:pStyle w:val="4"/>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商务要求</w:t>
      </w:r>
    </w:p>
    <w:p w14:paraId="6F34E6E8">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1.服务期限：自合同签订之日起1年。（具体以双方签订合同时约定的起止日期为准）</w:t>
      </w:r>
    </w:p>
    <w:p w14:paraId="699CDB96">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2、本项目报价为折扣、最终结算根据供应商所报折扣据实结算。（供应商报价为含税价，供应商提供服务所发生的一切费用(包括增值税等相关税费)等都已包含于报价中）</w:t>
      </w:r>
    </w:p>
    <w:p w14:paraId="0A88432B">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备注：服务期限内支付金额不超过采购预算。</w:t>
      </w:r>
    </w:p>
    <w:p w14:paraId="56874E3A">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3、收费基准</w:t>
      </w:r>
    </w:p>
    <w:p w14:paraId="3AF35AB7">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收费基准：依据《陕西省实行政府指导价的司法鉴定收费项目和收费标准表》为基准价根据供应商所报折扣据实结算。</w:t>
      </w:r>
    </w:p>
    <w:p w14:paraId="20682616">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注：以上执行标准如有最新标准，按最新标准执行。</w:t>
      </w:r>
    </w:p>
    <w:p w14:paraId="6D6E974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40"/>
          <w:szCs w:val="48"/>
          <w:lang w:val="en-US" w:eastAsia="zh-CN"/>
        </w:rPr>
      </w:pPr>
      <w:r>
        <w:rPr>
          <w:rFonts w:hint="eastAsia" w:ascii="宋体" w:hAnsi="宋体" w:eastAsia="宋体" w:cs="宋体"/>
          <w:color w:val="auto"/>
          <w:sz w:val="22"/>
          <w:szCs w:val="22"/>
          <w:lang w:val="en-US" w:eastAsia="zh-CN"/>
        </w:rPr>
        <w:t>4、如采购人有加急事宜，供应商应配合处理且不额外收取费用。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6C0A5"/>
    <w:multiLevelType w:val="singleLevel"/>
    <w:tmpl w:val="B0D6C0A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0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2025-12-05T09:02:28Z</dcterms:created>
  <dc:creator>huawei</dc:creator>
  <cp:lastModifiedBy>晓幸运^_^</cp:lastModifiedBy>
  <dcterms:modified xsi:type="dcterms:W3CDTF">2025-12-05T09:04:38Z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eyJoZGlkIjoiNDc2MmU4NmQ0YmJjOTBjOGM0YzE2ZDFjMTc4MjcyOTYiLCJ1c2VySWQiOiI1Nzg0OTIyNTEifQ==</vt:lpwstr>
  </property>
  <property fmtid="{D5CDD505-2E9C-101B-9397-08002B2CF9AE}" pid="4" name="ICV">
    <vt:lpwstr>8A02B83F94D04D98B81198F7E1EF06FA_12</vt:lpwstr>
  </property>
</Properties>
</file>