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AE8FD">
      <w:pPr>
        <w:adjustRightInd w:val="0"/>
        <w:snapToGrid w:val="0"/>
        <w:spacing w:line="340" w:lineRule="exact"/>
        <w:jc w:val="right"/>
        <w:rPr>
          <w:rFonts w:ascii="宋体" w:hAnsi="Calibri" w:eastAsia="宋体"/>
          <w:b/>
          <w:bCs/>
          <w:color w:val="auto"/>
          <w:sz w:val="30"/>
          <w:szCs w:val="30"/>
          <w:highlight w:val="none"/>
        </w:rPr>
      </w:pPr>
      <w:r>
        <w:rPr>
          <w:rFonts w:cs="宋体" w:asciiTheme="minorEastAsia" w:hAnsiTheme="minorEastAsia" w:eastAsiaTheme="minorEastAsia"/>
          <w:bCs/>
          <w:color w:val="auto"/>
          <w:sz w:val="36"/>
          <w:szCs w:val="36"/>
          <w:highlight w:val="none"/>
        </w:rPr>
        <w:t xml:space="preserve"> </w:t>
      </w:r>
      <w:r>
        <w:rPr>
          <w:rFonts w:hint="eastAsia" w:cs="宋体" w:asciiTheme="minorEastAsia" w:hAnsiTheme="minorEastAsia" w:eastAsiaTheme="minorEastAsia"/>
          <w:bCs/>
          <w:color w:val="auto"/>
          <w:sz w:val="36"/>
          <w:szCs w:val="36"/>
          <w:highlight w:val="none"/>
        </w:rPr>
        <w:t xml:space="preserve">   </w:t>
      </w:r>
      <w:r>
        <w:rPr>
          <w:rFonts w:hint="eastAsia" w:ascii="宋体" w:hAnsi="宋体" w:eastAsia="宋体" w:cs="宋体"/>
          <w:b/>
          <w:bCs/>
          <w:color w:val="auto"/>
          <w:sz w:val="30"/>
          <w:szCs w:val="30"/>
          <w:highlight w:val="none"/>
        </w:rPr>
        <w:t>政府采购项目</w:t>
      </w:r>
    </w:p>
    <w:p w14:paraId="6327B49E">
      <w:pPr>
        <w:spacing w:line="440" w:lineRule="exact"/>
        <w:rPr>
          <w:rFonts w:hint="eastAsia" w:cs="宋体" w:asciiTheme="minorEastAsia" w:hAnsiTheme="minorEastAsia" w:eastAsiaTheme="minorEastAsia"/>
          <w:b/>
          <w:bCs/>
          <w:color w:val="auto"/>
          <w:sz w:val="32"/>
          <w:szCs w:val="36"/>
          <w:highlight w:val="none"/>
          <w:lang w:val="en-US" w:eastAsia="zh-CN"/>
        </w:rPr>
      </w:pPr>
      <w:r>
        <w:rPr>
          <w:rFonts w:hint="eastAsia" w:cs="宋体" w:asciiTheme="minorEastAsia" w:hAnsiTheme="minorEastAsia" w:eastAsiaTheme="minorEastAsia"/>
          <w:b/>
          <w:bCs/>
          <w:color w:val="auto"/>
          <w:sz w:val="30"/>
          <w:szCs w:val="30"/>
          <w:highlight w:val="none"/>
          <w:lang w:val="en-US" w:eastAsia="zh-CN"/>
        </w:rPr>
        <w:t>项目</w:t>
      </w:r>
      <w:r>
        <w:rPr>
          <w:rFonts w:hint="eastAsia" w:cs="宋体" w:asciiTheme="minorEastAsia" w:hAnsiTheme="minorEastAsia" w:eastAsiaTheme="minorEastAsia"/>
          <w:b/>
          <w:bCs/>
          <w:color w:val="auto"/>
          <w:sz w:val="30"/>
          <w:szCs w:val="30"/>
          <w:highlight w:val="none"/>
        </w:rPr>
        <w:t>编号:</w:t>
      </w:r>
      <w:r>
        <w:rPr>
          <w:rFonts w:hint="eastAsia" w:cs="宋体" w:asciiTheme="minorEastAsia" w:hAnsiTheme="minorEastAsia" w:eastAsiaTheme="minorEastAsia"/>
          <w:b/>
          <w:bCs/>
          <w:color w:val="auto"/>
          <w:sz w:val="30"/>
          <w:szCs w:val="30"/>
          <w:highlight w:val="none"/>
          <w:lang w:eastAsia="zh-CN"/>
        </w:rPr>
        <w:t xml:space="preserve"> AKSH2025-ZTP-156 </w:t>
      </w:r>
      <w:r>
        <w:rPr>
          <w:rFonts w:hint="eastAsia" w:cs="宋体" w:asciiTheme="minorEastAsia" w:hAnsiTheme="minorEastAsia" w:eastAsiaTheme="minorEastAsia"/>
          <w:b/>
          <w:bCs/>
          <w:color w:val="auto"/>
          <w:sz w:val="32"/>
          <w:szCs w:val="36"/>
          <w:highlight w:val="none"/>
          <w:lang w:eastAsia="zh-CN"/>
        </w:rPr>
        <w:t xml:space="preserve"> </w:t>
      </w:r>
    </w:p>
    <w:p w14:paraId="71EBEFE7">
      <w:pPr>
        <w:spacing w:line="440" w:lineRule="exact"/>
        <w:rPr>
          <w:rFonts w:hint="default" w:cs="宋体" w:asciiTheme="minorEastAsia" w:hAnsiTheme="minorEastAsia" w:eastAsiaTheme="minorEastAsia"/>
          <w:b/>
          <w:bCs/>
          <w:color w:val="auto"/>
          <w:sz w:val="32"/>
          <w:szCs w:val="36"/>
          <w:highlight w:val="none"/>
          <w:lang w:val="en-US" w:eastAsia="zh-CN"/>
        </w:rPr>
      </w:pPr>
    </w:p>
    <w:p w14:paraId="16447CFC">
      <w:pPr>
        <w:pStyle w:val="2"/>
        <w:jc w:val="center"/>
        <w:rPr>
          <w:color w:val="auto"/>
          <w:sz w:val="22"/>
          <w:szCs w:val="22"/>
          <w:highlight w:val="none"/>
        </w:rPr>
      </w:pPr>
    </w:p>
    <w:p w14:paraId="1F8ED1CB"/>
    <w:p w14:paraId="369925A9">
      <w:pPr>
        <w:pStyle w:val="37"/>
        <w:ind w:left="0" w:leftChars="0" w:firstLine="0" w:firstLineChars="0"/>
        <w:jc w:val="center"/>
        <w:rPr>
          <w:rFonts w:hint="eastAsia" w:asciiTheme="minorEastAsia" w:hAnsiTheme="minorEastAsia" w:eastAsiaTheme="minorEastAsia" w:cstheme="majorEastAsia"/>
          <w:b/>
          <w:bCs w:val="0"/>
          <w:color w:val="auto"/>
          <w:spacing w:val="20"/>
          <w:kern w:val="0"/>
          <w:sz w:val="42"/>
          <w:szCs w:val="42"/>
          <w:highlight w:val="none"/>
          <w:lang w:val="en-US" w:eastAsia="zh-CN" w:bidi="ar-SA"/>
        </w:rPr>
      </w:pPr>
      <w:r>
        <w:rPr>
          <w:rFonts w:hint="eastAsia" w:asciiTheme="minorEastAsia" w:hAnsiTheme="minorEastAsia" w:eastAsiaTheme="minorEastAsia" w:cstheme="majorEastAsia"/>
          <w:b/>
          <w:bCs w:val="0"/>
          <w:color w:val="auto"/>
          <w:spacing w:val="20"/>
          <w:kern w:val="0"/>
          <w:sz w:val="42"/>
          <w:szCs w:val="42"/>
          <w:highlight w:val="none"/>
          <w:lang w:val="en-US" w:eastAsia="zh-CN" w:bidi="ar-SA"/>
        </w:rPr>
        <w:t>安康市中心医院新生儿科婴儿奶粉采购项目</w:t>
      </w:r>
    </w:p>
    <w:p w14:paraId="5A608D55">
      <w:pPr>
        <w:pStyle w:val="37"/>
        <w:rPr>
          <w:rFonts w:hint="eastAsia" w:asciiTheme="minorEastAsia" w:hAnsiTheme="minorEastAsia" w:eastAsiaTheme="minorEastAsia" w:cstheme="majorEastAsia"/>
          <w:b/>
          <w:bCs w:val="0"/>
          <w:color w:val="auto"/>
          <w:spacing w:val="20"/>
          <w:kern w:val="0"/>
          <w:sz w:val="42"/>
          <w:szCs w:val="42"/>
          <w:highlight w:val="none"/>
          <w:lang w:val="en-US" w:eastAsia="zh-CN" w:bidi="ar-SA"/>
        </w:rPr>
      </w:pPr>
    </w:p>
    <w:p w14:paraId="044328F6">
      <w:pPr>
        <w:rPr>
          <w:color w:val="auto"/>
          <w:highlight w:val="none"/>
        </w:rPr>
      </w:pPr>
    </w:p>
    <w:p w14:paraId="64190AFF">
      <w:pPr>
        <w:spacing w:before="190" w:beforeLines="50" w:line="800" w:lineRule="exact"/>
        <w:jc w:val="center"/>
        <w:rPr>
          <w:rFonts w:asciiTheme="minorEastAsia" w:hAnsiTheme="minorEastAsia" w:eastAsiaTheme="minorEastAsia" w:cstheme="majorEastAsia"/>
          <w:b/>
          <w:color w:val="auto"/>
          <w:spacing w:val="20"/>
          <w:kern w:val="0"/>
          <w:sz w:val="56"/>
          <w:szCs w:val="56"/>
          <w:highlight w:val="none"/>
        </w:rPr>
      </w:pPr>
      <w:r>
        <w:rPr>
          <w:rFonts w:hint="eastAsia"/>
          <w:color w:val="auto"/>
          <w:highlight w:val="none"/>
        </w:rPr>
        <w:drawing>
          <wp:anchor distT="0" distB="0" distL="114300" distR="114300" simplePos="0" relativeHeight="251660288" behindDoc="0" locked="0" layoutInCell="1" allowOverlap="1">
            <wp:simplePos x="0" y="0"/>
            <wp:positionH relativeFrom="column">
              <wp:posOffset>2004695</wp:posOffset>
            </wp:positionH>
            <wp:positionV relativeFrom="paragraph">
              <wp:posOffset>127635</wp:posOffset>
            </wp:positionV>
            <wp:extent cx="1876425" cy="14287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2"/>
                    <a:stretch>
                      <a:fillRect/>
                    </a:stretch>
                  </pic:blipFill>
                  <pic:spPr>
                    <a:xfrm>
                      <a:off x="0" y="0"/>
                      <a:ext cx="1876425" cy="1428750"/>
                    </a:xfrm>
                    <a:prstGeom prst="rect">
                      <a:avLst/>
                    </a:prstGeom>
                  </pic:spPr>
                </pic:pic>
              </a:graphicData>
            </a:graphic>
          </wp:anchor>
        </w:drawing>
      </w:r>
    </w:p>
    <w:p w14:paraId="7C464DA3">
      <w:pPr>
        <w:pStyle w:val="2"/>
        <w:rPr>
          <w:rFonts w:hint="eastAsia"/>
          <w:color w:val="auto"/>
          <w:sz w:val="16"/>
          <w:szCs w:val="16"/>
          <w:highlight w:val="none"/>
        </w:rPr>
      </w:pPr>
    </w:p>
    <w:p w14:paraId="6EB84131">
      <w:pPr>
        <w:rPr>
          <w:rFonts w:hint="eastAsia"/>
          <w:color w:val="auto"/>
          <w:highlight w:val="none"/>
        </w:rPr>
      </w:pPr>
    </w:p>
    <w:p w14:paraId="41CA97A0">
      <w:pPr>
        <w:spacing w:before="190" w:beforeLines="50" w:line="800" w:lineRule="exact"/>
        <w:jc w:val="center"/>
        <w:rPr>
          <w:rFonts w:asciiTheme="minorEastAsia" w:hAnsiTheme="minorEastAsia" w:eastAsiaTheme="minorEastAsia" w:cstheme="majorEastAsia"/>
          <w:b/>
          <w:color w:val="auto"/>
          <w:sz w:val="56"/>
          <w:szCs w:val="56"/>
          <w:highlight w:val="none"/>
        </w:rPr>
      </w:pPr>
      <w:r>
        <w:rPr>
          <w:rFonts w:hint="eastAsia" w:asciiTheme="minorEastAsia" w:hAnsiTheme="minorEastAsia" w:eastAsiaTheme="minorEastAsia" w:cstheme="majorEastAsia"/>
          <w:b/>
          <w:color w:val="auto"/>
          <w:spacing w:val="20"/>
          <w:kern w:val="0"/>
          <w:sz w:val="46"/>
          <w:szCs w:val="46"/>
          <w:highlight w:val="none"/>
        </w:rPr>
        <w:t>竞争性谈判文件</w:t>
      </w:r>
    </w:p>
    <w:p w14:paraId="102111AD">
      <w:pPr>
        <w:rPr>
          <w:rFonts w:cs="宋体" w:asciiTheme="minorEastAsia" w:hAnsiTheme="minorEastAsia" w:eastAsiaTheme="minorEastAsia"/>
          <w:bCs/>
          <w:color w:val="auto"/>
          <w:sz w:val="72"/>
          <w:szCs w:val="72"/>
          <w:highlight w:val="none"/>
        </w:rPr>
      </w:pPr>
    </w:p>
    <w:p w14:paraId="430D2A83">
      <w:pPr>
        <w:rPr>
          <w:color w:val="auto"/>
          <w:highlight w:val="none"/>
        </w:rPr>
      </w:pPr>
    </w:p>
    <w:p w14:paraId="14E58B5B">
      <w:pPr>
        <w:rPr>
          <w:color w:val="auto"/>
          <w:highlight w:val="none"/>
        </w:rPr>
      </w:pPr>
    </w:p>
    <w:p w14:paraId="40B977E5">
      <w:pPr>
        <w:rPr>
          <w:rFonts w:cs="宋体" w:asciiTheme="minorEastAsia" w:hAnsiTheme="minorEastAsia" w:eastAsiaTheme="minorEastAsia"/>
          <w:bCs/>
          <w:color w:val="auto"/>
          <w:sz w:val="18"/>
          <w:szCs w:val="18"/>
          <w:highlight w:val="none"/>
        </w:rPr>
      </w:pPr>
    </w:p>
    <w:p w14:paraId="4D1D769F">
      <w:pPr>
        <w:keepNext w:val="0"/>
        <w:keepLines w:val="0"/>
        <w:pageBreakBefore w:val="0"/>
        <w:widowControl/>
        <w:tabs>
          <w:tab w:val="left" w:pos="7846"/>
        </w:tabs>
        <w:kinsoku/>
        <w:wordWrap/>
        <w:overflowPunct/>
        <w:topLinePunct w:val="0"/>
        <w:autoSpaceDE/>
        <w:autoSpaceDN/>
        <w:bidi w:val="0"/>
        <w:adjustRightInd/>
        <w:snapToGrid/>
        <w:spacing w:line="480" w:lineRule="auto"/>
        <w:ind w:firstLine="2108" w:firstLineChars="700"/>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采</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购</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人：</w:t>
      </w:r>
      <w:r>
        <w:rPr>
          <w:rFonts w:hint="eastAsia" w:ascii="宋体" w:hAnsi="宋体" w:eastAsia="宋体" w:cs="宋体"/>
          <w:b/>
          <w:bCs/>
          <w:color w:val="auto"/>
          <w:sz w:val="30"/>
          <w:szCs w:val="30"/>
          <w:highlight w:val="none"/>
          <w:lang w:val="en-US" w:eastAsia="zh-CN"/>
        </w:rPr>
        <w:t>安康市中心医院</w:t>
      </w:r>
    </w:p>
    <w:p w14:paraId="6B2BB1FF">
      <w:pPr>
        <w:keepNext w:val="0"/>
        <w:keepLines w:val="0"/>
        <w:pageBreakBefore w:val="0"/>
        <w:widowControl/>
        <w:tabs>
          <w:tab w:val="left" w:pos="7846"/>
        </w:tabs>
        <w:kinsoku/>
        <w:wordWrap/>
        <w:overflowPunct/>
        <w:topLinePunct w:val="0"/>
        <w:autoSpaceDE/>
        <w:autoSpaceDN/>
        <w:bidi w:val="0"/>
        <w:adjustRightInd/>
        <w:snapToGrid/>
        <w:spacing w:line="480" w:lineRule="auto"/>
        <w:ind w:firstLine="301" w:firstLineChars="100"/>
        <w:textAlignment w:val="auto"/>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代理机构：安康尚昊招标代理有限公司</w:t>
      </w:r>
    </w:p>
    <w:p w14:paraId="6613F99D">
      <w:pPr>
        <w:pStyle w:val="6"/>
        <w:keepNext w:val="0"/>
        <w:keepLines w:val="0"/>
        <w:pageBreakBefore w:val="0"/>
        <w:widowControl/>
        <w:kinsoku/>
        <w:wordWrap/>
        <w:overflowPunct/>
        <w:topLinePunct w:val="0"/>
        <w:autoSpaceDE/>
        <w:autoSpaceDN/>
        <w:bidi w:val="0"/>
        <w:adjustRightInd/>
        <w:snapToGrid/>
        <w:spacing w:line="480" w:lineRule="auto"/>
        <w:ind w:firstLine="1205" w:firstLineChars="400"/>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日    期：二〇二五年十一月</w:t>
      </w:r>
    </w:p>
    <w:p w14:paraId="628FA88E">
      <w:pPr>
        <w:pStyle w:val="6"/>
        <w:keepNext w:val="0"/>
        <w:keepLines w:val="0"/>
        <w:pageBreakBefore w:val="0"/>
        <w:widowControl/>
        <w:kinsoku/>
        <w:wordWrap/>
        <w:overflowPunct/>
        <w:topLinePunct w:val="0"/>
        <w:autoSpaceDE/>
        <w:autoSpaceDN/>
        <w:bidi w:val="0"/>
        <w:adjustRightInd/>
        <w:snapToGrid/>
        <w:spacing w:line="360" w:lineRule="auto"/>
        <w:ind w:left="726" w:firstLine="2108" w:firstLineChars="700"/>
        <w:textAlignment w:val="auto"/>
        <w:rPr>
          <w:rFonts w:hint="eastAsia" w:ascii="宋体" w:hAnsi="宋体" w:eastAsia="宋体" w:cs="宋体"/>
          <w:b/>
          <w:bCs/>
          <w:color w:val="auto"/>
          <w:kern w:val="2"/>
          <w:sz w:val="30"/>
          <w:szCs w:val="30"/>
          <w:highlight w:val="none"/>
          <w:lang w:val="en-US" w:eastAsia="zh-CN" w:bidi="ar-SA"/>
        </w:rPr>
        <w:sectPr>
          <w:headerReference r:id="rId5" w:type="default"/>
          <w:footerReference r:id="rId6" w:type="default"/>
          <w:pgSz w:w="11905" w:h="16838"/>
          <w:pgMar w:top="1304" w:right="1304" w:bottom="1304" w:left="1304" w:header="964" w:footer="1020" w:gutter="0"/>
          <w:pgBorders>
            <w:top w:val="none" w:sz="0" w:space="0"/>
            <w:left w:val="none" w:sz="0" w:space="0"/>
            <w:bottom w:val="none" w:sz="0" w:space="0"/>
            <w:right w:val="none" w:sz="0" w:space="0"/>
          </w:pgBorders>
          <w:pgNumType w:fmt="decimal" w:start="0"/>
          <w:cols w:space="0" w:num="1"/>
          <w:rtlGutter w:val="0"/>
          <w:docGrid w:type="lines" w:linePitch="395" w:charSpace="0"/>
        </w:sectPr>
      </w:pPr>
    </w:p>
    <w:p w14:paraId="0788B1F1">
      <w:pPr>
        <w:pStyle w:val="6"/>
        <w:keepNext w:val="0"/>
        <w:keepLines w:val="0"/>
        <w:pageBreakBefore w:val="0"/>
        <w:widowControl/>
        <w:kinsoku/>
        <w:wordWrap/>
        <w:overflowPunct/>
        <w:topLinePunct w:val="0"/>
        <w:autoSpaceDE/>
        <w:autoSpaceDN/>
        <w:bidi w:val="0"/>
        <w:adjustRightInd/>
        <w:snapToGrid/>
        <w:spacing w:line="360" w:lineRule="auto"/>
        <w:ind w:left="726" w:firstLine="3092" w:firstLineChars="700"/>
        <w:textAlignment w:val="auto"/>
        <w:rPr>
          <w:rFonts w:hint="eastAsia" w:ascii="宋体" w:hAnsi="宋体" w:eastAsia="宋体" w:cs="宋体"/>
          <w:color w:val="auto"/>
          <w:sz w:val="44"/>
          <w:szCs w:val="32"/>
          <w:highlight w:val="none"/>
          <w:lang w:val="en-US" w:eastAsia="zh-CN" w:bidi="ar-SA"/>
        </w:rPr>
      </w:pPr>
    </w:p>
    <w:p w14:paraId="470AE722">
      <w:pPr>
        <w:pStyle w:val="6"/>
        <w:keepNext w:val="0"/>
        <w:keepLines w:val="0"/>
        <w:pageBreakBefore w:val="0"/>
        <w:widowControl/>
        <w:kinsoku/>
        <w:wordWrap/>
        <w:overflowPunct/>
        <w:topLinePunct w:val="0"/>
        <w:autoSpaceDE/>
        <w:autoSpaceDN/>
        <w:bidi w:val="0"/>
        <w:adjustRightInd/>
        <w:snapToGrid/>
        <w:spacing w:line="360" w:lineRule="auto"/>
        <w:ind w:left="726" w:firstLine="3092" w:firstLineChars="700"/>
        <w:textAlignment w:val="auto"/>
        <w:rPr>
          <w:rFonts w:hint="eastAsia" w:ascii="宋体" w:hAnsi="宋体" w:eastAsia="宋体" w:cs="宋体"/>
          <w:color w:val="auto"/>
          <w:sz w:val="44"/>
          <w:szCs w:val="32"/>
          <w:highlight w:val="none"/>
          <w:lang w:val="en-US" w:eastAsia="zh-CN" w:bidi="ar-SA"/>
        </w:rPr>
      </w:pPr>
      <w:r>
        <w:rPr>
          <w:rFonts w:hint="eastAsia" w:ascii="宋体" w:hAnsi="宋体" w:eastAsia="宋体" w:cs="宋体"/>
          <w:color w:val="auto"/>
          <w:sz w:val="44"/>
          <w:szCs w:val="32"/>
          <w:highlight w:val="none"/>
          <w:lang w:val="en-US" w:eastAsia="zh-CN" w:bidi="ar-SA"/>
        </w:rPr>
        <w:t>目   录</w:t>
      </w:r>
    </w:p>
    <w:p w14:paraId="09069DC9">
      <w:pPr>
        <w:rPr>
          <w:rFonts w:hint="eastAsia"/>
          <w:lang w:val="en-US" w:eastAsia="zh-CN"/>
        </w:rPr>
      </w:pPr>
    </w:p>
    <w:p w14:paraId="53D7AF3B">
      <w:pPr>
        <w:pStyle w:val="26"/>
        <w:keepNext w:val="0"/>
        <w:keepLines w:val="0"/>
        <w:pageBreakBefore w:val="0"/>
        <w:widowControl/>
        <w:tabs>
          <w:tab w:val="right" w:leader="dot" w:pos="9072"/>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asciiTheme="minorEastAsia" w:hAnsiTheme="minorEastAsia" w:eastAsiaTheme="minorEastAsia"/>
          <w:color w:val="auto"/>
          <w:sz w:val="52"/>
          <w:szCs w:val="56"/>
          <w:highlight w:val="none"/>
        </w:rPr>
        <w:fldChar w:fldCharType="begin"/>
      </w:r>
      <w:r>
        <w:rPr>
          <w:rFonts w:asciiTheme="minorEastAsia" w:hAnsiTheme="minorEastAsia" w:eastAsiaTheme="minorEastAsia"/>
          <w:color w:val="auto"/>
          <w:sz w:val="52"/>
          <w:szCs w:val="56"/>
          <w:highlight w:val="none"/>
        </w:rPr>
        <w:instrText xml:space="preserve"> TOC \o "1-2" \h \z \u </w:instrText>
      </w:r>
      <w:r>
        <w:rPr>
          <w:rFonts w:asciiTheme="minorEastAsia" w:hAnsiTheme="minorEastAsia" w:eastAsiaTheme="minorEastAsia"/>
          <w:color w:val="auto"/>
          <w:sz w:val="52"/>
          <w:szCs w:val="56"/>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_Toc1237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 xml:space="preserve">第一章  </w:t>
      </w:r>
      <w:r>
        <w:rPr>
          <w:rFonts w:hint="eastAsia" w:ascii="宋体" w:hAnsi="宋体" w:eastAsia="宋体" w:cs="宋体"/>
          <w:sz w:val="30"/>
          <w:szCs w:val="30"/>
          <w:highlight w:val="none"/>
          <w:lang w:val="en-US" w:eastAsia="zh-CN"/>
        </w:rPr>
        <w:t>竞争性</w:t>
      </w:r>
      <w:r>
        <w:rPr>
          <w:rFonts w:hint="eastAsia" w:ascii="宋体" w:hAnsi="宋体" w:eastAsia="宋体" w:cs="宋体"/>
          <w:sz w:val="30"/>
          <w:szCs w:val="30"/>
          <w:highlight w:val="none"/>
        </w:rPr>
        <w:t>谈判</w:t>
      </w:r>
      <w:r>
        <w:rPr>
          <w:rFonts w:hint="eastAsia" w:ascii="宋体" w:hAnsi="宋体" w:eastAsia="宋体" w:cs="宋体"/>
          <w:sz w:val="30"/>
          <w:szCs w:val="30"/>
          <w:highlight w:val="none"/>
          <w:lang w:val="en-US" w:eastAsia="zh-CN"/>
        </w:rPr>
        <w:t>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_Toc1237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color w:val="auto"/>
          <w:sz w:val="30"/>
          <w:szCs w:val="30"/>
          <w:highlight w:val="none"/>
        </w:rPr>
        <w:fldChar w:fldCharType="end"/>
      </w:r>
    </w:p>
    <w:p w14:paraId="7BB303EF">
      <w:pPr>
        <w:pStyle w:val="26"/>
        <w:keepNext w:val="0"/>
        <w:keepLines w:val="0"/>
        <w:pageBreakBefore w:val="0"/>
        <w:widowControl/>
        <w:tabs>
          <w:tab w:val="right" w:leader="dot" w:pos="9072"/>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olor w:val="auto"/>
          <w:sz w:val="30"/>
          <w:szCs w:val="30"/>
          <w:highlight w:val="none"/>
          <w:lang w:val="en-US" w:eastAsia="zh-CN" w:bidi="ar-SA"/>
        </w:rPr>
        <w:fldChar w:fldCharType="begin"/>
      </w:r>
      <w:r>
        <w:rPr>
          <w:rFonts w:hint="eastAsia" w:ascii="宋体" w:hAnsi="宋体" w:eastAsia="宋体" w:cs="宋体"/>
          <w:sz w:val="30"/>
          <w:szCs w:val="30"/>
          <w:highlight w:val="none"/>
          <w:lang w:val="en-US" w:eastAsia="zh-CN" w:bidi="ar-SA"/>
        </w:rPr>
        <w:instrText xml:space="preserve"> HYPERLINK \l _Toc31465 </w:instrText>
      </w:r>
      <w:r>
        <w:rPr>
          <w:rFonts w:hint="eastAsia" w:ascii="宋体" w:hAnsi="宋体" w:eastAsia="宋体" w:cs="宋体"/>
          <w:sz w:val="30"/>
          <w:szCs w:val="30"/>
          <w:highlight w:val="none"/>
          <w:lang w:val="en-US" w:eastAsia="zh-CN" w:bidi="ar-SA"/>
        </w:rPr>
        <w:fldChar w:fldCharType="separate"/>
      </w:r>
      <w:r>
        <w:rPr>
          <w:rFonts w:hint="eastAsia" w:ascii="宋体" w:hAnsi="宋体" w:eastAsia="宋体" w:cs="宋体"/>
          <w:sz w:val="30"/>
          <w:szCs w:val="30"/>
          <w:highlight w:val="none"/>
        </w:rPr>
        <w:t>第二章  供应商须知</w:t>
      </w:r>
      <w:r>
        <w:rPr>
          <w:rFonts w:hint="eastAsia" w:ascii="宋体" w:hAnsi="宋体" w:eastAsia="宋体" w:cs="宋体"/>
          <w:sz w:val="30"/>
          <w:szCs w:val="30"/>
        </w:rPr>
        <w:tab/>
      </w:r>
      <w:r>
        <w:rPr>
          <w:rFonts w:hint="eastAsia" w:ascii="宋体" w:hAnsi="宋体" w:eastAsia="宋体" w:cs="宋体"/>
          <w:sz w:val="30"/>
          <w:szCs w:val="30"/>
          <w:lang w:val="en-US" w:eastAsia="zh-CN"/>
        </w:rPr>
        <w:t>5</w:t>
      </w:r>
      <w:r>
        <w:rPr>
          <w:rFonts w:hint="eastAsia" w:ascii="宋体" w:hAnsi="宋体" w:eastAsia="宋体" w:cs="宋体"/>
          <w:color w:val="auto"/>
          <w:sz w:val="30"/>
          <w:szCs w:val="30"/>
          <w:highlight w:val="none"/>
          <w:lang w:val="en-US" w:eastAsia="zh-CN" w:bidi="ar-SA"/>
        </w:rPr>
        <w:fldChar w:fldCharType="end"/>
      </w:r>
    </w:p>
    <w:p w14:paraId="178F6903">
      <w:pPr>
        <w:pStyle w:val="26"/>
        <w:keepNext w:val="0"/>
        <w:keepLines w:val="0"/>
        <w:pageBreakBefore w:val="0"/>
        <w:widowControl/>
        <w:tabs>
          <w:tab w:val="right" w:leader="dot" w:pos="9072"/>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olor w:val="auto"/>
          <w:sz w:val="30"/>
          <w:szCs w:val="30"/>
          <w:highlight w:val="none"/>
          <w:lang w:val="en-US" w:eastAsia="zh-CN" w:bidi="ar-SA"/>
        </w:rPr>
        <w:fldChar w:fldCharType="begin"/>
      </w:r>
      <w:r>
        <w:rPr>
          <w:rFonts w:hint="eastAsia" w:ascii="宋体" w:hAnsi="宋体" w:eastAsia="宋体" w:cs="宋体"/>
          <w:sz w:val="30"/>
          <w:szCs w:val="30"/>
          <w:highlight w:val="none"/>
          <w:lang w:val="en-US" w:eastAsia="zh-CN" w:bidi="ar-SA"/>
        </w:rPr>
        <w:instrText xml:space="preserve"> HYPERLINK \l _Toc7916 </w:instrText>
      </w:r>
      <w:r>
        <w:rPr>
          <w:rFonts w:hint="eastAsia" w:ascii="宋体" w:hAnsi="宋体" w:eastAsia="宋体" w:cs="宋体"/>
          <w:sz w:val="30"/>
          <w:szCs w:val="30"/>
          <w:highlight w:val="none"/>
          <w:lang w:val="en-US" w:eastAsia="zh-CN" w:bidi="ar-SA"/>
        </w:rPr>
        <w:fldChar w:fldCharType="separate"/>
      </w: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highlight w:val="none"/>
        </w:rPr>
        <w:t>谈判内容及要求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_Toc7916 \h </w:instrText>
      </w:r>
      <w:r>
        <w:rPr>
          <w:rFonts w:hint="eastAsia" w:ascii="宋体" w:hAnsi="宋体" w:eastAsia="宋体" w:cs="宋体"/>
          <w:sz w:val="30"/>
          <w:szCs w:val="30"/>
        </w:rPr>
        <w:fldChar w:fldCharType="separate"/>
      </w:r>
      <w:r>
        <w:rPr>
          <w:rFonts w:hint="eastAsia" w:ascii="宋体" w:hAnsi="宋体" w:eastAsia="宋体" w:cs="宋体"/>
          <w:sz w:val="30"/>
          <w:szCs w:val="30"/>
        </w:rPr>
        <w:t>29</w:t>
      </w:r>
      <w:r>
        <w:rPr>
          <w:rFonts w:hint="eastAsia" w:ascii="宋体" w:hAnsi="宋体" w:eastAsia="宋体" w:cs="宋体"/>
          <w:sz w:val="30"/>
          <w:szCs w:val="30"/>
        </w:rPr>
        <w:fldChar w:fldCharType="end"/>
      </w:r>
      <w:r>
        <w:rPr>
          <w:rFonts w:hint="eastAsia" w:ascii="宋体" w:hAnsi="宋体" w:eastAsia="宋体" w:cs="宋体"/>
          <w:color w:val="auto"/>
          <w:sz w:val="30"/>
          <w:szCs w:val="30"/>
          <w:highlight w:val="none"/>
          <w:lang w:val="en-US" w:eastAsia="zh-CN" w:bidi="ar-SA"/>
        </w:rPr>
        <w:fldChar w:fldCharType="end"/>
      </w:r>
    </w:p>
    <w:p w14:paraId="225E0D04">
      <w:pPr>
        <w:pStyle w:val="26"/>
        <w:keepNext w:val="0"/>
        <w:keepLines w:val="0"/>
        <w:pageBreakBefore w:val="0"/>
        <w:widowControl/>
        <w:tabs>
          <w:tab w:val="right" w:leader="dot" w:pos="9072"/>
        </w:tabs>
        <w:kinsoku/>
        <w:wordWrap/>
        <w:overflowPunct/>
        <w:topLinePunct w:val="0"/>
        <w:autoSpaceDE/>
        <w:autoSpaceDN/>
        <w:bidi w:val="0"/>
        <w:adjustRightInd w:val="0"/>
        <w:snapToGrid w:val="0"/>
        <w:spacing w:before="0" w:after="0" w:line="480" w:lineRule="auto"/>
        <w:textAlignment w:val="auto"/>
        <w:rPr>
          <w:rFonts w:hint="default" w:ascii="宋体" w:hAnsi="宋体" w:eastAsia="宋体" w:cs="宋体"/>
          <w:sz w:val="30"/>
          <w:szCs w:val="30"/>
          <w:lang w:val="en-US"/>
        </w:rPr>
      </w:pPr>
      <w:r>
        <w:rPr>
          <w:rFonts w:hint="eastAsia" w:ascii="宋体" w:hAnsi="宋体" w:eastAsia="宋体" w:cs="宋体"/>
          <w:color w:val="auto"/>
          <w:sz w:val="30"/>
          <w:szCs w:val="30"/>
          <w:highlight w:val="none"/>
          <w:lang w:val="en-US" w:eastAsia="zh-CN" w:bidi="ar-SA"/>
        </w:rPr>
        <w:fldChar w:fldCharType="begin"/>
      </w:r>
      <w:r>
        <w:rPr>
          <w:rFonts w:hint="eastAsia" w:ascii="宋体" w:hAnsi="宋体" w:eastAsia="宋体" w:cs="宋体"/>
          <w:sz w:val="30"/>
          <w:szCs w:val="30"/>
          <w:highlight w:val="none"/>
          <w:lang w:val="en-US" w:eastAsia="zh-CN" w:bidi="ar-SA"/>
        </w:rPr>
        <w:instrText xml:space="preserve"> HYPERLINK \l _Toc1867 </w:instrText>
      </w:r>
      <w:r>
        <w:rPr>
          <w:rFonts w:hint="eastAsia" w:ascii="宋体" w:hAnsi="宋体" w:eastAsia="宋体" w:cs="宋体"/>
          <w:sz w:val="30"/>
          <w:szCs w:val="30"/>
          <w:highlight w:val="none"/>
          <w:lang w:val="en-US" w:eastAsia="zh-CN" w:bidi="ar-SA"/>
        </w:rPr>
        <w:fldChar w:fldCharType="separate"/>
      </w: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highlight w:val="none"/>
        </w:rPr>
        <w:t>合同主要条款</w:t>
      </w:r>
      <w:r>
        <w:rPr>
          <w:rFonts w:hint="eastAsia" w:ascii="宋体" w:hAnsi="宋体" w:eastAsia="宋体" w:cs="宋体"/>
          <w:sz w:val="30"/>
          <w:szCs w:val="30"/>
        </w:rPr>
        <w:tab/>
      </w:r>
      <w:r>
        <w:rPr>
          <w:rFonts w:hint="eastAsia" w:ascii="宋体" w:hAnsi="宋体" w:eastAsia="宋体" w:cs="宋体"/>
          <w:sz w:val="30"/>
          <w:szCs w:val="30"/>
          <w:lang w:val="en-US" w:eastAsia="zh-CN"/>
        </w:rPr>
        <w:t>2</w:t>
      </w:r>
      <w:r>
        <w:rPr>
          <w:rFonts w:hint="eastAsia" w:ascii="宋体" w:hAnsi="宋体" w:eastAsia="宋体" w:cs="宋体"/>
          <w:color w:val="auto"/>
          <w:sz w:val="30"/>
          <w:szCs w:val="30"/>
          <w:highlight w:val="none"/>
          <w:lang w:val="en-US" w:eastAsia="zh-CN" w:bidi="ar-SA"/>
        </w:rPr>
        <w:fldChar w:fldCharType="end"/>
      </w:r>
      <w:r>
        <w:rPr>
          <w:rFonts w:hint="eastAsia" w:ascii="宋体" w:hAnsi="宋体" w:eastAsia="宋体" w:cs="宋体"/>
          <w:color w:val="auto"/>
          <w:sz w:val="30"/>
          <w:szCs w:val="30"/>
          <w:highlight w:val="none"/>
          <w:lang w:val="en-US" w:eastAsia="zh-CN" w:bidi="ar-SA"/>
        </w:rPr>
        <w:t>9</w:t>
      </w:r>
    </w:p>
    <w:p w14:paraId="112F0FF0">
      <w:pPr>
        <w:pStyle w:val="26"/>
        <w:keepNext w:val="0"/>
        <w:keepLines w:val="0"/>
        <w:pageBreakBefore w:val="0"/>
        <w:widowControl/>
        <w:tabs>
          <w:tab w:val="right" w:leader="dot" w:pos="9072"/>
        </w:tabs>
        <w:kinsoku/>
        <w:wordWrap/>
        <w:overflowPunct/>
        <w:topLinePunct w:val="0"/>
        <w:autoSpaceDE/>
        <w:autoSpaceDN/>
        <w:bidi w:val="0"/>
        <w:adjustRightInd w:val="0"/>
        <w:snapToGrid w:val="0"/>
        <w:spacing w:before="0" w:after="0" w:line="480" w:lineRule="auto"/>
        <w:textAlignment w:val="auto"/>
        <w:rPr>
          <w:rFonts w:hint="default" w:ascii="宋体" w:hAnsi="宋体" w:eastAsia="宋体" w:cs="宋体"/>
          <w:sz w:val="30"/>
          <w:szCs w:val="30"/>
          <w:lang w:val="en-US"/>
        </w:rPr>
      </w:pPr>
      <w:r>
        <w:rPr>
          <w:rFonts w:hint="eastAsia" w:ascii="宋体" w:hAnsi="宋体" w:eastAsia="宋体" w:cs="宋体"/>
          <w:color w:val="auto"/>
          <w:sz w:val="30"/>
          <w:szCs w:val="30"/>
          <w:highlight w:val="none"/>
          <w:lang w:val="en-US" w:eastAsia="zh-CN" w:bidi="ar-SA"/>
        </w:rPr>
        <w:fldChar w:fldCharType="begin"/>
      </w:r>
      <w:r>
        <w:rPr>
          <w:rFonts w:hint="eastAsia" w:ascii="宋体" w:hAnsi="宋体" w:eastAsia="宋体" w:cs="宋体"/>
          <w:sz w:val="30"/>
          <w:szCs w:val="30"/>
          <w:highlight w:val="none"/>
          <w:lang w:val="en-US" w:eastAsia="zh-CN" w:bidi="ar-SA"/>
        </w:rPr>
        <w:instrText xml:space="preserve"> HYPERLINK \l _Toc9120 </w:instrText>
      </w:r>
      <w:r>
        <w:rPr>
          <w:rFonts w:hint="eastAsia" w:ascii="宋体" w:hAnsi="宋体" w:eastAsia="宋体" w:cs="宋体"/>
          <w:sz w:val="30"/>
          <w:szCs w:val="30"/>
          <w:highlight w:val="none"/>
          <w:lang w:val="en-US" w:eastAsia="zh-CN" w:bidi="ar-SA"/>
        </w:rPr>
        <w:fldChar w:fldCharType="separate"/>
      </w:r>
      <w:r>
        <w:rPr>
          <w:rFonts w:hint="eastAsia" w:ascii="宋体" w:hAnsi="宋体" w:eastAsia="宋体" w:cs="宋体"/>
          <w:sz w:val="30"/>
          <w:szCs w:val="30"/>
        </w:rPr>
        <w:t xml:space="preserve">第五章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highlight w:val="none"/>
        </w:rPr>
        <w:t>响应文件格式</w:t>
      </w:r>
      <w:r>
        <w:rPr>
          <w:rFonts w:hint="eastAsia" w:ascii="宋体" w:hAnsi="宋体" w:eastAsia="宋体" w:cs="宋体"/>
          <w:sz w:val="30"/>
          <w:szCs w:val="30"/>
        </w:rPr>
        <w:tab/>
      </w:r>
      <w:r>
        <w:rPr>
          <w:rFonts w:hint="eastAsia" w:ascii="宋体" w:hAnsi="宋体" w:eastAsia="宋体" w:cs="宋体"/>
          <w:sz w:val="30"/>
          <w:szCs w:val="30"/>
          <w:lang w:val="en-US" w:eastAsia="zh-CN"/>
        </w:rPr>
        <w:t>3</w:t>
      </w:r>
      <w:r>
        <w:rPr>
          <w:rFonts w:hint="eastAsia" w:ascii="宋体" w:hAnsi="宋体" w:eastAsia="宋体" w:cs="宋体"/>
          <w:color w:val="auto"/>
          <w:sz w:val="30"/>
          <w:szCs w:val="30"/>
          <w:highlight w:val="none"/>
          <w:lang w:val="en-US" w:eastAsia="zh-CN" w:bidi="ar-SA"/>
        </w:rPr>
        <w:fldChar w:fldCharType="end"/>
      </w:r>
      <w:r>
        <w:rPr>
          <w:rFonts w:hint="eastAsia" w:ascii="宋体" w:hAnsi="宋体" w:eastAsia="宋体" w:cs="宋体"/>
          <w:color w:val="auto"/>
          <w:sz w:val="30"/>
          <w:szCs w:val="30"/>
          <w:highlight w:val="none"/>
          <w:lang w:val="en-US" w:eastAsia="zh-CN" w:bidi="ar-SA"/>
        </w:rPr>
        <w:t>2</w:t>
      </w:r>
    </w:p>
    <w:p w14:paraId="51FBBA76">
      <w:pPr>
        <w:pStyle w:val="30"/>
        <w:tabs>
          <w:tab w:val="right" w:leader="dot" w:pos="9072"/>
        </w:tabs>
      </w:pPr>
    </w:p>
    <w:p w14:paraId="7117E09E">
      <w:pPr>
        <w:pStyle w:val="6"/>
        <w:keepNext w:val="0"/>
        <w:keepLines w:val="0"/>
        <w:pageBreakBefore w:val="0"/>
        <w:widowControl/>
        <w:kinsoku/>
        <w:wordWrap/>
        <w:overflowPunct/>
        <w:topLinePunct w:val="0"/>
        <w:autoSpaceDE/>
        <w:autoSpaceDN/>
        <w:bidi w:val="0"/>
        <w:adjustRightInd/>
        <w:snapToGrid/>
        <w:spacing w:line="360" w:lineRule="auto"/>
        <w:ind w:left="0"/>
        <w:textAlignment w:val="auto"/>
        <w:rPr>
          <w:color w:val="auto"/>
          <w:sz w:val="44"/>
          <w:szCs w:val="44"/>
          <w:highlight w:val="none"/>
          <w:lang w:val="en-US" w:eastAsia="zh-CN" w:bidi="ar-SA"/>
        </w:rPr>
      </w:pPr>
      <w:r>
        <w:rPr>
          <w:rFonts w:cs="Times New Roman" w:asciiTheme="minorEastAsia" w:hAnsiTheme="minorEastAsia" w:eastAsiaTheme="minorEastAsia"/>
          <w:color w:val="auto"/>
          <w:szCs w:val="56"/>
          <w:highlight w:val="none"/>
          <w:lang w:val="en-US" w:eastAsia="zh-CN" w:bidi="ar-SA"/>
        </w:rPr>
        <w:fldChar w:fldCharType="end"/>
      </w:r>
    </w:p>
    <w:p w14:paraId="102C4BCF">
      <w:pPr>
        <w:tabs>
          <w:tab w:val="left" w:pos="2643"/>
        </w:tabs>
        <w:rPr>
          <w:color w:val="auto"/>
          <w:highlight w:val="none"/>
        </w:rPr>
      </w:pPr>
      <w:r>
        <w:rPr>
          <w:color w:val="auto"/>
          <w:highlight w:val="none"/>
        </w:rPr>
        <w:tab/>
      </w:r>
    </w:p>
    <w:p w14:paraId="402A2A43">
      <w:pPr>
        <w:tabs>
          <w:tab w:val="left" w:pos="3596"/>
        </w:tabs>
        <w:bidi w:val="0"/>
        <w:rPr>
          <w:rFonts w:ascii="Calibri Light" w:hAnsi="Calibri Light" w:eastAsia="华文仿宋" w:cs="Times New Roman"/>
          <w:kern w:val="2"/>
          <w:sz w:val="28"/>
          <w:szCs w:val="28"/>
          <w:lang w:val="en-US" w:eastAsia="zh-CN" w:bidi="ar-SA"/>
        </w:rPr>
      </w:pPr>
      <w:r>
        <w:rPr>
          <w:rFonts w:hint="eastAsia" w:cs="Times New Roman"/>
          <w:kern w:val="2"/>
          <w:sz w:val="28"/>
          <w:szCs w:val="28"/>
          <w:lang w:val="en-US" w:eastAsia="zh-CN" w:bidi="ar-SA"/>
        </w:rPr>
        <w:tab/>
      </w:r>
    </w:p>
    <w:p w14:paraId="585B1C83">
      <w:pPr>
        <w:bidi w:val="0"/>
        <w:rPr>
          <w:lang w:val="en-US" w:eastAsia="zh-CN"/>
        </w:rPr>
      </w:pPr>
    </w:p>
    <w:p w14:paraId="37F58896">
      <w:pPr>
        <w:bidi w:val="0"/>
        <w:jc w:val="center"/>
        <w:rPr>
          <w:lang w:val="en-US" w:eastAsia="zh-CN"/>
        </w:rPr>
      </w:pPr>
    </w:p>
    <w:p w14:paraId="7F411626">
      <w:pPr>
        <w:bidi w:val="0"/>
        <w:rPr>
          <w:lang w:val="en-US" w:eastAsia="zh-CN"/>
        </w:rPr>
      </w:pPr>
    </w:p>
    <w:p w14:paraId="32A6CFCC">
      <w:pPr>
        <w:tabs>
          <w:tab w:val="left" w:pos="1645"/>
        </w:tabs>
        <w:bidi w:val="0"/>
        <w:jc w:val="left"/>
        <w:rPr>
          <w:lang w:val="en-US" w:eastAsia="zh-CN"/>
        </w:rPr>
        <w:sectPr>
          <w:headerReference r:id="rId7" w:type="default"/>
          <w:footerReference r:id="rId8" w:type="default"/>
          <w:pgSz w:w="11905" w:h="16838"/>
          <w:pgMar w:top="1304" w:right="1304" w:bottom="1304" w:left="1304" w:header="964" w:footer="1020" w:gutter="0"/>
          <w:pgBorders>
            <w:top w:val="none" w:sz="0" w:space="0"/>
            <w:left w:val="none" w:sz="0" w:space="0"/>
            <w:bottom w:val="none" w:sz="0" w:space="0"/>
            <w:right w:val="none" w:sz="0" w:space="0"/>
          </w:pgBorders>
          <w:pgNumType w:fmt="decimal" w:start="1"/>
          <w:cols w:space="0" w:num="1"/>
          <w:rtlGutter w:val="0"/>
          <w:docGrid w:type="lines" w:linePitch="395" w:charSpace="0"/>
        </w:sectPr>
      </w:pPr>
      <w:r>
        <w:rPr>
          <w:rFonts w:hint="eastAsia"/>
          <w:lang w:val="en-US" w:eastAsia="zh-CN"/>
        </w:rPr>
        <w:tab/>
      </w:r>
    </w:p>
    <w:p w14:paraId="7C32CD6D">
      <w:pPr>
        <w:pStyle w:val="3"/>
        <w:keepNext/>
        <w:keepLines/>
        <w:pageBreakBefore w:val="0"/>
        <w:widowControl/>
        <w:tabs>
          <w:tab w:val="center" w:pos="4433"/>
          <w:tab w:val="left" w:pos="7415"/>
        </w:tabs>
        <w:kinsoku/>
        <w:wordWrap/>
        <w:overflowPunct/>
        <w:topLinePunct w:val="0"/>
        <w:autoSpaceDE/>
        <w:autoSpaceDN/>
        <w:bidi w:val="0"/>
        <w:adjustRightInd/>
        <w:snapToGrid/>
        <w:spacing w:after="196" w:afterLines="50" w:line="240" w:lineRule="auto"/>
        <w:textAlignment w:val="auto"/>
        <w:rPr>
          <w:rFonts w:hint="eastAsia" w:ascii="宋体" w:hAnsi="宋体" w:eastAsia="宋体" w:cs="宋体"/>
          <w:color w:val="auto"/>
          <w:highlight w:val="none"/>
          <w:lang w:eastAsia="zh-CN"/>
        </w:rPr>
      </w:pPr>
      <w:bookmarkStart w:id="0" w:name="_Toc23316577"/>
      <w:bookmarkStart w:id="1" w:name="_Toc23316513"/>
      <w:bookmarkStart w:id="2" w:name="_Toc27856"/>
      <w:bookmarkStart w:id="3" w:name="_Toc23316675"/>
      <w:bookmarkStart w:id="4" w:name="_Toc14189263"/>
      <w:bookmarkStart w:id="5" w:name="_Toc23315653"/>
      <w:bookmarkStart w:id="6" w:name="_Toc18412192"/>
      <w:bookmarkStart w:id="7" w:name="_Toc1237"/>
      <w:bookmarkStart w:id="8" w:name="_Toc14189400"/>
      <w:bookmarkStart w:id="9" w:name="OLE_LINK1"/>
      <w:r>
        <w:rPr>
          <w:rFonts w:hint="eastAsia" w:ascii="宋体" w:hAnsi="宋体" w:eastAsia="宋体" w:cs="宋体"/>
          <w:color w:val="auto"/>
          <w:highlight w:val="none"/>
        </w:rPr>
        <w:t xml:space="preserve">第一章 </w:t>
      </w:r>
      <w:bookmarkStart w:id="10" w:name="OLE_LINK7"/>
      <w:r>
        <w:rPr>
          <w:rFonts w:hint="eastAsia" w:ascii="宋体" w:hAnsi="宋体" w:eastAsia="宋体" w:cs="宋体"/>
          <w:color w:val="auto"/>
          <w:highlight w:val="none"/>
        </w:rPr>
        <w:t xml:space="preserve"> </w:t>
      </w:r>
      <w:bookmarkStart w:id="11" w:name="OLE_LINK2"/>
      <w:bookmarkStart w:id="12" w:name="OLE_LINK5"/>
      <w:bookmarkStart w:id="13" w:name="OLE_LINK4"/>
      <w:bookmarkStart w:id="14" w:name="OLE_LINK8"/>
      <w:bookmarkStart w:id="15" w:name="OLE_LINK6"/>
      <w:bookmarkStart w:id="16" w:name="OLE_LINK3"/>
      <w:r>
        <w:rPr>
          <w:rFonts w:hint="eastAsia" w:ascii="宋体" w:hAnsi="宋体" w:eastAsia="宋体" w:cs="宋体"/>
          <w:color w:val="auto"/>
          <w:highlight w:val="none"/>
          <w:lang w:val="en-US" w:eastAsia="zh-CN"/>
        </w:rPr>
        <w:t>竞争性</w:t>
      </w:r>
      <w:r>
        <w:rPr>
          <w:rFonts w:hint="eastAsia" w:ascii="宋体" w:hAnsi="宋体" w:eastAsia="宋体" w:cs="宋体"/>
          <w:color w:val="auto"/>
          <w:highlight w:val="none"/>
        </w:rPr>
        <w:t>谈判</w:t>
      </w:r>
      <w:bookmarkEnd w:id="0"/>
      <w:bookmarkEnd w:id="1"/>
      <w:bookmarkEnd w:id="2"/>
      <w:bookmarkEnd w:id="3"/>
      <w:bookmarkEnd w:id="4"/>
      <w:bookmarkEnd w:id="5"/>
      <w:bookmarkEnd w:id="6"/>
      <w:bookmarkEnd w:id="7"/>
      <w:bookmarkEnd w:id="8"/>
      <w:r>
        <w:rPr>
          <w:rFonts w:hint="eastAsia" w:ascii="宋体" w:hAnsi="宋体" w:eastAsia="宋体" w:cs="宋体"/>
          <w:color w:val="auto"/>
          <w:highlight w:val="none"/>
          <w:lang w:val="en-US" w:eastAsia="zh-CN"/>
        </w:rPr>
        <w:t>公告</w:t>
      </w:r>
    </w:p>
    <w:bookmarkEnd w:id="9"/>
    <w:bookmarkEnd w:id="10"/>
    <w:bookmarkEnd w:id="11"/>
    <w:bookmarkEnd w:id="12"/>
    <w:bookmarkEnd w:id="13"/>
    <w:bookmarkEnd w:id="14"/>
    <w:bookmarkEnd w:id="15"/>
    <w:bookmarkEnd w:id="16"/>
    <w:p w14:paraId="469C34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bookmarkStart w:id="17" w:name="_Toc23315654"/>
      <w:bookmarkStart w:id="18" w:name="_Toc23316514"/>
      <w:bookmarkStart w:id="19" w:name="_Toc14189401"/>
      <w:bookmarkStart w:id="20" w:name="_Toc23316676"/>
      <w:bookmarkStart w:id="21" w:name="_Toc23316578"/>
      <w:bookmarkStart w:id="22" w:name="_Toc14189264"/>
      <w:bookmarkStart w:id="23" w:name="_Toc10418"/>
      <w:bookmarkStart w:id="24" w:name="_Toc18412193"/>
      <w:r>
        <w:rPr>
          <w:rStyle w:val="41"/>
          <w:rFonts w:hint="eastAsia" w:ascii="宋体" w:hAnsi="宋体" w:eastAsia="宋体" w:cs="宋体"/>
          <w:b/>
          <w:bCs/>
          <w:i w:val="0"/>
          <w:iCs w:val="0"/>
          <w:caps w:val="0"/>
          <w:color w:val="333333"/>
          <w:spacing w:val="0"/>
          <w:sz w:val="24"/>
          <w:szCs w:val="24"/>
          <w:shd w:val="clear" w:fill="FFFFFF"/>
        </w:rPr>
        <w:t>项目概况</w:t>
      </w:r>
    </w:p>
    <w:p w14:paraId="114555F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安康市中心医院新生儿科婴儿奶粉采购项目</w:t>
      </w:r>
      <w:r>
        <w:rPr>
          <w:rFonts w:hint="eastAsia" w:ascii="宋体" w:hAnsi="宋体" w:eastAsia="宋体" w:cs="宋体"/>
          <w:i w:val="0"/>
          <w:iCs w:val="0"/>
          <w:caps w:val="0"/>
          <w:color w:val="333333"/>
          <w:spacing w:val="0"/>
          <w:sz w:val="24"/>
          <w:szCs w:val="24"/>
          <w:shd w:val="clear" w:fill="FFFFFF"/>
        </w:rPr>
        <w:t>的潜在供应商应在安康市高新区高新观澜8栋二单元801室获取采购文件，并于2025年</w:t>
      </w:r>
      <w:r>
        <w:rPr>
          <w:rFonts w:hint="eastAsia" w:ascii="宋体" w:hAnsi="宋体" w:eastAsia="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03</w:t>
      </w:r>
      <w:r>
        <w:rPr>
          <w:rFonts w:hint="eastAsia" w:ascii="宋体" w:hAnsi="宋体" w:eastAsia="宋体" w:cs="宋体"/>
          <w:i w:val="0"/>
          <w:iCs w:val="0"/>
          <w:caps w:val="0"/>
          <w:color w:val="333333"/>
          <w:spacing w:val="0"/>
          <w:sz w:val="24"/>
          <w:szCs w:val="24"/>
          <w:shd w:val="clear" w:fill="FFFFFF"/>
        </w:rPr>
        <w:t>日</w:t>
      </w:r>
      <w:r>
        <w:rPr>
          <w:rFonts w:hint="eastAsia" w:ascii="宋体" w:hAnsi="宋体" w:eastAsia="宋体" w:cs="宋体"/>
          <w:i w:val="0"/>
          <w:iCs w:val="0"/>
          <w:caps w:val="0"/>
          <w:color w:val="333333"/>
          <w:spacing w:val="0"/>
          <w:sz w:val="24"/>
          <w:szCs w:val="24"/>
          <w:shd w:val="clear" w:fill="FFFFFF"/>
          <w:lang w:val="en-US" w:eastAsia="zh-CN"/>
        </w:rPr>
        <w:t>15</w:t>
      </w:r>
      <w:r>
        <w:rPr>
          <w:rFonts w:hint="eastAsia" w:ascii="宋体" w:hAnsi="宋体" w:eastAsia="宋体" w:cs="宋体"/>
          <w:i w:val="0"/>
          <w:iCs w:val="0"/>
          <w:caps w:val="0"/>
          <w:color w:val="333333"/>
          <w:spacing w:val="0"/>
          <w:sz w:val="24"/>
          <w:szCs w:val="24"/>
          <w:shd w:val="clear" w:fill="FFFFFF"/>
        </w:rPr>
        <w:t>时</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分（北京时间）前提交响应文件。</w:t>
      </w:r>
    </w:p>
    <w:p w14:paraId="1D748E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一、项目基本情况</w:t>
      </w:r>
    </w:p>
    <w:p w14:paraId="3D59678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ascii="宋体" w:hAnsi="宋体" w:eastAsia="宋体" w:cs="宋体"/>
          <w:i w:val="0"/>
          <w:iCs w:val="0"/>
          <w:caps w:val="0"/>
          <w:color w:val="333333"/>
          <w:spacing w:val="0"/>
          <w:sz w:val="24"/>
          <w:szCs w:val="24"/>
          <w:shd w:val="clear" w:fill="FFFFFF"/>
          <w:lang w:eastAsia="zh-CN"/>
        </w:rPr>
        <w:t>AKSH2025-ZTP-156</w:t>
      </w:r>
    </w:p>
    <w:p w14:paraId="0132449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ascii="宋体" w:hAnsi="宋体" w:eastAsia="宋体" w:cs="宋体"/>
          <w:i w:val="0"/>
          <w:iCs w:val="0"/>
          <w:caps w:val="0"/>
          <w:color w:val="333333"/>
          <w:spacing w:val="0"/>
          <w:sz w:val="24"/>
          <w:szCs w:val="24"/>
          <w:shd w:val="clear" w:fill="FFFFFF"/>
          <w:lang w:eastAsia="zh-CN"/>
        </w:rPr>
        <w:t>安康市中心医院新生儿科婴儿奶粉采购项目</w:t>
      </w:r>
    </w:p>
    <w:p w14:paraId="5B3015E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采购方式：竞争性谈判</w:t>
      </w:r>
    </w:p>
    <w:p w14:paraId="3EE8A1B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ascii="宋体" w:hAnsi="宋体" w:eastAsia="宋体" w:cs="宋体"/>
          <w:i w:val="0"/>
          <w:iCs w:val="0"/>
          <w:caps w:val="0"/>
          <w:color w:val="333333"/>
          <w:spacing w:val="0"/>
          <w:sz w:val="24"/>
          <w:szCs w:val="24"/>
          <w:shd w:val="clear" w:fill="FFFFFF"/>
          <w:lang w:val="en-US" w:eastAsia="zh-CN"/>
        </w:rPr>
        <w:t>22</w:t>
      </w:r>
      <w:r>
        <w:rPr>
          <w:rFonts w:hint="eastAsia" w:ascii="宋体" w:hAnsi="宋体" w:eastAsia="宋体" w:cs="宋体"/>
          <w:i w:val="0"/>
          <w:iCs w:val="0"/>
          <w:caps w:val="0"/>
          <w:color w:val="333333"/>
          <w:spacing w:val="0"/>
          <w:sz w:val="24"/>
          <w:szCs w:val="24"/>
          <w:shd w:val="clear" w:fill="FFFFFF"/>
        </w:rPr>
        <w:t>0,000.00元</w:t>
      </w:r>
    </w:p>
    <w:p w14:paraId="0517582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0C2FFC4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合同包1(新生儿配方奶粉及早期早产儿奶粉):</w:t>
      </w:r>
    </w:p>
    <w:p w14:paraId="59B27C5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合同包预算金额：110,000.00元</w:t>
      </w:r>
    </w:p>
    <w:p w14:paraId="2091DA5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合同包最高限价：110,000.00元</w:t>
      </w:r>
    </w:p>
    <w:tbl>
      <w:tblPr>
        <w:tblStyle w:val="38"/>
        <w:tblW w:w="103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7"/>
        <w:gridCol w:w="2267"/>
        <w:gridCol w:w="2033"/>
        <w:gridCol w:w="1533"/>
        <w:gridCol w:w="1856"/>
        <w:gridCol w:w="1440"/>
      </w:tblGrid>
      <w:tr w14:paraId="70B035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8" w:hRule="atLeast"/>
          <w:tblHeader/>
          <w:jc w:val="center"/>
        </w:trPr>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6BB73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FA106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454D4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E3DFC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D4B3F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F6490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E61C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jc w:val="center"/>
        </w:trPr>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3798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2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8697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 乳制品</w:t>
            </w: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8859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 新生儿配方奶粉及早期早产儿奶粉</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697E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9F147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3EF3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110,000.00</w:t>
            </w:r>
          </w:p>
        </w:tc>
      </w:tr>
    </w:tbl>
    <w:p w14:paraId="640CA2A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6975019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0000FF"/>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合同履</w:t>
      </w:r>
      <w:r>
        <w:rPr>
          <w:rFonts w:hint="eastAsia" w:ascii="宋体" w:hAnsi="宋体" w:eastAsia="宋体" w:cs="宋体"/>
          <w:i w:val="0"/>
          <w:iCs w:val="0"/>
          <w:caps w:val="0"/>
          <w:color w:val="auto"/>
          <w:spacing w:val="0"/>
          <w:sz w:val="24"/>
          <w:szCs w:val="24"/>
          <w:shd w:val="clear" w:fill="FFFFFF"/>
        </w:rPr>
        <w:t>行期限：</w:t>
      </w:r>
      <w:r>
        <w:rPr>
          <w:rFonts w:hint="eastAsia" w:ascii="宋体" w:hAnsi="宋体" w:eastAsia="宋体" w:cs="宋体"/>
          <w:i w:val="0"/>
          <w:iCs w:val="0"/>
          <w:caps w:val="0"/>
          <w:color w:val="auto"/>
          <w:spacing w:val="0"/>
          <w:sz w:val="24"/>
          <w:szCs w:val="24"/>
          <w:shd w:val="clear" w:fill="FFFFFF"/>
          <w:lang w:val="en-US" w:eastAsia="zh-CN"/>
        </w:rPr>
        <w:t>两年</w:t>
      </w:r>
      <w:r>
        <w:rPr>
          <w:rFonts w:hint="eastAsia" w:ascii="宋体" w:hAnsi="宋体" w:eastAsia="宋体" w:cs="宋体"/>
          <w:i w:val="0"/>
          <w:iCs w:val="0"/>
          <w:caps w:val="0"/>
          <w:color w:val="auto"/>
          <w:spacing w:val="0"/>
          <w:sz w:val="24"/>
          <w:szCs w:val="24"/>
          <w:shd w:val="clear" w:fill="FFFFFF"/>
        </w:rPr>
        <w:t>。</w:t>
      </w:r>
    </w:p>
    <w:p w14:paraId="55351DB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(新生儿配方奶粉及</w:t>
      </w:r>
      <w:r>
        <w:rPr>
          <w:rFonts w:hint="eastAsia" w:ascii="宋体" w:hAnsi="宋体" w:eastAsia="宋体" w:cs="宋体"/>
          <w:i w:val="0"/>
          <w:iCs w:val="0"/>
          <w:caps w:val="0"/>
          <w:color w:val="333333"/>
          <w:spacing w:val="0"/>
          <w:sz w:val="24"/>
          <w:szCs w:val="24"/>
          <w:shd w:val="clear" w:fill="FFFFFF"/>
          <w:lang w:val="en-US" w:eastAsia="zh-CN"/>
        </w:rPr>
        <w:t>晚</w:t>
      </w:r>
      <w:r>
        <w:rPr>
          <w:rFonts w:hint="eastAsia" w:ascii="宋体" w:hAnsi="宋体" w:eastAsia="宋体" w:cs="宋体"/>
          <w:i w:val="0"/>
          <w:iCs w:val="0"/>
          <w:caps w:val="0"/>
          <w:color w:val="333333"/>
          <w:spacing w:val="0"/>
          <w:sz w:val="24"/>
          <w:szCs w:val="24"/>
          <w:shd w:val="clear" w:fill="FFFFFF"/>
        </w:rPr>
        <w:t>期早产儿奶粉):</w:t>
      </w:r>
    </w:p>
    <w:p w14:paraId="4E527B4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合同包预算金额：110,000.00元</w:t>
      </w:r>
    </w:p>
    <w:p w14:paraId="400C5E5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合同包最高限价：110,000.00元</w:t>
      </w:r>
    </w:p>
    <w:tbl>
      <w:tblPr>
        <w:tblStyle w:val="38"/>
        <w:tblW w:w="103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7"/>
        <w:gridCol w:w="2267"/>
        <w:gridCol w:w="2033"/>
        <w:gridCol w:w="1533"/>
        <w:gridCol w:w="1856"/>
        <w:gridCol w:w="1440"/>
      </w:tblGrid>
      <w:tr w14:paraId="57645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68" w:hRule="atLeast"/>
          <w:tblHeader/>
          <w:jc w:val="center"/>
        </w:trPr>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99FB9E">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8F13D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5CE7A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08388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3977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461F1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15669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jc w:val="center"/>
        </w:trPr>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1A13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2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7368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 乳制品</w:t>
            </w: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54C9B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新生儿配方奶粉及</w:t>
            </w:r>
            <w:r>
              <w:rPr>
                <w:rFonts w:hint="eastAsia" w:ascii="宋体" w:hAnsi="宋体" w:eastAsia="宋体" w:cs="宋体"/>
                <w:i w:val="0"/>
                <w:iCs w:val="0"/>
                <w:caps w:val="0"/>
                <w:color w:val="333333"/>
                <w:spacing w:val="0"/>
                <w:sz w:val="24"/>
                <w:szCs w:val="24"/>
                <w:shd w:val="clear" w:fill="FFFFFF"/>
                <w:lang w:val="en-US" w:eastAsia="zh-CN"/>
              </w:rPr>
              <w:t>晚</w:t>
            </w:r>
            <w:r>
              <w:rPr>
                <w:rFonts w:hint="eastAsia" w:ascii="宋体" w:hAnsi="宋体" w:eastAsia="宋体" w:cs="宋体"/>
                <w:i w:val="0"/>
                <w:iCs w:val="0"/>
                <w:caps w:val="0"/>
                <w:color w:val="333333"/>
                <w:spacing w:val="0"/>
                <w:sz w:val="24"/>
                <w:szCs w:val="24"/>
                <w:shd w:val="clear" w:fill="FFFFFF"/>
              </w:rPr>
              <w:t>期早产儿</w:t>
            </w:r>
            <w:r>
              <w:rPr>
                <w:rFonts w:hint="eastAsia" w:ascii="宋体" w:hAnsi="宋体" w:eastAsia="宋体" w:cs="宋体"/>
                <w:i w:val="0"/>
                <w:iCs w:val="0"/>
                <w:caps w:val="0"/>
                <w:color w:val="333333"/>
                <w:spacing w:val="0"/>
                <w:sz w:val="24"/>
                <w:szCs w:val="24"/>
                <w:shd w:val="clear" w:fill="FFFFFF"/>
                <w:lang w:val="en-US" w:eastAsia="zh-CN"/>
              </w:rPr>
              <w:t>奶粉</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174E1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CA26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8D30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110,000.00</w:t>
            </w:r>
          </w:p>
        </w:tc>
      </w:tr>
    </w:tbl>
    <w:p w14:paraId="30547B8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3C80DC0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0000FF"/>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w:t>
      </w:r>
      <w:r>
        <w:rPr>
          <w:rFonts w:hint="eastAsia" w:ascii="宋体" w:hAnsi="宋体" w:eastAsia="宋体" w:cs="宋体"/>
          <w:i w:val="0"/>
          <w:iCs w:val="0"/>
          <w:caps w:val="0"/>
          <w:color w:val="auto"/>
          <w:spacing w:val="0"/>
          <w:sz w:val="24"/>
          <w:szCs w:val="24"/>
          <w:shd w:val="clear" w:fill="FFFFFF"/>
        </w:rPr>
        <w:t>履行期限：两年。</w:t>
      </w:r>
    </w:p>
    <w:p w14:paraId="063B23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二、申请人的资格要求：</w:t>
      </w:r>
    </w:p>
    <w:p w14:paraId="0D0D05B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4447C8F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7B2F5A5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合同包1(新生儿配方奶粉及早期早产儿奶粉)落实政府采购政策需满足的资格要求如下:</w:t>
      </w:r>
    </w:p>
    <w:p w14:paraId="528939B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1AE3A415">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7DAAFAD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2A8AF9E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035E5AF3">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6838C08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5.《财政部国务院扶贫办关于运用政府采购政策支持脱贫攻坚的通知》（财库〔2019〕27号）；</w:t>
      </w:r>
    </w:p>
    <w:p w14:paraId="37AAC69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2F9F13F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7.其他需要落实的政府采购政策。</w:t>
      </w:r>
    </w:p>
    <w:p w14:paraId="4329619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(新生儿配方奶粉及</w:t>
      </w:r>
      <w:r>
        <w:rPr>
          <w:rFonts w:hint="eastAsia" w:ascii="宋体" w:hAnsi="宋体" w:eastAsia="宋体" w:cs="宋体"/>
          <w:i w:val="0"/>
          <w:iCs w:val="0"/>
          <w:caps w:val="0"/>
          <w:color w:val="333333"/>
          <w:spacing w:val="0"/>
          <w:sz w:val="24"/>
          <w:szCs w:val="24"/>
          <w:shd w:val="clear" w:fill="FFFFFF"/>
          <w:lang w:val="en-US" w:eastAsia="zh-CN"/>
        </w:rPr>
        <w:t>晚</w:t>
      </w:r>
      <w:r>
        <w:rPr>
          <w:rFonts w:hint="eastAsia" w:ascii="宋体" w:hAnsi="宋体" w:eastAsia="宋体" w:cs="宋体"/>
          <w:i w:val="0"/>
          <w:iCs w:val="0"/>
          <w:caps w:val="0"/>
          <w:color w:val="333333"/>
          <w:spacing w:val="0"/>
          <w:sz w:val="24"/>
          <w:szCs w:val="24"/>
          <w:shd w:val="clear" w:fill="FFFFFF"/>
        </w:rPr>
        <w:t>期早产儿奶粉)落实政府采购政策需满足的资格要求如下:</w:t>
      </w:r>
    </w:p>
    <w:p w14:paraId="1DA6669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4A50EEC9">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2138E183">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5CCB49C3">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28B5DC8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0D88C026">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5.《财政部国务院扶贫办关于运用政府采购政策支持脱贫攻坚的通知》（财库〔2019〕27号）；</w:t>
      </w:r>
    </w:p>
    <w:p w14:paraId="4AE57CCF">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47F2427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7.其他需要落实的政府采购政策。</w:t>
      </w:r>
    </w:p>
    <w:p w14:paraId="25AA1DD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33DEB22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合同包1(新生儿配方奶粉及早期早产儿奶粉)特定资格要求如下:</w:t>
      </w:r>
    </w:p>
    <w:p w14:paraId="3F194E47">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45DA977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法定代表人授权书及被授权人身份证明资料（法定代表人直接投标时需提交其身份证明资料）（非法人投标供应商参照执行）。</w:t>
      </w:r>
    </w:p>
    <w:p w14:paraId="56A2FFD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2F73E8A">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62AF8C3F">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2FE484A4">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459FF457">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FDA0026">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8.本项目不接受联合体投标。</w:t>
      </w:r>
    </w:p>
    <w:p w14:paraId="5B4AC8D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(新生儿配方奶粉及</w:t>
      </w:r>
      <w:r>
        <w:rPr>
          <w:rFonts w:hint="eastAsia" w:ascii="宋体" w:hAnsi="宋体" w:eastAsia="宋体" w:cs="宋体"/>
          <w:i w:val="0"/>
          <w:iCs w:val="0"/>
          <w:caps w:val="0"/>
          <w:color w:val="333333"/>
          <w:spacing w:val="0"/>
          <w:sz w:val="24"/>
          <w:szCs w:val="24"/>
          <w:shd w:val="clear" w:fill="FFFFFF"/>
          <w:lang w:val="en-US" w:eastAsia="zh-CN"/>
        </w:rPr>
        <w:t>晚</w:t>
      </w:r>
      <w:r>
        <w:rPr>
          <w:rFonts w:hint="eastAsia" w:ascii="宋体" w:hAnsi="宋体" w:eastAsia="宋体" w:cs="宋体"/>
          <w:i w:val="0"/>
          <w:iCs w:val="0"/>
          <w:caps w:val="0"/>
          <w:color w:val="333333"/>
          <w:spacing w:val="0"/>
          <w:sz w:val="24"/>
          <w:szCs w:val="24"/>
          <w:shd w:val="clear" w:fill="FFFFFF"/>
        </w:rPr>
        <w:t>期早产儿奶粉)特定资格要求如下:</w:t>
      </w:r>
    </w:p>
    <w:p w14:paraId="25C450F5">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1DFCC18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法定代表人授权书及被授权人身份证明资料（法定代表人直接投标时需提交其身份证明资料）（非法人投标供应商参照执行）。</w:t>
      </w:r>
    </w:p>
    <w:p w14:paraId="2AD7C1F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36D79F9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59D7A8B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3348DAEF">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A1CC976">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20917A90">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8.本项目不接受联合体投标。</w:t>
      </w:r>
    </w:p>
    <w:p w14:paraId="7B9156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三、获取采购文件</w:t>
      </w:r>
    </w:p>
    <w:p w14:paraId="3C1D859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w:t>
      </w:r>
      <w:r>
        <w:rPr>
          <w:rFonts w:hint="eastAsia" w:ascii="宋体" w:hAnsi="宋体" w:eastAsia="宋体"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27</w:t>
      </w:r>
      <w:r>
        <w:rPr>
          <w:rFonts w:hint="eastAsia" w:ascii="宋体" w:hAnsi="宋体" w:eastAsia="宋体" w:cs="宋体"/>
          <w:i w:val="0"/>
          <w:iCs w:val="0"/>
          <w:caps w:val="0"/>
          <w:color w:val="333333"/>
          <w:spacing w:val="0"/>
          <w:sz w:val="24"/>
          <w:szCs w:val="24"/>
          <w:shd w:val="clear" w:fill="FFFFFF"/>
        </w:rPr>
        <w:t>日至2025年</w:t>
      </w:r>
      <w:r>
        <w:rPr>
          <w:rFonts w:hint="eastAsia" w:ascii="宋体" w:hAnsi="宋体" w:eastAsia="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01</w:t>
      </w:r>
      <w:r>
        <w:rPr>
          <w:rFonts w:hint="eastAsia" w:ascii="宋体" w:hAnsi="宋体" w:eastAsia="宋体" w:cs="宋体"/>
          <w:i w:val="0"/>
          <w:iCs w:val="0"/>
          <w:caps w:val="0"/>
          <w:color w:val="333333"/>
          <w:spacing w:val="0"/>
          <w:sz w:val="24"/>
          <w:szCs w:val="24"/>
          <w:shd w:val="clear" w:fill="FFFFFF"/>
        </w:rPr>
        <w:t>日，每天上午08:00:00至12:00:00，下午14:00:00至18:00:00（北京时间）</w:t>
      </w:r>
    </w:p>
    <w:p w14:paraId="5DD5F76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途径：安康市高新区高新观澜8栋二单元801室</w:t>
      </w:r>
    </w:p>
    <w:p w14:paraId="2EFF522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方式：现场获取</w:t>
      </w:r>
    </w:p>
    <w:p w14:paraId="39ED625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411CD8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四、响应文件提交</w:t>
      </w:r>
    </w:p>
    <w:p w14:paraId="557EF16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截止时间：2025年12月03日15时</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分00秒（北京时间）</w:t>
      </w:r>
    </w:p>
    <w:p w14:paraId="2D185BE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地点：安康市高新区高新观澜8栋二单元801室</w:t>
      </w:r>
    </w:p>
    <w:p w14:paraId="536EFF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五、开启</w:t>
      </w:r>
    </w:p>
    <w:p w14:paraId="6B7A602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333333"/>
          <w:spacing w:val="0"/>
          <w:sz w:val="24"/>
          <w:szCs w:val="24"/>
          <w:shd w:val="clear" w:fill="FFFFFF"/>
        </w:rPr>
        <w:t>2025年12月03日15时</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分00秒</w:t>
      </w:r>
      <w:r>
        <w:rPr>
          <w:rFonts w:hint="eastAsia" w:ascii="宋体" w:hAnsi="宋体" w:eastAsia="宋体" w:cs="宋体"/>
          <w:i w:val="0"/>
          <w:iCs w:val="0"/>
          <w:caps w:val="0"/>
          <w:color w:val="333333"/>
          <w:spacing w:val="0"/>
          <w:sz w:val="24"/>
          <w:szCs w:val="24"/>
          <w:shd w:val="clear" w:fill="FFFFFF"/>
        </w:rPr>
        <w:t>（北京时间）</w:t>
      </w:r>
    </w:p>
    <w:p w14:paraId="694DB6A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地点：安康市高新区高新观澜8栋二单元801室</w:t>
      </w:r>
    </w:p>
    <w:p w14:paraId="5E3B01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六、公告期限</w:t>
      </w:r>
    </w:p>
    <w:p w14:paraId="08498C2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17DD74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七、其他补充事宜</w:t>
      </w:r>
    </w:p>
    <w:p w14:paraId="1681C59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eastAsia" w:ascii="宋体" w:hAnsi="宋体" w:eastAsia="宋体" w:cs="宋体"/>
          <w:sz w:val="24"/>
          <w:szCs w:val="24"/>
        </w:rPr>
      </w:pPr>
      <w:r>
        <w:rPr>
          <w:rStyle w:val="41"/>
          <w:rFonts w:hint="eastAsia" w:ascii="宋体" w:hAnsi="宋体" w:eastAsia="宋体" w:cs="宋体"/>
          <w:b/>
          <w:bCs/>
          <w:i w:val="0"/>
          <w:iCs w:val="0"/>
          <w:caps w:val="0"/>
          <w:color w:val="333333"/>
          <w:spacing w:val="0"/>
          <w:sz w:val="24"/>
          <w:szCs w:val="24"/>
          <w:shd w:val="clear" w:fill="FFFFFF"/>
        </w:rPr>
        <w:t>备注：（1）获取须知：投标供应商请在文件获取时间以内将单位介绍信（备注经办人联系电话及电子邮箱）及身份证复印件加盖公章递交至安康尚昊招标代理有限公司（安康市高新区高新观澜8幢2单元801室，邮箱：769697590@qq.com），采购代理机构进行确认，确认完毕后采购代理机构将通过邮箱传送谈判文件，请注意查收。</w:t>
      </w:r>
    </w:p>
    <w:p w14:paraId="136A4F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1"/>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60AC29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0196C04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333333"/>
          <w:spacing w:val="0"/>
          <w:sz w:val="24"/>
          <w:szCs w:val="24"/>
          <w:shd w:val="clear" w:fill="FFFFFF"/>
          <w:lang w:eastAsia="zh-CN"/>
        </w:rPr>
        <w:t>安康市中心医院</w:t>
      </w:r>
    </w:p>
    <w:p w14:paraId="56A0492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地址：陕西省安康市汉滨区金州南路85号</w:t>
      </w:r>
    </w:p>
    <w:p w14:paraId="0BB9E1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333333"/>
          <w:spacing w:val="0"/>
          <w:kern w:val="0"/>
          <w:sz w:val="24"/>
          <w:szCs w:val="24"/>
          <w:shd w:val="clear" w:fill="FFFFFF"/>
          <w:lang w:val="en-US" w:eastAsia="zh-CN" w:bidi="ar-SA"/>
        </w:rPr>
      </w:pPr>
      <w:r>
        <w:rPr>
          <w:rFonts w:hint="eastAsia" w:ascii="宋体" w:hAnsi="宋体" w:eastAsia="宋体" w:cs="宋体"/>
          <w:b w:val="0"/>
          <w:bCs w:val="0"/>
          <w:i w:val="0"/>
          <w:iCs w:val="0"/>
          <w:caps w:val="0"/>
          <w:color w:val="333333"/>
          <w:spacing w:val="0"/>
          <w:kern w:val="0"/>
          <w:sz w:val="24"/>
          <w:szCs w:val="24"/>
          <w:shd w:val="clear" w:fill="FFFFFF"/>
          <w:lang w:val="en-US" w:eastAsia="zh-CN" w:bidi="ar-SA"/>
        </w:rPr>
        <w:t>联系方式：19909150521</w:t>
      </w:r>
    </w:p>
    <w:p w14:paraId="344129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640C7B1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27E2D46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地址：陕西省安康市高新区高新观澜8栋二单元801室</w:t>
      </w:r>
    </w:p>
    <w:p w14:paraId="3CFE7E7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4EFD95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1BECA6A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624C1EF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0EED2FA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099FF57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2025年11月26日</w:t>
      </w:r>
    </w:p>
    <w:p w14:paraId="6A03FF77">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宋体" w:hAnsi="宋体" w:eastAsia="宋体" w:cs="宋体"/>
          <w:b/>
          <w:bCs/>
          <w:color w:val="auto"/>
          <w:kern w:val="44"/>
          <w:sz w:val="24"/>
          <w:szCs w:val="24"/>
          <w:highlight w:val="none"/>
        </w:rPr>
      </w:pPr>
      <w:bookmarkStart w:id="369" w:name="_GoBack"/>
      <w:bookmarkEnd w:id="369"/>
      <w:r>
        <w:rPr>
          <w:rFonts w:hint="eastAsia" w:ascii="宋体" w:hAnsi="宋体" w:eastAsia="宋体" w:cs="宋体"/>
          <w:b/>
          <w:bCs/>
          <w:color w:val="auto"/>
          <w:kern w:val="44"/>
          <w:sz w:val="24"/>
          <w:szCs w:val="24"/>
          <w:highlight w:val="none"/>
        </w:rPr>
        <w:br w:type="page"/>
      </w:r>
    </w:p>
    <w:p w14:paraId="081E5855">
      <w:pPr>
        <w:pStyle w:val="3"/>
        <w:keepNext/>
        <w:keepLines/>
        <w:pageBreakBefore w:val="0"/>
        <w:widowControl/>
        <w:tabs>
          <w:tab w:val="center" w:pos="4433"/>
          <w:tab w:val="left" w:pos="7415"/>
        </w:tabs>
        <w:kinsoku/>
        <w:wordWrap/>
        <w:overflowPunct/>
        <w:topLinePunct w:val="0"/>
        <w:autoSpaceDE/>
        <w:autoSpaceDN/>
        <w:bidi w:val="0"/>
        <w:adjustRightInd/>
        <w:snapToGrid/>
        <w:spacing w:after="196" w:afterLines="50"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bookmarkStart w:id="25" w:name="_Toc31465"/>
      <w:r>
        <w:rPr>
          <w:rFonts w:hint="eastAsia" w:ascii="宋体" w:hAnsi="宋体" w:eastAsia="宋体" w:cs="宋体"/>
          <w:color w:val="auto"/>
          <w:highlight w:val="none"/>
        </w:rPr>
        <w:t>第二章  供应商须知</w:t>
      </w:r>
      <w:bookmarkEnd w:id="17"/>
      <w:bookmarkEnd w:id="18"/>
      <w:bookmarkEnd w:id="19"/>
      <w:bookmarkEnd w:id="20"/>
      <w:bookmarkEnd w:id="21"/>
      <w:bookmarkEnd w:id="22"/>
      <w:bookmarkEnd w:id="23"/>
      <w:bookmarkEnd w:id="24"/>
      <w:bookmarkEnd w:id="25"/>
    </w:p>
    <w:p w14:paraId="7320D5A2">
      <w:pPr>
        <w:keepNext w:val="0"/>
        <w:keepLines w:val="0"/>
        <w:pageBreakBefore w:val="0"/>
        <w:widowControl/>
        <w:kinsoku/>
        <w:wordWrap/>
        <w:overflowPunct/>
        <w:topLinePunct w:val="0"/>
        <w:autoSpaceDE/>
        <w:autoSpaceDN/>
        <w:bidi w:val="0"/>
        <w:adjustRightInd/>
        <w:snapToGrid/>
        <w:spacing w:after="196" w:afterLines="50" w:line="460" w:lineRule="exact"/>
        <w:jc w:val="center"/>
        <w:textAlignment w:val="auto"/>
        <w:rPr>
          <w:rFonts w:ascii="宋体" w:hAnsi="宋体" w:eastAsia="宋体"/>
          <w:b/>
          <w:bCs/>
          <w:color w:val="auto"/>
          <w:kern w:val="44"/>
          <w:sz w:val="36"/>
          <w:szCs w:val="44"/>
          <w:highlight w:val="none"/>
        </w:rPr>
      </w:pPr>
      <w:r>
        <w:rPr>
          <w:rFonts w:hint="eastAsia" w:ascii="宋体" w:hAnsi="宋体" w:eastAsia="宋体"/>
          <w:b/>
          <w:bCs/>
          <w:color w:val="auto"/>
          <w:kern w:val="44"/>
          <w:sz w:val="36"/>
          <w:szCs w:val="44"/>
          <w:highlight w:val="none"/>
        </w:rPr>
        <w:t>须知前附表</w:t>
      </w:r>
    </w:p>
    <w:tbl>
      <w:tblPr>
        <w:tblStyle w:val="38"/>
        <w:tblW w:w="9609" w:type="dxa"/>
        <w:jc w:val="center"/>
        <w:tblLayout w:type="fixed"/>
        <w:tblCellMar>
          <w:top w:w="0" w:type="dxa"/>
          <w:left w:w="108" w:type="dxa"/>
          <w:bottom w:w="0" w:type="dxa"/>
          <w:right w:w="108" w:type="dxa"/>
        </w:tblCellMar>
      </w:tblPr>
      <w:tblGrid>
        <w:gridCol w:w="705"/>
        <w:gridCol w:w="1911"/>
        <w:gridCol w:w="6993"/>
      </w:tblGrid>
      <w:tr w14:paraId="2DB8CDBC">
        <w:tblPrEx>
          <w:tblCellMar>
            <w:top w:w="0" w:type="dxa"/>
            <w:left w:w="108" w:type="dxa"/>
            <w:bottom w:w="0" w:type="dxa"/>
            <w:right w:w="108" w:type="dxa"/>
          </w:tblCellMar>
        </w:tblPrEx>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65F7E09">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b/>
                <w:bCs/>
                <w:color w:val="auto"/>
                <w:kern w:val="0"/>
                <w:sz w:val="24"/>
                <w:szCs w:val="24"/>
                <w:highlight w:val="none"/>
              </w:rPr>
            </w:pPr>
            <w:r>
              <w:rPr>
                <w:rFonts w:hint="eastAsia" w:asciiTheme="minorEastAsia" w:hAnsiTheme="minorEastAsia" w:eastAsiaTheme="minorEastAsia"/>
                <w:b/>
                <w:bCs/>
                <w:color w:val="auto"/>
                <w:kern w:val="0"/>
                <w:sz w:val="24"/>
                <w:szCs w:val="24"/>
                <w:highlight w:val="none"/>
              </w:rPr>
              <w:t>序号</w:t>
            </w:r>
          </w:p>
        </w:tc>
        <w:tc>
          <w:tcPr>
            <w:tcW w:w="1911" w:type="dxa"/>
            <w:tcBorders>
              <w:top w:val="single" w:color="000000" w:sz="4" w:space="0"/>
              <w:left w:val="nil"/>
              <w:bottom w:val="single" w:color="000000" w:sz="4" w:space="0"/>
              <w:right w:val="single" w:color="auto" w:sz="4" w:space="0"/>
            </w:tcBorders>
            <w:vAlign w:val="center"/>
          </w:tcPr>
          <w:p w14:paraId="3CCD5AFE">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b/>
                <w:bCs/>
                <w:color w:val="auto"/>
                <w:kern w:val="0"/>
                <w:sz w:val="24"/>
                <w:szCs w:val="24"/>
                <w:highlight w:val="none"/>
              </w:rPr>
            </w:pPr>
            <w:r>
              <w:rPr>
                <w:rFonts w:hint="default" w:asciiTheme="minorEastAsia" w:hAnsiTheme="minorEastAsia" w:eastAsiaTheme="minorEastAsia"/>
                <w:b/>
                <w:bCs/>
                <w:color w:val="auto"/>
                <w:kern w:val="0"/>
                <w:sz w:val="24"/>
                <w:szCs w:val="24"/>
                <w:highlight w:val="none"/>
              </w:rPr>
              <w:t>项目</w:t>
            </w:r>
          </w:p>
        </w:tc>
        <w:tc>
          <w:tcPr>
            <w:tcW w:w="6993" w:type="dxa"/>
            <w:tcBorders>
              <w:top w:val="single" w:color="000000" w:sz="4" w:space="0"/>
              <w:left w:val="single" w:color="auto" w:sz="4" w:space="0"/>
              <w:bottom w:val="single" w:color="000000" w:sz="4" w:space="0"/>
              <w:right w:val="single" w:color="000000" w:sz="4" w:space="0"/>
            </w:tcBorders>
            <w:vAlign w:val="center"/>
          </w:tcPr>
          <w:p w14:paraId="7A921E7F">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b/>
                <w:bCs/>
                <w:color w:val="auto"/>
                <w:kern w:val="0"/>
                <w:sz w:val="24"/>
                <w:szCs w:val="24"/>
                <w:highlight w:val="none"/>
              </w:rPr>
            </w:pPr>
            <w:r>
              <w:rPr>
                <w:rFonts w:hint="eastAsia" w:asciiTheme="minorEastAsia" w:hAnsiTheme="minorEastAsia" w:eastAsiaTheme="minorEastAsia"/>
                <w:b/>
                <w:bCs/>
                <w:color w:val="auto"/>
                <w:kern w:val="0"/>
                <w:sz w:val="24"/>
                <w:szCs w:val="24"/>
                <w:highlight w:val="none"/>
              </w:rPr>
              <w:t>编列内容</w:t>
            </w:r>
          </w:p>
        </w:tc>
      </w:tr>
      <w:tr w14:paraId="1420C5E7">
        <w:tblPrEx>
          <w:tblCellMar>
            <w:top w:w="0" w:type="dxa"/>
            <w:left w:w="108" w:type="dxa"/>
            <w:bottom w:w="0" w:type="dxa"/>
            <w:right w:w="108" w:type="dxa"/>
          </w:tblCellMar>
        </w:tblPrEx>
        <w:trPr>
          <w:trHeight w:val="60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2E763A3">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kern w:val="0"/>
                <w:sz w:val="24"/>
                <w:szCs w:val="24"/>
                <w:highlight w:val="none"/>
              </w:rPr>
            </w:pPr>
          </w:p>
        </w:tc>
        <w:tc>
          <w:tcPr>
            <w:tcW w:w="1911" w:type="dxa"/>
            <w:tcBorders>
              <w:top w:val="single" w:color="000000" w:sz="4" w:space="0"/>
              <w:left w:val="nil"/>
              <w:bottom w:val="single" w:color="000000" w:sz="4" w:space="0"/>
              <w:right w:val="single" w:color="auto" w:sz="4" w:space="0"/>
            </w:tcBorders>
            <w:vAlign w:val="center"/>
          </w:tcPr>
          <w:p w14:paraId="7A854D72">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19" w:right="0" w:hanging="19"/>
              <w:jc w:val="center"/>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采购人</w:t>
            </w:r>
          </w:p>
        </w:tc>
        <w:tc>
          <w:tcPr>
            <w:tcW w:w="6993" w:type="dxa"/>
            <w:tcBorders>
              <w:top w:val="single" w:color="000000" w:sz="4" w:space="0"/>
              <w:left w:val="single" w:color="auto" w:sz="4" w:space="0"/>
              <w:bottom w:val="single" w:color="000000" w:sz="4" w:space="0"/>
              <w:right w:val="single" w:color="000000" w:sz="4" w:space="0"/>
            </w:tcBorders>
            <w:vAlign w:val="center"/>
          </w:tcPr>
          <w:p w14:paraId="38C95746">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19" w:right="0" w:hanging="19"/>
              <w:textAlignment w:val="auto"/>
              <w:rPr>
                <w:rFonts w:hint="eastAsia" w:asciiTheme="minorEastAsia" w:hAnsiTheme="minorEastAsia" w:eastAsiaTheme="minorEastAsia"/>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安康市中心医院</w:t>
            </w:r>
          </w:p>
        </w:tc>
      </w:tr>
      <w:tr w14:paraId="44E1B62B">
        <w:tblPrEx>
          <w:tblCellMar>
            <w:top w:w="0" w:type="dxa"/>
            <w:left w:w="108" w:type="dxa"/>
            <w:bottom w:w="0" w:type="dxa"/>
            <w:right w:w="108" w:type="dxa"/>
          </w:tblCellMar>
        </w:tblPrEx>
        <w:trPr>
          <w:trHeight w:val="609"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2D67361D">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cs="Times New Roman" w:asciiTheme="minorEastAsia" w:hAnsiTheme="minorEastAsia" w:eastAsiaTheme="minorEastAsia"/>
                <w:color w:val="auto"/>
                <w:kern w:val="0"/>
                <w:sz w:val="24"/>
                <w:szCs w:val="24"/>
                <w:highlight w:val="none"/>
              </w:rPr>
            </w:pPr>
          </w:p>
        </w:tc>
        <w:tc>
          <w:tcPr>
            <w:tcW w:w="1911" w:type="dxa"/>
            <w:tcBorders>
              <w:top w:val="single" w:color="000000" w:sz="4" w:space="0"/>
              <w:left w:val="nil"/>
              <w:bottom w:val="single" w:color="000000" w:sz="4" w:space="0"/>
              <w:right w:val="single" w:color="auto" w:sz="4" w:space="0"/>
            </w:tcBorders>
            <w:vAlign w:val="center"/>
          </w:tcPr>
          <w:p w14:paraId="7D79CA42">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采购代理机构</w:t>
            </w:r>
          </w:p>
        </w:tc>
        <w:tc>
          <w:tcPr>
            <w:tcW w:w="6993" w:type="dxa"/>
            <w:tcBorders>
              <w:top w:val="single" w:color="000000" w:sz="4" w:space="0"/>
              <w:left w:val="single" w:color="auto" w:sz="4" w:space="0"/>
              <w:bottom w:val="single" w:color="000000" w:sz="4" w:space="0"/>
              <w:right w:val="single" w:color="000000" w:sz="4" w:space="0"/>
            </w:tcBorders>
            <w:vAlign w:val="center"/>
          </w:tcPr>
          <w:p w14:paraId="72CA7E6C">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安康尚昊</w:t>
            </w:r>
            <w:r>
              <w:rPr>
                <w:rFonts w:hint="default" w:asciiTheme="minorEastAsia" w:hAnsiTheme="minorEastAsia" w:eastAsiaTheme="minorEastAsia"/>
                <w:color w:val="auto"/>
                <w:sz w:val="24"/>
                <w:szCs w:val="24"/>
                <w:highlight w:val="none"/>
              </w:rPr>
              <w:t>招标代理有限公司</w:t>
            </w:r>
          </w:p>
        </w:tc>
      </w:tr>
      <w:tr w14:paraId="68559D6A">
        <w:tblPrEx>
          <w:tblCellMar>
            <w:top w:w="0" w:type="dxa"/>
            <w:left w:w="108" w:type="dxa"/>
            <w:bottom w:w="0" w:type="dxa"/>
            <w:right w:w="108" w:type="dxa"/>
          </w:tblCellMar>
        </w:tblPrEx>
        <w:trPr>
          <w:trHeight w:val="600"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73AD0A3F">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cs="Times New Roman" w:asciiTheme="minorEastAsia" w:hAnsiTheme="minorEastAsia" w:eastAsiaTheme="minorEastAsia"/>
                <w:color w:val="auto"/>
                <w:kern w:val="0"/>
                <w:sz w:val="24"/>
                <w:szCs w:val="24"/>
                <w:highlight w:val="none"/>
              </w:rPr>
            </w:pPr>
          </w:p>
        </w:tc>
        <w:tc>
          <w:tcPr>
            <w:tcW w:w="1911" w:type="dxa"/>
            <w:tcBorders>
              <w:top w:val="single" w:color="000000" w:sz="4" w:space="0"/>
              <w:left w:val="nil"/>
              <w:bottom w:val="single" w:color="auto" w:sz="4" w:space="0"/>
              <w:right w:val="single" w:color="auto" w:sz="4" w:space="0"/>
            </w:tcBorders>
            <w:vAlign w:val="center"/>
          </w:tcPr>
          <w:p w14:paraId="4F67FB29">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项目名称</w:t>
            </w:r>
          </w:p>
        </w:tc>
        <w:tc>
          <w:tcPr>
            <w:tcW w:w="6993" w:type="dxa"/>
            <w:tcBorders>
              <w:top w:val="single" w:color="000000" w:sz="4" w:space="0"/>
              <w:left w:val="single" w:color="auto" w:sz="4" w:space="0"/>
              <w:bottom w:val="single" w:color="000000" w:sz="4" w:space="0"/>
              <w:right w:val="single" w:color="000000" w:sz="4" w:space="0"/>
            </w:tcBorders>
            <w:vAlign w:val="center"/>
          </w:tcPr>
          <w:p w14:paraId="2DE3C9FE">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19" w:right="0" w:hanging="19"/>
              <w:textAlignment w:val="auto"/>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安康市中心医院新生儿科婴儿奶粉采购项目</w:t>
            </w:r>
          </w:p>
        </w:tc>
      </w:tr>
      <w:tr w14:paraId="5D8F459B">
        <w:tblPrEx>
          <w:tblCellMar>
            <w:top w:w="0" w:type="dxa"/>
            <w:left w:w="108" w:type="dxa"/>
            <w:bottom w:w="0" w:type="dxa"/>
            <w:right w:w="108" w:type="dxa"/>
          </w:tblCellMar>
        </w:tblPrEx>
        <w:trPr>
          <w:trHeight w:val="602" w:hRule="atLeast"/>
          <w:jc w:val="center"/>
        </w:trPr>
        <w:tc>
          <w:tcPr>
            <w:tcW w:w="705" w:type="dxa"/>
            <w:tcBorders>
              <w:top w:val="single" w:color="auto" w:sz="4" w:space="0"/>
              <w:left w:val="single" w:color="000000" w:sz="4" w:space="0"/>
              <w:right w:val="single" w:color="000000" w:sz="4" w:space="0"/>
            </w:tcBorders>
            <w:vAlign w:val="center"/>
          </w:tcPr>
          <w:p w14:paraId="5735A2B4">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cs="Times New Roman" w:asciiTheme="minorEastAsia" w:hAnsiTheme="minorEastAsia" w:eastAsiaTheme="minorEastAsia"/>
                <w:color w:val="auto"/>
                <w:kern w:val="0"/>
                <w:sz w:val="24"/>
                <w:szCs w:val="24"/>
                <w:highlight w:val="none"/>
              </w:rPr>
            </w:pPr>
          </w:p>
        </w:tc>
        <w:tc>
          <w:tcPr>
            <w:tcW w:w="1911" w:type="dxa"/>
            <w:tcBorders>
              <w:top w:val="single" w:color="auto" w:sz="4" w:space="0"/>
              <w:left w:val="nil"/>
              <w:right w:val="single" w:color="auto" w:sz="4" w:space="0"/>
            </w:tcBorders>
            <w:vAlign w:val="center"/>
          </w:tcPr>
          <w:p w14:paraId="042026D3">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color w:val="auto"/>
                <w:kern w:val="0"/>
                <w:sz w:val="24"/>
                <w:szCs w:val="24"/>
                <w:highlight w:val="none"/>
                <w:lang w:eastAsia="zh-CN"/>
              </w:rPr>
              <w:t>预算金额</w:t>
            </w:r>
          </w:p>
        </w:tc>
        <w:tc>
          <w:tcPr>
            <w:tcW w:w="6993" w:type="dxa"/>
            <w:tcBorders>
              <w:top w:val="single" w:color="000000" w:sz="4" w:space="0"/>
              <w:left w:val="single" w:color="auto" w:sz="4" w:space="0"/>
              <w:right w:val="single" w:color="000000" w:sz="4" w:space="0"/>
            </w:tcBorders>
            <w:vAlign w:val="center"/>
          </w:tcPr>
          <w:p w14:paraId="6E32E035">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19" w:right="0" w:hanging="19"/>
              <w:textAlignment w:val="auto"/>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220,000.00元（包1:110000.00元，包2:110000.00元）</w:t>
            </w:r>
          </w:p>
        </w:tc>
      </w:tr>
      <w:tr w14:paraId="2DC6B213">
        <w:tblPrEx>
          <w:tblCellMar>
            <w:top w:w="0" w:type="dxa"/>
            <w:left w:w="108" w:type="dxa"/>
            <w:bottom w:w="0" w:type="dxa"/>
            <w:right w:w="108" w:type="dxa"/>
          </w:tblCellMar>
        </w:tblPrEx>
        <w:trPr>
          <w:trHeight w:val="1881"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7DCD68FD">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cs="Times New Roman" w:asciiTheme="minorEastAsia" w:hAnsiTheme="minorEastAsia" w:eastAsiaTheme="minorEastAsia"/>
                <w:color w:val="auto"/>
                <w:kern w:val="0"/>
                <w:sz w:val="24"/>
                <w:szCs w:val="24"/>
                <w:highlight w:val="none"/>
              </w:rPr>
            </w:pPr>
          </w:p>
        </w:tc>
        <w:tc>
          <w:tcPr>
            <w:tcW w:w="1911" w:type="dxa"/>
            <w:tcBorders>
              <w:top w:val="single" w:color="000000" w:sz="4" w:space="0"/>
              <w:left w:val="nil"/>
              <w:bottom w:val="single" w:color="000000" w:sz="4" w:space="0"/>
              <w:right w:val="single" w:color="auto" w:sz="4" w:space="0"/>
            </w:tcBorders>
            <w:vAlign w:val="center"/>
          </w:tcPr>
          <w:p w14:paraId="4AA6D75C">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kern w:val="0"/>
                <w:sz w:val="24"/>
                <w:szCs w:val="24"/>
                <w:highlight w:val="none"/>
              </w:rPr>
            </w:pPr>
            <w:r>
              <w:rPr>
                <w:rFonts w:hint="default" w:asciiTheme="minorEastAsia" w:hAnsiTheme="minorEastAsia" w:eastAsiaTheme="minorEastAsia"/>
                <w:color w:val="auto"/>
                <w:kern w:val="0"/>
                <w:sz w:val="24"/>
                <w:szCs w:val="24"/>
                <w:highlight w:val="none"/>
              </w:rPr>
              <w:t>投标报价</w:t>
            </w:r>
          </w:p>
        </w:tc>
        <w:tc>
          <w:tcPr>
            <w:tcW w:w="6993" w:type="dxa"/>
            <w:tcBorders>
              <w:top w:val="single" w:color="000000" w:sz="4" w:space="0"/>
              <w:left w:val="single" w:color="auto" w:sz="4" w:space="0"/>
              <w:bottom w:val="single" w:color="000000" w:sz="4" w:space="0"/>
              <w:right w:val="single" w:color="000000" w:sz="4" w:space="0"/>
            </w:tcBorders>
            <w:vAlign w:val="center"/>
          </w:tcPr>
          <w:p w14:paraId="263A31F8">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投标人所报的价格应考虑到可能发生的所有与完成本项目相关服务及履行合同义务有关的一切费用。</w:t>
            </w:r>
          </w:p>
          <w:p w14:paraId="2FD0EBBD">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textAlignment w:val="auto"/>
              <w:rPr>
                <w:rFonts w:hint="default" w:eastAsiaTheme="minorEastAsia"/>
                <w:color w:val="auto"/>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投标人必须对所投项目进行完整报价，不接受（将拒绝）只对部分</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进行报价的投标。</w:t>
            </w:r>
          </w:p>
        </w:tc>
      </w:tr>
      <w:tr w14:paraId="67E8B45B">
        <w:tblPrEx>
          <w:tblCellMar>
            <w:top w:w="0" w:type="dxa"/>
            <w:left w:w="108" w:type="dxa"/>
            <w:bottom w:w="0" w:type="dxa"/>
            <w:right w:w="108" w:type="dxa"/>
          </w:tblCellMar>
        </w:tblPrEx>
        <w:trPr>
          <w:trHeight w:val="6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930FE51">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eastAsia" w:cs="Times New Roman" w:asciiTheme="minorEastAsia" w:hAnsiTheme="minorEastAsia" w:eastAsiaTheme="minorEastAsia"/>
                <w:color w:val="auto"/>
                <w:kern w:val="0"/>
                <w:sz w:val="24"/>
                <w:szCs w:val="24"/>
                <w:highlight w:val="none"/>
              </w:rPr>
            </w:pPr>
          </w:p>
        </w:tc>
        <w:tc>
          <w:tcPr>
            <w:tcW w:w="1911" w:type="dxa"/>
            <w:tcBorders>
              <w:top w:val="single" w:color="000000" w:sz="4" w:space="0"/>
              <w:left w:val="single" w:color="auto" w:sz="4" w:space="0"/>
              <w:bottom w:val="single" w:color="auto" w:sz="4" w:space="0"/>
              <w:right w:val="single" w:color="auto" w:sz="4" w:space="0"/>
            </w:tcBorders>
            <w:vAlign w:val="center"/>
          </w:tcPr>
          <w:p w14:paraId="7B5B6BAB">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合同履行期限</w:t>
            </w:r>
          </w:p>
        </w:tc>
        <w:tc>
          <w:tcPr>
            <w:tcW w:w="6993" w:type="dxa"/>
            <w:tcBorders>
              <w:top w:val="single" w:color="000000" w:sz="4" w:space="0"/>
              <w:left w:val="single" w:color="auto" w:sz="4" w:space="0"/>
              <w:bottom w:val="single" w:color="auto" w:sz="4" w:space="0"/>
              <w:right w:val="single" w:color="000000" w:sz="4" w:space="0"/>
            </w:tcBorders>
            <w:vAlign w:val="center"/>
          </w:tcPr>
          <w:p w14:paraId="01466230">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两年。</w:t>
            </w:r>
          </w:p>
        </w:tc>
      </w:tr>
      <w:tr w14:paraId="0C1F1F67">
        <w:tblPrEx>
          <w:tblCellMar>
            <w:top w:w="0" w:type="dxa"/>
            <w:left w:w="108" w:type="dxa"/>
            <w:bottom w:w="0" w:type="dxa"/>
            <w:right w:w="108" w:type="dxa"/>
          </w:tblCellMar>
        </w:tblPrEx>
        <w:trPr>
          <w:trHeight w:val="603"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5D242EC">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eastAsia" w:cs="Times New Roman" w:asciiTheme="minorEastAsia" w:hAnsiTheme="minorEastAsia" w:eastAsiaTheme="minorEastAsia"/>
                <w:color w:val="auto"/>
                <w:kern w:val="0"/>
                <w:sz w:val="24"/>
                <w:szCs w:val="24"/>
                <w:highlight w:val="none"/>
              </w:rPr>
            </w:pPr>
            <w:bookmarkStart w:id="26" w:name="OLE_LINK29" w:colFirst="1" w:colLast="2"/>
          </w:p>
        </w:tc>
        <w:tc>
          <w:tcPr>
            <w:tcW w:w="1911" w:type="dxa"/>
            <w:tcBorders>
              <w:top w:val="single" w:color="000000" w:sz="4" w:space="0"/>
              <w:left w:val="single" w:color="auto" w:sz="4" w:space="0"/>
              <w:bottom w:val="single" w:color="auto" w:sz="4" w:space="0"/>
              <w:right w:val="single" w:color="auto" w:sz="4" w:space="0"/>
            </w:tcBorders>
            <w:vAlign w:val="center"/>
          </w:tcPr>
          <w:p w14:paraId="0194E984">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textAlignment w:val="auto"/>
              <w:rPr>
                <w:rFonts w:hint="default" w:cs="Times New Roman" w:asciiTheme="minorEastAsia" w:hAnsiTheme="minorEastAsia" w:eastAsiaTheme="minorEastAsia"/>
                <w:b w:val="0"/>
                <w:bCs w:val="0"/>
                <w:color w:val="auto"/>
                <w:sz w:val="24"/>
                <w:szCs w:val="24"/>
                <w:highlight w:val="none"/>
                <w:lang w:val="en-US" w:eastAsia="zh-CN"/>
              </w:rPr>
            </w:pPr>
            <w:r>
              <w:rPr>
                <w:rFonts w:hint="eastAsia" w:cs="Times New Roman" w:asciiTheme="minorEastAsia" w:hAnsiTheme="minorEastAsia" w:eastAsiaTheme="minorEastAsia"/>
                <w:b w:val="0"/>
                <w:bCs w:val="0"/>
                <w:color w:val="auto"/>
                <w:sz w:val="24"/>
                <w:szCs w:val="24"/>
                <w:highlight w:val="none"/>
                <w:lang w:val="en-US" w:eastAsia="zh-CN"/>
              </w:rPr>
              <w:t>质保期</w:t>
            </w:r>
          </w:p>
        </w:tc>
        <w:tc>
          <w:tcPr>
            <w:tcW w:w="6993" w:type="dxa"/>
            <w:tcBorders>
              <w:top w:val="single" w:color="000000" w:sz="4" w:space="0"/>
              <w:left w:val="single" w:color="auto" w:sz="4" w:space="0"/>
              <w:bottom w:val="single" w:color="auto" w:sz="4" w:space="0"/>
              <w:right w:val="single" w:color="000000" w:sz="4" w:space="0"/>
            </w:tcBorders>
            <w:vAlign w:val="center"/>
          </w:tcPr>
          <w:p w14:paraId="12165718">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textAlignment w:val="auto"/>
              <w:rPr>
                <w:rFonts w:hint="default" w:cs="Times New Roman" w:asciiTheme="minorEastAsia" w:hAnsiTheme="minorEastAsia" w:eastAsiaTheme="minorEastAsia"/>
                <w:b w:val="0"/>
                <w:bCs w:val="0"/>
                <w:color w:val="auto"/>
                <w:sz w:val="24"/>
                <w:szCs w:val="24"/>
                <w:highlight w:val="none"/>
                <w:lang w:val="en-US" w:eastAsia="zh-CN"/>
              </w:rPr>
            </w:pPr>
            <w:r>
              <w:rPr>
                <w:rFonts w:hint="eastAsia" w:cs="Times New Roman" w:asciiTheme="minorEastAsia" w:hAnsiTheme="minorEastAsia" w:eastAsiaTheme="minorEastAsia"/>
                <w:b w:val="0"/>
                <w:bCs w:val="0"/>
                <w:color w:val="auto"/>
                <w:sz w:val="24"/>
                <w:szCs w:val="24"/>
                <w:highlight w:val="none"/>
                <w:lang w:val="en-US" w:eastAsia="zh-CN"/>
              </w:rPr>
              <w:t>产品送</w:t>
            </w:r>
            <w:r>
              <w:rPr>
                <w:rFonts w:hint="default" w:cs="Times New Roman" w:asciiTheme="minorEastAsia" w:hAnsiTheme="minorEastAsia" w:eastAsiaTheme="minorEastAsia"/>
                <w:b w:val="0"/>
                <w:bCs w:val="0"/>
                <w:color w:val="auto"/>
                <w:sz w:val="24"/>
                <w:szCs w:val="24"/>
                <w:highlight w:val="none"/>
                <w:lang w:val="en-US" w:eastAsia="zh-CN"/>
              </w:rPr>
              <w:t>达现场</w:t>
            </w:r>
            <w:r>
              <w:rPr>
                <w:rFonts w:hint="eastAsia" w:cs="Times New Roman" w:asciiTheme="minorEastAsia" w:hAnsiTheme="minorEastAsia" w:eastAsiaTheme="minorEastAsia"/>
                <w:b w:val="0"/>
                <w:bCs w:val="0"/>
                <w:color w:val="auto"/>
                <w:sz w:val="24"/>
                <w:szCs w:val="24"/>
                <w:highlight w:val="none"/>
                <w:lang w:val="en-US" w:eastAsia="zh-CN"/>
              </w:rPr>
              <w:t>的剩余保存期不少于壹年</w:t>
            </w:r>
          </w:p>
        </w:tc>
      </w:tr>
      <w:bookmarkEnd w:id="26"/>
      <w:tr w14:paraId="4185165A">
        <w:tblPrEx>
          <w:tblCellMar>
            <w:top w:w="0" w:type="dxa"/>
            <w:left w:w="108" w:type="dxa"/>
            <w:bottom w:w="0" w:type="dxa"/>
            <w:right w:w="108" w:type="dxa"/>
          </w:tblCellMar>
        </w:tblPrEx>
        <w:trPr>
          <w:trHeight w:val="387"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122313C3">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cs="Times New Roman" w:asciiTheme="minorEastAsia" w:hAnsiTheme="minorEastAsia" w:eastAsiaTheme="minorEastAsia"/>
                <w:color w:val="auto"/>
                <w:kern w:val="0"/>
                <w:sz w:val="24"/>
                <w:szCs w:val="24"/>
                <w:highlight w:val="none"/>
                <w:lang w:val="en-US" w:eastAsia="zh-CN"/>
              </w:rPr>
            </w:pPr>
          </w:p>
        </w:tc>
        <w:tc>
          <w:tcPr>
            <w:tcW w:w="1911" w:type="dxa"/>
            <w:tcBorders>
              <w:top w:val="single" w:color="000000" w:sz="4" w:space="0"/>
              <w:left w:val="nil"/>
              <w:bottom w:val="single" w:color="000000" w:sz="4" w:space="0"/>
              <w:right w:val="single" w:color="auto" w:sz="4" w:space="0"/>
            </w:tcBorders>
            <w:vAlign w:val="center"/>
          </w:tcPr>
          <w:p w14:paraId="141F46F1">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付款方式</w:t>
            </w:r>
          </w:p>
        </w:tc>
        <w:tc>
          <w:tcPr>
            <w:tcW w:w="6993" w:type="dxa"/>
            <w:tcBorders>
              <w:top w:val="single" w:color="000000" w:sz="4" w:space="0"/>
              <w:left w:val="single" w:color="auto" w:sz="4" w:space="0"/>
              <w:bottom w:val="single" w:color="000000" w:sz="4" w:space="0"/>
              <w:right w:val="single" w:color="000000" w:sz="4" w:space="0"/>
            </w:tcBorders>
            <w:vAlign w:val="center"/>
          </w:tcPr>
          <w:tbl>
            <w:tblPr>
              <w:tblStyle w:val="38"/>
              <w:tblW w:w="9609" w:type="dxa"/>
              <w:jc w:val="center"/>
              <w:tblLayout w:type="fixed"/>
              <w:tblCellMar>
                <w:top w:w="0" w:type="dxa"/>
                <w:left w:w="108" w:type="dxa"/>
                <w:bottom w:w="0" w:type="dxa"/>
                <w:right w:w="108" w:type="dxa"/>
              </w:tblCellMar>
            </w:tblPr>
            <w:tblGrid>
              <w:gridCol w:w="6993"/>
            </w:tblGrid>
            <w:tr w14:paraId="0B4FF320">
              <w:trPr>
                <w:trHeight w:val="733" w:hRule="atLeast"/>
                <w:jc w:val="center"/>
              </w:trPr>
              <w:tc>
                <w:tcPr>
                  <w:tcW w:w="6993" w:type="dxa"/>
                  <w:tcBorders>
                    <w:top w:val="nil"/>
                    <w:left w:val="single" w:color="auto" w:sz="4" w:space="0"/>
                    <w:bottom w:val="nil"/>
                    <w:right w:val="nil"/>
                  </w:tcBorders>
                  <w:vAlign w:val="center"/>
                </w:tcPr>
                <w:p w14:paraId="6CBA2CE5">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19" w:right="0" w:hanging="19"/>
                    <w:textAlignment w:val="auto"/>
                    <w:rPr>
                      <w:rFonts w:hint="default" w:cs="Times New Roman" w:asciiTheme="minorEastAsia" w:hAnsiTheme="minorEastAsia" w:eastAsiaTheme="minorEastAsia"/>
                      <w:b w:val="0"/>
                      <w:bCs w:val="0"/>
                      <w:color w:val="auto"/>
                      <w:sz w:val="24"/>
                      <w:szCs w:val="24"/>
                      <w:highlight w:val="none"/>
                      <w:lang w:val="en-US" w:eastAsia="zh-CN"/>
                    </w:rPr>
                  </w:pPr>
                  <w:r>
                    <w:rPr>
                      <w:rFonts w:hint="default" w:cs="Times New Roman" w:asciiTheme="minorEastAsia" w:hAnsiTheme="minorEastAsia" w:eastAsiaTheme="minorEastAsia"/>
                      <w:b w:val="0"/>
                      <w:bCs w:val="0"/>
                      <w:color w:val="auto"/>
                      <w:sz w:val="24"/>
                      <w:szCs w:val="24"/>
                      <w:highlight w:val="none"/>
                      <w:lang w:val="en-US" w:eastAsia="zh-CN"/>
                    </w:rPr>
                    <w:t>货物到达现场并经甲方验收合格双方签字入库，以实际入库数量作为结算依据，乙方每月提供全额正规发票，甲方按乙方开出的发票金额，通过银行转账到乙方账户。</w:t>
                  </w:r>
                </w:p>
              </w:tc>
            </w:tr>
          </w:tbl>
          <w:p w14:paraId="15954164">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19" w:right="0" w:hanging="19"/>
              <w:textAlignment w:val="auto"/>
              <w:rPr>
                <w:rFonts w:hint="default" w:cs="Times New Roman" w:asciiTheme="minorEastAsia" w:hAnsiTheme="minorEastAsia" w:eastAsiaTheme="minorEastAsia"/>
                <w:color w:val="auto"/>
                <w:sz w:val="24"/>
                <w:szCs w:val="24"/>
                <w:highlight w:val="none"/>
                <w:lang w:val="en-US" w:eastAsia="zh-CN"/>
              </w:rPr>
            </w:pPr>
          </w:p>
        </w:tc>
      </w:tr>
      <w:tr w14:paraId="5A66E450">
        <w:tblPrEx>
          <w:tblCellMar>
            <w:top w:w="0" w:type="dxa"/>
            <w:left w:w="108" w:type="dxa"/>
            <w:bottom w:w="0" w:type="dxa"/>
            <w:right w:w="108" w:type="dxa"/>
          </w:tblCellMar>
        </w:tblPrEx>
        <w:trPr>
          <w:trHeight w:val="70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603F579">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eastAsia" w:asciiTheme="minorEastAsia" w:hAnsiTheme="minorEastAsia" w:eastAsiaTheme="minorEastAsia"/>
                <w:color w:val="auto"/>
                <w:kern w:val="0"/>
                <w:sz w:val="24"/>
                <w:szCs w:val="24"/>
                <w:highlight w:val="none"/>
                <w:lang w:eastAsia="zh-CN"/>
              </w:rPr>
            </w:pPr>
          </w:p>
        </w:tc>
        <w:tc>
          <w:tcPr>
            <w:tcW w:w="1911" w:type="dxa"/>
            <w:tcBorders>
              <w:top w:val="single" w:color="000000" w:sz="4" w:space="0"/>
              <w:left w:val="nil"/>
              <w:bottom w:val="single" w:color="000000" w:sz="4" w:space="0"/>
              <w:right w:val="single" w:color="auto" w:sz="4" w:space="0"/>
            </w:tcBorders>
            <w:vAlign w:val="center"/>
          </w:tcPr>
          <w:p w14:paraId="655B3AB6">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投标有效期</w:t>
            </w:r>
          </w:p>
        </w:tc>
        <w:tc>
          <w:tcPr>
            <w:tcW w:w="6993" w:type="dxa"/>
            <w:tcBorders>
              <w:top w:val="single" w:color="000000" w:sz="4" w:space="0"/>
              <w:left w:val="single" w:color="auto" w:sz="4" w:space="0"/>
              <w:bottom w:val="single" w:color="000000" w:sz="4" w:space="0"/>
              <w:right w:val="single" w:color="000000" w:sz="4" w:space="0"/>
            </w:tcBorders>
            <w:vAlign w:val="center"/>
          </w:tcPr>
          <w:p w14:paraId="7388E403">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投标文件递交截止时间起算，投标有效期为90日历天。</w:t>
            </w:r>
          </w:p>
        </w:tc>
      </w:tr>
      <w:tr w14:paraId="6B7CF48C">
        <w:tblPrEx>
          <w:tblCellMar>
            <w:top w:w="0" w:type="dxa"/>
            <w:left w:w="108" w:type="dxa"/>
            <w:bottom w:w="0" w:type="dxa"/>
            <w:right w:w="108" w:type="dxa"/>
          </w:tblCellMar>
        </w:tblPrEx>
        <w:trPr>
          <w:trHeight w:val="264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B2907C9">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kern w:val="0"/>
                <w:sz w:val="24"/>
                <w:szCs w:val="24"/>
                <w:highlight w:val="none"/>
                <w:lang w:val="en-US" w:eastAsia="zh-CN"/>
              </w:rPr>
            </w:pPr>
          </w:p>
        </w:tc>
        <w:tc>
          <w:tcPr>
            <w:tcW w:w="1911" w:type="dxa"/>
            <w:tcBorders>
              <w:top w:val="single" w:color="000000" w:sz="4" w:space="0"/>
              <w:left w:val="single" w:color="000000" w:sz="4" w:space="0"/>
              <w:bottom w:val="single" w:color="000000" w:sz="4" w:space="0"/>
              <w:right w:val="single" w:color="000000" w:sz="4" w:space="0"/>
            </w:tcBorders>
            <w:vAlign w:val="center"/>
          </w:tcPr>
          <w:p w14:paraId="58D90C1B">
            <w:pPr>
              <w:keepNext w:val="0"/>
              <w:keepLines w:val="0"/>
              <w:pageBreakBefore w:val="0"/>
              <w:widowControl w:val="0"/>
              <w:suppressLineNumbers w:val="0"/>
              <w:tabs>
                <w:tab w:val="center" w:pos="4153"/>
                <w:tab w:val="right" w:pos="8306"/>
              </w:tabs>
              <w:kinsoku/>
              <w:wordWrap w:val="0"/>
              <w:topLinePunct w:val="0"/>
              <w:autoSpaceDE/>
              <w:autoSpaceDN/>
              <w:bidi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资格证明文件</w:t>
            </w:r>
          </w:p>
          <w:p w14:paraId="2A0B437D">
            <w:pPr>
              <w:keepNext w:val="0"/>
              <w:keepLines w:val="0"/>
              <w:pageBreakBefore w:val="0"/>
              <w:widowControl w:val="0"/>
              <w:suppressLineNumbers w:val="0"/>
              <w:tabs>
                <w:tab w:val="center" w:pos="4153"/>
                <w:tab w:val="right" w:pos="8306"/>
              </w:tabs>
              <w:kinsoku/>
              <w:wordWrap w:val="0"/>
              <w:topLinePunct w:val="0"/>
              <w:autoSpaceDE/>
              <w:autoSpaceDN/>
              <w:bidi w:val="0"/>
              <w:snapToGrid w:val="0"/>
              <w:spacing w:before="0" w:beforeAutospacing="0" w:after="0" w:afterAutospacing="0" w:line="460" w:lineRule="exact"/>
              <w:ind w:left="0" w:right="0"/>
              <w:jc w:val="center"/>
              <w:textAlignment w:val="auto"/>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（所有包通用）</w:t>
            </w:r>
          </w:p>
        </w:tc>
        <w:tc>
          <w:tcPr>
            <w:tcW w:w="6993" w:type="dxa"/>
            <w:tcBorders>
              <w:top w:val="single" w:color="000000" w:sz="4" w:space="0"/>
              <w:left w:val="single" w:color="000000" w:sz="4" w:space="0"/>
              <w:bottom w:val="single" w:color="000000" w:sz="4" w:space="0"/>
              <w:right w:val="single" w:color="000000" w:sz="4" w:space="0"/>
            </w:tcBorders>
            <w:vAlign w:val="center"/>
          </w:tcPr>
          <w:p w14:paraId="770E3CB7">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3570423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法定代表人授权书及被授权人身份证明资料（法定代表人直接投标时需提交其身份证明资料）（非法人投标供应商参照执行）。</w:t>
            </w:r>
          </w:p>
          <w:p w14:paraId="5136092B">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49ED2519">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55E0537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7F387BA">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79620D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B7F5B6C">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460" w:lineRule="exact"/>
              <w:ind w:left="0" w:right="0" w:firstLine="240" w:firstLineChars="1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8.本项目不接受联合体投标。</w:t>
            </w:r>
          </w:p>
          <w:p w14:paraId="54A8C311">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460" w:lineRule="exact"/>
              <w:ind w:left="0" w:right="0" w:firstLine="241" w:firstLineChars="100"/>
              <w:textAlignment w:val="auto"/>
              <w:rPr>
                <w:rFonts w:hint="default"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注：上述</w:t>
            </w:r>
            <w:r>
              <w:rPr>
                <w:rFonts w:hint="eastAsia" w:cs="宋体" w:asciiTheme="minorEastAsia" w:hAnsiTheme="minorEastAsia" w:eastAsiaTheme="minorEastAsia"/>
                <w:b/>
                <w:bCs/>
                <w:color w:val="auto"/>
                <w:kern w:val="0"/>
                <w:sz w:val="24"/>
                <w:szCs w:val="24"/>
                <w:highlight w:val="none"/>
                <w:lang w:val="en-US" w:eastAsia="zh-CN"/>
              </w:rPr>
              <w:t>1-8项</w:t>
            </w:r>
            <w:r>
              <w:rPr>
                <w:rFonts w:hint="eastAsia" w:cs="宋体" w:asciiTheme="minorEastAsia" w:hAnsiTheme="minorEastAsia" w:eastAsiaTheme="minorEastAsia"/>
                <w:b/>
                <w:bCs/>
                <w:color w:val="auto"/>
                <w:kern w:val="0"/>
                <w:sz w:val="24"/>
                <w:szCs w:val="24"/>
                <w:highlight w:val="none"/>
              </w:rPr>
              <w:t>为必备资格证明文件，任何一项不符合要求按无效文件处理。参加</w:t>
            </w:r>
            <w:r>
              <w:rPr>
                <w:rFonts w:hint="eastAsia" w:cs="宋体" w:asciiTheme="minorEastAsia" w:hAnsiTheme="minorEastAsia" w:eastAsiaTheme="minorEastAsia"/>
                <w:b/>
                <w:bCs/>
                <w:color w:val="auto"/>
                <w:kern w:val="0"/>
                <w:sz w:val="24"/>
                <w:szCs w:val="24"/>
                <w:highlight w:val="none"/>
                <w:lang w:val="en-US" w:eastAsia="zh-CN"/>
              </w:rPr>
              <w:t>谈判</w:t>
            </w:r>
            <w:r>
              <w:rPr>
                <w:rFonts w:hint="eastAsia" w:cs="宋体" w:asciiTheme="minorEastAsia" w:hAnsiTheme="minorEastAsia" w:eastAsiaTheme="minorEastAsia"/>
                <w:b/>
                <w:bCs/>
                <w:color w:val="auto"/>
                <w:kern w:val="0"/>
                <w:sz w:val="24"/>
                <w:szCs w:val="24"/>
                <w:highlight w:val="none"/>
              </w:rPr>
              <w:t>会议时须提供上述资格证明文件（密封）单独递交进行审查，否则按</w:t>
            </w:r>
            <w:r>
              <w:rPr>
                <w:rFonts w:hint="eastAsia" w:cs="宋体" w:asciiTheme="minorEastAsia" w:hAnsiTheme="minorEastAsia" w:eastAsiaTheme="minorEastAsia"/>
                <w:b/>
                <w:bCs/>
                <w:color w:val="auto"/>
                <w:kern w:val="0"/>
                <w:sz w:val="24"/>
                <w:szCs w:val="24"/>
                <w:highlight w:val="none"/>
                <w:lang w:val="en-US" w:eastAsia="zh-CN"/>
              </w:rPr>
              <w:t>无效文件</w:t>
            </w:r>
            <w:r>
              <w:rPr>
                <w:rFonts w:hint="eastAsia" w:cs="宋体" w:asciiTheme="minorEastAsia" w:hAnsiTheme="minorEastAsia" w:eastAsiaTheme="minorEastAsia"/>
                <w:b/>
                <w:bCs/>
                <w:color w:val="auto"/>
                <w:kern w:val="0"/>
                <w:sz w:val="24"/>
                <w:szCs w:val="24"/>
                <w:highlight w:val="none"/>
              </w:rPr>
              <w:t>处理。投标人须保证资格证明文件的真实、合法、有效，因</w:t>
            </w:r>
            <w:r>
              <w:rPr>
                <w:rFonts w:hint="eastAsia" w:cs="宋体" w:asciiTheme="minorEastAsia" w:hAnsiTheme="minorEastAsia" w:eastAsiaTheme="minorEastAsia"/>
                <w:b/>
                <w:bCs/>
                <w:color w:val="auto"/>
                <w:kern w:val="0"/>
                <w:sz w:val="24"/>
                <w:szCs w:val="24"/>
                <w:highlight w:val="none"/>
                <w:lang w:val="en-US" w:eastAsia="zh-CN"/>
              </w:rPr>
              <w:t>资格</w:t>
            </w:r>
            <w:r>
              <w:rPr>
                <w:rFonts w:hint="eastAsia" w:cs="宋体" w:asciiTheme="minorEastAsia" w:hAnsiTheme="minorEastAsia" w:eastAsiaTheme="minorEastAsia"/>
                <w:b/>
                <w:bCs/>
                <w:color w:val="auto"/>
                <w:kern w:val="0"/>
                <w:sz w:val="24"/>
                <w:szCs w:val="24"/>
                <w:highlight w:val="none"/>
              </w:rPr>
              <w:t>产生的一切纠纷由投标人承担法律责任。</w:t>
            </w:r>
          </w:p>
        </w:tc>
      </w:tr>
      <w:tr w14:paraId="007F4DEE">
        <w:tblPrEx>
          <w:tblCellMar>
            <w:top w:w="0" w:type="dxa"/>
            <w:left w:w="108" w:type="dxa"/>
            <w:bottom w:w="0" w:type="dxa"/>
            <w:right w:w="108" w:type="dxa"/>
          </w:tblCellMar>
        </w:tblPrEx>
        <w:trPr>
          <w:trHeight w:val="893"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70F813FB">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kern w:val="0"/>
                <w:sz w:val="24"/>
                <w:szCs w:val="24"/>
                <w:highlight w:val="none"/>
                <w:lang w:val="en-US" w:eastAsia="zh-CN"/>
              </w:rPr>
            </w:pPr>
          </w:p>
        </w:tc>
        <w:tc>
          <w:tcPr>
            <w:tcW w:w="1911" w:type="dxa"/>
            <w:tcBorders>
              <w:top w:val="single" w:color="000000" w:sz="4" w:space="0"/>
              <w:left w:val="nil"/>
              <w:bottom w:val="single" w:color="auto" w:sz="4" w:space="0"/>
              <w:right w:val="single" w:color="auto" w:sz="4" w:space="0"/>
            </w:tcBorders>
            <w:vAlign w:val="center"/>
          </w:tcPr>
          <w:p w14:paraId="3C9A2C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heme="minorEastAsia" w:hAnsiTheme="minorEastAsia" w:eastAsiaTheme="minorEastAsia"/>
                <w:color w:val="auto"/>
                <w:kern w:val="0"/>
                <w:sz w:val="24"/>
                <w:szCs w:val="24"/>
                <w:highlight w:val="none"/>
              </w:rPr>
            </w:pPr>
            <w:r>
              <w:rPr>
                <w:rFonts w:hint="eastAsia" w:ascii="宋体" w:hAnsi="宋体" w:eastAsia="宋体" w:cs="宋体"/>
                <w:color w:val="auto"/>
                <w:sz w:val="24"/>
                <w:szCs w:val="24"/>
                <w:highlight w:val="none"/>
              </w:rPr>
              <w:t>是否接受联合体投标</w:t>
            </w:r>
          </w:p>
        </w:tc>
        <w:tc>
          <w:tcPr>
            <w:tcW w:w="6993" w:type="dxa"/>
            <w:tcBorders>
              <w:top w:val="single" w:color="000000" w:sz="4" w:space="0"/>
              <w:left w:val="single" w:color="auto" w:sz="4" w:space="0"/>
              <w:bottom w:val="single" w:color="auto" w:sz="4" w:space="0"/>
              <w:right w:val="single" w:color="000000" w:sz="4" w:space="0"/>
            </w:tcBorders>
            <w:vAlign w:val="center"/>
          </w:tcPr>
          <w:p w14:paraId="7EE852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不接受联合体</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w:t>
            </w:r>
          </w:p>
        </w:tc>
      </w:tr>
      <w:tr w14:paraId="14677118">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3301AE4E">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kern w:val="0"/>
                <w:sz w:val="24"/>
                <w:szCs w:val="24"/>
                <w:highlight w:val="none"/>
                <w:lang w:val="en-US" w:eastAsia="zh-CN"/>
              </w:rPr>
            </w:pPr>
          </w:p>
        </w:tc>
        <w:tc>
          <w:tcPr>
            <w:tcW w:w="1911" w:type="dxa"/>
            <w:tcBorders>
              <w:top w:val="single" w:color="auto" w:sz="4" w:space="0"/>
              <w:left w:val="nil"/>
              <w:bottom w:val="single" w:color="auto" w:sz="4" w:space="0"/>
              <w:right w:val="single" w:color="auto" w:sz="4" w:space="0"/>
            </w:tcBorders>
            <w:vAlign w:val="center"/>
          </w:tcPr>
          <w:p w14:paraId="7C95E9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heme="minorEastAsia" w:hAnsiTheme="minorEastAsia" w:eastAsiaTheme="minorEastAsia"/>
                <w:color w:val="auto"/>
                <w:kern w:val="0"/>
                <w:sz w:val="24"/>
                <w:szCs w:val="24"/>
                <w:highlight w:val="none"/>
              </w:rPr>
            </w:pPr>
            <w:r>
              <w:rPr>
                <w:rFonts w:hint="eastAsia" w:ascii="宋体" w:hAnsi="宋体" w:eastAsia="宋体" w:cs="宋体"/>
                <w:color w:val="auto"/>
                <w:sz w:val="24"/>
                <w:szCs w:val="24"/>
                <w:highlight w:val="none"/>
              </w:rPr>
              <w:t>现场踏勘</w:t>
            </w:r>
          </w:p>
        </w:tc>
        <w:tc>
          <w:tcPr>
            <w:tcW w:w="6993" w:type="dxa"/>
            <w:tcBorders>
              <w:top w:val="single" w:color="auto" w:sz="4" w:space="0"/>
              <w:left w:val="single" w:color="auto" w:sz="4" w:space="0"/>
              <w:bottom w:val="single" w:color="auto" w:sz="4" w:space="0"/>
              <w:right w:val="single" w:color="000000" w:sz="4" w:space="0"/>
            </w:tcBorders>
            <w:vAlign w:val="center"/>
          </w:tcPr>
          <w:p w14:paraId="312D9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lang w:val="en-US" w:eastAsia="zh-CN"/>
              </w:rPr>
              <w:t>不组织</w:t>
            </w:r>
            <w:r>
              <w:rPr>
                <w:rFonts w:hint="eastAsia" w:ascii="宋体" w:hAnsi="宋体" w:eastAsia="宋体" w:cs="宋体"/>
                <w:color w:val="auto"/>
                <w:sz w:val="24"/>
                <w:szCs w:val="24"/>
                <w:highlight w:val="none"/>
              </w:rPr>
              <w:t>现场踏勘。</w:t>
            </w:r>
          </w:p>
        </w:tc>
      </w:tr>
      <w:tr w14:paraId="20062D87">
        <w:tblPrEx>
          <w:tblCellMar>
            <w:top w:w="0" w:type="dxa"/>
            <w:left w:w="108" w:type="dxa"/>
            <w:bottom w:w="0" w:type="dxa"/>
            <w:right w:w="108" w:type="dxa"/>
          </w:tblCellMar>
        </w:tblPrEx>
        <w:trPr>
          <w:trHeight w:val="5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A8F42EF">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kern w:val="0"/>
                <w:sz w:val="24"/>
                <w:szCs w:val="24"/>
                <w:highlight w:val="none"/>
                <w:lang w:val="en-US" w:eastAsia="zh-CN"/>
              </w:rPr>
            </w:pPr>
          </w:p>
        </w:tc>
        <w:tc>
          <w:tcPr>
            <w:tcW w:w="1911" w:type="dxa"/>
            <w:tcBorders>
              <w:top w:val="single" w:color="000000" w:sz="4" w:space="0"/>
              <w:left w:val="nil"/>
              <w:bottom w:val="single" w:color="000000" w:sz="4" w:space="0"/>
              <w:right w:val="single" w:color="auto" w:sz="4" w:space="0"/>
            </w:tcBorders>
            <w:vAlign w:val="center"/>
          </w:tcPr>
          <w:p w14:paraId="1C4FF455">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kern w:val="0"/>
                <w:sz w:val="24"/>
                <w:szCs w:val="24"/>
                <w:highlight w:val="none"/>
              </w:rPr>
            </w:pPr>
            <w:r>
              <w:rPr>
                <w:rFonts w:hint="default" w:asciiTheme="minorEastAsia" w:hAnsiTheme="minorEastAsia" w:eastAsiaTheme="minorEastAsia"/>
                <w:color w:val="auto"/>
                <w:kern w:val="0"/>
                <w:sz w:val="24"/>
                <w:szCs w:val="24"/>
                <w:highlight w:val="none"/>
              </w:rPr>
              <w:t>采购方式</w:t>
            </w:r>
          </w:p>
        </w:tc>
        <w:tc>
          <w:tcPr>
            <w:tcW w:w="6993" w:type="dxa"/>
            <w:tcBorders>
              <w:top w:val="single" w:color="000000" w:sz="4" w:space="0"/>
              <w:left w:val="single" w:color="auto" w:sz="4" w:space="0"/>
              <w:bottom w:val="single" w:color="000000" w:sz="4" w:space="0"/>
              <w:right w:val="single" w:color="000000" w:sz="4" w:space="0"/>
            </w:tcBorders>
            <w:vAlign w:val="center"/>
          </w:tcPr>
          <w:p w14:paraId="6B173CA2">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sz w:val="24"/>
                <w:szCs w:val="24"/>
                <w:highlight w:val="none"/>
              </w:rPr>
              <w:t>竞争性</w:t>
            </w:r>
            <w:r>
              <w:rPr>
                <w:rFonts w:hint="default" w:asciiTheme="minorEastAsia" w:hAnsiTheme="minorEastAsia" w:eastAsiaTheme="minorEastAsia"/>
                <w:color w:val="auto"/>
                <w:sz w:val="24"/>
                <w:szCs w:val="24"/>
                <w:highlight w:val="none"/>
              </w:rPr>
              <w:t>谈判</w:t>
            </w:r>
          </w:p>
        </w:tc>
      </w:tr>
      <w:tr w14:paraId="1BA29982">
        <w:tblPrEx>
          <w:tblCellMar>
            <w:top w:w="0" w:type="dxa"/>
            <w:left w:w="108" w:type="dxa"/>
            <w:bottom w:w="0" w:type="dxa"/>
            <w:right w:w="108" w:type="dxa"/>
          </w:tblCellMar>
        </w:tblPrEx>
        <w:trPr>
          <w:trHeight w:val="62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0B86522">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sz w:val="24"/>
                <w:szCs w:val="24"/>
                <w:highlight w:val="none"/>
              </w:rPr>
            </w:pPr>
          </w:p>
        </w:tc>
        <w:tc>
          <w:tcPr>
            <w:tcW w:w="1911" w:type="dxa"/>
            <w:tcBorders>
              <w:top w:val="single" w:color="000000" w:sz="4" w:space="0"/>
              <w:left w:val="nil"/>
              <w:bottom w:val="single" w:color="000000" w:sz="4" w:space="0"/>
              <w:right w:val="single" w:color="auto" w:sz="4" w:space="0"/>
            </w:tcBorders>
            <w:vAlign w:val="center"/>
          </w:tcPr>
          <w:p w14:paraId="133CD9BE">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评标办法</w:t>
            </w:r>
          </w:p>
        </w:tc>
        <w:tc>
          <w:tcPr>
            <w:tcW w:w="6993" w:type="dxa"/>
            <w:tcBorders>
              <w:top w:val="single" w:color="000000" w:sz="4" w:space="0"/>
              <w:left w:val="single" w:color="auto" w:sz="4" w:space="0"/>
              <w:bottom w:val="single" w:color="000000" w:sz="4" w:space="0"/>
              <w:right w:val="single" w:color="000000" w:sz="4" w:space="0"/>
            </w:tcBorders>
            <w:vAlign w:val="center"/>
          </w:tcPr>
          <w:p w14:paraId="608A7373">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比照</w:t>
            </w:r>
            <w:r>
              <w:rPr>
                <w:rFonts w:hint="eastAsia" w:asciiTheme="minorEastAsia" w:hAnsiTheme="minorEastAsia" w:eastAsiaTheme="minorEastAsia"/>
                <w:color w:val="auto"/>
                <w:sz w:val="24"/>
                <w:szCs w:val="24"/>
                <w:highlight w:val="none"/>
              </w:rPr>
              <w:t>最低评标价法</w:t>
            </w:r>
          </w:p>
        </w:tc>
      </w:tr>
      <w:tr w14:paraId="14CDA4FB">
        <w:tblPrEx>
          <w:tblCellMar>
            <w:top w:w="0" w:type="dxa"/>
            <w:left w:w="108" w:type="dxa"/>
            <w:bottom w:w="0" w:type="dxa"/>
            <w:right w:w="108" w:type="dxa"/>
          </w:tblCellMar>
        </w:tblPrEx>
        <w:trPr>
          <w:trHeight w:val="37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7B88B2B9">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kern w:val="0"/>
                <w:sz w:val="24"/>
                <w:szCs w:val="24"/>
                <w:highlight w:val="none"/>
              </w:rPr>
            </w:pPr>
          </w:p>
        </w:tc>
        <w:tc>
          <w:tcPr>
            <w:tcW w:w="1911" w:type="dxa"/>
            <w:tcBorders>
              <w:top w:val="single" w:color="000000" w:sz="4" w:space="0"/>
              <w:left w:val="nil"/>
              <w:bottom w:val="single" w:color="000000" w:sz="4" w:space="0"/>
              <w:right w:val="single" w:color="auto" w:sz="4" w:space="0"/>
            </w:tcBorders>
            <w:vAlign w:val="center"/>
          </w:tcPr>
          <w:p w14:paraId="2707E976">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特殊情况处理</w:t>
            </w:r>
          </w:p>
        </w:tc>
        <w:tc>
          <w:tcPr>
            <w:tcW w:w="6993" w:type="dxa"/>
            <w:tcBorders>
              <w:top w:val="single" w:color="000000" w:sz="4" w:space="0"/>
              <w:left w:val="single" w:color="auto" w:sz="4" w:space="0"/>
              <w:bottom w:val="single" w:color="000000" w:sz="4" w:space="0"/>
              <w:right w:val="single" w:color="000000" w:sz="4" w:space="0"/>
            </w:tcBorders>
            <w:vAlign w:val="center"/>
          </w:tcPr>
          <w:p w14:paraId="4BF07D0E">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谈判失败后，除采购任务取消外，将重新组织采购。</w:t>
            </w:r>
          </w:p>
        </w:tc>
      </w:tr>
      <w:tr w14:paraId="4FAD5ABF">
        <w:tblPrEx>
          <w:tblCellMar>
            <w:top w:w="0" w:type="dxa"/>
            <w:left w:w="108" w:type="dxa"/>
            <w:bottom w:w="0" w:type="dxa"/>
            <w:right w:w="108" w:type="dxa"/>
          </w:tblCellMar>
        </w:tblPrEx>
        <w:trPr>
          <w:trHeight w:val="95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32F7C42">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sz w:val="24"/>
                <w:szCs w:val="24"/>
                <w:highlight w:val="none"/>
              </w:rPr>
            </w:pPr>
          </w:p>
        </w:tc>
        <w:tc>
          <w:tcPr>
            <w:tcW w:w="1911" w:type="dxa"/>
            <w:tcBorders>
              <w:top w:val="single" w:color="000000" w:sz="4" w:space="0"/>
              <w:left w:val="single" w:color="000000" w:sz="4" w:space="0"/>
              <w:bottom w:val="single" w:color="000000" w:sz="4" w:space="0"/>
              <w:right w:val="single" w:color="000000" w:sz="4" w:space="0"/>
            </w:tcBorders>
            <w:vAlign w:val="center"/>
          </w:tcPr>
          <w:p w14:paraId="7098D667">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开标</w:t>
            </w:r>
            <w:r>
              <w:rPr>
                <w:rFonts w:hint="default"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rPr>
              <w:t>、</w:t>
            </w:r>
          </w:p>
          <w:p w14:paraId="7FA2858D">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地点</w:t>
            </w:r>
          </w:p>
        </w:tc>
        <w:tc>
          <w:tcPr>
            <w:tcW w:w="6993" w:type="dxa"/>
            <w:tcBorders>
              <w:top w:val="single" w:color="000000" w:sz="4" w:space="0"/>
              <w:left w:val="single" w:color="auto" w:sz="4" w:space="0"/>
              <w:bottom w:val="single" w:color="000000" w:sz="4" w:space="0"/>
              <w:right w:val="single" w:color="000000" w:sz="4" w:space="0"/>
            </w:tcBorders>
            <w:vAlign w:val="center"/>
          </w:tcPr>
          <w:p w14:paraId="18FC6353">
            <w:pPr>
              <w:keepNext w:val="0"/>
              <w:keepLines w:val="0"/>
              <w:pageBreakBefore w:val="0"/>
              <w:widowControl w:val="0"/>
              <w:suppressLineNumbers w:val="0"/>
              <w:kinsoku/>
              <w:wordWrap w:val="0"/>
              <w:topLinePunct w:val="0"/>
              <w:autoSpaceDE/>
              <w:autoSpaceDN/>
              <w:bidi w:val="0"/>
              <w:spacing w:before="0" w:beforeAutospacing="0" w:after="0" w:afterAutospacing="0" w:line="480" w:lineRule="exact"/>
              <w:ind w:left="0" w:right="0"/>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开标时间：</w:t>
            </w:r>
            <w:r>
              <w:rPr>
                <w:rFonts w:hint="eastAsia" w:ascii="宋体" w:hAnsi="宋体" w:eastAsia="宋体" w:cs="宋体"/>
                <w:i w:val="0"/>
                <w:iCs w:val="0"/>
                <w:caps w:val="0"/>
                <w:color w:val="333333"/>
                <w:spacing w:val="0"/>
                <w:sz w:val="24"/>
                <w:szCs w:val="24"/>
                <w:shd w:val="clear" w:fill="FFFFFF"/>
              </w:rPr>
              <w:t>2025年12月03日15时</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分00秒</w:t>
            </w:r>
            <w:r>
              <w:rPr>
                <w:rFonts w:hint="eastAsia" w:ascii="宋体" w:hAnsi="宋体" w:eastAsia="宋体" w:cs="宋体"/>
                <w:color w:val="auto"/>
                <w:kern w:val="0"/>
                <w:sz w:val="24"/>
                <w:szCs w:val="24"/>
                <w:highlight w:val="none"/>
              </w:rPr>
              <w:t>（北京时间）</w:t>
            </w:r>
          </w:p>
          <w:p w14:paraId="68C6217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480" w:lineRule="exact"/>
              <w:ind w:left="0" w:right="0"/>
              <w:textAlignment w:val="auto"/>
              <w:outlineLvl w:val="9"/>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开标</w:t>
            </w:r>
            <w:r>
              <w:rPr>
                <w:rFonts w:hint="eastAsia" w:cs="Times New Roman" w:asciiTheme="minorEastAsia" w:hAnsiTheme="minorEastAsia" w:eastAsiaTheme="minorEastAsia"/>
                <w:color w:val="auto"/>
                <w:sz w:val="24"/>
                <w:szCs w:val="24"/>
                <w:highlight w:val="none"/>
              </w:rPr>
              <w:t>地点：</w:t>
            </w:r>
            <w:r>
              <w:rPr>
                <w:rFonts w:hint="eastAsia" w:asciiTheme="minorEastAsia" w:hAnsiTheme="minorEastAsia" w:eastAsiaTheme="minorEastAsia"/>
                <w:color w:val="auto"/>
                <w:sz w:val="24"/>
                <w:szCs w:val="24"/>
                <w:highlight w:val="none"/>
                <w:lang w:eastAsia="zh-CN"/>
              </w:rPr>
              <w:t>安康市高新区高新观澜8栋二单元801室</w:t>
            </w:r>
          </w:p>
          <w:p w14:paraId="6569118A">
            <w:pPr>
              <w:keepNext w:val="0"/>
              <w:keepLines w:val="0"/>
              <w:pageBreakBefore w:val="0"/>
              <w:widowControl w:val="0"/>
              <w:suppressLineNumbers w:val="0"/>
              <w:kinsoku/>
              <w:wordWrap w:val="0"/>
              <w:overflowPunct w:val="0"/>
              <w:topLinePunct w:val="0"/>
              <w:autoSpaceDE/>
              <w:autoSpaceDN/>
              <w:bidi w:val="0"/>
              <w:adjustRightInd w:val="0"/>
              <w:snapToGrid w:val="0"/>
              <w:spacing w:before="0" w:beforeAutospacing="0" w:after="0" w:afterAutospacing="0" w:line="460" w:lineRule="exact"/>
              <w:ind w:left="0" w:right="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（如有变动，另行通知）。</w:t>
            </w:r>
            <w:r>
              <w:rPr>
                <w:rFonts w:hint="eastAsia" w:asciiTheme="minorEastAsia" w:hAnsiTheme="minorEastAsia" w:eastAsiaTheme="minorEastAsia"/>
                <w:color w:val="auto"/>
                <w:sz w:val="24"/>
                <w:szCs w:val="24"/>
                <w:highlight w:val="none"/>
                <w:lang w:val="en-US" w:eastAsia="zh-CN"/>
              </w:rPr>
              <w:t xml:space="preserve">  </w:t>
            </w:r>
          </w:p>
        </w:tc>
      </w:tr>
      <w:tr w14:paraId="641C6A4A">
        <w:tblPrEx>
          <w:tblCellMar>
            <w:top w:w="0" w:type="dxa"/>
            <w:left w:w="108" w:type="dxa"/>
            <w:bottom w:w="0" w:type="dxa"/>
            <w:right w:w="108" w:type="dxa"/>
          </w:tblCellMar>
        </w:tblPrEx>
        <w:trPr>
          <w:trHeight w:val="88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6425A36">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sz w:val="24"/>
                <w:szCs w:val="24"/>
                <w:highlight w:val="none"/>
              </w:rPr>
            </w:pPr>
          </w:p>
        </w:tc>
        <w:tc>
          <w:tcPr>
            <w:tcW w:w="1911" w:type="dxa"/>
            <w:tcBorders>
              <w:top w:val="single" w:color="000000" w:sz="4" w:space="0"/>
              <w:left w:val="single" w:color="000000" w:sz="4" w:space="0"/>
              <w:bottom w:val="single" w:color="000000" w:sz="4" w:space="0"/>
              <w:right w:val="single" w:color="000000" w:sz="4" w:space="0"/>
            </w:tcBorders>
            <w:vAlign w:val="center"/>
          </w:tcPr>
          <w:p w14:paraId="02AF409B">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响应</w:t>
            </w:r>
            <w:r>
              <w:rPr>
                <w:rFonts w:hint="default" w:asciiTheme="minorEastAsia" w:hAnsiTheme="minorEastAsia" w:eastAsiaTheme="minorEastAsia"/>
                <w:color w:val="auto"/>
                <w:sz w:val="24"/>
                <w:szCs w:val="24"/>
                <w:highlight w:val="none"/>
              </w:rPr>
              <w:t>文件</w:t>
            </w:r>
          </w:p>
          <w:p w14:paraId="61895DC9">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递交截止时间</w:t>
            </w:r>
          </w:p>
        </w:tc>
        <w:tc>
          <w:tcPr>
            <w:tcW w:w="6993" w:type="dxa"/>
            <w:tcBorders>
              <w:top w:val="single" w:color="000000" w:sz="4" w:space="0"/>
              <w:left w:val="single" w:color="auto" w:sz="4" w:space="0"/>
              <w:bottom w:val="single" w:color="000000" w:sz="4" w:space="0"/>
              <w:right w:val="single" w:color="000000" w:sz="4" w:space="0"/>
            </w:tcBorders>
            <w:vAlign w:val="center"/>
          </w:tcPr>
          <w:p w14:paraId="1581A9E0">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textAlignment w:val="auto"/>
              <w:rPr>
                <w:rFonts w:hint="default" w:asciiTheme="minorEastAsia" w:hAnsiTheme="minorEastAsia" w:eastAsiaTheme="minorEastAsia"/>
                <w:color w:val="auto"/>
                <w:sz w:val="24"/>
                <w:szCs w:val="24"/>
                <w:highlight w:val="none"/>
                <w:lang w:val="en-US"/>
              </w:rPr>
            </w:pPr>
            <w:r>
              <w:rPr>
                <w:rFonts w:hint="eastAsia" w:ascii="宋体" w:hAnsi="宋体" w:eastAsia="宋体" w:cs="宋体"/>
                <w:i w:val="0"/>
                <w:iCs w:val="0"/>
                <w:caps w:val="0"/>
                <w:color w:val="333333"/>
                <w:spacing w:val="0"/>
                <w:sz w:val="24"/>
                <w:szCs w:val="24"/>
                <w:shd w:val="clear" w:fill="FFFFFF"/>
              </w:rPr>
              <w:t>2025年12月03日15时</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分00秒</w:t>
            </w:r>
            <w:r>
              <w:rPr>
                <w:rFonts w:hint="eastAsia" w:ascii="宋体" w:hAnsi="宋体" w:eastAsia="宋体" w:cs="宋体"/>
                <w:color w:val="auto"/>
                <w:kern w:val="0"/>
                <w:sz w:val="24"/>
                <w:szCs w:val="24"/>
                <w:highlight w:val="none"/>
              </w:rPr>
              <w:t>（北京时间）</w:t>
            </w:r>
            <w:r>
              <w:rPr>
                <w:rFonts w:hint="eastAsia" w:ascii="宋体" w:hAnsi="宋体" w:eastAsia="宋体" w:cs="宋体"/>
                <w:color w:val="auto"/>
                <w:kern w:val="0"/>
                <w:sz w:val="24"/>
                <w:szCs w:val="24"/>
                <w:highlight w:val="none"/>
                <w:lang w:eastAsia="zh-CN"/>
              </w:rPr>
              <w:t>止</w:t>
            </w:r>
            <w:r>
              <w:rPr>
                <w:rFonts w:hint="eastAsia" w:ascii="宋体" w:hAnsi="宋体" w:eastAsia="宋体" w:cs="宋体"/>
                <w:color w:val="auto"/>
                <w:kern w:val="0"/>
                <w:sz w:val="24"/>
                <w:szCs w:val="24"/>
                <w:highlight w:val="none"/>
                <w:lang w:val="en-US" w:eastAsia="zh-CN"/>
              </w:rPr>
              <w:t xml:space="preserve"> </w:t>
            </w:r>
          </w:p>
        </w:tc>
      </w:tr>
      <w:tr w14:paraId="194453A3">
        <w:tblPrEx>
          <w:tblCellMar>
            <w:top w:w="0" w:type="dxa"/>
            <w:left w:w="108" w:type="dxa"/>
            <w:bottom w:w="0" w:type="dxa"/>
            <w:right w:w="108" w:type="dxa"/>
          </w:tblCellMar>
        </w:tblPrEx>
        <w:trPr>
          <w:trHeight w:val="1081"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751C2328">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sz w:val="24"/>
                <w:szCs w:val="24"/>
                <w:highlight w:val="none"/>
              </w:rPr>
            </w:pPr>
          </w:p>
        </w:tc>
        <w:tc>
          <w:tcPr>
            <w:tcW w:w="1911" w:type="dxa"/>
            <w:tcBorders>
              <w:top w:val="single" w:color="000000" w:sz="4" w:space="0"/>
              <w:left w:val="nil"/>
              <w:bottom w:val="single" w:color="000000" w:sz="4" w:space="0"/>
              <w:right w:val="single" w:color="auto" w:sz="4" w:space="0"/>
            </w:tcBorders>
            <w:vAlign w:val="center"/>
          </w:tcPr>
          <w:p w14:paraId="5FBC4E13">
            <w:pPr>
              <w:keepNext w:val="0"/>
              <w:keepLines w:val="0"/>
              <w:pageBreakBefore w:val="0"/>
              <w:widowControl/>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谈判</w:t>
            </w:r>
            <w:r>
              <w:rPr>
                <w:rFonts w:hint="eastAsia" w:asciiTheme="minorEastAsia" w:hAnsiTheme="minorEastAsia" w:eastAsiaTheme="minorEastAsia"/>
                <w:color w:val="auto"/>
                <w:sz w:val="24"/>
                <w:szCs w:val="24"/>
                <w:highlight w:val="none"/>
              </w:rPr>
              <w:t>小组构成</w:t>
            </w:r>
          </w:p>
        </w:tc>
        <w:tc>
          <w:tcPr>
            <w:tcW w:w="6993" w:type="dxa"/>
            <w:tcBorders>
              <w:top w:val="single" w:color="000000" w:sz="4" w:space="0"/>
              <w:left w:val="single" w:color="auto" w:sz="4" w:space="0"/>
              <w:bottom w:val="single" w:color="000000" w:sz="4" w:space="0"/>
              <w:right w:val="single" w:color="000000" w:sz="4" w:space="0"/>
            </w:tcBorders>
            <w:vAlign w:val="center"/>
          </w:tcPr>
          <w:p w14:paraId="213B8EE4">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textAlignment w:val="auto"/>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根据《中华人民共和国政府采购法》</w:t>
            </w:r>
            <w:r>
              <w:rPr>
                <w:rFonts w:hint="eastAsia" w:asciiTheme="minorEastAsia" w:hAnsiTheme="minorEastAsia" w:eastAsiaTheme="minorEastAsia"/>
                <w:color w:val="auto"/>
                <w:sz w:val="24"/>
                <w:szCs w:val="24"/>
                <w:highlight w:val="none"/>
                <w:lang w:val="en-US" w:eastAsia="zh-CN"/>
              </w:rPr>
              <w:t>《政府采购非招标采购方式管理办法</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财政部74号令）</w:t>
            </w:r>
            <w:r>
              <w:rPr>
                <w:rFonts w:hint="eastAsia" w:asciiTheme="minorEastAsia" w:hAnsiTheme="minorEastAsia" w:eastAsiaTheme="minorEastAsia"/>
                <w:color w:val="auto"/>
                <w:sz w:val="24"/>
                <w:szCs w:val="24"/>
                <w:highlight w:val="none"/>
              </w:rPr>
              <w:t>等有关法律规定组建</w:t>
            </w:r>
            <w:r>
              <w:rPr>
                <w:rFonts w:hint="eastAsia" w:asciiTheme="minorEastAsia" w:hAnsiTheme="minorEastAsia" w:eastAsiaTheme="minorEastAsia"/>
                <w:color w:val="auto"/>
                <w:sz w:val="24"/>
                <w:szCs w:val="24"/>
                <w:highlight w:val="none"/>
                <w:lang w:val="en-US" w:eastAsia="zh-CN"/>
              </w:rPr>
              <w:t>谈判</w:t>
            </w:r>
            <w:r>
              <w:rPr>
                <w:rFonts w:hint="eastAsia" w:asciiTheme="minorEastAsia" w:hAnsiTheme="minorEastAsia" w:eastAsiaTheme="minorEastAsia"/>
                <w:color w:val="auto"/>
                <w:sz w:val="24"/>
                <w:szCs w:val="24"/>
                <w:highlight w:val="none"/>
              </w:rPr>
              <w:t>小组。</w:t>
            </w:r>
          </w:p>
        </w:tc>
      </w:tr>
      <w:tr w14:paraId="2DAF73A8">
        <w:tblPrEx>
          <w:tblCellMar>
            <w:top w:w="0" w:type="dxa"/>
            <w:left w:w="108" w:type="dxa"/>
            <w:bottom w:w="0" w:type="dxa"/>
            <w:right w:w="108" w:type="dxa"/>
          </w:tblCellMar>
        </w:tblPrEx>
        <w:trPr>
          <w:trHeight w:val="138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663ECBD">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sz w:val="24"/>
                <w:szCs w:val="24"/>
                <w:highlight w:val="none"/>
              </w:rPr>
            </w:pPr>
          </w:p>
        </w:tc>
        <w:tc>
          <w:tcPr>
            <w:tcW w:w="1911" w:type="dxa"/>
            <w:tcBorders>
              <w:top w:val="single" w:color="000000" w:sz="4" w:space="0"/>
              <w:left w:val="single" w:color="000000" w:sz="4" w:space="0"/>
              <w:bottom w:val="single" w:color="000000" w:sz="4" w:space="0"/>
              <w:right w:val="single" w:color="000000" w:sz="4" w:space="0"/>
            </w:tcBorders>
            <w:vAlign w:val="center"/>
          </w:tcPr>
          <w:p w14:paraId="1D5DE0C6">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jc w:val="center"/>
              <w:textAlignment w:val="auto"/>
              <w:rPr>
                <w:rFonts w:hint="eastAsia" w:cs="Times New Roman" w:asciiTheme="minorEastAsia" w:hAnsiTheme="minorEastAsia" w:eastAsiaTheme="minorEastAsia"/>
                <w:color w:val="auto"/>
                <w:sz w:val="24"/>
                <w:szCs w:val="24"/>
                <w:highlight w:val="none"/>
                <w:lang w:val="en-US" w:eastAsia="zh-CN"/>
              </w:rPr>
            </w:pPr>
            <w:r>
              <w:rPr>
                <w:rFonts w:hint="default" w:cs="Times New Roman" w:asciiTheme="minorEastAsia" w:hAnsiTheme="minorEastAsia" w:eastAsiaTheme="minorEastAsia"/>
                <w:color w:val="auto"/>
                <w:sz w:val="24"/>
                <w:szCs w:val="24"/>
                <w:highlight w:val="none"/>
                <w:lang w:eastAsia="zh-CN"/>
              </w:rPr>
              <w:t>响应</w:t>
            </w:r>
            <w:r>
              <w:rPr>
                <w:rFonts w:hint="eastAsia" w:cs="Times New Roman" w:asciiTheme="minorEastAsia" w:hAnsiTheme="minorEastAsia" w:eastAsiaTheme="minorEastAsia"/>
                <w:color w:val="auto"/>
                <w:sz w:val="24"/>
                <w:szCs w:val="24"/>
                <w:highlight w:val="none"/>
                <w:lang w:val="en-US" w:eastAsia="zh-CN"/>
              </w:rPr>
              <w:t>文件制作</w:t>
            </w:r>
          </w:p>
          <w:p w14:paraId="20E78133">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jc w:val="center"/>
              <w:textAlignment w:val="auto"/>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及份数</w:t>
            </w:r>
          </w:p>
        </w:tc>
        <w:tc>
          <w:tcPr>
            <w:tcW w:w="6993" w:type="dxa"/>
            <w:tcBorders>
              <w:top w:val="single" w:color="000000" w:sz="4" w:space="0"/>
              <w:left w:val="single" w:color="000000" w:sz="4" w:space="0"/>
              <w:bottom w:val="single" w:color="000000" w:sz="4" w:space="0"/>
              <w:right w:val="single" w:color="000000" w:sz="4" w:space="0"/>
            </w:tcBorders>
            <w:vAlign w:val="top"/>
          </w:tcPr>
          <w:p w14:paraId="1E7F5077">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right="0"/>
              <w:textAlignment w:val="auto"/>
              <w:rPr>
                <w:rFonts w:hint="default" w:cs="Times New Roman" w:asciiTheme="minorEastAsia" w:hAnsiTheme="minorEastAsia" w:eastAsiaTheme="minorEastAsia"/>
                <w:color w:val="auto"/>
                <w:sz w:val="24"/>
                <w:szCs w:val="24"/>
                <w:highlight w:val="none"/>
                <w:lang w:val="en-US" w:eastAsia="zh-CN"/>
              </w:rPr>
            </w:pPr>
            <w:bookmarkStart w:id="27" w:name="OLE_LINK18"/>
            <w:r>
              <w:rPr>
                <w:rFonts w:hint="eastAsia" w:cs="Times New Roman" w:asciiTheme="minorEastAsia" w:hAnsiTheme="minorEastAsia" w:eastAsiaTheme="minorEastAsia"/>
                <w:color w:val="auto"/>
                <w:sz w:val="24"/>
                <w:szCs w:val="24"/>
                <w:highlight w:val="none"/>
                <w:lang w:val="en-US" w:eastAsia="zh-CN"/>
              </w:rPr>
              <w:t>资格证明文件壹份，正本壹份，副本贰份，电子版投标文件壹份装入正本（U盘），资格证明文件、正本、副本投标文件分别单独封装。</w:t>
            </w:r>
            <w:bookmarkEnd w:id="27"/>
          </w:p>
        </w:tc>
      </w:tr>
      <w:tr w14:paraId="7C3D3752">
        <w:tblPrEx>
          <w:tblCellMar>
            <w:top w:w="0" w:type="dxa"/>
            <w:left w:w="108" w:type="dxa"/>
            <w:bottom w:w="0" w:type="dxa"/>
            <w:right w:w="108" w:type="dxa"/>
          </w:tblCellMar>
        </w:tblPrEx>
        <w:trPr>
          <w:trHeight w:val="90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8093104">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sz w:val="24"/>
                <w:szCs w:val="24"/>
                <w:highlight w:val="none"/>
              </w:rPr>
            </w:pPr>
          </w:p>
        </w:tc>
        <w:tc>
          <w:tcPr>
            <w:tcW w:w="1911" w:type="dxa"/>
            <w:tcBorders>
              <w:top w:val="single" w:color="000000" w:sz="4" w:space="0"/>
              <w:left w:val="single" w:color="000000" w:sz="4" w:space="0"/>
              <w:bottom w:val="single" w:color="000000" w:sz="4" w:space="0"/>
              <w:right w:val="single" w:color="000000" w:sz="4" w:space="0"/>
            </w:tcBorders>
            <w:vAlign w:val="center"/>
          </w:tcPr>
          <w:p w14:paraId="0791CF3C">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leftChars="0" w:right="109" w:rightChars="0"/>
              <w:jc w:val="center"/>
              <w:textAlignment w:val="auto"/>
              <w:rPr>
                <w:rFonts w:hint="default" w:cs="Times New Roman" w:asciiTheme="minorEastAsia" w:hAnsiTheme="minorEastAsia" w:eastAsiaTheme="minorEastAsia"/>
                <w:color w:val="auto"/>
                <w:kern w:val="2"/>
                <w:sz w:val="24"/>
                <w:szCs w:val="24"/>
                <w:highlight w:val="none"/>
                <w:lang w:val="en-US" w:eastAsia="zh-CN" w:bidi="ar-SA"/>
              </w:rPr>
            </w:pPr>
            <w:r>
              <w:rPr>
                <w:rFonts w:hint="default" w:asciiTheme="minorEastAsia" w:hAnsiTheme="minorEastAsia" w:eastAsiaTheme="minorEastAsia"/>
                <w:color w:val="auto"/>
                <w:sz w:val="24"/>
                <w:szCs w:val="24"/>
                <w:highlight w:val="none"/>
              </w:rPr>
              <w:t>答疑</w:t>
            </w:r>
          </w:p>
        </w:tc>
        <w:tc>
          <w:tcPr>
            <w:tcW w:w="6993" w:type="dxa"/>
            <w:tcBorders>
              <w:top w:val="single" w:color="000000" w:sz="4" w:space="0"/>
              <w:left w:val="single" w:color="000000" w:sz="4" w:space="0"/>
              <w:bottom w:val="single" w:color="000000" w:sz="4" w:space="0"/>
              <w:right w:val="single" w:color="000000" w:sz="4" w:space="0"/>
            </w:tcBorders>
            <w:vAlign w:val="center"/>
          </w:tcPr>
          <w:p w14:paraId="54FD0BAA">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leftChars="0" w:right="-11" w:rightChars="0"/>
              <w:jc w:val="both"/>
              <w:textAlignment w:val="auto"/>
              <w:rPr>
                <w:rFonts w:hint="default" w:cs="Times New Roman" w:asciiTheme="minorEastAsia" w:hAnsiTheme="minorEastAsia" w:eastAsiaTheme="minorEastAsia"/>
                <w:color w:val="auto"/>
                <w:kern w:val="2"/>
                <w:sz w:val="24"/>
                <w:szCs w:val="24"/>
                <w:highlight w:val="none"/>
                <w:lang w:val="en-US" w:eastAsia="zh-CN" w:bidi="ar-SA"/>
              </w:rPr>
            </w:pPr>
            <w:r>
              <w:rPr>
                <w:rFonts w:hint="default" w:asciiTheme="minorEastAsia" w:hAnsiTheme="minorEastAsia" w:eastAsiaTheme="minorEastAsia"/>
                <w:color w:val="auto"/>
                <w:sz w:val="24"/>
                <w:szCs w:val="24"/>
                <w:highlight w:val="none"/>
              </w:rPr>
              <w:t>如有疑问，投标人需书面提出，经采购人收集问题后，统一答疑。</w:t>
            </w:r>
          </w:p>
        </w:tc>
      </w:tr>
      <w:tr w14:paraId="68762E4D">
        <w:tblPrEx>
          <w:tblCellMar>
            <w:top w:w="0" w:type="dxa"/>
            <w:left w:w="108" w:type="dxa"/>
            <w:bottom w:w="0" w:type="dxa"/>
            <w:right w:w="108" w:type="dxa"/>
          </w:tblCellMar>
        </w:tblPrEx>
        <w:trPr>
          <w:trHeight w:val="90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305F40C">
            <w:pPr>
              <w:keepNext w:val="0"/>
              <w:keepLines w:val="0"/>
              <w:pageBreakBefore w:val="0"/>
              <w:widowControl/>
              <w:numPr>
                <w:ilvl w:val="0"/>
                <w:numId w:val="1"/>
              </w:numPr>
              <w:suppressLineNumbers w:val="0"/>
              <w:kinsoku/>
              <w:wordWrap w:val="0"/>
              <w:topLinePunct w:val="0"/>
              <w:autoSpaceDE/>
              <w:autoSpaceDN/>
              <w:bidi w:val="0"/>
              <w:spacing w:before="0" w:beforeAutospacing="0" w:after="0" w:afterAutospacing="0" w:line="460" w:lineRule="exact"/>
              <w:ind w:left="705" w:leftChars="0" w:right="0" w:hanging="425" w:firstLineChars="0"/>
              <w:jc w:val="center"/>
              <w:textAlignment w:val="auto"/>
              <w:rPr>
                <w:rFonts w:hint="default" w:asciiTheme="minorEastAsia" w:hAnsiTheme="minorEastAsia" w:eastAsiaTheme="minorEastAsia"/>
                <w:color w:val="auto"/>
                <w:sz w:val="24"/>
                <w:szCs w:val="24"/>
                <w:highlight w:val="none"/>
              </w:rPr>
            </w:pPr>
          </w:p>
        </w:tc>
        <w:tc>
          <w:tcPr>
            <w:tcW w:w="1911" w:type="dxa"/>
            <w:tcBorders>
              <w:top w:val="single" w:color="000000" w:sz="4" w:space="0"/>
              <w:left w:val="single" w:color="000000" w:sz="4" w:space="0"/>
              <w:bottom w:val="single" w:color="000000" w:sz="4" w:space="0"/>
              <w:right w:val="single" w:color="000000" w:sz="4" w:space="0"/>
            </w:tcBorders>
            <w:vAlign w:val="center"/>
          </w:tcPr>
          <w:p w14:paraId="7F0C1DFB">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leftChars="0" w:right="109" w:rightChars="0"/>
              <w:jc w:val="center"/>
              <w:textAlignment w:val="auto"/>
              <w:rPr>
                <w:rFonts w:hint="default"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中小企业划分说明</w:t>
            </w:r>
          </w:p>
        </w:tc>
        <w:tc>
          <w:tcPr>
            <w:tcW w:w="6993" w:type="dxa"/>
            <w:tcBorders>
              <w:top w:val="single" w:color="000000" w:sz="4" w:space="0"/>
              <w:left w:val="single" w:color="000000" w:sz="4" w:space="0"/>
              <w:bottom w:val="single" w:color="000000" w:sz="4" w:space="0"/>
              <w:right w:val="single" w:color="000000" w:sz="4" w:space="0"/>
            </w:tcBorders>
            <w:vAlign w:val="center"/>
          </w:tcPr>
          <w:p w14:paraId="3F014C66">
            <w:pPr>
              <w:keepNext w:val="0"/>
              <w:keepLines w:val="0"/>
              <w:pageBreakBefore w:val="0"/>
              <w:widowControl w:val="0"/>
              <w:suppressLineNumbers w:val="0"/>
              <w:kinsoku/>
              <w:wordWrap w:val="0"/>
              <w:topLinePunct w:val="0"/>
              <w:autoSpaceDE/>
              <w:autoSpaceDN/>
              <w:bidi w:val="0"/>
              <w:spacing w:before="0" w:beforeAutospacing="0" w:after="0" w:afterAutospacing="0" w:line="460" w:lineRule="exact"/>
              <w:ind w:left="0" w:leftChars="0" w:right="-11" w:rightChars="0"/>
              <w:jc w:val="both"/>
              <w:textAlignment w:val="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采购标的对应的中小企业划分标准所属行业为工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1760E5CF">
      <w:pPr>
        <w:pageBreakBefore w:val="0"/>
        <w:kinsoku/>
        <w:wordWrap/>
        <w:topLinePunct w:val="0"/>
        <w:bidi w:val="0"/>
        <w:spacing w:line="460" w:lineRule="exact"/>
        <w:jc w:val="center"/>
        <w:textAlignment w:val="auto"/>
        <w:rPr>
          <w:rFonts w:ascii="宋体" w:hAnsi="宋体" w:eastAsia="宋体"/>
          <w:b/>
          <w:bCs/>
          <w:color w:val="auto"/>
          <w:kern w:val="44"/>
          <w:sz w:val="36"/>
          <w:szCs w:val="44"/>
          <w:highlight w:val="none"/>
        </w:rPr>
      </w:pPr>
    </w:p>
    <w:p w14:paraId="713329B4">
      <w:pPr>
        <w:pStyle w:val="6"/>
        <w:pageBreakBefore w:val="0"/>
        <w:kinsoku/>
        <w:wordWrap/>
        <w:topLinePunct w:val="0"/>
        <w:bidi w:val="0"/>
        <w:spacing w:line="460" w:lineRule="exact"/>
        <w:textAlignment w:val="auto"/>
        <w:rPr>
          <w:color w:val="auto"/>
          <w:highlight w:val="none"/>
        </w:rPr>
      </w:pPr>
      <w:r>
        <w:rPr>
          <w:color w:val="auto"/>
          <w:highlight w:val="none"/>
        </w:rPr>
        <w:br w:type="page"/>
      </w:r>
    </w:p>
    <w:p w14:paraId="23EB69A6">
      <w:pPr>
        <w:jc w:val="center"/>
        <w:rPr>
          <w:rFonts w:ascii="宋体" w:hAnsi="宋体" w:eastAsia="宋体"/>
          <w:b/>
          <w:bCs/>
          <w:kern w:val="44"/>
          <w:sz w:val="36"/>
          <w:szCs w:val="44"/>
        </w:rPr>
      </w:pPr>
      <w:bookmarkStart w:id="28" w:name="OLE_LINK10"/>
      <w:bookmarkStart w:id="29" w:name="_Toc14189285"/>
      <w:bookmarkStart w:id="30" w:name="_Toc23315671"/>
      <w:bookmarkStart w:id="31" w:name="_Toc23316595"/>
      <w:bookmarkStart w:id="32" w:name="_Toc18412210"/>
      <w:bookmarkStart w:id="33" w:name="_Toc424636365"/>
      <w:bookmarkStart w:id="34" w:name="_Toc23316693"/>
      <w:bookmarkStart w:id="35" w:name="_Toc14189418"/>
      <w:bookmarkStart w:id="36" w:name="_Toc23316531"/>
      <w:bookmarkStart w:id="37" w:name="_Toc25719"/>
      <w:r>
        <w:rPr>
          <w:rFonts w:hint="eastAsia" w:ascii="宋体" w:hAnsi="宋体" w:eastAsia="宋体"/>
          <w:b/>
          <w:bCs/>
          <w:kern w:val="44"/>
          <w:sz w:val="36"/>
          <w:szCs w:val="44"/>
        </w:rPr>
        <w:t>供应商须知</w:t>
      </w:r>
    </w:p>
    <w:p w14:paraId="3F1F0CBB">
      <w:pPr>
        <w:adjustRightInd w:val="0"/>
        <w:snapToGrid w:val="0"/>
        <w:spacing w:line="480" w:lineRule="exact"/>
        <w:ind w:firstLine="480" w:firstLineChars="200"/>
        <w:jc w:val="center"/>
        <w:rPr>
          <w:rFonts w:hint="eastAsia" w:ascii="宋体" w:hAnsi="宋体" w:eastAsia="宋体" w:cs="宋体"/>
          <w:kern w:val="0"/>
          <w:sz w:val="24"/>
          <w:szCs w:val="24"/>
        </w:rPr>
      </w:pPr>
      <w:bookmarkStart w:id="38" w:name="_Toc35335252"/>
      <w:bookmarkStart w:id="39" w:name="_Toc23316580"/>
      <w:bookmarkStart w:id="40" w:name="_Toc14189403"/>
      <w:bookmarkStart w:id="41" w:name="_Toc18412195"/>
      <w:bookmarkStart w:id="42" w:name="_Toc14189266"/>
      <w:bookmarkStart w:id="43" w:name="_Toc26416"/>
      <w:bookmarkStart w:id="44" w:name="_Toc23315656"/>
      <w:bookmarkStart w:id="45" w:name="_Toc12880"/>
      <w:bookmarkStart w:id="46" w:name="_Toc23316516"/>
      <w:bookmarkStart w:id="47" w:name="_Toc23316678"/>
      <w:r>
        <w:rPr>
          <w:rFonts w:hint="eastAsia" w:ascii="宋体" w:hAnsi="宋体" w:eastAsia="宋体" w:cs="宋体"/>
          <w:kern w:val="0"/>
          <w:sz w:val="24"/>
          <w:szCs w:val="24"/>
        </w:rPr>
        <w:t>一、</w:t>
      </w:r>
      <w:r>
        <w:rPr>
          <w:rFonts w:hint="eastAsia" w:ascii="宋体" w:hAnsi="宋体" w:eastAsia="宋体" w:cs="宋体"/>
          <w:b/>
          <w:bCs/>
          <w:kern w:val="44"/>
          <w:sz w:val="24"/>
          <w:szCs w:val="24"/>
        </w:rPr>
        <w:t>总则</w:t>
      </w:r>
    </w:p>
    <w:p w14:paraId="65ADED6C">
      <w:pPr>
        <w:pageBreakBefore w:val="0"/>
        <w:kinsoku/>
        <w:wordWrap/>
        <w:overflowPunct/>
        <w:topLinePunct w:val="0"/>
        <w:bidi w:val="0"/>
        <w:adjustRightInd w:val="0"/>
        <w:snapToGrid w:val="0"/>
        <w:spacing w:line="312"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采购依据</w:t>
      </w:r>
    </w:p>
    <w:p w14:paraId="0CBD483A">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本次采购依据《中华人民共和国政府采购法》《中华人民共和国政府采购法实施条例》《政府采购非招标采购方式管理办法》（财政部令第74号）及国家现行有关法律法规执行。</w:t>
      </w:r>
    </w:p>
    <w:p w14:paraId="793080AF">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适用范围</w:t>
      </w:r>
    </w:p>
    <w:p w14:paraId="37A8F40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本竞争性谈判文件适用于本次谈判活动的全过程。</w:t>
      </w:r>
    </w:p>
    <w:p w14:paraId="4DE76FB5">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合格的供应商</w:t>
      </w:r>
    </w:p>
    <w:p w14:paraId="7F6A29E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3.1具有本项目生产、制造、加工、供应或实施能力，符合、承认并承诺履行本谈判文件各项规定的国内供应商。</w:t>
      </w:r>
    </w:p>
    <w:p w14:paraId="49C20613">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3.2供应商应遵守有关的国家法律法规和条例，具备《中华人民共和国政府采购法》和本文件中规定的条件：</w:t>
      </w:r>
    </w:p>
    <w:p w14:paraId="553A0115">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（1）具有独立承担民事责任的能力；</w:t>
      </w:r>
    </w:p>
    <w:p w14:paraId="2A5C7D1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（2）具有良好的商业信誉和健全的财务会计制度；</w:t>
      </w:r>
    </w:p>
    <w:p w14:paraId="66D4203E">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（3）具有履行合同所必需的产品和专业技术能力；</w:t>
      </w:r>
    </w:p>
    <w:p w14:paraId="5B4ADF1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（4）具有依法缴纳税收和社会保障资金的良好记录；</w:t>
      </w:r>
    </w:p>
    <w:p w14:paraId="4D4E797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（5）参加此项采购活动前三年内，在经营活动中没有重大违法记录；</w:t>
      </w:r>
    </w:p>
    <w:p w14:paraId="5CCEF676">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（6）法律、行政法规规定的其他条件。</w:t>
      </w:r>
    </w:p>
    <w:p w14:paraId="4F17983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3.3供应商购买谈判文件时应提供有效联系方式。</w:t>
      </w:r>
    </w:p>
    <w:p w14:paraId="2F8C8D2E">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3.4如供应商代表不是法定代表人，须持有《法定代表人授权委托书》 （按谈判文件提供的格式填写）。</w:t>
      </w:r>
    </w:p>
    <w:p w14:paraId="7543876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3.5供应商应独立于采购人，不得直接或间接地与采购人为采购本次招标的货物或服务进行设计、编制技术规格和其他文件所委托的咨询公司或其附属机构有任何关联。</w:t>
      </w:r>
    </w:p>
    <w:p w14:paraId="3E6AE49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3.6供应商不得存在下列情形之一：</w:t>
      </w:r>
    </w:p>
    <w:p w14:paraId="7275C440">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（1）与采购人或采购代理机构存在隶属关系或者其他利害关系；</w:t>
      </w:r>
    </w:p>
    <w:p w14:paraId="551393AA">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（2）与其他供应商的法定代表人（或者负责人）为同一人，或者与其他供应商存在直接控股、管理关系；</w:t>
      </w:r>
    </w:p>
    <w:p w14:paraId="0C25D69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（3）受到刑事处罚，或者受到</w:t>
      </w:r>
      <w:r>
        <w:rPr>
          <w:rFonts w:hint="eastAsia" w:ascii="宋体" w:hAnsi="宋体" w:cs="宋体"/>
          <w:color w:val="auto"/>
          <w:kern w:val="0"/>
          <w:sz w:val="24"/>
          <w:szCs w:val="24"/>
          <w:lang w:val="en-US" w:eastAsia="zh-CN"/>
        </w:rPr>
        <w:t>200</w:t>
      </w:r>
      <w:r>
        <w:rPr>
          <w:rFonts w:hint="eastAsia" w:ascii="宋体" w:hAnsi="宋体" w:eastAsia="宋体" w:cs="宋体"/>
          <w:color w:val="auto"/>
          <w:kern w:val="0"/>
          <w:sz w:val="24"/>
          <w:szCs w:val="24"/>
          <w:lang w:val="en-US" w:eastAsia="zh-CN"/>
        </w:rPr>
        <w:t>万元以上罚款，责令停产停业、在一年至三年内禁止参加政府采购活动、吊销许可证、吊销执照等情形之一的行政处罚，或者存在财政部门认定的其他重大违法记录。</w:t>
      </w:r>
    </w:p>
    <w:p w14:paraId="7951E85F">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p>
    <w:p w14:paraId="17CB2BD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4</w:t>
      </w:r>
      <w:r>
        <w:rPr>
          <w:rFonts w:hint="eastAsia" w:ascii="宋体" w:hAnsi="宋体" w:cs="宋体"/>
          <w:b/>
          <w:bCs/>
          <w:color w:val="auto"/>
          <w:kern w:val="0"/>
          <w:sz w:val="24"/>
          <w:szCs w:val="24"/>
          <w:lang w:val="en-US" w:eastAsia="zh-CN"/>
        </w:rPr>
        <w:t>.合格的货物与服务</w:t>
      </w:r>
    </w:p>
    <w:p w14:paraId="1FD077AD">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4.1本次谈判所用货物及其有关服务，均应来自上述3条款所规定的合格供应商。</w:t>
      </w:r>
    </w:p>
    <w:p w14:paraId="72BCBDB3">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4.2货物系指供应商按谈判文件规定，向采购人提供的符合谈判文件要求的相关的货物。</w:t>
      </w:r>
    </w:p>
    <w:p w14:paraId="4DA4150B">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4.3服务系指谈判文件规定的，供应商须承担的与谈判货物有关的辅助服务，如包装、运输、保险、安装、调试、技术培训、售后服务以及其他类似的义务。</w:t>
      </w:r>
    </w:p>
    <w:p w14:paraId="4C8E819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5</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政府采购政策支持</w:t>
      </w:r>
    </w:p>
    <w:p w14:paraId="2C20F45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5.1对列入财政部、</w:t>
      </w:r>
      <w:r>
        <w:rPr>
          <w:rFonts w:hint="eastAsia" w:ascii="宋体" w:hAnsi="宋体" w:cs="宋体"/>
          <w:color w:val="auto"/>
          <w:kern w:val="0"/>
          <w:sz w:val="24"/>
          <w:szCs w:val="24"/>
          <w:lang w:val="en-US" w:eastAsia="zh-CN"/>
        </w:rPr>
        <w:t>国家发展改革委</w:t>
      </w:r>
      <w:r>
        <w:rPr>
          <w:rFonts w:hint="eastAsia" w:ascii="宋体" w:hAnsi="宋体" w:eastAsia="宋体" w:cs="宋体"/>
          <w:color w:val="auto"/>
          <w:kern w:val="0"/>
          <w:sz w:val="24"/>
          <w:szCs w:val="24"/>
          <w:lang w:val="en-US" w:eastAsia="zh-CN"/>
        </w:rPr>
        <w:t xml:space="preserve">发布的《节能产品政府采购清单》且属于应当“强制采购的节能产品”，按照规定实行强制采购。 </w:t>
      </w:r>
    </w:p>
    <w:p w14:paraId="3428A34D">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5.2对列入财政部、</w:t>
      </w:r>
      <w:r>
        <w:rPr>
          <w:rFonts w:hint="eastAsia" w:ascii="宋体" w:hAnsi="宋体" w:cs="宋体"/>
          <w:color w:val="auto"/>
          <w:kern w:val="0"/>
          <w:sz w:val="24"/>
          <w:szCs w:val="24"/>
          <w:lang w:val="en-US" w:eastAsia="zh-CN"/>
        </w:rPr>
        <w:t>国家发展和改革委员会</w:t>
      </w:r>
      <w:r>
        <w:rPr>
          <w:rFonts w:hint="eastAsia" w:ascii="宋体" w:hAnsi="宋体" w:eastAsia="宋体" w:cs="宋体"/>
          <w:color w:val="auto"/>
          <w:kern w:val="0"/>
          <w:sz w:val="24"/>
          <w:szCs w:val="24"/>
          <w:lang w:val="en-US" w:eastAsia="zh-CN"/>
        </w:rPr>
        <w:t>发布的《节能产品政府采购清单》的“非强制采购节能产品”，财政部、</w:t>
      </w:r>
      <w:r>
        <w:rPr>
          <w:rFonts w:hint="eastAsia" w:ascii="宋体" w:hAnsi="宋体" w:cs="宋体"/>
          <w:color w:val="auto"/>
          <w:kern w:val="0"/>
          <w:sz w:val="24"/>
          <w:szCs w:val="24"/>
          <w:lang w:val="en-US" w:eastAsia="zh-CN"/>
        </w:rPr>
        <w:t>生态环境部</w:t>
      </w:r>
      <w:r>
        <w:rPr>
          <w:rFonts w:hint="eastAsia" w:ascii="宋体" w:hAnsi="宋体" w:eastAsia="宋体" w:cs="宋体"/>
          <w:color w:val="auto"/>
          <w:kern w:val="0"/>
          <w:sz w:val="24"/>
          <w:szCs w:val="24"/>
          <w:lang w:val="en-US" w:eastAsia="zh-CN"/>
        </w:rPr>
        <w:t>发布的《环境标志产品政府采购清单》的“环境标志产品”以及中小企业（监狱企业视同小型、微型企业），实行优先采购，按照省级以上财政部门有关政策规定，评审时进行价格扣除或者加分。</w:t>
      </w:r>
    </w:p>
    <w:p w14:paraId="71D52C30">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5.3产品同时属于“非强制采购节能产品”、环境标志产品的，评审时只有其中一项能享受优先待遇（供应商自行选择，并在报价文件中填写相关信息及数据）。</w:t>
      </w:r>
    </w:p>
    <w:p w14:paraId="069CE28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5.4供应商有融资、担保需求的，具体办理流程按照财政厅及相关政策执行。</w:t>
      </w:r>
    </w:p>
    <w:p w14:paraId="2E10195E">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6</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费用承担</w:t>
      </w:r>
    </w:p>
    <w:p w14:paraId="79CFBCC3">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供应商准备和参加谈判活动发生的费用自理。</w:t>
      </w:r>
    </w:p>
    <w:p w14:paraId="3AC4DB3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7</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保密</w:t>
      </w:r>
    </w:p>
    <w:p w14:paraId="2B94FCF6">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参与谈判活动的各方应对谈判文件和响应文件的商业和技术等秘密保密，违者应对由此造成的后果承担法律责任。</w:t>
      </w:r>
    </w:p>
    <w:p w14:paraId="008DEBFB">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8</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语言文字</w:t>
      </w:r>
    </w:p>
    <w:p w14:paraId="7760B61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除专用术语外，与谈判文件有关的语言均使用中文；必要时专用术语应附有中文注释。</w:t>
      </w:r>
    </w:p>
    <w:p w14:paraId="6B94D59E">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计量单位</w:t>
      </w:r>
    </w:p>
    <w:p w14:paraId="3618E770">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所有计量均采用中华人民共和国法定计量单位。</w:t>
      </w:r>
    </w:p>
    <w:p w14:paraId="35E7D7E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10</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踏勘现场</w:t>
      </w:r>
    </w:p>
    <w:p w14:paraId="6C03625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不组织踏勘现场。</w:t>
      </w:r>
    </w:p>
    <w:p w14:paraId="29FB371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11</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偏离</w:t>
      </w:r>
    </w:p>
    <w:p w14:paraId="077DDCA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除供应商须知前附表另有规定外，供应商递交的响应文件不允许严重负偏离。</w:t>
      </w:r>
    </w:p>
    <w:p w14:paraId="0C5FC5B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jc w:val="center"/>
        <w:textAlignment w:val="auto"/>
        <w:rPr>
          <w:rFonts w:hint="eastAsia" w:ascii="宋体" w:hAnsi="宋体" w:eastAsia="宋体" w:cs="宋体"/>
          <w:b/>
          <w:bCs/>
          <w:color w:val="auto"/>
          <w:kern w:val="0"/>
          <w:sz w:val="24"/>
          <w:szCs w:val="24"/>
          <w:lang w:val="en-US" w:eastAsia="zh-CN"/>
        </w:rPr>
      </w:pPr>
      <w:bookmarkStart w:id="48" w:name="_Toc16823"/>
      <w:r>
        <w:rPr>
          <w:rFonts w:hint="eastAsia" w:ascii="宋体" w:hAnsi="宋体" w:eastAsia="宋体" w:cs="宋体"/>
          <w:b/>
          <w:bCs/>
          <w:color w:val="auto"/>
          <w:kern w:val="0"/>
          <w:sz w:val="24"/>
          <w:szCs w:val="24"/>
          <w:lang w:val="en-US" w:eastAsia="zh-CN"/>
        </w:rPr>
        <w:t>二、谈判文件</w:t>
      </w:r>
      <w:bookmarkEnd w:id="38"/>
      <w:bookmarkEnd w:id="39"/>
      <w:bookmarkEnd w:id="40"/>
      <w:bookmarkEnd w:id="41"/>
      <w:bookmarkEnd w:id="42"/>
      <w:bookmarkEnd w:id="43"/>
      <w:bookmarkEnd w:id="44"/>
      <w:bookmarkEnd w:id="45"/>
      <w:bookmarkEnd w:id="46"/>
      <w:bookmarkEnd w:id="47"/>
      <w:bookmarkEnd w:id="48"/>
    </w:p>
    <w:p w14:paraId="7F45A59F">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49" w:name="_Toc5801"/>
      <w:bookmarkStart w:id="50" w:name="_Toc536202289"/>
      <w:bookmarkStart w:id="51" w:name="_Toc14189270"/>
      <w:bookmarkStart w:id="52" w:name="_Toc23316520"/>
      <w:bookmarkStart w:id="53" w:name="_Toc14189407"/>
      <w:bookmarkStart w:id="54" w:name="_Toc18709"/>
      <w:bookmarkStart w:id="55" w:name="_Toc32118"/>
      <w:bookmarkStart w:id="56" w:name="_Toc18412199"/>
      <w:bookmarkStart w:id="57" w:name="_Toc23315660"/>
      <w:bookmarkStart w:id="58" w:name="_Toc23316584"/>
      <w:bookmarkStart w:id="59" w:name="_Toc35335256"/>
      <w:bookmarkStart w:id="60" w:name="_Toc23316682"/>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竞争性谈判文件的构成</w:t>
      </w:r>
      <w:bookmarkEnd w:id="49"/>
      <w:bookmarkEnd w:id="50"/>
    </w:p>
    <w:p w14:paraId="024A52D6">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竞争性谈判文件是供应商准备响应文件和参加谈判的依据，同时也是评审的重要依据，具有标准法律文件性质。竞争性谈判文件用以阐明采购项目所需的</w:t>
      </w:r>
      <w:r>
        <w:rPr>
          <w:rFonts w:hint="eastAsia" w:ascii="宋体" w:hAnsi="宋体" w:cs="宋体"/>
          <w:color w:val="auto"/>
          <w:kern w:val="0"/>
          <w:sz w:val="24"/>
          <w:szCs w:val="24"/>
          <w:lang w:val="en-US" w:eastAsia="zh-CN"/>
        </w:rPr>
        <w:t>资格</w:t>
      </w:r>
      <w:r>
        <w:rPr>
          <w:rFonts w:hint="eastAsia" w:ascii="宋体" w:hAnsi="宋体" w:eastAsia="宋体" w:cs="宋体"/>
          <w:color w:val="auto"/>
          <w:kern w:val="0"/>
          <w:sz w:val="24"/>
          <w:szCs w:val="24"/>
          <w:lang w:val="en-US" w:eastAsia="zh-CN"/>
        </w:rPr>
        <w:t xml:space="preserve">、技术、服务、货物及报价等要求、谈判程序、有关规定和注意事项以及合同主要条款等。本竞争性谈判文件包括以下内容： </w:t>
      </w:r>
    </w:p>
    <w:p w14:paraId="4BEC324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竞争性谈判公告</w:t>
      </w:r>
      <w:bookmarkStart w:id="61" w:name="OLE_LINK27"/>
      <w:r>
        <w:rPr>
          <w:rFonts w:hint="eastAsia" w:ascii="宋体" w:hAnsi="宋体" w:eastAsia="宋体" w:cs="宋体"/>
          <w:color w:val="auto"/>
          <w:kern w:val="0"/>
          <w:sz w:val="24"/>
          <w:szCs w:val="24"/>
          <w:lang w:val="en-US" w:eastAsia="zh-CN"/>
        </w:rPr>
        <w:t>；</w:t>
      </w:r>
      <w:bookmarkEnd w:id="61"/>
    </w:p>
    <w:p w14:paraId="76A5A64D">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供应商须知；</w:t>
      </w:r>
    </w:p>
    <w:p w14:paraId="6476B9EA">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谈判内容及技术要求；</w:t>
      </w:r>
    </w:p>
    <w:p w14:paraId="7B975652">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合同主要条款；</w:t>
      </w:r>
    </w:p>
    <w:p w14:paraId="0897AE92">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响应文件格式。</w:t>
      </w:r>
    </w:p>
    <w:p w14:paraId="4B3070A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62" w:name="_Toc536202290"/>
      <w:r>
        <w:rPr>
          <w:rFonts w:hint="eastAsia" w:ascii="宋体" w:hAnsi="宋体" w:eastAsia="宋体" w:cs="宋体"/>
          <w:b/>
          <w:bCs/>
          <w:color w:val="auto"/>
          <w:kern w:val="0"/>
          <w:sz w:val="24"/>
          <w:szCs w:val="24"/>
          <w:lang w:val="en-US" w:eastAsia="zh-CN"/>
        </w:rPr>
        <w:t>2</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谈判文件的检查及阅读</w:t>
      </w:r>
      <w:bookmarkEnd w:id="62"/>
    </w:p>
    <w:p w14:paraId="63DF242F">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应认真阅读和充分理解竞争性谈判文件中所有的事项、格式条款和规范要求。供应商没有对竞争性谈判文件全面作出实质性响应是供应商的风险。没有按照竞争性谈判文件要求作出实质性响应的响应文件应作废标处理。</w:t>
      </w:r>
    </w:p>
    <w:p w14:paraId="2FCE1CB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63" w:name="_Toc536202292"/>
      <w:r>
        <w:rPr>
          <w:rFonts w:hint="eastAsia" w:ascii="宋体" w:hAnsi="宋体" w:eastAsia="宋体" w:cs="宋体"/>
          <w:b/>
          <w:bCs/>
          <w:color w:val="auto"/>
          <w:kern w:val="0"/>
          <w:sz w:val="24"/>
          <w:szCs w:val="24"/>
          <w:lang w:val="en-US" w:eastAsia="zh-CN"/>
        </w:rPr>
        <w:t>3</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现场踏勘及谈判文件答疑</w:t>
      </w:r>
      <w:bookmarkEnd w:id="63"/>
    </w:p>
    <w:p w14:paraId="73CDD582">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招标代理机构将视情况确定是否有必要召开标前答疑会。如果召开标前答疑会，招标代理机构将通知所有已报名领取了谈判文件的潜在供应商。在规定的时间</w:t>
      </w:r>
      <w:r>
        <w:rPr>
          <w:rFonts w:hint="eastAsia" w:ascii="宋体" w:hAnsi="宋体" w:cs="宋体"/>
          <w:color w:val="auto"/>
          <w:kern w:val="0"/>
          <w:sz w:val="24"/>
          <w:szCs w:val="24"/>
          <w:lang w:val="en-US" w:eastAsia="zh-CN"/>
        </w:rPr>
        <w:t>内</w:t>
      </w:r>
      <w:r>
        <w:rPr>
          <w:rFonts w:hint="eastAsia" w:ascii="宋体" w:hAnsi="宋体" w:eastAsia="宋体" w:cs="宋体"/>
          <w:color w:val="auto"/>
          <w:kern w:val="0"/>
          <w:sz w:val="24"/>
          <w:szCs w:val="24"/>
          <w:lang w:val="en-US" w:eastAsia="zh-CN"/>
        </w:rPr>
        <w:t>，各供应商派技术、预算等相关人员进行现场踏勘和答疑，答疑的问题各供应商以书面形式提交。招标代理机构、采购人共同对各供应商提出的问题进行答复，形成答疑会议纪要。答疑会议纪要与谈判文件中不一致的内容，以答疑会议纪要为准。凡未参加答疑和现场踏勘的供应商，由此造成的偏差由各供应商自行负责。</w:t>
      </w:r>
    </w:p>
    <w:p w14:paraId="7C5F7795">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64" w:name="_Toc19797"/>
      <w:bookmarkStart w:id="65" w:name="_Toc536202293"/>
      <w:r>
        <w:rPr>
          <w:rFonts w:hint="eastAsia" w:ascii="宋体" w:hAnsi="宋体" w:eastAsia="宋体" w:cs="宋体"/>
          <w:b/>
          <w:bCs/>
          <w:color w:val="auto"/>
          <w:kern w:val="0"/>
          <w:sz w:val="24"/>
          <w:szCs w:val="24"/>
          <w:lang w:val="en-US" w:eastAsia="zh-CN"/>
        </w:rPr>
        <w:t>4</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竞争性谈判文件的澄清</w:t>
      </w:r>
      <w:bookmarkEnd w:id="64"/>
      <w:bookmarkEnd w:id="65"/>
      <w:r>
        <w:rPr>
          <w:rFonts w:hint="eastAsia" w:ascii="宋体" w:hAnsi="宋体" w:eastAsia="宋体" w:cs="宋体"/>
          <w:b/>
          <w:bCs/>
          <w:color w:val="auto"/>
          <w:kern w:val="0"/>
          <w:sz w:val="24"/>
          <w:szCs w:val="24"/>
          <w:lang w:val="en-US" w:eastAsia="zh-CN"/>
        </w:rPr>
        <w:t>和修改</w:t>
      </w:r>
    </w:p>
    <w:p w14:paraId="0FA6BA4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66" w:name="_Toc536202295"/>
      <w:bookmarkStart w:id="67" w:name="_Toc31188"/>
      <w:r>
        <w:rPr>
          <w:rFonts w:hint="eastAsia" w:ascii="宋体" w:hAnsi="宋体" w:eastAsia="宋体" w:cs="宋体"/>
          <w:color w:val="auto"/>
          <w:kern w:val="0"/>
          <w:sz w:val="24"/>
          <w:szCs w:val="24"/>
          <w:lang w:val="en-US" w:eastAsia="zh-CN"/>
        </w:rPr>
        <w:t>4.1采购人在谈判截止时间3个工作日前，可以以书面形式对竞争性谈判文件进行必要的澄清或修改，其内容均为竞争性谈判文件的组成部分，并对采购人及投标人起约束作用。</w:t>
      </w:r>
    </w:p>
    <w:p w14:paraId="129C469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4.2投标人对竞争性谈判文件如有疑问要求澄清，或认为有必要与采购人进行技术交流，应于谈判截止</w:t>
      </w:r>
      <w:r>
        <w:rPr>
          <w:rFonts w:hint="eastAsia" w:ascii="宋体" w:hAnsi="宋体" w:cs="宋体"/>
          <w:color w:val="auto"/>
          <w:kern w:val="0"/>
          <w:sz w:val="24"/>
          <w:szCs w:val="24"/>
          <w:lang w:val="en-US" w:eastAsia="zh-CN"/>
        </w:rPr>
        <w:t>时间</w:t>
      </w:r>
      <w:r>
        <w:rPr>
          <w:rFonts w:hint="eastAsia" w:ascii="宋体" w:hAnsi="宋体" w:eastAsia="宋体" w:cs="宋体"/>
          <w:color w:val="auto"/>
          <w:kern w:val="0"/>
          <w:sz w:val="24"/>
          <w:szCs w:val="24"/>
          <w:lang w:val="en-US" w:eastAsia="zh-CN"/>
        </w:rPr>
        <w:t>3个工作日前，以书面形式通知采购代理机构，采购代理机构以书面形式予以答复。</w:t>
      </w:r>
    </w:p>
    <w:p w14:paraId="7445FAC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4.3无论是采购代理机构主动对竞争性谈判文件进行必要的修改，或根据投标人的要求对竞争性谈判文件做出的澄清，都将于谈判</w:t>
      </w:r>
      <w:r>
        <w:rPr>
          <w:rFonts w:hint="eastAsia" w:ascii="宋体" w:hAnsi="宋体" w:cs="宋体"/>
          <w:color w:val="auto"/>
          <w:kern w:val="0"/>
          <w:sz w:val="24"/>
          <w:szCs w:val="24"/>
          <w:lang w:val="en-US" w:eastAsia="zh-CN"/>
        </w:rPr>
        <w:t>截至</w:t>
      </w:r>
      <w:r>
        <w:rPr>
          <w:rFonts w:hint="eastAsia" w:ascii="宋体" w:hAnsi="宋体" w:eastAsia="宋体" w:cs="宋体"/>
          <w:color w:val="auto"/>
          <w:kern w:val="0"/>
          <w:sz w:val="24"/>
          <w:szCs w:val="24"/>
          <w:lang w:val="en-US" w:eastAsia="zh-CN"/>
        </w:rPr>
        <w:t>3个工作日前以书面形式发送给所有合格的投标人。</w:t>
      </w:r>
    </w:p>
    <w:p w14:paraId="6054002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4.4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70017AD0">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4.5根据采购工作进展实际情况，采购人可酌情延长递交竞争性谈判响应文件的截止时间，若延长将另行以书面形式通知各投标人。</w:t>
      </w:r>
    </w:p>
    <w:p w14:paraId="2CA10A7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5</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质疑</w:t>
      </w:r>
    </w:p>
    <w:p w14:paraId="48B1D513">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供应商认为谈判文件、招标过程和中标结果使自己的权益受到损害的，可以</w:t>
      </w:r>
      <w:r>
        <w:rPr>
          <w:rFonts w:hint="eastAsia" w:ascii="宋体" w:hAnsi="宋体" w:cs="宋体"/>
          <w:color w:val="auto"/>
          <w:kern w:val="0"/>
          <w:sz w:val="24"/>
          <w:szCs w:val="24"/>
          <w:lang w:val="en-US" w:eastAsia="zh-CN"/>
        </w:rPr>
        <w:t>按照</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中华人民共和国政府采购法</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第五十二条</w:t>
      </w:r>
      <w:r>
        <w:rPr>
          <w:rFonts w:hint="eastAsia" w:ascii="宋体" w:hAnsi="宋体" w:eastAsia="宋体" w:cs="宋体"/>
          <w:color w:val="auto"/>
          <w:kern w:val="0"/>
          <w:sz w:val="24"/>
          <w:szCs w:val="24"/>
          <w:lang w:val="en-US" w:eastAsia="zh-CN"/>
        </w:rPr>
        <w:t>执行。</w:t>
      </w:r>
    </w:p>
    <w:p w14:paraId="0FEC78F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6</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竞争性谈判文件的获取</w:t>
      </w:r>
      <w:bookmarkEnd w:id="66"/>
      <w:bookmarkEnd w:id="67"/>
    </w:p>
    <w:p w14:paraId="126D069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供应商必须从代理机构购买竞争性谈判文件，供应商自行转让或复制竞争性谈判文件视为无效。竞争性谈判文件一经售出，一律不退，仅作为本次竞争性谈判使用。</w:t>
      </w:r>
    </w:p>
    <w:p w14:paraId="2359065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68" w:name="_Toc536202296"/>
      <w:bookmarkStart w:id="69" w:name="_Toc5095"/>
      <w:r>
        <w:rPr>
          <w:rFonts w:hint="eastAsia" w:ascii="宋体" w:hAnsi="宋体" w:eastAsia="宋体" w:cs="宋体"/>
          <w:b/>
          <w:bCs/>
          <w:color w:val="auto"/>
          <w:kern w:val="0"/>
          <w:sz w:val="24"/>
          <w:szCs w:val="24"/>
          <w:lang w:val="en-US" w:eastAsia="zh-CN"/>
        </w:rPr>
        <w:t>7</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竞争性谈判文件的解释权归代理机构</w:t>
      </w:r>
      <w:bookmarkEnd w:id="68"/>
      <w:bookmarkEnd w:id="69"/>
      <w:r>
        <w:rPr>
          <w:rFonts w:hint="eastAsia" w:ascii="宋体" w:hAnsi="宋体" w:eastAsia="宋体" w:cs="宋体"/>
          <w:color w:val="auto"/>
          <w:kern w:val="0"/>
          <w:sz w:val="24"/>
          <w:szCs w:val="24"/>
          <w:lang w:val="en-US" w:eastAsia="zh-CN"/>
        </w:rPr>
        <w:t>（ 如发现</w:t>
      </w:r>
      <w:r>
        <w:rPr>
          <w:rFonts w:hint="default" w:ascii="宋体" w:hAnsi="宋体" w:cs="宋体"/>
          <w:color w:val="auto"/>
          <w:kern w:val="0"/>
          <w:sz w:val="24"/>
          <w:szCs w:val="24"/>
          <w:lang w:eastAsia="zh-CN"/>
        </w:rPr>
        <w:t>谈判</w:t>
      </w:r>
      <w:r>
        <w:rPr>
          <w:rFonts w:hint="eastAsia" w:ascii="宋体" w:hAnsi="宋体" w:eastAsia="宋体" w:cs="宋体"/>
          <w:color w:val="auto"/>
          <w:kern w:val="0"/>
          <w:sz w:val="24"/>
          <w:szCs w:val="24"/>
          <w:lang w:val="en-US" w:eastAsia="zh-CN"/>
        </w:rPr>
        <w:t>文件内容与现行法律法规不相符的情况，以现行法律法规为准）</w:t>
      </w:r>
    </w:p>
    <w:bookmarkEnd w:id="51"/>
    <w:bookmarkEnd w:id="52"/>
    <w:bookmarkEnd w:id="53"/>
    <w:bookmarkEnd w:id="54"/>
    <w:bookmarkEnd w:id="55"/>
    <w:bookmarkEnd w:id="56"/>
    <w:bookmarkEnd w:id="57"/>
    <w:bookmarkEnd w:id="58"/>
    <w:bookmarkEnd w:id="59"/>
    <w:bookmarkEnd w:id="60"/>
    <w:p w14:paraId="1FFD4E0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jc w:val="center"/>
        <w:textAlignment w:val="auto"/>
        <w:rPr>
          <w:rFonts w:hint="eastAsia" w:ascii="宋体" w:hAnsi="宋体" w:eastAsia="宋体" w:cs="宋体"/>
          <w:b/>
          <w:bCs/>
          <w:color w:val="auto"/>
          <w:kern w:val="0"/>
          <w:sz w:val="24"/>
          <w:szCs w:val="24"/>
          <w:lang w:val="en-US" w:eastAsia="zh-CN"/>
        </w:rPr>
      </w:pPr>
      <w:bookmarkStart w:id="70" w:name="_Toc536202381"/>
      <w:bookmarkStart w:id="71" w:name="_Toc536429321"/>
      <w:bookmarkStart w:id="72" w:name="_Toc536202297"/>
      <w:bookmarkStart w:id="73" w:name="_Toc536429374"/>
      <w:bookmarkStart w:id="74" w:name="_Toc19543338"/>
      <w:bookmarkStart w:id="75" w:name="_Toc622"/>
      <w:bookmarkStart w:id="76" w:name="_Toc21904"/>
      <w:bookmarkStart w:id="77" w:name="_Toc23316686"/>
      <w:bookmarkStart w:id="78" w:name="_Toc23316524"/>
      <w:bookmarkStart w:id="79" w:name="_Toc23316588"/>
      <w:bookmarkStart w:id="80" w:name="_Toc11198"/>
      <w:bookmarkStart w:id="81" w:name="_Toc18412203"/>
      <w:bookmarkStart w:id="82" w:name="_Toc14189274"/>
      <w:bookmarkStart w:id="83" w:name="_Toc23315664"/>
      <w:bookmarkStart w:id="84" w:name="_Toc14189411"/>
      <w:bookmarkStart w:id="85" w:name="_Toc214"/>
      <w:bookmarkStart w:id="86" w:name="_Toc35335260"/>
      <w:r>
        <w:rPr>
          <w:rFonts w:hint="eastAsia" w:ascii="宋体" w:hAnsi="宋体" w:eastAsia="宋体" w:cs="宋体"/>
          <w:b/>
          <w:bCs/>
          <w:color w:val="auto"/>
          <w:kern w:val="0"/>
          <w:sz w:val="24"/>
          <w:szCs w:val="24"/>
          <w:lang w:val="en-US" w:eastAsia="zh-CN"/>
        </w:rPr>
        <w:t>三、</w:t>
      </w:r>
      <w:bookmarkEnd w:id="70"/>
      <w:bookmarkEnd w:id="71"/>
      <w:bookmarkEnd w:id="72"/>
      <w:bookmarkEnd w:id="73"/>
      <w:bookmarkEnd w:id="74"/>
      <w:bookmarkEnd w:id="75"/>
      <w:r>
        <w:rPr>
          <w:rFonts w:hint="eastAsia" w:ascii="宋体" w:hAnsi="宋体" w:eastAsia="宋体" w:cs="宋体"/>
          <w:b/>
          <w:bCs/>
          <w:color w:val="auto"/>
          <w:kern w:val="0"/>
          <w:sz w:val="24"/>
          <w:szCs w:val="24"/>
          <w:lang w:val="en-US" w:eastAsia="zh-CN"/>
        </w:rPr>
        <w:t>竞争性谈判响应文件及编制要求</w:t>
      </w:r>
      <w:bookmarkEnd w:id="76"/>
    </w:p>
    <w:p w14:paraId="65AC9880">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87" w:name="_Toc536202299"/>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响应文件编制的原则</w:t>
      </w:r>
    </w:p>
    <w:p w14:paraId="021C1D83">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88" w:name="_Toc23706"/>
      <w:r>
        <w:rPr>
          <w:rFonts w:hint="eastAsia" w:ascii="宋体" w:hAnsi="宋体" w:eastAsia="宋体" w:cs="宋体"/>
          <w:color w:val="auto"/>
          <w:kern w:val="0"/>
          <w:sz w:val="24"/>
          <w:szCs w:val="24"/>
          <w:lang w:val="en-US" w:eastAsia="zh-CN"/>
        </w:rPr>
        <w:t>1.1投标人应在认真阅读谈判文件所有内容的基础上，按照谈判文件的要求编制完整的响应文件。谈判文件中对响应文件格式有要求的，应按格式编制并逐项填写内容。投标文件中留有空项的或没有按格式制作的，将被视为不完整响应的投标文件，其投标将有可能被拒绝。</w:t>
      </w:r>
      <w:bookmarkEnd w:id="88"/>
    </w:p>
    <w:p w14:paraId="5CA932B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89" w:name="_Toc12399"/>
      <w:r>
        <w:rPr>
          <w:rFonts w:hint="eastAsia" w:ascii="宋体" w:hAnsi="宋体" w:eastAsia="宋体" w:cs="宋体"/>
          <w:color w:val="auto"/>
          <w:kern w:val="0"/>
          <w:sz w:val="24"/>
          <w:szCs w:val="24"/>
          <w:lang w:val="en-US" w:eastAsia="zh-CN"/>
        </w:rPr>
        <w:t>1.2投标人必须保证投标文件所提供的全部资料真实可靠，并接受对其中任何资料进一步审查的要求。</w:t>
      </w:r>
      <w:bookmarkEnd w:id="89"/>
    </w:p>
    <w:p w14:paraId="676416DD">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90" w:name="_Toc10247"/>
      <w:r>
        <w:rPr>
          <w:rFonts w:hint="eastAsia" w:ascii="宋体" w:hAnsi="宋体" w:eastAsia="宋体" w:cs="宋体"/>
          <w:color w:val="auto"/>
          <w:kern w:val="0"/>
          <w:sz w:val="24"/>
          <w:szCs w:val="24"/>
          <w:lang w:val="en-US" w:eastAsia="zh-CN"/>
        </w:rPr>
        <w:t>1.3</w:t>
      </w:r>
      <w:r>
        <w:rPr>
          <w:rFonts w:hint="default" w:ascii="宋体" w:hAnsi="宋体" w:cs="宋体"/>
          <w:color w:val="auto"/>
          <w:kern w:val="0"/>
          <w:sz w:val="24"/>
          <w:szCs w:val="24"/>
          <w:lang w:eastAsia="zh-CN"/>
        </w:rPr>
        <w:t>响应</w:t>
      </w:r>
      <w:r>
        <w:rPr>
          <w:rFonts w:hint="eastAsia" w:ascii="宋体" w:hAnsi="宋体" w:eastAsia="宋体" w:cs="宋体"/>
          <w:color w:val="auto"/>
          <w:kern w:val="0"/>
          <w:sz w:val="24"/>
          <w:szCs w:val="24"/>
          <w:lang w:val="en-US" w:eastAsia="zh-CN"/>
        </w:rPr>
        <w:t>文件须对</w:t>
      </w:r>
      <w:r>
        <w:rPr>
          <w:rFonts w:hint="default" w:ascii="宋体" w:hAnsi="宋体" w:cs="宋体"/>
          <w:color w:val="auto"/>
          <w:kern w:val="0"/>
          <w:sz w:val="24"/>
          <w:szCs w:val="24"/>
          <w:lang w:eastAsia="zh-CN"/>
        </w:rPr>
        <w:t>谈判</w:t>
      </w:r>
      <w:r>
        <w:rPr>
          <w:rFonts w:hint="eastAsia" w:ascii="宋体" w:hAnsi="宋体" w:eastAsia="宋体" w:cs="宋体"/>
          <w:color w:val="auto"/>
          <w:kern w:val="0"/>
          <w:sz w:val="24"/>
          <w:szCs w:val="24"/>
          <w:lang w:val="en-US" w:eastAsia="zh-CN"/>
        </w:rPr>
        <w:t>文件中的内容做出实质性和完整性的响应，否则其投标将被视为无效投标，按废标处理。</w:t>
      </w:r>
      <w:bookmarkEnd w:id="90"/>
    </w:p>
    <w:p w14:paraId="09F49B3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响应文件构成和格式</w:t>
      </w:r>
    </w:p>
    <w:p w14:paraId="55B3C0E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91" w:name="_Toc28302"/>
      <w:r>
        <w:rPr>
          <w:rFonts w:hint="eastAsia" w:ascii="宋体" w:hAnsi="宋体" w:eastAsia="宋体" w:cs="宋体"/>
          <w:color w:val="auto"/>
          <w:kern w:val="0"/>
          <w:sz w:val="24"/>
          <w:szCs w:val="24"/>
          <w:lang w:val="en-US" w:eastAsia="zh-CN"/>
        </w:rPr>
        <w:t>投标人应按照本须知响应文件构成和格式及第五章提供的格式编写投标文件，不得缺少</w:t>
      </w:r>
      <w:r>
        <w:rPr>
          <w:rFonts w:hint="default" w:ascii="宋体" w:hAnsi="宋体" w:cs="宋体"/>
          <w:color w:val="auto"/>
          <w:kern w:val="0"/>
          <w:sz w:val="24"/>
          <w:szCs w:val="24"/>
          <w:lang w:eastAsia="zh-CN"/>
        </w:rPr>
        <w:t>谈判</w:t>
      </w:r>
      <w:r>
        <w:rPr>
          <w:rFonts w:hint="eastAsia" w:ascii="宋体" w:hAnsi="宋体" w:eastAsia="宋体" w:cs="宋体"/>
          <w:color w:val="auto"/>
          <w:kern w:val="0"/>
          <w:sz w:val="24"/>
          <w:szCs w:val="24"/>
          <w:lang w:val="en-US" w:eastAsia="zh-CN"/>
        </w:rPr>
        <w:t>文件要求填写的表格或提交的资料。</w:t>
      </w:r>
      <w:bookmarkEnd w:id="91"/>
    </w:p>
    <w:p w14:paraId="14E788DD">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谈判报价</w:t>
      </w:r>
      <w:bookmarkEnd w:id="87"/>
    </w:p>
    <w:p w14:paraId="0B9B2416">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92" w:name="_Toc29200"/>
      <w:bookmarkStart w:id="93" w:name="_Toc536202300"/>
      <w:r>
        <w:rPr>
          <w:rFonts w:hint="eastAsia" w:ascii="宋体" w:hAnsi="宋体" w:eastAsia="宋体" w:cs="宋体"/>
          <w:color w:val="auto"/>
          <w:kern w:val="0"/>
          <w:sz w:val="24"/>
          <w:szCs w:val="24"/>
          <w:lang w:val="en-US" w:eastAsia="zh-CN"/>
        </w:rPr>
        <w:t>3.1谈判报价为完成本项目所要求全部采购内容的费用和国家按现行税收政策征收的一切税费（包括成交服务费）。</w:t>
      </w:r>
    </w:p>
    <w:p w14:paraId="28245D9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供应商须对货物需求和服务要求进行完整报价。采购人拒绝只对部分货物进行报价的谈判。供应商应在谈判响应文件中的谈判分项报价表上标明对本次采购拟提供货物和服务的单价和总价（以采购内容为准自行编制），任何有选择的报价将不予接受。</w:t>
      </w:r>
    </w:p>
    <w:p w14:paraId="48705C3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3.3所有根据合同或其他原因应由供应商支付的税款和其他应</w:t>
      </w:r>
      <w:r>
        <w:rPr>
          <w:rFonts w:hint="eastAsia" w:ascii="宋体" w:hAnsi="宋体" w:cs="宋体"/>
          <w:color w:val="auto"/>
          <w:kern w:val="0"/>
          <w:sz w:val="24"/>
          <w:szCs w:val="24"/>
          <w:lang w:val="en-US" w:eastAsia="zh-CN"/>
        </w:rPr>
        <w:t>缴纳</w:t>
      </w:r>
      <w:r>
        <w:rPr>
          <w:rFonts w:hint="eastAsia" w:ascii="宋体" w:hAnsi="宋体" w:eastAsia="宋体" w:cs="宋体"/>
          <w:color w:val="auto"/>
          <w:kern w:val="0"/>
          <w:sz w:val="24"/>
          <w:szCs w:val="24"/>
          <w:lang w:val="en-US" w:eastAsia="zh-CN"/>
        </w:rPr>
        <w:t>的费用都要包括在供应商提交的谈判报价中。</w:t>
      </w:r>
    </w:p>
    <w:p w14:paraId="5126C54A">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3.4</w:t>
      </w:r>
      <w:r>
        <w:rPr>
          <w:rFonts w:hint="eastAsia" w:ascii="宋体" w:hAnsi="宋体" w:eastAsia="宋体" w:cs="宋体"/>
          <w:b/>
          <w:bCs/>
          <w:color w:val="auto"/>
          <w:kern w:val="0"/>
          <w:sz w:val="24"/>
          <w:szCs w:val="24"/>
          <w:lang w:val="en-US" w:eastAsia="zh-CN"/>
        </w:rPr>
        <w:t>本项目采购预算为</w:t>
      </w:r>
      <w:r>
        <w:rPr>
          <w:rFonts w:hint="eastAsia" w:ascii="宋体" w:hAnsi="宋体" w:cs="宋体"/>
          <w:b/>
          <w:bCs/>
          <w:color w:val="auto"/>
          <w:kern w:val="0"/>
          <w:sz w:val="24"/>
          <w:szCs w:val="24"/>
          <w:lang w:val="en-US" w:eastAsia="zh-CN"/>
        </w:rPr>
        <w:t>贰拾贰万元整</w:t>
      </w: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220000.00元</w:t>
      </w: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(包1</w:t>
      </w:r>
      <w:r>
        <w:rPr>
          <w:rFonts w:hint="eastAsia" w:ascii="宋体" w:hAnsi="宋体" w:eastAsia="宋体" w:cs="宋体"/>
          <w:b/>
          <w:bCs/>
          <w:i w:val="0"/>
          <w:iCs w:val="0"/>
          <w:caps w:val="0"/>
          <w:color w:val="333333"/>
          <w:spacing w:val="0"/>
          <w:sz w:val="24"/>
          <w:szCs w:val="24"/>
          <w:shd w:val="clear" w:fill="FFFFFF"/>
        </w:rPr>
        <w:t>新生儿配方奶粉及早期早产儿奶粉</w:t>
      </w:r>
      <w:r>
        <w:rPr>
          <w:rFonts w:hint="eastAsia" w:ascii="宋体" w:hAnsi="宋体" w:eastAsia="宋体" w:cs="宋体"/>
          <w:b/>
          <w:bCs/>
          <w:i w:val="0"/>
          <w:iCs w:val="0"/>
          <w:caps w:val="0"/>
          <w:color w:val="333333"/>
          <w:spacing w:val="0"/>
          <w:sz w:val="24"/>
          <w:szCs w:val="24"/>
          <w:shd w:val="clear" w:fill="FFFFFF"/>
          <w:lang w:val="en-US" w:eastAsia="zh-CN"/>
        </w:rPr>
        <w:t>采购预算110000.00元</w:t>
      </w: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包2</w:t>
      </w:r>
      <w:r>
        <w:rPr>
          <w:rFonts w:hint="eastAsia" w:ascii="宋体" w:hAnsi="宋体" w:eastAsia="宋体" w:cs="宋体"/>
          <w:b/>
          <w:bCs/>
          <w:i w:val="0"/>
          <w:iCs w:val="0"/>
          <w:caps w:val="0"/>
          <w:color w:val="333333"/>
          <w:spacing w:val="0"/>
          <w:sz w:val="24"/>
          <w:szCs w:val="24"/>
          <w:shd w:val="clear" w:fill="FFFFFF"/>
        </w:rPr>
        <w:t>新生儿配方奶粉及</w:t>
      </w:r>
      <w:r>
        <w:rPr>
          <w:rFonts w:hint="eastAsia" w:ascii="宋体" w:hAnsi="宋体" w:eastAsia="宋体" w:cs="宋体"/>
          <w:b/>
          <w:bCs/>
          <w:i w:val="0"/>
          <w:iCs w:val="0"/>
          <w:caps w:val="0"/>
          <w:color w:val="333333"/>
          <w:spacing w:val="0"/>
          <w:sz w:val="24"/>
          <w:szCs w:val="24"/>
          <w:shd w:val="clear" w:fill="FFFFFF"/>
          <w:lang w:val="en-US" w:eastAsia="zh-CN"/>
        </w:rPr>
        <w:t>晚</w:t>
      </w:r>
      <w:r>
        <w:rPr>
          <w:rFonts w:hint="eastAsia" w:ascii="宋体" w:hAnsi="宋体" w:eastAsia="宋体" w:cs="宋体"/>
          <w:b/>
          <w:bCs/>
          <w:i w:val="0"/>
          <w:iCs w:val="0"/>
          <w:caps w:val="0"/>
          <w:color w:val="333333"/>
          <w:spacing w:val="0"/>
          <w:sz w:val="24"/>
          <w:szCs w:val="24"/>
          <w:shd w:val="clear" w:fill="FFFFFF"/>
        </w:rPr>
        <w:t>期早产儿奶粉</w:t>
      </w:r>
      <w:r>
        <w:rPr>
          <w:rFonts w:hint="eastAsia" w:ascii="宋体" w:hAnsi="宋体" w:eastAsia="宋体" w:cs="宋体"/>
          <w:b/>
          <w:bCs/>
          <w:i w:val="0"/>
          <w:iCs w:val="0"/>
          <w:caps w:val="0"/>
          <w:color w:val="333333"/>
          <w:spacing w:val="0"/>
          <w:sz w:val="24"/>
          <w:szCs w:val="24"/>
          <w:shd w:val="clear" w:fill="FFFFFF"/>
          <w:lang w:val="en-US" w:eastAsia="zh-CN"/>
        </w:rPr>
        <w:t>采购预算110000.00元</w:t>
      </w:r>
      <w:r>
        <w:rPr>
          <w:rFonts w:hint="eastAsia" w:ascii="宋体" w:hAnsi="宋体" w:eastAsia="宋体" w:cs="宋体"/>
          <w:b/>
          <w:bCs/>
          <w:i w:val="0"/>
          <w:iCs w:val="0"/>
          <w:caps w:val="0"/>
          <w:color w:val="333333"/>
          <w:spacing w:val="0"/>
          <w:sz w:val="24"/>
          <w:szCs w:val="24"/>
          <w:shd w:val="clear" w:fill="FFFFFF"/>
          <w:lang w:eastAsia="zh-CN"/>
        </w:rPr>
        <w:t>），</w:t>
      </w:r>
      <w:r>
        <w:rPr>
          <w:rFonts w:hint="eastAsia" w:ascii="宋体" w:hAnsi="宋体" w:eastAsia="宋体" w:cs="宋体"/>
          <w:b/>
          <w:bCs/>
          <w:color w:val="auto"/>
          <w:kern w:val="0"/>
          <w:sz w:val="24"/>
          <w:szCs w:val="24"/>
          <w:lang w:val="en-US" w:eastAsia="zh-CN"/>
        </w:rPr>
        <w:t>谈判报价超过采购预算则视为废标。</w:t>
      </w:r>
    </w:p>
    <w:p w14:paraId="7DD0A57E">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3.5供应商不得以低于成本的报价参加谈判，供应商的投标报价明显低于其他投标供应商的报价，经谈判小组质询后不能在规定时间内说明理由，或说明理由经谈判小组认为不成立，则按无效标处理。</w:t>
      </w:r>
    </w:p>
    <w:p w14:paraId="2FD1B3B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3.6响应报价表应有法定代表人或被授权人的签字。</w:t>
      </w:r>
    </w:p>
    <w:p w14:paraId="288ADFEF">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4</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谈判货币</w:t>
      </w:r>
      <w:bookmarkEnd w:id="92"/>
      <w:bookmarkEnd w:id="93"/>
    </w:p>
    <w:p w14:paraId="2EFB5F3B">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采购人只接受人民币作为唯一谈判货币。以人民币为投标货币。以元为报价单位，保留小数点后两位。</w:t>
      </w:r>
    </w:p>
    <w:p w14:paraId="11A7C83A">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94" w:name="_Toc1311"/>
      <w:bookmarkStart w:id="95" w:name="_Toc536202301"/>
      <w:r>
        <w:rPr>
          <w:rFonts w:hint="eastAsia" w:ascii="宋体" w:hAnsi="宋体" w:eastAsia="宋体" w:cs="宋体"/>
          <w:b/>
          <w:bCs/>
          <w:color w:val="auto"/>
          <w:kern w:val="0"/>
          <w:sz w:val="24"/>
          <w:szCs w:val="24"/>
          <w:lang w:val="en-US" w:eastAsia="zh-CN"/>
        </w:rPr>
        <w:t>5</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谈判保证金</w:t>
      </w:r>
      <w:bookmarkEnd w:id="94"/>
      <w:bookmarkEnd w:id="95"/>
    </w:p>
    <w:p w14:paraId="752BD30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96" w:name="_Toc536202302"/>
      <w:r>
        <w:rPr>
          <w:rFonts w:hint="eastAsia" w:ascii="宋体" w:hAnsi="宋体" w:cs="宋体"/>
          <w:color w:val="auto"/>
          <w:kern w:val="0"/>
          <w:sz w:val="24"/>
          <w:szCs w:val="24"/>
          <w:lang w:val="en-US" w:eastAsia="zh-CN"/>
        </w:rPr>
        <w:t>本项目</w:t>
      </w:r>
      <w:r>
        <w:rPr>
          <w:rFonts w:hint="eastAsia" w:ascii="宋体" w:hAnsi="宋体" w:eastAsia="宋体" w:cs="宋体"/>
          <w:color w:val="auto"/>
          <w:kern w:val="0"/>
          <w:sz w:val="24"/>
          <w:szCs w:val="24"/>
          <w:lang w:val="en-US" w:eastAsia="zh-CN"/>
        </w:rPr>
        <w:t>不</w:t>
      </w:r>
      <w:r>
        <w:rPr>
          <w:rFonts w:hint="eastAsia" w:ascii="宋体" w:hAnsi="宋体" w:cs="宋体"/>
          <w:color w:val="auto"/>
          <w:kern w:val="0"/>
          <w:sz w:val="24"/>
          <w:szCs w:val="24"/>
          <w:lang w:val="en-US" w:eastAsia="zh-CN"/>
        </w:rPr>
        <w:t>设置</w:t>
      </w:r>
      <w:r>
        <w:rPr>
          <w:rFonts w:hint="eastAsia" w:ascii="宋体" w:hAnsi="宋体" w:eastAsia="宋体" w:cs="宋体"/>
          <w:color w:val="auto"/>
          <w:kern w:val="0"/>
          <w:sz w:val="24"/>
          <w:szCs w:val="24"/>
          <w:lang w:val="en-US" w:eastAsia="zh-CN"/>
        </w:rPr>
        <w:t>谈判保证金。</w:t>
      </w:r>
    </w:p>
    <w:p w14:paraId="50D771F0">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6</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响应有效期</w:t>
      </w:r>
      <w:bookmarkEnd w:id="96"/>
    </w:p>
    <w:p w14:paraId="1F2362C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响应文件有效期及法定代表人授权书有效期为递交响应文件截止时间起90个日历日，响应有效期短于此规定期限的响应文件，视为无效文件，其谈判将被拒绝。成交单位的响应文件有效期延长至合同执行完毕。</w:t>
      </w:r>
    </w:p>
    <w:p w14:paraId="7BC8DAFD">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97" w:name="_Toc536202303"/>
      <w:bookmarkStart w:id="98" w:name="_Toc24827"/>
      <w:r>
        <w:rPr>
          <w:rFonts w:hint="eastAsia" w:ascii="宋体" w:hAnsi="宋体" w:eastAsia="宋体" w:cs="宋体"/>
          <w:b/>
          <w:bCs/>
          <w:color w:val="auto"/>
          <w:kern w:val="0"/>
          <w:sz w:val="24"/>
          <w:szCs w:val="24"/>
          <w:lang w:val="en-US" w:eastAsia="zh-CN"/>
        </w:rPr>
        <w:t>7</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响应文件的格式、装订、密封和签署</w:t>
      </w:r>
      <w:bookmarkEnd w:id="97"/>
      <w:bookmarkEnd w:id="98"/>
    </w:p>
    <w:p w14:paraId="0D84B34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7.1供应商须依据竞争性谈判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1B92EB9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7.2响应文件的装订</w:t>
      </w:r>
    </w:p>
    <w:p w14:paraId="10D6AD4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响应文件正本壹份、副本</w:t>
      </w:r>
      <w:r>
        <w:rPr>
          <w:rFonts w:hint="eastAsia" w:ascii="宋体" w:hAnsi="宋体" w:cs="宋体"/>
          <w:color w:val="auto"/>
          <w:kern w:val="0"/>
          <w:sz w:val="24"/>
          <w:szCs w:val="24"/>
          <w:lang w:val="en-US" w:eastAsia="zh-CN"/>
        </w:rPr>
        <w:t>贰</w:t>
      </w:r>
      <w:r>
        <w:rPr>
          <w:rFonts w:hint="eastAsia" w:ascii="宋体" w:hAnsi="宋体" w:eastAsia="宋体" w:cs="宋体"/>
          <w:color w:val="auto"/>
          <w:kern w:val="0"/>
          <w:sz w:val="24"/>
          <w:szCs w:val="24"/>
          <w:lang w:val="en-US" w:eastAsia="zh-CN"/>
        </w:rPr>
        <w:t>份，分别胶装装订成册，且封面须清楚地标明“正本”或“副本”；若正本和副本不符，以正本书面文件为准；同时提供与正本内容一致的电子版（电子版包括：（1）word版投标文件；（2）投标文件正本签字盖章后的PDF格式扫描件，与正本具有同等法律效力），电子版放置“正本”密封袋内。</w:t>
      </w:r>
    </w:p>
    <w:p w14:paraId="35E8A0B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7.3响应文件的签署</w:t>
      </w:r>
    </w:p>
    <w:p w14:paraId="273923F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供应商应在</w:t>
      </w:r>
      <w:r>
        <w:rPr>
          <w:rFonts w:hint="eastAsia" w:ascii="宋体" w:hAnsi="宋体" w:cs="宋体"/>
          <w:color w:val="auto"/>
          <w:kern w:val="0"/>
          <w:sz w:val="24"/>
          <w:szCs w:val="24"/>
          <w:lang w:val="en-US" w:eastAsia="zh-CN"/>
        </w:rPr>
        <w:t>响应</w:t>
      </w:r>
      <w:r>
        <w:rPr>
          <w:rFonts w:hint="eastAsia" w:ascii="宋体" w:hAnsi="宋体" w:eastAsia="宋体" w:cs="宋体"/>
          <w:color w:val="auto"/>
          <w:kern w:val="0"/>
          <w:sz w:val="24"/>
          <w:szCs w:val="24"/>
          <w:lang w:val="en-US" w:eastAsia="zh-CN"/>
        </w:rPr>
        <w:t>文件正副本中指定的页面落款处填写供应商全称，并按要求加盖公章及签字（包括投标文件的封面）侧面还需加盖骑缝章。</w:t>
      </w:r>
    </w:p>
    <w:p w14:paraId="2A44DA30">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响应文件应字迹清楚、内容齐全、不得涂改或增删。如有修改和增删，必须有供应商公章及法定代表人或其授权代表签字。</w:t>
      </w:r>
    </w:p>
    <w:p w14:paraId="7B3C9F7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因响应文件字迹潦草或表达不清所引起的不利后果由供应商承担。</w:t>
      </w:r>
    </w:p>
    <w:p w14:paraId="62F34043">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7.4响应文件的密封</w:t>
      </w:r>
    </w:p>
    <w:p w14:paraId="158C13C7">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格证明文件、投标文件正本、副本分别密封装在单独的封袋中（封袋不得有破损），且在封袋正面标明“资格证明文件”“正本”“副本”，电子版放置“正本”密封袋内。封袋应加贴封条，并在封线处加盖供应商鲜章及在该处签署法定代表人或供应商代表的全名或加盖本人签名章。</w:t>
      </w:r>
    </w:p>
    <w:p w14:paraId="1D0F51FE">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标记要求：</w:t>
      </w:r>
    </w:p>
    <w:p w14:paraId="79ACB5C3">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 标明“安康尚昊招标代理有限公司”；</w:t>
      </w:r>
    </w:p>
    <w:p w14:paraId="354B35E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 注明项目名称、项目编号、标段号和“在    年   月  日    时之前不得启封”的字样；</w:t>
      </w:r>
    </w:p>
    <w:p w14:paraId="10A3D4FF">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 标明供应商名称和地址并加盖供应商公章；</w:t>
      </w:r>
    </w:p>
    <w:p w14:paraId="7E255FFB">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7.5本次谈判只接受简体中文文字的响应文件；如响应文件中出现外文资料，必须配以中文译文。否则，由此引发的一切责任由供应商自负。</w:t>
      </w:r>
    </w:p>
    <w:p w14:paraId="286742F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7.6拒绝接受以电话、传真、电子邮件形式的谈判。</w:t>
      </w:r>
    </w:p>
    <w:p w14:paraId="7F9D1D8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99" w:name="_Toc536202304"/>
      <w:bookmarkStart w:id="100" w:name="_Toc22752"/>
      <w:r>
        <w:rPr>
          <w:rFonts w:hint="eastAsia" w:ascii="宋体" w:hAnsi="宋体" w:eastAsia="宋体" w:cs="宋体"/>
          <w:b/>
          <w:bCs/>
          <w:color w:val="auto"/>
          <w:kern w:val="0"/>
          <w:sz w:val="24"/>
          <w:szCs w:val="24"/>
          <w:lang w:val="en-US" w:eastAsia="zh-CN"/>
        </w:rPr>
        <w:t>8.知识产权</w:t>
      </w:r>
      <w:bookmarkEnd w:id="99"/>
      <w:bookmarkEnd w:id="100"/>
    </w:p>
    <w:p w14:paraId="4922ED8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供应商应保证在本项目使用的任何产品和服务（包括部分使用）时，不会产生因第三方提出侵犯其专利权、商标权或其它知识产权而引起的法律和经济纠纷，如因专利权、商标权或其他知识产权而引起法律纠纷和经济纠纷，由供应商承担所有相关责任。</w:t>
      </w:r>
    </w:p>
    <w:p w14:paraId="3F2F426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8.2采购人享有本项目在实施过程中产生的知识成果及知识产权。</w:t>
      </w:r>
    </w:p>
    <w:p w14:paraId="5269D40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1B2DF6EE">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bookmarkStart w:id="101" w:name="_Toc22646"/>
      <w:r>
        <w:rPr>
          <w:rFonts w:hint="eastAsia" w:ascii="宋体" w:hAnsi="宋体" w:eastAsia="宋体" w:cs="宋体"/>
          <w:color w:val="auto"/>
          <w:kern w:val="0"/>
          <w:sz w:val="24"/>
          <w:szCs w:val="24"/>
          <w:lang w:val="en-US" w:eastAsia="zh-CN"/>
        </w:rPr>
        <w:t>8.4如供应商所不拥有的知识产权，则在响应报价中必须包括合法获取该知识产权的相关费用。</w:t>
      </w:r>
      <w:bookmarkEnd w:id="101"/>
      <w:bookmarkStart w:id="102" w:name="_Toc536202305"/>
      <w:bookmarkStart w:id="103" w:name="_Toc19543339"/>
      <w:bookmarkStart w:id="104" w:name="_Toc536202382"/>
      <w:bookmarkStart w:id="105" w:name="_Toc4747"/>
      <w:bookmarkStart w:id="106" w:name="_Toc536429322"/>
      <w:bookmarkStart w:id="107" w:name="_Toc3565"/>
      <w:bookmarkStart w:id="108" w:name="_Toc536429375"/>
      <w:bookmarkStart w:id="109" w:name="_Toc3736"/>
    </w:p>
    <w:p w14:paraId="485CE46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jc w:val="center"/>
        <w:textAlignment w:val="auto"/>
        <w:rPr>
          <w:rFonts w:hint="eastAsia" w:ascii="宋体" w:hAnsi="宋体" w:eastAsia="宋体" w:cs="宋体"/>
          <w:color w:val="auto"/>
          <w:kern w:val="0"/>
          <w:sz w:val="24"/>
          <w:szCs w:val="24"/>
          <w:lang w:val="en-US" w:eastAsia="zh-CN"/>
        </w:rPr>
      </w:pPr>
      <w:bookmarkStart w:id="110" w:name="_Toc20490"/>
      <w:r>
        <w:rPr>
          <w:rFonts w:hint="eastAsia" w:ascii="宋体" w:hAnsi="宋体" w:eastAsia="宋体" w:cs="宋体"/>
          <w:b/>
          <w:bCs/>
          <w:color w:val="auto"/>
          <w:kern w:val="0"/>
          <w:sz w:val="24"/>
          <w:szCs w:val="24"/>
          <w:lang w:val="en-US" w:eastAsia="zh-CN"/>
        </w:rPr>
        <w:t>四、响应文件的递交</w:t>
      </w:r>
      <w:bookmarkEnd w:id="102"/>
      <w:bookmarkEnd w:id="103"/>
      <w:bookmarkEnd w:id="104"/>
      <w:bookmarkEnd w:id="105"/>
      <w:bookmarkEnd w:id="106"/>
      <w:bookmarkEnd w:id="107"/>
      <w:bookmarkEnd w:id="108"/>
      <w:r>
        <w:rPr>
          <w:rFonts w:hint="eastAsia" w:ascii="宋体" w:hAnsi="宋体" w:eastAsia="宋体" w:cs="宋体"/>
          <w:b/>
          <w:bCs/>
          <w:color w:val="auto"/>
          <w:kern w:val="0"/>
          <w:sz w:val="24"/>
          <w:szCs w:val="24"/>
          <w:lang w:val="en-US" w:eastAsia="zh-CN"/>
        </w:rPr>
        <w:t>、开启与解密</w:t>
      </w:r>
      <w:bookmarkEnd w:id="109"/>
      <w:bookmarkEnd w:id="110"/>
    </w:p>
    <w:p w14:paraId="3C7F12C9">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bookmarkStart w:id="111" w:name="_Toc3685"/>
      <w:bookmarkStart w:id="112" w:name="_Toc536202306"/>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响应文件递交</w:t>
      </w:r>
      <w:bookmarkEnd w:id="111"/>
      <w:bookmarkEnd w:id="112"/>
    </w:p>
    <w:p w14:paraId="2D493B54">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供应商必须在竞争性谈判文件规定的响应文件递交截止时间之前，将全部响应文件递交至代理机构项目工作人员；代理机构项目承办人在竞争性谈判文件规定的响应文件递交截止时间前，只负责响应文件的接收、清点、造册登记工作，并请供应商代表签字确认，对其有效性不负任何责任。</w:t>
      </w:r>
    </w:p>
    <w:p w14:paraId="6D63F62F">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1.2代理机构在宣布递交响应文件时间截止之后，拒绝接收任何人送达、递交的响应文件及其他资料；</w:t>
      </w:r>
    </w:p>
    <w:p w14:paraId="4EACECF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1.3代理机构不接受邮寄的响应文件；</w:t>
      </w:r>
    </w:p>
    <w:p w14:paraId="0FC09C01">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1.4无论供应商成交与否，其响应文件恕不退还。</w:t>
      </w:r>
    </w:p>
    <w:bookmarkEnd w:id="77"/>
    <w:bookmarkEnd w:id="78"/>
    <w:bookmarkEnd w:id="79"/>
    <w:bookmarkEnd w:id="80"/>
    <w:bookmarkEnd w:id="81"/>
    <w:bookmarkEnd w:id="82"/>
    <w:bookmarkEnd w:id="83"/>
    <w:bookmarkEnd w:id="84"/>
    <w:bookmarkEnd w:id="85"/>
    <w:bookmarkEnd w:id="86"/>
    <w:p w14:paraId="46B23F22">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提交竞争性谈判响应文件截止时间、签到、密封核实</w:t>
      </w:r>
    </w:p>
    <w:p w14:paraId="04D41BAA">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2.1竞争性谈判响应文件须按照竞争性谈判文件规定的时间、地点送达。在提交竞争性谈判响应文件截止时间以后送达的竞争性谈判响应文件，代理机构将拒绝接收投标人的竞争性谈判响应文件。</w:t>
      </w:r>
    </w:p>
    <w:p w14:paraId="15B108FD">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2.2参加报价的投标人代表须在报价投标人签到表中签到。</w:t>
      </w:r>
    </w:p>
    <w:p w14:paraId="5EC8ACC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参加报价的投标人代表须在采购代理机构工作人员的主持下及监标人的监督下查验响应文件的密封情况并在报价投标人密封核实情况表中签字确认，投标人代表须对签字确认结果承担相应的法律责任。响应文件经确认无误后，由采购人或采购代理机构当众拆封竞争性谈判文件。</w:t>
      </w:r>
    </w:p>
    <w:p w14:paraId="67008D35">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采购代理机构可以按本须知第二项“竞争性谈判文件”第4条规定，通知因修改竞争性谈判文件而适当延长谈判截止期。在此情况下，采购单位和投标人受谈判截止期制约的所有权利和义务均应延长至新的截止期。</w:t>
      </w:r>
    </w:p>
    <w:p w14:paraId="7193E87B">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竞争性谈判响应文件的修改和撤回</w:t>
      </w:r>
    </w:p>
    <w:p w14:paraId="3479383C">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3.1投标人在递交竞争性谈判响应文件后，谈判截止时间前，可以修改或撤回其竞争性谈判响应文件。但投标人必须在规定的谈判截止期之前将修改或撤回的书面通知递交到采购代理机构。</w:t>
      </w:r>
    </w:p>
    <w:p w14:paraId="37581762">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3.2投标人的修改或撤回通知书应按本须知第三项第7条响应文件的格式、装订、密封和签署，并在内层封套上加注“修改”或“撤回”字样。</w:t>
      </w:r>
    </w:p>
    <w:p w14:paraId="31599F28">
      <w:pPr>
        <w:pStyle w:val="50"/>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在谈判截止日期之后，投标人不得对其竞争性谈判响应文件做任何修改。从谈判截止期始至竞争性谈判文件确定的竞争性谈判响应文件有效期期满这段时间内，投标人不得撤回其竞争性谈判响应文件，否则其谈判保证金将被没收。</w:t>
      </w:r>
    </w:p>
    <w:p w14:paraId="57E1C1E7">
      <w:pPr>
        <w:pageBreakBefore w:val="0"/>
        <w:kinsoku/>
        <w:wordWrap/>
        <w:overflowPunct/>
        <w:topLinePunct w:val="0"/>
        <w:bidi w:val="0"/>
        <w:adjustRightInd w:val="0"/>
        <w:snapToGrid w:val="0"/>
        <w:spacing w:line="312" w:lineRule="auto"/>
        <w:ind w:firstLine="482" w:firstLineChars="200"/>
        <w:jc w:val="center"/>
        <w:textAlignment w:val="auto"/>
        <w:rPr>
          <w:rFonts w:hint="eastAsia" w:ascii="宋体" w:hAnsi="宋体" w:eastAsia="宋体" w:cs="宋体"/>
          <w:b/>
          <w:kern w:val="0"/>
          <w:sz w:val="24"/>
          <w:szCs w:val="24"/>
          <w:lang w:eastAsia="zh-CN"/>
        </w:rPr>
      </w:pPr>
      <w:bookmarkStart w:id="113" w:name="_Toc23315668"/>
      <w:bookmarkStart w:id="114" w:name="_Toc23316528"/>
      <w:bookmarkStart w:id="115" w:name="_Toc35335264"/>
      <w:bookmarkStart w:id="116" w:name="_Toc23900"/>
      <w:bookmarkStart w:id="117" w:name="_Toc14189282"/>
      <w:bookmarkStart w:id="118" w:name="_Toc23316690"/>
      <w:bookmarkStart w:id="119" w:name="_Toc14189415"/>
      <w:bookmarkStart w:id="120" w:name="_Toc23316592"/>
      <w:bookmarkStart w:id="121" w:name="_Toc8901"/>
      <w:bookmarkStart w:id="122" w:name="_Toc18412207"/>
      <w:r>
        <w:rPr>
          <w:rFonts w:hint="eastAsia" w:ascii="宋体" w:hAnsi="宋体" w:eastAsia="宋体" w:cs="宋体"/>
          <w:b/>
          <w:kern w:val="0"/>
          <w:sz w:val="24"/>
          <w:szCs w:val="24"/>
          <w:lang w:eastAsia="zh-CN"/>
        </w:rPr>
        <w:t>五</w:t>
      </w:r>
      <w:r>
        <w:rPr>
          <w:rFonts w:hint="eastAsia" w:ascii="宋体" w:hAnsi="宋体" w:eastAsia="宋体" w:cs="宋体"/>
          <w:b/>
          <w:kern w:val="0"/>
          <w:sz w:val="24"/>
          <w:szCs w:val="24"/>
        </w:rPr>
        <w:t>、谈判</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评审</w:t>
      </w:r>
      <w:r>
        <w:rPr>
          <w:rFonts w:hint="eastAsia" w:ascii="宋体" w:hAnsi="宋体" w:eastAsia="宋体" w:cs="宋体"/>
          <w:b/>
          <w:kern w:val="0"/>
          <w:sz w:val="24"/>
          <w:szCs w:val="24"/>
          <w:lang w:eastAsia="zh-CN"/>
        </w:rPr>
        <w:t>、定标</w:t>
      </w:r>
    </w:p>
    <w:p w14:paraId="77202B23">
      <w:pPr>
        <w:pageBreakBefore w:val="0"/>
        <w:kinsoku/>
        <w:wordWrap/>
        <w:overflowPunct/>
        <w:topLinePunct w:val="0"/>
        <w:bidi w:val="0"/>
        <w:spacing w:line="312"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eastAsia="宋体" w:cs="宋体"/>
          <w:b/>
          <w:bCs/>
          <w:sz w:val="24"/>
          <w:lang w:val="en-US" w:eastAsia="zh-CN"/>
        </w:rPr>
        <w:t>.</w:t>
      </w:r>
      <w:r>
        <w:rPr>
          <w:rFonts w:hint="eastAsia" w:ascii="宋体" w:hAnsi="宋体" w:eastAsia="宋体" w:cs="宋体"/>
          <w:b/>
          <w:bCs/>
          <w:sz w:val="24"/>
        </w:rPr>
        <w:t>谈判</w:t>
      </w:r>
    </w:p>
    <w:p w14:paraId="6791A1C0">
      <w:pPr>
        <w:pageBreakBefore w:val="0"/>
        <w:widowControl/>
        <w:tabs>
          <w:tab w:val="left" w:pos="0"/>
        </w:tabs>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1.1采购代理机构按</w:t>
      </w:r>
      <w:r>
        <w:rPr>
          <w:rFonts w:hint="eastAsia" w:ascii="宋体" w:hAnsi="宋体" w:eastAsia="宋体" w:cs="宋体"/>
          <w:sz w:val="24"/>
          <w:szCs w:val="24"/>
          <w:lang w:eastAsia="zh-CN"/>
        </w:rPr>
        <w:t>谈判</w:t>
      </w:r>
      <w:r>
        <w:rPr>
          <w:rFonts w:hint="eastAsia" w:ascii="宋体" w:hAnsi="宋体" w:eastAsia="宋体" w:cs="宋体"/>
          <w:sz w:val="24"/>
          <w:szCs w:val="24"/>
        </w:rPr>
        <w:t>公告中规定的时间和地点接收供应商递交的响应文件，主持</w:t>
      </w:r>
      <w:r>
        <w:rPr>
          <w:rFonts w:hint="eastAsia" w:ascii="宋体" w:hAnsi="宋体" w:eastAsia="宋体" w:cs="宋体"/>
          <w:sz w:val="24"/>
          <w:szCs w:val="24"/>
          <w:lang w:eastAsia="zh-CN"/>
        </w:rPr>
        <w:t>谈判</w:t>
      </w:r>
      <w:r>
        <w:rPr>
          <w:rFonts w:hint="eastAsia" w:ascii="宋体" w:hAnsi="宋体" w:eastAsia="宋体" w:cs="宋体"/>
          <w:sz w:val="24"/>
          <w:szCs w:val="24"/>
        </w:rPr>
        <w:t>会议，邀请供应商代表</w:t>
      </w:r>
      <w:r>
        <w:rPr>
          <w:rFonts w:hint="eastAsia" w:ascii="宋体" w:hAnsi="宋体" w:eastAsia="宋体" w:cs="宋体"/>
          <w:sz w:val="24"/>
          <w:szCs w:val="24"/>
          <w:lang w:eastAsia="zh-CN"/>
        </w:rPr>
        <w:t>及采购人代表</w:t>
      </w:r>
      <w:r>
        <w:rPr>
          <w:rFonts w:hint="eastAsia" w:ascii="宋体" w:hAnsi="宋体" w:eastAsia="宋体" w:cs="宋体"/>
          <w:sz w:val="24"/>
          <w:szCs w:val="24"/>
        </w:rPr>
        <w:t>参加。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29C47103">
      <w:pPr>
        <w:pageBreakBefore w:val="0"/>
        <w:widowControl/>
        <w:tabs>
          <w:tab w:val="left" w:pos="0"/>
        </w:tabs>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谈判</w:t>
      </w:r>
      <w:r>
        <w:rPr>
          <w:rFonts w:hint="eastAsia" w:ascii="宋体" w:hAnsi="宋体" w:eastAsia="宋体" w:cs="宋体"/>
          <w:sz w:val="24"/>
          <w:szCs w:val="24"/>
        </w:rPr>
        <w:t>时，当众查验投标文件密封情况，由投标人或者其推选的代表检查投标文件的密封情况，以确认各投标人的投标文件密封情况是否与递交时一致，没有被提前启封等异常情况。</w:t>
      </w:r>
    </w:p>
    <w:p w14:paraId="3E0DA4E6">
      <w:pPr>
        <w:pageBreakBefore w:val="0"/>
        <w:widowControl/>
        <w:tabs>
          <w:tab w:val="left" w:pos="0"/>
        </w:tabs>
        <w:wordWrap/>
        <w:topLinePunct w:val="0"/>
        <w:autoSpaceDE/>
        <w:autoSpaceDN/>
        <w:bidi w:val="0"/>
        <w:spacing w:line="336"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1.3经确认无误后，密封不合格的投标文件以及按照本须知“投标文件的修改和撤回”规定，提交了可接受的“撤回”通知书的投标文件将不予拆封。</w:t>
      </w:r>
    </w:p>
    <w:p w14:paraId="29D136B3">
      <w:pPr>
        <w:pageBreakBefore w:val="0"/>
        <w:widowControl/>
        <w:tabs>
          <w:tab w:val="left" w:pos="0"/>
        </w:tabs>
        <w:wordWrap/>
        <w:topLinePunct w:val="0"/>
        <w:autoSpaceDE/>
        <w:autoSpaceDN/>
        <w:bidi w:val="0"/>
        <w:spacing w:line="336"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1.4宣读投标人名称</w:t>
      </w:r>
      <w:r>
        <w:rPr>
          <w:rFonts w:hint="eastAsia" w:ascii="宋体" w:hAnsi="宋体" w:eastAsia="宋体" w:cs="宋体"/>
          <w:color w:val="000000"/>
          <w:sz w:val="24"/>
          <w:szCs w:val="24"/>
          <w:highlight w:val="none"/>
          <w:lang w:eastAsia="zh-CN"/>
        </w:rPr>
        <w:t>。</w:t>
      </w:r>
    </w:p>
    <w:p w14:paraId="322B9808">
      <w:pPr>
        <w:pageBreakBefore w:val="0"/>
        <w:widowControl/>
        <w:tabs>
          <w:tab w:val="left" w:pos="0"/>
        </w:tabs>
        <w:wordWrap/>
        <w:topLinePunct w:val="0"/>
        <w:autoSpaceDE/>
        <w:autoSpaceDN/>
        <w:bidi w:val="0"/>
        <w:spacing w:line="336"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1.5由</w:t>
      </w:r>
      <w:r>
        <w:rPr>
          <w:rFonts w:hint="eastAsia" w:ascii="宋体" w:hAnsi="宋体" w:eastAsia="宋体" w:cs="宋体"/>
          <w:color w:val="000000"/>
          <w:sz w:val="24"/>
          <w:szCs w:val="24"/>
          <w:highlight w:val="none"/>
          <w:lang w:eastAsia="zh-CN"/>
        </w:rPr>
        <w:t>专家小组</w:t>
      </w:r>
      <w:r>
        <w:rPr>
          <w:rFonts w:hint="eastAsia" w:ascii="宋体" w:hAnsi="宋体" w:eastAsia="宋体" w:cs="宋体"/>
          <w:color w:val="000000"/>
          <w:sz w:val="24"/>
          <w:szCs w:val="24"/>
          <w:highlight w:val="none"/>
        </w:rPr>
        <w:t>查验投标</w:t>
      </w:r>
      <w:r>
        <w:rPr>
          <w:rFonts w:hint="eastAsia" w:ascii="宋体" w:hAnsi="宋体" w:eastAsia="宋体" w:cs="宋体"/>
          <w:color w:val="000000"/>
          <w:sz w:val="24"/>
          <w:szCs w:val="24"/>
        </w:rPr>
        <w:t>人必备资格文件，未通过审查的按废标处理。</w:t>
      </w:r>
    </w:p>
    <w:p w14:paraId="55FEF0A8">
      <w:pPr>
        <w:pageBreakBefore w:val="0"/>
        <w:widowControl/>
        <w:tabs>
          <w:tab w:val="left" w:pos="0"/>
        </w:tabs>
        <w:wordWrap/>
        <w:topLinePunct w:val="0"/>
        <w:autoSpaceDE/>
        <w:autoSpaceDN/>
        <w:bidi w:val="0"/>
        <w:spacing w:line="336"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1.6采购代理机构对开标过程进行摄像、文字记录，并存档备查。</w:t>
      </w:r>
    </w:p>
    <w:p w14:paraId="0E2853B8">
      <w:pPr>
        <w:pageBreakBefore w:val="0"/>
        <w:kinsoku/>
        <w:wordWrap/>
        <w:overflowPunct/>
        <w:topLinePunct w:val="0"/>
        <w:bidi w:val="0"/>
        <w:spacing w:line="312"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谈判小组</w:t>
      </w:r>
    </w:p>
    <w:p w14:paraId="0D109E10">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bookmarkStart w:id="123" w:name="_Toc386129876"/>
      <w:bookmarkStart w:id="124" w:name="_Toc28085"/>
      <w:bookmarkStart w:id="125" w:name="_Toc536202311"/>
      <w:bookmarkStart w:id="126" w:name="_Toc385958808"/>
      <w:bookmarkStart w:id="127" w:name="_Toc27940"/>
      <w:bookmarkStart w:id="128" w:name="_Toc23315665"/>
      <w:bookmarkStart w:id="129" w:name="_Toc18412204"/>
      <w:bookmarkStart w:id="130" w:name="_Toc23316525"/>
      <w:bookmarkStart w:id="131" w:name="_Toc6298"/>
      <w:bookmarkStart w:id="132" w:name="_Toc14189412"/>
      <w:bookmarkStart w:id="133" w:name="_Toc23316687"/>
      <w:bookmarkStart w:id="134" w:name="_Toc35335261"/>
      <w:bookmarkStart w:id="135" w:name="_Toc32697"/>
      <w:bookmarkStart w:id="136" w:name="_Toc14189275"/>
      <w:bookmarkStart w:id="137" w:name="_Toc23316589"/>
      <w:r>
        <w:rPr>
          <w:rFonts w:hint="eastAsia" w:ascii="宋体" w:hAnsi="宋体" w:eastAsia="宋体" w:cs="宋体"/>
          <w:sz w:val="24"/>
          <w:szCs w:val="24"/>
        </w:rPr>
        <w:t>为确保</w:t>
      </w:r>
      <w:r>
        <w:rPr>
          <w:rFonts w:hint="eastAsia" w:ascii="宋体" w:hAnsi="宋体" w:eastAsia="宋体" w:cs="宋体"/>
          <w:sz w:val="24"/>
          <w:szCs w:val="24"/>
          <w:lang w:eastAsia="zh-CN"/>
        </w:rPr>
        <w:t>谈判</w:t>
      </w:r>
      <w:r>
        <w:rPr>
          <w:rFonts w:hint="eastAsia" w:ascii="宋体" w:hAnsi="宋体" w:eastAsia="宋体" w:cs="宋体"/>
          <w:sz w:val="24"/>
          <w:szCs w:val="24"/>
        </w:rPr>
        <w:t>工作公开、公平、公正，依法成立</w:t>
      </w:r>
      <w:r>
        <w:rPr>
          <w:rFonts w:hint="eastAsia" w:ascii="宋体" w:hAnsi="宋体" w:eastAsia="宋体" w:cs="宋体"/>
          <w:sz w:val="24"/>
          <w:szCs w:val="24"/>
          <w:lang w:eastAsia="zh-CN"/>
        </w:rPr>
        <w:t>谈判</w:t>
      </w:r>
      <w:r>
        <w:rPr>
          <w:rFonts w:hint="eastAsia" w:ascii="宋体" w:hAnsi="宋体" w:eastAsia="宋体" w:cs="宋体"/>
          <w:sz w:val="24"/>
          <w:szCs w:val="24"/>
        </w:rPr>
        <w:t>小组。</w:t>
      </w:r>
      <w:r>
        <w:rPr>
          <w:rFonts w:hint="eastAsia" w:ascii="宋体" w:hAnsi="宋体" w:eastAsia="宋体" w:cs="宋体"/>
          <w:sz w:val="24"/>
          <w:szCs w:val="24"/>
          <w:lang w:eastAsia="zh-CN"/>
        </w:rPr>
        <w:t>谈判</w:t>
      </w:r>
      <w:r>
        <w:rPr>
          <w:rFonts w:hint="eastAsia" w:ascii="宋体" w:hAnsi="宋体" w:eastAsia="宋体" w:cs="宋体"/>
          <w:sz w:val="24"/>
          <w:szCs w:val="24"/>
        </w:rPr>
        <w:t>小组由采购人及有关专家组成，其中技术方面的专家不少于</w:t>
      </w:r>
      <w:r>
        <w:rPr>
          <w:rFonts w:hint="eastAsia" w:ascii="宋体" w:hAnsi="宋体" w:eastAsia="宋体" w:cs="宋体"/>
          <w:sz w:val="24"/>
          <w:szCs w:val="24"/>
          <w:lang w:eastAsia="zh-CN"/>
        </w:rPr>
        <w:t>谈判</w:t>
      </w:r>
      <w:r>
        <w:rPr>
          <w:rFonts w:hint="eastAsia" w:ascii="宋体" w:hAnsi="宋体" w:eastAsia="宋体" w:cs="宋体"/>
          <w:sz w:val="24"/>
          <w:szCs w:val="24"/>
        </w:rPr>
        <w:t>小组成员总数的三分之二，专家名单由有关人员在财政部门设立的政府采购评审专家库中随机抽取，</w:t>
      </w:r>
      <w:r>
        <w:rPr>
          <w:rFonts w:hint="eastAsia" w:ascii="宋体" w:hAnsi="宋体" w:eastAsia="宋体" w:cs="宋体"/>
          <w:sz w:val="24"/>
          <w:szCs w:val="24"/>
          <w:lang w:eastAsia="zh-CN"/>
        </w:rPr>
        <w:t>谈判</w:t>
      </w:r>
      <w:r>
        <w:rPr>
          <w:rFonts w:hint="eastAsia" w:ascii="宋体" w:hAnsi="宋体" w:eastAsia="宋体" w:cs="宋体"/>
          <w:sz w:val="24"/>
          <w:szCs w:val="24"/>
        </w:rPr>
        <w:t>小组成员应当遵守并履行下列责任和义务：</w:t>
      </w:r>
    </w:p>
    <w:p w14:paraId="06B9BE18">
      <w:pPr>
        <w:pageBreakBefore w:val="0"/>
        <w:wordWrap/>
        <w:topLinePunct w:val="0"/>
        <w:autoSpaceDE/>
        <w:autoSpaceDN/>
        <w:bidi w:val="0"/>
        <w:spacing w:line="336" w:lineRule="auto"/>
        <w:ind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（1）要严格遵守政府采购相关法律制度，依法履行各自职责，公正、客观、审慎地组织和参与评审工作；</w:t>
      </w:r>
    </w:p>
    <w:p w14:paraId="305E8329">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（2）对所有响应文件逐一进行资格性、符合性审查，并</w:t>
      </w:r>
      <w:r>
        <w:rPr>
          <w:rFonts w:hint="eastAsia" w:ascii="宋体" w:hAnsi="宋体" w:eastAsia="宋体" w:cs="宋体"/>
          <w:sz w:val="24"/>
          <w:szCs w:val="24"/>
          <w:lang w:eastAsia="zh-CN"/>
        </w:rPr>
        <w:t>作出评价</w:t>
      </w:r>
      <w:r>
        <w:rPr>
          <w:rFonts w:hint="eastAsia" w:ascii="宋体" w:hAnsi="宋体" w:eastAsia="宋体" w:cs="宋体"/>
          <w:sz w:val="24"/>
          <w:szCs w:val="24"/>
        </w:rPr>
        <w:t>；</w:t>
      </w:r>
    </w:p>
    <w:p w14:paraId="5CAB4173">
      <w:pPr>
        <w:pageBreakBefore w:val="0"/>
        <w:tabs>
          <w:tab w:val="left" w:pos="1200"/>
        </w:tabs>
        <w:wordWrap/>
        <w:topLinePunct w:val="0"/>
        <w:autoSpaceDE/>
        <w:autoSpaceDN/>
        <w:bidi w:val="0"/>
        <w:spacing w:line="336" w:lineRule="auto"/>
        <w:ind w:left="22"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（3）按</w:t>
      </w:r>
      <w:r>
        <w:rPr>
          <w:rFonts w:hint="eastAsia" w:ascii="宋体" w:hAnsi="宋体" w:eastAsia="宋体" w:cs="宋体"/>
          <w:sz w:val="24"/>
          <w:szCs w:val="24"/>
          <w:lang w:eastAsia="zh-CN"/>
        </w:rPr>
        <w:t>谈判</w:t>
      </w:r>
      <w:r>
        <w:rPr>
          <w:rFonts w:hint="eastAsia" w:ascii="宋体" w:hAnsi="宋体" w:eastAsia="宋体" w:cs="宋体"/>
          <w:sz w:val="24"/>
          <w:szCs w:val="24"/>
        </w:rPr>
        <w:t>文件规定的评审方法和标准，进行比较和评价；对供应商的价格分等客观评分项的评分应当一致；</w:t>
      </w:r>
    </w:p>
    <w:p w14:paraId="7337B2F1">
      <w:pPr>
        <w:pageBreakBefore w:val="0"/>
        <w:tabs>
          <w:tab w:val="left" w:pos="1200"/>
        </w:tabs>
        <w:wordWrap/>
        <w:topLinePunct w:val="0"/>
        <w:autoSpaceDE/>
        <w:autoSpaceDN/>
        <w:bidi w:val="0"/>
        <w:spacing w:line="336" w:lineRule="auto"/>
        <w:ind w:left="22"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（4）要求供应商对响应文件有关事项作出解释或澄清；</w:t>
      </w:r>
    </w:p>
    <w:p w14:paraId="4D7AD917">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（5）要依法独立评审，按照</w:t>
      </w:r>
      <w:r>
        <w:rPr>
          <w:rFonts w:hint="eastAsia" w:ascii="宋体" w:hAnsi="宋体" w:eastAsia="宋体" w:cs="宋体"/>
          <w:sz w:val="24"/>
          <w:szCs w:val="24"/>
          <w:lang w:eastAsia="zh-CN"/>
        </w:rPr>
        <w:t>谈判</w:t>
      </w:r>
      <w:r>
        <w:rPr>
          <w:rFonts w:hint="eastAsia" w:ascii="宋体" w:hAnsi="宋体" w:eastAsia="宋体" w:cs="宋体"/>
          <w:sz w:val="24"/>
          <w:szCs w:val="24"/>
        </w:rPr>
        <w:t>文件的要求和评标标准进行评标，推荐成交候选供应商名单，对评审意见承担个人责任；</w:t>
      </w:r>
    </w:p>
    <w:p w14:paraId="3D1DDB31">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（6）对需要共同认定的事项存在争议的，按照少数服从多数的原则</w:t>
      </w:r>
      <w:r>
        <w:rPr>
          <w:rFonts w:hint="eastAsia" w:ascii="宋体" w:hAnsi="宋体" w:eastAsia="宋体" w:cs="宋体"/>
          <w:sz w:val="24"/>
          <w:szCs w:val="24"/>
          <w:lang w:eastAsia="zh-CN"/>
        </w:rPr>
        <w:t>作出</w:t>
      </w:r>
      <w:r>
        <w:rPr>
          <w:rFonts w:hint="eastAsia" w:ascii="宋体" w:hAnsi="宋体" w:eastAsia="宋体" w:cs="宋体"/>
          <w:sz w:val="24"/>
          <w:szCs w:val="24"/>
        </w:rPr>
        <w:t>结论。持不同意见的</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小组成员应当在评审报告上签署不同意见并说明理由，否则视为同意； </w:t>
      </w:r>
    </w:p>
    <w:p w14:paraId="788C8D84">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（7）对评审情况以及在评审过程中获悉的国家秘密、商业秘密负有保密责任；</w:t>
      </w:r>
    </w:p>
    <w:p w14:paraId="796B50B6">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配合财政部门的投诉处理工作；</w:t>
      </w:r>
    </w:p>
    <w:p w14:paraId="6084C438">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）配合采购人、采购代理机构答复供应商提出的质疑。</w:t>
      </w:r>
    </w:p>
    <w:bookmarkEnd w:id="123"/>
    <w:bookmarkEnd w:id="124"/>
    <w:bookmarkEnd w:id="125"/>
    <w:bookmarkEnd w:id="126"/>
    <w:bookmarkEnd w:id="127"/>
    <w:p w14:paraId="44C7AA81">
      <w:pPr>
        <w:pStyle w:val="4"/>
        <w:pageBreakBefore w:val="0"/>
        <w:kinsoku/>
        <w:wordWrap/>
        <w:overflowPunct/>
        <w:topLinePunct w:val="0"/>
        <w:bidi w:val="0"/>
        <w:spacing w:line="312" w:lineRule="auto"/>
        <w:ind w:firstLine="482" w:firstLineChars="200"/>
        <w:textAlignment w:val="auto"/>
        <w:rPr>
          <w:rFonts w:hint="eastAsia" w:ascii="宋体" w:hAnsi="宋体" w:eastAsia="宋体" w:cs="宋体"/>
          <w:sz w:val="24"/>
          <w:szCs w:val="24"/>
          <w:lang w:eastAsia="zh-CN"/>
        </w:rPr>
      </w:pPr>
      <w:bookmarkStart w:id="138" w:name="_Toc30801"/>
      <w:bookmarkStart w:id="139" w:name="_Toc12371"/>
      <w:r>
        <w:rPr>
          <w:rFonts w:hint="eastAsia" w:ascii="宋体" w:hAnsi="宋体" w:eastAsia="宋体" w:cs="宋体"/>
          <w:sz w:val="24"/>
          <w:szCs w:val="24"/>
          <w:lang w:val="en-US" w:eastAsia="zh-CN"/>
        </w:rPr>
        <w:t>3.</w:t>
      </w:r>
      <w:r>
        <w:rPr>
          <w:rFonts w:hint="eastAsia" w:ascii="宋体" w:hAnsi="宋体" w:eastAsia="宋体" w:cs="宋体"/>
          <w:sz w:val="24"/>
          <w:szCs w:val="24"/>
        </w:rPr>
        <w:t>谈判方法及程序</w:t>
      </w:r>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所有包通用</w:t>
      </w:r>
      <w:r>
        <w:rPr>
          <w:rFonts w:hint="eastAsia" w:ascii="宋体" w:hAnsi="宋体" w:eastAsia="宋体" w:cs="宋体"/>
          <w:sz w:val="24"/>
          <w:szCs w:val="24"/>
          <w:lang w:eastAsia="zh-CN"/>
        </w:rPr>
        <w:t>）</w:t>
      </w:r>
    </w:p>
    <w:p w14:paraId="37AAAEF0">
      <w:pPr>
        <w:pageBreakBefore w:val="0"/>
        <w:tabs>
          <w:tab w:val="center" w:pos="4649"/>
        </w:tabs>
        <w:kinsoku/>
        <w:wordWrap/>
        <w:overflowPunct/>
        <w:topLinePunct w:val="0"/>
        <w:bidi w:val="0"/>
        <w:spacing w:line="312" w:lineRule="auto"/>
        <w:ind w:firstLine="480" w:firstLineChars="200"/>
        <w:textAlignment w:val="auto"/>
        <w:rPr>
          <w:rFonts w:hint="eastAsia" w:ascii="宋体" w:hAnsi="宋体" w:eastAsia="宋体" w:cs="宋体"/>
          <w:sz w:val="24"/>
          <w:szCs w:val="24"/>
          <w:lang w:val="zh-CN"/>
        </w:rPr>
      </w:pPr>
      <w:bookmarkStart w:id="140" w:name="_Toc14189277"/>
      <w:bookmarkStart w:id="141" w:name="_Toc411064160"/>
      <w:r>
        <w:rPr>
          <w:rFonts w:hint="eastAsia" w:ascii="宋体" w:hAnsi="宋体" w:eastAsia="宋体" w:cs="宋体"/>
          <w:sz w:val="24"/>
          <w:szCs w:val="24"/>
          <w:lang w:val="en-US" w:eastAsia="zh-CN"/>
        </w:rPr>
        <w:t>3.1</w:t>
      </w:r>
      <w:r>
        <w:rPr>
          <w:rFonts w:hint="eastAsia" w:ascii="宋体" w:hAnsi="宋体" w:eastAsia="宋体" w:cs="宋体"/>
          <w:sz w:val="24"/>
          <w:szCs w:val="24"/>
          <w:lang w:val="zh-CN"/>
        </w:rPr>
        <w:t>初步评审</w:t>
      </w:r>
      <w:bookmarkEnd w:id="140"/>
      <w:bookmarkEnd w:id="141"/>
      <w:r>
        <w:rPr>
          <w:rFonts w:hint="eastAsia" w:ascii="宋体" w:hAnsi="宋体" w:eastAsia="宋体" w:cs="宋体"/>
          <w:sz w:val="24"/>
          <w:szCs w:val="24"/>
          <w:lang w:val="zh-CN"/>
        </w:rPr>
        <w:tab/>
      </w:r>
    </w:p>
    <w:p w14:paraId="68803F1E">
      <w:pPr>
        <w:pageBreakBefore w:val="0"/>
        <w:tabs>
          <w:tab w:val="left" w:pos="6935"/>
        </w:tabs>
        <w:kinsoku/>
        <w:wordWrap/>
        <w:overflowPunct/>
        <w:topLinePunct w:val="0"/>
        <w:autoSpaceDE w:val="0"/>
        <w:autoSpaceDN w:val="0"/>
        <w:bidi w:val="0"/>
        <w:spacing w:line="312"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第一阶段：资格性审查</w:t>
      </w:r>
      <w:r>
        <w:rPr>
          <w:rFonts w:hint="eastAsia" w:ascii="宋体" w:hAnsi="宋体" w:eastAsia="宋体" w:cs="宋体"/>
          <w:sz w:val="24"/>
          <w:szCs w:val="24"/>
          <w:lang w:val="zh-CN"/>
        </w:rPr>
        <w:tab/>
      </w:r>
    </w:p>
    <w:p w14:paraId="271EB79A">
      <w:pPr>
        <w:pageBreakBefore w:val="0"/>
        <w:kinsoku/>
        <w:wordWrap/>
        <w:overflowPunct/>
        <w:topLinePunct w:val="0"/>
        <w:autoSpaceDE w:val="0"/>
        <w:autoSpaceDN w:val="0"/>
        <w:bidi w:val="0"/>
        <w:spacing w:line="312"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谈判小组依据法律法规和谈判文件的规定，对所有供应商的商务部分中的资格证明（包括信用情况）进行审查，并确定供应商是否具备谈判资格，填写资格审查表并签字确认。</w:t>
      </w:r>
    </w:p>
    <w:p w14:paraId="2E683534">
      <w:pPr>
        <w:pageBreakBefore w:val="0"/>
        <w:tabs>
          <w:tab w:val="left" w:pos="3962"/>
        </w:tabs>
        <w:kinsoku/>
        <w:wordWrap/>
        <w:overflowPunct/>
        <w:topLinePunct w:val="0"/>
        <w:autoSpaceDE w:val="0"/>
        <w:autoSpaceDN w:val="0"/>
        <w:bidi w:val="0"/>
        <w:spacing w:line="312"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第二阶段：符合性审查</w:t>
      </w:r>
      <w:r>
        <w:rPr>
          <w:rFonts w:hint="eastAsia" w:ascii="宋体" w:hAnsi="宋体" w:eastAsia="宋体" w:cs="宋体"/>
          <w:sz w:val="24"/>
          <w:szCs w:val="24"/>
          <w:lang w:val="zh-CN"/>
        </w:rPr>
        <w:tab/>
      </w:r>
    </w:p>
    <w:p w14:paraId="2AC13E9C">
      <w:pPr>
        <w:pageBreakBefore w:val="0"/>
        <w:kinsoku/>
        <w:wordWrap/>
        <w:overflowPunct/>
        <w:topLinePunct w:val="0"/>
        <w:autoSpaceDE w:val="0"/>
        <w:autoSpaceDN w:val="0"/>
        <w:bidi w:val="0"/>
        <w:spacing w:line="312"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谈判小组依据谈判文件的规定，对供应商的响应文件的有效性、完整性以及对谈判文件的响应程度进行审查，以确定是否对谈判文件的实质性要求作出响应。</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418"/>
        <w:gridCol w:w="3857"/>
        <w:gridCol w:w="1029"/>
        <w:gridCol w:w="1532"/>
      </w:tblGrid>
      <w:tr w14:paraId="24E5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1953F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E67C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DE66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D5C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FE28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2EFC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312B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25C9A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2027" w:type="pct"/>
            <w:tcBorders>
              <w:top w:val="single" w:color="auto" w:sz="4" w:space="0"/>
              <w:left w:val="single" w:color="auto" w:sz="4" w:space="0"/>
              <w:bottom w:val="single" w:color="auto" w:sz="4" w:space="0"/>
              <w:right w:val="single" w:color="auto" w:sz="4" w:space="0"/>
            </w:tcBorders>
            <w:vAlign w:val="center"/>
          </w:tcPr>
          <w:p w14:paraId="54F4E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541" w:type="pct"/>
            <w:tcBorders>
              <w:top w:val="single" w:color="auto" w:sz="4" w:space="0"/>
              <w:left w:val="single" w:color="auto" w:sz="4" w:space="0"/>
              <w:bottom w:val="single" w:color="auto" w:sz="4" w:space="0"/>
              <w:right w:val="single" w:color="auto" w:sz="4" w:space="0"/>
            </w:tcBorders>
            <w:vAlign w:val="top"/>
          </w:tcPr>
          <w:p w14:paraId="6CC06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36ED4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268F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299F2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2C8FB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35C48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color w:val="auto"/>
                <w:sz w:val="24"/>
                <w:szCs w:val="24"/>
                <w:highlight w:val="none"/>
              </w:rPr>
              <w:t>文件要求签字、盖章。</w:t>
            </w:r>
          </w:p>
        </w:tc>
        <w:tc>
          <w:tcPr>
            <w:tcW w:w="541" w:type="pct"/>
            <w:tcBorders>
              <w:top w:val="single" w:color="auto" w:sz="4" w:space="0"/>
              <w:left w:val="single" w:color="auto" w:sz="4" w:space="0"/>
              <w:bottom w:val="single" w:color="auto" w:sz="4" w:space="0"/>
              <w:right w:val="single" w:color="auto" w:sz="4" w:space="0"/>
            </w:tcBorders>
            <w:vAlign w:val="top"/>
          </w:tcPr>
          <w:p w14:paraId="15C8A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73980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1EA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0E9A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23E7E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7" w:type="pct"/>
            <w:tcBorders>
              <w:top w:val="single" w:color="auto" w:sz="4" w:space="0"/>
              <w:left w:val="single" w:color="auto" w:sz="4" w:space="0"/>
              <w:bottom w:val="single" w:color="auto" w:sz="4" w:space="0"/>
              <w:right w:val="single" w:color="auto" w:sz="4" w:space="0"/>
            </w:tcBorders>
            <w:vAlign w:val="top"/>
          </w:tcPr>
          <w:p w14:paraId="3C1AA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0F09D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6847E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二、报价一览表</w:t>
            </w:r>
          </w:p>
          <w:p w14:paraId="65CA6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投标分项报价表</w:t>
            </w:r>
          </w:p>
          <w:p w14:paraId="75314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资格证明文件</w:t>
            </w:r>
          </w:p>
          <w:p w14:paraId="5293B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技术商务响应</w:t>
            </w:r>
            <w:r>
              <w:rPr>
                <w:rFonts w:hint="eastAsia" w:ascii="宋体" w:hAnsi="宋体" w:eastAsia="宋体" w:cs="宋体"/>
                <w:color w:val="auto"/>
                <w:sz w:val="24"/>
                <w:szCs w:val="24"/>
                <w:highlight w:val="none"/>
                <w:lang w:eastAsia="zh-CN"/>
              </w:rPr>
              <w:t>偏离表</w:t>
            </w:r>
          </w:p>
          <w:p w14:paraId="53EF4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方案</w:t>
            </w:r>
          </w:p>
          <w:p w14:paraId="207EA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、投标单位拒绝政府采购领域商业贿赂承诺书</w:t>
            </w:r>
          </w:p>
        </w:tc>
        <w:tc>
          <w:tcPr>
            <w:tcW w:w="541" w:type="pct"/>
            <w:tcBorders>
              <w:top w:val="single" w:color="auto" w:sz="4" w:space="0"/>
              <w:left w:val="single" w:color="auto" w:sz="4" w:space="0"/>
              <w:bottom w:val="single" w:color="auto" w:sz="4" w:space="0"/>
              <w:right w:val="single" w:color="auto" w:sz="4" w:space="0"/>
            </w:tcBorders>
            <w:vAlign w:val="top"/>
          </w:tcPr>
          <w:p w14:paraId="6C567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1AC71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0F9C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42F3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18DF3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5ABAC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color w:val="auto"/>
                <w:sz w:val="24"/>
                <w:szCs w:val="24"/>
                <w:highlight w:val="none"/>
              </w:rPr>
              <w:t>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43F20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6FF1A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543C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4E7FB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1C67A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rPr>
              <w:t>报价</w:t>
            </w:r>
          </w:p>
        </w:tc>
        <w:tc>
          <w:tcPr>
            <w:tcW w:w="2027" w:type="pct"/>
            <w:tcBorders>
              <w:top w:val="single" w:color="auto" w:sz="4" w:space="0"/>
              <w:left w:val="single" w:color="auto" w:sz="4" w:space="0"/>
              <w:bottom w:val="single" w:color="auto" w:sz="4" w:space="0"/>
              <w:right w:val="single" w:color="auto" w:sz="4" w:space="0"/>
            </w:tcBorders>
            <w:vAlign w:val="top"/>
          </w:tcPr>
          <w:p w14:paraId="486C0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rPr>
              <w:t>报价符合唯一性要求：</w:t>
            </w:r>
          </w:p>
          <w:p w14:paraId="428F2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val="en-US" w:eastAsia="zh-CN"/>
              </w:rPr>
              <w:t>报价</w:t>
            </w:r>
            <w:r>
              <w:rPr>
                <w:rFonts w:hint="eastAsia" w:ascii="宋体" w:hAnsi="宋体" w:eastAsia="宋体" w:cs="宋体"/>
                <w:bCs/>
                <w:color w:val="auto"/>
                <w:kern w:val="0"/>
                <w:sz w:val="24"/>
                <w:szCs w:val="24"/>
                <w:highlight w:val="none"/>
              </w:rPr>
              <w:t>一览表填写符合要求；</w:t>
            </w:r>
          </w:p>
          <w:p w14:paraId="7EDA4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rPr>
              <w:t>文件规定的最高限价</w:t>
            </w:r>
            <w:r>
              <w:rPr>
                <w:rFonts w:hint="eastAsia" w:ascii="宋体" w:hAnsi="宋体" w:eastAsia="宋体" w:cs="宋体"/>
                <w:bCs/>
                <w:color w:val="auto"/>
                <w:kern w:val="0"/>
                <w:sz w:val="24"/>
                <w:szCs w:val="24"/>
                <w:highlight w:val="none"/>
                <w:lang w:eastAsia="zh-CN"/>
              </w:rPr>
              <w:t>。</w:t>
            </w:r>
          </w:p>
        </w:tc>
        <w:tc>
          <w:tcPr>
            <w:tcW w:w="541" w:type="pct"/>
            <w:tcBorders>
              <w:top w:val="single" w:color="auto" w:sz="4" w:space="0"/>
              <w:left w:val="single" w:color="auto" w:sz="4" w:space="0"/>
              <w:bottom w:val="single" w:color="auto" w:sz="4" w:space="0"/>
              <w:right w:val="single" w:color="auto" w:sz="4" w:space="0"/>
            </w:tcBorders>
            <w:vAlign w:val="top"/>
          </w:tcPr>
          <w:p w14:paraId="415B5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E0F5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110C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37027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76C29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rPr>
              <w:t>文件要求的实质性条款</w:t>
            </w:r>
          </w:p>
        </w:tc>
        <w:tc>
          <w:tcPr>
            <w:tcW w:w="2027" w:type="pct"/>
            <w:tcBorders>
              <w:top w:val="single" w:color="auto" w:sz="4" w:space="0"/>
              <w:left w:val="single" w:color="auto" w:sz="4" w:space="0"/>
              <w:bottom w:val="single" w:color="auto" w:sz="4" w:space="0"/>
              <w:right w:val="single" w:color="auto" w:sz="4" w:space="0"/>
            </w:tcBorders>
            <w:vAlign w:val="center"/>
          </w:tcPr>
          <w:p w14:paraId="68D67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color w:val="auto"/>
                <w:sz w:val="24"/>
                <w:szCs w:val="24"/>
                <w:highlight w:val="none"/>
              </w:rPr>
              <w:t>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7113A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DA49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47F1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37B5A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1F11A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027" w:type="pct"/>
            <w:tcBorders>
              <w:top w:val="single" w:color="auto" w:sz="4" w:space="0"/>
              <w:left w:val="single" w:color="auto" w:sz="4" w:space="0"/>
              <w:bottom w:val="single" w:color="auto" w:sz="4" w:space="0"/>
              <w:right w:val="single" w:color="auto" w:sz="4" w:space="0"/>
            </w:tcBorders>
            <w:vAlign w:val="center"/>
          </w:tcPr>
          <w:p w14:paraId="4C056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color w:val="auto"/>
                <w:sz w:val="24"/>
                <w:szCs w:val="24"/>
                <w:highlight w:val="none"/>
              </w:rPr>
              <w:t>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586F7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8D4A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4B51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7C28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谈判</w:t>
            </w:r>
            <w:r>
              <w:rPr>
                <w:rFonts w:hint="eastAsia" w:ascii="宋体" w:hAnsi="宋体" w:eastAsia="宋体" w:cs="宋体"/>
                <w:b/>
                <w:bCs/>
                <w:color w:val="auto"/>
                <w:kern w:val="0"/>
                <w:sz w:val="24"/>
                <w:szCs w:val="24"/>
                <w:highlight w:val="none"/>
                <w:lang w:eastAsia="zh-CN"/>
              </w:rPr>
              <w:t>小组</w:t>
            </w:r>
            <w:r>
              <w:rPr>
                <w:rFonts w:hint="eastAsia" w:ascii="宋体" w:hAnsi="宋体" w:eastAsia="宋体" w:cs="宋体"/>
                <w:b/>
                <w:bCs/>
                <w:color w:val="auto"/>
                <w:kern w:val="0"/>
                <w:sz w:val="24"/>
                <w:szCs w:val="24"/>
                <w:highlight w:val="none"/>
              </w:rPr>
              <w:t>成员：（签字或盖章）</w:t>
            </w:r>
          </w:p>
        </w:tc>
      </w:tr>
    </w:tbl>
    <w:p w14:paraId="2595AE13">
      <w:pPr>
        <w:pageBreakBefore w:val="0"/>
        <w:kinsoku/>
        <w:wordWrap/>
        <w:overflowPunct/>
        <w:topLinePunct w:val="0"/>
        <w:autoSpaceDE w:val="0"/>
        <w:autoSpaceDN w:val="0"/>
        <w:bidi w:val="0"/>
        <w:spacing w:line="312" w:lineRule="auto"/>
        <w:ind w:firstLine="482"/>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00A6A8B0">
      <w:pPr>
        <w:pageBreakBefore w:val="0"/>
        <w:kinsoku/>
        <w:wordWrap/>
        <w:overflowPunct/>
        <w:topLinePunct w:val="0"/>
        <w:bidi w:val="0"/>
        <w:spacing w:line="312" w:lineRule="auto"/>
        <w:ind w:firstLine="472" w:firstLineChars="197"/>
        <w:textAlignment w:val="auto"/>
        <w:rPr>
          <w:rFonts w:hint="eastAsia" w:ascii="宋体" w:hAnsi="宋体" w:eastAsia="宋体" w:cs="宋体"/>
          <w:sz w:val="24"/>
          <w:szCs w:val="24"/>
        </w:rPr>
      </w:pPr>
      <w:bookmarkStart w:id="142" w:name="_Toc14790"/>
      <w:bookmarkStart w:id="143" w:name="_Toc411064163"/>
      <w:bookmarkStart w:id="144" w:name="_Toc14189280"/>
      <w:bookmarkStart w:id="145" w:name="_Toc16355"/>
      <w:r>
        <w:rPr>
          <w:rFonts w:hint="eastAsia" w:ascii="宋体" w:hAnsi="宋体" w:eastAsia="宋体" w:cs="宋体"/>
          <w:sz w:val="24"/>
          <w:szCs w:val="24"/>
          <w:lang w:val="en-US" w:eastAsia="zh-CN"/>
        </w:rPr>
        <w:t>3.2</w:t>
      </w:r>
      <w:r>
        <w:rPr>
          <w:rFonts w:hint="eastAsia" w:ascii="宋体" w:hAnsi="宋体" w:eastAsia="宋体" w:cs="宋体"/>
          <w:sz w:val="24"/>
          <w:szCs w:val="24"/>
        </w:rPr>
        <w:t>按照《政府采购非招标采购方式管理办法》（财政部第74号令）有关规定，对响应文件中的供应商进行审查。出现下列情形的，响应文件将被视为</w:t>
      </w:r>
      <w:r>
        <w:rPr>
          <w:rFonts w:hint="eastAsia" w:ascii="宋体" w:hAnsi="宋体" w:eastAsia="宋体" w:cs="宋体"/>
          <w:sz w:val="24"/>
          <w:szCs w:val="24"/>
          <w:lang w:val="en-US" w:eastAsia="zh-CN"/>
        </w:rPr>
        <w:t>无效文件</w:t>
      </w:r>
      <w:r>
        <w:rPr>
          <w:rFonts w:hint="eastAsia" w:ascii="宋体" w:hAnsi="宋体" w:eastAsia="宋体" w:cs="宋体"/>
          <w:sz w:val="24"/>
          <w:szCs w:val="24"/>
        </w:rPr>
        <w:t>：</w:t>
      </w:r>
    </w:p>
    <w:p w14:paraId="6F93A8A5">
      <w:pPr>
        <w:pageBreakBefore w:val="0"/>
        <w:kinsoku/>
        <w:wordWrap/>
        <w:overflowPunct/>
        <w:topLinePunct w:val="0"/>
        <w:bidi w:val="0"/>
        <w:spacing w:line="312"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（1）未按照谈判文件规定要求格式制作响应文件、签署、盖章的；</w:t>
      </w:r>
    </w:p>
    <w:p w14:paraId="06609F37">
      <w:pPr>
        <w:pageBreakBefore w:val="0"/>
        <w:kinsoku/>
        <w:wordWrap/>
        <w:overflowPunct/>
        <w:topLinePunct w:val="0"/>
        <w:bidi w:val="0"/>
        <w:spacing w:line="312"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（2）不具备谈判文件中规定要求的。如果谈判小组认为供应商的响应文件存在疑点，可以要求其现场提供原件进行核查，两者出现不同或在规定的时间内未能及时提供原件的，响应文件视为无效；</w:t>
      </w:r>
    </w:p>
    <w:p w14:paraId="6C8112F8">
      <w:pPr>
        <w:pageBreakBefore w:val="0"/>
        <w:kinsoku/>
        <w:wordWrap/>
        <w:overflowPunct/>
        <w:topLinePunct w:val="0"/>
        <w:bidi w:val="0"/>
        <w:spacing w:line="312"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（3）响应文件中无投标有效期或有效期达不到谈判文件要求的；</w:t>
      </w:r>
    </w:p>
    <w:p w14:paraId="1A1DCEE0">
      <w:pPr>
        <w:pageBreakBefore w:val="0"/>
        <w:kinsoku/>
        <w:wordWrap/>
        <w:overflowPunct/>
        <w:topLinePunct w:val="0"/>
        <w:bidi w:val="0"/>
        <w:spacing w:line="312"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（4）响应文件的构成缺少其中一项或某项达不到谈判文件要求的；</w:t>
      </w:r>
    </w:p>
    <w:p w14:paraId="3ACF192D">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（5）供应商单位负责人为同一人或者存在直接控股、管理关系的不同供应商，参加同一合同项下的政府采购活动的；</w:t>
      </w:r>
    </w:p>
    <w:p w14:paraId="488E2087">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（6）投标报价子目出现漏项或数量与谈判文件要求不符的；</w:t>
      </w:r>
    </w:p>
    <w:p w14:paraId="3B5A5943">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（7）投标报价与市场价偏离较大，低于成本，形成不正当竞争的；</w:t>
      </w:r>
    </w:p>
    <w:p w14:paraId="38668F4D">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（8）投标内容与谈判文件要求的采购标的、规格型号、采购数量、技术和服务要求等实质性内容出现重大负偏差的；</w:t>
      </w:r>
    </w:p>
    <w:p w14:paraId="77352C6E">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（9）提供虚假技术性能指标的（出现技术指标前后矛盾的，以国家职能部门认定的指标为准）；</w:t>
      </w:r>
    </w:p>
    <w:p w14:paraId="02FECBBA">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（10）响应文件在款项结算、质量保证、验收条件等方面的响应与谈判文件要求不一致或附加了采购人和评标委员会难以接受的条件的；</w:t>
      </w:r>
    </w:p>
    <w:p w14:paraId="19D94C9B">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（11）未响应谈判文件合同主要条款的；</w:t>
      </w:r>
    </w:p>
    <w:p w14:paraId="6B06EC9F">
      <w:pPr>
        <w:pStyle w:val="87"/>
        <w:pageBreakBefore w:val="0"/>
        <w:kinsoku/>
        <w:wordWrap/>
        <w:overflowPunct/>
        <w:topLinePunct w:val="0"/>
        <w:bidi w:val="0"/>
        <w:spacing w:line="312"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（12）政府采购法律法规规定的其他情形。</w:t>
      </w:r>
    </w:p>
    <w:p w14:paraId="0F12CEF5">
      <w:pPr>
        <w:pageBreakBefore w:val="0"/>
        <w:kinsoku/>
        <w:wordWrap/>
        <w:overflowPunct/>
        <w:topLinePunct w:val="0"/>
        <w:bidi w:val="0"/>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有下列情形之一的，视为供应商串通投标，其投标无效：</w:t>
      </w:r>
    </w:p>
    <w:p w14:paraId="6A98A3DF">
      <w:pPr>
        <w:pageBreakBefore w:val="0"/>
        <w:kinsoku/>
        <w:wordWrap/>
        <w:overflowPunct/>
        <w:topLinePunct w:val="0"/>
        <w:bidi w:val="0"/>
        <w:spacing w:line="312"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（1）不同供应商的响应文件由同一单位或者个人编制；</w:t>
      </w:r>
    </w:p>
    <w:p w14:paraId="161BF4A0">
      <w:pPr>
        <w:pageBreakBefore w:val="0"/>
        <w:kinsoku/>
        <w:wordWrap/>
        <w:overflowPunct/>
        <w:topLinePunct w:val="0"/>
        <w:bidi w:val="0"/>
        <w:spacing w:line="312"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（2）不同供应商委托同一单位或者个人办理响应事宜；</w:t>
      </w:r>
    </w:p>
    <w:p w14:paraId="5E36C582">
      <w:pPr>
        <w:pageBreakBefore w:val="0"/>
        <w:kinsoku/>
        <w:wordWrap/>
        <w:overflowPunct/>
        <w:topLinePunct w:val="0"/>
        <w:bidi w:val="0"/>
        <w:spacing w:line="312"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（3）不同供应商的响应文件载明的项目管理成员或者联系人员为同一人；</w:t>
      </w:r>
    </w:p>
    <w:p w14:paraId="31ECE7C3">
      <w:pPr>
        <w:pageBreakBefore w:val="0"/>
        <w:kinsoku/>
        <w:wordWrap/>
        <w:overflowPunct/>
        <w:topLinePunct w:val="0"/>
        <w:bidi w:val="0"/>
        <w:spacing w:line="312"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（4）不同供应商的响应文件异常一致或者响应报价呈规律性差异；</w:t>
      </w:r>
    </w:p>
    <w:p w14:paraId="46AB1ADC">
      <w:pPr>
        <w:pageBreakBefore w:val="0"/>
        <w:kinsoku/>
        <w:wordWrap/>
        <w:overflowPunct/>
        <w:topLinePunct w:val="0"/>
        <w:bidi w:val="0"/>
        <w:spacing w:line="312"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（5）不同供应商的响应文件相互混装；</w:t>
      </w:r>
    </w:p>
    <w:p w14:paraId="1843BB71">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lang w:val="zh-CN"/>
        </w:rPr>
      </w:pPr>
      <w:bookmarkStart w:id="146" w:name="_Toc14189278"/>
      <w:bookmarkStart w:id="147" w:name="_Toc411064161"/>
      <w:r>
        <w:rPr>
          <w:rFonts w:hint="eastAsia" w:ascii="宋体" w:hAnsi="宋体" w:eastAsia="宋体" w:cs="宋体"/>
          <w:sz w:val="24"/>
          <w:szCs w:val="24"/>
          <w:lang w:val="en-US" w:eastAsia="zh-CN"/>
        </w:rPr>
        <w:t>3.4</w:t>
      </w:r>
      <w:r>
        <w:rPr>
          <w:rFonts w:hint="eastAsia" w:ascii="宋体" w:hAnsi="宋体" w:eastAsia="宋体" w:cs="宋体"/>
          <w:sz w:val="24"/>
          <w:szCs w:val="24"/>
          <w:lang w:val="zh-CN"/>
        </w:rPr>
        <w:t>澄清</w:t>
      </w:r>
      <w:bookmarkEnd w:id="146"/>
      <w:bookmarkEnd w:id="147"/>
    </w:p>
    <w:p w14:paraId="0804A2EC">
      <w:pPr>
        <w:pStyle w:val="34"/>
        <w:pageBreakBefore w:val="0"/>
        <w:widowControl w:val="0"/>
        <w:shd w:val="clear" w:color="auto" w:fill="FFFFFF"/>
        <w:kinsoku/>
        <w:wordWrap/>
        <w:overflowPunct/>
        <w:topLinePunct w:val="0"/>
        <w:bidi w:val="0"/>
        <w:spacing w:beforeAutospacing="0" w:afterAutospacing="0" w:line="312" w:lineRule="auto"/>
        <w:ind w:firstLine="480" w:firstLineChars="200"/>
        <w:textAlignment w:val="auto"/>
        <w:rPr>
          <w:rFonts w:hint="eastAsia" w:ascii="宋体" w:hAnsi="宋体" w:eastAsia="宋体" w:cs="宋体"/>
          <w:szCs w:val="24"/>
          <w:lang w:val="zh-CN"/>
        </w:rPr>
      </w:pPr>
      <w:r>
        <w:rPr>
          <w:rFonts w:hint="eastAsia" w:ascii="宋体" w:hAnsi="宋体" w:eastAsia="宋体" w:cs="宋体"/>
          <w:szCs w:val="24"/>
          <w:lang w:val="zh-CN"/>
        </w:rPr>
        <w:t>（</w:t>
      </w:r>
      <w:r>
        <w:rPr>
          <w:rFonts w:hint="eastAsia" w:ascii="宋体" w:hAnsi="宋体" w:eastAsia="宋体" w:cs="宋体"/>
          <w:szCs w:val="24"/>
          <w:lang w:val="en-US" w:eastAsia="zh-CN"/>
        </w:rPr>
        <w:t>1</w:t>
      </w:r>
      <w:r>
        <w:rPr>
          <w:rFonts w:hint="eastAsia" w:ascii="宋体" w:hAnsi="宋体" w:eastAsia="宋体" w:cs="宋体"/>
          <w:szCs w:val="24"/>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10DC9F">
      <w:pPr>
        <w:pageBreakBefore w:val="0"/>
        <w:kinsoku/>
        <w:wordWrap/>
        <w:overflowPunct/>
        <w:topLinePunct w:val="0"/>
        <w:autoSpaceDE w:val="0"/>
        <w:autoSpaceDN w:val="0"/>
        <w:bidi w:val="0"/>
        <w:spacing w:line="312"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B23115F">
      <w:pPr>
        <w:pStyle w:val="34"/>
        <w:pageBreakBefore w:val="0"/>
        <w:shd w:val="clear" w:color="auto" w:fill="FFFFFF"/>
        <w:kinsoku/>
        <w:wordWrap/>
        <w:overflowPunct/>
        <w:topLinePunct w:val="0"/>
        <w:bidi w:val="0"/>
        <w:spacing w:beforeAutospacing="0" w:afterAutospacing="0" w:line="312" w:lineRule="auto"/>
        <w:ind w:firstLine="480" w:firstLineChars="200"/>
        <w:textAlignment w:val="auto"/>
        <w:rPr>
          <w:rFonts w:hint="eastAsia" w:ascii="宋体" w:hAnsi="宋体" w:eastAsia="宋体" w:cs="宋体"/>
          <w:szCs w:val="24"/>
          <w:lang w:val="zh-CN"/>
        </w:rPr>
      </w:pPr>
      <w:r>
        <w:rPr>
          <w:rFonts w:hint="eastAsia" w:ascii="宋体" w:hAnsi="宋体" w:eastAsia="宋体" w:cs="宋体"/>
          <w:szCs w:val="24"/>
          <w:lang w:val="zh-CN"/>
        </w:rPr>
        <w:t>（</w:t>
      </w:r>
      <w:r>
        <w:rPr>
          <w:rFonts w:hint="eastAsia" w:ascii="宋体" w:hAnsi="宋体" w:eastAsia="宋体" w:cs="宋体"/>
          <w:szCs w:val="24"/>
          <w:lang w:val="en-US" w:eastAsia="zh-CN"/>
        </w:rPr>
        <w:t>3</w:t>
      </w:r>
      <w:r>
        <w:rPr>
          <w:rFonts w:hint="eastAsia" w:ascii="宋体" w:hAnsi="宋体" w:eastAsia="宋体" w:cs="宋体"/>
          <w:szCs w:val="24"/>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67A82BF5">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lang w:val="zh-CN"/>
        </w:rPr>
      </w:pPr>
      <w:bookmarkStart w:id="148" w:name="_Toc14189279"/>
      <w:bookmarkStart w:id="149" w:name="_Toc411064162"/>
      <w:r>
        <w:rPr>
          <w:rFonts w:hint="eastAsia" w:ascii="宋体" w:hAnsi="宋体" w:eastAsia="宋体" w:cs="宋体"/>
          <w:sz w:val="24"/>
          <w:szCs w:val="24"/>
          <w:lang w:val="en-US" w:eastAsia="zh-CN"/>
        </w:rPr>
        <w:t>3.5</w:t>
      </w:r>
      <w:r>
        <w:rPr>
          <w:rFonts w:hint="eastAsia" w:ascii="宋体" w:hAnsi="宋体" w:eastAsia="宋体" w:cs="宋体"/>
          <w:sz w:val="24"/>
          <w:szCs w:val="24"/>
          <w:lang w:val="zh-CN"/>
        </w:rPr>
        <w:t>谈判</w:t>
      </w:r>
      <w:bookmarkEnd w:id="148"/>
      <w:bookmarkEnd w:id="149"/>
    </w:p>
    <w:p w14:paraId="4D1054E1">
      <w:pPr>
        <w:pageBreakBefore w:val="0"/>
        <w:kinsoku/>
        <w:wordWrap/>
        <w:overflowPunct/>
        <w:topLinePunct w:val="0"/>
        <w:bidi w:val="0"/>
        <w:spacing w:line="312" w:lineRule="auto"/>
        <w:ind w:firstLine="482"/>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E1A9E72">
      <w:pPr>
        <w:pageBreakBefore w:val="0"/>
        <w:shd w:val="clear" w:color="auto" w:fill="FFFFFF"/>
        <w:kinsoku/>
        <w:wordWrap/>
        <w:overflowPunct/>
        <w:topLinePunct w:val="0"/>
        <w:bidi w:val="0"/>
        <w:spacing w:line="312" w:lineRule="auto"/>
        <w:ind w:firstLine="465"/>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）谈判文件应详细列明采购标的的技术、服务要求，谈判结束后，谈判小组应当要求所有继续参加谈判的供应商在规定时间内提交最终报价，最终报价是供应商响应文件的有效组成部分。</w:t>
      </w:r>
    </w:p>
    <w:p w14:paraId="794484A8">
      <w:pPr>
        <w:pageBreakBefore w:val="0"/>
        <w:shd w:val="clear" w:color="auto" w:fill="FFFFFF"/>
        <w:kinsoku/>
        <w:wordWrap/>
        <w:overflowPunct/>
        <w:topLinePunct w:val="0"/>
        <w:bidi w:val="0"/>
        <w:spacing w:line="312" w:lineRule="auto"/>
        <w:ind w:firstLine="465"/>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1AFC61E9">
      <w:pPr>
        <w:pStyle w:val="4"/>
        <w:pageBreakBefore w:val="0"/>
        <w:kinsoku/>
        <w:wordWrap/>
        <w:overflowPunct/>
        <w:topLinePunct w:val="0"/>
        <w:bidi w:val="0"/>
        <w:spacing w:line="312" w:lineRule="auto"/>
        <w:ind w:firstLine="482"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确定成交供应商</w:t>
      </w:r>
      <w:bookmarkEnd w:id="142"/>
      <w:bookmarkEnd w:id="143"/>
      <w:bookmarkEnd w:id="144"/>
      <w:bookmarkEnd w:id="145"/>
    </w:p>
    <w:p w14:paraId="0D17ED80">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4.1</w:t>
      </w:r>
      <w:r>
        <w:rPr>
          <w:rFonts w:hint="eastAsia" w:ascii="宋体" w:hAnsi="宋体" w:eastAsia="宋体" w:cs="宋体"/>
          <w:kern w:val="0"/>
          <w:sz w:val="24"/>
          <w:szCs w:val="24"/>
          <w:lang w:val="zh-CN"/>
        </w:rPr>
        <w:t>谈判小组从质量和服务均能满足谈判文件实质性响应要求的供应商中，确定最终报价最低的供应商作为成交供应商。</w:t>
      </w:r>
    </w:p>
    <w:p w14:paraId="354ECC10">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GB"/>
        </w:rPr>
      </w:pPr>
      <w:r>
        <w:rPr>
          <w:rFonts w:hint="eastAsia" w:ascii="宋体" w:hAnsi="宋体" w:eastAsia="宋体" w:cs="宋体"/>
          <w:kern w:val="0"/>
          <w:sz w:val="24"/>
          <w:szCs w:val="24"/>
          <w:lang w:val="zh-CN"/>
        </w:rPr>
        <w:t>若两家及以上供应商在最终轮次报价中相同且最低的，以货物质量更优者为成交供应商。</w:t>
      </w:r>
    </w:p>
    <w:p w14:paraId="7BE2DD74">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2C7DEFBD">
      <w:pPr>
        <w:keepNext w:val="0"/>
        <w:keepLines w:val="0"/>
        <w:pageBreakBefore w:val="0"/>
        <w:widowControl/>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4.2 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5D6735B">
      <w:pPr>
        <w:keepNext w:val="0"/>
        <w:keepLines w:val="0"/>
        <w:pageBreakBefore w:val="0"/>
        <w:widowControl/>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en-US" w:eastAsia="zh-CN"/>
        </w:rPr>
        <w:t>4.3</w:t>
      </w:r>
      <w:r>
        <w:rPr>
          <w:rFonts w:hint="eastAsia" w:ascii="宋体" w:hAnsi="宋体" w:eastAsia="宋体" w:cs="宋体"/>
          <w:sz w:val="24"/>
          <w:szCs w:val="24"/>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4175031F">
      <w:pPr>
        <w:pageBreakBefore w:val="0"/>
        <w:kinsoku/>
        <w:wordWrap/>
        <w:overflowPunct/>
        <w:topLinePunct w:val="0"/>
        <w:bidi w:val="0"/>
        <w:spacing w:line="312" w:lineRule="auto"/>
        <w:ind w:firstLine="482" w:firstLineChars="200"/>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5.</w:t>
      </w:r>
      <w:r>
        <w:rPr>
          <w:rFonts w:hint="eastAsia" w:ascii="宋体" w:hAnsi="宋体" w:eastAsia="宋体" w:cs="宋体"/>
          <w:b/>
          <w:bCs/>
          <w:kern w:val="2"/>
          <w:sz w:val="24"/>
          <w:szCs w:val="24"/>
          <w:lang w:val="zh-CN" w:eastAsia="zh-CN" w:bidi="ar-SA"/>
        </w:rPr>
        <w:t>编写评审报告</w:t>
      </w:r>
    </w:p>
    <w:p w14:paraId="34609A6D">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谈判小组根据谈判情况编制评审报告，谈判小组成员对评审报告有异议的，应当在评审报告上签署不同意见，并说明理由，否则视为同意。对拒绝说明理由的，须报政府采购监管部门处理，并将其评审情况如实</w:t>
      </w:r>
      <w:r>
        <w:rPr>
          <w:rFonts w:hint="eastAsia" w:ascii="宋体" w:hAnsi="宋体" w:eastAsia="宋体" w:cs="宋体"/>
          <w:sz w:val="24"/>
          <w:szCs w:val="24"/>
          <w:lang w:eastAsia="zh-CN"/>
        </w:rPr>
        <w:t>记入</w:t>
      </w:r>
      <w:r>
        <w:rPr>
          <w:rFonts w:hint="eastAsia" w:ascii="宋体" w:hAnsi="宋体" w:eastAsia="宋体" w:cs="宋体"/>
          <w:sz w:val="24"/>
          <w:szCs w:val="24"/>
        </w:rPr>
        <w:t>考核表。</w:t>
      </w:r>
    </w:p>
    <w:p w14:paraId="2A5B2742">
      <w:pPr>
        <w:pStyle w:val="4"/>
        <w:pageBreakBefore w:val="0"/>
        <w:kinsoku/>
        <w:wordWrap/>
        <w:overflowPunct/>
        <w:topLinePunct w:val="0"/>
        <w:bidi w:val="0"/>
        <w:spacing w:line="312" w:lineRule="auto"/>
        <w:ind w:firstLine="482" w:firstLineChars="200"/>
        <w:textAlignment w:val="auto"/>
        <w:rPr>
          <w:rFonts w:hint="eastAsia" w:ascii="宋体" w:hAnsi="宋体" w:eastAsia="宋体" w:cs="宋体"/>
          <w:sz w:val="24"/>
          <w:szCs w:val="24"/>
        </w:rPr>
      </w:pPr>
      <w:bookmarkStart w:id="150" w:name="_Toc18412206"/>
      <w:bookmarkStart w:id="151" w:name="_Toc14189414"/>
      <w:bookmarkStart w:id="152" w:name="_Toc35335263"/>
      <w:bookmarkStart w:id="153" w:name="_Toc23939"/>
      <w:bookmarkStart w:id="154" w:name="_Toc14189281"/>
      <w:bookmarkStart w:id="155" w:name="_Toc23316689"/>
      <w:bookmarkStart w:id="156" w:name="_Toc23316527"/>
      <w:bookmarkStart w:id="157" w:name="_Toc22281"/>
      <w:bookmarkStart w:id="158" w:name="_Toc23316591"/>
      <w:bookmarkStart w:id="159" w:name="_Toc23315667"/>
      <w:bookmarkStart w:id="160" w:name="_Toc30952"/>
      <w:bookmarkStart w:id="161" w:name="_Toc1055"/>
      <w:r>
        <w:rPr>
          <w:rFonts w:hint="eastAsia" w:ascii="宋体" w:hAnsi="宋体" w:eastAsia="宋体" w:cs="宋体"/>
          <w:sz w:val="24"/>
          <w:szCs w:val="24"/>
          <w:lang w:val="en-US" w:eastAsia="zh-CN"/>
        </w:rPr>
        <w:t>6.</w:t>
      </w:r>
      <w:r>
        <w:rPr>
          <w:rFonts w:hint="eastAsia" w:ascii="宋体" w:hAnsi="宋体" w:eastAsia="宋体" w:cs="宋体"/>
          <w:sz w:val="24"/>
          <w:szCs w:val="24"/>
        </w:rPr>
        <w:t>定标</w:t>
      </w:r>
      <w:bookmarkEnd w:id="150"/>
      <w:bookmarkEnd w:id="151"/>
      <w:bookmarkEnd w:id="152"/>
      <w:bookmarkEnd w:id="153"/>
      <w:bookmarkEnd w:id="154"/>
      <w:bookmarkEnd w:id="155"/>
      <w:bookmarkEnd w:id="156"/>
      <w:bookmarkEnd w:id="157"/>
      <w:bookmarkEnd w:id="158"/>
      <w:bookmarkEnd w:id="159"/>
      <w:bookmarkEnd w:id="160"/>
      <w:bookmarkEnd w:id="161"/>
    </w:p>
    <w:p w14:paraId="45D19C75">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招标代理机构在评审工作结束后，对评审报告进行审核，在2个工作日内，将评审报告送采购人确认。</w:t>
      </w:r>
    </w:p>
    <w:p w14:paraId="3F4A89DF">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7244D5A6">
      <w:pPr>
        <w:pageBreakBefore w:val="0"/>
        <w:kinsoku/>
        <w:wordWrap/>
        <w:overflowPunct/>
        <w:topLinePunct w:val="0"/>
        <w:bidi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在确定成交供应商后，招标代理机构发布成交公告，向确定的成交供应商发出“成交通知书”。</w:t>
      </w:r>
    </w:p>
    <w:p w14:paraId="46C6B0A7">
      <w:pPr>
        <w:pageBreakBefore w:val="0"/>
        <w:kinsoku/>
        <w:wordWrap/>
        <w:overflowPunct/>
        <w:topLinePunct w:val="0"/>
        <w:bidi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6.4</w:t>
      </w:r>
      <w:r>
        <w:rPr>
          <w:rFonts w:hint="eastAsia" w:ascii="宋体" w:hAnsi="宋体" w:eastAsia="宋体" w:cs="宋体"/>
          <w:bCs/>
          <w:sz w:val="24"/>
          <w:szCs w:val="24"/>
        </w:rPr>
        <w:t>招标代理机构不做未成交原因的解释。</w:t>
      </w:r>
    </w:p>
    <w:p w14:paraId="693A36AB">
      <w:pPr>
        <w:pageBreakBefore w:val="0"/>
        <w:kinsoku/>
        <w:wordWrap/>
        <w:overflowPunct/>
        <w:topLinePunct w:val="0"/>
        <w:bidi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6.5</w:t>
      </w:r>
      <w:r>
        <w:rPr>
          <w:rFonts w:hint="eastAsia" w:ascii="宋体" w:hAnsi="宋体" w:eastAsia="宋体" w:cs="宋体"/>
          <w:bCs/>
          <w:sz w:val="24"/>
          <w:szCs w:val="24"/>
        </w:rPr>
        <w:t>成交人应在接到招标代理机构通知之日起七日内领取成交通知书。</w:t>
      </w:r>
    </w:p>
    <w:p w14:paraId="719B60D1">
      <w:pPr>
        <w:pStyle w:val="4"/>
        <w:pageBreakBefore w:val="0"/>
        <w:kinsoku/>
        <w:wordWrap/>
        <w:overflowPunct/>
        <w:topLinePunct w:val="0"/>
        <w:bidi w:val="0"/>
        <w:spacing w:line="312" w:lineRule="auto"/>
        <w:jc w:val="center"/>
        <w:textAlignment w:val="auto"/>
        <w:rPr>
          <w:rFonts w:hint="eastAsia" w:ascii="宋体" w:hAnsi="宋体" w:eastAsia="宋体" w:cs="宋体"/>
          <w:sz w:val="24"/>
          <w:szCs w:val="24"/>
        </w:rPr>
      </w:pPr>
      <w:bookmarkStart w:id="162" w:name="_Toc29818"/>
      <w:bookmarkStart w:id="163" w:name="_Toc5001"/>
      <w:r>
        <w:rPr>
          <w:rFonts w:hint="eastAsia" w:ascii="宋体" w:hAnsi="宋体" w:eastAsia="宋体" w:cs="宋体"/>
          <w:sz w:val="24"/>
          <w:szCs w:val="24"/>
          <w:lang w:eastAsia="zh-CN"/>
        </w:rPr>
        <w:t>六</w:t>
      </w:r>
      <w:r>
        <w:rPr>
          <w:rFonts w:hint="eastAsia" w:ascii="宋体" w:hAnsi="宋体" w:eastAsia="宋体" w:cs="宋体"/>
          <w:sz w:val="24"/>
          <w:szCs w:val="24"/>
        </w:rPr>
        <w:t>、签订政府采购合同</w:t>
      </w:r>
      <w:bookmarkEnd w:id="113"/>
      <w:bookmarkEnd w:id="114"/>
      <w:bookmarkEnd w:id="115"/>
      <w:bookmarkEnd w:id="116"/>
      <w:bookmarkEnd w:id="117"/>
      <w:bookmarkEnd w:id="118"/>
      <w:bookmarkEnd w:id="119"/>
      <w:bookmarkEnd w:id="120"/>
      <w:bookmarkEnd w:id="121"/>
      <w:bookmarkEnd w:id="122"/>
      <w:bookmarkEnd w:id="162"/>
      <w:bookmarkEnd w:id="163"/>
    </w:p>
    <w:p w14:paraId="18ADFFE5">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采购人与成交供应商应当在成交通知书发出之日起</w:t>
      </w:r>
      <w:r>
        <w:rPr>
          <w:rFonts w:hint="eastAsia" w:ascii="宋体" w:hAnsi="宋体" w:eastAsia="宋体" w:cs="宋体"/>
          <w:sz w:val="24"/>
          <w:szCs w:val="24"/>
          <w:lang w:val="en-US" w:eastAsia="zh-CN"/>
        </w:rPr>
        <w:t>25</w:t>
      </w:r>
      <w:r>
        <w:rPr>
          <w:rFonts w:hint="eastAsia" w:ascii="宋体" w:hAnsi="宋体" w:eastAsia="宋体" w:cs="宋体"/>
          <w:sz w:val="24"/>
          <w:szCs w:val="24"/>
        </w:rPr>
        <w:t>日内，按照谈判文件确定的合同文本签订政府采购合同。</w:t>
      </w:r>
    </w:p>
    <w:p w14:paraId="12173D1A">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采购人不得向成交供应商提出超出谈判文件以外的任何要求作为签订合同的条件，不得与成交供应商订立背离谈判文件确定的合同文本以及采购服务要求实质性内容的协议。</w:t>
      </w:r>
    </w:p>
    <w:p w14:paraId="0FA5761B">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成交供应商拒绝与采购人签订合同的，采购人可以按照评审报告推荐的成交候选人名单排序，确定下一候选人为成交供应商，也可以重新开展政府采购活动。</w:t>
      </w:r>
    </w:p>
    <w:p w14:paraId="02E6B3C7">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政府采购合同在执行过程中，确需修改、变更时，应当按照相应的审核批准程序办理。</w:t>
      </w:r>
    </w:p>
    <w:p w14:paraId="6A29ED7A">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谈判文件、响应文件、澄清等为政府采购合同的组成部分，具有同等法律效力。</w:t>
      </w:r>
    </w:p>
    <w:p w14:paraId="0FF8BEF1">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采购人按有关规定将政府采购合同报送监管机构备案。</w:t>
      </w:r>
    </w:p>
    <w:p w14:paraId="6A2FF272">
      <w:pPr>
        <w:pStyle w:val="4"/>
        <w:pageBreakBefore w:val="0"/>
        <w:kinsoku/>
        <w:wordWrap/>
        <w:overflowPunct/>
        <w:topLinePunct w:val="0"/>
        <w:bidi w:val="0"/>
        <w:spacing w:line="312" w:lineRule="auto"/>
        <w:jc w:val="center"/>
        <w:textAlignment w:val="auto"/>
        <w:rPr>
          <w:rFonts w:hint="eastAsia" w:ascii="宋体" w:hAnsi="宋体" w:eastAsia="宋体" w:cs="宋体"/>
          <w:sz w:val="24"/>
          <w:szCs w:val="24"/>
        </w:rPr>
      </w:pPr>
      <w:bookmarkStart w:id="164" w:name="_Toc20160"/>
      <w:bookmarkStart w:id="165" w:name="_Toc18412208"/>
      <w:bookmarkStart w:id="166" w:name="_Toc23316529"/>
      <w:bookmarkStart w:id="167" w:name="_Toc22563"/>
      <w:bookmarkStart w:id="168" w:name="_Toc30985"/>
      <w:bookmarkStart w:id="169" w:name="_Toc23315669"/>
      <w:bookmarkStart w:id="170" w:name="_Toc22843"/>
      <w:bookmarkStart w:id="171" w:name="_Toc14189416"/>
      <w:bookmarkStart w:id="172" w:name="_Toc35335265"/>
      <w:bookmarkStart w:id="173" w:name="_Toc23316691"/>
      <w:bookmarkStart w:id="174" w:name="_Toc14189283"/>
      <w:bookmarkStart w:id="175" w:name="_Toc23316593"/>
      <w:r>
        <w:rPr>
          <w:rFonts w:hint="eastAsia" w:ascii="宋体" w:hAnsi="宋体" w:eastAsia="宋体" w:cs="宋体"/>
          <w:sz w:val="24"/>
          <w:szCs w:val="24"/>
          <w:lang w:eastAsia="zh-CN"/>
        </w:rPr>
        <w:t>七</w:t>
      </w:r>
      <w:r>
        <w:rPr>
          <w:rFonts w:hint="eastAsia" w:ascii="宋体" w:hAnsi="宋体" w:eastAsia="宋体" w:cs="宋体"/>
          <w:sz w:val="24"/>
          <w:szCs w:val="24"/>
        </w:rPr>
        <w:t>、招标服务费</w:t>
      </w:r>
      <w:bookmarkEnd w:id="164"/>
      <w:bookmarkEnd w:id="165"/>
      <w:bookmarkEnd w:id="166"/>
      <w:bookmarkEnd w:id="167"/>
      <w:bookmarkEnd w:id="168"/>
      <w:bookmarkEnd w:id="169"/>
      <w:bookmarkEnd w:id="170"/>
      <w:bookmarkEnd w:id="171"/>
      <w:bookmarkEnd w:id="172"/>
      <w:bookmarkEnd w:id="173"/>
      <w:bookmarkEnd w:id="174"/>
      <w:bookmarkEnd w:id="175"/>
    </w:p>
    <w:p w14:paraId="6EFA8391">
      <w:pPr>
        <w:pageBreakBefore w:val="0"/>
        <w:numPr>
          <w:ilvl w:val="0"/>
          <w:numId w:val="0"/>
        </w:numPr>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1.代理服务费参照国家计委关于印发《招标代理服务收费管理暂行办法》的通知（计价格〔2002〕1980号）、《国家发展改革委员会办公厅关于招标代理服务收费有关问题的通知》（发改办价格〔2003〕857号）规定</w:t>
      </w:r>
      <w:r>
        <w:rPr>
          <w:rFonts w:hint="eastAsia" w:ascii="宋体" w:hAnsi="宋体" w:eastAsia="宋体" w:cs="宋体"/>
          <w:color w:val="auto"/>
          <w:sz w:val="24"/>
          <w:szCs w:val="24"/>
          <w:lang w:val="en-US" w:eastAsia="zh-CN"/>
        </w:rPr>
        <w:t>收取。（采购代理机构开户名称：安康尚昊招标代理有限公司  开户行名称：中国建设银行股份有限公司安康分行营业部  账号：61050166371100000492）</w:t>
      </w:r>
    </w:p>
    <w:p w14:paraId="01E72745">
      <w:pPr>
        <w:pageBreakBefore w:val="0"/>
        <w:numPr>
          <w:ilvl w:val="0"/>
          <w:numId w:val="0"/>
        </w:numPr>
        <w:kinsoku/>
        <w:wordWrap/>
        <w:overflowPunct/>
        <w:topLinePunct w:val="0"/>
        <w:autoSpaceDE/>
        <w:autoSpaceDN/>
        <w:bidi w:val="0"/>
        <w:spacing w:line="312"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2.由成交供应商</w:t>
      </w:r>
      <w:r>
        <w:rPr>
          <w:rFonts w:hint="eastAsia" w:ascii="宋体" w:hAnsi="宋体" w:eastAsia="宋体" w:cs="宋体"/>
          <w:color w:val="auto"/>
          <w:sz w:val="24"/>
          <w:szCs w:val="24"/>
        </w:rPr>
        <w:t>向采购代理机构一次性支付招标代理服务费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本项目代理服务费金额包1新生儿配方奶粉及早期早产儿奶粉大写</w:t>
      </w:r>
      <w:r>
        <w:rPr>
          <w:rFonts w:hint="eastAsia" w:ascii="宋体" w:hAnsi="宋体" w:eastAsia="宋体" w:cs="宋体"/>
          <w:color w:val="auto"/>
          <w:sz w:val="24"/>
          <w:szCs w:val="24"/>
          <w:u w:val="single"/>
          <w:lang w:val="en-US" w:eastAsia="zh-CN"/>
        </w:rPr>
        <w:t xml:space="preserve"> 叁仟元整 </w:t>
      </w: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u w:val="single"/>
          <w:lang w:val="en-US" w:eastAsia="zh-CN"/>
        </w:rPr>
        <w:t xml:space="preserve"> 3000.00 </w:t>
      </w:r>
      <w:r>
        <w:rPr>
          <w:rFonts w:hint="eastAsia" w:ascii="宋体" w:hAnsi="宋体" w:eastAsia="宋体" w:cs="宋体"/>
          <w:color w:val="auto"/>
          <w:sz w:val="24"/>
          <w:szCs w:val="24"/>
          <w:lang w:val="en-US" w:eastAsia="zh-CN"/>
        </w:rPr>
        <w:t>元；包2新生儿配方奶粉及晚期早产儿奶粉大写</w:t>
      </w:r>
      <w:r>
        <w:rPr>
          <w:rFonts w:hint="eastAsia" w:ascii="宋体" w:hAnsi="宋体" w:eastAsia="宋体" w:cs="宋体"/>
          <w:color w:val="auto"/>
          <w:sz w:val="24"/>
          <w:szCs w:val="24"/>
          <w:u w:val="single"/>
          <w:lang w:val="en-US" w:eastAsia="zh-CN"/>
        </w:rPr>
        <w:t xml:space="preserve"> 叁仟元整 </w:t>
      </w: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u w:val="single"/>
          <w:lang w:val="en-US" w:eastAsia="zh-CN"/>
        </w:rPr>
        <w:t xml:space="preserve"> 3000.00 </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；代理服务费以转账、电汇或现金等形式交纳</w:t>
      </w:r>
      <w:r>
        <w:rPr>
          <w:rFonts w:hint="eastAsia" w:ascii="宋体" w:hAnsi="宋体" w:eastAsia="宋体" w:cs="宋体"/>
          <w:color w:val="auto"/>
          <w:sz w:val="24"/>
          <w:szCs w:val="24"/>
          <w:lang w:val="en-US" w:eastAsia="zh-CN"/>
        </w:rPr>
        <w:t>。</w:t>
      </w:r>
    </w:p>
    <w:p w14:paraId="1DF24AC5">
      <w:pPr>
        <w:pageBreakBefore w:val="0"/>
        <w:kinsoku/>
        <w:wordWrap/>
        <w:overflowPunct/>
        <w:topLinePunct w:val="0"/>
        <w:bidi w:val="0"/>
        <w:adjustRightInd w:val="0"/>
        <w:snapToGrid w:val="0"/>
        <w:spacing w:line="312" w:lineRule="auto"/>
        <w:ind w:firstLine="482" w:firstLineChars="200"/>
        <w:jc w:val="center"/>
        <w:textAlignment w:val="auto"/>
        <w:rPr>
          <w:rFonts w:hint="eastAsia" w:ascii="宋体" w:hAnsi="宋体" w:eastAsia="宋体" w:cs="宋体"/>
          <w:b/>
          <w:kern w:val="0"/>
          <w:sz w:val="24"/>
          <w:szCs w:val="24"/>
          <w:lang w:val="zh-CN" w:eastAsia="zh-CN"/>
        </w:rPr>
      </w:pPr>
    </w:p>
    <w:p w14:paraId="6D25B3A0">
      <w:pPr>
        <w:pageBreakBefore w:val="0"/>
        <w:kinsoku/>
        <w:wordWrap/>
        <w:overflowPunct/>
        <w:topLinePunct w:val="0"/>
        <w:bidi w:val="0"/>
        <w:adjustRightInd w:val="0"/>
        <w:snapToGrid w:val="0"/>
        <w:spacing w:line="312" w:lineRule="auto"/>
        <w:ind w:firstLine="482" w:firstLineChars="200"/>
        <w:jc w:val="center"/>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八、政府采购政策</w:t>
      </w:r>
    </w:p>
    <w:p w14:paraId="5781B7E7">
      <w:pPr>
        <w:pageBreakBefore w:val="0"/>
        <w:kinsoku/>
        <w:wordWrap/>
        <w:overflowPunct/>
        <w:topLinePunct w:val="0"/>
        <w:autoSpaceDE w:val="0"/>
        <w:autoSpaceDN w:val="0"/>
        <w:bidi w:val="0"/>
        <w:adjustRightInd w:val="0"/>
        <w:snapToGrid w:val="0"/>
        <w:spacing w:line="312" w:lineRule="auto"/>
        <w:ind w:firstLine="482" w:firstLineChars="200"/>
        <w:textAlignment w:val="auto"/>
        <w:rPr>
          <w:rFonts w:hint="eastAsia" w:ascii="宋体" w:hAnsi="宋体" w:eastAsia="宋体" w:cs="宋体"/>
          <w:b/>
          <w:sz w:val="24"/>
          <w:lang w:val="zh-CN"/>
        </w:rPr>
      </w:pPr>
      <w:r>
        <w:rPr>
          <w:rFonts w:hint="eastAsia" w:ascii="宋体" w:hAnsi="宋体" w:eastAsia="宋体" w:cs="宋体"/>
          <w:b/>
          <w:sz w:val="24"/>
          <w:lang w:val="en-US" w:eastAsia="zh-CN"/>
        </w:rPr>
        <w:t>1.</w:t>
      </w:r>
      <w:r>
        <w:rPr>
          <w:rFonts w:hint="eastAsia" w:ascii="宋体" w:hAnsi="宋体" w:eastAsia="宋体" w:cs="宋体"/>
          <w:b/>
          <w:sz w:val="24"/>
          <w:lang w:val="zh-CN"/>
        </w:rPr>
        <w:t>投标企业政府采购政策</w:t>
      </w:r>
    </w:p>
    <w:p w14:paraId="50539986">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bookmarkStart w:id="176" w:name="_Toc19543343"/>
      <w:bookmarkStart w:id="177" w:name="_Toc536429379"/>
      <w:bookmarkStart w:id="178" w:name="_Toc536202386"/>
      <w:bookmarkStart w:id="179" w:name="_Toc536202317"/>
      <w:bookmarkStart w:id="180" w:name="_Toc536429326"/>
      <w:bookmarkStart w:id="181" w:name="_Toc664"/>
      <w:bookmarkStart w:id="182" w:name="_Toc21849"/>
      <w:bookmarkStart w:id="183" w:name="_Toc11491"/>
      <w:r>
        <w:rPr>
          <w:rFonts w:hint="eastAsia" w:ascii="宋体" w:hAnsi="宋体" w:eastAsia="宋体" w:cs="宋体"/>
          <w:b w:val="0"/>
          <w:bCs w:val="0"/>
          <w:kern w:val="0"/>
          <w:sz w:val="24"/>
          <w:szCs w:val="24"/>
          <w:lang w:eastAsia="zh-CN"/>
        </w:rPr>
        <w:t>根据《政府采购促进中小企业发展管理办法》（财库〔2020〕46号）和《陕西省财政厅关于加快推进我省中小企业政府采购信用融资工作的通知》（陕财办采〔2020〕15 号）有关要求，对政府采购相关政策落实如下：</w:t>
      </w:r>
    </w:p>
    <w:p w14:paraId="48F899A4">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（1）根据《政府采购促进中小企业发展管理办法》（财库〔2020〕46号）的有关规定，</w:t>
      </w:r>
      <w:r>
        <w:rPr>
          <w:rFonts w:hint="eastAsia" w:ascii="宋体" w:hAnsi="宋体" w:eastAsia="宋体" w:cs="宋体"/>
          <w:b w:val="0"/>
          <w:bCs w:val="0"/>
          <w:kern w:val="0"/>
          <w:sz w:val="24"/>
          <w:szCs w:val="24"/>
          <w:lang w:val="en-US" w:eastAsia="zh-CN"/>
        </w:rPr>
        <w:t>小微</w:t>
      </w:r>
      <w:r>
        <w:rPr>
          <w:rFonts w:hint="eastAsia" w:ascii="宋体" w:hAnsi="宋体" w:eastAsia="宋体" w:cs="宋体"/>
          <w:b w:val="0"/>
          <w:bCs w:val="0"/>
          <w:kern w:val="0"/>
          <w:sz w:val="24"/>
          <w:szCs w:val="24"/>
          <w:lang w:eastAsia="zh-CN"/>
        </w:rPr>
        <w:t>企业提供本企业制造的货物、承担的工程或者服务，或者提供其他</w:t>
      </w:r>
      <w:r>
        <w:rPr>
          <w:rFonts w:hint="eastAsia" w:ascii="宋体" w:hAnsi="宋体" w:eastAsia="宋体" w:cs="宋体"/>
          <w:b w:val="0"/>
          <w:bCs w:val="0"/>
          <w:kern w:val="0"/>
          <w:sz w:val="24"/>
          <w:szCs w:val="24"/>
          <w:lang w:val="en-US" w:eastAsia="zh-CN"/>
        </w:rPr>
        <w:t>小微</w:t>
      </w:r>
      <w:r>
        <w:rPr>
          <w:rFonts w:hint="eastAsia" w:ascii="宋体" w:hAnsi="宋体" w:eastAsia="宋体" w:cs="宋体"/>
          <w:b w:val="0"/>
          <w:bCs w:val="0"/>
          <w:kern w:val="0"/>
          <w:sz w:val="24"/>
          <w:szCs w:val="24"/>
          <w:lang w:eastAsia="zh-CN"/>
        </w:rPr>
        <w:t xml:space="preserve">企业制造的货物（不包括使用大型、中型企业注册商标的货物）参与政府采购活动时对小型和微型企业产品的价格给予6%—10%的价格扣除，用扣除后的价格参与评标。  </w:t>
      </w:r>
    </w:p>
    <w:p w14:paraId="6A7B4A98">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2）根据财政部、司法部联合下发的《关于政府采购支持监狱企业发展有关问题的通知》（财库〔2014〕68号）的规定，监狱企业视同小型、微型企业。评标时，对监狱企业给予6%—10%的价格扣除，用扣除后的价格参与评审；</w:t>
      </w:r>
    </w:p>
    <w:p w14:paraId="6F2ADB89">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0155CFCC">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注：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default" w:ascii="宋体" w:hAnsi="宋体" w:eastAsia="宋体" w:cs="宋体"/>
          <w:b w:val="0"/>
          <w:bCs w:val="0"/>
          <w:kern w:val="0"/>
          <w:sz w:val="24"/>
          <w:szCs w:val="24"/>
          <w:lang w:eastAsia="zh-CN"/>
        </w:rPr>
        <w:t>谈判</w:t>
      </w:r>
      <w:r>
        <w:rPr>
          <w:rFonts w:hint="eastAsia" w:ascii="宋体" w:hAnsi="宋体" w:eastAsia="宋体" w:cs="宋体"/>
          <w:b w:val="0"/>
          <w:bCs w:val="0"/>
          <w:kern w:val="0"/>
          <w:sz w:val="24"/>
          <w:szCs w:val="24"/>
          <w:lang w:eastAsia="zh-CN"/>
        </w:rPr>
        <w:t>文件规定的价格扣除，但不影响投标文件的有效性，对既属于监狱企业、福利企业，同时又满足中小微企业规定的投标单位，其价格扣除仅适用一次。</w:t>
      </w:r>
    </w:p>
    <w:p w14:paraId="09F14A54">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①根据财政部、国家发展改革委《关于印发〈节能产品政府采购实施意见〉的通知》（财库〔2004〕185号）所投产品属于节能产品政府采购清单所列产品，在技术、服务同等的条件下，应当优先采用清单中的节能产品；</w:t>
      </w:r>
    </w:p>
    <w:p w14:paraId="0F9AA337">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②所投产品为“环境标志产品政府采购清单”所列产品，在性能、技术、服务等指标同等的条件下，应当优先采用；</w:t>
      </w:r>
    </w:p>
    <w:p w14:paraId="77E80460">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③节能产品根据《国务院办公厅关于建立政府强制采购节能产品制度的通知》国办发〔2007〕51号的规定，以中国政府采购网（http://www.ccgp.gov.cn/）公布的最新一期节能产品政府采购清单为准；</w:t>
      </w:r>
    </w:p>
    <w:p w14:paraId="1EA50CD1">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④环境标志产品根据《环境标志产品政府采购实施的意见》（财库〔2006〕90号）的规定，以中国政府采购网（http://www.ccgp.gov.cn/）公布的最新一期环境标志产品政府采购清单为准；</w:t>
      </w:r>
    </w:p>
    <w:p w14:paraId="32B9B0A2">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⑤若节能、环保、环境标志清单内的产品仅是构成投标产品的部件、组件或零件的，则该投标产品不享受鼓励优惠政策；</w:t>
      </w:r>
    </w:p>
    <w:p w14:paraId="7009D22A">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）关于信用记录的查询和使用</w:t>
      </w:r>
    </w:p>
    <w:p w14:paraId="634469F2">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1.采购人将在资格审查阶段通过【</w:t>
      </w:r>
      <w:r>
        <w:rPr>
          <w:rFonts w:hint="eastAsia" w:ascii="宋体" w:hAnsi="宋体" w:eastAsia="宋体" w:cs="宋体"/>
          <w:b w:val="0"/>
          <w:bCs w:val="0"/>
          <w:kern w:val="0"/>
          <w:sz w:val="24"/>
          <w:szCs w:val="24"/>
          <w:lang w:eastAsia="zh-CN"/>
        </w:rPr>
        <w:fldChar w:fldCharType="begin"/>
      </w:r>
      <w:r>
        <w:rPr>
          <w:rFonts w:hint="eastAsia" w:ascii="宋体" w:hAnsi="宋体" w:eastAsia="宋体" w:cs="宋体"/>
          <w:b w:val="0"/>
          <w:bCs w:val="0"/>
          <w:kern w:val="0"/>
          <w:sz w:val="24"/>
          <w:szCs w:val="24"/>
          <w:lang w:eastAsia="zh-CN"/>
        </w:rPr>
        <w:instrText xml:space="preserve"> HYPERLINK "http://www.creditchina.gov.cn" </w:instrText>
      </w:r>
      <w:r>
        <w:rPr>
          <w:rFonts w:hint="eastAsia" w:ascii="宋体" w:hAnsi="宋体" w:eastAsia="宋体" w:cs="宋体"/>
          <w:b w:val="0"/>
          <w:bCs w:val="0"/>
          <w:kern w:val="0"/>
          <w:sz w:val="24"/>
          <w:szCs w:val="24"/>
          <w:lang w:eastAsia="zh-CN"/>
        </w:rPr>
        <w:fldChar w:fldCharType="separate"/>
      </w:r>
      <w:r>
        <w:rPr>
          <w:rFonts w:hint="eastAsia" w:ascii="宋体" w:hAnsi="宋体" w:eastAsia="宋体" w:cs="宋体"/>
          <w:b w:val="0"/>
          <w:bCs w:val="0"/>
          <w:kern w:val="0"/>
          <w:sz w:val="24"/>
          <w:szCs w:val="24"/>
          <w:lang w:eastAsia="zh-CN"/>
        </w:rPr>
        <w:t>信用中国</w:t>
      </w:r>
      <w:r>
        <w:rPr>
          <w:rFonts w:hint="eastAsia" w:ascii="宋体" w:hAnsi="宋体" w:eastAsia="宋体" w:cs="宋体"/>
          <w:b w:val="0"/>
          <w:bCs w:val="0"/>
          <w:kern w:val="0"/>
          <w:sz w:val="24"/>
          <w:szCs w:val="24"/>
          <w:lang w:eastAsia="zh-CN"/>
        </w:rPr>
        <w:fldChar w:fldCharType="end"/>
      </w:r>
      <w:r>
        <w:rPr>
          <w:rFonts w:hint="eastAsia" w:ascii="宋体" w:hAnsi="宋体" w:eastAsia="宋体" w:cs="宋体"/>
          <w:b w:val="0"/>
          <w:bCs w:val="0"/>
          <w:kern w:val="0"/>
          <w:sz w:val="24"/>
          <w:szCs w:val="24"/>
          <w:lang w:eastAsia="zh-CN"/>
        </w:rPr>
        <w:t>（www.creditchina.gov.cn）】、【</w:t>
      </w:r>
      <w:r>
        <w:rPr>
          <w:rFonts w:hint="eastAsia" w:ascii="宋体" w:hAnsi="宋体" w:eastAsia="宋体" w:cs="宋体"/>
          <w:b w:val="0"/>
          <w:bCs w:val="0"/>
          <w:kern w:val="0"/>
          <w:sz w:val="24"/>
          <w:szCs w:val="24"/>
          <w:lang w:eastAsia="zh-CN"/>
        </w:rPr>
        <w:fldChar w:fldCharType="begin"/>
      </w:r>
      <w:r>
        <w:rPr>
          <w:rFonts w:hint="eastAsia" w:ascii="宋体" w:hAnsi="宋体" w:eastAsia="宋体" w:cs="宋体"/>
          <w:b w:val="0"/>
          <w:bCs w:val="0"/>
          <w:kern w:val="0"/>
          <w:sz w:val="24"/>
          <w:szCs w:val="24"/>
          <w:lang w:eastAsia="zh-CN"/>
        </w:rPr>
        <w:instrText xml:space="preserve"> HYPERLINK "http://www.ccgp.gov.cn/cr/list" </w:instrText>
      </w:r>
      <w:r>
        <w:rPr>
          <w:rFonts w:hint="eastAsia" w:ascii="宋体" w:hAnsi="宋体" w:eastAsia="宋体" w:cs="宋体"/>
          <w:b w:val="0"/>
          <w:bCs w:val="0"/>
          <w:kern w:val="0"/>
          <w:sz w:val="24"/>
          <w:szCs w:val="24"/>
          <w:lang w:eastAsia="zh-CN"/>
        </w:rPr>
        <w:fldChar w:fldCharType="separate"/>
      </w:r>
      <w:r>
        <w:rPr>
          <w:rFonts w:hint="eastAsia" w:ascii="宋体" w:hAnsi="宋体" w:eastAsia="宋体" w:cs="宋体"/>
          <w:b w:val="0"/>
          <w:bCs w:val="0"/>
          <w:kern w:val="0"/>
          <w:sz w:val="24"/>
          <w:szCs w:val="24"/>
          <w:lang w:eastAsia="zh-CN"/>
        </w:rPr>
        <w:t>中国政府采购网</w:t>
      </w:r>
      <w:r>
        <w:rPr>
          <w:rFonts w:hint="eastAsia" w:ascii="宋体" w:hAnsi="宋体" w:eastAsia="宋体" w:cs="宋体"/>
          <w:b w:val="0"/>
          <w:bCs w:val="0"/>
          <w:kern w:val="0"/>
          <w:sz w:val="24"/>
          <w:szCs w:val="24"/>
          <w:lang w:eastAsia="zh-CN"/>
        </w:rPr>
        <w:fldChar w:fldCharType="end"/>
      </w:r>
      <w:r>
        <w:rPr>
          <w:rFonts w:hint="eastAsia" w:ascii="宋体" w:hAnsi="宋体" w:eastAsia="宋体" w:cs="宋体"/>
          <w:b w:val="0"/>
          <w:bCs w:val="0"/>
          <w:kern w:val="0"/>
          <w:sz w:val="24"/>
          <w:szCs w:val="24"/>
          <w:lang w:eastAsia="zh-CN"/>
        </w:rPr>
        <w:t>（www.ccgp.gov.cn）】网站对投标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29AABABF">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2.投标人在参加政府采购活动前3年内因违法经营被禁止在一定期限内参加政府采购活动，期限届满的，可以参加政府采购活动的，但投标人应提供相关证明材料；</w:t>
      </w:r>
    </w:p>
    <w:p w14:paraId="5CECC8CC">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3.信用记录查询的截止时点为“</w:t>
      </w:r>
      <w:r>
        <w:rPr>
          <w:rFonts w:hint="eastAsia" w:ascii="宋体" w:hAnsi="宋体" w:eastAsia="宋体" w:cs="宋体"/>
          <w:b w:val="0"/>
          <w:bCs w:val="0"/>
          <w:kern w:val="0"/>
          <w:sz w:val="24"/>
          <w:szCs w:val="24"/>
          <w:lang w:val="en-US" w:eastAsia="zh-CN"/>
        </w:rPr>
        <w:t>谈判</w:t>
      </w:r>
      <w:r>
        <w:rPr>
          <w:rFonts w:hint="eastAsia" w:ascii="宋体" w:hAnsi="宋体" w:eastAsia="宋体" w:cs="宋体"/>
          <w:b w:val="0"/>
          <w:bCs w:val="0"/>
          <w:kern w:val="0"/>
          <w:sz w:val="24"/>
          <w:szCs w:val="24"/>
          <w:lang w:eastAsia="zh-CN"/>
        </w:rPr>
        <w:t>文件</w:t>
      </w:r>
      <w:r>
        <w:rPr>
          <w:rFonts w:hint="eastAsia" w:ascii="宋体" w:hAnsi="宋体" w:eastAsia="宋体" w:cs="宋体"/>
          <w:b w:val="0"/>
          <w:bCs w:val="0"/>
          <w:kern w:val="0"/>
          <w:sz w:val="24"/>
          <w:szCs w:val="24"/>
          <w:lang w:val="en-US" w:eastAsia="zh-CN"/>
        </w:rPr>
        <w:t>发出</w:t>
      </w:r>
      <w:r>
        <w:rPr>
          <w:rFonts w:hint="eastAsia" w:ascii="宋体" w:hAnsi="宋体" w:eastAsia="宋体" w:cs="宋体"/>
          <w:b w:val="0"/>
          <w:bCs w:val="0"/>
          <w:kern w:val="0"/>
          <w:sz w:val="24"/>
          <w:szCs w:val="24"/>
          <w:lang w:eastAsia="zh-CN"/>
        </w:rPr>
        <w:t>之日起至投标截止日前”。信用记录查询的结果，将以纸质截图或将截图保存至电子介质的形式留存。投标人未如实填报《投标人书面声明函》的，视为“投标人提供虚假材料谋取中标、成交的”行为。</w:t>
      </w:r>
    </w:p>
    <w:p w14:paraId="08886C58">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val="zh-CN" w:eastAsia="zh-CN"/>
        </w:rPr>
      </w:pPr>
      <w:r>
        <w:rPr>
          <w:rFonts w:hint="eastAsia" w:ascii="宋体" w:hAnsi="宋体" w:eastAsia="宋体" w:cs="宋体"/>
          <w:b w:val="0"/>
          <w:bCs w:val="0"/>
          <w:kern w:val="0"/>
          <w:sz w:val="24"/>
          <w:szCs w:val="24"/>
          <w:lang w:val="zh-CN" w:eastAsia="zh-CN"/>
        </w:rPr>
        <w:t>（</w:t>
      </w:r>
      <w:r>
        <w:rPr>
          <w:rFonts w:hint="eastAsia" w:ascii="宋体" w:hAnsi="宋体" w:eastAsia="宋体" w:cs="宋体"/>
          <w:b w:val="0"/>
          <w:bCs w:val="0"/>
          <w:kern w:val="0"/>
          <w:sz w:val="24"/>
          <w:szCs w:val="24"/>
          <w:lang w:val="en-US" w:eastAsia="zh-CN"/>
        </w:rPr>
        <w:t>5</w:t>
      </w:r>
      <w:r>
        <w:rPr>
          <w:rFonts w:hint="eastAsia" w:ascii="宋体" w:hAnsi="宋体" w:eastAsia="宋体" w:cs="宋体"/>
          <w:b w:val="0"/>
          <w:bCs w:val="0"/>
          <w:kern w:val="0"/>
          <w:sz w:val="24"/>
          <w:szCs w:val="24"/>
          <w:lang w:val="zh-CN" w:eastAsia="zh-CN"/>
        </w:rPr>
        <w:t>）融资政策</w:t>
      </w:r>
    </w:p>
    <w:p w14:paraId="76FC2BE4">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val="zh-CN" w:eastAsia="zh-CN"/>
        </w:rPr>
      </w:pPr>
      <w:r>
        <w:rPr>
          <w:rFonts w:hint="eastAsia" w:ascii="宋体" w:hAnsi="宋体" w:eastAsia="宋体" w:cs="宋体"/>
          <w:b w:val="0"/>
          <w:bCs w:val="0"/>
          <w:kern w:val="0"/>
          <w:sz w:val="24"/>
          <w:szCs w:val="24"/>
          <w:lang w:val="zh-CN" w:eastAsia="zh-CN"/>
        </w:rPr>
        <w:t>根据《陕西省财政厅关于加快推进我省中小企业政府采购信用融资工作的通知》（陕财办采</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zh-CN" w:eastAsia="zh-CN"/>
        </w:rPr>
        <w:t>2020</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zh-CN" w:eastAsia="zh-CN"/>
        </w:rPr>
        <w:t>15号）文件精神，有融资需求的</w:t>
      </w:r>
      <w:r>
        <w:rPr>
          <w:rFonts w:hint="eastAsia" w:ascii="宋体" w:hAnsi="宋体" w:eastAsia="宋体" w:cs="宋体"/>
          <w:b w:val="0"/>
          <w:bCs w:val="0"/>
          <w:kern w:val="0"/>
          <w:sz w:val="24"/>
          <w:szCs w:val="24"/>
          <w:lang w:eastAsia="zh-CN"/>
        </w:rPr>
        <w:t>中标（成交）人</w:t>
      </w:r>
      <w:r>
        <w:rPr>
          <w:rFonts w:hint="eastAsia" w:ascii="宋体" w:hAnsi="宋体" w:eastAsia="宋体" w:cs="宋体"/>
          <w:b w:val="0"/>
          <w:bCs w:val="0"/>
          <w:kern w:val="0"/>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宋体"/>
          <w:b w:val="0"/>
          <w:bCs w:val="0"/>
          <w:kern w:val="0"/>
          <w:sz w:val="24"/>
          <w:szCs w:val="24"/>
          <w:lang w:val="zh-CN" w:eastAsia="zh-CN"/>
        </w:rPr>
        <w:fldChar w:fldCharType="begin"/>
      </w:r>
      <w:r>
        <w:rPr>
          <w:rFonts w:hint="eastAsia" w:ascii="宋体" w:hAnsi="宋体" w:eastAsia="宋体" w:cs="宋体"/>
          <w:b w:val="0"/>
          <w:bCs w:val="0"/>
          <w:kern w:val="0"/>
          <w:sz w:val="24"/>
          <w:szCs w:val="24"/>
          <w:lang w:val="zh-CN" w:eastAsia="zh-CN"/>
        </w:rPr>
        <w:instrText xml:space="preserve"> HYPERLINK "http://www.ccgp-shaanxi.gov.cn/zcdservice/zcd/shanxi/s" </w:instrText>
      </w:r>
      <w:r>
        <w:rPr>
          <w:rFonts w:hint="eastAsia" w:ascii="宋体" w:hAnsi="宋体" w:eastAsia="宋体" w:cs="宋体"/>
          <w:b w:val="0"/>
          <w:bCs w:val="0"/>
          <w:kern w:val="0"/>
          <w:sz w:val="24"/>
          <w:szCs w:val="24"/>
          <w:lang w:val="zh-CN" w:eastAsia="zh-CN"/>
        </w:rPr>
        <w:fldChar w:fldCharType="separate"/>
      </w:r>
      <w:r>
        <w:rPr>
          <w:rStyle w:val="45"/>
          <w:rFonts w:hint="eastAsia" w:ascii="宋体" w:hAnsi="宋体" w:eastAsia="宋体" w:cs="宋体"/>
          <w:b w:val="0"/>
          <w:bCs w:val="0"/>
          <w:kern w:val="0"/>
          <w:sz w:val="24"/>
          <w:szCs w:val="24"/>
          <w:lang w:val="zh-CN" w:eastAsia="zh-CN"/>
        </w:rPr>
        <w:t>http://www.ccgp-shaanxi.gov.cn/zcdservice/zcd/shanxi/s</w:t>
      </w:r>
      <w:r>
        <w:rPr>
          <w:rFonts w:hint="eastAsia" w:ascii="宋体" w:hAnsi="宋体" w:eastAsia="宋体" w:cs="宋体"/>
          <w:b w:val="0"/>
          <w:bCs w:val="0"/>
          <w:kern w:val="0"/>
          <w:sz w:val="24"/>
          <w:szCs w:val="24"/>
          <w:lang w:val="zh-CN" w:eastAsia="zh-CN"/>
        </w:rPr>
        <w:fldChar w:fldCharType="end"/>
      </w:r>
    </w:p>
    <w:p w14:paraId="566498EE">
      <w:pPr>
        <w:pageBreakBefore w:val="0"/>
        <w:kinsoku/>
        <w:wordWrap/>
        <w:overflowPunct/>
        <w:topLinePunct w:val="0"/>
        <w:bidi w:val="0"/>
        <w:spacing w:line="460" w:lineRule="exact"/>
        <w:ind w:firstLine="482" w:firstLineChars="200"/>
        <w:textAlignment w:val="auto"/>
        <w:rPr>
          <w:rFonts w:hint="eastAsia" w:ascii="宋体" w:hAnsi="宋体" w:eastAsia="宋体" w:cs="宋体"/>
          <w:b/>
          <w:sz w:val="24"/>
          <w:lang w:val="zh-CN"/>
        </w:rPr>
      </w:pPr>
      <w:r>
        <w:rPr>
          <w:rFonts w:hint="eastAsia" w:ascii="宋体" w:hAnsi="宋体" w:eastAsia="宋体" w:cs="宋体"/>
          <w:b/>
          <w:sz w:val="24"/>
          <w:lang w:val="en-US" w:eastAsia="zh-CN"/>
        </w:rPr>
        <w:t>2.</w:t>
      </w:r>
      <w:r>
        <w:rPr>
          <w:rFonts w:hint="eastAsia" w:ascii="宋体" w:hAnsi="宋体" w:eastAsia="宋体" w:cs="宋体"/>
          <w:b/>
          <w:sz w:val="24"/>
          <w:lang w:val="zh-CN"/>
        </w:rPr>
        <w:t>价格优惠比例</w:t>
      </w:r>
    </w:p>
    <w:p w14:paraId="4B75D5EA">
      <w:pPr>
        <w:pageBreakBefore w:val="0"/>
        <w:kinsoku/>
        <w:wordWrap/>
        <w:overflowPunct/>
        <w:topLinePunct w:val="0"/>
        <w:bidi w:val="0"/>
        <w:spacing w:line="460" w:lineRule="exact"/>
        <w:ind w:firstLine="470" w:firstLineChars="196"/>
        <w:textAlignment w:val="auto"/>
        <w:rPr>
          <w:rFonts w:hint="eastAsia" w:ascii="宋体" w:hAnsi="宋体" w:eastAsia="宋体" w:cs="宋体"/>
          <w:b w:val="0"/>
          <w:bCs/>
          <w:sz w:val="24"/>
        </w:rPr>
      </w:pPr>
      <w:r>
        <w:rPr>
          <w:rFonts w:hint="eastAsia" w:ascii="宋体" w:hAnsi="宋体" w:eastAsia="宋体" w:cs="宋体"/>
          <w:b w:val="0"/>
          <w:bCs/>
          <w:sz w:val="24"/>
        </w:rPr>
        <w:t>（1）</w:t>
      </w:r>
      <w:r>
        <w:rPr>
          <w:rFonts w:hint="eastAsia" w:ascii="宋体" w:hAnsi="宋体" w:eastAsia="宋体" w:cs="宋体"/>
          <w:b w:val="0"/>
          <w:bCs/>
          <w:sz w:val="24"/>
          <w:lang w:val="zh-CN"/>
        </w:rPr>
        <w:t>投标企业优惠比例</w:t>
      </w:r>
    </w:p>
    <w:p w14:paraId="4E5C6F4C">
      <w:pPr>
        <w:pageBreakBefore w:val="0"/>
        <w:kinsoku/>
        <w:wordWrap/>
        <w:overflowPunct/>
        <w:topLinePunct w:val="0"/>
        <w:bidi w:val="0"/>
        <w:spacing w:line="460" w:lineRule="exact"/>
        <w:ind w:firstLine="470" w:firstLineChars="196"/>
        <w:textAlignment w:val="auto"/>
        <w:rPr>
          <w:rFonts w:hint="eastAsia" w:ascii="宋体" w:hAnsi="宋体" w:eastAsia="宋体" w:cs="宋体"/>
          <w:b w:val="0"/>
          <w:bCs/>
          <w:sz w:val="24"/>
          <w:lang w:val="zh-CN"/>
        </w:rPr>
      </w:pPr>
      <w:r>
        <w:rPr>
          <w:rFonts w:hint="eastAsia" w:ascii="宋体" w:hAnsi="宋体" w:eastAsia="宋体" w:cs="宋体"/>
          <w:b w:val="0"/>
          <w:bCs/>
          <w:sz w:val="24"/>
          <w:lang w:val="zh-CN"/>
        </w:rPr>
        <w:t>符合谈判文件规定的小微企业、监狱企业或</w:t>
      </w:r>
      <w:r>
        <w:rPr>
          <w:rFonts w:hint="eastAsia" w:ascii="宋体" w:hAnsi="宋体" w:eastAsia="宋体" w:cs="宋体"/>
          <w:b w:val="0"/>
          <w:bCs/>
          <w:sz w:val="24"/>
        </w:rPr>
        <w:t>残疾人福利性单位</w:t>
      </w:r>
      <w:r>
        <w:rPr>
          <w:rFonts w:hint="eastAsia" w:ascii="宋体" w:hAnsi="宋体" w:eastAsia="宋体" w:cs="宋体"/>
          <w:b w:val="0"/>
          <w:bCs/>
          <w:sz w:val="24"/>
          <w:lang w:val="zh-CN"/>
        </w:rPr>
        <w:t>优惠条件的供应商，价格给予</w:t>
      </w:r>
      <w:r>
        <w:rPr>
          <w:rFonts w:hint="eastAsia" w:ascii="宋体" w:hAnsi="宋体" w:eastAsia="宋体" w:cs="宋体"/>
          <w:b w:val="0"/>
          <w:bCs/>
          <w:sz w:val="24"/>
          <w:lang w:val="en-US" w:eastAsia="zh-CN"/>
        </w:rPr>
        <w:t>10</w:t>
      </w:r>
      <w:r>
        <w:rPr>
          <w:rFonts w:hint="eastAsia" w:ascii="宋体" w:hAnsi="宋体" w:eastAsia="宋体" w:cs="宋体"/>
          <w:b w:val="0"/>
          <w:bCs/>
          <w:sz w:val="24"/>
          <w:lang w:val="zh-CN"/>
        </w:rPr>
        <w:t>%的扣除（不重复优惠，最高为</w:t>
      </w:r>
      <w:r>
        <w:rPr>
          <w:rFonts w:hint="eastAsia" w:ascii="宋体" w:hAnsi="宋体" w:eastAsia="宋体" w:cs="宋体"/>
          <w:b w:val="0"/>
          <w:bCs/>
          <w:sz w:val="24"/>
          <w:lang w:val="en-US" w:eastAsia="zh-CN"/>
        </w:rPr>
        <w:t>10</w:t>
      </w:r>
      <w:r>
        <w:rPr>
          <w:rFonts w:hint="eastAsia" w:ascii="宋体" w:hAnsi="宋体" w:eastAsia="宋体" w:cs="宋体"/>
          <w:b w:val="0"/>
          <w:bCs/>
          <w:sz w:val="24"/>
          <w:lang w:val="zh-CN"/>
        </w:rPr>
        <w:t>%），用扣除后的价格参与评审。</w:t>
      </w:r>
    </w:p>
    <w:p w14:paraId="4F112410">
      <w:pPr>
        <w:pageBreakBefore w:val="0"/>
        <w:kinsoku/>
        <w:wordWrap/>
        <w:overflowPunct/>
        <w:topLinePunct w:val="0"/>
        <w:bidi w:val="0"/>
        <w:spacing w:line="460" w:lineRule="exact"/>
        <w:ind w:firstLine="470" w:firstLineChars="196"/>
        <w:textAlignment w:val="auto"/>
        <w:rPr>
          <w:rFonts w:hint="eastAsia" w:ascii="宋体" w:hAnsi="宋体" w:eastAsia="宋体" w:cs="宋体"/>
          <w:b w:val="0"/>
          <w:bCs/>
          <w:sz w:val="24"/>
          <w:lang w:val="zh-CN"/>
        </w:rPr>
      </w:pPr>
      <w:r>
        <w:rPr>
          <w:rFonts w:hint="eastAsia" w:ascii="宋体" w:hAnsi="宋体" w:eastAsia="宋体" w:cs="宋体"/>
          <w:b w:val="0"/>
          <w:bCs/>
          <w:sz w:val="24"/>
        </w:rPr>
        <w:t>（2）</w:t>
      </w:r>
      <w:r>
        <w:rPr>
          <w:rFonts w:hint="eastAsia" w:ascii="宋体" w:hAnsi="宋体" w:eastAsia="宋体" w:cs="宋体"/>
          <w:b w:val="0"/>
          <w:bCs/>
          <w:sz w:val="24"/>
          <w:lang w:val="zh-CN"/>
        </w:rPr>
        <w:t>投标产品优惠比例</w:t>
      </w:r>
    </w:p>
    <w:p w14:paraId="5C535900">
      <w:pPr>
        <w:pageBreakBefore w:val="0"/>
        <w:kinsoku/>
        <w:wordWrap/>
        <w:overflowPunct/>
        <w:topLinePunct w:val="0"/>
        <w:bidi w:val="0"/>
        <w:spacing w:line="460" w:lineRule="exact"/>
        <w:ind w:firstLine="470" w:firstLineChars="196"/>
        <w:textAlignment w:val="auto"/>
        <w:rPr>
          <w:rFonts w:hint="eastAsia" w:ascii="宋体" w:hAnsi="宋体" w:eastAsia="宋体" w:cs="宋体"/>
          <w:b w:val="0"/>
          <w:bCs/>
          <w:sz w:val="24"/>
          <w:lang w:val="zh-CN"/>
        </w:rPr>
      </w:pPr>
      <w:r>
        <w:rPr>
          <w:rFonts w:hint="eastAsia" w:ascii="宋体" w:hAnsi="宋体" w:eastAsia="宋体" w:cs="宋体"/>
          <w:b w:val="0"/>
          <w:bCs/>
          <w:sz w:val="24"/>
          <w:lang w:val="zh-CN"/>
        </w:rPr>
        <w:t>投标产品为节能、环保、环境标志产品清单中的产品，符合谈判文件要求的，价格给予</w:t>
      </w:r>
      <w:r>
        <w:rPr>
          <w:rFonts w:hint="eastAsia" w:ascii="宋体" w:hAnsi="宋体" w:eastAsia="宋体" w:cs="宋体"/>
          <w:b w:val="0"/>
          <w:bCs/>
          <w:sz w:val="24"/>
          <w:lang w:val="en-US" w:eastAsia="zh-CN"/>
        </w:rPr>
        <w:t>10</w:t>
      </w:r>
      <w:r>
        <w:rPr>
          <w:rFonts w:hint="eastAsia" w:ascii="宋体" w:hAnsi="宋体" w:eastAsia="宋体" w:cs="宋体"/>
          <w:b w:val="0"/>
          <w:bCs/>
          <w:sz w:val="24"/>
          <w:lang w:val="zh-CN"/>
        </w:rPr>
        <w:t>%的扣除（不重复优惠，最高为</w:t>
      </w:r>
      <w:r>
        <w:rPr>
          <w:rFonts w:hint="eastAsia" w:ascii="宋体" w:hAnsi="宋体" w:eastAsia="宋体" w:cs="宋体"/>
          <w:b w:val="0"/>
          <w:bCs/>
          <w:sz w:val="24"/>
          <w:lang w:val="en-US" w:eastAsia="zh-CN"/>
        </w:rPr>
        <w:t>10</w:t>
      </w:r>
      <w:r>
        <w:rPr>
          <w:rFonts w:hint="eastAsia" w:ascii="宋体" w:hAnsi="宋体" w:eastAsia="宋体" w:cs="宋体"/>
          <w:b w:val="0"/>
          <w:bCs/>
          <w:sz w:val="24"/>
          <w:lang w:val="zh-CN"/>
        </w:rPr>
        <w:t>%），用扣除后的价格参与评审。</w:t>
      </w:r>
    </w:p>
    <w:p w14:paraId="6903104E">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eastAsia="zh-CN"/>
        </w:rPr>
        <w:t>）对专门面向中小企业采购项目，不再执行价格扣除政策。</w:t>
      </w:r>
    </w:p>
    <w:p w14:paraId="7C50DDF0">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）对非专门面向中小企业采购项目，执行以上价格扣除政策。</w:t>
      </w:r>
    </w:p>
    <w:p w14:paraId="1B8FE9AE">
      <w:pPr>
        <w:pageBreakBefore w:val="0"/>
        <w:kinsoku/>
        <w:wordWrap/>
        <w:overflowPunct/>
        <w:topLinePunct w:val="0"/>
        <w:bidi w:val="0"/>
        <w:spacing w:line="312" w:lineRule="auto"/>
        <w:ind w:firstLine="480" w:firstLineChars="200"/>
        <w:textAlignment w:val="auto"/>
        <w:rPr>
          <w:rFonts w:hint="eastAsia" w:ascii="宋体" w:hAnsi="宋体" w:eastAsia="宋体" w:cs="宋体"/>
          <w:b w:val="0"/>
          <w:bCs w:val="0"/>
          <w:kern w:val="0"/>
          <w:sz w:val="24"/>
          <w:szCs w:val="24"/>
          <w:lang w:val="zh-CN" w:eastAsia="zh-CN"/>
        </w:rPr>
      </w:pPr>
    </w:p>
    <w:p w14:paraId="1670C80E">
      <w:pPr>
        <w:pageBreakBefore w:val="0"/>
        <w:widowControl/>
        <w:numPr>
          <w:ilvl w:val="0"/>
          <w:numId w:val="0"/>
        </w:numPr>
        <w:kinsoku/>
        <w:wordWrap/>
        <w:overflowPunct/>
        <w:topLinePunct w:val="0"/>
        <w:autoSpaceDE/>
        <w:autoSpaceDN/>
        <w:bidi w:val="0"/>
        <w:spacing w:line="312" w:lineRule="auto"/>
        <w:jc w:val="center"/>
        <w:textAlignment w:val="auto"/>
        <w:outlineLvl w:val="1"/>
        <w:rPr>
          <w:rFonts w:hint="eastAsia" w:ascii="宋体" w:hAnsi="宋体" w:eastAsia="宋体" w:cs="宋体"/>
          <w:b/>
          <w:bCs/>
          <w:kern w:val="0"/>
          <w:sz w:val="24"/>
          <w:szCs w:val="24"/>
        </w:rPr>
      </w:pPr>
      <w:bookmarkStart w:id="184" w:name="_Toc23928"/>
      <w:r>
        <w:rPr>
          <w:rFonts w:hint="eastAsia" w:ascii="宋体" w:hAnsi="宋体" w:eastAsia="宋体" w:cs="宋体"/>
          <w:b/>
          <w:bCs/>
          <w:kern w:val="0"/>
          <w:sz w:val="24"/>
          <w:szCs w:val="24"/>
          <w:lang w:eastAsia="zh-CN"/>
        </w:rPr>
        <w:t>九、</w:t>
      </w:r>
      <w:r>
        <w:rPr>
          <w:rFonts w:hint="eastAsia" w:ascii="宋体" w:hAnsi="宋体" w:eastAsia="宋体" w:cs="宋体"/>
          <w:b/>
          <w:bCs/>
          <w:kern w:val="0"/>
          <w:sz w:val="24"/>
          <w:szCs w:val="24"/>
        </w:rPr>
        <w:t>质疑和投诉</w:t>
      </w:r>
      <w:bookmarkEnd w:id="176"/>
      <w:bookmarkEnd w:id="177"/>
      <w:bookmarkEnd w:id="178"/>
      <w:bookmarkEnd w:id="179"/>
      <w:bookmarkEnd w:id="180"/>
      <w:bookmarkEnd w:id="181"/>
      <w:bookmarkEnd w:id="182"/>
      <w:bookmarkEnd w:id="183"/>
      <w:bookmarkEnd w:id="184"/>
    </w:p>
    <w:p w14:paraId="22DF257F">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质疑或投诉的接收和处理应当按照《中华人民共和国政府采购法》及其实施条例、《政府采购质疑和投诉办法</w:t>
      </w:r>
      <w:r>
        <w:rPr>
          <w:rFonts w:hint="eastAsia" w:ascii="宋体" w:hAnsi="宋体" w:eastAsia="宋体" w:cs="宋体"/>
          <w:sz w:val="24"/>
          <w:szCs w:val="24"/>
          <w:lang w:eastAsia="zh-CN"/>
        </w:rPr>
        <w:t>》《</w:t>
      </w:r>
      <w:r>
        <w:rPr>
          <w:rFonts w:hint="eastAsia" w:ascii="宋体" w:hAnsi="宋体" w:eastAsia="宋体" w:cs="宋体"/>
          <w:sz w:val="24"/>
          <w:szCs w:val="24"/>
        </w:rPr>
        <w:t>财政部关于加强政府采购供应商投诉受理审查工作的通知》等的相关规定办理。</w:t>
      </w:r>
    </w:p>
    <w:p w14:paraId="797CA1CF">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2557C683">
      <w:pPr>
        <w:pageBreakBefore w:val="0"/>
        <w:kinsoku/>
        <w:wordWrap/>
        <w:overflowPunct/>
        <w:topLinePunct w:val="0"/>
        <w:autoSpaceDE/>
        <w:autoSpaceDN/>
        <w:bidi w:val="0"/>
        <w:spacing w:line="312"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（1）对采购文件提出质疑的，为收到采购文件之日或者采购文件公告期限届满之日；</w:t>
      </w:r>
    </w:p>
    <w:p w14:paraId="666F9965">
      <w:pPr>
        <w:pageBreakBefore w:val="0"/>
        <w:kinsoku/>
        <w:wordWrap/>
        <w:overflowPunct/>
        <w:topLinePunct w:val="0"/>
        <w:autoSpaceDE/>
        <w:autoSpaceDN/>
        <w:bidi w:val="0"/>
        <w:spacing w:line="312"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（2）对采购过程提出质疑的，为各采购程序环节结束之日；</w:t>
      </w:r>
    </w:p>
    <w:p w14:paraId="02DA8334">
      <w:pPr>
        <w:pageBreakBefore w:val="0"/>
        <w:kinsoku/>
        <w:wordWrap/>
        <w:overflowPunct/>
        <w:topLinePunct w:val="0"/>
        <w:autoSpaceDE/>
        <w:autoSpaceDN/>
        <w:bidi w:val="0"/>
        <w:spacing w:line="312"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（3）对中标或者成交结果提出质疑的，为中标或者成交结果公告期限届满之日。</w:t>
      </w:r>
    </w:p>
    <w:p w14:paraId="7B16FE84">
      <w:pPr>
        <w:pageBreakBefore w:val="0"/>
        <w:kinsoku/>
        <w:wordWrap/>
        <w:overflowPunct/>
        <w:topLinePunct w:val="0"/>
        <w:autoSpaceDE/>
        <w:autoSpaceDN/>
        <w:bidi w:val="0"/>
        <w:spacing w:line="312"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供应商应当在法定质疑期内一次性提出针对同一采购程序环节的质疑。</w:t>
      </w:r>
    </w:p>
    <w:p w14:paraId="7096E41E">
      <w:pPr>
        <w:pageBreakBefore w:val="0"/>
        <w:kinsoku/>
        <w:wordWrap/>
        <w:overflowPunct/>
        <w:topLinePunct w:val="0"/>
        <w:autoSpaceDE/>
        <w:autoSpaceDN/>
        <w:bidi w:val="0"/>
        <w:spacing w:line="312"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default" w:ascii="宋体" w:hAnsi="宋体" w:eastAsia="宋体" w:cs="宋体"/>
          <w:sz w:val="24"/>
          <w:szCs w:val="24"/>
        </w:rPr>
        <w:t>.</w:t>
      </w:r>
      <w:r>
        <w:rPr>
          <w:rFonts w:hint="eastAsia" w:ascii="宋体" w:hAnsi="宋体" w:eastAsia="宋体" w:cs="宋体"/>
          <w:sz w:val="24"/>
          <w:szCs w:val="24"/>
        </w:rPr>
        <w:t>质疑函应当包括下列主要内容：</w:t>
      </w:r>
    </w:p>
    <w:p w14:paraId="170222F6">
      <w:pPr>
        <w:pageBreakBefore w:val="0"/>
        <w:kinsoku/>
        <w:wordWrap/>
        <w:overflowPunct/>
        <w:topLinePunct w:val="0"/>
        <w:autoSpaceDE/>
        <w:autoSpaceDN/>
        <w:bidi w:val="0"/>
        <w:spacing w:line="312"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w:t>
      </w:r>
    </w:p>
    <w:p w14:paraId="33BB852B">
      <w:pPr>
        <w:pageBreakBefore w:val="0"/>
        <w:kinsoku/>
        <w:wordWrap/>
        <w:overflowPunct/>
        <w:topLinePunct w:val="0"/>
        <w:autoSpaceDE/>
        <w:autoSpaceDN/>
        <w:bidi w:val="0"/>
        <w:spacing w:line="312"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（2）质疑项目的名称、编号；</w:t>
      </w:r>
    </w:p>
    <w:p w14:paraId="611BA42C">
      <w:pPr>
        <w:pageBreakBefore w:val="0"/>
        <w:kinsoku/>
        <w:wordWrap/>
        <w:overflowPunct/>
        <w:topLinePunct w:val="0"/>
        <w:autoSpaceDE/>
        <w:autoSpaceDN/>
        <w:bidi w:val="0"/>
        <w:spacing w:line="312"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4C085C16">
      <w:pPr>
        <w:pageBreakBefore w:val="0"/>
        <w:kinsoku/>
        <w:wordWrap/>
        <w:overflowPunct/>
        <w:topLinePunct w:val="0"/>
        <w:autoSpaceDE/>
        <w:autoSpaceDN/>
        <w:bidi w:val="0"/>
        <w:spacing w:line="312"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（4）事实依据；</w:t>
      </w:r>
    </w:p>
    <w:p w14:paraId="06BCA5F4">
      <w:pPr>
        <w:pageBreakBefore w:val="0"/>
        <w:kinsoku/>
        <w:wordWrap/>
        <w:overflowPunct/>
        <w:topLinePunct w:val="0"/>
        <w:autoSpaceDE/>
        <w:autoSpaceDN/>
        <w:bidi w:val="0"/>
        <w:spacing w:line="312"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（5）必要的法律依据；</w:t>
      </w:r>
    </w:p>
    <w:p w14:paraId="588CDE7F">
      <w:pPr>
        <w:pageBreakBefore w:val="0"/>
        <w:kinsoku/>
        <w:wordWrap/>
        <w:overflowPunct/>
        <w:topLinePunct w:val="0"/>
        <w:autoSpaceDE/>
        <w:autoSpaceDN/>
        <w:bidi w:val="0"/>
        <w:spacing w:line="312"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（6）提出质疑的日期。</w:t>
      </w:r>
    </w:p>
    <w:p w14:paraId="3CA0FE31">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default" w:ascii="宋体" w:hAnsi="宋体" w:eastAsia="宋体" w:cs="宋体"/>
          <w:sz w:val="24"/>
          <w:szCs w:val="24"/>
        </w:rPr>
        <w:t>.</w:t>
      </w:r>
      <w:r>
        <w:rPr>
          <w:rFonts w:hint="eastAsia" w:ascii="宋体" w:hAnsi="宋体" w:eastAsia="宋体" w:cs="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356D6D64">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default" w:ascii="宋体" w:hAnsi="宋体" w:eastAsia="宋体" w:cs="宋体"/>
          <w:sz w:val="24"/>
          <w:szCs w:val="24"/>
        </w:rPr>
        <w:t>.</w:t>
      </w:r>
      <w:r>
        <w:rPr>
          <w:rFonts w:hint="eastAsia" w:ascii="宋体" w:hAnsi="宋体" w:eastAsia="宋体" w:cs="宋体"/>
          <w:sz w:val="24"/>
          <w:szCs w:val="24"/>
        </w:rPr>
        <w:t>质疑函内容不得含有虚假、恶意</w:t>
      </w:r>
      <w:r>
        <w:rPr>
          <w:rFonts w:hint="eastAsia" w:ascii="宋体" w:hAnsi="宋体" w:eastAsia="宋体" w:cs="宋体"/>
          <w:sz w:val="24"/>
          <w:szCs w:val="24"/>
          <w:lang w:eastAsia="zh-CN"/>
        </w:rPr>
        <w:t>成分</w:t>
      </w:r>
      <w:r>
        <w:rPr>
          <w:rFonts w:hint="eastAsia" w:ascii="宋体" w:hAnsi="宋体" w:eastAsia="宋体" w:cs="宋体"/>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eastAsia="宋体" w:cs="宋体"/>
          <w:sz w:val="24"/>
          <w:szCs w:val="24"/>
          <w:lang w:eastAsia="zh-CN"/>
        </w:rPr>
        <w:t>滥用职权</w:t>
      </w:r>
      <w:r>
        <w:rPr>
          <w:rFonts w:hint="eastAsia" w:ascii="宋体" w:hAnsi="宋体" w:eastAsia="宋体" w:cs="宋体"/>
          <w:sz w:val="24"/>
          <w:szCs w:val="24"/>
        </w:rPr>
        <w:t>扰乱采购秩序的恶意质疑者，采购人、采购代理机构应当依法驳回。</w:t>
      </w:r>
    </w:p>
    <w:p w14:paraId="4F0E9281">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default" w:ascii="宋体" w:hAnsi="宋体" w:eastAsia="宋体" w:cs="宋体"/>
          <w:sz w:val="24"/>
          <w:szCs w:val="24"/>
        </w:rPr>
        <w:t>.</w:t>
      </w:r>
      <w:r>
        <w:rPr>
          <w:rFonts w:hint="eastAsia" w:ascii="宋体" w:hAnsi="宋体" w:eastAsia="宋体" w:cs="宋体"/>
          <w:sz w:val="24"/>
          <w:szCs w:val="24"/>
        </w:rPr>
        <w:t xml:space="preserve">质疑函接收方式：由自然人本人或法定代表人或者其授权代表携带书面原件及身份证明原件到现场递交，否则不予受理 。 </w:t>
      </w:r>
    </w:p>
    <w:p w14:paraId="2FD2FB8C">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default" w:ascii="宋体" w:hAnsi="宋体" w:eastAsia="宋体" w:cs="宋体"/>
          <w:sz w:val="24"/>
          <w:szCs w:val="24"/>
        </w:rPr>
        <w:t>.</w:t>
      </w:r>
      <w:r>
        <w:rPr>
          <w:rFonts w:hint="eastAsia" w:ascii="宋体" w:hAnsi="宋体" w:eastAsia="宋体" w:cs="宋体"/>
          <w:sz w:val="24"/>
          <w:szCs w:val="24"/>
        </w:rPr>
        <w:t>质疑受理部门：安康尚昊招标代理有限公司</w:t>
      </w:r>
    </w:p>
    <w:p w14:paraId="260182FA">
      <w:pPr>
        <w:pageBreakBefore w:val="0"/>
        <w:kinsoku/>
        <w:wordWrap/>
        <w:overflowPunct/>
        <w:topLinePunct w:val="0"/>
        <w:autoSpaceDE/>
        <w:autoSpaceDN/>
        <w:bidi w:val="0"/>
        <w:spacing w:line="312"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质疑受理电话：</w:t>
      </w:r>
      <w:r>
        <w:rPr>
          <w:rFonts w:hint="eastAsia" w:ascii="宋体" w:hAnsi="宋体" w:eastAsia="宋体" w:cs="宋体"/>
          <w:sz w:val="24"/>
          <w:szCs w:val="24"/>
          <w:lang w:val="en-US" w:eastAsia="zh-CN"/>
        </w:rPr>
        <w:t>15991480332</w:t>
      </w:r>
    </w:p>
    <w:p w14:paraId="1ED965F0">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default" w:ascii="宋体" w:hAnsi="宋体" w:eastAsia="宋体" w:cs="宋体"/>
          <w:sz w:val="24"/>
          <w:szCs w:val="24"/>
        </w:rPr>
        <w:t>.</w:t>
      </w:r>
      <w:r>
        <w:rPr>
          <w:rFonts w:hint="eastAsia" w:ascii="宋体" w:hAnsi="宋体" w:eastAsia="宋体" w:cs="宋体"/>
          <w:sz w:val="24"/>
          <w:szCs w:val="24"/>
        </w:rPr>
        <w:t>提交质疑函地点：</w:t>
      </w:r>
      <w:r>
        <w:rPr>
          <w:rFonts w:hint="eastAsia" w:ascii="宋体" w:hAnsi="宋体" w:eastAsia="宋体" w:cs="宋体"/>
          <w:sz w:val="24"/>
          <w:szCs w:val="24"/>
          <w:lang w:eastAsia="zh-CN"/>
        </w:rPr>
        <w:t>安康市高新区高新观澜8幢2单元801室</w:t>
      </w:r>
    </w:p>
    <w:p w14:paraId="184EC26B">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rPr>
        <w:t>.</w:t>
      </w:r>
      <w:r>
        <w:rPr>
          <w:rFonts w:hint="eastAsia" w:ascii="宋体" w:hAnsi="宋体" w:eastAsia="宋体" w:cs="宋体"/>
          <w:sz w:val="24"/>
          <w:szCs w:val="24"/>
        </w:rPr>
        <w:t>本次采购活动中，采购代理机构对质疑函回复的书面文件的送达方式为现场取件。</w:t>
      </w:r>
    </w:p>
    <w:p w14:paraId="6BA0A473">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如所质疑的问题比较复杂，采购人或者采购代理机构在规定的答复时间内无法回复，应事先告知提出质疑的供应商，同时向同级政府采购监督管理部门报告。</w:t>
      </w:r>
    </w:p>
    <w:p w14:paraId="765ECEDE">
      <w:pPr>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default" w:ascii="宋体" w:hAnsi="宋体" w:eastAsia="宋体" w:cs="宋体"/>
          <w:sz w:val="24"/>
          <w:szCs w:val="24"/>
        </w:rPr>
        <w:t>.</w:t>
      </w:r>
      <w:r>
        <w:rPr>
          <w:rFonts w:hint="eastAsia" w:ascii="宋体" w:hAnsi="宋体" w:eastAsia="宋体" w:cs="宋体"/>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673899C2">
      <w:pPr>
        <w:pageBreakBefore w:val="0"/>
        <w:kinsoku/>
        <w:wordWrap/>
        <w:overflowPunct/>
        <w:topLinePunct w:val="0"/>
        <w:autoSpaceDE/>
        <w:autoSpaceDN/>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default" w:ascii="宋体" w:hAnsi="宋体" w:eastAsia="宋体" w:cs="宋体"/>
          <w:sz w:val="24"/>
          <w:szCs w:val="24"/>
        </w:rPr>
        <w:t>.</w:t>
      </w:r>
      <w:r>
        <w:rPr>
          <w:rFonts w:hint="eastAsia" w:ascii="宋体" w:hAnsi="宋体" w:eastAsia="宋体" w:cs="宋体"/>
          <w:sz w:val="24"/>
          <w:szCs w:val="24"/>
        </w:rPr>
        <w:t>质疑函应当使用中文。</w:t>
      </w:r>
    </w:p>
    <w:p w14:paraId="283B8AB6">
      <w:pPr>
        <w:pStyle w:val="4"/>
        <w:pageBreakBefore w:val="0"/>
        <w:kinsoku/>
        <w:wordWrap/>
        <w:overflowPunct/>
        <w:topLinePunct w:val="0"/>
        <w:bidi w:val="0"/>
        <w:spacing w:line="312" w:lineRule="auto"/>
        <w:jc w:val="center"/>
        <w:textAlignment w:val="auto"/>
        <w:rPr>
          <w:rFonts w:hint="eastAsia" w:ascii="宋体" w:hAnsi="宋体" w:eastAsia="宋体" w:cs="宋体"/>
          <w:sz w:val="24"/>
          <w:szCs w:val="24"/>
        </w:rPr>
      </w:pPr>
      <w:bookmarkStart w:id="185" w:name="_Toc14189284"/>
      <w:bookmarkStart w:id="186" w:name="_Toc23316692"/>
      <w:bookmarkStart w:id="187" w:name="_Toc23315670"/>
      <w:bookmarkStart w:id="188" w:name="_Toc29452"/>
      <w:bookmarkStart w:id="189" w:name="_Toc18412209"/>
      <w:bookmarkStart w:id="190" w:name="_Toc23316530"/>
      <w:bookmarkStart w:id="191" w:name="_Toc27377"/>
      <w:bookmarkStart w:id="192" w:name="_Toc23278"/>
      <w:bookmarkStart w:id="193" w:name="_Toc10640"/>
      <w:bookmarkStart w:id="194" w:name="_Toc35335266"/>
      <w:bookmarkStart w:id="195" w:name="_Toc14189417"/>
      <w:bookmarkStart w:id="196" w:name="_Toc23316594"/>
      <w:r>
        <w:rPr>
          <w:rFonts w:hint="eastAsia" w:ascii="宋体" w:hAnsi="宋体" w:eastAsia="宋体" w:cs="宋体"/>
          <w:sz w:val="24"/>
          <w:szCs w:val="24"/>
          <w:lang w:eastAsia="zh-CN"/>
        </w:rPr>
        <w:t>十、</w:t>
      </w:r>
      <w:r>
        <w:rPr>
          <w:rFonts w:hint="eastAsia" w:ascii="宋体" w:hAnsi="宋体" w:eastAsia="宋体" w:cs="宋体"/>
          <w:sz w:val="24"/>
          <w:szCs w:val="24"/>
        </w:rPr>
        <w:t>其他</w:t>
      </w:r>
      <w:bookmarkEnd w:id="185"/>
      <w:bookmarkEnd w:id="186"/>
      <w:bookmarkEnd w:id="187"/>
      <w:bookmarkEnd w:id="188"/>
      <w:bookmarkEnd w:id="189"/>
      <w:bookmarkEnd w:id="190"/>
      <w:bookmarkEnd w:id="191"/>
      <w:bookmarkEnd w:id="192"/>
      <w:bookmarkEnd w:id="193"/>
      <w:bookmarkEnd w:id="194"/>
      <w:bookmarkEnd w:id="195"/>
      <w:bookmarkEnd w:id="196"/>
    </w:p>
    <w:p w14:paraId="22E4B4CE">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（一）第一次公告后，谈判过程中出现下列情况之一的，按谈判失败处理：</w:t>
      </w:r>
    </w:p>
    <w:p w14:paraId="58144793">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因情况变化，不再符合规定的竞争</w:t>
      </w:r>
      <w:r>
        <w:rPr>
          <w:rFonts w:hint="eastAsia" w:ascii="宋体" w:hAnsi="宋体" w:eastAsia="宋体" w:cs="宋体"/>
          <w:sz w:val="24"/>
          <w:szCs w:val="24"/>
          <w:lang w:eastAsia="zh-CN"/>
        </w:rPr>
        <w:t>谈判</w:t>
      </w:r>
      <w:r>
        <w:rPr>
          <w:rFonts w:hint="eastAsia" w:ascii="宋体" w:hAnsi="宋体" w:eastAsia="宋体" w:cs="宋体"/>
          <w:sz w:val="24"/>
          <w:szCs w:val="24"/>
        </w:rPr>
        <w:t>采购方式适用情形的；</w:t>
      </w:r>
    </w:p>
    <w:p w14:paraId="53559055">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出现影响采购公正的违法、违规行为的；</w:t>
      </w:r>
    </w:p>
    <w:p w14:paraId="1105858E">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default" w:ascii="宋体" w:hAnsi="宋体" w:eastAsia="宋体" w:cs="宋体"/>
          <w:sz w:val="24"/>
          <w:szCs w:val="24"/>
        </w:rPr>
        <w:t>.</w:t>
      </w:r>
      <w:r>
        <w:rPr>
          <w:rFonts w:hint="eastAsia" w:ascii="宋体" w:hAnsi="宋体" w:eastAsia="宋体" w:cs="宋体"/>
          <w:sz w:val="24"/>
          <w:szCs w:val="24"/>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05872A0">
      <w:pPr>
        <w:pageBreakBefore w:val="0"/>
        <w:kinsoku/>
        <w:wordWrap/>
        <w:overflowPunct/>
        <w:topLinePunct w:val="0"/>
        <w:bidi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default" w:ascii="宋体" w:hAnsi="宋体" w:eastAsia="宋体" w:cs="宋体"/>
          <w:sz w:val="24"/>
          <w:szCs w:val="24"/>
        </w:rPr>
        <w:t>.</w:t>
      </w:r>
      <w:r>
        <w:rPr>
          <w:rFonts w:hint="eastAsia" w:ascii="宋体" w:hAnsi="宋体" w:eastAsia="宋体" w:cs="宋体"/>
          <w:sz w:val="24"/>
          <w:szCs w:val="24"/>
        </w:rPr>
        <w:t>因重大变故，采购任务取消的。</w:t>
      </w:r>
    </w:p>
    <w:p w14:paraId="3B74FA19">
      <w:pPr>
        <w:pageBreakBefore w:val="0"/>
        <w:kinsoku/>
        <w:wordWrap/>
        <w:overflowPunct/>
        <w:topLinePunct w:val="0"/>
        <w:bidi w:val="0"/>
        <w:spacing w:line="312" w:lineRule="auto"/>
        <w:ind w:firstLine="480" w:firstLineChars="200"/>
        <w:textAlignment w:val="auto"/>
        <w:rPr>
          <w:rFonts w:hint="eastAsia" w:ascii="宋体" w:hAnsi="宋体" w:eastAsia="宋体"/>
        </w:rPr>
        <w:sectPr>
          <w:headerReference r:id="rId11" w:type="first"/>
          <w:footerReference r:id="rId14" w:type="first"/>
          <w:headerReference r:id="rId9" w:type="default"/>
          <w:footerReference r:id="rId12" w:type="default"/>
          <w:headerReference r:id="rId10" w:type="even"/>
          <w:footerReference r:id="rId13" w:type="even"/>
          <w:pgSz w:w="11905" w:h="16838"/>
          <w:pgMar w:top="1304" w:right="1304" w:bottom="1304" w:left="1304" w:header="964" w:footer="1020" w:gutter="0"/>
          <w:pgNumType w:fmt="decimal"/>
          <w:cols w:space="0" w:num="1"/>
          <w:rtlGutter w:val="0"/>
          <w:docGrid w:type="lines" w:linePitch="395" w:charSpace="0"/>
        </w:sectPr>
      </w:pPr>
      <w:r>
        <w:rPr>
          <w:rFonts w:hint="eastAsia" w:ascii="宋体" w:hAnsi="宋体" w:eastAsia="宋体" w:cs="宋体"/>
          <w:sz w:val="24"/>
          <w:szCs w:val="24"/>
        </w:rPr>
        <w:t>谈判失败后，除采购任务取消外，将重新组织采购。</w:t>
      </w:r>
    </w:p>
    <w:bookmarkEnd w:id="28"/>
    <w:p w14:paraId="236DBE23">
      <w:pPr>
        <w:pStyle w:val="3"/>
        <w:keepNext/>
        <w:keepLines/>
        <w:pageBreakBefore w:val="0"/>
        <w:widowControl/>
        <w:numPr>
          <w:ilvl w:val="0"/>
          <w:numId w:val="2"/>
        </w:numPr>
        <w:kinsoku/>
        <w:wordWrap/>
        <w:overflowPunct/>
        <w:topLinePunct w:val="0"/>
        <w:autoSpaceDE/>
        <w:autoSpaceDN/>
        <w:bidi w:val="0"/>
        <w:adjustRightInd/>
        <w:snapToGrid/>
        <w:spacing w:before="192" w:beforeLines="50" w:after="192" w:afterLines="50" w:line="480" w:lineRule="exact"/>
        <w:textAlignment w:val="auto"/>
        <w:rPr>
          <w:rFonts w:hint="eastAsia" w:ascii="宋体" w:hAnsi="宋体" w:eastAsia="宋体"/>
          <w:color w:val="auto"/>
          <w:sz w:val="36"/>
          <w:szCs w:val="36"/>
          <w:highlight w:val="none"/>
        </w:rPr>
      </w:pPr>
      <w:r>
        <w:rPr>
          <w:rFonts w:hint="eastAsia" w:ascii="宋体" w:hAnsi="宋体" w:eastAsia="宋体"/>
          <w:color w:val="auto"/>
          <w:sz w:val="32"/>
          <w:szCs w:val="32"/>
          <w:highlight w:val="none"/>
        </w:rPr>
        <w:t xml:space="preserve"> </w:t>
      </w:r>
      <w:bookmarkStart w:id="197" w:name="_Toc7916"/>
      <w:bookmarkStart w:id="198" w:name="_Toc21956"/>
      <w:r>
        <w:rPr>
          <w:rFonts w:hint="eastAsia" w:ascii="宋体" w:hAnsi="宋体" w:eastAsia="宋体"/>
          <w:color w:val="auto"/>
          <w:sz w:val="36"/>
          <w:szCs w:val="36"/>
          <w:highlight w:val="none"/>
        </w:rPr>
        <w:t>谈判内容及要求</w:t>
      </w:r>
      <w:bookmarkEnd w:id="197"/>
      <w:bookmarkEnd w:id="198"/>
    </w:p>
    <w:bookmarkEnd w:id="29"/>
    <w:bookmarkEnd w:id="30"/>
    <w:bookmarkEnd w:id="31"/>
    <w:bookmarkEnd w:id="32"/>
    <w:bookmarkEnd w:id="33"/>
    <w:bookmarkEnd w:id="34"/>
    <w:bookmarkEnd w:id="35"/>
    <w:bookmarkEnd w:id="36"/>
    <w:bookmarkEnd w:id="37"/>
    <w:p w14:paraId="202949EC">
      <w:pPr>
        <w:widowControl w:val="0"/>
        <w:adjustRightInd w:val="0"/>
        <w:snapToGrid w:val="0"/>
        <w:spacing w:line="440" w:lineRule="exact"/>
        <w:ind w:firstLine="482" w:firstLineChars="200"/>
        <w:rPr>
          <w:rFonts w:hint="default" w:ascii="Calibri" w:hAnsi="宋体" w:eastAsia="宋体" w:cs="Calibri"/>
          <w:sz w:val="24"/>
          <w:szCs w:val="21"/>
        </w:rPr>
      </w:pPr>
      <w:r>
        <w:rPr>
          <w:rFonts w:hint="eastAsia" w:ascii="Calibri" w:hAnsi="宋体" w:eastAsia="宋体" w:cs="Calibri"/>
          <w:b/>
          <w:bCs/>
          <w:sz w:val="24"/>
          <w:szCs w:val="21"/>
        </w:rPr>
        <w:t>一、</w:t>
      </w:r>
      <w:r>
        <w:rPr>
          <w:rFonts w:hint="default" w:ascii="Calibri" w:hAnsi="宋体" w:eastAsia="宋体" w:cs="Calibri"/>
          <w:b/>
          <w:bCs/>
          <w:sz w:val="24"/>
          <w:szCs w:val="21"/>
        </w:rPr>
        <w:t>项目概况</w:t>
      </w:r>
    </w:p>
    <w:p w14:paraId="51E23A3C">
      <w:pPr>
        <w:keepNext w:val="0"/>
        <w:keepLines w:val="0"/>
        <w:pageBreakBefore w:val="0"/>
        <w:kinsoku/>
        <w:wordWrap/>
        <w:overflowPunct/>
        <w:topLinePunct w:val="0"/>
        <w:bidi w:val="0"/>
        <w:spacing w:line="460" w:lineRule="exact"/>
        <w:ind w:lef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为确保医院日常工作的正常运行，现需对</w:t>
      </w:r>
      <w:r>
        <w:rPr>
          <w:rFonts w:hint="eastAsia" w:ascii="宋体" w:hAnsi="宋体" w:eastAsia="宋体" w:cs="宋体"/>
          <w:color w:val="000000"/>
          <w:sz w:val="24"/>
          <w:szCs w:val="24"/>
          <w:lang w:val="en-US" w:eastAsia="zh-CN"/>
        </w:rPr>
        <w:t>安康市中心医院新生儿科婴儿奶粉</w:t>
      </w:r>
      <w:r>
        <w:rPr>
          <w:rFonts w:hint="eastAsia" w:ascii="宋体" w:hAnsi="宋体" w:eastAsia="宋体" w:cs="宋体"/>
          <w:color w:val="000000"/>
          <w:sz w:val="24"/>
          <w:szCs w:val="24"/>
          <w:lang w:eastAsia="zh-CN"/>
        </w:rPr>
        <w:t>供货服务</w:t>
      </w:r>
      <w:r>
        <w:rPr>
          <w:rFonts w:hint="eastAsia" w:ascii="宋体" w:hAnsi="宋体" w:eastAsia="宋体" w:cs="宋体"/>
          <w:color w:val="000000"/>
          <w:sz w:val="24"/>
          <w:szCs w:val="24"/>
        </w:rPr>
        <w:t>组织招标。采购人（</w:t>
      </w:r>
      <w:r>
        <w:rPr>
          <w:rFonts w:hint="eastAsia" w:ascii="宋体" w:hAnsi="宋体" w:eastAsia="宋体" w:cs="宋体"/>
          <w:color w:val="000000"/>
          <w:sz w:val="24"/>
          <w:szCs w:val="24"/>
          <w:lang w:val="en-US" w:eastAsia="zh-CN"/>
        </w:rPr>
        <w:t>安康市中心医院</w:t>
      </w:r>
      <w:r>
        <w:rPr>
          <w:rFonts w:hint="eastAsia" w:ascii="宋体" w:hAnsi="宋体" w:eastAsia="宋体" w:cs="宋体"/>
          <w:color w:val="000000"/>
          <w:sz w:val="24"/>
          <w:szCs w:val="24"/>
        </w:rPr>
        <w:t>）通过</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方式，遴选合格供应商为</w:t>
      </w:r>
      <w:r>
        <w:rPr>
          <w:rFonts w:hint="eastAsia" w:ascii="宋体" w:hAnsi="宋体" w:eastAsia="宋体" w:cs="宋体"/>
          <w:color w:val="000000"/>
          <w:sz w:val="24"/>
          <w:szCs w:val="24"/>
          <w:lang w:eastAsia="zh-CN"/>
        </w:rPr>
        <w:t>医院</w:t>
      </w:r>
      <w:r>
        <w:rPr>
          <w:rFonts w:hint="eastAsia" w:ascii="宋体" w:hAnsi="宋体" w:eastAsia="宋体" w:cs="宋体"/>
          <w:color w:val="000000"/>
          <w:sz w:val="24"/>
          <w:szCs w:val="24"/>
        </w:rPr>
        <w:t>提供</w:t>
      </w:r>
      <w:r>
        <w:rPr>
          <w:rFonts w:hint="eastAsia" w:ascii="宋体" w:hAnsi="宋体" w:eastAsia="宋体" w:cs="宋体"/>
          <w:color w:val="000000"/>
          <w:sz w:val="24"/>
          <w:szCs w:val="24"/>
          <w:lang w:eastAsia="zh-CN"/>
        </w:rPr>
        <w:t>供货服务，</w:t>
      </w:r>
      <w:r>
        <w:rPr>
          <w:rFonts w:hint="eastAsia" w:ascii="宋体" w:hAnsi="宋体" w:eastAsia="宋体" w:cs="宋体"/>
          <w:color w:val="000000"/>
          <w:sz w:val="24"/>
          <w:szCs w:val="24"/>
        </w:rPr>
        <w:t>中标单位与院方签订</w:t>
      </w:r>
      <w:r>
        <w:rPr>
          <w:rFonts w:hint="eastAsia" w:ascii="宋体" w:hAnsi="宋体" w:eastAsia="宋体" w:cs="宋体"/>
          <w:b/>
          <w:bCs/>
          <w:color w:val="000000"/>
          <w:sz w:val="24"/>
          <w:szCs w:val="24"/>
        </w:rPr>
        <w:t>为期</w:t>
      </w:r>
      <w:r>
        <w:rPr>
          <w:rFonts w:hint="eastAsia" w:ascii="宋体" w:hAnsi="宋体" w:eastAsia="宋体" w:cs="宋体"/>
          <w:b/>
          <w:bCs/>
          <w:color w:val="000000"/>
          <w:sz w:val="24"/>
          <w:szCs w:val="24"/>
          <w:lang w:val="en-US" w:eastAsia="zh-CN"/>
        </w:rPr>
        <w:t>两</w:t>
      </w:r>
      <w:r>
        <w:rPr>
          <w:rFonts w:hint="eastAsia" w:ascii="宋体" w:hAnsi="宋体" w:eastAsia="宋体" w:cs="宋体"/>
          <w:b/>
          <w:bCs/>
          <w:color w:val="000000"/>
          <w:sz w:val="24"/>
          <w:szCs w:val="24"/>
        </w:rPr>
        <w:t>年</w:t>
      </w:r>
      <w:r>
        <w:rPr>
          <w:rFonts w:hint="eastAsia" w:ascii="宋体" w:hAnsi="宋体" w:eastAsia="宋体" w:cs="宋体"/>
          <w:color w:val="000000"/>
          <w:sz w:val="24"/>
          <w:szCs w:val="24"/>
        </w:rPr>
        <w:t>的供货协议。实际供货单价=协议期间公布的物资单价限价X（</w:t>
      </w:r>
      <w:r>
        <w:rPr>
          <w:rFonts w:hint="eastAsia" w:ascii="宋体" w:hAnsi="宋体" w:eastAsia="宋体" w:cs="宋体"/>
          <w:color w:val="000000"/>
          <w:sz w:val="24"/>
          <w:szCs w:val="24"/>
          <w:lang w:eastAsia="zh-CN"/>
        </w:rPr>
        <w:t>乘以</w:t>
      </w:r>
      <w:r>
        <w:rPr>
          <w:rFonts w:hint="eastAsia" w:ascii="宋体" w:hAnsi="宋体" w:eastAsia="宋体" w:cs="宋体"/>
          <w:color w:val="000000"/>
          <w:sz w:val="24"/>
          <w:szCs w:val="24"/>
        </w:rPr>
        <w:t>）投标单位的</w:t>
      </w:r>
      <w:r>
        <w:rPr>
          <w:rFonts w:hint="eastAsia" w:ascii="宋体" w:hAnsi="宋体" w:eastAsia="宋体" w:cs="宋体"/>
          <w:color w:val="000000"/>
          <w:sz w:val="24"/>
          <w:szCs w:val="24"/>
          <w:lang w:eastAsia="zh-CN"/>
        </w:rPr>
        <w:t>折扣率（折扣率</w:t>
      </w:r>
      <w:r>
        <w:rPr>
          <w:rFonts w:hint="eastAsia" w:ascii="宋体" w:hAnsi="宋体" w:eastAsia="宋体" w:cs="宋体"/>
          <w:color w:val="000000"/>
          <w:sz w:val="24"/>
          <w:szCs w:val="24"/>
          <w:lang w:val="en-US" w:eastAsia="zh-CN"/>
        </w:rPr>
        <w:t>=1-优惠率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。协议期间不</w:t>
      </w:r>
      <w:r>
        <w:rPr>
          <w:rFonts w:hint="eastAsia" w:ascii="宋体" w:hAnsi="宋体" w:eastAsia="宋体" w:cs="宋体"/>
          <w:color w:val="000000"/>
          <w:sz w:val="24"/>
          <w:szCs w:val="24"/>
          <w:lang w:eastAsia="zh-CN"/>
        </w:rPr>
        <w:t>因</w:t>
      </w:r>
      <w:r>
        <w:rPr>
          <w:rFonts w:hint="eastAsia" w:ascii="宋体" w:hAnsi="宋体" w:eastAsia="宋体" w:cs="宋体"/>
          <w:color w:val="000000"/>
          <w:sz w:val="24"/>
          <w:szCs w:val="24"/>
        </w:rPr>
        <w:t>市场价格影响而调整单价以及</w:t>
      </w:r>
      <w:r>
        <w:rPr>
          <w:rFonts w:hint="eastAsia" w:ascii="宋体" w:hAnsi="宋体" w:eastAsia="宋体" w:cs="宋体"/>
          <w:color w:val="000000"/>
          <w:sz w:val="24"/>
          <w:szCs w:val="24"/>
          <w:lang w:eastAsia="zh-CN"/>
        </w:rPr>
        <w:t>优惠率（</w:t>
      </w:r>
      <w:r>
        <w:rPr>
          <w:rFonts w:hint="eastAsia" w:ascii="宋体" w:hAnsi="宋体" w:eastAsia="宋体" w:cs="宋体"/>
          <w:color w:val="000000"/>
          <w:sz w:val="24"/>
          <w:szCs w:val="24"/>
          <w:lang w:val="en-US" w:eastAsia="zh-CN"/>
        </w:rPr>
        <w:t>本次招标报价为优惠率，</w:t>
      </w:r>
      <w:r>
        <w:rPr>
          <w:rFonts w:hint="eastAsia" w:ascii="宋体" w:hAnsi="宋体" w:eastAsia="宋体" w:cs="宋体"/>
          <w:color w:val="000000"/>
          <w:sz w:val="24"/>
          <w:szCs w:val="24"/>
        </w:rPr>
        <w:t>投标人所报的价格应考虑到可能发生的所有与完成本项目相关服务及履行合同义务有关的一切费用。</w:t>
      </w:r>
      <w:r>
        <w:rPr>
          <w:rFonts w:hint="eastAsia" w:ascii="宋体" w:hAnsi="宋体" w:eastAsia="宋体" w:cs="宋体"/>
          <w:color w:val="000000"/>
          <w:sz w:val="24"/>
          <w:szCs w:val="24"/>
          <w:lang w:eastAsia="zh-CN"/>
        </w:rPr>
        <w:t>）</w:t>
      </w:r>
    </w:p>
    <w:p w14:paraId="64B7B3DE">
      <w:pPr>
        <w:pStyle w:val="50"/>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000000"/>
          <w:sz w:val="24"/>
          <w:szCs w:val="24"/>
          <w:lang w:val="en-US" w:eastAsia="zh-CN"/>
        </w:rPr>
        <w:t>本次招标，</w:t>
      </w:r>
      <w:r>
        <w:rPr>
          <w:rFonts w:hint="eastAsia" w:ascii="宋体" w:hAnsi="宋体" w:cs="宋体"/>
          <w:b w:val="0"/>
          <w:bCs w:val="0"/>
          <w:color w:val="auto"/>
          <w:kern w:val="0"/>
          <w:sz w:val="24"/>
          <w:szCs w:val="24"/>
          <w:highlight w:val="none"/>
          <w:lang w:val="en-US" w:eastAsia="zh-CN"/>
        </w:rPr>
        <w:t>一标段主要内容为新生儿配方奶粉及早期早产儿奶粉供货服务；</w:t>
      </w:r>
      <w:r>
        <w:rPr>
          <w:rFonts w:hint="eastAsia" w:ascii="宋体" w:hAnsi="宋体" w:eastAsia="宋体" w:cs="宋体"/>
          <w:b w:val="0"/>
          <w:bCs w:val="0"/>
          <w:color w:val="auto"/>
          <w:kern w:val="0"/>
          <w:sz w:val="24"/>
          <w:szCs w:val="24"/>
          <w:highlight w:val="none"/>
          <w:lang w:val="en-US" w:eastAsia="zh-CN"/>
        </w:rPr>
        <w:t>预算金额：</w:t>
      </w:r>
      <w:r>
        <w:rPr>
          <w:rFonts w:hint="eastAsia" w:ascii="宋体" w:hAnsi="宋体" w:cs="宋体"/>
          <w:b w:val="0"/>
          <w:bCs w:val="0"/>
          <w:color w:val="auto"/>
          <w:kern w:val="0"/>
          <w:sz w:val="24"/>
          <w:szCs w:val="24"/>
          <w:highlight w:val="none"/>
          <w:lang w:val="en-US" w:eastAsia="zh-CN"/>
        </w:rPr>
        <w:t>11</w:t>
      </w:r>
      <w:r>
        <w:rPr>
          <w:rFonts w:hint="eastAsia" w:ascii="宋体" w:hAnsi="宋体" w:cs="宋体"/>
          <w:b w:val="0"/>
          <w:bCs w:val="0"/>
          <w:color w:val="auto"/>
          <w:kern w:val="0"/>
          <w:sz w:val="24"/>
          <w:szCs w:val="24"/>
          <w:highlight w:val="none"/>
          <w:u w:val="none"/>
          <w:lang w:val="en-US" w:eastAsia="zh-CN"/>
        </w:rPr>
        <w:t>万</w:t>
      </w:r>
      <w:r>
        <w:rPr>
          <w:rFonts w:hint="eastAsia" w:ascii="宋体" w:hAnsi="宋体" w:cs="宋体"/>
          <w:b w:val="0"/>
          <w:bCs w:val="0"/>
          <w:color w:val="auto"/>
          <w:kern w:val="0"/>
          <w:sz w:val="24"/>
          <w:szCs w:val="24"/>
          <w:highlight w:val="none"/>
          <w:lang w:val="en-US" w:eastAsia="zh-CN"/>
        </w:rPr>
        <w:t>元</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sz w:val="24"/>
          <w:szCs w:val="24"/>
          <w:highlight w:val="none"/>
          <w:lang w:val="en-US" w:eastAsia="zh-CN"/>
        </w:rPr>
        <w:t>二标段为新生儿配方奶粉及晚期早产儿奶粉供货服务</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预算金额：</w:t>
      </w:r>
      <w:r>
        <w:rPr>
          <w:rFonts w:hint="eastAsia" w:ascii="宋体" w:hAnsi="宋体" w:cs="宋体"/>
          <w:b w:val="0"/>
          <w:bCs w:val="0"/>
          <w:color w:val="auto"/>
          <w:kern w:val="0"/>
          <w:sz w:val="24"/>
          <w:szCs w:val="24"/>
          <w:highlight w:val="none"/>
          <w:lang w:val="en-US" w:eastAsia="zh-CN"/>
        </w:rPr>
        <w:t>11</w:t>
      </w:r>
      <w:r>
        <w:rPr>
          <w:rFonts w:hint="eastAsia" w:ascii="宋体" w:hAnsi="宋体" w:cs="宋体"/>
          <w:b w:val="0"/>
          <w:bCs w:val="0"/>
          <w:color w:val="auto"/>
          <w:kern w:val="0"/>
          <w:sz w:val="24"/>
          <w:szCs w:val="24"/>
          <w:highlight w:val="none"/>
          <w:u w:val="none"/>
          <w:lang w:val="en-US" w:eastAsia="zh-CN"/>
        </w:rPr>
        <w:t>万</w:t>
      </w:r>
      <w:r>
        <w:rPr>
          <w:rFonts w:hint="eastAsia" w:ascii="宋体" w:hAnsi="宋体" w:cs="宋体"/>
          <w:b w:val="0"/>
          <w:bCs w:val="0"/>
          <w:color w:val="auto"/>
          <w:kern w:val="0"/>
          <w:sz w:val="24"/>
          <w:szCs w:val="24"/>
          <w:highlight w:val="none"/>
          <w:lang w:val="en-US" w:eastAsia="zh-CN"/>
        </w:rPr>
        <w:t>元；</w:t>
      </w:r>
      <w:r>
        <w:rPr>
          <w:rFonts w:hint="eastAsia" w:ascii="宋体" w:hAnsi="宋体" w:eastAsia="宋体" w:cs="宋体"/>
          <w:sz w:val="24"/>
          <w:szCs w:val="24"/>
        </w:rPr>
        <w:t>为保证服务质量，本次</w:t>
      </w:r>
      <w:r>
        <w:rPr>
          <w:rFonts w:hint="eastAsia" w:ascii="宋体" w:hAnsi="宋体" w:cs="宋体"/>
          <w:b w:val="0"/>
          <w:bCs w:val="0"/>
          <w:color w:val="auto"/>
          <w:kern w:val="0"/>
          <w:sz w:val="24"/>
          <w:szCs w:val="24"/>
          <w:highlight w:val="none"/>
          <w:lang w:val="en-US" w:eastAsia="zh-CN"/>
        </w:rPr>
        <w:t>一标段</w:t>
      </w:r>
      <w:r>
        <w:rPr>
          <w:rFonts w:hint="eastAsia" w:ascii="宋体" w:hAnsi="宋体" w:eastAsia="宋体" w:cs="宋体"/>
          <w:sz w:val="24"/>
          <w:szCs w:val="24"/>
        </w:rPr>
        <w:t>拟选定</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家服务供应商</w:t>
      </w:r>
      <w:r>
        <w:rPr>
          <w:rFonts w:hint="eastAsia" w:ascii="宋体" w:hAnsi="宋体" w:eastAsia="宋体" w:cs="宋体"/>
          <w:kern w:val="0"/>
          <w:sz w:val="24"/>
          <w:szCs w:val="24"/>
          <w:lang w:val="en-US" w:eastAsia="zh-CN"/>
        </w:rPr>
        <w:t>，</w:t>
      </w:r>
      <w:r>
        <w:rPr>
          <w:rFonts w:hint="eastAsia" w:ascii="宋体" w:hAnsi="宋体" w:cs="宋体"/>
          <w:b w:val="0"/>
          <w:bCs w:val="0"/>
          <w:color w:val="auto"/>
          <w:kern w:val="0"/>
          <w:sz w:val="24"/>
          <w:szCs w:val="24"/>
          <w:highlight w:val="none"/>
          <w:lang w:val="en-US" w:eastAsia="zh-CN"/>
        </w:rPr>
        <w:t>二标段</w:t>
      </w:r>
      <w:r>
        <w:rPr>
          <w:rFonts w:hint="eastAsia" w:ascii="宋体" w:hAnsi="宋体" w:eastAsia="宋体" w:cs="宋体"/>
          <w:sz w:val="24"/>
          <w:szCs w:val="24"/>
        </w:rPr>
        <w:t>拟选定</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家服务供应商</w:t>
      </w:r>
      <w:r>
        <w:rPr>
          <w:rFonts w:hint="eastAsia" w:ascii="宋体" w:hAnsi="宋体" w:cs="宋体"/>
          <w:sz w:val="24"/>
          <w:szCs w:val="24"/>
          <w:lang w:val="en-US" w:eastAsia="zh-CN"/>
        </w:rPr>
        <w:t>。</w:t>
      </w:r>
    </w:p>
    <w:p w14:paraId="0C9AC8A0">
      <w:pPr>
        <w:widowControl w:val="0"/>
        <w:numPr>
          <w:ilvl w:val="0"/>
          <w:numId w:val="3"/>
        </w:numPr>
        <w:adjustRightInd w:val="0"/>
        <w:snapToGrid w:val="0"/>
        <w:spacing w:line="440" w:lineRule="exact"/>
        <w:ind w:firstLine="482" w:firstLineChars="200"/>
        <w:rPr>
          <w:rFonts w:hint="eastAsia" w:ascii="Calibri" w:hAnsi="宋体" w:eastAsia="宋体" w:cs="Calibri"/>
          <w:b/>
          <w:bCs/>
          <w:sz w:val="24"/>
          <w:szCs w:val="21"/>
        </w:rPr>
      </w:pPr>
      <w:r>
        <w:rPr>
          <w:rFonts w:hint="eastAsia" w:ascii="Calibri" w:hAnsi="宋体" w:eastAsia="宋体" w:cs="Calibri"/>
          <w:b/>
          <w:bCs/>
          <w:sz w:val="24"/>
          <w:szCs w:val="21"/>
        </w:rPr>
        <w:t>采购清单：</w:t>
      </w:r>
    </w:p>
    <w:tbl>
      <w:tblPr>
        <w:tblStyle w:val="38"/>
        <w:tblW w:w="10534"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00"/>
        <w:gridCol w:w="618"/>
        <w:gridCol w:w="814"/>
        <w:gridCol w:w="920"/>
        <w:gridCol w:w="1252"/>
        <w:gridCol w:w="4565"/>
        <w:gridCol w:w="1067"/>
      </w:tblGrid>
      <w:tr w14:paraId="3033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98" w:type="dxa"/>
            <w:noWrap w:val="0"/>
            <w:vAlign w:val="center"/>
          </w:tcPr>
          <w:p w14:paraId="7CBE3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w:t>
            </w:r>
            <w:r>
              <w:rPr>
                <w:rFonts w:hint="eastAsia" w:ascii="宋体" w:hAnsi="宋体" w:eastAsia="宋体" w:cs="宋体"/>
                <w:sz w:val="24"/>
                <w:szCs w:val="24"/>
              </w:rPr>
              <w:t>号</w:t>
            </w:r>
          </w:p>
        </w:tc>
        <w:tc>
          <w:tcPr>
            <w:tcW w:w="800" w:type="dxa"/>
            <w:noWrap w:val="0"/>
            <w:vAlign w:val="center"/>
          </w:tcPr>
          <w:p w14:paraId="4C5E5C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产品</w:t>
            </w:r>
          </w:p>
          <w:p w14:paraId="3134C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618" w:type="dxa"/>
            <w:noWrap w:val="0"/>
            <w:vAlign w:val="center"/>
          </w:tcPr>
          <w:p w14:paraId="058872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性状</w:t>
            </w:r>
          </w:p>
        </w:tc>
        <w:tc>
          <w:tcPr>
            <w:tcW w:w="814" w:type="dxa"/>
            <w:noWrap w:val="0"/>
            <w:vAlign w:val="center"/>
          </w:tcPr>
          <w:p w14:paraId="65C33F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产品包装规格要求</w:t>
            </w:r>
          </w:p>
        </w:tc>
        <w:tc>
          <w:tcPr>
            <w:tcW w:w="920" w:type="dxa"/>
            <w:noWrap w:val="0"/>
            <w:vAlign w:val="center"/>
          </w:tcPr>
          <w:p w14:paraId="7C98B3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适用人群要求</w:t>
            </w:r>
          </w:p>
        </w:tc>
        <w:tc>
          <w:tcPr>
            <w:tcW w:w="1252" w:type="dxa"/>
            <w:noWrap w:val="0"/>
            <w:vAlign w:val="center"/>
          </w:tcPr>
          <w:p w14:paraId="112FAD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产品基本功能要求</w:t>
            </w:r>
          </w:p>
        </w:tc>
        <w:tc>
          <w:tcPr>
            <w:tcW w:w="4565" w:type="dxa"/>
            <w:noWrap w:val="0"/>
            <w:vAlign w:val="center"/>
          </w:tcPr>
          <w:p w14:paraId="3B865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其他功能要求</w:t>
            </w:r>
          </w:p>
        </w:tc>
        <w:tc>
          <w:tcPr>
            <w:tcW w:w="1067" w:type="dxa"/>
            <w:noWrap w:val="0"/>
            <w:vAlign w:val="center"/>
          </w:tcPr>
          <w:p w14:paraId="6C8D7A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最高限价单价元/100g</w:t>
            </w:r>
          </w:p>
        </w:tc>
      </w:tr>
      <w:tr w14:paraId="35B9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8" w:type="dxa"/>
            <w:vMerge w:val="restart"/>
            <w:noWrap w:val="0"/>
            <w:vAlign w:val="top"/>
          </w:tcPr>
          <w:p w14:paraId="206E66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0B3F4D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3D733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016149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405B01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6AE834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0524F4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06B5F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7A83BD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包1</w:t>
            </w:r>
          </w:p>
        </w:tc>
        <w:tc>
          <w:tcPr>
            <w:tcW w:w="800" w:type="dxa"/>
            <w:noWrap w:val="0"/>
            <w:vAlign w:val="center"/>
          </w:tcPr>
          <w:p w14:paraId="4B6996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足月儿配方奶粉1段</w:t>
            </w:r>
          </w:p>
        </w:tc>
        <w:tc>
          <w:tcPr>
            <w:tcW w:w="618" w:type="dxa"/>
            <w:noWrap w:val="0"/>
            <w:vAlign w:val="center"/>
          </w:tcPr>
          <w:p w14:paraId="5E635D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粉剂</w:t>
            </w:r>
          </w:p>
        </w:tc>
        <w:tc>
          <w:tcPr>
            <w:tcW w:w="814" w:type="dxa"/>
            <w:noWrap w:val="0"/>
            <w:vAlign w:val="center"/>
          </w:tcPr>
          <w:p w14:paraId="07B5DD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罐装</w:t>
            </w:r>
          </w:p>
        </w:tc>
        <w:tc>
          <w:tcPr>
            <w:tcW w:w="920" w:type="dxa"/>
            <w:noWrap w:val="0"/>
            <w:vAlign w:val="center"/>
          </w:tcPr>
          <w:p w14:paraId="5B54E2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足月正常体重新生儿</w:t>
            </w:r>
          </w:p>
        </w:tc>
        <w:tc>
          <w:tcPr>
            <w:tcW w:w="1252" w:type="dxa"/>
            <w:noWrap w:val="0"/>
            <w:vAlign w:val="center"/>
          </w:tcPr>
          <w:p w14:paraId="6BDA61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符合新国标婴儿配方食品 《GB10765-2021》有关标准</w:t>
            </w:r>
          </w:p>
        </w:tc>
        <w:tc>
          <w:tcPr>
            <w:tcW w:w="4565" w:type="dxa"/>
            <w:noWrap w:val="0"/>
            <w:vAlign w:val="top"/>
          </w:tcPr>
          <w:p w14:paraId="3E15A8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能量含量(kg):每100ml所含的能量≥250kj(60kcal)-295kj(70kcal)</w:t>
            </w:r>
          </w:p>
          <w:p w14:paraId="0C8C6E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蛋白质(g):每100kj含量:≥0.45-0.7</w:t>
            </w:r>
          </w:p>
          <w:p w14:paraId="729CF9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脂肪(g):每100kj含量≥1.05-1.40</w:t>
            </w:r>
          </w:p>
          <w:p w14:paraId="3AE00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亚油酸(g):每100kj含量≥0.13-0.33</w:t>
            </w:r>
          </w:p>
          <w:p w14:paraId="7B64A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a-亚麻酸(mg):每100kj含量≥15-21</w:t>
            </w:r>
          </w:p>
          <w:p w14:paraId="319D2A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碳水化合物(g):每100kj含量≥2.2-3.3</w:t>
            </w:r>
            <w:r>
              <w:rPr>
                <w:rFonts w:hint="eastAsia" w:ascii="宋体" w:hAnsi="宋体" w:eastAsia="宋体" w:cs="宋体"/>
                <w:sz w:val="24"/>
                <w:szCs w:val="24"/>
              </w:rPr>
              <w:tab/>
            </w:r>
          </w:p>
          <w:p w14:paraId="783A940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含有DHA</w:t>
            </w:r>
          </w:p>
          <w:p w14:paraId="396871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含益生菌或益生元</w:t>
            </w:r>
          </w:p>
        </w:tc>
        <w:tc>
          <w:tcPr>
            <w:tcW w:w="1067" w:type="dxa"/>
            <w:noWrap w:val="0"/>
            <w:vAlign w:val="center"/>
          </w:tcPr>
          <w:p w14:paraId="5EFD31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13.00</w:t>
            </w:r>
          </w:p>
        </w:tc>
      </w:tr>
      <w:tr w14:paraId="2B21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498" w:type="dxa"/>
            <w:vMerge w:val="continue"/>
            <w:noWrap w:val="0"/>
            <w:vAlign w:val="top"/>
          </w:tcPr>
          <w:p w14:paraId="0D1DC2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tc>
        <w:tc>
          <w:tcPr>
            <w:tcW w:w="800" w:type="dxa"/>
            <w:noWrap w:val="0"/>
            <w:vAlign w:val="center"/>
          </w:tcPr>
          <w:p w14:paraId="69AD84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早期早产儿配</w:t>
            </w:r>
          </w:p>
          <w:p w14:paraId="2C2488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方奶</w:t>
            </w:r>
          </w:p>
        </w:tc>
        <w:tc>
          <w:tcPr>
            <w:tcW w:w="618" w:type="dxa"/>
            <w:noWrap w:val="0"/>
            <w:vAlign w:val="center"/>
          </w:tcPr>
          <w:p w14:paraId="197177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粉剂</w:t>
            </w:r>
          </w:p>
        </w:tc>
        <w:tc>
          <w:tcPr>
            <w:tcW w:w="814" w:type="dxa"/>
            <w:noWrap w:val="0"/>
            <w:vAlign w:val="center"/>
          </w:tcPr>
          <w:p w14:paraId="2352FC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罐装</w:t>
            </w:r>
          </w:p>
        </w:tc>
        <w:tc>
          <w:tcPr>
            <w:tcW w:w="920" w:type="dxa"/>
            <w:noWrap w:val="0"/>
            <w:vAlign w:val="center"/>
          </w:tcPr>
          <w:p w14:paraId="7A136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早产及低出生</w:t>
            </w:r>
          </w:p>
          <w:p w14:paraId="519898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体重≦</w:t>
            </w:r>
          </w:p>
          <w:p w14:paraId="166F8B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1.8kg婴儿</w:t>
            </w:r>
          </w:p>
        </w:tc>
        <w:tc>
          <w:tcPr>
            <w:tcW w:w="1252" w:type="dxa"/>
            <w:noWrap w:val="0"/>
            <w:vAlign w:val="center"/>
          </w:tcPr>
          <w:p w14:paraId="532CE4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符合特殊医学用途配方食品2802类)</w:t>
            </w:r>
          </w:p>
        </w:tc>
        <w:tc>
          <w:tcPr>
            <w:tcW w:w="4565" w:type="dxa"/>
            <w:noWrap w:val="0"/>
            <w:vAlign w:val="top"/>
          </w:tcPr>
          <w:p w14:paraId="460968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1.含中链甘油三酯MCT</w:t>
            </w:r>
          </w:p>
          <w:p w14:paraId="29B336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2.以乳清蛋白为主</w:t>
            </w:r>
          </w:p>
          <w:p w14:paraId="21032E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3.渗透压≤240mOsm/L</w:t>
            </w:r>
          </w:p>
          <w:p w14:paraId="527667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rPr>
              <w:t>4.热卡含量≥80kcal/100ml</w:t>
            </w:r>
            <w:r>
              <w:rPr>
                <w:rFonts w:hint="eastAsia" w:ascii="宋体" w:hAnsi="宋体" w:eastAsia="宋体" w:cs="宋体"/>
                <w:sz w:val="24"/>
                <w:szCs w:val="24"/>
              </w:rPr>
              <w:tab/>
            </w:r>
          </w:p>
        </w:tc>
        <w:tc>
          <w:tcPr>
            <w:tcW w:w="1067" w:type="dxa"/>
            <w:noWrap w:val="0"/>
            <w:vAlign w:val="center"/>
          </w:tcPr>
          <w:p w14:paraId="6F7F4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13.00</w:t>
            </w:r>
          </w:p>
        </w:tc>
      </w:tr>
      <w:tr w14:paraId="32D3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498" w:type="dxa"/>
            <w:vMerge w:val="restart"/>
            <w:noWrap w:val="0"/>
            <w:vAlign w:val="top"/>
          </w:tcPr>
          <w:p w14:paraId="66D59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4DB562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5D852B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7E06F9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20B86A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075488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2D900D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60C1B9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218E33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p w14:paraId="61C7C6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包2</w:t>
            </w:r>
          </w:p>
        </w:tc>
        <w:tc>
          <w:tcPr>
            <w:tcW w:w="800" w:type="dxa"/>
            <w:noWrap w:val="0"/>
            <w:vAlign w:val="center"/>
          </w:tcPr>
          <w:p w14:paraId="3154C8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足月儿配方奶粉1段</w:t>
            </w:r>
          </w:p>
        </w:tc>
        <w:tc>
          <w:tcPr>
            <w:tcW w:w="618" w:type="dxa"/>
            <w:noWrap w:val="0"/>
            <w:vAlign w:val="center"/>
          </w:tcPr>
          <w:p w14:paraId="1518BA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粉剂</w:t>
            </w:r>
          </w:p>
        </w:tc>
        <w:tc>
          <w:tcPr>
            <w:tcW w:w="814" w:type="dxa"/>
            <w:noWrap w:val="0"/>
            <w:vAlign w:val="center"/>
          </w:tcPr>
          <w:p w14:paraId="214453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罐装</w:t>
            </w:r>
          </w:p>
        </w:tc>
        <w:tc>
          <w:tcPr>
            <w:tcW w:w="920" w:type="dxa"/>
            <w:noWrap w:val="0"/>
            <w:vAlign w:val="center"/>
          </w:tcPr>
          <w:p w14:paraId="5EC467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足月正常体重新生儿</w:t>
            </w:r>
          </w:p>
        </w:tc>
        <w:tc>
          <w:tcPr>
            <w:tcW w:w="1252" w:type="dxa"/>
            <w:noWrap w:val="0"/>
            <w:vAlign w:val="center"/>
          </w:tcPr>
          <w:p w14:paraId="267FAA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符合新国标婴儿配方食品 《GB10765-2021》有关标准</w:t>
            </w:r>
          </w:p>
        </w:tc>
        <w:tc>
          <w:tcPr>
            <w:tcW w:w="4565" w:type="dxa"/>
            <w:noWrap w:val="0"/>
            <w:vAlign w:val="top"/>
          </w:tcPr>
          <w:p w14:paraId="736F14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能量含量(kg):每100ml所含的能量≥250kj(60kcal)-295kj(70kcal)</w:t>
            </w:r>
          </w:p>
          <w:p w14:paraId="1BE0D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蛋白质(g):每100kj含量:≥0.45-0.7</w:t>
            </w:r>
          </w:p>
          <w:p w14:paraId="519ED4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脂肪(g):每100kj含量≥1.05-1.40</w:t>
            </w:r>
          </w:p>
          <w:p w14:paraId="546315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亚油酸(g):每100kj含量≥0.13-0.33</w:t>
            </w:r>
          </w:p>
          <w:p w14:paraId="3A381C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a-亚麻酸(mg):每100kj含量≥15-21</w:t>
            </w:r>
          </w:p>
          <w:p w14:paraId="0EEB20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碳水化合物(g):每100kj含量≥2.2-3.3</w:t>
            </w:r>
            <w:r>
              <w:rPr>
                <w:rFonts w:hint="eastAsia" w:ascii="宋体" w:hAnsi="宋体" w:eastAsia="宋体" w:cs="宋体"/>
                <w:sz w:val="24"/>
                <w:szCs w:val="24"/>
              </w:rPr>
              <w:tab/>
            </w:r>
          </w:p>
          <w:p w14:paraId="58DA1E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含有DHA</w:t>
            </w:r>
          </w:p>
          <w:p w14:paraId="553E1A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含益生菌或益生元</w:t>
            </w:r>
          </w:p>
        </w:tc>
        <w:tc>
          <w:tcPr>
            <w:tcW w:w="1067" w:type="dxa"/>
            <w:noWrap w:val="0"/>
            <w:vAlign w:val="center"/>
          </w:tcPr>
          <w:p w14:paraId="1C2FC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13.00</w:t>
            </w:r>
          </w:p>
        </w:tc>
      </w:tr>
      <w:tr w14:paraId="5F72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498" w:type="dxa"/>
            <w:vMerge w:val="continue"/>
            <w:noWrap w:val="0"/>
            <w:vAlign w:val="top"/>
          </w:tcPr>
          <w:p w14:paraId="51EBB2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p>
        </w:tc>
        <w:tc>
          <w:tcPr>
            <w:tcW w:w="800" w:type="dxa"/>
            <w:noWrap w:val="0"/>
            <w:vAlign w:val="center"/>
          </w:tcPr>
          <w:p w14:paraId="4E6C72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晚期早产儿配</w:t>
            </w:r>
          </w:p>
          <w:p w14:paraId="1C6828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方奶</w:t>
            </w:r>
          </w:p>
        </w:tc>
        <w:tc>
          <w:tcPr>
            <w:tcW w:w="618" w:type="dxa"/>
            <w:noWrap w:val="0"/>
            <w:vAlign w:val="center"/>
          </w:tcPr>
          <w:p w14:paraId="6C453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粉剂</w:t>
            </w:r>
          </w:p>
        </w:tc>
        <w:tc>
          <w:tcPr>
            <w:tcW w:w="814" w:type="dxa"/>
            <w:noWrap w:val="0"/>
            <w:vAlign w:val="center"/>
          </w:tcPr>
          <w:p w14:paraId="1C61E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罐装</w:t>
            </w:r>
          </w:p>
        </w:tc>
        <w:tc>
          <w:tcPr>
            <w:tcW w:w="920" w:type="dxa"/>
            <w:noWrap w:val="0"/>
            <w:vAlign w:val="center"/>
          </w:tcPr>
          <w:p w14:paraId="538E9A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早产及低出生</w:t>
            </w:r>
          </w:p>
          <w:p w14:paraId="19E54B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体重≧</w:t>
            </w:r>
          </w:p>
          <w:p w14:paraId="63957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1.81kg婴儿</w:t>
            </w:r>
          </w:p>
        </w:tc>
        <w:tc>
          <w:tcPr>
            <w:tcW w:w="1252" w:type="dxa"/>
            <w:noWrap w:val="0"/>
            <w:vAlign w:val="center"/>
          </w:tcPr>
          <w:p w14:paraId="594BAA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符合特殊医学用途配方食品2802类)</w:t>
            </w:r>
          </w:p>
        </w:tc>
        <w:tc>
          <w:tcPr>
            <w:tcW w:w="4565" w:type="dxa"/>
            <w:noWrap w:val="0"/>
            <w:vAlign w:val="top"/>
          </w:tcPr>
          <w:p w14:paraId="17952F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1.含中链甘油三酯MCT</w:t>
            </w:r>
          </w:p>
          <w:p w14:paraId="79C3A6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2.以乳清蛋白为主</w:t>
            </w:r>
          </w:p>
          <w:p w14:paraId="2C2F8B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3.渗透压≤450mOsm/L</w:t>
            </w:r>
          </w:p>
          <w:p w14:paraId="692EED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4.热卡含量72-75kcal/100ml</w:t>
            </w:r>
            <w:r>
              <w:rPr>
                <w:rFonts w:hint="eastAsia" w:ascii="宋体" w:hAnsi="宋体" w:eastAsia="宋体" w:cs="宋体"/>
                <w:sz w:val="24"/>
                <w:szCs w:val="24"/>
                <w:highlight w:val="none"/>
              </w:rPr>
              <w:tab/>
            </w:r>
          </w:p>
          <w:p w14:paraId="4C3D41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rPr>
              <w:t>5.蛋白能量比≥2.5g/kcal</w:t>
            </w:r>
          </w:p>
        </w:tc>
        <w:tc>
          <w:tcPr>
            <w:tcW w:w="1067" w:type="dxa"/>
            <w:noWrap w:val="0"/>
            <w:vAlign w:val="center"/>
          </w:tcPr>
          <w:p w14:paraId="7E9FE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13.00</w:t>
            </w:r>
          </w:p>
        </w:tc>
      </w:tr>
    </w:tbl>
    <w:p w14:paraId="01FB33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1C9AC2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val="en-US" w:eastAsia="zh-CN"/>
        </w:rPr>
        <w:t>合同履行期：两年。</w:t>
      </w:r>
    </w:p>
    <w:p w14:paraId="7DB24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2.交 付 期：自合同签订之日起，按照每次甲方采购计划供货，供货期自接到甲方采购计划通知2天内送货到库房。</w:t>
      </w:r>
    </w:p>
    <w:p w14:paraId="593FD8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3.价款及支付方式</w:t>
      </w:r>
    </w:p>
    <w:p w14:paraId="716858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3.1合同价款：货物费、运杂费、国家按现行税收政策征收的一切税费及完成整个项目所需其他一切费用。</w:t>
      </w:r>
    </w:p>
    <w:p w14:paraId="4B5A4DB6">
      <w:pPr>
        <w:keepNext w:val="0"/>
        <w:keepLines w:val="0"/>
        <w:pageBreakBefore w:val="0"/>
        <w:widowControl w:val="0"/>
        <w:tabs>
          <w:tab w:val="left" w:pos="8382"/>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3.2合同单价固定不变，不受市场价变化的影响。</w:t>
      </w:r>
      <w:r>
        <w:rPr>
          <w:rFonts w:hint="eastAsia" w:ascii="宋体" w:hAnsi="宋体" w:eastAsia="宋体" w:cs="宋体"/>
          <w:color w:val="auto"/>
          <w:sz w:val="24"/>
          <w:szCs w:val="24"/>
          <w:highlight w:val="none"/>
          <w:lang w:val="en-US" w:eastAsia="zh-CN"/>
        </w:rPr>
        <w:tab/>
      </w:r>
    </w:p>
    <w:p w14:paraId="796BA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3.3支付方式：货物到达现场并经甲方验收合格双方签字入库，以实际入库数量作为结算依据，乙方每月提供全额正规发票，甲方按乙方开出的发票金额，通过银行转账到乙方账户。</w:t>
      </w:r>
    </w:p>
    <w:p w14:paraId="3652C5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4.质保期：产品送达现场的剩余保存期不少于壹年。</w:t>
      </w:r>
    </w:p>
    <w:p w14:paraId="378F4E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5.质量保证</w:t>
      </w:r>
    </w:p>
    <w:p w14:paraId="4AA377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5.1发生质量问题，接到甲方通知后，应在30分钟内做出响应，4小时内给予更换，特殊情况要及时说明，期限不得超过24小时(1个工作日)。</w:t>
      </w:r>
    </w:p>
    <w:p w14:paraId="312EE8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5.2保证技术指标先进、质量性能可靠、进货渠道正常，全面满足采购文件和合同要求。</w:t>
      </w:r>
    </w:p>
    <w:p w14:paraId="4575DF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5.3符合新国标婴儿配方食品《GB10765-2021》有关标准及符合特殊医学用途配方食品(2802类)。</w:t>
      </w:r>
    </w:p>
    <w:p w14:paraId="3AEB26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5.4合同期内，乙方供给甲方的物资如有质量问题，无条件应及时给予更换，并保证甲方临时应急使用需求，因产品质量带来的任何食品安全事故、经济纠纷由乙方承担，甲方概不负责。</w:t>
      </w:r>
    </w:p>
    <w:p w14:paraId="0D66E8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6.验收标准和方法</w:t>
      </w:r>
    </w:p>
    <w:p w14:paraId="00C9A3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6.1货物按甲方指定地点和时间到货，甲方、乙方双方共同验收，验收合格后，填写货物清单入库。</w:t>
      </w:r>
    </w:p>
    <w:p w14:paraId="3B2B70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6.2验收依据：谈判文件、谈判响应文件、成交通知书、合同及品种明细单价表等。</w:t>
      </w:r>
    </w:p>
    <w:p w14:paraId="31086E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四、样品清单及送样要求</w:t>
      </w:r>
    </w:p>
    <w:p w14:paraId="7DAD7099">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1.样品为明细表中所有内容及相应的明细清单并标明投标供应商名称；</w:t>
      </w:r>
    </w:p>
    <w:p w14:paraId="76741529">
      <w:pPr>
        <w:pStyle w:val="13"/>
        <w:keepNext w:val="0"/>
        <w:keepLines w:val="0"/>
        <w:pageBreakBefore w:val="0"/>
        <w:widowControl w:val="0"/>
        <w:numPr>
          <w:ilvl w:val="0"/>
          <w:numId w:val="0"/>
        </w:numPr>
        <w:shd w:val="clear"/>
        <w:kinsoku/>
        <w:wordWrap/>
        <w:overflowPunct/>
        <w:topLinePunct w:val="0"/>
        <w:autoSpaceDE w:val="0"/>
        <w:autoSpaceDN w:val="0"/>
        <w:bidi w:val="0"/>
        <w:adjustRightInd/>
        <w:snapToGrid/>
        <w:spacing w:line="44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highlight w:val="none"/>
          <w:lang w:val="en-US" w:eastAsia="zh-CN" w:bidi="ar-SA"/>
        </w:rPr>
        <w:t>投标人所提供样品的技术参数须优于或等于采购要求的技术参数，投标人递交的样品作为实质性响应要求，未按采购文件技术参数要求提供样品的视为未实质性响应，按无效投标处理。</w:t>
      </w:r>
    </w:p>
    <w:p w14:paraId="7D803541">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3.样品接收时间：</w:t>
      </w:r>
      <w:r>
        <w:rPr>
          <w:rFonts w:hint="eastAsia" w:ascii="宋体" w:hAnsi="宋体" w:eastAsia="宋体" w:cs="宋体"/>
          <w:kern w:val="2"/>
          <w:sz w:val="24"/>
          <w:szCs w:val="24"/>
          <w:highlight w:val="none"/>
          <w:lang w:val="en-US" w:eastAsia="zh-CN" w:bidi="ar-SA"/>
        </w:rPr>
        <w:t>2025年12月03日15时00分00秒（</w:t>
      </w:r>
      <w:r>
        <w:rPr>
          <w:rFonts w:hint="eastAsia" w:ascii="宋体" w:hAnsi="宋体" w:eastAsia="宋体" w:cs="宋体"/>
          <w:kern w:val="2"/>
          <w:sz w:val="24"/>
          <w:szCs w:val="24"/>
          <w:lang w:val="en-US" w:eastAsia="zh-CN" w:bidi="ar-SA"/>
        </w:rPr>
        <w:t>北京时间）前，截止时间过后递交的样品将被拒绝；</w:t>
      </w:r>
    </w:p>
    <w:p w14:paraId="32925093">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4.样品送达地点： 安康市高新区高新观澜8栋二单元801室。</w:t>
      </w:r>
    </w:p>
    <w:p w14:paraId="7F3EB7F0">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5.招标代理机构联系人：陈工，联系方式：15991480332；         </w:t>
      </w:r>
    </w:p>
    <w:p w14:paraId="1D7135C5">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6.样品的运输和处理：供应商应自行负责样品的运输、保管等，招标采购单位不承担任何费用。</w:t>
      </w:r>
    </w:p>
    <w:p w14:paraId="3F2AD921">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7.未中标单位的样品在中标公示期满后退还，中标单位的样品交由采购人封样，待全部货物验收合格后退还。</w:t>
      </w:r>
    </w:p>
    <w:p w14:paraId="137AB0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sectPr>
          <w:headerReference r:id="rId15" w:type="default"/>
          <w:footerReference r:id="rId16" w:type="default"/>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70D4DA6A">
      <w:pPr>
        <w:pStyle w:val="13"/>
        <w:keepNext w:val="0"/>
        <w:keepLines w:val="0"/>
        <w:pageBreakBefore w:val="0"/>
        <w:widowControl/>
        <w:kinsoku/>
        <w:wordWrap/>
        <w:overflowPunct/>
        <w:topLinePunct w:val="0"/>
        <w:autoSpaceDE/>
        <w:autoSpaceDN/>
        <w:bidi w:val="0"/>
        <w:adjustRightInd/>
        <w:snapToGrid/>
        <w:spacing w:line="20" w:lineRule="exact"/>
        <w:textAlignment w:val="auto"/>
        <w:rPr>
          <w:rFonts w:hint="eastAsia" w:ascii="宋体" w:hAnsi="宋体" w:eastAsia="宋体" w:cs="宋体"/>
          <w:color w:val="auto"/>
          <w:sz w:val="24"/>
          <w:szCs w:val="24"/>
          <w:highlight w:val="none"/>
          <w:lang w:val="en-US"/>
        </w:rPr>
      </w:pPr>
    </w:p>
    <w:p w14:paraId="5EBDE509">
      <w:pPr>
        <w:pStyle w:val="3"/>
        <w:keepNext/>
        <w:keepLines/>
        <w:pageBreakBefore w:val="0"/>
        <w:widowControl/>
        <w:numPr>
          <w:ilvl w:val="0"/>
          <w:numId w:val="2"/>
        </w:numPr>
        <w:kinsoku/>
        <w:wordWrap/>
        <w:overflowPunct/>
        <w:topLinePunct w:val="0"/>
        <w:autoSpaceDE/>
        <w:autoSpaceDN/>
        <w:bidi w:val="0"/>
        <w:adjustRightInd/>
        <w:snapToGrid/>
        <w:spacing w:after="196" w:afterLines="50"/>
        <w:textAlignment w:val="auto"/>
        <w:rPr>
          <w:rFonts w:hint="eastAsia" w:ascii="宋体" w:hAnsi="宋体" w:eastAsia="宋体" w:cs="Times New Roman"/>
          <w:color w:val="auto"/>
          <w:highlight w:val="none"/>
        </w:rPr>
      </w:pPr>
      <w:bookmarkStart w:id="199" w:name="_Toc23315672"/>
      <w:bookmarkStart w:id="200" w:name="_Toc23316694"/>
      <w:bookmarkStart w:id="201" w:name="_Toc23316532"/>
      <w:bookmarkStart w:id="202" w:name="_Toc12337"/>
      <w:bookmarkStart w:id="203" w:name="_Toc23316596"/>
      <w:bookmarkStart w:id="204" w:name="_Toc3837039"/>
      <w:r>
        <w:rPr>
          <w:rFonts w:hint="eastAsia" w:ascii="宋体" w:hAnsi="宋体" w:eastAsia="宋体" w:cs="Times New Roman"/>
          <w:color w:val="auto"/>
          <w:highlight w:val="none"/>
        </w:rPr>
        <w:t xml:space="preserve"> </w:t>
      </w:r>
      <w:bookmarkStart w:id="205" w:name="_Toc1867"/>
      <w:r>
        <w:rPr>
          <w:rFonts w:hint="eastAsia" w:ascii="宋体" w:hAnsi="宋体" w:eastAsia="宋体" w:cs="Times New Roman"/>
          <w:color w:val="auto"/>
          <w:highlight w:val="none"/>
        </w:rPr>
        <w:t>合同主要条款</w:t>
      </w:r>
      <w:bookmarkEnd w:id="199"/>
      <w:bookmarkEnd w:id="200"/>
      <w:bookmarkEnd w:id="201"/>
      <w:bookmarkEnd w:id="202"/>
      <w:bookmarkEnd w:id="203"/>
      <w:bookmarkEnd w:id="205"/>
      <w:r>
        <w:rPr>
          <w:rFonts w:hint="eastAsia" w:ascii="宋体" w:hAnsi="宋体" w:eastAsia="宋体" w:cs="Times New Roman"/>
          <w:color w:val="auto"/>
          <w:highlight w:val="none"/>
        </w:rPr>
        <w:t xml:space="preserve"> </w:t>
      </w:r>
      <w:bookmarkEnd w:id="204"/>
    </w:p>
    <w:p w14:paraId="718A71F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00"/>
          <w:sz w:val="24"/>
          <w:szCs w:val="24"/>
        </w:rPr>
      </w:pPr>
      <w:bookmarkStart w:id="206" w:name="_Toc23315673"/>
      <w:bookmarkStart w:id="207" w:name="_Toc23316695"/>
      <w:bookmarkStart w:id="208" w:name="_Toc14189420"/>
      <w:bookmarkStart w:id="209" w:name="_Toc14189287"/>
      <w:bookmarkStart w:id="210" w:name="_Toc23316597"/>
      <w:bookmarkStart w:id="211" w:name="_Toc31168"/>
      <w:bookmarkStart w:id="212" w:name="_Toc18412211"/>
      <w:bookmarkStart w:id="213" w:name="_Toc23316533"/>
      <w:r>
        <w:rPr>
          <w:rFonts w:hint="eastAsia" w:ascii="宋体" w:hAnsi="宋体" w:eastAsia="宋体" w:cs="宋体"/>
          <w:b/>
          <w:bCs/>
          <w:color w:val="000000"/>
          <w:sz w:val="24"/>
          <w:szCs w:val="24"/>
        </w:rPr>
        <w:t>（说明：本合同作为合同的基本格式，不作为最终合同，甲方有权在签订合同时对合同的相关条款及内容作进一步的细化和修改</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w:t>
      </w:r>
    </w:p>
    <w:p w14:paraId="2EC0CF0E">
      <w:pPr>
        <w:keepNext w:val="0"/>
        <w:keepLines w:val="0"/>
        <w:pageBreakBefore w:val="0"/>
        <w:kinsoku/>
        <w:wordWrap/>
        <w:overflowPunct/>
        <w:topLinePunct w:val="0"/>
        <w:bidi w:val="0"/>
        <w:spacing w:line="460" w:lineRule="exact"/>
        <w:jc w:val="left"/>
        <w:textAlignment w:val="auto"/>
        <w:rPr>
          <w:rFonts w:hint="eastAsia" w:ascii="宋体" w:hAnsi="宋体" w:eastAsia="宋体" w:cs="宋体"/>
          <w:b w:val="0"/>
          <w:bCs w:val="0"/>
          <w:spacing w:val="-20"/>
          <w:sz w:val="24"/>
          <w:szCs w:val="24"/>
          <w:lang w:eastAsia="zh-CN"/>
        </w:rPr>
      </w:pPr>
    </w:p>
    <w:p w14:paraId="72C697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采购方:安康市中心医院(以下简称甲方)</w:t>
      </w:r>
    </w:p>
    <w:p w14:paraId="313BA43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供货方:</w:t>
      </w:r>
    </w:p>
    <w:p w14:paraId="46D473D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明确双方责任、权利和义务，根据《中华人民共和国民法典》《中华人民共和国政府采购法》及国家有关法律和行政法规，遵循平等、自愿和诚实信用的原则，经政府招标采购，确定供货企业，双方就安康市中心医院新生儿科婴儿奶粉供货服务达成协议，订立供货合同，双方共同遵守。</w:t>
      </w:r>
    </w:p>
    <w:p w14:paraId="0EB6F72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合同内容及金额</w:t>
      </w:r>
    </w:p>
    <w:p w14:paraId="16988B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项目名称:安康市中心医院新生儿科婴儿奶粉采购项目</w:t>
      </w:r>
    </w:p>
    <w:p w14:paraId="4A9A53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合同内容:品种明细单价表(单位:元)</w:t>
      </w:r>
    </w:p>
    <w:p w14:paraId="5D00BFA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标段主要内容</w:t>
      </w:r>
      <w:r>
        <w:rPr>
          <w:rFonts w:hint="eastAsia" w:ascii="宋体" w:hAnsi="宋体" w:eastAsia="宋体" w:cs="宋体"/>
          <w:sz w:val="24"/>
          <w:szCs w:val="24"/>
          <w:u w:val="single"/>
          <w:lang w:val="en-US" w:eastAsia="zh-CN"/>
        </w:rPr>
        <w:t xml:space="preserve"> （包1新生儿配方奶粉及早期早产儿奶粉；包2</w:t>
      </w:r>
      <w:r>
        <w:rPr>
          <w:rFonts w:hint="eastAsia" w:ascii="宋体" w:hAnsi="宋体" w:eastAsia="宋体" w:cs="宋体"/>
          <w:i w:val="0"/>
          <w:iCs w:val="0"/>
          <w:caps w:val="0"/>
          <w:color w:val="333333"/>
          <w:spacing w:val="0"/>
          <w:sz w:val="24"/>
          <w:szCs w:val="24"/>
          <w:u w:val="single"/>
          <w:shd w:val="clear" w:fill="FFFFFF"/>
        </w:rPr>
        <w:t>新生儿配方奶粉及</w:t>
      </w:r>
      <w:r>
        <w:rPr>
          <w:rFonts w:hint="eastAsia" w:ascii="宋体" w:hAnsi="宋体" w:eastAsia="宋体" w:cs="宋体"/>
          <w:i w:val="0"/>
          <w:iCs w:val="0"/>
          <w:caps w:val="0"/>
          <w:color w:val="333333"/>
          <w:spacing w:val="0"/>
          <w:sz w:val="24"/>
          <w:szCs w:val="24"/>
          <w:u w:val="single"/>
          <w:shd w:val="clear" w:fill="FFFFFF"/>
          <w:lang w:val="en-US" w:eastAsia="zh-CN"/>
        </w:rPr>
        <w:t>晚</w:t>
      </w:r>
      <w:r>
        <w:rPr>
          <w:rFonts w:hint="eastAsia" w:ascii="宋体" w:hAnsi="宋体" w:eastAsia="宋体" w:cs="宋体"/>
          <w:i w:val="0"/>
          <w:iCs w:val="0"/>
          <w:caps w:val="0"/>
          <w:color w:val="333333"/>
          <w:spacing w:val="0"/>
          <w:sz w:val="24"/>
          <w:szCs w:val="24"/>
          <w:u w:val="single"/>
          <w:shd w:val="clear" w:fill="FFFFFF"/>
        </w:rPr>
        <w:t>期早产儿奶粉</w:t>
      </w:r>
      <w:r>
        <w:rPr>
          <w:rFonts w:hint="eastAsia" w:ascii="宋体" w:hAnsi="宋体" w:eastAsia="宋体" w:cs="宋体"/>
          <w:sz w:val="24"/>
          <w:szCs w:val="24"/>
          <w:u w:val="single"/>
          <w:lang w:val="en-US" w:eastAsia="zh-CN"/>
        </w:rPr>
        <w:t xml:space="preserve">）  </w:t>
      </w:r>
    </w:p>
    <w:p w14:paraId="0CDB90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奶粉供货服务</w:t>
      </w:r>
      <w:r>
        <w:rPr>
          <w:rFonts w:hint="eastAsia" w:ascii="宋体" w:hAnsi="宋体" w:eastAsia="宋体" w:cs="宋体"/>
          <w:sz w:val="24"/>
          <w:szCs w:val="24"/>
          <w:lang w:eastAsia="zh-CN"/>
        </w:rPr>
        <w:t>期</w:t>
      </w:r>
      <w:r>
        <w:rPr>
          <w:rFonts w:hint="eastAsia" w:ascii="宋体" w:hAnsi="宋体" w:eastAsia="宋体" w:cs="宋体"/>
          <w:sz w:val="24"/>
          <w:szCs w:val="24"/>
        </w:rPr>
        <w:t>:</w:t>
      </w:r>
      <w:r>
        <w:rPr>
          <w:rFonts w:hint="eastAsia" w:ascii="宋体" w:hAnsi="宋体" w:eastAsia="宋体" w:cs="宋体"/>
          <w:sz w:val="24"/>
          <w:szCs w:val="24"/>
          <w:lang w:eastAsia="zh-CN"/>
        </w:rPr>
        <w:t>两年。</w:t>
      </w:r>
    </w:p>
    <w:p w14:paraId="50FB410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奶粉用量：按医院需求据实结算。</w:t>
      </w:r>
    </w:p>
    <w:p w14:paraId="3C3936D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合同金额：按照科室使用量据实结算，且</w:t>
      </w:r>
      <w:r>
        <w:rPr>
          <w:rFonts w:hint="eastAsia" w:ascii="宋体" w:hAnsi="宋体" w:eastAsia="宋体" w:cs="宋体"/>
          <w:sz w:val="24"/>
          <w:szCs w:val="24"/>
          <w:lang w:val="en-US" w:eastAsia="zh-CN"/>
        </w:rPr>
        <w:t>每个合同包</w:t>
      </w:r>
      <w:r>
        <w:rPr>
          <w:rFonts w:hint="eastAsia" w:ascii="宋体" w:hAnsi="宋体" w:eastAsia="宋体" w:cs="宋体"/>
          <w:sz w:val="24"/>
          <w:szCs w:val="24"/>
          <w:lang w:eastAsia="zh-CN"/>
        </w:rPr>
        <w:t>不得超过合同总价</w:t>
      </w:r>
      <w:r>
        <w:rPr>
          <w:rFonts w:hint="eastAsia" w:ascii="宋体" w:hAnsi="宋体" w:eastAsia="宋体" w:cs="宋体"/>
          <w:sz w:val="24"/>
          <w:szCs w:val="24"/>
          <w:lang w:val="en-US" w:eastAsia="zh-CN"/>
        </w:rPr>
        <w:t>11</w:t>
      </w:r>
      <w:r>
        <w:rPr>
          <w:rFonts w:hint="eastAsia" w:ascii="宋体" w:hAnsi="宋体" w:eastAsia="宋体" w:cs="宋体"/>
          <w:sz w:val="24"/>
          <w:szCs w:val="24"/>
        </w:rPr>
        <w:t>万元</w:t>
      </w:r>
      <w:r>
        <w:rPr>
          <w:rFonts w:hint="eastAsia" w:ascii="宋体" w:hAnsi="宋体" w:eastAsia="宋体" w:cs="宋体"/>
          <w:sz w:val="24"/>
          <w:szCs w:val="24"/>
          <w:lang w:eastAsia="zh-CN"/>
        </w:rPr>
        <w:t>。</w:t>
      </w:r>
    </w:p>
    <w:p w14:paraId="48EB429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上述合同内容单价，不受市场和工作量变化的影响。</w:t>
      </w:r>
    </w:p>
    <w:p w14:paraId="7D8948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货物技术规格、数量:即交付的货物规格参数、材质、数量与招投标文件所指明的，或者与本合同所指明的货物规格参数及型号相一致。交货地点、运输方式、指定收货人及费用负担。</w:t>
      </w:r>
    </w:p>
    <w:p w14:paraId="680BD94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交货地点:安康市汉滨区安康大道与花园大道交叉口东北方向162米安康市中心医院住院部4楼新生儿科</w:t>
      </w:r>
    </w:p>
    <w:p w14:paraId="7EDDE6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指定收货人:陈苗13772236660</w:t>
      </w:r>
    </w:p>
    <w:p w14:paraId="01C02D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运输方式及费用负担:由乙方安排运输，并承担运费。</w:t>
      </w:r>
    </w:p>
    <w:p w14:paraId="776453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知识产权:我院郑重承诺采购人在使用中标货物(服务)时，不承担任何涉及知识产权法律诉讼的责任。</w:t>
      </w:r>
    </w:p>
    <w:p w14:paraId="4EAA81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合同期:本协议履行时间是两年，从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日起，至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日止，履行期限届满后</w:t>
      </w:r>
      <w:r>
        <w:rPr>
          <w:rFonts w:hint="eastAsia" w:ascii="宋体" w:hAnsi="宋体" w:eastAsia="宋体" w:cs="宋体"/>
          <w:sz w:val="24"/>
          <w:szCs w:val="24"/>
          <w:lang w:eastAsia="zh-CN"/>
        </w:rPr>
        <w:t>或合同总金额用完</w:t>
      </w:r>
      <w:r>
        <w:rPr>
          <w:rFonts w:hint="eastAsia" w:ascii="宋体" w:hAnsi="宋体" w:eastAsia="宋体" w:cs="宋体"/>
          <w:sz w:val="24"/>
          <w:szCs w:val="24"/>
        </w:rPr>
        <w:t>，协议自行终结。</w:t>
      </w:r>
    </w:p>
    <w:p w14:paraId="2FBBB45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交付期:自合同签订之日起，按照每次甲方采购计划供货，供货期自接到甲方采购计划通知2天内送货到库房。</w:t>
      </w:r>
    </w:p>
    <w:p w14:paraId="178A36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合同价款及支付方式</w:t>
      </w:r>
    </w:p>
    <w:p w14:paraId="3EB9934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合同总价包括:货物费、运杂费、国家按现行税收政策征收的一切税费及完成整个项目所需其他一切费用。</w:t>
      </w:r>
    </w:p>
    <w:p w14:paraId="2C5B29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合同单价固定不变，不受市场价变化的影响</w:t>
      </w:r>
    </w:p>
    <w:p w14:paraId="5E193E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支付方式:银行转账。</w:t>
      </w:r>
    </w:p>
    <w:p w14:paraId="2639720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货物到达现场并经甲方验收合格双方签字入库，以实际入库数量作为结算依据，乙方每月提供全额正规发票，甲方按乙方开出的发票金额，通过银行转账到乙方账户。</w:t>
      </w:r>
    </w:p>
    <w:p w14:paraId="7950248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技术保障，乙方所供货物提供以下技术保障:</w:t>
      </w:r>
    </w:p>
    <w:p w14:paraId="58AD87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质保期内:</w:t>
      </w:r>
    </w:p>
    <w:p w14:paraId="227FBE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发生质量问题，接到甲方通知后，应在30分钟内做出响应，4小时内给予更换，特殊情况要及时说明，期限不得超过24小时(1个工作日)。</w:t>
      </w:r>
    </w:p>
    <w:p w14:paraId="271A3E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质量保证,乙方所供货物必须执行下列条款:</w:t>
      </w:r>
    </w:p>
    <w:p w14:paraId="390516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保证技术指标先进、质量性能可靠、进货渠道正常，全面满足招投标文件和合同要求。</w:t>
      </w:r>
    </w:p>
    <w:p w14:paraId="740ECF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符合新国标婴儿配方食品《GB10765-2021》有关标准及符合特殊医学用途配方食品(2802类)。</w:t>
      </w:r>
    </w:p>
    <w:p w14:paraId="0CF363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合同期内，乙方供给甲方的物资如有质量问题，无条件应及时给予更换，并保证甲方临时应急使用需求，因产品质量带来的任何食品安全事故、经济纠纷由乙方承担，甲方概不负责。</w:t>
      </w:r>
    </w:p>
    <w:p w14:paraId="35255A9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验收标准和方法</w:t>
      </w:r>
    </w:p>
    <w:p w14:paraId="4529B2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货物按甲方指定地点和时间到货，甲方、乙方双方共同验收，验收合格后，填写货物清单入库。</w:t>
      </w:r>
    </w:p>
    <w:p w14:paraId="186FC7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验收依据:招投标文件、投标承诺书、中标通知书、合同及附件文本。</w:t>
      </w:r>
    </w:p>
    <w:p w14:paraId="65AAD2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违约责任</w:t>
      </w:r>
    </w:p>
    <w:p w14:paraId="50E9B08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按《政府采购法》《合同法》中的相关条款执行。</w:t>
      </w:r>
    </w:p>
    <w:p w14:paraId="758C05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未按合同要求提供货物或质量不能满足招投标文件技术要求，乙方必须无条件更换，提高技术，完善质量。</w:t>
      </w:r>
    </w:p>
    <w:p w14:paraId="18F03FB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合同争议解决的方式</w:t>
      </w:r>
    </w:p>
    <w:p w14:paraId="3711A6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本合同在履行过程中发生的争议，由甲、乙双方当事人协商解决，协商不成的提交陕西省安康市仲裁委员会仲裁;</w:t>
      </w:r>
    </w:p>
    <w:p w14:paraId="46F1E1F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合同生效，本合同一式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14:paraId="633F5A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其他事项</w:t>
      </w:r>
    </w:p>
    <w:p w14:paraId="218995D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双方约定，在履行合同过程中，严格执行国家有关法律法规和相关政策性规定，双方均应认真履行，否则按合同法相关规定视为违约。</w:t>
      </w:r>
    </w:p>
    <w:p w14:paraId="7FDE748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供货商提供的婴儿奶粉出现任何质量问题及发生的投诉、纠纷，全部由供货商承担。</w:t>
      </w:r>
    </w:p>
    <w:p w14:paraId="6D68AF0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此协议一式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份，双方签字后生效，如有未尽事宜，双方另行签订补充协议，补充协议与本合同具有同等法律效力。</w:t>
      </w:r>
    </w:p>
    <w:p w14:paraId="7B1EAD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本合同按照中华人民共和国的现行法律进行解释。</w:t>
      </w:r>
    </w:p>
    <w:p w14:paraId="3EAEA8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08CA79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甲方签字：</w:t>
      </w:r>
      <w:r>
        <w:rPr>
          <w:rFonts w:hint="eastAsia" w:ascii="宋体" w:hAnsi="宋体" w:eastAsia="宋体" w:cs="宋体"/>
          <w:sz w:val="24"/>
          <w:szCs w:val="24"/>
          <w:lang w:val="en-US" w:eastAsia="zh-CN"/>
        </w:rPr>
        <w:t xml:space="preserve">                            乙方签字：</w:t>
      </w:r>
    </w:p>
    <w:p w14:paraId="62CB4FD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sz w:val="96"/>
          <w:szCs w:val="96"/>
        </w:rPr>
      </w:pPr>
    </w:p>
    <w:p w14:paraId="08D07964">
      <w:pPr>
        <w:rPr>
          <w:rFonts w:hint="default" w:ascii="仿宋_GB2312" w:eastAsia="仿宋_GB2312"/>
          <w:sz w:val="24"/>
          <w:lang w:val="en-US" w:eastAsia="zh-CN"/>
        </w:rPr>
        <w:sectPr>
          <w:footerReference r:id="rId17" w:type="default"/>
          <w:pgSz w:w="11905" w:h="16838"/>
          <w:pgMar w:top="1304" w:right="1304" w:bottom="1304" w:left="1304" w:header="964" w:footer="1020" w:gutter="0"/>
          <w:pgNumType w:fmt="decimal"/>
          <w:cols w:space="0" w:num="1"/>
          <w:rtlGutter w:val="0"/>
          <w:docGrid w:type="lines" w:linePitch="395" w:charSpace="0"/>
        </w:sectPr>
      </w:pPr>
    </w:p>
    <w:p w14:paraId="02D44CB5">
      <w:pPr>
        <w:pStyle w:val="87"/>
        <w:tabs>
          <w:tab w:val="left" w:pos="6151"/>
        </w:tabs>
        <w:spacing w:line="360" w:lineRule="auto"/>
        <w:ind w:firstLine="0" w:firstLineChars="0"/>
        <w:jc w:val="left"/>
        <w:rPr>
          <w:rFonts w:hint="default" w:ascii="宋体" w:hAnsi="宋体" w:eastAsia="宋体"/>
          <w:lang w:eastAsia="zh-CN"/>
        </w:rPr>
      </w:pPr>
    </w:p>
    <w:p w14:paraId="265E7115">
      <w:pPr>
        <w:pStyle w:val="3"/>
        <w:keepNext/>
        <w:keepLines/>
        <w:pageBreakBefore w:val="0"/>
        <w:widowControl/>
        <w:numPr>
          <w:ilvl w:val="0"/>
          <w:numId w:val="2"/>
        </w:numPr>
        <w:kinsoku/>
        <w:wordWrap/>
        <w:overflowPunct/>
        <w:topLinePunct w:val="0"/>
        <w:autoSpaceDE/>
        <w:autoSpaceDN/>
        <w:bidi w:val="0"/>
        <w:adjustRightInd/>
        <w:snapToGrid/>
        <w:spacing w:after="196" w:afterLines="5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w:t>
      </w:r>
      <w:bookmarkStart w:id="214" w:name="_Toc9120"/>
      <w:r>
        <w:rPr>
          <w:rFonts w:hint="eastAsia" w:ascii="宋体" w:hAnsi="宋体" w:eastAsia="宋体" w:cs="Times New Roman"/>
          <w:color w:val="auto"/>
          <w:highlight w:val="none"/>
        </w:rPr>
        <w:t>响应文件格式</w:t>
      </w:r>
      <w:bookmarkEnd w:id="206"/>
      <w:bookmarkEnd w:id="207"/>
      <w:bookmarkEnd w:id="208"/>
      <w:bookmarkEnd w:id="209"/>
      <w:bookmarkEnd w:id="210"/>
      <w:bookmarkEnd w:id="211"/>
      <w:bookmarkEnd w:id="212"/>
      <w:bookmarkEnd w:id="213"/>
      <w:bookmarkEnd w:id="214"/>
    </w:p>
    <w:p w14:paraId="2A8F7C80">
      <w:pPr>
        <w:jc w:val="right"/>
        <w:rPr>
          <w:rFonts w:cs="仿宋" w:asciiTheme="minorEastAsia" w:hAnsiTheme="minorEastAsia" w:eastAsiaTheme="minorEastAsia"/>
          <w:b/>
          <w:color w:val="auto"/>
          <w:sz w:val="36"/>
          <w:szCs w:val="36"/>
          <w:highlight w:val="none"/>
          <w:bdr w:val="single" w:color="auto" w:sz="4" w:space="0"/>
          <w:shd w:val="pct10" w:color="auto" w:fill="FFFFFF"/>
        </w:rPr>
      </w:pPr>
    </w:p>
    <w:p w14:paraId="58A96A51">
      <w:pPr>
        <w:jc w:val="right"/>
        <w:rPr>
          <w:rFonts w:cs="仿宋" w:asciiTheme="minorEastAsia" w:hAnsiTheme="minorEastAsia" w:eastAsiaTheme="minorEastAsia"/>
          <w:b/>
          <w:color w:val="auto"/>
          <w:sz w:val="36"/>
          <w:szCs w:val="36"/>
          <w:highlight w:val="none"/>
          <w:bdr w:val="single" w:color="auto" w:sz="4" w:space="0"/>
          <w:shd w:val="pct10" w:color="auto" w:fill="FFFFFF"/>
        </w:rPr>
      </w:pPr>
      <w:r>
        <w:rPr>
          <w:rFonts w:hint="eastAsia" w:cs="仿宋" w:asciiTheme="minorEastAsia" w:hAnsiTheme="minorEastAsia" w:eastAsiaTheme="minorEastAsia"/>
          <w:b/>
          <w:color w:val="auto"/>
          <w:sz w:val="36"/>
          <w:szCs w:val="36"/>
          <w:highlight w:val="none"/>
          <w:bdr w:val="single" w:color="auto" w:sz="4" w:space="0"/>
          <w:shd w:val="pct10" w:color="auto" w:fill="FFFFFF"/>
        </w:rPr>
        <w:t>政府采购项目</w:t>
      </w:r>
    </w:p>
    <w:p w14:paraId="65B1C0A0">
      <w:pPr>
        <w:ind w:right="728"/>
        <w:rPr>
          <w:rFonts w:cs="仿宋" w:asciiTheme="minorEastAsia" w:hAnsiTheme="minorEastAsia" w:eastAsiaTheme="minorEastAsia"/>
          <w:bCs/>
          <w:color w:val="auto"/>
          <w:sz w:val="32"/>
          <w:szCs w:val="32"/>
          <w:highlight w:val="none"/>
        </w:rPr>
      </w:pPr>
    </w:p>
    <w:p w14:paraId="5D0C6B78">
      <w:pPr>
        <w:ind w:right="728"/>
        <w:rPr>
          <w:rFonts w:cs="仿宋" w:asciiTheme="minorEastAsia" w:hAnsiTheme="minorEastAsia" w:eastAsiaTheme="minorEastAsia"/>
          <w:b/>
          <w:color w:val="auto"/>
          <w:sz w:val="36"/>
          <w:szCs w:val="36"/>
          <w:highlight w:val="none"/>
          <w:bdr w:val="single" w:color="auto" w:sz="4" w:space="0"/>
          <w:shd w:val="pct10" w:color="auto" w:fill="FFFFFF"/>
        </w:rPr>
      </w:pPr>
      <w:r>
        <w:rPr>
          <w:rFonts w:hint="eastAsia" w:cs="仿宋" w:asciiTheme="minorEastAsia" w:hAnsiTheme="minorEastAsia" w:eastAsiaTheme="minorEastAsia"/>
          <w:bCs/>
          <w:color w:val="auto"/>
          <w:sz w:val="32"/>
          <w:szCs w:val="32"/>
          <w:highlight w:val="none"/>
          <w:lang w:val="en-US" w:eastAsia="zh-CN"/>
        </w:rPr>
        <w:t>项目</w:t>
      </w:r>
      <w:r>
        <w:rPr>
          <w:rFonts w:hint="eastAsia" w:cs="仿宋" w:asciiTheme="minorEastAsia" w:hAnsiTheme="minorEastAsia" w:eastAsiaTheme="minorEastAsia"/>
          <w:bCs/>
          <w:color w:val="auto"/>
          <w:sz w:val="32"/>
          <w:szCs w:val="32"/>
          <w:highlight w:val="none"/>
        </w:rPr>
        <w:t>编号:</w:t>
      </w:r>
    </w:p>
    <w:p w14:paraId="09CD14A5">
      <w:pPr>
        <w:spacing w:line="600" w:lineRule="exact"/>
        <w:jc w:val="center"/>
        <w:rPr>
          <w:rFonts w:asciiTheme="minorEastAsia" w:hAnsiTheme="minorEastAsia" w:eastAsiaTheme="minorEastAsia"/>
          <w:b/>
          <w:color w:val="auto"/>
          <w:sz w:val="36"/>
          <w:szCs w:val="36"/>
          <w:highlight w:val="none"/>
        </w:rPr>
      </w:pPr>
    </w:p>
    <w:p w14:paraId="61D6CD8D">
      <w:pPr>
        <w:spacing w:line="600" w:lineRule="exact"/>
        <w:jc w:val="center"/>
        <w:rPr>
          <w:rFonts w:asciiTheme="minorEastAsia" w:hAnsiTheme="minorEastAsia" w:eastAsiaTheme="minorEastAsia"/>
          <w:b/>
          <w:color w:val="auto"/>
          <w:sz w:val="36"/>
          <w:szCs w:val="36"/>
          <w:highlight w:val="none"/>
        </w:rPr>
      </w:pPr>
    </w:p>
    <w:p w14:paraId="313A4F5E">
      <w:pPr>
        <w:spacing w:line="600" w:lineRule="exact"/>
        <w:jc w:val="center"/>
        <w:rPr>
          <w:rFonts w:asciiTheme="minorEastAsia" w:hAnsiTheme="minorEastAsia" w:eastAsiaTheme="minorEastAsia"/>
          <w:b/>
          <w:color w:val="auto"/>
          <w:sz w:val="36"/>
          <w:szCs w:val="36"/>
          <w:highlight w:val="none"/>
        </w:rPr>
      </w:pPr>
    </w:p>
    <w:p w14:paraId="4D373F5B">
      <w:pPr>
        <w:spacing w:line="600" w:lineRule="exact"/>
        <w:jc w:val="center"/>
        <w:rPr>
          <w:rFonts w:asciiTheme="minorEastAsia" w:hAnsiTheme="minorEastAsia" w:eastAsiaTheme="minorEastAsia"/>
          <w:b/>
          <w:color w:val="auto"/>
          <w:sz w:val="36"/>
          <w:szCs w:val="36"/>
          <w:highlight w:val="none"/>
        </w:rPr>
      </w:pPr>
    </w:p>
    <w:p w14:paraId="7E0A821E">
      <w:pPr>
        <w:spacing w:line="360" w:lineRule="auto"/>
        <w:jc w:val="center"/>
        <w:rPr>
          <w:rFonts w:asciiTheme="minorEastAsia" w:hAnsiTheme="minorEastAsia" w:eastAsiaTheme="minorEastAsia" w:cstheme="majorEastAsia"/>
          <w:b/>
          <w:color w:val="auto"/>
          <w:w w:val="90"/>
          <w:sz w:val="56"/>
          <w:szCs w:val="56"/>
          <w:highlight w:val="none"/>
        </w:rPr>
      </w:pPr>
      <w:r>
        <w:rPr>
          <w:rFonts w:hint="eastAsia" w:asciiTheme="minorEastAsia" w:hAnsiTheme="minorEastAsia" w:eastAsiaTheme="minorEastAsia" w:cstheme="majorEastAsia"/>
          <w:b/>
          <w:color w:val="auto"/>
          <w:w w:val="90"/>
          <w:sz w:val="56"/>
          <w:szCs w:val="56"/>
          <w:highlight w:val="none"/>
          <w:u w:val="single"/>
          <w:lang w:val="en-US" w:eastAsia="zh-CN"/>
        </w:rPr>
        <w:t xml:space="preserve">               </w:t>
      </w:r>
      <w:r>
        <w:rPr>
          <w:rFonts w:hint="eastAsia" w:asciiTheme="minorEastAsia" w:hAnsiTheme="minorEastAsia" w:eastAsiaTheme="minorEastAsia" w:cstheme="majorEastAsia"/>
          <w:b/>
          <w:color w:val="auto"/>
          <w:w w:val="90"/>
          <w:sz w:val="56"/>
          <w:szCs w:val="56"/>
          <w:highlight w:val="none"/>
        </w:rPr>
        <w:t>项目</w:t>
      </w:r>
    </w:p>
    <w:p w14:paraId="048DF99C">
      <w:pPr>
        <w:spacing w:line="360" w:lineRule="auto"/>
        <w:jc w:val="center"/>
        <w:rPr>
          <w:rFonts w:asciiTheme="minorEastAsia" w:hAnsiTheme="minorEastAsia" w:eastAsiaTheme="minorEastAsia" w:cstheme="majorEastAsia"/>
          <w:b/>
          <w:color w:val="auto"/>
          <w:w w:val="90"/>
          <w:sz w:val="56"/>
          <w:szCs w:val="56"/>
          <w:highlight w:val="none"/>
        </w:rPr>
      </w:pPr>
    </w:p>
    <w:p w14:paraId="43B8E8C2">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72"/>
          <w:szCs w:val="72"/>
          <w:highlight w:val="none"/>
          <w:lang w:eastAsia="zh-CN"/>
        </w:rPr>
        <w:t>响应</w:t>
      </w:r>
      <w:r>
        <w:rPr>
          <w:rFonts w:hint="eastAsia" w:ascii="宋体" w:hAnsi="宋体" w:eastAsia="宋体" w:cs="宋体"/>
          <w:color w:val="auto"/>
          <w:sz w:val="72"/>
          <w:szCs w:val="72"/>
          <w:highlight w:val="none"/>
        </w:rPr>
        <w:t>文件</w:t>
      </w:r>
    </w:p>
    <w:p w14:paraId="4FFD1537">
      <w:pPr>
        <w:jc w:val="center"/>
        <w:rPr>
          <w:rFonts w:hint="eastAsia" w:cs="仿宋" w:asciiTheme="minorEastAsia" w:hAnsiTheme="minorEastAsia" w:eastAsiaTheme="minorEastAsia"/>
          <w:bCs/>
          <w:color w:val="auto"/>
          <w:sz w:val="28"/>
          <w:szCs w:val="28"/>
          <w:highlight w:val="none"/>
          <w:lang w:val="en-US" w:eastAsia="zh-CN"/>
        </w:rPr>
      </w:pPr>
      <w:r>
        <w:rPr>
          <w:rFonts w:hint="eastAsia" w:cs="仿宋" w:asciiTheme="minorEastAsia" w:hAnsiTheme="minorEastAsia" w:eastAsiaTheme="minorEastAsia"/>
          <w:bCs/>
          <w:color w:val="auto"/>
          <w:sz w:val="28"/>
          <w:szCs w:val="28"/>
          <w:highlight w:val="none"/>
          <w:lang w:val="en-US" w:eastAsia="zh-CN"/>
        </w:rPr>
        <w:t>（包号：</w:t>
      </w:r>
      <w:r>
        <w:rPr>
          <w:rFonts w:hint="eastAsia" w:cs="仿宋" w:asciiTheme="minorEastAsia" w:hAnsiTheme="minorEastAsia" w:eastAsiaTheme="minorEastAsia"/>
          <w:bCs/>
          <w:color w:val="auto"/>
          <w:sz w:val="28"/>
          <w:szCs w:val="28"/>
          <w:highlight w:val="none"/>
          <w:u w:val="single"/>
          <w:lang w:val="en-US" w:eastAsia="zh-CN"/>
        </w:rPr>
        <w:t xml:space="preserve">    </w:t>
      </w:r>
      <w:r>
        <w:rPr>
          <w:rFonts w:hint="eastAsia" w:cs="仿宋" w:asciiTheme="minorEastAsia" w:hAnsiTheme="minorEastAsia" w:eastAsiaTheme="minorEastAsia"/>
          <w:bCs/>
          <w:color w:val="auto"/>
          <w:sz w:val="28"/>
          <w:szCs w:val="28"/>
          <w:highlight w:val="none"/>
          <w:lang w:val="en-US" w:eastAsia="zh-CN"/>
        </w:rPr>
        <w:t>）</w:t>
      </w:r>
    </w:p>
    <w:p w14:paraId="5214C8CD">
      <w:pPr>
        <w:rPr>
          <w:rFonts w:hint="default" w:cs="仿宋" w:asciiTheme="minorEastAsia" w:hAnsiTheme="minorEastAsia" w:eastAsiaTheme="minorEastAsia"/>
          <w:bCs/>
          <w:color w:val="auto"/>
          <w:sz w:val="28"/>
          <w:szCs w:val="28"/>
          <w:highlight w:val="none"/>
          <w:lang w:val="en-US" w:eastAsia="zh-CN"/>
        </w:rPr>
      </w:pPr>
      <w:r>
        <w:rPr>
          <w:rFonts w:hint="eastAsia" w:cs="仿宋" w:asciiTheme="minorEastAsia" w:hAnsiTheme="minorEastAsia" w:eastAsiaTheme="minorEastAsia"/>
          <w:bCs/>
          <w:color w:val="auto"/>
          <w:sz w:val="18"/>
          <w:szCs w:val="18"/>
          <w:highlight w:val="none"/>
          <w:lang w:val="en-US" w:eastAsia="zh-CN"/>
        </w:rPr>
        <w:t xml:space="preserve">                  </w:t>
      </w:r>
      <w:r>
        <w:rPr>
          <w:rFonts w:hint="eastAsia" w:cs="仿宋" w:asciiTheme="minorEastAsia" w:hAnsiTheme="minorEastAsia" w:eastAsiaTheme="minorEastAsia"/>
          <w:bCs/>
          <w:color w:val="auto"/>
          <w:sz w:val="24"/>
          <w:szCs w:val="24"/>
          <w:highlight w:val="none"/>
          <w:lang w:val="en-US" w:eastAsia="zh-CN"/>
        </w:rPr>
        <w:t xml:space="preserve">                   </w:t>
      </w:r>
      <w:r>
        <w:rPr>
          <w:rFonts w:hint="eastAsia" w:cs="仿宋" w:asciiTheme="minorEastAsia" w:hAnsiTheme="minorEastAsia" w:eastAsiaTheme="minorEastAsia"/>
          <w:bCs/>
          <w:color w:val="auto"/>
          <w:sz w:val="28"/>
          <w:szCs w:val="28"/>
          <w:highlight w:val="none"/>
          <w:lang w:val="en-US" w:eastAsia="zh-CN"/>
        </w:rPr>
        <w:t xml:space="preserve"> 正（副）本</w:t>
      </w:r>
    </w:p>
    <w:p w14:paraId="4F29A442">
      <w:pPr>
        <w:spacing w:line="480" w:lineRule="auto"/>
        <w:rPr>
          <w:rFonts w:cs="仿宋" w:asciiTheme="minorEastAsia" w:hAnsiTheme="minorEastAsia" w:eastAsiaTheme="minorEastAsia"/>
          <w:bCs/>
          <w:color w:val="auto"/>
          <w:sz w:val="36"/>
          <w:szCs w:val="36"/>
          <w:highlight w:val="none"/>
        </w:rPr>
      </w:pPr>
    </w:p>
    <w:p w14:paraId="0E130095">
      <w:pPr>
        <w:pStyle w:val="13"/>
        <w:rPr>
          <w:color w:val="auto"/>
          <w:highlight w:val="none"/>
        </w:rPr>
      </w:pPr>
    </w:p>
    <w:p w14:paraId="62E1CDAB">
      <w:pPr>
        <w:spacing w:line="480" w:lineRule="auto"/>
        <w:ind w:firstLine="480" w:firstLineChars="200"/>
        <w:jc w:val="center"/>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供        应       商：</w:t>
      </w:r>
      <w:r>
        <w:rPr>
          <w:rFonts w:hint="eastAsia" w:cs="仿宋" w:asciiTheme="minorEastAsia" w:hAnsiTheme="minorEastAsia" w:eastAsiaTheme="minorEastAsia"/>
          <w:bCs/>
          <w:color w:val="auto"/>
          <w:sz w:val="24"/>
          <w:szCs w:val="24"/>
          <w:highlight w:val="none"/>
          <w:u w:val="single"/>
        </w:rPr>
        <w:t xml:space="preserve">                    </w:t>
      </w:r>
      <w:r>
        <w:rPr>
          <w:rFonts w:hint="eastAsia" w:cs="仿宋" w:asciiTheme="minorEastAsia" w:hAnsiTheme="minorEastAsia" w:eastAsiaTheme="minorEastAsia"/>
          <w:bCs/>
          <w:color w:val="auto"/>
          <w:sz w:val="24"/>
          <w:szCs w:val="24"/>
          <w:highlight w:val="none"/>
        </w:rPr>
        <w:t>（盖章）</w:t>
      </w:r>
    </w:p>
    <w:p w14:paraId="79A3A226">
      <w:pPr>
        <w:spacing w:line="480" w:lineRule="auto"/>
        <w:ind w:firstLine="480" w:firstLineChars="200"/>
        <w:jc w:val="center"/>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法定代表人或被授权人：</w:t>
      </w:r>
      <w:r>
        <w:rPr>
          <w:rFonts w:hint="eastAsia" w:cs="仿宋" w:asciiTheme="minorEastAsia" w:hAnsiTheme="minorEastAsia" w:eastAsiaTheme="minorEastAsia"/>
          <w:bCs/>
          <w:color w:val="auto"/>
          <w:sz w:val="24"/>
          <w:szCs w:val="24"/>
          <w:highlight w:val="none"/>
          <w:u w:val="single"/>
        </w:rPr>
        <w:t xml:space="preserve">                    </w:t>
      </w:r>
      <w:r>
        <w:rPr>
          <w:rFonts w:hint="eastAsia" w:cs="仿宋" w:asciiTheme="minorEastAsia" w:hAnsiTheme="minorEastAsia" w:eastAsiaTheme="minorEastAsia"/>
          <w:bCs/>
          <w:color w:val="auto"/>
          <w:sz w:val="24"/>
          <w:szCs w:val="24"/>
          <w:highlight w:val="none"/>
        </w:rPr>
        <w:t>（签字）</w:t>
      </w:r>
    </w:p>
    <w:p w14:paraId="2BD7DD94">
      <w:pPr>
        <w:spacing w:line="480" w:lineRule="auto"/>
        <w:jc w:val="center"/>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年   月</w:t>
      </w:r>
      <w:bookmarkStart w:id="215" w:name="_Toc30735"/>
      <w:r>
        <w:rPr>
          <w:rFonts w:hint="eastAsia" w:cs="仿宋" w:asciiTheme="minorEastAsia" w:hAnsiTheme="minorEastAsia" w:eastAsiaTheme="minorEastAsia"/>
          <w:bCs/>
          <w:color w:val="auto"/>
          <w:sz w:val="24"/>
          <w:szCs w:val="24"/>
          <w:highlight w:val="none"/>
        </w:rPr>
        <w:t xml:space="preserve">    日</w:t>
      </w:r>
      <w:bookmarkEnd w:id="215"/>
      <w:bookmarkStart w:id="216" w:name="_Toc14189288"/>
      <w:bookmarkStart w:id="217" w:name="_Toc14189421"/>
      <w:bookmarkStart w:id="218" w:name="_Toc18412212"/>
      <w:bookmarkStart w:id="219" w:name="_Toc8364"/>
    </w:p>
    <w:p w14:paraId="668C254C">
      <w:pPr>
        <w:pStyle w:val="4"/>
        <w:rPr>
          <w:rFonts w:ascii="宋体" w:hAnsi="宋体" w:eastAsia="宋体"/>
          <w:b w:val="0"/>
          <w:color w:val="auto"/>
          <w:sz w:val="36"/>
          <w:highlight w:val="none"/>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125EE1B0">
      <w:pPr>
        <w:spacing w:line="520" w:lineRule="exact"/>
        <w:jc w:val="center"/>
        <w:rPr>
          <w:rFonts w:hint="eastAsia" w:ascii="宋体" w:hAnsi="宋体" w:eastAsia="宋体" w:cs="宋体"/>
          <w:b/>
          <w:color w:val="auto"/>
          <w:sz w:val="48"/>
          <w:szCs w:val="48"/>
          <w:highlight w:val="none"/>
        </w:rPr>
      </w:pPr>
    </w:p>
    <w:p w14:paraId="3E472C17">
      <w:pPr>
        <w:spacing w:line="520" w:lineRule="exact"/>
        <w:jc w:val="center"/>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1A299FDD">
      <w:pPr>
        <w:ind w:firstLine="1606" w:firstLineChars="500"/>
        <w:rPr>
          <w:rFonts w:ascii="宋体" w:hAnsi="宋体" w:eastAsia="宋体" w:cs="宋体"/>
          <w:b/>
          <w:color w:val="auto"/>
          <w:sz w:val="32"/>
          <w:szCs w:val="32"/>
          <w:highlight w:val="none"/>
        </w:rPr>
      </w:pPr>
    </w:p>
    <w:p w14:paraId="1EDC896E">
      <w:pPr>
        <w:pStyle w:val="22"/>
        <w:ind w:left="560"/>
        <w:rPr>
          <w:color w:val="auto"/>
          <w:sz w:val="30"/>
          <w:szCs w:val="30"/>
          <w:highlight w:val="none"/>
        </w:rPr>
      </w:pPr>
      <w:bookmarkStart w:id="220" w:name="_Toc23315674"/>
      <w:r>
        <w:rPr>
          <w:rFonts w:hint="eastAsia"/>
          <w:color w:val="auto"/>
          <w:sz w:val="30"/>
          <w:szCs w:val="30"/>
          <w:highlight w:val="none"/>
        </w:rPr>
        <w:t>一、投标函</w:t>
      </w:r>
      <w:bookmarkEnd w:id="220"/>
    </w:p>
    <w:p w14:paraId="5E1F563F">
      <w:pPr>
        <w:pStyle w:val="22"/>
        <w:ind w:left="560"/>
        <w:rPr>
          <w:rFonts w:hint="eastAsia"/>
          <w:color w:val="auto"/>
          <w:sz w:val="30"/>
          <w:szCs w:val="30"/>
          <w:highlight w:val="none"/>
        </w:rPr>
      </w:pPr>
      <w:bookmarkStart w:id="221" w:name="_Toc23315675"/>
      <w:r>
        <w:rPr>
          <w:rFonts w:hint="eastAsia"/>
          <w:color w:val="auto"/>
          <w:sz w:val="30"/>
          <w:szCs w:val="30"/>
          <w:highlight w:val="none"/>
        </w:rPr>
        <w:t>二、报价一览表</w:t>
      </w:r>
      <w:bookmarkEnd w:id="221"/>
    </w:p>
    <w:p w14:paraId="0440BB50">
      <w:pPr>
        <w:pStyle w:val="22"/>
        <w:ind w:left="560"/>
        <w:rPr>
          <w:rFonts w:hint="default"/>
          <w:color w:val="FF0000"/>
          <w:sz w:val="30"/>
          <w:szCs w:val="30"/>
          <w:lang w:val="en-US" w:eastAsia="zh-CN"/>
        </w:rPr>
      </w:pPr>
      <w:r>
        <w:rPr>
          <w:rFonts w:hint="eastAsia"/>
          <w:color w:val="auto"/>
          <w:sz w:val="30"/>
          <w:szCs w:val="30"/>
          <w:highlight w:val="none"/>
          <w:lang w:val="en-US" w:eastAsia="zh-CN"/>
        </w:rPr>
        <w:t>三、</w:t>
      </w:r>
      <w:bookmarkStart w:id="222" w:name="OLE_LINK16"/>
      <w:bookmarkStart w:id="223" w:name="_Toc23315678"/>
      <w:r>
        <w:rPr>
          <w:rFonts w:hint="eastAsia"/>
          <w:color w:val="auto"/>
          <w:sz w:val="30"/>
          <w:szCs w:val="30"/>
          <w:highlight w:val="none"/>
          <w:lang w:val="en-US" w:eastAsia="zh-CN"/>
        </w:rPr>
        <w:t>投标</w:t>
      </w:r>
      <w:r>
        <w:rPr>
          <w:rFonts w:hint="eastAsia"/>
          <w:color w:val="auto"/>
          <w:sz w:val="30"/>
          <w:szCs w:val="30"/>
          <w:lang w:val="en-US" w:eastAsia="zh-CN"/>
        </w:rPr>
        <w:t>分项报价</w:t>
      </w:r>
      <w:bookmarkEnd w:id="222"/>
      <w:r>
        <w:rPr>
          <w:rFonts w:hint="eastAsia"/>
          <w:color w:val="auto"/>
          <w:sz w:val="30"/>
          <w:szCs w:val="30"/>
          <w:lang w:val="en-US" w:eastAsia="zh-CN"/>
        </w:rPr>
        <w:t>表</w:t>
      </w:r>
    </w:p>
    <w:p w14:paraId="177E0C9E">
      <w:pPr>
        <w:pStyle w:val="22"/>
        <w:ind w:left="560"/>
        <w:rPr>
          <w:rFonts w:hint="eastAsia"/>
          <w:color w:val="auto"/>
          <w:sz w:val="30"/>
          <w:szCs w:val="30"/>
          <w:highlight w:val="none"/>
        </w:rPr>
      </w:pPr>
      <w:r>
        <w:rPr>
          <w:rFonts w:hint="eastAsia"/>
          <w:color w:val="auto"/>
          <w:sz w:val="30"/>
          <w:szCs w:val="30"/>
          <w:highlight w:val="none"/>
          <w:lang w:val="en-US" w:eastAsia="zh-CN"/>
        </w:rPr>
        <w:t>四</w:t>
      </w:r>
      <w:r>
        <w:rPr>
          <w:rFonts w:hint="eastAsia"/>
          <w:color w:val="auto"/>
          <w:sz w:val="30"/>
          <w:szCs w:val="30"/>
          <w:highlight w:val="none"/>
        </w:rPr>
        <w:t>、</w:t>
      </w:r>
      <w:bookmarkEnd w:id="223"/>
      <w:r>
        <w:rPr>
          <w:rFonts w:hint="eastAsia"/>
          <w:color w:val="auto"/>
          <w:sz w:val="30"/>
          <w:szCs w:val="30"/>
          <w:highlight w:val="none"/>
          <w:lang w:eastAsia="zh-CN"/>
        </w:rPr>
        <w:t>供应商资格证明文件</w:t>
      </w:r>
    </w:p>
    <w:p w14:paraId="3691E107">
      <w:pPr>
        <w:pStyle w:val="22"/>
        <w:ind w:left="560"/>
        <w:rPr>
          <w:rFonts w:hint="eastAsia" w:eastAsia="宋体"/>
          <w:color w:val="auto"/>
          <w:sz w:val="30"/>
          <w:szCs w:val="30"/>
          <w:highlight w:val="none"/>
          <w:lang w:eastAsia="zh-CN"/>
        </w:rPr>
      </w:pPr>
      <w:r>
        <w:rPr>
          <w:rFonts w:hint="eastAsia"/>
          <w:color w:val="auto"/>
          <w:sz w:val="30"/>
          <w:szCs w:val="30"/>
          <w:highlight w:val="none"/>
          <w:lang w:val="en-US" w:eastAsia="zh-CN"/>
        </w:rPr>
        <w:t>五</w:t>
      </w:r>
      <w:r>
        <w:rPr>
          <w:rFonts w:hint="eastAsia"/>
          <w:color w:val="auto"/>
          <w:sz w:val="30"/>
          <w:szCs w:val="30"/>
          <w:highlight w:val="none"/>
          <w:lang w:eastAsia="zh-CN"/>
        </w:rPr>
        <w:t>、</w:t>
      </w:r>
      <w:r>
        <w:rPr>
          <w:rFonts w:hint="eastAsia"/>
          <w:color w:val="auto"/>
          <w:sz w:val="30"/>
          <w:szCs w:val="30"/>
          <w:highlight w:val="none"/>
          <w:lang w:val="en-US" w:eastAsia="zh-CN"/>
        </w:rPr>
        <w:t>响应偏离表</w:t>
      </w:r>
    </w:p>
    <w:p w14:paraId="068E2094">
      <w:pPr>
        <w:pStyle w:val="22"/>
        <w:ind w:left="560"/>
        <w:rPr>
          <w:rFonts w:hint="eastAsia"/>
          <w:color w:val="auto"/>
          <w:sz w:val="30"/>
          <w:szCs w:val="30"/>
          <w:highlight w:val="none"/>
        </w:rPr>
      </w:pPr>
      <w:bookmarkStart w:id="224" w:name="_Toc23315679"/>
      <w:r>
        <w:rPr>
          <w:rFonts w:hint="eastAsia"/>
          <w:color w:val="auto"/>
          <w:sz w:val="30"/>
          <w:szCs w:val="30"/>
          <w:highlight w:val="none"/>
          <w:lang w:val="en-US" w:eastAsia="zh-CN"/>
        </w:rPr>
        <w:t>六</w:t>
      </w:r>
      <w:r>
        <w:rPr>
          <w:rFonts w:hint="eastAsia"/>
          <w:color w:val="auto"/>
          <w:sz w:val="30"/>
          <w:szCs w:val="30"/>
          <w:highlight w:val="none"/>
        </w:rPr>
        <w:t>、</w:t>
      </w:r>
      <w:bookmarkEnd w:id="224"/>
      <w:bookmarkStart w:id="225" w:name="_Toc12490"/>
      <w:bookmarkStart w:id="226" w:name="_Toc23434"/>
      <w:bookmarkStart w:id="227" w:name="_Toc23315682"/>
      <w:r>
        <w:rPr>
          <w:rFonts w:hint="eastAsia"/>
          <w:color w:val="auto"/>
          <w:sz w:val="30"/>
          <w:szCs w:val="30"/>
          <w:highlight w:val="none"/>
          <w:lang w:val="en-US" w:eastAsia="zh-CN"/>
        </w:rPr>
        <w:t>响应</w:t>
      </w:r>
      <w:r>
        <w:rPr>
          <w:rFonts w:hint="eastAsia"/>
          <w:color w:val="auto"/>
          <w:sz w:val="30"/>
          <w:szCs w:val="30"/>
          <w:highlight w:val="none"/>
        </w:rPr>
        <w:t>方案</w:t>
      </w:r>
    </w:p>
    <w:p w14:paraId="24EF84C5">
      <w:pPr>
        <w:pStyle w:val="22"/>
        <w:ind w:left="560"/>
        <w:rPr>
          <w:color w:val="auto"/>
          <w:sz w:val="30"/>
          <w:szCs w:val="30"/>
          <w:highlight w:val="none"/>
        </w:rPr>
      </w:pPr>
      <w:r>
        <w:rPr>
          <w:rFonts w:hint="eastAsia"/>
          <w:color w:val="auto"/>
          <w:sz w:val="30"/>
          <w:szCs w:val="30"/>
          <w:highlight w:val="none"/>
          <w:lang w:val="en-US" w:eastAsia="zh-CN"/>
        </w:rPr>
        <w:t>七</w:t>
      </w:r>
      <w:r>
        <w:rPr>
          <w:rFonts w:hint="eastAsia"/>
          <w:color w:val="auto"/>
          <w:sz w:val="30"/>
          <w:szCs w:val="30"/>
          <w:highlight w:val="none"/>
        </w:rPr>
        <w:t>、</w:t>
      </w:r>
      <w:bookmarkEnd w:id="225"/>
      <w:bookmarkEnd w:id="226"/>
      <w:bookmarkEnd w:id="227"/>
      <w:r>
        <w:rPr>
          <w:rFonts w:hint="eastAsia"/>
          <w:color w:val="auto"/>
          <w:sz w:val="30"/>
          <w:szCs w:val="30"/>
          <w:highlight w:val="none"/>
        </w:rPr>
        <w:t>投标单位拒绝政府采购领域商业贿赂承诺书</w:t>
      </w:r>
    </w:p>
    <w:p w14:paraId="0028F430">
      <w:pPr>
        <w:pStyle w:val="22"/>
        <w:ind w:left="560"/>
        <w:rPr>
          <w:color w:val="auto"/>
          <w:sz w:val="30"/>
          <w:szCs w:val="30"/>
          <w:highlight w:val="none"/>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0F5E1254">
      <w:pPr>
        <w:pStyle w:val="4"/>
        <w:keepNext/>
        <w:keepLines/>
        <w:pageBreakBefore w:val="0"/>
        <w:widowControl/>
        <w:kinsoku/>
        <w:wordWrap/>
        <w:overflowPunct/>
        <w:topLinePunct w:val="0"/>
        <w:autoSpaceDE/>
        <w:autoSpaceDN/>
        <w:bidi w:val="0"/>
        <w:adjustRightInd/>
        <w:snapToGrid/>
        <w:spacing w:after="196" w:afterLines="50"/>
        <w:jc w:val="center"/>
        <w:textAlignment w:val="auto"/>
        <w:rPr>
          <w:rFonts w:ascii="宋体" w:hAnsi="宋体" w:eastAsia="宋体"/>
          <w:b/>
          <w:bCs w:val="0"/>
          <w:color w:val="auto"/>
          <w:highlight w:val="none"/>
        </w:rPr>
      </w:pPr>
      <w:bookmarkStart w:id="228" w:name="_Toc23316598"/>
      <w:bookmarkStart w:id="229" w:name="_Toc25258"/>
      <w:bookmarkStart w:id="230" w:name="_Toc23315683"/>
      <w:bookmarkStart w:id="231" w:name="_Toc17080"/>
      <w:bookmarkStart w:id="232" w:name="_Toc4360"/>
      <w:bookmarkStart w:id="233" w:name="_Toc14826"/>
      <w:bookmarkStart w:id="234" w:name="_Toc17833"/>
      <w:bookmarkStart w:id="235" w:name="_Toc23316696"/>
      <w:bookmarkStart w:id="236" w:name="_Toc23316534"/>
      <w:bookmarkStart w:id="237" w:name="_Toc30120"/>
      <w:bookmarkStart w:id="238" w:name="_Toc35335270"/>
      <w:r>
        <w:rPr>
          <w:rFonts w:hint="eastAsia" w:ascii="宋体" w:hAnsi="宋体" w:eastAsia="宋体"/>
          <w:b/>
          <w:bCs w:val="0"/>
          <w:color w:val="auto"/>
          <w:highlight w:val="none"/>
          <w:lang w:eastAsia="zh-CN"/>
        </w:rPr>
        <w:t>一、</w:t>
      </w:r>
      <w:r>
        <w:rPr>
          <w:rFonts w:hint="eastAsia" w:ascii="宋体" w:hAnsi="宋体" w:eastAsia="宋体"/>
          <w:b/>
          <w:bCs w:val="0"/>
          <w:color w:val="auto"/>
          <w:highlight w:val="none"/>
          <w:lang w:val="en-US" w:eastAsia="zh-CN"/>
        </w:rPr>
        <w:t xml:space="preserve"> </w:t>
      </w:r>
      <w:r>
        <w:rPr>
          <w:rFonts w:hint="eastAsia" w:ascii="宋体" w:hAnsi="宋体" w:eastAsia="宋体"/>
          <w:b/>
          <w:bCs w:val="0"/>
          <w:color w:val="auto"/>
          <w:highlight w:val="none"/>
        </w:rPr>
        <w:t>投标函（格式）</w:t>
      </w:r>
      <w:bookmarkEnd w:id="216"/>
      <w:bookmarkEnd w:id="217"/>
      <w:bookmarkEnd w:id="218"/>
      <w:bookmarkEnd w:id="228"/>
      <w:bookmarkEnd w:id="229"/>
      <w:bookmarkEnd w:id="230"/>
      <w:bookmarkEnd w:id="231"/>
      <w:bookmarkEnd w:id="232"/>
      <w:bookmarkEnd w:id="233"/>
      <w:bookmarkEnd w:id="234"/>
      <w:bookmarkEnd w:id="235"/>
      <w:bookmarkEnd w:id="236"/>
      <w:bookmarkEnd w:id="237"/>
      <w:bookmarkEnd w:id="238"/>
    </w:p>
    <w:p w14:paraId="7814EA57">
      <w:pPr>
        <w:spacing w:line="480" w:lineRule="exact"/>
        <w:ind w:right="56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highlight w:val="none"/>
        </w:rPr>
        <w:t>致：安康尚昊招标代理有限公司</w:t>
      </w:r>
    </w:p>
    <w:p w14:paraId="165E1815">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根据贵单位</w:t>
      </w:r>
      <w:r>
        <w:rPr>
          <w:rFonts w:hint="eastAsia" w:cs="仿宋" w:asciiTheme="minorEastAsia" w:hAnsiTheme="minorEastAsia" w:eastAsiaTheme="minorEastAsia"/>
          <w:bCs/>
          <w:color w:val="auto"/>
          <w:sz w:val="24"/>
          <w:highlight w:val="none"/>
          <w:u w:val="single"/>
        </w:rPr>
        <w:t xml:space="preserve">        （项目名称）</w:t>
      </w:r>
      <w:r>
        <w:rPr>
          <w:rFonts w:hint="eastAsia" w:cs="仿宋" w:asciiTheme="minorEastAsia" w:hAnsiTheme="minorEastAsia" w:eastAsiaTheme="minorEastAsia"/>
          <w:bCs/>
          <w:color w:val="auto"/>
          <w:sz w:val="24"/>
          <w:highlight w:val="none"/>
          <w:u w:val="single"/>
          <w:lang w:eastAsia="zh-CN"/>
        </w:rPr>
        <w:t>（</w:t>
      </w:r>
      <w:r>
        <w:rPr>
          <w:rFonts w:hint="eastAsia" w:cs="仿宋" w:asciiTheme="minorEastAsia" w:hAnsiTheme="minorEastAsia" w:eastAsiaTheme="minorEastAsia"/>
          <w:bCs/>
          <w:color w:val="auto"/>
          <w:sz w:val="24"/>
          <w:highlight w:val="none"/>
          <w:u w:val="single"/>
          <w:lang w:val="en-US" w:eastAsia="zh-CN"/>
        </w:rPr>
        <w:t>包号：</w:t>
      </w:r>
      <w:r>
        <w:rPr>
          <w:rFonts w:hint="eastAsia" w:cs="仿宋" w:asciiTheme="minorEastAsia" w:hAnsiTheme="minorEastAsia" w:eastAsiaTheme="minorEastAsia"/>
          <w:bCs/>
          <w:color w:val="auto"/>
          <w:sz w:val="24"/>
          <w:highlight w:val="none"/>
          <w:u w:val="single"/>
          <w:lang w:eastAsia="zh-CN"/>
        </w:rPr>
        <w:t>）</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sz w:val="24"/>
          <w:highlight w:val="none"/>
        </w:rPr>
        <w:t>项目的谈判公告，我方代表</w:t>
      </w:r>
      <w:r>
        <w:rPr>
          <w:rFonts w:hint="eastAsia" w:cs="仿宋" w:asciiTheme="minorEastAsia" w:hAnsiTheme="minorEastAsia" w:eastAsiaTheme="minorEastAsia"/>
          <w:bCs/>
          <w:color w:val="auto"/>
          <w:sz w:val="24"/>
          <w:highlight w:val="none"/>
          <w:u w:val="single"/>
        </w:rPr>
        <w:t xml:space="preserve">  （姓名、职务）   </w:t>
      </w:r>
      <w:r>
        <w:rPr>
          <w:rFonts w:hint="eastAsia" w:cs="仿宋" w:asciiTheme="minorEastAsia" w:hAnsiTheme="minorEastAsia" w:eastAsiaTheme="minorEastAsia"/>
          <w:bCs/>
          <w:color w:val="auto"/>
          <w:sz w:val="24"/>
          <w:highlight w:val="none"/>
        </w:rPr>
        <w:t>经正式授权并代表</w:t>
      </w:r>
      <w:r>
        <w:rPr>
          <w:rFonts w:hint="eastAsia" w:cs="仿宋" w:asciiTheme="minorEastAsia" w:hAnsiTheme="minorEastAsia" w:eastAsiaTheme="minorEastAsia"/>
          <w:bCs/>
          <w:color w:val="auto"/>
          <w:sz w:val="24"/>
          <w:highlight w:val="none"/>
          <w:u w:val="single"/>
        </w:rPr>
        <w:t xml:space="preserve">     （供应商名称）     </w:t>
      </w:r>
      <w:r>
        <w:rPr>
          <w:rFonts w:hint="eastAsia" w:cs="仿宋" w:asciiTheme="minorEastAsia" w:hAnsiTheme="minorEastAsia" w:eastAsiaTheme="minorEastAsia"/>
          <w:bCs/>
          <w:color w:val="auto"/>
          <w:sz w:val="24"/>
          <w:highlight w:val="none"/>
        </w:rPr>
        <w:t>就该项目进行投标。</w:t>
      </w:r>
    </w:p>
    <w:p w14:paraId="1310F321">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在此，我方郑重声明以下诸点，并负法律责任：</w:t>
      </w:r>
    </w:p>
    <w:p w14:paraId="1DCC5361">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1</w:t>
      </w:r>
      <w:r>
        <w:rPr>
          <w:rFonts w:hint="eastAsia" w:cs="仿宋" w:asciiTheme="minorEastAsia" w:hAnsiTheme="minorEastAsia" w:eastAsiaTheme="minorEastAsia"/>
          <w:bCs/>
          <w:color w:val="auto"/>
          <w:sz w:val="24"/>
          <w:highlight w:val="none"/>
          <w:lang w:val="en-US" w:eastAsia="zh-CN"/>
        </w:rPr>
        <w:t>.</w:t>
      </w:r>
      <w:r>
        <w:rPr>
          <w:rFonts w:hint="eastAsia" w:cs="仿宋" w:asciiTheme="minorEastAsia" w:hAnsiTheme="minorEastAsia" w:eastAsiaTheme="minorEastAsia"/>
          <w:bCs/>
          <w:color w:val="auto"/>
          <w:sz w:val="24"/>
          <w:highlight w:val="none"/>
        </w:rPr>
        <w:t>按照谈判文件中的一切要求，提供完全满足采购需求的合格服务保障。</w:t>
      </w:r>
    </w:p>
    <w:p w14:paraId="075288A0">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2</w:t>
      </w:r>
      <w:r>
        <w:rPr>
          <w:rFonts w:hint="eastAsia" w:cs="仿宋" w:asciiTheme="minorEastAsia" w:hAnsiTheme="minorEastAsia" w:eastAsiaTheme="minorEastAsia"/>
          <w:bCs/>
          <w:color w:val="auto"/>
          <w:sz w:val="24"/>
          <w:highlight w:val="none"/>
          <w:lang w:val="en-US" w:eastAsia="zh-CN"/>
        </w:rPr>
        <w:t>.</w:t>
      </w:r>
      <w:r>
        <w:rPr>
          <w:rFonts w:hint="eastAsia" w:cs="仿宋" w:asciiTheme="minorEastAsia" w:hAnsiTheme="minorEastAsia" w:eastAsiaTheme="minorEastAsia"/>
          <w:bCs/>
          <w:color w:val="auto"/>
          <w:sz w:val="24"/>
          <w:highlight w:val="none"/>
        </w:rPr>
        <w:t>如若成交，将根据谈判文件的要求、响应文件及承诺条件，全面签约并履行合同规定的责任和义务</w:t>
      </w:r>
    </w:p>
    <w:p w14:paraId="46C52130">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val="en-US" w:eastAsia="zh-CN"/>
        </w:rPr>
        <w:t>3.</w:t>
      </w:r>
      <w:r>
        <w:rPr>
          <w:rFonts w:hint="eastAsia" w:cs="仿宋" w:asciiTheme="minorEastAsia" w:hAnsiTheme="minorEastAsia" w:eastAsiaTheme="minorEastAsia"/>
          <w:bCs/>
          <w:color w:val="auto"/>
          <w:sz w:val="24"/>
          <w:highlight w:val="none"/>
        </w:rPr>
        <w:t>按照谈判文件要求，我方投标</w:t>
      </w:r>
      <w:r>
        <w:rPr>
          <w:rFonts w:hint="eastAsia" w:cs="仿宋" w:asciiTheme="minorEastAsia" w:hAnsiTheme="minorEastAsia" w:eastAsiaTheme="minorEastAsia"/>
          <w:bCs/>
          <w:color w:val="auto"/>
          <w:sz w:val="24"/>
          <w:highlight w:val="none"/>
          <w:lang w:val="en-US" w:eastAsia="zh-CN"/>
        </w:rPr>
        <w:t>单价合计</w:t>
      </w:r>
      <w:r>
        <w:rPr>
          <w:rFonts w:hint="eastAsia" w:cs="仿宋" w:asciiTheme="minorEastAsia" w:hAnsiTheme="minorEastAsia" w:eastAsiaTheme="minorEastAsia"/>
          <w:bCs/>
          <w:color w:val="auto"/>
          <w:sz w:val="24"/>
          <w:highlight w:val="none"/>
        </w:rPr>
        <w:t>为：</w:t>
      </w:r>
      <w:r>
        <w:rPr>
          <w:rFonts w:hint="eastAsia" w:cs="仿宋" w:asciiTheme="minorEastAsia" w:hAnsiTheme="minorEastAsia" w:eastAsiaTheme="minorEastAsia"/>
          <w:bCs/>
          <w:color w:val="auto"/>
          <w:sz w:val="24"/>
          <w:highlight w:val="none"/>
          <w:lang w:val="en-US" w:eastAsia="zh-CN"/>
        </w:rPr>
        <w:t>大写</w:t>
      </w:r>
      <w:r>
        <w:rPr>
          <w:rFonts w:hint="eastAsia" w:cs="仿宋" w:asciiTheme="minorEastAsia" w:hAnsiTheme="minorEastAsia" w:eastAsiaTheme="minorEastAsia"/>
          <w:bCs/>
          <w:color w:val="auto"/>
          <w:sz w:val="24"/>
          <w:highlight w:val="none"/>
        </w:rPr>
        <w:t>人民币</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sz w:val="24"/>
          <w:highlight w:val="none"/>
        </w:rPr>
        <w:t xml:space="preserve"> ，</w:t>
      </w:r>
      <w:r>
        <w:rPr>
          <w:rFonts w:hint="eastAsia" w:cs="仿宋" w:asciiTheme="minorEastAsia" w:hAnsiTheme="minorEastAsia" w:eastAsiaTheme="minorEastAsia"/>
          <w:bCs/>
          <w:color w:val="auto"/>
          <w:sz w:val="24"/>
          <w:highlight w:val="none"/>
          <w:lang w:val="en-US" w:eastAsia="zh-CN"/>
        </w:rPr>
        <w:t>小写</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sz w:val="24"/>
          <w:highlight w:val="none"/>
        </w:rPr>
        <w:t xml:space="preserve"> 。该报价一次报死，不受市场因素的影响。</w:t>
      </w:r>
    </w:p>
    <w:p w14:paraId="6849BA35">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val="en-US" w:eastAsia="zh-CN"/>
        </w:rPr>
        <w:t>4.</w:t>
      </w:r>
      <w:r>
        <w:rPr>
          <w:rFonts w:hint="eastAsia" w:cs="仿宋" w:asciiTheme="minorEastAsia" w:hAnsiTheme="minorEastAsia" w:eastAsiaTheme="minorEastAsia"/>
          <w:bCs/>
          <w:color w:val="auto"/>
          <w:sz w:val="24"/>
          <w:highlight w:val="none"/>
        </w:rPr>
        <w:t>我方已详细审查全部谈判文件，完全理解并同意放弃提出对这方面有不明及误解质疑的权力。</w:t>
      </w:r>
    </w:p>
    <w:p w14:paraId="0933DF16">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val="en-US" w:eastAsia="zh-CN"/>
        </w:rPr>
        <w:t>5.</w:t>
      </w:r>
      <w:r>
        <w:rPr>
          <w:rFonts w:hint="eastAsia" w:cs="仿宋" w:asciiTheme="minorEastAsia" w:hAnsiTheme="minorEastAsia" w:eastAsiaTheme="minorEastAsia"/>
          <w:bCs/>
          <w:color w:val="auto"/>
          <w:sz w:val="24"/>
          <w:highlight w:val="none"/>
        </w:rPr>
        <w:t>我方同意按照要求提供投标有关的一切数据或资料。</w:t>
      </w:r>
    </w:p>
    <w:p w14:paraId="1388B4C8">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val="en-US" w:eastAsia="zh-CN"/>
        </w:rPr>
        <w:t>6.</w:t>
      </w:r>
      <w:r>
        <w:rPr>
          <w:rFonts w:hint="eastAsia" w:cs="仿宋" w:asciiTheme="minorEastAsia" w:hAnsiTheme="minorEastAsia" w:eastAsiaTheme="minorEastAsia"/>
          <w:bCs/>
          <w:color w:val="auto"/>
          <w:sz w:val="24"/>
          <w:highlight w:val="none"/>
        </w:rPr>
        <w:t>我方完全理解最低报价不是成交的唯一条件，采购人有权选择质优价廉的服务。</w:t>
      </w:r>
    </w:p>
    <w:p w14:paraId="34A46692">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val="en-US" w:eastAsia="zh-CN"/>
        </w:rPr>
        <w:t>7.</w:t>
      </w:r>
      <w:r>
        <w:rPr>
          <w:rFonts w:hint="eastAsia" w:cs="仿宋" w:asciiTheme="minorEastAsia" w:hAnsiTheme="minorEastAsia" w:eastAsiaTheme="minorEastAsia"/>
          <w:bCs/>
          <w:color w:val="auto"/>
          <w:sz w:val="24"/>
          <w:highlight w:val="none"/>
        </w:rPr>
        <w:t>我方同意按谈判文件规定，遵守贵方有关招标的各项规定。</w:t>
      </w:r>
    </w:p>
    <w:p w14:paraId="7800ACAE">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val="en-US" w:eastAsia="zh-CN"/>
        </w:rPr>
        <w:t>8.</w:t>
      </w:r>
      <w:r>
        <w:rPr>
          <w:rFonts w:hint="eastAsia" w:cs="仿宋" w:asciiTheme="minorEastAsia" w:hAnsiTheme="minorEastAsia" w:eastAsiaTheme="minorEastAsia"/>
          <w:bCs/>
          <w:color w:val="auto"/>
          <w:sz w:val="24"/>
          <w:highlight w:val="none"/>
        </w:rPr>
        <w:t>若我方成交，我方保证按有关规定向贵方支付招标服务费。</w:t>
      </w:r>
    </w:p>
    <w:p w14:paraId="58E78302">
      <w:pPr>
        <w:spacing w:line="480" w:lineRule="exact"/>
        <w:ind w:firstLine="470" w:firstLineChars="196"/>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val="en-US" w:eastAsia="zh-CN"/>
        </w:rPr>
        <w:t>9.</w:t>
      </w:r>
      <w:r>
        <w:rPr>
          <w:rFonts w:hint="eastAsia" w:cs="仿宋" w:asciiTheme="minorEastAsia" w:hAnsiTheme="minorEastAsia" w:eastAsiaTheme="minorEastAsia"/>
          <w:bCs/>
          <w:color w:val="auto"/>
          <w:sz w:val="24"/>
          <w:highlight w:val="none"/>
        </w:rPr>
        <w:t>投标有效期为自开标日起</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sz w:val="24"/>
          <w:highlight w:val="none"/>
        </w:rPr>
        <w:t>个日历日。</w:t>
      </w:r>
    </w:p>
    <w:p w14:paraId="24DD49A6">
      <w:pPr>
        <w:spacing w:line="480" w:lineRule="exact"/>
        <w:ind w:firstLine="470" w:firstLineChars="196"/>
        <w:rPr>
          <w:rFonts w:cs="仿宋" w:asciiTheme="minorEastAsia" w:hAnsiTheme="minorEastAsia" w:eastAsiaTheme="minorEastAsia"/>
          <w:bCs/>
          <w:color w:val="auto"/>
          <w:sz w:val="24"/>
          <w:highlight w:val="none"/>
        </w:rPr>
      </w:pPr>
      <w:r>
        <w:rPr>
          <w:rFonts w:cs="仿宋" w:asciiTheme="minorEastAsia" w:hAnsiTheme="minorEastAsia" w:eastAsiaTheme="minorEastAsia"/>
          <w:bCs/>
          <w:color w:val="auto"/>
          <w:sz w:val="24"/>
          <w:highlight w:val="none"/>
        </w:rPr>
        <w:t>1</w:t>
      </w:r>
      <w:r>
        <w:rPr>
          <w:rFonts w:hint="eastAsia" w:cs="仿宋" w:asciiTheme="minorEastAsia" w:hAnsiTheme="minorEastAsia" w:eastAsiaTheme="minorEastAsia"/>
          <w:bCs/>
          <w:color w:val="auto"/>
          <w:sz w:val="24"/>
          <w:highlight w:val="none"/>
          <w:lang w:val="en-US" w:eastAsia="zh-CN"/>
        </w:rPr>
        <w:t>0.</w:t>
      </w:r>
      <w:r>
        <w:rPr>
          <w:rFonts w:hint="eastAsia" w:cs="仿宋" w:asciiTheme="minorEastAsia" w:hAnsiTheme="minorEastAsia" w:eastAsiaTheme="minorEastAsia"/>
          <w:bCs/>
          <w:color w:val="auto"/>
          <w:sz w:val="24"/>
          <w:highlight w:val="none"/>
        </w:rPr>
        <w:t>所有关于本项目的函电，请按下列地址联系：</w:t>
      </w:r>
    </w:p>
    <w:p w14:paraId="3A5428CF">
      <w:pPr>
        <w:spacing w:line="480" w:lineRule="exact"/>
        <w:ind w:firstLine="480" w:firstLineChars="200"/>
        <w:rPr>
          <w:rFonts w:cs="仿宋" w:asciiTheme="minorEastAsia" w:hAnsiTheme="minorEastAsia" w:eastAsiaTheme="minorEastAsia"/>
          <w:bCs/>
          <w:color w:val="auto"/>
          <w:sz w:val="22"/>
          <w:szCs w:val="24"/>
          <w:highlight w:val="none"/>
          <w:u w:val="single"/>
        </w:rPr>
      </w:pPr>
      <w:r>
        <w:rPr>
          <w:rFonts w:hint="eastAsia" w:cs="仿宋" w:asciiTheme="minorEastAsia" w:hAnsiTheme="minorEastAsia" w:eastAsiaTheme="minorEastAsia"/>
          <w:bCs/>
          <w:color w:val="auto"/>
          <w:sz w:val="24"/>
          <w:highlight w:val="none"/>
        </w:rPr>
        <w:t>供应商名称（公章）：</w:t>
      </w:r>
      <w:r>
        <w:rPr>
          <w:rFonts w:hint="eastAsia" w:cs="仿宋" w:asciiTheme="minorEastAsia" w:hAnsiTheme="minorEastAsia" w:eastAsiaTheme="minorEastAsia"/>
          <w:bCs/>
          <w:color w:val="auto"/>
          <w:sz w:val="24"/>
          <w:highlight w:val="none"/>
          <w:u w:val="single"/>
        </w:rPr>
        <w:t xml:space="preserve">                                </w:t>
      </w:r>
    </w:p>
    <w:p w14:paraId="637DA526">
      <w:pPr>
        <w:spacing w:line="480" w:lineRule="exact"/>
        <w:ind w:firstLine="480" w:firstLineChars="200"/>
        <w:rPr>
          <w:rFonts w:cs="仿宋" w:asciiTheme="minorEastAsia" w:hAnsiTheme="minorEastAsia" w:eastAsiaTheme="minorEastAsia"/>
          <w:bCs/>
          <w:color w:val="auto"/>
          <w:sz w:val="24"/>
          <w:highlight w:val="none"/>
          <w:u w:val="single"/>
        </w:rPr>
      </w:pPr>
      <w:r>
        <w:rPr>
          <w:rFonts w:hint="eastAsia" w:cs="仿宋" w:asciiTheme="minorEastAsia" w:hAnsiTheme="minorEastAsia" w:eastAsiaTheme="minorEastAsia"/>
          <w:bCs/>
          <w:color w:val="auto"/>
          <w:sz w:val="24"/>
          <w:highlight w:val="none"/>
        </w:rPr>
        <w:t>详 细 地 址：</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sz w:val="24"/>
          <w:highlight w:val="none"/>
          <w:u w:val="single"/>
          <w:lang w:val="en-US" w:eastAsia="zh-CN"/>
        </w:rPr>
        <w:t xml:space="preserve"> </w:t>
      </w:r>
      <w:r>
        <w:rPr>
          <w:rFonts w:hint="eastAsia" w:cs="仿宋" w:asciiTheme="minorEastAsia" w:hAnsiTheme="minorEastAsia" w:eastAsiaTheme="minorEastAsia"/>
          <w:bCs/>
          <w:color w:val="auto"/>
          <w:sz w:val="24"/>
          <w:highlight w:val="none"/>
          <w:u w:val="single"/>
        </w:rPr>
        <w:t xml:space="preserve">          </w:t>
      </w:r>
    </w:p>
    <w:p w14:paraId="537BF429">
      <w:pPr>
        <w:spacing w:line="480" w:lineRule="exact"/>
        <w:ind w:firstLine="480" w:firstLineChars="200"/>
        <w:rPr>
          <w:rFonts w:cs="仿宋" w:asciiTheme="minorEastAsia" w:hAnsiTheme="minorEastAsia" w:eastAsiaTheme="minorEastAsia"/>
          <w:bCs/>
          <w:color w:val="auto"/>
          <w:sz w:val="24"/>
          <w:highlight w:val="none"/>
          <w:u w:val="single"/>
        </w:rPr>
      </w:pPr>
      <w:r>
        <w:rPr>
          <w:rFonts w:hint="eastAsia" w:cs="仿宋" w:asciiTheme="minorEastAsia" w:hAnsiTheme="minorEastAsia" w:eastAsiaTheme="minorEastAsia"/>
          <w:bCs/>
          <w:color w:val="auto"/>
          <w:sz w:val="24"/>
          <w:highlight w:val="none"/>
        </w:rPr>
        <w:t>邮 政 编 码：</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sz w:val="24"/>
          <w:highlight w:val="none"/>
          <w:u w:val="single"/>
          <w:lang w:val="en-US" w:eastAsia="zh-CN"/>
        </w:rPr>
        <w:t xml:space="preserve">   </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sz w:val="24"/>
          <w:highlight w:val="none"/>
          <w:lang w:val="zh-CN"/>
        </w:rPr>
        <w:t>传       真：</w:t>
      </w:r>
      <w:r>
        <w:rPr>
          <w:rFonts w:hint="eastAsia" w:cs="仿宋" w:asciiTheme="minorEastAsia" w:hAnsiTheme="minorEastAsia" w:eastAsiaTheme="minorEastAsia"/>
          <w:bCs/>
          <w:color w:val="auto"/>
          <w:sz w:val="24"/>
          <w:highlight w:val="none"/>
          <w:u w:val="single"/>
          <w:lang w:val="zh-CN"/>
        </w:rPr>
        <w:t xml:space="preserve">          </w:t>
      </w:r>
      <w:r>
        <w:rPr>
          <w:rFonts w:hint="eastAsia" w:cs="仿宋" w:asciiTheme="minorEastAsia" w:hAnsiTheme="minorEastAsia" w:eastAsiaTheme="minorEastAsia"/>
          <w:bCs/>
          <w:color w:val="auto"/>
          <w:sz w:val="24"/>
          <w:highlight w:val="none"/>
          <w:u w:val="single"/>
          <w:lang w:val="en-US" w:eastAsia="zh-CN"/>
        </w:rPr>
        <w:t xml:space="preserve">   </w:t>
      </w:r>
      <w:r>
        <w:rPr>
          <w:rFonts w:hint="eastAsia" w:cs="仿宋" w:asciiTheme="minorEastAsia" w:hAnsiTheme="minorEastAsia" w:eastAsiaTheme="minorEastAsia"/>
          <w:bCs/>
          <w:color w:val="auto"/>
          <w:sz w:val="24"/>
          <w:highlight w:val="none"/>
          <w:u w:val="single"/>
          <w:lang w:val="zh-CN"/>
        </w:rPr>
        <w:t xml:space="preserve">       </w:t>
      </w:r>
    </w:p>
    <w:p w14:paraId="7016748B">
      <w:pPr>
        <w:spacing w:line="480" w:lineRule="exact"/>
        <w:ind w:firstLine="480" w:firstLineChars="200"/>
        <w:rPr>
          <w:rFonts w:cs="仿宋" w:asciiTheme="minorEastAsia" w:hAnsiTheme="minorEastAsia" w:eastAsiaTheme="minorEastAsia"/>
          <w:bCs/>
          <w:color w:val="auto"/>
          <w:sz w:val="24"/>
          <w:highlight w:val="none"/>
          <w:u w:val="single"/>
        </w:rPr>
      </w:pPr>
      <w:r>
        <w:rPr>
          <w:rFonts w:hint="eastAsia" w:cs="仿宋" w:asciiTheme="minorEastAsia" w:hAnsiTheme="minorEastAsia" w:eastAsiaTheme="minorEastAsia"/>
          <w:bCs/>
          <w:color w:val="auto"/>
          <w:sz w:val="24"/>
          <w:highlight w:val="none"/>
          <w:lang w:val="zh-CN"/>
        </w:rPr>
        <w:t>电       话：</w:t>
      </w:r>
      <w:r>
        <w:rPr>
          <w:rFonts w:hint="eastAsia" w:cs="仿宋" w:asciiTheme="minorEastAsia" w:hAnsiTheme="minorEastAsia" w:eastAsiaTheme="minorEastAsia"/>
          <w:bCs/>
          <w:color w:val="auto"/>
          <w:sz w:val="24"/>
          <w:highlight w:val="none"/>
          <w:u w:val="single"/>
          <w:lang w:val="zh-CN"/>
        </w:rPr>
        <w:t xml:space="preserve">              </w:t>
      </w:r>
      <w:r>
        <w:rPr>
          <w:rFonts w:hint="eastAsia" w:cs="仿宋" w:asciiTheme="minorEastAsia" w:hAnsiTheme="minorEastAsia" w:eastAsiaTheme="minorEastAsia"/>
          <w:bCs/>
          <w:color w:val="auto"/>
          <w:sz w:val="24"/>
          <w:highlight w:val="none"/>
          <w:u w:val="single"/>
          <w:lang w:val="en-US" w:eastAsia="zh-CN"/>
        </w:rPr>
        <w:t xml:space="preserve"> </w:t>
      </w:r>
      <w:r>
        <w:rPr>
          <w:rFonts w:hint="eastAsia" w:cs="仿宋" w:asciiTheme="minorEastAsia" w:hAnsiTheme="minorEastAsia" w:eastAsiaTheme="minorEastAsia"/>
          <w:bCs/>
          <w:color w:val="auto"/>
          <w:sz w:val="24"/>
          <w:highlight w:val="none"/>
          <w:u w:val="single"/>
          <w:lang w:val="zh-CN"/>
        </w:rPr>
        <w:t xml:space="preserve">       </w:t>
      </w:r>
      <w:r>
        <w:rPr>
          <w:rFonts w:hint="eastAsia" w:cs="仿宋" w:asciiTheme="minorEastAsia" w:hAnsiTheme="minorEastAsia" w:eastAsiaTheme="minorEastAsia"/>
          <w:bCs/>
          <w:color w:val="auto"/>
          <w:sz w:val="24"/>
          <w:highlight w:val="none"/>
          <w:lang w:val="zh-CN"/>
        </w:rPr>
        <w:t>帐       号：</w:t>
      </w:r>
      <w:r>
        <w:rPr>
          <w:rFonts w:hint="eastAsia" w:cs="仿宋" w:asciiTheme="minorEastAsia" w:hAnsiTheme="minorEastAsia" w:eastAsiaTheme="minorEastAsia"/>
          <w:bCs/>
          <w:color w:val="auto"/>
          <w:sz w:val="24"/>
          <w:highlight w:val="none"/>
          <w:u w:val="single"/>
          <w:lang w:val="zh-CN"/>
        </w:rPr>
        <w:t xml:space="preserve">         </w:t>
      </w:r>
      <w:r>
        <w:rPr>
          <w:rFonts w:hint="eastAsia" w:cs="仿宋" w:asciiTheme="minorEastAsia" w:hAnsiTheme="minorEastAsia" w:eastAsiaTheme="minorEastAsia"/>
          <w:bCs/>
          <w:color w:val="auto"/>
          <w:sz w:val="24"/>
          <w:highlight w:val="none"/>
          <w:u w:val="single"/>
          <w:lang w:val="en-US" w:eastAsia="zh-CN"/>
        </w:rPr>
        <w:t xml:space="preserve">    </w:t>
      </w:r>
      <w:r>
        <w:rPr>
          <w:rFonts w:hint="eastAsia" w:cs="仿宋" w:asciiTheme="minorEastAsia" w:hAnsiTheme="minorEastAsia" w:eastAsiaTheme="minorEastAsia"/>
          <w:bCs/>
          <w:color w:val="auto"/>
          <w:sz w:val="24"/>
          <w:highlight w:val="none"/>
          <w:u w:val="single"/>
          <w:lang w:val="zh-CN"/>
        </w:rPr>
        <w:t xml:space="preserve">       </w:t>
      </w:r>
    </w:p>
    <w:p w14:paraId="5CA53D8C">
      <w:pPr>
        <w:spacing w:line="480" w:lineRule="exact"/>
        <w:ind w:firstLine="480" w:firstLineChars="200"/>
        <w:rPr>
          <w:rFonts w:cs="仿宋" w:asciiTheme="minorEastAsia" w:hAnsiTheme="minorEastAsia" w:eastAsiaTheme="minorEastAsia"/>
          <w:bCs/>
          <w:color w:val="auto"/>
          <w:highlight w:val="none"/>
        </w:rPr>
      </w:pPr>
      <w:r>
        <w:rPr>
          <w:rFonts w:hint="eastAsia" w:cs="仿宋" w:asciiTheme="minorEastAsia" w:hAnsiTheme="minorEastAsia" w:eastAsiaTheme="minorEastAsia"/>
          <w:bCs/>
          <w:color w:val="auto"/>
          <w:sz w:val="24"/>
          <w:highlight w:val="none"/>
          <w:lang w:val="zh-CN"/>
        </w:rPr>
        <w:t>开 户 银 行：</w:t>
      </w:r>
      <w:r>
        <w:rPr>
          <w:rFonts w:hint="eastAsia" w:cs="仿宋" w:asciiTheme="minorEastAsia" w:hAnsiTheme="minorEastAsia" w:eastAsiaTheme="minorEastAsia"/>
          <w:bCs/>
          <w:color w:val="auto"/>
          <w:sz w:val="24"/>
          <w:highlight w:val="none"/>
          <w:u w:val="single"/>
          <w:lang w:val="zh-CN"/>
        </w:rPr>
        <w:t xml:space="preserve">                      </w:t>
      </w:r>
      <w:r>
        <w:rPr>
          <w:rFonts w:hint="eastAsia" w:cs="仿宋" w:asciiTheme="minorEastAsia" w:hAnsiTheme="minorEastAsia" w:eastAsiaTheme="minorEastAsia"/>
          <w:bCs/>
          <w:color w:val="auto"/>
          <w:sz w:val="24"/>
          <w:highlight w:val="none"/>
        </w:rPr>
        <w:t>电 子 邮 件：</w:t>
      </w:r>
      <w:r>
        <w:rPr>
          <w:rFonts w:hint="eastAsia" w:cs="仿宋" w:asciiTheme="minorEastAsia" w:hAnsiTheme="minorEastAsia" w:eastAsiaTheme="minorEastAsia"/>
          <w:bCs/>
          <w:color w:val="auto"/>
          <w:sz w:val="24"/>
          <w:highlight w:val="none"/>
          <w:u w:val="single"/>
        </w:rPr>
        <w:t xml:space="preserve">              </w:t>
      </w:r>
      <w:r>
        <w:rPr>
          <w:rFonts w:hint="eastAsia" w:cs="仿宋" w:asciiTheme="minorEastAsia" w:hAnsiTheme="minorEastAsia" w:eastAsiaTheme="minorEastAsia"/>
          <w:bCs/>
          <w:color w:val="auto"/>
          <w:highlight w:val="none"/>
          <w:u w:val="single"/>
        </w:rPr>
        <w:t xml:space="preserve">     </w:t>
      </w:r>
    </w:p>
    <w:p w14:paraId="0145DB7A">
      <w:pPr>
        <w:spacing w:line="440" w:lineRule="exact"/>
        <w:ind w:firstLine="560" w:firstLineChars="200"/>
        <w:rPr>
          <w:rFonts w:cs="仿宋" w:asciiTheme="minorEastAsia" w:hAnsiTheme="minorEastAsia" w:eastAsiaTheme="minorEastAsia"/>
          <w:bCs/>
          <w:color w:val="auto"/>
          <w:highlight w:val="none"/>
        </w:rPr>
      </w:pPr>
    </w:p>
    <w:bookmarkEnd w:id="219"/>
    <w:p w14:paraId="72F8ACF2">
      <w:pPr>
        <w:pStyle w:val="4"/>
        <w:jc w:val="center"/>
        <w:rPr>
          <w:rFonts w:ascii="宋体" w:hAnsi="宋体" w:eastAsia="宋体"/>
          <w:b w:val="0"/>
          <w:color w:val="auto"/>
          <w:highlight w:val="none"/>
        </w:rPr>
      </w:pPr>
      <w:bookmarkStart w:id="239" w:name="_Toc30983"/>
      <w:bookmarkStart w:id="240" w:name="_Toc23315684"/>
      <w:bookmarkStart w:id="241" w:name="_Toc23316599"/>
      <w:bookmarkStart w:id="242" w:name="_Toc536202325"/>
      <w:bookmarkStart w:id="243" w:name="_Toc23316697"/>
      <w:bookmarkStart w:id="244" w:name="_Toc23316535"/>
      <w:bookmarkStart w:id="245" w:name="_Toc13642252"/>
      <w:bookmarkStart w:id="246" w:name="_Toc20794"/>
      <w:bookmarkStart w:id="247" w:name="_Toc536429387"/>
      <w:bookmarkStart w:id="248" w:name="_Toc15789"/>
      <w:bookmarkStart w:id="249" w:name="_Toc536429334"/>
      <w:bookmarkStart w:id="250" w:name="_Toc536202394"/>
    </w:p>
    <w:p w14:paraId="538FD118">
      <w:pPr>
        <w:spacing w:line="240" w:lineRule="auto"/>
        <w:jc w:val="left"/>
        <w:rPr>
          <w:rFonts w:ascii="宋体" w:hAnsi="宋体" w:eastAsia="宋体"/>
          <w:bCs/>
          <w:color w:val="auto"/>
          <w:sz w:val="32"/>
          <w:szCs w:val="32"/>
          <w:highlight w:val="none"/>
        </w:rPr>
      </w:pPr>
      <w:r>
        <w:rPr>
          <w:rFonts w:ascii="宋体" w:hAnsi="宋体" w:eastAsia="宋体"/>
          <w:b/>
          <w:color w:val="auto"/>
          <w:highlight w:val="none"/>
        </w:rPr>
        <w:br w:type="page"/>
      </w:r>
    </w:p>
    <w:p w14:paraId="61A185E9">
      <w:pPr>
        <w:pStyle w:val="4"/>
        <w:keepNext/>
        <w:keepLines/>
        <w:pageBreakBefore w:val="0"/>
        <w:widowControl/>
        <w:kinsoku/>
        <w:wordWrap/>
        <w:overflowPunct/>
        <w:topLinePunct w:val="0"/>
        <w:autoSpaceDE/>
        <w:autoSpaceDN/>
        <w:bidi w:val="0"/>
        <w:adjustRightInd/>
        <w:snapToGrid/>
        <w:spacing w:after="196" w:afterLines="50"/>
        <w:jc w:val="center"/>
        <w:textAlignment w:val="auto"/>
        <w:rPr>
          <w:rFonts w:hint="eastAsia" w:ascii="宋体" w:hAnsi="宋体" w:eastAsia="宋体" w:cs="Times New Roman"/>
          <w:b/>
          <w:bCs w:val="0"/>
          <w:color w:val="auto"/>
          <w:highlight w:val="none"/>
          <w:lang w:eastAsia="zh-CN"/>
        </w:rPr>
      </w:pPr>
      <w:bookmarkStart w:id="251" w:name="_Toc26525"/>
      <w:bookmarkStart w:id="252" w:name="_Toc16745"/>
      <w:bookmarkStart w:id="253" w:name="_Toc35335271"/>
      <w:bookmarkStart w:id="254" w:name="_Toc22662"/>
      <w:bookmarkStart w:id="255" w:name="_Toc1248"/>
      <w:r>
        <w:rPr>
          <w:rFonts w:hint="eastAsia" w:ascii="宋体" w:hAnsi="宋体" w:eastAsia="宋体" w:cs="Times New Roman"/>
          <w:b/>
          <w:bCs w:val="0"/>
          <w:color w:val="auto"/>
          <w:highlight w:val="none"/>
          <w:lang w:eastAsia="zh-CN"/>
        </w:rPr>
        <w:t xml:space="preserve">二、 </w:t>
      </w:r>
      <w:bookmarkEnd w:id="239"/>
      <w:r>
        <w:rPr>
          <w:rFonts w:hint="eastAsia" w:ascii="宋体" w:hAnsi="宋体" w:eastAsia="宋体" w:cs="Times New Roman"/>
          <w:b/>
          <w:bCs w:val="0"/>
          <w:color w:val="auto"/>
          <w:highlight w:val="none"/>
          <w:lang w:eastAsia="zh-CN"/>
        </w:rPr>
        <w:t>报价一览表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F8CC7B9">
      <w:pPr>
        <w:keepNext w:val="0"/>
        <w:keepLines w:val="0"/>
        <w:pageBreakBefore w:val="0"/>
        <w:widowControl w:val="0"/>
        <w:kinsoku/>
        <w:wordWrap/>
        <w:overflowPunct/>
        <w:topLinePunct w:val="0"/>
        <w:autoSpaceDE/>
        <w:autoSpaceDN/>
        <w:bidi w:val="0"/>
        <w:adjustRightInd/>
        <w:snapToGrid/>
        <w:spacing w:after="196" w:afterLines="50" w:line="240" w:lineRule="auto"/>
        <w:textAlignment w:val="auto"/>
        <w:rPr>
          <w:rFonts w:ascii="宋体" w:hAnsi="宋体" w:eastAsia="宋体"/>
          <w:color w:val="auto"/>
          <w:sz w:val="24"/>
          <w:szCs w:val="24"/>
          <w:highlight w:val="none"/>
        </w:rPr>
      </w:pPr>
      <w:bookmarkStart w:id="256" w:name="_Toc536429388"/>
      <w:bookmarkStart w:id="257" w:name="_Toc536202395"/>
      <w:bookmarkStart w:id="258" w:name="_Toc536429335"/>
      <w:bookmarkStart w:id="259" w:name="_Toc536202326"/>
      <w:r>
        <w:rPr>
          <w:rFonts w:hint="eastAsia" w:ascii="宋体" w:hAnsi="宋体" w:eastAsia="宋体"/>
          <w:color w:val="auto"/>
          <w:sz w:val="24"/>
          <w:szCs w:val="24"/>
          <w:highlight w:val="none"/>
        </w:rPr>
        <w:t>供应商名称：</w:t>
      </w:r>
      <w:bookmarkEnd w:id="256"/>
      <w:bookmarkEnd w:id="257"/>
      <w:bookmarkEnd w:id="258"/>
      <w:bookmarkEnd w:id="259"/>
      <w:r>
        <w:rPr>
          <w:rFonts w:hint="eastAsia" w:ascii="宋体" w:hAnsi="宋体" w:eastAsia="宋体"/>
          <w:color w:val="auto"/>
          <w:sz w:val="24"/>
          <w:szCs w:val="24"/>
          <w:highlight w:val="none"/>
        </w:rPr>
        <w:t xml:space="preserve">                                          </w:t>
      </w:r>
    </w:p>
    <w:tbl>
      <w:tblPr>
        <w:tblStyle w:val="38"/>
        <w:tblW w:w="9679" w:type="dxa"/>
        <w:jc w:val="center"/>
        <w:tblLayout w:type="fixed"/>
        <w:tblCellMar>
          <w:top w:w="0" w:type="dxa"/>
          <w:left w:w="0" w:type="dxa"/>
          <w:bottom w:w="0" w:type="dxa"/>
          <w:right w:w="0" w:type="dxa"/>
        </w:tblCellMar>
      </w:tblPr>
      <w:tblGrid>
        <w:gridCol w:w="3614"/>
        <w:gridCol w:w="1880"/>
        <w:gridCol w:w="1683"/>
        <w:gridCol w:w="1431"/>
        <w:gridCol w:w="1071"/>
      </w:tblGrid>
      <w:tr w14:paraId="39525814">
        <w:tblPrEx>
          <w:tblCellMar>
            <w:top w:w="0" w:type="dxa"/>
            <w:left w:w="0" w:type="dxa"/>
            <w:bottom w:w="0" w:type="dxa"/>
            <w:right w:w="0" w:type="dxa"/>
          </w:tblCellMar>
        </w:tblPrEx>
        <w:trPr>
          <w:trHeight w:val="2174" w:hRule="atLeast"/>
          <w:jc w:val="center"/>
        </w:trPr>
        <w:tc>
          <w:tcPr>
            <w:tcW w:w="3614" w:type="dxa"/>
            <w:tcBorders>
              <w:top w:val="single" w:color="auto" w:sz="8" w:space="0"/>
              <w:left w:val="single" w:color="auto" w:sz="8" w:space="0"/>
              <w:bottom w:val="single" w:color="auto" w:sz="8" w:space="0"/>
              <w:right w:val="single" w:color="auto" w:sz="8" w:space="0"/>
              <w:tl2br w:val="single" w:color="auto" w:sz="4" w:space="0"/>
            </w:tcBorders>
          </w:tcPr>
          <w:p w14:paraId="20B10B60">
            <w:pPr>
              <w:keepNext w:val="0"/>
              <w:keepLines w:val="0"/>
              <w:widowControl/>
              <w:suppressLineNumbers w:val="0"/>
              <w:spacing w:before="100" w:beforeAutospacing="1" w:after="100" w:afterAutospacing="1" w:line="460" w:lineRule="atLeast"/>
              <w:ind w:left="0" w:right="0" w:firstLine="2400" w:firstLineChars="1000"/>
              <w:rPr>
                <w:rFonts w:hint="default" w:ascii="宋体" w:hAnsi="宋体" w:eastAsia="宋体" w:cs="仿宋"/>
                <w:b w:val="0"/>
                <w:bCs w:val="0"/>
                <w:color w:val="auto"/>
                <w:kern w:val="0"/>
                <w:sz w:val="24"/>
                <w:szCs w:val="24"/>
                <w:highlight w:val="none"/>
              </w:rPr>
            </w:pPr>
            <w:bookmarkStart w:id="260" w:name="_Hlk502055010"/>
            <w:r>
              <w:rPr>
                <w:rFonts w:hint="eastAsia" w:ascii="宋体" w:hAnsi="宋体" w:eastAsia="宋体" w:cs="仿宋"/>
                <w:b w:val="0"/>
                <w:bCs w:val="0"/>
                <w:color w:val="auto"/>
                <w:kern w:val="0"/>
                <w:sz w:val="24"/>
                <w:szCs w:val="24"/>
                <w:highlight w:val="none"/>
              </w:rPr>
              <w:t>报价内容</w:t>
            </w:r>
          </w:p>
          <w:p w14:paraId="233B4DE9">
            <w:pPr>
              <w:keepNext w:val="0"/>
              <w:keepLines w:val="0"/>
              <w:widowControl/>
              <w:suppressLineNumbers w:val="0"/>
              <w:spacing w:before="100" w:beforeAutospacing="1" w:after="100" w:afterAutospacing="1" w:line="460" w:lineRule="atLeast"/>
              <w:ind w:left="0" w:right="0" w:firstLine="240" w:firstLineChars="100"/>
              <w:rPr>
                <w:rFonts w:hint="default" w:ascii="宋体" w:hAnsi="宋体" w:eastAsia="宋体" w:cs="仿宋"/>
                <w:b w:val="0"/>
                <w:bCs w:val="0"/>
                <w:color w:val="auto"/>
                <w:kern w:val="0"/>
                <w:sz w:val="24"/>
                <w:szCs w:val="24"/>
                <w:highlight w:val="none"/>
              </w:rPr>
            </w:pPr>
            <w:r>
              <w:rPr>
                <w:rFonts w:hint="default" w:ascii="宋体" w:hAnsi="宋体" w:eastAsia="宋体" w:cs="仿宋"/>
                <w:b w:val="0"/>
                <w:bCs w:val="0"/>
                <w:color w:val="auto"/>
                <w:kern w:val="0"/>
                <w:sz w:val="24"/>
                <w:szCs w:val="24"/>
                <w:highlight w:val="none"/>
              </w:rPr>
              <w:t>项目名称</w:t>
            </w:r>
          </w:p>
        </w:tc>
        <w:tc>
          <w:tcPr>
            <w:tcW w:w="18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528ED">
            <w:pPr>
              <w:keepNext w:val="0"/>
              <w:keepLines w:val="0"/>
              <w:widowControl/>
              <w:suppressLineNumbers w:val="0"/>
              <w:spacing w:before="100" w:beforeAutospacing="1" w:after="100" w:afterAutospacing="1" w:line="440" w:lineRule="exact"/>
              <w:ind w:left="0" w:right="0"/>
              <w:jc w:val="center"/>
              <w:rPr>
                <w:rFonts w:hint="default" w:ascii="宋体" w:hAnsi="宋体" w:eastAsia="宋体" w:cs="仿宋"/>
                <w:b w:val="0"/>
                <w:bCs w:val="0"/>
                <w:color w:val="auto"/>
                <w:kern w:val="0"/>
                <w:sz w:val="24"/>
                <w:szCs w:val="24"/>
                <w:highlight w:val="none"/>
                <w:lang w:val="en-US" w:eastAsia="zh-CN"/>
              </w:rPr>
            </w:pPr>
            <w:r>
              <w:rPr>
                <w:rFonts w:hint="eastAsia" w:ascii="宋体" w:hAnsi="宋体" w:eastAsia="宋体" w:cs="仿宋"/>
                <w:b w:val="0"/>
                <w:bCs w:val="0"/>
                <w:color w:val="auto"/>
                <w:kern w:val="0"/>
                <w:sz w:val="24"/>
                <w:szCs w:val="24"/>
                <w:highlight w:val="none"/>
                <w:lang w:val="en-US" w:eastAsia="zh-CN"/>
              </w:rPr>
              <w:t>投标单价</w:t>
            </w:r>
          </w:p>
          <w:p w14:paraId="08AA9362">
            <w:pPr>
              <w:keepNext w:val="0"/>
              <w:keepLines w:val="0"/>
              <w:widowControl/>
              <w:suppressLineNumbers w:val="0"/>
              <w:spacing w:before="100" w:beforeAutospacing="1" w:after="100" w:afterAutospacing="1" w:line="440" w:lineRule="exact"/>
              <w:ind w:left="0" w:right="0"/>
              <w:jc w:val="center"/>
              <w:rPr>
                <w:rFonts w:hint="eastAsia" w:ascii="宋体" w:hAnsi="宋体" w:eastAsia="宋体" w:cs="仿宋"/>
                <w:b w:val="0"/>
                <w:bCs w:val="0"/>
                <w:color w:val="auto"/>
                <w:kern w:val="0"/>
                <w:sz w:val="24"/>
                <w:szCs w:val="24"/>
                <w:highlight w:val="none"/>
                <w:lang w:eastAsia="zh-CN"/>
              </w:rPr>
            </w:pPr>
            <w:r>
              <w:rPr>
                <w:rFonts w:hint="eastAsia" w:ascii="宋体" w:hAnsi="宋体" w:eastAsia="宋体" w:cs="仿宋"/>
                <w:b w:val="0"/>
                <w:bCs w:val="0"/>
                <w:color w:val="auto"/>
                <w:kern w:val="0"/>
                <w:sz w:val="24"/>
                <w:szCs w:val="24"/>
                <w:highlight w:val="none"/>
                <w:lang w:eastAsia="zh-CN"/>
              </w:rPr>
              <w:t>（元）</w:t>
            </w:r>
          </w:p>
        </w:tc>
        <w:tc>
          <w:tcPr>
            <w:tcW w:w="1683"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AF190C5">
            <w:pPr>
              <w:keepNext w:val="0"/>
              <w:keepLines w:val="0"/>
              <w:widowControl/>
              <w:suppressLineNumbers w:val="0"/>
              <w:spacing w:before="100" w:beforeAutospacing="1" w:after="100" w:afterAutospacing="1" w:line="440" w:lineRule="exact"/>
              <w:ind w:left="0" w:right="0"/>
              <w:jc w:val="center"/>
              <w:rPr>
                <w:rFonts w:hint="eastAsia" w:ascii="宋体" w:hAnsi="宋体" w:eastAsia="宋体" w:cs="仿宋"/>
                <w:bCs/>
                <w:color w:val="auto"/>
                <w:kern w:val="0"/>
                <w:sz w:val="24"/>
                <w:szCs w:val="24"/>
                <w:highlight w:val="none"/>
                <w:lang w:eastAsia="zh-CN"/>
              </w:rPr>
            </w:pPr>
            <w:r>
              <w:rPr>
                <w:rFonts w:hint="eastAsia" w:ascii="宋体" w:hAnsi="宋体" w:eastAsia="宋体" w:cs="仿宋"/>
                <w:bCs/>
                <w:color w:val="auto"/>
                <w:kern w:val="0"/>
                <w:sz w:val="24"/>
                <w:szCs w:val="24"/>
                <w:highlight w:val="none"/>
                <w:lang w:val="en-US" w:eastAsia="zh-CN"/>
              </w:rPr>
              <w:t>合同履行期</w:t>
            </w:r>
          </w:p>
        </w:tc>
        <w:tc>
          <w:tcPr>
            <w:tcW w:w="1431"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CB4DA82">
            <w:pPr>
              <w:keepNext w:val="0"/>
              <w:keepLines w:val="0"/>
              <w:widowControl/>
              <w:suppressLineNumbers w:val="0"/>
              <w:spacing w:before="100" w:beforeAutospacing="1" w:after="100" w:afterAutospacing="1" w:line="440" w:lineRule="exact"/>
              <w:ind w:left="0" w:right="0"/>
              <w:jc w:val="center"/>
              <w:rPr>
                <w:rFonts w:hint="eastAsia" w:ascii="宋体" w:hAnsi="宋体" w:eastAsia="宋体" w:cs="仿宋"/>
                <w:bCs/>
                <w:color w:val="auto"/>
                <w:kern w:val="0"/>
                <w:sz w:val="24"/>
                <w:szCs w:val="24"/>
                <w:highlight w:val="none"/>
                <w:lang w:eastAsia="zh-CN"/>
              </w:rPr>
            </w:pPr>
            <w:r>
              <w:rPr>
                <w:rFonts w:hint="eastAsia" w:ascii="宋体" w:hAnsi="宋体" w:eastAsia="宋体" w:cs="仿宋"/>
                <w:bCs/>
                <w:color w:val="auto"/>
                <w:kern w:val="0"/>
                <w:sz w:val="24"/>
                <w:szCs w:val="24"/>
                <w:highlight w:val="none"/>
                <w:lang w:val="en-US" w:eastAsia="zh-CN"/>
              </w:rPr>
              <w:t>质保期</w:t>
            </w:r>
          </w:p>
        </w:tc>
        <w:tc>
          <w:tcPr>
            <w:tcW w:w="1071"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6A049AE">
            <w:pPr>
              <w:keepNext w:val="0"/>
              <w:keepLines w:val="0"/>
              <w:widowControl/>
              <w:suppressLineNumbers w:val="0"/>
              <w:spacing w:before="100" w:beforeAutospacing="1" w:after="100" w:afterAutospacing="1" w:line="440" w:lineRule="exact"/>
              <w:ind w:left="0" w:right="0"/>
              <w:jc w:val="center"/>
              <w:rPr>
                <w:rFonts w:hint="default" w:ascii="宋体" w:hAnsi="宋体" w:eastAsia="宋体" w:cs="仿宋"/>
                <w:bCs/>
                <w:color w:val="auto"/>
                <w:kern w:val="0"/>
                <w:sz w:val="24"/>
                <w:szCs w:val="24"/>
                <w:highlight w:val="none"/>
                <w:lang w:val="en-US" w:eastAsia="zh-CN"/>
              </w:rPr>
            </w:pPr>
            <w:r>
              <w:rPr>
                <w:rFonts w:hint="eastAsia" w:ascii="宋体" w:hAnsi="宋体" w:eastAsia="宋体" w:cs="宋体"/>
                <w:sz w:val="24"/>
                <w:szCs w:val="24"/>
                <w:lang w:val="en-US" w:eastAsia="zh-CN"/>
              </w:rPr>
              <w:t>交货期</w:t>
            </w:r>
          </w:p>
        </w:tc>
      </w:tr>
      <w:tr w14:paraId="036A9299">
        <w:tblPrEx>
          <w:tblCellMar>
            <w:top w:w="0" w:type="dxa"/>
            <w:left w:w="0" w:type="dxa"/>
            <w:bottom w:w="0" w:type="dxa"/>
            <w:right w:w="0" w:type="dxa"/>
          </w:tblCellMar>
        </w:tblPrEx>
        <w:trPr>
          <w:trHeight w:val="854" w:hRule="atLeast"/>
          <w:jc w:val="center"/>
        </w:trPr>
        <w:tc>
          <w:tcPr>
            <w:tcW w:w="3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CCF048">
            <w:pPr>
              <w:keepNext w:val="0"/>
              <w:keepLines w:val="0"/>
              <w:widowControl/>
              <w:suppressLineNumbers w:val="0"/>
              <w:spacing w:before="100" w:beforeAutospacing="1" w:after="100" w:afterAutospacing="1" w:line="500" w:lineRule="atLeast"/>
              <w:ind w:left="0" w:right="0"/>
              <w:jc w:val="center"/>
              <w:rPr>
                <w:rFonts w:hint="default" w:ascii="宋体" w:hAnsi="宋体" w:eastAsia="宋体" w:cs="仿宋"/>
                <w:bCs/>
                <w:color w:val="auto"/>
                <w:kern w:val="0"/>
                <w:sz w:val="24"/>
                <w:szCs w:val="24"/>
                <w:highlight w:val="none"/>
              </w:rPr>
            </w:pPr>
          </w:p>
        </w:tc>
        <w:tc>
          <w:tcPr>
            <w:tcW w:w="188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6F5C2B70">
            <w:pPr>
              <w:keepNext w:val="0"/>
              <w:keepLines w:val="0"/>
              <w:widowControl w:val="0"/>
              <w:suppressLineNumbers w:val="0"/>
              <w:spacing w:before="100" w:beforeAutospacing="1" w:after="100" w:afterAutospacing="1" w:line="500" w:lineRule="atLeast"/>
              <w:ind w:left="280" w:right="0"/>
              <w:jc w:val="center"/>
              <w:rPr>
                <w:rFonts w:hint="default" w:ascii="宋体" w:hAnsi="宋体" w:eastAsia="宋体" w:cs="仿宋"/>
                <w:bCs/>
                <w:color w:val="auto"/>
                <w:kern w:val="0"/>
                <w:sz w:val="24"/>
                <w:szCs w:val="24"/>
                <w:highlight w:val="none"/>
              </w:rPr>
            </w:pPr>
          </w:p>
        </w:tc>
        <w:tc>
          <w:tcPr>
            <w:tcW w:w="1683"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FFF3267">
            <w:pPr>
              <w:keepNext w:val="0"/>
              <w:keepLines w:val="0"/>
              <w:widowControl/>
              <w:suppressLineNumbers w:val="0"/>
              <w:spacing w:before="100" w:beforeAutospacing="1" w:after="100" w:afterAutospacing="1" w:line="460" w:lineRule="atLeast"/>
              <w:ind w:left="0" w:right="0"/>
              <w:jc w:val="left"/>
              <w:rPr>
                <w:rFonts w:hint="default" w:ascii="宋体" w:hAnsi="宋体" w:eastAsia="宋体" w:cs="仿宋"/>
                <w:bCs/>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3444098">
            <w:pPr>
              <w:keepNext w:val="0"/>
              <w:keepLines w:val="0"/>
              <w:widowControl/>
              <w:suppressLineNumbers w:val="0"/>
              <w:spacing w:before="100" w:beforeAutospacing="1" w:after="100" w:afterAutospacing="1" w:line="460" w:lineRule="atLeast"/>
              <w:ind w:left="0" w:right="0"/>
              <w:jc w:val="left"/>
              <w:rPr>
                <w:rFonts w:hint="default" w:ascii="宋体" w:hAnsi="宋体" w:eastAsia="宋体" w:cs="仿宋"/>
                <w:bCs/>
                <w:color w:val="auto"/>
                <w:kern w:val="0"/>
                <w:sz w:val="24"/>
                <w:szCs w:val="24"/>
                <w:highlight w:val="none"/>
              </w:rPr>
            </w:pPr>
          </w:p>
        </w:tc>
        <w:tc>
          <w:tcPr>
            <w:tcW w:w="107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AFB0281">
            <w:pPr>
              <w:keepNext w:val="0"/>
              <w:keepLines w:val="0"/>
              <w:widowControl/>
              <w:suppressLineNumbers w:val="0"/>
              <w:spacing w:before="100" w:beforeAutospacing="1" w:after="100" w:afterAutospacing="1" w:line="460" w:lineRule="atLeast"/>
              <w:ind w:left="0" w:right="0"/>
              <w:jc w:val="left"/>
              <w:rPr>
                <w:rFonts w:hint="default" w:ascii="宋体" w:hAnsi="宋体" w:eastAsia="宋体" w:cs="仿宋"/>
                <w:bCs/>
                <w:color w:val="auto"/>
                <w:kern w:val="0"/>
                <w:sz w:val="24"/>
                <w:szCs w:val="24"/>
                <w:highlight w:val="none"/>
              </w:rPr>
            </w:pPr>
          </w:p>
        </w:tc>
      </w:tr>
      <w:tr w14:paraId="3F09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79" w:type="dxa"/>
            <w:gridSpan w:val="5"/>
            <w:vAlign w:val="center"/>
          </w:tcPr>
          <w:p w14:paraId="229DCD45">
            <w:pPr>
              <w:keepNext w:val="0"/>
              <w:keepLines w:val="0"/>
              <w:widowControl/>
              <w:suppressLineNumbers w:val="0"/>
              <w:kinsoku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 xml:space="preserve">：（大写）                                   </w:t>
            </w:r>
          </w:p>
        </w:tc>
      </w:tr>
      <w:tr w14:paraId="7E06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679" w:type="dxa"/>
            <w:gridSpan w:val="5"/>
            <w:vAlign w:val="center"/>
          </w:tcPr>
          <w:p w14:paraId="74707B72">
            <w:pPr>
              <w:keepNext w:val="0"/>
              <w:keepLines w:val="0"/>
              <w:widowControl/>
              <w:suppressLineNumbers w:val="0"/>
              <w:kinsoku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备注：表内</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以元为单位，保留小数点后两位。</w:t>
            </w:r>
          </w:p>
        </w:tc>
      </w:tr>
      <w:bookmarkEnd w:id="260"/>
    </w:tbl>
    <w:p w14:paraId="3FC66AE8">
      <w:pPr>
        <w:widowControl w:val="0"/>
        <w:adjustRightInd w:val="0"/>
        <w:snapToGrid w:val="0"/>
        <w:spacing w:line="48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ascii="宋体" w:hAnsi="宋体" w:eastAsia="宋体" w:cs="宋体"/>
          <w:color w:val="auto"/>
          <w:sz w:val="24"/>
          <w:szCs w:val="24"/>
          <w:highlight w:val="none"/>
        </w:rPr>
        <w:t>：</w:t>
      </w:r>
    </w:p>
    <w:p w14:paraId="28E2B8EA">
      <w:pPr>
        <w:widowControl w:val="0"/>
        <w:adjustRightInd w:val="0"/>
        <w:snapToGrid w:val="0"/>
        <w:spacing w:line="480" w:lineRule="auto"/>
        <w:ind w:firstLine="240" w:firstLineChars="1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投标人所报的价格应考虑到可能发生的所有与完成本项目相关服务及履行合同义务有关的一切费用。</w:t>
      </w:r>
    </w:p>
    <w:p w14:paraId="5F78171F">
      <w:pPr>
        <w:widowControl w:val="0"/>
        <w:adjustRightInd w:val="0"/>
        <w:snapToGrid w:val="0"/>
        <w:spacing w:line="480" w:lineRule="auto"/>
        <w:jc w:val="left"/>
        <w:rPr>
          <w:rFonts w:ascii="宋体" w:hAnsi="宋体" w:eastAsia="宋体" w:cs="宋体"/>
          <w:color w:val="auto"/>
          <w:sz w:val="24"/>
          <w:szCs w:val="24"/>
          <w:highlight w:val="none"/>
        </w:rPr>
      </w:pPr>
    </w:p>
    <w:p w14:paraId="2CBEC383">
      <w:pPr>
        <w:pStyle w:val="6"/>
        <w:rPr>
          <w:color w:val="auto"/>
          <w:highlight w:val="none"/>
          <w:lang w:val="en-US" w:eastAsia="zh-CN" w:bidi="ar-SA"/>
        </w:rPr>
      </w:pPr>
    </w:p>
    <w:p w14:paraId="7126CAC8">
      <w:pPr>
        <w:widowControl w:val="0"/>
        <w:adjustRightInd w:val="0"/>
        <w:snapToGrid w:val="0"/>
        <w:spacing w:line="480" w:lineRule="auto"/>
        <w:jc w:val="left"/>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供应商（单位名称及公章）：____________________________</w:t>
      </w:r>
    </w:p>
    <w:p w14:paraId="606B6E65">
      <w:pPr>
        <w:widowControl w:val="0"/>
        <w:adjustRightInd w:val="0"/>
        <w:snapToGrid w:val="0"/>
        <w:spacing w:line="480"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被授权人（签字）：____________________________</w:t>
      </w:r>
    </w:p>
    <w:p w14:paraId="49138E04">
      <w:pPr>
        <w:widowControl w:val="0"/>
        <w:adjustRightInd w:val="0"/>
        <w:snapToGrid w:val="0"/>
        <w:spacing w:line="480"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期：_______年_______月_______日</w:t>
      </w:r>
    </w:p>
    <w:p w14:paraId="7F93AD86">
      <w:pPr>
        <w:widowControl w:val="0"/>
        <w:kinsoku w:val="0"/>
        <w:spacing w:line="480" w:lineRule="auto"/>
        <w:jc w:val="left"/>
        <w:rPr>
          <w:rFonts w:ascii="宋体" w:hAnsi="宋体" w:eastAsia="宋体"/>
          <w:color w:val="auto"/>
          <w:sz w:val="24"/>
          <w:szCs w:val="24"/>
          <w:highlight w:val="none"/>
        </w:rPr>
      </w:pPr>
    </w:p>
    <w:p w14:paraId="7EE3BCC6">
      <w:pPr>
        <w:spacing w:line="240" w:lineRule="auto"/>
        <w:jc w:val="left"/>
        <w:rPr>
          <w:rFonts w:ascii="宋体" w:hAnsi="宋体" w:eastAsia="宋体"/>
          <w:b/>
          <w:color w:val="auto"/>
          <w:sz w:val="24"/>
          <w:szCs w:val="24"/>
          <w:highlight w:val="none"/>
        </w:rPr>
      </w:pPr>
      <w:bookmarkStart w:id="261" w:name="_Toc23315685"/>
      <w:bookmarkStart w:id="262" w:name="_Toc23316698"/>
      <w:bookmarkStart w:id="263" w:name="_Toc536429389"/>
      <w:bookmarkStart w:id="264" w:name="_Toc536429336"/>
      <w:bookmarkStart w:id="265" w:name="_Toc23694"/>
      <w:bookmarkStart w:id="266" w:name="_Toc23316600"/>
      <w:bookmarkStart w:id="267" w:name="_Toc23677"/>
      <w:bookmarkStart w:id="268" w:name="_Toc13642253"/>
      <w:bookmarkStart w:id="269" w:name="_Toc536202396"/>
      <w:bookmarkStart w:id="270" w:name="_Toc536202327"/>
      <w:bookmarkStart w:id="271" w:name="_Toc23316536"/>
      <w:r>
        <w:rPr>
          <w:rFonts w:ascii="宋体" w:hAnsi="宋体" w:eastAsia="宋体"/>
          <w:b/>
          <w:color w:val="auto"/>
          <w:sz w:val="24"/>
          <w:szCs w:val="24"/>
          <w:highlight w:val="none"/>
        </w:rPr>
        <w:br w:type="page"/>
      </w:r>
    </w:p>
    <w:p w14:paraId="28A61259">
      <w:pPr>
        <w:pStyle w:val="4"/>
        <w:keepNext/>
        <w:keepLines/>
        <w:pageBreakBefore w:val="0"/>
        <w:widowControl/>
        <w:numPr>
          <w:ilvl w:val="0"/>
          <w:numId w:val="3"/>
        </w:numPr>
        <w:kinsoku/>
        <w:wordWrap/>
        <w:overflowPunct/>
        <w:topLinePunct w:val="0"/>
        <w:autoSpaceDE/>
        <w:autoSpaceDN/>
        <w:bidi w:val="0"/>
        <w:adjustRightInd/>
        <w:snapToGrid/>
        <w:spacing w:after="196" w:afterLines="50"/>
        <w:ind w:left="0" w:leftChars="0" w:firstLine="643" w:firstLineChars="200"/>
        <w:jc w:val="center"/>
        <w:textAlignment w:val="auto"/>
        <w:rPr>
          <w:rFonts w:hint="eastAsia" w:ascii="宋体" w:hAnsi="宋体" w:eastAsia="宋体" w:cs="Times New Roman"/>
          <w:b/>
          <w:bCs w:val="0"/>
          <w:color w:val="auto"/>
          <w:highlight w:val="none"/>
          <w:lang w:val="en-US" w:eastAsia="zh-CN"/>
        </w:rPr>
      </w:pPr>
      <w:bookmarkStart w:id="272" w:name="_Toc11657"/>
      <w:bookmarkStart w:id="273" w:name="_Toc22526"/>
      <w:r>
        <w:rPr>
          <w:rFonts w:hint="eastAsia" w:ascii="宋体" w:hAnsi="宋体" w:eastAsia="宋体" w:cs="Times New Roman"/>
          <w:b/>
          <w:bCs w:val="0"/>
          <w:color w:val="auto"/>
          <w:highlight w:val="none"/>
          <w:lang w:val="en-US" w:eastAsia="zh-CN"/>
        </w:rPr>
        <w:t>投标分项报价表</w:t>
      </w:r>
      <w:bookmarkEnd w:id="272"/>
      <w:bookmarkEnd w:id="273"/>
    </w:p>
    <w:p w14:paraId="382E8E68">
      <w:pPr>
        <w:numPr>
          <w:ilvl w:val="0"/>
          <w:numId w:val="0"/>
        </w:num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（包1</w:t>
      </w:r>
      <w:r>
        <w:rPr>
          <w:rFonts w:hint="eastAsia" w:ascii="宋体" w:hAnsi="宋体" w:eastAsia="宋体" w:cs="宋体"/>
          <w:i w:val="0"/>
          <w:iCs w:val="0"/>
          <w:caps w:val="0"/>
          <w:color w:val="auto"/>
          <w:spacing w:val="0"/>
          <w:sz w:val="24"/>
          <w:szCs w:val="24"/>
          <w:shd w:val="clear" w:fill="FFFFFF"/>
        </w:rPr>
        <w:t>新生儿配方奶粉及早期早产儿奶粉</w:t>
      </w:r>
      <w:r>
        <w:rPr>
          <w:rFonts w:hint="eastAsia" w:ascii="宋体" w:hAnsi="宋体" w:eastAsia="宋体" w:cs="宋体"/>
          <w:color w:val="auto"/>
          <w:lang w:val="en-US" w:eastAsia="zh-CN"/>
        </w:rPr>
        <w:t>）</w:t>
      </w:r>
    </w:p>
    <w:bookmarkEnd w:id="261"/>
    <w:bookmarkEnd w:id="262"/>
    <w:bookmarkEnd w:id="263"/>
    <w:bookmarkEnd w:id="264"/>
    <w:bookmarkEnd w:id="265"/>
    <w:bookmarkEnd w:id="266"/>
    <w:bookmarkEnd w:id="267"/>
    <w:bookmarkEnd w:id="268"/>
    <w:bookmarkEnd w:id="269"/>
    <w:bookmarkEnd w:id="270"/>
    <w:bookmarkEnd w:id="271"/>
    <w:p w14:paraId="42D965BA">
      <w:pPr>
        <w:widowControl w:val="0"/>
        <w:topLinePunct w:val="0"/>
        <w:bidi w:val="0"/>
        <w:spacing w:line="480" w:lineRule="exact"/>
        <w:rPr>
          <w:rFonts w:hint="default" w:ascii="宋体" w:hAnsi="宋体" w:eastAsia="宋体" w:cs="宋体"/>
          <w:color w:val="auto"/>
          <w:sz w:val="24"/>
          <w:szCs w:val="24"/>
          <w:u w:val="single"/>
          <w:lang w:val="en-US" w:eastAsia="zh-CN"/>
        </w:rPr>
      </w:pPr>
      <w:bookmarkStart w:id="274" w:name="_Toc11272"/>
      <w:bookmarkStart w:id="275" w:name="_Toc32589"/>
      <w:bookmarkStart w:id="276" w:name="_Toc8710"/>
      <w:bookmarkStart w:id="277" w:name="_Toc19543353"/>
      <w:bookmarkStart w:id="278" w:name="_Toc10667"/>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w:t>
      </w:r>
    </w:p>
    <w:p w14:paraId="6D2961AE">
      <w:pPr>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第  页   共 页  </w:t>
      </w:r>
    </w:p>
    <w:tbl>
      <w:tblPr>
        <w:tblStyle w:val="3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1287"/>
        <w:gridCol w:w="1287"/>
      </w:tblGrid>
      <w:tr w14:paraId="7FAB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noWrap w:val="0"/>
            <w:vAlign w:val="center"/>
          </w:tcPr>
          <w:p w14:paraId="700ADE15">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568" w:type="dxa"/>
            <w:noWrap w:val="0"/>
            <w:vAlign w:val="center"/>
          </w:tcPr>
          <w:p w14:paraId="62DEF2BA">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名称</w:t>
            </w:r>
          </w:p>
        </w:tc>
        <w:tc>
          <w:tcPr>
            <w:tcW w:w="964" w:type="dxa"/>
            <w:noWrap w:val="0"/>
            <w:vAlign w:val="center"/>
          </w:tcPr>
          <w:p w14:paraId="09650216">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品牌</w:t>
            </w:r>
          </w:p>
        </w:tc>
        <w:tc>
          <w:tcPr>
            <w:tcW w:w="1254" w:type="dxa"/>
            <w:noWrap w:val="0"/>
            <w:vAlign w:val="center"/>
          </w:tcPr>
          <w:p w14:paraId="45062C8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规格</w:t>
            </w:r>
          </w:p>
          <w:p w14:paraId="7C859048">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型号</w:t>
            </w:r>
          </w:p>
        </w:tc>
        <w:tc>
          <w:tcPr>
            <w:tcW w:w="1025" w:type="dxa"/>
            <w:noWrap w:val="0"/>
            <w:vAlign w:val="center"/>
          </w:tcPr>
          <w:p w14:paraId="5C0CDFEA">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生产</w:t>
            </w:r>
          </w:p>
          <w:p w14:paraId="7D913A8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厂家</w:t>
            </w:r>
          </w:p>
        </w:tc>
        <w:tc>
          <w:tcPr>
            <w:tcW w:w="1025" w:type="dxa"/>
            <w:noWrap w:val="0"/>
            <w:vAlign w:val="center"/>
          </w:tcPr>
          <w:p w14:paraId="1BFE9DF6">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w:t>
            </w:r>
          </w:p>
        </w:tc>
        <w:tc>
          <w:tcPr>
            <w:tcW w:w="874" w:type="dxa"/>
            <w:noWrap w:val="0"/>
            <w:vAlign w:val="center"/>
          </w:tcPr>
          <w:p w14:paraId="1527BC9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1287" w:type="dxa"/>
            <w:noWrap w:val="0"/>
            <w:vAlign w:val="center"/>
          </w:tcPr>
          <w:p w14:paraId="0C7EA11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最高单价限价</w:t>
            </w:r>
          </w:p>
        </w:tc>
        <w:tc>
          <w:tcPr>
            <w:tcW w:w="1287" w:type="dxa"/>
            <w:noWrap w:val="0"/>
            <w:vAlign w:val="center"/>
          </w:tcPr>
          <w:p w14:paraId="58FC0AA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投标单价</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eastAsia="宋体" w:cs="宋体"/>
                <w:color w:val="auto"/>
                <w:sz w:val="24"/>
                <w:szCs w:val="24"/>
                <w:highlight w:val="none"/>
                <w:shd w:val="clear" w:color="auto" w:fill="auto"/>
                <w:lang w:eastAsia="zh-CN"/>
              </w:rPr>
              <w:t>）</w:t>
            </w:r>
          </w:p>
        </w:tc>
      </w:tr>
      <w:tr w14:paraId="7349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4BCBA99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568" w:type="dxa"/>
            <w:noWrap w:val="0"/>
            <w:vAlign w:val="center"/>
          </w:tcPr>
          <w:p w14:paraId="73EAAD9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rPr>
              <w:t>足月儿配方奶粉1段</w:t>
            </w:r>
          </w:p>
        </w:tc>
        <w:tc>
          <w:tcPr>
            <w:tcW w:w="964" w:type="dxa"/>
            <w:noWrap w:val="0"/>
            <w:vAlign w:val="center"/>
          </w:tcPr>
          <w:p w14:paraId="25FA87B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1734673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7A4B6A7C">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4A40E9A0">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4C0BBB05">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287" w:type="dxa"/>
            <w:noWrap w:val="0"/>
            <w:vAlign w:val="center"/>
          </w:tcPr>
          <w:p w14:paraId="4D75759B">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571FD939">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r>
      <w:tr w14:paraId="7AF7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277EDD4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p>
        </w:tc>
        <w:tc>
          <w:tcPr>
            <w:tcW w:w="1568" w:type="dxa"/>
            <w:noWrap w:val="0"/>
            <w:vAlign w:val="center"/>
          </w:tcPr>
          <w:p w14:paraId="627BD5A9">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早期早产儿配方奶</w:t>
            </w:r>
          </w:p>
        </w:tc>
        <w:tc>
          <w:tcPr>
            <w:tcW w:w="964" w:type="dxa"/>
            <w:noWrap w:val="0"/>
            <w:vAlign w:val="center"/>
          </w:tcPr>
          <w:p w14:paraId="601DA8E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5C96873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3A7A9B00">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1F9BD0A7">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74CCB9F4">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287" w:type="dxa"/>
            <w:noWrap w:val="0"/>
            <w:vAlign w:val="center"/>
          </w:tcPr>
          <w:p w14:paraId="3BC3A7F8">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636317E5">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r>
      <w:tr w14:paraId="2909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5EEF9BBA">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1568" w:type="dxa"/>
            <w:noWrap w:val="0"/>
            <w:vAlign w:val="center"/>
          </w:tcPr>
          <w:p w14:paraId="459DC93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7096B53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720C4945">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7FE49E5F">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7192A1F4">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0748D623">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287" w:type="dxa"/>
            <w:noWrap w:val="0"/>
            <w:vAlign w:val="center"/>
          </w:tcPr>
          <w:p w14:paraId="76C1CC14">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2F08D9F1">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r>
      <w:tr w14:paraId="3F64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noWrap w:val="0"/>
            <w:vAlign w:val="center"/>
          </w:tcPr>
          <w:p w14:paraId="40D6696E">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lang w:val="en-US" w:eastAsia="zh-CN"/>
              </w:rPr>
            </w:pPr>
            <w:r>
              <w:rPr>
                <w:rFonts w:hint="eastAsia" w:ascii="宋体" w:hAnsi="宋体" w:eastAsia="宋体" w:cs="宋体"/>
                <w:color w:val="auto"/>
                <w:spacing w:val="-6"/>
                <w:sz w:val="24"/>
                <w:szCs w:val="24"/>
                <w:highlight w:val="none"/>
                <w:shd w:val="clear" w:color="auto" w:fill="auto"/>
                <w:lang w:val="en-US" w:eastAsia="zh-CN"/>
              </w:rPr>
              <w:t>...</w:t>
            </w:r>
          </w:p>
        </w:tc>
        <w:tc>
          <w:tcPr>
            <w:tcW w:w="1568" w:type="dxa"/>
            <w:noWrap w:val="0"/>
            <w:vAlign w:val="center"/>
          </w:tcPr>
          <w:p w14:paraId="1780F83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7B789A6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729EB21E">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5732D76D">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2844FD48">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1FB5911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2BE27F99">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2D4783B2">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r>
      <w:tr w14:paraId="1517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noWrap w:val="0"/>
            <w:vAlign w:val="center"/>
          </w:tcPr>
          <w:p w14:paraId="028F7DCC">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4B8555E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6772731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3980AC18">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67A6FE16">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3C0741CC">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11911349">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7225A49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316A9E8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r>
      <w:tr w14:paraId="36B8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noWrap w:val="0"/>
            <w:vAlign w:val="center"/>
          </w:tcPr>
          <w:p w14:paraId="3A97B54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7806654D">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02AEBD2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248363E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7AAF05C2">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61E01D98">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1388A6C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47A69C9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42670E4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r>
      <w:tr w14:paraId="75D2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89" w:type="dxa"/>
            <w:gridSpan w:val="9"/>
            <w:tcBorders>
              <w:top w:val="single" w:color="auto" w:sz="4" w:space="0"/>
              <w:left w:val="single" w:color="auto" w:sz="4" w:space="0"/>
              <w:bottom w:val="single" w:color="auto" w:sz="4" w:space="0"/>
              <w:right w:val="single" w:color="auto" w:sz="4" w:space="0"/>
            </w:tcBorders>
            <w:noWrap w:val="0"/>
            <w:vAlign w:val="center"/>
          </w:tcPr>
          <w:p w14:paraId="6A0ECCD5">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r>
              <w:rPr>
                <w:rFonts w:hint="eastAsia" w:hAnsi="宋体" w:cs="宋体"/>
                <w:color w:val="auto"/>
                <w:spacing w:val="-6"/>
                <w:sz w:val="24"/>
                <w:szCs w:val="24"/>
                <w:highlight w:val="none"/>
                <w:shd w:val="clear" w:color="auto" w:fill="auto"/>
                <w:lang w:val="en-US" w:eastAsia="zh-CN"/>
              </w:rPr>
              <w:t>单价合计</w:t>
            </w:r>
            <w:r>
              <w:rPr>
                <w:rFonts w:hint="eastAsia" w:ascii="宋体" w:hAnsi="宋体" w:eastAsia="宋体" w:cs="宋体"/>
                <w:color w:val="auto"/>
                <w:spacing w:val="-6"/>
                <w:sz w:val="24"/>
                <w:szCs w:val="24"/>
                <w:highlight w:val="none"/>
                <w:shd w:val="clear" w:color="auto" w:fill="auto"/>
              </w:rPr>
              <w:t>（人民币大写）：                                 （￥                元）</w:t>
            </w:r>
          </w:p>
        </w:tc>
      </w:tr>
      <w:tr w14:paraId="7888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89" w:type="dxa"/>
            <w:gridSpan w:val="9"/>
            <w:tcBorders>
              <w:top w:val="single" w:color="auto" w:sz="4" w:space="0"/>
              <w:left w:val="single" w:color="auto" w:sz="4" w:space="0"/>
              <w:bottom w:val="single" w:color="auto" w:sz="4" w:space="0"/>
              <w:right w:val="single" w:color="auto" w:sz="4" w:space="0"/>
            </w:tcBorders>
            <w:noWrap w:val="0"/>
            <w:vAlign w:val="center"/>
          </w:tcPr>
          <w:p w14:paraId="111C09F6">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备注：表内报价内容以元为单位。</w:t>
            </w:r>
          </w:p>
        </w:tc>
      </w:tr>
    </w:tbl>
    <w:p w14:paraId="661B31EA">
      <w:pPr>
        <w:topLinePunct w:val="0"/>
        <w:bidi w:val="0"/>
        <w:spacing w:line="480" w:lineRule="exact"/>
        <w:rPr>
          <w:rFonts w:hint="eastAsia" w:ascii="宋体" w:hAnsi="宋体" w:eastAsia="宋体" w:cs="宋体"/>
          <w:color w:val="auto"/>
          <w:sz w:val="24"/>
          <w:szCs w:val="24"/>
        </w:rPr>
      </w:pPr>
    </w:p>
    <w:p w14:paraId="51C7B4D2">
      <w:pPr>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注：1.投标人可根据实际情况自行扩展表格细项。</w:t>
      </w:r>
    </w:p>
    <w:p w14:paraId="7EF5B314">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2.如果分项报价合计与投标总报价不一致，以分项报价合计为准。</w:t>
      </w:r>
    </w:p>
    <w:p w14:paraId="10C8D265">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3.如果不提供详细分项报价将视为没有实质性响应</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w:t>
      </w:r>
    </w:p>
    <w:p w14:paraId="717C5B44">
      <w:pPr>
        <w:topLinePunct w:val="0"/>
        <w:bidi w:val="0"/>
        <w:spacing w:line="480" w:lineRule="exact"/>
        <w:ind w:firstLine="480" w:firstLineChars="200"/>
        <w:rPr>
          <w:rFonts w:hint="eastAsia" w:ascii="宋体" w:hAnsi="宋体" w:eastAsia="宋体" w:cs="宋体"/>
          <w:color w:val="auto"/>
          <w:sz w:val="24"/>
          <w:szCs w:val="24"/>
        </w:rPr>
      </w:pPr>
    </w:p>
    <w:p w14:paraId="077BCD3D">
      <w:pPr>
        <w:topLinePunct w:val="0"/>
        <w:bidi w:val="0"/>
        <w:spacing w:line="480" w:lineRule="exact"/>
        <w:ind w:firstLine="480" w:firstLineChars="200"/>
        <w:rPr>
          <w:rFonts w:hint="eastAsia" w:ascii="宋体" w:hAnsi="宋体" w:eastAsia="宋体" w:cs="宋体"/>
          <w:color w:val="auto"/>
          <w:sz w:val="24"/>
          <w:szCs w:val="24"/>
        </w:rPr>
      </w:pPr>
    </w:p>
    <w:p w14:paraId="19915075">
      <w:pPr>
        <w:topLinePunct w:val="0"/>
        <w:bidi w:val="0"/>
        <w:spacing w:line="480" w:lineRule="exact"/>
        <w:ind w:firstLine="480" w:firstLineChars="200"/>
        <w:rPr>
          <w:rFonts w:hint="eastAsia" w:ascii="宋体" w:hAnsi="宋体" w:eastAsia="宋体" w:cs="宋体"/>
          <w:color w:val="auto"/>
          <w:sz w:val="24"/>
          <w:szCs w:val="24"/>
        </w:rPr>
      </w:pPr>
    </w:p>
    <w:p w14:paraId="3931794A">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投标人名称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14:paraId="4DF46B62">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r>
        <w:rPr>
          <w:rFonts w:hint="eastAsia" w:ascii="宋体" w:hAnsi="宋体" w:eastAsia="宋体" w:cs="宋体"/>
          <w:b/>
          <w:bCs/>
          <w:color w:val="auto"/>
          <w:sz w:val="24"/>
          <w:szCs w:val="24"/>
          <w:u w:val="none"/>
          <w:lang w:val="en-US" w:eastAsia="zh-CN"/>
        </w:rPr>
        <w:t>_________________</w:t>
      </w:r>
    </w:p>
    <w:p w14:paraId="511EE3AE">
      <w:pPr>
        <w:widowControl w:val="0"/>
        <w:topLinePunct w:val="0"/>
        <w:bidi w:val="0"/>
        <w:adjustRightInd w:val="0"/>
        <w:snapToGrid w:val="0"/>
        <w:spacing w:line="480" w:lineRule="exact"/>
        <w:rPr>
          <w:rFonts w:hint="eastAsia" w:ascii="宋体" w:hAnsi="宋体" w:eastAsia="宋体" w:cs="宋体"/>
          <w:color w:val="auto"/>
          <w:sz w:val="24"/>
          <w:szCs w:val="24"/>
          <w:lang w:val="en-US" w:eastAsia="zh-CN"/>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676CC424">
      <w:pPr>
        <w:numPr>
          <w:ilvl w:val="0"/>
          <w:numId w:val="0"/>
        </w:numPr>
        <w:jc w:val="center"/>
        <w:rPr>
          <w:rFonts w:hint="eastAsia"/>
          <w:lang w:val="en-US" w:eastAsia="zh-CN"/>
        </w:rPr>
      </w:pPr>
    </w:p>
    <w:p w14:paraId="6A6A3BE1">
      <w:pPr>
        <w:numPr>
          <w:ilvl w:val="0"/>
          <w:numId w:val="0"/>
        </w:num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（包2新生儿配方奶粉及晚期早产儿奶粉）</w:t>
      </w:r>
    </w:p>
    <w:p w14:paraId="3071A7F7">
      <w:pPr>
        <w:widowControl w:val="0"/>
        <w:topLinePunct w:val="0"/>
        <w:bidi w:val="0"/>
        <w:spacing w:line="480" w:lineRule="exact"/>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w:t>
      </w:r>
    </w:p>
    <w:p w14:paraId="130A592E">
      <w:pPr>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第  页   共 页  </w:t>
      </w:r>
    </w:p>
    <w:tbl>
      <w:tblPr>
        <w:tblStyle w:val="3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1287"/>
        <w:gridCol w:w="1287"/>
      </w:tblGrid>
      <w:tr w14:paraId="7DB3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noWrap w:val="0"/>
            <w:vAlign w:val="center"/>
          </w:tcPr>
          <w:p w14:paraId="572438B8">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568" w:type="dxa"/>
            <w:noWrap w:val="0"/>
            <w:vAlign w:val="center"/>
          </w:tcPr>
          <w:p w14:paraId="126F4C3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名称</w:t>
            </w:r>
          </w:p>
        </w:tc>
        <w:tc>
          <w:tcPr>
            <w:tcW w:w="964" w:type="dxa"/>
            <w:noWrap w:val="0"/>
            <w:vAlign w:val="center"/>
          </w:tcPr>
          <w:p w14:paraId="5546AB4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品牌</w:t>
            </w:r>
          </w:p>
        </w:tc>
        <w:tc>
          <w:tcPr>
            <w:tcW w:w="1254" w:type="dxa"/>
            <w:noWrap w:val="0"/>
            <w:vAlign w:val="center"/>
          </w:tcPr>
          <w:p w14:paraId="420B5EC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规格</w:t>
            </w:r>
          </w:p>
          <w:p w14:paraId="4FCBA28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型号</w:t>
            </w:r>
          </w:p>
        </w:tc>
        <w:tc>
          <w:tcPr>
            <w:tcW w:w="1025" w:type="dxa"/>
            <w:noWrap w:val="0"/>
            <w:vAlign w:val="center"/>
          </w:tcPr>
          <w:p w14:paraId="0FEA09B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生产</w:t>
            </w:r>
          </w:p>
          <w:p w14:paraId="5A76153E">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厂家</w:t>
            </w:r>
          </w:p>
        </w:tc>
        <w:tc>
          <w:tcPr>
            <w:tcW w:w="1025" w:type="dxa"/>
            <w:noWrap w:val="0"/>
            <w:vAlign w:val="center"/>
          </w:tcPr>
          <w:p w14:paraId="5F2D8779">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w:t>
            </w:r>
          </w:p>
        </w:tc>
        <w:tc>
          <w:tcPr>
            <w:tcW w:w="874" w:type="dxa"/>
            <w:noWrap w:val="0"/>
            <w:vAlign w:val="center"/>
          </w:tcPr>
          <w:p w14:paraId="7D27404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1287" w:type="dxa"/>
            <w:noWrap w:val="0"/>
            <w:vAlign w:val="center"/>
          </w:tcPr>
          <w:p w14:paraId="4CA3132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最高单价限价</w:t>
            </w:r>
          </w:p>
        </w:tc>
        <w:tc>
          <w:tcPr>
            <w:tcW w:w="1287" w:type="dxa"/>
            <w:noWrap w:val="0"/>
            <w:vAlign w:val="center"/>
          </w:tcPr>
          <w:p w14:paraId="28C0A74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投标单价</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eastAsia="宋体" w:cs="宋体"/>
                <w:color w:val="auto"/>
                <w:sz w:val="24"/>
                <w:szCs w:val="24"/>
                <w:highlight w:val="none"/>
                <w:shd w:val="clear" w:color="auto" w:fill="auto"/>
                <w:lang w:eastAsia="zh-CN"/>
              </w:rPr>
              <w:t>）</w:t>
            </w:r>
          </w:p>
        </w:tc>
      </w:tr>
      <w:tr w14:paraId="7532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6D2331A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568" w:type="dxa"/>
            <w:noWrap w:val="0"/>
            <w:vAlign w:val="center"/>
          </w:tcPr>
          <w:p w14:paraId="11A2DED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rPr>
              <w:t>足月儿配方奶粉1段</w:t>
            </w:r>
          </w:p>
        </w:tc>
        <w:tc>
          <w:tcPr>
            <w:tcW w:w="964" w:type="dxa"/>
            <w:noWrap w:val="0"/>
            <w:vAlign w:val="center"/>
          </w:tcPr>
          <w:p w14:paraId="3D73EF76">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2E2D8B5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36623018">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5C95B427">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6F728784">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287" w:type="dxa"/>
            <w:noWrap w:val="0"/>
            <w:vAlign w:val="center"/>
          </w:tcPr>
          <w:p w14:paraId="1682ECDE">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2C0A02A5">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r>
      <w:tr w14:paraId="68CB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481DC56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p>
        </w:tc>
        <w:tc>
          <w:tcPr>
            <w:tcW w:w="1568" w:type="dxa"/>
            <w:noWrap w:val="0"/>
            <w:vAlign w:val="center"/>
          </w:tcPr>
          <w:p w14:paraId="55E0C14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晚</w:t>
            </w:r>
            <w:r>
              <w:rPr>
                <w:rFonts w:hint="eastAsia" w:ascii="宋体" w:hAnsi="宋体" w:eastAsia="宋体" w:cs="宋体"/>
                <w:color w:val="auto"/>
                <w:sz w:val="24"/>
                <w:szCs w:val="24"/>
                <w:highlight w:val="none"/>
                <w:shd w:val="clear" w:color="auto" w:fill="auto"/>
              </w:rPr>
              <w:t>期早产儿配方奶</w:t>
            </w:r>
          </w:p>
        </w:tc>
        <w:tc>
          <w:tcPr>
            <w:tcW w:w="964" w:type="dxa"/>
            <w:noWrap w:val="0"/>
            <w:vAlign w:val="center"/>
          </w:tcPr>
          <w:p w14:paraId="168831A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2A783D6D">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25C12C0F">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27B50961">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0AF9DC38">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287" w:type="dxa"/>
            <w:noWrap w:val="0"/>
            <w:vAlign w:val="center"/>
          </w:tcPr>
          <w:p w14:paraId="21767832">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23BC22CE">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r>
      <w:tr w14:paraId="031A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66BEE67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1568" w:type="dxa"/>
            <w:noWrap w:val="0"/>
            <w:vAlign w:val="center"/>
          </w:tcPr>
          <w:p w14:paraId="00EE8D3B">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6CA10A46">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6B19F9F9">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6612F1EB">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645F2373">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46159355">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p>
        </w:tc>
        <w:tc>
          <w:tcPr>
            <w:tcW w:w="1287" w:type="dxa"/>
            <w:noWrap w:val="0"/>
            <w:vAlign w:val="center"/>
          </w:tcPr>
          <w:p w14:paraId="24134480">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7170B1E8">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p>
        </w:tc>
      </w:tr>
      <w:tr w14:paraId="4374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noWrap w:val="0"/>
            <w:vAlign w:val="center"/>
          </w:tcPr>
          <w:p w14:paraId="4A6BFC66">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lang w:val="en-US" w:eastAsia="zh-CN"/>
              </w:rPr>
            </w:pPr>
            <w:r>
              <w:rPr>
                <w:rFonts w:hint="eastAsia" w:ascii="宋体" w:hAnsi="宋体" w:eastAsia="宋体" w:cs="宋体"/>
                <w:color w:val="auto"/>
                <w:spacing w:val="-6"/>
                <w:sz w:val="24"/>
                <w:szCs w:val="24"/>
                <w:highlight w:val="none"/>
                <w:shd w:val="clear" w:color="auto" w:fill="auto"/>
                <w:lang w:val="en-US" w:eastAsia="zh-CN"/>
              </w:rPr>
              <w:t>...</w:t>
            </w:r>
          </w:p>
        </w:tc>
        <w:tc>
          <w:tcPr>
            <w:tcW w:w="1568" w:type="dxa"/>
            <w:noWrap w:val="0"/>
            <w:vAlign w:val="center"/>
          </w:tcPr>
          <w:p w14:paraId="3564509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0411B47A">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5A57328A">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5111C9BD">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6FC3E253">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50E3A9A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744EC63A">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0CFC0ED8">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r>
      <w:tr w14:paraId="05C5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noWrap w:val="0"/>
            <w:vAlign w:val="center"/>
          </w:tcPr>
          <w:p w14:paraId="77A6A8F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07436E3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679A60DD">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5DC2EC5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6D168D9F">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4B4D08D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5301CBE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11B9A25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4815D9C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r>
      <w:tr w14:paraId="6185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noWrap w:val="0"/>
            <w:vAlign w:val="center"/>
          </w:tcPr>
          <w:p w14:paraId="10A91C7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53809E7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444900A9">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6729973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1C76280C">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0E4D2F6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2DAA639E">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54998790">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c>
          <w:tcPr>
            <w:tcW w:w="1287" w:type="dxa"/>
            <w:noWrap w:val="0"/>
            <w:vAlign w:val="center"/>
          </w:tcPr>
          <w:p w14:paraId="14C1AD37">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pacing w:val="-6"/>
                <w:sz w:val="24"/>
                <w:szCs w:val="24"/>
                <w:highlight w:val="none"/>
                <w:shd w:val="clear" w:color="auto" w:fill="auto"/>
              </w:rPr>
            </w:pPr>
          </w:p>
        </w:tc>
      </w:tr>
      <w:tr w14:paraId="0245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89" w:type="dxa"/>
            <w:gridSpan w:val="9"/>
            <w:tcBorders>
              <w:top w:val="single" w:color="auto" w:sz="4" w:space="0"/>
              <w:left w:val="single" w:color="auto" w:sz="4" w:space="0"/>
              <w:bottom w:val="single" w:color="auto" w:sz="4" w:space="0"/>
              <w:right w:val="single" w:color="auto" w:sz="4" w:space="0"/>
            </w:tcBorders>
            <w:noWrap w:val="0"/>
            <w:vAlign w:val="center"/>
          </w:tcPr>
          <w:p w14:paraId="06537AD5">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r>
              <w:rPr>
                <w:rFonts w:hint="eastAsia" w:hAnsi="宋体" w:cs="宋体"/>
                <w:color w:val="auto"/>
                <w:spacing w:val="-6"/>
                <w:sz w:val="24"/>
                <w:szCs w:val="24"/>
                <w:highlight w:val="none"/>
                <w:shd w:val="clear" w:color="auto" w:fill="auto"/>
                <w:lang w:val="en-US" w:eastAsia="zh-CN"/>
              </w:rPr>
              <w:t>单价合计</w:t>
            </w:r>
            <w:r>
              <w:rPr>
                <w:rFonts w:hint="eastAsia" w:ascii="宋体" w:hAnsi="宋体" w:eastAsia="宋体" w:cs="宋体"/>
                <w:color w:val="auto"/>
                <w:spacing w:val="-6"/>
                <w:sz w:val="24"/>
                <w:szCs w:val="24"/>
                <w:highlight w:val="none"/>
                <w:shd w:val="clear" w:color="auto" w:fill="auto"/>
              </w:rPr>
              <w:t>（人民币大写）：                                 （￥                元）</w:t>
            </w:r>
          </w:p>
        </w:tc>
      </w:tr>
      <w:tr w14:paraId="64B8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89" w:type="dxa"/>
            <w:gridSpan w:val="9"/>
            <w:tcBorders>
              <w:top w:val="single" w:color="auto" w:sz="4" w:space="0"/>
              <w:left w:val="single" w:color="auto" w:sz="4" w:space="0"/>
              <w:bottom w:val="single" w:color="auto" w:sz="4" w:space="0"/>
              <w:right w:val="single" w:color="auto" w:sz="4" w:space="0"/>
            </w:tcBorders>
            <w:noWrap w:val="0"/>
            <w:vAlign w:val="center"/>
          </w:tcPr>
          <w:p w14:paraId="4DD3F460">
            <w:pPr>
              <w:pStyle w:val="19"/>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备注：表内报价内容以元为单位。</w:t>
            </w:r>
          </w:p>
        </w:tc>
      </w:tr>
    </w:tbl>
    <w:p w14:paraId="6A3A9A67">
      <w:pPr>
        <w:topLinePunct w:val="0"/>
        <w:bidi w:val="0"/>
        <w:spacing w:line="480" w:lineRule="exact"/>
        <w:rPr>
          <w:rFonts w:hint="eastAsia" w:ascii="宋体" w:hAnsi="宋体" w:eastAsia="宋体" w:cs="宋体"/>
          <w:color w:val="auto"/>
          <w:sz w:val="24"/>
          <w:szCs w:val="24"/>
        </w:rPr>
      </w:pPr>
    </w:p>
    <w:p w14:paraId="28E5F3C1">
      <w:pPr>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注：1.投标人可根据实际情况自行扩展表格细项。</w:t>
      </w:r>
    </w:p>
    <w:p w14:paraId="2E7DDF5A">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2.如果分项报价合计与投标总报价不一致，以分项报价合计为准。</w:t>
      </w:r>
    </w:p>
    <w:p w14:paraId="2B600D28">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3.如果不提供详细分项报价将视为没有实质性响应</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w:t>
      </w:r>
    </w:p>
    <w:p w14:paraId="6E178686">
      <w:pPr>
        <w:topLinePunct w:val="0"/>
        <w:bidi w:val="0"/>
        <w:spacing w:line="480" w:lineRule="exact"/>
        <w:ind w:firstLine="480" w:firstLineChars="200"/>
        <w:rPr>
          <w:rFonts w:hint="eastAsia" w:ascii="宋体" w:hAnsi="宋体" w:eastAsia="宋体" w:cs="宋体"/>
          <w:color w:val="auto"/>
          <w:sz w:val="24"/>
          <w:szCs w:val="24"/>
        </w:rPr>
      </w:pPr>
    </w:p>
    <w:p w14:paraId="58E5AC77">
      <w:pPr>
        <w:topLinePunct w:val="0"/>
        <w:bidi w:val="0"/>
        <w:spacing w:line="480" w:lineRule="exact"/>
        <w:ind w:firstLine="480" w:firstLineChars="200"/>
        <w:rPr>
          <w:rFonts w:hint="eastAsia" w:ascii="宋体" w:hAnsi="宋体" w:eastAsia="宋体" w:cs="宋体"/>
          <w:color w:val="auto"/>
          <w:sz w:val="24"/>
          <w:szCs w:val="24"/>
        </w:rPr>
      </w:pPr>
    </w:p>
    <w:p w14:paraId="5D784BED">
      <w:pPr>
        <w:topLinePunct w:val="0"/>
        <w:bidi w:val="0"/>
        <w:spacing w:line="480" w:lineRule="exact"/>
        <w:ind w:firstLine="480" w:firstLineChars="200"/>
        <w:rPr>
          <w:rFonts w:hint="eastAsia" w:ascii="宋体" w:hAnsi="宋体" w:eastAsia="宋体" w:cs="宋体"/>
          <w:color w:val="auto"/>
          <w:sz w:val="24"/>
          <w:szCs w:val="24"/>
        </w:rPr>
      </w:pPr>
    </w:p>
    <w:p w14:paraId="726EA4AA">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投标人名称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14:paraId="62E2F6DA">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r>
        <w:rPr>
          <w:rFonts w:hint="eastAsia" w:ascii="宋体" w:hAnsi="宋体" w:eastAsia="宋体" w:cs="宋体"/>
          <w:b/>
          <w:bCs/>
          <w:color w:val="auto"/>
          <w:sz w:val="24"/>
          <w:szCs w:val="24"/>
          <w:u w:val="none"/>
          <w:lang w:val="en-US" w:eastAsia="zh-CN"/>
        </w:rPr>
        <w:t>_________________</w:t>
      </w:r>
    </w:p>
    <w:p w14:paraId="7E7AFFB7">
      <w:pPr>
        <w:widowControl w:val="0"/>
        <w:topLinePunct w:val="0"/>
        <w:bidi w:val="0"/>
        <w:adjustRightInd w:val="0"/>
        <w:snapToGrid w:val="0"/>
        <w:spacing w:line="480" w:lineRule="exact"/>
        <w:rPr>
          <w:rFonts w:ascii="宋体" w:hAnsi="宋体" w:eastAsia="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1FFF6EF2">
      <w:pPr>
        <w:pStyle w:val="2"/>
        <w:rPr>
          <w:color w:val="auto"/>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63F562F0"/>
    <w:p w14:paraId="271640E4">
      <w:pPr>
        <w:pStyle w:val="13"/>
        <w:rPr>
          <w:rFonts w:hint="eastAsia" w:ascii="宋体" w:hAnsi="宋体" w:eastAsia="宋体" w:cs="Times New Roman"/>
          <w:b/>
          <w:bCs w:val="0"/>
          <w:color w:val="auto"/>
          <w:highlight w:val="none"/>
          <w:lang w:eastAsia="zh-CN"/>
        </w:rPr>
      </w:pPr>
    </w:p>
    <w:p w14:paraId="29B56AE5">
      <w:pPr>
        <w:pStyle w:val="4"/>
        <w:keepNext/>
        <w:keepLines/>
        <w:pageBreakBefore w:val="0"/>
        <w:widowControl/>
        <w:kinsoku/>
        <w:wordWrap/>
        <w:overflowPunct/>
        <w:topLinePunct w:val="0"/>
        <w:autoSpaceDE/>
        <w:autoSpaceDN/>
        <w:bidi w:val="0"/>
        <w:adjustRightInd/>
        <w:snapToGrid/>
        <w:spacing w:after="196" w:afterLines="50"/>
        <w:jc w:val="center"/>
        <w:textAlignment w:val="auto"/>
        <w:rPr>
          <w:rFonts w:hint="eastAsia" w:ascii="宋体" w:hAnsi="宋体" w:eastAsia="宋体" w:cs="Times New Roman"/>
          <w:b/>
          <w:bCs w:val="0"/>
          <w:color w:val="000000" w:themeColor="text1"/>
          <w:highlight w:val="none"/>
          <w:lang w:eastAsia="zh-CN"/>
          <w14:textFill>
            <w14:solidFill>
              <w14:schemeClr w14:val="tx1"/>
            </w14:solidFill>
          </w14:textFill>
        </w:rPr>
      </w:pPr>
      <w:bookmarkStart w:id="279" w:name="_Toc30945"/>
      <w:r>
        <w:rPr>
          <w:rFonts w:hint="eastAsia" w:ascii="宋体" w:hAnsi="宋体" w:eastAsia="宋体" w:cs="Times New Roman"/>
          <w:b/>
          <w:bCs w:val="0"/>
          <w:color w:val="auto"/>
          <w:highlight w:val="none"/>
          <w:lang w:val="en-US" w:eastAsia="zh-CN"/>
        </w:rPr>
        <w:t>四</w:t>
      </w:r>
      <w:r>
        <w:rPr>
          <w:rFonts w:hint="eastAsia" w:ascii="宋体" w:hAnsi="宋体" w:eastAsia="宋体" w:cs="Times New Roman"/>
          <w:b/>
          <w:bCs w:val="0"/>
          <w:color w:val="auto"/>
          <w:highlight w:val="none"/>
          <w:lang w:eastAsia="zh-CN"/>
        </w:rPr>
        <w:t>、</w:t>
      </w:r>
      <w:r>
        <w:rPr>
          <w:rFonts w:hint="eastAsia" w:ascii="宋体" w:hAnsi="宋体" w:eastAsia="宋体" w:cs="Times New Roman"/>
          <w:b/>
          <w:bCs w:val="0"/>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b/>
          <w:bCs w:val="0"/>
          <w:color w:val="000000" w:themeColor="text1"/>
          <w:highlight w:val="none"/>
          <w:lang w:eastAsia="zh-CN"/>
          <w14:textFill>
            <w14:solidFill>
              <w14:schemeClr w14:val="tx1"/>
            </w14:solidFill>
          </w14:textFill>
        </w:rPr>
        <w:t>供应商</w:t>
      </w:r>
      <w:bookmarkEnd w:id="274"/>
      <w:bookmarkEnd w:id="275"/>
      <w:bookmarkEnd w:id="276"/>
      <w:bookmarkEnd w:id="279"/>
      <w:r>
        <w:rPr>
          <w:rFonts w:hint="eastAsia" w:ascii="宋体" w:hAnsi="宋体" w:eastAsia="宋体" w:cs="Times New Roman"/>
          <w:b/>
          <w:bCs w:val="0"/>
          <w:color w:val="000000" w:themeColor="text1"/>
          <w:highlight w:val="none"/>
          <w:lang w:eastAsia="zh-CN"/>
          <w14:textFill>
            <w14:solidFill>
              <w14:schemeClr w14:val="tx1"/>
            </w14:solidFill>
          </w14:textFill>
        </w:rPr>
        <w:t>资格证明文件</w:t>
      </w:r>
    </w:p>
    <w:p w14:paraId="48669ACB">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652B278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shd w:val="clear" w:fill="FFFFFF"/>
        </w:rPr>
        <w:t>法定代表人授权书及被授权人身份</w:t>
      </w:r>
      <w:r>
        <w:rPr>
          <w:rFonts w:hint="eastAsia" w:ascii="宋体" w:hAnsi="宋体" w:eastAsia="宋体" w:cs="宋体"/>
          <w:i w:val="0"/>
          <w:iCs w:val="0"/>
          <w:caps w:val="0"/>
          <w:color w:val="auto"/>
          <w:spacing w:val="0"/>
          <w:sz w:val="24"/>
          <w:szCs w:val="24"/>
          <w:shd w:val="clear" w:fill="FFFFFF"/>
          <w:lang w:val="en-US" w:eastAsia="zh-CN"/>
        </w:rPr>
        <w:t>证明资料</w:t>
      </w:r>
      <w:r>
        <w:rPr>
          <w:rFonts w:hint="eastAsia" w:ascii="宋体" w:hAnsi="宋体" w:eastAsia="宋体" w:cs="宋体"/>
          <w:i w:val="0"/>
          <w:iCs w:val="0"/>
          <w:caps w:val="0"/>
          <w:color w:val="auto"/>
          <w:spacing w:val="0"/>
          <w:sz w:val="24"/>
          <w:szCs w:val="24"/>
          <w:shd w:val="clear" w:fill="FFFFFF"/>
        </w:rPr>
        <w:t>（法定代表人直接投标时需提交其身份证明资料）（非法人投标供应商参照执行）。</w:t>
      </w:r>
    </w:p>
    <w:p w14:paraId="3C8CD2F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28373058">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4.书面声明：投标人必须提供参加政府采购活动前3年内在经营活动中没有重大违法记录的书面声明。</w:t>
      </w:r>
    </w:p>
    <w:p w14:paraId="72BF1740">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357825D8">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0BE65A8">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7.社会保障资金缴纳证明：提供</w:t>
      </w:r>
      <w:r>
        <w:rPr>
          <w:rFonts w:hint="eastAsia" w:ascii="宋体" w:hAnsi="宋体" w:eastAsia="宋体" w:cs="宋体"/>
          <w:i w:val="0"/>
          <w:iCs w:val="0"/>
          <w:caps w:val="0"/>
          <w:color w:val="auto"/>
          <w:spacing w:val="0"/>
          <w:sz w:val="24"/>
          <w:szCs w:val="24"/>
          <w:shd w:val="clear" w:fill="FFFFFF"/>
          <w:lang w:val="en-US" w:eastAsia="zh-CN"/>
        </w:rPr>
        <w:t>2025</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月至今任意</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4AC7075">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本项目不接受联合体投标。</w:t>
      </w:r>
    </w:p>
    <w:p w14:paraId="7D0B9130">
      <w:pPr>
        <w:tabs>
          <w:tab w:val="left" w:pos="210"/>
        </w:tabs>
        <w:spacing w:line="420" w:lineRule="exact"/>
        <w:jc w:val="center"/>
        <w:rPr>
          <w:rFonts w:hint="eastAsia" w:ascii="宋体" w:hAnsi="宋体" w:eastAsia="宋体" w:cs="宋体"/>
          <w:b/>
          <w:color w:val="auto"/>
          <w:kern w:val="0"/>
          <w:sz w:val="32"/>
          <w:szCs w:val="32"/>
          <w:highlight w:val="none"/>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0361FA0E">
      <w:pPr>
        <w:tabs>
          <w:tab w:val="left" w:pos="210"/>
        </w:tabs>
        <w:spacing w:line="420" w:lineRule="exact"/>
        <w:jc w:val="center"/>
        <w:rPr>
          <w:rFonts w:hint="eastAsia" w:ascii="宋体" w:hAnsi="宋体" w:eastAsia="宋体" w:cs="宋体"/>
          <w:b/>
          <w:color w:val="auto"/>
          <w:kern w:val="0"/>
          <w:sz w:val="32"/>
          <w:szCs w:val="32"/>
          <w:highlight w:val="none"/>
        </w:rPr>
      </w:pPr>
    </w:p>
    <w:p w14:paraId="202AFDBC">
      <w:pPr>
        <w:tabs>
          <w:tab w:val="left" w:pos="210"/>
        </w:tabs>
        <w:spacing w:line="4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法定代表人证明书</w:t>
      </w:r>
    </w:p>
    <w:p w14:paraId="0297CB72">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97"/>
        <w:gridCol w:w="2159"/>
        <w:gridCol w:w="457"/>
        <w:gridCol w:w="2161"/>
        <w:gridCol w:w="2118"/>
      </w:tblGrid>
      <w:tr w14:paraId="7EA5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60" w:type="dxa"/>
            <w:gridSpan w:val="6"/>
            <w:vAlign w:val="center"/>
          </w:tcPr>
          <w:p w14:paraId="24433E6E">
            <w:pPr>
              <w:keepNext w:val="0"/>
              <w:keepLines w:val="0"/>
              <w:widowControl/>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lang w:eastAsia="zh-CN"/>
              </w:rPr>
              <w:t>安康尚昊招标代理有限公司</w:t>
            </w:r>
          </w:p>
        </w:tc>
      </w:tr>
      <w:tr w14:paraId="6748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459647C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14:paraId="5E4F4FE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p w14:paraId="4FBD33B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14:paraId="73F76190">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p w14:paraId="33DE53A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14:paraId="64BBA34E">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p w14:paraId="5A3BFD1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897" w:type="dxa"/>
            <w:vAlign w:val="center"/>
          </w:tcPr>
          <w:p w14:paraId="576EBFBB">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895" w:type="dxa"/>
            <w:gridSpan w:val="4"/>
            <w:vAlign w:val="center"/>
          </w:tcPr>
          <w:p w14:paraId="5A23ADB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5883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34BBEDF1">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1897" w:type="dxa"/>
            <w:vAlign w:val="center"/>
          </w:tcPr>
          <w:p w14:paraId="2B45BE97">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895" w:type="dxa"/>
            <w:gridSpan w:val="4"/>
            <w:vAlign w:val="center"/>
          </w:tcPr>
          <w:p w14:paraId="365AEB2B">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247B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061CA9C2">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1897" w:type="dxa"/>
            <w:vAlign w:val="center"/>
          </w:tcPr>
          <w:p w14:paraId="1FFE4CFC">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895" w:type="dxa"/>
            <w:gridSpan w:val="4"/>
            <w:vAlign w:val="center"/>
          </w:tcPr>
          <w:p w14:paraId="4D78797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1AE6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4136FF57">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1897" w:type="dxa"/>
            <w:vAlign w:val="center"/>
          </w:tcPr>
          <w:p w14:paraId="689A7E6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工商登记机关</w:t>
            </w:r>
          </w:p>
        </w:tc>
        <w:tc>
          <w:tcPr>
            <w:tcW w:w="6895" w:type="dxa"/>
            <w:gridSpan w:val="4"/>
            <w:vAlign w:val="center"/>
          </w:tcPr>
          <w:p w14:paraId="4D86ED28">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48EA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68" w:type="dxa"/>
            <w:vMerge w:val="continue"/>
            <w:vAlign w:val="center"/>
          </w:tcPr>
          <w:p w14:paraId="56D0F54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1897" w:type="dxa"/>
            <w:vAlign w:val="center"/>
          </w:tcPr>
          <w:p w14:paraId="0EFB6961">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税务登记机关</w:t>
            </w:r>
          </w:p>
        </w:tc>
        <w:tc>
          <w:tcPr>
            <w:tcW w:w="6895" w:type="dxa"/>
            <w:gridSpan w:val="4"/>
            <w:vAlign w:val="center"/>
          </w:tcPr>
          <w:p w14:paraId="67987A4D">
            <w:pPr>
              <w:keepNext w:val="0"/>
              <w:keepLines w:val="0"/>
              <w:widowControl/>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szCs w:val="24"/>
                <w:highlight w:val="none"/>
              </w:rPr>
            </w:pPr>
          </w:p>
        </w:tc>
      </w:tr>
      <w:tr w14:paraId="5238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0D5BF392">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1897" w:type="dxa"/>
            <w:vAlign w:val="center"/>
          </w:tcPr>
          <w:p w14:paraId="664F0FC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机构代码证号</w:t>
            </w:r>
          </w:p>
        </w:tc>
        <w:tc>
          <w:tcPr>
            <w:tcW w:w="6895" w:type="dxa"/>
            <w:gridSpan w:val="4"/>
            <w:vAlign w:val="center"/>
          </w:tcPr>
          <w:p w14:paraId="1DC137D6">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16EE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20841B1C">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897" w:type="dxa"/>
            <w:vAlign w:val="center"/>
          </w:tcPr>
          <w:p w14:paraId="2592F68C">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616" w:type="dxa"/>
            <w:gridSpan w:val="2"/>
            <w:vAlign w:val="center"/>
          </w:tcPr>
          <w:p w14:paraId="75E67BC6">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2161" w:type="dxa"/>
            <w:vAlign w:val="center"/>
          </w:tcPr>
          <w:p w14:paraId="63A483E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118" w:type="dxa"/>
            <w:vAlign w:val="center"/>
          </w:tcPr>
          <w:p w14:paraId="19570F9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1DC0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15EF648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1897" w:type="dxa"/>
            <w:vAlign w:val="center"/>
          </w:tcPr>
          <w:p w14:paraId="195023F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616" w:type="dxa"/>
            <w:gridSpan w:val="2"/>
            <w:vAlign w:val="center"/>
          </w:tcPr>
          <w:p w14:paraId="6236AF17">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2161" w:type="dxa"/>
            <w:vAlign w:val="center"/>
          </w:tcPr>
          <w:p w14:paraId="0596040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118" w:type="dxa"/>
            <w:vAlign w:val="center"/>
          </w:tcPr>
          <w:p w14:paraId="0C968C01">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019C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4024DB20">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1897" w:type="dxa"/>
            <w:vAlign w:val="center"/>
          </w:tcPr>
          <w:p w14:paraId="54241320">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895" w:type="dxa"/>
            <w:gridSpan w:val="4"/>
            <w:vAlign w:val="center"/>
          </w:tcPr>
          <w:p w14:paraId="037F5C02">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r>
      <w:tr w14:paraId="35A6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68" w:type="dxa"/>
            <w:vMerge w:val="restart"/>
            <w:vAlign w:val="center"/>
          </w:tcPr>
          <w:p w14:paraId="4DF39F91">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056" w:type="dxa"/>
            <w:gridSpan w:val="2"/>
            <w:vMerge w:val="restart"/>
            <w:vAlign w:val="center"/>
          </w:tcPr>
          <w:p w14:paraId="1A23DBD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736" w:type="dxa"/>
            <w:gridSpan w:val="3"/>
            <w:vAlign w:val="center"/>
          </w:tcPr>
          <w:p w14:paraId="5989972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14:paraId="0E2B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568" w:type="dxa"/>
            <w:vMerge w:val="continue"/>
            <w:vAlign w:val="center"/>
          </w:tcPr>
          <w:p w14:paraId="716D0F36">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4056" w:type="dxa"/>
            <w:gridSpan w:val="2"/>
            <w:vMerge w:val="continue"/>
            <w:vAlign w:val="center"/>
          </w:tcPr>
          <w:p w14:paraId="3A7F25B8">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tc>
        <w:tc>
          <w:tcPr>
            <w:tcW w:w="4736" w:type="dxa"/>
            <w:gridSpan w:val="3"/>
            <w:vAlign w:val="bottom"/>
          </w:tcPr>
          <w:p w14:paraId="1BF28205">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4DC77DD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p w14:paraId="0DC309B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p w14:paraId="6E1259F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rPr>
            </w:pPr>
          </w:p>
          <w:p w14:paraId="65816025">
            <w:pPr>
              <w:keepNext w:val="0"/>
              <w:keepLines w:val="0"/>
              <w:widowControl/>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561E0E30">
      <w:pPr>
        <w:pStyle w:val="4"/>
        <w:keepNext/>
        <w:keepLines/>
        <w:pageBreakBefore w:val="0"/>
        <w:widowControl/>
        <w:kinsoku/>
        <w:wordWrap/>
        <w:overflowPunct/>
        <w:topLinePunct w:val="0"/>
        <w:autoSpaceDE/>
        <w:autoSpaceDN/>
        <w:bidi w:val="0"/>
        <w:adjustRightInd/>
        <w:snapToGrid/>
        <w:spacing w:after="196" w:afterLines="50"/>
        <w:jc w:val="center"/>
        <w:textAlignment w:val="auto"/>
        <w:rPr>
          <w:rFonts w:hint="eastAsia" w:ascii="宋体" w:hAnsi="宋体" w:eastAsia="宋体" w:cs="Times New Roman"/>
          <w:b/>
          <w:bCs w:val="0"/>
          <w:color w:val="auto"/>
          <w:highlight w:val="none"/>
          <w:lang w:eastAsia="zh-CN"/>
        </w:rPr>
      </w:pPr>
      <w:bookmarkStart w:id="280" w:name="_Toc2406"/>
      <w:bookmarkStart w:id="281" w:name="_Toc10261"/>
      <w:bookmarkStart w:id="282" w:name="_Toc13614"/>
      <w:bookmarkStart w:id="283" w:name="_Toc12562"/>
      <w:bookmarkStart w:id="284" w:name="_Toc19543356"/>
      <w:r>
        <w:rPr>
          <w:rFonts w:hint="eastAsia" w:ascii="宋体" w:hAnsi="宋体" w:eastAsia="宋体" w:cs="Times New Roman"/>
          <w:b/>
          <w:bCs w:val="0"/>
          <w:color w:val="auto"/>
          <w:highlight w:val="none"/>
          <w:lang w:eastAsia="zh-CN"/>
        </w:rPr>
        <w:t>法定代表人授权书</w:t>
      </w:r>
      <w:bookmarkEnd w:id="280"/>
      <w:bookmarkEnd w:id="281"/>
      <w:bookmarkEnd w:id="282"/>
      <w:bookmarkEnd w:id="283"/>
      <w:bookmarkEnd w:id="284"/>
    </w:p>
    <w:p w14:paraId="210519AE">
      <w:pPr>
        <w:pStyle w:val="19"/>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安康尚昊招标代理有限公司：</w:t>
      </w:r>
    </w:p>
    <w:p w14:paraId="2B1B04B6">
      <w:pPr>
        <w:tabs>
          <w:tab w:val="left" w:pos="8820"/>
        </w:tabs>
        <w:spacing w:line="400" w:lineRule="exact"/>
        <w:ind w:firstLine="5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（法定代表人姓名）   </w:t>
      </w:r>
      <w:r>
        <w:rPr>
          <w:rFonts w:hint="eastAsia" w:ascii="宋体" w:hAnsi="宋体" w:eastAsia="宋体" w:cs="宋体"/>
          <w:color w:val="auto"/>
          <w:sz w:val="24"/>
          <w:szCs w:val="24"/>
          <w:highlight w:val="none"/>
        </w:rPr>
        <w:t>系注册于</w:t>
      </w:r>
      <w:r>
        <w:rPr>
          <w:rFonts w:hint="eastAsia" w:ascii="宋体" w:hAnsi="宋体" w:eastAsia="宋体" w:cs="宋体"/>
          <w:color w:val="auto"/>
          <w:sz w:val="24"/>
          <w:szCs w:val="24"/>
          <w:highlight w:val="none"/>
          <w:u w:val="single"/>
        </w:rPr>
        <w:t xml:space="preserve">  （供应商地址）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（供应商名称） </w:t>
      </w:r>
      <w:r>
        <w:rPr>
          <w:rFonts w:hint="eastAsia" w:ascii="宋体" w:hAnsi="宋体" w:eastAsia="宋体" w:cs="宋体"/>
          <w:color w:val="auto"/>
          <w:sz w:val="24"/>
          <w:szCs w:val="24"/>
          <w:highlight w:val="none"/>
        </w:rPr>
        <w:t>的法定代表人，现代表公司授权下面签字的</w:t>
      </w:r>
      <w:r>
        <w:rPr>
          <w:rFonts w:hint="eastAsia" w:ascii="宋体" w:hAnsi="宋体" w:eastAsia="宋体" w:cs="宋体"/>
          <w:color w:val="auto"/>
          <w:sz w:val="24"/>
          <w:szCs w:val="24"/>
          <w:highlight w:val="none"/>
          <w:u w:val="single"/>
        </w:rPr>
        <w:t xml:space="preserve">（被授权人的姓名、职务） </w:t>
      </w:r>
      <w:r>
        <w:rPr>
          <w:rFonts w:hint="eastAsia" w:ascii="宋体" w:hAnsi="宋体" w:eastAsia="宋体" w:cs="宋体"/>
          <w:color w:val="auto"/>
          <w:sz w:val="24"/>
          <w:szCs w:val="24"/>
          <w:highlight w:val="none"/>
        </w:rPr>
        <w:t>为我公司合法代理人，代表本公司参加</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包号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的采购活动。以我方名义全权处理该项目有关</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、签订合同以及执行合同等一切事宜。</w:t>
      </w:r>
    </w:p>
    <w:p w14:paraId="6A5B5A9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有效期自</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rPr>
        <w:t>日历日，特此声明。</w:t>
      </w:r>
    </w:p>
    <w:p w14:paraId="23557A0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bookmarkStart w:id="285" w:name="_Toc9507"/>
      <w:bookmarkStart w:id="286" w:name="_Toc1298"/>
      <w:bookmarkStart w:id="287" w:name="_Toc6900"/>
      <w:bookmarkStart w:id="288" w:name="_Toc12960"/>
      <w:r>
        <w:rPr>
          <w:rFonts w:hint="eastAsia" w:ascii="宋体" w:hAnsi="宋体" w:eastAsia="宋体" w:cs="宋体"/>
          <w:sz w:val="24"/>
          <w:szCs w:val="24"/>
          <w:highlight w:val="none"/>
        </w:rPr>
        <w:t>委托单位：    （公章）                  法定代表人（签字或盖章）：</w:t>
      </w:r>
    </w:p>
    <w:p w14:paraId="3AA544B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2318A34">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附：被授权人姓名：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4EFB898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634B6F9">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D1683F9">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法定代表人/被授权人身份证复印件</w:t>
      </w:r>
    </w:p>
    <w:tbl>
      <w:tblPr>
        <w:tblStyle w:val="38"/>
        <w:tblW w:w="86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30"/>
        <w:gridCol w:w="4330"/>
      </w:tblGrid>
      <w:tr w14:paraId="5593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7" w:hRule="atLeast"/>
        </w:trPr>
        <w:tc>
          <w:tcPr>
            <w:tcW w:w="4330" w:type="dxa"/>
            <w:shd w:val="clear" w:color="auto" w:fill="E0E0E0"/>
            <w:vAlign w:val="center"/>
          </w:tcPr>
          <w:p w14:paraId="37ACB7FD">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法定代表人身份证复印件（正面）</w:t>
            </w:r>
          </w:p>
        </w:tc>
        <w:tc>
          <w:tcPr>
            <w:tcW w:w="4330" w:type="dxa"/>
            <w:shd w:val="clear" w:color="auto" w:fill="E0E0E0"/>
            <w:vAlign w:val="center"/>
          </w:tcPr>
          <w:p w14:paraId="5A255452">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被授权人身份证复印件（正面）</w:t>
            </w:r>
          </w:p>
        </w:tc>
      </w:tr>
      <w:tr w14:paraId="0E8E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PrEx>
        <w:trPr>
          <w:cantSplit/>
          <w:trHeight w:val="2517" w:hRule="atLeast"/>
        </w:trPr>
        <w:tc>
          <w:tcPr>
            <w:tcW w:w="4330" w:type="dxa"/>
            <w:shd w:val="clear" w:color="auto" w:fill="E0E0E0"/>
            <w:vAlign w:val="center"/>
          </w:tcPr>
          <w:p w14:paraId="3CB6E036">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法定代表人身份证复印件（反面）</w:t>
            </w:r>
          </w:p>
        </w:tc>
        <w:tc>
          <w:tcPr>
            <w:tcW w:w="4330" w:type="dxa"/>
            <w:shd w:val="clear" w:color="auto" w:fill="E0E0E0"/>
            <w:vAlign w:val="center"/>
          </w:tcPr>
          <w:p w14:paraId="77C5E926">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被授权人身份证复印件（反面）</w:t>
            </w:r>
          </w:p>
        </w:tc>
      </w:tr>
    </w:tbl>
    <w:p w14:paraId="119C41C2">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35CA29B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rPr>
        <w:t>本授权书有效期自开标大会之日计算不得少于九十天。</w:t>
      </w:r>
    </w:p>
    <w:p w14:paraId="5A0BF01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highlight w:val="none"/>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r>
        <w:rPr>
          <w:rFonts w:hint="eastAsia" w:ascii="宋体" w:hAnsi="宋体" w:eastAsia="宋体" w:cs="宋体"/>
          <w:color w:val="auto"/>
          <w:kern w:val="0"/>
          <w:sz w:val="24"/>
          <w:szCs w:val="24"/>
          <w:lang w:val="en-US" w:eastAsia="zh-CN" w:bidi="ar-SA"/>
        </w:rPr>
        <w:t>2．</w:t>
      </w:r>
      <w:r>
        <w:rPr>
          <w:rFonts w:hint="eastAsia" w:ascii="宋体" w:hAnsi="宋体" w:eastAsia="宋体" w:cs="宋体"/>
          <w:sz w:val="24"/>
          <w:szCs w:val="24"/>
          <w:highlight w:val="none"/>
        </w:rPr>
        <w:t>授权书内容填写要明确，文字要工整清楚，涂改无效。</w:t>
      </w:r>
    </w:p>
    <w:p w14:paraId="5B72ACEC">
      <w:pPr>
        <w:numPr>
          <w:ilvl w:val="0"/>
          <w:numId w:val="0"/>
        </w:numPr>
        <w:spacing w:line="460" w:lineRule="exact"/>
        <w:ind w:firstLine="562" w:firstLineChars="200"/>
        <w:jc w:val="center"/>
        <w:rPr>
          <w:rFonts w:hint="eastAsia" w:ascii="宋体" w:hAnsi="宋体" w:eastAsia="宋体" w:cs="Times New Roman"/>
          <w:b/>
          <w:bCs w:val="0"/>
          <w:color w:val="auto"/>
          <w:highlight w:val="none"/>
          <w:lang w:eastAsia="zh-CN"/>
        </w:rPr>
      </w:pPr>
    </w:p>
    <w:p w14:paraId="698FC6E9">
      <w:pPr>
        <w:numPr>
          <w:ilvl w:val="0"/>
          <w:numId w:val="0"/>
        </w:numPr>
        <w:spacing w:line="460" w:lineRule="exact"/>
        <w:ind w:firstLine="562" w:firstLineChars="200"/>
        <w:jc w:val="center"/>
        <w:rPr>
          <w:rFonts w:hint="eastAsia" w:ascii="宋体" w:hAnsi="宋体" w:eastAsia="宋体" w:cs="宋体"/>
          <w:color w:val="auto"/>
          <w:kern w:val="0"/>
          <w:sz w:val="24"/>
          <w:szCs w:val="24"/>
          <w:highlight w:val="none"/>
        </w:rPr>
      </w:pPr>
      <w:r>
        <w:rPr>
          <w:rFonts w:hint="eastAsia" w:ascii="宋体" w:hAnsi="宋体" w:eastAsia="宋体" w:cs="Times New Roman"/>
          <w:b/>
          <w:bCs w:val="0"/>
          <w:color w:val="auto"/>
          <w:highlight w:val="none"/>
          <w:lang w:eastAsia="zh-CN"/>
        </w:rPr>
        <w:t>无重大违法记录声明</w:t>
      </w:r>
      <w:bookmarkEnd w:id="285"/>
      <w:bookmarkEnd w:id="286"/>
      <w:bookmarkEnd w:id="287"/>
      <w:bookmarkEnd w:id="288"/>
    </w:p>
    <w:p w14:paraId="2C64741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我单位参与安康尚昊招标代理有限公司组织的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包号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（项目编号）    </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，我单位郑重声明：我方参加本项目招标工作前三年内无重大违法活动记录，符合《中华人民共和国政府采购法》规定的供应商资格条件，我方对此声明负全部法律责任。</w:t>
      </w:r>
    </w:p>
    <w:p w14:paraId="239B0B8A">
      <w:pPr>
        <w:spacing w:line="360" w:lineRule="auto"/>
        <w:rPr>
          <w:rFonts w:hint="eastAsia" w:ascii="宋体" w:hAnsi="宋体" w:eastAsia="宋体" w:cs="宋体"/>
          <w:color w:val="auto"/>
          <w:sz w:val="24"/>
          <w:szCs w:val="24"/>
          <w:highlight w:val="none"/>
        </w:rPr>
      </w:pPr>
    </w:p>
    <w:p w14:paraId="1D5903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893D4C5">
      <w:pPr>
        <w:spacing w:line="360" w:lineRule="auto"/>
        <w:rPr>
          <w:rFonts w:hint="eastAsia" w:ascii="宋体" w:hAnsi="宋体" w:eastAsia="宋体" w:cs="宋体"/>
          <w:color w:val="auto"/>
          <w:sz w:val="24"/>
          <w:szCs w:val="24"/>
          <w:highlight w:val="none"/>
        </w:rPr>
      </w:pPr>
    </w:p>
    <w:p w14:paraId="54A1C354">
      <w:pPr>
        <w:spacing w:line="360" w:lineRule="auto"/>
        <w:rPr>
          <w:rFonts w:hint="eastAsia" w:ascii="宋体" w:hAnsi="宋体" w:eastAsia="宋体" w:cs="宋体"/>
          <w:color w:val="auto"/>
          <w:sz w:val="24"/>
          <w:szCs w:val="24"/>
          <w:highlight w:val="none"/>
        </w:rPr>
      </w:pPr>
    </w:p>
    <w:p w14:paraId="70799BE3">
      <w:pPr>
        <w:spacing w:line="360" w:lineRule="auto"/>
        <w:rPr>
          <w:rFonts w:hint="eastAsia" w:ascii="宋体" w:hAnsi="宋体" w:eastAsia="宋体" w:cs="宋体"/>
          <w:color w:val="auto"/>
          <w:sz w:val="24"/>
          <w:szCs w:val="24"/>
          <w:highlight w:val="none"/>
          <w:lang w:eastAsia="zh-CN"/>
        </w:rPr>
      </w:pPr>
    </w:p>
    <w:p w14:paraId="17E09C0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21CA7A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被授权人（签字）：____________________</w:t>
      </w:r>
    </w:p>
    <w:p w14:paraId="5D7E3A6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期：________年________月________日</w:t>
      </w:r>
    </w:p>
    <w:p w14:paraId="4A282AD8">
      <w:pPr>
        <w:rPr>
          <w:rFonts w:hint="eastAsia" w:ascii="宋体" w:hAnsi="宋体" w:eastAsia="宋体" w:cs="宋体"/>
          <w:color w:val="auto"/>
          <w:highlight w:val="none"/>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25C7001C">
      <w:pPr>
        <w:pStyle w:val="4"/>
        <w:keepNext/>
        <w:keepLines/>
        <w:pageBreakBefore w:val="0"/>
        <w:widowControl/>
        <w:kinsoku/>
        <w:wordWrap/>
        <w:overflowPunct/>
        <w:topLinePunct w:val="0"/>
        <w:autoSpaceDE/>
        <w:autoSpaceDN/>
        <w:bidi w:val="0"/>
        <w:adjustRightInd/>
        <w:snapToGrid/>
        <w:spacing w:after="196" w:afterLines="50"/>
        <w:jc w:val="center"/>
        <w:textAlignment w:val="auto"/>
        <w:rPr>
          <w:rFonts w:hint="eastAsia" w:ascii="宋体" w:hAnsi="宋体" w:eastAsia="宋体" w:cs="Times New Roman"/>
          <w:b/>
          <w:bCs w:val="0"/>
          <w:color w:val="auto"/>
          <w:highlight w:val="none"/>
          <w:lang w:eastAsia="zh-CN"/>
        </w:rPr>
      </w:pPr>
      <w:bookmarkStart w:id="289" w:name="_Toc19929"/>
      <w:bookmarkStart w:id="290" w:name="_Toc27509"/>
      <w:r>
        <w:rPr>
          <w:rFonts w:hint="eastAsia" w:ascii="宋体" w:hAnsi="宋体" w:eastAsia="宋体" w:cs="Times New Roman"/>
          <w:b/>
          <w:bCs w:val="0"/>
          <w:color w:val="auto"/>
          <w:highlight w:val="none"/>
          <w:lang w:eastAsia="zh-CN"/>
        </w:rPr>
        <w:t>投标人非联合体投标声明</w:t>
      </w:r>
      <w:bookmarkEnd w:id="289"/>
      <w:bookmarkEnd w:id="290"/>
    </w:p>
    <w:p w14:paraId="14425E15">
      <w:pPr>
        <w:adjustRightInd w:val="0"/>
        <w:snapToGrid w:val="0"/>
        <w:spacing w:line="360" w:lineRule="auto"/>
        <w:rPr>
          <w:rFonts w:hint="eastAsia" w:ascii="仿宋" w:hAnsi="仿宋" w:eastAsia="仿宋" w:cs="黑体"/>
          <w:bCs/>
          <w:color w:val="auto"/>
          <w:sz w:val="28"/>
          <w:szCs w:val="28"/>
          <w:highlight w:val="none"/>
        </w:rPr>
      </w:pPr>
    </w:p>
    <w:p w14:paraId="351E1D5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安康尚昊招标代理有限公司</w:t>
      </w:r>
      <w:r>
        <w:rPr>
          <w:rFonts w:hint="eastAsia" w:ascii="宋体" w:hAnsi="宋体" w:eastAsia="宋体" w:cs="宋体"/>
          <w:bCs/>
          <w:color w:val="auto"/>
          <w:sz w:val="24"/>
          <w:szCs w:val="24"/>
          <w:highlight w:val="none"/>
        </w:rPr>
        <w:t>：</w:t>
      </w:r>
    </w:p>
    <w:p w14:paraId="33EDD7B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我方愿响应贵方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日发布的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项目（项目编号：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）招标内容，参与投标，提供采购人需求中规定的全部内容。本公司就参加投标工作，作出郑重声明：</w:t>
      </w:r>
    </w:p>
    <w:p w14:paraId="6E95209C">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1.本公司保证在本项目投标中不与其他单位围标、串标，不出让投标资格，不向采购人、采购代理机构和评标委员会成员行贿。</w:t>
      </w:r>
    </w:p>
    <w:p w14:paraId="1E9DD19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2.本公司保证本项目并非联合体投标，本项目服务由本公司独立承担。</w:t>
      </w:r>
    </w:p>
    <w:p w14:paraId="7F1E1A6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本公司违反上述保证，或本声明陈述与事实不符，经查实，我方自行承担一切后果及法律责任。。</w:t>
      </w:r>
    </w:p>
    <w:p w14:paraId="3EED14D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特此声明。</w:t>
      </w:r>
    </w:p>
    <w:p w14:paraId="6C1EEA3D">
      <w:pPr>
        <w:pStyle w:val="13"/>
        <w:rPr>
          <w:rFonts w:hint="eastAsia"/>
          <w:color w:val="auto"/>
          <w:highlight w:val="none"/>
        </w:rPr>
      </w:pPr>
    </w:p>
    <w:p w14:paraId="1BC70DE6">
      <w:pPr>
        <w:rPr>
          <w:rFonts w:hint="eastAsia"/>
          <w:color w:val="auto"/>
          <w:highlight w:val="none"/>
        </w:rPr>
      </w:pPr>
    </w:p>
    <w:p w14:paraId="529E872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4B6E591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被授权人（签字）：____________________</w:t>
      </w:r>
    </w:p>
    <w:p w14:paraId="71683DD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期：________年________月________日</w:t>
      </w:r>
    </w:p>
    <w:p w14:paraId="4C64CC86">
      <w:pPr>
        <w:pStyle w:val="13"/>
        <w:rPr>
          <w:rFonts w:hint="eastAsia"/>
          <w:color w:val="auto"/>
          <w:highlight w:val="none"/>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（项目名称）（包号）</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34"/>
        <w:rPr>
          <w:rFonts w:hint="eastAsia"/>
          <w:lang w:val="en-US" w:eastAsia="zh-CN"/>
        </w:rPr>
      </w:pPr>
    </w:p>
    <w:p w14:paraId="6C7B3C5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CDDFAE0">
      <w:pPr>
        <w:pStyle w:val="13"/>
        <w:rPr>
          <w:rFonts w:hint="eastAsia" w:ascii="宋体" w:hAnsi="宋体" w:eastAsia="宋体" w:cs="宋体"/>
          <w:sz w:val="24"/>
          <w:szCs w:val="24"/>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3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u w:val="single"/>
          <w:lang w:eastAsia="zh-CN"/>
        </w:rPr>
        <w:t>（</w:t>
      </w:r>
      <w:r>
        <w:rPr>
          <w:rFonts w:hint="eastAsia" w:ascii="宋体" w:hAnsi="宋体" w:eastAsia="宋体" w:cs="宋体"/>
          <w:b w:val="0"/>
          <w:bCs w:val="0"/>
          <w:color w:val="000000"/>
          <w:sz w:val="24"/>
          <w:szCs w:val="24"/>
          <w:u w:val="single"/>
          <w:lang w:val="en-US" w:eastAsia="zh-CN"/>
        </w:rPr>
        <w:t>包号</w:t>
      </w:r>
      <w:r>
        <w:rPr>
          <w:rFonts w:hint="eastAsia" w:ascii="宋体" w:hAnsi="宋体" w:eastAsia="宋体" w:cs="宋体"/>
          <w:b w:val="0"/>
          <w:bCs w:val="0"/>
          <w:color w:val="000000"/>
          <w:sz w:val="24"/>
          <w:szCs w:val="24"/>
          <w:u w:val="single"/>
          <w:lang w:eastAsia="zh-CN"/>
        </w:rPr>
        <w:t>）</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3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3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3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3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3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34"/>
        <w:rPr>
          <w:rFonts w:hint="eastAsia"/>
          <w:lang w:val="en-US" w:eastAsia="zh-CN"/>
        </w:rPr>
      </w:pPr>
    </w:p>
    <w:p w14:paraId="1FC9E77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227443FC">
      <w:pPr>
        <w:pStyle w:val="132"/>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02CF0701">
      <w:pPr>
        <w:pStyle w:val="36"/>
        <w:rPr>
          <w:rFonts w:hint="eastAsia" w:ascii="宋体" w:hAnsi="宋体" w:eastAsia="宋体" w:cs="宋体"/>
          <w:b w:val="0"/>
          <w:bCs/>
          <w:color w:val="auto"/>
          <w:kern w:val="2"/>
          <w:sz w:val="24"/>
          <w:szCs w:val="24"/>
          <w:highlight w:val="none"/>
          <w:lang w:val="en-US" w:eastAsia="zh-CN" w:bidi="ar-SA"/>
        </w:rPr>
      </w:pPr>
    </w:p>
    <w:p w14:paraId="7C408D88">
      <w:pPr>
        <w:keepNext/>
        <w:keepLines/>
        <w:pageBreakBefore w:val="0"/>
        <w:widowControl/>
        <w:numPr>
          <w:ilvl w:val="0"/>
          <w:numId w:val="0"/>
        </w:numPr>
        <w:kinsoku/>
        <w:wordWrap/>
        <w:overflowPunct/>
        <w:topLinePunct w:val="0"/>
        <w:autoSpaceDE/>
        <w:autoSpaceDN/>
        <w:bidi w:val="0"/>
        <w:adjustRightInd/>
        <w:snapToGrid/>
        <w:spacing w:after="196" w:afterLines="50" w:line="240" w:lineRule="auto"/>
        <w:jc w:val="center"/>
        <w:textAlignment w:val="auto"/>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291" w:name="_Toc29189"/>
      <w:bookmarkStart w:id="292" w:name="_Toc5069"/>
      <w:bookmarkStart w:id="293" w:name="_Toc16281"/>
      <w:bookmarkStart w:id="294" w:name="_Toc342"/>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五、技术商务偏离表</w:t>
      </w:r>
      <w:bookmarkEnd w:id="291"/>
      <w:bookmarkEnd w:id="292"/>
    </w:p>
    <w:p w14:paraId="6931DDE6">
      <w:pPr>
        <w:keepNext/>
        <w:keepLines/>
        <w:pageBreakBefore w:val="0"/>
        <w:widowControl/>
        <w:numPr>
          <w:ilvl w:val="0"/>
          <w:numId w:val="0"/>
        </w:numPr>
        <w:kinsoku/>
        <w:wordWrap/>
        <w:overflowPunct/>
        <w:topLinePunct w:val="0"/>
        <w:autoSpaceDE/>
        <w:autoSpaceDN/>
        <w:bidi w:val="0"/>
        <w:adjustRightInd/>
        <w:snapToGrid/>
        <w:spacing w:after="196" w:afterLines="50" w:line="240" w:lineRule="auto"/>
        <w:jc w:val="center"/>
        <w:textAlignment w:val="auto"/>
        <w:outlineLvl w:val="1"/>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bookmarkStart w:id="295" w:name="_Toc20014"/>
      <w:bookmarkStart w:id="296" w:name="_Toc6074"/>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技术响应偏离表</w:t>
      </w:r>
      <w:bookmarkEnd w:id="295"/>
      <w:bookmarkEnd w:id="296"/>
    </w:p>
    <w:tbl>
      <w:tblPr>
        <w:tblStyle w:val="38"/>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23"/>
        <w:gridCol w:w="3584"/>
        <w:gridCol w:w="1760"/>
        <w:gridCol w:w="1369"/>
      </w:tblGrid>
      <w:tr w14:paraId="32EF0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7FE99E2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序号</w:t>
            </w:r>
          </w:p>
        </w:tc>
        <w:tc>
          <w:tcPr>
            <w:tcW w:w="2223" w:type="dxa"/>
            <w:vAlign w:val="center"/>
          </w:tcPr>
          <w:p w14:paraId="661C442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lang w:val="en-US" w:eastAsia="zh-CN"/>
                <w14:textFill>
                  <w14:solidFill>
                    <w14:schemeClr w14:val="tx1"/>
                  </w14:solidFill>
                </w14:textFill>
              </w:rPr>
              <w:t>谈判</w:t>
            </w:r>
            <w:r>
              <w:rPr>
                <w:rFonts w:hint="eastAsia" w:ascii="宋体" w:hAnsi="宋体" w:eastAsia="宋体" w:cs="宋体"/>
                <w:b/>
                <w:color w:val="000000" w:themeColor="text1"/>
                <w:sz w:val="24"/>
                <w:szCs w:val="20"/>
                <w:highlight w:val="none"/>
                <w14:textFill>
                  <w14:solidFill>
                    <w14:schemeClr w14:val="tx1"/>
                  </w14:solidFill>
                </w14:textFill>
              </w:rPr>
              <w:t>文件</w:t>
            </w:r>
            <w:r>
              <w:rPr>
                <w:rFonts w:hint="eastAsia" w:ascii="宋体" w:hAnsi="宋体" w:eastAsia="宋体" w:cs="宋体"/>
                <w:b/>
                <w:color w:val="000000" w:themeColor="text1"/>
                <w:sz w:val="24"/>
                <w:szCs w:val="20"/>
                <w:highlight w:val="none"/>
                <w:lang w:val="en-US" w:eastAsia="zh-CN"/>
                <w14:textFill>
                  <w14:solidFill>
                    <w14:schemeClr w14:val="tx1"/>
                  </w14:solidFill>
                </w14:textFill>
              </w:rPr>
              <w:t>技术</w:t>
            </w:r>
            <w:r>
              <w:rPr>
                <w:rFonts w:hint="eastAsia" w:ascii="宋体" w:hAnsi="宋体" w:eastAsia="宋体" w:cs="宋体"/>
                <w:b/>
                <w:color w:val="000000" w:themeColor="text1"/>
                <w:sz w:val="24"/>
                <w:szCs w:val="20"/>
                <w:highlight w:val="none"/>
                <w14:textFill>
                  <w14:solidFill>
                    <w14:schemeClr w14:val="tx1"/>
                  </w14:solidFill>
                </w14:textFill>
              </w:rPr>
              <w:t>要求</w:t>
            </w:r>
          </w:p>
        </w:tc>
        <w:tc>
          <w:tcPr>
            <w:tcW w:w="3584" w:type="dxa"/>
            <w:vAlign w:val="center"/>
          </w:tcPr>
          <w:p w14:paraId="4B0076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lang w:val="en-US" w:eastAsia="zh-CN"/>
                <w14:textFill>
                  <w14:solidFill>
                    <w14:schemeClr w14:val="tx1"/>
                  </w14:solidFill>
                </w14:textFill>
              </w:rPr>
            </w:pPr>
            <w:r>
              <w:rPr>
                <w:rFonts w:hint="eastAsia" w:ascii="宋体" w:hAnsi="宋体" w:eastAsia="宋体" w:cs="宋体"/>
                <w:b/>
                <w:color w:val="000000" w:themeColor="text1"/>
                <w:sz w:val="24"/>
                <w:szCs w:val="20"/>
                <w:highlight w:val="none"/>
                <w:lang w:val="en-US" w:eastAsia="zh-CN"/>
                <w14:textFill>
                  <w14:solidFill>
                    <w14:schemeClr w14:val="tx1"/>
                  </w14:solidFill>
                </w14:textFill>
              </w:rPr>
              <w:t>响应</w:t>
            </w:r>
            <w:r>
              <w:rPr>
                <w:rFonts w:hint="eastAsia" w:ascii="宋体" w:hAnsi="宋体" w:eastAsia="宋体" w:cs="宋体"/>
                <w:b/>
                <w:color w:val="000000" w:themeColor="text1"/>
                <w:sz w:val="24"/>
                <w:szCs w:val="20"/>
                <w:highlight w:val="none"/>
                <w14:textFill>
                  <w14:solidFill>
                    <w14:schemeClr w14:val="tx1"/>
                  </w14:solidFill>
                </w14:textFill>
              </w:rPr>
              <w:t>文件</w:t>
            </w:r>
            <w:r>
              <w:rPr>
                <w:rFonts w:hint="eastAsia" w:ascii="宋体" w:hAnsi="宋体" w:eastAsia="宋体" w:cs="宋体"/>
                <w:b/>
                <w:color w:val="000000" w:themeColor="text1"/>
                <w:sz w:val="24"/>
                <w:szCs w:val="20"/>
                <w:highlight w:val="none"/>
                <w:lang w:val="en-US" w:eastAsia="zh-CN"/>
                <w14:textFill>
                  <w14:solidFill>
                    <w14:schemeClr w14:val="tx1"/>
                  </w14:solidFill>
                </w14:textFill>
              </w:rPr>
              <w:t>技术应答</w:t>
            </w:r>
          </w:p>
        </w:tc>
        <w:tc>
          <w:tcPr>
            <w:tcW w:w="1760" w:type="dxa"/>
            <w:vAlign w:val="center"/>
          </w:tcPr>
          <w:p w14:paraId="2EFE32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偏离</w:t>
            </w:r>
          </w:p>
          <w:p w14:paraId="14BF9B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（无/正/负）</w:t>
            </w:r>
          </w:p>
        </w:tc>
        <w:tc>
          <w:tcPr>
            <w:tcW w:w="1369" w:type="dxa"/>
            <w:vAlign w:val="center"/>
          </w:tcPr>
          <w:p w14:paraId="3E99AB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偏离简述</w:t>
            </w:r>
          </w:p>
        </w:tc>
      </w:tr>
      <w:tr w14:paraId="71FC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3C3CB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2223" w:type="dxa"/>
          </w:tcPr>
          <w:p w14:paraId="25E052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584" w:type="dxa"/>
          </w:tcPr>
          <w:p w14:paraId="60C163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0" w:type="dxa"/>
          </w:tcPr>
          <w:p w14:paraId="4D03D9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27B702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232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208B4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2223" w:type="dxa"/>
          </w:tcPr>
          <w:p w14:paraId="7019C2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584" w:type="dxa"/>
          </w:tcPr>
          <w:p w14:paraId="6AE0A3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0" w:type="dxa"/>
          </w:tcPr>
          <w:p w14:paraId="2E84D9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1005BB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E9D4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57805A4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2223" w:type="dxa"/>
          </w:tcPr>
          <w:p w14:paraId="176572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584" w:type="dxa"/>
          </w:tcPr>
          <w:p w14:paraId="2C3113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0" w:type="dxa"/>
          </w:tcPr>
          <w:p w14:paraId="20FED4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575158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E97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F6C7C0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p>
        </w:tc>
        <w:tc>
          <w:tcPr>
            <w:tcW w:w="2223" w:type="dxa"/>
          </w:tcPr>
          <w:p w14:paraId="063C70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584" w:type="dxa"/>
          </w:tcPr>
          <w:p w14:paraId="666FF7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0" w:type="dxa"/>
          </w:tcPr>
          <w:p w14:paraId="1255AF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54BFFA2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D7D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BCE62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p>
        </w:tc>
        <w:tc>
          <w:tcPr>
            <w:tcW w:w="2223" w:type="dxa"/>
          </w:tcPr>
          <w:p w14:paraId="591AB0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584" w:type="dxa"/>
          </w:tcPr>
          <w:p w14:paraId="451023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0" w:type="dxa"/>
          </w:tcPr>
          <w:p w14:paraId="53EC90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59F13E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7EC93DF">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仿宋"/>
          <w:kern w:val="2"/>
          <w:sz w:val="24"/>
          <w:szCs w:val="24"/>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仿宋"/>
          <w:kern w:val="2"/>
          <w:sz w:val="24"/>
          <w:szCs w:val="24"/>
          <w:lang w:val="en-US" w:eastAsia="zh-CN" w:bidi="ar-SA"/>
        </w:rPr>
        <w:t>：1.如有漏报、瞒报谈判文件所要求的性能指标等，将视为没有实质性响应谈判文件。谈判文件第三章 技术参数必须逐条响应，技术响应偏离表各项内容不得复制粘贴采购文件技术参数要求，否则视为无效投标技术；</w:t>
      </w:r>
    </w:p>
    <w:p w14:paraId="151196B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2.“响应文件响应条款”必须与响应文件中提供的证明材料的响应情况相一致。若在评审环节发现该项与响应文件证明材料的响应情况不一致，供应商自行承担因证明材料不全或不一致被视为技术参数偏离的风险。</w:t>
      </w:r>
    </w:p>
    <w:p w14:paraId="01FA265C">
      <w:pPr>
        <w:numPr>
          <w:ilvl w:val="0"/>
          <w:numId w:val="0"/>
        </w:numPr>
        <w:spacing w:line="400" w:lineRule="exact"/>
        <w:jc w:val="center"/>
        <w:rPr>
          <w:rFonts w:hint="eastAsia" w:ascii="宋体" w:hAnsi="宋体"/>
          <w:b/>
          <w:color w:val="000000" w:themeColor="text1"/>
          <w:sz w:val="24"/>
          <w:szCs w:val="24"/>
          <w:highlight w:val="none"/>
          <w14:textFill>
            <w14:solidFill>
              <w14:schemeClr w14:val="tx1"/>
            </w14:solidFill>
          </w14:textFill>
        </w:rPr>
      </w:pPr>
    </w:p>
    <w:p w14:paraId="77DD2AD9">
      <w:pPr>
        <w:numPr>
          <w:ilvl w:val="0"/>
          <w:numId w:val="0"/>
        </w:numPr>
        <w:spacing w:line="400" w:lineRule="exact"/>
        <w:jc w:val="center"/>
        <w:rPr>
          <w:rFonts w:hint="eastAsia" w:ascii="宋体" w:hAnsi="宋体"/>
          <w:b/>
          <w:color w:val="000000" w:themeColor="text1"/>
          <w:sz w:val="24"/>
          <w:szCs w:val="24"/>
          <w:highlight w:val="none"/>
          <w14:textFill>
            <w14:solidFill>
              <w14:schemeClr w14:val="tx1"/>
            </w14:solidFill>
          </w14:textFill>
        </w:rPr>
      </w:pPr>
    </w:p>
    <w:p w14:paraId="339B09DA">
      <w:pPr>
        <w:adjustRightInd w:val="0"/>
        <w:snapToGrid w:val="0"/>
        <w:spacing w:line="48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供应商（单位名称及公章）：____________________________</w:t>
      </w:r>
    </w:p>
    <w:p w14:paraId="0D97F161">
      <w:pPr>
        <w:adjustRightInd w:val="0"/>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被授权人（签字）：____________________________</w:t>
      </w:r>
    </w:p>
    <w:p w14:paraId="20CF4EFB">
      <w:pPr>
        <w:adjustRightInd w:val="0"/>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期：_______年_______月_______日</w:t>
      </w:r>
    </w:p>
    <w:p w14:paraId="3DC49964">
      <w:pPr>
        <w:pStyle w:val="13"/>
        <w:rPr>
          <w:rFonts w:hint="eastAsia"/>
          <w:color w:val="000000" w:themeColor="text1"/>
          <w:highlight w:val="none"/>
          <w:lang w:val="en-US" w:eastAsia="zh-CN"/>
          <w14:textFill>
            <w14:solidFill>
              <w14:schemeClr w14:val="tx1"/>
            </w14:solidFill>
          </w14:textFill>
        </w:rPr>
        <w:sectPr>
          <w:footerReference r:id="rId19" w:type="first"/>
          <w:footerReference r:id="rId18" w:type="even"/>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685ED127">
      <w:pPr>
        <w:keepNext/>
        <w:keepLines/>
        <w:pageBreakBefore w:val="0"/>
        <w:widowControl/>
        <w:numPr>
          <w:ilvl w:val="0"/>
          <w:numId w:val="0"/>
        </w:numPr>
        <w:kinsoku/>
        <w:wordWrap/>
        <w:overflowPunct/>
        <w:topLinePunct w:val="0"/>
        <w:autoSpaceDE/>
        <w:autoSpaceDN/>
        <w:bidi w:val="0"/>
        <w:adjustRightInd/>
        <w:snapToGrid/>
        <w:spacing w:after="196" w:afterLines="50" w:line="240" w:lineRule="auto"/>
        <w:jc w:val="center"/>
        <w:textAlignment w:val="auto"/>
        <w:outlineLvl w:val="1"/>
        <w:rPr>
          <w:rFonts w:hint="eastAsia" w:ascii="宋体" w:hAnsi="宋体" w:eastAsia="宋体" w:cs="宋体"/>
          <w:b/>
          <w:bCs/>
          <w:color w:val="auto"/>
          <w:sz w:val="32"/>
          <w:szCs w:val="32"/>
          <w:highlight w:val="none"/>
        </w:rPr>
      </w:pPr>
      <w:bookmarkStart w:id="297" w:name="_Toc15555"/>
      <w:bookmarkStart w:id="298" w:name="_Toc27459"/>
      <w:r>
        <w:rPr>
          <w:rFonts w:hint="eastAsia" w:ascii="宋体" w:hAnsi="宋体" w:eastAsia="宋体" w:cs="宋体"/>
          <w:b/>
          <w:bCs/>
          <w:color w:val="auto"/>
          <w:sz w:val="32"/>
          <w:szCs w:val="32"/>
          <w:highlight w:val="none"/>
          <w:lang w:val="en-US" w:eastAsia="zh-CN"/>
        </w:rPr>
        <w:t>商务响应偏离表</w:t>
      </w:r>
      <w:bookmarkEnd w:id="293"/>
      <w:bookmarkEnd w:id="294"/>
      <w:bookmarkEnd w:id="297"/>
      <w:bookmarkEnd w:id="298"/>
    </w:p>
    <w:bookmarkEnd w:id="277"/>
    <w:tbl>
      <w:tblPr>
        <w:tblStyle w:val="38"/>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23"/>
        <w:gridCol w:w="3167"/>
        <w:gridCol w:w="2177"/>
        <w:gridCol w:w="1369"/>
      </w:tblGrid>
      <w:tr w14:paraId="0B01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321E68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序号</w:t>
            </w:r>
          </w:p>
        </w:tc>
        <w:tc>
          <w:tcPr>
            <w:tcW w:w="2223" w:type="dxa"/>
            <w:vAlign w:val="center"/>
          </w:tcPr>
          <w:p w14:paraId="37D471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lang w:val="en-US" w:eastAsia="zh-CN"/>
              </w:rPr>
              <w:t>谈判</w:t>
            </w:r>
            <w:r>
              <w:rPr>
                <w:rFonts w:hint="eastAsia" w:ascii="宋体" w:hAnsi="宋体" w:eastAsia="宋体" w:cs="宋体"/>
                <w:b/>
                <w:color w:val="auto"/>
                <w:sz w:val="24"/>
                <w:szCs w:val="20"/>
                <w:highlight w:val="none"/>
              </w:rPr>
              <w:t>文件</w:t>
            </w:r>
            <w:r>
              <w:rPr>
                <w:rFonts w:hint="eastAsia" w:ascii="宋体" w:hAnsi="宋体" w:eastAsia="宋体" w:cs="宋体"/>
                <w:b/>
                <w:color w:val="auto"/>
                <w:sz w:val="24"/>
                <w:szCs w:val="20"/>
                <w:highlight w:val="none"/>
                <w:lang w:val="en-US" w:eastAsia="zh-CN"/>
              </w:rPr>
              <w:t>商务</w:t>
            </w:r>
            <w:r>
              <w:rPr>
                <w:rFonts w:hint="eastAsia" w:ascii="宋体" w:hAnsi="宋体" w:eastAsia="宋体" w:cs="宋体"/>
                <w:b/>
                <w:color w:val="auto"/>
                <w:sz w:val="24"/>
                <w:szCs w:val="20"/>
                <w:highlight w:val="none"/>
              </w:rPr>
              <w:t>要求</w:t>
            </w:r>
          </w:p>
        </w:tc>
        <w:tc>
          <w:tcPr>
            <w:tcW w:w="3167" w:type="dxa"/>
            <w:vAlign w:val="center"/>
          </w:tcPr>
          <w:p w14:paraId="37DEABE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响应</w:t>
            </w:r>
            <w:r>
              <w:rPr>
                <w:rFonts w:hint="eastAsia" w:ascii="宋体" w:hAnsi="宋体" w:eastAsia="宋体" w:cs="宋体"/>
                <w:b/>
                <w:color w:val="auto"/>
                <w:sz w:val="24"/>
                <w:szCs w:val="20"/>
                <w:highlight w:val="none"/>
              </w:rPr>
              <w:t>文件</w:t>
            </w:r>
            <w:r>
              <w:rPr>
                <w:rFonts w:hint="eastAsia" w:ascii="宋体" w:hAnsi="宋体" w:eastAsia="宋体" w:cs="宋体"/>
                <w:b/>
                <w:color w:val="auto"/>
                <w:sz w:val="24"/>
                <w:szCs w:val="20"/>
                <w:highlight w:val="none"/>
                <w:lang w:val="en-US" w:eastAsia="zh-CN"/>
              </w:rPr>
              <w:t>商务应答</w:t>
            </w:r>
          </w:p>
        </w:tc>
        <w:tc>
          <w:tcPr>
            <w:tcW w:w="2177" w:type="dxa"/>
            <w:vAlign w:val="center"/>
          </w:tcPr>
          <w:p w14:paraId="6646685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偏离</w:t>
            </w:r>
          </w:p>
          <w:p w14:paraId="6972C1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（无/正/负）</w:t>
            </w:r>
          </w:p>
        </w:tc>
        <w:tc>
          <w:tcPr>
            <w:tcW w:w="1369" w:type="dxa"/>
            <w:vAlign w:val="center"/>
          </w:tcPr>
          <w:p w14:paraId="02FC775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偏离简述</w:t>
            </w:r>
          </w:p>
        </w:tc>
      </w:tr>
      <w:tr w14:paraId="6C28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1589C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223" w:type="dxa"/>
          </w:tcPr>
          <w:p w14:paraId="7BE9792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167" w:type="dxa"/>
          </w:tcPr>
          <w:p w14:paraId="6DC8DC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77" w:type="dxa"/>
          </w:tcPr>
          <w:p w14:paraId="54E648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9" w:type="dxa"/>
          </w:tcPr>
          <w:p w14:paraId="1851D9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05B5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447B7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2223" w:type="dxa"/>
          </w:tcPr>
          <w:p w14:paraId="6C0C0A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167" w:type="dxa"/>
          </w:tcPr>
          <w:p w14:paraId="4D16DAD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77" w:type="dxa"/>
          </w:tcPr>
          <w:p w14:paraId="2F14B3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9" w:type="dxa"/>
          </w:tcPr>
          <w:p w14:paraId="029032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2178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7B782D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2223" w:type="dxa"/>
          </w:tcPr>
          <w:p w14:paraId="69B403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167" w:type="dxa"/>
          </w:tcPr>
          <w:p w14:paraId="0ED721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77" w:type="dxa"/>
          </w:tcPr>
          <w:p w14:paraId="1952BF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9" w:type="dxa"/>
          </w:tcPr>
          <w:p w14:paraId="0ABF13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4FF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1E580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2223" w:type="dxa"/>
          </w:tcPr>
          <w:p w14:paraId="303699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167" w:type="dxa"/>
          </w:tcPr>
          <w:p w14:paraId="60AD6D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77" w:type="dxa"/>
          </w:tcPr>
          <w:p w14:paraId="4E46E7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9" w:type="dxa"/>
          </w:tcPr>
          <w:p w14:paraId="7AD75D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77D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CA67BC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tc>
        <w:tc>
          <w:tcPr>
            <w:tcW w:w="2223" w:type="dxa"/>
          </w:tcPr>
          <w:p w14:paraId="65EB446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167" w:type="dxa"/>
          </w:tcPr>
          <w:p w14:paraId="00A6BA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77" w:type="dxa"/>
          </w:tcPr>
          <w:p w14:paraId="79A92C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9" w:type="dxa"/>
          </w:tcPr>
          <w:p w14:paraId="6F33C0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53F7FF5A">
      <w:pPr>
        <w:spacing w:line="360" w:lineRule="auto"/>
        <w:ind w:firstLine="482" w:firstLineChars="200"/>
        <w:rPr>
          <w:rFonts w:hint="eastAsia" w:ascii="宋体" w:hAnsi="宋体" w:eastAsia="宋体" w:cs="宋体"/>
          <w:b/>
          <w:bCs/>
          <w:color w:val="auto"/>
          <w:sz w:val="24"/>
          <w:szCs w:val="24"/>
          <w:highlight w:val="none"/>
        </w:rPr>
      </w:pPr>
    </w:p>
    <w:p w14:paraId="1D3C44EF">
      <w:pPr>
        <w:pStyle w:val="2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注：1.投标人可根据实际情况自行扩展表格细项。</w:t>
      </w:r>
    </w:p>
    <w:p w14:paraId="7095E4C6">
      <w:pPr>
        <w:pStyle w:val="24"/>
        <w:rPr>
          <w:rFonts w:hint="eastAsia" w:ascii="宋体" w:hAnsi="宋体" w:eastAsia="宋体" w:cs="宋体"/>
          <w:color w:val="auto"/>
          <w:highlight w:val="none"/>
        </w:rPr>
      </w:pPr>
    </w:p>
    <w:p w14:paraId="0FE65A65">
      <w:pPr>
        <w:pStyle w:val="24"/>
        <w:rPr>
          <w:rFonts w:hint="eastAsia" w:ascii="宋体" w:hAnsi="宋体" w:eastAsia="宋体" w:cs="宋体"/>
          <w:color w:val="auto"/>
          <w:highlight w:val="none"/>
        </w:rPr>
      </w:pPr>
    </w:p>
    <w:p w14:paraId="47B5E4FB">
      <w:pPr>
        <w:pStyle w:val="24"/>
        <w:rPr>
          <w:rFonts w:hint="eastAsia" w:ascii="宋体" w:hAnsi="宋体" w:eastAsia="宋体" w:cs="宋体"/>
          <w:color w:val="auto"/>
          <w:highlight w:val="none"/>
        </w:rPr>
      </w:pPr>
    </w:p>
    <w:p w14:paraId="1643E40B">
      <w:pPr>
        <w:pStyle w:val="24"/>
        <w:rPr>
          <w:rFonts w:hint="eastAsia" w:ascii="宋体" w:hAnsi="宋体" w:eastAsia="宋体" w:cs="宋体"/>
          <w:color w:val="auto"/>
          <w:highlight w:val="none"/>
        </w:rPr>
      </w:pPr>
    </w:p>
    <w:p w14:paraId="5B529B50">
      <w:pPr>
        <w:pStyle w:val="24"/>
        <w:rPr>
          <w:rFonts w:hint="eastAsia" w:ascii="宋体" w:hAnsi="宋体" w:eastAsia="宋体" w:cs="宋体"/>
          <w:color w:val="auto"/>
          <w:highlight w:val="none"/>
        </w:rPr>
      </w:pPr>
    </w:p>
    <w:p w14:paraId="6AB64CF2">
      <w:pPr>
        <w:pStyle w:val="24"/>
        <w:rPr>
          <w:rFonts w:hint="eastAsia" w:ascii="宋体" w:hAnsi="宋体" w:eastAsia="宋体" w:cs="宋体"/>
          <w:color w:val="auto"/>
          <w:highlight w:val="none"/>
        </w:rPr>
      </w:pPr>
    </w:p>
    <w:p w14:paraId="437998F8">
      <w:pPr>
        <w:pStyle w:val="24"/>
        <w:rPr>
          <w:rFonts w:hint="eastAsia" w:ascii="宋体" w:hAnsi="宋体" w:eastAsia="宋体" w:cs="宋体"/>
          <w:color w:val="auto"/>
          <w:highlight w:val="none"/>
        </w:rPr>
      </w:pPr>
    </w:p>
    <w:p w14:paraId="7218E46B">
      <w:pPr>
        <w:pStyle w:val="24"/>
        <w:rPr>
          <w:rFonts w:hint="eastAsia" w:ascii="宋体" w:hAnsi="宋体" w:eastAsia="宋体" w:cs="宋体"/>
          <w:color w:val="auto"/>
          <w:highlight w:val="none"/>
        </w:rPr>
      </w:pPr>
    </w:p>
    <w:p w14:paraId="08C9A5DB">
      <w:pPr>
        <w:adjustRightInd w:val="0"/>
        <w:snapToGrid w:val="0"/>
        <w:spacing w:line="48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供应商（单位名称及公章）：____________________________</w:t>
      </w:r>
    </w:p>
    <w:p w14:paraId="46425A17">
      <w:pPr>
        <w:adjustRightInd w:val="0"/>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被授权人（签字）：____________________________</w:t>
      </w:r>
    </w:p>
    <w:p w14:paraId="535BF10A">
      <w:pPr>
        <w:adjustRightInd w:val="0"/>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期：_______年_______月_______日</w:t>
      </w:r>
    </w:p>
    <w:p w14:paraId="017080BF">
      <w:pPr>
        <w:pStyle w:val="24"/>
        <w:rPr>
          <w:rFonts w:hint="eastAsia" w:ascii="宋体" w:hAnsi="宋体" w:eastAsia="宋体" w:cs="宋体"/>
          <w:color w:val="auto"/>
          <w:highlight w:val="none"/>
        </w:rPr>
      </w:pPr>
    </w:p>
    <w:p w14:paraId="4868BEB1">
      <w:pPr>
        <w:pStyle w:val="19"/>
        <w:spacing w:line="500" w:lineRule="exact"/>
        <w:jc w:val="left"/>
        <w:rPr>
          <w:rFonts w:hint="eastAsia" w:ascii="宋体" w:hAnsi="宋体" w:eastAsia="宋体" w:cs="宋体"/>
          <w:color w:val="auto"/>
          <w:sz w:val="24"/>
          <w:szCs w:val="24"/>
          <w:highlight w:val="none"/>
        </w:rPr>
      </w:pPr>
      <w:bookmarkStart w:id="299" w:name="_Toc536202398"/>
      <w:bookmarkStart w:id="300" w:name="_Toc536429391"/>
      <w:bookmarkStart w:id="301" w:name="_Toc5895"/>
      <w:bookmarkStart w:id="302" w:name="_Toc536429338"/>
      <w:bookmarkStart w:id="303" w:name="_Toc536202329"/>
    </w:p>
    <w:bookmarkEnd w:id="299"/>
    <w:bookmarkEnd w:id="300"/>
    <w:bookmarkEnd w:id="301"/>
    <w:bookmarkEnd w:id="302"/>
    <w:bookmarkEnd w:id="303"/>
    <w:p w14:paraId="1AC4DDBF">
      <w:pPr>
        <w:pStyle w:val="4"/>
        <w:keepNext/>
        <w:keepLines/>
        <w:pageBreakBefore/>
        <w:widowControl/>
        <w:kinsoku/>
        <w:wordWrap/>
        <w:overflowPunct/>
        <w:topLinePunct w:val="0"/>
        <w:autoSpaceDE/>
        <w:autoSpaceDN/>
        <w:bidi w:val="0"/>
        <w:adjustRightInd/>
        <w:snapToGrid/>
        <w:spacing w:after="196" w:afterLines="50"/>
        <w:jc w:val="center"/>
        <w:textAlignment w:val="auto"/>
        <w:rPr>
          <w:rFonts w:hint="eastAsia" w:ascii="宋体" w:hAnsi="宋体" w:eastAsia="宋体" w:cs="宋体"/>
          <w:color w:val="auto"/>
          <w:highlight w:val="none"/>
        </w:rPr>
      </w:pPr>
      <w:bookmarkStart w:id="304" w:name="_Toc9172"/>
      <w:bookmarkStart w:id="305" w:name="_Toc536429339"/>
      <w:bookmarkStart w:id="306" w:name="_Toc536202330"/>
      <w:bookmarkStart w:id="307" w:name="_Toc19543359"/>
      <w:bookmarkStart w:id="308" w:name="_Toc32261"/>
      <w:bookmarkStart w:id="309" w:name="_Toc14937"/>
      <w:bookmarkStart w:id="310" w:name="_Toc18853"/>
      <w:bookmarkStart w:id="311" w:name="_Toc536429392"/>
      <w:bookmarkStart w:id="312" w:name="_Toc228"/>
      <w:bookmarkStart w:id="313" w:name="_Toc536202399"/>
      <w:bookmarkStart w:id="314" w:name="_Toc28798"/>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bookmarkEnd w:id="304"/>
      <w:r>
        <w:rPr>
          <w:rFonts w:hint="eastAsia" w:ascii="宋体" w:hAnsi="宋体" w:eastAsia="宋体" w:cs="宋体"/>
          <w:color w:val="auto"/>
          <w:highlight w:val="none"/>
          <w:lang w:val="en-US" w:eastAsia="zh-CN"/>
        </w:rPr>
        <w:t>响应</w:t>
      </w:r>
      <w:r>
        <w:rPr>
          <w:rFonts w:hint="eastAsia" w:ascii="宋体" w:hAnsi="宋体" w:eastAsia="宋体" w:cs="宋体"/>
          <w:b/>
          <w:bCs/>
          <w:color w:val="auto"/>
          <w:kern w:val="2"/>
          <w:sz w:val="32"/>
          <w:szCs w:val="32"/>
          <w:highlight w:val="none"/>
          <w:lang w:val="en-US" w:eastAsia="zh-CN" w:bidi="ar-SA"/>
        </w:rPr>
        <w:t>方案</w:t>
      </w:r>
      <w:bookmarkEnd w:id="305"/>
      <w:bookmarkEnd w:id="306"/>
      <w:bookmarkEnd w:id="307"/>
      <w:bookmarkEnd w:id="308"/>
      <w:bookmarkEnd w:id="309"/>
      <w:bookmarkEnd w:id="310"/>
      <w:bookmarkEnd w:id="311"/>
      <w:bookmarkEnd w:id="312"/>
      <w:bookmarkEnd w:id="313"/>
      <w:bookmarkEnd w:id="314"/>
    </w:p>
    <w:p w14:paraId="2190FCDB">
      <w:pPr>
        <w:numPr>
          <w:ilvl w:val="0"/>
          <w:numId w:val="0"/>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参照</w:t>
      </w:r>
      <w:r>
        <w:rPr>
          <w:rFonts w:hint="eastAsia" w:ascii="宋体" w:hAnsi="宋体" w:eastAsia="宋体" w:cs="宋体"/>
          <w:b/>
          <w:bCs/>
          <w:sz w:val="24"/>
          <w:szCs w:val="24"/>
          <w:lang w:val="en-US" w:eastAsia="zh-CN"/>
        </w:rPr>
        <w:t>谈判</w:t>
      </w:r>
      <w:r>
        <w:rPr>
          <w:rFonts w:hint="eastAsia" w:ascii="宋体" w:hAnsi="宋体" w:eastAsia="宋体" w:cs="宋体"/>
          <w:b/>
          <w:bCs/>
          <w:sz w:val="24"/>
          <w:szCs w:val="24"/>
        </w:rPr>
        <w:t>文件的《</w:t>
      </w:r>
      <w:r>
        <w:rPr>
          <w:rFonts w:hint="eastAsia" w:ascii="宋体" w:hAnsi="宋体" w:eastAsia="宋体" w:cs="宋体"/>
          <w:b/>
          <w:bCs/>
          <w:sz w:val="24"/>
          <w:szCs w:val="24"/>
          <w:lang w:val="en-US" w:eastAsia="zh-CN"/>
        </w:rPr>
        <w:t>采购内容及要求</w:t>
      </w:r>
      <w:r>
        <w:rPr>
          <w:rFonts w:hint="eastAsia" w:ascii="宋体" w:hAnsi="宋体" w:eastAsia="宋体" w:cs="宋体"/>
          <w:b/>
          <w:bCs/>
          <w:sz w:val="24"/>
          <w:szCs w:val="24"/>
        </w:rPr>
        <w:t>》各条款的要求，编制投标方案说明书，投标方案由供应商自行编写，无具体格式，包含但不限于以下内容：</w:t>
      </w:r>
    </w:p>
    <w:p w14:paraId="57F17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Cs w:val="22"/>
        </w:rPr>
        <w:t xml:space="preserve"> </w:t>
      </w:r>
      <w:r>
        <w:rPr>
          <w:rFonts w:hint="eastAsia" w:ascii="宋体" w:hAnsi="宋体" w:eastAsia="宋体" w:cs="宋体"/>
          <w:sz w:val="24"/>
          <w:szCs w:val="24"/>
          <w:lang w:val="en-US" w:eastAsia="zh-CN"/>
        </w:rPr>
        <w:t>技术</w:t>
      </w:r>
      <w:r>
        <w:rPr>
          <w:rFonts w:hint="eastAsia" w:ascii="宋体" w:hAnsi="宋体" w:eastAsia="宋体" w:cs="宋体"/>
          <w:sz w:val="24"/>
          <w:szCs w:val="24"/>
          <w:lang w:eastAsia="zh-CN"/>
        </w:rPr>
        <w:t>方案</w:t>
      </w:r>
      <w:r>
        <w:rPr>
          <w:rFonts w:hint="eastAsia" w:ascii="宋体" w:hAnsi="宋体" w:eastAsia="宋体" w:cs="宋体"/>
          <w:sz w:val="24"/>
          <w:szCs w:val="24"/>
        </w:rPr>
        <w:t>：</w:t>
      </w:r>
    </w:p>
    <w:p w14:paraId="02393A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产品技术指标及功能</w:t>
      </w:r>
    </w:p>
    <w:p w14:paraId="4042858D">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（2）质量保证</w:t>
      </w:r>
    </w:p>
    <w:p w14:paraId="482E3B1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（3）</w:t>
      </w:r>
      <w:r>
        <w:rPr>
          <w:rFonts w:hint="eastAsia" w:ascii="宋体" w:hAnsi="宋体" w:eastAsia="宋体" w:cs="宋体"/>
          <w:color w:val="auto"/>
          <w:sz w:val="24"/>
          <w:szCs w:val="24"/>
          <w:highlight w:val="none"/>
          <w:lang w:val="en-US" w:eastAsia="zh-CN"/>
        </w:rPr>
        <w:t>供货的时效性</w:t>
      </w:r>
    </w:p>
    <w:p w14:paraId="5DD15319">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（4）货物来源</w:t>
      </w:r>
    </w:p>
    <w:p w14:paraId="2A76509D">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（5）人员配备</w:t>
      </w:r>
    </w:p>
    <w:p w14:paraId="5C8C5F4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）应急措施</w:t>
      </w:r>
    </w:p>
    <w:p w14:paraId="21537A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Cs w:val="22"/>
        </w:rPr>
        <w:t xml:space="preserve"> </w:t>
      </w:r>
      <w:r>
        <w:rPr>
          <w:rFonts w:hint="eastAsia" w:ascii="宋体" w:hAnsi="宋体" w:eastAsia="宋体" w:cs="宋体"/>
          <w:sz w:val="24"/>
          <w:szCs w:val="24"/>
        </w:rPr>
        <w:t>商务部分：</w:t>
      </w:r>
    </w:p>
    <w:p w14:paraId="502E4E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（1）类似项目业绩；</w:t>
      </w:r>
    </w:p>
    <w:p w14:paraId="03DE9272">
      <w:pPr>
        <w:spacing w:line="360" w:lineRule="auto"/>
        <w:ind w:firstLine="480" w:firstLineChars="200"/>
        <w:rPr>
          <w:rFonts w:hint="eastAsia" w:ascii="宋体" w:hAnsi="宋体" w:eastAsia="宋体" w:cs="宋体"/>
        </w:rPr>
      </w:pPr>
      <w:r>
        <w:rPr>
          <w:rFonts w:hint="eastAsia" w:ascii="宋体" w:hAnsi="宋体" w:eastAsia="宋体" w:cs="宋体"/>
          <w:sz w:val="24"/>
          <w:szCs w:val="24"/>
        </w:rPr>
        <w:t>（2）企业实力；</w:t>
      </w:r>
    </w:p>
    <w:p w14:paraId="49E81D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售后</w:t>
      </w:r>
      <w:r>
        <w:rPr>
          <w:rFonts w:hint="eastAsia" w:ascii="宋体" w:hAnsi="宋体" w:eastAsia="宋体" w:cs="宋体"/>
          <w:sz w:val="24"/>
          <w:szCs w:val="24"/>
        </w:rPr>
        <w:t>服务承诺和建议；</w:t>
      </w:r>
    </w:p>
    <w:p w14:paraId="36F84C1D">
      <w:pPr>
        <w:spacing w:line="360" w:lineRule="auto"/>
        <w:ind w:firstLine="480" w:firstLineChars="200"/>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）供应商认为有必要提供的其他证明材料及情况说明；</w:t>
      </w:r>
    </w:p>
    <w:p w14:paraId="53CCA3E8">
      <w:pPr>
        <w:pStyle w:val="6"/>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w:t>
      </w:r>
    </w:p>
    <w:p w14:paraId="09ADCBD5">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p>
    <w:p w14:paraId="09C11EFD">
      <w:pPr>
        <w:pageBreakBefore w:val="0"/>
        <w:kinsoku/>
        <w:wordWrap/>
        <w:overflowPunct/>
        <w:topLinePunct w:val="0"/>
        <w:bidi w:val="0"/>
        <w:snapToGrid/>
        <w:spacing w:line="480" w:lineRule="exact"/>
        <w:rPr>
          <w:rFonts w:hint="eastAsia" w:ascii="宋体" w:hAnsi="宋体" w:eastAsia="宋体" w:cs="宋体"/>
          <w:color w:val="auto"/>
          <w:sz w:val="24"/>
          <w:szCs w:val="24"/>
          <w:highlight w:val="none"/>
        </w:rPr>
      </w:pPr>
    </w:p>
    <w:p w14:paraId="29CE64E5">
      <w:pPr>
        <w:spacing w:line="360" w:lineRule="auto"/>
        <w:ind w:firstLine="560" w:firstLineChars="200"/>
        <w:rPr>
          <w:rFonts w:hint="eastAsia" w:ascii="宋体" w:hAnsi="宋体" w:eastAsia="宋体" w:cs="宋体"/>
          <w:color w:val="auto"/>
          <w:highlight w:val="none"/>
          <w:lang w:eastAsia="zh-CN"/>
        </w:rPr>
      </w:pPr>
    </w:p>
    <w:p w14:paraId="6375C7DD">
      <w:pPr>
        <w:rPr>
          <w:rFonts w:hint="eastAsia" w:ascii="宋体" w:hAnsi="宋体" w:eastAsia="宋体" w:cs="宋体"/>
          <w:b/>
          <w:bCs/>
          <w:color w:val="auto"/>
          <w:sz w:val="32"/>
          <w:szCs w:val="32"/>
          <w:highlight w:val="none"/>
        </w:rPr>
      </w:pPr>
      <w:bookmarkStart w:id="315" w:name="_Toc19543360"/>
      <w:r>
        <w:rPr>
          <w:rFonts w:hint="eastAsia" w:ascii="宋体" w:hAnsi="宋体" w:eastAsia="宋体" w:cs="宋体"/>
          <w:b/>
          <w:bCs/>
          <w:color w:val="auto"/>
          <w:sz w:val="32"/>
          <w:szCs w:val="32"/>
          <w:highlight w:val="none"/>
        </w:rPr>
        <w:br w:type="page"/>
      </w:r>
    </w:p>
    <w:p w14:paraId="79852564">
      <w:pPr>
        <w:keepNext/>
        <w:keepLines/>
        <w:pageBreakBefore w:val="0"/>
        <w:widowControl/>
        <w:kinsoku/>
        <w:wordWrap/>
        <w:overflowPunct/>
        <w:topLinePunct w:val="0"/>
        <w:autoSpaceDE/>
        <w:autoSpaceDN/>
        <w:bidi w:val="0"/>
        <w:adjustRightInd/>
        <w:snapToGrid/>
        <w:spacing w:after="196" w:afterLines="50" w:line="240" w:lineRule="auto"/>
        <w:ind w:firstLine="482" w:firstLineChars="150"/>
        <w:jc w:val="center"/>
        <w:textAlignment w:val="auto"/>
        <w:outlineLvl w:val="1"/>
        <w:rPr>
          <w:rFonts w:hint="eastAsia" w:ascii="宋体" w:hAnsi="宋体" w:eastAsia="宋体" w:cs="宋体"/>
          <w:b/>
          <w:bCs/>
          <w:color w:val="auto"/>
          <w:kern w:val="2"/>
          <w:sz w:val="32"/>
          <w:szCs w:val="32"/>
          <w:highlight w:val="none"/>
          <w:lang w:val="en-US" w:eastAsia="zh-CN" w:bidi="ar-SA"/>
        </w:rPr>
      </w:pPr>
      <w:bookmarkStart w:id="316" w:name="_Toc27089"/>
      <w:bookmarkStart w:id="317" w:name="_Toc32441"/>
      <w:bookmarkStart w:id="318" w:name="_Toc18935"/>
      <w:bookmarkStart w:id="319" w:name="_Toc4268"/>
      <w:r>
        <w:rPr>
          <w:rFonts w:hint="eastAsia" w:ascii="宋体" w:hAnsi="宋体" w:eastAsia="宋体" w:cs="宋体"/>
          <w:b/>
          <w:bCs/>
          <w:color w:val="auto"/>
          <w:kern w:val="2"/>
          <w:sz w:val="32"/>
          <w:szCs w:val="32"/>
          <w:highlight w:val="none"/>
          <w:lang w:val="en-US" w:eastAsia="zh-CN" w:bidi="ar-SA"/>
        </w:rPr>
        <w:t>投标人情况表</w:t>
      </w:r>
      <w:bookmarkEnd w:id="316"/>
      <w:bookmarkEnd w:id="317"/>
      <w:bookmarkEnd w:id="318"/>
      <w:bookmarkEnd w:id="319"/>
    </w:p>
    <w:p w14:paraId="56E0B9C0">
      <w:pPr>
        <w:autoSpaceDE w:val="0"/>
        <w:autoSpaceDN w:val="0"/>
        <w:adjustRightInd w:val="0"/>
        <w:spacing w:line="360" w:lineRule="exact"/>
        <w:textAlignment w:val="baseline"/>
        <w:rPr>
          <w:rFonts w:hint="eastAsia" w:ascii="宋体" w:hAnsi="宋体" w:eastAsia="宋体" w:cs="宋体"/>
          <w:b/>
          <w:bCs/>
          <w:color w:val="auto"/>
          <w:kern w:val="20"/>
          <w:sz w:val="24"/>
          <w:szCs w:val="24"/>
          <w:highlight w:val="none"/>
        </w:rPr>
      </w:pPr>
    </w:p>
    <w:tbl>
      <w:tblPr>
        <w:tblStyle w:val="38"/>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3EEB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7C65EAC9">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62" w:type="dxa"/>
            <w:tcMar>
              <w:top w:w="15" w:type="dxa"/>
              <w:left w:w="15" w:type="dxa"/>
              <w:bottom w:w="0" w:type="dxa"/>
              <w:right w:w="15" w:type="dxa"/>
            </w:tcMar>
            <w:vAlign w:val="center"/>
          </w:tcPr>
          <w:p w14:paraId="59249A2B">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姓  名</w:t>
            </w:r>
          </w:p>
        </w:tc>
        <w:tc>
          <w:tcPr>
            <w:tcW w:w="809" w:type="dxa"/>
            <w:tcMar>
              <w:top w:w="15" w:type="dxa"/>
              <w:left w:w="15" w:type="dxa"/>
              <w:bottom w:w="0" w:type="dxa"/>
              <w:right w:w="15" w:type="dxa"/>
            </w:tcMar>
            <w:vAlign w:val="center"/>
          </w:tcPr>
          <w:p w14:paraId="7516A374">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性别</w:t>
            </w:r>
          </w:p>
        </w:tc>
        <w:tc>
          <w:tcPr>
            <w:tcW w:w="809" w:type="dxa"/>
            <w:tcMar>
              <w:top w:w="15" w:type="dxa"/>
              <w:left w:w="15" w:type="dxa"/>
              <w:bottom w:w="0" w:type="dxa"/>
              <w:right w:w="15" w:type="dxa"/>
            </w:tcMar>
            <w:vAlign w:val="center"/>
          </w:tcPr>
          <w:p w14:paraId="26F24E70">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年龄</w:t>
            </w:r>
          </w:p>
        </w:tc>
        <w:tc>
          <w:tcPr>
            <w:tcW w:w="809" w:type="dxa"/>
            <w:tcMar>
              <w:top w:w="15" w:type="dxa"/>
              <w:left w:w="15" w:type="dxa"/>
              <w:bottom w:w="0" w:type="dxa"/>
              <w:right w:w="15" w:type="dxa"/>
            </w:tcMar>
            <w:vAlign w:val="center"/>
          </w:tcPr>
          <w:p w14:paraId="306EAC0D">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学历</w:t>
            </w:r>
          </w:p>
        </w:tc>
        <w:tc>
          <w:tcPr>
            <w:tcW w:w="1062" w:type="dxa"/>
            <w:tcMar>
              <w:top w:w="15" w:type="dxa"/>
              <w:left w:w="15" w:type="dxa"/>
              <w:bottom w:w="0" w:type="dxa"/>
              <w:right w:w="15" w:type="dxa"/>
            </w:tcMar>
            <w:vAlign w:val="center"/>
          </w:tcPr>
          <w:p w14:paraId="2D49C70B">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工作</w:t>
            </w:r>
          </w:p>
          <w:p w14:paraId="02A1EE86">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年限</w:t>
            </w:r>
          </w:p>
        </w:tc>
        <w:tc>
          <w:tcPr>
            <w:tcW w:w="2667" w:type="dxa"/>
            <w:tcMar>
              <w:top w:w="15" w:type="dxa"/>
              <w:left w:w="15" w:type="dxa"/>
              <w:bottom w:w="0" w:type="dxa"/>
              <w:right w:w="15" w:type="dxa"/>
            </w:tcMar>
            <w:vAlign w:val="center"/>
          </w:tcPr>
          <w:p w14:paraId="5BEDB22E">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拟担任的职务</w:t>
            </w:r>
          </w:p>
        </w:tc>
        <w:tc>
          <w:tcPr>
            <w:tcW w:w="966" w:type="dxa"/>
            <w:tcMar>
              <w:top w:w="15" w:type="dxa"/>
              <w:left w:w="15" w:type="dxa"/>
              <w:bottom w:w="0" w:type="dxa"/>
              <w:right w:w="15" w:type="dxa"/>
            </w:tcMar>
            <w:vAlign w:val="center"/>
          </w:tcPr>
          <w:p w14:paraId="278FE419">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岗位</w:t>
            </w:r>
          </w:p>
          <w:p w14:paraId="2133C8A7">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情况</w:t>
            </w:r>
          </w:p>
        </w:tc>
      </w:tr>
      <w:tr w14:paraId="436B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2EDD170">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2C91F4E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988B1A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1DFF812">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D1F2660">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2574EE13">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5CD8CB9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6DE57C65">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4084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39E4C0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152136B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5CCD17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695842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9DB6AB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11BA965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4281AE61">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4B85153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1678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72A528D3">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5823F7A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6BB0D0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1D152E7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33F8BF8">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45B6BFB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64A7375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23EEF1E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3002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F8D20E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619E95BC">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32901B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825DE2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22E8250">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7F299731">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7319344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55F64A7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38D4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E57F76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569B040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14332EAC">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1CF0AC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1F4F8A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1C9F74A1">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16CF448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4FA7874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417C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1B7EA9B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361EE2AC">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98D9EC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527CDC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F3ACAC0">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58FF22F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29B223E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1ECC9BB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6649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FDE6EA1">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119DB210">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ED4CD1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FAEE5F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840EEC0">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1ACE35C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1D478B3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3F62D98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6D6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1CC66B5">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74631F9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E306823">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A8FE4B8">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12DB40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36D1E56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72C3DCE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52C8219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404E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0D074C">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487ACBB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FB1E01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2D27985">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A9A1D20">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60A2312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77331BB8">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45FF7F53">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56FE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36580A1">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532EF64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4E807E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A7625C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FF5AC5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0CCE676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0398F24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789EDF3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3581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94BBA8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4D38601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7C1B43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0EED13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D92F5A2">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09C0F748">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2A934842">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7665ACF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7C54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70027D52">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3599CEB3">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10A188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0B2403E">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6BB137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34A0A1D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77CEECE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01F265A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1194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B70990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6378AB45">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6A57958">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1C5AF9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522B3D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39E0EE7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7F9D0741">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3C93F8F3">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5FFC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12A629F">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6542EFE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99F974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C902BF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338BA08">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06D5C77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118693F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1EC9745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6D5C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0E63322">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7342517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012206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0F53B4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9408242">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69F22FF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3138F16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392DE89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2516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A1BCDD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104893C7">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055369B">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EDE3648">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78C96A6">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3B34F5D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16BAA4C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568EE329">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r w14:paraId="7C57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49C78473">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4B3D4E0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BF2831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D985D41">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30DC44D">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4D2CFCF4">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29BE9A7C">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166B611A">
            <w:pPr>
              <w:keepNext w:val="0"/>
              <w:keepLines w:val="0"/>
              <w:widowControl/>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highlight w:val="none"/>
              </w:rPr>
            </w:pPr>
          </w:p>
        </w:tc>
      </w:tr>
    </w:tbl>
    <w:p w14:paraId="6D8A2697">
      <w:pPr>
        <w:rPr>
          <w:rFonts w:hint="eastAsia" w:ascii="宋体" w:hAnsi="宋体" w:eastAsia="宋体" w:cs="宋体"/>
          <w:color w:val="auto"/>
          <w:szCs w:val="22"/>
          <w:highlight w:val="none"/>
        </w:rPr>
      </w:pPr>
    </w:p>
    <w:p w14:paraId="7B4EDBE6">
      <w:pPr>
        <w:adjustRightInd w:val="0"/>
        <w:snapToGrid w:val="0"/>
        <w:spacing w:line="480" w:lineRule="auto"/>
        <w:jc w:val="left"/>
        <w:rPr>
          <w:rFonts w:hint="eastAsia" w:ascii="宋体" w:hAnsi="宋体" w:eastAsia="宋体" w:cs="宋体"/>
          <w:color w:val="auto"/>
          <w:sz w:val="24"/>
          <w:szCs w:val="24"/>
          <w:highlight w:val="none"/>
          <w:u w:val="single"/>
        </w:rPr>
      </w:pPr>
      <w:bookmarkStart w:id="320" w:name="_Hlt491766019"/>
      <w:bookmarkEnd w:id="320"/>
      <w:bookmarkStart w:id="321" w:name="_Hlt491765868"/>
      <w:bookmarkEnd w:id="321"/>
      <w:bookmarkStart w:id="322" w:name="_Hlt491573425"/>
      <w:bookmarkEnd w:id="322"/>
      <w:bookmarkStart w:id="323" w:name="_Hlt491765944"/>
      <w:bookmarkEnd w:id="323"/>
      <w:bookmarkStart w:id="324" w:name="_Hlt491572882"/>
      <w:bookmarkEnd w:id="324"/>
      <w:r>
        <w:rPr>
          <w:rFonts w:hint="eastAsia" w:ascii="宋体" w:hAnsi="宋体" w:eastAsia="宋体" w:cs="宋体"/>
          <w:color w:val="auto"/>
          <w:sz w:val="24"/>
          <w:szCs w:val="24"/>
          <w:highlight w:val="none"/>
        </w:rPr>
        <w:t>供应商（单位名称及公章）：_____________________</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_______</w:t>
      </w:r>
    </w:p>
    <w:p w14:paraId="6A6A2944">
      <w:pPr>
        <w:adjustRightInd w:val="0"/>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被授权人（签字）：____________________________</w:t>
      </w:r>
    </w:p>
    <w:p w14:paraId="08E6F826">
      <w:pPr>
        <w:adjustRightInd w:val="0"/>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期：_______年_______月_______日</w:t>
      </w:r>
    </w:p>
    <w:p w14:paraId="454C5B94">
      <w:pPr>
        <w:rPr>
          <w:rFonts w:hint="eastAsia" w:ascii="宋体" w:hAnsi="宋体" w:eastAsia="宋体" w:cs="宋体"/>
          <w:color w:val="auto"/>
          <w:sz w:val="24"/>
          <w:szCs w:val="24"/>
          <w:highlight w:val="none"/>
        </w:rPr>
      </w:pPr>
    </w:p>
    <w:p w14:paraId="4638824D">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37318E">
      <w:pPr>
        <w:spacing w:line="360" w:lineRule="auto"/>
        <w:rPr>
          <w:rFonts w:hint="eastAsia" w:ascii="宋体" w:hAnsi="宋体" w:eastAsia="宋体" w:cs="宋体"/>
          <w:b/>
          <w:bCs/>
          <w:color w:val="auto"/>
          <w:kern w:val="20"/>
          <w:sz w:val="24"/>
          <w:szCs w:val="24"/>
          <w:highlight w:val="none"/>
        </w:rPr>
      </w:pPr>
      <w:r>
        <w:rPr>
          <w:rFonts w:hint="eastAsia" w:ascii="宋体" w:hAnsi="宋体" w:eastAsia="宋体" w:cs="宋体"/>
          <w:color w:val="auto"/>
          <w:sz w:val="24"/>
          <w:szCs w:val="24"/>
          <w:highlight w:val="none"/>
        </w:rPr>
        <w:t xml:space="preserve">   </w:t>
      </w:r>
      <w:bookmarkStart w:id="325" w:name="_Toc426457711"/>
      <w:bookmarkStart w:id="326" w:name="_Toc225409966"/>
      <w:bookmarkStart w:id="327" w:name="_Toc528240836"/>
      <w:bookmarkStart w:id="328" w:name="_Toc403077653"/>
      <w:bookmarkStart w:id="329" w:name="_Toc225416062"/>
      <w:bookmarkStart w:id="330" w:name="_Toc484890091"/>
      <w:bookmarkStart w:id="331" w:name="_Toc4548"/>
      <w:bookmarkStart w:id="332" w:name="_Toc225566883"/>
      <w:bookmarkStart w:id="333" w:name="_Toc14010"/>
      <w:bookmarkStart w:id="334" w:name="_Toc225410808"/>
      <w:bookmarkStart w:id="335" w:name="_Toc225415861"/>
      <w:bookmarkStart w:id="336" w:name="_Toc16685"/>
      <w:bookmarkStart w:id="337" w:name="_Toc225415660"/>
      <w:bookmarkStart w:id="338" w:name="_Toc225412172"/>
      <w:bookmarkStart w:id="339" w:name="_Toc225566702"/>
      <w:bookmarkStart w:id="340" w:name="_Toc26060"/>
      <w:bookmarkStart w:id="341" w:name="_Toc15882"/>
      <w:bookmarkStart w:id="342" w:name="_Toc341541376"/>
      <w:bookmarkStart w:id="343" w:name="_Toc225412374"/>
      <w:bookmarkStart w:id="344" w:name="_Toc225567482"/>
      <w:bookmarkStart w:id="345" w:name="_Toc225410182"/>
      <w:bookmarkStart w:id="346" w:name="_Toc396304715"/>
    </w:p>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14:paraId="2C81476E">
      <w:pPr>
        <w:keepNext/>
        <w:keepLines/>
        <w:pageBreakBefore w:val="0"/>
        <w:widowControl/>
        <w:kinsoku/>
        <w:wordWrap/>
        <w:overflowPunct/>
        <w:topLinePunct w:val="0"/>
        <w:autoSpaceDE/>
        <w:autoSpaceDN/>
        <w:bidi w:val="0"/>
        <w:adjustRightInd/>
        <w:snapToGrid/>
        <w:spacing w:after="196" w:afterLines="50" w:line="240" w:lineRule="auto"/>
        <w:ind w:firstLine="482" w:firstLineChars="150"/>
        <w:jc w:val="center"/>
        <w:textAlignment w:val="auto"/>
        <w:outlineLvl w:val="1"/>
        <w:rPr>
          <w:rFonts w:hint="eastAsia" w:ascii="宋体" w:hAnsi="宋体" w:eastAsia="宋体" w:cs="宋体"/>
          <w:b/>
          <w:bCs/>
          <w:color w:val="auto"/>
          <w:kern w:val="2"/>
          <w:sz w:val="32"/>
          <w:szCs w:val="32"/>
          <w:highlight w:val="none"/>
          <w:lang w:val="en-US" w:eastAsia="zh-CN" w:bidi="ar-SA"/>
        </w:rPr>
      </w:pPr>
      <w:bookmarkStart w:id="347" w:name="_Toc7491"/>
      <w:bookmarkStart w:id="348" w:name="_Toc7454"/>
      <w:bookmarkStart w:id="349" w:name="_Toc24387"/>
      <w:bookmarkStart w:id="350" w:name="_Toc15989"/>
      <w:r>
        <w:rPr>
          <w:rFonts w:hint="eastAsia" w:ascii="宋体" w:hAnsi="宋体" w:eastAsia="宋体" w:cs="宋体"/>
          <w:b/>
          <w:bCs/>
          <w:color w:val="auto"/>
          <w:kern w:val="2"/>
          <w:sz w:val="32"/>
          <w:szCs w:val="32"/>
          <w:highlight w:val="none"/>
          <w:lang w:val="en-US" w:eastAsia="zh-CN" w:bidi="ar-SA"/>
        </w:rPr>
        <w:t>业绩</w:t>
      </w:r>
      <w:bookmarkEnd w:id="315"/>
      <w:bookmarkEnd w:id="347"/>
      <w:bookmarkEnd w:id="348"/>
      <w:bookmarkEnd w:id="349"/>
      <w:bookmarkEnd w:id="350"/>
    </w:p>
    <w:tbl>
      <w:tblPr>
        <w:tblStyle w:val="38"/>
        <w:tblW w:w="92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E89D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0D60FF0B">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14" w:type="dxa"/>
            <w:vAlign w:val="center"/>
          </w:tcPr>
          <w:p w14:paraId="22D9182E">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364" w:type="dxa"/>
            <w:vAlign w:val="center"/>
          </w:tcPr>
          <w:p w14:paraId="26D0B45D">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项目内容</w:t>
            </w:r>
          </w:p>
        </w:tc>
        <w:tc>
          <w:tcPr>
            <w:tcW w:w="2409" w:type="dxa"/>
            <w:vAlign w:val="center"/>
          </w:tcPr>
          <w:p w14:paraId="2CA5C8A0">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合同金额</w:t>
            </w:r>
          </w:p>
        </w:tc>
        <w:tc>
          <w:tcPr>
            <w:tcW w:w="2409" w:type="dxa"/>
            <w:vAlign w:val="center"/>
          </w:tcPr>
          <w:p w14:paraId="28DE6BE6">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采购单位</w:t>
            </w:r>
          </w:p>
        </w:tc>
      </w:tr>
      <w:tr w14:paraId="5A387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24DFE55F">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12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4" w:type="dxa"/>
            <w:vAlign w:val="center"/>
          </w:tcPr>
          <w:p w14:paraId="7251EA86">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6F6FE686">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14929222">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47E1D44E">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202EE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0BE6E6B1">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12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4" w:type="dxa"/>
            <w:vAlign w:val="center"/>
          </w:tcPr>
          <w:p w14:paraId="718E315A">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1B7AB9FF">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2D34D67F">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38CD2110">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359AB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06AE0535">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12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4" w:type="dxa"/>
            <w:vAlign w:val="center"/>
          </w:tcPr>
          <w:p w14:paraId="1932FC46">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4265928B">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6A817750">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023BB502">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4D393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6CBBC5BC">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12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14" w:type="dxa"/>
            <w:vAlign w:val="center"/>
          </w:tcPr>
          <w:p w14:paraId="6DB20ED3">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3F118C5B">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6E823B95">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3563BA91">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676F5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70A09D4B">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12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14" w:type="dxa"/>
            <w:vAlign w:val="center"/>
          </w:tcPr>
          <w:p w14:paraId="3331CF24">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25770185">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35B170C3">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1D420B1B">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2AAF0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2E12CFDC">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14" w:type="dxa"/>
            <w:vAlign w:val="center"/>
          </w:tcPr>
          <w:p w14:paraId="31CBA79E">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274990E6">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1C8A06B3">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5EFABE5B">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2289C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052035E2">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1414" w:type="dxa"/>
            <w:vAlign w:val="center"/>
          </w:tcPr>
          <w:p w14:paraId="4665E877">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6BE13992">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618CA3D5">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5AE2EC1F">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1CAAC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3DCD7388">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1414" w:type="dxa"/>
            <w:vAlign w:val="center"/>
          </w:tcPr>
          <w:p w14:paraId="6DA17E79">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34F8AF14">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33E25601">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5E9F47F5">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2D638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65709334">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1414" w:type="dxa"/>
            <w:vAlign w:val="center"/>
          </w:tcPr>
          <w:p w14:paraId="1B5665A0">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6BD854D5">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55B58ED4">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683D5C19">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r w14:paraId="49E42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609" w:type="dxa"/>
            <w:vAlign w:val="center"/>
          </w:tcPr>
          <w:p w14:paraId="158CC6A1">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120" w:right="0"/>
              <w:jc w:val="center"/>
              <w:textAlignment w:val="auto"/>
              <w:rPr>
                <w:rFonts w:hint="eastAsia" w:ascii="宋体" w:hAnsi="宋体" w:eastAsia="宋体" w:cs="宋体"/>
                <w:color w:val="auto"/>
                <w:sz w:val="24"/>
                <w:szCs w:val="24"/>
                <w:highlight w:val="none"/>
              </w:rPr>
            </w:pPr>
          </w:p>
        </w:tc>
        <w:tc>
          <w:tcPr>
            <w:tcW w:w="1414" w:type="dxa"/>
            <w:vAlign w:val="center"/>
          </w:tcPr>
          <w:p w14:paraId="514D999B">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364" w:type="dxa"/>
            <w:vAlign w:val="center"/>
          </w:tcPr>
          <w:p w14:paraId="7CA2A567">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7C639173">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c>
          <w:tcPr>
            <w:tcW w:w="2409" w:type="dxa"/>
          </w:tcPr>
          <w:p w14:paraId="5F537A4F">
            <w:pPr>
              <w:keepNext w:val="0"/>
              <w:keepLines w:val="0"/>
              <w:pageBreakBefore w:val="0"/>
              <w:widowControl/>
              <w:suppressLineNumbers w:val="0"/>
              <w:kinsoku/>
              <w:wordWrap/>
              <w:overflowPunct/>
              <w:topLinePunct w:val="0"/>
              <w:autoSpaceDE/>
              <w:autoSpaceDN/>
              <w:bidi w:val="0"/>
              <w:spacing w:before="0" w:beforeAutospacing="0" w:after="196" w:afterLines="5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64088605">
      <w:pPr>
        <w:pageBreakBefore w:val="0"/>
        <w:tabs>
          <w:tab w:val="left" w:pos="8782"/>
        </w:tabs>
        <w:kinsoku/>
        <w:wordWrap/>
        <w:overflowPunct/>
        <w:topLinePunct w:val="0"/>
        <w:autoSpaceDE/>
        <w:autoSpaceDN/>
        <w:bidi w:val="0"/>
        <w:snapToGrid w:val="0"/>
        <w:spacing w:after="196" w:afterLines="50" w:line="240" w:lineRule="auto"/>
        <w:ind w:firstLine="480" w:firstLineChars="200"/>
        <w:textAlignment w:val="auto"/>
        <w:rPr>
          <w:rFonts w:hint="eastAsia" w:ascii="宋体" w:hAnsi="宋体" w:eastAsia="宋体" w:cs="宋体"/>
          <w:color w:val="auto"/>
          <w:sz w:val="24"/>
          <w:szCs w:val="24"/>
          <w:highlight w:val="none"/>
        </w:rPr>
      </w:pPr>
    </w:p>
    <w:p w14:paraId="6E47B75B">
      <w:pPr>
        <w:pageBreakBefore w:val="0"/>
        <w:tabs>
          <w:tab w:val="left" w:pos="8782"/>
        </w:tabs>
        <w:kinsoku/>
        <w:wordWrap/>
        <w:overflowPunct/>
        <w:topLinePunct w:val="0"/>
        <w:autoSpaceDE/>
        <w:autoSpaceDN/>
        <w:bidi w:val="0"/>
        <w:snapToGrid w:val="0"/>
        <w:spacing w:after="196" w:afterLines="50"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注：1.投标人应如实列出以上情况，如有隐瞒，一经查实将导致其报价申请被拒绝。</w:t>
      </w:r>
    </w:p>
    <w:p w14:paraId="37C64F4C">
      <w:pPr>
        <w:pageBreakBefore w:val="0"/>
        <w:tabs>
          <w:tab w:val="left" w:pos="8782"/>
        </w:tabs>
        <w:kinsoku/>
        <w:wordWrap/>
        <w:overflowPunct/>
        <w:topLinePunct w:val="0"/>
        <w:autoSpaceDE/>
        <w:autoSpaceDN/>
        <w:bidi w:val="0"/>
        <w:snapToGrid w:val="0"/>
        <w:spacing w:after="196" w:afterLines="50" w:line="24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2.投标人应提供双方签订的合同（合同复印件加盖公章装订在投标文件中）。 </w:t>
      </w:r>
    </w:p>
    <w:p w14:paraId="54BB5C0E">
      <w:pPr>
        <w:pStyle w:val="24"/>
        <w:pageBreakBefore w:val="0"/>
        <w:kinsoku/>
        <w:wordWrap/>
        <w:overflowPunct/>
        <w:topLinePunct w:val="0"/>
        <w:autoSpaceDE/>
        <w:autoSpaceDN/>
        <w:bidi w:val="0"/>
        <w:spacing w:after="196" w:afterLines="50" w:line="240" w:lineRule="auto"/>
        <w:textAlignment w:val="auto"/>
        <w:rPr>
          <w:rFonts w:hint="eastAsia" w:ascii="宋体" w:hAnsi="宋体" w:eastAsia="宋体" w:cs="宋体"/>
          <w:color w:val="auto"/>
          <w:highlight w:val="none"/>
        </w:rPr>
      </w:pPr>
    </w:p>
    <w:p w14:paraId="15EC902B">
      <w:pPr>
        <w:pageBreakBefore w:val="0"/>
        <w:kinsoku/>
        <w:wordWrap/>
        <w:overflowPunct/>
        <w:topLinePunct w:val="0"/>
        <w:autoSpaceDE/>
        <w:autoSpaceDN/>
        <w:bidi w:val="0"/>
        <w:adjustRightInd w:val="0"/>
        <w:snapToGrid w:val="0"/>
        <w:spacing w:after="196" w:afterLines="50" w:line="240" w:lineRule="auto"/>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供应商（单位名称及公章）：____________________</w:t>
      </w:r>
    </w:p>
    <w:p w14:paraId="4E313132">
      <w:pPr>
        <w:pageBreakBefore w:val="0"/>
        <w:kinsoku/>
        <w:wordWrap/>
        <w:overflowPunct/>
        <w:topLinePunct w:val="0"/>
        <w:autoSpaceDE/>
        <w:autoSpaceDN/>
        <w:bidi w:val="0"/>
        <w:adjustRightInd w:val="0"/>
        <w:snapToGrid w:val="0"/>
        <w:spacing w:after="196" w:afterLines="50"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被授权人（签字）：____________________</w:t>
      </w:r>
    </w:p>
    <w:p w14:paraId="196E84F5">
      <w:pPr>
        <w:pageBreakBefore w:val="0"/>
        <w:kinsoku/>
        <w:wordWrap/>
        <w:overflowPunct/>
        <w:topLinePunct w:val="0"/>
        <w:autoSpaceDE/>
        <w:autoSpaceDN/>
        <w:bidi w:val="0"/>
        <w:adjustRightInd w:val="0"/>
        <w:snapToGrid w:val="0"/>
        <w:spacing w:after="196" w:afterLines="50"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期：________年________月________日</w:t>
      </w:r>
    </w:p>
    <w:p w14:paraId="5D3B246D">
      <w:pPr>
        <w:pStyle w:val="4"/>
        <w:pageBreakBefore w:val="0"/>
        <w:kinsoku/>
        <w:wordWrap/>
        <w:overflowPunct/>
        <w:topLinePunct w:val="0"/>
        <w:autoSpaceDE/>
        <w:autoSpaceDN/>
        <w:bidi w:val="0"/>
        <w:spacing w:after="196" w:afterLines="50" w:line="240" w:lineRule="auto"/>
        <w:jc w:val="center"/>
        <w:textAlignment w:val="auto"/>
        <w:rPr>
          <w:rFonts w:ascii="宋体" w:hAnsi="宋体" w:eastAsia="宋体" w:cs="宋体"/>
          <w:b w:val="0"/>
          <w:bCs w:val="0"/>
          <w:color w:val="auto"/>
          <w:highlight w:val="none"/>
        </w:rPr>
      </w:pPr>
      <w:r>
        <w:rPr>
          <w:rFonts w:ascii="宋体" w:hAnsi="Arial" w:eastAsia="宋体"/>
          <w:color w:val="auto"/>
          <w:sz w:val="22"/>
          <w:szCs w:val="24"/>
          <w:highlight w:val="none"/>
        </w:rPr>
        <w:br w:type="page"/>
      </w:r>
      <w:bookmarkEnd w:id="278"/>
      <w:bookmarkStart w:id="351" w:name="_Toc23316542"/>
      <w:bookmarkStart w:id="352" w:name="_Toc5000"/>
      <w:bookmarkStart w:id="353" w:name="_Toc20234"/>
      <w:bookmarkStart w:id="354" w:name="_Toc19683"/>
      <w:bookmarkStart w:id="355" w:name="_Toc18076"/>
      <w:bookmarkStart w:id="356" w:name="_Toc23316704"/>
      <w:bookmarkStart w:id="357" w:name="_Toc23316606"/>
      <w:bookmarkStart w:id="358" w:name="_Toc35335277"/>
      <w:bookmarkStart w:id="359" w:name="_Toc23315693"/>
      <w:bookmarkStart w:id="360" w:name="_Toc15622"/>
      <w:r>
        <w:rPr>
          <w:rFonts w:hint="eastAsia" w:ascii="宋体" w:hAnsi="宋体" w:eastAsia="宋体"/>
          <w:b/>
          <w:bCs w:val="0"/>
          <w:color w:val="auto"/>
          <w:highlight w:val="none"/>
          <w:lang w:val="en-US" w:eastAsia="zh-CN"/>
        </w:rPr>
        <w:t>七</w:t>
      </w:r>
      <w:r>
        <w:rPr>
          <w:rFonts w:hint="eastAsia" w:ascii="宋体" w:hAnsi="宋体" w:eastAsia="宋体"/>
          <w:b/>
          <w:bCs w:val="0"/>
          <w:color w:val="auto"/>
          <w:highlight w:val="none"/>
        </w:rPr>
        <w:t>、投标单位拒绝政府采购领域商业贿赂承诺书</w:t>
      </w:r>
      <w:bookmarkEnd w:id="351"/>
      <w:bookmarkEnd w:id="352"/>
      <w:bookmarkEnd w:id="353"/>
      <w:bookmarkEnd w:id="354"/>
      <w:bookmarkEnd w:id="355"/>
      <w:bookmarkEnd w:id="356"/>
      <w:bookmarkEnd w:id="357"/>
      <w:bookmarkEnd w:id="358"/>
      <w:bookmarkEnd w:id="359"/>
      <w:bookmarkEnd w:id="360"/>
    </w:p>
    <w:p w14:paraId="3BF5345E">
      <w:pPr>
        <w:spacing w:line="440" w:lineRule="exact"/>
        <w:ind w:firstLine="482" w:firstLineChars="200"/>
        <w:jc w:val="center"/>
        <w:rPr>
          <w:rFonts w:hint="eastAsia" w:ascii="宋体" w:hAnsi="宋体" w:eastAsia="宋体" w:cs="仿宋"/>
          <w:b/>
          <w:bCs w:val="0"/>
          <w:color w:val="auto"/>
          <w:kern w:val="0"/>
          <w:sz w:val="24"/>
          <w:szCs w:val="28"/>
          <w:highlight w:val="none"/>
        </w:rPr>
      </w:pPr>
      <w:r>
        <w:rPr>
          <w:rFonts w:hint="eastAsia" w:ascii="宋体" w:hAnsi="宋体" w:eastAsia="宋体" w:cs="仿宋"/>
          <w:b/>
          <w:bCs w:val="0"/>
          <w:color w:val="auto"/>
          <w:kern w:val="0"/>
          <w:sz w:val="24"/>
          <w:szCs w:val="28"/>
          <w:highlight w:val="none"/>
        </w:rPr>
        <w:t>政府采购供应商拒绝政府采购领域商业贿赂承诺书</w:t>
      </w:r>
    </w:p>
    <w:p w14:paraId="3CCABD2A">
      <w:pPr>
        <w:spacing w:line="240" w:lineRule="exact"/>
        <w:ind w:firstLine="420" w:firstLineChars="200"/>
        <w:jc w:val="left"/>
        <w:rPr>
          <w:rFonts w:ascii="宋体" w:hAnsi="宋体" w:eastAsia="宋体" w:cs="仿宋"/>
          <w:bCs/>
          <w:color w:val="auto"/>
          <w:kern w:val="0"/>
          <w:sz w:val="21"/>
          <w:szCs w:val="21"/>
          <w:highlight w:val="none"/>
        </w:rPr>
      </w:pPr>
    </w:p>
    <w:p w14:paraId="548F3D5E">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 xml:space="preserve">为响应党中央、国务院关于治理政府采购领域商业贿赂行为的号召，我单位在此庄严承诺： </w:t>
      </w:r>
    </w:p>
    <w:p w14:paraId="4D89E2B2">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1</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在参与政府采购活动中遵纪守法、诚信经营、公平竞标。 </w:t>
      </w:r>
    </w:p>
    <w:p w14:paraId="61815DEB">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2</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不向采购人、招标代理机构和政府采购评审专家进行任何形式的商业贿赂以谋取交易机会。 </w:t>
      </w:r>
    </w:p>
    <w:p w14:paraId="1EBE4AEB">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3</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不向政府采购招标代理机构和采购人提供虚假</w:t>
      </w:r>
      <w:r>
        <w:rPr>
          <w:rFonts w:hint="eastAsia" w:ascii="宋体" w:hAnsi="宋体" w:eastAsia="宋体" w:cs="仿宋"/>
          <w:bCs/>
          <w:color w:val="auto"/>
          <w:kern w:val="0"/>
          <w:sz w:val="24"/>
          <w:highlight w:val="none"/>
          <w:lang w:val="en-US" w:eastAsia="zh-CN"/>
        </w:rPr>
        <w:t>资格</w:t>
      </w:r>
      <w:r>
        <w:rPr>
          <w:rFonts w:hint="eastAsia" w:ascii="宋体" w:hAnsi="宋体" w:eastAsia="宋体" w:cs="仿宋"/>
          <w:bCs/>
          <w:color w:val="auto"/>
          <w:kern w:val="0"/>
          <w:sz w:val="24"/>
          <w:highlight w:val="none"/>
        </w:rPr>
        <w:t xml:space="preserve">文件或采用虚假应标方式参与政府采购市场竞争并谋取成交、成交。 </w:t>
      </w:r>
    </w:p>
    <w:p w14:paraId="09296462">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4</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不采取“围标、陪标”等商业欺诈手段获得政府采购定单。 </w:t>
      </w:r>
    </w:p>
    <w:p w14:paraId="2153C8FE">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5</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不采取不正当手段低毁、排挤其他供应商。 </w:t>
      </w:r>
    </w:p>
    <w:p w14:paraId="4428B208">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6</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不在提供商品和服务时“偷梁换柱、以次充好”损害采购人的合法权益。 </w:t>
      </w:r>
    </w:p>
    <w:p w14:paraId="14F17B7F">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7</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不与采购人、招标代理机构政府采购评审专家或其它供应商恶意串通，进行质疑和投诉，维护政府采购市场秩序。 </w:t>
      </w:r>
    </w:p>
    <w:p w14:paraId="3CF2FF0C">
      <w:pPr>
        <w:spacing w:line="440" w:lineRule="exact"/>
        <w:ind w:firstLine="480" w:firstLineChars="200"/>
        <w:rPr>
          <w:rFonts w:hint="eastAsia" w:ascii="宋体" w:hAnsi="宋体" w:eastAsia="宋体" w:cs="仿宋"/>
          <w:bCs/>
          <w:color w:val="auto"/>
          <w:kern w:val="0"/>
          <w:sz w:val="24"/>
          <w:highlight w:val="none"/>
          <w:lang w:eastAsia="zh-CN"/>
        </w:rPr>
      </w:pPr>
      <w:r>
        <w:rPr>
          <w:rFonts w:hint="eastAsia" w:ascii="宋体" w:hAnsi="宋体" w:eastAsia="宋体" w:cs="仿宋"/>
          <w:bCs/>
          <w:color w:val="auto"/>
          <w:kern w:val="0"/>
          <w:sz w:val="24"/>
          <w:highlight w:val="none"/>
        </w:rPr>
        <w:t>8</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尊重和接受政府采购监督管理部门的监督和政府招标代理机构招标要求，承担因违约行为给采购人造成的损失。 </w:t>
      </w:r>
    </w:p>
    <w:p w14:paraId="47146373">
      <w:pPr>
        <w:spacing w:line="440" w:lineRule="exact"/>
        <w:ind w:firstLine="480" w:firstLineChars="200"/>
        <w:rPr>
          <w:rFonts w:ascii="宋体" w:hAnsi="宋体" w:eastAsia="宋体" w:cs="仿宋"/>
          <w:bCs/>
          <w:color w:val="auto"/>
          <w:kern w:val="0"/>
          <w:sz w:val="22"/>
          <w:szCs w:val="24"/>
          <w:highlight w:val="none"/>
        </w:rPr>
      </w:pPr>
      <w:r>
        <w:rPr>
          <w:rFonts w:hint="eastAsia" w:ascii="宋体" w:hAnsi="宋体" w:eastAsia="宋体" w:cs="仿宋"/>
          <w:bCs/>
          <w:color w:val="auto"/>
          <w:kern w:val="0"/>
          <w:sz w:val="24"/>
          <w:highlight w:val="none"/>
        </w:rPr>
        <w:t>9</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 xml:space="preserve">不发生其他有悖于政府采购公开、公平、公正和诚信原则的行为。 </w:t>
      </w:r>
    </w:p>
    <w:p w14:paraId="6B785B78">
      <w:pPr>
        <w:spacing w:line="440" w:lineRule="exact"/>
        <w:ind w:firstLine="960" w:firstLineChars="400"/>
        <w:rPr>
          <w:rFonts w:ascii="宋体" w:hAnsi="宋体" w:eastAsia="宋体" w:cs="仿宋"/>
          <w:bCs/>
          <w:color w:val="auto"/>
          <w:kern w:val="0"/>
          <w:sz w:val="24"/>
          <w:highlight w:val="none"/>
        </w:rPr>
      </w:pPr>
    </w:p>
    <w:p w14:paraId="7CA927C5">
      <w:pPr>
        <w:spacing w:line="440" w:lineRule="exact"/>
        <w:ind w:firstLine="960" w:firstLineChars="40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承诺单位：</w:t>
      </w:r>
      <w:r>
        <w:rPr>
          <w:rFonts w:hint="eastAsia" w:ascii="宋体" w:hAnsi="宋体" w:eastAsia="宋体" w:cs="仿宋"/>
          <w:bCs/>
          <w:color w:val="auto"/>
          <w:kern w:val="0"/>
          <w:sz w:val="24"/>
          <w:highlight w:val="none"/>
          <w:u w:val="single"/>
        </w:rPr>
        <w:t>　　                 　</w:t>
      </w:r>
      <w:r>
        <w:rPr>
          <w:rFonts w:hint="eastAsia" w:ascii="宋体" w:hAnsi="宋体" w:eastAsia="宋体" w:cs="仿宋"/>
          <w:bCs/>
          <w:color w:val="auto"/>
          <w:kern w:val="0"/>
          <w:sz w:val="24"/>
          <w:highlight w:val="none"/>
        </w:rPr>
        <w:t>（盖章）</w:t>
      </w:r>
    </w:p>
    <w:p w14:paraId="6EB13F6B">
      <w:pPr>
        <w:spacing w:line="440" w:lineRule="exact"/>
        <w:ind w:firstLine="960" w:firstLineChars="40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全权代表：</w:t>
      </w:r>
      <w:r>
        <w:rPr>
          <w:rFonts w:hint="eastAsia" w:ascii="宋体" w:hAnsi="宋体" w:eastAsia="宋体" w:cs="仿宋"/>
          <w:bCs/>
          <w:color w:val="auto"/>
          <w:kern w:val="0"/>
          <w:sz w:val="24"/>
          <w:highlight w:val="none"/>
          <w:u w:val="single"/>
        </w:rPr>
        <w:t>　　　　　     　　　　</w:t>
      </w:r>
      <w:r>
        <w:rPr>
          <w:rFonts w:hint="eastAsia" w:ascii="宋体" w:hAnsi="宋体" w:eastAsia="宋体" w:cs="仿宋"/>
          <w:bCs/>
          <w:color w:val="auto"/>
          <w:kern w:val="0"/>
          <w:sz w:val="24"/>
          <w:highlight w:val="none"/>
        </w:rPr>
        <w:t xml:space="preserve">（签字） </w:t>
      </w:r>
    </w:p>
    <w:p w14:paraId="524BFE27">
      <w:pPr>
        <w:spacing w:line="520" w:lineRule="exact"/>
        <w:ind w:firstLine="480" w:firstLineChars="200"/>
        <w:rPr>
          <w:rFonts w:ascii="宋体" w:hAnsi="宋体" w:eastAsia="宋体" w:cs="仿宋"/>
          <w:bCs/>
          <w:color w:val="auto"/>
          <w:kern w:val="0"/>
          <w:sz w:val="24"/>
          <w:highlight w:val="none"/>
          <w:u w:val="single"/>
        </w:rPr>
      </w:pPr>
      <w:r>
        <w:rPr>
          <w:rFonts w:hint="eastAsia" w:ascii="宋体" w:hAnsi="宋体" w:eastAsia="宋体" w:cs="仿宋"/>
          <w:bCs/>
          <w:color w:val="auto"/>
          <w:kern w:val="0"/>
          <w:sz w:val="24"/>
          <w:highlight w:val="none"/>
          <w:lang w:val="en-US" w:eastAsia="zh-CN"/>
        </w:rPr>
        <w:t xml:space="preserve">    </w:t>
      </w:r>
      <w:r>
        <w:rPr>
          <w:rFonts w:hint="eastAsia" w:ascii="宋体" w:hAnsi="宋体" w:eastAsia="宋体" w:cs="仿宋"/>
          <w:bCs/>
          <w:color w:val="auto"/>
          <w:kern w:val="0"/>
          <w:sz w:val="24"/>
          <w:highlight w:val="none"/>
        </w:rPr>
        <w:t>地　　址：</w:t>
      </w:r>
      <w:r>
        <w:rPr>
          <w:rFonts w:hint="eastAsia" w:ascii="宋体" w:hAnsi="宋体" w:eastAsia="宋体" w:cs="仿宋"/>
          <w:bCs/>
          <w:color w:val="auto"/>
          <w:kern w:val="0"/>
          <w:sz w:val="24"/>
          <w:highlight w:val="none"/>
          <w:u w:val="single"/>
        </w:rPr>
        <w:t xml:space="preserve">                              </w:t>
      </w:r>
    </w:p>
    <w:p w14:paraId="02AF3047">
      <w:pPr>
        <w:spacing w:line="520" w:lineRule="exact"/>
        <w:ind w:firstLine="480" w:firstLineChars="20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 xml:space="preserve">    邮    编：</w:t>
      </w:r>
      <w:r>
        <w:rPr>
          <w:rFonts w:hint="eastAsia" w:ascii="宋体" w:hAnsi="宋体" w:eastAsia="宋体" w:cs="仿宋"/>
          <w:bCs/>
          <w:color w:val="auto"/>
          <w:kern w:val="0"/>
          <w:sz w:val="24"/>
          <w:highlight w:val="none"/>
          <w:u w:val="single"/>
        </w:rPr>
        <w:t>　　                     　　</w:t>
      </w:r>
      <w:r>
        <w:rPr>
          <w:rFonts w:hint="eastAsia" w:ascii="宋体" w:hAnsi="宋体" w:eastAsia="宋体" w:cs="仿宋"/>
          <w:bCs/>
          <w:color w:val="auto"/>
          <w:kern w:val="0"/>
          <w:sz w:val="24"/>
          <w:highlight w:val="none"/>
        </w:rPr>
        <w:t>   </w:t>
      </w:r>
    </w:p>
    <w:p w14:paraId="49DF04D6">
      <w:pPr>
        <w:spacing w:line="520" w:lineRule="exact"/>
        <w:ind w:firstLine="720" w:firstLineChars="30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lang w:val="en-US" w:eastAsia="zh-CN"/>
        </w:rPr>
        <w:t xml:space="preserve">  </w:t>
      </w:r>
      <w:r>
        <w:rPr>
          <w:rFonts w:hint="eastAsia" w:ascii="宋体" w:hAnsi="宋体" w:eastAsia="宋体" w:cs="仿宋"/>
          <w:bCs/>
          <w:color w:val="auto"/>
          <w:kern w:val="0"/>
          <w:sz w:val="24"/>
          <w:highlight w:val="none"/>
        </w:rPr>
        <w:t>电　　话：</w:t>
      </w:r>
      <w:r>
        <w:rPr>
          <w:rFonts w:hint="eastAsia" w:ascii="宋体" w:hAnsi="宋体" w:eastAsia="宋体" w:cs="仿宋"/>
          <w:bCs/>
          <w:color w:val="auto"/>
          <w:kern w:val="0"/>
          <w:sz w:val="24"/>
          <w:highlight w:val="none"/>
          <w:u w:val="single"/>
        </w:rPr>
        <w:t>　　　                　　　　</w:t>
      </w:r>
      <w:r>
        <w:rPr>
          <w:rFonts w:hint="eastAsia" w:ascii="宋体" w:hAnsi="宋体" w:eastAsia="宋体" w:cs="仿宋"/>
          <w:bCs/>
          <w:color w:val="auto"/>
          <w:kern w:val="0"/>
          <w:sz w:val="24"/>
          <w:highlight w:val="none"/>
        </w:rPr>
        <w:t xml:space="preserve">　　 </w:t>
      </w:r>
    </w:p>
    <w:p w14:paraId="1E3C54AB">
      <w:pPr>
        <w:spacing w:line="340" w:lineRule="exact"/>
        <w:rPr>
          <w:rFonts w:ascii="宋体" w:hAnsi="宋体" w:eastAsia="宋体" w:cs="仿宋"/>
          <w:bCs/>
          <w:color w:val="auto"/>
          <w:kern w:val="0"/>
          <w:sz w:val="24"/>
          <w:highlight w:val="none"/>
        </w:rPr>
      </w:pPr>
    </w:p>
    <w:p w14:paraId="4EF60034">
      <w:pPr>
        <w:spacing w:line="340" w:lineRule="exact"/>
        <w:ind w:firstLine="4920" w:firstLineChars="2050"/>
        <w:rPr>
          <w:rFonts w:ascii="宋体" w:hAnsi="宋体" w:eastAsia="宋体" w:cs="仿宋"/>
          <w:bCs/>
          <w:color w:val="auto"/>
          <w:sz w:val="36"/>
          <w:szCs w:val="40"/>
          <w:highlight w:val="none"/>
        </w:rPr>
      </w:pPr>
      <w:r>
        <w:rPr>
          <w:rFonts w:hint="eastAsia" w:ascii="宋体" w:hAnsi="宋体" w:eastAsia="宋体" w:cs="仿宋"/>
          <w:bCs/>
          <w:color w:val="auto"/>
          <w:kern w:val="0"/>
          <w:sz w:val="24"/>
          <w:highlight w:val="none"/>
        </w:rPr>
        <w:t>年　　月　　日</w:t>
      </w:r>
    </w:p>
    <w:p w14:paraId="1EC7D65C">
      <w:pPr>
        <w:spacing w:line="640" w:lineRule="exact"/>
        <w:jc w:val="center"/>
        <w:rPr>
          <w:rFonts w:ascii="宋体" w:hAnsi="宋体" w:eastAsia="宋体" w:cs="仿宋"/>
          <w:bCs/>
          <w:color w:val="auto"/>
          <w:sz w:val="36"/>
          <w:szCs w:val="40"/>
          <w:highlight w:val="none"/>
        </w:rPr>
      </w:pPr>
    </w:p>
    <w:p w14:paraId="0900DDC7">
      <w:pPr>
        <w:tabs>
          <w:tab w:val="left" w:pos="3930"/>
        </w:tabs>
        <w:jc w:val="left"/>
        <w:rPr>
          <w:rFonts w:ascii="宋体" w:hAnsi="宋体" w:eastAsia="宋体" w:cs="仿宋"/>
          <w:bCs/>
          <w:color w:val="auto"/>
          <w:sz w:val="40"/>
          <w:szCs w:val="40"/>
          <w:highlight w:val="none"/>
        </w:rPr>
      </w:pPr>
      <w:r>
        <w:rPr>
          <w:rFonts w:hint="eastAsia" w:ascii="宋体" w:hAnsi="宋体" w:eastAsia="宋体" w:cs="仿宋"/>
          <w:bCs/>
          <w:color w:val="auto"/>
          <w:sz w:val="40"/>
          <w:szCs w:val="40"/>
          <w:highlight w:val="none"/>
        </w:rPr>
        <w:tab/>
      </w:r>
    </w:p>
    <w:p w14:paraId="3DF1B547">
      <w:pPr>
        <w:shd w:val="clear" w:color="auto" w:fill="FFFFFF"/>
        <w:spacing w:before="100" w:beforeAutospacing="1" w:after="100" w:afterAutospacing="1" w:line="360" w:lineRule="atLeast"/>
        <w:jc w:val="center"/>
        <w:rPr>
          <w:rFonts w:ascii="宋体" w:hAnsi="宋体" w:eastAsia="宋体" w:cs="仿宋"/>
          <w:bCs/>
          <w:color w:val="auto"/>
          <w:kern w:val="0"/>
          <w:sz w:val="32"/>
          <w:szCs w:val="32"/>
          <w:highlight w:val="none"/>
        </w:rPr>
      </w:pPr>
    </w:p>
    <w:p w14:paraId="0E87258D">
      <w:pPr>
        <w:pStyle w:val="22"/>
        <w:ind w:left="560"/>
        <w:jc w:val="center"/>
        <w:rPr>
          <w:b/>
          <w:bCs/>
          <w:color w:val="auto"/>
          <w:sz w:val="24"/>
          <w:szCs w:val="24"/>
          <w:highlight w:val="none"/>
        </w:rPr>
      </w:pPr>
      <w:bookmarkStart w:id="361" w:name="_Toc23315694"/>
      <w:bookmarkStart w:id="362" w:name="_Toc11224"/>
      <w:r>
        <w:rPr>
          <w:rFonts w:hint="eastAsia"/>
          <w:b/>
          <w:bCs/>
          <w:color w:val="auto"/>
          <w:sz w:val="24"/>
          <w:szCs w:val="24"/>
          <w:highlight w:val="none"/>
        </w:rPr>
        <w:t>承诺书Ⅱ</w:t>
      </w:r>
      <w:bookmarkEnd w:id="361"/>
      <w:bookmarkEnd w:id="362"/>
    </w:p>
    <w:p w14:paraId="021095D9">
      <w:pPr>
        <w:spacing w:line="440" w:lineRule="exact"/>
        <w:rPr>
          <w:rFonts w:ascii="宋体" w:hAnsi="宋体" w:eastAsia="宋体"/>
          <w:color w:val="auto"/>
          <w:sz w:val="24"/>
          <w:highlight w:val="none"/>
        </w:rPr>
      </w:pPr>
      <w:r>
        <w:rPr>
          <w:rFonts w:hint="eastAsia" w:ascii="宋体" w:hAnsi="宋体" w:eastAsia="宋体"/>
          <w:color w:val="auto"/>
          <w:sz w:val="24"/>
          <w:highlight w:val="none"/>
        </w:rPr>
        <w:t>致：安康尚昊招标代理有限公司</w:t>
      </w:r>
    </w:p>
    <w:p w14:paraId="70D05A15">
      <w:pPr>
        <w:spacing w:line="440" w:lineRule="exact"/>
        <w:ind w:firstLine="472" w:firstLineChars="197"/>
        <w:rPr>
          <w:rFonts w:ascii="宋体" w:hAnsi="宋体" w:eastAsia="宋体"/>
          <w:color w:val="auto"/>
          <w:sz w:val="24"/>
          <w:highlight w:val="none"/>
        </w:rPr>
      </w:pPr>
      <w:r>
        <w:rPr>
          <w:rFonts w:hint="eastAsia" w:ascii="宋体" w:hAnsi="宋体" w:eastAsia="宋体"/>
          <w:color w:val="auto"/>
          <w:sz w:val="24"/>
          <w:highlight w:val="none"/>
        </w:rPr>
        <w:t>为了诚实、客观、有序地参与政府采购活动，愿就以下内容作出承诺：</w:t>
      </w:r>
    </w:p>
    <w:p w14:paraId="6A8C1715">
      <w:pPr>
        <w:spacing w:line="440" w:lineRule="exact"/>
        <w:ind w:firstLine="472" w:firstLineChars="197"/>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参加采购代理机构组织的政府采购活动时，严格按照谈判文件的规定和要求提供所需的相关材料，并对所提供的各类资料的真实性负责，不虚假应标，不虚列业绩。</w:t>
      </w:r>
    </w:p>
    <w:p w14:paraId="6E502962">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2</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尊重参与政府采购活动各相关方的合法行为，接受政府采购活动依法形成的意见、结果。</w:t>
      </w:r>
    </w:p>
    <w:p w14:paraId="32DBEEFC">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3</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依法参加政府采购活动，不围标、串标，维护市场秩序。近三年因项目质量问题的不法行为记录为</w:t>
      </w:r>
      <w:r>
        <w:rPr>
          <w:rFonts w:hint="eastAsia" w:ascii="宋体" w:hAnsi="宋体" w:eastAsia="宋体" w:cs="仿宋"/>
          <w:bCs/>
          <w:color w:val="auto"/>
          <w:kern w:val="0"/>
          <w:sz w:val="24"/>
          <w:highlight w:val="none"/>
          <w:u w:val="single"/>
          <w:lang w:val="en-US" w:eastAsia="zh-CN"/>
        </w:rPr>
        <w:t xml:space="preserve">     </w:t>
      </w:r>
      <w:r>
        <w:rPr>
          <w:rFonts w:hint="eastAsia" w:ascii="宋体" w:hAnsi="宋体" w:eastAsia="宋体" w:cs="仿宋"/>
          <w:bCs/>
          <w:color w:val="auto"/>
          <w:kern w:val="0"/>
          <w:sz w:val="24"/>
          <w:highlight w:val="none"/>
        </w:rPr>
        <w:t>次（没有填零），如有隐瞒实情，愿承担一切责任及后果。</w:t>
      </w:r>
    </w:p>
    <w:p w14:paraId="5C7FA6DD">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4</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作为参加贵公司组织的采购项目的响应单位，本公司承诺：在参加本项目谈判之前不存在被依法禁止经营行为、财产被接管或冻结的情况，如有隐瞒实情，愿承担一切责任及后果。</w:t>
      </w:r>
    </w:p>
    <w:p w14:paraId="0EAB952C">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5</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近三年受到有关行政主管部门的行政处理、不良行为记录为</w:t>
      </w:r>
      <w:r>
        <w:rPr>
          <w:rFonts w:hint="eastAsia" w:ascii="宋体" w:hAnsi="宋体" w:eastAsia="宋体" w:cs="仿宋"/>
          <w:bCs/>
          <w:color w:val="auto"/>
          <w:kern w:val="0"/>
          <w:sz w:val="24"/>
          <w:highlight w:val="none"/>
          <w:u w:val="single"/>
          <w:lang w:val="en-US" w:eastAsia="zh-CN"/>
        </w:rPr>
        <w:t xml:space="preserve">    </w:t>
      </w:r>
      <w:r>
        <w:rPr>
          <w:rFonts w:hint="eastAsia" w:ascii="宋体" w:hAnsi="宋体" w:eastAsia="宋体" w:cs="仿宋"/>
          <w:bCs/>
          <w:color w:val="auto"/>
          <w:kern w:val="0"/>
          <w:sz w:val="24"/>
          <w:highlight w:val="none"/>
        </w:rPr>
        <w:t>次（没有填零），如有隐瞒实情，愿承担一切责任及后果。</w:t>
      </w:r>
    </w:p>
    <w:p w14:paraId="2A994B46">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6</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参加本次谈判提交的所有资格证明文件及业绩证明是真实的、有效的，如有隐瞒实情，愿承担一切责任及后果。</w:t>
      </w:r>
    </w:p>
    <w:p w14:paraId="1B3796E5">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7</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积极推动政府采购活动健康开展，对采购活动有疑问、异议时，按法律规定的程序实名（加盖单位章和法定代表人签名）反映情况，不恶意中伤、无事生非，以和谐、平等的心态参加政府采购活动。</w:t>
      </w:r>
    </w:p>
    <w:p w14:paraId="19CE3E06">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8</w:t>
      </w:r>
      <w:r>
        <w:rPr>
          <w:rFonts w:hint="eastAsia" w:ascii="宋体" w:hAnsi="宋体" w:eastAsia="宋体" w:cs="仿宋"/>
          <w:bCs/>
          <w:color w:val="auto"/>
          <w:kern w:val="0"/>
          <w:sz w:val="24"/>
          <w:highlight w:val="none"/>
          <w:lang w:val="en-US" w:eastAsia="zh-CN"/>
        </w:rPr>
        <w:t>.</w:t>
      </w:r>
      <w:r>
        <w:rPr>
          <w:rFonts w:hint="eastAsia" w:ascii="宋体" w:hAnsi="宋体" w:eastAsia="宋体" w:cs="仿宋"/>
          <w:bCs/>
          <w:color w:val="auto"/>
          <w:kern w:val="0"/>
          <w:sz w:val="24"/>
          <w:highlight w:val="none"/>
        </w:rPr>
        <w:t>认真履行成交单位应承担的责任和义务，全面执行采购合同规定的各项内容，保质保量地按时提供采购物品。</w:t>
      </w:r>
    </w:p>
    <w:p w14:paraId="1DF0C7B7">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若本企业（单位）发生有悖于上述承诺的行为，愿意接受《中华人民共和国政府采购法》和《中华人民共和国政府采购法实施条例》中对响应单位的相关处理。</w:t>
      </w:r>
    </w:p>
    <w:p w14:paraId="2FEB3333">
      <w:pPr>
        <w:shd w:val="clear" w:color="auto" w:fill="FFFFFF"/>
        <w:spacing w:line="440" w:lineRule="exact"/>
        <w:ind w:firstLine="480"/>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本承诺是采购项目响应文件的组成部分。</w:t>
      </w:r>
    </w:p>
    <w:p w14:paraId="1A36570D">
      <w:pPr>
        <w:shd w:val="clear" w:color="auto" w:fill="FFFFFF"/>
        <w:spacing w:line="440" w:lineRule="exact"/>
        <w:ind w:firstLine="2152" w:firstLineChars="897"/>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承诺单位：</w:t>
      </w:r>
      <w:r>
        <w:rPr>
          <w:rFonts w:hint="eastAsia" w:ascii="宋体" w:hAnsi="宋体" w:eastAsia="宋体" w:cs="仿宋"/>
          <w:bCs/>
          <w:color w:val="auto"/>
          <w:kern w:val="0"/>
          <w:sz w:val="24"/>
          <w:highlight w:val="none"/>
          <w:u w:val="single"/>
        </w:rPr>
        <w:t xml:space="preserve">                    </w:t>
      </w:r>
      <w:r>
        <w:rPr>
          <w:rFonts w:hint="eastAsia" w:ascii="宋体" w:hAnsi="宋体" w:eastAsia="宋体" w:cs="仿宋"/>
          <w:bCs/>
          <w:color w:val="auto"/>
          <w:kern w:val="0"/>
          <w:sz w:val="24"/>
          <w:highlight w:val="none"/>
        </w:rPr>
        <w:t>（盖章）</w:t>
      </w:r>
    </w:p>
    <w:p w14:paraId="7AF35EB9">
      <w:pPr>
        <w:shd w:val="clear" w:color="auto" w:fill="FFFFFF"/>
        <w:spacing w:line="440" w:lineRule="exact"/>
        <w:ind w:firstLine="2152" w:firstLineChars="897"/>
        <w:rPr>
          <w:rFonts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全权代表：</w:t>
      </w:r>
      <w:r>
        <w:rPr>
          <w:rFonts w:hint="eastAsia" w:ascii="宋体" w:hAnsi="宋体" w:eastAsia="宋体" w:cs="仿宋"/>
          <w:bCs/>
          <w:color w:val="auto"/>
          <w:kern w:val="0"/>
          <w:sz w:val="24"/>
          <w:highlight w:val="none"/>
          <w:u w:val="single"/>
        </w:rPr>
        <w:t xml:space="preserve">                    </w:t>
      </w:r>
      <w:r>
        <w:rPr>
          <w:rFonts w:hint="eastAsia" w:ascii="宋体" w:hAnsi="宋体" w:eastAsia="宋体" w:cs="仿宋"/>
          <w:bCs/>
          <w:color w:val="auto"/>
          <w:kern w:val="0"/>
          <w:sz w:val="24"/>
          <w:highlight w:val="none"/>
        </w:rPr>
        <w:t>（签字）</w:t>
      </w:r>
    </w:p>
    <w:p w14:paraId="19E558DD">
      <w:pPr>
        <w:shd w:val="clear" w:color="auto" w:fill="FFFFFF"/>
        <w:spacing w:line="440" w:lineRule="exact"/>
        <w:ind w:firstLine="2152" w:firstLineChars="897"/>
        <w:rPr>
          <w:rFonts w:ascii="宋体" w:hAnsi="宋体" w:eastAsia="宋体" w:cs="宋体"/>
          <w:b/>
          <w:bCs/>
          <w:color w:val="auto"/>
          <w:highlight w:val="none"/>
        </w:rPr>
      </w:pPr>
      <w:r>
        <w:rPr>
          <w:rFonts w:hint="eastAsia" w:ascii="宋体" w:hAnsi="宋体" w:eastAsia="宋体" w:cs="仿宋"/>
          <w:bCs/>
          <w:color w:val="auto"/>
          <w:kern w:val="0"/>
          <w:sz w:val="24"/>
          <w:highlight w:val="none"/>
        </w:rPr>
        <w:t>日    期：</w:t>
      </w:r>
      <w:r>
        <w:rPr>
          <w:rFonts w:hint="eastAsia" w:ascii="宋体" w:hAnsi="宋体" w:eastAsia="宋体" w:cs="仿宋"/>
          <w:bCs/>
          <w:color w:val="auto"/>
          <w:kern w:val="0"/>
          <w:sz w:val="24"/>
          <w:highlight w:val="none"/>
          <w:u w:val="single"/>
        </w:rPr>
        <w:t xml:space="preserve">      </w:t>
      </w:r>
      <w:r>
        <w:rPr>
          <w:rFonts w:hint="eastAsia" w:ascii="宋体" w:hAnsi="宋体" w:eastAsia="宋体" w:cs="仿宋"/>
          <w:bCs/>
          <w:color w:val="auto"/>
          <w:kern w:val="0"/>
          <w:sz w:val="24"/>
          <w:highlight w:val="none"/>
        </w:rPr>
        <w:t>年</w:t>
      </w:r>
      <w:r>
        <w:rPr>
          <w:rFonts w:hint="eastAsia" w:ascii="宋体" w:hAnsi="宋体" w:eastAsia="宋体" w:cs="仿宋"/>
          <w:bCs/>
          <w:color w:val="auto"/>
          <w:kern w:val="0"/>
          <w:sz w:val="24"/>
          <w:highlight w:val="none"/>
          <w:u w:val="single"/>
        </w:rPr>
        <w:t xml:space="preserve">     </w:t>
      </w:r>
      <w:r>
        <w:rPr>
          <w:rFonts w:hint="eastAsia" w:ascii="宋体" w:hAnsi="宋体" w:eastAsia="宋体" w:cs="仿宋"/>
          <w:bCs/>
          <w:color w:val="auto"/>
          <w:kern w:val="0"/>
          <w:sz w:val="24"/>
          <w:highlight w:val="none"/>
        </w:rPr>
        <w:t>月</w:t>
      </w:r>
      <w:r>
        <w:rPr>
          <w:rFonts w:hint="eastAsia" w:ascii="宋体" w:hAnsi="宋体" w:eastAsia="宋体" w:cs="仿宋"/>
          <w:bCs/>
          <w:color w:val="auto"/>
          <w:szCs w:val="32"/>
          <w:highlight w:val="none"/>
          <w:u w:val="single"/>
        </w:rPr>
        <w:t xml:space="preserve">    </w:t>
      </w:r>
      <w:r>
        <w:rPr>
          <w:rFonts w:hint="eastAsia" w:ascii="宋体" w:hAnsi="宋体" w:eastAsia="宋体" w:cs="仿宋"/>
          <w:bCs/>
          <w:color w:val="auto"/>
          <w:sz w:val="24"/>
          <w:highlight w:val="none"/>
        </w:rPr>
        <w:t>日</w:t>
      </w:r>
      <w:bookmarkStart w:id="363" w:name="_Toc536202403"/>
      <w:bookmarkStart w:id="364" w:name="_Toc536429343"/>
      <w:bookmarkStart w:id="365" w:name="_Toc536202334"/>
      <w:bookmarkStart w:id="366" w:name="_Toc536429396"/>
      <w:bookmarkStart w:id="367" w:name="_Toc25514"/>
    </w:p>
    <w:bookmarkEnd w:id="363"/>
    <w:bookmarkEnd w:id="364"/>
    <w:bookmarkEnd w:id="365"/>
    <w:bookmarkEnd w:id="366"/>
    <w:bookmarkEnd w:id="367"/>
    <w:p w14:paraId="13B0F504">
      <w:pPr>
        <w:pStyle w:val="6"/>
        <w:rPr>
          <w:rFonts w:ascii="Calibri" w:hAnsi="Calibri" w:eastAsia="宋体" w:cs="Calibri"/>
          <w:color w:val="auto"/>
          <w:sz w:val="24"/>
          <w:highlight w:val="none"/>
        </w:rPr>
      </w:pPr>
    </w:p>
    <w:p w14:paraId="4EE3AC88">
      <w:pPr>
        <w:rPr>
          <w:rFonts w:ascii="Calibri" w:hAnsi="Calibri" w:eastAsia="宋体" w:cs="Calibri"/>
          <w:color w:val="auto"/>
          <w:sz w:val="24"/>
          <w:highlight w:val="none"/>
        </w:rPr>
      </w:pPr>
    </w:p>
    <w:p w14:paraId="17E1C86A">
      <w:pPr>
        <w:pStyle w:val="6"/>
        <w:rPr>
          <w:rFonts w:ascii="Calibri" w:hAnsi="Calibri" w:eastAsia="宋体" w:cs="Calibri"/>
          <w:color w:val="auto"/>
          <w:sz w:val="24"/>
          <w:highlight w:val="none"/>
        </w:rPr>
      </w:pPr>
    </w:p>
    <w:p w14:paraId="5E25C241">
      <w:pPr>
        <w:rPr>
          <w:color w:val="auto"/>
          <w:highlight w:val="none"/>
        </w:rPr>
      </w:pPr>
    </w:p>
    <w:p w14:paraId="10A79A09">
      <w:pPr>
        <w:pStyle w:val="6"/>
        <w:rPr>
          <w:color w:val="auto"/>
          <w:highlight w:val="none"/>
        </w:rPr>
        <w:sectPr>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pPr>
    </w:p>
    <w:p w14:paraId="40704266">
      <w:pPr>
        <w:rPr>
          <w:color w:val="auto"/>
          <w:highlight w:val="none"/>
        </w:rPr>
      </w:pPr>
    </w:p>
    <w:p w14:paraId="15C60294">
      <w:pPr>
        <w:pStyle w:val="24"/>
        <w:rPr>
          <w:rFonts w:hint="eastAsia"/>
          <w:color w:val="auto"/>
          <w:highlight w:val="none"/>
        </w:rPr>
      </w:pPr>
    </w:p>
    <w:p w14:paraId="64499E70">
      <w:pPr>
        <w:pStyle w:val="24"/>
        <w:rPr>
          <w:rFonts w:hint="eastAsia"/>
          <w:color w:val="auto"/>
          <w:highlight w:val="none"/>
        </w:rPr>
      </w:pPr>
    </w:p>
    <w:p w14:paraId="70707632">
      <w:pPr>
        <w:pStyle w:val="24"/>
        <w:rPr>
          <w:rFonts w:hint="eastAsia"/>
          <w:color w:val="auto"/>
          <w:highlight w:val="none"/>
        </w:rPr>
      </w:pPr>
    </w:p>
    <w:p w14:paraId="4F591DB5">
      <w:pPr>
        <w:pStyle w:val="24"/>
        <w:rPr>
          <w:rFonts w:hint="eastAsia"/>
          <w:color w:val="auto"/>
          <w:highlight w:val="none"/>
        </w:rPr>
      </w:pPr>
    </w:p>
    <w:p w14:paraId="0663E5CA">
      <w:pPr>
        <w:pStyle w:val="24"/>
        <w:rPr>
          <w:rFonts w:hint="eastAsia"/>
          <w:color w:val="auto"/>
          <w:highlight w:val="none"/>
        </w:rPr>
      </w:pPr>
    </w:p>
    <w:p w14:paraId="393D2E2B">
      <w:pPr>
        <w:pStyle w:val="24"/>
        <w:rPr>
          <w:rFonts w:hint="eastAsia"/>
          <w:color w:val="auto"/>
          <w:highlight w:val="none"/>
        </w:rPr>
      </w:pPr>
    </w:p>
    <w:p w14:paraId="09C427E6">
      <w:pPr>
        <w:pStyle w:val="24"/>
        <w:rPr>
          <w:rFonts w:hint="eastAsia"/>
          <w:color w:val="auto"/>
          <w:highlight w:val="none"/>
        </w:rPr>
      </w:pPr>
    </w:p>
    <w:p w14:paraId="1710A3DD">
      <w:pPr>
        <w:pStyle w:val="24"/>
        <w:rPr>
          <w:rFonts w:hint="eastAsia"/>
          <w:color w:val="auto"/>
          <w:highlight w:val="none"/>
        </w:rPr>
      </w:pPr>
    </w:p>
    <w:p w14:paraId="7386D033">
      <w:pPr>
        <w:pStyle w:val="24"/>
        <w:rPr>
          <w:rFonts w:hint="eastAsia"/>
          <w:color w:val="auto"/>
          <w:highlight w:val="none"/>
        </w:rPr>
      </w:pPr>
    </w:p>
    <w:p w14:paraId="64A14F4A">
      <w:pPr>
        <w:pStyle w:val="24"/>
        <w:rPr>
          <w:rFonts w:hint="eastAsia"/>
          <w:color w:val="auto"/>
          <w:highlight w:val="none"/>
        </w:rPr>
      </w:pPr>
    </w:p>
    <w:p w14:paraId="2126F0E5">
      <w:pPr>
        <w:pStyle w:val="24"/>
        <w:rPr>
          <w:rFonts w:hint="eastAsia"/>
          <w:color w:val="auto"/>
          <w:highlight w:val="none"/>
        </w:rPr>
      </w:pPr>
    </w:p>
    <w:p w14:paraId="5974B5F7">
      <w:pPr>
        <w:pStyle w:val="24"/>
        <w:rPr>
          <w:rFonts w:hint="eastAsia"/>
          <w:color w:val="auto"/>
          <w:highlight w:val="none"/>
        </w:rPr>
      </w:pPr>
    </w:p>
    <w:p w14:paraId="44317DE7">
      <w:pPr>
        <w:pStyle w:val="24"/>
        <w:tabs>
          <w:tab w:val="left" w:pos="3917"/>
          <w:tab w:val="clear" w:pos="4153"/>
        </w:tabs>
        <w:rPr>
          <w:rFonts w:hint="eastAsia" w:eastAsia="华文仿宋"/>
          <w:color w:val="auto"/>
          <w:highlight w:val="none"/>
          <w:lang w:eastAsia="zh-CN"/>
        </w:rPr>
      </w:pPr>
      <w:r>
        <w:rPr>
          <w:rFonts w:hint="eastAsia"/>
          <w:color w:val="auto"/>
          <w:highlight w:val="none"/>
          <w:lang w:eastAsia="zh-CN"/>
        </w:rPr>
        <w:tab/>
      </w:r>
    </w:p>
    <w:p w14:paraId="556ED8A9">
      <w:pPr>
        <w:pStyle w:val="24"/>
        <w:rPr>
          <w:rFonts w:hint="eastAsia"/>
          <w:color w:val="auto"/>
          <w:highlight w:val="none"/>
        </w:rPr>
      </w:pPr>
    </w:p>
    <w:p w14:paraId="6D56A1FD">
      <w:pPr>
        <w:pStyle w:val="24"/>
        <w:tabs>
          <w:tab w:val="left" w:pos="5340"/>
          <w:tab w:val="clear" w:pos="4153"/>
        </w:tabs>
        <w:rPr>
          <w:rFonts w:hint="eastAsia" w:eastAsia="华文仿宋"/>
          <w:color w:val="auto"/>
          <w:highlight w:val="none"/>
          <w:lang w:eastAsia="zh-CN"/>
        </w:rPr>
      </w:pPr>
      <w:r>
        <w:rPr>
          <w:rFonts w:hint="eastAsia"/>
          <w:color w:val="auto"/>
          <w:highlight w:val="none"/>
          <w:lang w:eastAsia="zh-CN"/>
        </w:rPr>
        <w:tab/>
      </w:r>
    </w:p>
    <w:p w14:paraId="38166111">
      <w:pPr>
        <w:pStyle w:val="24"/>
        <w:rPr>
          <w:rFonts w:hint="eastAsia"/>
          <w:color w:val="auto"/>
          <w:highlight w:val="none"/>
        </w:rPr>
      </w:pPr>
    </w:p>
    <w:p w14:paraId="5021573A">
      <w:pPr>
        <w:pStyle w:val="24"/>
        <w:rPr>
          <w:rFonts w:hint="eastAsia"/>
          <w:color w:val="auto"/>
          <w:highlight w:val="none"/>
        </w:rPr>
      </w:pPr>
    </w:p>
    <w:p w14:paraId="07648122">
      <w:pPr>
        <w:pStyle w:val="24"/>
        <w:rPr>
          <w:rFonts w:hint="eastAsia"/>
          <w:color w:val="auto"/>
          <w:highlight w:val="none"/>
        </w:rPr>
      </w:pPr>
    </w:p>
    <w:p w14:paraId="4B8227D5">
      <w:pPr>
        <w:pStyle w:val="24"/>
        <w:rPr>
          <w:rFonts w:hint="eastAsia"/>
          <w:color w:val="auto"/>
          <w:highlight w:val="none"/>
        </w:rPr>
      </w:pPr>
    </w:p>
    <w:p w14:paraId="60CD2103">
      <w:pPr>
        <w:pStyle w:val="24"/>
        <w:rPr>
          <w:rFonts w:hint="eastAsia"/>
          <w:color w:val="auto"/>
          <w:highlight w:val="none"/>
        </w:rPr>
      </w:pPr>
    </w:p>
    <w:p w14:paraId="4A4B5C1F">
      <w:pPr>
        <w:pStyle w:val="24"/>
        <w:rPr>
          <w:rFonts w:hint="eastAsia"/>
          <w:color w:val="auto"/>
          <w:highlight w:val="none"/>
        </w:rPr>
      </w:pPr>
    </w:p>
    <w:p w14:paraId="17061CB6">
      <w:pPr>
        <w:pStyle w:val="24"/>
        <w:rPr>
          <w:rFonts w:hint="eastAsia"/>
          <w:color w:val="auto"/>
          <w:highlight w:val="none"/>
        </w:rPr>
      </w:pPr>
    </w:p>
    <w:p w14:paraId="0C177F11">
      <w:pPr>
        <w:pStyle w:val="24"/>
        <w:rPr>
          <w:rFonts w:hint="eastAsia"/>
          <w:color w:val="auto"/>
          <w:highlight w:val="none"/>
        </w:rPr>
      </w:pPr>
    </w:p>
    <w:p w14:paraId="36045F6D">
      <w:pPr>
        <w:pStyle w:val="24"/>
        <w:rPr>
          <w:rFonts w:hint="eastAsia"/>
          <w:color w:val="auto"/>
          <w:highlight w:val="none"/>
        </w:rPr>
      </w:pPr>
    </w:p>
    <w:p w14:paraId="16182BD5">
      <w:pPr>
        <w:pStyle w:val="24"/>
        <w:rPr>
          <w:rFonts w:hint="eastAsia"/>
          <w:color w:val="auto"/>
          <w:highlight w:val="none"/>
        </w:rPr>
      </w:pPr>
    </w:p>
    <w:p w14:paraId="7DCF212C">
      <w:pPr>
        <w:pStyle w:val="24"/>
        <w:rPr>
          <w:rFonts w:hint="eastAsia"/>
          <w:color w:val="auto"/>
          <w:highlight w:val="none"/>
        </w:rPr>
      </w:pPr>
    </w:p>
    <w:p w14:paraId="22AAF3F6">
      <w:pPr>
        <w:pStyle w:val="24"/>
        <w:rPr>
          <w:rFonts w:hint="eastAsia"/>
          <w:color w:val="auto"/>
          <w:highlight w:val="none"/>
        </w:rPr>
      </w:pPr>
    </w:p>
    <w:p w14:paraId="25C8C6F4">
      <w:pPr>
        <w:pStyle w:val="24"/>
        <w:rPr>
          <w:rFonts w:hint="eastAsia"/>
          <w:color w:val="auto"/>
          <w:highlight w:val="none"/>
        </w:rPr>
      </w:pPr>
    </w:p>
    <w:p w14:paraId="050039E9">
      <w:pPr>
        <w:pStyle w:val="24"/>
        <w:rPr>
          <w:rFonts w:hint="eastAsia"/>
          <w:color w:val="auto"/>
          <w:highlight w:val="none"/>
        </w:rPr>
      </w:pPr>
    </w:p>
    <w:p w14:paraId="76AE772F">
      <w:pPr>
        <w:pStyle w:val="24"/>
        <w:rPr>
          <w:rFonts w:hint="eastAsia"/>
          <w:color w:val="auto"/>
          <w:highlight w:val="none"/>
        </w:rPr>
      </w:pPr>
    </w:p>
    <w:p w14:paraId="5D483461">
      <w:pPr>
        <w:pStyle w:val="24"/>
        <w:rPr>
          <w:rFonts w:hint="eastAsia"/>
          <w:color w:val="auto"/>
          <w:highlight w:val="none"/>
        </w:rPr>
      </w:pPr>
    </w:p>
    <w:p w14:paraId="2C2DB31D">
      <w:pPr>
        <w:pStyle w:val="24"/>
        <w:rPr>
          <w:rFonts w:hint="eastAsia"/>
          <w:color w:val="auto"/>
          <w:highlight w:val="none"/>
        </w:rPr>
      </w:pPr>
    </w:p>
    <w:p w14:paraId="0DB0D00C">
      <w:pPr>
        <w:pStyle w:val="24"/>
        <w:rPr>
          <w:rFonts w:hint="eastAsia"/>
          <w:color w:val="auto"/>
          <w:highlight w:val="none"/>
        </w:rPr>
      </w:pPr>
    </w:p>
    <w:p w14:paraId="41F25163">
      <w:pPr>
        <w:pStyle w:val="24"/>
        <w:rPr>
          <w:rFonts w:hint="eastAsia"/>
          <w:color w:val="auto"/>
          <w:highlight w:val="none"/>
        </w:rPr>
      </w:pPr>
    </w:p>
    <w:p w14:paraId="76088901">
      <w:pPr>
        <w:pStyle w:val="24"/>
        <w:rPr>
          <w:rFonts w:hint="eastAsia"/>
          <w:color w:val="auto"/>
          <w:highlight w:val="none"/>
        </w:rPr>
      </w:pPr>
    </w:p>
    <w:p w14:paraId="2AE8DF77">
      <w:pPr>
        <w:pStyle w:val="24"/>
        <w:rPr>
          <w:rFonts w:hint="eastAsia"/>
          <w:color w:val="auto"/>
          <w:highlight w:val="none"/>
        </w:rPr>
      </w:pPr>
    </w:p>
    <w:p w14:paraId="779E6257">
      <w:pPr>
        <w:pStyle w:val="24"/>
        <w:tabs>
          <w:tab w:val="left" w:pos="1803"/>
          <w:tab w:val="clear" w:pos="4153"/>
        </w:tabs>
        <w:rPr>
          <w:rFonts w:hint="eastAsia" w:eastAsia="华文仿宋"/>
          <w:color w:val="auto"/>
          <w:highlight w:val="none"/>
          <w:lang w:eastAsia="zh-CN"/>
        </w:rPr>
      </w:pPr>
      <w:r>
        <w:rPr>
          <w:rFonts w:hint="eastAsia"/>
          <w:color w:val="auto"/>
          <w:highlight w:val="none"/>
          <w:lang w:eastAsia="zh-CN"/>
        </w:rPr>
        <w:tab/>
      </w:r>
    </w:p>
    <w:p w14:paraId="3121F6F2">
      <w:pPr>
        <w:pStyle w:val="24"/>
        <w:rPr>
          <w:rFonts w:hint="eastAsia"/>
          <w:color w:val="auto"/>
          <w:highlight w:val="none"/>
        </w:rPr>
      </w:pPr>
    </w:p>
    <w:p w14:paraId="0ABFEC75">
      <w:pPr>
        <w:pStyle w:val="24"/>
        <w:rPr>
          <w:rFonts w:hint="eastAsia"/>
          <w:color w:val="auto"/>
          <w:highlight w:val="none"/>
        </w:rPr>
      </w:pPr>
    </w:p>
    <w:p w14:paraId="18986C76">
      <w:pPr>
        <w:pStyle w:val="24"/>
        <w:rPr>
          <w:rFonts w:hint="eastAsia"/>
          <w:color w:val="auto"/>
          <w:highlight w:val="none"/>
        </w:rPr>
      </w:pPr>
    </w:p>
    <w:p w14:paraId="3C97D9A7">
      <w:pPr>
        <w:pStyle w:val="24"/>
        <w:rPr>
          <w:rFonts w:hint="eastAsia"/>
          <w:color w:val="auto"/>
          <w:highlight w:val="none"/>
        </w:rPr>
      </w:pPr>
    </w:p>
    <w:p w14:paraId="454522AA">
      <w:pPr>
        <w:pStyle w:val="24"/>
        <w:rPr>
          <w:rFonts w:hint="eastAsia"/>
          <w:color w:val="auto"/>
          <w:highlight w:val="none"/>
        </w:rPr>
      </w:pPr>
    </w:p>
    <w:p w14:paraId="24D63949">
      <w:pPr>
        <w:pStyle w:val="24"/>
        <w:rPr>
          <w:rFonts w:hint="eastAsia"/>
          <w:color w:val="auto"/>
          <w:highlight w:val="none"/>
        </w:rPr>
      </w:pPr>
      <w:r>
        <w:rPr>
          <w:rFonts w:hint="eastAsia"/>
          <w:color w:val="auto"/>
          <w:highlight w:val="none"/>
        </w:rPr>
        <w:drawing>
          <wp:anchor distT="0" distB="0" distL="114300" distR="114300" simplePos="0" relativeHeight="251663360"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2"/>
                    <a:stretch>
                      <a:fillRect/>
                    </a:stretch>
                  </pic:blipFill>
                  <pic:spPr>
                    <a:xfrm>
                      <a:off x="0" y="0"/>
                      <a:ext cx="353060" cy="255905"/>
                    </a:xfrm>
                    <a:prstGeom prst="rect">
                      <a:avLst/>
                    </a:prstGeom>
                  </pic:spPr>
                </pic:pic>
              </a:graphicData>
            </a:graphic>
          </wp:anchor>
        </w:drawing>
      </w:r>
    </w:p>
    <w:p w14:paraId="2E92E3E0">
      <w:pPr>
        <w:spacing w:line="440" w:lineRule="exact"/>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安康尚昊招标代理有限公司</w:t>
      </w:r>
    </w:p>
    <w:p w14:paraId="263E44CE">
      <w:pPr>
        <w:spacing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407E122C">
      <w:pPr>
        <w:autoSpaceDE w:val="0"/>
        <w:autoSpaceDN w:val="0"/>
        <w:spacing w:line="440" w:lineRule="exact"/>
        <w:ind w:firstLine="131" w:firstLineChars="50"/>
        <w:rPr>
          <w:rFonts w:hint="eastAsia" w:ascii="宋体" w:hAnsi="宋体" w:eastAsia="宋体" w:cs="宋体"/>
          <w:color w:val="auto"/>
          <w:sz w:val="28"/>
          <w:szCs w:val="28"/>
          <w:highlight w:val="none"/>
        </w:rPr>
      </w:pPr>
      <w:r>
        <w:rPr>
          <w:rFonts w:hint="eastAsia" w:ascii="宋体" w:hAnsi="宋体" w:eastAsia="宋体" w:cs="宋体"/>
          <w:color w:val="auto"/>
          <w:spacing w:val="1"/>
          <w:w w:val="93"/>
          <w:kern w:val="0"/>
          <w:sz w:val="28"/>
          <w:szCs w:val="28"/>
          <w:highlight w:val="none"/>
          <w:fitText w:val="1050" w:id="1526095450"/>
        </w:rPr>
        <w:t xml:space="preserve">地    </w:t>
      </w:r>
      <w:r>
        <w:rPr>
          <w:rFonts w:hint="eastAsia" w:ascii="宋体" w:hAnsi="宋体" w:eastAsia="宋体" w:cs="宋体"/>
          <w:color w:val="auto"/>
          <w:spacing w:val="0"/>
          <w:w w:val="93"/>
          <w:kern w:val="0"/>
          <w:sz w:val="28"/>
          <w:szCs w:val="28"/>
          <w:highlight w:val="none"/>
          <w:fitText w:val="1050" w:id="1526095450"/>
        </w:rPr>
        <w:t>址</w:t>
      </w:r>
      <w:r>
        <w:rPr>
          <w:rFonts w:hint="eastAsia" w:ascii="宋体" w:hAnsi="宋体" w:eastAsia="宋体" w:cs="宋体"/>
          <w:color w:val="auto"/>
          <w:spacing w:val="-6"/>
          <w:sz w:val="28"/>
          <w:szCs w:val="28"/>
          <w:highlight w:val="none"/>
        </w:rPr>
        <w:t>：</w:t>
      </w:r>
      <w:r>
        <w:rPr>
          <w:rFonts w:hint="eastAsia" w:ascii="宋体" w:hAnsi="宋体" w:eastAsia="宋体" w:cs="宋体"/>
          <w:color w:val="auto"/>
          <w:spacing w:val="-6"/>
          <w:sz w:val="28"/>
          <w:szCs w:val="28"/>
          <w:highlight w:val="none"/>
          <w:lang w:eastAsia="zh-CN"/>
        </w:rPr>
        <w:t>安康市高新区高新观澜8栋二单元801室</w:t>
      </w:r>
    </w:p>
    <w:p w14:paraId="107BBEB1">
      <w:pPr>
        <w:autoSpaceDE w:val="0"/>
        <w:autoSpaceDN w:val="0"/>
        <w:spacing w:line="440" w:lineRule="exact"/>
        <w:ind w:firstLine="131" w:firstLineChars="50"/>
        <w:rPr>
          <w:rFonts w:hint="eastAsia" w:ascii="宋体" w:hAnsi="宋体" w:eastAsia="宋体" w:cs="宋体"/>
          <w:color w:val="auto"/>
          <w:sz w:val="28"/>
          <w:szCs w:val="28"/>
          <w:highlight w:val="none"/>
        </w:rPr>
      </w:pPr>
      <w:r>
        <w:rPr>
          <w:rFonts w:hint="eastAsia" w:ascii="宋体" w:hAnsi="宋体" w:eastAsia="宋体" w:cs="宋体"/>
          <w:color w:val="auto"/>
          <w:spacing w:val="1"/>
          <w:w w:val="93"/>
          <w:kern w:val="0"/>
          <w:sz w:val="28"/>
          <w:szCs w:val="28"/>
          <w:highlight w:val="none"/>
          <w:fitText w:val="1050" w:id="1233937788"/>
        </w:rPr>
        <w:t xml:space="preserve">邮    </w:t>
      </w:r>
      <w:r>
        <w:rPr>
          <w:rFonts w:hint="eastAsia" w:ascii="宋体" w:hAnsi="宋体" w:eastAsia="宋体" w:cs="宋体"/>
          <w:color w:val="auto"/>
          <w:spacing w:val="0"/>
          <w:w w:val="93"/>
          <w:kern w:val="0"/>
          <w:sz w:val="28"/>
          <w:szCs w:val="28"/>
          <w:highlight w:val="none"/>
          <w:fitText w:val="1050" w:id="1233937788"/>
        </w:rPr>
        <w:t>编</w:t>
      </w:r>
      <w:r>
        <w:rPr>
          <w:rFonts w:hint="eastAsia" w:ascii="宋体" w:hAnsi="宋体" w:eastAsia="宋体" w:cs="宋体"/>
          <w:color w:val="auto"/>
          <w:sz w:val="28"/>
          <w:szCs w:val="28"/>
          <w:highlight w:val="none"/>
        </w:rPr>
        <w:t>：725000</w:t>
      </w:r>
    </w:p>
    <w:p w14:paraId="6809C99E">
      <w:pPr>
        <w:autoSpaceDE w:val="0"/>
        <w:autoSpaceDN w:val="0"/>
        <w:spacing w:line="440" w:lineRule="exact"/>
        <w:ind w:firstLine="131" w:firstLineChars="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1"/>
          <w:w w:val="93"/>
          <w:kern w:val="0"/>
          <w:sz w:val="28"/>
          <w:szCs w:val="28"/>
          <w:highlight w:val="none"/>
          <w:fitText w:val="1050" w:id="151077986"/>
        </w:rPr>
        <w:t xml:space="preserve">电    </w:t>
      </w:r>
      <w:r>
        <w:rPr>
          <w:rFonts w:hint="eastAsia" w:ascii="宋体" w:hAnsi="宋体" w:eastAsia="宋体" w:cs="宋体"/>
          <w:color w:val="auto"/>
          <w:spacing w:val="0"/>
          <w:w w:val="93"/>
          <w:kern w:val="0"/>
          <w:sz w:val="28"/>
          <w:szCs w:val="28"/>
          <w:highlight w:val="none"/>
          <w:fitText w:val="1050" w:id="151077986"/>
        </w:rPr>
        <w:t>话</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15991480332</w:t>
      </w:r>
    </w:p>
    <w:p w14:paraId="42B5413C">
      <w:pPr>
        <w:autoSpaceDE w:val="0"/>
        <w:autoSpaceDN w:val="0"/>
        <w:spacing w:line="440" w:lineRule="exact"/>
        <w:ind w:firstLine="131" w:firstLineChars="50"/>
        <w:rPr>
          <w:rFonts w:hint="eastAsia" w:ascii="宋体" w:hAnsi="宋体" w:eastAsia="宋体" w:cs="宋体"/>
          <w:color w:val="auto"/>
          <w:sz w:val="28"/>
          <w:szCs w:val="28"/>
          <w:highlight w:val="none"/>
        </w:rPr>
      </w:pPr>
      <w:r>
        <w:rPr>
          <w:rFonts w:hint="eastAsia" w:ascii="宋体" w:hAnsi="宋体" w:eastAsia="宋体" w:cs="宋体"/>
          <w:color w:val="auto"/>
          <w:spacing w:val="1"/>
          <w:w w:val="93"/>
          <w:kern w:val="0"/>
          <w:sz w:val="28"/>
          <w:szCs w:val="28"/>
          <w:highlight w:val="none"/>
          <w:fitText w:val="1050" w:id="1983012144"/>
          <w:lang w:eastAsia="zh-CN"/>
        </w:rPr>
        <w:t>公司名称</w:t>
      </w:r>
      <w:r>
        <w:rPr>
          <w:rFonts w:hint="eastAsia" w:ascii="宋体" w:hAnsi="宋体" w:eastAsia="宋体" w:cs="宋体"/>
          <w:color w:val="auto"/>
          <w:sz w:val="28"/>
          <w:szCs w:val="28"/>
          <w:highlight w:val="none"/>
        </w:rPr>
        <w:t>：安康尚昊招标代理有限公司</w:t>
      </w:r>
    </w:p>
    <w:p w14:paraId="24D5E6EC">
      <w:pPr>
        <w:autoSpaceDE w:val="0"/>
        <w:autoSpaceDN w:val="0"/>
        <w:spacing w:line="440" w:lineRule="exact"/>
        <w:ind w:firstLine="131" w:firstLineChars="50"/>
        <w:rPr>
          <w:rFonts w:hint="eastAsia" w:ascii="宋体" w:hAnsi="宋体" w:eastAsia="宋体" w:cs="宋体"/>
          <w:color w:val="auto"/>
          <w:sz w:val="28"/>
          <w:szCs w:val="28"/>
          <w:highlight w:val="none"/>
        </w:rPr>
      </w:pPr>
      <w:r>
        <w:rPr>
          <w:rFonts w:hint="eastAsia" w:ascii="宋体" w:hAnsi="宋体" w:eastAsia="宋体" w:cs="宋体"/>
          <w:color w:val="auto"/>
          <w:spacing w:val="1"/>
          <w:w w:val="93"/>
          <w:kern w:val="0"/>
          <w:sz w:val="28"/>
          <w:szCs w:val="28"/>
          <w:highlight w:val="none"/>
          <w:fitText w:val="1050" w:id="672741232"/>
        </w:rPr>
        <w:t>开户银行</w:t>
      </w:r>
      <w:r>
        <w:rPr>
          <w:rFonts w:hint="eastAsia" w:ascii="宋体" w:hAnsi="宋体" w:eastAsia="宋体" w:cs="宋体"/>
          <w:color w:val="auto"/>
          <w:sz w:val="28"/>
          <w:szCs w:val="28"/>
          <w:highlight w:val="none"/>
        </w:rPr>
        <w:t>：中国建设银行股份有限公司安康分行营业部</w:t>
      </w:r>
    </w:p>
    <w:p w14:paraId="5AEBF3B1">
      <w:pPr>
        <w:autoSpaceDE w:val="0"/>
        <w:autoSpaceDN w:val="0"/>
        <w:spacing w:line="440" w:lineRule="exact"/>
        <w:ind w:firstLine="131" w:firstLineChars="50"/>
        <w:rPr>
          <w:rFonts w:hint="eastAsia" w:ascii="宋体" w:hAnsi="宋体" w:eastAsia="宋体" w:cs="宋体"/>
          <w:color w:val="auto"/>
          <w:sz w:val="28"/>
          <w:szCs w:val="28"/>
          <w:highlight w:val="none"/>
        </w:rPr>
      </w:pPr>
      <w:r>
        <w:rPr>
          <w:rFonts w:hint="eastAsia" w:ascii="宋体" w:hAnsi="宋体" w:eastAsia="宋体" w:cs="宋体"/>
          <w:color w:val="auto"/>
          <w:spacing w:val="1"/>
          <w:w w:val="93"/>
          <w:kern w:val="0"/>
          <w:sz w:val="28"/>
          <w:szCs w:val="28"/>
          <w:highlight w:val="none"/>
          <w:fitText w:val="1050" w:id="2052484453"/>
        </w:rPr>
        <w:t xml:space="preserve">账    </w:t>
      </w:r>
      <w:r>
        <w:rPr>
          <w:rFonts w:hint="eastAsia" w:ascii="宋体" w:hAnsi="宋体" w:eastAsia="宋体" w:cs="宋体"/>
          <w:color w:val="auto"/>
          <w:spacing w:val="0"/>
          <w:w w:val="93"/>
          <w:kern w:val="0"/>
          <w:sz w:val="28"/>
          <w:szCs w:val="28"/>
          <w:highlight w:val="none"/>
          <w:fitText w:val="1050" w:id="2052484453"/>
        </w:rPr>
        <w:t>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32"/>
          <w:highlight w:val="none"/>
        </w:rPr>
        <w:t>61050166371100000492</w:t>
      </w:r>
      <w:r>
        <w:rPr>
          <w:rFonts w:hint="eastAsia" w:ascii="宋体" w:hAnsi="宋体" w:eastAsia="宋体" w:cs="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11C60ED8">
      <w:pPr>
        <w:bidi w:val="0"/>
        <w:rPr>
          <w:rFonts w:hint="eastAsia" w:ascii="仿宋" w:hAnsi="仿宋" w:eastAsia="仿宋" w:cs="仿宋"/>
          <w:color w:val="auto"/>
          <w:kern w:val="2"/>
          <w:sz w:val="22"/>
          <w:szCs w:val="22"/>
          <w:highlight w:val="none"/>
          <w:lang w:val="en-US" w:eastAsia="zh-CN" w:bidi="ar-SA"/>
        </w:rPr>
      </w:pPr>
    </w:p>
    <w:sectPr>
      <w:footerReference r:id="rId20" w:type="default"/>
      <w:pgSz w:w="11905"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C5DC">
    <w:pPr>
      <w:pStyle w:val="24"/>
      <w:tabs>
        <w:tab w:val="left" w:pos="2431"/>
        <w:tab w:val="center" w:pos="4253"/>
        <w:tab w:val="left" w:pos="5055"/>
        <w:tab w:val="clear" w:pos="4153"/>
        <w:tab w:val="clear" w:pos="8306"/>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B34D7">
                          <w:pPr>
                            <w:pStyle w:val="24"/>
                            <w:rPr>
                              <w:rFonts w:hint="eastAsia" w:eastAsia="华文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9B34D7">
                    <w:pPr>
                      <w:pStyle w:val="24"/>
                      <w:rPr>
                        <w:rFonts w:hint="eastAsia" w:eastAsia="华文仿宋"/>
                        <w:lang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9F2C">
    <w:pPr>
      <w:pStyle w:val="24"/>
      <w:tabs>
        <w:tab w:val="left" w:pos="2431"/>
        <w:tab w:val="clear" w:pos="4153"/>
        <w:tab w:val="clear" w:pos="8306"/>
      </w:tabs>
      <w:wordWrap w:val="0"/>
      <w:ind w:right="360"/>
      <w:jc w:val="right"/>
      <w:rPr>
        <w:rFonts w:hint="eastAsia" w:ascii="宋体" w:hAnsi="宋体"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E4DD1">
    <w:pPr>
      <w:pStyle w:val="24"/>
      <w:tabs>
        <w:tab w:val="left" w:pos="2431"/>
        <w:tab w:val="center" w:pos="4253"/>
        <w:tab w:val="left" w:pos="5055"/>
        <w:tab w:val="clear" w:pos="4153"/>
        <w:tab w:val="clear" w:pos="8306"/>
      </w:tabs>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5CCCB">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r>
                            <w:rPr>
                              <w:rFonts w:hint="eastAsia" w:ascii="宋体" w:hAnsi="宋体" w:eastAsia="宋体" w:cs="宋体"/>
                              <w:lang w:val="en-US" w:eastAsia="zh-CN"/>
                            </w:rPr>
                            <w:t xml:space="preserve"> </w:t>
                          </w:r>
                          <w:r>
                            <w:rPr>
                              <w:rFonts w:hint="eastAsia" w:ascii="宋体" w:hAnsi="宋体" w:eastAsia="宋体" w:cs="宋体"/>
                            </w:rPr>
                            <w:t xml:space="preserve"> 共</w:t>
                          </w:r>
                          <w:r>
                            <w:rPr>
                              <w:rFonts w:hint="eastAsia" w:ascii="宋体" w:hAnsi="宋体" w:eastAsia="宋体" w:cs="宋体"/>
                              <w:lang w:val="en-US" w:eastAsia="zh-CN"/>
                            </w:rPr>
                            <w:t>54</w:t>
                          </w:r>
                          <w:r>
                            <w:rPr>
                              <w:rFonts w:hint="eastAsia" w:ascii="宋体" w:hAnsi="宋体" w:eastAsia="宋体" w:cs="宋体"/>
                            </w:rPr>
                            <w:t>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75pt;width:144pt;mso-position-horizontal:center;mso-position-horizontal-relative:margin;mso-wrap-style:none;z-index:251664384;mso-width-relative:page;mso-height-relative:page;" filled="f" stroked="f" coordsize="21600,21600" o:gfxdata="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GHjx0wAAAAQBAAAPAAAAAAAAAAEAIAAAACIAAABkcnMvZG93bnJldi54bWxQ&#10;SwECFAAUAAAACACHTuJAxGKW1zUCAABgBAAADgAAAAAAAAABACAAAAAiAQAAZHJzL2Uyb0RvYy54&#10;bWxQSwUGAAAAAAYABgBZAQAAyQUAAAAA&#10;">
              <v:fill on="f" focussize="0,0"/>
              <v:stroke on="f" weight="0.5pt"/>
              <v:imagedata o:title=""/>
              <o:lock v:ext="edit" aspectratio="f"/>
              <v:textbox inset="0mm,0mm,0mm,0mm">
                <w:txbxContent>
                  <w:p w14:paraId="1ED5CCCB">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r>
                      <w:rPr>
                        <w:rFonts w:hint="eastAsia" w:ascii="宋体" w:hAnsi="宋体" w:eastAsia="宋体" w:cs="宋体"/>
                        <w:lang w:val="en-US" w:eastAsia="zh-CN"/>
                      </w:rPr>
                      <w:t xml:space="preserve"> </w:t>
                    </w:r>
                    <w:r>
                      <w:rPr>
                        <w:rFonts w:hint="eastAsia" w:ascii="宋体" w:hAnsi="宋体" w:eastAsia="宋体" w:cs="宋体"/>
                      </w:rPr>
                      <w:t xml:space="preserve"> 共</w:t>
                    </w:r>
                    <w:r>
                      <w:rPr>
                        <w:rFonts w:hint="eastAsia" w:ascii="宋体" w:hAnsi="宋体" w:eastAsia="宋体" w:cs="宋体"/>
                        <w:lang w:val="en-US" w:eastAsia="zh-CN"/>
                      </w:rPr>
                      <w:t>54</w:t>
                    </w:r>
                    <w:r>
                      <w:rPr>
                        <w:rFonts w:hint="eastAsia" w:ascii="宋体" w:hAnsi="宋体" w:eastAsia="宋体" w:cs="宋体"/>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F2D6">
    <w:pPr>
      <w:pStyle w:val="24"/>
      <w:wordWrap w:val="0"/>
      <w:jc w:val="right"/>
      <w:rPr>
        <w:rFonts w:hint="eastAsia" w:ascii="宋体" w:hAnsi="宋体" w:eastAsia="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posOffset>2490470</wp:posOffset>
              </wp:positionH>
              <wp:positionV relativeFrom="paragraph">
                <wp:posOffset>0</wp:posOffset>
              </wp:positionV>
              <wp:extent cx="1176020" cy="161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76020"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04AC6">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w:t>
                          </w:r>
                          <w:r>
                            <w:rPr>
                              <w:rFonts w:hint="eastAsia" w:ascii="宋体" w:hAnsi="宋体" w:eastAsia="宋体" w:cs="宋体"/>
                              <w:lang w:val="en-US" w:eastAsia="zh-CN"/>
                            </w:rPr>
                            <w:t>54</w:t>
                          </w:r>
                          <w:r>
                            <w:rPr>
                              <w:rFonts w:hint="eastAsia" w:ascii="宋体" w:hAnsi="宋体" w:eastAsia="宋体" w:cs="宋体"/>
                            </w:rPr>
                            <w:t>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1pt;margin-top:0pt;height:12.75pt;width:92.6pt;mso-position-horizontal-relative:margin;z-index:251665408;mso-width-relative:page;mso-height-relative:page;" filled="f" stroked="f" coordsize="21600,21600" o:gfxdata="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Y1Ik1wAAAAcBAAAPAAAAAAAAAAEAIAAAACIAAABkcnMvZG93bnJl&#10;di54bWxQSwECFAAUAAAACACHTuJAzxOTuzcCAABiBAAADgAAAAAAAAABACAAAAAmAQAAZHJzL2Uy&#10;b0RvYy54bWxQSwUGAAAAAAYABgBZAQAAzwUAAAAA&#10;">
              <v:fill on="f" focussize="0,0"/>
              <v:stroke on="f" weight="0.5pt"/>
              <v:imagedata o:title=""/>
              <o:lock v:ext="edit" aspectratio="f"/>
              <v:textbox inset="0mm,0mm,0mm,0mm">
                <w:txbxContent>
                  <w:p w14:paraId="7D304AC6">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w:t>
                    </w:r>
                    <w:r>
                      <w:rPr>
                        <w:rFonts w:hint="eastAsia" w:ascii="宋体" w:hAnsi="宋体" w:eastAsia="宋体" w:cs="宋体"/>
                        <w:lang w:val="en-US" w:eastAsia="zh-CN"/>
                      </w:rPr>
                      <w:t>54</w:t>
                    </w:r>
                    <w:r>
                      <w:rPr>
                        <w:rFonts w:hint="eastAsia" w:ascii="宋体" w:hAnsi="宋体" w:eastAsia="宋体" w:cs="宋体"/>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35DF">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AE6F">
    <w:pPr>
      <w:pStyle w:val="24"/>
      <w:tabs>
        <w:tab w:val="left" w:pos="2431"/>
        <w:tab w:val="clear" w:pos="4153"/>
        <w:tab w:val="clear" w:pos="8306"/>
      </w:tabs>
      <w:wordWrap w:val="0"/>
      <w:ind w:right="360"/>
      <w:jc w:val="both"/>
    </w:pPr>
    <w:r>
      <w:rPr>
        <w:sz w:val="18"/>
      </w:rPr>
      <mc:AlternateContent>
        <mc:Choice Requires="wps">
          <w:drawing>
            <wp:anchor distT="0" distB="0" distL="114300" distR="114300" simplePos="0" relativeHeight="251667456" behindDoc="0" locked="0" layoutInCell="1" allowOverlap="1">
              <wp:simplePos x="0" y="0"/>
              <wp:positionH relativeFrom="margin">
                <wp:posOffset>2376805</wp:posOffset>
              </wp:positionH>
              <wp:positionV relativeFrom="paragraph">
                <wp:posOffset>-48260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B56EB">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50</w:t>
                          </w:r>
                          <w:r>
                            <w:rPr>
                              <w:rFonts w:hint="eastAsia" w:ascii="宋体" w:hAnsi="宋体" w:eastAsia="宋体" w:cs="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15pt;margin-top:-3.8pt;height:144pt;width:144pt;mso-position-horizontal-relative:margin;mso-wrap-style:none;z-index:251667456;mso-width-relative:page;mso-height-relative:page;" filled="f" stroked="f" coordsize="21600,21600" o:gfxdata="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ym5RtgAAAAKAQAADwAAAAAAAAABACAAAAAiAAAAZHJzL2Rvd25yZXYueG1s&#10;UEsBAhQAFAAAAAgAh07iQKmor5UxAgAAYwQAAA4AAAAAAAAAAQAgAAAAJwEAAGRycy9lMm9Eb2Mu&#10;eG1sUEsFBgAAAAAGAAYAWQEAAMoFAAAAAA==&#10;">
              <v:fill on="f" focussize="0,0"/>
              <v:stroke on="f" weight="0.5pt"/>
              <v:imagedata o:title=""/>
              <o:lock v:ext="edit" aspectratio="f"/>
              <v:textbox inset="0mm,0mm,0mm,0mm" style="mso-fit-shape-to-text:t;">
                <w:txbxContent>
                  <w:p w14:paraId="203B56EB">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50</w:t>
                    </w:r>
                    <w:r>
                      <w:rPr>
                        <w:rFonts w:hint="eastAsia" w:ascii="宋体" w:hAnsi="宋体" w:eastAsia="宋体" w:cs="宋体"/>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86FDD">
    <w:pPr>
      <w:pStyle w:val="24"/>
      <w:wordWrap w:val="0"/>
      <w:jc w:val="right"/>
      <w:rPr>
        <w:rFonts w:hint="eastAsia" w:ascii="宋体" w:hAnsi="宋体" w:eastAsia="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1EC1C">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w:t>
                          </w:r>
                          <w:r>
                            <w:rPr>
                              <w:rFonts w:hint="eastAsia" w:ascii="宋体" w:hAnsi="宋体" w:eastAsia="宋体" w:cs="宋体"/>
                              <w:lang w:val="en-US" w:eastAsia="zh-CN"/>
                            </w:rPr>
                            <w:t>54</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21EC1C">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w:t>
                    </w:r>
                    <w:r>
                      <w:rPr>
                        <w:rFonts w:hint="eastAsia" w:ascii="宋体" w:hAnsi="宋体" w:eastAsia="宋体" w:cs="宋体"/>
                        <w:lang w:val="en-US" w:eastAsia="zh-CN"/>
                      </w:rPr>
                      <w:t>54</w:t>
                    </w:r>
                    <w:r>
                      <w:rPr>
                        <w:rFonts w:hint="eastAsia" w:ascii="宋体" w:hAnsi="宋体" w:eastAsia="宋体" w:cs="宋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3151">
    <w:pPr>
      <w:pStyle w:val="2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3D060">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54</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03D060">
                    <w:pPr>
                      <w:pStyle w:val="2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54</w:t>
                    </w:r>
                    <w:r>
                      <w:rPr>
                        <w:rFonts w:hint="eastAsia" w:ascii="宋体" w:hAnsi="宋体" w:eastAsia="宋体" w:cs="宋体"/>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9554">
    <w:pPr>
      <w:pStyle w:val="24"/>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C40C">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C0560">
    <w:pPr>
      <w:jc w:val="distribute"/>
      <w:rPr>
        <w:rFonts w:hint="eastAsia" w:ascii="宋体" w:hAnsi="宋体" w:eastAsia="宋体" w:cs="宋体"/>
        <w:sz w:val="18"/>
        <w:szCs w:val="18"/>
        <w:lang w:val="en-US" w:eastAsia="zh-CN"/>
      </w:rPr>
    </w:pP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15A7">
    <w:pPr>
      <w:pBdr>
        <w:bottom w:val="single" w:color="auto" w:sz="4" w:space="0"/>
      </w:pBdr>
      <w:jc w:val="both"/>
      <w:rPr>
        <w:rFonts w:hint="default"/>
        <w:lang w:val="en-US" w:eastAsia="zh-CN"/>
      </w:rPr>
    </w:pPr>
    <w:r>
      <w:rPr>
        <w:rFonts w:hint="eastAsia" w:ascii="宋体" w:hAnsi="宋体" w:eastAsia="宋体" w:cs="宋体"/>
        <w:sz w:val="18"/>
        <w:szCs w:val="18"/>
        <w:lang w:val="en-US" w:eastAsia="zh-CN"/>
      </w:rPr>
      <w:t xml:space="preserve">项目名称：安康市中心医院新生儿科婴儿奶粉采购项目                             </w:t>
    </w:r>
    <w:r>
      <w:rPr>
        <w:rFonts w:hint="eastAsia" w:ascii="宋体" w:hAnsi="宋体" w:eastAsia="宋体" w:cs="宋体"/>
        <w:kern w:val="0"/>
        <w:sz w:val="18"/>
        <w:szCs w:val="18"/>
        <w:lang w:val="en-US" w:eastAsia="zh-CN" w:bidi="ar-SA"/>
      </w:rPr>
      <w:t xml:space="preserve">项目编号：AKSH2025-ZTP-156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DCDD">
    <w:pPr>
      <w:pStyle w:val="25"/>
      <w:ind w:firstLine="200" w:firstLineChars="100"/>
      <w:jc w:val="left"/>
      <w:rPr>
        <w:rFonts w:hint="default" w:ascii="宋体" w:hAnsi="宋体" w:eastAsia="宋体" w:cs="宋体"/>
        <w:sz w:val="20"/>
        <w:highlight w:val="none"/>
        <w:lang w:val="en-US" w:eastAsia="zh-CN"/>
      </w:rPr>
    </w:pPr>
    <w:r>
      <w:rPr>
        <w:rFonts w:hint="eastAsia" w:ascii="宋体" w:hAnsi="宋体" w:eastAsia="宋体" w:cs="宋体"/>
        <w:sz w:val="20"/>
        <w:highlight w:val="none"/>
        <w:lang w:eastAsia="zh-CN"/>
      </w:rPr>
      <w:t>项目名称：</w:t>
    </w:r>
    <w:bookmarkStart w:id="368" w:name="OLE_LINK15"/>
    <w:r>
      <w:rPr>
        <w:rFonts w:hint="eastAsia" w:ascii="宋体" w:hAnsi="宋体" w:eastAsia="宋体" w:cs="宋体"/>
        <w:sz w:val="20"/>
        <w:highlight w:val="none"/>
        <w:lang w:val="en-US" w:eastAsia="zh-CN"/>
      </w:rPr>
      <w:t>安康市中心医院新生儿科婴儿奶粉采购项目</w:t>
    </w:r>
    <w:r>
      <w:rPr>
        <w:rFonts w:hint="eastAsia" w:ascii="宋体" w:hAnsi="宋体" w:eastAsia="宋体" w:cs="宋体"/>
        <w:sz w:val="20"/>
        <w:highlight w:val="none"/>
      </w:rPr>
      <w:t xml:space="preserve"> </w:t>
    </w:r>
    <w:r>
      <w:rPr>
        <w:rFonts w:hint="eastAsia" w:ascii="宋体" w:hAnsi="宋体" w:eastAsia="宋体" w:cs="宋体"/>
        <w:sz w:val="20"/>
        <w:highlight w:val="none"/>
        <w:lang w:val="en-US" w:eastAsia="zh-CN"/>
      </w:rPr>
      <w:t xml:space="preserve">               </w:t>
    </w:r>
    <w:r>
      <w:rPr>
        <w:rFonts w:hint="eastAsia" w:ascii="宋体" w:hAnsi="宋体" w:eastAsia="宋体" w:cs="宋体"/>
        <w:sz w:val="20"/>
        <w:highlight w:val="none"/>
      </w:rPr>
      <w:t xml:space="preserve"> </w:t>
    </w:r>
    <w:bookmarkEnd w:id="368"/>
    <w:r>
      <w:rPr>
        <w:rFonts w:hint="eastAsia" w:ascii="宋体" w:hAnsi="宋体" w:eastAsia="宋体" w:cs="宋体"/>
        <w:sz w:val="20"/>
        <w:highlight w:val="none"/>
        <w:lang w:val="en-US" w:eastAsia="zh-CN"/>
      </w:rPr>
      <w:t xml:space="preserve">项目编号：AKSH2025-ZTP-156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944D">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49F5">
    <w:pPr>
      <w:pStyle w:val="25"/>
      <w:keepNext w:val="0"/>
      <w:keepLines w:val="0"/>
      <w:pageBreakBefore w:val="0"/>
      <w:widowControl w:val="0"/>
      <w:kinsoku/>
      <w:wordWrap/>
      <w:overflowPunct/>
      <w:topLinePunct w:val="0"/>
      <w:autoSpaceDE/>
      <w:autoSpaceDN/>
      <w:bidi w:val="0"/>
      <w:adjustRightInd/>
      <w:snapToGrid w:val="0"/>
      <w:jc w:val="both"/>
      <w:textAlignment w:val="auto"/>
      <w:rPr>
        <w:rFonts w:hint="default" w:ascii="宋体" w:hAnsi="宋体" w:eastAsia="宋体" w:cs="宋体"/>
        <w:lang w:val="en-US" w:eastAsia="zh-CN"/>
      </w:rPr>
    </w:pPr>
    <w:r>
      <w:rPr>
        <w:rFonts w:hint="eastAsia" w:ascii="宋体" w:hAnsi="宋体" w:eastAsia="宋体" w:cs="宋体"/>
        <w:sz w:val="20"/>
        <w:highlight w:val="none"/>
        <w:lang w:eastAsia="zh-CN"/>
      </w:rPr>
      <w:t>项目名称：</w:t>
    </w:r>
    <w:r>
      <w:rPr>
        <w:rFonts w:hint="eastAsia" w:ascii="宋体" w:hAnsi="宋体" w:eastAsia="宋体" w:cs="宋体"/>
        <w:sz w:val="20"/>
        <w:highlight w:val="none"/>
        <w:lang w:val="en-US" w:eastAsia="zh-CN"/>
      </w:rPr>
      <w:t>安康市中心医院新生儿科婴儿奶粉采购项目</w:t>
    </w:r>
    <w:r>
      <w:rPr>
        <w:rFonts w:hint="eastAsia" w:ascii="宋体" w:hAnsi="宋体" w:eastAsia="宋体" w:cs="宋体"/>
        <w:sz w:val="20"/>
        <w:highlight w:val="none"/>
        <w:lang w:eastAsia="zh-CN"/>
      </w:rPr>
      <w:t xml:space="preserve">   </w:t>
    </w:r>
    <w:r>
      <w:rPr>
        <w:rFonts w:hint="eastAsia" w:ascii="宋体" w:hAnsi="宋体" w:eastAsia="宋体" w:cs="宋体"/>
        <w:sz w:val="20"/>
        <w:highlight w:val="none"/>
        <w:lang w:val="en-US" w:eastAsia="zh-CN"/>
      </w:rPr>
      <w:t xml:space="preserve">              项目编号：AKSH2025-ZTP-156</w:t>
    </w:r>
    <w:r>
      <w:rPr>
        <w:rFonts w:hint="eastAsia" w:ascii="宋体" w:hAnsi="宋体" w:eastAsia="宋体" w:cs="宋体"/>
        <w:kern w:val="0"/>
        <w:sz w:val="18"/>
        <w:szCs w:val="18"/>
        <w:lang w:val="en-US" w:eastAsia="zh-CN" w:bidi="ar-S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EE7A">
    <w:pPr>
      <w:pBdr>
        <w:bottom w:val="single" w:color="auto" w:sz="4" w:space="0"/>
      </w:pBdr>
      <w:jc w:val="both"/>
      <w:rPr>
        <w:rFonts w:hint="eastAsia"/>
        <w:lang w:val="en-US" w:eastAsia="zh-CN"/>
      </w:rPr>
    </w:pPr>
    <w:r>
      <w:rPr>
        <w:rFonts w:hint="eastAsia" w:ascii="宋体" w:hAnsi="宋体" w:eastAsia="宋体" w:cs="宋体"/>
        <w:sz w:val="20"/>
        <w:highlight w:val="none"/>
        <w:lang w:eastAsia="zh-CN"/>
      </w:rPr>
      <w:t>项目名称：</w:t>
    </w:r>
    <w:r>
      <w:rPr>
        <w:rFonts w:hint="eastAsia" w:ascii="宋体" w:hAnsi="宋体" w:eastAsia="宋体" w:cs="宋体"/>
        <w:sz w:val="20"/>
        <w:highlight w:val="none"/>
        <w:lang w:val="en-US" w:eastAsia="zh-CN"/>
      </w:rPr>
      <w:t>安康市中心医院新生儿科婴儿奶粉采购项目</w:t>
    </w:r>
    <w:r>
      <w:rPr>
        <w:rFonts w:hint="eastAsia" w:ascii="宋体" w:hAnsi="宋体" w:eastAsia="宋体" w:cs="宋体"/>
        <w:sz w:val="20"/>
        <w:highlight w:val="none"/>
      </w:rPr>
      <w:t xml:space="preserve"> </w:t>
    </w:r>
    <w:r>
      <w:rPr>
        <w:rFonts w:hint="eastAsia" w:ascii="宋体" w:hAnsi="宋体" w:eastAsia="宋体" w:cs="宋体"/>
        <w:sz w:val="20"/>
        <w:highlight w:val="none"/>
        <w:lang w:val="en-US" w:eastAsia="zh-CN"/>
      </w:rPr>
      <w:t xml:space="preserve">                  项目编号：AKSH2025-ZTP-156</w:t>
    </w:r>
    <w:r>
      <w:rPr>
        <w:rFonts w:hint="eastAsia" w:ascii="宋体" w:hAnsi="宋体" w:eastAsia="宋体" w:cs="宋体"/>
        <w:kern w:val="0"/>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52898"/>
    <w:multiLevelType w:val="singleLevel"/>
    <w:tmpl w:val="8B652898"/>
    <w:lvl w:ilvl="0" w:tentative="0">
      <w:start w:val="3"/>
      <w:numFmt w:val="chineseCounting"/>
      <w:suff w:val="space"/>
      <w:lvlText w:val="第%1章"/>
      <w:lvlJc w:val="left"/>
      <w:rPr>
        <w:rFonts w:hint="eastAsia"/>
      </w:rPr>
    </w:lvl>
  </w:abstractNum>
  <w:abstractNum w:abstractNumId="1">
    <w:nsid w:val="C95F559A"/>
    <w:multiLevelType w:val="singleLevel"/>
    <w:tmpl w:val="C95F559A"/>
    <w:lvl w:ilvl="0" w:tentative="0">
      <w:start w:val="2"/>
      <w:numFmt w:val="chineseCounting"/>
      <w:suff w:val="nothing"/>
      <w:lvlText w:val="%1、"/>
      <w:lvlJc w:val="left"/>
      <w:rPr>
        <w:rFonts w:hint="eastAsia"/>
      </w:rPr>
    </w:lvl>
  </w:abstractNum>
  <w:abstractNum w:abstractNumId="2">
    <w:nsid w:val="F593EF01"/>
    <w:multiLevelType w:val="singleLevel"/>
    <w:tmpl w:val="F593EF01"/>
    <w:lvl w:ilvl="0" w:tentative="0">
      <w:start w:val="1"/>
      <w:numFmt w:val="decimal"/>
      <w:lvlText w:val="%1"/>
      <w:lvlJc w:val="left"/>
      <w:pPr>
        <w:tabs>
          <w:tab w:val="left" w:pos="420"/>
        </w:tabs>
        <w:ind w:left="705" w:leftChars="0" w:hanging="425"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280"/>
  <w:drawingGridVerticalSpacing w:val="19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TZjYmI2ODUwNjVhNGQ4ODA1YTg3ZjkyN2NjMzYifQ=="/>
  </w:docVars>
  <w:rsids>
    <w:rsidRoot w:val="00276103"/>
    <w:rsid w:val="00011D14"/>
    <w:rsid w:val="000121E1"/>
    <w:rsid w:val="00024F44"/>
    <w:rsid w:val="00026194"/>
    <w:rsid w:val="0004092A"/>
    <w:rsid w:val="000409AC"/>
    <w:rsid w:val="00054856"/>
    <w:rsid w:val="0006111D"/>
    <w:rsid w:val="00067801"/>
    <w:rsid w:val="00071ED2"/>
    <w:rsid w:val="000916FF"/>
    <w:rsid w:val="00092C81"/>
    <w:rsid w:val="00095EC0"/>
    <w:rsid w:val="000D2F9C"/>
    <w:rsid w:val="000D4451"/>
    <w:rsid w:val="000D4B24"/>
    <w:rsid w:val="000D5996"/>
    <w:rsid w:val="000E15F1"/>
    <w:rsid w:val="000E78A9"/>
    <w:rsid w:val="000F0906"/>
    <w:rsid w:val="00107F04"/>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D6D28"/>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28DE"/>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709"/>
    <w:rsid w:val="00661EDA"/>
    <w:rsid w:val="00667A44"/>
    <w:rsid w:val="00677E82"/>
    <w:rsid w:val="00680269"/>
    <w:rsid w:val="006818EC"/>
    <w:rsid w:val="00681B42"/>
    <w:rsid w:val="006847DD"/>
    <w:rsid w:val="006847DE"/>
    <w:rsid w:val="006939BC"/>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6CEE"/>
    <w:rsid w:val="007B1F33"/>
    <w:rsid w:val="007C1AB6"/>
    <w:rsid w:val="007D455F"/>
    <w:rsid w:val="007E29E9"/>
    <w:rsid w:val="007E2A47"/>
    <w:rsid w:val="00800C8F"/>
    <w:rsid w:val="00801342"/>
    <w:rsid w:val="0080401E"/>
    <w:rsid w:val="00805ED3"/>
    <w:rsid w:val="008142E9"/>
    <w:rsid w:val="008207AB"/>
    <w:rsid w:val="00825D97"/>
    <w:rsid w:val="0083077C"/>
    <w:rsid w:val="008413BE"/>
    <w:rsid w:val="0084291C"/>
    <w:rsid w:val="00844A7A"/>
    <w:rsid w:val="00847343"/>
    <w:rsid w:val="00851842"/>
    <w:rsid w:val="008523E5"/>
    <w:rsid w:val="00852685"/>
    <w:rsid w:val="0086232F"/>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B7A64"/>
    <w:rsid w:val="00AC3A07"/>
    <w:rsid w:val="00AF0523"/>
    <w:rsid w:val="00B064D8"/>
    <w:rsid w:val="00B24A7A"/>
    <w:rsid w:val="00B25C41"/>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BF706B"/>
    <w:rsid w:val="00C02F92"/>
    <w:rsid w:val="00C12EAD"/>
    <w:rsid w:val="00C1462B"/>
    <w:rsid w:val="00C2267F"/>
    <w:rsid w:val="00C30E88"/>
    <w:rsid w:val="00C36B5B"/>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D79DA"/>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5A27"/>
    <w:rsid w:val="00FC66A9"/>
    <w:rsid w:val="00FE7899"/>
    <w:rsid w:val="01115B19"/>
    <w:rsid w:val="01161381"/>
    <w:rsid w:val="01341807"/>
    <w:rsid w:val="01492722"/>
    <w:rsid w:val="014A4B87"/>
    <w:rsid w:val="01514167"/>
    <w:rsid w:val="016245C6"/>
    <w:rsid w:val="01652269"/>
    <w:rsid w:val="016F10DA"/>
    <w:rsid w:val="01714809"/>
    <w:rsid w:val="01A544B3"/>
    <w:rsid w:val="01A56261"/>
    <w:rsid w:val="01B43F2C"/>
    <w:rsid w:val="01C97501"/>
    <w:rsid w:val="01F1594A"/>
    <w:rsid w:val="01F40F97"/>
    <w:rsid w:val="01F42D45"/>
    <w:rsid w:val="01FD765E"/>
    <w:rsid w:val="020C6E0B"/>
    <w:rsid w:val="02160F0D"/>
    <w:rsid w:val="02251150"/>
    <w:rsid w:val="022C24DE"/>
    <w:rsid w:val="02405F8A"/>
    <w:rsid w:val="024617F2"/>
    <w:rsid w:val="02781260"/>
    <w:rsid w:val="02997909"/>
    <w:rsid w:val="02D432A2"/>
    <w:rsid w:val="02DC3F04"/>
    <w:rsid w:val="02E4100B"/>
    <w:rsid w:val="031F3DF1"/>
    <w:rsid w:val="03287B1A"/>
    <w:rsid w:val="034A3564"/>
    <w:rsid w:val="03824AAC"/>
    <w:rsid w:val="038A7E04"/>
    <w:rsid w:val="03974F7D"/>
    <w:rsid w:val="03A60AD2"/>
    <w:rsid w:val="03AA4003"/>
    <w:rsid w:val="03B66504"/>
    <w:rsid w:val="03B86720"/>
    <w:rsid w:val="03DD1CE2"/>
    <w:rsid w:val="03E83E04"/>
    <w:rsid w:val="03FF5FEC"/>
    <w:rsid w:val="040E27E3"/>
    <w:rsid w:val="040E4592"/>
    <w:rsid w:val="0420376D"/>
    <w:rsid w:val="042042C5"/>
    <w:rsid w:val="04223B99"/>
    <w:rsid w:val="042C1685"/>
    <w:rsid w:val="0433224A"/>
    <w:rsid w:val="04471852"/>
    <w:rsid w:val="045126D0"/>
    <w:rsid w:val="047D5273"/>
    <w:rsid w:val="04A23C2F"/>
    <w:rsid w:val="04A24CDA"/>
    <w:rsid w:val="04C035DB"/>
    <w:rsid w:val="04C609C8"/>
    <w:rsid w:val="04E2157A"/>
    <w:rsid w:val="04E667F5"/>
    <w:rsid w:val="04F33787"/>
    <w:rsid w:val="04FE63B4"/>
    <w:rsid w:val="05025778"/>
    <w:rsid w:val="050634BB"/>
    <w:rsid w:val="05157BA2"/>
    <w:rsid w:val="05173E06"/>
    <w:rsid w:val="053A4875"/>
    <w:rsid w:val="05656433"/>
    <w:rsid w:val="05D37841"/>
    <w:rsid w:val="05E57574"/>
    <w:rsid w:val="061826E9"/>
    <w:rsid w:val="062F259D"/>
    <w:rsid w:val="064A68B9"/>
    <w:rsid w:val="065E2E82"/>
    <w:rsid w:val="067D155B"/>
    <w:rsid w:val="06A27213"/>
    <w:rsid w:val="06A97A77"/>
    <w:rsid w:val="06AE3E0A"/>
    <w:rsid w:val="06BD6762"/>
    <w:rsid w:val="06C74ECC"/>
    <w:rsid w:val="06CE669C"/>
    <w:rsid w:val="072A733E"/>
    <w:rsid w:val="072B0FB7"/>
    <w:rsid w:val="07683FB9"/>
    <w:rsid w:val="076F5347"/>
    <w:rsid w:val="07D57174"/>
    <w:rsid w:val="08283748"/>
    <w:rsid w:val="08332819"/>
    <w:rsid w:val="087F780C"/>
    <w:rsid w:val="088A61B1"/>
    <w:rsid w:val="08A454C4"/>
    <w:rsid w:val="08B374B6"/>
    <w:rsid w:val="08CE0713"/>
    <w:rsid w:val="08CE0793"/>
    <w:rsid w:val="08EE6740"/>
    <w:rsid w:val="08F76E43"/>
    <w:rsid w:val="090C6E83"/>
    <w:rsid w:val="091268D2"/>
    <w:rsid w:val="094748D9"/>
    <w:rsid w:val="095B5E66"/>
    <w:rsid w:val="09612535"/>
    <w:rsid w:val="09616F12"/>
    <w:rsid w:val="09842C00"/>
    <w:rsid w:val="098E3A7F"/>
    <w:rsid w:val="099E7FC1"/>
    <w:rsid w:val="09BF1E8A"/>
    <w:rsid w:val="09C13E54"/>
    <w:rsid w:val="0A1D552E"/>
    <w:rsid w:val="0A2C39C3"/>
    <w:rsid w:val="0A4800A6"/>
    <w:rsid w:val="0A4B01E4"/>
    <w:rsid w:val="0AAA0BDE"/>
    <w:rsid w:val="0AAC0660"/>
    <w:rsid w:val="0AB9178B"/>
    <w:rsid w:val="0AC51722"/>
    <w:rsid w:val="0AD247D5"/>
    <w:rsid w:val="0AEA2F37"/>
    <w:rsid w:val="0AF04677"/>
    <w:rsid w:val="0B0B182B"/>
    <w:rsid w:val="0B304DED"/>
    <w:rsid w:val="0B41524D"/>
    <w:rsid w:val="0B436951"/>
    <w:rsid w:val="0B536D2E"/>
    <w:rsid w:val="0B756CA4"/>
    <w:rsid w:val="0B9536DF"/>
    <w:rsid w:val="0B9A495D"/>
    <w:rsid w:val="0BE04A65"/>
    <w:rsid w:val="0BF95B27"/>
    <w:rsid w:val="0C0727E4"/>
    <w:rsid w:val="0C0C497A"/>
    <w:rsid w:val="0C2A3F33"/>
    <w:rsid w:val="0C3F7BB0"/>
    <w:rsid w:val="0C4072B2"/>
    <w:rsid w:val="0C564D28"/>
    <w:rsid w:val="0C7B022C"/>
    <w:rsid w:val="0C7E7DDA"/>
    <w:rsid w:val="0C9544DF"/>
    <w:rsid w:val="0C9E3391"/>
    <w:rsid w:val="0CAD7E82"/>
    <w:rsid w:val="0CDD71F7"/>
    <w:rsid w:val="0D505C1B"/>
    <w:rsid w:val="0D6E4423"/>
    <w:rsid w:val="0D731FE0"/>
    <w:rsid w:val="0D984AC2"/>
    <w:rsid w:val="0DB31D06"/>
    <w:rsid w:val="0DB53CD0"/>
    <w:rsid w:val="0DDF2AFB"/>
    <w:rsid w:val="0DE35517"/>
    <w:rsid w:val="0E1E1875"/>
    <w:rsid w:val="0E236E8B"/>
    <w:rsid w:val="0E4B5A97"/>
    <w:rsid w:val="0E4D5CB6"/>
    <w:rsid w:val="0EAA3109"/>
    <w:rsid w:val="0EB6385C"/>
    <w:rsid w:val="0EC248F6"/>
    <w:rsid w:val="0EC96770"/>
    <w:rsid w:val="0ED71A24"/>
    <w:rsid w:val="0F184516"/>
    <w:rsid w:val="0F197CD5"/>
    <w:rsid w:val="0F1B4006"/>
    <w:rsid w:val="0F4F4271"/>
    <w:rsid w:val="0F4F4C55"/>
    <w:rsid w:val="0F667ABC"/>
    <w:rsid w:val="0F9F2542"/>
    <w:rsid w:val="0FAD1102"/>
    <w:rsid w:val="0FFA1E6E"/>
    <w:rsid w:val="10014FAA"/>
    <w:rsid w:val="101953C6"/>
    <w:rsid w:val="102B2B3E"/>
    <w:rsid w:val="10370F89"/>
    <w:rsid w:val="103A226A"/>
    <w:rsid w:val="103B0B91"/>
    <w:rsid w:val="10455B65"/>
    <w:rsid w:val="10555FA2"/>
    <w:rsid w:val="10710382"/>
    <w:rsid w:val="10750EDD"/>
    <w:rsid w:val="1114617F"/>
    <w:rsid w:val="11146F5F"/>
    <w:rsid w:val="11194576"/>
    <w:rsid w:val="11494D1C"/>
    <w:rsid w:val="1158509E"/>
    <w:rsid w:val="115F5735"/>
    <w:rsid w:val="11603F53"/>
    <w:rsid w:val="11B85B3D"/>
    <w:rsid w:val="11BA7B07"/>
    <w:rsid w:val="11DF4667"/>
    <w:rsid w:val="11F95F0B"/>
    <w:rsid w:val="12266FB2"/>
    <w:rsid w:val="1232427A"/>
    <w:rsid w:val="124D4697"/>
    <w:rsid w:val="124E070C"/>
    <w:rsid w:val="126D2DCB"/>
    <w:rsid w:val="128B4FFF"/>
    <w:rsid w:val="12B74046"/>
    <w:rsid w:val="12D746E8"/>
    <w:rsid w:val="12E362B6"/>
    <w:rsid w:val="12EA3E8A"/>
    <w:rsid w:val="12EC1F42"/>
    <w:rsid w:val="131E5E73"/>
    <w:rsid w:val="133E02C4"/>
    <w:rsid w:val="135A334F"/>
    <w:rsid w:val="1360023A"/>
    <w:rsid w:val="137141F5"/>
    <w:rsid w:val="13777B70"/>
    <w:rsid w:val="13826402"/>
    <w:rsid w:val="13850235"/>
    <w:rsid w:val="13954387"/>
    <w:rsid w:val="13955112"/>
    <w:rsid w:val="139E0D62"/>
    <w:rsid w:val="139F6FB4"/>
    <w:rsid w:val="13A7230D"/>
    <w:rsid w:val="13A91BE1"/>
    <w:rsid w:val="13B660AC"/>
    <w:rsid w:val="13BD743A"/>
    <w:rsid w:val="13CE1647"/>
    <w:rsid w:val="13F05A62"/>
    <w:rsid w:val="13FB578B"/>
    <w:rsid w:val="13FC61B5"/>
    <w:rsid w:val="145B16CE"/>
    <w:rsid w:val="145D29CB"/>
    <w:rsid w:val="14807878"/>
    <w:rsid w:val="14866E4C"/>
    <w:rsid w:val="14922122"/>
    <w:rsid w:val="14A23938"/>
    <w:rsid w:val="14BA1BCC"/>
    <w:rsid w:val="14C01613"/>
    <w:rsid w:val="14D233B9"/>
    <w:rsid w:val="14D25167"/>
    <w:rsid w:val="14E32ED1"/>
    <w:rsid w:val="150D619F"/>
    <w:rsid w:val="15237771"/>
    <w:rsid w:val="152C05C1"/>
    <w:rsid w:val="15565D98"/>
    <w:rsid w:val="15673B02"/>
    <w:rsid w:val="156A53A0"/>
    <w:rsid w:val="15851891"/>
    <w:rsid w:val="15910B7E"/>
    <w:rsid w:val="15966195"/>
    <w:rsid w:val="15BF393E"/>
    <w:rsid w:val="15C25DBE"/>
    <w:rsid w:val="15CF708F"/>
    <w:rsid w:val="15DD3DC4"/>
    <w:rsid w:val="160C7053"/>
    <w:rsid w:val="16115BE7"/>
    <w:rsid w:val="16192FF0"/>
    <w:rsid w:val="163C0257"/>
    <w:rsid w:val="16471AAC"/>
    <w:rsid w:val="1695469E"/>
    <w:rsid w:val="169C5A2D"/>
    <w:rsid w:val="16A668AC"/>
    <w:rsid w:val="16CA07EC"/>
    <w:rsid w:val="16ED0036"/>
    <w:rsid w:val="16FC471D"/>
    <w:rsid w:val="170A6E3A"/>
    <w:rsid w:val="17487963"/>
    <w:rsid w:val="17632DA5"/>
    <w:rsid w:val="1767603B"/>
    <w:rsid w:val="17716EB9"/>
    <w:rsid w:val="17771379"/>
    <w:rsid w:val="17A400E4"/>
    <w:rsid w:val="17B1375A"/>
    <w:rsid w:val="17BD5C5B"/>
    <w:rsid w:val="17E40441"/>
    <w:rsid w:val="18493992"/>
    <w:rsid w:val="18510A99"/>
    <w:rsid w:val="186E164B"/>
    <w:rsid w:val="18AE1A47"/>
    <w:rsid w:val="18C96881"/>
    <w:rsid w:val="18CD0120"/>
    <w:rsid w:val="18FE652B"/>
    <w:rsid w:val="19450347"/>
    <w:rsid w:val="194D74B2"/>
    <w:rsid w:val="19BF59EA"/>
    <w:rsid w:val="19D01228"/>
    <w:rsid w:val="1A0C74B6"/>
    <w:rsid w:val="1A4C1518"/>
    <w:rsid w:val="1A750269"/>
    <w:rsid w:val="1A7B310B"/>
    <w:rsid w:val="1A8A072D"/>
    <w:rsid w:val="1AEE25CF"/>
    <w:rsid w:val="1AF71484"/>
    <w:rsid w:val="1B063DBD"/>
    <w:rsid w:val="1B102545"/>
    <w:rsid w:val="1B155DAE"/>
    <w:rsid w:val="1B34092A"/>
    <w:rsid w:val="1B3577D4"/>
    <w:rsid w:val="1B426428"/>
    <w:rsid w:val="1B4F12C0"/>
    <w:rsid w:val="1B8F5B60"/>
    <w:rsid w:val="1BA07D6D"/>
    <w:rsid w:val="1BB456F0"/>
    <w:rsid w:val="1BE20386"/>
    <w:rsid w:val="1BF63E31"/>
    <w:rsid w:val="1C06508B"/>
    <w:rsid w:val="1C25451A"/>
    <w:rsid w:val="1C2F56BD"/>
    <w:rsid w:val="1C3919B9"/>
    <w:rsid w:val="1C715135"/>
    <w:rsid w:val="1C962F1E"/>
    <w:rsid w:val="1CA05B4B"/>
    <w:rsid w:val="1CB6536F"/>
    <w:rsid w:val="1CBB2985"/>
    <w:rsid w:val="1CC3394E"/>
    <w:rsid w:val="1CC47F14"/>
    <w:rsid w:val="1CC950A2"/>
    <w:rsid w:val="1D0205B4"/>
    <w:rsid w:val="1D04257E"/>
    <w:rsid w:val="1D3C2E73"/>
    <w:rsid w:val="1D437B1F"/>
    <w:rsid w:val="1D4604A0"/>
    <w:rsid w:val="1D61352C"/>
    <w:rsid w:val="1D725739"/>
    <w:rsid w:val="1D8334A3"/>
    <w:rsid w:val="1D9873E4"/>
    <w:rsid w:val="1D9E10C3"/>
    <w:rsid w:val="1DB91A81"/>
    <w:rsid w:val="1DF60CD6"/>
    <w:rsid w:val="1E0B3B2A"/>
    <w:rsid w:val="1E122A78"/>
    <w:rsid w:val="1E192DA5"/>
    <w:rsid w:val="1E2F7187"/>
    <w:rsid w:val="1E470974"/>
    <w:rsid w:val="1E596826"/>
    <w:rsid w:val="1E7772C7"/>
    <w:rsid w:val="1EA638ED"/>
    <w:rsid w:val="1F0C13AB"/>
    <w:rsid w:val="1F0E5E95"/>
    <w:rsid w:val="1F3E147E"/>
    <w:rsid w:val="1F426BC1"/>
    <w:rsid w:val="1F5C044F"/>
    <w:rsid w:val="1FB74433"/>
    <w:rsid w:val="1FC54D53"/>
    <w:rsid w:val="1FFE32B4"/>
    <w:rsid w:val="200A7EAB"/>
    <w:rsid w:val="20307817"/>
    <w:rsid w:val="20457135"/>
    <w:rsid w:val="207E61A3"/>
    <w:rsid w:val="208F215E"/>
    <w:rsid w:val="2096173F"/>
    <w:rsid w:val="20D12BB7"/>
    <w:rsid w:val="20E74298"/>
    <w:rsid w:val="210743EB"/>
    <w:rsid w:val="212E3725"/>
    <w:rsid w:val="214473ED"/>
    <w:rsid w:val="215F5FD5"/>
    <w:rsid w:val="217557F8"/>
    <w:rsid w:val="217D44F9"/>
    <w:rsid w:val="219D08AB"/>
    <w:rsid w:val="21A97250"/>
    <w:rsid w:val="21C31C0C"/>
    <w:rsid w:val="21D53C6F"/>
    <w:rsid w:val="21EB0021"/>
    <w:rsid w:val="221843E8"/>
    <w:rsid w:val="22356D36"/>
    <w:rsid w:val="2268661C"/>
    <w:rsid w:val="228D26CE"/>
    <w:rsid w:val="228E4F6B"/>
    <w:rsid w:val="229121BE"/>
    <w:rsid w:val="22982E69"/>
    <w:rsid w:val="22A719E1"/>
    <w:rsid w:val="22D4654E"/>
    <w:rsid w:val="22DE117B"/>
    <w:rsid w:val="22E449E3"/>
    <w:rsid w:val="22F31AE6"/>
    <w:rsid w:val="231132FF"/>
    <w:rsid w:val="2322375E"/>
    <w:rsid w:val="23243032"/>
    <w:rsid w:val="2331574F"/>
    <w:rsid w:val="234B4A63"/>
    <w:rsid w:val="2378337E"/>
    <w:rsid w:val="237C4C1C"/>
    <w:rsid w:val="239A32F4"/>
    <w:rsid w:val="23B85879"/>
    <w:rsid w:val="23B91DFA"/>
    <w:rsid w:val="23BE3486"/>
    <w:rsid w:val="23D90A84"/>
    <w:rsid w:val="23ED7965"/>
    <w:rsid w:val="23F410FE"/>
    <w:rsid w:val="24062738"/>
    <w:rsid w:val="24101808"/>
    <w:rsid w:val="24165A03"/>
    <w:rsid w:val="24A00DDE"/>
    <w:rsid w:val="24A16E93"/>
    <w:rsid w:val="24B6415E"/>
    <w:rsid w:val="24C2196B"/>
    <w:rsid w:val="24CA7C09"/>
    <w:rsid w:val="24DE36B4"/>
    <w:rsid w:val="24E3532B"/>
    <w:rsid w:val="24EA3E07"/>
    <w:rsid w:val="25243F0A"/>
    <w:rsid w:val="254C2D14"/>
    <w:rsid w:val="255E0351"/>
    <w:rsid w:val="256E67E6"/>
    <w:rsid w:val="257C53A7"/>
    <w:rsid w:val="25C00FB4"/>
    <w:rsid w:val="25F92305"/>
    <w:rsid w:val="26135C57"/>
    <w:rsid w:val="26235823"/>
    <w:rsid w:val="26321F0A"/>
    <w:rsid w:val="263537A8"/>
    <w:rsid w:val="26566403"/>
    <w:rsid w:val="267F67D1"/>
    <w:rsid w:val="268406DB"/>
    <w:rsid w:val="26B80661"/>
    <w:rsid w:val="26BB5A5B"/>
    <w:rsid w:val="26DB434F"/>
    <w:rsid w:val="26E01F3E"/>
    <w:rsid w:val="26E256DE"/>
    <w:rsid w:val="26E66850"/>
    <w:rsid w:val="270D5C50"/>
    <w:rsid w:val="2725381D"/>
    <w:rsid w:val="2729330D"/>
    <w:rsid w:val="27534580"/>
    <w:rsid w:val="277976C4"/>
    <w:rsid w:val="2793584B"/>
    <w:rsid w:val="279D32FA"/>
    <w:rsid w:val="27C72271"/>
    <w:rsid w:val="27DD40F7"/>
    <w:rsid w:val="27FF5E1C"/>
    <w:rsid w:val="280B656E"/>
    <w:rsid w:val="28277120"/>
    <w:rsid w:val="282F6BB7"/>
    <w:rsid w:val="28341F69"/>
    <w:rsid w:val="283A6E54"/>
    <w:rsid w:val="28616AD6"/>
    <w:rsid w:val="286B34B1"/>
    <w:rsid w:val="28814A83"/>
    <w:rsid w:val="2890116A"/>
    <w:rsid w:val="28944E10"/>
    <w:rsid w:val="289E5635"/>
    <w:rsid w:val="28A30E9D"/>
    <w:rsid w:val="28AD37B2"/>
    <w:rsid w:val="28B138A4"/>
    <w:rsid w:val="28CA467C"/>
    <w:rsid w:val="28CB1353"/>
    <w:rsid w:val="28DC43AF"/>
    <w:rsid w:val="29140EF8"/>
    <w:rsid w:val="2916166F"/>
    <w:rsid w:val="29444AB0"/>
    <w:rsid w:val="295D729E"/>
    <w:rsid w:val="29634188"/>
    <w:rsid w:val="29785E86"/>
    <w:rsid w:val="29B82726"/>
    <w:rsid w:val="29E654E5"/>
    <w:rsid w:val="2A257690"/>
    <w:rsid w:val="2A2953D2"/>
    <w:rsid w:val="2A2C04E6"/>
    <w:rsid w:val="2A3049B2"/>
    <w:rsid w:val="2A4B359A"/>
    <w:rsid w:val="2A5F3326"/>
    <w:rsid w:val="2A622692"/>
    <w:rsid w:val="2A662182"/>
    <w:rsid w:val="2A7F4FF2"/>
    <w:rsid w:val="2AD27817"/>
    <w:rsid w:val="2AF552B4"/>
    <w:rsid w:val="2B0E36C7"/>
    <w:rsid w:val="2B1C1B5A"/>
    <w:rsid w:val="2B2F4C6A"/>
    <w:rsid w:val="2B367DA6"/>
    <w:rsid w:val="2B6F150A"/>
    <w:rsid w:val="2B89781E"/>
    <w:rsid w:val="2B990335"/>
    <w:rsid w:val="2BA066B9"/>
    <w:rsid w:val="2BAE32CF"/>
    <w:rsid w:val="2BC86DB2"/>
    <w:rsid w:val="2BD40774"/>
    <w:rsid w:val="2BD575BF"/>
    <w:rsid w:val="2BDA4BD6"/>
    <w:rsid w:val="2BEE600C"/>
    <w:rsid w:val="2C3A068B"/>
    <w:rsid w:val="2C5030EA"/>
    <w:rsid w:val="2C5C1839"/>
    <w:rsid w:val="2C73502A"/>
    <w:rsid w:val="2C770676"/>
    <w:rsid w:val="2C7B7C21"/>
    <w:rsid w:val="2C7C04FF"/>
    <w:rsid w:val="2C8608B9"/>
    <w:rsid w:val="2CA13945"/>
    <w:rsid w:val="2CC455FF"/>
    <w:rsid w:val="2CEF46B1"/>
    <w:rsid w:val="2CF31A01"/>
    <w:rsid w:val="2CF86E01"/>
    <w:rsid w:val="2D02012D"/>
    <w:rsid w:val="2D053ED4"/>
    <w:rsid w:val="2D214A86"/>
    <w:rsid w:val="2D2F2CFF"/>
    <w:rsid w:val="2D9B3372"/>
    <w:rsid w:val="2DBE4083"/>
    <w:rsid w:val="2DC25921"/>
    <w:rsid w:val="2DC45B3D"/>
    <w:rsid w:val="2DCA0C7A"/>
    <w:rsid w:val="2DD92C6B"/>
    <w:rsid w:val="2DF1175B"/>
    <w:rsid w:val="2DFE7669"/>
    <w:rsid w:val="2E05778F"/>
    <w:rsid w:val="2E0E500A"/>
    <w:rsid w:val="2E2E745B"/>
    <w:rsid w:val="2E3305CD"/>
    <w:rsid w:val="2E422F06"/>
    <w:rsid w:val="2E4E18AB"/>
    <w:rsid w:val="2E976DAE"/>
    <w:rsid w:val="2EA25753"/>
    <w:rsid w:val="2EBC05C2"/>
    <w:rsid w:val="2EF37D5C"/>
    <w:rsid w:val="2F4B7B98"/>
    <w:rsid w:val="2F6A6270"/>
    <w:rsid w:val="2F866FF8"/>
    <w:rsid w:val="2F950E14"/>
    <w:rsid w:val="2FBC4D4D"/>
    <w:rsid w:val="2FC16DE4"/>
    <w:rsid w:val="2FC71915"/>
    <w:rsid w:val="2FD8767E"/>
    <w:rsid w:val="300246FB"/>
    <w:rsid w:val="30077F63"/>
    <w:rsid w:val="300C303E"/>
    <w:rsid w:val="305E2A8B"/>
    <w:rsid w:val="30723EBB"/>
    <w:rsid w:val="30A74658"/>
    <w:rsid w:val="30BA35CC"/>
    <w:rsid w:val="30C324A1"/>
    <w:rsid w:val="30C96FC7"/>
    <w:rsid w:val="30F01BDC"/>
    <w:rsid w:val="311C17EC"/>
    <w:rsid w:val="31296922"/>
    <w:rsid w:val="313F372D"/>
    <w:rsid w:val="31491397"/>
    <w:rsid w:val="314D409C"/>
    <w:rsid w:val="315C6AC7"/>
    <w:rsid w:val="3163741B"/>
    <w:rsid w:val="316D3DF6"/>
    <w:rsid w:val="3192385D"/>
    <w:rsid w:val="319A7284"/>
    <w:rsid w:val="31BE7923"/>
    <w:rsid w:val="31E340B8"/>
    <w:rsid w:val="321A061F"/>
    <w:rsid w:val="321B5F48"/>
    <w:rsid w:val="32340DB8"/>
    <w:rsid w:val="324234D5"/>
    <w:rsid w:val="32601D82"/>
    <w:rsid w:val="32676A97"/>
    <w:rsid w:val="32974F27"/>
    <w:rsid w:val="32AA2E28"/>
    <w:rsid w:val="32F04CDF"/>
    <w:rsid w:val="330C0B92"/>
    <w:rsid w:val="33184235"/>
    <w:rsid w:val="33376E11"/>
    <w:rsid w:val="333809DF"/>
    <w:rsid w:val="333C43C8"/>
    <w:rsid w:val="334943EF"/>
    <w:rsid w:val="335334BF"/>
    <w:rsid w:val="338419AF"/>
    <w:rsid w:val="338D69D1"/>
    <w:rsid w:val="33AE5533"/>
    <w:rsid w:val="33BF137E"/>
    <w:rsid w:val="33C368F0"/>
    <w:rsid w:val="33C62F95"/>
    <w:rsid w:val="33FB1B8D"/>
    <w:rsid w:val="33FE78CF"/>
    <w:rsid w:val="340A6274"/>
    <w:rsid w:val="341744ED"/>
    <w:rsid w:val="342D5ABF"/>
    <w:rsid w:val="344C23E9"/>
    <w:rsid w:val="346A6D13"/>
    <w:rsid w:val="347B4A7C"/>
    <w:rsid w:val="34B01B96"/>
    <w:rsid w:val="34B47820"/>
    <w:rsid w:val="34B8182C"/>
    <w:rsid w:val="34CC2921"/>
    <w:rsid w:val="34E34E21"/>
    <w:rsid w:val="35213875"/>
    <w:rsid w:val="353B0B1D"/>
    <w:rsid w:val="35413979"/>
    <w:rsid w:val="35944047"/>
    <w:rsid w:val="35A3428A"/>
    <w:rsid w:val="35C02138"/>
    <w:rsid w:val="35CD1665"/>
    <w:rsid w:val="35CD57AB"/>
    <w:rsid w:val="361707D4"/>
    <w:rsid w:val="361A45B2"/>
    <w:rsid w:val="362178A5"/>
    <w:rsid w:val="362A675A"/>
    <w:rsid w:val="36301896"/>
    <w:rsid w:val="36317AE8"/>
    <w:rsid w:val="36421777"/>
    <w:rsid w:val="364C66D0"/>
    <w:rsid w:val="36630C68"/>
    <w:rsid w:val="36776155"/>
    <w:rsid w:val="36B40CF8"/>
    <w:rsid w:val="36B43E37"/>
    <w:rsid w:val="36B97ADD"/>
    <w:rsid w:val="36BF3346"/>
    <w:rsid w:val="36DB66E6"/>
    <w:rsid w:val="36F40B16"/>
    <w:rsid w:val="37054AD1"/>
    <w:rsid w:val="3709636F"/>
    <w:rsid w:val="370A3EEB"/>
    <w:rsid w:val="3715740A"/>
    <w:rsid w:val="372616BB"/>
    <w:rsid w:val="372C4753"/>
    <w:rsid w:val="37357164"/>
    <w:rsid w:val="37404D66"/>
    <w:rsid w:val="3757357E"/>
    <w:rsid w:val="37940DC6"/>
    <w:rsid w:val="37BF7375"/>
    <w:rsid w:val="37C41FF5"/>
    <w:rsid w:val="37C90A41"/>
    <w:rsid w:val="3833434D"/>
    <w:rsid w:val="385D20A6"/>
    <w:rsid w:val="38673C95"/>
    <w:rsid w:val="387E7977"/>
    <w:rsid w:val="38AD71CE"/>
    <w:rsid w:val="38B7004D"/>
    <w:rsid w:val="38D40A1E"/>
    <w:rsid w:val="38E76B84"/>
    <w:rsid w:val="38FE5C7B"/>
    <w:rsid w:val="39445D84"/>
    <w:rsid w:val="39567866"/>
    <w:rsid w:val="39697599"/>
    <w:rsid w:val="39837157"/>
    <w:rsid w:val="39842006"/>
    <w:rsid w:val="39873EC3"/>
    <w:rsid w:val="3998512C"/>
    <w:rsid w:val="399860D0"/>
    <w:rsid w:val="39A71E6F"/>
    <w:rsid w:val="39FA6443"/>
    <w:rsid w:val="3A033549"/>
    <w:rsid w:val="3A085004"/>
    <w:rsid w:val="3A4B63D8"/>
    <w:rsid w:val="3A712BA9"/>
    <w:rsid w:val="3A8723CC"/>
    <w:rsid w:val="3A8D1B94"/>
    <w:rsid w:val="3A8F6B2B"/>
    <w:rsid w:val="3AB94550"/>
    <w:rsid w:val="3AC70A1B"/>
    <w:rsid w:val="3AEA295B"/>
    <w:rsid w:val="3B0D21A6"/>
    <w:rsid w:val="3B410AA9"/>
    <w:rsid w:val="3B512C45"/>
    <w:rsid w:val="3B561D9F"/>
    <w:rsid w:val="3B7479A6"/>
    <w:rsid w:val="3BEE1859"/>
    <w:rsid w:val="3BF82E56"/>
    <w:rsid w:val="3C024534"/>
    <w:rsid w:val="3C025A83"/>
    <w:rsid w:val="3C0B4937"/>
    <w:rsid w:val="3C493DC6"/>
    <w:rsid w:val="3C834E15"/>
    <w:rsid w:val="3C937993"/>
    <w:rsid w:val="3CB7061B"/>
    <w:rsid w:val="3CBE19AA"/>
    <w:rsid w:val="3CC01BC6"/>
    <w:rsid w:val="3CC20ED4"/>
    <w:rsid w:val="3CCB0F64"/>
    <w:rsid w:val="3CF35954"/>
    <w:rsid w:val="3CF35D7D"/>
    <w:rsid w:val="3D0616A6"/>
    <w:rsid w:val="3D332398"/>
    <w:rsid w:val="3D606F05"/>
    <w:rsid w:val="3D70539A"/>
    <w:rsid w:val="3D8A5D30"/>
    <w:rsid w:val="3DDA0A65"/>
    <w:rsid w:val="3DE713D4"/>
    <w:rsid w:val="3E175815"/>
    <w:rsid w:val="3E4B1963"/>
    <w:rsid w:val="3E4D7489"/>
    <w:rsid w:val="3E5527E2"/>
    <w:rsid w:val="3E66482E"/>
    <w:rsid w:val="3E772758"/>
    <w:rsid w:val="3EA82517"/>
    <w:rsid w:val="3EAB0654"/>
    <w:rsid w:val="3EF56C64"/>
    <w:rsid w:val="3F012022"/>
    <w:rsid w:val="3F236827"/>
    <w:rsid w:val="3F2F4DE1"/>
    <w:rsid w:val="3F747725"/>
    <w:rsid w:val="3FAE3296"/>
    <w:rsid w:val="3FFB2F15"/>
    <w:rsid w:val="40147FD7"/>
    <w:rsid w:val="40B922C8"/>
    <w:rsid w:val="40C501F6"/>
    <w:rsid w:val="40F300AD"/>
    <w:rsid w:val="41140732"/>
    <w:rsid w:val="411C1395"/>
    <w:rsid w:val="4125649B"/>
    <w:rsid w:val="41263FC1"/>
    <w:rsid w:val="41265D6F"/>
    <w:rsid w:val="41281AE7"/>
    <w:rsid w:val="413255B1"/>
    <w:rsid w:val="413F511E"/>
    <w:rsid w:val="415A3295"/>
    <w:rsid w:val="416156AA"/>
    <w:rsid w:val="4178510D"/>
    <w:rsid w:val="41932688"/>
    <w:rsid w:val="41B65345"/>
    <w:rsid w:val="41CE6B33"/>
    <w:rsid w:val="41E00614"/>
    <w:rsid w:val="41F45821"/>
    <w:rsid w:val="41FA3EE9"/>
    <w:rsid w:val="42544AFB"/>
    <w:rsid w:val="426E5C20"/>
    <w:rsid w:val="42701998"/>
    <w:rsid w:val="427A45C5"/>
    <w:rsid w:val="42AB29D0"/>
    <w:rsid w:val="42B86E9B"/>
    <w:rsid w:val="42D00689"/>
    <w:rsid w:val="42DE6715"/>
    <w:rsid w:val="42E934F8"/>
    <w:rsid w:val="42EB7271"/>
    <w:rsid w:val="431A650B"/>
    <w:rsid w:val="43326C4D"/>
    <w:rsid w:val="4339622E"/>
    <w:rsid w:val="43430E5B"/>
    <w:rsid w:val="434B5F61"/>
    <w:rsid w:val="4359067E"/>
    <w:rsid w:val="435B2B84"/>
    <w:rsid w:val="435C1F1C"/>
    <w:rsid w:val="438F22F2"/>
    <w:rsid w:val="43BE6733"/>
    <w:rsid w:val="43CC3AB9"/>
    <w:rsid w:val="43E91A02"/>
    <w:rsid w:val="43F35309"/>
    <w:rsid w:val="44044A8E"/>
    <w:rsid w:val="4413652A"/>
    <w:rsid w:val="441A605F"/>
    <w:rsid w:val="441B3B85"/>
    <w:rsid w:val="44337121"/>
    <w:rsid w:val="444A7FC7"/>
    <w:rsid w:val="448E4357"/>
    <w:rsid w:val="44930A79"/>
    <w:rsid w:val="44A65B45"/>
    <w:rsid w:val="44B97D37"/>
    <w:rsid w:val="44BF2933"/>
    <w:rsid w:val="44EC107E"/>
    <w:rsid w:val="44EE4DF6"/>
    <w:rsid w:val="45280308"/>
    <w:rsid w:val="4528655A"/>
    <w:rsid w:val="452A192A"/>
    <w:rsid w:val="452F5B3A"/>
    <w:rsid w:val="45446601"/>
    <w:rsid w:val="459040FF"/>
    <w:rsid w:val="45B147A1"/>
    <w:rsid w:val="45B35DDA"/>
    <w:rsid w:val="45B55914"/>
    <w:rsid w:val="45EB6847"/>
    <w:rsid w:val="45FC3543"/>
    <w:rsid w:val="464949DA"/>
    <w:rsid w:val="46511AE0"/>
    <w:rsid w:val="4651208B"/>
    <w:rsid w:val="465B470D"/>
    <w:rsid w:val="465B6E0D"/>
    <w:rsid w:val="465D2233"/>
    <w:rsid w:val="4665558C"/>
    <w:rsid w:val="4674757D"/>
    <w:rsid w:val="4678706D"/>
    <w:rsid w:val="46804174"/>
    <w:rsid w:val="468C2B19"/>
    <w:rsid w:val="469D0882"/>
    <w:rsid w:val="46B627AF"/>
    <w:rsid w:val="46E12E64"/>
    <w:rsid w:val="46E6047B"/>
    <w:rsid w:val="46F506BE"/>
    <w:rsid w:val="47173B87"/>
    <w:rsid w:val="472B0583"/>
    <w:rsid w:val="47370CD6"/>
    <w:rsid w:val="47415A84"/>
    <w:rsid w:val="474472DC"/>
    <w:rsid w:val="47450DC4"/>
    <w:rsid w:val="477D002C"/>
    <w:rsid w:val="478E532E"/>
    <w:rsid w:val="47CA56A6"/>
    <w:rsid w:val="47FD3CCE"/>
    <w:rsid w:val="47FD781C"/>
    <w:rsid w:val="48276F9D"/>
    <w:rsid w:val="48313978"/>
    <w:rsid w:val="48425B85"/>
    <w:rsid w:val="484713ED"/>
    <w:rsid w:val="48474F49"/>
    <w:rsid w:val="484B1A18"/>
    <w:rsid w:val="487D4E0F"/>
    <w:rsid w:val="489932CB"/>
    <w:rsid w:val="489B7043"/>
    <w:rsid w:val="489F1FE9"/>
    <w:rsid w:val="48B56357"/>
    <w:rsid w:val="49262358"/>
    <w:rsid w:val="49311309"/>
    <w:rsid w:val="49425710"/>
    <w:rsid w:val="49441489"/>
    <w:rsid w:val="497D499A"/>
    <w:rsid w:val="49C93C69"/>
    <w:rsid w:val="4A001853"/>
    <w:rsid w:val="4A01737A"/>
    <w:rsid w:val="4A0C644A"/>
    <w:rsid w:val="4A3D6352"/>
    <w:rsid w:val="4A437992"/>
    <w:rsid w:val="4A5230D3"/>
    <w:rsid w:val="4A527BD5"/>
    <w:rsid w:val="4A9B5A20"/>
    <w:rsid w:val="4ADF590D"/>
    <w:rsid w:val="4AE922E8"/>
    <w:rsid w:val="4B0C4228"/>
    <w:rsid w:val="4B182BCD"/>
    <w:rsid w:val="4B1B26BD"/>
    <w:rsid w:val="4B315A3D"/>
    <w:rsid w:val="4B512D1C"/>
    <w:rsid w:val="4B5300A9"/>
    <w:rsid w:val="4B616322"/>
    <w:rsid w:val="4BC44A01"/>
    <w:rsid w:val="4BFE6267"/>
    <w:rsid w:val="4C237A7B"/>
    <w:rsid w:val="4C2D1ED9"/>
    <w:rsid w:val="4C3E48B5"/>
    <w:rsid w:val="4C4C77D4"/>
    <w:rsid w:val="4C6D47B1"/>
    <w:rsid w:val="4CA706AC"/>
    <w:rsid w:val="4CBD7ED0"/>
    <w:rsid w:val="4CD6771E"/>
    <w:rsid w:val="4CFD651E"/>
    <w:rsid w:val="4CFF45D5"/>
    <w:rsid w:val="4D1843F2"/>
    <w:rsid w:val="4D843229"/>
    <w:rsid w:val="4D875DE8"/>
    <w:rsid w:val="4DB844FD"/>
    <w:rsid w:val="4DBC1F35"/>
    <w:rsid w:val="4DC4703C"/>
    <w:rsid w:val="4DE60D60"/>
    <w:rsid w:val="4E0F02B7"/>
    <w:rsid w:val="4E173610"/>
    <w:rsid w:val="4E6B160F"/>
    <w:rsid w:val="4E6D46B7"/>
    <w:rsid w:val="4ECE22FB"/>
    <w:rsid w:val="4ED241EE"/>
    <w:rsid w:val="4ED667D8"/>
    <w:rsid w:val="4EE94FAC"/>
    <w:rsid w:val="4EEC23A6"/>
    <w:rsid w:val="4F0973FC"/>
    <w:rsid w:val="4F10078B"/>
    <w:rsid w:val="4F3718ED"/>
    <w:rsid w:val="4F560168"/>
    <w:rsid w:val="4F6208BA"/>
    <w:rsid w:val="4F672375"/>
    <w:rsid w:val="4F697E9B"/>
    <w:rsid w:val="4F764366"/>
    <w:rsid w:val="4F8627FB"/>
    <w:rsid w:val="4F8810DB"/>
    <w:rsid w:val="4F9111A0"/>
    <w:rsid w:val="4FB05ACA"/>
    <w:rsid w:val="4FC450D1"/>
    <w:rsid w:val="4FE65048"/>
    <w:rsid w:val="4FEC63D6"/>
    <w:rsid w:val="4FF514A4"/>
    <w:rsid w:val="500001F2"/>
    <w:rsid w:val="502777DD"/>
    <w:rsid w:val="50286711"/>
    <w:rsid w:val="5032295C"/>
    <w:rsid w:val="50355FCF"/>
    <w:rsid w:val="50446212"/>
    <w:rsid w:val="504601DC"/>
    <w:rsid w:val="50767DEB"/>
    <w:rsid w:val="50874A7C"/>
    <w:rsid w:val="509C604E"/>
    <w:rsid w:val="50A433C7"/>
    <w:rsid w:val="50A82C45"/>
    <w:rsid w:val="50BB4726"/>
    <w:rsid w:val="50CD6207"/>
    <w:rsid w:val="50D717BE"/>
    <w:rsid w:val="50E7376D"/>
    <w:rsid w:val="50F33EC0"/>
    <w:rsid w:val="510C4F82"/>
    <w:rsid w:val="51134562"/>
    <w:rsid w:val="511D6410"/>
    <w:rsid w:val="512E5354"/>
    <w:rsid w:val="513D513B"/>
    <w:rsid w:val="51583D23"/>
    <w:rsid w:val="51735001"/>
    <w:rsid w:val="51736DAF"/>
    <w:rsid w:val="51A21442"/>
    <w:rsid w:val="51A241AF"/>
    <w:rsid w:val="51AA17AC"/>
    <w:rsid w:val="51C36F2F"/>
    <w:rsid w:val="51DB0D64"/>
    <w:rsid w:val="522307D5"/>
    <w:rsid w:val="523A5B1F"/>
    <w:rsid w:val="524C7CB5"/>
    <w:rsid w:val="526E7576"/>
    <w:rsid w:val="52734B8D"/>
    <w:rsid w:val="528B637A"/>
    <w:rsid w:val="52A511EA"/>
    <w:rsid w:val="52C535BF"/>
    <w:rsid w:val="52C84ED8"/>
    <w:rsid w:val="531138D4"/>
    <w:rsid w:val="53211655"/>
    <w:rsid w:val="532145E9"/>
    <w:rsid w:val="532C2F77"/>
    <w:rsid w:val="53643AD9"/>
    <w:rsid w:val="536746F1"/>
    <w:rsid w:val="53A019B1"/>
    <w:rsid w:val="53A5521A"/>
    <w:rsid w:val="53B13BBE"/>
    <w:rsid w:val="53B21163"/>
    <w:rsid w:val="53B271C1"/>
    <w:rsid w:val="53B35B89"/>
    <w:rsid w:val="53C57104"/>
    <w:rsid w:val="54063F0A"/>
    <w:rsid w:val="5409239C"/>
    <w:rsid w:val="54234541"/>
    <w:rsid w:val="54660E4D"/>
    <w:rsid w:val="54A159E1"/>
    <w:rsid w:val="54B73456"/>
    <w:rsid w:val="54CD67D6"/>
    <w:rsid w:val="54E0475B"/>
    <w:rsid w:val="54F40207"/>
    <w:rsid w:val="54F71AA5"/>
    <w:rsid w:val="54F76864"/>
    <w:rsid w:val="5527238A"/>
    <w:rsid w:val="552F77ED"/>
    <w:rsid w:val="554A42CB"/>
    <w:rsid w:val="555D3FFE"/>
    <w:rsid w:val="55651104"/>
    <w:rsid w:val="55711857"/>
    <w:rsid w:val="55886BA1"/>
    <w:rsid w:val="55913CA7"/>
    <w:rsid w:val="559519EA"/>
    <w:rsid w:val="56010E2D"/>
    <w:rsid w:val="56206DD9"/>
    <w:rsid w:val="56250D86"/>
    <w:rsid w:val="56313160"/>
    <w:rsid w:val="563805C7"/>
    <w:rsid w:val="564927D4"/>
    <w:rsid w:val="56777341"/>
    <w:rsid w:val="567E247E"/>
    <w:rsid w:val="56925F29"/>
    <w:rsid w:val="56A30136"/>
    <w:rsid w:val="56A35C41"/>
    <w:rsid w:val="56C24012"/>
    <w:rsid w:val="56C97D88"/>
    <w:rsid w:val="56D24578"/>
    <w:rsid w:val="56E9366F"/>
    <w:rsid w:val="571C5DAE"/>
    <w:rsid w:val="572C012C"/>
    <w:rsid w:val="5750172E"/>
    <w:rsid w:val="576D42A0"/>
    <w:rsid w:val="578C0D71"/>
    <w:rsid w:val="579E3D67"/>
    <w:rsid w:val="57A777B2"/>
    <w:rsid w:val="57AF3D7C"/>
    <w:rsid w:val="57B07556"/>
    <w:rsid w:val="57C85D74"/>
    <w:rsid w:val="57D4087C"/>
    <w:rsid w:val="57D60097"/>
    <w:rsid w:val="57EE6F82"/>
    <w:rsid w:val="58602160"/>
    <w:rsid w:val="58907F4D"/>
    <w:rsid w:val="58930993"/>
    <w:rsid w:val="58BF6C57"/>
    <w:rsid w:val="59017396"/>
    <w:rsid w:val="591250FF"/>
    <w:rsid w:val="591A3FB4"/>
    <w:rsid w:val="591C5F7E"/>
    <w:rsid w:val="5932754F"/>
    <w:rsid w:val="595079D6"/>
    <w:rsid w:val="598002BB"/>
    <w:rsid w:val="59822285"/>
    <w:rsid w:val="598F04FE"/>
    <w:rsid w:val="59A05CA7"/>
    <w:rsid w:val="59C43254"/>
    <w:rsid w:val="59FF38D6"/>
    <w:rsid w:val="5A1E1882"/>
    <w:rsid w:val="5A3C2E03"/>
    <w:rsid w:val="5A5D23AA"/>
    <w:rsid w:val="5A67147B"/>
    <w:rsid w:val="5A673229"/>
    <w:rsid w:val="5A767910"/>
    <w:rsid w:val="5A8738CB"/>
    <w:rsid w:val="5A943A15"/>
    <w:rsid w:val="5AB15946"/>
    <w:rsid w:val="5ABA15AB"/>
    <w:rsid w:val="5ABA77FD"/>
    <w:rsid w:val="5B0B1E06"/>
    <w:rsid w:val="5B0E18F6"/>
    <w:rsid w:val="5B280C0A"/>
    <w:rsid w:val="5B2D7FCE"/>
    <w:rsid w:val="5B3C5143"/>
    <w:rsid w:val="5B590DC3"/>
    <w:rsid w:val="5B6065F6"/>
    <w:rsid w:val="5B723F21"/>
    <w:rsid w:val="5B77749C"/>
    <w:rsid w:val="5BC56459"/>
    <w:rsid w:val="5BC81ACB"/>
    <w:rsid w:val="5BD668B8"/>
    <w:rsid w:val="5C076A71"/>
    <w:rsid w:val="5C3E620B"/>
    <w:rsid w:val="5C642116"/>
    <w:rsid w:val="5C655469"/>
    <w:rsid w:val="5C89392A"/>
    <w:rsid w:val="5C8B30D1"/>
    <w:rsid w:val="5CBF10FA"/>
    <w:rsid w:val="5CDD3C76"/>
    <w:rsid w:val="5D080CF3"/>
    <w:rsid w:val="5D1551BE"/>
    <w:rsid w:val="5D543F38"/>
    <w:rsid w:val="5D753EAF"/>
    <w:rsid w:val="5D850596"/>
    <w:rsid w:val="5D971696"/>
    <w:rsid w:val="5DA27BC8"/>
    <w:rsid w:val="5DB446FC"/>
    <w:rsid w:val="5DB52841"/>
    <w:rsid w:val="5DC5373F"/>
    <w:rsid w:val="5DC82230"/>
    <w:rsid w:val="5E055233"/>
    <w:rsid w:val="5E0C4813"/>
    <w:rsid w:val="5E2A4C99"/>
    <w:rsid w:val="5E581806"/>
    <w:rsid w:val="5E7A5C21"/>
    <w:rsid w:val="5E850121"/>
    <w:rsid w:val="5E8C325E"/>
    <w:rsid w:val="5E9F131C"/>
    <w:rsid w:val="5F0135F2"/>
    <w:rsid w:val="5F047298"/>
    <w:rsid w:val="5F0F6EA7"/>
    <w:rsid w:val="5F3758C0"/>
    <w:rsid w:val="5F3D27AA"/>
    <w:rsid w:val="5F530C4A"/>
    <w:rsid w:val="5F683CCB"/>
    <w:rsid w:val="5F6D308F"/>
    <w:rsid w:val="5F7771DF"/>
    <w:rsid w:val="5F8E1258"/>
    <w:rsid w:val="5FB52C88"/>
    <w:rsid w:val="5FB567E4"/>
    <w:rsid w:val="5FD2606E"/>
    <w:rsid w:val="5FE22FDD"/>
    <w:rsid w:val="5FF05A6E"/>
    <w:rsid w:val="60065292"/>
    <w:rsid w:val="600B28A8"/>
    <w:rsid w:val="6022031E"/>
    <w:rsid w:val="603040BD"/>
    <w:rsid w:val="604A1623"/>
    <w:rsid w:val="6051475F"/>
    <w:rsid w:val="60C50CA9"/>
    <w:rsid w:val="60CE5DB0"/>
    <w:rsid w:val="60DB1BA6"/>
    <w:rsid w:val="60FD0443"/>
    <w:rsid w:val="615269E1"/>
    <w:rsid w:val="615838CB"/>
    <w:rsid w:val="618F606A"/>
    <w:rsid w:val="61C80A51"/>
    <w:rsid w:val="61D27EB7"/>
    <w:rsid w:val="62132BD1"/>
    <w:rsid w:val="623835D2"/>
    <w:rsid w:val="623F15C0"/>
    <w:rsid w:val="62546789"/>
    <w:rsid w:val="625E3163"/>
    <w:rsid w:val="62682941"/>
    <w:rsid w:val="62774225"/>
    <w:rsid w:val="628801E0"/>
    <w:rsid w:val="629224CF"/>
    <w:rsid w:val="62976675"/>
    <w:rsid w:val="62A72D5C"/>
    <w:rsid w:val="62B15989"/>
    <w:rsid w:val="62B2525D"/>
    <w:rsid w:val="62BA3C91"/>
    <w:rsid w:val="62F13FD7"/>
    <w:rsid w:val="62FA7330"/>
    <w:rsid w:val="630F26B0"/>
    <w:rsid w:val="63163A33"/>
    <w:rsid w:val="632C30AB"/>
    <w:rsid w:val="6333639E"/>
    <w:rsid w:val="636522D0"/>
    <w:rsid w:val="636E5628"/>
    <w:rsid w:val="636F1287"/>
    <w:rsid w:val="63811F28"/>
    <w:rsid w:val="63860BC4"/>
    <w:rsid w:val="639F1C85"/>
    <w:rsid w:val="63A23524"/>
    <w:rsid w:val="63B374DF"/>
    <w:rsid w:val="63B514A9"/>
    <w:rsid w:val="63D731CD"/>
    <w:rsid w:val="63E61662"/>
    <w:rsid w:val="63FF2724"/>
    <w:rsid w:val="641A755E"/>
    <w:rsid w:val="64243F39"/>
    <w:rsid w:val="643E149E"/>
    <w:rsid w:val="645C36D2"/>
    <w:rsid w:val="64A84B6A"/>
    <w:rsid w:val="64BD2457"/>
    <w:rsid w:val="64D03BF7"/>
    <w:rsid w:val="64D15E6F"/>
    <w:rsid w:val="64DB6CED"/>
    <w:rsid w:val="64E57E73"/>
    <w:rsid w:val="64F33936"/>
    <w:rsid w:val="64F8789F"/>
    <w:rsid w:val="65024FE6"/>
    <w:rsid w:val="65130235"/>
    <w:rsid w:val="654C7BEB"/>
    <w:rsid w:val="655B1BDC"/>
    <w:rsid w:val="657809E0"/>
    <w:rsid w:val="658A426F"/>
    <w:rsid w:val="65B17A4E"/>
    <w:rsid w:val="65B74107"/>
    <w:rsid w:val="65C43C25"/>
    <w:rsid w:val="65D8322D"/>
    <w:rsid w:val="66044022"/>
    <w:rsid w:val="66187850"/>
    <w:rsid w:val="66326DE1"/>
    <w:rsid w:val="66495ED8"/>
    <w:rsid w:val="664F1741"/>
    <w:rsid w:val="6655119C"/>
    <w:rsid w:val="669435F8"/>
    <w:rsid w:val="66A54E5D"/>
    <w:rsid w:val="66B141AA"/>
    <w:rsid w:val="66D85CF0"/>
    <w:rsid w:val="66E60FFA"/>
    <w:rsid w:val="67007749"/>
    <w:rsid w:val="674943E2"/>
    <w:rsid w:val="67682089"/>
    <w:rsid w:val="67CB3049"/>
    <w:rsid w:val="67F02AB0"/>
    <w:rsid w:val="685A43CD"/>
    <w:rsid w:val="689F6284"/>
    <w:rsid w:val="68AD274F"/>
    <w:rsid w:val="68B7537B"/>
    <w:rsid w:val="68CC52CB"/>
    <w:rsid w:val="68F323CD"/>
    <w:rsid w:val="69401815"/>
    <w:rsid w:val="69407A67"/>
    <w:rsid w:val="69727678"/>
    <w:rsid w:val="69886D18"/>
    <w:rsid w:val="699A7177"/>
    <w:rsid w:val="69A04061"/>
    <w:rsid w:val="69A20100"/>
    <w:rsid w:val="69AA4EE0"/>
    <w:rsid w:val="69AE677E"/>
    <w:rsid w:val="69B30239"/>
    <w:rsid w:val="69C45FA2"/>
    <w:rsid w:val="69FC398E"/>
    <w:rsid w:val="6A1707C7"/>
    <w:rsid w:val="6A276531"/>
    <w:rsid w:val="6A5175BC"/>
    <w:rsid w:val="6A5437CA"/>
    <w:rsid w:val="6A902328"/>
    <w:rsid w:val="6A9F256B"/>
    <w:rsid w:val="6AAB7162"/>
    <w:rsid w:val="6AC3362E"/>
    <w:rsid w:val="6ADF6E0B"/>
    <w:rsid w:val="6AE10DD5"/>
    <w:rsid w:val="6AEB01DC"/>
    <w:rsid w:val="6B030D4C"/>
    <w:rsid w:val="6B2C2051"/>
    <w:rsid w:val="6B347157"/>
    <w:rsid w:val="6B485F70"/>
    <w:rsid w:val="6B657311"/>
    <w:rsid w:val="6B76151E"/>
    <w:rsid w:val="6B923E7E"/>
    <w:rsid w:val="6B9E135C"/>
    <w:rsid w:val="6BB87EC1"/>
    <w:rsid w:val="6BDB0F05"/>
    <w:rsid w:val="6BF6440D"/>
    <w:rsid w:val="6C337F2A"/>
    <w:rsid w:val="6C427652"/>
    <w:rsid w:val="6C644FCA"/>
    <w:rsid w:val="6C8163CC"/>
    <w:rsid w:val="6C8C6B1F"/>
    <w:rsid w:val="6CA633EB"/>
    <w:rsid w:val="6CAE50B7"/>
    <w:rsid w:val="6CAF118B"/>
    <w:rsid w:val="6CD26840"/>
    <w:rsid w:val="6CD50F42"/>
    <w:rsid w:val="6CDC6D8E"/>
    <w:rsid w:val="6CE626D3"/>
    <w:rsid w:val="6CF9123E"/>
    <w:rsid w:val="6D031699"/>
    <w:rsid w:val="6D035033"/>
    <w:rsid w:val="6D4A4A10"/>
    <w:rsid w:val="6D633D24"/>
    <w:rsid w:val="6D6B4986"/>
    <w:rsid w:val="6D8C1240"/>
    <w:rsid w:val="6D9764FF"/>
    <w:rsid w:val="6DB93944"/>
    <w:rsid w:val="6DBE53FE"/>
    <w:rsid w:val="6DE03D66"/>
    <w:rsid w:val="6DFB0400"/>
    <w:rsid w:val="6E2039C3"/>
    <w:rsid w:val="6E2E6EEA"/>
    <w:rsid w:val="6E4770F5"/>
    <w:rsid w:val="6E573888"/>
    <w:rsid w:val="6E661D1D"/>
    <w:rsid w:val="6E6E2980"/>
    <w:rsid w:val="6E9323E7"/>
    <w:rsid w:val="6E9C74ED"/>
    <w:rsid w:val="6EDA0016"/>
    <w:rsid w:val="6EDD4233"/>
    <w:rsid w:val="6EDE7B06"/>
    <w:rsid w:val="6EF2535F"/>
    <w:rsid w:val="6F1277AF"/>
    <w:rsid w:val="6F213DEB"/>
    <w:rsid w:val="6F59718C"/>
    <w:rsid w:val="6F5E0C47"/>
    <w:rsid w:val="6F80157A"/>
    <w:rsid w:val="6FA523D2"/>
    <w:rsid w:val="6FAC2771"/>
    <w:rsid w:val="6FDB2297"/>
    <w:rsid w:val="6FEA4288"/>
    <w:rsid w:val="6FF536C2"/>
    <w:rsid w:val="6FFB46E7"/>
    <w:rsid w:val="70082960"/>
    <w:rsid w:val="7027728A"/>
    <w:rsid w:val="702D7AE0"/>
    <w:rsid w:val="702F4391"/>
    <w:rsid w:val="70310A83"/>
    <w:rsid w:val="7060454A"/>
    <w:rsid w:val="70636BE4"/>
    <w:rsid w:val="706C1141"/>
    <w:rsid w:val="707B75D6"/>
    <w:rsid w:val="709F1517"/>
    <w:rsid w:val="70AC59E2"/>
    <w:rsid w:val="70AC7790"/>
    <w:rsid w:val="70CE7706"/>
    <w:rsid w:val="70D30A99"/>
    <w:rsid w:val="71186BD3"/>
    <w:rsid w:val="71213CDA"/>
    <w:rsid w:val="71247108"/>
    <w:rsid w:val="713A2FED"/>
    <w:rsid w:val="715220E5"/>
    <w:rsid w:val="715F2A54"/>
    <w:rsid w:val="716F2C97"/>
    <w:rsid w:val="71C50B09"/>
    <w:rsid w:val="71CD2FDE"/>
    <w:rsid w:val="72086C48"/>
    <w:rsid w:val="725B321B"/>
    <w:rsid w:val="72750781"/>
    <w:rsid w:val="72B017B9"/>
    <w:rsid w:val="72D60AF4"/>
    <w:rsid w:val="72E70F53"/>
    <w:rsid w:val="72F13B80"/>
    <w:rsid w:val="72F43813"/>
    <w:rsid w:val="72FB055A"/>
    <w:rsid w:val="73025D8D"/>
    <w:rsid w:val="7306762B"/>
    <w:rsid w:val="73250AF8"/>
    <w:rsid w:val="732775A1"/>
    <w:rsid w:val="733817AF"/>
    <w:rsid w:val="733A1083"/>
    <w:rsid w:val="73726A6F"/>
    <w:rsid w:val="73830C7C"/>
    <w:rsid w:val="73905DAB"/>
    <w:rsid w:val="739B6045"/>
    <w:rsid w:val="73A62BBC"/>
    <w:rsid w:val="73B21561"/>
    <w:rsid w:val="73B51331"/>
    <w:rsid w:val="73D2575F"/>
    <w:rsid w:val="73DC213A"/>
    <w:rsid w:val="73E62FB9"/>
    <w:rsid w:val="740718AD"/>
    <w:rsid w:val="740F2536"/>
    <w:rsid w:val="74195A99"/>
    <w:rsid w:val="741E09A4"/>
    <w:rsid w:val="74203314"/>
    <w:rsid w:val="74224DE2"/>
    <w:rsid w:val="74257F85"/>
    <w:rsid w:val="746417AB"/>
    <w:rsid w:val="748B5C62"/>
    <w:rsid w:val="74982505"/>
    <w:rsid w:val="74A27702"/>
    <w:rsid w:val="74A7099A"/>
    <w:rsid w:val="74DA0D6F"/>
    <w:rsid w:val="74E12C34"/>
    <w:rsid w:val="74FE3078"/>
    <w:rsid w:val="753417CF"/>
    <w:rsid w:val="75E44CC4"/>
    <w:rsid w:val="75E9473F"/>
    <w:rsid w:val="75EF084A"/>
    <w:rsid w:val="761413B6"/>
    <w:rsid w:val="76357511"/>
    <w:rsid w:val="76380DE0"/>
    <w:rsid w:val="765267D9"/>
    <w:rsid w:val="765961EB"/>
    <w:rsid w:val="76754F3C"/>
    <w:rsid w:val="767E1BCE"/>
    <w:rsid w:val="76876D22"/>
    <w:rsid w:val="769E63CC"/>
    <w:rsid w:val="76AA651F"/>
    <w:rsid w:val="76CC46E8"/>
    <w:rsid w:val="772B7660"/>
    <w:rsid w:val="773F4EBA"/>
    <w:rsid w:val="7746449A"/>
    <w:rsid w:val="77534E09"/>
    <w:rsid w:val="775A6197"/>
    <w:rsid w:val="77610DB1"/>
    <w:rsid w:val="77684075"/>
    <w:rsid w:val="77715A51"/>
    <w:rsid w:val="77A318EC"/>
    <w:rsid w:val="77AB07A1"/>
    <w:rsid w:val="77B07B65"/>
    <w:rsid w:val="77BE2A47"/>
    <w:rsid w:val="77CD0717"/>
    <w:rsid w:val="77D870BC"/>
    <w:rsid w:val="77EE068E"/>
    <w:rsid w:val="780F6F82"/>
    <w:rsid w:val="788334CC"/>
    <w:rsid w:val="78AF606F"/>
    <w:rsid w:val="78CF226D"/>
    <w:rsid w:val="78D369EC"/>
    <w:rsid w:val="78E21FA1"/>
    <w:rsid w:val="790243F1"/>
    <w:rsid w:val="79144124"/>
    <w:rsid w:val="791660EE"/>
    <w:rsid w:val="79167E9C"/>
    <w:rsid w:val="79517126"/>
    <w:rsid w:val="7956473D"/>
    <w:rsid w:val="798E3ED6"/>
    <w:rsid w:val="79975481"/>
    <w:rsid w:val="799A287B"/>
    <w:rsid w:val="799C4845"/>
    <w:rsid w:val="79B017FC"/>
    <w:rsid w:val="79B0251C"/>
    <w:rsid w:val="79FA77BE"/>
    <w:rsid w:val="7A0C15EA"/>
    <w:rsid w:val="7A2F5A49"/>
    <w:rsid w:val="7A355691"/>
    <w:rsid w:val="7A3C4EF3"/>
    <w:rsid w:val="7A3F3423"/>
    <w:rsid w:val="7A574C10"/>
    <w:rsid w:val="7A5E1AFB"/>
    <w:rsid w:val="7A6A66F1"/>
    <w:rsid w:val="7A6B246A"/>
    <w:rsid w:val="7A7C01D3"/>
    <w:rsid w:val="7A85177D"/>
    <w:rsid w:val="7A861051"/>
    <w:rsid w:val="7A862E00"/>
    <w:rsid w:val="7A886B78"/>
    <w:rsid w:val="7A8D0632"/>
    <w:rsid w:val="7AA8546C"/>
    <w:rsid w:val="7AC5601E"/>
    <w:rsid w:val="7B34121B"/>
    <w:rsid w:val="7B46305F"/>
    <w:rsid w:val="7B4E03E0"/>
    <w:rsid w:val="7B560A24"/>
    <w:rsid w:val="7B786BEC"/>
    <w:rsid w:val="7B841A35"/>
    <w:rsid w:val="7BDD2EF3"/>
    <w:rsid w:val="7BDF310F"/>
    <w:rsid w:val="7BE67FFA"/>
    <w:rsid w:val="7BEE3352"/>
    <w:rsid w:val="7C18460C"/>
    <w:rsid w:val="7C2826E5"/>
    <w:rsid w:val="7C286864"/>
    <w:rsid w:val="7C2C0A42"/>
    <w:rsid w:val="7C480A5D"/>
    <w:rsid w:val="7C526C04"/>
    <w:rsid w:val="7C7750F6"/>
    <w:rsid w:val="7C7A771D"/>
    <w:rsid w:val="7C9A0DE4"/>
    <w:rsid w:val="7CB251DE"/>
    <w:rsid w:val="7CB400F8"/>
    <w:rsid w:val="7CC85951"/>
    <w:rsid w:val="7CE309DD"/>
    <w:rsid w:val="7CE502B1"/>
    <w:rsid w:val="7CE85FF3"/>
    <w:rsid w:val="7CF6426C"/>
    <w:rsid w:val="7D205B85"/>
    <w:rsid w:val="7D2F63A0"/>
    <w:rsid w:val="7D341239"/>
    <w:rsid w:val="7D3D00ED"/>
    <w:rsid w:val="7D4C003E"/>
    <w:rsid w:val="7D6A4C5A"/>
    <w:rsid w:val="7D9F66B2"/>
    <w:rsid w:val="7DA0067C"/>
    <w:rsid w:val="7E1D280B"/>
    <w:rsid w:val="7E2A4E77"/>
    <w:rsid w:val="7E2E7A36"/>
    <w:rsid w:val="7E3964D6"/>
    <w:rsid w:val="7E784ECC"/>
    <w:rsid w:val="7E9006F1"/>
    <w:rsid w:val="7E953F59"/>
    <w:rsid w:val="7EB559AD"/>
    <w:rsid w:val="7F345520"/>
    <w:rsid w:val="7F405C73"/>
    <w:rsid w:val="7F436422"/>
    <w:rsid w:val="7F4A6AF1"/>
    <w:rsid w:val="7F54171E"/>
    <w:rsid w:val="7F6000C3"/>
    <w:rsid w:val="7F653A26"/>
    <w:rsid w:val="7F840255"/>
    <w:rsid w:val="7FAA57E2"/>
    <w:rsid w:val="7FD50A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nhideWhenUsed="0"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3">
    <w:name w:val="heading 1"/>
    <w:basedOn w:val="1"/>
    <w:next w:val="1"/>
    <w:link w:val="51"/>
    <w:autoRedefine/>
    <w:qFormat/>
    <w:uiPriority w:val="99"/>
    <w:pPr>
      <w:keepNext/>
      <w:keepLines/>
      <w:spacing w:line="240" w:lineRule="auto"/>
      <w:jc w:val="center"/>
      <w:outlineLvl w:val="0"/>
    </w:pPr>
    <w:rPr>
      <w:b/>
      <w:bCs/>
      <w:kern w:val="44"/>
      <w:sz w:val="36"/>
      <w:szCs w:val="44"/>
    </w:rPr>
  </w:style>
  <w:style w:type="paragraph" w:styleId="4">
    <w:name w:val="heading 2"/>
    <w:basedOn w:val="1"/>
    <w:next w:val="1"/>
    <w:link w:val="52"/>
    <w:autoRedefine/>
    <w:qFormat/>
    <w:uiPriority w:val="99"/>
    <w:pPr>
      <w:keepNext/>
      <w:keepLines/>
      <w:spacing w:line="240" w:lineRule="auto"/>
      <w:outlineLvl w:val="1"/>
    </w:pPr>
    <w:rPr>
      <w:rFonts w:ascii="Calibri" w:hAnsi="Calibri"/>
      <w:b/>
      <w:bCs/>
      <w:sz w:val="32"/>
      <w:szCs w:val="32"/>
    </w:rPr>
  </w:style>
  <w:style w:type="paragraph" w:styleId="5">
    <w:name w:val="heading 3"/>
    <w:basedOn w:val="1"/>
    <w:next w:val="1"/>
    <w:link w:val="53"/>
    <w:autoRedefine/>
    <w:qFormat/>
    <w:uiPriority w:val="99"/>
    <w:pPr>
      <w:keepNext/>
      <w:keepLines/>
      <w:spacing w:line="400" w:lineRule="atLeast"/>
      <w:jc w:val="center"/>
      <w:outlineLvl w:val="2"/>
    </w:pPr>
    <w:rPr>
      <w:b/>
      <w:bCs/>
      <w:sz w:val="32"/>
      <w:szCs w:val="32"/>
      <w:u w:val="double"/>
    </w:rPr>
  </w:style>
  <w:style w:type="paragraph" w:styleId="6">
    <w:name w:val="heading 4"/>
    <w:basedOn w:val="1"/>
    <w:next w:val="1"/>
    <w:link w:val="89"/>
    <w:autoRedefine/>
    <w:qFormat/>
    <w:uiPriority w:val="99"/>
    <w:pPr>
      <w:ind w:left="724"/>
      <w:outlineLvl w:val="3"/>
    </w:pPr>
    <w:rPr>
      <w:rFonts w:ascii="仿宋" w:hAnsi="仿宋" w:eastAsia="仿宋" w:cs="仿宋"/>
      <w:b/>
      <w:bCs/>
      <w:lang w:val="ja-JP" w:eastAsia="ja-JP" w:bidi="ja-JP"/>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TOC 标题1"/>
    <w:basedOn w:val="3"/>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styleId="8">
    <w:name w:val="toc 7"/>
    <w:basedOn w:val="1"/>
    <w:next w:val="1"/>
    <w:autoRedefine/>
    <w:unhideWhenUsed/>
    <w:qFormat/>
    <w:uiPriority w:val="39"/>
    <w:pPr>
      <w:ind w:left="1680"/>
      <w:jc w:val="left"/>
    </w:pPr>
    <w:rPr>
      <w:rFonts w:asciiTheme="minorHAnsi" w:hAnsiTheme="minorHAnsi"/>
      <w:sz w:val="18"/>
      <w:szCs w:val="18"/>
    </w:rPr>
  </w:style>
  <w:style w:type="paragraph" w:styleId="9">
    <w:name w:val="Normal Indent"/>
    <w:basedOn w:val="1"/>
    <w:autoRedefine/>
    <w:qFormat/>
    <w:uiPriority w:val="99"/>
    <w:pPr>
      <w:widowControl w:val="0"/>
      <w:spacing w:line="240" w:lineRule="auto"/>
      <w:ind w:firstLine="420"/>
    </w:pPr>
    <w:rPr>
      <w:rFonts w:ascii="Calibri" w:hAnsi="Calibri" w:eastAsia="宋体" w:cs="Calibri"/>
      <w:sz w:val="21"/>
      <w:szCs w:val="21"/>
    </w:rPr>
  </w:style>
  <w:style w:type="paragraph" w:styleId="10">
    <w:name w:val="Document Map"/>
    <w:basedOn w:val="1"/>
    <w:link w:val="54"/>
    <w:autoRedefine/>
    <w:qFormat/>
    <w:uiPriority w:val="99"/>
    <w:rPr>
      <w:rFonts w:ascii="宋体" w:eastAsia="宋体"/>
      <w:sz w:val="18"/>
      <w:szCs w:val="18"/>
    </w:rPr>
  </w:style>
  <w:style w:type="paragraph" w:styleId="11">
    <w:name w:val="annotation text"/>
    <w:basedOn w:val="1"/>
    <w:link w:val="92"/>
    <w:autoRedefine/>
    <w:semiHidden/>
    <w:qFormat/>
    <w:uiPriority w:val="99"/>
    <w:pPr>
      <w:widowControl w:val="0"/>
      <w:spacing w:line="240" w:lineRule="auto"/>
      <w:jc w:val="left"/>
    </w:pPr>
    <w:rPr>
      <w:rFonts w:ascii="宋体" w:hAnsi="Calibri" w:eastAsia="宋体" w:cs="宋体"/>
      <w:kern w:val="0"/>
      <w:sz w:val="34"/>
      <w:szCs w:val="34"/>
    </w:rPr>
  </w:style>
  <w:style w:type="paragraph" w:styleId="12">
    <w:name w:val="Body Text 3"/>
    <w:basedOn w:val="1"/>
    <w:unhideWhenUsed/>
    <w:qFormat/>
    <w:uiPriority w:val="99"/>
    <w:pPr>
      <w:spacing w:after="120"/>
    </w:pPr>
    <w:rPr>
      <w:sz w:val="16"/>
      <w:szCs w:val="16"/>
    </w:rPr>
  </w:style>
  <w:style w:type="paragraph" w:styleId="13">
    <w:name w:val="Body Text"/>
    <w:basedOn w:val="1"/>
    <w:link w:val="90"/>
    <w:autoRedefine/>
    <w:qFormat/>
    <w:uiPriority w:val="99"/>
    <w:rPr>
      <w:rFonts w:ascii="仿宋" w:hAnsi="仿宋" w:eastAsia="仿宋" w:cs="仿宋"/>
      <w:lang w:val="ja-JP" w:eastAsia="ja-JP" w:bidi="ja-JP"/>
    </w:rPr>
  </w:style>
  <w:style w:type="paragraph" w:styleId="14">
    <w:name w:val="Body Text Indent"/>
    <w:basedOn w:val="1"/>
    <w:next w:val="15"/>
    <w:link w:val="93"/>
    <w:autoRedefine/>
    <w:qFormat/>
    <w:uiPriority w:val="99"/>
    <w:pPr>
      <w:widowControl w:val="0"/>
      <w:spacing w:after="120" w:line="240" w:lineRule="auto"/>
      <w:ind w:left="420" w:leftChars="200"/>
    </w:pPr>
    <w:rPr>
      <w:rFonts w:ascii="Calibri" w:hAnsi="Calibri" w:eastAsia="宋体" w:cs="Calibri"/>
      <w:sz w:val="21"/>
      <w:szCs w:val="21"/>
    </w:rPr>
  </w:style>
  <w:style w:type="paragraph" w:styleId="15">
    <w:name w:val="annotation subject"/>
    <w:basedOn w:val="11"/>
    <w:next w:val="1"/>
    <w:link w:val="96"/>
    <w:autoRedefine/>
    <w:semiHidden/>
    <w:unhideWhenUsed/>
    <w:qFormat/>
    <w:uiPriority w:val="99"/>
    <w:rPr>
      <w:rFonts w:ascii="Calibri" w:cs="Calibri"/>
      <w:b/>
      <w:bCs/>
      <w:kern w:val="2"/>
      <w:sz w:val="21"/>
      <w:szCs w:val="21"/>
    </w:rPr>
  </w:style>
  <w:style w:type="paragraph" w:styleId="16">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7">
    <w:name w:val="toc 5"/>
    <w:basedOn w:val="1"/>
    <w:next w:val="1"/>
    <w:autoRedefine/>
    <w:unhideWhenUsed/>
    <w:qFormat/>
    <w:uiPriority w:val="39"/>
    <w:pPr>
      <w:ind w:left="1120"/>
      <w:jc w:val="left"/>
    </w:pPr>
    <w:rPr>
      <w:rFonts w:asciiTheme="minorHAnsi" w:hAnsiTheme="minorHAnsi"/>
      <w:sz w:val="18"/>
      <w:szCs w:val="18"/>
    </w:rPr>
  </w:style>
  <w:style w:type="paragraph" w:styleId="18">
    <w:name w:val="toc 3"/>
    <w:basedOn w:val="1"/>
    <w:next w:val="1"/>
    <w:autoRedefine/>
    <w:unhideWhenUsed/>
    <w:qFormat/>
    <w:uiPriority w:val="39"/>
    <w:pPr>
      <w:ind w:left="560"/>
      <w:jc w:val="left"/>
    </w:pPr>
    <w:rPr>
      <w:rFonts w:asciiTheme="minorHAnsi" w:hAnsiTheme="minorHAnsi"/>
      <w:i/>
      <w:iCs/>
      <w:sz w:val="20"/>
      <w:szCs w:val="20"/>
    </w:rPr>
  </w:style>
  <w:style w:type="paragraph" w:styleId="19">
    <w:name w:val="Plain Text"/>
    <w:basedOn w:val="1"/>
    <w:link w:val="55"/>
    <w:autoRedefine/>
    <w:qFormat/>
    <w:uiPriority w:val="0"/>
    <w:rPr>
      <w:rFonts w:ascii="宋体" w:hAnsi="Courier New" w:eastAsia="宋体" w:cs="Courier New"/>
      <w:sz w:val="21"/>
      <w:szCs w:val="21"/>
    </w:rPr>
  </w:style>
  <w:style w:type="paragraph" w:styleId="20">
    <w:name w:val="toc 8"/>
    <w:basedOn w:val="1"/>
    <w:next w:val="1"/>
    <w:autoRedefine/>
    <w:unhideWhenUsed/>
    <w:qFormat/>
    <w:uiPriority w:val="39"/>
    <w:pPr>
      <w:ind w:left="1960"/>
      <w:jc w:val="left"/>
    </w:pPr>
    <w:rPr>
      <w:rFonts w:asciiTheme="minorHAnsi" w:hAnsiTheme="minorHAnsi"/>
      <w:sz w:val="18"/>
      <w:szCs w:val="18"/>
    </w:rPr>
  </w:style>
  <w:style w:type="paragraph" w:styleId="21">
    <w:name w:val="Date"/>
    <w:basedOn w:val="1"/>
    <w:next w:val="1"/>
    <w:link w:val="56"/>
    <w:autoRedefine/>
    <w:qFormat/>
    <w:uiPriority w:val="0"/>
    <w:pPr>
      <w:ind w:left="100" w:leftChars="2500"/>
    </w:pPr>
  </w:style>
  <w:style w:type="paragraph" w:styleId="22">
    <w:name w:val="Body Text Indent 2"/>
    <w:basedOn w:val="1"/>
    <w:link w:val="94"/>
    <w:autoRedefine/>
    <w:qFormat/>
    <w:uiPriority w:val="99"/>
    <w:pPr>
      <w:widowControl w:val="0"/>
      <w:spacing w:after="120" w:line="480" w:lineRule="auto"/>
      <w:ind w:left="420" w:leftChars="200"/>
    </w:pPr>
    <w:rPr>
      <w:rFonts w:ascii="Calibri" w:hAnsi="Calibri" w:eastAsia="宋体" w:cs="Calibri"/>
      <w:sz w:val="21"/>
      <w:szCs w:val="21"/>
    </w:rPr>
  </w:style>
  <w:style w:type="paragraph" w:styleId="23">
    <w:name w:val="Balloon Text"/>
    <w:basedOn w:val="1"/>
    <w:link w:val="57"/>
    <w:autoRedefine/>
    <w:qFormat/>
    <w:uiPriority w:val="99"/>
    <w:pPr>
      <w:spacing w:line="240" w:lineRule="auto"/>
    </w:pPr>
    <w:rPr>
      <w:sz w:val="18"/>
      <w:szCs w:val="18"/>
    </w:rPr>
  </w:style>
  <w:style w:type="paragraph" w:styleId="24">
    <w:name w:val="footer"/>
    <w:basedOn w:val="1"/>
    <w:link w:val="58"/>
    <w:autoRedefine/>
    <w:qFormat/>
    <w:uiPriority w:val="99"/>
    <w:pPr>
      <w:widowControl w:val="0"/>
      <w:tabs>
        <w:tab w:val="center" w:pos="4153"/>
        <w:tab w:val="right" w:pos="8306"/>
      </w:tabs>
      <w:snapToGrid w:val="0"/>
      <w:spacing w:line="240" w:lineRule="auto"/>
      <w:jc w:val="left"/>
    </w:pPr>
    <w:rPr>
      <w:kern w:val="0"/>
      <w:sz w:val="18"/>
      <w:szCs w:val="20"/>
    </w:rPr>
  </w:style>
  <w:style w:type="paragraph" w:styleId="25">
    <w:name w:val="header"/>
    <w:basedOn w:val="1"/>
    <w:link w:val="59"/>
    <w:autoRedefine/>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6">
    <w:name w:val="toc 1"/>
    <w:basedOn w:val="1"/>
    <w:next w:val="1"/>
    <w:autoRedefine/>
    <w:qFormat/>
    <w:uiPriority w:val="39"/>
    <w:pPr>
      <w:spacing w:before="120" w:after="120"/>
      <w:jc w:val="left"/>
    </w:pPr>
    <w:rPr>
      <w:rFonts w:asciiTheme="minorHAnsi" w:hAnsiTheme="minorHAnsi"/>
      <w:b/>
      <w:bCs/>
      <w:caps/>
      <w:sz w:val="20"/>
      <w:szCs w:val="20"/>
    </w:rPr>
  </w:style>
  <w:style w:type="paragraph" w:styleId="27">
    <w:name w:val="toc 4"/>
    <w:basedOn w:val="1"/>
    <w:next w:val="1"/>
    <w:autoRedefine/>
    <w:unhideWhenUsed/>
    <w:qFormat/>
    <w:uiPriority w:val="39"/>
    <w:pPr>
      <w:ind w:left="840"/>
      <w:jc w:val="left"/>
    </w:pPr>
    <w:rPr>
      <w:rFonts w:asciiTheme="minorHAnsi" w:hAnsiTheme="minorHAnsi"/>
      <w:sz w:val="18"/>
      <w:szCs w:val="18"/>
    </w:rPr>
  </w:style>
  <w:style w:type="paragraph" w:styleId="28">
    <w:name w:val="footnote text"/>
    <w:basedOn w:val="1"/>
    <w:link w:val="95"/>
    <w:autoRedefine/>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9">
    <w:name w:val="toc 6"/>
    <w:basedOn w:val="1"/>
    <w:next w:val="1"/>
    <w:autoRedefine/>
    <w:unhideWhenUsed/>
    <w:qFormat/>
    <w:uiPriority w:val="39"/>
    <w:pPr>
      <w:ind w:left="1400"/>
      <w:jc w:val="left"/>
    </w:pPr>
    <w:rPr>
      <w:rFonts w:asciiTheme="minorHAnsi" w:hAnsiTheme="minorHAnsi"/>
      <w:sz w:val="18"/>
      <w:szCs w:val="18"/>
    </w:rPr>
  </w:style>
  <w:style w:type="paragraph" w:styleId="30">
    <w:name w:val="toc 2"/>
    <w:basedOn w:val="1"/>
    <w:next w:val="1"/>
    <w:autoRedefine/>
    <w:unhideWhenUsed/>
    <w:qFormat/>
    <w:uiPriority w:val="39"/>
    <w:pPr>
      <w:ind w:left="280"/>
      <w:jc w:val="left"/>
    </w:pPr>
    <w:rPr>
      <w:rFonts w:asciiTheme="minorHAnsi" w:hAnsiTheme="minorHAnsi"/>
      <w:smallCaps/>
      <w:sz w:val="20"/>
      <w:szCs w:val="20"/>
    </w:rPr>
  </w:style>
  <w:style w:type="paragraph" w:styleId="31">
    <w:name w:val="toc 9"/>
    <w:basedOn w:val="1"/>
    <w:next w:val="1"/>
    <w:autoRedefine/>
    <w:unhideWhenUsed/>
    <w:qFormat/>
    <w:uiPriority w:val="39"/>
    <w:pPr>
      <w:ind w:left="2240"/>
      <w:jc w:val="left"/>
    </w:pPr>
    <w:rPr>
      <w:rFonts w:asciiTheme="minorHAnsi" w:hAnsiTheme="minorHAnsi"/>
      <w:sz w:val="18"/>
      <w:szCs w:val="18"/>
    </w:rPr>
  </w:style>
  <w:style w:type="paragraph" w:styleId="32">
    <w:name w:val="Body Text 2"/>
    <w:basedOn w:val="1"/>
    <w:link w:val="97"/>
    <w:autoRedefine/>
    <w:qFormat/>
    <w:uiPriority w:val="99"/>
    <w:pPr>
      <w:adjustRightInd w:val="0"/>
      <w:snapToGrid w:val="0"/>
      <w:spacing w:line="480" w:lineRule="atLeast"/>
    </w:pPr>
    <w:rPr>
      <w:rFonts w:ascii="宋体" w:hAnsi="宋体"/>
    </w:rPr>
  </w:style>
  <w:style w:type="paragraph" w:styleId="3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4">
    <w:name w:val="Normal (Web)"/>
    <w:basedOn w:val="1"/>
    <w:autoRedefine/>
    <w:qFormat/>
    <w:uiPriority w:val="99"/>
    <w:pPr>
      <w:spacing w:beforeAutospacing="1" w:afterAutospacing="1"/>
      <w:jc w:val="left"/>
    </w:pPr>
    <w:rPr>
      <w:kern w:val="0"/>
      <w:sz w:val="24"/>
    </w:rPr>
  </w:style>
  <w:style w:type="paragraph" w:styleId="35">
    <w:name w:val="Title"/>
    <w:basedOn w:val="1"/>
    <w:next w:val="1"/>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36">
    <w:name w:val="Body Text First Indent"/>
    <w:basedOn w:val="13"/>
    <w:autoRedefine/>
    <w:qFormat/>
    <w:uiPriority w:val="0"/>
    <w:pPr>
      <w:ind w:firstLine="420" w:firstLineChars="100"/>
    </w:pPr>
  </w:style>
  <w:style w:type="paragraph" w:styleId="37">
    <w:name w:val="Body Text First Indent 2"/>
    <w:basedOn w:val="14"/>
    <w:autoRedefine/>
    <w:qFormat/>
    <w:uiPriority w:val="99"/>
    <w:pPr>
      <w:tabs>
        <w:tab w:val="left" w:pos="4900"/>
      </w:tabs>
      <w:ind w:firstLine="420" w:firstLineChars="200"/>
    </w:pPr>
  </w:style>
  <w:style w:type="table" w:styleId="39">
    <w:name w:val="Table Grid"/>
    <w:basedOn w:val="3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autoRedefine/>
    <w:qFormat/>
    <w:uiPriority w:val="99"/>
    <w:rPr>
      <w:b/>
      <w:bCs/>
      <w:sz w:val="24"/>
      <w:szCs w:val="24"/>
    </w:rPr>
  </w:style>
  <w:style w:type="character" w:styleId="42">
    <w:name w:val="page number"/>
    <w:basedOn w:val="40"/>
    <w:autoRedefine/>
    <w:qFormat/>
    <w:uiPriority w:val="99"/>
    <w:rPr>
      <w:rFonts w:ascii="Times New Roman" w:hAnsi="Times New Roman" w:eastAsia="宋体" w:cs="Times New Roman"/>
    </w:rPr>
  </w:style>
  <w:style w:type="character" w:styleId="43">
    <w:name w:val="FollowedHyperlink"/>
    <w:autoRedefine/>
    <w:qFormat/>
    <w:uiPriority w:val="99"/>
    <w:rPr>
      <w:rFonts w:hint="eastAsia" w:ascii="宋体" w:hAnsi="宋体" w:eastAsia="宋体" w:cs="宋体"/>
      <w:color w:val="000000"/>
      <w:sz w:val="18"/>
      <w:szCs w:val="18"/>
      <w:u w:val="none"/>
    </w:rPr>
  </w:style>
  <w:style w:type="character" w:styleId="44">
    <w:name w:val="Emphasis"/>
    <w:basedOn w:val="40"/>
    <w:autoRedefine/>
    <w:qFormat/>
    <w:uiPriority w:val="99"/>
  </w:style>
  <w:style w:type="character" w:styleId="45">
    <w:name w:val="Hyperlink"/>
    <w:autoRedefine/>
    <w:qFormat/>
    <w:uiPriority w:val="99"/>
    <w:rPr>
      <w:rFonts w:cs="Times New Roman"/>
      <w:color w:val="000000"/>
      <w:sz w:val="18"/>
      <w:u w:val="none"/>
    </w:rPr>
  </w:style>
  <w:style w:type="character" w:styleId="46">
    <w:name w:val="annotation reference"/>
    <w:autoRedefine/>
    <w:semiHidden/>
    <w:qFormat/>
    <w:uiPriority w:val="99"/>
    <w:rPr>
      <w:sz w:val="21"/>
      <w:szCs w:val="21"/>
    </w:rPr>
  </w:style>
  <w:style w:type="character" w:styleId="47">
    <w:name w:val="HTML Cite"/>
    <w:basedOn w:val="40"/>
    <w:autoRedefine/>
    <w:qFormat/>
    <w:uiPriority w:val="99"/>
  </w:style>
  <w:style w:type="character" w:styleId="48">
    <w:name w:val="footnote reference"/>
    <w:basedOn w:val="40"/>
    <w:autoRedefine/>
    <w:semiHidden/>
    <w:unhideWhenUsed/>
    <w:qFormat/>
    <w:uiPriority w:val="99"/>
    <w:rPr>
      <w:vertAlign w:val="superscript"/>
    </w:rPr>
  </w:style>
  <w:style w:type="paragraph" w:customStyle="1" w:styleId="49">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50">
    <w:name w:val="列出段落1"/>
    <w:basedOn w:val="1"/>
    <w:autoRedefine/>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character" w:customStyle="1" w:styleId="51">
    <w:name w:val="标题 1 Char"/>
    <w:link w:val="3"/>
    <w:autoRedefine/>
    <w:qFormat/>
    <w:uiPriority w:val="99"/>
    <w:rPr>
      <w:rFonts w:cs="Times New Roman"/>
      <w:b/>
      <w:bCs/>
      <w:kern w:val="44"/>
      <w:sz w:val="44"/>
      <w:szCs w:val="44"/>
    </w:rPr>
  </w:style>
  <w:style w:type="character" w:customStyle="1" w:styleId="52">
    <w:name w:val="标题 2 Char"/>
    <w:link w:val="4"/>
    <w:autoRedefine/>
    <w:qFormat/>
    <w:uiPriority w:val="99"/>
    <w:rPr>
      <w:rFonts w:ascii="Calibri" w:hAnsi="Calibri" w:eastAsia="华文仿宋" w:cs="Times New Roman"/>
      <w:b/>
      <w:bCs/>
      <w:sz w:val="32"/>
      <w:szCs w:val="32"/>
    </w:rPr>
  </w:style>
  <w:style w:type="character" w:customStyle="1" w:styleId="53">
    <w:name w:val="标题 3 Char"/>
    <w:link w:val="5"/>
    <w:autoRedefine/>
    <w:qFormat/>
    <w:uiPriority w:val="99"/>
    <w:rPr>
      <w:rFonts w:cs="Times New Roman"/>
      <w:b/>
      <w:bCs/>
      <w:sz w:val="32"/>
      <w:szCs w:val="32"/>
      <w:u w:val="double"/>
    </w:rPr>
  </w:style>
  <w:style w:type="character" w:customStyle="1" w:styleId="54">
    <w:name w:val="文档结构图 Char"/>
    <w:link w:val="10"/>
    <w:autoRedefine/>
    <w:qFormat/>
    <w:uiPriority w:val="99"/>
    <w:rPr>
      <w:rFonts w:ascii="宋体" w:eastAsia="宋体" w:cs="Times New Roman"/>
      <w:sz w:val="18"/>
      <w:szCs w:val="18"/>
    </w:rPr>
  </w:style>
  <w:style w:type="character" w:customStyle="1" w:styleId="55">
    <w:name w:val="纯文本 Char"/>
    <w:link w:val="19"/>
    <w:autoRedefine/>
    <w:qFormat/>
    <w:uiPriority w:val="0"/>
    <w:rPr>
      <w:rFonts w:ascii="宋体" w:hAnsi="Courier New" w:eastAsia="宋体" w:cs="Courier New"/>
      <w:sz w:val="21"/>
      <w:szCs w:val="21"/>
    </w:rPr>
  </w:style>
  <w:style w:type="character" w:customStyle="1" w:styleId="56">
    <w:name w:val="日期 Char"/>
    <w:link w:val="21"/>
    <w:autoRedefine/>
    <w:qFormat/>
    <w:uiPriority w:val="0"/>
    <w:rPr>
      <w:rFonts w:ascii="Calibri Light" w:hAnsi="Calibri Light" w:eastAsia="华文仿宋" w:cs="Times New Roman"/>
      <w:sz w:val="28"/>
    </w:rPr>
  </w:style>
  <w:style w:type="character" w:customStyle="1" w:styleId="57">
    <w:name w:val="批注框文本 Char"/>
    <w:link w:val="23"/>
    <w:autoRedefine/>
    <w:qFormat/>
    <w:uiPriority w:val="99"/>
    <w:rPr>
      <w:rFonts w:cs="Times New Roman"/>
      <w:sz w:val="18"/>
      <w:szCs w:val="18"/>
    </w:rPr>
  </w:style>
  <w:style w:type="character" w:customStyle="1" w:styleId="58">
    <w:name w:val="页脚 Char"/>
    <w:link w:val="24"/>
    <w:autoRedefine/>
    <w:qFormat/>
    <w:uiPriority w:val="99"/>
    <w:rPr>
      <w:rFonts w:cs="Times New Roman"/>
      <w:sz w:val="18"/>
    </w:rPr>
  </w:style>
  <w:style w:type="character" w:customStyle="1" w:styleId="59">
    <w:name w:val="页眉 Char"/>
    <w:link w:val="25"/>
    <w:autoRedefine/>
    <w:qFormat/>
    <w:uiPriority w:val="99"/>
    <w:rPr>
      <w:rFonts w:cs="Times New Roman"/>
      <w:sz w:val="18"/>
    </w:rPr>
  </w:style>
  <w:style w:type="paragraph" w:customStyle="1" w:styleId="60">
    <w:name w:val="正文（缩进 2 字符）"/>
    <w:basedOn w:val="1"/>
    <w:autoRedefine/>
    <w:qFormat/>
    <w:uiPriority w:val="99"/>
    <w:pPr>
      <w:ind w:firstLine="200" w:firstLineChars="200"/>
    </w:pPr>
  </w:style>
  <w:style w:type="paragraph" w:customStyle="1" w:styleId="61">
    <w:name w:val="正文（缩进 4 字符）"/>
    <w:basedOn w:val="1"/>
    <w:autoRedefine/>
    <w:qFormat/>
    <w:uiPriority w:val="99"/>
    <w:pPr>
      <w:ind w:firstLine="1134" w:firstLineChars="400"/>
    </w:pPr>
  </w:style>
  <w:style w:type="paragraph" w:customStyle="1" w:styleId="62">
    <w:name w:val="标题 2（投标文件）"/>
    <w:basedOn w:val="4"/>
    <w:autoRedefine/>
    <w:qFormat/>
    <w:uiPriority w:val="99"/>
    <w:pPr>
      <w:jc w:val="center"/>
    </w:pPr>
  </w:style>
  <w:style w:type="character" w:customStyle="1" w:styleId="63">
    <w:name w:val="页眉 Char1"/>
    <w:autoRedefine/>
    <w:qFormat/>
    <w:uiPriority w:val="99"/>
    <w:rPr>
      <w:rFonts w:cs="Times New Roman"/>
      <w:sz w:val="18"/>
      <w:szCs w:val="18"/>
    </w:rPr>
  </w:style>
  <w:style w:type="character" w:customStyle="1" w:styleId="64">
    <w:name w:val="页脚 Char1"/>
    <w:autoRedefine/>
    <w:qFormat/>
    <w:uiPriority w:val="99"/>
    <w:rPr>
      <w:rFonts w:cs="Times New Roman"/>
      <w:sz w:val="18"/>
      <w:szCs w:val="18"/>
    </w:rPr>
  </w:style>
  <w:style w:type="paragraph" w:customStyle="1" w:styleId="65">
    <w:name w:val="标题 3（投标文件）"/>
    <w:basedOn w:val="5"/>
    <w:autoRedefine/>
    <w:qFormat/>
    <w:uiPriority w:val="99"/>
    <w:pPr>
      <w:jc w:val="left"/>
    </w:pPr>
    <w:rPr>
      <w:u w:val="none"/>
    </w:rPr>
  </w:style>
  <w:style w:type="table" w:customStyle="1" w:styleId="66">
    <w:name w:val="网格型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2"/>
    <w:basedOn w:val="3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9">
    <w:name w:val="grace"/>
    <w:basedOn w:val="40"/>
    <w:autoRedefine/>
    <w:qFormat/>
    <w:uiPriority w:val="0"/>
  </w:style>
  <w:style w:type="character" w:customStyle="1" w:styleId="70">
    <w:name w:val="mark"/>
    <w:autoRedefine/>
    <w:qFormat/>
    <w:uiPriority w:val="0"/>
    <w:rPr>
      <w:color w:val="CC2200"/>
    </w:rPr>
  </w:style>
  <w:style w:type="character" w:customStyle="1" w:styleId="71">
    <w:name w:val="subtext"/>
    <w:autoRedefine/>
    <w:qFormat/>
    <w:uiPriority w:val="0"/>
    <w:rPr>
      <w:color w:val="888888"/>
    </w:rPr>
  </w:style>
  <w:style w:type="character" w:customStyle="1" w:styleId="72">
    <w:name w:val="span-text"/>
    <w:basedOn w:val="40"/>
    <w:autoRedefine/>
    <w:qFormat/>
    <w:uiPriority w:val="0"/>
  </w:style>
  <w:style w:type="character" w:customStyle="1" w:styleId="73">
    <w:name w:val="view-vip1"/>
    <w:basedOn w:val="40"/>
    <w:autoRedefine/>
    <w:qFormat/>
    <w:uiPriority w:val="0"/>
  </w:style>
  <w:style w:type="character" w:customStyle="1" w:styleId="74">
    <w:name w:val="view-vip"/>
    <w:basedOn w:val="40"/>
    <w:autoRedefine/>
    <w:qFormat/>
    <w:uiPriority w:val="0"/>
  </w:style>
  <w:style w:type="character" w:customStyle="1" w:styleId="75">
    <w:name w:val="grace6"/>
    <w:basedOn w:val="40"/>
    <w:autoRedefine/>
    <w:qFormat/>
    <w:uiPriority w:val="0"/>
  </w:style>
  <w:style w:type="character" w:customStyle="1" w:styleId="76">
    <w:name w:val="r-time"/>
    <w:autoRedefine/>
    <w:qFormat/>
    <w:uiPriority w:val="0"/>
    <w:rPr>
      <w:color w:val="B30000"/>
    </w:rPr>
  </w:style>
  <w:style w:type="character" w:customStyle="1" w:styleId="77">
    <w:name w:val="r-text"/>
    <w:autoRedefine/>
    <w:qFormat/>
    <w:uiPriority w:val="0"/>
    <w:rPr>
      <w:color w:val="00349B"/>
    </w:rPr>
  </w:style>
  <w:style w:type="character" w:customStyle="1" w:styleId="78">
    <w:name w:val="grace5"/>
    <w:basedOn w:val="40"/>
    <w:autoRedefine/>
    <w:qFormat/>
    <w:uiPriority w:val="0"/>
  </w:style>
  <w:style w:type="character" w:customStyle="1" w:styleId="79">
    <w:name w:val="redfilenumber"/>
    <w:autoRedefine/>
    <w:qFormat/>
    <w:uiPriority w:val="0"/>
    <w:rPr>
      <w:color w:val="BA2636"/>
      <w:sz w:val="18"/>
      <w:szCs w:val="18"/>
    </w:rPr>
  </w:style>
  <w:style w:type="character" w:customStyle="1" w:styleId="80">
    <w:name w:val="cfdate"/>
    <w:autoRedefine/>
    <w:qFormat/>
    <w:uiPriority w:val="0"/>
    <w:rPr>
      <w:color w:val="333333"/>
      <w:sz w:val="18"/>
      <w:szCs w:val="18"/>
    </w:rPr>
  </w:style>
  <w:style w:type="character" w:customStyle="1" w:styleId="81">
    <w:name w:val="qxdate"/>
    <w:autoRedefine/>
    <w:qFormat/>
    <w:uiPriority w:val="0"/>
    <w:rPr>
      <w:color w:val="333333"/>
      <w:sz w:val="18"/>
      <w:szCs w:val="18"/>
    </w:rPr>
  </w:style>
  <w:style w:type="character" w:customStyle="1" w:styleId="82">
    <w:name w:val="gjfg"/>
    <w:basedOn w:val="40"/>
    <w:autoRedefine/>
    <w:qFormat/>
    <w:uiPriority w:val="0"/>
  </w:style>
  <w:style w:type="character" w:customStyle="1" w:styleId="83">
    <w:name w:val="redfilefwwh"/>
    <w:autoRedefine/>
    <w:qFormat/>
    <w:uiPriority w:val="0"/>
    <w:rPr>
      <w:color w:val="BA2636"/>
      <w:sz w:val="18"/>
      <w:szCs w:val="18"/>
    </w:rPr>
  </w:style>
  <w:style w:type="character" w:customStyle="1" w:styleId="84">
    <w:name w:val="displayarti"/>
    <w:autoRedefine/>
    <w:qFormat/>
    <w:uiPriority w:val="0"/>
    <w:rPr>
      <w:color w:val="FFFFFF"/>
      <w:shd w:val="clear" w:color="auto" w:fill="A00000"/>
    </w:rPr>
  </w:style>
  <w:style w:type="paragraph" w:customStyle="1" w:styleId="85">
    <w:name w:val="样式 标题 3 + (中文) 黑体 小四 非加粗 段前: 7.8 磅 段后: 0 磅 行距: 固定值 20 磅"/>
    <w:basedOn w:val="5"/>
    <w:link w:val="86"/>
    <w:autoRedefine/>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6">
    <w:name w:val="样式 标题 3 + (中文) 黑体 小四 非加粗 段前: 7.8 磅 段后: 0 磅 行距: 固定值 20 磅 Char Char"/>
    <w:link w:val="85"/>
    <w:autoRedefine/>
    <w:qFormat/>
    <w:uiPriority w:val="0"/>
    <w:rPr>
      <w:rFonts w:eastAsia="黑体" w:cs="宋体"/>
      <w:kern w:val="2"/>
      <w:sz w:val="24"/>
    </w:rPr>
  </w:style>
  <w:style w:type="paragraph" w:styleId="87">
    <w:name w:val="List Paragraph"/>
    <w:basedOn w:val="1"/>
    <w:autoRedefine/>
    <w:qFormat/>
    <w:uiPriority w:val="99"/>
    <w:pPr>
      <w:ind w:firstLine="420" w:firstLineChars="200"/>
    </w:pPr>
  </w:style>
  <w:style w:type="table" w:customStyle="1" w:styleId="88">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89">
    <w:name w:val="标题 4 Char"/>
    <w:basedOn w:val="40"/>
    <w:link w:val="6"/>
    <w:autoRedefine/>
    <w:qFormat/>
    <w:uiPriority w:val="9"/>
    <w:rPr>
      <w:rFonts w:ascii="仿宋" w:hAnsi="仿宋" w:eastAsia="仿宋" w:cs="仿宋"/>
      <w:b/>
      <w:bCs/>
      <w:kern w:val="2"/>
      <w:sz w:val="28"/>
      <w:szCs w:val="28"/>
      <w:lang w:val="ja-JP" w:eastAsia="ja-JP" w:bidi="ja-JP"/>
    </w:rPr>
  </w:style>
  <w:style w:type="character" w:customStyle="1" w:styleId="90">
    <w:name w:val="正文文本 Char"/>
    <w:basedOn w:val="40"/>
    <w:link w:val="13"/>
    <w:autoRedefine/>
    <w:qFormat/>
    <w:uiPriority w:val="99"/>
    <w:rPr>
      <w:rFonts w:ascii="仿宋" w:hAnsi="仿宋" w:eastAsia="仿宋" w:cs="仿宋"/>
      <w:kern w:val="2"/>
      <w:sz w:val="28"/>
      <w:szCs w:val="28"/>
      <w:lang w:val="ja-JP" w:eastAsia="ja-JP" w:bidi="ja-JP"/>
    </w:rPr>
  </w:style>
  <w:style w:type="character" w:customStyle="1" w:styleId="91">
    <w:name w:val="font01"/>
    <w:basedOn w:val="40"/>
    <w:autoRedefine/>
    <w:qFormat/>
    <w:uiPriority w:val="0"/>
    <w:rPr>
      <w:rFonts w:hint="eastAsia" w:ascii="宋体" w:hAnsi="宋体" w:eastAsia="宋体" w:cs="宋体"/>
      <w:color w:val="000000"/>
      <w:sz w:val="20"/>
      <w:szCs w:val="20"/>
      <w:u w:val="none"/>
    </w:rPr>
  </w:style>
  <w:style w:type="character" w:customStyle="1" w:styleId="92">
    <w:name w:val="批注文字 Char"/>
    <w:basedOn w:val="40"/>
    <w:link w:val="11"/>
    <w:autoRedefine/>
    <w:semiHidden/>
    <w:qFormat/>
    <w:uiPriority w:val="99"/>
    <w:rPr>
      <w:rFonts w:ascii="宋体" w:hAnsi="Calibri" w:cs="宋体"/>
      <w:sz w:val="34"/>
      <w:szCs w:val="34"/>
    </w:rPr>
  </w:style>
  <w:style w:type="character" w:customStyle="1" w:styleId="93">
    <w:name w:val="正文文本缩进 Char"/>
    <w:basedOn w:val="40"/>
    <w:link w:val="14"/>
    <w:autoRedefine/>
    <w:qFormat/>
    <w:uiPriority w:val="99"/>
    <w:rPr>
      <w:rFonts w:ascii="Calibri" w:hAnsi="Calibri" w:cs="Calibri"/>
      <w:kern w:val="2"/>
      <w:sz w:val="21"/>
      <w:szCs w:val="21"/>
    </w:rPr>
  </w:style>
  <w:style w:type="character" w:customStyle="1" w:styleId="94">
    <w:name w:val="正文文本缩进 2 Char"/>
    <w:basedOn w:val="40"/>
    <w:link w:val="22"/>
    <w:autoRedefine/>
    <w:qFormat/>
    <w:uiPriority w:val="99"/>
    <w:rPr>
      <w:rFonts w:ascii="Calibri" w:hAnsi="Calibri" w:cs="Calibri"/>
      <w:kern w:val="2"/>
      <w:sz w:val="21"/>
      <w:szCs w:val="21"/>
    </w:rPr>
  </w:style>
  <w:style w:type="character" w:customStyle="1" w:styleId="95">
    <w:name w:val="脚注文本 Char"/>
    <w:basedOn w:val="40"/>
    <w:link w:val="28"/>
    <w:autoRedefine/>
    <w:semiHidden/>
    <w:qFormat/>
    <w:uiPriority w:val="99"/>
    <w:rPr>
      <w:rFonts w:ascii="Calibri" w:hAnsi="Calibri" w:cs="Calibri"/>
      <w:kern w:val="2"/>
      <w:sz w:val="18"/>
      <w:szCs w:val="21"/>
    </w:rPr>
  </w:style>
  <w:style w:type="character" w:customStyle="1" w:styleId="96">
    <w:name w:val="批注主题 Char"/>
    <w:basedOn w:val="92"/>
    <w:link w:val="15"/>
    <w:autoRedefine/>
    <w:semiHidden/>
    <w:qFormat/>
    <w:uiPriority w:val="99"/>
    <w:rPr>
      <w:rFonts w:ascii="Calibri" w:hAnsi="Calibri" w:cs="Calibri"/>
      <w:b/>
      <w:bCs/>
      <w:kern w:val="2"/>
      <w:sz w:val="21"/>
      <w:szCs w:val="21"/>
    </w:rPr>
  </w:style>
  <w:style w:type="character" w:customStyle="1" w:styleId="97">
    <w:name w:val="正文文本 2 Char"/>
    <w:link w:val="32"/>
    <w:autoRedefine/>
    <w:qFormat/>
    <w:locked/>
    <w:uiPriority w:val="99"/>
    <w:rPr>
      <w:rFonts w:ascii="宋体" w:hAnsi="宋体" w:eastAsia="华文仿宋"/>
      <w:kern w:val="2"/>
      <w:sz w:val="28"/>
      <w:szCs w:val="28"/>
    </w:rPr>
  </w:style>
  <w:style w:type="paragraph" w:customStyle="1" w:styleId="98">
    <w:name w:val="Char2 Char Char Char"/>
    <w:basedOn w:val="1"/>
    <w:autoRedefine/>
    <w:qFormat/>
    <w:uiPriority w:val="99"/>
    <w:pPr>
      <w:widowControl w:val="0"/>
      <w:spacing w:line="240" w:lineRule="auto"/>
    </w:pPr>
    <w:rPr>
      <w:rFonts w:ascii="Tahoma" w:hAnsi="Tahoma" w:eastAsia="宋体" w:cs="Tahoma"/>
      <w:sz w:val="24"/>
      <w:szCs w:val="24"/>
    </w:rPr>
  </w:style>
  <w:style w:type="character" w:customStyle="1" w:styleId="99">
    <w:name w:val="10"/>
    <w:autoRedefine/>
    <w:qFormat/>
    <w:uiPriority w:val="99"/>
    <w:rPr>
      <w:rFonts w:ascii="Calibri" w:hAnsi="Calibri" w:cs="Calibri"/>
    </w:rPr>
  </w:style>
  <w:style w:type="character" w:customStyle="1" w:styleId="100">
    <w:name w:val="15"/>
    <w:autoRedefine/>
    <w:qFormat/>
    <w:uiPriority w:val="99"/>
    <w:rPr>
      <w:rFonts w:ascii="Calibri" w:hAnsi="Calibri" w:cs="Calibri"/>
      <w:i/>
      <w:iCs/>
    </w:rPr>
  </w:style>
  <w:style w:type="paragraph" w:customStyle="1" w:styleId="101">
    <w:name w:val="_Style 2"/>
    <w:basedOn w:val="1"/>
    <w:autoRedefine/>
    <w:qFormat/>
    <w:uiPriority w:val="99"/>
    <w:pPr>
      <w:widowControl w:val="0"/>
      <w:spacing w:line="240" w:lineRule="auto"/>
      <w:ind w:firstLine="420" w:firstLineChars="200"/>
    </w:pPr>
    <w:rPr>
      <w:rFonts w:ascii="Calibri" w:hAnsi="Calibri" w:eastAsia="宋体" w:cs="Calibri"/>
      <w:sz w:val="21"/>
      <w:szCs w:val="21"/>
    </w:rPr>
  </w:style>
  <w:style w:type="character" w:customStyle="1" w:styleId="102">
    <w:name w:val="apple-style-span"/>
    <w:autoRedefine/>
    <w:qFormat/>
    <w:uiPriority w:val="99"/>
  </w:style>
  <w:style w:type="character" w:customStyle="1" w:styleId="103">
    <w:name w:val="del"/>
    <w:basedOn w:val="40"/>
    <w:autoRedefine/>
    <w:qFormat/>
    <w:uiPriority w:val="99"/>
  </w:style>
  <w:style w:type="character" w:customStyle="1" w:styleId="104">
    <w:name w:val="del1"/>
    <w:autoRedefine/>
    <w:qFormat/>
    <w:uiPriority w:val="99"/>
    <w:rPr>
      <w:vanish/>
      <w:color w:val="auto"/>
      <w:sz w:val="18"/>
      <w:szCs w:val="18"/>
      <w:u w:val="single"/>
    </w:rPr>
  </w:style>
  <w:style w:type="character" w:customStyle="1" w:styleId="105">
    <w:name w:val="del2"/>
    <w:autoRedefine/>
    <w:qFormat/>
    <w:uiPriority w:val="99"/>
    <w:rPr>
      <w:vanish/>
    </w:rPr>
  </w:style>
  <w:style w:type="character" w:customStyle="1" w:styleId="106">
    <w:name w:val="del3"/>
    <w:autoRedefine/>
    <w:qFormat/>
    <w:uiPriority w:val="99"/>
    <w:rPr>
      <w:vanish/>
    </w:rPr>
  </w:style>
  <w:style w:type="paragraph" w:customStyle="1" w:styleId="107">
    <w:name w:val="_Style 4"/>
    <w:basedOn w:val="1"/>
    <w:autoRedefine/>
    <w:qFormat/>
    <w:uiPriority w:val="99"/>
    <w:pPr>
      <w:widowControl w:val="0"/>
      <w:spacing w:line="240" w:lineRule="auto"/>
      <w:ind w:firstLine="420" w:firstLineChars="200"/>
    </w:pPr>
    <w:rPr>
      <w:rFonts w:ascii="Calibri" w:hAnsi="Calibri" w:eastAsia="宋体" w:cs="Calibri"/>
      <w:sz w:val="21"/>
      <w:szCs w:val="21"/>
    </w:rPr>
  </w:style>
  <w:style w:type="paragraph" w:customStyle="1" w:styleId="108">
    <w:name w:val="pa-19"/>
    <w:basedOn w:val="1"/>
    <w:autoRedefine/>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09">
    <w:name w:val="首行缩进"/>
    <w:basedOn w:val="1"/>
    <w:autoRedefine/>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10">
    <w:name w:val="font101"/>
    <w:basedOn w:val="40"/>
    <w:autoRedefine/>
    <w:qFormat/>
    <w:uiPriority w:val="0"/>
    <w:rPr>
      <w:rFonts w:hint="eastAsia" w:ascii="宋体" w:hAnsi="宋体" w:eastAsia="宋体" w:cs="宋体"/>
      <w:color w:val="000000"/>
      <w:sz w:val="24"/>
      <w:szCs w:val="24"/>
      <w:u w:val="none"/>
    </w:rPr>
  </w:style>
  <w:style w:type="character" w:customStyle="1" w:styleId="111">
    <w:name w:val="font91"/>
    <w:basedOn w:val="40"/>
    <w:autoRedefine/>
    <w:qFormat/>
    <w:uiPriority w:val="0"/>
    <w:rPr>
      <w:rFonts w:hint="eastAsia" w:ascii="宋体" w:hAnsi="宋体" w:eastAsia="宋体" w:cs="宋体"/>
      <w:color w:val="000000"/>
      <w:sz w:val="24"/>
      <w:szCs w:val="24"/>
      <w:u w:val="none"/>
    </w:rPr>
  </w:style>
  <w:style w:type="character" w:customStyle="1" w:styleId="112">
    <w:name w:val="font41"/>
    <w:basedOn w:val="40"/>
    <w:autoRedefine/>
    <w:qFormat/>
    <w:uiPriority w:val="0"/>
    <w:rPr>
      <w:rFonts w:hint="eastAsia" w:ascii="宋体" w:hAnsi="宋体" w:eastAsia="宋体" w:cs="宋体"/>
      <w:color w:val="000000"/>
      <w:sz w:val="24"/>
      <w:szCs w:val="24"/>
      <w:u w:val="none"/>
    </w:rPr>
  </w:style>
  <w:style w:type="character" w:customStyle="1" w:styleId="113">
    <w:name w:val="font21"/>
    <w:basedOn w:val="40"/>
    <w:autoRedefine/>
    <w:qFormat/>
    <w:uiPriority w:val="0"/>
    <w:rPr>
      <w:rFonts w:hint="eastAsia" w:ascii="宋体" w:hAnsi="宋体" w:eastAsia="宋体" w:cs="宋体"/>
      <w:color w:val="000000"/>
      <w:sz w:val="24"/>
      <w:szCs w:val="24"/>
      <w:u w:val="none"/>
    </w:rPr>
  </w:style>
  <w:style w:type="character" w:customStyle="1" w:styleId="114">
    <w:name w:val="List Paragraph Char1"/>
    <w:link w:val="115"/>
    <w:autoRedefine/>
    <w:qFormat/>
    <w:locked/>
    <w:uiPriority w:val="0"/>
    <w:rPr>
      <w:sz w:val="24"/>
    </w:rPr>
  </w:style>
  <w:style w:type="paragraph" w:customStyle="1" w:styleId="115">
    <w:name w:val="列出段落2"/>
    <w:basedOn w:val="1"/>
    <w:link w:val="114"/>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6">
    <w:name w:val="TableGrid1"/>
    <w:autoRedefine/>
    <w:qFormat/>
    <w:uiPriority w:val="0"/>
    <w:rPr>
      <w:kern w:val="2"/>
      <w:sz w:val="21"/>
      <w:szCs w:val="22"/>
    </w:rPr>
    <w:tblPr>
      <w:tblCellMar>
        <w:top w:w="0" w:type="dxa"/>
        <w:left w:w="0" w:type="dxa"/>
        <w:bottom w:w="0" w:type="dxa"/>
        <w:right w:w="0" w:type="dxa"/>
      </w:tblCellMar>
    </w:tblPr>
  </w:style>
  <w:style w:type="table" w:customStyle="1" w:styleId="117">
    <w:name w:val="TableGrid2"/>
    <w:autoRedefine/>
    <w:qFormat/>
    <w:uiPriority w:val="0"/>
    <w:rPr>
      <w:kern w:val="2"/>
      <w:sz w:val="21"/>
      <w:szCs w:val="22"/>
    </w:rPr>
    <w:tblPr>
      <w:tblCellMar>
        <w:top w:w="0" w:type="dxa"/>
        <w:left w:w="0" w:type="dxa"/>
        <w:bottom w:w="0" w:type="dxa"/>
        <w:right w:w="0" w:type="dxa"/>
      </w:tblCellMar>
    </w:tblPr>
  </w:style>
  <w:style w:type="table" w:customStyle="1" w:styleId="118">
    <w:name w:val="TableGrid3"/>
    <w:autoRedefine/>
    <w:qFormat/>
    <w:uiPriority w:val="0"/>
    <w:rPr>
      <w:kern w:val="2"/>
      <w:sz w:val="21"/>
      <w:szCs w:val="22"/>
    </w:rPr>
    <w:tblPr>
      <w:tblCellMar>
        <w:top w:w="0" w:type="dxa"/>
        <w:left w:w="0" w:type="dxa"/>
        <w:bottom w:w="0" w:type="dxa"/>
        <w:right w:w="0" w:type="dxa"/>
      </w:tblCellMar>
    </w:tblPr>
  </w:style>
  <w:style w:type="table" w:customStyle="1" w:styleId="119">
    <w:name w:val="TableGrid4"/>
    <w:autoRedefine/>
    <w:qFormat/>
    <w:uiPriority w:val="0"/>
    <w:rPr>
      <w:kern w:val="2"/>
      <w:sz w:val="21"/>
      <w:szCs w:val="22"/>
    </w:rPr>
    <w:tblPr>
      <w:tblCellMar>
        <w:top w:w="0" w:type="dxa"/>
        <w:left w:w="0" w:type="dxa"/>
        <w:bottom w:w="0" w:type="dxa"/>
        <w:right w:w="0" w:type="dxa"/>
      </w:tblCellMar>
    </w:tblPr>
  </w:style>
  <w:style w:type="table" w:customStyle="1" w:styleId="120">
    <w:name w:val="TableGrid5"/>
    <w:autoRedefine/>
    <w:qFormat/>
    <w:uiPriority w:val="0"/>
    <w:rPr>
      <w:kern w:val="2"/>
      <w:sz w:val="21"/>
      <w:szCs w:val="22"/>
    </w:rPr>
    <w:tblPr>
      <w:tblCellMar>
        <w:top w:w="0" w:type="dxa"/>
        <w:left w:w="0" w:type="dxa"/>
        <w:bottom w:w="0" w:type="dxa"/>
        <w:right w:w="0" w:type="dxa"/>
      </w:tblCellMar>
    </w:tblPr>
  </w:style>
  <w:style w:type="table" w:customStyle="1" w:styleId="121">
    <w:name w:val="TableGrid6"/>
    <w:autoRedefine/>
    <w:qFormat/>
    <w:uiPriority w:val="0"/>
    <w:rPr>
      <w:kern w:val="2"/>
      <w:sz w:val="21"/>
      <w:szCs w:val="22"/>
    </w:rPr>
    <w:tblPr>
      <w:tblCellMar>
        <w:top w:w="0" w:type="dxa"/>
        <w:left w:w="0" w:type="dxa"/>
        <w:bottom w:w="0" w:type="dxa"/>
        <w:right w:w="0" w:type="dxa"/>
      </w:tblCellMar>
    </w:tblPr>
  </w:style>
  <w:style w:type="table" w:customStyle="1" w:styleId="122">
    <w:name w:val="TableGrid7"/>
    <w:autoRedefine/>
    <w:qFormat/>
    <w:uiPriority w:val="0"/>
    <w:rPr>
      <w:kern w:val="2"/>
      <w:sz w:val="21"/>
      <w:szCs w:val="22"/>
    </w:rPr>
    <w:tblPr>
      <w:tblCellMar>
        <w:top w:w="0" w:type="dxa"/>
        <w:left w:w="0" w:type="dxa"/>
        <w:bottom w:w="0" w:type="dxa"/>
        <w:right w:w="0" w:type="dxa"/>
      </w:tblCellMar>
    </w:tblPr>
  </w:style>
  <w:style w:type="paragraph" w:customStyle="1" w:styleId="123">
    <w:name w:val="列出段落3"/>
    <w:basedOn w:val="1"/>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4">
    <w:name w:val="TableGrid8"/>
    <w:autoRedefine/>
    <w:qFormat/>
    <w:uiPriority w:val="0"/>
    <w:rPr>
      <w:kern w:val="2"/>
      <w:sz w:val="21"/>
      <w:szCs w:val="22"/>
    </w:rPr>
    <w:tblPr>
      <w:tblCellMar>
        <w:top w:w="0" w:type="dxa"/>
        <w:left w:w="0" w:type="dxa"/>
        <w:bottom w:w="0" w:type="dxa"/>
        <w:right w:w="0" w:type="dxa"/>
      </w:tblCellMar>
    </w:tblPr>
  </w:style>
  <w:style w:type="table" w:customStyle="1" w:styleId="125">
    <w:name w:val="TableGrid9"/>
    <w:autoRedefine/>
    <w:qFormat/>
    <w:uiPriority w:val="0"/>
    <w:rPr>
      <w:kern w:val="2"/>
      <w:sz w:val="21"/>
      <w:szCs w:val="22"/>
    </w:rPr>
    <w:tblPr>
      <w:tblCellMar>
        <w:top w:w="0" w:type="dxa"/>
        <w:left w:w="0" w:type="dxa"/>
        <w:bottom w:w="0" w:type="dxa"/>
        <w:right w:w="0" w:type="dxa"/>
      </w:tblCellMar>
    </w:tblPr>
  </w:style>
  <w:style w:type="table" w:customStyle="1" w:styleId="126">
    <w:name w:val="TableGrid10"/>
    <w:autoRedefine/>
    <w:qFormat/>
    <w:uiPriority w:val="0"/>
    <w:rPr>
      <w:kern w:val="2"/>
      <w:sz w:val="21"/>
      <w:szCs w:val="22"/>
    </w:rPr>
    <w:tblPr>
      <w:tblCellMar>
        <w:top w:w="0" w:type="dxa"/>
        <w:left w:w="0" w:type="dxa"/>
        <w:bottom w:w="0" w:type="dxa"/>
        <w:right w:w="0" w:type="dxa"/>
      </w:tblCellMar>
    </w:tblPr>
  </w:style>
  <w:style w:type="table" w:customStyle="1" w:styleId="127">
    <w:name w:val="TableGrid11"/>
    <w:autoRedefine/>
    <w:qFormat/>
    <w:uiPriority w:val="0"/>
    <w:rPr>
      <w:kern w:val="2"/>
      <w:sz w:val="21"/>
      <w:szCs w:val="22"/>
    </w:rPr>
    <w:tblPr>
      <w:tblCellMar>
        <w:top w:w="0" w:type="dxa"/>
        <w:left w:w="0" w:type="dxa"/>
        <w:bottom w:w="0" w:type="dxa"/>
        <w:right w:w="0" w:type="dxa"/>
      </w:tblCellMar>
    </w:tblPr>
  </w:style>
  <w:style w:type="table" w:customStyle="1" w:styleId="128">
    <w:name w:val="TableGrid12"/>
    <w:autoRedefine/>
    <w:qFormat/>
    <w:uiPriority w:val="0"/>
    <w:rPr>
      <w:kern w:val="2"/>
      <w:sz w:val="21"/>
      <w:szCs w:val="22"/>
    </w:rPr>
    <w:tblPr>
      <w:tblCellMar>
        <w:top w:w="0" w:type="dxa"/>
        <w:left w:w="0" w:type="dxa"/>
        <w:bottom w:w="0" w:type="dxa"/>
        <w:right w:w="0" w:type="dxa"/>
      </w:tblCellMar>
    </w:tblPr>
  </w:style>
  <w:style w:type="table" w:customStyle="1" w:styleId="129">
    <w:name w:val="TableGrid13"/>
    <w:autoRedefine/>
    <w:qFormat/>
    <w:uiPriority w:val="0"/>
    <w:rPr>
      <w:kern w:val="2"/>
      <w:sz w:val="21"/>
      <w:szCs w:val="22"/>
    </w:rPr>
    <w:tblPr>
      <w:tblCellMar>
        <w:top w:w="0" w:type="dxa"/>
        <w:left w:w="0" w:type="dxa"/>
        <w:bottom w:w="0" w:type="dxa"/>
        <w:right w:w="0" w:type="dxa"/>
      </w:tblCellMar>
    </w:tblPr>
  </w:style>
  <w:style w:type="table" w:customStyle="1" w:styleId="130">
    <w:name w:val="TableGrid14"/>
    <w:autoRedefine/>
    <w:qFormat/>
    <w:uiPriority w:val="0"/>
    <w:rPr>
      <w:kern w:val="2"/>
      <w:sz w:val="21"/>
      <w:szCs w:val="22"/>
    </w:rPr>
    <w:tblPr>
      <w:tblCellMar>
        <w:top w:w="0" w:type="dxa"/>
        <w:left w:w="0" w:type="dxa"/>
        <w:bottom w:w="0" w:type="dxa"/>
        <w:right w:w="0" w:type="dxa"/>
      </w:tblCellMar>
    </w:tblPr>
  </w:style>
  <w:style w:type="table" w:customStyle="1" w:styleId="131">
    <w:name w:val="TableGrid15"/>
    <w:autoRedefine/>
    <w:qFormat/>
    <w:uiPriority w:val="0"/>
    <w:rPr>
      <w:kern w:val="2"/>
      <w:sz w:val="21"/>
      <w:szCs w:val="22"/>
    </w:rPr>
    <w:tblPr>
      <w:tblCellMar>
        <w:top w:w="0" w:type="dxa"/>
        <w:left w:w="0" w:type="dxa"/>
        <w:bottom w:w="0" w:type="dxa"/>
        <w:right w:w="0" w:type="dxa"/>
      </w:tblCellMar>
    </w:tblPr>
  </w:style>
  <w:style w:type="paragraph" w:customStyle="1" w:styleId="132">
    <w:name w:val="+正文"/>
    <w:basedOn w:val="1"/>
    <w:autoRedefine/>
    <w:qFormat/>
    <w:uiPriority w:val="99"/>
    <w:pPr>
      <w:spacing w:line="360" w:lineRule="auto"/>
      <w:ind w:firstLine="200" w:firstLineChars="200"/>
    </w:pPr>
  </w:style>
  <w:style w:type="paragraph" w:customStyle="1" w:styleId="133">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格式"/>
    <w:basedOn w:val="1"/>
    <w:autoRedefine/>
    <w:qFormat/>
    <w:uiPriority w:val="0"/>
    <w:pPr>
      <w:adjustRightInd w:val="0"/>
      <w:snapToGrid w:val="0"/>
      <w:spacing w:line="400" w:lineRule="atLeast"/>
      <w:ind w:firstLine="482"/>
      <w:textAlignment w:val="baseline"/>
    </w:pPr>
  </w:style>
  <w:style w:type="character" w:customStyle="1" w:styleId="135">
    <w:name w:val="font31"/>
    <w:basedOn w:val="40"/>
    <w:autoRedefine/>
    <w:qFormat/>
    <w:uiPriority w:val="0"/>
    <w:rPr>
      <w:rFonts w:hint="eastAsia" w:ascii="宋体" w:hAnsi="宋体" w:eastAsia="宋体" w:cs="宋体"/>
      <w:color w:val="000000"/>
      <w:sz w:val="21"/>
      <w:szCs w:val="21"/>
      <w:u w:val="none"/>
    </w:rPr>
  </w:style>
  <w:style w:type="character" w:customStyle="1" w:styleId="136">
    <w:name w:val="font51"/>
    <w:basedOn w:val="40"/>
    <w:autoRedefine/>
    <w:qFormat/>
    <w:uiPriority w:val="0"/>
    <w:rPr>
      <w:rFonts w:ascii="Calibri" w:hAnsi="Calibri" w:cs="Calibri"/>
      <w:color w:val="000000"/>
      <w:sz w:val="21"/>
      <w:szCs w:val="21"/>
      <w:u w:val="none"/>
    </w:rPr>
  </w:style>
  <w:style w:type="paragraph" w:customStyle="1" w:styleId="137">
    <w:name w:val="Table Text"/>
    <w:basedOn w:val="1"/>
    <w:autoRedefine/>
    <w:semiHidden/>
    <w:qFormat/>
    <w:uiPriority w:val="0"/>
    <w:rPr>
      <w:rFonts w:ascii="宋体" w:hAnsi="宋体" w:eastAsia="宋体" w:cs="宋体"/>
      <w:sz w:val="28"/>
      <w:szCs w:val="28"/>
      <w:lang w:val="en-US" w:eastAsia="en-US" w:bidi="ar-SA"/>
    </w:rPr>
  </w:style>
  <w:style w:type="table" w:customStyle="1" w:styleId="138">
    <w:name w:val="Table Normal"/>
    <w:autoRedefine/>
    <w:unhideWhenUsed/>
    <w:qFormat/>
    <w:uiPriority w:val="0"/>
    <w:tblPr>
      <w:tblCellMar>
        <w:top w:w="0" w:type="dxa"/>
        <w:left w:w="0" w:type="dxa"/>
        <w:bottom w:w="0" w:type="dxa"/>
        <w:right w:w="0" w:type="dxa"/>
      </w:tblCellMar>
    </w:tblPr>
  </w:style>
  <w:style w:type="paragraph" w:customStyle="1" w:styleId="139">
    <w:name w:val="1正文"/>
    <w:basedOn w:val="34"/>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1">
    <w:name w:val="表格文字"/>
    <w:basedOn w:val="1"/>
    <w:autoRedefine/>
    <w:qFormat/>
    <w:uiPriority w:val="0"/>
    <w:pPr>
      <w:spacing w:before="120" w:after="120"/>
    </w:pPr>
    <w:rPr>
      <w:rFonts w:ascii="新宋体" w:hAnsi="宋体" w:eastAsia="新宋体" w:cstheme="minorBidi"/>
      <w:bCs/>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985AB-2C7C-444C-9B84-2A65A7701D3E}">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56</Pages>
  <Words>14248</Words>
  <Characters>15125</Characters>
  <Lines>695</Lines>
  <Paragraphs>770</Paragraphs>
  <TotalTime>21</TotalTime>
  <ScaleCrop>false</ScaleCrop>
  <LinksUpToDate>false</LinksUpToDate>
  <CharactersWithSpaces>15263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WPS_1528011989</cp:lastModifiedBy>
  <cp:lastPrinted>2025-11-25T09:45:48Z</cp:lastPrinted>
  <dcterms:modified xsi:type="dcterms:W3CDTF">2025-11-25T10:02:16Z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C023CF70D0AD4ED7A66BFDA7617FD519_13</vt:lpwstr>
  </property>
  <property fmtid="{D5CDD505-2E9C-101B-9397-08002B2CF9AE}" pid="4" name="KSOTemplateDocerSaveRecord">
    <vt:lpwstr>eyJoZGlkIjoiYWM5ZTdmYzk3ZDczMTEyZmNiMTgzYzFlOWU3MmQyYzYiLCJ1c2VySWQiOiIzNzU3MTM1MjkifQ==</vt:lpwstr>
  </property>
</Properties>
</file>