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1955"/>
      <w:bookmarkStart w:id="1" w:name="_Toc268"/>
      <w:bookmarkStart w:id="2" w:name="_Toc519156735"/>
      <w:bookmarkStart w:id="3" w:name="_Toc495908398"/>
    </w:p>
    <w:p w14:paraId="2F3C1DDF">
      <w:pPr>
        <w:jc w:val="center"/>
        <w:rPr>
          <w:rFonts w:hint="eastAsia" w:ascii="宋体" w:hAnsi="宋体" w:eastAsia="宋体" w:cs="宋体"/>
          <w:sz w:val="21"/>
          <w:szCs w:val="24"/>
          <w:highlight w:val="none"/>
        </w:rPr>
      </w:pPr>
      <w:r>
        <w:rPr>
          <w:rFonts w:hint="eastAsia" w:ascii="宋体" w:hAnsi="宋体" w:cs="宋体"/>
          <w:b/>
          <w:bCs/>
          <w:color w:val="auto"/>
          <w:sz w:val="44"/>
          <w:szCs w:val="44"/>
          <w:highlight w:val="none"/>
          <w:lang w:val="en-US" w:eastAsia="zh-CN"/>
        </w:rPr>
        <w:t>隧道与公路一体化智能养护与安全保障技术</w:t>
      </w:r>
    </w:p>
    <w:p w14:paraId="3FBBC90F">
      <w:pPr>
        <w:rPr>
          <w:rFonts w:hint="eastAsia" w:ascii="宋体" w:hAnsi="宋体" w:eastAsia="宋体" w:cs="宋体"/>
        </w:rPr>
      </w:pPr>
    </w:p>
    <w:p w14:paraId="5FE1F06D">
      <w:pPr>
        <w:rPr>
          <w:rFonts w:hint="eastAsia" w:ascii="宋体" w:hAnsi="宋体" w:eastAsia="宋体" w:cs="宋体"/>
        </w:rPr>
      </w:pPr>
    </w:p>
    <w:p w14:paraId="0C27DEBB">
      <w:pPr>
        <w:rPr>
          <w:rFonts w:hint="eastAsia" w:ascii="宋体" w:hAnsi="宋体" w:eastAsia="宋体" w:cs="宋体"/>
        </w:rPr>
      </w:pPr>
    </w:p>
    <w:p w14:paraId="77730419">
      <w:pPr>
        <w:rPr>
          <w:rFonts w:hint="eastAsia" w:ascii="宋体" w:hAnsi="宋体" w:eastAsia="宋体" w:cs="宋体"/>
        </w:rPr>
      </w:pPr>
    </w:p>
    <w:p w14:paraId="68723637">
      <w:pPr>
        <w:rPr>
          <w:rFonts w:hint="eastAsia" w:ascii="宋体" w:hAnsi="宋体" w:eastAsia="宋体" w:cs="宋体"/>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B9C8BF2">
      <w:pPr>
        <w:pStyle w:val="27"/>
        <w:rPr>
          <w:rFonts w:hint="eastAsia" w:ascii="宋体" w:hAnsi="宋体" w:eastAsia="宋体" w:cs="宋体"/>
        </w:rPr>
      </w:pPr>
    </w:p>
    <w:p w14:paraId="1A472E68">
      <w:pPr>
        <w:rPr>
          <w:rFonts w:hint="eastAsia"/>
        </w:rPr>
      </w:pPr>
    </w:p>
    <w:p w14:paraId="1CBE4726">
      <w:pPr>
        <w:rPr>
          <w:rFonts w:hint="eastAsia"/>
        </w:rPr>
      </w:pPr>
    </w:p>
    <w:p w14:paraId="75AC2B4D">
      <w:pPr>
        <w:rPr>
          <w:rFonts w:hint="eastAsia"/>
        </w:rPr>
      </w:pPr>
    </w:p>
    <w:p w14:paraId="601F13E3">
      <w:pPr>
        <w:rPr>
          <w:rFonts w:hint="eastAsia"/>
        </w:rPr>
      </w:pPr>
    </w:p>
    <w:p w14:paraId="499ECE4B">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lang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XHZB-25-0</w:t>
      </w:r>
      <w:r>
        <w:rPr>
          <w:rFonts w:hint="eastAsia" w:ascii="宋体" w:hAnsi="宋体" w:cs="宋体"/>
          <w:b/>
          <w:bCs/>
          <w:i w:val="0"/>
          <w:iCs w:val="0"/>
          <w:snapToGrid w:val="0"/>
          <w:color w:val="000000"/>
          <w:spacing w:val="6"/>
          <w:kern w:val="0"/>
          <w:position w:val="32"/>
          <w:sz w:val="35"/>
          <w:szCs w:val="35"/>
          <w:u w:val="single"/>
          <w:lang w:val="en-US" w:eastAsia="zh-CN"/>
        </w:rPr>
        <w:t>92</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eastAsia="en-US"/>
        </w:rPr>
        <w:t xml:space="preserve"> </w:t>
      </w:r>
      <w:r>
        <w:rPr>
          <w:rFonts w:hint="eastAsia" w:ascii="宋体" w:hAnsi="宋体" w:eastAsia="宋体" w:cs="宋体"/>
          <w:b/>
          <w:bCs/>
          <w:i w:val="0"/>
          <w:iCs w:val="0"/>
          <w:snapToGrid w:val="0"/>
          <w:color w:val="000000"/>
          <w:spacing w:val="6"/>
          <w:kern w:val="0"/>
          <w:position w:val="32"/>
          <w:sz w:val="35"/>
          <w:szCs w:val="35"/>
          <w:lang w:eastAsia="en-US"/>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495908399"/>
      <w:bookmarkStart w:id="6" w:name="_Toc26933"/>
      <w:bookmarkStart w:id="7" w:name="_Toc28842"/>
      <w:bookmarkStart w:id="8" w:name="_Toc519156736"/>
      <w:bookmarkStart w:id="9" w:name="_Toc8474"/>
      <w:bookmarkStart w:id="10" w:name="_Toc2990"/>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隧道与公路一体化智能养护与安全保障技术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02</w:t>
      </w:r>
      <w:r>
        <w:rPr>
          <w:rFonts w:hint="eastAsia" w:ascii="宋体" w:hAnsi="宋体" w:eastAsia="宋体" w:cs="宋体"/>
          <w:highlight w:val="none"/>
        </w:rPr>
        <w:t>日</w:t>
      </w:r>
      <w:r>
        <w:rPr>
          <w:rFonts w:hint="eastAsia" w:cs="宋体"/>
          <w:highlight w:val="none"/>
          <w:lang w:val="en-US" w:eastAsia="zh-CN"/>
        </w:rPr>
        <w:t>0</w:t>
      </w:r>
      <w:r>
        <w:rPr>
          <w:rFonts w:hint="eastAsia" w:ascii="宋体" w:hAnsi="宋体" w:eastAsia="宋体" w:cs="宋体"/>
          <w:highlight w:val="none"/>
          <w:lang w:val="en-US" w:eastAsia="zh-CN"/>
        </w:rPr>
        <w:t>9</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35482460">
      <w:pPr>
        <w:pStyle w:val="29"/>
        <w:wordWrap w:val="0"/>
        <w:spacing w:beforeAutospacing="0" w:afterAutospacing="0" w:line="360" w:lineRule="auto"/>
        <w:ind w:firstLine="480"/>
        <w:jc w:val="both"/>
        <w:outlineLvl w:val="9"/>
        <w:rPr>
          <w:rFonts w:hint="eastAsia"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092</w:t>
      </w:r>
    </w:p>
    <w:p w14:paraId="610112C5">
      <w:pPr>
        <w:pStyle w:val="29"/>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隧道与公路一体化智能养护与安全保障技术</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运营隧道衬砌病害智能检测方法及结构韧性提升技术研究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运营隧道衬砌病害智能检测方法及结构韧性提升技术研究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运营隧道衬砌病害智能检测方法及结构韧性提升技术研究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0470D9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公路养护作业安全主动预防与管控成套技术研究</w:t>
      </w:r>
      <w:r>
        <w:rPr>
          <w:rFonts w:hint="eastAsia" w:ascii="宋体" w:hAnsi="宋体" w:eastAsia="宋体" w:cs="宋体"/>
          <w:highlight w:val="none"/>
        </w:rPr>
        <w:t>):</w:t>
      </w:r>
    </w:p>
    <w:p w14:paraId="134171B7">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6847C5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958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0C1BC">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2C36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AE6C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357F3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715F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9A6A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5E7E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026B5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25D83">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F942DF">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bookmarkStart w:id="123" w:name="_GoBack"/>
            <w:bookmarkEnd w:id="123"/>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076D5">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公路养护作业安全主动预防与管控成套技术研究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ABC177">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7F67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公路养护作业安全主动预防与管控成套技术研究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67167">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AD884">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BDBB3E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DEA5EB1">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合同包1(</w:t>
      </w:r>
      <w:r>
        <w:rPr>
          <w:rFonts w:hint="eastAsia" w:ascii="宋体" w:hAnsi="宋体" w:cs="宋体"/>
          <w:highlight w:val="none"/>
          <w:lang w:eastAsia="zh-CN"/>
        </w:rPr>
        <w:t>隧道与公路一体化智能养护与安全保障技术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020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F51DFE">
            <w:pPr>
              <w:widowControl/>
              <w:jc w:val="center"/>
              <w:textAlignment w:val="center"/>
              <w:rPr>
                <w:rFonts w:hint="default" w:ascii="宋体" w:hAnsi="宋体" w:eastAsia="宋体" w:cs="宋体"/>
                <w:color w:val="000000"/>
                <w:kern w:val="0"/>
                <w:sz w:val="22"/>
                <w:szCs w:val="22"/>
                <w:highlight w:val="none"/>
                <w:lang w:val="en-US" w:eastAsia="zh-CN" w:bidi="ar"/>
              </w:rPr>
            </w:pPr>
            <w:bookmarkStart w:id="12" w:name="_Toc519156737"/>
            <w:bookmarkStart w:id="13" w:name="_Toc32045"/>
            <w:bookmarkStart w:id="14" w:name="_Toc32286"/>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14:paraId="7680DCFF">
            <w:pPr>
              <w:spacing w:line="360"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vAlign w:val="center"/>
          </w:tcPr>
          <w:p w14:paraId="535DDC07">
            <w:pPr>
              <w:pStyle w:val="83"/>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10488"/>
      <w:bookmarkStart w:id="16" w:name="_Toc3716"/>
      <w:bookmarkStart w:id="17" w:name="_Toc23167"/>
      <w:bookmarkStart w:id="18" w:name="_Toc26143"/>
      <w:bookmarkStart w:id="19" w:name="_Toc29597"/>
      <w:bookmarkStart w:id="20" w:name="_Toc519156746"/>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7253"/>
      <w:bookmarkStart w:id="22" w:name="_Toc13421"/>
      <w:bookmarkStart w:id="23" w:name="_Toc25586"/>
      <w:bookmarkStart w:id="24" w:name="_Toc12298"/>
      <w:bookmarkStart w:id="25" w:name="_Toc24454"/>
      <w:bookmarkStart w:id="26" w:name="_Toc12414"/>
      <w:bookmarkStart w:id="27" w:name="_Toc519156738"/>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519156739"/>
      <w:bookmarkStart w:id="29" w:name="_Toc4528"/>
      <w:bookmarkStart w:id="30" w:name="_Toc2740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7134"/>
      <w:bookmarkStart w:id="32" w:name="_Toc2653"/>
      <w:bookmarkStart w:id="33" w:name="_Toc10773"/>
      <w:bookmarkStart w:id="34" w:name="_Toc25030"/>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6846"/>
      <w:bookmarkStart w:id="36" w:name="_Toc28014"/>
      <w:bookmarkStart w:id="37" w:name="_Toc1168"/>
      <w:bookmarkStart w:id="38" w:name="_Toc22803"/>
      <w:bookmarkStart w:id="39" w:name="_Toc18132"/>
      <w:bookmarkStart w:id="40" w:name="_Toc8808"/>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519156741"/>
      <w:bookmarkStart w:id="42" w:name="_Toc24973"/>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6723"/>
      <w:bookmarkStart w:id="44" w:name="_Toc2515"/>
      <w:bookmarkStart w:id="45" w:name="_Toc11063"/>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29321"/>
      <w:bookmarkStart w:id="48" w:name="_Toc32447"/>
      <w:bookmarkStart w:id="49" w:name="_Toc519156742"/>
      <w:bookmarkStart w:id="50" w:name="_Toc1285"/>
      <w:bookmarkStart w:id="51" w:name="_Toc18356"/>
      <w:bookmarkStart w:id="52" w:name="_Toc4585"/>
      <w:bookmarkStart w:id="53" w:name="_Toc14489"/>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6759"/>
      <w:bookmarkStart w:id="55" w:name="_Toc12452"/>
      <w:bookmarkStart w:id="56" w:name="_Toc13700"/>
      <w:bookmarkStart w:id="57" w:name="_Toc15015"/>
      <w:bookmarkStart w:id="58" w:name="_Toc519156743"/>
      <w:bookmarkStart w:id="59" w:name="_Toc1954"/>
      <w:bookmarkStart w:id="60" w:name="_Toc21838"/>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23113"/>
      <w:bookmarkStart w:id="62" w:name="_Toc19721"/>
      <w:bookmarkStart w:id="63" w:name="_Toc519156744"/>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12773"/>
      <w:bookmarkStart w:id="65" w:name="_Toc729"/>
      <w:bookmarkStart w:id="66" w:name="_Toc21776"/>
      <w:bookmarkStart w:id="67" w:name="_Toc26927"/>
      <w:bookmarkStart w:id="68" w:name="_Toc23716"/>
      <w:bookmarkStart w:id="69" w:name="_Toc5011"/>
      <w:bookmarkStart w:id="70" w:name="_Toc30935"/>
      <w:bookmarkStart w:id="71" w:name="_Toc23884"/>
      <w:bookmarkStart w:id="72" w:name="_Toc519156745"/>
      <w:bookmarkStart w:id="73" w:name="_Toc14277"/>
      <w:bookmarkStart w:id="74" w:name="_Toc23647"/>
      <w:bookmarkStart w:id="75" w:name="_Toc11936"/>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10336"/>
      <w:bookmarkStart w:id="77" w:name="_Toc18282"/>
      <w:bookmarkStart w:id="78" w:name="_Toc32429"/>
      <w:bookmarkStart w:id="79" w:name="_Toc5878"/>
      <w:bookmarkStart w:id="80" w:name="_Toc10165"/>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21558"/>
      <w:bookmarkStart w:id="82" w:name="_Toc18360"/>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yellow"/>
        </w:rPr>
      </w:pPr>
      <w:bookmarkStart w:id="84" w:name="_Toc18268"/>
      <w:bookmarkStart w:id="85" w:name="_Toc31900"/>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p>
    <w:p w14:paraId="0632876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4292FBEE">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ascii="Times New Roman" w:hAnsi="Times New Roman" w:cs="Times New Roman"/>
        </w:rPr>
        <w:t>项目概况与背景</w:t>
      </w:r>
    </w:p>
    <w:p w14:paraId="6F2F7E0B">
      <w:pPr>
        <w:rPr>
          <w:rFonts w:ascii="Times New Roman" w:hAnsi="Times New Roman" w:cs="Times New Roman"/>
        </w:rPr>
      </w:pPr>
      <w:r>
        <w:rPr>
          <w:rFonts w:ascii="Times New Roman" w:hAnsi="Times New Roman" w:cs="Times New Roman"/>
        </w:rPr>
        <w:t>1. 项目名称：运营隧道衬砌病害智能检测方法及结构韧性提升技术研究</w:t>
      </w:r>
    </w:p>
    <w:p w14:paraId="769D3BFB">
      <w:pPr>
        <w:rPr>
          <w:rFonts w:ascii="Times New Roman" w:hAnsi="Times New Roman" w:cs="Times New Roman"/>
        </w:rPr>
      </w:pPr>
      <w:r>
        <w:rPr>
          <w:rFonts w:ascii="Times New Roman" w:hAnsi="Times New Roman" w:cs="Times New Roman"/>
        </w:rPr>
        <w:t xml:space="preserve">2. 立项背景与必要性： </w:t>
      </w:r>
    </w:p>
    <w:p w14:paraId="686DC145">
      <w:pPr>
        <w:ind w:firstLine="480" w:firstLineChars="200"/>
        <w:rPr>
          <w:rFonts w:ascii="Times New Roman" w:hAnsi="Times New Roman" w:cs="Times New Roman"/>
        </w:rPr>
      </w:pPr>
      <w:r>
        <w:rPr>
          <w:rFonts w:ascii="Times New Roman" w:hAnsi="Times New Roman" w:cs="Times New Roman"/>
        </w:rPr>
        <w:t>随着我国综合交通基础设施的快速建设与运营规模持续扩大，隧道工程已成为山岭、公路及城市地下交通网络中的关键控制性工程。据交通运输部统计，截至2023年底，全国公路隧道数量已超过2.7万座、总里程超过3万公里，运营隧道进入集中养护与维修阶段。长期服役的隧道衬砌在复杂地质、水文及荷载耦合作用下，普遍出现裂缝、渗漏水、空洞、脱空等多类型病害，导致结构韧性衰减与安全风险升高。传统依赖人工巡检和单一仪器检测的模式已难以满足大规模、高频次、智能化的隧道病害检测需求，亟需发展高效、精准、可视化的智能检测与修复技术体系。</w:t>
      </w:r>
    </w:p>
    <w:p w14:paraId="7E019895">
      <w:pPr>
        <w:ind w:firstLine="482" w:firstLineChars="200"/>
        <w:rPr>
          <w:rFonts w:ascii="Times New Roman" w:hAnsi="Times New Roman" w:cs="Times New Roman"/>
        </w:rPr>
      </w:pPr>
      <w:r>
        <w:rPr>
          <w:rFonts w:ascii="Times New Roman" w:hAnsi="Times New Roman" w:cs="Times New Roman"/>
          <w:b/>
          <w:bCs/>
        </w:rPr>
        <w:t>当前我国在隧道衬砌病害检测领域仍存在三大技术瓶颈：</w:t>
      </w:r>
    </w:p>
    <w:p w14:paraId="466D98D0">
      <w:pPr>
        <w:numPr>
          <w:ilvl w:val="0"/>
          <w:numId w:val="5"/>
        </w:numPr>
        <w:ind w:firstLine="480" w:firstLineChars="200"/>
        <w:rPr>
          <w:rFonts w:ascii="Times New Roman" w:hAnsi="Times New Roman" w:cs="Times New Roman"/>
        </w:rPr>
      </w:pPr>
      <w:r>
        <w:rPr>
          <w:rFonts w:ascii="Times New Roman" w:hAnsi="Times New Roman" w:cs="Times New Roman"/>
        </w:rPr>
        <w:t>检测效率与智能化水平低。</w:t>
      </w:r>
    </w:p>
    <w:p w14:paraId="26EE30CA">
      <w:pPr>
        <w:numPr>
          <w:ilvl w:val="0"/>
          <w:numId w:val="5"/>
        </w:numPr>
        <w:ind w:firstLine="480" w:firstLineChars="200"/>
        <w:rPr>
          <w:rFonts w:ascii="Times New Roman" w:hAnsi="Times New Roman" w:cs="Times New Roman"/>
        </w:rPr>
      </w:pPr>
      <w:r>
        <w:rPr>
          <w:rFonts w:ascii="Times New Roman" w:hAnsi="Times New Roman" w:cs="Times New Roman"/>
        </w:rPr>
        <w:t>多源病害定量表征与关联机理研究不足。</w:t>
      </w:r>
    </w:p>
    <w:p w14:paraId="00ECFF13">
      <w:pPr>
        <w:ind w:firstLine="480" w:firstLineChars="200"/>
        <w:rPr>
          <w:rFonts w:ascii="Times New Roman" w:hAnsi="Times New Roman" w:cs="Times New Roman"/>
        </w:rPr>
      </w:pPr>
      <w:r>
        <w:rPr>
          <w:rFonts w:ascii="Times New Roman" w:hAnsi="Times New Roman" w:cs="Times New Roman"/>
        </w:rPr>
        <w:t>（3）处治加固缺乏靶向性与科学性。</w:t>
      </w:r>
    </w:p>
    <w:p w14:paraId="359EDD82">
      <w:pPr>
        <w:ind w:firstLine="480" w:firstLineChars="200"/>
        <w:rPr>
          <w:rFonts w:ascii="Times New Roman" w:hAnsi="Times New Roman" w:cs="Times New Roman"/>
        </w:rPr>
      </w:pPr>
      <w:r>
        <w:rPr>
          <w:rFonts w:ascii="Times New Roman" w:hAnsi="Times New Roman" w:cs="Times New Roman"/>
        </w:rPr>
        <w:t>从国家战略层面看，《国家综合立体交通网规划纲要》《交通强国建设纲要》《公路隧道养护技术规范（JTG H12-2015）》等文件均明确提出，要“加强交通基础设施预防性养护与健康监测”“推进智慧交通与智能养护技术体系建设”。这对隧道工程的数字化运维、结构健康监测与智能加固提出了更高要求。陕西作为西部山区隧道工程密集省份，部分典型隧道服役年限已超过15年，结构老化与病害频发问题突出，迫切需要形成可推广、可复制的运营隧道病害高效检测与韧性修复技术路径，以服务区域交通基础设施安全运营。</w:t>
      </w:r>
    </w:p>
    <w:p w14:paraId="5BDDEEBB">
      <w:pPr>
        <w:rPr>
          <w:rFonts w:ascii="Times New Roman" w:hAnsi="Times New Roman" w:cs="Times New Roman"/>
        </w:rPr>
      </w:pPr>
      <w:r>
        <w:rPr>
          <w:rFonts w:ascii="Times New Roman" w:hAnsi="Times New Roman" w:cs="Times New Roman"/>
        </w:rPr>
        <w:t>3. 研究目标与考核指标：</w:t>
      </w:r>
    </w:p>
    <w:p w14:paraId="131A318A">
      <w:pPr>
        <w:rPr>
          <w:rFonts w:ascii="Times New Roman" w:hAnsi="Times New Roman" w:cs="Times New Roman"/>
        </w:rPr>
      </w:pPr>
      <w:r>
        <w:rPr>
          <w:rFonts w:hint="eastAsia" w:ascii="Times New Roman" w:hAnsi="Times New Roman" w:cs="Times New Roman"/>
        </w:rPr>
        <w:t>3.1</w:t>
      </w:r>
      <w:r>
        <w:rPr>
          <w:rFonts w:ascii="Times New Roman" w:hAnsi="Times New Roman" w:cs="Times New Roman"/>
        </w:rPr>
        <w:t>总体目标：</w:t>
      </w:r>
    </w:p>
    <w:p w14:paraId="493386EB">
      <w:pPr>
        <w:ind w:firstLine="480" w:firstLineChars="200"/>
        <w:rPr>
          <w:rFonts w:ascii="Times New Roman" w:hAnsi="Times New Roman" w:cs="Times New Roman"/>
        </w:rPr>
      </w:pPr>
      <w:r>
        <w:rPr>
          <w:rFonts w:ascii="Times New Roman" w:hAnsi="Times New Roman" w:cs="Times New Roman"/>
        </w:rPr>
        <w:t>（1）提出隧道衬砌病害智能高效检测与表征关键方法；</w:t>
      </w:r>
    </w:p>
    <w:p w14:paraId="19F4BE25">
      <w:pPr>
        <w:ind w:firstLine="480" w:firstLineChars="2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提出病害定位与表征分级驱动的靶向性注浆修复技术；</w:t>
      </w:r>
    </w:p>
    <w:p w14:paraId="5782EBB8">
      <w:pPr>
        <w:ind w:firstLine="48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提出深度学习和高光谱图像技术驱动的韧性提升评价体系。</w:t>
      </w:r>
    </w:p>
    <w:p w14:paraId="56B38CD5">
      <w:pPr>
        <w:rPr>
          <w:rFonts w:ascii="Times New Roman" w:hAnsi="Times New Roman" w:cs="Times New Roman"/>
        </w:rPr>
      </w:pPr>
      <w:r>
        <w:rPr>
          <w:rFonts w:hint="eastAsia" w:ascii="Times New Roman" w:hAnsi="Times New Roman" w:cs="Times New Roman"/>
        </w:rPr>
        <w:t>3.2</w:t>
      </w:r>
      <w:r>
        <w:rPr>
          <w:rFonts w:ascii="Times New Roman" w:hAnsi="Times New Roman" w:cs="Times New Roman"/>
        </w:rPr>
        <w:t>具体考核指标：</w:t>
      </w:r>
    </w:p>
    <w:p w14:paraId="7756E2A6">
      <w:pPr>
        <w:numPr>
          <w:ilvl w:val="0"/>
          <w:numId w:val="6"/>
        </w:numPr>
        <w:ind w:firstLine="480" w:firstLineChars="200"/>
        <w:rPr>
          <w:rFonts w:ascii="Times New Roman" w:hAnsi="Times New Roman" w:cs="Times New Roman"/>
        </w:rPr>
      </w:pPr>
      <w:r>
        <w:rPr>
          <w:rFonts w:ascii="Times New Roman" w:hAnsi="Times New Roman" w:cs="Times New Roman"/>
        </w:rPr>
        <w:t>发表论文</w:t>
      </w:r>
      <w:r>
        <w:rPr>
          <w:rFonts w:hint="eastAsia" w:ascii="Times New Roman" w:hAnsi="Times New Roman" w:cs="Times New Roman"/>
        </w:rPr>
        <w:t>1~2</w:t>
      </w:r>
      <w:r>
        <w:rPr>
          <w:rFonts w:ascii="Times New Roman" w:hAnsi="Times New Roman" w:cs="Times New Roman"/>
        </w:rPr>
        <w:t>篇；</w:t>
      </w:r>
    </w:p>
    <w:p w14:paraId="35C39CA0">
      <w:pPr>
        <w:numPr>
          <w:ilvl w:val="0"/>
          <w:numId w:val="6"/>
        </w:numPr>
        <w:ind w:firstLine="480" w:firstLineChars="200"/>
        <w:rPr>
          <w:rFonts w:ascii="Times New Roman" w:hAnsi="Times New Roman" w:cs="Times New Roman"/>
        </w:rPr>
      </w:pPr>
      <w:r>
        <w:rPr>
          <w:rFonts w:ascii="Times New Roman" w:hAnsi="Times New Roman" w:cs="Times New Roman"/>
        </w:rPr>
        <w:t>申请</w:t>
      </w:r>
      <w:r>
        <w:rPr>
          <w:rFonts w:hint="eastAsia" w:ascii="Times New Roman" w:hAnsi="Times New Roman" w:cs="Times New Roman"/>
        </w:rPr>
        <w:t>相关专利1~2</w:t>
      </w:r>
      <w:r>
        <w:rPr>
          <w:rFonts w:ascii="Times New Roman" w:hAnsi="Times New Roman" w:cs="Times New Roman"/>
        </w:rPr>
        <w:t>项。</w:t>
      </w:r>
    </w:p>
    <w:p w14:paraId="2901E4C1">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ascii="Times New Roman" w:hAnsi="Times New Roman" w:cs="Times New Roman"/>
        </w:rPr>
        <w:t>主要研究内容与技术要求</w:t>
      </w:r>
    </w:p>
    <w:p w14:paraId="76F83F3B">
      <w:pPr>
        <w:rPr>
          <w:rFonts w:ascii="Times New Roman" w:hAnsi="Times New Roman" w:cs="Times New Roman"/>
        </w:rPr>
      </w:pPr>
      <w:r>
        <w:rPr>
          <w:rFonts w:ascii="Times New Roman" w:hAnsi="Times New Roman" w:cs="Times New Roman"/>
        </w:rPr>
        <w:t>1. 研究范畴界定：</w:t>
      </w:r>
    </w:p>
    <w:p w14:paraId="6F1EBB6E">
      <w:pPr>
        <w:rPr>
          <w:rFonts w:ascii="Times New Roman" w:hAnsi="Times New Roman" w:cs="Times New Roman"/>
        </w:rPr>
      </w:pPr>
      <w:r>
        <w:rPr>
          <w:rFonts w:hint="eastAsia" w:ascii="Times New Roman" w:hAnsi="Times New Roman" w:cs="Times New Roman"/>
        </w:rPr>
        <w:t>1.1 研究内容及范畴</w:t>
      </w:r>
    </w:p>
    <w:p w14:paraId="6C087363">
      <w:pPr>
        <w:ind w:firstLine="482" w:firstLineChars="200"/>
        <w:rPr>
          <w:rFonts w:ascii="Times New Roman" w:hAnsi="Times New Roman" w:cs="Times New Roman"/>
        </w:rPr>
      </w:pPr>
      <w:r>
        <w:rPr>
          <w:rFonts w:ascii="Times New Roman" w:hAnsi="Times New Roman" w:cs="Times New Roman"/>
          <w:b/>
          <w:bCs/>
        </w:rPr>
        <w:t>本项目围绕运营期隧道衬砌结构在长期服役过程中出现的裂缝、渗漏、空洞、脱空等典型病害，针对检测—表征—修复—评价全链条中的关键科学与技术问题，</w:t>
      </w:r>
      <w:r>
        <w:rPr>
          <w:rFonts w:ascii="Times New Roman" w:hAnsi="Times New Roman" w:cs="Times New Roman"/>
        </w:rPr>
        <w:t>拟开展系统性研究。研究范畴主要涵盖以下</w:t>
      </w:r>
      <w:r>
        <w:rPr>
          <w:rFonts w:hint="eastAsia" w:ascii="Times New Roman" w:hAnsi="Times New Roman" w:cs="Times New Roman"/>
        </w:rPr>
        <w:t>三</w:t>
      </w:r>
      <w:r>
        <w:rPr>
          <w:rFonts w:ascii="Times New Roman" w:hAnsi="Times New Roman" w:cs="Times New Roman"/>
        </w:rPr>
        <w:t>个层面：</w:t>
      </w:r>
    </w:p>
    <w:p w14:paraId="446FF9C7">
      <w:pPr>
        <w:rPr>
          <w:rFonts w:ascii="Times New Roman" w:hAnsi="Times New Roman" w:cs="Times New Roman"/>
        </w:rPr>
      </w:pPr>
      <w:r>
        <w:rPr>
          <w:rFonts w:ascii="Times New Roman" w:hAnsi="Times New Roman" w:cs="Times New Roman"/>
        </w:rPr>
        <w:t>（1）运营隧道衬砌病害分布规律与图像特征研究</w:t>
      </w:r>
    </w:p>
    <w:p w14:paraId="77B17F52">
      <w:pPr>
        <w:rPr>
          <w:rFonts w:ascii="Times New Roman" w:hAnsi="Times New Roman" w:cs="Times New Roman"/>
        </w:rPr>
      </w:pPr>
      <w:r>
        <w:rPr>
          <w:rFonts w:ascii="Times New Roman" w:hAnsi="Times New Roman" w:cs="Times New Roman"/>
        </w:rPr>
        <w:t>（2）基于深度学习技术的衬砌病害高效检测方法研究</w:t>
      </w:r>
    </w:p>
    <w:p w14:paraId="74F4AE4C">
      <w:pPr>
        <w:rPr>
          <w:rFonts w:ascii="Times New Roman" w:hAnsi="Times New Roman" w:cs="Times New Roman"/>
        </w:rPr>
      </w:pPr>
      <w:r>
        <w:rPr>
          <w:rFonts w:ascii="Times New Roman" w:hAnsi="Times New Roman" w:cs="Times New Roman"/>
        </w:rPr>
        <w:t>（3）基于衬砌病害识别定位与表征分级的靶向性注浆修复技术</w:t>
      </w:r>
    </w:p>
    <w:p w14:paraId="404EC2A3">
      <w:pPr>
        <w:rPr>
          <w:rFonts w:ascii="Times New Roman" w:hAnsi="Times New Roman" w:cs="Times New Roman"/>
        </w:rPr>
      </w:pPr>
      <w:r>
        <w:rPr>
          <w:rFonts w:hint="eastAsia" w:ascii="Times New Roman" w:hAnsi="Times New Roman" w:cs="Times New Roman"/>
        </w:rPr>
        <w:t>1.2 拟解决的科学问题</w:t>
      </w:r>
    </w:p>
    <w:p w14:paraId="58D1C2B9">
      <w:pPr>
        <w:ind w:firstLine="480" w:firstLineChars="200"/>
        <w:rPr>
          <w:rFonts w:ascii="Times New Roman" w:hAnsi="Times New Roman" w:cs="Times New Roman"/>
        </w:rPr>
      </w:pPr>
      <w:r>
        <w:rPr>
          <w:rFonts w:ascii="Times New Roman" w:hAnsi="Times New Roman" w:cs="Times New Roman"/>
        </w:rPr>
        <w:t>本项目聚焦运营隧道衬砌结构病害的智能检测与服役韧性提升，主要研究并解决以下两个科学问题：</w:t>
      </w:r>
    </w:p>
    <w:p w14:paraId="50920B93">
      <w:pPr>
        <w:ind w:firstLine="482" w:firstLineChars="200"/>
        <w:rPr>
          <w:rFonts w:ascii="Times New Roman" w:hAnsi="Times New Roman" w:cs="Times New Roman"/>
          <w:b/>
          <w:bCs/>
        </w:rPr>
      </w:pPr>
      <w:r>
        <w:rPr>
          <w:rFonts w:ascii="Times New Roman" w:hAnsi="Times New Roman" w:cs="Times New Roman"/>
          <w:b/>
          <w:bCs/>
        </w:rPr>
        <w:t>（1）衬砌病害多源信息的融合识别机理问题。</w:t>
      </w:r>
    </w:p>
    <w:p w14:paraId="603C6A06">
      <w:pPr>
        <w:ind w:firstLine="480" w:firstLineChars="200"/>
        <w:rPr>
          <w:rFonts w:ascii="Times New Roman" w:hAnsi="Times New Roman" w:cs="Times New Roman"/>
        </w:rPr>
      </w:pPr>
      <w:r>
        <w:rPr>
          <w:rFonts w:ascii="Times New Roman" w:hAnsi="Times New Roman" w:cs="Times New Roman"/>
        </w:rPr>
        <w:t>如何在复杂光照、曲面成像及多噪声环境下，实现裂缝、脱空、渗漏等病害的高效、多模态识别，是提升检测精度与智能化水平的核心科学问题。</w:t>
      </w:r>
    </w:p>
    <w:p w14:paraId="2DEF136E">
      <w:pPr>
        <w:ind w:firstLine="482" w:firstLineChars="200"/>
        <w:rPr>
          <w:rFonts w:ascii="Times New Roman" w:hAnsi="Times New Roman" w:cs="Times New Roman"/>
          <w:b/>
          <w:bCs/>
        </w:rPr>
      </w:pPr>
      <w:r>
        <w:rPr>
          <w:rFonts w:ascii="Times New Roman" w:hAnsi="Times New Roman" w:cs="Times New Roman"/>
          <w:b/>
          <w:bCs/>
        </w:rPr>
        <w:t>（2）靶向修复过程中的材料扩散与结构韧性协同演化机制。</w:t>
      </w:r>
    </w:p>
    <w:p w14:paraId="411B38C8">
      <w:pPr>
        <w:ind w:firstLine="480" w:firstLineChars="200"/>
        <w:rPr>
          <w:rFonts w:ascii="Times New Roman" w:hAnsi="Times New Roman" w:cs="Times New Roman"/>
        </w:rPr>
      </w:pPr>
      <w:r>
        <w:rPr>
          <w:rFonts w:ascii="Times New Roman" w:hAnsi="Times New Roman" w:cs="Times New Roman"/>
        </w:rPr>
        <w:t>注浆修复中浆液扩散规律与衬砌力学性能恢复的耦合关系尚不清晰，亟需揭示修复参数、微观结构演化与服役韧性提升之间的内在机理。</w:t>
      </w:r>
    </w:p>
    <w:p w14:paraId="6A15629C">
      <w:pPr>
        <w:rPr>
          <w:rFonts w:ascii="Times New Roman" w:hAnsi="Times New Roman" w:cs="Times New Roman"/>
        </w:rPr>
      </w:pPr>
      <w:r>
        <w:rPr>
          <w:rFonts w:ascii="Times New Roman" w:hAnsi="Times New Roman" w:cs="Times New Roman"/>
        </w:rPr>
        <w:t xml:space="preserve">2. 关键技术攻关路线： </w:t>
      </w:r>
    </w:p>
    <w:p w14:paraId="6C56FBEB">
      <w:pPr>
        <w:ind w:firstLine="480" w:firstLineChars="200"/>
        <w:rPr>
          <w:rFonts w:ascii="Times New Roman" w:hAnsi="Times New Roman" w:cs="Times New Roman"/>
        </w:rPr>
      </w:pPr>
      <w:r>
        <w:rPr>
          <w:rFonts w:hint="eastAsia" w:ascii="Times New Roman" w:hAnsi="Times New Roman" w:cs="Times New Roman"/>
        </w:rPr>
        <w:t>本</w:t>
      </w:r>
      <w:r>
        <w:rPr>
          <w:rFonts w:ascii="Times New Roman" w:hAnsi="Times New Roman" w:cs="Times New Roman"/>
        </w:rPr>
        <w:t>项目以运营隧道衬砌结构病害的智能检测与韧性提升为核心，拟通过多源信息融合与深度学习算法相结合，突破复杂环境下病害识别精度低、表征定量化不足的技术瓶颈；基于探地雷达与光学成像数据构建病害信号与结构响应的关联模型，实现衬砌损伤状态的精准评估；进一步研究靶向注浆修复机理，优化浆液扩散与力学性能恢复过程，形成检测、修复与韧性演化一体化的技术路线，支撑隧道结构的智能化养护与安全运营。</w:t>
      </w:r>
    </w:p>
    <w:p w14:paraId="564E90FA">
      <w:pPr>
        <w:rPr>
          <w:rFonts w:ascii="Times New Roman" w:hAnsi="Times New Roman" w:cs="Times New Roman"/>
        </w:rPr>
      </w:pPr>
      <w:r>
        <w:rPr>
          <w:rFonts w:ascii="Times New Roman" w:hAnsi="Times New Roman" w:cs="Times New Roman"/>
        </w:rPr>
        <w:t xml:space="preserve">3. 技术指标与性能要求： </w:t>
      </w:r>
    </w:p>
    <w:p w14:paraId="1C58302F">
      <w:pPr>
        <w:ind w:firstLine="480" w:firstLineChars="200"/>
        <w:rPr>
          <w:rFonts w:ascii="Times New Roman" w:hAnsi="Times New Roman" w:cs="Times New Roman"/>
        </w:rPr>
      </w:pPr>
      <w:r>
        <w:rPr>
          <w:rFonts w:ascii="Times New Roman" w:hAnsi="Times New Roman" w:cs="Times New Roman"/>
        </w:rPr>
        <w:t>项目拟形成一套面向运营隧道衬砌结构的智能检测与靶向修复系统，整体技术要求强调检测的准确性、稳定性与环境适应性。系统应能够实现多源信息的融合处理，具备对典型病害的自动识别与定位能力；软件平台应具备病害图像可视化、结构状态分析及结果管理等功能，响应快速、运行可靠；靶向修复技术应能显著提升衬砌结构的服役韧性与安全性能，具备良好的可操作性与可推广性。整体技术体系应达到隧道病害“检测—表征—修复—评价”一体化目标，为后续工程化应用提供支撑。</w:t>
      </w:r>
    </w:p>
    <w:p w14:paraId="761E155F">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ascii="Times New Roman" w:hAnsi="Times New Roman" w:cs="Times New Roman"/>
        </w:rPr>
        <w:t>项目成果及交付物要求</w:t>
      </w:r>
    </w:p>
    <w:p w14:paraId="0E634A0B">
      <w:pPr>
        <w:rPr>
          <w:rFonts w:ascii="Times New Roman" w:hAnsi="Times New Roman" w:cs="Times New Roman"/>
        </w:rPr>
      </w:pPr>
      <w:r>
        <w:rPr>
          <w:rFonts w:ascii="Times New Roman" w:hAnsi="Times New Roman" w:cs="Times New Roman"/>
        </w:rPr>
        <w:t>明确研究结束后需要交付的所有有形和无形成果。</w:t>
      </w:r>
    </w:p>
    <w:p w14:paraId="651CB24C">
      <w:pPr>
        <w:rPr>
          <w:rFonts w:ascii="Times New Roman" w:hAnsi="Times New Roman" w:cs="Times New Roman"/>
        </w:rPr>
      </w:pPr>
      <w:r>
        <w:rPr>
          <w:rFonts w:ascii="Times New Roman" w:hAnsi="Times New Roman" w:cs="Times New Roman"/>
        </w:rPr>
        <w:t>1. 有形交付物：</w:t>
      </w:r>
    </w:p>
    <w:p w14:paraId="0D6BCE8E">
      <w:pPr>
        <w:rPr>
          <w:rFonts w:ascii="Times New Roman" w:hAnsi="Times New Roman" w:cs="Times New Roman"/>
        </w:rPr>
      </w:pPr>
      <w:r>
        <w:rPr>
          <w:rFonts w:ascii="Times New Roman" w:hAnsi="Times New Roman" w:cs="Times New Roman"/>
        </w:rPr>
        <w:t xml:space="preserve">   · 研究报告： </w:t>
      </w:r>
      <w:r>
        <w:rPr>
          <w:rFonts w:hint="eastAsia" w:ascii="Times New Roman" w:hAnsi="Times New Roman" w:cs="Times New Roman"/>
        </w:rPr>
        <w:t>“</w:t>
      </w:r>
      <w:r>
        <w:rPr>
          <w:rFonts w:ascii="Times New Roman" w:hAnsi="Times New Roman" w:cs="Times New Roman"/>
        </w:rPr>
        <w:t>运营隧道衬砌病害智能检测方法及结构韧性提升技术研究”项目的</w:t>
      </w:r>
      <w:r>
        <w:rPr>
          <w:rFonts w:hint="eastAsia" w:ascii="Times New Roman" w:hAnsi="Times New Roman" w:cs="Times New Roman"/>
        </w:rPr>
        <w:t>中期、结题报告</w:t>
      </w:r>
      <w:r>
        <w:rPr>
          <w:rFonts w:ascii="Times New Roman" w:hAnsi="Times New Roman" w:cs="Times New Roman"/>
        </w:rPr>
        <w:t>等。</w:t>
      </w:r>
    </w:p>
    <w:p w14:paraId="44B4AF32">
      <w:pPr>
        <w:rPr>
          <w:rFonts w:ascii="Times New Roman" w:hAnsi="Times New Roman" w:cs="Times New Roman"/>
        </w:rPr>
      </w:pPr>
      <w:r>
        <w:rPr>
          <w:rFonts w:ascii="Times New Roman" w:hAnsi="Times New Roman" w:cs="Times New Roman"/>
        </w:rPr>
        <w:t xml:space="preserve">   · </w:t>
      </w:r>
      <w:r>
        <w:rPr>
          <w:rFonts w:hint="eastAsia" w:ascii="Times New Roman" w:hAnsi="Times New Roman" w:cs="Times New Roman"/>
        </w:rPr>
        <w:t>论文</w:t>
      </w:r>
      <w:r>
        <w:rPr>
          <w:rFonts w:ascii="Times New Roman" w:hAnsi="Times New Roman" w:cs="Times New Roman"/>
        </w:rPr>
        <w:t xml:space="preserve">： </w:t>
      </w:r>
      <w:r>
        <w:rPr>
          <w:rFonts w:hint="eastAsia" w:ascii="Times New Roman" w:hAnsi="Times New Roman" w:cs="Times New Roman"/>
        </w:rPr>
        <w:t>高水平论文1~2篇；</w:t>
      </w:r>
    </w:p>
    <w:p w14:paraId="6C0B24C8">
      <w:pPr>
        <w:rPr>
          <w:rFonts w:ascii="Times New Roman" w:hAnsi="Times New Roman" w:cs="Times New Roman"/>
        </w:rPr>
      </w:pPr>
      <w:r>
        <w:rPr>
          <w:rFonts w:ascii="Times New Roman" w:hAnsi="Times New Roman" w:cs="Times New Roman"/>
        </w:rPr>
        <w:t xml:space="preserve">   · </w:t>
      </w:r>
      <w:r>
        <w:rPr>
          <w:rFonts w:hint="eastAsia" w:ascii="Times New Roman" w:hAnsi="Times New Roman" w:cs="Times New Roman"/>
        </w:rPr>
        <w:t>专利软著：相关专利1~2项。</w:t>
      </w:r>
    </w:p>
    <w:p w14:paraId="601C470E">
      <w:pPr>
        <w:rPr>
          <w:rFonts w:ascii="Times New Roman" w:hAnsi="Times New Roman" w:cs="Times New Roman"/>
        </w:rPr>
      </w:pPr>
      <w:r>
        <w:rPr>
          <w:rFonts w:ascii="Times New Roman" w:hAnsi="Times New Roman" w:cs="Times New Roman"/>
        </w:rPr>
        <w:t>2. 无形交付物：</w:t>
      </w:r>
    </w:p>
    <w:p w14:paraId="3E3379E3">
      <w:pPr>
        <w:rPr>
          <w:rFonts w:ascii="Times New Roman" w:hAnsi="Times New Roman" w:cs="Times New Roman"/>
        </w:rPr>
      </w:pPr>
      <w:r>
        <w:rPr>
          <w:rFonts w:ascii="Times New Roman" w:hAnsi="Times New Roman" w:cs="Times New Roman"/>
        </w:rPr>
        <w:t xml:space="preserve">   · 知识产权： 明确知识产权的归属（通常归甲方所有或双方共有），并要求提交专利申请受理通知书、授权证书等证明文件。</w:t>
      </w:r>
    </w:p>
    <w:p w14:paraId="0843684C">
      <w:pPr>
        <w:rPr>
          <w:rFonts w:ascii="Times New Roman" w:hAnsi="Times New Roman" w:cs="Times New Roman"/>
        </w:rPr>
      </w:pPr>
      <w:r>
        <w:rPr>
          <w:rFonts w:ascii="Times New Roman" w:hAnsi="Times New Roman" w:cs="Times New Roman"/>
        </w:rPr>
        <w:t xml:space="preserve">   · 论文著作： 要求标注资助来源，并提交发表刊物的封面、目录和论文首页。</w:t>
      </w:r>
    </w:p>
    <w:p w14:paraId="7F86DFF9">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546D68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6ACE84C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3CE0372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79B55DEB">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14504A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2EE6104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0112A9B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46B5040A">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2ABED8E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2305DCD4">
      <w:pPr>
        <w:spacing w:line="360" w:lineRule="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 xml:space="preserve"> 项目概况与背景</w:t>
      </w:r>
    </w:p>
    <w:p w14:paraId="6455A677">
      <w:pPr>
        <w:spacing w:line="360" w:lineRule="auto"/>
        <w:rPr>
          <w:rFonts w:hint="eastAsia"/>
          <w:sz w:val="24"/>
          <w:szCs w:val="24"/>
        </w:rPr>
      </w:pPr>
      <w:r>
        <w:rPr>
          <w:rFonts w:hint="eastAsia"/>
          <w:sz w:val="24"/>
          <w:szCs w:val="24"/>
        </w:rPr>
        <w:t>1. 项目名称：公路养护作业安全主动预防与管控成套技术研究</w:t>
      </w:r>
    </w:p>
    <w:p w14:paraId="13EC4234">
      <w:pPr>
        <w:spacing w:line="360" w:lineRule="auto"/>
        <w:rPr>
          <w:rFonts w:hint="eastAsia"/>
          <w:sz w:val="24"/>
          <w:szCs w:val="24"/>
        </w:rPr>
      </w:pPr>
      <w:r>
        <w:rPr>
          <w:rFonts w:hint="eastAsia"/>
          <w:sz w:val="24"/>
          <w:szCs w:val="24"/>
        </w:rPr>
        <w:t>2. 立项背景与必要性：</w:t>
      </w:r>
    </w:p>
    <w:p w14:paraId="7D61A18A">
      <w:pPr>
        <w:spacing w:line="360" w:lineRule="auto"/>
        <w:ind w:firstLine="480" w:firstLineChars="200"/>
        <w:rPr>
          <w:rFonts w:hint="eastAsia" w:eastAsiaTheme="minorEastAsia"/>
          <w:sz w:val="24"/>
          <w:szCs w:val="24"/>
          <w:lang w:eastAsia="zh-CN"/>
        </w:rPr>
      </w:pPr>
      <w:r>
        <w:rPr>
          <w:rFonts w:hint="eastAsia" w:ascii="Times New Roman" w:hAnsi="Times New Roman" w:eastAsia="宋体" w:cs="Times New Roman"/>
          <w:sz w:val="24"/>
          <w:szCs w:val="24"/>
          <w:lang w:val="en-US" w:eastAsia="zh-CN"/>
        </w:rPr>
        <w:t>运营高速公路养护作业区事故可分为施工作业区域车辆拥堵、追尾、车辆闯入作业区、车辆与养护施工人员（巡查人员）车辆碰撞等，事故造成不同程度的人员伤亡及经济损失，严重者甚至引发多车连续追尾，由此导致的交通事故率上升和通行能力下降等问题日益突出。此外，相关部门日常对路基路面、桥隧、交安设施等巡查时，面临着高速公路车流量大、巡检人员停车检查记录时工作风险较大的问题，特别是恶劣天气或夜间巡查情况下人员安全难于保障。因此，作为高速公路事故高发场景的养护作业、日常巡查，如何有效监测这些区域内车辆和人员行为、并迅速做出确切对策，从而有效降低事故率、减少伤亡率，都成为高速公路管理部门亟需解决的难题和相关研究项目的重点研究内容。目前，面对事故、事件的发生，传统模式的“人防”、“物防”等存在感知不主动、发现不及时、预警不到位、回溯不准确、管理不智能等问题。因此，急需智慧化安全预警以更好地保障高速公路养护施工作业和正常行车的安全。</w:t>
      </w:r>
    </w:p>
    <w:p w14:paraId="2FC515CB">
      <w:pPr>
        <w:spacing w:line="360" w:lineRule="auto"/>
        <w:rPr>
          <w:rFonts w:hint="eastAsia"/>
          <w:sz w:val="24"/>
          <w:szCs w:val="24"/>
        </w:rPr>
      </w:pPr>
      <w:r>
        <w:rPr>
          <w:rFonts w:hint="eastAsia"/>
          <w:sz w:val="24"/>
          <w:szCs w:val="24"/>
        </w:rPr>
        <w:t>3. 研究目标与考核指标：</w:t>
      </w:r>
    </w:p>
    <w:p w14:paraId="5C8FC090">
      <w:pPr>
        <w:spacing w:line="360" w:lineRule="auto"/>
        <w:rPr>
          <w:rFonts w:hint="eastAsia" w:ascii="Times New Roman" w:hAnsi="Times New Roman" w:eastAsia="宋体" w:cs="Times New Roman"/>
          <w:sz w:val="24"/>
          <w:szCs w:val="24"/>
          <w:lang w:val="en-US" w:eastAsia="zh-CN"/>
        </w:rPr>
      </w:pPr>
      <w:r>
        <w:rPr>
          <w:rFonts w:hint="eastAsia"/>
          <w:sz w:val="24"/>
          <w:szCs w:val="24"/>
        </w:rPr>
        <w:t xml:space="preserve">   · 总体目标： </w:t>
      </w:r>
      <w:r>
        <w:rPr>
          <w:rFonts w:hint="eastAsia" w:ascii="Times New Roman" w:hAnsi="Times New Roman" w:eastAsia="宋体" w:cs="Times New Roman"/>
          <w:sz w:val="24"/>
          <w:szCs w:val="24"/>
          <w:lang w:val="en-US" w:eastAsia="zh-CN"/>
        </w:rPr>
        <w:t xml:space="preserve"> </w:t>
      </w:r>
    </w:p>
    <w:p w14:paraId="46F824BA">
      <w:pPr>
        <w:spacing w:line="360" w:lineRule="auto"/>
        <w:ind w:firstLine="480" w:firstLineChars="200"/>
        <w:rPr>
          <w:rFonts w:hint="eastAsia"/>
          <w:sz w:val="24"/>
          <w:szCs w:val="24"/>
        </w:rPr>
      </w:pPr>
      <w:r>
        <w:rPr>
          <w:rFonts w:hint="eastAsia" w:ascii="Times New Roman" w:hAnsi="Times New Roman" w:eastAsia="宋体" w:cs="Times New Roman"/>
          <w:sz w:val="24"/>
          <w:szCs w:val="24"/>
          <w:lang w:val="en-US" w:eastAsia="zh-CN"/>
        </w:rPr>
        <w:t>本课题将对养护作业区安全问题开展针对性研究，开发多场景养护作业安全的智慧安全管控系统、多场景养护作业安全的智慧监测预警产品，以达到对施工人员、施工车辆、通行车辆进行风险事件预警，采用主动措施消除或减少风险源，从而降低事故的发生，降低事故严重程度，减少事故造成的直接经济损失，保护人民生命财产安全。</w:t>
      </w:r>
    </w:p>
    <w:p w14:paraId="60864C9A">
      <w:pPr>
        <w:spacing w:line="360" w:lineRule="auto"/>
        <w:ind w:firstLine="240" w:firstLineChars="100"/>
        <w:rPr>
          <w:rFonts w:hint="eastAsia"/>
          <w:sz w:val="24"/>
          <w:szCs w:val="24"/>
        </w:rPr>
      </w:pPr>
      <w:r>
        <w:rPr>
          <w:rFonts w:hint="eastAsia"/>
          <w:sz w:val="24"/>
          <w:szCs w:val="24"/>
        </w:rPr>
        <w:t>· 具体考核指标：</w:t>
      </w:r>
    </w:p>
    <w:p w14:paraId="3F0C5356">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1）研发一套养护作业区及其上下游过渡段的作业安全主动预防和管控的成套软件平台与预警装备。</w:t>
      </w:r>
    </w:p>
    <w:p w14:paraId="31F33F9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2）形成多场景养护作业安全主动预防与管控措施技术指导手册。</w:t>
      </w:r>
    </w:p>
    <w:p w14:paraId="49D90E40">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3）形成主动预防与管控措施相关设备技术要求、数据传输标准。</w:t>
      </w:r>
    </w:p>
    <w:p w14:paraId="09F768F7">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4）申请实用新型专利或软著不少于5项。</w:t>
      </w:r>
    </w:p>
    <w:p w14:paraId="2175001B">
      <w:pPr>
        <w:spacing w:line="360" w:lineRule="auto"/>
        <w:ind w:firstLine="480" w:firstLineChars="200"/>
        <w:rPr>
          <w:rFonts w:hint="eastAsia"/>
          <w:sz w:val="24"/>
          <w:szCs w:val="24"/>
          <w:highlight w:val="yellow"/>
        </w:rPr>
      </w:pPr>
      <w:r>
        <w:rPr>
          <w:rFonts w:hint="eastAsia" w:ascii="Times New Roman" w:hAnsi="Times New Roman" w:eastAsia="宋体" w:cs="Times New Roman"/>
          <w:sz w:val="24"/>
          <w:szCs w:val="24"/>
          <w:lang w:val="en-US" w:eastAsia="zh-CN"/>
        </w:rPr>
        <w:t>5）在国内专业刊物发表科技论文不少于5篇</w:t>
      </w:r>
    </w:p>
    <w:p w14:paraId="3669C2F3">
      <w:pPr>
        <w:spacing w:line="360" w:lineRule="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主要研究内容与技术要求</w:t>
      </w:r>
    </w:p>
    <w:p w14:paraId="4CE2D2F7">
      <w:pPr>
        <w:numPr>
          <w:ilvl w:val="0"/>
          <w:numId w:val="7"/>
        </w:numPr>
        <w:spacing w:line="360" w:lineRule="auto"/>
        <w:rPr>
          <w:rFonts w:hint="eastAsia"/>
          <w:sz w:val="24"/>
          <w:szCs w:val="24"/>
          <w:highlight w:val="none"/>
        </w:rPr>
      </w:pPr>
      <w:r>
        <w:rPr>
          <w:rFonts w:hint="eastAsia"/>
          <w:sz w:val="24"/>
          <w:szCs w:val="24"/>
          <w:highlight w:val="none"/>
        </w:rPr>
        <w:t xml:space="preserve">研究范畴界定： </w:t>
      </w:r>
    </w:p>
    <w:p w14:paraId="310AD222">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1）未以施工作业区整体为对象，系统研究并解决其前端、侧面、拥堵、侵入等安全问题，仅主要针对施工作业区前端车辆闯入进行预警。</w:t>
      </w:r>
    </w:p>
    <w:p w14:paraId="5DCE722B">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2）目前主要采用红外线技术，其受环境干扰较大，稳定性较差。</w:t>
      </w:r>
    </w:p>
    <w:p w14:paraId="2378384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3）目前施工作业区布置规范性较差，无法对其类型、数量、位置等自检发现问题。</w:t>
      </w:r>
    </w:p>
    <w:p w14:paraId="36638D8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4）目前施工作业区前端主要采用以被动防护装备为主，通过主动预警装置降低其事故率较少。</w:t>
      </w:r>
    </w:p>
    <w:p w14:paraId="546E8F6E">
      <w:pPr>
        <w:numPr>
          <w:ilvl w:val="0"/>
          <w:numId w:val="7"/>
        </w:numPr>
        <w:spacing w:line="360" w:lineRule="auto"/>
        <w:ind w:left="0" w:leftChars="0" w:firstLine="0" w:firstLineChars="0"/>
        <w:rPr>
          <w:rFonts w:hint="eastAsia"/>
          <w:sz w:val="24"/>
          <w:szCs w:val="24"/>
          <w:highlight w:val="none"/>
        </w:rPr>
      </w:pPr>
      <w:r>
        <w:rPr>
          <w:rFonts w:hint="eastAsia"/>
          <w:sz w:val="24"/>
          <w:szCs w:val="24"/>
          <w:highlight w:val="none"/>
        </w:rPr>
        <w:t xml:space="preserve">关键技术攻关路线： </w:t>
      </w:r>
    </w:p>
    <w:p w14:paraId="53204551">
      <w:pPr>
        <w:pStyle w:val="29"/>
        <w:kinsoku w:val="0"/>
        <w:overflowPunct w:val="0"/>
        <w:spacing w:before="72" w:beforeAutospacing="0" w:after="0" w:afterAutospacing="0" w:line="360" w:lineRule="auto"/>
        <w:ind w:firstLine="480" w:firstLineChars="200"/>
        <w:jc w:val="both"/>
        <w:textAlignment w:val="baseline"/>
        <w:rPr>
          <w:rFonts w:cs="Times New Roman"/>
          <w:color w:val="000000"/>
          <w:kern w:val="2"/>
          <w:highlight w:val="none"/>
        </w:rPr>
      </w:pPr>
      <w:r>
        <w:rPr>
          <w:rFonts w:hint="eastAsia" w:cs="Times New Roman"/>
          <w:color w:val="000000"/>
          <w:kern w:val="2"/>
          <w:highlight w:val="none"/>
          <w:lang w:val="en-US" w:eastAsia="zh-CN"/>
        </w:rPr>
        <w:t>1）</w:t>
      </w:r>
      <w:r>
        <w:rPr>
          <w:rFonts w:hint="eastAsia" w:cs="Times New Roman"/>
          <w:color w:val="000000"/>
          <w:kern w:val="2"/>
          <w:highlight w:val="none"/>
        </w:rPr>
        <w:t>多场景养护作业安全主动预防措施方案及评价指标</w:t>
      </w:r>
    </w:p>
    <w:p w14:paraId="01E0F2FB">
      <w:pPr>
        <w:pStyle w:val="29"/>
        <w:kinsoku w:val="0"/>
        <w:overflowPunct w:val="0"/>
        <w:spacing w:before="72" w:beforeAutospacing="0" w:after="0" w:afterAutospacing="0" w:line="360" w:lineRule="auto"/>
        <w:ind w:firstLine="480" w:firstLineChars="200"/>
        <w:jc w:val="both"/>
        <w:textAlignment w:val="baseline"/>
        <w:rPr>
          <w:rFonts w:cs="Times New Roman"/>
          <w:color w:val="000000"/>
          <w:kern w:val="2"/>
        </w:rPr>
      </w:pPr>
      <w:r>
        <w:rPr>
          <w:rFonts w:hint="eastAsia" w:cs="Times New Roman"/>
          <w:color w:val="000000"/>
          <w:kern w:val="2"/>
        </w:rPr>
        <w:t>2</w:t>
      </w:r>
      <w:r>
        <w:rPr>
          <w:rFonts w:hint="eastAsia" w:cs="Times New Roman"/>
          <w:color w:val="000000"/>
          <w:kern w:val="2"/>
          <w:lang w:eastAsia="zh-CN"/>
        </w:rPr>
        <w:t>）</w:t>
      </w:r>
      <w:r>
        <w:rPr>
          <w:rFonts w:hint="eastAsia" w:cs="Times New Roman"/>
          <w:color w:val="000000"/>
          <w:kern w:val="2"/>
        </w:rPr>
        <w:t>多场景养护作业安全问题基于北斗定位通信技术的解决方案</w:t>
      </w:r>
    </w:p>
    <w:p w14:paraId="277E54C6">
      <w:pPr>
        <w:pStyle w:val="29"/>
        <w:kinsoku w:val="0"/>
        <w:overflowPunct w:val="0"/>
        <w:spacing w:before="72" w:beforeAutospacing="0" w:after="0" w:afterAutospacing="0" w:line="360" w:lineRule="auto"/>
        <w:ind w:firstLine="480" w:firstLineChars="200"/>
        <w:jc w:val="both"/>
        <w:textAlignment w:val="baseline"/>
        <w:rPr>
          <w:rFonts w:hint="eastAsia" w:cs="Times New Roman"/>
          <w:color w:val="000000"/>
          <w:kern w:val="2"/>
        </w:rPr>
      </w:pPr>
      <w:r>
        <w:rPr>
          <w:rFonts w:hint="eastAsia" w:cs="Times New Roman"/>
          <w:color w:val="000000"/>
          <w:kern w:val="2"/>
        </w:rPr>
        <w:t>3</w:t>
      </w:r>
      <w:r>
        <w:rPr>
          <w:rFonts w:hint="eastAsia" w:cs="Times New Roman"/>
          <w:color w:val="000000"/>
          <w:kern w:val="2"/>
          <w:lang w:eastAsia="zh-CN"/>
        </w:rPr>
        <w:t>）</w:t>
      </w:r>
      <w:r>
        <w:rPr>
          <w:rFonts w:hint="eastAsia" w:cs="Times New Roman"/>
          <w:color w:val="000000"/>
          <w:kern w:val="2"/>
        </w:rPr>
        <w:t>多场景养护作业安全问题的AI图像识别技术</w:t>
      </w:r>
    </w:p>
    <w:p w14:paraId="2A6ECB3D">
      <w:pPr>
        <w:pStyle w:val="29"/>
        <w:kinsoku w:val="0"/>
        <w:overflowPunct w:val="0"/>
        <w:spacing w:before="72" w:beforeAutospacing="0" w:after="0" w:afterAutospacing="0" w:line="360" w:lineRule="auto"/>
        <w:ind w:firstLine="480" w:firstLineChars="200"/>
        <w:jc w:val="both"/>
        <w:textAlignment w:val="baseline"/>
        <w:rPr>
          <w:rFonts w:hint="eastAsia" w:cs="Times New Roman"/>
          <w:color w:val="000000"/>
          <w:kern w:val="2"/>
        </w:rPr>
      </w:pPr>
      <w:r>
        <w:rPr>
          <w:rFonts w:hint="eastAsia" w:cs="Times New Roman"/>
          <w:color w:val="000000"/>
          <w:kern w:val="2"/>
        </w:rPr>
        <w:t>4</w:t>
      </w:r>
      <w:r>
        <w:rPr>
          <w:rFonts w:hint="eastAsia" w:cs="Times New Roman"/>
          <w:color w:val="000000"/>
          <w:kern w:val="2"/>
          <w:lang w:eastAsia="zh-CN"/>
        </w:rPr>
        <w:t>）</w:t>
      </w:r>
      <w:r>
        <w:rPr>
          <w:rFonts w:hint="eastAsia" w:cs="Times New Roman"/>
          <w:color w:val="000000"/>
          <w:kern w:val="2"/>
        </w:rPr>
        <w:t xml:space="preserve"> 多场景养护作业安全问题指标化和主动预警模型构建</w:t>
      </w:r>
    </w:p>
    <w:p w14:paraId="38ACF099">
      <w:pPr>
        <w:pStyle w:val="29"/>
        <w:kinsoku w:val="0"/>
        <w:overflowPunct w:val="0"/>
        <w:spacing w:before="72" w:beforeAutospacing="0" w:after="0" w:afterAutospacing="0" w:line="360" w:lineRule="auto"/>
        <w:ind w:firstLine="480" w:firstLineChars="200"/>
        <w:jc w:val="both"/>
        <w:textAlignment w:val="baseline"/>
        <w:rPr>
          <w:rFonts w:hint="eastAsia" w:cs="Times New Roman"/>
          <w:color w:val="000000"/>
          <w:kern w:val="2"/>
        </w:rPr>
      </w:pPr>
      <w:r>
        <w:rPr>
          <w:rFonts w:hint="eastAsia" w:cs="Times New Roman"/>
          <w:color w:val="000000"/>
          <w:kern w:val="2"/>
        </w:rPr>
        <w:t>5</w:t>
      </w:r>
      <w:r>
        <w:rPr>
          <w:rFonts w:hint="eastAsia" w:cs="Times New Roman"/>
          <w:color w:val="000000"/>
          <w:kern w:val="2"/>
          <w:lang w:eastAsia="zh-CN"/>
        </w:rPr>
        <w:t>）</w:t>
      </w:r>
      <w:r>
        <w:rPr>
          <w:rFonts w:hint="eastAsia" w:cs="Times New Roman"/>
          <w:color w:val="000000"/>
          <w:kern w:val="2"/>
        </w:rPr>
        <w:t xml:space="preserve"> 针对多场景养护作业区域研发并集成多重设备、软件平台形成主动预防和管控系统</w:t>
      </w:r>
    </w:p>
    <w:p w14:paraId="0683D221">
      <w:pPr>
        <w:spacing w:line="360" w:lineRule="auto"/>
        <w:rPr>
          <w:rFonts w:hint="eastAsia"/>
          <w:sz w:val="24"/>
          <w:szCs w:val="24"/>
        </w:rPr>
      </w:pPr>
      <w:r>
        <w:rPr>
          <w:rFonts w:hint="eastAsia"/>
          <w:sz w:val="24"/>
          <w:szCs w:val="24"/>
        </w:rPr>
        <w:t xml:space="preserve">3. 技术指标与性能要求： </w:t>
      </w:r>
    </w:p>
    <w:p w14:paraId="2D3D325B">
      <w:pPr>
        <w:pStyle w:val="29"/>
        <w:kinsoku w:val="0"/>
        <w:overflowPunct w:val="0"/>
        <w:spacing w:before="72" w:beforeAutospacing="0" w:after="0" w:afterAutospacing="0" w:line="360" w:lineRule="auto"/>
        <w:ind w:left="0" w:firstLine="480" w:firstLineChars="200"/>
        <w:jc w:val="both"/>
        <w:textAlignment w:val="baseline"/>
        <w:rPr>
          <w:rFonts w:hint="eastAsia" w:cs="Times New Roman"/>
          <w:color w:val="000000"/>
          <w:kern w:val="2"/>
          <w:lang w:eastAsia="zh-CN"/>
        </w:rPr>
      </w:pPr>
      <w:r>
        <w:rPr>
          <w:rFonts w:hint="eastAsia"/>
          <w:sz w:val="24"/>
          <w:szCs w:val="24"/>
          <w:lang w:val="en-US" w:eastAsia="zh-CN"/>
        </w:rPr>
        <w:t>1）</w:t>
      </w:r>
      <w:r>
        <w:rPr>
          <w:rFonts w:hint="eastAsia" w:cs="Times New Roman"/>
          <w:color w:val="000000"/>
          <w:kern w:val="2"/>
        </w:rPr>
        <w:t>智慧定位</w:t>
      </w:r>
      <w:r>
        <w:rPr>
          <w:rFonts w:cs="Times New Roman"/>
          <w:color w:val="000000"/>
          <w:kern w:val="2"/>
        </w:rPr>
        <w:t>信标</w:t>
      </w:r>
      <w:r>
        <w:rPr>
          <w:rFonts w:hint="eastAsia" w:cs="Times New Roman"/>
          <w:color w:val="000000"/>
          <w:kern w:val="2"/>
          <w:lang w:eastAsia="zh-CN"/>
        </w:rPr>
        <w:t>：</w:t>
      </w:r>
    </w:p>
    <w:p w14:paraId="524ED16A">
      <w:pPr>
        <w:pStyle w:val="29"/>
        <w:numPr>
          <w:ilvl w:val="0"/>
          <w:numId w:val="8"/>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hint="eastAsia" w:cs="Times New Roman"/>
          <w:color w:val="000000"/>
          <w:kern w:val="2"/>
        </w:rPr>
        <w:t>具有大容量电池，电池供电时间不应少于2年。</w:t>
      </w:r>
    </w:p>
    <w:p w14:paraId="355388FF">
      <w:pPr>
        <w:pStyle w:val="29"/>
        <w:numPr>
          <w:ilvl w:val="0"/>
          <w:numId w:val="8"/>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hint="eastAsia" w:cs="Times New Roman"/>
          <w:color w:val="000000"/>
          <w:kern w:val="2"/>
        </w:rPr>
        <w:t>具有广播功能。</w:t>
      </w:r>
    </w:p>
    <w:p w14:paraId="61440BF2">
      <w:pPr>
        <w:pStyle w:val="29"/>
        <w:numPr>
          <w:ilvl w:val="0"/>
          <w:numId w:val="8"/>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hint="eastAsia" w:cs="Times New Roman"/>
          <w:color w:val="000000"/>
          <w:kern w:val="2"/>
        </w:rPr>
        <w:t>产品感应距离不小于30米。</w:t>
      </w:r>
    </w:p>
    <w:p w14:paraId="411A1178">
      <w:pPr>
        <w:pStyle w:val="29"/>
        <w:numPr>
          <w:ilvl w:val="0"/>
          <w:numId w:val="8"/>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hint="eastAsia" w:cs="Times New Roman"/>
          <w:color w:val="000000"/>
          <w:kern w:val="2"/>
        </w:rPr>
        <w:t>产品能进行分级预警。</w:t>
      </w:r>
    </w:p>
    <w:p w14:paraId="5A9382C4">
      <w:pPr>
        <w:pStyle w:val="29"/>
        <w:numPr>
          <w:ilvl w:val="0"/>
          <w:numId w:val="8"/>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rFonts w:cs="Times New Roman"/>
          <w:color w:val="000000"/>
          <w:kern w:val="2"/>
        </w:rPr>
        <w:t>产品应防</w:t>
      </w:r>
      <w:r>
        <w:rPr>
          <w:rFonts w:hint="eastAsia" w:cs="Times New Roman"/>
          <w:color w:val="000000"/>
          <w:kern w:val="2"/>
        </w:rPr>
        <w:t>水防尘。</w:t>
      </w:r>
    </w:p>
    <w:p w14:paraId="4A7996F1">
      <w:pPr>
        <w:pStyle w:val="29"/>
        <w:kinsoku w:val="0"/>
        <w:overflowPunct w:val="0"/>
        <w:spacing w:before="72" w:beforeAutospacing="0" w:after="0" w:afterAutospacing="0" w:line="360" w:lineRule="auto"/>
        <w:ind w:left="0" w:firstLine="480" w:firstLineChars="200"/>
        <w:jc w:val="both"/>
        <w:textAlignment w:val="baseline"/>
        <w:rPr>
          <w:rFonts w:hint="eastAsia" w:cs="Times New Roman"/>
          <w:color w:val="000000"/>
          <w:kern w:val="2"/>
          <w:lang w:eastAsia="zh-CN"/>
        </w:rPr>
      </w:pPr>
      <w:r>
        <w:rPr>
          <w:rFonts w:hint="eastAsia"/>
          <w:sz w:val="24"/>
          <w:szCs w:val="24"/>
          <w:lang w:val="en-US" w:eastAsia="zh-CN"/>
        </w:rPr>
        <w:t>2）系统指标</w:t>
      </w:r>
      <w:r>
        <w:rPr>
          <w:rFonts w:hint="eastAsia" w:cs="Times New Roman"/>
          <w:color w:val="000000"/>
          <w:kern w:val="2"/>
          <w:lang w:eastAsia="zh-CN"/>
        </w:rPr>
        <w:t>：</w:t>
      </w:r>
    </w:p>
    <w:p w14:paraId="36284A03">
      <w:pPr>
        <w:pStyle w:val="29"/>
        <w:numPr>
          <w:ilvl w:val="0"/>
          <w:numId w:val="8"/>
        </w:numPr>
        <w:kinsoku w:val="0"/>
        <w:overflowPunct w:val="0"/>
        <w:spacing w:before="72" w:beforeAutospacing="0" w:after="0" w:afterAutospacing="0" w:line="360" w:lineRule="auto"/>
        <w:ind w:left="277" w:leftChars="0" w:firstLine="9" w:firstLineChars="0"/>
        <w:jc w:val="both"/>
        <w:textAlignment w:val="baseline"/>
        <w:rPr>
          <w:sz w:val="24"/>
        </w:rPr>
      </w:pPr>
      <w:r>
        <w:rPr>
          <w:rFonts w:hint="eastAsia" w:cs="Times New Roman"/>
          <w:color w:val="000000"/>
          <w:kern w:val="2"/>
          <w:lang w:val="en-US" w:eastAsia="zh-CN"/>
        </w:rPr>
        <w:t xml:space="preserve"> </w:t>
      </w:r>
      <w:r>
        <w:rPr>
          <w:sz w:val="24"/>
        </w:rPr>
        <w:t>多场景</w:t>
      </w:r>
      <w:r>
        <w:rPr>
          <w:rFonts w:hint="eastAsia"/>
          <w:sz w:val="24"/>
        </w:rPr>
        <w:t>养护作业区</w:t>
      </w:r>
      <w:r>
        <w:rPr>
          <w:sz w:val="24"/>
        </w:rPr>
        <w:t>风险事件自动感知、预警秒级响应。</w:t>
      </w:r>
    </w:p>
    <w:p w14:paraId="29B29AF5">
      <w:pPr>
        <w:pStyle w:val="29"/>
        <w:numPr>
          <w:ilvl w:val="0"/>
          <w:numId w:val="8"/>
        </w:numPr>
        <w:kinsoku w:val="0"/>
        <w:overflowPunct w:val="0"/>
        <w:spacing w:before="72" w:beforeAutospacing="0" w:after="0" w:afterAutospacing="0" w:line="360" w:lineRule="auto"/>
        <w:ind w:left="277" w:leftChars="0" w:firstLine="9" w:firstLineChars="0"/>
        <w:jc w:val="both"/>
        <w:textAlignment w:val="baseline"/>
        <w:rPr>
          <w:rFonts w:cs="Times New Roman"/>
          <w:color w:val="000000"/>
          <w:kern w:val="2"/>
        </w:rPr>
      </w:pPr>
      <w:r>
        <w:rPr>
          <w:rFonts w:hint="eastAsia" w:cs="Times New Roman"/>
          <w:color w:val="000000"/>
          <w:kern w:val="2"/>
          <w:lang w:val="en-US" w:eastAsia="zh-CN"/>
        </w:rPr>
        <w:t xml:space="preserve"> </w:t>
      </w:r>
      <w:r>
        <w:rPr>
          <w:sz w:val="24"/>
        </w:rPr>
        <w:t>多场景</w:t>
      </w:r>
      <w:r>
        <w:rPr>
          <w:rFonts w:hint="eastAsia"/>
          <w:sz w:val="24"/>
        </w:rPr>
        <w:t>养护作业区</w:t>
      </w:r>
      <w:r>
        <w:rPr>
          <w:sz w:val="24"/>
        </w:rPr>
        <w:t>管控系统，有效实现交通事件报警、预警一体化快速处理</w:t>
      </w:r>
    </w:p>
    <w:p w14:paraId="03BC45AB">
      <w:pPr>
        <w:spacing w:line="360" w:lineRule="auto"/>
        <w:rPr>
          <w:rFonts w:hint="eastAsia"/>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项目成果及交付物要求</w:t>
      </w:r>
    </w:p>
    <w:p w14:paraId="65D3F9DC">
      <w:pPr>
        <w:spacing w:line="360" w:lineRule="auto"/>
        <w:rPr>
          <w:rFonts w:hint="eastAsia"/>
          <w:sz w:val="24"/>
          <w:szCs w:val="24"/>
        </w:rPr>
      </w:pPr>
      <w:r>
        <w:rPr>
          <w:rFonts w:hint="eastAsia"/>
          <w:sz w:val="24"/>
          <w:szCs w:val="24"/>
        </w:rPr>
        <w:t>1. 有形交付物：</w:t>
      </w:r>
    </w:p>
    <w:p w14:paraId="734500FB">
      <w:pPr>
        <w:pStyle w:val="29"/>
        <w:kinsoku w:val="0"/>
        <w:overflowPunct w:val="0"/>
        <w:spacing w:before="72" w:beforeAutospacing="0" w:after="0" w:afterAutospacing="0" w:line="360" w:lineRule="auto"/>
        <w:ind w:firstLine="480" w:firstLineChars="200"/>
        <w:jc w:val="both"/>
        <w:textAlignment w:val="baseline"/>
        <w:rPr>
          <w:rFonts w:hint="eastAsia" w:ascii="Times New Roman" w:hAnsi="Times New Roman" w:cs="Times New Roman"/>
          <w:kern w:val="2"/>
        </w:rPr>
      </w:pPr>
      <w:r>
        <w:t>1）</w:t>
      </w:r>
      <w:r>
        <w:rPr>
          <w:rFonts w:hint="eastAsia" w:ascii="Times New Roman" w:hAnsi="Times New Roman" w:cs="Times New Roman"/>
          <w:kern w:val="2"/>
        </w:rPr>
        <w:t>研发一套养护作业区及其上下游过渡段的作业安全主动预防和管控的成套软件平台与预警装备。</w:t>
      </w:r>
    </w:p>
    <w:p w14:paraId="749118B5">
      <w:pPr>
        <w:spacing w:line="360" w:lineRule="auto"/>
        <w:ind w:firstLine="480" w:firstLineChars="200"/>
        <w:rPr>
          <w:sz w:val="24"/>
        </w:rPr>
      </w:pPr>
      <w:r>
        <w:rPr>
          <w:sz w:val="24"/>
        </w:rPr>
        <w:t>2）</w:t>
      </w:r>
      <w:r>
        <w:rPr>
          <w:rFonts w:hint="eastAsia"/>
          <w:sz w:val="24"/>
        </w:rPr>
        <w:t>形成多场景养护作业安全主动预防与管控措施的技术指导手册。</w:t>
      </w:r>
    </w:p>
    <w:p w14:paraId="5A0E4FFB">
      <w:pPr>
        <w:spacing w:line="360" w:lineRule="auto"/>
        <w:ind w:firstLine="480" w:firstLineChars="200"/>
        <w:rPr>
          <w:rFonts w:hint="eastAsia"/>
          <w:sz w:val="24"/>
        </w:rPr>
      </w:pPr>
      <w:r>
        <w:rPr>
          <w:rFonts w:hint="eastAsia"/>
          <w:sz w:val="24"/>
        </w:rPr>
        <w:t>3）形成主动预防与管控措施相关设备技术要求、数据传输标准。</w:t>
      </w:r>
    </w:p>
    <w:p w14:paraId="201A6B3B">
      <w:pPr>
        <w:spacing w:line="360" w:lineRule="auto"/>
        <w:rPr>
          <w:rFonts w:hint="eastAsia"/>
          <w:sz w:val="24"/>
          <w:szCs w:val="24"/>
        </w:rPr>
      </w:pPr>
      <w:r>
        <w:rPr>
          <w:rFonts w:hint="eastAsia"/>
          <w:sz w:val="24"/>
          <w:szCs w:val="24"/>
        </w:rPr>
        <w:t>2. 无形交付物：</w:t>
      </w:r>
    </w:p>
    <w:p w14:paraId="24A0E1E1">
      <w:pPr>
        <w:spacing w:line="360" w:lineRule="auto"/>
        <w:ind w:firstLine="480" w:firstLineChars="200"/>
        <w:rPr>
          <w:rFonts w:hint="eastAsia"/>
          <w:sz w:val="24"/>
        </w:rPr>
      </w:pPr>
      <w:r>
        <w:rPr>
          <w:rFonts w:hint="eastAsia"/>
          <w:sz w:val="24"/>
          <w:lang w:val="en-US" w:eastAsia="zh-CN"/>
        </w:rPr>
        <w:t>1</w:t>
      </w:r>
      <w:r>
        <w:rPr>
          <w:sz w:val="24"/>
        </w:rPr>
        <w:t>）申请</w:t>
      </w:r>
      <w:r>
        <w:rPr>
          <w:rFonts w:hint="eastAsia"/>
          <w:sz w:val="24"/>
        </w:rPr>
        <w:t>实用新型专利或软著不少于5</w:t>
      </w:r>
      <w:r>
        <w:rPr>
          <w:sz w:val="24"/>
        </w:rPr>
        <w:t>项</w:t>
      </w:r>
      <w:r>
        <w:rPr>
          <w:rFonts w:hint="eastAsia"/>
          <w:sz w:val="24"/>
        </w:rPr>
        <w:t>。</w:t>
      </w:r>
    </w:p>
    <w:p w14:paraId="4E6FC996">
      <w:pPr>
        <w:spacing w:line="360" w:lineRule="auto"/>
        <w:ind w:firstLine="480" w:firstLineChars="200"/>
        <w:rPr>
          <w:rFonts w:hint="eastAsia"/>
          <w:sz w:val="24"/>
          <w:szCs w:val="24"/>
          <w:highlight w:val="yellow"/>
        </w:rPr>
      </w:pPr>
      <w:r>
        <w:rPr>
          <w:rFonts w:hint="eastAsia"/>
          <w:sz w:val="24"/>
          <w:lang w:val="en-US" w:eastAsia="zh-CN"/>
        </w:rPr>
        <w:t>2</w:t>
      </w:r>
      <w:r>
        <w:rPr>
          <w:sz w:val="24"/>
        </w:rPr>
        <w:t>）在国内专业刊物发表科技论文不少于</w:t>
      </w:r>
      <w:r>
        <w:rPr>
          <w:rFonts w:hint="eastAsia"/>
          <w:sz w:val="24"/>
        </w:rPr>
        <w:t>5</w:t>
      </w:r>
      <w:r>
        <w:rPr>
          <w:sz w:val="24"/>
        </w:rPr>
        <w:t>篇。</w:t>
      </w:r>
    </w:p>
    <w:p w14:paraId="1DC27C30">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23C45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0212654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0D17EC1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F482E07">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43B6981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E32DAD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DB530C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auto"/>
          <w:sz w:val="28"/>
        </w:rPr>
      </w:pPr>
      <w:bookmarkStart w:id="91" w:name="_Toc23166"/>
      <w:bookmarkStart w:id="92" w:name="_Toc27511"/>
      <w:r>
        <w:rPr>
          <w:rFonts w:hint="eastAsia" w:ascii="宋体" w:hAnsi="宋体" w:eastAsia="宋体" w:cs="宋体"/>
          <w:b/>
          <w:bCs/>
          <w:color w:val="auto"/>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color w:val="auto"/>
          <w:sz w:val="28"/>
        </w:rPr>
      </w:pPr>
    </w:p>
    <w:p w14:paraId="36E25B99">
      <w:pPr>
        <w:jc w:val="center"/>
        <w:rPr>
          <w:rFonts w:hint="eastAsia" w:ascii="宋体" w:hAnsi="宋体" w:eastAsia="宋体" w:cs="宋体"/>
          <w:color w:val="auto"/>
          <w:sz w:val="44"/>
          <w:szCs w:val="44"/>
        </w:rPr>
      </w:pPr>
      <w:r>
        <w:rPr>
          <w:rFonts w:hint="eastAsia" w:ascii="宋体" w:hAnsi="宋体" w:eastAsia="宋体" w:cs="宋体"/>
          <w:color w:val="auto"/>
          <w:sz w:val="44"/>
          <w:szCs w:val="44"/>
        </w:rPr>
        <w:t>陕西省交通运输厅</w:t>
      </w:r>
      <w:r>
        <w:rPr>
          <w:rFonts w:hint="eastAsia" w:ascii="宋体" w:hAnsi="宋体" w:eastAsia="宋体" w:cs="宋体"/>
          <w:color w:val="auto"/>
          <w:sz w:val="44"/>
          <w:szCs w:val="44"/>
          <w:u w:val="single"/>
          <w:lang w:val="en-US" w:eastAsia="zh-CN"/>
        </w:rPr>
        <w:t>2025</w:t>
      </w:r>
      <w:r>
        <w:rPr>
          <w:rFonts w:hint="eastAsia" w:ascii="宋体" w:hAnsi="宋体" w:eastAsia="宋体" w:cs="宋体"/>
          <w:color w:val="auto"/>
          <w:sz w:val="44"/>
          <w:szCs w:val="44"/>
        </w:rPr>
        <w:t>年度交通科研项目</w:t>
      </w:r>
    </w:p>
    <w:p w14:paraId="6C6CD835">
      <w:pPr>
        <w:jc w:val="center"/>
        <w:rPr>
          <w:rFonts w:hint="eastAsia" w:ascii="宋体" w:hAnsi="宋体" w:eastAsia="宋体" w:cs="宋体"/>
          <w:color w:val="auto"/>
          <w:sz w:val="48"/>
        </w:rPr>
      </w:pPr>
    </w:p>
    <w:p w14:paraId="0DE4B60E">
      <w:pPr>
        <w:jc w:val="center"/>
        <w:rPr>
          <w:rFonts w:hint="eastAsia" w:ascii="宋体" w:hAnsi="宋体" w:eastAsia="宋体" w:cs="宋体"/>
          <w:color w:val="auto"/>
          <w:sz w:val="48"/>
        </w:rPr>
      </w:pPr>
    </w:p>
    <w:p w14:paraId="4F976538">
      <w:pPr>
        <w:jc w:val="center"/>
        <w:rPr>
          <w:rFonts w:hint="eastAsia" w:ascii="宋体" w:hAnsi="宋体" w:eastAsia="宋体" w:cs="宋体"/>
          <w:color w:val="auto"/>
          <w:sz w:val="44"/>
        </w:rPr>
      </w:pPr>
      <w:r>
        <w:rPr>
          <w:rFonts w:hint="eastAsia" w:ascii="宋体" w:hAnsi="宋体" w:eastAsia="宋体" w:cs="宋体"/>
          <w:b/>
          <w:color w:val="auto"/>
          <w:sz w:val="48"/>
        </w:rPr>
        <w:t>合 同 书</w:t>
      </w:r>
    </w:p>
    <w:p w14:paraId="70E3CD2F">
      <w:pPr>
        <w:spacing w:line="480" w:lineRule="auto"/>
        <w:jc w:val="center"/>
        <w:rPr>
          <w:rFonts w:hint="eastAsia" w:ascii="宋体" w:hAnsi="宋体" w:eastAsia="宋体" w:cs="宋体"/>
          <w:color w:val="auto"/>
          <w:sz w:val="44"/>
        </w:rPr>
      </w:pPr>
    </w:p>
    <w:p w14:paraId="2DDCD9E4">
      <w:pPr>
        <w:spacing w:line="480" w:lineRule="auto"/>
        <w:jc w:val="center"/>
        <w:rPr>
          <w:rFonts w:hint="eastAsia" w:ascii="宋体" w:hAnsi="宋体" w:eastAsia="宋体" w:cs="宋体"/>
          <w:color w:val="auto"/>
          <w:sz w:val="44"/>
        </w:rPr>
      </w:pPr>
    </w:p>
    <w:p w14:paraId="6CF06DE7">
      <w:pPr>
        <w:spacing w:line="660" w:lineRule="auto"/>
        <w:rPr>
          <w:rFonts w:hint="eastAsia" w:ascii="宋体" w:hAnsi="宋体" w:eastAsia="宋体" w:cs="宋体"/>
          <w:color w:val="auto"/>
          <w:sz w:val="24"/>
          <w:szCs w:val="22"/>
        </w:rPr>
      </w:pPr>
      <w:r>
        <w:rPr>
          <w:rFonts w:hint="eastAsia" w:ascii="宋体" w:hAnsi="宋体" w:eastAsia="宋体" w:cs="宋体"/>
          <w:color w:val="auto"/>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color w:val="auto"/>
          <w:sz w:val="28"/>
        </w:rPr>
      </w:pPr>
      <w:r>
        <w:rPr>
          <w:rFonts w:hint="eastAsia" w:ascii="宋体" w:hAnsi="宋体" w:eastAsia="宋体" w:cs="宋体"/>
          <w:color w:val="auto"/>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auto"/>
          <w:sz w:val="28"/>
        </w:rPr>
      </w:pPr>
      <w:r>
        <w:rPr>
          <w:rFonts w:hint="eastAsia" w:ascii="宋体" w:hAnsi="宋体" w:eastAsia="宋体" w:cs="宋体"/>
          <w:color w:val="auto"/>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color w:val="auto"/>
          <w:sz w:val="28"/>
        </w:rPr>
      </w:pPr>
      <w:r>
        <w:rPr>
          <w:rFonts w:hint="eastAsia" w:ascii="宋体" w:hAnsi="宋体" w:eastAsia="宋体" w:cs="宋体"/>
          <w:color w:val="auto"/>
          <w:sz w:val="28"/>
        </w:rPr>
        <w:t>通讯邮编、地址：</w:t>
      </w:r>
    </w:p>
    <w:p w14:paraId="2E4DD1B3">
      <w:pPr>
        <w:spacing w:line="660" w:lineRule="auto"/>
        <w:rPr>
          <w:rFonts w:hint="eastAsia" w:ascii="宋体" w:hAnsi="宋体" w:eastAsia="宋体" w:cs="宋体"/>
          <w:color w:val="auto"/>
          <w:sz w:val="28"/>
        </w:rPr>
      </w:pPr>
      <w:r>
        <w:rPr>
          <w:rFonts w:hint="eastAsia" w:ascii="宋体" w:hAnsi="宋体" w:eastAsia="宋体" w:cs="宋体"/>
          <w:color w:val="auto"/>
          <w:sz w:val="28"/>
        </w:rPr>
        <w:t>传真、电话：</w:t>
      </w:r>
    </w:p>
    <w:p w14:paraId="0EE7B101">
      <w:pPr>
        <w:spacing w:line="660" w:lineRule="auto"/>
        <w:rPr>
          <w:rFonts w:hint="eastAsia" w:ascii="宋体" w:hAnsi="宋体" w:eastAsia="宋体" w:cs="宋体"/>
          <w:color w:val="auto"/>
          <w:sz w:val="28"/>
        </w:rPr>
      </w:pPr>
      <w:r>
        <w:rPr>
          <w:rFonts w:hint="eastAsia" w:ascii="宋体" w:hAnsi="宋体" w:eastAsia="宋体" w:cs="宋体"/>
          <w:color w:val="auto"/>
          <w:sz w:val="28"/>
        </w:rPr>
        <w:t>起止年限：年</w:t>
      </w:r>
      <w:r>
        <w:rPr>
          <w:rFonts w:hint="eastAsia" w:ascii="宋体" w:hAnsi="宋体" w:eastAsia="宋体" w:cs="宋体"/>
          <w:color w:val="auto"/>
        </w:rPr>
        <w:t xml:space="preserve">  </w:t>
      </w:r>
      <w:r>
        <w:rPr>
          <w:rFonts w:hint="eastAsia" w:ascii="宋体" w:hAnsi="宋体" w:eastAsia="宋体" w:cs="宋体"/>
          <w:color w:val="auto"/>
          <w:sz w:val="28"/>
        </w:rPr>
        <w:t>月 至</w:t>
      </w:r>
      <w:r>
        <w:rPr>
          <w:rFonts w:hint="eastAsia" w:ascii="宋体" w:hAnsi="宋体" w:eastAsia="宋体" w:cs="宋体"/>
          <w:color w:val="auto"/>
        </w:rPr>
        <w:t xml:space="preserve">  </w:t>
      </w:r>
      <w:r>
        <w:rPr>
          <w:rFonts w:hint="eastAsia" w:ascii="宋体" w:hAnsi="宋体" w:eastAsia="宋体" w:cs="宋体"/>
          <w:color w:val="auto"/>
          <w:sz w:val="28"/>
        </w:rPr>
        <w:t>年</w:t>
      </w:r>
      <w:r>
        <w:rPr>
          <w:rFonts w:hint="eastAsia" w:ascii="宋体" w:hAnsi="宋体" w:eastAsia="宋体" w:cs="宋体"/>
          <w:color w:val="auto"/>
        </w:rPr>
        <w:t xml:space="preserve">   </w:t>
      </w:r>
      <w:r>
        <w:rPr>
          <w:rFonts w:hint="eastAsia" w:ascii="宋体" w:hAnsi="宋体" w:eastAsia="宋体" w:cs="宋体"/>
          <w:color w:val="auto"/>
          <w:sz w:val="28"/>
        </w:rPr>
        <w:t>月</w:t>
      </w:r>
    </w:p>
    <w:p w14:paraId="5A4FD29A">
      <w:pPr>
        <w:pStyle w:val="5"/>
        <w:rPr>
          <w:rFonts w:hint="eastAsia" w:ascii="宋体" w:hAnsi="宋体" w:eastAsia="宋体" w:cs="宋体"/>
          <w:sz w:val="28"/>
        </w:rPr>
      </w:pPr>
    </w:p>
    <w:p w14:paraId="343B6969">
      <w:pPr>
        <w:pStyle w:val="6"/>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9"/>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9"/>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9"/>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11"/>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color w:val="auto"/>
                <w:sz w:val="28"/>
              </w:rPr>
            </w:pPr>
            <w:r>
              <w:rPr>
                <w:rFonts w:hint="eastAsia" w:ascii="宋体" w:hAnsi="宋体" w:eastAsia="宋体" w:cs="宋体"/>
                <w:color w:val="auto"/>
                <w:sz w:val="28"/>
              </w:rPr>
              <w:t>1．预期目标</w:t>
            </w:r>
          </w:p>
          <w:p w14:paraId="2A4292B9">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color w:val="auto"/>
                <w:sz w:val="28"/>
              </w:rPr>
            </w:pPr>
            <w:r>
              <w:rPr>
                <w:rFonts w:hint="eastAsia" w:ascii="宋体" w:hAnsi="宋体" w:eastAsia="宋体" w:cs="宋体"/>
                <w:color w:val="auto"/>
                <w:sz w:val="28"/>
              </w:rPr>
              <w:t>2．主要技术经济指标（具体的技术经济参数）</w:t>
            </w:r>
          </w:p>
          <w:p w14:paraId="1A23C17A">
            <w:pPr>
              <w:ind w:left="420"/>
              <w:rPr>
                <w:rFonts w:hint="eastAsia" w:ascii="宋体" w:hAnsi="宋体" w:eastAsia="宋体" w:cs="宋体"/>
                <w:color w:val="auto"/>
                <w:sz w:val="28"/>
              </w:rPr>
            </w:pPr>
            <w:r>
              <w:rPr>
                <w:rFonts w:hint="eastAsia" w:ascii="宋体" w:hAnsi="宋体" w:eastAsia="宋体" w:cs="宋体"/>
                <w:color w:val="auto"/>
                <w:sz w:val="28"/>
              </w:rPr>
              <w:t>3．经济和社会效益</w:t>
            </w:r>
          </w:p>
          <w:p w14:paraId="20DCF345">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color w:val="auto"/>
                <w:sz w:val="28"/>
              </w:rPr>
            </w:pPr>
            <w:r>
              <w:rPr>
                <w:rFonts w:hint="eastAsia" w:ascii="宋体" w:hAnsi="宋体" w:eastAsia="宋体" w:cs="宋体"/>
                <w:color w:val="auto"/>
                <w:sz w:val="28"/>
              </w:rPr>
              <w:t>4．成果提供形式</w:t>
            </w:r>
          </w:p>
          <w:p w14:paraId="5868B1B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9"/>
              </w:numPr>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其他考核指标</w:t>
            </w:r>
          </w:p>
          <w:p w14:paraId="5D945F98">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11"/>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10"/>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rPr>
            </w:pPr>
          </w:p>
        </w:tc>
      </w:tr>
    </w:tbl>
    <w:p w14:paraId="75B14823">
      <w:pPr>
        <w:numPr>
          <w:ilvl w:val="0"/>
          <w:numId w:val="10"/>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354" w:type="dxa"/>
            <w:noWrap w:val="0"/>
            <w:vAlign w:val="top"/>
          </w:tcPr>
          <w:p w14:paraId="275E52DE">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617EF994">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08ACA5A9">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24034B06">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73AA151E">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ABA7DD3">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color w:val="FF0000"/>
                <w:sz w:val="28"/>
                <w:szCs w:val="28"/>
              </w:rPr>
            </w:pPr>
            <w:r>
              <w:rPr>
                <w:rFonts w:hint="eastAsia" w:ascii="宋体" w:hAnsi="宋体" w:eastAsia="宋体" w:cs="宋体"/>
                <w:color w:val="FF0000"/>
                <w:sz w:val="28"/>
                <w:szCs w:val="28"/>
              </w:rPr>
              <w:t>主要研究人员（注：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354" w:type="dxa"/>
            <w:noWrap w:val="0"/>
            <w:vAlign w:val="top"/>
          </w:tcPr>
          <w:p w14:paraId="5B241B83">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59C89349">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04DD774D">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18566024">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069F118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28A7654">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1354" w:type="dxa"/>
            <w:noWrap w:val="0"/>
            <w:vAlign w:val="top"/>
          </w:tcPr>
          <w:p w14:paraId="0D24775E">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70C616FF">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175CA691">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00E747C3">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55ABDFA1">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512FC141">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1354" w:type="dxa"/>
            <w:noWrap w:val="0"/>
            <w:vAlign w:val="top"/>
          </w:tcPr>
          <w:p w14:paraId="435FCB0A">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69C81BA5">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3E808008">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2D876769">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3F4F4CB6">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3AE14DA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1354" w:type="dxa"/>
            <w:noWrap w:val="0"/>
            <w:vAlign w:val="top"/>
          </w:tcPr>
          <w:p w14:paraId="0D4CB90C">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45916ED4">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5B7F6407">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058AD9EC">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41C7DB82">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F6DEEF5">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1354" w:type="dxa"/>
            <w:noWrap w:val="0"/>
            <w:vAlign w:val="top"/>
          </w:tcPr>
          <w:p w14:paraId="676428E5">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77137BE6">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76723618">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72AED4C0">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30361DDA">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0CFCFFE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1354" w:type="dxa"/>
            <w:noWrap w:val="0"/>
            <w:vAlign w:val="top"/>
          </w:tcPr>
          <w:p w14:paraId="3228C126">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14E44923">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32C026F9">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5DD9E3BA">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56B164DB">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40C4451E">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8</w:t>
            </w:r>
          </w:p>
        </w:tc>
        <w:tc>
          <w:tcPr>
            <w:tcW w:w="1354" w:type="dxa"/>
            <w:noWrap w:val="0"/>
            <w:vAlign w:val="top"/>
          </w:tcPr>
          <w:p w14:paraId="03C19B2A">
            <w:pPr>
              <w:snapToGrid w:val="0"/>
              <w:spacing w:before="80" w:line="264" w:lineRule="auto"/>
              <w:rPr>
                <w:rFonts w:hint="eastAsia" w:ascii="宋体" w:hAnsi="宋体" w:eastAsia="宋体" w:cs="宋体"/>
                <w:color w:val="auto"/>
                <w:sz w:val="28"/>
                <w:szCs w:val="28"/>
              </w:rPr>
            </w:pPr>
          </w:p>
        </w:tc>
        <w:tc>
          <w:tcPr>
            <w:tcW w:w="863" w:type="dxa"/>
            <w:noWrap w:val="0"/>
            <w:vAlign w:val="top"/>
          </w:tcPr>
          <w:p w14:paraId="5967162C">
            <w:pPr>
              <w:snapToGrid w:val="0"/>
              <w:spacing w:before="80" w:line="264" w:lineRule="auto"/>
              <w:rPr>
                <w:rFonts w:hint="eastAsia" w:ascii="宋体" w:hAnsi="宋体" w:eastAsia="宋体" w:cs="宋体"/>
                <w:color w:val="auto"/>
                <w:sz w:val="28"/>
                <w:szCs w:val="28"/>
              </w:rPr>
            </w:pPr>
          </w:p>
        </w:tc>
        <w:tc>
          <w:tcPr>
            <w:tcW w:w="3076" w:type="dxa"/>
            <w:noWrap w:val="0"/>
            <w:vAlign w:val="top"/>
          </w:tcPr>
          <w:p w14:paraId="372C8E5B">
            <w:pPr>
              <w:snapToGrid w:val="0"/>
              <w:spacing w:before="80" w:line="264" w:lineRule="auto"/>
              <w:rPr>
                <w:rFonts w:hint="eastAsia" w:ascii="宋体" w:hAnsi="宋体" w:eastAsia="宋体" w:cs="宋体"/>
                <w:color w:val="auto"/>
                <w:sz w:val="28"/>
                <w:szCs w:val="28"/>
              </w:rPr>
            </w:pPr>
          </w:p>
        </w:tc>
        <w:tc>
          <w:tcPr>
            <w:tcW w:w="1502" w:type="dxa"/>
            <w:noWrap w:val="0"/>
            <w:vAlign w:val="top"/>
          </w:tcPr>
          <w:p w14:paraId="57D698F6">
            <w:pPr>
              <w:snapToGrid w:val="0"/>
              <w:spacing w:before="80" w:line="264" w:lineRule="auto"/>
              <w:rPr>
                <w:rFonts w:hint="eastAsia" w:ascii="宋体" w:hAnsi="宋体" w:eastAsia="宋体" w:cs="宋体"/>
                <w:color w:val="auto"/>
                <w:sz w:val="28"/>
                <w:szCs w:val="28"/>
              </w:rPr>
            </w:pPr>
          </w:p>
        </w:tc>
        <w:tc>
          <w:tcPr>
            <w:tcW w:w="1879" w:type="dxa"/>
            <w:noWrap w:val="0"/>
            <w:vAlign w:val="top"/>
          </w:tcPr>
          <w:p w14:paraId="0EDDDC79">
            <w:pPr>
              <w:snapToGrid w:val="0"/>
              <w:spacing w:before="80" w:line="264" w:lineRule="auto"/>
              <w:rPr>
                <w:rFonts w:hint="eastAsia" w:ascii="宋体" w:hAnsi="宋体" w:eastAsia="宋体" w:cs="宋体"/>
                <w:color w:val="auto"/>
                <w:sz w:val="28"/>
                <w:szCs w:val="28"/>
              </w:rPr>
            </w:pPr>
          </w:p>
        </w:tc>
        <w:tc>
          <w:tcPr>
            <w:tcW w:w="2884" w:type="dxa"/>
            <w:noWrap w:val="0"/>
            <w:vAlign w:val="top"/>
          </w:tcPr>
          <w:p w14:paraId="17C057FB">
            <w:pPr>
              <w:snapToGrid w:val="0"/>
              <w:spacing w:before="80" w:line="264" w:lineRule="auto"/>
              <w:rPr>
                <w:rFonts w:hint="eastAsia" w:ascii="宋体" w:hAnsi="宋体" w:eastAsia="宋体" w:cs="宋体"/>
                <w:color w:val="auto"/>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11"/>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11"/>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w:t>
      </w:r>
      <w:r>
        <w:rPr>
          <w:rFonts w:hint="eastAsia" w:ascii="宋体" w:hAnsi="宋体" w:eastAsia="宋体" w:cs="宋体"/>
          <w:b/>
          <w:color w:val="auto"/>
          <w:sz w:val="32"/>
        </w:rPr>
        <w:t>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7"/>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2484"/>
      <w:bookmarkStart w:id="94" w:name="_Toc13105"/>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10930_WPSOffice_Level1"/>
      <w:bookmarkStart w:id="96" w:name="_Toc25996_WPSOffice_Level1"/>
      <w:bookmarkStart w:id="97" w:name="_Toc19196"/>
      <w:bookmarkStart w:id="98" w:name="_Toc5592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075E00E7">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530E8088">
      <w:pPr>
        <w:adjustRightInd w:val="0"/>
        <w:snapToGrid w:val="0"/>
        <w:spacing w:line="360" w:lineRule="auto"/>
        <w:jc w:val="center"/>
        <w:rPr>
          <w:rFonts w:hint="eastAsia" w:ascii="宋体" w:hAnsi="宋体" w:eastAsia="宋体" w:cs="宋体"/>
          <w:bCs/>
          <w:sz w:val="48"/>
          <w:szCs w:val="48"/>
          <w:highlight w:val="none"/>
        </w:rPr>
      </w:pP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11"/>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11"/>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11"/>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11"/>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11"/>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11"/>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11"/>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11"/>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11"/>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 xml:space="preserve">）（项目编号）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2" w:name="_Toc26642"/>
      <w:bookmarkStart w:id="103" w:name="_Toc18383"/>
      <w:bookmarkStart w:id="104" w:name="_Toc16163"/>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r>
        <w:rPr>
          <w:rFonts w:hint="eastAsia" w:ascii="宋体" w:hAnsi="宋体" w:eastAsia="宋体" w:cs="宋体"/>
          <w:highlight w:val="none"/>
        </w:rPr>
        <w:t xml:space="preserve">：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包名称</w:t>
      </w:r>
      <w:r>
        <w:rPr>
          <w:rFonts w:hint="eastAsia" w:ascii="宋体" w:hAnsi="宋体" w:eastAsia="宋体" w:cs="宋体"/>
          <w:sz w:val="24"/>
          <w:szCs w:val="24"/>
          <w:highlight w:val="none"/>
        </w:rPr>
        <w:t>：</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03"/>
      <w:bookmarkEnd w:id="107"/>
      <w:bookmarkStart w:id="108" w:name="_Hlt526418111"/>
      <w:bookmarkEnd w:id="108"/>
      <w:bookmarkStart w:id="109" w:name="_Hlt526418107"/>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0" w:name="_Toc12541"/>
      <w:bookmarkStart w:id="111" w:name="_Toc17889"/>
      <w:bookmarkStart w:id="112" w:name="_Toc2412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4"/>
      <w:bookmarkStart w:id="117" w:name="OLE_LINK13"/>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12"/>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6262"/>
      <w:bookmarkStart w:id="119" w:name="_Toc27112"/>
      <w:bookmarkStart w:id="120" w:name="_Toc12758"/>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12"/>
        <w:rPr>
          <w:rFonts w:hint="eastAsia" w:ascii="宋体" w:hAnsi="宋体" w:eastAsia="宋体" w:cs="宋体"/>
          <w:color w:val="auto"/>
          <w:sz w:val="28"/>
          <w:szCs w:val="28"/>
        </w:rPr>
      </w:pPr>
    </w:p>
    <w:p w14:paraId="6B3C6994">
      <w:pPr>
        <w:pStyle w:val="27"/>
        <w:rPr>
          <w:rFonts w:hint="eastAsia" w:ascii="宋体" w:hAnsi="宋体" w:eastAsia="宋体" w:cs="宋体"/>
          <w:color w:val="auto"/>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1" w:name="_Toc8796"/>
      <w:bookmarkStart w:id="122" w:name="_Toc10175"/>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0CE32C37">
      <w:pPr>
        <w:spacing w:before="120" w:beforeLines="50" w:after="240" w:afterLines="100"/>
        <w:jc w:val="center"/>
        <w:outlineLvl w:val="9"/>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pStyle w:val="12"/>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隧道与公路一体化智能养护与安全保障技术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52C0E"/>
    <w:multiLevelType w:val="singleLevel"/>
    <w:tmpl w:val="91352C0E"/>
    <w:lvl w:ilvl="0" w:tentative="0">
      <w:start w:val="1"/>
      <w:numFmt w:val="decimal"/>
      <w:suff w:val="nothing"/>
      <w:lvlText w:val="（%1）"/>
      <w:lvlJc w:val="left"/>
    </w:lvl>
  </w:abstractNum>
  <w:abstractNum w:abstractNumId="1">
    <w:nsid w:val="91A64D83"/>
    <w:multiLevelType w:val="singleLevel"/>
    <w:tmpl w:val="91A64D83"/>
    <w:lvl w:ilvl="0" w:tentative="0">
      <w:start w:val="1"/>
      <w:numFmt w:val="decimal"/>
      <w:suff w:val="nothing"/>
      <w:lvlText w:val="（%1）"/>
      <w:lvlJc w:val="left"/>
    </w:lvl>
  </w:abstractNum>
  <w:abstractNum w:abstractNumId="2">
    <w:nsid w:val="A55695D4"/>
    <w:multiLevelType w:val="singleLevel"/>
    <w:tmpl w:val="A55695D4"/>
    <w:lvl w:ilvl="0" w:tentative="0">
      <w:start w:val="5"/>
      <w:numFmt w:val="chineseCounting"/>
      <w:suff w:val="nothing"/>
      <w:lvlText w:val="%1、"/>
      <w:lvlJc w:val="left"/>
      <w:rPr>
        <w:rFonts w:hint="eastAsia"/>
      </w:rPr>
    </w:lvl>
  </w:abstractNum>
  <w:abstractNum w:abstractNumId="3">
    <w:nsid w:val="C111D952"/>
    <w:multiLevelType w:val="singleLevel"/>
    <w:tmpl w:val="C111D952"/>
    <w:lvl w:ilvl="0" w:tentative="0">
      <w:start w:val="1"/>
      <w:numFmt w:val="decimal"/>
      <w:lvlText w:val="%1)"/>
      <w:lvlJc w:val="left"/>
      <w:pPr>
        <w:ind w:left="425" w:hanging="425"/>
      </w:pPr>
      <w:rPr>
        <w:rFonts w:hint="default"/>
      </w:rPr>
    </w:lvl>
  </w:abstractNum>
  <w:abstractNum w:abstractNumId="4">
    <w:nsid w:val="FFBF7D01"/>
    <w:multiLevelType w:val="singleLevel"/>
    <w:tmpl w:val="FFBF7D01"/>
    <w:lvl w:ilvl="0" w:tentative="0">
      <w:start w:val="1"/>
      <w:numFmt w:val="decimal"/>
      <w:suff w:val="space"/>
      <w:lvlText w:val="%1."/>
      <w:lvlJc w:val="left"/>
    </w:lvl>
  </w:abstractNum>
  <w:abstractNum w:abstractNumId="5">
    <w:nsid w:val="FFED15B2"/>
    <w:multiLevelType w:val="singleLevel"/>
    <w:tmpl w:val="FFED15B2"/>
    <w:lvl w:ilvl="0" w:tentative="0">
      <w:start w:val="1"/>
      <w:numFmt w:val="bullet"/>
      <w:lvlText w:val=""/>
      <w:lvlJc w:val="left"/>
      <w:pPr>
        <w:ind w:left="277" w:leftChars="0" w:firstLine="9" w:firstLineChars="0"/>
      </w:pPr>
      <w:rPr>
        <w:rFonts w:hint="default" w:ascii="Wingdings" w:hAnsi="Wingdings" w:cs="Wingdings"/>
        <w:sz w:val="16"/>
        <w:szCs w:val="16"/>
      </w:rPr>
    </w:lvl>
  </w:abstractNum>
  <w:abstractNum w:abstractNumId="6">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7">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8">
    <w:nsid w:val="35581C54"/>
    <w:multiLevelType w:val="singleLevel"/>
    <w:tmpl w:val="35581C54"/>
    <w:lvl w:ilvl="0" w:tentative="0">
      <w:start w:val="1"/>
      <w:numFmt w:val="decimal"/>
      <w:suff w:val="nothing"/>
      <w:lvlText w:val="（%1）"/>
      <w:lvlJc w:val="left"/>
    </w:lvl>
  </w:abstractNum>
  <w:abstractNum w:abstractNumId="9">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11">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0"/>
  </w:num>
  <w:num w:numId="2">
    <w:abstractNumId w:val="9"/>
  </w:num>
  <w:num w:numId="3">
    <w:abstractNumId w:val="1"/>
  </w:num>
  <w:num w:numId="4">
    <w:abstractNumId w:val="3"/>
  </w:num>
  <w:num w:numId="5">
    <w:abstractNumId w:val="8"/>
  </w:num>
  <w:num w:numId="6">
    <w:abstractNumId w:val="0"/>
  </w:num>
  <w:num w:numId="7">
    <w:abstractNumId w:val="4"/>
  </w:num>
  <w:num w:numId="8">
    <w:abstractNumId w:val="5"/>
  </w:num>
  <w:num w:numId="9">
    <w:abstractNumId w:val="6"/>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EA1100"/>
    <w:rsid w:val="06F25742"/>
    <w:rsid w:val="071B5892"/>
    <w:rsid w:val="078E032C"/>
    <w:rsid w:val="07A237BB"/>
    <w:rsid w:val="082C66B0"/>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5C54B8"/>
    <w:rsid w:val="21E446F9"/>
    <w:rsid w:val="22934AD2"/>
    <w:rsid w:val="22AF0D33"/>
    <w:rsid w:val="22CD6561"/>
    <w:rsid w:val="23637330"/>
    <w:rsid w:val="23701F96"/>
    <w:rsid w:val="23A71214"/>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1388E"/>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366FC"/>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3F16C9"/>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AE2885"/>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E9265B"/>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732F91"/>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953DF3"/>
    <w:rsid w:val="69DE2527"/>
    <w:rsid w:val="6A075959"/>
    <w:rsid w:val="6A0D0F9F"/>
    <w:rsid w:val="6A473329"/>
    <w:rsid w:val="6A4D41E9"/>
    <w:rsid w:val="6A667059"/>
    <w:rsid w:val="6A935E99"/>
    <w:rsid w:val="6AC360AA"/>
    <w:rsid w:val="6AC73A79"/>
    <w:rsid w:val="6AEF7C8E"/>
    <w:rsid w:val="6B3D5262"/>
    <w:rsid w:val="6B992D08"/>
    <w:rsid w:val="6BA548F1"/>
    <w:rsid w:val="6BB16608"/>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1268FE"/>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B5B5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23899</Words>
  <Characters>25332</Characters>
  <Lines>297</Lines>
  <Paragraphs>83</Paragraphs>
  <TotalTime>0</TotalTime>
  <ScaleCrop>false</ScaleCrop>
  <LinksUpToDate>false</LinksUpToDate>
  <CharactersWithSpaces>25646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2025-11-21T02:38:19Z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eyJoZGlkIjoiNTE5MTZhMTA0MTkxNDlhOGYyYzI2NjJmZTUzZjE2NWUiLCJ1c2VySWQiOiIyMjc5Nzk0ODUifQ==</vt:lpwstr>
  </property>
</Properties>
</file>