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B7D9">
      <w:pPr>
        <w:pStyle w:val="4"/>
        <w:jc w:val="center"/>
        <w:rPr>
          <w:rFonts w:hint="eastAsia"/>
          <w:sz w:val="36"/>
          <w:szCs w:val="36"/>
          <w:lang w:val="en-US" w:eastAsia="zh-CN"/>
        </w:rPr>
      </w:pPr>
      <w:r>
        <w:rPr>
          <w:rFonts w:hint="eastAsia"/>
          <w:sz w:val="36"/>
          <w:szCs w:val="36"/>
          <w:lang w:val="en-US" w:eastAsia="zh-CN"/>
        </w:rPr>
        <w:t>未央区2026年度区级应急成品储备粮项目</w:t>
      </w:r>
    </w:p>
    <w:p w14:paraId="4291433C">
      <w:pPr>
        <w:pStyle w:val="4"/>
        <w:jc w:val="center"/>
        <w:rPr>
          <w:rFonts w:hint="eastAsia"/>
          <w:sz w:val="36"/>
          <w:szCs w:val="36"/>
          <w:lang w:val="en-US" w:eastAsia="zh-CN"/>
        </w:rPr>
      </w:pPr>
      <w:r>
        <w:rPr>
          <w:rFonts w:hint="eastAsia"/>
          <w:sz w:val="36"/>
          <w:szCs w:val="36"/>
          <w:lang w:val="en-US" w:eastAsia="zh-CN"/>
        </w:rPr>
        <w:t>（300吨面粉）采购需求</w:t>
      </w:r>
    </w:p>
    <w:p w14:paraId="4B65591F">
      <w:pPr>
        <w:pStyle w:val="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服务要求</w:t>
      </w:r>
    </w:p>
    <w:p w14:paraId="590615EF">
      <w:pPr>
        <w:pStyle w:val="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一．项目概况</w:t>
      </w:r>
    </w:p>
    <w:p w14:paraId="006A9757">
      <w:pPr>
        <w:pStyle w:val="4"/>
        <w:spacing w:before="120" w:after="120"/>
        <w:ind w:firstLine="4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为推进经济社会发展，保障粮食有效供给，维护市场稳定，完成</w:t>
      </w:r>
      <w:r>
        <w:rPr>
          <w:rFonts w:hint="eastAsia" w:asciiTheme="minorEastAsia" w:hAnsiTheme="minorEastAsia" w:cstheme="minorEastAsia"/>
          <w:sz w:val="28"/>
          <w:szCs w:val="28"/>
          <w:lang w:eastAsia="zh-CN"/>
        </w:rPr>
        <w:t>未央</w:t>
      </w:r>
      <w:r>
        <w:rPr>
          <w:rFonts w:hint="eastAsia" w:asciiTheme="minorEastAsia" w:hAnsiTheme="minorEastAsia" w:eastAsiaTheme="minorEastAsia" w:cstheme="minorEastAsia"/>
          <w:sz w:val="28"/>
          <w:szCs w:val="28"/>
        </w:rPr>
        <w:t>区成品储备粮承储任务。</w:t>
      </w:r>
    </w:p>
    <w:p w14:paraId="572D762E">
      <w:pPr>
        <w:pStyle w:val="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二、服务要求</w:t>
      </w:r>
    </w:p>
    <w:p w14:paraId="4C775AA3">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1.供应商应保证承储区级应急储备粮中小麦粉必须符合GB/T 1355-2021《小麦粉》中标准粉（含）以上标准要求，标识为面条粉、馒头粉等专用粉或标识为行业标准、团体标准、企业标准的小麦粉应符合前述质量要求。</w:t>
      </w:r>
    </w:p>
    <w:p w14:paraId="579F24C2">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2.包装形态储存区级应急成品储备粮包装规格为每袋25公斤及其以下单位规格和计量误差应当符合国家有关规定。且项目后期粮食外运时所产生的运输费用由供应商自行承担。</w:t>
      </w:r>
    </w:p>
    <w:p w14:paraId="1BC15D55">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3.承储企业按照“保持规模、保证质量、先入先出、 均衡有序”的原则，在保质期内自主开展市级成品储备粮轮换工作。包装形态储存的区级应急成品储备小麦粉，每年高温时段（6月-8月）库存数量不低于承储计划数量的80%，其余月份库存数量任何时点须足额达到承储计划数量。</w:t>
      </w:r>
    </w:p>
    <w:p w14:paraId="227C6C7E">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4.承储企业应建立健全区级应急成品储备粮出入库、质量、储存、检化验和防虫、防火、防盗、防汛等安全管理制度，并配备必要安全防护措施。</w:t>
      </w:r>
    </w:p>
    <w:p w14:paraId="7C6DBF9A">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b w:val="0"/>
          <w:bCs/>
          <w:sz w:val="28"/>
          <w:szCs w:val="28"/>
        </w:rPr>
        <w:t>承储企业需按照省、市、区对于粮食购销领域监管信息化建设的要求，按时完成建设任务，实现与省级平台互联互通，并保障系统日常运转正常。</w:t>
      </w:r>
    </w:p>
    <w:p w14:paraId="7EDD2323">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.区级应急成品储备粮储存仓房应符合国家《粮油储藏技术规范》对粮仓的要求，并取得区级储备粮承储资格。</w:t>
      </w:r>
    </w:p>
    <w:p w14:paraId="30DD1FB0">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区级应急成品储备粮原则上实行专仓存放，确实达不到专仓存放的，应实行仓内区域集中存放，不允许在同一区域内混合存放不同性质的成品粮。储存仓号一经落实，承储企业不得擅自变更。如遇特殊情况需变更储存仓号的，应报经区发展和改革委员会（区粮食和物资储备局）同意。</w:t>
      </w:r>
    </w:p>
    <w:p w14:paraId="12B7C0A8">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区级成品储备粮仓房须悬挂区级成品储备粮专牌，在显著位置张贴“区级储备粮仓单”“区级成品储备粮质量检验记录卡”“区级储备粮管理责任卡”。仓内分垛存放的区级成品储备粮，应在各垛位醒目位置设置“区级成品储备粮垛卡”。</w:t>
      </w:r>
    </w:p>
    <w:p w14:paraId="4961161D">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区级成品储备粮实行专人保管、专账记载。承储企业应当安排经培训考核合格的人员从事区级成品储备粮保管工作，按照成品粮油储藏有关要求，定期进行检查，分析粮情，做好检测记录，发现问题及时处理。必须按照有关统计、财务、保管制度的要求，建立健全区级成品储备粮专账，并定期进行核查，做到账目齐全、装订规范、内容真实、账账相符、账实相符。</w:t>
      </w:r>
    </w:p>
    <w:p w14:paraId="25F1158B">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承储企业应当建立完善的成品粮质量检验制度，配备必要的检验仪器设备和具有农产品食品检验员职业资格的人员，定期对应急成品储备粮的质量、主要食品安全指标按照国家标准进行检验，对应急成品储备粮的粮情安全状况、存放地点卫生状况进行定期检查。区发展和改革委员会（区粮食和物资储备局）的委托委托第三方检测机构对储存的区级应急成品储备粮质量进行定期检验。</w:t>
      </w:r>
    </w:p>
    <w:p w14:paraId="6D9E1952">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承储企业必须以《国家粮食流通统计制度》规定的方式和时间向住所所在地区县发展和改革委员会（区粮食和物资储备局）报送区级应急成品储备粮的有关统计报表，同时将区级应急成品储备粮储存、轮换等情况报送区发展和改革委员会 （区粮食和物资储备局）。</w:t>
      </w:r>
    </w:p>
    <w:p w14:paraId="2321A229">
      <w:pPr>
        <w:pStyle w:val="4"/>
        <w:ind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.在应对突发事件时，承储企业必须执行区粮食行政管理部门指令，服从政府粮食宏观调控措施或应急措施。必要时，区粮食行政管理部门根据《西安市</w:t>
      </w:r>
      <w:r>
        <w:rPr>
          <w:rFonts w:hint="eastAsia" w:asciiTheme="minorEastAsia" w:hAnsiTheme="minorEastAsia" w:cstheme="minorEastAsia"/>
          <w:sz w:val="28"/>
          <w:szCs w:val="28"/>
          <w:lang w:eastAsia="zh-CN"/>
        </w:rPr>
        <w:t>未央</w:t>
      </w:r>
      <w:r>
        <w:rPr>
          <w:rFonts w:hint="eastAsia" w:asciiTheme="minorEastAsia" w:hAnsiTheme="minorEastAsia" w:eastAsiaTheme="minorEastAsia" w:cstheme="minorEastAsia"/>
          <w:sz w:val="28"/>
          <w:szCs w:val="28"/>
        </w:rPr>
        <w:t>区粮食应急预案》规定对承储企业的自有成品粮进行采购，按指定价格组织应急供应，稳定粮食市场。</w:t>
      </w:r>
    </w:p>
    <w:p w14:paraId="401CDFA0">
      <w:pPr>
        <w:pStyle w:val="4"/>
        <w:ind w:firstLine="4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.区粮食和储备行政管理部门加强对区级成品储备粮承储情况的监督检查，依法查处承储活动中的违法行为。</w:t>
      </w:r>
    </w:p>
    <w:p w14:paraId="66F848C7">
      <w:pPr>
        <w:pStyle w:val="4"/>
        <w:ind w:firstLine="42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加强对区级成品储备粮的日常管理和检查，原则上每季度全面检查一次。在区级成品储备粮日常管理中，发现区级储备粮数量、质量、储存安全、轮换管理等方面存在问题的，应当予以纠正或者处理，问题严重或者紧急的，应及时将检查情况向区政府进行书面报告。</w:t>
      </w:r>
    </w:p>
    <w:p w14:paraId="135C9B35">
      <w:pPr>
        <w:pStyle w:val="4"/>
        <w:ind w:firstLine="42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.承储企业需按照省、市、区对于粮食购销领域监管信息化建设的要求，报送建设方案，按时完成建设任务，实现与省级平台互联互通，并保障系统日常运转正常</w:t>
      </w:r>
      <w:r>
        <w:rPr>
          <w:rFonts w:hint="eastAsia" w:asciiTheme="minorEastAsia" w:hAnsiTheme="minorEastAsia" w:cstheme="minorEastAsia"/>
          <w:sz w:val="28"/>
          <w:szCs w:val="28"/>
          <w:lang w:eastAsia="zh-CN"/>
        </w:rPr>
        <w:t>。</w:t>
      </w:r>
    </w:p>
    <w:p w14:paraId="4CF38DDF">
      <w:pPr>
        <w:pStyle w:val="4"/>
        <w:jc w:val="left"/>
        <w:rPr>
          <w:rFonts w:hint="eastAsia" w:asciiTheme="minorEastAsia" w:hAnsiTheme="minorEastAsia" w:eastAsiaTheme="minorEastAsia" w:cstheme="minorEastAsia"/>
          <w:b/>
          <w:sz w:val="28"/>
          <w:szCs w:val="28"/>
        </w:rPr>
      </w:pPr>
    </w:p>
    <w:p w14:paraId="268F71BB">
      <w:pPr>
        <w:pStyle w:val="4"/>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商务要求</w:t>
      </w:r>
      <w:bookmarkStart w:id="0" w:name="_GoBack"/>
      <w:bookmarkEnd w:id="0"/>
    </w:p>
    <w:p w14:paraId="7B3C4947">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服务期限：自合同签订之日起一年。</w:t>
      </w:r>
    </w:p>
    <w:p w14:paraId="4E128D0C">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服务质量</w:t>
      </w:r>
      <w:r>
        <w:rPr>
          <w:rFonts w:hint="eastAsia" w:asciiTheme="minorEastAsia" w:hAnsiTheme="minorEastAsia" w:cstheme="minorEastAsia"/>
          <w:sz w:val="28"/>
          <w:szCs w:val="28"/>
          <w:lang w:val="en-US" w:eastAsia="zh-CN"/>
        </w:rPr>
        <w:t>标准</w:t>
      </w:r>
      <w:r>
        <w:rPr>
          <w:rFonts w:hint="eastAsia" w:asciiTheme="minorEastAsia" w:hAnsiTheme="minorEastAsia" w:eastAsiaTheme="minorEastAsia" w:cstheme="minorEastAsia"/>
          <w:sz w:val="28"/>
          <w:szCs w:val="28"/>
        </w:rPr>
        <w:t>：合格</w:t>
      </w:r>
    </w:p>
    <w:p w14:paraId="5196F179">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付款方式：采购人按季度向成交单位支付费用。</w:t>
      </w:r>
    </w:p>
    <w:p w14:paraId="76DD3974">
      <w:pPr>
        <w:pStyle w:val="4"/>
        <w:ind w:firstLine="48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服务范围：完成</w:t>
      </w:r>
      <w:r>
        <w:rPr>
          <w:rFonts w:hint="eastAsia" w:asciiTheme="minorEastAsia" w:hAnsiTheme="minorEastAsia" w:cstheme="minorEastAsia"/>
          <w:sz w:val="28"/>
          <w:szCs w:val="28"/>
          <w:lang w:eastAsia="zh-CN"/>
        </w:rPr>
        <w:t>未央</w:t>
      </w:r>
      <w:r>
        <w:rPr>
          <w:rFonts w:hint="eastAsia" w:asciiTheme="minorEastAsia" w:hAnsiTheme="minorEastAsia" w:eastAsiaTheme="minorEastAsia" w:cstheme="minorEastAsia"/>
          <w:sz w:val="28"/>
          <w:szCs w:val="28"/>
        </w:rPr>
        <w:t>区</w:t>
      </w:r>
      <w:r>
        <w:rPr>
          <w:rFonts w:hint="eastAsia" w:asciiTheme="minorEastAsia" w:hAnsiTheme="minorEastAsia" w:cstheme="minorEastAsia"/>
          <w:sz w:val="28"/>
          <w:szCs w:val="28"/>
          <w:lang w:val="en-US" w:eastAsia="zh-CN"/>
        </w:rPr>
        <w:t>300</w:t>
      </w:r>
      <w:r>
        <w:rPr>
          <w:rFonts w:hint="eastAsia" w:asciiTheme="minorEastAsia" w:hAnsiTheme="minorEastAsia" w:eastAsiaTheme="minorEastAsia" w:cstheme="minorEastAsia"/>
          <w:sz w:val="28"/>
          <w:szCs w:val="28"/>
        </w:rPr>
        <w:t>吨面粉存储任务。</w:t>
      </w:r>
    </w:p>
    <w:p w14:paraId="7D44E396">
      <w:pPr>
        <w:pStyle w:val="4"/>
        <w:ind w:firstLine="480"/>
        <w:jc w:val="both"/>
        <w:rPr>
          <w:rFonts w:hint="eastAsia"/>
          <w:lang w:val="en-US" w:eastAsia="zh-CN"/>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服务要求：满足本次采购项目所有服务内容。</w:t>
      </w:r>
    </w:p>
    <w:p w14:paraId="55F1716F"/>
    <w:p w14:paraId="62A9ED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F1187"/>
    <w:rsid w:val="500B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1729</Characters>
  <Lines>0</Lines>
  <Paragraphs>0</Paragraphs>
  <TotalTime>0</TotalTime>
  <ScaleCrop>false</ScaleCrop>
  <LinksUpToDate>false</LinksUpToDate>
  <CharactersWithSpaces>1732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2025-12-08T01:07:00Z</dcterms:created>
  <dc:creator>MyPC</dc:creator>
  <cp:lastModifiedBy>Y</cp:lastModifiedBy>
  <dcterms:modified xsi:type="dcterms:W3CDTF">2025-12-08T06:09:31Z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F725A9E1D254488AB653A88585F12828_12</vt:lpwstr>
  </property>
</Properties>
</file>