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rPr>
          <w:rFonts w:ascii="宋体" w:hAnsi="宋体"/>
          <w:b/>
          <w:kern w:val="0"/>
          <w:sz w:val="36"/>
          <w:szCs w:val="36"/>
        </w:rPr>
      </w:pPr>
    </w:p>
    <w:p/>
    <w:p>
      <w:pPr>
        <w:jc w:val="center"/>
        <w:rPr>
          <w:rFonts w:ascii="宋体" w:hAnsi="宋体"/>
          <w:b/>
          <w:kern w:val="0"/>
          <w:sz w:val="84"/>
          <w:szCs w:val="84"/>
        </w:rPr>
      </w:pPr>
      <w:r>
        <w:rPr>
          <w:rFonts w:hint="eastAsia" w:ascii="宋体" w:hAnsi="宋体"/>
          <w:b/>
          <w:kern w:val="0"/>
          <w:sz w:val="84"/>
          <w:szCs w:val="84"/>
        </w:rPr>
        <w:t>竞争性</w:t>
      </w:r>
      <w:r>
        <w:rPr>
          <w:rFonts w:hint="eastAsia" w:ascii="宋体" w:hAnsi="宋体" w:eastAsia="宋体"/>
          <w:b/>
          <w:kern w:val="0"/>
          <w:sz w:val="84"/>
          <w:szCs w:val="84"/>
          <w:lang w:val="en-US" w:eastAsia="zh-CN"/>
        </w:rPr>
        <w:t>谈判</w:t>
      </w:r>
      <w:r>
        <w:rPr>
          <w:rFonts w:hint="eastAsia" w:ascii="宋体" w:hAnsi="宋体"/>
          <w:b/>
          <w:kern w:val="0"/>
          <w:sz w:val="84"/>
          <w:szCs w:val="84"/>
        </w:rPr>
        <w:t>文件</w:t>
      </w:r>
    </w:p>
    <w:p>
      <w:pPr>
        <w:jc w:val="center"/>
        <w:rPr>
          <w:rFonts w:hint="default" w:ascii="方正大标宋简体" w:eastAsia="方正大标宋简体"/>
          <w:b/>
          <w:kern w:val="0"/>
          <w:sz w:val="36"/>
          <w:szCs w:val="36"/>
          <w:lang w:val="en-US" w:eastAsia="zh-CN"/>
        </w:rPr>
      </w:pPr>
      <w:r>
        <w:rPr>
          <w:rFonts w:hint="eastAsia" w:ascii="方正大标宋简体" w:eastAsia="方正大标宋简体"/>
          <w:b/>
          <w:kern w:val="0"/>
          <w:sz w:val="36"/>
          <w:szCs w:val="36"/>
          <w:lang w:val="en-US" w:eastAsia="zh-CN"/>
        </w:rPr>
        <w:t xml:space="preserve">      </w:t>
      </w:r>
    </w:p>
    <w:p>
      <w:pPr>
        <w:jc w:val="center"/>
        <w:outlineLvl w:val="9"/>
        <w:rPr>
          <w:rFonts w:ascii="宋体" w:hAnsi="宋体" w:cs="宋体"/>
          <w:b/>
          <w:color w:val="auto"/>
          <w:kern w:val="0"/>
          <w:sz w:val="84"/>
          <w:szCs w:val="84"/>
          <w:highlight w:val="none"/>
        </w:rPr>
      </w:pPr>
      <w:r>
        <w:rPr>
          <w:rFonts w:hint="eastAsia"/>
          <w:lang w:eastAsia="zh-CN"/>
        </w:rPr>
        <w:drawing>
          <wp:inline distT="0" distB="0" distL="114300" distR="114300">
            <wp:extent cx="1800225" cy="1800225"/>
            <wp:effectExtent l="0" t="0" r="9525" b="9525"/>
            <wp:docPr id="1" name="图片 1" descr="_001【23cm×2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001【23cm×23cm】"/>
                    <pic:cNvPicPr>
                      <a:picLocks noChangeAspect="1"/>
                    </pic:cNvPicPr>
                  </pic:nvPicPr>
                  <pic:blipFill>
                    <a:blip r:embed="rId5"/>
                    <a:stretch>
                      <a:fillRect/>
                    </a:stretch>
                  </pic:blipFill>
                  <pic:spPr>
                    <a:xfrm>
                      <a:off x="0" y="0"/>
                      <a:ext cx="1800225" cy="1800225"/>
                    </a:xfrm>
                    <a:prstGeom prst="rect">
                      <a:avLst/>
                    </a:prstGeom>
                    <a:noFill/>
                    <a:ln>
                      <a:noFill/>
                    </a:ln>
                  </pic:spPr>
                </pic:pic>
              </a:graphicData>
            </a:graphic>
          </wp:inline>
        </w:drawing>
      </w:r>
    </w:p>
    <w:p/>
    <w:p/>
    <w:p/>
    <w:p/>
    <w:p/>
    <w:p/>
    <w:tbl>
      <w:tblPr>
        <w:tblStyle w:val="14"/>
        <w:tblW w:w="9779" w:type="dxa"/>
        <w:jc w:val="center"/>
        <w:tblLayout w:type="fixed"/>
        <w:tblCellMar>
          <w:top w:w="0" w:type="dxa"/>
          <w:left w:w="108" w:type="dxa"/>
          <w:bottom w:w="0" w:type="dxa"/>
          <w:right w:w="108" w:type="dxa"/>
        </w:tblCellMar>
      </w:tblPr>
      <w:tblGrid>
        <w:gridCol w:w="2198"/>
        <w:gridCol w:w="7581"/>
      </w:tblGrid>
      <w:tr>
        <w:tblPrEx>
          <w:tblCellMar>
            <w:top w:w="0" w:type="dxa"/>
            <w:left w:w="108" w:type="dxa"/>
            <w:bottom w:w="0" w:type="dxa"/>
            <w:right w:w="108" w:type="dxa"/>
          </w:tblCellMar>
        </w:tblPrEx>
        <w:trPr>
          <w:trHeight w:val="971" w:hRule="atLeast"/>
          <w:jc w:val="center"/>
        </w:trPr>
        <w:tc>
          <w:tcPr>
            <w:tcW w:w="2198" w:type="dxa"/>
            <w:tcBorders>
              <w:top w:val="nil"/>
              <w:left w:val="nil"/>
              <w:bottom w:val="nil"/>
              <w:right w:val="nil"/>
            </w:tcBorders>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项目名称：</w:t>
            </w:r>
          </w:p>
        </w:tc>
        <w:tc>
          <w:tcPr>
            <w:tcW w:w="7581" w:type="dxa"/>
            <w:tcBorders>
              <w:top w:val="nil"/>
              <w:left w:val="nil"/>
              <w:bottom w:val="nil"/>
              <w:right w:val="nil"/>
            </w:tcBorders>
            <w:vAlign w:val="center"/>
          </w:tcPr>
          <w:p>
            <w:pPr>
              <w:widowControl/>
              <w:jc w:val="left"/>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lang w:val="en-US" w:eastAsia="zh-CN"/>
              </w:rPr>
              <w:t>工作服装购置项目</w:t>
            </w:r>
          </w:p>
        </w:tc>
      </w:tr>
      <w:tr>
        <w:tblPrEx>
          <w:tblCellMar>
            <w:top w:w="0" w:type="dxa"/>
            <w:left w:w="108" w:type="dxa"/>
            <w:bottom w:w="0" w:type="dxa"/>
            <w:right w:w="108" w:type="dxa"/>
          </w:tblCellMar>
        </w:tblPrEx>
        <w:trPr>
          <w:trHeight w:val="751" w:hRule="atLeast"/>
          <w:jc w:val="center"/>
        </w:trPr>
        <w:tc>
          <w:tcPr>
            <w:tcW w:w="2198" w:type="dxa"/>
            <w:tcBorders>
              <w:top w:val="nil"/>
              <w:left w:val="nil"/>
              <w:bottom w:val="nil"/>
              <w:right w:val="nil"/>
            </w:tcBorders>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项目编号：</w:t>
            </w:r>
          </w:p>
        </w:tc>
        <w:tc>
          <w:tcPr>
            <w:tcW w:w="7581" w:type="dxa"/>
            <w:tcBorders>
              <w:top w:val="nil"/>
              <w:left w:val="nil"/>
              <w:bottom w:val="nil"/>
              <w:right w:val="nil"/>
            </w:tcBorders>
            <w:vAlign w:val="center"/>
          </w:tcPr>
          <w:p>
            <w:pPr>
              <w:jc w:val="left"/>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lang w:eastAsia="zh-CN"/>
              </w:rPr>
              <w:t>HY-ZB-055-2025</w:t>
            </w:r>
          </w:p>
        </w:tc>
      </w:tr>
      <w:tr>
        <w:tblPrEx>
          <w:tblCellMar>
            <w:top w:w="0" w:type="dxa"/>
            <w:left w:w="108" w:type="dxa"/>
            <w:bottom w:w="0" w:type="dxa"/>
            <w:right w:w="108" w:type="dxa"/>
          </w:tblCellMar>
        </w:tblPrEx>
        <w:trPr>
          <w:trHeight w:val="951" w:hRule="atLeast"/>
          <w:jc w:val="center"/>
        </w:trPr>
        <w:tc>
          <w:tcPr>
            <w:tcW w:w="2198" w:type="dxa"/>
            <w:tcBorders>
              <w:top w:val="nil"/>
              <w:left w:val="nil"/>
              <w:bottom w:val="nil"/>
              <w:right w:val="nil"/>
            </w:tcBorders>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采 购 人：</w:t>
            </w:r>
          </w:p>
        </w:tc>
        <w:tc>
          <w:tcPr>
            <w:tcW w:w="7581" w:type="dxa"/>
            <w:tcBorders>
              <w:top w:val="nil"/>
              <w:left w:val="nil"/>
              <w:bottom w:val="nil"/>
              <w:right w:val="nil"/>
            </w:tcBorders>
            <w:vAlign w:val="center"/>
          </w:tcPr>
          <w:p>
            <w:pPr>
              <w:widowControl/>
              <w:jc w:val="left"/>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lang w:val="en-US" w:eastAsia="zh-CN"/>
              </w:rPr>
              <w:t>大荔县人民法院</w:t>
            </w:r>
          </w:p>
        </w:tc>
      </w:tr>
    </w:tbl>
    <w:p>
      <w:pPr>
        <w:jc w:val="center"/>
        <w:rPr>
          <w:rFonts w:ascii="宋体" w:hAnsi="宋体" w:cs="宋体"/>
          <w:b/>
          <w:bCs/>
          <w:color w:val="auto"/>
          <w:kern w:val="0"/>
          <w:sz w:val="36"/>
          <w:highlight w:val="none"/>
        </w:rPr>
      </w:pPr>
    </w:p>
    <w:p/>
    <w:p>
      <w:pPr>
        <w:jc w:val="center"/>
        <w:rPr>
          <w:rFonts w:ascii="宋体" w:hAnsi="宋体" w:cs="宋体"/>
          <w:b/>
          <w:bCs/>
          <w:color w:val="auto"/>
          <w:kern w:val="0"/>
          <w:sz w:val="28"/>
          <w:szCs w:val="28"/>
          <w:highlight w:val="none"/>
        </w:rPr>
      </w:pPr>
    </w:p>
    <w:p>
      <w:pPr>
        <w:jc w:val="center"/>
        <w:rPr>
          <w:rFonts w:ascii="宋体" w:hAnsi="宋体" w:cs="宋体"/>
          <w:b/>
          <w:bCs/>
          <w:color w:val="auto"/>
          <w:kern w:val="0"/>
          <w:sz w:val="28"/>
          <w:szCs w:val="28"/>
          <w:highlight w:val="none"/>
        </w:rPr>
      </w:pPr>
    </w:p>
    <w:p>
      <w:pPr>
        <w:jc w:val="center"/>
        <w:rPr>
          <w:rFonts w:hint="eastAsia" w:ascii="宋体" w:hAnsi="宋体" w:eastAsia="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t>陕西翰元工程咨询有限公司</w:t>
      </w:r>
    </w:p>
    <w:p>
      <w:pPr>
        <w:jc w:val="center"/>
        <w:rPr>
          <w:rFonts w:ascii="宋体" w:hAnsi="宋体" w:cs="宋体"/>
          <w:b/>
          <w:bCs/>
          <w:color w:val="auto"/>
          <w:kern w:val="0"/>
          <w:sz w:val="28"/>
          <w:szCs w:val="28"/>
          <w:highlight w:val="none"/>
        </w:rPr>
      </w:pPr>
    </w:p>
    <w:p>
      <w:pPr>
        <w:spacing w:before="101" w:line="225" w:lineRule="auto"/>
        <w:ind w:left="3610"/>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二〇二</w:t>
      </w:r>
      <w:r>
        <w:rPr>
          <w:rFonts w:hint="eastAsia" w:ascii="宋体" w:hAnsi="宋体" w:cs="宋体"/>
          <w:b/>
          <w:bCs/>
          <w:color w:val="auto"/>
          <w:kern w:val="0"/>
          <w:sz w:val="28"/>
          <w:szCs w:val="28"/>
          <w:highlight w:val="none"/>
          <w:lang w:val="en-US" w:eastAsia="zh-CN"/>
        </w:rPr>
        <w:t>五</w:t>
      </w:r>
      <w:r>
        <w:rPr>
          <w:rFonts w:hint="eastAsia" w:ascii="宋体" w:hAnsi="宋体" w:cs="宋体"/>
          <w:b/>
          <w:bCs/>
          <w:color w:val="auto"/>
          <w:kern w:val="0"/>
          <w:sz w:val="28"/>
          <w:szCs w:val="28"/>
          <w:highlight w:val="none"/>
        </w:rPr>
        <w:t>年</w:t>
      </w:r>
      <w:r>
        <w:rPr>
          <w:rFonts w:hint="eastAsia" w:ascii="宋体" w:hAnsi="宋体" w:cs="宋体"/>
          <w:b/>
          <w:bCs/>
          <w:color w:val="auto"/>
          <w:kern w:val="0"/>
          <w:sz w:val="28"/>
          <w:szCs w:val="28"/>
          <w:highlight w:val="none"/>
          <w:lang w:val="en-US" w:eastAsia="zh-CN"/>
        </w:rPr>
        <w:t>十一</w:t>
      </w:r>
      <w:r>
        <w:rPr>
          <w:rFonts w:hint="eastAsia" w:ascii="宋体" w:hAnsi="宋体" w:cs="宋体"/>
          <w:b/>
          <w:bCs/>
          <w:color w:val="auto"/>
          <w:kern w:val="0"/>
          <w:sz w:val="28"/>
          <w:szCs w:val="28"/>
          <w:highlight w:val="none"/>
        </w:rPr>
        <w:t>月</w:t>
      </w:r>
    </w:p>
    <w:p>
      <w:pPr>
        <w:spacing w:before="101" w:line="225" w:lineRule="auto"/>
        <w:ind w:left="3610"/>
        <w:rPr>
          <w:rFonts w:hint="eastAsia" w:ascii="宋体" w:hAnsi="宋体" w:cs="宋体"/>
          <w:b/>
          <w:bCs/>
          <w:color w:val="auto"/>
          <w:kern w:val="0"/>
          <w:sz w:val="28"/>
          <w:szCs w:val="28"/>
          <w:highlight w:val="none"/>
        </w:rPr>
      </w:pPr>
    </w:p>
    <w:p>
      <w:pP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p>
    <w:p>
      <w:pPr>
        <w:spacing w:before="101" w:line="225" w:lineRule="auto"/>
        <w:ind w:left="3610"/>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目录</w:t>
      </w:r>
    </w:p>
    <w:p>
      <w:pPr>
        <w:pStyle w:val="11"/>
        <w:tabs>
          <w:tab w:val="right" w:leader="dot" w:pos="9072"/>
        </w:tabs>
      </w:pPr>
      <w:r>
        <w:rPr>
          <w:rFonts w:hint="eastAsia" w:ascii="宋体" w:hAnsi="宋体" w:eastAsia="宋体" w:cs="宋体"/>
          <w:b/>
          <w:bCs/>
          <w:color w:val="auto"/>
          <w:kern w:val="0"/>
          <w:sz w:val="28"/>
          <w:szCs w:val="28"/>
          <w:highlight w:val="none"/>
          <w:lang w:val="en-US" w:eastAsia="zh-CN"/>
        </w:rPr>
        <w:fldChar w:fldCharType="begin"/>
      </w:r>
      <w:r>
        <w:rPr>
          <w:rFonts w:hint="eastAsia" w:ascii="宋体" w:hAnsi="宋体" w:eastAsia="宋体" w:cs="宋体"/>
          <w:b/>
          <w:bCs/>
          <w:color w:val="auto"/>
          <w:kern w:val="0"/>
          <w:sz w:val="28"/>
          <w:szCs w:val="28"/>
          <w:highlight w:val="none"/>
          <w:lang w:val="en-US" w:eastAsia="zh-CN"/>
        </w:rPr>
        <w:instrText xml:space="preserve">TOC \o "1-2" \h \u </w:instrText>
      </w:r>
      <w:r>
        <w:rPr>
          <w:rFonts w:hint="eastAsia" w:ascii="宋体" w:hAnsi="宋体" w:eastAsia="宋体" w:cs="宋体"/>
          <w:b/>
          <w:bCs/>
          <w:color w:val="auto"/>
          <w:kern w:val="0"/>
          <w:sz w:val="28"/>
          <w:szCs w:val="28"/>
          <w:highlight w:val="none"/>
          <w:lang w:val="en-US" w:eastAsia="zh-CN"/>
        </w:rPr>
        <w:fldChar w:fldCharType="separate"/>
      </w: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_Toc13145 </w:instrText>
      </w:r>
      <w:r>
        <w:rPr>
          <w:rFonts w:hint="eastAsia" w:ascii="宋体" w:hAnsi="宋体" w:eastAsia="宋体" w:cs="宋体"/>
          <w:bCs/>
          <w:kern w:val="0"/>
          <w:szCs w:val="28"/>
          <w:highlight w:val="none"/>
          <w:lang w:val="en-US" w:eastAsia="zh-CN"/>
        </w:rPr>
        <w:fldChar w:fldCharType="separate"/>
      </w:r>
      <w:r>
        <w:t>第一章竞争性谈判公告</w:t>
      </w:r>
      <w:r>
        <w:tab/>
      </w:r>
      <w:r>
        <w:fldChar w:fldCharType="begin"/>
      </w:r>
      <w:r>
        <w:instrText xml:space="preserve"> PAGEREF _Toc13145 \h </w:instrText>
      </w:r>
      <w:r>
        <w:fldChar w:fldCharType="separate"/>
      </w:r>
      <w:r>
        <w:t>1</w:t>
      </w:r>
      <w:r>
        <w:fldChar w:fldCharType="end"/>
      </w:r>
      <w:r>
        <w:rPr>
          <w:rFonts w:hint="eastAsia" w:ascii="宋体" w:hAnsi="宋体" w:eastAsia="宋体" w:cs="宋体"/>
          <w:bCs/>
          <w:color w:val="auto"/>
          <w:kern w:val="0"/>
          <w:szCs w:val="28"/>
          <w:highlight w:val="none"/>
          <w:lang w:val="en-US" w:eastAsia="zh-CN"/>
        </w:rPr>
        <w:fldChar w:fldCharType="end"/>
      </w:r>
    </w:p>
    <w:p>
      <w:pPr>
        <w:pStyle w:val="11"/>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_Toc14883 </w:instrText>
      </w:r>
      <w:r>
        <w:rPr>
          <w:rFonts w:hint="eastAsia" w:ascii="宋体" w:hAnsi="宋体" w:eastAsia="宋体" w:cs="宋体"/>
          <w:bCs/>
          <w:kern w:val="0"/>
          <w:szCs w:val="28"/>
          <w:highlight w:val="none"/>
          <w:lang w:val="en-US" w:eastAsia="zh-CN"/>
        </w:rPr>
        <w:fldChar w:fldCharType="separate"/>
      </w:r>
      <w:r>
        <w:t>第二章供应商须知</w:t>
      </w:r>
      <w:r>
        <w:tab/>
      </w:r>
      <w:r>
        <w:fldChar w:fldCharType="begin"/>
      </w:r>
      <w:r>
        <w:instrText xml:space="preserve"> PAGEREF _Toc14883 \h </w:instrText>
      </w:r>
      <w:r>
        <w:fldChar w:fldCharType="separate"/>
      </w:r>
      <w:r>
        <w:t>3</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_Toc10531 </w:instrText>
      </w:r>
      <w:r>
        <w:rPr>
          <w:rFonts w:hint="eastAsia" w:ascii="宋体" w:hAnsi="宋体" w:eastAsia="宋体" w:cs="宋体"/>
          <w:bCs/>
          <w:kern w:val="0"/>
          <w:szCs w:val="28"/>
          <w:highlight w:val="none"/>
          <w:lang w:val="en-US" w:eastAsia="zh-CN"/>
        </w:rPr>
        <w:fldChar w:fldCharType="separate"/>
      </w:r>
      <w:r>
        <w:t>供应商须知前附表</w:t>
      </w:r>
      <w:r>
        <w:tab/>
      </w:r>
      <w:r>
        <w:fldChar w:fldCharType="begin"/>
      </w:r>
      <w:r>
        <w:instrText xml:space="preserve"> PAGEREF _Toc10531 \h </w:instrText>
      </w:r>
      <w:r>
        <w:fldChar w:fldCharType="separate"/>
      </w:r>
      <w:r>
        <w:t>3</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_Toc10235 </w:instrText>
      </w:r>
      <w:r>
        <w:rPr>
          <w:rFonts w:hint="eastAsia" w:ascii="宋体" w:hAnsi="宋体" w:eastAsia="宋体" w:cs="宋体"/>
          <w:bCs/>
          <w:kern w:val="0"/>
          <w:szCs w:val="28"/>
          <w:highlight w:val="none"/>
          <w:lang w:val="en-US" w:eastAsia="zh-CN"/>
        </w:rPr>
        <w:fldChar w:fldCharType="separate"/>
      </w:r>
      <w:r>
        <w:t>1.总则</w:t>
      </w:r>
      <w:r>
        <w:tab/>
      </w:r>
      <w:r>
        <w:fldChar w:fldCharType="begin"/>
      </w:r>
      <w:r>
        <w:instrText xml:space="preserve"> PAGEREF _Toc10235 \h </w:instrText>
      </w:r>
      <w:r>
        <w:fldChar w:fldCharType="separate"/>
      </w:r>
      <w:r>
        <w:t>5</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_Toc1559 </w:instrText>
      </w:r>
      <w:r>
        <w:rPr>
          <w:rFonts w:hint="eastAsia" w:ascii="宋体" w:hAnsi="宋体" w:eastAsia="宋体" w:cs="宋体"/>
          <w:bCs/>
          <w:kern w:val="0"/>
          <w:szCs w:val="28"/>
          <w:highlight w:val="none"/>
          <w:lang w:val="en-US" w:eastAsia="zh-CN"/>
        </w:rPr>
        <w:fldChar w:fldCharType="separate"/>
      </w:r>
      <w:r>
        <w:t>2.竞争性谈判文件</w:t>
      </w:r>
      <w:r>
        <w:tab/>
      </w:r>
      <w:r>
        <w:fldChar w:fldCharType="begin"/>
      </w:r>
      <w:r>
        <w:instrText xml:space="preserve"> PAGEREF _Toc1559 \h </w:instrText>
      </w:r>
      <w:r>
        <w:fldChar w:fldCharType="separate"/>
      </w:r>
      <w:r>
        <w:t>6</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_Toc24908 </w:instrText>
      </w:r>
      <w:r>
        <w:rPr>
          <w:rFonts w:hint="eastAsia" w:ascii="宋体" w:hAnsi="宋体" w:eastAsia="宋体" w:cs="宋体"/>
          <w:bCs/>
          <w:kern w:val="0"/>
          <w:szCs w:val="28"/>
          <w:highlight w:val="none"/>
          <w:lang w:val="en-US" w:eastAsia="zh-CN"/>
        </w:rPr>
        <w:fldChar w:fldCharType="separate"/>
      </w:r>
      <w:r>
        <w:t>3.竞争性谈判响应文件</w:t>
      </w:r>
      <w:r>
        <w:tab/>
      </w:r>
      <w:r>
        <w:fldChar w:fldCharType="begin"/>
      </w:r>
      <w:r>
        <w:instrText xml:space="preserve"> PAGEREF _Toc24908 \h </w:instrText>
      </w:r>
      <w:r>
        <w:fldChar w:fldCharType="separate"/>
      </w:r>
      <w:r>
        <w:t>7</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_Toc7875 </w:instrText>
      </w:r>
      <w:r>
        <w:rPr>
          <w:rFonts w:hint="eastAsia" w:ascii="宋体" w:hAnsi="宋体" w:eastAsia="宋体" w:cs="宋体"/>
          <w:bCs/>
          <w:kern w:val="0"/>
          <w:szCs w:val="28"/>
          <w:highlight w:val="none"/>
          <w:lang w:val="en-US" w:eastAsia="zh-CN"/>
        </w:rPr>
        <w:fldChar w:fldCharType="separate"/>
      </w:r>
      <w:r>
        <w:t>4.谈判响应文件</w:t>
      </w:r>
      <w:r>
        <w:tab/>
      </w:r>
      <w:r>
        <w:fldChar w:fldCharType="begin"/>
      </w:r>
      <w:r>
        <w:instrText xml:space="preserve"> PAGEREF _Toc7875 \h </w:instrText>
      </w:r>
      <w:r>
        <w:fldChar w:fldCharType="separate"/>
      </w:r>
      <w:r>
        <w:t>8</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_Toc10760 </w:instrText>
      </w:r>
      <w:r>
        <w:rPr>
          <w:rFonts w:hint="eastAsia" w:ascii="宋体" w:hAnsi="宋体" w:eastAsia="宋体" w:cs="宋体"/>
          <w:bCs/>
          <w:kern w:val="0"/>
          <w:szCs w:val="28"/>
          <w:highlight w:val="none"/>
          <w:lang w:val="en-US" w:eastAsia="zh-CN"/>
        </w:rPr>
        <w:fldChar w:fldCharType="separate"/>
      </w:r>
      <w:r>
        <w:t>5.竞争性谈判</w:t>
      </w:r>
      <w:r>
        <w:tab/>
      </w:r>
      <w:r>
        <w:fldChar w:fldCharType="begin"/>
      </w:r>
      <w:r>
        <w:instrText xml:space="preserve"> PAGEREF _Toc10760 \h </w:instrText>
      </w:r>
      <w:r>
        <w:fldChar w:fldCharType="separate"/>
      </w:r>
      <w:r>
        <w:t>8</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_Toc27245 </w:instrText>
      </w:r>
      <w:r>
        <w:rPr>
          <w:rFonts w:hint="eastAsia" w:ascii="宋体" w:hAnsi="宋体" w:eastAsia="宋体" w:cs="宋体"/>
          <w:bCs/>
          <w:kern w:val="0"/>
          <w:szCs w:val="28"/>
          <w:highlight w:val="none"/>
          <w:lang w:val="en-US" w:eastAsia="zh-CN"/>
        </w:rPr>
        <w:fldChar w:fldCharType="separate"/>
      </w:r>
      <w:r>
        <w:t>6.谈判</w:t>
      </w:r>
      <w:r>
        <w:tab/>
      </w:r>
      <w:r>
        <w:fldChar w:fldCharType="begin"/>
      </w:r>
      <w:r>
        <w:instrText xml:space="preserve"> PAGEREF _Toc27245 \h </w:instrText>
      </w:r>
      <w:r>
        <w:fldChar w:fldCharType="separate"/>
      </w:r>
      <w:r>
        <w:t>9</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_Toc15124 </w:instrText>
      </w:r>
      <w:r>
        <w:rPr>
          <w:rFonts w:hint="eastAsia" w:ascii="宋体" w:hAnsi="宋体" w:eastAsia="宋体" w:cs="宋体"/>
          <w:bCs/>
          <w:kern w:val="0"/>
          <w:szCs w:val="28"/>
          <w:highlight w:val="none"/>
          <w:lang w:val="en-US" w:eastAsia="zh-CN"/>
        </w:rPr>
        <w:fldChar w:fldCharType="separate"/>
      </w:r>
      <w:r>
        <w:t>7.合同授予</w:t>
      </w:r>
      <w:r>
        <w:tab/>
      </w:r>
      <w:r>
        <w:fldChar w:fldCharType="begin"/>
      </w:r>
      <w:r>
        <w:instrText xml:space="preserve"> PAGEREF _Toc15124 \h </w:instrText>
      </w:r>
      <w:r>
        <w:fldChar w:fldCharType="separate"/>
      </w:r>
      <w:r>
        <w:t>10</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_Toc10828 </w:instrText>
      </w:r>
      <w:r>
        <w:rPr>
          <w:rFonts w:hint="eastAsia" w:ascii="宋体" w:hAnsi="宋体" w:eastAsia="宋体" w:cs="宋体"/>
          <w:bCs/>
          <w:kern w:val="0"/>
          <w:szCs w:val="28"/>
          <w:highlight w:val="none"/>
          <w:lang w:val="en-US" w:eastAsia="zh-CN"/>
        </w:rPr>
        <w:fldChar w:fldCharType="separate"/>
      </w:r>
      <w:r>
        <w:t>8.重新竞争性谈判或采用其他方式继续采购</w:t>
      </w:r>
      <w:r>
        <w:tab/>
      </w:r>
      <w:r>
        <w:fldChar w:fldCharType="begin"/>
      </w:r>
      <w:r>
        <w:instrText xml:space="preserve"> PAGEREF _Toc10828 \h </w:instrText>
      </w:r>
      <w:r>
        <w:fldChar w:fldCharType="separate"/>
      </w:r>
      <w:r>
        <w:t>10</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_Toc13579 </w:instrText>
      </w:r>
      <w:r>
        <w:rPr>
          <w:rFonts w:hint="eastAsia" w:ascii="宋体" w:hAnsi="宋体" w:eastAsia="宋体" w:cs="宋体"/>
          <w:bCs/>
          <w:kern w:val="0"/>
          <w:szCs w:val="28"/>
          <w:highlight w:val="none"/>
          <w:lang w:val="en-US" w:eastAsia="zh-CN"/>
        </w:rPr>
        <w:fldChar w:fldCharType="separate"/>
      </w:r>
      <w:r>
        <w:t>9.纪律和监督</w:t>
      </w:r>
      <w:r>
        <w:tab/>
      </w:r>
      <w:r>
        <w:fldChar w:fldCharType="begin"/>
      </w:r>
      <w:r>
        <w:instrText xml:space="preserve"> PAGEREF _Toc13579 \h </w:instrText>
      </w:r>
      <w:r>
        <w:fldChar w:fldCharType="separate"/>
      </w:r>
      <w:r>
        <w:t>11</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_Toc22477 </w:instrText>
      </w:r>
      <w:r>
        <w:rPr>
          <w:rFonts w:hint="eastAsia" w:ascii="宋体" w:hAnsi="宋体" w:eastAsia="宋体" w:cs="宋体"/>
          <w:bCs/>
          <w:kern w:val="0"/>
          <w:szCs w:val="28"/>
          <w:highlight w:val="none"/>
          <w:lang w:val="en-US" w:eastAsia="zh-CN"/>
        </w:rPr>
        <w:fldChar w:fldCharType="separate"/>
      </w:r>
      <w:r>
        <w:t>10.需要补充的其他内容</w:t>
      </w:r>
      <w:r>
        <w:tab/>
      </w:r>
      <w:r>
        <w:fldChar w:fldCharType="begin"/>
      </w:r>
      <w:r>
        <w:instrText xml:space="preserve"> PAGEREF _Toc22477 \h </w:instrText>
      </w:r>
      <w:r>
        <w:fldChar w:fldCharType="separate"/>
      </w:r>
      <w:r>
        <w:t>11</w:t>
      </w:r>
      <w:r>
        <w:fldChar w:fldCharType="end"/>
      </w:r>
      <w:r>
        <w:rPr>
          <w:rFonts w:hint="eastAsia" w:ascii="宋体" w:hAnsi="宋体" w:eastAsia="宋体" w:cs="宋体"/>
          <w:bCs/>
          <w:color w:val="auto"/>
          <w:kern w:val="0"/>
          <w:szCs w:val="28"/>
          <w:highlight w:val="none"/>
          <w:lang w:val="en-US" w:eastAsia="zh-CN"/>
        </w:rPr>
        <w:fldChar w:fldCharType="end"/>
      </w:r>
    </w:p>
    <w:p>
      <w:pPr>
        <w:pStyle w:val="11"/>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_Toc501 </w:instrText>
      </w:r>
      <w:r>
        <w:rPr>
          <w:rFonts w:hint="eastAsia" w:ascii="宋体" w:hAnsi="宋体" w:eastAsia="宋体" w:cs="宋体"/>
          <w:bCs/>
          <w:kern w:val="0"/>
          <w:szCs w:val="28"/>
          <w:highlight w:val="none"/>
          <w:lang w:val="en-US" w:eastAsia="zh-CN"/>
        </w:rPr>
        <w:fldChar w:fldCharType="separate"/>
      </w:r>
      <w:r>
        <w:t>第三章谈判方法</w:t>
      </w:r>
      <w:r>
        <w:tab/>
      </w:r>
      <w:r>
        <w:fldChar w:fldCharType="begin"/>
      </w:r>
      <w:r>
        <w:instrText xml:space="preserve"> PAGEREF _Toc501 \h </w:instrText>
      </w:r>
      <w:r>
        <w:fldChar w:fldCharType="separate"/>
      </w:r>
      <w:r>
        <w:t>12</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_Toc31199 </w:instrText>
      </w:r>
      <w:r>
        <w:rPr>
          <w:rFonts w:hint="eastAsia" w:ascii="宋体" w:hAnsi="宋体" w:eastAsia="宋体" w:cs="宋体"/>
          <w:bCs/>
          <w:kern w:val="0"/>
          <w:szCs w:val="28"/>
          <w:highlight w:val="none"/>
          <w:lang w:val="en-US" w:eastAsia="zh-CN"/>
        </w:rPr>
        <w:fldChar w:fldCharType="separate"/>
      </w:r>
      <w:r>
        <w:t>一．谈判方法</w:t>
      </w:r>
      <w:r>
        <w:tab/>
      </w:r>
      <w:r>
        <w:fldChar w:fldCharType="begin"/>
      </w:r>
      <w:r>
        <w:instrText xml:space="preserve"> PAGEREF _Toc31199 \h </w:instrText>
      </w:r>
      <w:r>
        <w:fldChar w:fldCharType="separate"/>
      </w:r>
      <w:r>
        <w:t>12</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_Toc26095 </w:instrText>
      </w:r>
      <w:r>
        <w:rPr>
          <w:rFonts w:hint="eastAsia" w:ascii="宋体" w:hAnsi="宋体" w:eastAsia="宋体" w:cs="宋体"/>
          <w:bCs/>
          <w:kern w:val="0"/>
          <w:szCs w:val="28"/>
          <w:highlight w:val="none"/>
          <w:lang w:val="en-US" w:eastAsia="zh-CN"/>
        </w:rPr>
        <w:fldChar w:fldCharType="separate"/>
      </w:r>
      <w:r>
        <w:t>二．谈判程序</w:t>
      </w:r>
      <w:r>
        <w:tab/>
      </w:r>
      <w:r>
        <w:fldChar w:fldCharType="begin"/>
      </w:r>
      <w:r>
        <w:instrText xml:space="preserve"> PAGEREF _Toc26095 \h </w:instrText>
      </w:r>
      <w:r>
        <w:fldChar w:fldCharType="separate"/>
      </w:r>
      <w:r>
        <w:t>12</w:t>
      </w:r>
      <w:r>
        <w:fldChar w:fldCharType="end"/>
      </w:r>
      <w:r>
        <w:rPr>
          <w:rFonts w:hint="eastAsia" w:ascii="宋体" w:hAnsi="宋体" w:eastAsia="宋体" w:cs="宋体"/>
          <w:bCs/>
          <w:color w:val="auto"/>
          <w:kern w:val="0"/>
          <w:szCs w:val="28"/>
          <w:highlight w:val="none"/>
          <w:lang w:val="en-US" w:eastAsia="zh-CN"/>
        </w:rPr>
        <w:fldChar w:fldCharType="end"/>
      </w:r>
    </w:p>
    <w:p>
      <w:pPr>
        <w:pStyle w:val="11"/>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_Toc16775 </w:instrText>
      </w:r>
      <w:r>
        <w:rPr>
          <w:rFonts w:hint="eastAsia" w:ascii="宋体" w:hAnsi="宋体" w:eastAsia="宋体" w:cs="宋体"/>
          <w:bCs/>
          <w:kern w:val="0"/>
          <w:szCs w:val="28"/>
          <w:highlight w:val="none"/>
          <w:lang w:val="en-US" w:eastAsia="zh-CN"/>
        </w:rPr>
        <w:fldChar w:fldCharType="separate"/>
      </w:r>
      <w:r>
        <w:t>第四章采购内容及要求</w:t>
      </w:r>
      <w:r>
        <w:tab/>
      </w:r>
      <w:r>
        <w:fldChar w:fldCharType="begin"/>
      </w:r>
      <w:r>
        <w:instrText xml:space="preserve"> PAGEREF _Toc16775 \h </w:instrText>
      </w:r>
      <w:r>
        <w:fldChar w:fldCharType="separate"/>
      </w:r>
      <w:r>
        <w:t>14</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_Toc15828 </w:instrText>
      </w:r>
      <w:r>
        <w:rPr>
          <w:rFonts w:hint="eastAsia" w:ascii="宋体" w:hAnsi="宋体" w:eastAsia="宋体" w:cs="宋体"/>
          <w:bCs/>
          <w:kern w:val="0"/>
          <w:szCs w:val="28"/>
          <w:highlight w:val="none"/>
          <w:lang w:val="en-US" w:eastAsia="zh-CN"/>
        </w:rPr>
        <w:fldChar w:fldCharType="separate"/>
      </w:r>
      <w:r>
        <w:t>一、采购内容</w:t>
      </w:r>
      <w:r>
        <w:tab/>
      </w:r>
      <w:r>
        <w:fldChar w:fldCharType="begin"/>
      </w:r>
      <w:r>
        <w:instrText xml:space="preserve"> PAGEREF _Toc15828 \h </w:instrText>
      </w:r>
      <w:r>
        <w:fldChar w:fldCharType="separate"/>
      </w:r>
      <w:r>
        <w:t>14</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_Toc4188 </w:instrText>
      </w:r>
      <w:r>
        <w:rPr>
          <w:rFonts w:hint="eastAsia" w:ascii="宋体" w:hAnsi="宋体" w:eastAsia="宋体" w:cs="宋体"/>
          <w:bCs/>
          <w:kern w:val="0"/>
          <w:szCs w:val="28"/>
          <w:highlight w:val="none"/>
          <w:lang w:val="en-US" w:eastAsia="zh-CN"/>
        </w:rPr>
        <w:fldChar w:fldCharType="separate"/>
      </w:r>
      <w:r>
        <w:t>二、商务要求</w:t>
      </w:r>
      <w:r>
        <w:tab/>
      </w:r>
      <w:r>
        <w:fldChar w:fldCharType="begin"/>
      </w:r>
      <w:r>
        <w:instrText xml:space="preserve"> PAGEREF _Toc4188 \h </w:instrText>
      </w:r>
      <w:r>
        <w:fldChar w:fldCharType="separate"/>
      </w:r>
      <w:r>
        <w:t>20</w:t>
      </w:r>
      <w:r>
        <w:fldChar w:fldCharType="end"/>
      </w:r>
      <w:r>
        <w:rPr>
          <w:rFonts w:hint="eastAsia" w:ascii="宋体" w:hAnsi="宋体" w:eastAsia="宋体" w:cs="宋体"/>
          <w:bCs/>
          <w:color w:val="auto"/>
          <w:kern w:val="0"/>
          <w:szCs w:val="28"/>
          <w:highlight w:val="none"/>
          <w:lang w:val="en-US" w:eastAsia="zh-CN"/>
        </w:rPr>
        <w:fldChar w:fldCharType="end"/>
      </w:r>
    </w:p>
    <w:p>
      <w:pPr>
        <w:pStyle w:val="11"/>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_Toc9317 </w:instrText>
      </w:r>
      <w:r>
        <w:rPr>
          <w:rFonts w:hint="eastAsia" w:ascii="宋体" w:hAnsi="宋体" w:eastAsia="宋体" w:cs="宋体"/>
          <w:bCs/>
          <w:kern w:val="0"/>
          <w:szCs w:val="28"/>
          <w:highlight w:val="none"/>
          <w:lang w:val="en-US" w:eastAsia="zh-CN"/>
        </w:rPr>
        <w:fldChar w:fldCharType="separate"/>
      </w:r>
      <w:r>
        <w:t>第五章</w:t>
      </w:r>
      <w:r>
        <w:rPr>
          <w:rFonts w:hint="eastAsia"/>
          <w:lang w:val="en-US" w:eastAsia="zh-CN"/>
        </w:rPr>
        <w:t xml:space="preserve">  </w:t>
      </w:r>
      <w:r>
        <w:t>合同条款及格式</w:t>
      </w:r>
      <w:r>
        <w:tab/>
      </w:r>
      <w:r>
        <w:fldChar w:fldCharType="begin"/>
      </w:r>
      <w:r>
        <w:instrText xml:space="preserve"> PAGEREF _Toc9317 \h </w:instrText>
      </w:r>
      <w:r>
        <w:fldChar w:fldCharType="separate"/>
      </w:r>
      <w:r>
        <w:t>21</w:t>
      </w:r>
      <w:r>
        <w:fldChar w:fldCharType="end"/>
      </w:r>
      <w:r>
        <w:rPr>
          <w:rFonts w:hint="eastAsia" w:ascii="宋体" w:hAnsi="宋体" w:eastAsia="宋体" w:cs="宋体"/>
          <w:bCs/>
          <w:color w:val="auto"/>
          <w:kern w:val="0"/>
          <w:szCs w:val="28"/>
          <w:highlight w:val="none"/>
          <w:lang w:val="en-US" w:eastAsia="zh-CN"/>
        </w:rPr>
        <w:fldChar w:fldCharType="end"/>
      </w:r>
    </w:p>
    <w:p>
      <w:pPr>
        <w:pStyle w:val="11"/>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_Toc24472 </w:instrText>
      </w:r>
      <w:r>
        <w:rPr>
          <w:rFonts w:hint="eastAsia" w:ascii="宋体" w:hAnsi="宋体" w:eastAsia="宋体" w:cs="宋体"/>
          <w:bCs/>
          <w:kern w:val="0"/>
          <w:szCs w:val="28"/>
          <w:highlight w:val="none"/>
          <w:lang w:val="en-US" w:eastAsia="zh-CN"/>
        </w:rPr>
        <w:fldChar w:fldCharType="separate"/>
      </w:r>
      <w:r>
        <w:t>第六章</w:t>
      </w:r>
      <w:r>
        <w:rPr>
          <w:rFonts w:hint="eastAsia"/>
          <w:lang w:val="en-US" w:eastAsia="zh-CN"/>
        </w:rPr>
        <w:t xml:space="preserve">  </w:t>
      </w:r>
      <w:r>
        <w:t>响应文件格式</w:t>
      </w:r>
      <w:r>
        <w:tab/>
      </w:r>
      <w:r>
        <w:fldChar w:fldCharType="begin"/>
      </w:r>
      <w:r>
        <w:instrText xml:space="preserve"> PAGEREF _Toc24472 \h </w:instrText>
      </w:r>
      <w:r>
        <w:fldChar w:fldCharType="separate"/>
      </w:r>
      <w:r>
        <w:t>23</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_Toc14726 </w:instrText>
      </w:r>
      <w:r>
        <w:rPr>
          <w:rFonts w:hint="eastAsia" w:ascii="宋体" w:hAnsi="宋体" w:eastAsia="宋体" w:cs="宋体"/>
          <w:bCs/>
          <w:kern w:val="0"/>
          <w:szCs w:val="28"/>
          <w:highlight w:val="none"/>
          <w:lang w:val="en-US" w:eastAsia="zh-CN"/>
        </w:rPr>
        <w:fldChar w:fldCharType="separate"/>
      </w:r>
      <w:r>
        <w:rPr>
          <w:rFonts w:ascii="宋体" w:hAnsi="宋体" w:eastAsia="宋体" w:cs="宋体"/>
          <w:bCs/>
          <w:spacing w:val="3"/>
          <w:szCs w:val="31"/>
        </w:rPr>
        <w:t>一、响应函</w:t>
      </w:r>
      <w:r>
        <w:tab/>
      </w:r>
      <w:r>
        <w:fldChar w:fldCharType="begin"/>
      </w:r>
      <w:r>
        <w:instrText xml:space="preserve"> PAGEREF _Toc14726 \h </w:instrText>
      </w:r>
      <w:r>
        <w:fldChar w:fldCharType="separate"/>
      </w:r>
      <w:r>
        <w:t>25</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_Toc29910 </w:instrText>
      </w:r>
      <w:r>
        <w:rPr>
          <w:rFonts w:hint="eastAsia" w:ascii="宋体" w:hAnsi="宋体" w:eastAsia="宋体" w:cs="宋体"/>
          <w:bCs/>
          <w:kern w:val="0"/>
          <w:szCs w:val="28"/>
          <w:highlight w:val="none"/>
          <w:lang w:val="en-US" w:eastAsia="zh-CN"/>
        </w:rPr>
        <w:fldChar w:fldCharType="separate"/>
      </w:r>
      <w:r>
        <w:rPr>
          <w:rFonts w:ascii="宋体" w:hAnsi="宋体" w:eastAsia="宋体" w:cs="宋体"/>
          <w:bCs/>
          <w:spacing w:val="4"/>
          <w:szCs w:val="31"/>
        </w:rPr>
        <w:t>二、谈判报价表</w:t>
      </w:r>
      <w:r>
        <w:tab/>
      </w:r>
      <w:r>
        <w:fldChar w:fldCharType="begin"/>
      </w:r>
      <w:r>
        <w:instrText xml:space="preserve"> PAGEREF _Toc29910 \h </w:instrText>
      </w:r>
      <w:r>
        <w:fldChar w:fldCharType="separate"/>
      </w:r>
      <w:r>
        <w:t>26</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_Toc25735 </w:instrText>
      </w:r>
      <w:r>
        <w:rPr>
          <w:rFonts w:hint="eastAsia" w:ascii="宋体" w:hAnsi="宋体" w:eastAsia="宋体" w:cs="宋体"/>
          <w:bCs/>
          <w:kern w:val="0"/>
          <w:szCs w:val="28"/>
          <w:highlight w:val="none"/>
          <w:lang w:val="en-US" w:eastAsia="zh-CN"/>
        </w:rPr>
        <w:fldChar w:fldCharType="separate"/>
      </w:r>
      <w:r>
        <w:rPr>
          <w:rFonts w:ascii="宋体" w:hAnsi="宋体" w:eastAsia="宋体" w:cs="宋体"/>
          <w:bCs/>
          <w:spacing w:val="5"/>
          <w:szCs w:val="31"/>
        </w:rPr>
        <w:t>三、资格证明文件</w:t>
      </w:r>
      <w:r>
        <w:tab/>
      </w:r>
      <w:r>
        <w:fldChar w:fldCharType="begin"/>
      </w:r>
      <w:r>
        <w:instrText xml:space="preserve"> PAGEREF _Toc25735 \h </w:instrText>
      </w:r>
      <w:r>
        <w:fldChar w:fldCharType="separate"/>
      </w:r>
      <w:r>
        <w:t>28</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_Toc31171 </w:instrText>
      </w:r>
      <w:r>
        <w:rPr>
          <w:rFonts w:hint="eastAsia" w:ascii="宋体" w:hAnsi="宋体" w:eastAsia="宋体" w:cs="宋体"/>
          <w:bCs/>
          <w:kern w:val="0"/>
          <w:szCs w:val="28"/>
          <w:highlight w:val="none"/>
          <w:lang w:val="en-US" w:eastAsia="zh-CN"/>
        </w:rPr>
        <w:fldChar w:fldCharType="separate"/>
      </w:r>
      <w:r>
        <w:rPr>
          <w:rFonts w:ascii="宋体" w:hAnsi="宋体" w:eastAsia="宋体" w:cs="宋体"/>
          <w:bCs/>
          <w:spacing w:val="1"/>
          <w:szCs w:val="31"/>
        </w:rPr>
        <w:t>四、响应偏离表</w:t>
      </w:r>
      <w:r>
        <w:tab/>
      </w:r>
      <w:r>
        <w:fldChar w:fldCharType="begin"/>
      </w:r>
      <w:r>
        <w:instrText xml:space="preserve"> PAGEREF _Toc31171 \h </w:instrText>
      </w:r>
      <w:r>
        <w:fldChar w:fldCharType="separate"/>
      </w:r>
      <w:r>
        <w:t>36</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_Toc29075 </w:instrText>
      </w:r>
      <w:r>
        <w:rPr>
          <w:rFonts w:hint="eastAsia" w:ascii="宋体" w:hAnsi="宋体" w:eastAsia="宋体" w:cs="宋体"/>
          <w:bCs/>
          <w:kern w:val="0"/>
          <w:szCs w:val="28"/>
          <w:highlight w:val="none"/>
          <w:lang w:val="en-US" w:eastAsia="zh-CN"/>
        </w:rPr>
        <w:fldChar w:fldCharType="separate"/>
      </w:r>
      <w:r>
        <w:rPr>
          <w:rFonts w:ascii="宋体" w:hAnsi="宋体" w:eastAsia="宋体" w:cs="宋体"/>
          <w:spacing w:val="-6"/>
          <w:szCs w:val="20"/>
        </w:rPr>
        <w:t>日期：</w:t>
      </w:r>
      <w:r>
        <w:rPr>
          <w:rFonts w:hint="eastAsia" w:ascii="宋体" w:hAnsi="宋体" w:eastAsia="宋体" w:cs="宋体"/>
          <w:spacing w:val="-6"/>
          <w:szCs w:val="20"/>
          <w:lang w:val="en-US" w:eastAsia="zh-CN"/>
        </w:rPr>
        <w:t xml:space="preserve">        </w:t>
      </w:r>
      <w:r>
        <w:rPr>
          <w:rFonts w:ascii="宋体" w:hAnsi="宋体" w:eastAsia="宋体" w:cs="宋体"/>
          <w:spacing w:val="-6"/>
          <w:szCs w:val="20"/>
        </w:rPr>
        <w:t>年</w:t>
      </w:r>
      <w:r>
        <w:rPr>
          <w:rFonts w:hint="eastAsia" w:ascii="宋体" w:hAnsi="宋体" w:eastAsia="宋体" w:cs="宋体"/>
          <w:spacing w:val="-6"/>
          <w:szCs w:val="20"/>
          <w:lang w:val="en-US" w:eastAsia="zh-CN"/>
        </w:rPr>
        <w:t xml:space="preserve">   </w:t>
      </w:r>
      <w:r>
        <w:rPr>
          <w:rFonts w:ascii="宋体" w:hAnsi="宋体" w:eastAsia="宋体" w:cs="宋体"/>
          <w:spacing w:val="-6"/>
          <w:szCs w:val="20"/>
        </w:rPr>
        <w:t>月</w:t>
      </w:r>
      <w:r>
        <w:rPr>
          <w:rFonts w:hint="eastAsia" w:ascii="宋体" w:hAnsi="宋体" w:eastAsia="宋体" w:cs="宋体"/>
          <w:spacing w:val="-6"/>
          <w:szCs w:val="20"/>
          <w:lang w:val="en-US" w:eastAsia="zh-CN"/>
        </w:rPr>
        <w:t xml:space="preserve">   </w:t>
      </w:r>
      <w:r>
        <w:rPr>
          <w:rFonts w:ascii="宋体" w:hAnsi="宋体" w:eastAsia="宋体" w:cs="宋体"/>
          <w:spacing w:val="-6"/>
          <w:szCs w:val="20"/>
        </w:rPr>
        <w:t>日</w:t>
      </w:r>
      <w:r>
        <w:tab/>
      </w:r>
      <w:r>
        <w:fldChar w:fldCharType="begin"/>
      </w:r>
      <w:r>
        <w:instrText xml:space="preserve"> PAGEREF _Toc29075 \h </w:instrText>
      </w:r>
      <w:r>
        <w:fldChar w:fldCharType="separate"/>
      </w:r>
      <w:r>
        <w:t>37</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_Toc30277 </w:instrText>
      </w:r>
      <w:r>
        <w:rPr>
          <w:rFonts w:hint="eastAsia" w:ascii="宋体" w:hAnsi="宋体" w:eastAsia="宋体" w:cs="宋体"/>
          <w:bCs/>
          <w:kern w:val="0"/>
          <w:szCs w:val="28"/>
          <w:highlight w:val="none"/>
          <w:lang w:val="en-US" w:eastAsia="zh-CN"/>
        </w:rPr>
        <w:fldChar w:fldCharType="separate"/>
      </w:r>
      <w:r>
        <w:rPr>
          <w:rFonts w:ascii="宋体" w:hAnsi="宋体" w:eastAsia="宋体" w:cs="宋体"/>
          <w:bCs/>
          <w:spacing w:val="5"/>
          <w:szCs w:val="31"/>
        </w:rPr>
        <w:t>六、供应商承诺书</w:t>
      </w:r>
      <w:r>
        <w:tab/>
      </w:r>
      <w:r>
        <w:fldChar w:fldCharType="begin"/>
      </w:r>
      <w:r>
        <w:instrText xml:space="preserve"> PAGEREF _Toc30277 \h </w:instrText>
      </w:r>
      <w:r>
        <w:fldChar w:fldCharType="separate"/>
      </w:r>
      <w:r>
        <w:t>39</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_Toc11195 </w:instrText>
      </w:r>
      <w:r>
        <w:rPr>
          <w:rFonts w:hint="eastAsia" w:ascii="宋体" w:hAnsi="宋体" w:eastAsia="宋体" w:cs="宋体"/>
          <w:bCs/>
          <w:kern w:val="0"/>
          <w:szCs w:val="28"/>
          <w:highlight w:val="none"/>
          <w:lang w:val="en-US" w:eastAsia="zh-CN"/>
        </w:rPr>
        <w:fldChar w:fldCharType="separate"/>
      </w:r>
      <w:r>
        <w:rPr>
          <w:rFonts w:ascii="宋体" w:hAnsi="宋体" w:eastAsia="宋体" w:cs="宋体"/>
          <w:bCs/>
          <w:spacing w:val="7"/>
          <w:szCs w:val="31"/>
        </w:rPr>
        <w:t>七、供应商认为有必要补充说明的事宜</w:t>
      </w:r>
      <w:r>
        <w:tab/>
      </w:r>
      <w:r>
        <w:fldChar w:fldCharType="begin"/>
      </w:r>
      <w:r>
        <w:instrText xml:space="preserve"> PAGEREF _Toc11195 \h </w:instrText>
      </w:r>
      <w:r>
        <w:fldChar w:fldCharType="separate"/>
      </w:r>
      <w:r>
        <w:t>40</w:t>
      </w:r>
      <w:r>
        <w:fldChar w:fldCharType="end"/>
      </w:r>
      <w:r>
        <w:rPr>
          <w:rFonts w:hint="eastAsia" w:ascii="宋体" w:hAnsi="宋体" w:eastAsia="宋体" w:cs="宋体"/>
          <w:bCs/>
          <w:color w:val="auto"/>
          <w:kern w:val="0"/>
          <w:szCs w:val="28"/>
          <w:highlight w:val="none"/>
          <w:lang w:val="en-US" w:eastAsia="zh-CN"/>
        </w:rPr>
        <w:fldChar w:fldCharType="end"/>
      </w:r>
    </w:p>
    <w:p>
      <w:pPr>
        <w:pStyle w:val="11"/>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_Toc26852 </w:instrText>
      </w:r>
      <w:r>
        <w:rPr>
          <w:rFonts w:hint="eastAsia" w:ascii="宋体" w:hAnsi="宋体" w:eastAsia="宋体" w:cs="宋体"/>
          <w:bCs/>
          <w:kern w:val="0"/>
          <w:szCs w:val="28"/>
          <w:highlight w:val="none"/>
          <w:lang w:val="en-US" w:eastAsia="zh-CN"/>
        </w:rPr>
        <w:fldChar w:fldCharType="separate"/>
      </w:r>
      <w:r>
        <w:t>第七章</w:t>
      </w:r>
      <w:r>
        <w:rPr>
          <w:rFonts w:hint="eastAsia"/>
          <w:lang w:val="en-US" w:eastAsia="zh-CN"/>
        </w:rPr>
        <w:t xml:space="preserve">  </w:t>
      </w:r>
      <w:r>
        <w:t>附件</w:t>
      </w:r>
      <w:r>
        <w:tab/>
      </w:r>
      <w:r>
        <w:fldChar w:fldCharType="begin"/>
      </w:r>
      <w:r>
        <w:instrText xml:space="preserve"> PAGEREF _Toc26852 \h </w:instrText>
      </w:r>
      <w:r>
        <w:fldChar w:fldCharType="separate"/>
      </w:r>
      <w:r>
        <w:t>41</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_Toc24634 </w:instrText>
      </w:r>
      <w:r>
        <w:rPr>
          <w:rFonts w:hint="eastAsia" w:ascii="宋体" w:hAnsi="宋体" w:eastAsia="宋体" w:cs="宋体"/>
          <w:bCs/>
          <w:kern w:val="0"/>
          <w:szCs w:val="28"/>
          <w:highlight w:val="none"/>
          <w:lang w:val="en-US" w:eastAsia="zh-CN"/>
        </w:rPr>
        <w:fldChar w:fldCharType="separate"/>
      </w:r>
      <w:r>
        <w:t>一、中小企业声明函</w:t>
      </w:r>
      <w:r>
        <w:tab/>
      </w:r>
      <w:r>
        <w:fldChar w:fldCharType="begin"/>
      </w:r>
      <w:r>
        <w:instrText xml:space="preserve"> PAGEREF _Toc24634 \h </w:instrText>
      </w:r>
      <w:r>
        <w:fldChar w:fldCharType="separate"/>
      </w:r>
      <w:r>
        <w:t>41</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_Toc22395 </w:instrText>
      </w:r>
      <w:r>
        <w:rPr>
          <w:rFonts w:hint="eastAsia" w:ascii="宋体" w:hAnsi="宋体" w:eastAsia="宋体" w:cs="宋体"/>
          <w:bCs/>
          <w:kern w:val="0"/>
          <w:szCs w:val="28"/>
          <w:highlight w:val="none"/>
          <w:lang w:val="en-US" w:eastAsia="zh-CN"/>
        </w:rPr>
        <w:fldChar w:fldCharType="separate"/>
      </w:r>
      <w:r>
        <w:rPr>
          <w:rFonts w:ascii="宋体" w:hAnsi="宋体" w:eastAsia="宋体" w:cs="宋体"/>
          <w:bCs/>
          <w:spacing w:val="6"/>
          <w:szCs w:val="28"/>
        </w:rPr>
        <w:t>二、监狱企业相关资格证明材料</w:t>
      </w:r>
      <w:r>
        <w:tab/>
      </w:r>
      <w:r>
        <w:fldChar w:fldCharType="begin"/>
      </w:r>
      <w:r>
        <w:instrText xml:space="preserve"> PAGEREF _Toc22395 \h </w:instrText>
      </w:r>
      <w:r>
        <w:fldChar w:fldCharType="separate"/>
      </w:r>
      <w:r>
        <w:t>42</w:t>
      </w:r>
      <w:r>
        <w:fldChar w:fldCharType="end"/>
      </w:r>
      <w:r>
        <w:rPr>
          <w:rFonts w:hint="eastAsia" w:ascii="宋体" w:hAnsi="宋体" w:eastAsia="宋体" w:cs="宋体"/>
          <w:bCs/>
          <w:color w:val="auto"/>
          <w:kern w:val="0"/>
          <w:szCs w:val="28"/>
          <w:highlight w:val="none"/>
          <w:lang w:val="en-US" w:eastAsia="zh-CN"/>
        </w:rPr>
        <w:fldChar w:fldCharType="end"/>
      </w:r>
    </w:p>
    <w:p>
      <w:pPr>
        <w:pStyle w:val="12"/>
        <w:tabs>
          <w:tab w:val="right" w:leader="dot" w:pos="9072"/>
        </w:tabs>
      </w:pPr>
      <w:r>
        <w:rPr>
          <w:rFonts w:hint="eastAsia" w:ascii="宋体" w:hAnsi="宋体" w:eastAsia="宋体" w:cs="宋体"/>
          <w:bCs/>
          <w:color w:val="auto"/>
          <w:kern w:val="0"/>
          <w:szCs w:val="28"/>
          <w:highlight w:val="none"/>
          <w:lang w:val="en-US" w:eastAsia="zh-CN"/>
        </w:rPr>
        <w:fldChar w:fldCharType="begin"/>
      </w:r>
      <w:r>
        <w:rPr>
          <w:rFonts w:hint="eastAsia" w:ascii="宋体" w:hAnsi="宋体" w:eastAsia="宋体" w:cs="宋体"/>
          <w:bCs/>
          <w:kern w:val="0"/>
          <w:szCs w:val="28"/>
          <w:highlight w:val="none"/>
          <w:lang w:val="en-US" w:eastAsia="zh-CN"/>
        </w:rPr>
        <w:instrText xml:space="preserve"> HYPERLINK \l _Toc23771 </w:instrText>
      </w:r>
      <w:r>
        <w:rPr>
          <w:rFonts w:hint="eastAsia" w:ascii="宋体" w:hAnsi="宋体" w:eastAsia="宋体" w:cs="宋体"/>
          <w:bCs/>
          <w:kern w:val="0"/>
          <w:szCs w:val="28"/>
          <w:highlight w:val="none"/>
          <w:lang w:val="en-US" w:eastAsia="zh-CN"/>
        </w:rPr>
        <w:fldChar w:fldCharType="separate"/>
      </w:r>
      <w:r>
        <w:rPr>
          <w:rFonts w:ascii="宋体" w:hAnsi="宋体" w:eastAsia="宋体" w:cs="宋体"/>
          <w:bCs/>
          <w:spacing w:val="6"/>
          <w:szCs w:val="28"/>
        </w:rPr>
        <w:t>三、残疾人福利性单位声明函</w:t>
      </w:r>
      <w:r>
        <w:tab/>
      </w:r>
      <w:r>
        <w:fldChar w:fldCharType="begin"/>
      </w:r>
      <w:r>
        <w:instrText xml:space="preserve"> PAGEREF _Toc23771 \h </w:instrText>
      </w:r>
      <w:r>
        <w:fldChar w:fldCharType="separate"/>
      </w:r>
      <w:r>
        <w:t>42</w:t>
      </w:r>
      <w:r>
        <w:fldChar w:fldCharType="end"/>
      </w:r>
      <w:r>
        <w:rPr>
          <w:rFonts w:hint="eastAsia" w:ascii="宋体" w:hAnsi="宋体" w:eastAsia="宋体" w:cs="宋体"/>
          <w:bCs/>
          <w:color w:val="auto"/>
          <w:kern w:val="0"/>
          <w:szCs w:val="28"/>
          <w:highlight w:val="none"/>
          <w:lang w:val="en-US" w:eastAsia="zh-CN"/>
        </w:rPr>
        <w:fldChar w:fldCharType="end"/>
      </w:r>
    </w:p>
    <w:p>
      <w:pPr>
        <w:spacing w:before="101" w:line="225" w:lineRule="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Cs/>
          <w:color w:val="auto"/>
          <w:kern w:val="0"/>
          <w:szCs w:val="28"/>
          <w:highlight w:val="none"/>
          <w:lang w:val="en-US" w:eastAsia="zh-CN"/>
        </w:rPr>
        <w:fldChar w:fldCharType="end"/>
      </w:r>
    </w:p>
    <w:p>
      <w:pPr>
        <w:spacing w:before="101" w:line="225" w:lineRule="auto"/>
        <w:ind w:left="3610"/>
        <w:rPr>
          <w:rFonts w:hint="eastAsia" w:ascii="宋体" w:hAnsi="宋体" w:cs="宋体"/>
          <w:b/>
          <w:bCs/>
          <w:color w:val="auto"/>
          <w:kern w:val="0"/>
          <w:sz w:val="28"/>
          <w:szCs w:val="28"/>
          <w:highlight w:val="none"/>
        </w:rPr>
      </w:pPr>
    </w:p>
    <w:p>
      <w:pPr>
        <w:spacing w:before="101" w:line="225" w:lineRule="auto"/>
        <w:ind w:left="3610"/>
        <w:rPr>
          <w:rFonts w:hint="eastAsia" w:ascii="宋体" w:hAnsi="宋体" w:cs="宋体"/>
          <w:b/>
          <w:bCs/>
          <w:color w:val="auto"/>
          <w:kern w:val="0"/>
          <w:sz w:val="28"/>
          <w:szCs w:val="28"/>
          <w:highlight w:val="none"/>
        </w:rPr>
      </w:pPr>
    </w:p>
    <w:p>
      <w:pPr>
        <w:pStyle w:val="2"/>
        <w:bidi w:val="0"/>
        <w:sectPr>
          <w:pgSz w:w="11906" w:h="16838"/>
          <w:pgMar w:top="1417" w:right="1417" w:bottom="1417" w:left="1417" w:header="737" w:footer="794" w:gutter="0"/>
          <w:cols w:space="0" w:num="1"/>
          <w:rtlGutter w:val="0"/>
          <w:docGrid w:linePitch="0" w:charSpace="0"/>
        </w:sectPr>
      </w:pPr>
    </w:p>
    <w:p>
      <w:pPr>
        <w:pStyle w:val="2"/>
        <w:bidi w:val="0"/>
      </w:pPr>
      <w:bookmarkStart w:id="0" w:name="_Toc13145"/>
      <w:r>
        <w:t>第一章竞争性谈判公告</w:t>
      </w:r>
      <w:bookmarkEnd w:id="0"/>
    </w:p>
    <w:p>
      <w:pPr>
        <w:bidi w:val="0"/>
        <w:jc w:val="center"/>
      </w:pPr>
      <w:r>
        <w:rPr>
          <w:rFonts w:hint="eastAsia"/>
          <w:lang w:val="en-US" w:eastAsia="zh-CN"/>
        </w:rPr>
        <w:t>大荔县人民法院工作服装购置项目竞争性谈判公告</w:t>
      </w:r>
    </w:p>
    <w:p>
      <w:pPr>
        <w:pStyle w:val="7"/>
        <w:bidi w:val="0"/>
        <w:ind w:left="0" w:leftChars="0" w:firstLine="0" w:firstLineChars="0"/>
      </w:pPr>
      <w:r>
        <w:t>项目概况</w:t>
      </w:r>
    </w:p>
    <w:p>
      <w:pPr>
        <w:pStyle w:val="7"/>
        <w:bidi w:val="0"/>
      </w:pPr>
      <w:r>
        <w:t>工作服装购置项目</w:t>
      </w:r>
      <w:r>
        <w:rPr>
          <w:rFonts w:hint="eastAsia"/>
        </w:rPr>
        <w:t>采购项目的潜在供应商应在大荔县西城街道办西二环北段551号获取采购文件，并于 2025年12月08日14时30分 （北京时间）前提交响应文件。</w:t>
      </w:r>
    </w:p>
    <w:p>
      <w:pPr>
        <w:pStyle w:val="7"/>
        <w:bidi w:val="0"/>
      </w:pPr>
      <w:r>
        <w:t>一、项目基本情况</w:t>
      </w:r>
    </w:p>
    <w:p>
      <w:pPr>
        <w:pStyle w:val="7"/>
        <w:bidi w:val="0"/>
      </w:pPr>
      <w:r>
        <w:rPr>
          <w:rFonts w:hint="eastAsia"/>
        </w:rPr>
        <w:t>项目编号：HY-ZB-055-2025</w:t>
      </w:r>
    </w:p>
    <w:p>
      <w:pPr>
        <w:pStyle w:val="7"/>
        <w:bidi w:val="0"/>
      </w:pPr>
      <w:r>
        <w:rPr>
          <w:rFonts w:hint="eastAsia"/>
        </w:rPr>
        <w:t>项目名称：工作服装购置项目</w:t>
      </w:r>
    </w:p>
    <w:p>
      <w:pPr>
        <w:pStyle w:val="7"/>
        <w:bidi w:val="0"/>
      </w:pPr>
      <w:r>
        <w:rPr>
          <w:rFonts w:hint="eastAsia"/>
        </w:rPr>
        <w:t>采购方式：竞争性谈判</w:t>
      </w:r>
    </w:p>
    <w:p>
      <w:pPr>
        <w:pStyle w:val="7"/>
        <w:bidi w:val="0"/>
      </w:pPr>
      <w:r>
        <w:rPr>
          <w:rFonts w:hint="eastAsia"/>
        </w:rPr>
        <w:t>预算金额：200,600.00元</w:t>
      </w:r>
    </w:p>
    <w:p>
      <w:pPr>
        <w:pStyle w:val="7"/>
        <w:bidi w:val="0"/>
      </w:pPr>
      <w:r>
        <w:rPr>
          <w:rFonts w:hint="eastAsia"/>
        </w:rPr>
        <w:t>采购需求：</w:t>
      </w:r>
    </w:p>
    <w:p>
      <w:pPr>
        <w:pStyle w:val="7"/>
        <w:bidi w:val="0"/>
      </w:pPr>
      <w:r>
        <w:rPr>
          <w:rFonts w:hint="eastAsia"/>
        </w:rPr>
        <w:t>合同包1(大荔县人民法院工作服装购置项目):</w:t>
      </w:r>
    </w:p>
    <w:p>
      <w:pPr>
        <w:pStyle w:val="7"/>
        <w:bidi w:val="0"/>
      </w:pPr>
      <w:r>
        <w:rPr>
          <w:rFonts w:hint="eastAsia"/>
        </w:rPr>
        <w:t>合同包预算金额：200,600.00元</w:t>
      </w:r>
    </w:p>
    <w:p>
      <w:pPr>
        <w:pStyle w:val="7"/>
        <w:bidi w:val="0"/>
      </w:pPr>
      <w:r>
        <w:rPr>
          <w:rFonts w:hint="eastAsia"/>
        </w:rPr>
        <w:t>合同包最高限价：200,600.00元</w:t>
      </w:r>
    </w:p>
    <w:tbl>
      <w:tblPr>
        <w:tblStyle w:val="14"/>
        <w:tblW w:w="85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6"/>
        <w:gridCol w:w="972"/>
        <w:gridCol w:w="1729"/>
        <w:gridCol w:w="1303"/>
        <w:gridCol w:w="2316"/>
        <w:gridCol w:w="13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lang w:val="en-US" w:eastAsia="zh-CN" w:bidi="ar"/>
              </w:rPr>
              <w:t>品目号</w:t>
            </w:r>
          </w:p>
        </w:tc>
        <w:tc>
          <w:tcPr>
            <w:tcW w:w="9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lang w:val="en-US" w:eastAsia="zh-CN" w:bidi="ar"/>
              </w:rPr>
              <w:t>品目名称</w:t>
            </w:r>
          </w:p>
        </w:tc>
        <w:tc>
          <w:tcPr>
            <w:tcW w:w="17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lang w:val="en-US" w:eastAsia="zh-CN" w:bidi="ar"/>
              </w:rPr>
              <w:t>采购标的</w:t>
            </w:r>
          </w:p>
        </w:tc>
        <w:tc>
          <w:tcPr>
            <w:tcW w:w="13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lang w:val="en-US" w:eastAsia="zh-CN" w:bidi="ar"/>
              </w:rPr>
              <w:t>数量（单位）</w:t>
            </w:r>
          </w:p>
        </w:tc>
        <w:tc>
          <w:tcPr>
            <w:tcW w:w="2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lang w:val="en-US" w:eastAsia="zh-CN" w:bidi="ar"/>
              </w:rPr>
              <w:t>技术规格、参数及要求</w:t>
            </w:r>
          </w:p>
        </w:tc>
        <w:tc>
          <w:tcPr>
            <w:tcW w:w="13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品目预算</w:t>
            </w:r>
          </w:p>
          <w:p>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1-1</w:t>
            </w:r>
          </w:p>
        </w:tc>
        <w:tc>
          <w:tcPr>
            <w:tcW w:w="9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制服</w:t>
            </w:r>
          </w:p>
        </w:tc>
        <w:tc>
          <w:tcPr>
            <w:tcW w:w="17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法院防寒服、制式皮鞋</w:t>
            </w:r>
          </w:p>
        </w:tc>
        <w:tc>
          <w:tcPr>
            <w:tcW w:w="13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1(批)</w:t>
            </w:r>
          </w:p>
        </w:tc>
        <w:tc>
          <w:tcPr>
            <w:tcW w:w="2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详见采购文件</w:t>
            </w:r>
          </w:p>
        </w:tc>
        <w:tc>
          <w:tcPr>
            <w:tcW w:w="13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napToGrid w:val="0"/>
              <w:spacing w:before="0" w:beforeAutospacing="0" w:after="0" w:afterAutospacing="0" w:line="240" w:lineRule="auto"/>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200,600.00</w:t>
            </w:r>
          </w:p>
        </w:tc>
      </w:tr>
    </w:tbl>
    <w:p>
      <w:pPr>
        <w:pStyle w:val="7"/>
        <w:bidi w:val="0"/>
      </w:pPr>
      <w:r>
        <w:rPr>
          <w:rFonts w:hint="eastAsia"/>
        </w:rPr>
        <w:t>本合同包不接受联合体投标</w:t>
      </w:r>
    </w:p>
    <w:p>
      <w:pPr>
        <w:pStyle w:val="7"/>
        <w:bidi w:val="0"/>
      </w:pPr>
      <w:r>
        <w:rPr>
          <w:rFonts w:hint="eastAsia"/>
        </w:rPr>
        <w:t>合同履行期限：7日历天</w:t>
      </w:r>
    </w:p>
    <w:p>
      <w:pPr>
        <w:pStyle w:val="7"/>
        <w:bidi w:val="0"/>
      </w:pPr>
      <w:r>
        <w:t>二、申请人的资格要求：</w:t>
      </w:r>
    </w:p>
    <w:p>
      <w:pPr>
        <w:pStyle w:val="7"/>
        <w:bidi w:val="0"/>
      </w:pPr>
      <w:r>
        <w:rPr>
          <w:rFonts w:hint="eastAsia"/>
        </w:rPr>
        <w:t>1.满足《中华人民共和国政府采购法》第二十二条规定;</w:t>
      </w:r>
    </w:p>
    <w:p>
      <w:pPr>
        <w:pStyle w:val="7"/>
        <w:bidi w:val="0"/>
      </w:pPr>
      <w:r>
        <w:rPr>
          <w:rFonts w:hint="eastAsia"/>
        </w:rPr>
        <w:t>2.落实政府采购政策需满足的资格要求：</w:t>
      </w:r>
    </w:p>
    <w:p>
      <w:pPr>
        <w:pStyle w:val="7"/>
        <w:bidi w:val="0"/>
      </w:pPr>
      <w:r>
        <w:rPr>
          <w:rFonts w:hint="eastAsia"/>
        </w:rPr>
        <w:t>合同包1(大荔县人民法院工作服装购置项目)落实政府采购政策需满足的资格要求如下:</w:t>
      </w:r>
    </w:p>
    <w:p>
      <w:pPr>
        <w:pStyle w:val="7"/>
        <w:bidi w:val="0"/>
      </w:pPr>
      <w:r>
        <w:rPr>
          <w:rFonts w:hint="eastAsia"/>
        </w:rPr>
        <w:t>（1）《节能产品政府采购实施意见》（财库[2004] 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 农业农村部 国家乡村振兴局关于运用政府采购政策支持乡村产业振兴的通知》（财库〔2021〕19号）；（13）其他需要落实的政府采购政策。本项目为专门面向中小企业采购。</w:t>
      </w:r>
    </w:p>
    <w:p>
      <w:pPr>
        <w:pStyle w:val="7"/>
        <w:bidi w:val="0"/>
      </w:pPr>
      <w:r>
        <w:rPr>
          <w:rFonts w:hint="eastAsia"/>
        </w:rPr>
        <w:t>3.本项目的特定资格要求：</w:t>
      </w:r>
    </w:p>
    <w:p>
      <w:pPr>
        <w:pStyle w:val="7"/>
        <w:bidi w:val="0"/>
      </w:pPr>
      <w:r>
        <w:rPr>
          <w:rFonts w:hint="eastAsia"/>
        </w:rPr>
        <w:t>合同包1(大荔县人民法院工作服装购置项目)特定资格要求如下:</w:t>
      </w:r>
    </w:p>
    <w:p>
      <w:pPr>
        <w:pStyle w:val="7"/>
        <w:bidi w:val="0"/>
      </w:pPr>
      <w:r>
        <w:rPr>
          <w:rFonts w:hint="eastAsia"/>
        </w:rPr>
        <w:t>3.1具有独立承担民事责任能力的法人、其他组织或自然人，法人或其他组织提供营业执照（事业单位法人证书）等合法证明文件。</w:t>
      </w:r>
      <w:r>
        <w:rPr>
          <w:rFonts w:hint="eastAsia"/>
        </w:rPr>
        <w:br w:type="textWrapping"/>
      </w:r>
      <w:r>
        <w:rPr>
          <w:rFonts w:hint="eastAsia"/>
        </w:rPr>
        <w:t>3.2财务状况报告：提供2024年度财务审计报告（成立时间至提交响应文件截止时间不足一年的可提供开标前六个月内其基本存款账户开户银行出具的资信证明及基本存款账户开户证明资料）。</w:t>
      </w:r>
      <w:r>
        <w:rPr>
          <w:rFonts w:hint="eastAsia"/>
        </w:rPr>
        <w:br w:type="textWrapping"/>
      </w:r>
      <w:r>
        <w:rPr>
          <w:rFonts w:hint="eastAsia"/>
        </w:rPr>
        <w:t>3.3社会保障资金缴纳证明：提供投标文件截止时间前12个月内至少一个月已缴纳的社会保障资金的凭据（专用收据或社会保险缴纳清单）；依法不需要缴纳社会保障资金的供应商应提供相关文件证明。</w:t>
      </w:r>
      <w:r>
        <w:rPr>
          <w:rFonts w:hint="eastAsia"/>
        </w:rPr>
        <w:br w:type="textWrapping"/>
      </w:r>
      <w:r>
        <w:rPr>
          <w:rFonts w:hint="eastAsia"/>
        </w:rPr>
        <w:t>3.1税收缴纳证明：提供投标文件截止时间前12个月内至少一个月已缴纳税收的凭据；依法免税的供应商应提供相关文件证明。</w:t>
      </w:r>
      <w:r>
        <w:rPr>
          <w:rFonts w:hint="eastAsia"/>
        </w:rPr>
        <w:br w:type="textWrapping"/>
      </w:r>
      <w:r>
        <w:rPr>
          <w:rFonts w:hint="eastAsia"/>
        </w:rPr>
        <w:t>3.5未被列入“信用中国”网站（www.creditchina.gov.cn）失信被执行人和重大税收违法案件当事人名单，不处于“中国政府采购网”(www.ccgp.gov.cn)“政府采购严重违法失信行为记录名单中禁止参加政府采购活动的情况。</w:t>
      </w:r>
      <w:r>
        <w:rPr>
          <w:rFonts w:hint="eastAsia"/>
        </w:rPr>
        <w:br w:type="textWrapping"/>
      </w:r>
      <w:r>
        <w:rPr>
          <w:rFonts w:hint="eastAsia"/>
        </w:rPr>
        <w:t>3.6须提供法定代表人授权书（附法定代表人、被授权人身份证复印件）及被授权人身份证原件；法定代表人直接参加投标，须提供法定代表人身份证明文件。</w:t>
      </w:r>
      <w:r>
        <w:rPr>
          <w:rFonts w:hint="eastAsia"/>
        </w:rPr>
        <w:br w:type="textWrapping"/>
      </w:r>
      <w:r>
        <w:rPr>
          <w:rFonts w:hint="eastAsia"/>
        </w:rPr>
        <w:t>3.7参加政府采购活动前三年内在经营活动中没有重大违法记录的书面声明；提供具有履行合同所必需的设备和专业技术能力的承诺函。</w:t>
      </w:r>
      <w:r>
        <w:rPr>
          <w:rFonts w:hint="eastAsia"/>
        </w:rPr>
        <w:br w:type="textWrapping"/>
      </w:r>
      <w:r>
        <w:rPr>
          <w:rFonts w:hint="eastAsia"/>
        </w:rPr>
        <w:t>3.8单位负责人为同一人或者存在控股、管理关系的不同单位不得同时参加，未提及之处详见采购文件。</w:t>
      </w:r>
    </w:p>
    <w:p>
      <w:pPr>
        <w:pStyle w:val="7"/>
        <w:bidi w:val="0"/>
      </w:pPr>
      <w:r>
        <w:t>三、获取采购文件</w:t>
      </w:r>
    </w:p>
    <w:p>
      <w:pPr>
        <w:pStyle w:val="7"/>
        <w:bidi w:val="0"/>
      </w:pPr>
      <w:r>
        <w:rPr>
          <w:rFonts w:hint="eastAsia"/>
        </w:rPr>
        <w:t>时间： 2025年12月01日 至 2025年12月03日 ，每天上午 08:00:00 至 12:00:00 ，下午 14:00:00 至 18:00:00 （北京时间）</w:t>
      </w:r>
    </w:p>
    <w:p>
      <w:pPr>
        <w:pStyle w:val="7"/>
        <w:bidi w:val="0"/>
      </w:pPr>
      <w:r>
        <w:rPr>
          <w:rFonts w:hint="eastAsia"/>
        </w:rPr>
        <w:t>途径：大荔县西城街道办西二环北段551号</w:t>
      </w:r>
    </w:p>
    <w:p>
      <w:pPr>
        <w:pStyle w:val="7"/>
        <w:bidi w:val="0"/>
      </w:pPr>
      <w:r>
        <w:rPr>
          <w:rFonts w:hint="eastAsia"/>
        </w:rPr>
        <w:t>方式：现场获取</w:t>
      </w:r>
    </w:p>
    <w:p>
      <w:pPr>
        <w:pStyle w:val="7"/>
        <w:bidi w:val="0"/>
      </w:pPr>
      <w:r>
        <w:rPr>
          <w:rFonts w:hint="eastAsia"/>
        </w:rPr>
        <w:t>售价： 500元</w:t>
      </w:r>
    </w:p>
    <w:p>
      <w:pPr>
        <w:pStyle w:val="7"/>
        <w:bidi w:val="0"/>
      </w:pPr>
      <w:r>
        <w:t>四、响应文件提交</w:t>
      </w:r>
    </w:p>
    <w:p>
      <w:pPr>
        <w:pStyle w:val="7"/>
        <w:bidi w:val="0"/>
      </w:pPr>
      <w:r>
        <w:rPr>
          <w:rFonts w:hint="eastAsia"/>
        </w:rPr>
        <w:t>截止时间： 2025年12月08日 14时30分00秒 （北京时间）</w:t>
      </w:r>
    </w:p>
    <w:p>
      <w:pPr>
        <w:pStyle w:val="7"/>
        <w:bidi w:val="0"/>
      </w:pPr>
      <w:r>
        <w:rPr>
          <w:rFonts w:hint="eastAsia"/>
        </w:rPr>
        <w:t>地点：大荔县黄河宾馆黄河宴府一楼会议室</w:t>
      </w:r>
    </w:p>
    <w:p>
      <w:pPr>
        <w:pStyle w:val="7"/>
        <w:bidi w:val="0"/>
      </w:pPr>
      <w:r>
        <w:t>五、开启</w:t>
      </w:r>
    </w:p>
    <w:p>
      <w:pPr>
        <w:pStyle w:val="7"/>
        <w:bidi w:val="0"/>
      </w:pPr>
      <w:r>
        <w:rPr>
          <w:rFonts w:hint="eastAsia"/>
        </w:rPr>
        <w:t>时间： 2025年12月08日 14时30分00秒 （北京时间）</w:t>
      </w:r>
    </w:p>
    <w:p>
      <w:pPr>
        <w:pStyle w:val="7"/>
        <w:bidi w:val="0"/>
      </w:pPr>
      <w:r>
        <w:rPr>
          <w:rFonts w:hint="eastAsia"/>
        </w:rPr>
        <w:t>地点：大荔县黄河宾馆黄河宴府一楼会议室</w:t>
      </w:r>
    </w:p>
    <w:p>
      <w:pPr>
        <w:pStyle w:val="7"/>
        <w:bidi w:val="0"/>
      </w:pPr>
      <w:r>
        <w:t>六、公告期限</w:t>
      </w:r>
    </w:p>
    <w:p>
      <w:pPr>
        <w:pStyle w:val="7"/>
        <w:bidi w:val="0"/>
      </w:pPr>
      <w:r>
        <w:rPr>
          <w:rFonts w:hint="eastAsia"/>
        </w:rPr>
        <w:t>自本公告发布之日起3个工作日。</w:t>
      </w:r>
    </w:p>
    <w:p>
      <w:pPr>
        <w:pStyle w:val="7"/>
        <w:bidi w:val="0"/>
      </w:pPr>
      <w:r>
        <w:t>七、其他补充事宜</w:t>
      </w:r>
    </w:p>
    <w:p>
      <w:pPr>
        <w:pStyle w:val="7"/>
        <w:bidi w:val="0"/>
      </w:pPr>
      <w:r>
        <w:rPr>
          <w:rFonts w:hint="eastAsia"/>
        </w:rPr>
        <w:t>获取采购文件时，请携带有效的单位介绍信及被介绍人身份证复印件，加盖供应商公章（鲜章）。请供应商按照陕西省财政厅关于政府采购供应商注册登记有关事项通知中的要求，通过陕西省政府采购网（</w:t>
      </w:r>
      <w:r>
        <w:rPr>
          <w:rFonts w:hint="default"/>
        </w:rPr>
        <w:t>http://www.ccgp-shaanxi.gov.cn/</w:t>
      </w:r>
      <w:r>
        <w:rPr>
          <w:rFonts w:hint="eastAsia"/>
        </w:rPr>
        <w:t>）注册登记加入陕西省政府采购供应商库。</w:t>
      </w:r>
    </w:p>
    <w:p>
      <w:pPr>
        <w:pStyle w:val="7"/>
        <w:bidi w:val="0"/>
      </w:pPr>
      <w:r>
        <w:rPr>
          <w:rFonts w:hint="eastAsia"/>
        </w:rPr>
        <w:t>支持中小企业发展信用融资合作银行名单以陕西省政府采购网发布的最新名单为准，具体可登陆陕西省政府采购网</w:t>
      </w:r>
      <w:r>
        <w:rPr>
          <w:rFonts w:hint="default"/>
        </w:rPr>
        <w:t>(www.ccgp-shaanxi.gov.cn/</w:t>
      </w:r>
      <w:r>
        <w:rPr>
          <w:rFonts w:hint="eastAsia"/>
        </w:rPr>
        <w:t>）重要通知专栏查询。</w:t>
      </w:r>
    </w:p>
    <w:p>
      <w:pPr>
        <w:pStyle w:val="7"/>
        <w:bidi w:val="0"/>
      </w:pPr>
      <w:r>
        <w:t>八、对本次招标提出询问，请按以下方式联系。</w:t>
      </w:r>
    </w:p>
    <w:p>
      <w:pPr>
        <w:pStyle w:val="7"/>
        <w:bidi w:val="0"/>
      </w:pPr>
      <w:r>
        <w:t>1.采购人信息</w:t>
      </w:r>
    </w:p>
    <w:p>
      <w:pPr>
        <w:pStyle w:val="7"/>
        <w:bidi w:val="0"/>
      </w:pPr>
      <w:r>
        <w:rPr>
          <w:rFonts w:hint="eastAsia"/>
        </w:rPr>
        <w:t>名称：大荔县人民法院</w:t>
      </w:r>
    </w:p>
    <w:p>
      <w:pPr>
        <w:pStyle w:val="7"/>
        <w:bidi w:val="0"/>
      </w:pPr>
      <w:r>
        <w:rPr>
          <w:rFonts w:hint="eastAsia"/>
        </w:rPr>
        <w:t>地址：大荔县城关镇府门前</w:t>
      </w:r>
    </w:p>
    <w:p>
      <w:pPr>
        <w:pStyle w:val="7"/>
        <w:bidi w:val="0"/>
      </w:pPr>
      <w:r>
        <w:rPr>
          <w:rFonts w:hint="eastAsia"/>
        </w:rPr>
        <w:t>联系方式：18792307866</w:t>
      </w:r>
    </w:p>
    <w:p>
      <w:pPr>
        <w:pStyle w:val="7"/>
        <w:bidi w:val="0"/>
      </w:pPr>
      <w:r>
        <w:t>2.采购代理机构信息</w:t>
      </w:r>
    </w:p>
    <w:p>
      <w:pPr>
        <w:pStyle w:val="7"/>
        <w:bidi w:val="0"/>
      </w:pPr>
      <w:r>
        <w:rPr>
          <w:rFonts w:hint="eastAsia"/>
        </w:rPr>
        <w:t>名称：陕西翰元工程咨询有限公司</w:t>
      </w:r>
    </w:p>
    <w:p>
      <w:pPr>
        <w:pStyle w:val="7"/>
        <w:bidi w:val="0"/>
      </w:pPr>
      <w:r>
        <w:rPr>
          <w:rFonts w:hint="eastAsia"/>
        </w:rPr>
        <w:t>地址：大荔县西城街道办西二环北段551号</w:t>
      </w:r>
    </w:p>
    <w:p>
      <w:pPr>
        <w:pStyle w:val="7"/>
        <w:bidi w:val="0"/>
      </w:pPr>
      <w:r>
        <w:rPr>
          <w:rFonts w:hint="eastAsia"/>
        </w:rPr>
        <w:t>联系方式：13093977939</w:t>
      </w:r>
    </w:p>
    <w:p>
      <w:pPr>
        <w:pStyle w:val="7"/>
        <w:bidi w:val="0"/>
      </w:pPr>
      <w:r>
        <w:t>3.项目联系方式</w:t>
      </w:r>
    </w:p>
    <w:p>
      <w:pPr>
        <w:pStyle w:val="7"/>
        <w:bidi w:val="0"/>
      </w:pPr>
      <w:r>
        <w:rPr>
          <w:rFonts w:hint="eastAsia"/>
        </w:rPr>
        <w:t>项目联系人：李沙沙</w:t>
      </w:r>
    </w:p>
    <w:p>
      <w:pPr>
        <w:pStyle w:val="7"/>
        <w:bidi w:val="0"/>
      </w:pPr>
      <w:r>
        <w:rPr>
          <w:rFonts w:hint="eastAsia"/>
        </w:rPr>
        <w:t>电话：13093977939</w:t>
      </w:r>
    </w:p>
    <w:p/>
    <w:p>
      <w:pPr>
        <w:rPr>
          <w:rFonts w:ascii="宋体" w:hAnsi="宋体" w:eastAsia="宋体" w:cs="宋体"/>
          <w:b/>
          <w:bCs/>
          <w:spacing w:val="5"/>
          <w:sz w:val="31"/>
          <w:szCs w:val="31"/>
        </w:rPr>
      </w:pPr>
      <w:r>
        <w:rPr>
          <w:rFonts w:ascii="宋体" w:hAnsi="宋体" w:eastAsia="宋体" w:cs="宋体"/>
          <w:b/>
          <w:bCs/>
          <w:spacing w:val="5"/>
          <w:sz w:val="31"/>
          <w:szCs w:val="31"/>
        </w:rPr>
        <w:br w:type="page"/>
      </w:r>
    </w:p>
    <w:p>
      <w:pPr>
        <w:pStyle w:val="2"/>
        <w:bidi w:val="0"/>
      </w:pPr>
      <w:bookmarkStart w:id="1" w:name="_Toc14883"/>
      <w:r>
        <w:t>第二章供应商须知</w:t>
      </w:r>
      <w:bookmarkEnd w:id="1"/>
    </w:p>
    <w:p>
      <w:pPr>
        <w:pStyle w:val="3"/>
        <w:bidi w:val="0"/>
      </w:pPr>
      <w:bookmarkStart w:id="2" w:name="_Toc10531"/>
      <w:r>
        <w:t>供应商须知前附表</w:t>
      </w:r>
      <w:bookmarkEnd w:id="2"/>
    </w:p>
    <w:tbl>
      <w:tblPr>
        <w:tblStyle w:val="19"/>
        <w:tblW w:w="94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02"/>
        <w:gridCol w:w="1736"/>
        <w:gridCol w:w="902"/>
        <w:gridCol w:w="5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条款号</w:t>
            </w:r>
          </w:p>
        </w:tc>
        <w:tc>
          <w:tcPr>
            <w:tcW w:w="1838" w:type="dxa"/>
            <w:gridSpan w:val="2"/>
            <w:vAlign w:val="top"/>
          </w:tcPr>
          <w:p>
            <w:pPr>
              <w:bidi w:val="0"/>
            </w:pPr>
            <w:r>
              <w:t>条款名称</w:t>
            </w:r>
          </w:p>
        </w:tc>
        <w:tc>
          <w:tcPr>
            <w:tcW w:w="6802" w:type="dxa"/>
            <w:gridSpan w:val="2"/>
            <w:vAlign w:val="top"/>
          </w:tcPr>
          <w:p>
            <w:pPr>
              <w:bidi w:val="0"/>
            </w:pPr>
            <w: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1.1.2</w:t>
            </w:r>
          </w:p>
        </w:tc>
        <w:tc>
          <w:tcPr>
            <w:tcW w:w="1838" w:type="dxa"/>
            <w:gridSpan w:val="2"/>
            <w:vAlign w:val="top"/>
          </w:tcPr>
          <w:p>
            <w:pPr>
              <w:bidi w:val="0"/>
            </w:pPr>
            <w:r>
              <w:t>采购人</w:t>
            </w:r>
          </w:p>
        </w:tc>
        <w:tc>
          <w:tcPr>
            <w:tcW w:w="6802" w:type="dxa"/>
            <w:gridSpan w:val="2"/>
            <w:vAlign w:val="top"/>
          </w:tcPr>
          <w:p>
            <w:pPr>
              <w:bidi w:val="0"/>
              <w:rPr>
                <w:rFonts w:hint="eastAsia"/>
                <w:lang w:eastAsia="zh-CN"/>
              </w:rPr>
            </w:pPr>
            <w:r>
              <w:t>名称：</w:t>
            </w:r>
            <w:r>
              <w:rPr>
                <w:rFonts w:hint="eastAsia"/>
                <w:lang w:eastAsia="zh-CN"/>
              </w:rPr>
              <w:t>大荔县人民法院</w:t>
            </w:r>
          </w:p>
          <w:p>
            <w:pPr>
              <w:bidi w:val="0"/>
              <w:rPr>
                <w:rFonts w:hint="eastAsia"/>
                <w:lang w:eastAsia="zh-CN"/>
              </w:rPr>
            </w:pPr>
            <w:r>
              <w:t>地址：</w:t>
            </w:r>
            <w:r>
              <w:rPr>
                <w:rFonts w:hint="eastAsia"/>
                <w:lang w:eastAsia="zh-CN"/>
              </w:rPr>
              <w:t>大荔县西城街道办荔北中队往西500米</w:t>
            </w:r>
          </w:p>
          <w:p>
            <w:pPr>
              <w:bidi w:val="0"/>
            </w:pPr>
            <w:r>
              <w:t>联系方式：18792307866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1.1.3</w:t>
            </w:r>
          </w:p>
        </w:tc>
        <w:tc>
          <w:tcPr>
            <w:tcW w:w="1838" w:type="dxa"/>
            <w:gridSpan w:val="2"/>
            <w:vAlign w:val="top"/>
          </w:tcPr>
          <w:p>
            <w:pPr>
              <w:bidi w:val="0"/>
            </w:pPr>
            <w:r>
              <w:t>采购代理机构</w:t>
            </w:r>
          </w:p>
        </w:tc>
        <w:tc>
          <w:tcPr>
            <w:tcW w:w="6802" w:type="dxa"/>
            <w:gridSpan w:val="2"/>
            <w:vAlign w:val="top"/>
          </w:tcPr>
          <w:p>
            <w:pPr>
              <w:bidi w:val="0"/>
              <w:rPr>
                <w:rFonts w:hint="eastAsia"/>
                <w:lang w:eastAsia="zh-CN"/>
              </w:rPr>
            </w:pPr>
            <w:r>
              <w:rPr>
                <w:rFonts w:hint="eastAsia"/>
              </w:rPr>
              <w:t>名称：</w:t>
            </w:r>
            <w:r>
              <w:rPr>
                <w:rFonts w:hint="eastAsia"/>
                <w:lang w:eastAsia="zh-CN"/>
              </w:rPr>
              <w:t>陕西翰元工程咨询有限公司</w:t>
            </w:r>
          </w:p>
          <w:p>
            <w:pPr>
              <w:bidi w:val="0"/>
            </w:pPr>
            <w:r>
              <w:rPr>
                <w:rFonts w:hint="eastAsia"/>
              </w:rPr>
              <w:t>地址：</w:t>
            </w:r>
            <w:r>
              <w:rPr>
                <w:rFonts w:hint="eastAsia"/>
                <w:lang w:eastAsia="zh-CN"/>
              </w:rPr>
              <w:t>大荔县西城街道办西二环北段551号</w:t>
            </w:r>
          </w:p>
          <w:p>
            <w:pPr>
              <w:bidi w:val="0"/>
            </w:pPr>
            <w:r>
              <w:rPr>
                <w:rFonts w:hint="eastAsia"/>
              </w:rPr>
              <w:t>电话：</w:t>
            </w:r>
            <w:r>
              <w:rPr>
                <w:rFonts w:hint="eastAsia"/>
                <w:lang w:eastAsia="zh-CN"/>
              </w:rPr>
              <w:t>13093977939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1.1.4</w:t>
            </w:r>
          </w:p>
        </w:tc>
        <w:tc>
          <w:tcPr>
            <w:tcW w:w="1838" w:type="dxa"/>
            <w:gridSpan w:val="2"/>
            <w:vAlign w:val="top"/>
          </w:tcPr>
          <w:p>
            <w:pPr>
              <w:bidi w:val="0"/>
            </w:pPr>
            <w:r>
              <w:t>项目名称</w:t>
            </w:r>
          </w:p>
        </w:tc>
        <w:tc>
          <w:tcPr>
            <w:tcW w:w="6802" w:type="dxa"/>
            <w:gridSpan w:val="2"/>
            <w:vAlign w:val="top"/>
          </w:tcPr>
          <w:p>
            <w:pPr>
              <w:bidi w:val="0"/>
              <w:rPr>
                <w:rFonts w:hint="eastAsia"/>
                <w:lang w:eastAsia="zh-CN"/>
              </w:rPr>
            </w:pPr>
            <w:r>
              <w:rPr>
                <w:rFonts w:hint="eastAsia"/>
                <w:lang w:eastAsia="zh-CN"/>
              </w:rPr>
              <w:t>工作服装购置项目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1.1.5</w:t>
            </w:r>
          </w:p>
        </w:tc>
        <w:tc>
          <w:tcPr>
            <w:tcW w:w="1838" w:type="dxa"/>
            <w:gridSpan w:val="2"/>
            <w:vAlign w:val="top"/>
          </w:tcPr>
          <w:p>
            <w:pPr>
              <w:bidi w:val="0"/>
            </w:pPr>
            <w:r>
              <w:t>交货地点</w:t>
            </w:r>
          </w:p>
        </w:tc>
        <w:tc>
          <w:tcPr>
            <w:tcW w:w="6802" w:type="dxa"/>
            <w:gridSpan w:val="2"/>
            <w:vAlign w:val="top"/>
          </w:tcPr>
          <w:p>
            <w:pPr>
              <w:bidi w:val="0"/>
            </w:pPr>
            <w:r>
              <w:rPr>
                <w:rFonts w:hint="eastAsia"/>
                <w:lang w:eastAsia="zh-CN"/>
              </w:rPr>
              <w:t>大荔县人民法院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1.2.1</w:t>
            </w:r>
          </w:p>
        </w:tc>
        <w:tc>
          <w:tcPr>
            <w:tcW w:w="1838" w:type="dxa"/>
            <w:gridSpan w:val="2"/>
            <w:vAlign w:val="top"/>
          </w:tcPr>
          <w:p>
            <w:pPr>
              <w:bidi w:val="0"/>
            </w:pPr>
            <w:r>
              <w:t>资金来源</w:t>
            </w:r>
          </w:p>
        </w:tc>
        <w:tc>
          <w:tcPr>
            <w:tcW w:w="6802" w:type="dxa"/>
            <w:gridSpan w:val="2"/>
            <w:vAlign w:val="top"/>
          </w:tcPr>
          <w:p>
            <w:pPr>
              <w:bidi w:val="0"/>
            </w:pPr>
            <w:r>
              <w:t>其他财政资金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1.2.2</w:t>
            </w:r>
          </w:p>
        </w:tc>
        <w:tc>
          <w:tcPr>
            <w:tcW w:w="1838" w:type="dxa"/>
            <w:gridSpan w:val="2"/>
            <w:vAlign w:val="top"/>
          </w:tcPr>
          <w:p>
            <w:pPr>
              <w:bidi w:val="0"/>
            </w:pPr>
            <w:r>
              <w:t>采购预算</w:t>
            </w:r>
          </w:p>
        </w:tc>
        <w:tc>
          <w:tcPr>
            <w:tcW w:w="6802" w:type="dxa"/>
            <w:gridSpan w:val="2"/>
            <w:vAlign w:val="top"/>
          </w:tcPr>
          <w:p>
            <w:pPr>
              <w:bidi w:val="0"/>
            </w:pPr>
            <w:r>
              <w:rPr>
                <w:rFonts w:hint="eastAsia"/>
                <w:lang w:eastAsia="zh-CN"/>
              </w:rPr>
              <w:t>200,600.00</w:t>
            </w:r>
            <w: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1.2.3</w:t>
            </w:r>
          </w:p>
        </w:tc>
        <w:tc>
          <w:tcPr>
            <w:tcW w:w="1838" w:type="dxa"/>
            <w:gridSpan w:val="2"/>
            <w:vAlign w:val="top"/>
          </w:tcPr>
          <w:p>
            <w:pPr>
              <w:bidi w:val="0"/>
            </w:pPr>
            <w:r>
              <w:t>资金落实情况</w:t>
            </w:r>
          </w:p>
        </w:tc>
        <w:tc>
          <w:tcPr>
            <w:tcW w:w="6802" w:type="dxa"/>
            <w:gridSpan w:val="2"/>
            <w:vAlign w:val="top"/>
          </w:tcPr>
          <w:p>
            <w:pPr>
              <w:bidi w:val="0"/>
            </w:pPr>
            <w: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1.3.1</w:t>
            </w:r>
          </w:p>
        </w:tc>
        <w:tc>
          <w:tcPr>
            <w:tcW w:w="1838" w:type="dxa"/>
            <w:gridSpan w:val="2"/>
            <w:vAlign w:val="top"/>
          </w:tcPr>
          <w:p>
            <w:pPr>
              <w:bidi w:val="0"/>
            </w:pPr>
            <w:r>
              <w:t>采购内容</w:t>
            </w:r>
          </w:p>
        </w:tc>
        <w:tc>
          <w:tcPr>
            <w:tcW w:w="6802" w:type="dxa"/>
            <w:gridSpan w:val="2"/>
            <w:vAlign w:val="top"/>
          </w:tcPr>
          <w:p>
            <w:pPr>
              <w:bidi w:val="0"/>
            </w:pPr>
            <w:r>
              <w:t>详见采购需求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1.3.2</w:t>
            </w:r>
          </w:p>
        </w:tc>
        <w:tc>
          <w:tcPr>
            <w:tcW w:w="1838" w:type="dxa"/>
            <w:gridSpan w:val="2"/>
            <w:vAlign w:val="top"/>
          </w:tcPr>
          <w:p>
            <w:pPr>
              <w:bidi w:val="0"/>
            </w:pPr>
            <w:r>
              <w:t>交付期限</w:t>
            </w:r>
          </w:p>
        </w:tc>
        <w:tc>
          <w:tcPr>
            <w:tcW w:w="6802" w:type="dxa"/>
            <w:gridSpan w:val="2"/>
            <w:vAlign w:val="top"/>
          </w:tcPr>
          <w:p>
            <w:pPr>
              <w:bidi w:val="0"/>
            </w:pPr>
            <w:r>
              <w:t>合同签订后</w:t>
            </w:r>
            <w:r>
              <w:rPr>
                <w:rFonts w:hint="eastAsia"/>
                <w:lang w:val="en-US" w:eastAsia="zh-CN"/>
              </w:rPr>
              <w:t>7</w:t>
            </w:r>
            <w:r>
              <w:t>个日历日内完成。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1.3.3</w:t>
            </w:r>
          </w:p>
        </w:tc>
        <w:tc>
          <w:tcPr>
            <w:tcW w:w="1838" w:type="dxa"/>
            <w:gridSpan w:val="2"/>
            <w:vAlign w:val="top"/>
          </w:tcPr>
          <w:p>
            <w:pPr>
              <w:bidi w:val="0"/>
            </w:pPr>
            <w:r>
              <w:t>质保期</w:t>
            </w:r>
          </w:p>
        </w:tc>
        <w:tc>
          <w:tcPr>
            <w:tcW w:w="6802" w:type="dxa"/>
            <w:gridSpan w:val="2"/>
            <w:vAlign w:val="top"/>
          </w:tcPr>
          <w:p>
            <w:pPr>
              <w:bidi w:val="0"/>
            </w:pPr>
            <w:r>
              <w:t>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1.4.1</w:t>
            </w:r>
          </w:p>
        </w:tc>
        <w:tc>
          <w:tcPr>
            <w:tcW w:w="1838" w:type="dxa"/>
            <w:gridSpan w:val="2"/>
            <w:vAlign w:val="top"/>
          </w:tcPr>
          <w:p>
            <w:pPr>
              <w:bidi w:val="0"/>
            </w:pPr>
            <w:r>
              <w:t>供应商资格要求及条件</w:t>
            </w:r>
          </w:p>
        </w:tc>
        <w:tc>
          <w:tcPr>
            <w:tcW w:w="6802" w:type="dxa"/>
            <w:gridSpan w:val="2"/>
            <w:vAlign w:val="top"/>
          </w:tcPr>
          <w:p>
            <w:pPr>
              <w:bidi w:val="0"/>
            </w:pPr>
            <w:r>
              <w:t>1.满足《中华人民共和国政府采购法》第二十二条规定：</w:t>
            </w:r>
          </w:p>
          <w:p>
            <w:pPr>
              <w:bidi w:val="0"/>
              <w:rPr>
                <w:rFonts w:hint="eastAsia"/>
              </w:rPr>
            </w:pPr>
            <w:r>
              <w:rPr>
                <w:rFonts w:hint="eastAsia" w:eastAsia="宋体"/>
                <w:lang w:val="en-US" w:eastAsia="zh-CN"/>
              </w:rPr>
              <w:t>1</w:t>
            </w:r>
            <w:r>
              <w:rPr>
                <w:rFonts w:hint="eastAsia"/>
              </w:rPr>
              <w:t>.1具有独立承担民事责任能力的法人、其他组织或自然人，法人或其他组织提供营业执照（事业单位法人证书）等合法证明文件。</w:t>
            </w:r>
            <w:r>
              <w:rPr>
                <w:rFonts w:hint="eastAsia"/>
              </w:rPr>
              <w:br w:type="textWrapping"/>
            </w:r>
            <w:r>
              <w:rPr>
                <w:rFonts w:hint="eastAsia" w:eastAsia="宋体"/>
                <w:lang w:val="en-US" w:eastAsia="zh-CN"/>
              </w:rPr>
              <w:t>1</w:t>
            </w:r>
            <w:r>
              <w:rPr>
                <w:rFonts w:hint="eastAsia"/>
              </w:rPr>
              <w:t>.2财务状况报告：提供2024年度财务审计报告（成立时间至提交响应文件截止时间不足一年的可提供开标前六个月内其基本存款账户开户银行出具的资信证明及基本存款账户开户证明资料）。</w:t>
            </w:r>
            <w:r>
              <w:rPr>
                <w:rFonts w:hint="eastAsia"/>
              </w:rPr>
              <w:br w:type="textWrapping"/>
            </w:r>
            <w:r>
              <w:rPr>
                <w:rFonts w:hint="eastAsia" w:eastAsia="宋体"/>
                <w:lang w:val="en-US" w:eastAsia="zh-CN"/>
              </w:rPr>
              <w:t>1</w:t>
            </w:r>
            <w:r>
              <w:rPr>
                <w:rFonts w:hint="eastAsia"/>
              </w:rPr>
              <w:t>.3社会保障资金缴纳证明：提供投标文件截止时间前12个月内至少一个月已缴纳的社会保障资金的凭据（专用收据或社会保险缴纳清单）；依法不需要缴纳社会保障资金的供应商应提供相关文件证明。</w:t>
            </w:r>
            <w:r>
              <w:rPr>
                <w:rFonts w:hint="eastAsia"/>
              </w:rPr>
              <w:br w:type="textWrapping"/>
            </w:r>
            <w:r>
              <w:rPr>
                <w:rFonts w:hint="eastAsia" w:eastAsia="宋体"/>
                <w:lang w:val="en-US" w:eastAsia="zh-CN"/>
              </w:rPr>
              <w:t>1</w:t>
            </w:r>
            <w:r>
              <w:rPr>
                <w:rFonts w:hint="eastAsia"/>
              </w:rPr>
              <w:t>.</w:t>
            </w:r>
            <w:r>
              <w:rPr>
                <w:rFonts w:hint="eastAsia" w:eastAsia="宋体"/>
                <w:lang w:val="en-US" w:eastAsia="zh-CN"/>
              </w:rPr>
              <w:t>4</w:t>
            </w:r>
            <w:r>
              <w:rPr>
                <w:rFonts w:hint="eastAsia"/>
              </w:rPr>
              <w:t>税收缴纳证明：提供投标文件截止时间前12个月内至少一个月已缴纳税收的凭据；依法免税的供应商应提供相关文件证明。</w:t>
            </w:r>
            <w:r>
              <w:rPr>
                <w:rFonts w:hint="eastAsia"/>
              </w:rPr>
              <w:br w:type="textWrapping"/>
            </w:r>
            <w:r>
              <w:rPr>
                <w:rFonts w:hint="eastAsia" w:eastAsia="宋体"/>
                <w:lang w:val="en-US" w:eastAsia="zh-CN"/>
              </w:rPr>
              <w:t>1</w:t>
            </w:r>
            <w:r>
              <w:rPr>
                <w:rFonts w:hint="eastAsia"/>
              </w:rPr>
              <w:t>.5未被列入“信用中国”网站（www.creditchina.gov.cn）失信被执行人和重大税收违法案件当事人名单，不处于“中国政府采购网”(www.ccgp.gov.cn)“政府采购严重违法失信行为记录名单中禁止参加政府采购活动的情况。</w:t>
            </w:r>
            <w:r>
              <w:rPr>
                <w:rFonts w:hint="eastAsia"/>
              </w:rPr>
              <w:br w:type="textWrapping"/>
            </w:r>
            <w:r>
              <w:rPr>
                <w:rFonts w:hint="eastAsia" w:eastAsia="宋体"/>
                <w:lang w:val="en-US" w:eastAsia="zh-CN"/>
              </w:rPr>
              <w:t>1</w:t>
            </w:r>
            <w:r>
              <w:rPr>
                <w:rFonts w:hint="eastAsia"/>
              </w:rPr>
              <w:t>.6须提供法定代表人授权书（附法定代表人、被授权人身份证复印件）及被授权人身份证原件；法定代表人直接参加投标，须提供法定代表人身份证明文件。</w:t>
            </w:r>
            <w:r>
              <w:rPr>
                <w:rFonts w:hint="eastAsia"/>
              </w:rPr>
              <w:br w:type="textWrapping"/>
            </w:r>
            <w:r>
              <w:rPr>
                <w:rFonts w:hint="eastAsia" w:eastAsia="宋体"/>
                <w:lang w:val="en-US" w:eastAsia="zh-CN"/>
              </w:rPr>
              <w:t>1</w:t>
            </w:r>
            <w:r>
              <w:rPr>
                <w:rFonts w:hint="eastAsia"/>
              </w:rPr>
              <w:t>.7参加政府采购活动前三年内在经营活动中没有重大违法记录的书面声明；提供具有履行合同所必需的设备和专业技术能力的承诺函。</w:t>
            </w:r>
            <w:r>
              <w:rPr>
                <w:rFonts w:hint="eastAsia"/>
              </w:rPr>
              <w:br w:type="textWrapping"/>
            </w:r>
            <w:r>
              <w:rPr>
                <w:rFonts w:hint="eastAsia" w:eastAsia="宋体"/>
                <w:lang w:val="en-US" w:eastAsia="zh-CN"/>
              </w:rPr>
              <w:t>1</w:t>
            </w:r>
            <w:r>
              <w:rPr>
                <w:rFonts w:hint="eastAsia"/>
              </w:rPr>
              <w:t>.8单位负责人为同一人或者存在控股、管理关系的不同单位不得同时参加，未提及之处详见采购文件。</w:t>
            </w:r>
          </w:p>
          <w:p>
            <w:pPr>
              <w:bidi w:val="0"/>
            </w:pPr>
            <w:r>
              <w:t>注：（1）承诺声明、书面声明、法定代表人身份证明书和法定代表人授权委托书应按谈判文件给定的格式填写；</w:t>
            </w:r>
          </w:p>
          <w:p>
            <w:pPr>
              <w:pStyle w:val="7"/>
              <w:ind w:left="0" w:leftChars="0" w:firstLine="0" w:firstLineChars="0"/>
            </w:pPr>
            <w:r>
              <w:t>（2）以上供应商必备资格条件必须齐全、真实、有效，若不符合要求，按无效响应处理。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1.4.2</w:t>
            </w:r>
          </w:p>
        </w:tc>
        <w:tc>
          <w:tcPr>
            <w:tcW w:w="1838" w:type="dxa"/>
            <w:gridSpan w:val="2"/>
            <w:vAlign w:val="top"/>
          </w:tcPr>
          <w:p>
            <w:pPr>
              <w:bidi w:val="0"/>
            </w:pPr>
            <w:r>
              <w:t>是否接受联合体谈判</w:t>
            </w:r>
          </w:p>
        </w:tc>
        <w:tc>
          <w:tcPr>
            <w:tcW w:w="6802" w:type="dxa"/>
            <w:gridSpan w:val="2"/>
            <w:vAlign w:val="top"/>
          </w:tcPr>
          <w:p>
            <w:pPr>
              <w:bidi w:val="0"/>
            </w:pPr>
            <w: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1.4.4</w:t>
            </w:r>
          </w:p>
        </w:tc>
        <w:tc>
          <w:tcPr>
            <w:tcW w:w="1838" w:type="dxa"/>
            <w:gridSpan w:val="2"/>
            <w:vAlign w:val="top"/>
          </w:tcPr>
          <w:p>
            <w:pPr>
              <w:bidi w:val="0"/>
            </w:pPr>
            <w:r>
              <w:t>竞争性谈判现场</w:t>
            </w:r>
          </w:p>
          <w:p>
            <w:pPr>
              <w:bidi w:val="0"/>
            </w:pPr>
            <w:r>
              <w:t>需出具资格证件</w:t>
            </w:r>
          </w:p>
          <w:p>
            <w:pPr>
              <w:bidi w:val="0"/>
            </w:pPr>
            <w:r>
              <w:t>原件</w:t>
            </w:r>
          </w:p>
        </w:tc>
        <w:tc>
          <w:tcPr>
            <w:tcW w:w="6802" w:type="dxa"/>
            <w:gridSpan w:val="2"/>
            <w:vAlign w:val="top"/>
          </w:tcPr>
          <w:p>
            <w:pPr>
              <w:bidi w:val="0"/>
            </w:pPr>
            <w:r>
              <w:t>法定代表人直接参加谈判的，须出具法定代表人身份证明书（附法人身份证复印件并加盖公章）及法定代表人身份证原件，并与营业执照上信息一致；委托代理人参加谈判的，须出具法定代表人授权委托书（附法定代表人及委托代理人身份证复印件并加盖公章）及委托代理人身份证原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1.9.1</w:t>
            </w:r>
          </w:p>
        </w:tc>
        <w:tc>
          <w:tcPr>
            <w:tcW w:w="1838" w:type="dxa"/>
            <w:gridSpan w:val="2"/>
            <w:vAlign w:val="top"/>
          </w:tcPr>
          <w:p>
            <w:pPr>
              <w:bidi w:val="0"/>
            </w:pPr>
            <w:r>
              <w:t>踏勘现场</w:t>
            </w:r>
          </w:p>
        </w:tc>
        <w:tc>
          <w:tcPr>
            <w:tcW w:w="6802" w:type="dxa"/>
            <w:gridSpan w:val="2"/>
            <w:vAlign w:val="top"/>
          </w:tcPr>
          <w:p>
            <w:pPr>
              <w:bidi w:val="0"/>
            </w:pPr>
            <w:r>
              <w:t>采购人不组织统一踏勘现场，由各供应商自行踏勘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1.10</w:t>
            </w:r>
          </w:p>
        </w:tc>
        <w:tc>
          <w:tcPr>
            <w:tcW w:w="1838" w:type="dxa"/>
            <w:gridSpan w:val="2"/>
            <w:vAlign w:val="top"/>
          </w:tcPr>
          <w:p>
            <w:pPr>
              <w:bidi w:val="0"/>
            </w:pPr>
            <w:r>
              <w:t>分包</w:t>
            </w:r>
          </w:p>
        </w:tc>
        <w:tc>
          <w:tcPr>
            <w:tcW w:w="6802" w:type="dxa"/>
            <w:gridSpan w:val="2"/>
            <w:vAlign w:val="top"/>
          </w:tcPr>
          <w:p>
            <w:pPr>
              <w:bidi w:val="0"/>
            </w:pPr>
            <w: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2.1</w:t>
            </w:r>
          </w:p>
        </w:tc>
        <w:tc>
          <w:tcPr>
            <w:tcW w:w="1838" w:type="dxa"/>
            <w:gridSpan w:val="2"/>
            <w:vAlign w:val="top"/>
          </w:tcPr>
          <w:p>
            <w:pPr>
              <w:bidi w:val="0"/>
            </w:pPr>
            <w:r>
              <w:t>构成竞争性谈判文件的其他材料</w:t>
            </w:r>
          </w:p>
        </w:tc>
        <w:tc>
          <w:tcPr>
            <w:tcW w:w="6802" w:type="dxa"/>
            <w:gridSpan w:val="2"/>
            <w:vAlign w:val="top"/>
          </w:tcPr>
          <w:p>
            <w:pPr>
              <w:bidi w:val="0"/>
            </w:pPr>
            <w:r>
              <w:t>对竞争性谈判文件所作的澄清、修改、答疑以及往来通知、函件等。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rPr>
                <w:u w:val="none"/>
              </w:rPr>
            </w:pPr>
            <w:r>
              <w:rPr>
                <w:u w:val="none"/>
              </w:rPr>
              <w:t>2.3.1</w:t>
            </w:r>
          </w:p>
        </w:tc>
        <w:tc>
          <w:tcPr>
            <w:tcW w:w="1838" w:type="dxa"/>
            <w:gridSpan w:val="2"/>
            <w:vAlign w:val="top"/>
          </w:tcPr>
          <w:p>
            <w:pPr>
              <w:bidi w:val="0"/>
              <w:rPr>
                <w:u w:val="none"/>
              </w:rPr>
            </w:pPr>
            <w:r>
              <w:rPr>
                <w:u w:val="none"/>
              </w:rPr>
              <w:t>供应商提出询问</w:t>
            </w:r>
          </w:p>
        </w:tc>
        <w:tc>
          <w:tcPr>
            <w:tcW w:w="6802" w:type="dxa"/>
            <w:gridSpan w:val="2"/>
            <w:vAlign w:val="top"/>
          </w:tcPr>
          <w:p>
            <w:pPr>
              <w:bidi w:val="0"/>
              <w:rPr>
                <w:u w:val="none"/>
              </w:rPr>
            </w:pPr>
            <w:r>
              <w:rPr>
                <w:u w:val="none"/>
              </w:rPr>
              <w:t>已经购买竞争性谈判文件的供应商对竞争性谈判文件有质疑，依据《中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rPr>
                <w:rFonts w:hint="eastAsia"/>
                <w:lang w:eastAsia="zh-CN"/>
              </w:rPr>
            </w:pPr>
          </w:p>
        </w:tc>
        <w:tc>
          <w:tcPr>
            <w:tcW w:w="1838" w:type="dxa"/>
            <w:gridSpan w:val="2"/>
            <w:vAlign w:val="top"/>
          </w:tcPr>
          <w:p>
            <w:pPr>
              <w:bidi w:val="0"/>
            </w:pPr>
            <w:r>
              <w:t>和质疑的时间</w:t>
            </w:r>
          </w:p>
        </w:tc>
        <w:tc>
          <w:tcPr>
            <w:tcW w:w="6802" w:type="dxa"/>
            <w:gridSpan w:val="2"/>
            <w:vAlign w:val="top"/>
          </w:tcPr>
          <w:p>
            <w:pPr>
              <w:bidi w:val="0"/>
            </w:pPr>
            <w:r>
              <w:t>华人民共和国政府采购法》第五十二条，应当在知道或者应知其权益受到损害之日起七个工作日内，以书面形式向采购人提出质疑。在此之后提出的质疑均为无效，不予受理。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3.1.1</w:t>
            </w:r>
          </w:p>
        </w:tc>
        <w:tc>
          <w:tcPr>
            <w:tcW w:w="1838" w:type="dxa"/>
            <w:gridSpan w:val="2"/>
            <w:vAlign w:val="top"/>
          </w:tcPr>
          <w:p>
            <w:pPr>
              <w:bidi w:val="0"/>
            </w:pPr>
            <w:r>
              <w:t>构成竞争性谈判响应文件的其他材料</w:t>
            </w:r>
          </w:p>
        </w:tc>
        <w:tc>
          <w:tcPr>
            <w:tcW w:w="6802" w:type="dxa"/>
            <w:gridSpan w:val="2"/>
            <w:vAlign w:val="top"/>
          </w:tcPr>
          <w:p>
            <w:pPr>
              <w:bidi w:val="0"/>
            </w:pPr>
            <w:r>
              <w:t>根据竞争性谈判文件相应条款对竞争性谈判文件所作的答疑、修改，构成竞争性谈判文件的其他组成部分，各响应供应商必须及时从竞争性谈判代理人处获取。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3.2.1</w:t>
            </w:r>
          </w:p>
        </w:tc>
        <w:tc>
          <w:tcPr>
            <w:tcW w:w="1838" w:type="dxa"/>
            <w:gridSpan w:val="2"/>
            <w:vAlign w:val="top"/>
          </w:tcPr>
          <w:p>
            <w:pPr>
              <w:bidi w:val="0"/>
            </w:pPr>
            <w:r>
              <w:t>谈判报价</w:t>
            </w:r>
          </w:p>
        </w:tc>
        <w:tc>
          <w:tcPr>
            <w:tcW w:w="6802" w:type="dxa"/>
            <w:gridSpan w:val="2"/>
            <w:vAlign w:val="top"/>
          </w:tcPr>
          <w:p>
            <w:pPr>
              <w:bidi w:val="0"/>
            </w:pPr>
            <w:r>
              <w:t>1、本项目采用全费用总价包干形式（不受市场价变化的影响）。</w:t>
            </w:r>
          </w:p>
          <w:p>
            <w:pPr>
              <w:bidi w:val="0"/>
            </w:pPr>
            <w:r>
              <w:t>2、供应商必须以人民币报价，报价应对采购的全部内容进行报价，包括完成项目所需货物、包装、运费、装卸、人工、保险、检测、检验、税费以及国家规定的其他各项费用等全部费用，采购人不再额外支付任何费用。</w:t>
            </w:r>
          </w:p>
          <w:p>
            <w:pPr>
              <w:bidi w:val="0"/>
            </w:pPr>
            <w:r>
              <w:t>3、在谈判过程中，谈判小组可以根据谈判文件和谈判情况实质性变动采购需求中的技术、服务要求以及合同草案条款，如未发生变动，二次报价不得高于首次报价，二次报价为最终报价，超出（高于）者按照无效响应处理。</w:t>
            </w:r>
          </w:p>
          <w:p>
            <w:pPr>
              <w:bidi w:val="0"/>
            </w:pPr>
            <w:r>
              <w:t>4、其他要求</w:t>
            </w:r>
          </w:p>
          <w:p>
            <w:pPr>
              <w:bidi w:val="0"/>
            </w:pPr>
            <w:r>
              <w:t>详见第二章3.2条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3.3.1</w:t>
            </w:r>
          </w:p>
        </w:tc>
        <w:tc>
          <w:tcPr>
            <w:tcW w:w="1838" w:type="dxa"/>
            <w:gridSpan w:val="2"/>
            <w:vAlign w:val="top"/>
          </w:tcPr>
          <w:p>
            <w:pPr>
              <w:bidi w:val="0"/>
            </w:pPr>
            <w:r>
              <w:t>谈判有效期</w:t>
            </w:r>
          </w:p>
        </w:tc>
        <w:tc>
          <w:tcPr>
            <w:tcW w:w="6802" w:type="dxa"/>
            <w:gridSpan w:val="2"/>
            <w:vAlign w:val="top"/>
          </w:tcPr>
          <w:p>
            <w:pPr>
              <w:bidi w:val="0"/>
            </w:pPr>
            <w:r>
              <w:t>90日历天（自谈判截止之日算起）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3.4.1</w:t>
            </w:r>
          </w:p>
        </w:tc>
        <w:tc>
          <w:tcPr>
            <w:tcW w:w="1838" w:type="dxa"/>
            <w:gridSpan w:val="2"/>
            <w:vAlign w:val="top"/>
          </w:tcPr>
          <w:p>
            <w:pPr>
              <w:bidi w:val="0"/>
            </w:pPr>
            <w:r>
              <w:t>谈判保证金</w:t>
            </w:r>
          </w:p>
        </w:tc>
        <w:tc>
          <w:tcPr>
            <w:tcW w:w="6802" w:type="dxa"/>
            <w:gridSpan w:val="2"/>
            <w:vAlign w:val="top"/>
          </w:tcPr>
          <w:p>
            <w:pPr>
              <w:bidi w:val="0"/>
            </w:pPr>
            <w:r>
              <w:t>不收取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3.6</w:t>
            </w:r>
          </w:p>
        </w:tc>
        <w:tc>
          <w:tcPr>
            <w:tcW w:w="1838" w:type="dxa"/>
            <w:gridSpan w:val="2"/>
            <w:vAlign w:val="top"/>
          </w:tcPr>
          <w:p>
            <w:pPr>
              <w:bidi w:val="0"/>
            </w:pPr>
            <w:r>
              <w:t>是否允许递交备选谈判方案</w:t>
            </w:r>
          </w:p>
        </w:tc>
        <w:tc>
          <w:tcPr>
            <w:tcW w:w="6802" w:type="dxa"/>
            <w:gridSpan w:val="2"/>
            <w:vAlign w:val="top"/>
          </w:tcPr>
          <w:p>
            <w:pPr>
              <w:bidi w:val="0"/>
            </w:pPr>
            <w: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3.7.3</w:t>
            </w:r>
          </w:p>
        </w:tc>
        <w:tc>
          <w:tcPr>
            <w:tcW w:w="1838" w:type="dxa"/>
            <w:gridSpan w:val="2"/>
            <w:vAlign w:val="top"/>
          </w:tcPr>
          <w:p>
            <w:pPr>
              <w:bidi w:val="0"/>
            </w:pPr>
            <w:r>
              <w:t>签字、盖章的具体要求</w:t>
            </w:r>
          </w:p>
        </w:tc>
        <w:tc>
          <w:tcPr>
            <w:tcW w:w="6802" w:type="dxa"/>
            <w:gridSpan w:val="2"/>
            <w:vAlign w:val="top"/>
          </w:tcPr>
          <w:p>
            <w:pPr>
              <w:bidi w:val="0"/>
            </w:pPr>
            <w:r>
              <w:t>竞争性谈判文件要求指定位置“签字或盖章”的，供应商只要一项内容即可。</w:t>
            </w:r>
          </w:p>
          <w:p>
            <w:pPr>
              <w:bidi w:val="0"/>
            </w:pPr>
            <w:r>
              <w:t>竞争性谈判文件要求指定位置“签字及盖章”的，供应商必须既签字又盖章。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3.7.4</w:t>
            </w:r>
          </w:p>
        </w:tc>
        <w:tc>
          <w:tcPr>
            <w:tcW w:w="1838" w:type="dxa"/>
            <w:gridSpan w:val="2"/>
            <w:vAlign w:val="top"/>
          </w:tcPr>
          <w:p>
            <w:pPr>
              <w:bidi w:val="0"/>
            </w:pPr>
            <w:r>
              <w:t>竞争性谈判响应文件份数</w:t>
            </w:r>
          </w:p>
        </w:tc>
        <w:tc>
          <w:tcPr>
            <w:tcW w:w="6802" w:type="dxa"/>
            <w:gridSpan w:val="2"/>
            <w:vAlign w:val="top"/>
          </w:tcPr>
          <w:p>
            <w:pPr>
              <w:bidi w:val="0"/>
            </w:pPr>
            <w:r>
              <w:t>正本一份，副本二份，电子版U盘（Word及pdf格式响应文件）一份；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3.7.5</w:t>
            </w:r>
          </w:p>
        </w:tc>
        <w:tc>
          <w:tcPr>
            <w:tcW w:w="1838" w:type="dxa"/>
            <w:gridSpan w:val="2"/>
            <w:vAlign w:val="top"/>
          </w:tcPr>
          <w:p>
            <w:pPr>
              <w:bidi w:val="0"/>
            </w:pPr>
            <w:r>
              <w:t>装订要求</w:t>
            </w:r>
          </w:p>
        </w:tc>
        <w:tc>
          <w:tcPr>
            <w:tcW w:w="6802" w:type="dxa"/>
            <w:gridSpan w:val="2"/>
            <w:vAlign w:val="top"/>
          </w:tcPr>
          <w:p>
            <w:pPr>
              <w:bidi w:val="0"/>
            </w:pPr>
            <w:r>
              <w:t>按照响应供应商须知第3.1.1项规定的竞争性谈判响应文件组成内容，竞争性谈判响应文件应将正副本分别装订成册，装订应牢固、不易拆散和换页，不得采用活页装订。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4.1.2</w:t>
            </w:r>
          </w:p>
        </w:tc>
        <w:tc>
          <w:tcPr>
            <w:tcW w:w="1838" w:type="dxa"/>
            <w:gridSpan w:val="2"/>
            <w:vAlign w:val="top"/>
          </w:tcPr>
          <w:p>
            <w:pPr>
              <w:bidi w:val="0"/>
            </w:pPr>
            <w:r>
              <w:t>封套上写明</w:t>
            </w:r>
          </w:p>
        </w:tc>
        <w:tc>
          <w:tcPr>
            <w:tcW w:w="6802" w:type="dxa"/>
            <w:gridSpan w:val="2"/>
            <w:vAlign w:val="top"/>
          </w:tcPr>
          <w:p>
            <w:pPr>
              <w:bidi w:val="0"/>
            </w:pPr>
            <w:r>
              <w:t>项目名称：</w:t>
            </w:r>
          </w:p>
          <w:p>
            <w:pPr>
              <w:bidi w:val="0"/>
            </w:pPr>
            <w:r>
              <w:t>项目编号：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rPr>
                <w:rFonts w:hint="eastAsia"/>
                <w:lang w:eastAsia="zh-CN"/>
              </w:rPr>
            </w:pPr>
          </w:p>
        </w:tc>
        <w:tc>
          <w:tcPr>
            <w:tcW w:w="1838" w:type="dxa"/>
            <w:gridSpan w:val="2"/>
            <w:vAlign w:val="top"/>
          </w:tcPr>
          <w:p>
            <w:pPr>
              <w:bidi w:val="0"/>
            </w:pPr>
          </w:p>
        </w:tc>
        <w:tc>
          <w:tcPr>
            <w:tcW w:w="6802" w:type="dxa"/>
            <w:gridSpan w:val="2"/>
            <w:vAlign w:val="top"/>
          </w:tcPr>
          <w:p>
            <w:pPr>
              <w:bidi w:val="0"/>
            </w:pPr>
            <w:r>
              <w:t>供应商名称：</w:t>
            </w:r>
          </w:p>
          <w:p>
            <w:pPr>
              <w:bidi w:val="0"/>
            </w:pPr>
            <w:r>
              <w:t>内容：“竞争性谈判响应文件”</w:t>
            </w:r>
          </w:p>
          <w:p>
            <w:pPr>
              <w:bidi w:val="0"/>
            </w:pPr>
            <w:r>
              <w:t>竞争性谈判响应文件在年月日时分前不得开启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4.2.2</w:t>
            </w:r>
          </w:p>
        </w:tc>
        <w:tc>
          <w:tcPr>
            <w:tcW w:w="1838" w:type="dxa"/>
            <w:gridSpan w:val="2"/>
            <w:vAlign w:val="top"/>
          </w:tcPr>
          <w:p>
            <w:pPr>
              <w:bidi w:val="0"/>
            </w:pPr>
            <w:r>
              <w:t>递交竞争性谈判响应文件地点</w:t>
            </w:r>
          </w:p>
        </w:tc>
        <w:tc>
          <w:tcPr>
            <w:tcW w:w="6802" w:type="dxa"/>
            <w:gridSpan w:val="2"/>
            <w:vAlign w:val="top"/>
          </w:tcPr>
          <w:p>
            <w:pPr>
              <w:bidi w:val="0"/>
            </w:pPr>
            <w:r>
              <w:rPr>
                <w:rFonts w:hint="eastAsia"/>
                <w:lang w:eastAsia="zh-CN"/>
              </w:rPr>
              <w:t>大荔县黄河宾馆黄河宴府一楼会议室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4.2.3</w:t>
            </w:r>
          </w:p>
        </w:tc>
        <w:tc>
          <w:tcPr>
            <w:tcW w:w="1838" w:type="dxa"/>
            <w:gridSpan w:val="2"/>
            <w:vAlign w:val="top"/>
          </w:tcPr>
          <w:p>
            <w:pPr>
              <w:bidi w:val="0"/>
            </w:pPr>
            <w:r>
              <w:t>是否退还竞争性谈判响应文件</w:t>
            </w:r>
          </w:p>
        </w:tc>
        <w:tc>
          <w:tcPr>
            <w:tcW w:w="6802" w:type="dxa"/>
            <w:gridSpan w:val="2"/>
            <w:vAlign w:val="top"/>
          </w:tcPr>
          <w:p>
            <w:pPr>
              <w:bidi w:val="0"/>
            </w:pPr>
            <w:r>
              <w:drawing>
                <wp:inline distT="0" distB="0" distL="0" distR="0">
                  <wp:extent cx="168910" cy="1962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69094" cy="196653"/>
                          </a:xfrm>
                          <a:prstGeom prst="rect">
                            <a:avLst/>
                          </a:prstGeom>
                        </pic:spPr>
                      </pic:pic>
                    </a:graphicData>
                  </a:graphic>
                </wp:inline>
              </w:drawing>
            </w:r>
            <w:r>
              <w:t>否</w:t>
            </w:r>
          </w:p>
          <w:p>
            <w:pPr>
              <w:bidi w:val="0"/>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5.1</w:t>
            </w:r>
          </w:p>
        </w:tc>
        <w:tc>
          <w:tcPr>
            <w:tcW w:w="1838" w:type="dxa"/>
            <w:gridSpan w:val="2"/>
            <w:vAlign w:val="top"/>
          </w:tcPr>
          <w:p>
            <w:pPr>
              <w:bidi w:val="0"/>
            </w:pPr>
            <w:r>
              <w:t>竞争性谈判时间和地点</w:t>
            </w:r>
          </w:p>
        </w:tc>
        <w:tc>
          <w:tcPr>
            <w:tcW w:w="6802" w:type="dxa"/>
            <w:gridSpan w:val="2"/>
            <w:vAlign w:val="top"/>
          </w:tcPr>
          <w:p>
            <w:pPr>
              <w:bidi w:val="0"/>
            </w:pPr>
            <w:r>
              <w:t>时间：2025年</w:t>
            </w:r>
            <w:r>
              <w:rPr>
                <w:rFonts w:hint="eastAsia" w:eastAsia="宋体"/>
                <w:lang w:val="en-US" w:eastAsia="zh-CN"/>
              </w:rPr>
              <w:t>12</w:t>
            </w:r>
            <w:r>
              <w:t>月</w:t>
            </w:r>
            <w:r>
              <w:rPr>
                <w:rFonts w:hint="eastAsia" w:eastAsia="宋体"/>
                <w:lang w:val="en-US" w:eastAsia="zh-CN"/>
              </w:rPr>
              <w:t>08</w:t>
            </w:r>
            <w:r>
              <w:t>日14时30分</w:t>
            </w:r>
          </w:p>
          <w:p>
            <w:pPr>
              <w:bidi w:val="0"/>
            </w:pPr>
            <w:r>
              <w:t>地点：</w:t>
            </w:r>
            <w:r>
              <w:rPr>
                <w:rFonts w:hint="eastAsia"/>
                <w:lang w:eastAsia="zh-CN"/>
              </w:rPr>
              <w:t>大荔县黄河宾馆黄河宴府一楼会议室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6.1.1</w:t>
            </w:r>
          </w:p>
        </w:tc>
        <w:tc>
          <w:tcPr>
            <w:tcW w:w="1838" w:type="dxa"/>
            <w:gridSpan w:val="2"/>
            <w:vAlign w:val="top"/>
          </w:tcPr>
          <w:p>
            <w:pPr>
              <w:bidi w:val="0"/>
            </w:pPr>
            <w:r>
              <w:t>谈判小组的组建</w:t>
            </w:r>
          </w:p>
        </w:tc>
        <w:tc>
          <w:tcPr>
            <w:tcW w:w="6802" w:type="dxa"/>
            <w:gridSpan w:val="2"/>
            <w:vAlign w:val="top"/>
          </w:tcPr>
          <w:p>
            <w:pPr>
              <w:bidi w:val="0"/>
            </w:pPr>
            <w:r>
              <w:t>谈判小组构成：3人，其中：采购人代表1人；专家2人。</w:t>
            </w:r>
          </w:p>
          <w:p>
            <w:pPr>
              <w:bidi w:val="0"/>
            </w:pPr>
            <w:r>
              <w:t>评标专家确定方式：开标前在政府采购评审专家库中，通过随机方式抽取评审专家。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7.1.1</w:t>
            </w:r>
          </w:p>
        </w:tc>
        <w:tc>
          <w:tcPr>
            <w:tcW w:w="1838" w:type="dxa"/>
            <w:gridSpan w:val="2"/>
            <w:vAlign w:val="top"/>
          </w:tcPr>
          <w:p>
            <w:pPr>
              <w:bidi w:val="0"/>
            </w:pPr>
            <w:r>
              <w:t>是否授权谈判小</w:t>
            </w:r>
          </w:p>
          <w:p>
            <w:pPr>
              <w:bidi w:val="0"/>
            </w:pPr>
            <w:r>
              <w:t>组确定成交供应</w:t>
            </w:r>
          </w:p>
          <w:p>
            <w:pPr>
              <w:bidi w:val="0"/>
            </w:pPr>
            <w:r>
              <w:t>商</w:t>
            </w:r>
          </w:p>
        </w:tc>
        <w:tc>
          <w:tcPr>
            <w:tcW w:w="6802" w:type="dxa"/>
            <w:gridSpan w:val="2"/>
            <w:vAlign w:val="top"/>
          </w:tcPr>
          <w:p>
            <w:pPr>
              <w:bidi w:val="0"/>
            </w:pPr>
            <w:r>
              <w:t>否，推荐的成交候选人数：3名。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7.1.4</w:t>
            </w:r>
          </w:p>
        </w:tc>
        <w:tc>
          <w:tcPr>
            <w:tcW w:w="1838" w:type="dxa"/>
            <w:gridSpan w:val="2"/>
            <w:vAlign w:val="top"/>
          </w:tcPr>
          <w:p>
            <w:pPr>
              <w:bidi w:val="0"/>
            </w:pPr>
            <w:r>
              <w:t>成交公告</w:t>
            </w:r>
          </w:p>
        </w:tc>
        <w:tc>
          <w:tcPr>
            <w:tcW w:w="6802" w:type="dxa"/>
            <w:gridSpan w:val="2"/>
            <w:vAlign w:val="top"/>
          </w:tcPr>
          <w:p>
            <w:pPr>
              <w:bidi w:val="0"/>
            </w:pPr>
            <w:r>
              <w:t>公告媒体：陕西省政府采购网</w:t>
            </w:r>
          </w:p>
          <w:p>
            <w:pPr>
              <w:bidi w:val="0"/>
            </w:pPr>
            <w:r>
              <w:t>公告期限：1个工作日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6" w:type="dxa"/>
            <w:vAlign w:val="top"/>
          </w:tcPr>
          <w:p>
            <w:pPr>
              <w:bidi w:val="0"/>
            </w:pPr>
            <w:r>
              <w:t>7.3.1</w:t>
            </w:r>
          </w:p>
        </w:tc>
        <w:tc>
          <w:tcPr>
            <w:tcW w:w="1838" w:type="dxa"/>
            <w:gridSpan w:val="2"/>
            <w:vAlign w:val="top"/>
          </w:tcPr>
          <w:p>
            <w:pPr>
              <w:bidi w:val="0"/>
            </w:pPr>
            <w:r>
              <w:t>履约担保</w:t>
            </w:r>
          </w:p>
        </w:tc>
        <w:tc>
          <w:tcPr>
            <w:tcW w:w="6802" w:type="dxa"/>
            <w:gridSpan w:val="2"/>
            <w:vAlign w:val="top"/>
          </w:tcPr>
          <w:p>
            <w:pPr>
              <w:bidi w:val="0"/>
            </w:pPr>
            <w:r>
              <w:t>不提供履约担保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496" w:type="dxa"/>
            <w:gridSpan w:val="5"/>
            <w:vAlign w:val="top"/>
          </w:tcPr>
          <w:p>
            <w:pPr>
              <w:bidi w:val="0"/>
            </w:pPr>
            <w:r>
              <w:t>10.需要补充的其他内容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496" w:type="dxa"/>
            <w:gridSpan w:val="5"/>
            <w:vAlign w:val="top"/>
          </w:tcPr>
          <w:p>
            <w:pPr>
              <w:bidi w:val="0"/>
            </w:pPr>
            <w:r>
              <w:t>10.1供应商代表出席竞争性谈判会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496" w:type="dxa"/>
            <w:gridSpan w:val="5"/>
            <w:vAlign w:val="top"/>
          </w:tcPr>
          <w:p>
            <w:pPr>
              <w:bidi w:val="0"/>
            </w:pPr>
            <w:r>
              <w:t>供应商的法定代表人或其委托代理人应当按时参加竞争性谈判会。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496" w:type="dxa"/>
            <w:gridSpan w:val="5"/>
            <w:vAlign w:val="top"/>
          </w:tcPr>
          <w:p>
            <w:pPr>
              <w:bidi w:val="0"/>
            </w:pPr>
            <w:r>
              <w:t>10.2代理服务费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496" w:type="dxa"/>
            <w:gridSpan w:val="5"/>
            <w:vAlign w:val="top"/>
          </w:tcPr>
          <w:p>
            <w:pPr>
              <w:bidi w:val="0"/>
            </w:pPr>
            <w:r>
              <w:t>采购代理机构参照国家计委颁布的《招标代理服务收费管理暂行办法》（计价格[2002]1980号）及发改办价格[2003]857号文件的规定定额收取，供应商在领取中标/成交通知书前一次性全额缴清。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8" w:type="dxa"/>
            <w:gridSpan w:val="2"/>
            <w:vAlign w:val="top"/>
          </w:tcPr>
          <w:p>
            <w:pPr>
              <w:bidi w:val="0"/>
            </w:pPr>
            <w:r>
              <w:t>10.3</w:t>
            </w:r>
          </w:p>
        </w:tc>
        <w:tc>
          <w:tcPr>
            <w:tcW w:w="8538" w:type="dxa"/>
            <w:gridSpan w:val="3"/>
            <w:vAlign w:val="top"/>
          </w:tcPr>
          <w:p>
            <w:pPr>
              <w:bidi w:val="0"/>
            </w:pPr>
            <w:r>
              <w:t>按照《财政部关于在政府采购活动中查询及使用信用记录有关问题的通知》（财库〔2016〕125号）的要求，由采购人、采购代理机构根据开标当日“信用中国”网站（</w:t>
            </w:r>
            <w:r>
              <w:fldChar w:fldCharType="begin"/>
            </w:r>
            <w:r>
              <w:instrText xml:space="preserve">HYPERLINK"https://www.creditch"</w:instrText>
            </w:r>
            <w:r>
              <w:fldChar w:fldCharType="separate"/>
            </w:r>
            <w:r>
              <w:t>www.creditch</w:t>
            </w:r>
            <w:r>
              <w:fldChar w:fldCharType="end"/>
            </w:r>
            <w:r>
              <w:t>ina.gov.cn）、中国政府采购网（</w:t>
            </w:r>
            <w:r>
              <w:fldChar w:fldCharType="begin"/>
            </w:r>
            <w:r>
              <w:instrText xml:space="preserve">HYPERLINK"https://www.ccgp.gov.cn"</w:instrText>
            </w:r>
            <w:r>
              <w:fldChar w:fldCharType="separate"/>
            </w:r>
            <w:r>
              <w:t>www.ccgp.gov.cn</w:t>
            </w:r>
            <w:r>
              <w:fldChar w:fldCharType="end"/>
            </w:r>
            <w:r>
              <w:t>）的信息，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8" w:type="dxa"/>
            <w:gridSpan w:val="2"/>
            <w:vAlign w:val="top"/>
          </w:tcPr>
          <w:p>
            <w:pPr>
              <w:bidi w:val="0"/>
            </w:pPr>
            <w:r>
              <w:t>10.4</w:t>
            </w:r>
          </w:p>
        </w:tc>
        <w:tc>
          <w:tcPr>
            <w:tcW w:w="8538" w:type="dxa"/>
            <w:gridSpan w:val="3"/>
            <w:vAlign w:val="top"/>
          </w:tcPr>
          <w:p>
            <w:pPr>
              <w:bidi w:val="0"/>
            </w:pPr>
            <w:r>
              <w:t>供应商须在开标前完成陕西省政府采购网入库，具体详见陕西省政府采购网《陕西省财政厅关于政府采购供应商注册登记有关事项的通知》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8" w:type="dxa"/>
            <w:gridSpan w:val="2"/>
            <w:vAlign w:val="top"/>
          </w:tcPr>
          <w:p>
            <w:pPr>
              <w:bidi w:val="0"/>
            </w:pPr>
            <w:r>
              <w:t>10.5</w:t>
            </w:r>
          </w:p>
        </w:tc>
        <w:tc>
          <w:tcPr>
            <w:tcW w:w="8538" w:type="dxa"/>
            <w:gridSpan w:val="3"/>
            <w:vAlign w:val="top"/>
          </w:tcPr>
          <w:p>
            <w:pPr>
              <w:bidi w:val="0"/>
            </w:pPr>
            <w:r>
              <w:t>企业规模划分标准参照“关于印发中小企业划型标准规定的通知(工信部联企业〔2011〕300号)”中的“</w:t>
            </w:r>
            <w:r>
              <w:rPr>
                <w:rFonts w:hint="eastAsia" w:eastAsia="宋体"/>
                <w:lang w:val="en-US" w:eastAsia="zh-CN"/>
              </w:rPr>
              <w:t>批发业</w:t>
            </w:r>
            <w: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8" w:type="dxa"/>
            <w:gridSpan w:val="2"/>
            <w:vAlign w:val="top"/>
          </w:tcPr>
          <w:p>
            <w:pPr>
              <w:bidi w:val="0"/>
            </w:pPr>
            <w:r>
              <w:t>10.6</w:t>
            </w:r>
          </w:p>
        </w:tc>
        <w:tc>
          <w:tcPr>
            <w:tcW w:w="2638" w:type="dxa"/>
            <w:gridSpan w:val="2"/>
            <w:vAlign w:val="top"/>
          </w:tcPr>
          <w:p>
            <w:pPr>
              <w:bidi w:val="0"/>
            </w:pPr>
            <w:r>
              <w:t>是否专门面向中小企业采</w:t>
            </w:r>
          </w:p>
          <w:p>
            <w:pPr>
              <w:bidi w:val="0"/>
            </w:pPr>
            <w:r>
              <w:t>购项目</w:t>
            </w:r>
          </w:p>
        </w:tc>
        <w:tc>
          <w:tcPr>
            <w:tcW w:w="5900" w:type="dxa"/>
            <w:vAlign w:val="top"/>
          </w:tcPr>
          <w:p>
            <w:pPr>
              <w:bidi w:val="0"/>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8" w:type="dxa"/>
            <w:gridSpan w:val="2"/>
            <w:vAlign w:val="top"/>
          </w:tcPr>
          <w:p>
            <w:pPr>
              <w:bidi w:val="0"/>
            </w:pPr>
            <w:r>
              <w:t>10.7</w:t>
            </w:r>
          </w:p>
        </w:tc>
        <w:tc>
          <w:tcPr>
            <w:tcW w:w="2638" w:type="dxa"/>
            <w:gridSpan w:val="2"/>
            <w:vAlign w:val="top"/>
          </w:tcPr>
          <w:p>
            <w:pPr>
              <w:bidi w:val="0"/>
            </w:pPr>
            <w:r>
              <w:t>是否允许进口产品</w:t>
            </w:r>
          </w:p>
        </w:tc>
        <w:tc>
          <w:tcPr>
            <w:tcW w:w="5900" w:type="dxa"/>
            <w:vAlign w:val="top"/>
          </w:tcPr>
          <w:p>
            <w:pPr>
              <w:bidi w:val="0"/>
            </w:pPr>
            <w: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8" w:type="dxa"/>
            <w:gridSpan w:val="2"/>
            <w:vAlign w:val="top"/>
          </w:tcPr>
          <w:p>
            <w:pPr>
              <w:bidi w:val="0"/>
            </w:pPr>
            <w:r>
              <w:t>10.8</w:t>
            </w:r>
          </w:p>
        </w:tc>
        <w:tc>
          <w:tcPr>
            <w:tcW w:w="2638" w:type="dxa"/>
            <w:gridSpan w:val="2"/>
            <w:vAlign w:val="top"/>
          </w:tcPr>
          <w:p>
            <w:pPr>
              <w:bidi w:val="0"/>
            </w:pPr>
            <w:r>
              <w:t>核心产品</w:t>
            </w:r>
          </w:p>
        </w:tc>
        <w:tc>
          <w:tcPr>
            <w:tcW w:w="5900" w:type="dxa"/>
            <w:vAlign w:val="top"/>
          </w:tcPr>
          <w:p>
            <w:pPr>
              <w:bidi w:val="0"/>
            </w:pPr>
            <w:r>
              <w:rPr>
                <w:rFonts w:hint="eastAsia" w:eastAsia="宋体"/>
                <w:lang w:val="en-US" w:eastAsia="zh-CN"/>
              </w:rPr>
              <w:t>1</w:t>
            </w:r>
            <w:r>
              <w:t>、提供相同品牌产品的不同供应商参加同一合同项下采购活动的，以其中通过资格审查、符合性审查且报价最低的参加评审；报价相同的，由采购人或者采购人委托谈判小组按照随机抽取方式确定一个参加谈判的供应商，其他响应无效。</w:t>
            </w:r>
          </w:p>
          <w:p>
            <w:pPr>
              <w:bidi w:val="0"/>
            </w:pPr>
            <w:r>
              <w:rPr>
                <w:rFonts w:hint="eastAsia" w:eastAsia="宋体"/>
                <w:lang w:val="en-US" w:eastAsia="zh-CN"/>
              </w:rPr>
              <w:t>2</w:t>
            </w:r>
            <w:r>
              <w:t>、在符合性审查、有效报价环节提供核心产品品牌不足3个的，视为有效响应供应商不足3家。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8" w:type="dxa"/>
            <w:gridSpan w:val="2"/>
            <w:vAlign w:val="top"/>
          </w:tcPr>
          <w:p>
            <w:pPr>
              <w:bidi w:val="0"/>
            </w:pPr>
            <w:r>
              <w:t>10.9</w:t>
            </w:r>
          </w:p>
        </w:tc>
        <w:tc>
          <w:tcPr>
            <w:tcW w:w="8538" w:type="dxa"/>
            <w:gridSpan w:val="3"/>
            <w:vAlign w:val="top"/>
          </w:tcPr>
          <w:p>
            <w:pPr>
              <w:bidi w:val="0"/>
            </w:pPr>
            <w:r>
              <w:t>本竞争性谈判文件未明确的其他事项，按照有关法律、法规或省市有关规定执行。</w:t>
            </w:r>
          </w:p>
        </w:tc>
      </w:tr>
    </w:tbl>
    <w:p>
      <w:bookmarkStart w:id="3" w:name="_Toc10235"/>
    </w:p>
    <w:p>
      <w:pPr>
        <w:pStyle w:val="3"/>
        <w:bidi w:val="0"/>
      </w:pPr>
      <w:r>
        <w:t>1.总则</w:t>
      </w:r>
      <w:bookmarkEnd w:id="3"/>
    </w:p>
    <w:p>
      <w:pPr>
        <w:pStyle w:val="4"/>
        <w:bidi w:val="0"/>
      </w:pPr>
      <w:r>
        <w:t>1.1项目概况</w:t>
      </w:r>
    </w:p>
    <w:p>
      <w:pPr>
        <w:pStyle w:val="7"/>
        <w:bidi w:val="0"/>
      </w:pPr>
      <w:r>
        <w:t>1.1.1根据《中华人民共和国政府采购法》等有关法律、法规和规章的规定，本采购项目已具备竞争性谈判条件，现对本项目进行竞争性谈判。</w:t>
      </w:r>
    </w:p>
    <w:p>
      <w:pPr>
        <w:pStyle w:val="7"/>
        <w:bidi w:val="0"/>
      </w:pPr>
      <w:r>
        <w:t>1.1.2本项目采购人：见响应供应商须知前附表。</w:t>
      </w:r>
    </w:p>
    <w:p>
      <w:pPr>
        <w:pStyle w:val="7"/>
        <w:bidi w:val="0"/>
      </w:pPr>
      <w:r>
        <w:t>1.1.3本项目采购代理机构：见供应商须知前附表。</w:t>
      </w:r>
    </w:p>
    <w:p>
      <w:pPr>
        <w:pStyle w:val="7"/>
        <w:bidi w:val="0"/>
      </w:pPr>
      <w:r>
        <w:t>1.1.4本项目名称：见供应商须知前附表。</w:t>
      </w:r>
    </w:p>
    <w:p>
      <w:pPr>
        <w:pStyle w:val="7"/>
        <w:bidi w:val="0"/>
      </w:pPr>
      <w:r>
        <w:t>1.1.5本项目交货地点：见供应商须知前附表。</w:t>
      </w:r>
    </w:p>
    <w:p>
      <w:pPr>
        <w:pStyle w:val="4"/>
        <w:bidi w:val="0"/>
      </w:pPr>
      <w:r>
        <w:t>1.2资金来源和落实情况</w:t>
      </w:r>
    </w:p>
    <w:p>
      <w:pPr>
        <w:pStyle w:val="7"/>
        <w:bidi w:val="0"/>
      </w:pPr>
      <w:r>
        <w:t>1.2.1本项目的资金来源：见供应商须知前附表。</w:t>
      </w:r>
    </w:p>
    <w:p>
      <w:pPr>
        <w:pStyle w:val="7"/>
        <w:bidi w:val="0"/>
      </w:pPr>
      <w:r>
        <w:t>1.2.2本项目的采购预算：见供应商须知前附表。</w:t>
      </w:r>
    </w:p>
    <w:p>
      <w:pPr>
        <w:pStyle w:val="7"/>
        <w:bidi w:val="0"/>
      </w:pPr>
      <w:r>
        <w:t>1.2.3本项目的资金落实情况：见供应商须知前附表。</w:t>
      </w:r>
    </w:p>
    <w:p>
      <w:pPr>
        <w:pStyle w:val="4"/>
        <w:bidi w:val="0"/>
      </w:pPr>
      <w:r>
        <w:t>1.3竞争性谈判采购内容、交付期限和质保期</w:t>
      </w:r>
    </w:p>
    <w:p>
      <w:pPr>
        <w:pStyle w:val="7"/>
        <w:bidi w:val="0"/>
      </w:pPr>
      <w:r>
        <w:t>1.3.1本项目采购内容：见供应商须知前附表。</w:t>
      </w:r>
    </w:p>
    <w:p>
      <w:pPr>
        <w:pStyle w:val="7"/>
        <w:bidi w:val="0"/>
      </w:pPr>
      <w:r>
        <w:t>1.3.2本项目交付期限：见供应商须知前附表。</w:t>
      </w:r>
    </w:p>
    <w:p>
      <w:pPr>
        <w:pStyle w:val="7"/>
        <w:bidi w:val="0"/>
      </w:pPr>
      <w:r>
        <w:t>1.3.3本项目质保期：见供应商须知前附表。</w:t>
      </w:r>
    </w:p>
    <w:p>
      <w:pPr>
        <w:pStyle w:val="4"/>
        <w:bidi w:val="0"/>
      </w:pPr>
      <w:r>
        <w:t>1.4供应商资格要求</w:t>
      </w:r>
    </w:p>
    <w:p>
      <w:pPr>
        <w:pStyle w:val="7"/>
        <w:bidi w:val="0"/>
      </w:pPr>
      <w:r>
        <w:t>1.4.1供应商应具备承担本项目的资格要求及条件</w:t>
      </w:r>
    </w:p>
    <w:p>
      <w:pPr>
        <w:pStyle w:val="7"/>
        <w:bidi w:val="0"/>
      </w:pPr>
      <w:r>
        <w:t>（1）具有独立承担民事责任的能力；</w:t>
      </w:r>
    </w:p>
    <w:p>
      <w:pPr>
        <w:pStyle w:val="7"/>
        <w:bidi w:val="0"/>
      </w:pPr>
      <w:r>
        <w:t>（2）具有良好的商业信誉和健全的财务会计制度；</w:t>
      </w:r>
    </w:p>
    <w:p>
      <w:pPr>
        <w:pStyle w:val="7"/>
        <w:bidi w:val="0"/>
      </w:pPr>
      <w:r>
        <w:t>（3）具有履行合同所必需的设备和专业技术能力；</w:t>
      </w:r>
    </w:p>
    <w:p>
      <w:pPr>
        <w:pStyle w:val="7"/>
        <w:bidi w:val="0"/>
      </w:pPr>
      <w:r>
        <w:t>（4）有依法缴纳税收和社会保障资金的良好记录；</w:t>
      </w:r>
    </w:p>
    <w:p>
      <w:pPr>
        <w:pStyle w:val="7"/>
        <w:bidi w:val="0"/>
      </w:pPr>
      <w:r>
        <w:t>（5）参加政府采购活动前三年内，在经营活动中没有重大违法记录；</w:t>
      </w:r>
    </w:p>
    <w:p>
      <w:pPr>
        <w:pStyle w:val="7"/>
        <w:bidi w:val="0"/>
      </w:pPr>
      <w:r>
        <w:t>（6）中华人民共和国法律、行政法规规定的其他条件：见供应商须知前附表；</w:t>
      </w:r>
    </w:p>
    <w:p>
      <w:pPr>
        <w:pStyle w:val="7"/>
        <w:bidi w:val="0"/>
      </w:pPr>
      <w:r>
        <w:t>（7）落实政府采购政策需满足的资格要求：见供应商须知前附表；</w:t>
      </w:r>
    </w:p>
    <w:p>
      <w:pPr>
        <w:pStyle w:val="7"/>
        <w:bidi w:val="0"/>
      </w:pPr>
      <w:r>
        <w:t>（8）根据本次采购项目的特殊要求，规定的供应商其他资格要求：见供应商须知前附表。</w:t>
      </w:r>
    </w:p>
    <w:p>
      <w:pPr>
        <w:pStyle w:val="7"/>
        <w:bidi w:val="0"/>
      </w:pPr>
      <w:r>
        <w:t>1.4.2本项目不接受联合体谈判。</w:t>
      </w:r>
    </w:p>
    <w:p>
      <w:pPr>
        <w:pStyle w:val="7"/>
        <w:bidi w:val="0"/>
      </w:pPr>
      <w:r>
        <w:t>1.4.3供应商不得存在下列情形之一：</w:t>
      </w:r>
    </w:p>
    <w:p>
      <w:pPr>
        <w:pStyle w:val="7"/>
        <w:bidi w:val="0"/>
      </w:pPr>
      <w:r>
        <w:t>（1）供应商不得直接或间接的与采购人、采购代理机构有任何关联关系，亦不得是采购人的附属机构。如果供应商在谈判中隐瞒了上述关系，则该谈判无效。</w:t>
      </w:r>
    </w:p>
    <w:p>
      <w:pPr>
        <w:pStyle w:val="7"/>
        <w:bidi w:val="0"/>
      </w:pPr>
      <w:r>
        <w:t>（2）单位负责人为同一人或者存在直接控股、管理关系的不同供应商，不得同时参加同一合同项下的谈判。如果供应商在谈判中隐瞒了上述关系，则该谈判无效。</w:t>
      </w:r>
    </w:p>
    <w:p>
      <w:pPr>
        <w:pStyle w:val="4"/>
        <w:bidi w:val="0"/>
      </w:pPr>
      <w:r>
        <w:t>1.5费用承担</w:t>
      </w:r>
    </w:p>
    <w:p>
      <w:pPr>
        <w:pStyle w:val="7"/>
        <w:bidi w:val="0"/>
      </w:pPr>
      <w:r>
        <w:t>供应商准备和参加谈判活动发生的费用自理。</w:t>
      </w:r>
    </w:p>
    <w:p>
      <w:pPr>
        <w:pStyle w:val="4"/>
        <w:bidi w:val="0"/>
      </w:pPr>
      <w:r>
        <w:t>1.6保密</w:t>
      </w:r>
    </w:p>
    <w:p>
      <w:pPr>
        <w:pStyle w:val="7"/>
        <w:bidi w:val="0"/>
      </w:pPr>
      <w:r>
        <w:t>参与竞争性谈判活动的各方应对竞争性谈判文件和竞争性谈判响应文件中的商业和技术等秘密保密，违者应对由此造成的后果承担法律责任。</w:t>
      </w:r>
    </w:p>
    <w:p>
      <w:pPr>
        <w:pStyle w:val="4"/>
        <w:bidi w:val="0"/>
      </w:pPr>
      <w:r>
        <w:t>1.7语言文字</w:t>
      </w:r>
    </w:p>
    <w:p>
      <w:pPr>
        <w:pStyle w:val="7"/>
        <w:bidi w:val="0"/>
      </w:pPr>
      <w:r>
        <w:t>除专用术语外，与竞争性谈判有关的语言均使用中文。必要时专用术语应附有中文注释。对不同文字文本竞争性谈判响应文件的解释发生异议的，以中文文本为准。</w:t>
      </w:r>
    </w:p>
    <w:p>
      <w:pPr>
        <w:pStyle w:val="4"/>
        <w:bidi w:val="0"/>
      </w:pPr>
      <w:r>
        <w:t>1.8计量单位</w:t>
      </w:r>
    </w:p>
    <w:p>
      <w:pPr>
        <w:pStyle w:val="7"/>
        <w:bidi w:val="0"/>
      </w:pPr>
      <w:r>
        <w:t>所有计量均采用中华人民共和国法定计量单位。</w:t>
      </w:r>
    </w:p>
    <w:p>
      <w:pPr>
        <w:pStyle w:val="4"/>
        <w:bidi w:val="0"/>
      </w:pPr>
      <w:r>
        <w:t>1.9踏勘现场</w:t>
      </w:r>
    </w:p>
    <w:p>
      <w:pPr>
        <w:pStyle w:val="7"/>
        <w:bidi w:val="0"/>
      </w:pPr>
      <w:r>
        <w:t>不组织。</w:t>
      </w:r>
    </w:p>
    <w:p>
      <w:pPr>
        <w:pStyle w:val="4"/>
        <w:bidi w:val="0"/>
      </w:pPr>
      <w:r>
        <w:t>1.10分包</w:t>
      </w:r>
    </w:p>
    <w:p>
      <w:pPr>
        <w:pStyle w:val="7"/>
        <w:bidi w:val="0"/>
      </w:pPr>
      <w:r>
        <w:t>本项目不允许分包。</w:t>
      </w:r>
    </w:p>
    <w:p>
      <w:pPr>
        <w:pStyle w:val="4"/>
        <w:bidi w:val="0"/>
      </w:pPr>
      <w:r>
        <w:t>1.11回避</w:t>
      </w:r>
    </w:p>
    <w:p>
      <w:pPr>
        <w:pStyle w:val="7"/>
        <w:bidi w:val="0"/>
      </w:pPr>
      <w:r>
        <w:t>在政府采购活动中，采购人员及相关人员与供应商有下列利害关系之一的，应当回避：</w:t>
      </w:r>
    </w:p>
    <w:p>
      <w:pPr>
        <w:pStyle w:val="7"/>
        <w:bidi w:val="0"/>
      </w:pPr>
      <w:r>
        <w:t>（一）参加采购活动前3年内与供应商存在劳动关系；</w:t>
      </w:r>
    </w:p>
    <w:p>
      <w:pPr>
        <w:pStyle w:val="7"/>
        <w:bidi w:val="0"/>
      </w:pPr>
      <w:r>
        <w:t>（二）参加采购活动前3年内担任供应商的董事、监事；</w:t>
      </w:r>
    </w:p>
    <w:p>
      <w:pPr>
        <w:pStyle w:val="7"/>
        <w:bidi w:val="0"/>
      </w:pPr>
      <w:r>
        <w:t>（三）参加采购活动前3年内是供应商的控股股东或者实际控制人；</w:t>
      </w:r>
    </w:p>
    <w:p>
      <w:pPr>
        <w:pStyle w:val="7"/>
        <w:bidi w:val="0"/>
      </w:pPr>
      <w:r>
        <w:t>（四）与供应商的法定代表人或者负责人有夫妻、直系血亲、三代以内旁系血亲或者近姻亲关系；</w:t>
      </w:r>
    </w:p>
    <w:p>
      <w:pPr>
        <w:pStyle w:val="7"/>
        <w:bidi w:val="0"/>
      </w:pPr>
      <w:r>
        <w:t>（五）与供应商有其他可能影响政府采购活动公平、公正进行的关系。</w:t>
      </w:r>
    </w:p>
    <w:p>
      <w:pPr>
        <w:pStyle w:val="7"/>
        <w:bidi w:val="0"/>
      </w:pPr>
      <w: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7"/>
        <w:bidi w:val="0"/>
      </w:pPr>
      <w:r>
        <w:t>相关人员，包括竞争性谈判采购中谈判小组的组成人员等。</w:t>
      </w:r>
    </w:p>
    <w:p>
      <w:pPr>
        <w:pStyle w:val="3"/>
        <w:bidi w:val="0"/>
      </w:pPr>
      <w:bookmarkStart w:id="4" w:name="_Toc1559"/>
      <w:r>
        <w:t>2.竞争性谈判文件</w:t>
      </w:r>
      <w:bookmarkEnd w:id="4"/>
    </w:p>
    <w:p>
      <w:pPr>
        <w:pStyle w:val="4"/>
        <w:bidi w:val="0"/>
      </w:pPr>
      <w:r>
        <w:t>2.1竞争性谈判文件的组成</w:t>
      </w:r>
    </w:p>
    <w:p>
      <w:pPr>
        <w:pStyle w:val="7"/>
        <w:bidi w:val="0"/>
      </w:pPr>
      <w:r>
        <w:t>本竞争性谈判文件包括：</w:t>
      </w:r>
    </w:p>
    <w:p>
      <w:pPr>
        <w:pStyle w:val="7"/>
        <w:bidi w:val="0"/>
      </w:pPr>
      <w:r>
        <w:t>(1)竞争性谈判公告；</w:t>
      </w:r>
    </w:p>
    <w:p>
      <w:pPr>
        <w:pStyle w:val="7"/>
        <w:bidi w:val="0"/>
      </w:pPr>
      <w:r>
        <w:t>(2)供应商须知；</w:t>
      </w:r>
    </w:p>
    <w:p>
      <w:pPr>
        <w:pStyle w:val="7"/>
        <w:bidi w:val="0"/>
      </w:pPr>
      <w:r>
        <w:t>(3)谈判方法；</w:t>
      </w:r>
    </w:p>
    <w:p>
      <w:pPr>
        <w:pStyle w:val="7"/>
        <w:bidi w:val="0"/>
      </w:pPr>
      <w:r>
        <w:t>(4)采购内容及要求；</w:t>
      </w:r>
    </w:p>
    <w:p>
      <w:pPr>
        <w:pStyle w:val="7"/>
        <w:bidi w:val="0"/>
      </w:pPr>
      <w:r>
        <w:t>(5)合同条款及格式；</w:t>
      </w:r>
    </w:p>
    <w:p>
      <w:pPr>
        <w:pStyle w:val="7"/>
        <w:bidi w:val="0"/>
      </w:pPr>
      <w:r>
        <w:t>(6)响应文件格式；</w:t>
      </w:r>
    </w:p>
    <w:p>
      <w:pPr>
        <w:pStyle w:val="7"/>
        <w:bidi w:val="0"/>
      </w:pPr>
      <w:r>
        <w:t>(7)附件（如有）。</w:t>
      </w:r>
    </w:p>
    <w:p>
      <w:pPr>
        <w:pStyle w:val="4"/>
        <w:bidi w:val="0"/>
      </w:pPr>
      <w:r>
        <w:t>2.2竞争性谈判文件的澄清或修改</w:t>
      </w:r>
    </w:p>
    <w:p>
      <w:pPr>
        <w:pStyle w:val="7"/>
        <w:bidi w:val="0"/>
      </w:pPr>
      <w:r>
        <w:t>2.2.1采购人或者采购代理机构可以对已发出的竞争性谈判文件进行必要的澄清或者修改，竞争性谈判文件的澄清或修改将在响应供应商须知前附表规定的谈判截止时间3个工作日前，以书面形式通知所有购买竞争性谈判文件的单位，但不指明澄清问题的来源。如果澄清或修改发出的时间距谈判截止时间不足3个工作日，相应延长谈判截止时间。</w:t>
      </w:r>
    </w:p>
    <w:p>
      <w:pPr>
        <w:pStyle w:val="7"/>
        <w:bidi w:val="0"/>
      </w:pPr>
      <w:r>
        <w:t>2.2.2供应商在收到澄清或修改后，应以书面形式通知采购人，确认己收到该澄清或修改。当竞争性谈判文件、澄清(答疑)纪要、修改(补充)函件内容相互矛盾时，以最后发出的为准。</w:t>
      </w:r>
    </w:p>
    <w:p>
      <w:pPr>
        <w:pStyle w:val="4"/>
        <w:bidi w:val="0"/>
      </w:pPr>
      <w:r>
        <w:t>2.3竞争性谈判文件的询问或者质疑和答复</w:t>
      </w:r>
    </w:p>
    <w:p>
      <w:pPr>
        <w:pStyle w:val="7"/>
        <w:bidi w:val="0"/>
      </w:pPr>
      <w:r>
        <w:t>2.3.1已经购买竞争性谈判文件的供应商对竞争性谈判文件有疑问或者认为竞争性谈判文件使自己的权益受到损害的，应当在“供应商须知前附表”规定的时间内以书面形式向采购代理机构提出询问或者质疑，在此之后提出的询问或者质疑均为无效，采购代理机构不予受理。</w:t>
      </w:r>
    </w:p>
    <w:p>
      <w:pPr>
        <w:pStyle w:val="7"/>
        <w:bidi w:val="0"/>
      </w:pPr>
      <w:r>
        <w:t>2.3.2对于在规定时间内收到的供应商依法提出的询问，采购代理机构将在3个工作日内对供应商依法提出的询问作出答复。若对竞争性谈判文件做出实质性变动，则按照相关规定延长谈判截止时间。</w:t>
      </w:r>
    </w:p>
    <w:p>
      <w:pPr>
        <w:pStyle w:val="7"/>
        <w:bidi w:val="0"/>
      </w:pPr>
      <w:r>
        <w:t>2.3.3对于在规定时间内收到的供应商依法提出的质疑，采购人将在收到供应商的书面质疑后七个工作日内作出答复。</w:t>
      </w:r>
    </w:p>
    <w:p>
      <w:pPr>
        <w:pStyle w:val="7"/>
        <w:bidi w:val="0"/>
      </w:pPr>
      <w:r>
        <w:t>2.3.4供应商提出质疑应当有明确的请求和必要的证明材料。</w:t>
      </w:r>
    </w:p>
    <w:p>
      <w:pPr>
        <w:pStyle w:val="4"/>
        <w:bidi w:val="0"/>
      </w:pPr>
      <w:r>
        <w:t>2.4谈判截止时间和竞争性谈判时间的延长</w:t>
      </w:r>
    </w:p>
    <w:p>
      <w:pPr>
        <w:pStyle w:val="7"/>
        <w:bidi w:val="0"/>
      </w:pPr>
      <w:r>
        <w:t>在谈判截止时间三日前，采购代理机构可以视采购具体情况，延长谈判截止时间和竞争性谈判时间。延长谈判截止时间和竞争性谈判时间，将变更时间书面通知所有购买竞争性谈判文件的单位。</w:t>
      </w:r>
    </w:p>
    <w:p>
      <w:pPr>
        <w:pStyle w:val="3"/>
        <w:bidi w:val="0"/>
      </w:pPr>
      <w:bookmarkStart w:id="5" w:name="_Toc24908"/>
      <w:r>
        <w:t>3.竞争性谈判响应文件</w:t>
      </w:r>
      <w:bookmarkEnd w:id="5"/>
    </w:p>
    <w:p>
      <w:pPr>
        <w:pStyle w:val="4"/>
        <w:bidi w:val="0"/>
      </w:pPr>
      <w:r>
        <w:t>3.1竞争性谈判响应文件的组成：</w:t>
      </w:r>
    </w:p>
    <w:p>
      <w:pPr>
        <w:pStyle w:val="7"/>
        <w:bidi w:val="0"/>
      </w:pPr>
      <w:r>
        <w:t>3.1.1竞争性谈判响应文件应包括下列内容：</w:t>
      </w:r>
    </w:p>
    <w:p>
      <w:pPr>
        <w:pStyle w:val="7"/>
        <w:bidi w:val="0"/>
      </w:pPr>
      <w:r>
        <w:t>1)竞争性谈判响应文件封面及目录；</w:t>
      </w:r>
    </w:p>
    <w:p>
      <w:pPr>
        <w:pStyle w:val="7"/>
        <w:bidi w:val="0"/>
      </w:pPr>
      <w:r>
        <w:t>2)响应函；</w:t>
      </w:r>
    </w:p>
    <w:p>
      <w:pPr>
        <w:pStyle w:val="7"/>
        <w:bidi w:val="0"/>
      </w:pPr>
      <w:r>
        <w:t>3)谈判报价表；</w:t>
      </w:r>
    </w:p>
    <w:p>
      <w:pPr>
        <w:pStyle w:val="7"/>
        <w:bidi w:val="0"/>
      </w:pPr>
      <w:r>
        <w:t>4)资格证明文件；</w:t>
      </w:r>
    </w:p>
    <w:p>
      <w:pPr>
        <w:pStyle w:val="7"/>
        <w:bidi w:val="0"/>
      </w:pPr>
      <w:r>
        <w:t>5)响应偏离表；</w:t>
      </w:r>
    </w:p>
    <w:p>
      <w:pPr>
        <w:pStyle w:val="7"/>
        <w:bidi w:val="0"/>
      </w:pPr>
      <w:r>
        <w:t>6)供货方案；</w:t>
      </w:r>
    </w:p>
    <w:p>
      <w:pPr>
        <w:pStyle w:val="7"/>
        <w:bidi w:val="0"/>
      </w:pPr>
      <w:r>
        <w:t>7)供应商承诺书；</w:t>
      </w:r>
    </w:p>
    <w:p>
      <w:pPr>
        <w:pStyle w:val="7"/>
        <w:bidi w:val="0"/>
      </w:pPr>
      <w:r>
        <w:t>8）供应商认为有必要补充说明的事宜；</w:t>
      </w:r>
    </w:p>
    <w:p>
      <w:pPr>
        <w:pStyle w:val="4"/>
        <w:bidi w:val="0"/>
      </w:pPr>
      <w:r>
        <w:t>3.2谈判报价</w:t>
      </w:r>
    </w:p>
    <w:p>
      <w:pPr>
        <w:pStyle w:val="7"/>
        <w:bidi w:val="0"/>
      </w:pPr>
      <w:r>
        <w:t>3.2.1供应商应按“竞争性谈判响应文件格式”的要求及“供应商须知前附表”的说明填报价</w:t>
      </w:r>
    </w:p>
    <w:p>
      <w:pPr>
        <w:pStyle w:val="7"/>
        <w:bidi w:val="0"/>
      </w:pPr>
      <w:r>
        <w:t>格及费用。供应商应充分考虑国家现行规范要求，以及供应商自身情况，自主报价。谈判报价应以人民币为货币单位进行报价,是竞争性谈判范围内全部工作内容的价格体现。谈判报价一经提交，则将被视为发包内容的全部费用已经包含在谈判报价内，供应商没有填报的费用，采购人将不予支付，并认为此项费用已包括在谈判报价中。</w:t>
      </w:r>
    </w:p>
    <w:p>
      <w:pPr>
        <w:pStyle w:val="7"/>
        <w:bidi w:val="0"/>
      </w:pPr>
      <w:r>
        <w:t>3.2.2采购人应结合现场实际情况，根据企业自身的管理水平和实力在保证不低于成本的基础上自主确定切合自身实力的竞争性谈判报价。</w:t>
      </w:r>
    </w:p>
    <w:p>
      <w:pPr>
        <w:pStyle w:val="7"/>
        <w:bidi w:val="0"/>
      </w:pPr>
      <w:r>
        <w:t>注：各供应商在接到采购代理机构报价通知后，在现场规定时间内，将报价表交至现场工作人员。</w:t>
      </w:r>
    </w:p>
    <w:p>
      <w:pPr>
        <w:pStyle w:val="4"/>
        <w:bidi w:val="0"/>
      </w:pPr>
      <w:r>
        <w:t>3.3谈判有效期</w:t>
      </w:r>
    </w:p>
    <w:p>
      <w:pPr>
        <w:pStyle w:val="7"/>
        <w:bidi w:val="0"/>
      </w:pPr>
      <w:r>
        <w:t>3.3.1在“供应商须知前附表”规定的谈判有效期内，供应商不得要求撤销或修改其竞争性谈判响应文件。</w:t>
      </w:r>
    </w:p>
    <w:p>
      <w:pPr>
        <w:pStyle w:val="7"/>
        <w:bidi w:val="0"/>
      </w:pPr>
      <w:r>
        <w:t>3.3.2出现特殊情况需要延长谈判有效期的，采购人以书面形式通知所有供应商延长谈判有效期。供应商同意延长的，不得要求或被允许修改或撤销其竞争性谈判响应文件；供应商拒绝延长的，其谈判失效。</w:t>
      </w:r>
    </w:p>
    <w:p>
      <w:pPr>
        <w:pStyle w:val="4"/>
        <w:bidi w:val="0"/>
      </w:pPr>
      <w:r>
        <w:t>3.4谈判保证金</w:t>
      </w:r>
    </w:p>
    <w:p>
      <w:pPr>
        <w:pStyle w:val="7"/>
        <w:bidi w:val="0"/>
      </w:pPr>
      <w:r>
        <w:t>本项目不收取谈判保证金。</w:t>
      </w:r>
    </w:p>
    <w:p>
      <w:pPr>
        <w:spacing w:before="56" w:line="228" w:lineRule="auto"/>
        <w:ind w:left="5"/>
        <w:outlineLvl w:val="2"/>
        <w:rPr>
          <w:rFonts w:ascii="宋体" w:hAnsi="宋体" w:eastAsia="宋体" w:cs="宋体"/>
          <w:sz w:val="20"/>
          <w:szCs w:val="20"/>
        </w:rPr>
      </w:pPr>
      <w:r>
        <w:rPr>
          <w:rFonts w:ascii="宋体" w:hAnsi="宋体" w:eastAsia="宋体" w:cs="宋体"/>
          <w:b/>
          <w:bCs/>
          <w:spacing w:val="3"/>
          <w:sz w:val="20"/>
          <w:szCs w:val="20"/>
        </w:rPr>
        <w:t>3.5资格审查资料</w:t>
      </w:r>
    </w:p>
    <w:p>
      <w:pPr>
        <w:pStyle w:val="7"/>
        <w:bidi w:val="0"/>
      </w:pPr>
      <w:r>
        <w:t>3.5.1供应商在编制竞争性谈判响应文件时，应按本竞争性谈判文件“谈判办法”及“供应商须知前附表”要求提供具备承担本项目的资格条件、能力和信誉的相关证明文件。谈判小组根据供应商所提供的资格证明文件进行评审。</w:t>
      </w:r>
    </w:p>
    <w:p>
      <w:pPr>
        <w:pStyle w:val="7"/>
        <w:bidi w:val="0"/>
      </w:pPr>
      <w:r>
        <w:t>3.5.2采购人和采购代理机构不承担核查资格资料真实性的义务。由于供应商提供虚假的材料，导致竞争性谈判项目无法顺利进行或者失败，由此造成的后果及经济损失，由供应商承担全部法律责任。</w:t>
      </w:r>
    </w:p>
    <w:p>
      <w:pPr>
        <w:pStyle w:val="4"/>
        <w:bidi w:val="0"/>
      </w:pPr>
      <w:r>
        <w:t>3.6备选谈判方案</w:t>
      </w:r>
    </w:p>
    <w:p>
      <w:pPr>
        <w:pStyle w:val="7"/>
        <w:bidi w:val="0"/>
      </w:pPr>
      <w:r>
        <w:t>除“供应商须知前附表”另有规定外，供应商不得递交备选谈判方案。</w:t>
      </w:r>
    </w:p>
    <w:p>
      <w:pPr>
        <w:pStyle w:val="4"/>
        <w:bidi w:val="0"/>
      </w:pPr>
      <w:r>
        <w:t>3.7竞争性谈判响应文件的编制</w:t>
      </w:r>
    </w:p>
    <w:p>
      <w:pPr>
        <w:pStyle w:val="7"/>
        <w:bidi w:val="0"/>
      </w:pPr>
      <w:r>
        <w:t>3.7.1竞争性谈判响应文件应按“竞争性谈判响应文件格式”进行编写，如有必要，可以增加附页，作为竞争性谈判响应文件的组成部分。其中，响应函附录在满足竞争性谈判文件实质性要求的基础上，可以提出比竞争性谈判文件要求更有利于采购人的承诺。</w:t>
      </w:r>
    </w:p>
    <w:p>
      <w:pPr>
        <w:pStyle w:val="7"/>
        <w:bidi w:val="0"/>
      </w:pPr>
      <w:r>
        <w:t>3.7.2竞争性谈判响应文件应当对竞争性谈判文件有关交付期限、谈判有效期、质保期、技术标准和要求、竞争性谈判范围等实质性内容做出响应。</w:t>
      </w:r>
    </w:p>
    <w:p>
      <w:pPr>
        <w:pStyle w:val="7"/>
        <w:bidi w:val="0"/>
      </w:pPr>
      <w:r>
        <w:t>3.7.3竞争性谈判响应文件应用不褪色的材料书写或打印，并由供应商的法定代表人或其委托代理人签字或盖单位章。委托代理人签字的，竞争性谈判响应文件应附法定代表人签署的授权委托书。竞争性谈判响应文件应尽量避免涂改、行间插字或删除。如果出现上述情况，改动之处应加盖</w:t>
      </w:r>
    </w:p>
    <w:p>
      <w:pPr>
        <w:pStyle w:val="7"/>
        <w:bidi w:val="0"/>
      </w:pPr>
      <w:r>
        <w:t>单位章或由供应商的法定代表人或其授权的代理人签字确认。签字、盖章的具体要求见“供应商须知前附表”。未按本条规定办理的，视同签字、盖章不全。</w:t>
      </w:r>
    </w:p>
    <w:p>
      <w:pPr>
        <w:pStyle w:val="7"/>
        <w:bidi w:val="0"/>
      </w:pPr>
      <w:r>
        <w:t>3.7.4竞争性谈判响应文件份数见“供应商须知前附表”。正本和副本的封面上应清楚地标记“正本”或“副本”的字样。当副本和正本不一致时，以正本为准。</w:t>
      </w:r>
    </w:p>
    <w:p>
      <w:pPr>
        <w:pStyle w:val="7"/>
        <w:bidi w:val="0"/>
      </w:pPr>
      <w:r>
        <w:t>3.7.5竞争性谈判响应文件的正本与副本应分别装订成册，并编制目录，具体装订要求见“供应商须知前附表”规定。</w:t>
      </w:r>
    </w:p>
    <w:p>
      <w:pPr>
        <w:pStyle w:val="3"/>
        <w:bidi w:val="0"/>
      </w:pPr>
      <w:bookmarkStart w:id="6" w:name="_Toc7875"/>
      <w:r>
        <w:t>4.谈判响应文件</w:t>
      </w:r>
      <w:bookmarkEnd w:id="6"/>
    </w:p>
    <w:p>
      <w:pPr>
        <w:pStyle w:val="4"/>
        <w:bidi w:val="0"/>
      </w:pPr>
      <w:r>
        <w:t>4.1竞争性谈判响应文件的密封和标记</w:t>
      </w:r>
    </w:p>
    <w:p>
      <w:pPr>
        <w:pStyle w:val="7"/>
        <w:bidi w:val="0"/>
      </w:pPr>
      <w:r>
        <w:t>4.1.1竞争性谈判响应文件的密封：按照供应商须知第3.1.1项规定的竞争性谈判响应文件组成内容，竞争性谈判响应文件的正本、副本与电子版须密封在一个密封袋中，响应文件的密封袋两头封口上均需贴封条并在骑缝处加盖供应商单位公章。</w:t>
      </w:r>
    </w:p>
    <w:p>
      <w:pPr>
        <w:pStyle w:val="7"/>
        <w:bidi w:val="0"/>
      </w:pPr>
      <w:r>
        <w:t>4.1.2竞争性谈判响应文件封套的标记：封套上应写明的内容见供应商须知前附表4.1.2，并在封面加盖供应商单位章。</w:t>
      </w:r>
    </w:p>
    <w:p>
      <w:pPr>
        <w:pStyle w:val="7"/>
        <w:bidi w:val="0"/>
      </w:pPr>
      <w:r>
        <w:t>4.1.3未按本章第4.1.1、4.1.2项要求密封的竞争性谈判响应文件，采购人不予受理，采购代理机构有权拒绝接收其响应文件。</w:t>
      </w:r>
    </w:p>
    <w:p>
      <w:pPr>
        <w:pStyle w:val="4"/>
        <w:bidi w:val="0"/>
      </w:pPr>
      <w:r>
        <w:t>4.2竞争性谈判响应文件的递交</w:t>
      </w:r>
    </w:p>
    <w:p>
      <w:pPr>
        <w:pStyle w:val="7"/>
        <w:bidi w:val="0"/>
      </w:pPr>
      <w:r>
        <w:t>4.2.1供应商应在前附表第2.2.1项规定的谈判截止时间前递交竞争性谈判响应文件。</w:t>
      </w:r>
    </w:p>
    <w:p>
      <w:pPr>
        <w:pStyle w:val="7"/>
        <w:bidi w:val="0"/>
      </w:pPr>
      <w:r>
        <w:t>4.2.2供应商递交竞争性谈判响应文件的地点：见响应供应商须知前附表。</w:t>
      </w:r>
    </w:p>
    <w:p>
      <w:pPr>
        <w:pStyle w:val="7"/>
        <w:bidi w:val="0"/>
      </w:pPr>
      <w:r>
        <w:t>4.2.3除响应供应商须知前附表另有规定外，供应商所递交的竞争性谈判响应文件不予退还。</w:t>
      </w:r>
    </w:p>
    <w:p>
      <w:pPr>
        <w:pStyle w:val="7"/>
        <w:bidi w:val="0"/>
      </w:pPr>
      <w:r>
        <w:t>4.2.4采购人收到竞争性谈判响应文件后，向供应商出具签收凭证。但竞争性谈判会现场收到的竞争性谈判响应文件，供应商代表仅进行谈判的签字登记，采购人不再向供应商出具签收凭证。</w:t>
      </w:r>
    </w:p>
    <w:p>
      <w:pPr>
        <w:pStyle w:val="7"/>
        <w:bidi w:val="0"/>
      </w:pPr>
      <w:r>
        <w:t>4.2.5逾期送达的或者未送达指定地点的竞争性谈判响应文件，采购人不予受理。</w:t>
      </w:r>
    </w:p>
    <w:p>
      <w:pPr>
        <w:pStyle w:val="4"/>
        <w:bidi w:val="0"/>
      </w:pPr>
      <w:r>
        <w:t>4.3竞争性谈判响应文件的修改与撤回</w:t>
      </w:r>
    </w:p>
    <w:p>
      <w:pPr>
        <w:pStyle w:val="7"/>
        <w:bidi w:val="0"/>
      </w:pPr>
      <w:r>
        <w:t>4.3.1在谈判响应文件递交截止时间前，供应商可以修改或撤回已递交的竞争性谈判响应文件，但应以书面形式通知采购人。</w:t>
      </w:r>
    </w:p>
    <w:p>
      <w:pPr>
        <w:pStyle w:val="7"/>
        <w:bidi w:val="0"/>
      </w:pPr>
      <w:r>
        <w:t>4.3.2供应商修改或撤回已递交竞争性谈判响应文件的书面通知应按照本章第3.7.3项的要求签字或盖章。采购人收到书面通知后，向供应商出具签收凭证。</w:t>
      </w:r>
    </w:p>
    <w:p>
      <w:pPr>
        <w:pStyle w:val="7"/>
        <w:bidi w:val="0"/>
      </w:pPr>
      <w:r>
        <w:t>4.3.3修改的内容为竞争性谈判响应文件的组成部分。修改的竞争性谈判响应文件应按照本章第3条、第4条规定进行编制、密封、标记和递交，并标明“修改”字样。</w:t>
      </w:r>
    </w:p>
    <w:p>
      <w:pPr>
        <w:pStyle w:val="3"/>
        <w:bidi w:val="0"/>
      </w:pPr>
      <w:bookmarkStart w:id="7" w:name="_Toc10760"/>
      <w:r>
        <w:t>5.竞争性谈判</w:t>
      </w:r>
      <w:bookmarkEnd w:id="7"/>
    </w:p>
    <w:p>
      <w:pPr>
        <w:pStyle w:val="4"/>
        <w:bidi w:val="0"/>
      </w:pPr>
      <w:r>
        <w:t>5.1竞争性谈判时间和地点</w:t>
      </w:r>
    </w:p>
    <w:p>
      <w:pPr>
        <w:pStyle w:val="7"/>
        <w:bidi w:val="0"/>
      </w:pPr>
      <w:r>
        <w:t>采购人在规定的竞争性谈判时间和地点公开竞争性谈判，所有供应商的法定代表人或其委托代理人应准时参加。</w:t>
      </w:r>
    </w:p>
    <w:p>
      <w:pPr>
        <w:pStyle w:val="4"/>
        <w:bidi w:val="0"/>
      </w:pPr>
      <w:r>
        <w:t>5.2竞争性谈判程序</w:t>
      </w:r>
    </w:p>
    <w:p>
      <w:pPr>
        <w:pStyle w:val="7"/>
        <w:bidi w:val="0"/>
      </w:pPr>
      <w:r>
        <w:t>主持人按下列主要程序进行竞争性谈判：</w:t>
      </w:r>
    </w:p>
    <w:p>
      <w:pPr>
        <w:pStyle w:val="7"/>
        <w:bidi w:val="0"/>
      </w:pPr>
      <w:r>
        <w:t>(1)宣布竞争性谈判项目名称及竞争性谈判响应文件接收截止时间，终止一切竞争性谈判响应文件的接收工作，并宣布竞争性谈判会开始，同时开启录音录像设备。</w:t>
      </w:r>
    </w:p>
    <w:p>
      <w:pPr>
        <w:pStyle w:val="7"/>
        <w:bidi w:val="0"/>
      </w:pPr>
      <w:r>
        <w:t>(2)宣布竞争性谈判会议纪律。</w:t>
      </w:r>
    </w:p>
    <w:p>
      <w:pPr>
        <w:pStyle w:val="7"/>
        <w:bidi w:val="0"/>
      </w:pPr>
      <w:r>
        <w:t>(3)介绍竞争性谈判监督管理部门代表、采购人代表、采购代理机构代表和竞争性谈判工作人员。</w:t>
      </w:r>
    </w:p>
    <w:p>
      <w:pPr>
        <w:pStyle w:val="7"/>
        <w:bidi w:val="0"/>
      </w:pPr>
      <w:r>
        <w:t>(4)宣布参加本项目的响应供应商名单。</w:t>
      </w:r>
    </w:p>
    <w:p>
      <w:pPr>
        <w:pStyle w:val="7"/>
        <w:bidi w:val="0"/>
      </w:pPr>
      <w:r>
        <w:t>(5)组织各供应商的授权代表查验、确认竞争性谈判响应文件密封情况。</w:t>
      </w:r>
    </w:p>
    <w:p>
      <w:pPr>
        <w:pStyle w:val="7"/>
        <w:bidi w:val="0"/>
      </w:pPr>
      <w:r>
        <w:t>(6)谈判顺序按各供应商提交竞争性谈判响应文件时间，按谈判响应登记表签署顺序（先到后开）进行；按谈判文件要求宣读相关谈判要素，记标人如实记录，采购人委派的监标人监督唱标内容、记录内容是否与谈判响应文件相一致。</w:t>
      </w:r>
    </w:p>
    <w:p>
      <w:pPr>
        <w:pStyle w:val="7"/>
        <w:bidi w:val="0"/>
      </w:pPr>
      <w:r>
        <w:t>(7)供应商核对竞争性谈判记录并签字确认。由监标人和供应商核对竞争性谈判记录现场签字确认。</w:t>
      </w:r>
    </w:p>
    <w:p>
      <w:pPr>
        <w:pStyle w:val="7"/>
        <w:bidi w:val="0"/>
      </w:pPr>
      <w:r>
        <w:t>(8)采购人或采购代理机构对响应供应商资格进行评审，评审小组对响应供应商符合性进行评审，评审合格后，方可谈判。</w:t>
      </w:r>
    </w:p>
    <w:p>
      <w:pPr>
        <w:pStyle w:val="7"/>
        <w:bidi w:val="0"/>
      </w:pPr>
      <w:r>
        <w:t>(9)资格及符合性评审合格的响应供应商单独与谈判小组成员就谈判响应文件的技术、商务等内容进行谈判，供应商法定代表人或其授权响应供应商代表需参加谈判并就谈判后进行最后报价。</w:t>
      </w:r>
    </w:p>
    <w:p>
      <w:pPr>
        <w:pStyle w:val="7"/>
        <w:bidi w:val="0"/>
      </w:pPr>
      <w:r>
        <w:t>(10)竞争性谈判小组进行评审。</w:t>
      </w:r>
    </w:p>
    <w:p>
      <w:pPr>
        <w:pStyle w:val="7"/>
        <w:bidi w:val="0"/>
      </w:pPr>
      <w:r>
        <w:t>(11)宣布竞争性谈判会议结束。</w:t>
      </w:r>
    </w:p>
    <w:p>
      <w:pPr>
        <w:pStyle w:val="7"/>
        <w:bidi w:val="0"/>
        <w:rPr>
          <w:b/>
          <w:bCs/>
        </w:rPr>
      </w:pPr>
      <w:r>
        <w:rPr>
          <w:b/>
          <w:bCs/>
        </w:rPr>
        <w:t>注：依据《政府采购非招标采购方式管理办法》的规定，为了保证谈判在严格保密的情况下进行，对供应商的首次报价不予公开记录。</w:t>
      </w:r>
    </w:p>
    <w:p>
      <w:pPr>
        <w:pStyle w:val="3"/>
        <w:bidi w:val="0"/>
      </w:pPr>
      <w:bookmarkStart w:id="8" w:name="_Toc27245"/>
      <w:r>
        <w:t>6.谈判</w:t>
      </w:r>
      <w:bookmarkEnd w:id="8"/>
    </w:p>
    <w:p>
      <w:pPr>
        <w:pStyle w:val="4"/>
        <w:bidi w:val="0"/>
      </w:pPr>
      <w:r>
        <w:t>6.1谈判小组</w:t>
      </w:r>
    </w:p>
    <w:p>
      <w:pPr>
        <w:pStyle w:val="7"/>
        <w:bidi w:val="0"/>
      </w:pPr>
      <w:r>
        <w:t>6.1.1按照《中华人民共和国政府采购法》、《中华人民共和国政府采购法实施条例》、《政府采购非招标方式管理办法》的规定，谈判由依法组建的谈判小组负责。谈判小组由熟悉相关业务的采购人代表，以及有关技术、经济等方面的专家组成。谈判小组成员人数以及技术、经济等方面专家的确定方式见“供应商须知前附表”。</w:t>
      </w:r>
    </w:p>
    <w:p>
      <w:pPr>
        <w:pStyle w:val="7"/>
        <w:bidi w:val="0"/>
      </w:pPr>
      <w:r>
        <w:t>6.1.2谈判小组成员有下列情形之一的，应当回避：</w:t>
      </w:r>
    </w:p>
    <w:p>
      <w:pPr>
        <w:pStyle w:val="7"/>
        <w:bidi w:val="0"/>
      </w:pPr>
      <w:r>
        <w:t>（1）参加采购活动前3年内与供应商存在劳动关系；</w:t>
      </w:r>
    </w:p>
    <w:p>
      <w:pPr>
        <w:pStyle w:val="7"/>
        <w:bidi w:val="0"/>
      </w:pPr>
      <w:r>
        <w:t>（2）参加采购活动前3年内担任供应商的董事、监事；</w:t>
      </w:r>
    </w:p>
    <w:p>
      <w:pPr>
        <w:pStyle w:val="7"/>
        <w:bidi w:val="0"/>
      </w:pPr>
      <w:r>
        <w:t>（3）参加采购活动前3年内是供应商的控股股东或者实际控制人；</w:t>
      </w:r>
    </w:p>
    <w:p>
      <w:pPr>
        <w:pStyle w:val="7"/>
        <w:bidi w:val="0"/>
      </w:pPr>
      <w:r>
        <w:t>（4）与供应商的法定代表人或者负责人有夫妻、直系血亲、三代以内旁系血亲或者近姻亲关系；</w:t>
      </w:r>
    </w:p>
    <w:p>
      <w:pPr>
        <w:pStyle w:val="7"/>
        <w:bidi w:val="0"/>
      </w:pPr>
      <w:r>
        <w:t>（5）项目主管部门或者行政监督部门的人员；</w:t>
      </w:r>
    </w:p>
    <w:p>
      <w:pPr>
        <w:pStyle w:val="7"/>
        <w:bidi w:val="0"/>
      </w:pPr>
      <w:r>
        <w:t>（6）采购人就竞争性谈判文件征询过意见的；</w:t>
      </w:r>
    </w:p>
    <w:p>
      <w:pPr>
        <w:pStyle w:val="7"/>
        <w:bidi w:val="0"/>
      </w:pPr>
      <w:r>
        <w:t>（7）与供应商有其他可能影响政府采购活动公平、公正进行的关系。</w:t>
      </w:r>
    </w:p>
    <w:p>
      <w:pPr>
        <w:pStyle w:val="4"/>
        <w:bidi w:val="0"/>
      </w:pPr>
      <w:r>
        <w:t>6.2谈判原则</w:t>
      </w:r>
    </w:p>
    <w:p>
      <w:pPr>
        <w:pStyle w:val="7"/>
        <w:bidi w:val="0"/>
      </w:pPr>
      <w:r>
        <w:t>谈判活动遵循客观、公正、审慎的原则。</w:t>
      </w:r>
    </w:p>
    <w:p>
      <w:pPr>
        <w:pStyle w:val="4"/>
        <w:bidi w:val="0"/>
      </w:pPr>
      <w:r>
        <w:t>6.3谈判</w:t>
      </w:r>
    </w:p>
    <w:p>
      <w:pPr>
        <w:pStyle w:val="7"/>
        <w:bidi w:val="0"/>
      </w:pPr>
      <w:r>
        <w:t>6.3.1谈判小组按照第三章“谈判方法”规定的方法、评审因素、标准和程序对竞争性谈判响应文件进行评审。第三章“谈判方法”没有规定的方法、评审因素和标准，不作为评审依据。</w:t>
      </w:r>
    </w:p>
    <w:p>
      <w:pPr>
        <w:pStyle w:val="7"/>
        <w:bidi w:val="0"/>
      </w:pPr>
      <w:r>
        <w:t>6.3.2谈判小组成员和与采购活动有关的工作人员不得泄露有关竞争性谈判响应文件的评审和比较、成交候选人的推荐以及与谈判有关的其他情况。</w:t>
      </w:r>
    </w:p>
    <w:p>
      <w:pPr>
        <w:pStyle w:val="7"/>
        <w:bidi w:val="0"/>
      </w:pPr>
      <w:r>
        <w:t>6.3.3在谈判过程中，如果供应商试图在竞争性谈判响应文件的评审和比较、成交候选人的推荐以及与评审有关的其他方面，向评审小组、采购人和采购代理机构施加任何影响，其谈判响应文件将按照无效谈判处理。</w:t>
      </w:r>
    </w:p>
    <w:p>
      <w:pPr>
        <w:pStyle w:val="7"/>
        <w:bidi w:val="0"/>
      </w:pPr>
      <w:r>
        <w:t>6.3.4在谈判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pPr>
        <w:pStyle w:val="7"/>
        <w:bidi w:val="0"/>
      </w:pPr>
      <w:r>
        <w:t>6.3.5如果供应商在澄清规定期限内，未能答复或拒绝答复谈判小组提出的澄清要求，将由谈判小组根据其竞争性谈判响应文件按最大风险进行评审。</w:t>
      </w:r>
    </w:p>
    <w:p>
      <w:pPr>
        <w:pStyle w:val="7"/>
        <w:bidi w:val="0"/>
      </w:pPr>
      <w:r>
        <w:t>6.3.6在谈判过程中，谈判小组发现响应供应商的报价明显低于其他谈判报价，使得其谈判报价可能低于其个别成本的，应当要求该响应供应商在限定时间内作出书面说明并提供相关证明材料。响应供应商不能合理说明或者不能提供相关证明材料的，由谈判小组认定该响应供应商以低于成本报价竞标，应当否决其谈判。</w:t>
      </w:r>
    </w:p>
    <w:p>
      <w:pPr>
        <w:pStyle w:val="3"/>
        <w:bidi w:val="0"/>
      </w:pPr>
      <w:bookmarkStart w:id="9" w:name="_Toc15124"/>
      <w:r>
        <w:t>7.合同授予</w:t>
      </w:r>
      <w:bookmarkEnd w:id="9"/>
    </w:p>
    <w:p>
      <w:pPr>
        <w:pStyle w:val="4"/>
        <w:bidi w:val="0"/>
      </w:pPr>
      <w:r>
        <w:t>7.1定标程序</w:t>
      </w:r>
    </w:p>
    <w:p>
      <w:pPr>
        <w:pStyle w:val="7"/>
        <w:bidi w:val="0"/>
      </w:pPr>
      <w:r>
        <w:t>7.1.1谈判小组根据谈判方法的规定对供应商进行评审排序，推荐竞争性谈判“供应商须知前附表”规定数量的成交候选人，作为谈判结果。评审结果由全体谈判小组成员签字确认。</w:t>
      </w:r>
    </w:p>
    <w:p>
      <w:pPr>
        <w:pStyle w:val="7"/>
        <w:bidi w:val="0"/>
      </w:pPr>
      <w:r>
        <w:t>7.1.2采购代理机构应当自评审结束之日起2个工作日内将评审报告送交采购人。采购人应当自收到评审报告之日起5个工作日内在评审报告推荐的成交候选人中按顺序确定成交供应商。</w:t>
      </w:r>
    </w:p>
    <w:p>
      <w:pPr>
        <w:pStyle w:val="7"/>
        <w:bidi w:val="0"/>
      </w:pPr>
      <w:r>
        <w:t>7.1.3成交供应商确定之后，成交结果将在“供应商须知前附表”规定的媒体予以公告。</w:t>
      </w:r>
    </w:p>
    <w:p>
      <w:pPr>
        <w:pStyle w:val="7"/>
        <w:bidi w:val="0"/>
      </w:pPr>
      <w:r>
        <w:t>7.1.4供应商对成交公告有异议的，应当在成交公告发布之日起七个工作日内，以供应商授权代表签字并加盖供应商印章的质疑函向竞争性谈判采购单位提出质疑。</w:t>
      </w:r>
    </w:p>
    <w:p>
      <w:pPr>
        <w:pStyle w:val="7"/>
        <w:bidi w:val="0"/>
      </w:pPr>
      <w:r>
        <w:t>7.1.5书面质疑材料应当包括下列内容：</w:t>
      </w:r>
    </w:p>
    <w:p>
      <w:pPr>
        <w:pStyle w:val="7"/>
        <w:bidi w:val="0"/>
      </w:pPr>
      <w:r>
        <w:t>（1）质疑人的名称、地址及有效联系方式；</w:t>
      </w:r>
    </w:p>
    <w:p>
      <w:pPr>
        <w:pStyle w:val="7"/>
        <w:bidi w:val="0"/>
      </w:pPr>
      <w:r>
        <w:t>（2）被质疑人的名称、地址及有效联系方式；</w:t>
      </w:r>
    </w:p>
    <w:p>
      <w:pPr>
        <w:pStyle w:val="7"/>
        <w:bidi w:val="0"/>
      </w:pPr>
      <w:bookmarkStart w:id="10" w:name="bookmark16"/>
      <w:bookmarkEnd w:id="10"/>
      <w:r>
        <w:t>（3）质疑事项的基本事实；</w:t>
      </w:r>
    </w:p>
    <w:p>
      <w:pPr>
        <w:pStyle w:val="7"/>
        <w:bidi w:val="0"/>
      </w:pPr>
      <w:r>
        <w:t>（4）相关请求及主张；</w:t>
      </w:r>
    </w:p>
    <w:p>
      <w:pPr>
        <w:pStyle w:val="7"/>
        <w:bidi w:val="0"/>
      </w:pPr>
      <w:r>
        <w:t>（5）有效线索和相关证明材料。</w:t>
      </w:r>
    </w:p>
    <w:p>
      <w:pPr>
        <w:pStyle w:val="7"/>
        <w:bidi w:val="0"/>
      </w:pPr>
      <w:r>
        <w:t>7.1.7质疑材料必须由供应商法定代表人或者授权代表签字并加盖单位公章，并提供文件规定的相应证明材料，未按上述规定提交的质疑材料不予受理。供应商应保证提出的质疑内容及相应证明材料的真实性及来源的合法性，并承担相应的法律责任。</w:t>
      </w:r>
    </w:p>
    <w:p>
      <w:pPr>
        <w:pStyle w:val="4"/>
        <w:bidi w:val="0"/>
      </w:pPr>
      <w:r>
        <w:t>7.2成交通知</w:t>
      </w:r>
    </w:p>
    <w:p>
      <w:pPr>
        <w:pStyle w:val="7"/>
        <w:bidi w:val="0"/>
      </w:pPr>
      <w:r>
        <w:t>7.2.1在本章第3.3款规定的谈判有效期内，成交公告发布之日，采购人以书面形式向成交供应商发出成交通知书，同时将成交结果通知未成交的供应商。</w:t>
      </w:r>
    </w:p>
    <w:p>
      <w:pPr>
        <w:pStyle w:val="7"/>
        <w:bidi w:val="0"/>
      </w:pPr>
      <w:r>
        <w:t>7.2.2成交通知书对采购人和成交供应商具有同等法律效力。成交通知书发出之后，采购人改变成交结果，或者成交供应商放弃成交，应当承担相应的法律责任。</w:t>
      </w:r>
    </w:p>
    <w:p>
      <w:pPr>
        <w:pStyle w:val="4"/>
        <w:bidi w:val="0"/>
      </w:pPr>
      <w:r>
        <w:t>7.3履约担保</w:t>
      </w:r>
    </w:p>
    <w:p>
      <w:pPr>
        <w:pStyle w:val="7"/>
        <w:bidi w:val="0"/>
      </w:pPr>
      <w:r>
        <w:t>不提供</w:t>
      </w:r>
    </w:p>
    <w:p>
      <w:pPr>
        <w:pStyle w:val="4"/>
        <w:bidi w:val="0"/>
      </w:pPr>
      <w:r>
        <w:t>7.4签订合同</w:t>
      </w:r>
    </w:p>
    <w:p>
      <w:pPr>
        <w:pStyle w:val="7"/>
        <w:bidi w:val="0"/>
      </w:pPr>
      <w:r>
        <w:t>7.4.1采购人和成交供应商应当自成交通知书发出之日起25天内，根据竞争性谈判文件和成交供应商的竞争性谈判响应文件订立书面合同。所签订的合同不得对竞争性谈判文件和成交供应商的竞争性谈判响应文件（包括谈判中形成的澄清文件）作实质性修改。成交供应商无正当理由拒签合同的，采购人取消其成交资格；给采购人造成的损失成交供应商予以赔偿。</w:t>
      </w:r>
    </w:p>
    <w:p>
      <w:pPr>
        <w:pStyle w:val="7"/>
        <w:bidi w:val="0"/>
      </w:pPr>
      <w:r>
        <w:t>7.4.2发出成交通知书后，采购人无正当理由拒签合同的，给成交供应商造成损失的，应当赔偿损失。</w:t>
      </w:r>
    </w:p>
    <w:p>
      <w:pPr>
        <w:pStyle w:val="7"/>
        <w:bidi w:val="0"/>
      </w:pPr>
      <w:r>
        <w:t>7.4.3采购人自政府采购合同签订之日起2个工作日内，将政府采购合同在省级以上人民政府财政部门指定的媒体上公告，但政府采购合同中涉及国家秘密、商业秘密的内容除外。</w:t>
      </w:r>
    </w:p>
    <w:p>
      <w:pPr>
        <w:pStyle w:val="4"/>
        <w:bidi w:val="0"/>
      </w:pPr>
      <w:r>
        <w:t>7.5成交合同的履约验收</w:t>
      </w:r>
    </w:p>
    <w:p>
      <w:pPr>
        <w:pStyle w:val="7"/>
        <w:bidi w:val="0"/>
      </w:pPr>
      <w:r>
        <w:t>7.5.1采购人按照政府采购合同规定的技术、服务、安全标准组织对供应商履约情况进行验收，并出具验收书。验收书应当包括每一项技术、服务、安全标准的履约情况。</w:t>
      </w:r>
    </w:p>
    <w:p>
      <w:pPr>
        <w:pStyle w:val="3"/>
        <w:bidi w:val="0"/>
      </w:pPr>
      <w:bookmarkStart w:id="11" w:name="_Toc10828"/>
      <w:r>
        <w:t>8.重新竞争性谈判或采用其他方式继续采购</w:t>
      </w:r>
      <w:bookmarkEnd w:id="11"/>
    </w:p>
    <w:p>
      <w:pPr>
        <w:pStyle w:val="7"/>
        <w:bidi w:val="0"/>
      </w:pPr>
      <w:r>
        <w:t>8.1竞争性谈判后，如果报价未超过采购预算或谈判文件规定的最高限价的供应商不足3家的，应予废标，废标后，按照《政府采购非招标采购方式管理办法》（中华人民共和国财政部第74号令）的规定，发布项目终止公告并说明原因，重新开展采购活动。</w:t>
      </w:r>
    </w:p>
    <w:p>
      <w:pPr>
        <w:pStyle w:val="7"/>
        <w:bidi w:val="0"/>
      </w:pPr>
      <w:r>
        <w:t>8.1竞争性谈判响应文件递交截止时间结束后，参加谈判的供应商不足3家，或在谈判期间，出现符合专业条件的供应商或者对竞争性谈判文件作出实质性响应的供应商不足3家情形的，按照《政府采购非招标采购方式管理办法》（中华人民共和国财政部第74号令）的规定，发布项目终止公告并说明原因，重新开展采购活动。但项目符合《政府采购非招标采购方式管理办法》（中华人民共和国财政部第74号令）符合第二十七条第二款规定的可以继续谈判。</w:t>
      </w:r>
    </w:p>
    <w:p>
      <w:pPr>
        <w:pStyle w:val="3"/>
        <w:bidi w:val="0"/>
      </w:pPr>
      <w:bookmarkStart w:id="12" w:name="_Toc13579"/>
      <w:r>
        <w:t>9.纪律和监督</w:t>
      </w:r>
      <w:bookmarkEnd w:id="12"/>
    </w:p>
    <w:p>
      <w:pPr>
        <w:pStyle w:val="4"/>
        <w:bidi w:val="0"/>
      </w:pPr>
      <w:r>
        <w:t>9.1对采购人的纪律要求</w:t>
      </w:r>
    </w:p>
    <w:p>
      <w:pPr>
        <w:pStyle w:val="7"/>
        <w:bidi w:val="0"/>
      </w:pPr>
      <w:r>
        <w:t>采购人不得泄漏竞争性谈判活动中应当保密的情况和资料，不得与供应商串通损害国家利益、社会公共利益或者他人合法权益。</w:t>
      </w:r>
    </w:p>
    <w:p>
      <w:pPr>
        <w:pStyle w:val="4"/>
        <w:bidi w:val="0"/>
      </w:pPr>
      <w:r>
        <w:t>9.2对供应商的纪律要求</w:t>
      </w:r>
    </w:p>
    <w:p>
      <w:pPr>
        <w:pStyle w:val="7"/>
        <w:bidi w:val="0"/>
      </w:pPr>
      <w:r>
        <w:t>供应商不得相互串通谈判或者与采购人串通谈判，不得向采购人或者谈判小组成员行贿谋取成交，不得以他人名义谈判或者以其他方式弄虚作假骗取成交；供应商不得以任何方式干扰、影响谈判工作。</w:t>
      </w:r>
    </w:p>
    <w:p>
      <w:pPr>
        <w:pStyle w:val="4"/>
        <w:bidi w:val="0"/>
      </w:pPr>
      <w:r>
        <w:t>9.3对谈判小组成员的纪律要求</w:t>
      </w:r>
    </w:p>
    <w:p>
      <w:pPr>
        <w:pStyle w:val="7"/>
        <w:bidi w:val="0"/>
      </w:pPr>
      <w:r>
        <w:t>谈判小组成员不得收受他人的财物或者其他好处，不得向他人透漏对竞争性谈判响应文件的评审和比较、成交候选人的推荐情况以及谈判有关的其他情况。在谈判活动中，谈判小组成员不得擅离职守，影响谈判程序正常进行，不得使用第三章“谈判方法”没有规定的评审因素和标准进行评审。</w:t>
      </w:r>
    </w:p>
    <w:p>
      <w:pPr>
        <w:pStyle w:val="4"/>
        <w:bidi w:val="0"/>
      </w:pPr>
      <w:r>
        <w:t>9.4对与竞争性谈判活动有关的工作人员的纪律要求</w:t>
      </w:r>
    </w:p>
    <w:p>
      <w:pPr>
        <w:pStyle w:val="7"/>
        <w:bidi w:val="0"/>
      </w:pPr>
      <w:r>
        <w:t>与谈判活动有关的工作人员不得收受他人的财物或者其他好处，不得向他人透漏对竞争性谈判响应文件的评审和比较、成交候选人的推荐情况以及谈判有关的其他情况。在谈判活动中，与谈判活动有关的工作人员不得擅离职守，影响谈判程序正常进行。</w:t>
      </w:r>
    </w:p>
    <w:p>
      <w:pPr>
        <w:pStyle w:val="4"/>
        <w:bidi w:val="0"/>
      </w:pPr>
      <w:r>
        <w:t>9.5质疑和投诉</w:t>
      </w:r>
    </w:p>
    <w:p>
      <w:pPr>
        <w:pStyle w:val="7"/>
        <w:bidi w:val="0"/>
      </w:pPr>
      <w:r>
        <w:t>9.5.1质疑。供应商认为采购文件、采购过程和成交、成交结果使自己的权益受到损害的，可以在知道或者应知其权益受到损害之日起七个工作日内，以书面形式向采购人提出质疑。采购人委托采购代理机构采购的，供应商可以向采购代理机构提出询问或者质疑。</w:t>
      </w:r>
    </w:p>
    <w:p>
      <w:pPr>
        <w:pStyle w:val="7"/>
        <w:bidi w:val="0"/>
      </w:pPr>
      <w:r>
        <w:t>采购人或者采购代理机构应当在3个工作日内对供应商依法提出的询问作出答复。</w:t>
      </w:r>
    </w:p>
    <w:p>
      <w:pPr>
        <w:pStyle w:val="7"/>
        <w:bidi w:val="0"/>
      </w:pPr>
      <w:r>
        <w:t>供应商应知其权益受到损害之日，是指：</w:t>
      </w:r>
    </w:p>
    <w:p>
      <w:pPr>
        <w:pStyle w:val="7"/>
        <w:bidi w:val="0"/>
      </w:pPr>
      <w:r>
        <w:t>（1）对可以质疑的采购文件提出质疑的，为收到采购文件之日或者采购文件公告期限届满之日；</w:t>
      </w:r>
    </w:p>
    <w:p>
      <w:pPr>
        <w:pStyle w:val="7"/>
        <w:bidi w:val="0"/>
      </w:pPr>
      <w:r>
        <w:t>（2）对采购过程提出质疑的，为各采购程序环节结束之日；</w:t>
      </w:r>
    </w:p>
    <w:p>
      <w:pPr>
        <w:pStyle w:val="7"/>
        <w:bidi w:val="0"/>
      </w:pPr>
      <w:r>
        <w:t>（3）对成交或者成交结果提出质疑的，为成交或者成交结果公告期限届满之日。</w:t>
      </w:r>
    </w:p>
    <w:p>
      <w:pPr>
        <w:pStyle w:val="7"/>
        <w:bidi w:val="0"/>
      </w:pPr>
      <w:r>
        <w:t>9.5.2投诉。质疑供应商对采购人、采购代理机构的答复不满意或者采购人、采购代理机构未在规定的时间内作出答复的，可以在答复期满后十五个工作日内向同级政府采购监督管理部门投诉。政府采购监督管理部门应当在收到投诉后三十个工作日内，对投诉事项作出处理决定，并以书面形式通知投诉人和与投诉事项有关的当事人。</w:t>
      </w:r>
    </w:p>
    <w:p>
      <w:pPr>
        <w:pStyle w:val="7"/>
        <w:bidi w:val="0"/>
      </w:pPr>
      <w:r>
        <w:t>9.5.3供应商质疑、投诉应当有明确的请求和必要的证明材料。供应商投诉的事项不得超出已质疑事项的范围。</w:t>
      </w:r>
    </w:p>
    <w:p>
      <w:pPr>
        <w:pStyle w:val="3"/>
        <w:bidi w:val="0"/>
      </w:pPr>
      <w:bookmarkStart w:id="13" w:name="_Toc22477"/>
      <w:r>
        <w:t>10.需要补充的其他内容</w:t>
      </w:r>
      <w:bookmarkEnd w:id="13"/>
    </w:p>
    <w:p>
      <w:pPr>
        <w:pStyle w:val="7"/>
        <w:bidi w:val="0"/>
      </w:pPr>
      <w:r>
        <w:t>需要补充的其他内容：见“供应商须知前附表”。</w:t>
      </w:r>
    </w:p>
    <w:p>
      <w:r>
        <w:br w:type="page"/>
      </w:r>
    </w:p>
    <w:p>
      <w:pPr>
        <w:pStyle w:val="2"/>
        <w:bidi w:val="0"/>
      </w:pPr>
      <w:bookmarkStart w:id="14" w:name="_Toc501"/>
      <w:r>
        <w:t>第三章谈判方法</w:t>
      </w:r>
      <w:bookmarkEnd w:id="14"/>
    </w:p>
    <w:p>
      <w:pPr>
        <w:pStyle w:val="3"/>
        <w:bidi w:val="0"/>
      </w:pPr>
      <w:bookmarkStart w:id="15" w:name="_Toc31199"/>
      <w:r>
        <w:t>一．谈判方法</w:t>
      </w:r>
      <w:bookmarkEnd w:id="15"/>
    </w:p>
    <w:p>
      <w:pPr>
        <w:pStyle w:val="7"/>
        <w:bidi w:val="0"/>
      </w:pPr>
      <w:r>
        <w:t>按照《中华人民共和国政府采购法》、《中华人民共和国政府采购法实施条例》、《政府采购非招标采购方式管理办法》的规定，本次评标采用最低评标价法，从质量和服务均能满足采购文件实质性响应要求的供应商中，按照评审价由低到高的顺序提出3名成交候选人，并编写评审报告。</w:t>
      </w:r>
    </w:p>
    <w:p>
      <w:pPr>
        <w:pStyle w:val="3"/>
        <w:bidi w:val="0"/>
      </w:pPr>
      <w:bookmarkStart w:id="16" w:name="_Toc26095"/>
      <w:r>
        <w:t>二．谈判程序</w:t>
      </w:r>
      <w:bookmarkEnd w:id="16"/>
    </w:p>
    <w:p>
      <w:pPr>
        <w:pStyle w:val="7"/>
        <w:bidi w:val="0"/>
      </w:pPr>
      <w:r>
        <w:t>按照竞争性谈判响应文件初审、澄清有关问题并进行谈判、比较与评价、推荐成交候选供应商名单的工作程序进行评审。</w:t>
      </w:r>
    </w:p>
    <w:p>
      <w:pPr>
        <w:pStyle w:val="4"/>
        <w:bidi w:val="0"/>
      </w:pPr>
      <w:r>
        <w:t>1、竞争性谈判响应文件初审</w:t>
      </w:r>
    </w:p>
    <w:p>
      <w:pPr>
        <w:pStyle w:val="7"/>
        <w:bidi w:val="0"/>
      </w:pPr>
      <w:r>
        <w:t>初审分为资格检查和符合性检查。分别按照以下内容对竞争性谈判响应文件进行检查，一项不合格即按照无效谈判处理。</w:t>
      </w:r>
    </w:p>
    <w:p>
      <w:pPr>
        <w:pStyle w:val="7"/>
        <w:bidi w:val="0"/>
        <w:rPr>
          <w:b/>
          <w:bCs/>
        </w:rPr>
      </w:pPr>
      <w:r>
        <w:rPr>
          <w:b/>
          <w:bCs/>
        </w:rPr>
        <w:t>1.1资格检查：</w:t>
      </w:r>
    </w:p>
    <w:p>
      <w:pPr>
        <w:pStyle w:val="7"/>
        <w:bidi w:val="0"/>
      </w:pPr>
      <w:r>
        <w:t>1.1.1提供的资格证明文件是否符合国家法律法规和竞争性谈判文件谈判须知第1.4.1条的要求，并且齐全、真实、有效。</w:t>
      </w:r>
    </w:p>
    <w:p>
      <w:pPr>
        <w:pStyle w:val="7"/>
        <w:bidi w:val="0"/>
        <w:rPr>
          <w:b/>
          <w:bCs/>
        </w:rPr>
      </w:pPr>
      <w:r>
        <w:rPr>
          <w:b/>
          <w:bCs/>
        </w:rPr>
        <w:t>1.2符合性检查：</w:t>
      </w:r>
    </w:p>
    <w:p>
      <w:pPr>
        <w:pStyle w:val="7"/>
        <w:bidi w:val="0"/>
      </w:pPr>
      <w:r>
        <w:t>1.2.1竞争性谈判响应文件的完整性审查。</w:t>
      </w:r>
    </w:p>
    <w:p>
      <w:pPr>
        <w:pStyle w:val="7"/>
        <w:bidi w:val="0"/>
      </w:pPr>
      <w:r>
        <w:t>（1）竞争性谈判响应文件是否按照竞争性谈判文件要求的份数、格式编写。</w:t>
      </w:r>
    </w:p>
    <w:p>
      <w:pPr>
        <w:pStyle w:val="7"/>
        <w:bidi w:val="0"/>
      </w:pPr>
      <w:r>
        <w:t>（2）竞争性谈判响应文件内容是否无重大缺漏项。</w:t>
      </w:r>
    </w:p>
    <w:p>
      <w:pPr>
        <w:pStyle w:val="7"/>
        <w:bidi w:val="0"/>
      </w:pPr>
      <w:r>
        <w:t>1.2.2竞争性谈判响应文件的有效性审查。</w:t>
      </w:r>
    </w:p>
    <w:p>
      <w:pPr>
        <w:pStyle w:val="7"/>
        <w:bidi w:val="0"/>
      </w:pPr>
      <w:r>
        <w:t>（1）竞争性谈判响应文件的签署、加盖印章是否合格、有效；</w:t>
      </w:r>
    </w:p>
    <w:p>
      <w:pPr>
        <w:pStyle w:val="7"/>
        <w:bidi w:val="0"/>
      </w:pPr>
      <w:r>
        <w:t>（2）谈判报价是否唯一、且未超过采购预算。</w:t>
      </w:r>
    </w:p>
    <w:p>
      <w:pPr>
        <w:pStyle w:val="7"/>
        <w:bidi w:val="0"/>
      </w:pPr>
      <w:r>
        <w:t>1.2.3竞争性谈判响应文件的响应性审查。</w:t>
      </w:r>
    </w:p>
    <w:p>
      <w:pPr>
        <w:pStyle w:val="7"/>
        <w:bidi w:val="0"/>
      </w:pPr>
      <w:r>
        <w:t>（1）谈判有效期是否符合竞争性谈判文件的要求；</w:t>
      </w:r>
    </w:p>
    <w:p>
      <w:pPr>
        <w:pStyle w:val="7"/>
        <w:bidi w:val="0"/>
      </w:pPr>
      <w:r>
        <w:t>（2）是否满足竞争性谈判文件的采购内容；</w:t>
      </w:r>
    </w:p>
    <w:p>
      <w:pPr>
        <w:pStyle w:val="7"/>
        <w:bidi w:val="0"/>
      </w:pPr>
      <w:r>
        <w:t>（3）是否满足竞争性谈判文件的商务要求；</w:t>
      </w:r>
    </w:p>
    <w:p>
      <w:pPr>
        <w:pStyle w:val="7"/>
        <w:bidi w:val="0"/>
      </w:pPr>
      <w:r>
        <w:t>（4）是否不存在竞争性谈判文件的其他无效响应情形。</w:t>
      </w:r>
    </w:p>
    <w:p>
      <w:pPr>
        <w:pStyle w:val="4"/>
        <w:bidi w:val="0"/>
      </w:pPr>
      <w:r>
        <w:t>2、澄清有关问题并进行谈判：</w:t>
      </w:r>
    </w:p>
    <w:p>
      <w:pPr>
        <w:pStyle w:val="7"/>
        <w:bidi w:val="0"/>
      </w:pPr>
      <w:r>
        <w:t>2.1对于可能出现的谈判报价不一致和文字文本差异按以下方法确认更正。</w:t>
      </w:r>
    </w:p>
    <w:p>
      <w:pPr>
        <w:pStyle w:val="7"/>
        <w:bidi w:val="0"/>
      </w:pPr>
      <w:r>
        <w:t>2.1.1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w:t>
      </w:r>
    </w:p>
    <w:p>
      <w:pPr>
        <w:pStyle w:val="7"/>
        <w:bidi w:val="0"/>
      </w:pPr>
      <w:r>
        <w:t>2.1.2谈判小组将按照上述原则修正竞争性谈判响应文件中的报价，修正后的价格对供应商具有约束力。如果供应商不接受修正后的价格，其谈判按照无效谈判处理。</w:t>
      </w:r>
    </w:p>
    <w:p>
      <w:pPr>
        <w:pStyle w:val="7"/>
        <w:bidi w:val="0"/>
      </w:pPr>
      <w:bookmarkStart w:id="17" w:name="bookmark17"/>
      <w:bookmarkEnd w:id="17"/>
      <w:r>
        <w:t>2.2对于竞争性谈判响应文件中的非重大偏离，如果出现含义不明确、同类问题表述不一致或者有明显文字和计算错误的内容，谈判小组可以书面形式（由谈判小组专家签字）要求供应商作出必要的澄清、说明或者纠正。供应商的澄清、说明或者补正应当采用书面形式，由其授权的谈判代表签字，并不得超出竞争性谈判响应文件的范围或者改变竞争性谈判响应文件的实质性内容。</w:t>
      </w:r>
    </w:p>
    <w:p>
      <w:pPr>
        <w:pStyle w:val="7"/>
        <w:bidi w:val="0"/>
      </w:pPr>
      <w:r>
        <w:t>2.3谈判小组对通过资格性、符合性评审的响应供应商进行单独谈判；谈判后，响应供应商进行多轮谈判报价。</w:t>
      </w:r>
    </w:p>
    <w:p>
      <w:pPr>
        <w:pStyle w:val="4"/>
        <w:bidi w:val="0"/>
        <w:rPr>
          <w:rFonts w:hint="eastAsia"/>
          <w:lang w:val="en-US" w:eastAsia="zh-CN"/>
        </w:rPr>
      </w:pPr>
      <w:r>
        <w:t>3、评审价格的确定：</w:t>
      </w:r>
      <w:r>
        <w:rPr>
          <w:rFonts w:hint="eastAsia"/>
          <w:lang w:val="en-US" w:eastAsia="zh-CN"/>
        </w:rPr>
        <w:t>本项目专门面向中小企业采购，不再执行价格评审优惠的扶持政策。</w:t>
      </w:r>
    </w:p>
    <w:p>
      <w:pPr>
        <w:pStyle w:val="7"/>
        <w:bidi w:val="0"/>
      </w:pPr>
      <w:r>
        <w:t>经初审合格的供应商，为有效响应供应商。对于所有有效响应供应商的最后报价按照以下规则进行评审价格的确定。</w:t>
      </w:r>
    </w:p>
    <w:p>
      <w:pPr>
        <w:pStyle w:val="7"/>
        <w:bidi w:val="0"/>
      </w:pPr>
      <w:r>
        <w:t>3.1政策性价格优惠折扣</w:t>
      </w:r>
    </w:p>
    <w:p>
      <w:pPr>
        <w:pStyle w:val="7"/>
        <w:bidi w:val="0"/>
      </w:pPr>
      <w:r>
        <w:t>3.1.1小微企业的价格评分标准</w:t>
      </w:r>
    </w:p>
    <w:p>
      <w:pPr>
        <w:pStyle w:val="7"/>
        <w:bidi w:val="0"/>
      </w:pPr>
      <w:r>
        <w:t>（1）货物服务类：对小微型企业的价格给予10%的扣除，用扣除后的价格参与评审，其评审价=谈判报价*（1-10%）。</w:t>
      </w:r>
    </w:p>
    <w:p>
      <w:pPr>
        <w:pStyle w:val="7"/>
        <w:bidi w:val="0"/>
      </w:pPr>
      <w:r>
        <w:t>（2）参加本项目的供应商符合扶持政策的须提供《中小企业声明函》（格式详见附件），未提供的不视为小微企业。货物类项目提供的货物不包括使用大型企业注册商标的货物，小型、微型企业提供中型企业制造的货物的，视同为中型企业。对于未预留份额专门面向中小企业采购的货物采购项目，以及预留份额项目中的非预留部分货物采购包，大型企业提供的所有采购标的均为小微企业制造的，可享受价格评审优惠政策。供应商须做出承诺，保证真实性，如有虚假，将依法承担相应责任。提供使用大型企业注册商标的货物或视同为中型企业的供应商不享受价格折扣。</w:t>
      </w:r>
    </w:p>
    <w:p>
      <w:pPr>
        <w:pStyle w:val="7"/>
        <w:bidi w:val="0"/>
      </w:pPr>
      <w:r>
        <w:t>（4）小微企业按《政府采购促进中小企业发展管理办法》的通知（财库【2020】46号）和国家统计局关于印发《统计上大中小微型企业划分办法（2017）》的通知（国统字〔2017〕213号）文件规定标准确认。</w:t>
      </w:r>
    </w:p>
    <w:p>
      <w:pPr>
        <w:pStyle w:val="7"/>
        <w:bidi w:val="0"/>
      </w:pPr>
      <w:r>
        <w:t>3.1.2监狱企业的价格评分标准</w:t>
      </w:r>
    </w:p>
    <w:p>
      <w:pPr>
        <w:pStyle w:val="7"/>
        <w:bidi w:val="0"/>
      </w:pPr>
      <w:r>
        <w:t>（1）在政府采购活动中，监狱企业视同小型、微型企业，享受预留份额、评审中价格扣除等政府采购促进中小企业发展的政府采购政策。对监狱企业产品的价格给予扣除，用扣除后的价格参与评审；</w:t>
      </w:r>
    </w:p>
    <w:p>
      <w:pPr>
        <w:pStyle w:val="7"/>
        <w:bidi w:val="0"/>
      </w:pPr>
      <w:r>
        <w:t>（2）监狱企业属于小型、微型企业的，不重复享受政策。</w:t>
      </w:r>
    </w:p>
    <w:p>
      <w:pPr>
        <w:pStyle w:val="7"/>
        <w:bidi w:val="0"/>
      </w:pPr>
      <w:r>
        <w:t>（3）监狱企业参加政府采购活动时，应当提供由省级以上监狱管理局、戒毒管理局（含新疆生产建设兵团）出具的属于监狱企业的证明文件。</w:t>
      </w:r>
    </w:p>
    <w:p>
      <w:pPr>
        <w:pStyle w:val="7"/>
        <w:bidi w:val="0"/>
      </w:pPr>
      <w:r>
        <w:t>（4）监狱企业按《财政部司法部关于政府采购支持监狱企业发展有关问题的通知》（财库〔2014〕68号）文件规定标准执行。</w:t>
      </w:r>
    </w:p>
    <w:p>
      <w:pPr>
        <w:pStyle w:val="7"/>
        <w:bidi w:val="0"/>
      </w:pPr>
      <w:r>
        <w:t>3.1.3残疾人福利性单位的价格评分标准</w:t>
      </w:r>
    </w:p>
    <w:p>
      <w:pPr>
        <w:pStyle w:val="7"/>
        <w:bidi w:val="0"/>
      </w:pPr>
      <w:r>
        <w:t>（1）在政府采购活动中，残疾人福利性单位视同小型、微型企业，享受预留份额、评审中价格扣除等政府采购促进中小企业发展的政府采购政策。对残疾人福利性单位产品的价格给予扣除，用扣除后的价格参与评审；</w:t>
      </w:r>
    </w:p>
    <w:p>
      <w:pPr>
        <w:pStyle w:val="7"/>
        <w:bidi w:val="0"/>
      </w:pPr>
      <w:r>
        <w:t>（2）残疾人福利性单位属于小型、微型企业的，不重复享受政策。</w:t>
      </w:r>
    </w:p>
    <w:p>
      <w:pPr>
        <w:pStyle w:val="7"/>
        <w:bidi w:val="0"/>
      </w:pPr>
      <w:r>
        <w:t>（3）符合条件的残疾人福利性单位在参加政府采购活动时，应当提供本通知规定的《残疾人福利性单位声明函》，并对声明的真实性负责，未提供的不视为残疾人福利性单位。</w:t>
      </w:r>
    </w:p>
    <w:p>
      <w:pPr>
        <w:pStyle w:val="4"/>
        <w:bidi w:val="0"/>
      </w:pPr>
      <w:r>
        <w:t>4、谈判</w:t>
      </w:r>
    </w:p>
    <w:p>
      <w:pPr>
        <w:pStyle w:val="7"/>
        <w:bidi w:val="0"/>
      </w:pPr>
      <w:r>
        <w:t>4.1第一次报价：将各参加竞争性谈判的供应商谈判响应文件中的报价、交付期限等内容以不公开形式记录。</w:t>
      </w:r>
    </w:p>
    <w:p>
      <w:pPr>
        <w:pStyle w:val="7"/>
        <w:bidi w:val="0"/>
      </w:pPr>
      <w:r>
        <w:t>4.2谈判小组与通过资格及符合性进行评审的供应商分别进行谈判，并给予所有参加谈判的供应商平等的谈判机会。</w:t>
      </w:r>
    </w:p>
    <w:p>
      <w:pPr>
        <w:pStyle w:val="7"/>
        <w:bidi w:val="0"/>
      </w:pPr>
      <w:r>
        <w:t>4.3供应商进行最后报价，谈判小组根据最后报价、谈判澄清、承诺及响应文件进行最后的评审工作。</w:t>
      </w:r>
    </w:p>
    <w:p>
      <w:pPr>
        <w:pStyle w:val="4"/>
        <w:bidi w:val="0"/>
      </w:pPr>
      <w:r>
        <w:t>5、比较与评价：</w:t>
      </w:r>
    </w:p>
    <w:p>
      <w:pPr>
        <w:pStyle w:val="7"/>
        <w:bidi w:val="0"/>
      </w:pPr>
      <w:r>
        <w:t>5.1同品牌产品</w:t>
      </w:r>
    </w:p>
    <w:p>
      <w:pPr>
        <w:pStyle w:val="7"/>
        <w:bidi w:val="0"/>
      </w:pPr>
      <w:r>
        <w:t>5.1.1单一产品，提供相同品牌产品且通过资格审查、符合性审查的不同供应商参加同一合同项下谈判的，以报价最低的参加谈判；最后报价相同的，由采购人或者采购人委托谈判小组确定一个参加谈判的供应商，其他谈判无效。</w:t>
      </w:r>
    </w:p>
    <w:p>
      <w:pPr>
        <w:pStyle w:val="7"/>
        <w:bidi w:val="0"/>
      </w:pPr>
      <w:r>
        <w:t>5.1.2非单一产品，多家供应商提供的核心产品（核心产品详见“供应商须知前附表”）品牌全部相同的，按上述规定处理。</w:t>
      </w:r>
    </w:p>
    <w:p>
      <w:pPr>
        <w:pStyle w:val="7"/>
        <w:bidi w:val="0"/>
      </w:pPr>
      <w:r>
        <w:t>5.2对所有有效响应供应商的最后报价进行了评审价确认之后，由谈判小组各成员按照最后报价的评审价从低至高进行依次排序。</w:t>
      </w:r>
    </w:p>
    <w:p>
      <w:pPr>
        <w:pStyle w:val="4"/>
        <w:bidi w:val="0"/>
      </w:pPr>
      <w:r>
        <w:t>6、推荐成交候选供应商名单：</w:t>
      </w:r>
    </w:p>
    <w:p>
      <w:pPr>
        <w:pStyle w:val="7"/>
        <w:bidi w:val="0"/>
      </w:pPr>
      <w:r>
        <w:t>谈判小组应当从质量和服务均能满足采购文件实质性响应要求的供应商中，按照评审价由低到高的顺序提出3名成交候选人，并编写评审报告。</w:t>
      </w:r>
    </w:p>
    <w:p>
      <w:pPr>
        <w:pStyle w:val="7"/>
        <w:bidi w:val="0"/>
      </w:pPr>
      <w:r>
        <w:t>备注：</w:t>
      </w:r>
    </w:p>
    <w:p>
      <w:pPr>
        <w:pStyle w:val="7"/>
        <w:bidi w:val="0"/>
      </w:pPr>
      <w:r>
        <w:t>1）供应商提供虚假资质文件或证明材料的，导致采购项目无法顺利进行或者失败，由此造成的后果及经济损失，由供应商承担全部法律责任，且可将其上报有关主管部门。</w:t>
      </w:r>
    </w:p>
    <w:p>
      <w:pPr>
        <w:pStyle w:val="7"/>
        <w:bidi w:val="0"/>
      </w:pPr>
      <w:r>
        <w:t>2）若出现最终谈判报价并列时，比较评审并对技术、售后服务承诺进行比较，按照此分项优劣顺序排序；若技术、售后服务承诺优劣仍相同，则由谈判小组无记名投票，得票高者排序在前。</w:t>
      </w:r>
    </w:p>
    <w:p>
      <w:pPr>
        <w:rPr>
          <w:rFonts w:ascii="宋体" w:hAnsi="宋体" w:eastAsia="宋体" w:cs="宋体"/>
          <w:b/>
          <w:bCs/>
          <w:spacing w:val="6"/>
          <w:sz w:val="31"/>
          <w:szCs w:val="31"/>
        </w:rPr>
      </w:pPr>
      <w:r>
        <w:rPr>
          <w:rFonts w:ascii="宋体" w:hAnsi="宋体" w:eastAsia="宋体" w:cs="宋体"/>
          <w:b/>
          <w:bCs/>
          <w:spacing w:val="6"/>
          <w:sz w:val="31"/>
          <w:szCs w:val="31"/>
        </w:rPr>
        <w:br w:type="page"/>
      </w:r>
    </w:p>
    <w:p>
      <w:pPr>
        <w:pStyle w:val="2"/>
        <w:bidi w:val="0"/>
      </w:pPr>
      <w:bookmarkStart w:id="18" w:name="_Toc16775"/>
      <w:r>
        <w:t>第四章采购内容及要求</w:t>
      </w:r>
      <w:bookmarkEnd w:id="18"/>
    </w:p>
    <w:p>
      <w:pPr>
        <w:pStyle w:val="3"/>
        <w:bidi w:val="0"/>
      </w:pPr>
      <w:bookmarkStart w:id="19" w:name="_Toc15828"/>
      <w:r>
        <w:t>一、采购内容</w:t>
      </w:r>
      <w:bookmarkEnd w:id="19"/>
    </w:p>
    <w:p>
      <w:pPr>
        <w:pStyle w:val="4"/>
        <w:bidi w:val="0"/>
        <w:rPr>
          <w:rFonts w:hint="eastAsia"/>
          <w:lang w:val="en-US" w:eastAsia="zh-CN"/>
        </w:rPr>
      </w:pPr>
      <w:r>
        <w:rPr>
          <w:rFonts w:hint="eastAsia"/>
          <w:lang w:val="en-US" w:eastAsia="zh-CN"/>
        </w:rPr>
        <w:t>（一）防寒服</w:t>
      </w:r>
    </w:p>
    <w:p>
      <w:pPr>
        <w:pStyle w:val="7"/>
        <w:bidi w:val="0"/>
        <w:rPr>
          <w:rFonts w:hint="eastAsia"/>
          <w:lang w:eastAsia="zh-CN"/>
        </w:rPr>
      </w:pPr>
      <w:bookmarkStart w:id="20" w:name="_Toc435117840"/>
      <w:bookmarkStart w:id="21" w:name="_Toc175644061"/>
      <w:r>
        <w:rPr>
          <w:rFonts w:hint="eastAsia"/>
          <w:lang w:eastAsia="zh-CN"/>
        </w:rPr>
        <w:t>数量：170件</w:t>
      </w:r>
    </w:p>
    <w:p>
      <w:pPr>
        <w:pStyle w:val="7"/>
        <w:bidi w:val="0"/>
        <w:rPr>
          <w:rFonts w:hint="eastAsia"/>
          <w:lang w:eastAsia="zh-CN"/>
        </w:rPr>
      </w:pPr>
      <w:r>
        <w:rPr>
          <w:rFonts w:hint="eastAsia"/>
          <w:lang w:eastAsia="zh-CN"/>
        </w:rPr>
        <w:t xml:space="preserve">1、颜色：深藏青色 </w:t>
      </w:r>
    </w:p>
    <w:p>
      <w:pPr>
        <w:pStyle w:val="7"/>
        <w:bidi w:val="0"/>
        <w:rPr>
          <w:rFonts w:hint="eastAsia"/>
          <w:lang w:eastAsia="zh-CN"/>
        </w:rPr>
      </w:pPr>
      <w:r>
        <w:rPr>
          <w:rFonts w:hint="eastAsia"/>
          <w:lang w:eastAsia="zh-CN"/>
        </w:rPr>
        <w:t>2、技术参数：</w:t>
      </w:r>
    </w:p>
    <w:p>
      <w:pPr>
        <w:pStyle w:val="7"/>
        <w:bidi w:val="0"/>
        <w:rPr>
          <w:rFonts w:hint="eastAsia"/>
          <w:lang w:eastAsia="zh-CN"/>
        </w:rPr>
      </w:pPr>
      <w:r>
        <w:rPr>
          <w:rFonts w:hint="eastAsia"/>
          <w:lang w:eastAsia="zh-CN"/>
        </w:rPr>
        <w:t>2.1面料：</w:t>
      </w:r>
    </w:p>
    <w:p>
      <w:pPr>
        <w:pStyle w:val="7"/>
        <w:bidi w:val="0"/>
        <w:rPr>
          <w:rFonts w:hint="eastAsia"/>
          <w:lang w:eastAsia="zh-CN"/>
        </w:rPr>
      </w:pPr>
      <w:r>
        <w:rPr>
          <w:rFonts w:hint="eastAsia"/>
          <w:lang w:eastAsia="zh-CN"/>
        </w:rPr>
        <w:t>①成分：</w:t>
      </w:r>
      <w:r>
        <w:rPr>
          <w:rFonts w:hint="eastAsia"/>
          <w:lang w:val="en-US" w:eastAsia="zh-CN"/>
        </w:rPr>
        <w:t>91%锦纶、9%氨纶</w:t>
      </w:r>
      <w:r>
        <w:rPr>
          <w:rFonts w:hint="eastAsia"/>
          <w:lang w:eastAsia="zh-CN"/>
        </w:rPr>
        <w:t>；</w:t>
      </w:r>
    </w:p>
    <w:p>
      <w:pPr>
        <w:pStyle w:val="7"/>
        <w:bidi w:val="0"/>
        <w:rPr>
          <w:rFonts w:hint="eastAsia"/>
          <w:lang w:eastAsia="zh-CN"/>
        </w:rPr>
      </w:pPr>
      <w:r>
        <w:rPr>
          <w:rFonts w:hint="eastAsia"/>
          <w:lang w:eastAsia="zh-CN"/>
        </w:rPr>
        <w:t>②密度： 78*50；</w:t>
      </w:r>
    </w:p>
    <w:p>
      <w:pPr>
        <w:pStyle w:val="7"/>
        <w:bidi w:val="0"/>
        <w:rPr>
          <w:rFonts w:hint="eastAsia"/>
          <w:lang w:eastAsia="zh-CN"/>
        </w:rPr>
      </w:pPr>
      <w:r>
        <w:rPr>
          <w:rFonts w:hint="eastAsia"/>
          <w:lang w:eastAsia="zh-CN"/>
        </w:rPr>
        <w:t>③纱支：</w:t>
      </w:r>
      <w:r>
        <w:rPr>
          <w:rFonts w:hint="eastAsia"/>
          <w:lang w:val="en-US" w:eastAsia="zh-CN"/>
        </w:rPr>
        <w:t>经纬</w:t>
      </w:r>
      <w:r>
        <w:rPr>
          <w:rFonts w:hint="eastAsia"/>
          <w:lang w:eastAsia="zh-CN"/>
        </w:rPr>
        <w:t>40D*20D；</w:t>
      </w:r>
    </w:p>
    <w:p>
      <w:pPr>
        <w:pStyle w:val="7"/>
        <w:bidi w:val="0"/>
        <w:rPr>
          <w:rFonts w:hint="eastAsia"/>
          <w:lang w:eastAsia="zh-CN"/>
        </w:rPr>
      </w:pPr>
      <w:r>
        <w:rPr>
          <w:rFonts w:hint="eastAsia"/>
          <w:lang w:eastAsia="zh-CN"/>
        </w:rPr>
        <w:t>④面料起毛起球：≥4级。</w:t>
      </w:r>
    </w:p>
    <w:p>
      <w:pPr>
        <w:pStyle w:val="7"/>
        <w:bidi w:val="0"/>
        <w:rPr>
          <w:rFonts w:hint="eastAsia"/>
          <w:lang w:eastAsia="zh-CN"/>
        </w:rPr>
      </w:pPr>
      <w:r>
        <w:rPr>
          <w:rFonts w:hint="eastAsia"/>
          <w:lang w:eastAsia="zh-CN"/>
        </w:rPr>
        <w:t>2.2衣身里料：100%聚酯纤维。</w:t>
      </w:r>
    </w:p>
    <w:p>
      <w:pPr>
        <w:pStyle w:val="7"/>
        <w:bidi w:val="0"/>
        <w:rPr>
          <w:rFonts w:hint="eastAsia"/>
          <w:lang w:eastAsia="zh-CN"/>
        </w:rPr>
      </w:pPr>
      <w:r>
        <w:rPr>
          <w:rFonts w:hint="eastAsia"/>
          <w:lang w:eastAsia="zh-CN"/>
        </w:rPr>
        <w:t>2.3内胆面布：</w:t>
      </w:r>
    </w:p>
    <w:p>
      <w:pPr>
        <w:pStyle w:val="7"/>
        <w:bidi w:val="0"/>
        <w:rPr>
          <w:rFonts w:hint="eastAsia"/>
          <w:lang w:eastAsia="zh-CN"/>
        </w:rPr>
      </w:pPr>
      <w:r>
        <w:rPr>
          <w:rFonts w:hint="eastAsia"/>
          <w:lang w:eastAsia="zh-CN"/>
        </w:rPr>
        <w:t>①成分：100%聚酯纤维；</w:t>
      </w:r>
    </w:p>
    <w:p>
      <w:pPr>
        <w:pStyle w:val="7"/>
        <w:bidi w:val="0"/>
        <w:rPr>
          <w:rFonts w:hint="eastAsia"/>
          <w:lang w:eastAsia="zh-CN"/>
        </w:rPr>
      </w:pPr>
      <w:r>
        <w:rPr>
          <w:rFonts w:hint="eastAsia"/>
          <w:lang w:eastAsia="zh-CN"/>
        </w:rPr>
        <w:t>②纱支密度：</w:t>
      </w:r>
      <w:r>
        <w:rPr>
          <w:rFonts w:hint="eastAsia"/>
          <w:lang w:val="en-US" w:eastAsia="zh-CN"/>
        </w:rPr>
        <w:t>40</w:t>
      </w:r>
      <w:r>
        <w:rPr>
          <w:rFonts w:hint="eastAsia"/>
          <w:lang w:eastAsia="zh-CN"/>
        </w:rPr>
        <w:t>D*20D</w:t>
      </w:r>
      <w:r>
        <w:rPr>
          <w:rFonts w:hint="eastAsia"/>
          <w:lang w:val="en-US" w:eastAsia="zh-CN"/>
        </w:rPr>
        <w:t>/81*71</w:t>
      </w:r>
      <w:r>
        <w:rPr>
          <w:rFonts w:hint="eastAsia"/>
          <w:lang w:eastAsia="zh-CN"/>
        </w:rPr>
        <w:t>；</w:t>
      </w:r>
    </w:p>
    <w:p>
      <w:pPr>
        <w:pStyle w:val="7"/>
        <w:bidi w:val="0"/>
        <w:rPr>
          <w:rFonts w:hint="eastAsia"/>
          <w:lang w:eastAsia="zh-CN"/>
        </w:rPr>
      </w:pPr>
      <w:r>
        <w:rPr>
          <w:rFonts w:hint="eastAsia"/>
          <w:lang w:eastAsia="zh-CN"/>
        </w:rPr>
        <w:t>③克重：35g/㎡</w:t>
      </w:r>
      <w:r>
        <w:rPr>
          <w:rFonts w:hint="eastAsia"/>
          <w:lang w:val="en-US" w:eastAsia="zh-CN"/>
        </w:rPr>
        <w:t>±5g。</w:t>
      </w:r>
    </w:p>
    <w:p>
      <w:pPr>
        <w:pStyle w:val="7"/>
        <w:bidi w:val="0"/>
        <w:rPr>
          <w:rFonts w:hint="eastAsia"/>
          <w:lang w:eastAsia="zh-CN"/>
        </w:rPr>
      </w:pPr>
      <w:r>
        <w:rPr>
          <w:rFonts w:hint="eastAsia"/>
          <w:lang w:eastAsia="zh-CN"/>
        </w:rPr>
        <w:t>2.4内胆里布:</w:t>
      </w:r>
    </w:p>
    <w:p>
      <w:pPr>
        <w:pStyle w:val="7"/>
        <w:bidi w:val="0"/>
        <w:rPr>
          <w:rFonts w:hint="eastAsia"/>
          <w:lang w:eastAsia="zh-CN"/>
        </w:rPr>
      </w:pPr>
      <w:r>
        <w:rPr>
          <w:rFonts w:hint="eastAsia"/>
          <w:lang w:eastAsia="zh-CN"/>
        </w:rPr>
        <w:t>①成分：100%锦纶</w:t>
      </w:r>
      <w:r>
        <w:rPr>
          <w:rFonts w:hint="eastAsia"/>
          <w:lang w:val="en-US" w:eastAsia="zh-CN"/>
        </w:rPr>
        <w:t>(50D*防钻绒)</w:t>
      </w:r>
      <w:r>
        <w:rPr>
          <w:rFonts w:hint="eastAsia"/>
          <w:lang w:eastAsia="zh-CN"/>
        </w:rPr>
        <w:t>；</w:t>
      </w:r>
    </w:p>
    <w:p>
      <w:pPr>
        <w:pStyle w:val="7"/>
        <w:bidi w:val="0"/>
        <w:rPr>
          <w:rFonts w:hint="eastAsia"/>
          <w:lang w:eastAsia="zh-CN"/>
        </w:rPr>
      </w:pPr>
      <w:r>
        <w:rPr>
          <w:rFonts w:hint="eastAsia"/>
          <w:lang w:eastAsia="zh-CN"/>
        </w:rPr>
        <w:t>②纱支密度：</w:t>
      </w:r>
      <w:r>
        <w:rPr>
          <w:rFonts w:hint="eastAsia"/>
          <w:lang w:val="en-US" w:eastAsia="zh-CN"/>
        </w:rPr>
        <w:t>20</w:t>
      </w:r>
      <w:r>
        <w:rPr>
          <w:rFonts w:hint="eastAsia"/>
          <w:lang w:eastAsia="zh-CN"/>
        </w:rPr>
        <w:t>D*20D</w:t>
      </w:r>
      <w:r>
        <w:rPr>
          <w:rFonts w:hint="eastAsia"/>
          <w:lang w:val="en-US" w:eastAsia="zh-CN"/>
        </w:rPr>
        <w:t>/85*63</w:t>
      </w:r>
      <w:r>
        <w:rPr>
          <w:rFonts w:hint="eastAsia"/>
          <w:lang w:eastAsia="zh-CN"/>
        </w:rPr>
        <w:t>；</w:t>
      </w:r>
    </w:p>
    <w:p>
      <w:pPr>
        <w:pStyle w:val="7"/>
        <w:bidi w:val="0"/>
        <w:rPr>
          <w:rFonts w:hint="eastAsia"/>
          <w:lang w:eastAsia="zh-CN"/>
        </w:rPr>
      </w:pPr>
      <w:r>
        <w:rPr>
          <w:rFonts w:hint="eastAsia"/>
          <w:lang w:eastAsia="zh-CN"/>
        </w:rPr>
        <w:t>③克重：40g/㎡</w:t>
      </w:r>
      <w:r>
        <w:rPr>
          <w:rFonts w:hint="eastAsia"/>
          <w:lang w:val="en-US" w:eastAsia="zh-CN"/>
        </w:rPr>
        <w:t>±5g。</w:t>
      </w:r>
    </w:p>
    <w:p>
      <w:pPr>
        <w:pStyle w:val="7"/>
        <w:bidi w:val="0"/>
        <w:rPr>
          <w:rFonts w:hint="eastAsia"/>
          <w:lang w:eastAsia="zh-CN"/>
        </w:rPr>
      </w:pPr>
      <w:r>
        <w:rPr>
          <w:rFonts w:hint="eastAsia"/>
          <w:lang w:eastAsia="zh-CN"/>
        </w:rPr>
        <w:t>2.5口袋布（</w:t>
      </w:r>
      <w:r>
        <w:rPr>
          <w:rFonts w:hint="eastAsia"/>
          <w:lang w:val="en-US" w:eastAsia="zh-CN"/>
        </w:rPr>
        <w:t>丝光绒针织布</w:t>
      </w:r>
      <w:r>
        <w:rPr>
          <w:rFonts w:hint="eastAsia"/>
          <w:lang w:eastAsia="zh-CN"/>
        </w:rPr>
        <w:t>）：</w:t>
      </w:r>
    </w:p>
    <w:p>
      <w:pPr>
        <w:pStyle w:val="7"/>
        <w:bidi w:val="0"/>
        <w:rPr>
          <w:rFonts w:hint="eastAsia"/>
          <w:lang w:eastAsia="zh-CN"/>
        </w:rPr>
      </w:pPr>
      <w:r>
        <w:rPr>
          <w:rFonts w:hint="eastAsia"/>
          <w:lang w:eastAsia="zh-CN"/>
        </w:rPr>
        <w:t>①成分：100%聚酯纤维；</w:t>
      </w:r>
    </w:p>
    <w:p>
      <w:pPr>
        <w:pStyle w:val="7"/>
        <w:bidi w:val="0"/>
        <w:rPr>
          <w:rFonts w:hint="eastAsia"/>
          <w:lang w:eastAsia="zh-CN"/>
        </w:rPr>
      </w:pPr>
      <w:r>
        <w:rPr>
          <w:rFonts w:hint="eastAsia"/>
          <w:lang w:eastAsia="zh-CN"/>
        </w:rPr>
        <w:t>②纱支密度：50D</w:t>
      </w:r>
      <w:r>
        <w:rPr>
          <w:rFonts w:hint="eastAsia"/>
          <w:lang w:val="en-US" w:eastAsia="zh-CN"/>
        </w:rPr>
        <w:t>/72F</w:t>
      </w:r>
      <w:r>
        <w:rPr>
          <w:rFonts w:hint="eastAsia"/>
          <w:lang w:eastAsia="zh-CN"/>
        </w:rPr>
        <w:t>；</w:t>
      </w:r>
    </w:p>
    <w:p>
      <w:pPr>
        <w:pStyle w:val="7"/>
        <w:bidi w:val="0"/>
        <w:rPr>
          <w:rFonts w:hint="eastAsia"/>
          <w:lang w:eastAsia="zh-CN"/>
        </w:rPr>
      </w:pPr>
      <w:r>
        <w:rPr>
          <w:rFonts w:hint="eastAsia"/>
          <w:lang w:eastAsia="zh-CN"/>
        </w:rPr>
        <w:t>③克重：125g/㎡</w:t>
      </w:r>
      <w:r>
        <w:rPr>
          <w:rFonts w:hint="eastAsia"/>
          <w:lang w:val="en-US" w:eastAsia="zh-CN"/>
        </w:rPr>
        <w:t>±5g 。</w:t>
      </w:r>
    </w:p>
    <w:p>
      <w:pPr>
        <w:pStyle w:val="7"/>
        <w:bidi w:val="0"/>
        <w:rPr>
          <w:rFonts w:hint="eastAsia"/>
          <w:lang w:eastAsia="zh-CN"/>
        </w:rPr>
      </w:pPr>
      <w:r>
        <w:rPr>
          <w:rFonts w:hint="eastAsia"/>
          <w:lang w:eastAsia="zh-CN"/>
        </w:rPr>
        <w:t>2.6内胆填充物：≥90%白鹅绒绒子含量。充绒克重：男式≥</w:t>
      </w:r>
      <w:r>
        <w:rPr>
          <w:rFonts w:hint="eastAsia"/>
          <w:lang w:val="en-US" w:eastAsia="zh-CN"/>
        </w:rPr>
        <w:t>100克，女式</w:t>
      </w:r>
      <w:r>
        <w:rPr>
          <w:rFonts w:hint="eastAsia"/>
          <w:lang w:eastAsia="zh-CN"/>
        </w:rPr>
        <w:t>≥</w:t>
      </w:r>
      <w:r>
        <w:rPr>
          <w:rFonts w:hint="eastAsia"/>
          <w:lang w:val="en-US" w:eastAsia="zh-CN"/>
        </w:rPr>
        <w:t>90</w:t>
      </w:r>
      <w:r>
        <w:rPr>
          <w:rFonts w:hint="eastAsia"/>
          <w:lang w:eastAsia="zh-CN"/>
        </w:rPr>
        <w:t>克（每增加一个号型充绒量增加</w:t>
      </w:r>
      <w:r>
        <w:rPr>
          <w:rFonts w:hint="eastAsia"/>
          <w:lang w:val="en-US" w:eastAsia="zh-CN"/>
        </w:rPr>
        <w:t>5克</w:t>
      </w:r>
      <w:r>
        <w:rPr>
          <w:rFonts w:hint="eastAsia"/>
          <w:lang w:eastAsia="zh-CN"/>
        </w:rPr>
        <w:t>）。</w:t>
      </w:r>
    </w:p>
    <w:p>
      <w:pPr>
        <w:pStyle w:val="7"/>
        <w:bidi w:val="0"/>
        <w:rPr>
          <w:rFonts w:hint="eastAsia"/>
          <w:lang w:eastAsia="zh-CN"/>
        </w:rPr>
      </w:pPr>
      <w:r>
        <w:rPr>
          <w:rFonts w:hint="eastAsia"/>
          <w:lang w:eastAsia="zh-CN"/>
        </w:rPr>
        <w:t>2.7内胆工艺：舒适透气，采用绗缝工艺，间距7CM。</w:t>
      </w:r>
    </w:p>
    <w:p>
      <w:pPr>
        <w:pStyle w:val="7"/>
        <w:bidi w:val="0"/>
        <w:rPr>
          <w:rFonts w:hint="eastAsia"/>
          <w:lang w:eastAsia="zh-CN"/>
        </w:rPr>
      </w:pPr>
      <w:r>
        <w:rPr>
          <w:rFonts w:hint="eastAsia"/>
          <w:lang w:eastAsia="zh-CN"/>
        </w:rPr>
        <w:t>2.8内胆针织罗纹：</w:t>
      </w:r>
    </w:p>
    <w:p>
      <w:pPr>
        <w:pStyle w:val="7"/>
        <w:bidi w:val="0"/>
        <w:rPr>
          <w:rFonts w:hint="eastAsia"/>
          <w:lang w:eastAsia="zh-CN"/>
        </w:rPr>
      </w:pPr>
      <w:r>
        <w:rPr>
          <w:rFonts w:hint="eastAsia"/>
          <w:lang w:eastAsia="zh-CN"/>
        </w:rPr>
        <w:t>①成分：97%聚酯纤维 3%氨纶</w:t>
      </w:r>
    </w:p>
    <w:p>
      <w:pPr>
        <w:pStyle w:val="7"/>
        <w:bidi w:val="0"/>
        <w:rPr>
          <w:rFonts w:hint="eastAsia"/>
          <w:lang w:eastAsia="zh-CN"/>
        </w:rPr>
      </w:pPr>
      <w:r>
        <w:rPr>
          <w:rFonts w:hint="eastAsia"/>
          <w:lang w:eastAsia="zh-CN"/>
        </w:rPr>
        <w:t>②纱支：32S 。</w:t>
      </w:r>
    </w:p>
    <w:p>
      <w:pPr>
        <w:pStyle w:val="7"/>
        <w:bidi w:val="0"/>
        <w:rPr>
          <w:rFonts w:hint="eastAsia"/>
          <w:lang w:eastAsia="zh-CN"/>
        </w:rPr>
      </w:pPr>
      <w:r>
        <w:rPr>
          <w:rFonts w:hint="eastAsia"/>
          <w:lang w:eastAsia="zh-CN"/>
        </w:rPr>
        <w:t>2.9门襟拉链：5号枪色金属拉链</w:t>
      </w:r>
    </w:p>
    <w:p>
      <w:pPr>
        <w:pStyle w:val="7"/>
        <w:bidi w:val="0"/>
        <w:rPr>
          <w:rFonts w:hint="eastAsia"/>
          <w:lang w:eastAsia="zh-CN"/>
        </w:rPr>
      </w:pPr>
      <w:r>
        <w:rPr>
          <w:rFonts w:hint="eastAsia"/>
          <w:lang w:eastAsia="zh-CN"/>
        </w:rPr>
        <w:t>2.10内胆拉链：5号树脂拉链</w:t>
      </w:r>
    </w:p>
    <w:p>
      <w:pPr>
        <w:pStyle w:val="7"/>
        <w:bidi w:val="0"/>
        <w:rPr>
          <w:rFonts w:hint="eastAsia"/>
          <w:lang w:eastAsia="zh-CN"/>
        </w:rPr>
      </w:pPr>
      <w:r>
        <w:rPr>
          <w:rFonts w:hint="eastAsia"/>
          <w:lang w:eastAsia="zh-CN"/>
        </w:rPr>
        <w:t>2.11 缝制工艺：</w:t>
      </w:r>
    </w:p>
    <w:p>
      <w:pPr>
        <w:pStyle w:val="7"/>
        <w:bidi w:val="0"/>
        <w:rPr>
          <w:rFonts w:hint="eastAsia"/>
          <w:lang w:eastAsia="zh-CN"/>
        </w:rPr>
      </w:pPr>
      <w:r>
        <w:rPr>
          <w:rFonts w:hint="eastAsia"/>
          <w:lang w:eastAsia="zh-CN"/>
        </w:rPr>
        <w:t>①男女防寒大衣；</w:t>
      </w:r>
    </w:p>
    <w:p>
      <w:pPr>
        <w:pStyle w:val="7"/>
        <w:bidi w:val="0"/>
        <w:rPr>
          <w:rFonts w:hint="eastAsia"/>
          <w:lang w:eastAsia="zh-CN"/>
        </w:rPr>
      </w:pPr>
      <w:r>
        <w:rPr>
          <w:rFonts w:hint="eastAsia"/>
          <w:lang w:eastAsia="zh-CN"/>
        </w:rPr>
        <w:t>②翻领带帽；</w:t>
      </w:r>
    </w:p>
    <w:p>
      <w:pPr>
        <w:pStyle w:val="7"/>
        <w:bidi w:val="0"/>
        <w:rPr>
          <w:rFonts w:hint="eastAsia"/>
          <w:lang w:eastAsia="zh-CN"/>
        </w:rPr>
      </w:pPr>
      <w:r>
        <w:rPr>
          <w:rFonts w:hint="eastAsia"/>
          <w:lang w:eastAsia="zh-CN"/>
        </w:rPr>
        <w:t>③可拆卸内胆；</w:t>
      </w:r>
    </w:p>
    <w:p>
      <w:pPr>
        <w:pStyle w:val="7"/>
        <w:bidi w:val="0"/>
        <w:rPr>
          <w:rFonts w:hint="eastAsia"/>
          <w:lang w:eastAsia="zh-CN"/>
        </w:rPr>
      </w:pPr>
      <w:r>
        <w:rPr>
          <w:rFonts w:hint="eastAsia"/>
          <w:lang w:eastAsia="zh-CN"/>
        </w:rPr>
        <w:t>④内胆可以单穿。</w:t>
      </w:r>
    </w:p>
    <w:p>
      <w:pPr>
        <w:pStyle w:val="7"/>
        <w:bidi w:val="0"/>
        <w:rPr>
          <w:rFonts w:hint="eastAsia"/>
          <w:lang w:val="en-US" w:eastAsia="zh-CN"/>
        </w:rPr>
      </w:pPr>
      <w:r>
        <w:rPr>
          <w:rFonts w:hint="eastAsia"/>
          <w:lang w:val="en-US" w:eastAsia="zh-CN"/>
        </w:rPr>
        <w:t>3、每件尺寸：具体以量体为准。</w:t>
      </w:r>
    </w:p>
    <w:p>
      <w:pPr>
        <w:pStyle w:val="7"/>
        <w:bidi w:val="0"/>
        <w:rPr>
          <w:rFonts w:hint="default"/>
          <w:lang w:val="en-US" w:eastAsia="zh-CN"/>
        </w:rPr>
      </w:pPr>
      <w:r>
        <w:rPr>
          <w:rFonts w:hint="eastAsia"/>
          <w:lang w:val="en-US" w:eastAsia="zh-CN"/>
        </w:rPr>
        <w:t>注：参数偏差在±5%以内（包含±5%）视为无偏离，偏差超出±5%（不包含±5%）视为偏离。例如</w:t>
      </w:r>
      <w:r>
        <w:rPr>
          <w:rFonts w:hint="eastAsia"/>
          <w:lang w:eastAsia="zh-CN"/>
        </w:rPr>
        <w:t>密度</w:t>
      </w:r>
      <w:r>
        <w:rPr>
          <w:rFonts w:hint="eastAsia"/>
          <w:lang w:val="en-US" w:eastAsia="zh-CN"/>
        </w:rPr>
        <w:t>为78*50，则密度在（74.1 - 81.9）*（47.5 - 52.5）内视为无偏离，超出范围视为偏离。需提供样品男女款式各一件，以便现场核验。</w:t>
      </w:r>
    </w:p>
    <w:p>
      <w:pPr>
        <w:pStyle w:val="7"/>
        <w:bidi w:val="0"/>
        <w:rPr>
          <w:rFonts w:hint="default"/>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b/>
          <w:bCs/>
          <w:szCs w:val="32"/>
          <w:lang w:val="en-US" w:eastAsia="zh-CN"/>
        </w:rPr>
      </w:pPr>
      <w:r>
        <w:rPr>
          <w:rFonts w:hint="eastAsia" w:ascii="仿宋" w:hAnsi="仿宋" w:eastAsia="仿宋" w:cs="仿宋"/>
          <w:b/>
          <w:bCs/>
          <w:szCs w:val="32"/>
          <w:lang w:val="en-US" w:eastAsia="zh-CN"/>
        </w:rPr>
        <w:br w:type="page"/>
      </w:r>
      <w:r>
        <w:rPr>
          <w:rFonts w:hint="eastAsia" w:ascii="仿宋" w:hAnsi="仿宋" w:eastAsia="仿宋" w:cs="仿宋"/>
          <w:b/>
          <w:bCs/>
          <w:szCs w:val="32"/>
          <w:lang w:val="en-US" w:eastAsia="zh-CN"/>
        </w:rPr>
        <w:t>男温区防寒大衣175/96尺寸：</w:t>
      </w:r>
    </w:p>
    <w:tbl>
      <w:tblPr>
        <w:tblStyle w:val="14"/>
        <w:tblW w:w="4998" w:type="pct"/>
        <w:jc w:val="center"/>
        <w:tblLayout w:type="autofit"/>
        <w:tblCellMar>
          <w:top w:w="0" w:type="dxa"/>
          <w:left w:w="108" w:type="dxa"/>
          <w:bottom w:w="0" w:type="dxa"/>
          <w:right w:w="108" w:type="dxa"/>
        </w:tblCellMar>
      </w:tblPr>
      <w:tblGrid>
        <w:gridCol w:w="964"/>
        <w:gridCol w:w="2716"/>
        <w:gridCol w:w="1380"/>
        <w:gridCol w:w="2859"/>
        <w:gridCol w:w="1365"/>
      </w:tblGrid>
      <w:tr>
        <w:tblPrEx>
          <w:tblCellMar>
            <w:top w:w="0" w:type="dxa"/>
            <w:left w:w="108" w:type="dxa"/>
            <w:bottom w:w="0" w:type="dxa"/>
            <w:right w:w="108" w:type="dxa"/>
          </w:tblCellMar>
        </w:tblPrEx>
        <w:trPr>
          <w:trHeight w:val="340" w:hRule="atLeast"/>
          <w:jc w:val="center"/>
        </w:trPr>
        <w:tc>
          <w:tcPr>
            <w:tcW w:w="519"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序号</w:t>
            </w:r>
          </w:p>
        </w:tc>
        <w:tc>
          <w:tcPr>
            <w:tcW w:w="1462"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单位（CM)</w:t>
            </w:r>
          </w:p>
        </w:tc>
        <w:tc>
          <w:tcPr>
            <w:tcW w:w="743" w:type="pct"/>
            <w:tcBorders>
              <w:top w:val="single" w:color="auto" w:sz="4" w:space="0"/>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尺寸</w:t>
            </w:r>
          </w:p>
        </w:tc>
        <w:tc>
          <w:tcPr>
            <w:tcW w:w="1539" w:type="pct"/>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测量部位</w:t>
            </w:r>
          </w:p>
        </w:tc>
        <w:tc>
          <w:tcPr>
            <w:tcW w:w="734" w:type="pct"/>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档差</w:t>
            </w:r>
          </w:p>
        </w:tc>
      </w:tr>
      <w:tr>
        <w:tblPrEx>
          <w:tblCellMar>
            <w:top w:w="0" w:type="dxa"/>
            <w:left w:w="108" w:type="dxa"/>
            <w:bottom w:w="0" w:type="dxa"/>
            <w:right w:w="108" w:type="dxa"/>
          </w:tblCellMar>
        </w:tblPrEx>
        <w:trPr>
          <w:trHeight w:val="340" w:hRule="atLeast"/>
          <w:jc w:val="center"/>
        </w:trPr>
        <w:tc>
          <w:tcPr>
            <w:tcW w:w="51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tc>
        <w:tc>
          <w:tcPr>
            <w:tcW w:w="146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tc>
        <w:tc>
          <w:tcPr>
            <w:tcW w:w="743"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175/96</w:t>
            </w:r>
          </w:p>
        </w:tc>
        <w:tc>
          <w:tcPr>
            <w:tcW w:w="1539" w:type="pct"/>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tc>
        <w:tc>
          <w:tcPr>
            <w:tcW w:w="734" w:type="pct"/>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tc>
      </w:tr>
      <w:tr>
        <w:tblPrEx>
          <w:tblCellMar>
            <w:top w:w="0" w:type="dxa"/>
            <w:left w:w="108" w:type="dxa"/>
            <w:bottom w:w="0" w:type="dxa"/>
            <w:right w:w="108" w:type="dxa"/>
          </w:tblCellMar>
        </w:tblPrEx>
        <w:trPr>
          <w:trHeight w:val="340" w:hRule="atLeast"/>
          <w:jc w:val="center"/>
        </w:trPr>
        <w:tc>
          <w:tcPr>
            <w:tcW w:w="519" w:type="pct"/>
            <w:tcBorders>
              <w:top w:val="nil"/>
              <w:left w:val="single" w:color="auto" w:sz="4" w:space="0"/>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w:t>
            </w:r>
          </w:p>
        </w:tc>
        <w:tc>
          <w:tcPr>
            <w:tcW w:w="1462"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后中衣长</w:t>
            </w:r>
          </w:p>
        </w:tc>
        <w:tc>
          <w:tcPr>
            <w:tcW w:w="743"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81</w:t>
            </w:r>
          </w:p>
        </w:tc>
        <w:tc>
          <w:tcPr>
            <w:tcW w:w="1539"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后中领底至底摆</w:t>
            </w:r>
          </w:p>
        </w:tc>
        <w:tc>
          <w:tcPr>
            <w:tcW w:w="734"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2</w:t>
            </w:r>
          </w:p>
        </w:tc>
      </w:tr>
      <w:tr>
        <w:tblPrEx>
          <w:tblCellMar>
            <w:top w:w="0" w:type="dxa"/>
            <w:left w:w="108" w:type="dxa"/>
            <w:bottom w:w="0" w:type="dxa"/>
            <w:right w:w="108" w:type="dxa"/>
          </w:tblCellMar>
        </w:tblPrEx>
        <w:trPr>
          <w:trHeight w:val="340" w:hRule="atLeast"/>
          <w:jc w:val="center"/>
        </w:trPr>
        <w:tc>
          <w:tcPr>
            <w:tcW w:w="519" w:type="pct"/>
            <w:tcBorders>
              <w:top w:val="nil"/>
              <w:left w:val="single" w:color="auto" w:sz="4" w:space="0"/>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2</w:t>
            </w:r>
          </w:p>
        </w:tc>
        <w:tc>
          <w:tcPr>
            <w:tcW w:w="1462"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肩宽</w:t>
            </w:r>
          </w:p>
        </w:tc>
        <w:tc>
          <w:tcPr>
            <w:tcW w:w="743"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47.2</w:t>
            </w:r>
          </w:p>
        </w:tc>
        <w:tc>
          <w:tcPr>
            <w:tcW w:w="1539"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肩点至肩点</w:t>
            </w:r>
          </w:p>
        </w:tc>
        <w:tc>
          <w:tcPr>
            <w:tcW w:w="734"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1.2</w:t>
            </w:r>
          </w:p>
        </w:tc>
      </w:tr>
      <w:tr>
        <w:tblPrEx>
          <w:tblCellMar>
            <w:top w:w="0" w:type="dxa"/>
            <w:left w:w="108" w:type="dxa"/>
            <w:bottom w:w="0" w:type="dxa"/>
            <w:right w:w="108" w:type="dxa"/>
          </w:tblCellMar>
        </w:tblPrEx>
        <w:trPr>
          <w:trHeight w:val="340" w:hRule="atLeast"/>
          <w:jc w:val="center"/>
        </w:trPr>
        <w:tc>
          <w:tcPr>
            <w:tcW w:w="519" w:type="pct"/>
            <w:tcBorders>
              <w:top w:val="nil"/>
              <w:left w:val="single" w:color="auto" w:sz="4" w:space="0"/>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3</w:t>
            </w:r>
          </w:p>
        </w:tc>
        <w:tc>
          <w:tcPr>
            <w:tcW w:w="1462"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胸围</w:t>
            </w:r>
          </w:p>
        </w:tc>
        <w:tc>
          <w:tcPr>
            <w:tcW w:w="743"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118</w:t>
            </w:r>
          </w:p>
        </w:tc>
        <w:tc>
          <w:tcPr>
            <w:tcW w:w="1539"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胸围线下1CM</w:t>
            </w:r>
          </w:p>
        </w:tc>
        <w:tc>
          <w:tcPr>
            <w:tcW w:w="734"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w:t>
            </w:r>
          </w:p>
        </w:tc>
      </w:tr>
      <w:tr>
        <w:tblPrEx>
          <w:tblCellMar>
            <w:top w:w="0" w:type="dxa"/>
            <w:left w:w="108" w:type="dxa"/>
            <w:bottom w:w="0" w:type="dxa"/>
            <w:right w:w="108" w:type="dxa"/>
          </w:tblCellMar>
        </w:tblPrEx>
        <w:trPr>
          <w:trHeight w:val="340" w:hRule="atLeast"/>
          <w:jc w:val="center"/>
        </w:trPr>
        <w:tc>
          <w:tcPr>
            <w:tcW w:w="519" w:type="pct"/>
            <w:tcBorders>
              <w:top w:val="nil"/>
              <w:left w:val="single" w:color="auto" w:sz="4" w:space="0"/>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w:t>
            </w:r>
          </w:p>
        </w:tc>
        <w:tc>
          <w:tcPr>
            <w:tcW w:w="1462"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摆围</w:t>
            </w:r>
          </w:p>
        </w:tc>
        <w:tc>
          <w:tcPr>
            <w:tcW w:w="743"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118</w:t>
            </w:r>
          </w:p>
        </w:tc>
        <w:tc>
          <w:tcPr>
            <w:tcW w:w="1539"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侧缝至侧缝平量</w:t>
            </w:r>
          </w:p>
        </w:tc>
        <w:tc>
          <w:tcPr>
            <w:tcW w:w="734"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w:t>
            </w:r>
          </w:p>
        </w:tc>
      </w:tr>
      <w:tr>
        <w:tblPrEx>
          <w:tblCellMar>
            <w:top w:w="0" w:type="dxa"/>
            <w:left w:w="108" w:type="dxa"/>
            <w:bottom w:w="0" w:type="dxa"/>
            <w:right w:w="108" w:type="dxa"/>
          </w:tblCellMar>
        </w:tblPrEx>
        <w:trPr>
          <w:trHeight w:val="340" w:hRule="atLeast"/>
          <w:jc w:val="center"/>
        </w:trPr>
        <w:tc>
          <w:tcPr>
            <w:tcW w:w="519" w:type="pct"/>
            <w:tcBorders>
              <w:top w:val="nil"/>
              <w:left w:val="single" w:color="auto" w:sz="4" w:space="0"/>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5</w:t>
            </w:r>
          </w:p>
        </w:tc>
        <w:tc>
          <w:tcPr>
            <w:tcW w:w="1462"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袖长</w:t>
            </w:r>
          </w:p>
        </w:tc>
        <w:tc>
          <w:tcPr>
            <w:tcW w:w="743"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63</w:t>
            </w:r>
          </w:p>
        </w:tc>
        <w:tc>
          <w:tcPr>
            <w:tcW w:w="1539" w:type="pct"/>
            <w:tcBorders>
              <w:top w:val="nil"/>
              <w:left w:val="nil"/>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c>
          <w:tcPr>
            <w:tcW w:w="734" w:type="pct"/>
            <w:tcBorders>
              <w:top w:val="nil"/>
              <w:left w:val="nil"/>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r>
      <w:tr>
        <w:tblPrEx>
          <w:tblCellMar>
            <w:top w:w="0" w:type="dxa"/>
            <w:left w:w="108" w:type="dxa"/>
            <w:bottom w:w="0" w:type="dxa"/>
            <w:right w:w="108" w:type="dxa"/>
          </w:tblCellMar>
        </w:tblPrEx>
        <w:trPr>
          <w:trHeight w:val="340" w:hRule="atLeast"/>
          <w:jc w:val="center"/>
        </w:trPr>
        <w:tc>
          <w:tcPr>
            <w:tcW w:w="519" w:type="pct"/>
            <w:tcBorders>
              <w:top w:val="nil"/>
              <w:left w:val="single" w:color="auto" w:sz="4" w:space="0"/>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6</w:t>
            </w:r>
          </w:p>
        </w:tc>
        <w:tc>
          <w:tcPr>
            <w:tcW w:w="1462" w:type="pct"/>
            <w:tcBorders>
              <w:top w:val="nil"/>
              <w:left w:val="nil"/>
              <w:bottom w:val="single" w:color="auto" w:sz="4" w:space="0"/>
              <w:right w:val="single" w:color="auto" w:sz="4" w:space="0"/>
            </w:tcBorders>
            <w:shd w:val="clear" w:color="auto" w:fill="auto"/>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帽高</w:t>
            </w:r>
          </w:p>
        </w:tc>
        <w:tc>
          <w:tcPr>
            <w:tcW w:w="743"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35</w:t>
            </w:r>
          </w:p>
        </w:tc>
        <w:tc>
          <w:tcPr>
            <w:tcW w:w="1539" w:type="pct"/>
            <w:tcBorders>
              <w:top w:val="nil"/>
              <w:left w:val="nil"/>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c>
          <w:tcPr>
            <w:tcW w:w="734" w:type="pct"/>
            <w:tcBorders>
              <w:top w:val="nil"/>
              <w:left w:val="nil"/>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r>
      <w:tr>
        <w:tblPrEx>
          <w:tblCellMar>
            <w:top w:w="0" w:type="dxa"/>
            <w:left w:w="108" w:type="dxa"/>
            <w:bottom w:w="0" w:type="dxa"/>
            <w:right w:w="108" w:type="dxa"/>
          </w:tblCellMar>
        </w:tblPrEx>
        <w:trPr>
          <w:trHeight w:val="340" w:hRule="atLeast"/>
          <w:jc w:val="center"/>
        </w:trPr>
        <w:tc>
          <w:tcPr>
            <w:tcW w:w="519" w:type="pct"/>
            <w:tcBorders>
              <w:top w:val="nil"/>
              <w:left w:val="single" w:color="auto" w:sz="4" w:space="0"/>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7</w:t>
            </w:r>
          </w:p>
        </w:tc>
        <w:tc>
          <w:tcPr>
            <w:tcW w:w="1462" w:type="pct"/>
            <w:tcBorders>
              <w:top w:val="nil"/>
              <w:left w:val="nil"/>
              <w:bottom w:val="single" w:color="auto" w:sz="4" w:space="0"/>
              <w:right w:val="single" w:color="auto" w:sz="4" w:space="0"/>
            </w:tcBorders>
            <w:shd w:val="clear" w:color="auto" w:fill="auto"/>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帽宽</w:t>
            </w:r>
          </w:p>
        </w:tc>
        <w:tc>
          <w:tcPr>
            <w:tcW w:w="743"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25.5</w:t>
            </w:r>
          </w:p>
        </w:tc>
        <w:tc>
          <w:tcPr>
            <w:tcW w:w="1539" w:type="pct"/>
            <w:tcBorders>
              <w:top w:val="nil"/>
              <w:left w:val="nil"/>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c>
          <w:tcPr>
            <w:tcW w:w="734" w:type="pct"/>
            <w:tcBorders>
              <w:top w:val="nil"/>
              <w:left w:val="nil"/>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r>
      <w:tr>
        <w:tblPrEx>
          <w:tblCellMar>
            <w:top w:w="0" w:type="dxa"/>
            <w:left w:w="108" w:type="dxa"/>
            <w:bottom w:w="0" w:type="dxa"/>
            <w:right w:w="108" w:type="dxa"/>
          </w:tblCellMar>
        </w:tblPrEx>
        <w:trPr>
          <w:trHeight w:val="340" w:hRule="atLeast"/>
          <w:jc w:val="center"/>
        </w:trPr>
        <w:tc>
          <w:tcPr>
            <w:tcW w:w="519" w:type="pct"/>
            <w:tcBorders>
              <w:top w:val="nil"/>
              <w:left w:val="single" w:color="auto" w:sz="4" w:space="0"/>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8</w:t>
            </w:r>
          </w:p>
        </w:tc>
        <w:tc>
          <w:tcPr>
            <w:tcW w:w="1462"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内胆后中衣长</w:t>
            </w:r>
          </w:p>
        </w:tc>
        <w:tc>
          <w:tcPr>
            <w:tcW w:w="743"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69</w:t>
            </w:r>
          </w:p>
        </w:tc>
        <w:tc>
          <w:tcPr>
            <w:tcW w:w="1539"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后中领底至底摆</w:t>
            </w:r>
          </w:p>
        </w:tc>
        <w:tc>
          <w:tcPr>
            <w:tcW w:w="734"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2</w:t>
            </w:r>
          </w:p>
        </w:tc>
      </w:tr>
      <w:tr>
        <w:tblPrEx>
          <w:tblCellMar>
            <w:top w:w="0" w:type="dxa"/>
            <w:left w:w="108" w:type="dxa"/>
            <w:bottom w:w="0" w:type="dxa"/>
            <w:right w:w="108" w:type="dxa"/>
          </w:tblCellMar>
        </w:tblPrEx>
        <w:trPr>
          <w:trHeight w:val="340" w:hRule="atLeast"/>
          <w:jc w:val="center"/>
        </w:trPr>
        <w:tc>
          <w:tcPr>
            <w:tcW w:w="519" w:type="pct"/>
            <w:tcBorders>
              <w:top w:val="nil"/>
              <w:left w:val="single" w:color="auto" w:sz="4" w:space="0"/>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9</w:t>
            </w:r>
          </w:p>
        </w:tc>
        <w:tc>
          <w:tcPr>
            <w:tcW w:w="1462"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内胆肩宽</w:t>
            </w:r>
          </w:p>
        </w:tc>
        <w:tc>
          <w:tcPr>
            <w:tcW w:w="743"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46.7</w:t>
            </w:r>
          </w:p>
        </w:tc>
        <w:tc>
          <w:tcPr>
            <w:tcW w:w="1539"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肩点至肩点</w:t>
            </w:r>
          </w:p>
        </w:tc>
        <w:tc>
          <w:tcPr>
            <w:tcW w:w="734"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1.2</w:t>
            </w:r>
          </w:p>
        </w:tc>
      </w:tr>
      <w:tr>
        <w:tblPrEx>
          <w:tblCellMar>
            <w:top w:w="0" w:type="dxa"/>
            <w:left w:w="108" w:type="dxa"/>
            <w:bottom w:w="0" w:type="dxa"/>
            <w:right w:w="108" w:type="dxa"/>
          </w:tblCellMar>
        </w:tblPrEx>
        <w:trPr>
          <w:trHeight w:val="340" w:hRule="atLeast"/>
          <w:jc w:val="center"/>
        </w:trPr>
        <w:tc>
          <w:tcPr>
            <w:tcW w:w="519" w:type="pct"/>
            <w:tcBorders>
              <w:top w:val="nil"/>
              <w:left w:val="single" w:color="auto" w:sz="4" w:space="0"/>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10</w:t>
            </w:r>
          </w:p>
        </w:tc>
        <w:tc>
          <w:tcPr>
            <w:tcW w:w="1462"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内胆胸围</w:t>
            </w:r>
          </w:p>
        </w:tc>
        <w:tc>
          <w:tcPr>
            <w:tcW w:w="743"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112</w:t>
            </w:r>
          </w:p>
        </w:tc>
        <w:tc>
          <w:tcPr>
            <w:tcW w:w="1539"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胸围线下1CM</w:t>
            </w:r>
          </w:p>
        </w:tc>
        <w:tc>
          <w:tcPr>
            <w:tcW w:w="734"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w:t>
            </w:r>
          </w:p>
        </w:tc>
      </w:tr>
      <w:tr>
        <w:tblPrEx>
          <w:tblCellMar>
            <w:top w:w="0" w:type="dxa"/>
            <w:left w:w="108" w:type="dxa"/>
            <w:bottom w:w="0" w:type="dxa"/>
            <w:right w:w="108" w:type="dxa"/>
          </w:tblCellMar>
        </w:tblPrEx>
        <w:trPr>
          <w:trHeight w:val="340" w:hRule="atLeast"/>
          <w:jc w:val="center"/>
        </w:trPr>
        <w:tc>
          <w:tcPr>
            <w:tcW w:w="519" w:type="pct"/>
            <w:tcBorders>
              <w:top w:val="nil"/>
              <w:left w:val="single" w:color="auto" w:sz="4" w:space="0"/>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11</w:t>
            </w:r>
          </w:p>
        </w:tc>
        <w:tc>
          <w:tcPr>
            <w:tcW w:w="1462"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内胆摆围</w:t>
            </w:r>
          </w:p>
        </w:tc>
        <w:tc>
          <w:tcPr>
            <w:tcW w:w="743"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108</w:t>
            </w:r>
          </w:p>
        </w:tc>
        <w:tc>
          <w:tcPr>
            <w:tcW w:w="1539"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侧缝至侧缝平量</w:t>
            </w:r>
          </w:p>
        </w:tc>
        <w:tc>
          <w:tcPr>
            <w:tcW w:w="734"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w:t>
            </w:r>
          </w:p>
        </w:tc>
      </w:tr>
      <w:tr>
        <w:tblPrEx>
          <w:tblCellMar>
            <w:top w:w="0" w:type="dxa"/>
            <w:left w:w="108" w:type="dxa"/>
            <w:bottom w:w="0" w:type="dxa"/>
            <w:right w:w="108" w:type="dxa"/>
          </w:tblCellMar>
        </w:tblPrEx>
        <w:trPr>
          <w:trHeight w:val="340" w:hRule="atLeast"/>
          <w:jc w:val="center"/>
        </w:trPr>
        <w:tc>
          <w:tcPr>
            <w:tcW w:w="519" w:type="pct"/>
            <w:tcBorders>
              <w:top w:val="nil"/>
              <w:left w:val="single" w:color="auto" w:sz="4" w:space="0"/>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12</w:t>
            </w:r>
          </w:p>
        </w:tc>
        <w:tc>
          <w:tcPr>
            <w:tcW w:w="1462"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内胆袖长</w:t>
            </w:r>
          </w:p>
        </w:tc>
        <w:tc>
          <w:tcPr>
            <w:tcW w:w="743" w:type="pct"/>
            <w:tcBorders>
              <w:top w:val="nil"/>
              <w:left w:val="nil"/>
              <w:bottom w:val="single" w:color="auto" w:sz="4" w:space="0"/>
              <w:right w:val="single" w:color="auto" w:sz="4" w:space="0"/>
            </w:tcBorders>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62</w:t>
            </w:r>
          </w:p>
        </w:tc>
        <w:tc>
          <w:tcPr>
            <w:tcW w:w="1539" w:type="pct"/>
            <w:tcBorders>
              <w:top w:val="nil"/>
              <w:left w:val="nil"/>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c>
          <w:tcPr>
            <w:tcW w:w="734" w:type="pct"/>
            <w:tcBorders>
              <w:top w:val="nil"/>
              <w:left w:val="nil"/>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b/>
          <w:bCs/>
          <w:szCs w:val="32"/>
          <w:lang w:val="en-US" w:eastAsia="zh-CN"/>
        </w:rPr>
      </w:pPr>
      <w:r>
        <w:rPr>
          <w:rFonts w:hint="eastAsia" w:ascii="仿宋" w:hAnsi="仿宋" w:eastAsia="仿宋" w:cs="仿宋"/>
          <w:b/>
          <w:bCs/>
          <w:szCs w:val="32"/>
          <w:lang w:val="en-US" w:eastAsia="zh-CN"/>
        </w:rPr>
        <w:t>女温区防寒大衣165/88尺寸：</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2259"/>
        <w:gridCol w:w="1642"/>
        <w:gridCol w:w="3289"/>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vMerge w:val="restart"/>
            <w:shd w:val="clear" w:color="auto" w:fill="auto"/>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序号</w:t>
            </w:r>
          </w:p>
        </w:tc>
        <w:tc>
          <w:tcPr>
            <w:tcW w:w="1216" w:type="pct"/>
            <w:vMerge w:val="restart"/>
            <w:shd w:val="clear" w:color="auto" w:fill="auto"/>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单位（CM)</w:t>
            </w: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号型</w:t>
            </w:r>
          </w:p>
        </w:tc>
        <w:tc>
          <w:tcPr>
            <w:tcW w:w="1770" w:type="pct"/>
            <w:vMerge w:val="restart"/>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测量部位</w:t>
            </w:r>
          </w:p>
        </w:tc>
        <w:tc>
          <w:tcPr>
            <w:tcW w:w="463" w:type="pct"/>
            <w:vMerge w:val="restart"/>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档差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vMerge w:val="continue"/>
            <w:shd w:val="clear" w:color="auto" w:fill="auto"/>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tc>
        <w:tc>
          <w:tcPr>
            <w:tcW w:w="1216" w:type="pct"/>
            <w:vMerge w:val="continue"/>
            <w:shd w:val="clear" w:color="auto" w:fill="auto"/>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165/88</w:t>
            </w:r>
          </w:p>
        </w:tc>
        <w:tc>
          <w:tcPr>
            <w:tcW w:w="1770" w:type="pct"/>
            <w:vMerge w:val="continue"/>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tc>
        <w:tc>
          <w:tcPr>
            <w:tcW w:w="463" w:type="pct"/>
            <w:vMerge w:val="continue"/>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w:t>
            </w:r>
          </w:p>
        </w:tc>
        <w:tc>
          <w:tcPr>
            <w:tcW w:w="1216"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后中衣长</w:t>
            </w: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94</w:t>
            </w:r>
          </w:p>
        </w:tc>
        <w:tc>
          <w:tcPr>
            <w:tcW w:w="1770"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后中领底至底摆</w:t>
            </w:r>
          </w:p>
        </w:tc>
        <w:tc>
          <w:tcPr>
            <w:tcW w:w="463"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2</w:t>
            </w:r>
          </w:p>
        </w:tc>
        <w:tc>
          <w:tcPr>
            <w:tcW w:w="1216"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肩宽</w:t>
            </w: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43.5</w:t>
            </w:r>
          </w:p>
        </w:tc>
        <w:tc>
          <w:tcPr>
            <w:tcW w:w="1770"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肩点至肩点</w:t>
            </w:r>
          </w:p>
        </w:tc>
        <w:tc>
          <w:tcPr>
            <w:tcW w:w="463"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3</w:t>
            </w:r>
          </w:p>
        </w:tc>
        <w:tc>
          <w:tcPr>
            <w:tcW w:w="1216"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胸围</w:t>
            </w: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112</w:t>
            </w:r>
          </w:p>
        </w:tc>
        <w:tc>
          <w:tcPr>
            <w:tcW w:w="1770"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胸围线下1CM</w:t>
            </w:r>
          </w:p>
        </w:tc>
        <w:tc>
          <w:tcPr>
            <w:tcW w:w="463"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w:t>
            </w:r>
          </w:p>
        </w:tc>
        <w:tc>
          <w:tcPr>
            <w:tcW w:w="1216"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摆围</w:t>
            </w: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124</w:t>
            </w:r>
          </w:p>
        </w:tc>
        <w:tc>
          <w:tcPr>
            <w:tcW w:w="1770"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侧缝至侧缝平量</w:t>
            </w:r>
          </w:p>
        </w:tc>
        <w:tc>
          <w:tcPr>
            <w:tcW w:w="463"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5</w:t>
            </w:r>
          </w:p>
        </w:tc>
        <w:tc>
          <w:tcPr>
            <w:tcW w:w="1216"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袖长</w:t>
            </w: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60</w:t>
            </w:r>
          </w:p>
        </w:tc>
        <w:tc>
          <w:tcPr>
            <w:tcW w:w="1770" w:type="pct"/>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tc>
        <w:tc>
          <w:tcPr>
            <w:tcW w:w="463" w:type="pct"/>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6</w:t>
            </w:r>
          </w:p>
        </w:tc>
        <w:tc>
          <w:tcPr>
            <w:tcW w:w="1216" w:type="pct"/>
            <w:shd w:val="clear" w:color="auto" w:fill="auto"/>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帽高</w:t>
            </w: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35</w:t>
            </w:r>
          </w:p>
        </w:tc>
        <w:tc>
          <w:tcPr>
            <w:tcW w:w="1770" w:type="pct"/>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c>
          <w:tcPr>
            <w:tcW w:w="463" w:type="pct"/>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7</w:t>
            </w:r>
          </w:p>
        </w:tc>
        <w:tc>
          <w:tcPr>
            <w:tcW w:w="1216" w:type="pct"/>
            <w:shd w:val="clear" w:color="auto" w:fill="auto"/>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帽宽</w:t>
            </w: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25</w:t>
            </w:r>
          </w:p>
        </w:tc>
        <w:tc>
          <w:tcPr>
            <w:tcW w:w="1770" w:type="pct"/>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c>
          <w:tcPr>
            <w:tcW w:w="463" w:type="pct"/>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8</w:t>
            </w:r>
          </w:p>
        </w:tc>
        <w:tc>
          <w:tcPr>
            <w:tcW w:w="1216"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内胆后中衣长</w:t>
            </w: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78</w:t>
            </w:r>
          </w:p>
        </w:tc>
        <w:tc>
          <w:tcPr>
            <w:tcW w:w="1770"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后中领底至底摆</w:t>
            </w:r>
          </w:p>
        </w:tc>
        <w:tc>
          <w:tcPr>
            <w:tcW w:w="463"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9</w:t>
            </w:r>
          </w:p>
        </w:tc>
        <w:tc>
          <w:tcPr>
            <w:tcW w:w="1216"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内胆肩宽</w:t>
            </w: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42.5</w:t>
            </w:r>
          </w:p>
        </w:tc>
        <w:tc>
          <w:tcPr>
            <w:tcW w:w="1770"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肩点至肩点</w:t>
            </w:r>
          </w:p>
        </w:tc>
        <w:tc>
          <w:tcPr>
            <w:tcW w:w="463"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10</w:t>
            </w:r>
          </w:p>
        </w:tc>
        <w:tc>
          <w:tcPr>
            <w:tcW w:w="1216"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内胆胸围</w:t>
            </w: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110</w:t>
            </w:r>
          </w:p>
        </w:tc>
        <w:tc>
          <w:tcPr>
            <w:tcW w:w="1770"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胸围线下1CM</w:t>
            </w:r>
          </w:p>
        </w:tc>
        <w:tc>
          <w:tcPr>
            <w:tcW w:w="463"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11</w:t>
            </w:r>
          </w:p>
        </w:tc>
        <w:tc>
          <w:tcPr>
            <w:tcW w:w="1216"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内胆摆围</w:t>
            </w: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120</w:t>
            </w:r>
          </w:p>
        </w:tc>
        <w:tc>
          <w:tcPr>
            <w:tcW w:w="1770"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侧缝至侧缝平量</w:t>
            </w:r>
          </w:p>
        </w:tc>
        <w:tc>
          <w:tcPr>
            <w:tcW w:w="463"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12</w:t>
            </w:r>
          </w:p>
        </w:tc>
        <w:tc>
          <w:tcPr>
            <w:tcW w:w="1216"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内胆袖长</w:t>
            </w:r>
          </w:p>
        </w:tc>
        <w:tc>
          <w:tcPr>
            <w:tcW w:w="884" w:type="pct"/>
            <w:shd w:val="clear" w:color="000000" w:fill="FFFFFF"/>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59</w:t>
            </w:r>
          </w:p>
        </w:tc>
        <w:tc>
          <w:tcPr>
            <w:tcW w:w="1770" w:type="pct"/>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tc>
        <w:tc>
          <w:tcPr>
            <w:tcW w:w="463" w:type="pct"/>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t>　</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p>
      <w:pPr>
        <w:pStyle w:val="7"/>
        <w:bidi w:val="0"/>
        <w:rPr>
          <w:rFonts w:hint="eastAsia" w:ascii="仿宋" w:hAnsi="仿宋" w:eastAsia="仿宋" w:cs="仿宋"/>
          <w:szCs w:val="32"/>
          <w:lang w:eastAsia="zh-CN"/>
        </w:rPr>
      </w:pPr>
      <w:r>
        <w:rPr>
          <w:rFonts w:hint="eastAsia" w:ascii="仿宋" w:hAnsi="仿宋" w:eastAsia="仿宋" w:cs="仿宋"/>
          <w:szCs w:val="32"/>
          <w:lang w:eastAsia="zh-CN"/>
        </w:rPr>
        <w:br w:type="page"/>
      </w:r>
      <w:r>
        <w:rPr>
          <w:rFonts w:hint="eastAsia" w:ascii="仿宋" w:hAnsi="仿宋" w:eastAsia="仿宋" w:cs="仿宋"/>
          <w:szCs w:val="32"/>
          <w:lang w:eastAsia="zh-CN"/>
        </w:rPr>
        <w:t>（</w:t>
      </w:r>
      <w:r>
        <w:rPr>
          <w:rFonts w:hint="eastAsia" w:ascii="仿宋" w:hAnsi="仿宋" w:eastAsia="仿宋" w:cs="仿宋"/>
          <w:szCs w:val="32"/>
          <w:lang w:val="en-US" w:eastAsia="zh-CN"/>
        </w:rPr>
        <w:t>二</w:t>
      </w:r>
      <w:r>
        <w:rPr>
          <w:rFonts w:hint="eastAsia" w:ascii="仿宋" w:hAnsi="仿宋" w:eastAsia="仿宋" w:cs="仿宋"/>
          <w:szCs w:val="32"/>
          <w:lang w:eastAsia="zh-CN"/>
        </w:rPr>
        <w:t>）温区防寒大衣效果图及制作工艺图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b/>
          <w:bCs/>
          <w:szCs w:val="32"/>
        </w:rPr>
      </w:pPr>
      <w:r>
        <w:rPr>
          <w:rFonts w:hint="eastAsia" w:ascii="仿宋" w:hAnsi="仿宋" w:eastAsia="仿宋" w:cs="仿宋"/>
          <w:b/>
          <w:bCs/>
          <w:szCs w:val="32"/>
        </w:rPr>
        <w:t>男款工艺图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drawing>
          <wp:inline distT="0" distB="0" distL="114300" distR="114300">
            <wp:extent cx="5245735" cy="3708400"/>
            <wp:effectExtent l="0" t="0" r="12065" b="6350"/>
            <wp:docPr id="11" name="图片 1" descr="6a3603d52ba4705d47d648e42656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6a3603d52ba4705d47d648e42656359"/>
                    <pic:cNvPicPr>
                      <a:picLocks noChangeAspect="1"/>
                    </pic:cNvPicPr>
                  </pic:nvPicPr>
                  <pic:blipFill>
                    <a:blip r:embed="rId7"/>
                    <a:stretch>
                      <a:fillRect/>
                    </a:stretch>
                  </pic:blipFill>
                  <pic:spPr>
                    <a:xfrm>
                      <a:off x="0" y="0"/>
                      <a:ext cx="5245735" cy="3708400"/>
                    </a:xfrm>
                    <a:prstGeom prst="rect">
                      <a:avLst/>
                    </a:prstGeom>
                    <a:noFill/>
                    <a:ln>
                      <a:noFill/>
                    </a:ln>
                  </pic:spPr>
                </pic:pic>
              </a:graphicData>
            </a:graphic>
          </wp:inline>
        </w:drawing>
      </w:r>
      <w:r>
        <w:rPr>
          <w:rFonts w:hint="eastAsia" w:ascii="仿宋" w:hAnsi="仿宋" w:eastAsia="仿宋" w:cs="仿宋"/>
          <w:szCs w:val="32"/>
          <w:lang w:eastAsia="zh-CN"/>
        </w:rPr>
        <w:drawing>
          <wp:inline distT="0" distB="0" distL="114300" distR="114300">
            <wp:extent cx="5265420" cy="3723640"/>
            <wp:effectExtent l="0" t="0" r="11430" b="10160"/>
            <wp:docPr id="13" name="图片 2" descr="7e695a0ebca3cb479698edc3ace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7e695a0ebca3cb479698edc3ace5038"/>
                    <pic:cNvPicPr>
                      <a:picLocks noChangeAspect="1"/>
                    </pic:cNvPicPr>
                  </pic:nvPicPr>
                  <pic:blipFill>
                    <a:blip r:embed="rId8"/>
                    <a:stretch>
                      <a:fillRect/>
                    </a:stretch>
                  </pic:blipFill>
                  <pic:spPr>
                    <a:xfrm>
                      <a:off x="0" y="0"/>
                      <a:ext cx="5265420" cy="3723640"/>
                    </a:xfrm>
                    <a:prstGeom prst="rect">
                      <a:avLst/>
                    </a:prstGeom>
                    <a:noFill/>
                    <a:ln>
                      <a:noFill/>
                    </a:ln>
                  </pic:spPr>
                </pic:pic>
              </a:graphicData>
            </a:graphic>
          </wp:inline>
        </w:drawing>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b/>
          <w:bCs/>
          <w:szCs w:val="32"/>
          <w:lang w:eastAsia="zh-CN"/>
        </w:rPr>
      </w:pPr>
      <w:r>
        <w:rPr>
          <w:rFonts w:hint="eastAsia" w:ascii="仿宋" w:hAnsi="仿宋" w:eastAsia="仿宋" w:cs="仿宋"/>
          <w:b/>
          <w:bCs/>
          <w:szCs w:val="32"/>
          <w:lang w:val="en-US" w:eastAsia="zh-CN"/>
        </w:rPr>
        <w:t>男款</w:t>
      </w:r>
      <w:r>
        <w:rPr>
          <w:rFonts w:hint="eastAsia" w:ascii="仿宋" w:hAnsi="仿宋" w:eastAsia="仿宋" w:cs="仿宋"/>
          <w:b/>
          <w:bCs/>
          <w:szCs w:val="32"/>
          <w:lang w:eastAsia="zh-CN"/>
        </w:rPr>
        <w:t>内胆单穿效果图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drawing>
          <wp:inline distT="0" distB="0" distL="114300" distR="114300">
            <wp:extent cx="5370195" cy="2505075"/>
            <wp:effectExtent l="0" t="0" r="1905" b="9525"/>
            <wp:docPr id="7" name="图片 3" descr="F:\微信文件\WeChat Files\qq19457866\FileStorage\Temp\35319571ce58f2f89e272f2798107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F:\微信文件\WeChat Files\qq19457866\FileStorage\Temp\35319571ce58f2f89e272f2798107f9.jpg"/>
                    <pic:cNvPicPr>
                      <a:picLocks noChangeAspect="1"/>
                    </pic:cNvPicPr>
                  </pic:nvPicPr>
                  <pic:blipFill>
                    <a:blip r:embed="rId9"/>
                    <a:srcRect l="11185" b="41425"/>
                    <a:stretch>
                      <a:fillRect/>
                    </a:stretch>
                  </pic:blipFill>
                  <pic:spPr>
                    <a:xfrm>
                      <a:off x="0" y="0"/>
                      <a:ext cx="5370195" cy="2505075"/>
                    </a:xfrm>
                    <a:prstGeom prst="rect">
                      <a:avLst/>
                    </a:prstGeom>
                    <a:noFill/>
                    <a:ln>
                      <a:noFill/>
                    </a:ln>
                  </pic:spPr>
                </pic:pic>
              </a:graphicData>
            </a:graphic>
          </wp:inline>
        </w:drawing>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b/>
          <w:bCs/>
          <w:szCs w:val="32"/>
        </w:rPr>
      </w:pPr>
      <w:r>
        <w:rPr>
          <w:rFonts w:hint="eastAsia" w:ascii="仿宋" w:hAnsi="仿宋" w:eastAsia="仿宋" w:cs="仿宋"/>
          <w:szCs w:val="32"/>
        </w:rPr>
        <w:br w:type="page"/>
      </w:r>
      <w:r>
        <w:rPr>
          <w:rFonts w:hint="eastAsia" w:ascii="仿宋" w:hAnsi="仿宋" w:eastAsia="仿宋" w:cs="仿宋"/>
          <w:b/>
          <w:bCs/>
          <w:szCs w:val="32"/>
        </w:rPr>
        <w:t>女款工艺图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drawing>
          <wp:inline distT="0" distB="0" distL="114300" distR="114300">
            <wp:extent cx="5390515" cy="3810635"/>
            <wp:effectExtent l="0" t="0" r="635" b="1841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0"/>
                    <a:stretch>
                      <a:fillRect/>
                    </a:stretch>
                  </pic:blipFill>
                  <pic:spPr>
                    <a:xfrm>
                      <a:off x="0" y="0"/>
                      <a:ext cx="5390515" cy="3810635"/>
                    </a:xfrm>
                    <a:prstGeom prst="rect">
                      <a:avLst/>
                    </a:prstGeom>
                    <a:noFill/>
                    <a:ln>
                      <a:noFill/>
                    </a:ln>
                  </pic:spPr>
                </pic:pic>
              </a:graphicData>
            </a:graphic>
          </wp:inline>
        </w:drawing>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drawing>
          <wp:inline distT="0" distB="0" distL="114300" distR="114300">
            <wp:extent cx="5245735" cy="3708400"/>
            <wp:effectExtent l="0" t="0" r="12065" b="6350"/>
            <wp:docPr id="15" name="图片 5" descr="27b1d1a19ea9d21e47067dd620f3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27b1d1a19ea9d21e47067dd620f3560"/>
                    <pic:cNvPicPr>
                      <a:picLocks noChangeAspect="1"/>
                    </pic:cNvPicPr>
                  </pic:nvPicPr>
                  <pic:blipFill>
                    <a:blip r:embed="rId11"/>
                    <a:stretch>
                      <a:fillRect/>
                    </a:stretch>
                  </pic:blipFill>
                  <pic:spPr>
                    <a:xfrm>
                      <a:off x="0" y="0"/>
                      <a:ext cx="5245735" cy="3708400"/>
                    </a:xfrm>
                    <a:prstGeom prst="rect">
                      <a:avLst/>
                    </a:prstGeom>
                    <a:noFill/>
                    <a:ln>
                      <a:noFill/>
                    </a:ln>
                  </pic:spPr>
                </pic:pic>
              </a:graphicData>
            </a:graphic>
          </wp:inline>
        </w:drawing>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drawing>
          <wp:inline distT="0" distB="0" distL="114300" distR="114300">
            <wp:extent cx="5245735" cy="3708400"/>
            <wp:effectExtent l="0" t="0" r="12065" b="6350"/>
            <wp:docPr id="5" name="图片 6" descr="1ff7eb7c940583068b55c9a47e21b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1ff7eb7c940583068b55c9a47e21b7e"/>
                    <pic:cNvPicPr>
                      <a:picLocks noChangeAspect="1"/>
                    </pic:cNvPicPr>
                  </pic:nvPicPr>
                  <pic:blipFill>
                    <a:blip r:embed="rId12"/>
                    <a:stretch>
                      <a:fillRect/>
                    </a:stretch>
                  </pic:blipFill>
                  <pic:spPr>
                    <a:xfrm>
                      <a:off x="0" y="0"/>
                      <a:ext cx="5245735" cy="3708400"/>
                    </a:xfrm>
                    <a:prstGeom prst="rect">
                      <a:avLst/>
                    </a:prstGeom>
                    <a:noFill/>
                    <a:ln>
                      <a:noFill/>
                    </a:ln>
                  </pic:spPr>
                </pic:pic>
              </a:graphicData>
            </a:graphic>
          </wp:inline>
        </w:drawing>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Cs w:val="32"/>
          <w:lang w:eastAsia="zh-CN"/>
        </w:rPr>
      </w:pPr>
      <w:r>
        <w:rPr>
          <w:rFonts w:hint="eastAsia" w:ascii="仿宋" w:hAnsi="仿宋" w:eastAsia="仿宋" w:cs="仿宋"/>
          <w:szCs w:val="32"/>
          <w:lang w:eastAsia="zh-CN"/>
        </w:rPr>
        <w:drawing>
          <wp:inline distT="0" distB="0" distL="114300" distR="114300">
            <wp:extent cx="5066030" cy="2832735"/>
            <wp:effectExtent l="0" t="0" r="1270" b="5715"/>
            <wp:docPr id="9" name="图片 7" descr="F:\微信文件\WeChat Files\qq19457866\FileStorage\Temp\d3501aa8fa42391dbf3b25c71a252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F:\微信文件\WeChat Files\qq19457866\FileStorage\Temp\d3501aa8fa42391dbf3b25c71a252d5.jpg"/>
                    <pic:cNvPicPr>
                      <a:picLocks noChangeAspect="1"/>
                    </pic:cNvPicPr>
                  </pic:nvPicPr>
                  <pic:blipFill>
                    <a:blip r:embed="rId13"/>
                    <a:srcRect t="5701" b="15234"/>
                    <a:stretch>
                      <a:fillRect/>
                    </a:stretch>
                  </pic:blipFill>
                  <pic:spPr>
                    <a:xfrm>
                      <a:off x="0" y="0"/>
                      <a:ext cx="5066030" cy="2832735"/>
                    </a:xfrm>
                    <a:prstGeom prst="rect">
                      <a:avLst/>
                    </a:prstGeom>
                    <a:noFill/>
                    <a:ln>
                      <a:noFill/>
                    </a:ln>
                  </pic:spPr>
                </pic:pic>
              </a:graphicData>
            </a:graphic>
          </wp:inline>
        </w:drawing>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Cs w:val="32"/>
        </w:rPr>
      </w:pPr>
      <w:r>
        <w:rPr>
          <w:rFonts w:hint="eastAsia" w:ascii="仿宋" w:hAnsi="仿宋" w:eastAsia="仿宋" w:cs="仿宋"/>
          <w:b/>
          <w:bCs/>
          <w:szCs w:val="32"/>
          <w:lang w:val="en-US" w:eastAsia="zh-CN"/>
        </w:rPr>
        <w:t>女款</w:t>
      </w:r>
      <w:r>
        <w:rPr>
          <w:rFonts w:hint="eastAsia" w:ascii="仿宋" w:hAnsi="仿宋" w:eastAsia="仿宋" w:cs="仿宋"/>
          <w:b/>
          <w:bCs/>
          <w:szCs w:val="32"/>
          <w:lang w:eastAsia="zh-CN"/>
        </w:rPr>
        <w:t>内胆单穿效果图</w:t>
      </w:r>
      <w:r>
        <w:rPr>
          <w:rFonts w:hint="eastAsia" w:ascii="仿宋" w:hAnsi="仿宋" w:eastAsia="仿宋" w:cs="仿宋"/>
          <w:szCs w:val="32"/>
          <w:lang w:eastAsia="zh-CN"/>
        </w:rPr>
        <w:drawing>
          <wp:inline distT="0" distB="0" distL="114300" distR="114300">
            <wp:extent cx="5483225" cy="2752725"/>
            <wp:effectExtent l="0" t="0" r="3175" b="9525"/>
            <wp:docPr id="17" name="图片 8" descr="F:\微信文件\WeChat Files\qq19457866\FileStorage\Temp\b060b0d542b25c56855f0fe1b137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F:\微信文件\WeChat Files\qq19457866\FileStorage\Temp\b060b0d542b25c56855f0fe1b137538.jpg"/>
                    <pic:cNvPicPr>
                      <a:picLocks noChangeAspect="1"/>
                    </pic:cNvPicPr>
                  </pic:nvPicPr>
                  <pic:blipFill>
                    <a:blip r:embed="rId14"/>
                    <a:srcRect l="9296" t="15144" b="20490"/>
                    <a:stretch>
                      <a:fillRect/>
                    </a:stretch>
                  </pic:blipFill>
                  <pic:spPr>
                    <a:xfrm>
                      <a:off x="0" y="0"/>
                      <a:ext cx="5483225" cy="2752725"/>
                    </a:xfrm>
                    <a:prstGeom prst="rect">
                      <a:avLst/>
                    </a:prstGeom>
                    <a:noFill/>
                    <a:ln>
                      <a:noFill/>
                    </a:ln>
                  </pic:spPr>
                </pic:pic>
              </a:graphicData>
            </a:graphic>
          </wp:inline>
        </w:drawing>
      </w:r>
    </w:p>
    <w:bookmarkEnd w:id="20"/>
    <w:bookmarkEnd w:id="21"/>
    <w:p>
      <w:pPr>
        <w:rPr>
          <w:rFonts w:hint="eastAsia"/>
        </w:rPr>
      </w:pPr>
    </w:p>
    <w:p>
      <w:pPr>
        <w:pStyle w:val="8"/>
        <w:spacing w:line="300" w:lineRule="auto"/>
        <w:jc w:val="center"/>
        <w:rPr>
          <w:rFonts w:hint="eastAsia" w:ascii="仿宋" w:hAnsi="仿宋" w:eastAsia="仿宋" w:cs="仿宋"/>
          <w:bCs/>
          <w:sz w:val="32"/>
          <w:szCs w:val="32"/>
        </w:rPr>
      </w:pPr>
    </w:p>
    <w:p>
      <w:pPr>
        <w:spacing w:before="78" w:line="227" w:lineRule="auto"/>
        <w:rPr>
          <w:rFonts w:ascii="宋体" w:hAnsi="宋体" w:eastAsia="宋体" w:cs="宋体"/>
          <w:b/>
          <w:bCs/>
          <w:spacing w:val="10"/>
          <w:sz w:val="20"/>
          <w:szCs w:val="20"/>
        </w:rPr>
      </w:pPr>
    </w:p>
    <w:p>
      <w:pPr>
        <w:pStyle w:val="7"/>
        <w:bidi w:val="0"/>
      </w:pPr>
      <w:r>
        <w:t>注：所有参数，材质均为实质性要求，必须完全满足；</w:t>
      </w:r>
    </w:p>
    <w:p>
      <w:pPr>
        <w:pStyle w:val="4"/>
        <w:bidi w:val="0"/>
        <w:rPr>
          <w:rFonts w:hint="eastAsia"/>
          <w:lang w:val="en-US" w:eastAsia="zh-CN"/>
        </w:rPr>
      </w:pPr>
      <w:r>
        <w:rPr>
          <w:rFonts w:hint="eastAsia"/>
          <w:lang w:val="en-US" w:eastAsia="zh-CN"/>
        </w:rPr>
        <w:t>（二）制式皮鞋</w:t>
      </w:r>
    </w:p>
    <w:p>
      <w:pPr>
        <w:pStyle w:val="7"/>
        <w:bidi w:val="0"/>
        <w:rPr>
          <w:rFonts w:hint="eastAsia"/>
          <w:lang w:val="en-US" w:eastAsia="zh-CN"/>
        </w:rPr>
      </w:pPr>
      <w:r>
        <w:rPr>
          <w:rFonts w:hint="eastAsia"/>
        </w:rPr>
        <w:t>数量</w:t>
      </w:r>
      <w:r>
        <w:rPr>
          <w:rFonts w:hint="eastAsia"/>
          <w:lang w:eastAsia="zh-CN"/>
        </w:rPr>
        <w:t>：</w:t>
      </w:r>
      <w:r>
        <w:rPr>
          <w:rFonts w:hint="eastAsia"/>
          <w:lang w:val="en-US" w:eastAsia="zh-CN"/>
        </w:rPr>
        <w:t>170双</w:t>
      </w:r>
    </w:p>
    <w:p>
      <w:pPr>
        <w:pStyle w:val="7"/>
        <w:bidi w:val="0"/>
        <w:rPr>
          <w:rFonts w:hint="default"/>
          <w:lang w:val="en-US" w:eastAsia="zh-CN"/>
        </w:rPr>
      </w:pPr>
      <w:r>
        <w:rPr>
          <w:rFonts w:hint="eastAsia"/>
          <w:lang w:val="en-US" w:eastAsia="zh-CN"/>
        </w:rPr>
        <w:t>颜色：</w:t>
      </w:r>
      <w:r>
        <w:rPr>
          <w:rFonts w:hint="default"/>
          <w:lang w:val="en-US" w:eastAsia="zh-CN"/>
        </w:rPr>
        <w:t>黑色</w:t>
      </w:r>
    </w:p>
    <w:p>
      <w:pPr>
        <w:pStyle w:val="7"/>
        <w:bidi w:val="0"/>
        <w:rPr>
          <w:rFonts w:hint="default"/>
          <w:lang w:val="en-US" w:eastAsia="zh-CN"/>
        </w:rPr>
      </w:pPr>
      <w:r>
        <w:rPr>
          <w:rFonts w:hint="default"/>
          <w:lang w:val="en-US" w:eastAsia="zh-CN"/>
        </w:rPr>
        <w:t>鞋面</w:t>
      </w:r>
      <w:r>
        <w:rPr>
          <w:rFonts w:hint="eastAsia"/>
          <w:lang w:val="en-US" w:eastAsia="zh-CN"/>
        </w:rPr>
        <w:t>：</w:t>
      </w:r>
      <w:r>
        <w:rPr>
          <w:rFonts w:hint="default"/>
          <w:lang w:val="en-US" w:eastAsia="zh-CN"/>
        </w:rPr>
        <w:t>牛皮，透气性好、柔韧性强，耐用性佳</w:t>
      </w:r>
    </w:p>
    <w:p>
      <w:pPr>
        <w:pStyle w:val="7"/>
        <w:bidi w:val="0"/>
        <w:rPr>
          <w:rFonts w:hint="default"/>
          <w:lang w:val="en-US" w:eastAsia="zh-CN"/>
        </w:rPr>
      </w:pPr>
      <w:r>
        <w:rPr>
          <w:rFonts w:hint="eastAsia"/>
          <w:lang w:val="en-US" w:eastAsia="zh-CN"/>
        </w:rPr>
        <w:t>鞋</w:t>
      </w:r>
      <w:r>
        <w:rPr>
          <w:rFonts w:hint="default"/>
          <w:lang w:val="en-US" w:eastAsia="zh-CN"/>
        </w:rPr>
        <w:t>里</w:t>
      </w:r>
      <w:r>
        <w:rPr>
          <w:rFonts w:hint="eastAsia"/>
          <w:lang w:val="en-US" w:eastAsia="zh-CN"/>
        </w:rPr>
        <w:t>：</w:t>
      </w:r>
      <w:r>
        <w:rPr>
          <w:rFonts w:hint="default"/>
          <w:lang w:val="en-US" w:eastAsia="zh-CN"/>
        </w:rPr>
        <w:t>猪皮，透气性好、吸湿性强能快速吸收脚步汗液</w:t>
      </w:r>
    </w:p>
    <w:p>
      <w:pPr>
        <w:pStyle w:val="7"/>
        <w:bidi w:val="0"/>
        <w:rPr>
          <w:rFonts w:hint="default"/>
          <w:lang w:val="en-US" w:eastAsia="zh-CN"/>
        </w:rPr>
      </w:pPr>
      <w:r>
        <w:rPr>
          <w:rFonts w:hint="eastAsia"/>
          <w:lang w:val="en-US" w:eastAsia="zh-CN"/>
        </w:rPr>
        <w:t>鞋底：</w:t>
      </w:r>
      <w:r>
        <w:rPr>
          <w:rFonts w:hint="default"/>
          <w:lang w:val="en-US" w:eastAsia="zh-CN"/>
        </w:rPr>
        <w:t>橡胶大底，弹性好、耐磨性强、防滑性能好</w:t>
      </w:r>
    </w:p>
    <w:p>
      <w:pPr>
        <w:pStyle w:val="7"/>
        <w:bidi w:val="0"/>
        <w:rPr>
          <w:rFonts w:hint="default"/>
          <w:lang w:val="en-US" w:eastAsia="zh-CN"/>
        </w:rPr>
      </w:pPr>
      <w:r>
        <w:rPr>
          <w:rFonts w:hint="default"/>
          <w:lang w:val="en-US" w:eastAsia="zh-CN"/>
        </w:rPr>
        <w:t>采用橡胶双密度连帮注射工艺，确保帮底结合牢固。</w:t>
      </w:r>
    </w:p>
    <w:p>
      <w:pPr>
        <w:pStyle w:val="7"/>
        <w:bidi w:val="0"/>
        <w:rPr>
          <w:rFonts w:hint="default"/>
          <w:lang w:val="en-US" w:eastAsia="zh-CN"/>
        </w:rPr>
      </w:pPr>
      <w:r>
        <w:rPr>
          <w:rFonts w:hint="default"/>
          <w:lang w:val="en-US" w:eastAsia="zh-CN"/>
        </w:rPr>
        <w:t>经过鞣制优化：增强柔韧性，透气耐磨，穿着更贴合脚型，减少磨脚感。</w:t>
      </w:r>
    </w:p>
    <w:p>
      <w:pPr>
        <w:pStyle w:val="7"/>
        <w:bidi w:val="0"/>
        <w:rPr>
          <w:rFonts w:hint="default"/>
          <w:lang w:val="en-US" w:eastAsia="zh-CN"/>
        </w:rPr>
      </w:pPr>
      <w:r>
        <w:rPr>
          <w:rFonts w:hint="default"/>
          <w:lang w:val="en-US" w:eastAsia="zh-CN"/>
        </w:rPr>
        <w:t>每件尺寸：具体以量体为准。</w:t>
      </w:r>
    </w:p>
    <w:p>
      <w:pPr>
        <w:pStyle w:val="7"/>
        <w:bidi w:val="0"/>
        <w:rPr>
          <w:rFonts w:hint="default"/>
          <w:lang w:val="en-US" w:eastAsia="zh-CN"/>
        </w:rPr>
      </w:pPr>
      <w:r>
        <w:rPr>
          <w:rFonts w:hint="eastAsia"/>
          <w:lang w:val="en-US" w:eastAsia="zh-CN"/>
        </w:rPr>
        <w:t>注：需提供样品男女款式各一双，以便现场核验。</w:t>
      </w:r>
    </w:p>
    <w:p>
      <w:pPr>
        <w:pStyle w:val="3"/>
        <w:bidi w:val="0"/>
      </w:pPr>
      <w:bookmarkStart w:id="22" w:name="_Toc4188"/>
      <w:r>
        <w:t>二、商务要求</w:t>
      </w:r>
      <w:bookmarkEnd w:id="22"/>
    </w:p>
    <w:p>
      <w:pPr>
        <w:pStyle w:val="7"/>
        <w:bidi w:val="0"/>
      </w:pPr>
      <w:r>
        <w:t>1、交付期限：合同签订后</w:t>
      </w:r>
      <w:r>
        <w:rPr>
          <w:rFonts w:hint="eastAsia"/>
          <w:lang w:val="en-US" w:eastAsia="zh-CN"/>
        </w:rPr>
        <w:t>7</w:t>
      </w:r>
      <w:r>
        <w:t>个日历日内完成。</w:t>
      </w:r>
    </w:p>
    <w:p>
      <w:pPr>
        <w:pStyle w:val="7"/>
        <w:bidi w:val="0"/>
      </w:pPr>
      <w:r>
        <w:t>2、交货地点：</w:t>
      </w:r>
      <w:r>
        <w:rPr>
          <w:rFonts w:hint="eastAsia"/>
          <w:lang w:eastAsia="zh-CN"/>
        </w:rPr>
        <w:t>大荔县人民法院</w:t>
      </w:r>
      <w:r>
        <w:t>。</w:t>
      </w:r>
    </w:p>
    <w:p>
      <w:pPr>
        <w:pStyle w:val="7"/>
        <w:bidi w:val="0"/>
      </w:pPr>
      <w:r>
        <w:t>3、质保期：1年。</w:t>
      </w:r>
    </w:p>
    <w:p>
      <w:pPr>
        <w:pStyle w:val="7"/>
        <w:bidi w:val="0"/>
      </w:pPr>
      <w:r>
        <w:t>4、付款方式：货物配送到位，验收完成后一次性付款。</w:t>
      </w:r>
    </w:p>
    <w:p>
      <w:pPr>
        <w:pStyle w:val="7"/>
        <w:bidi w:val="0"/>
      </w:pPr>
      <w:r>
        <w:t>5、质量标准：产品质量符合国家、行业规定及采购文件相关要求。</w:t>
      </w:r>
    </w:p>
    <w:p>
      <w:pPr>
        <w:pStyle w:val="7"/>
        <w:bidi w:val="0"/>
      </w:pPr>
      <w:r>
        <w:t>6、售后服务：</w:t>
      </w:r>
    </w:p>
    <w:p>
      <w:pPr>
        <w:pStyle w:val="7"/>
        <w:bidi w:val="0"/>
      </w:pPr>
      <w:r>
        <w:t>因产品质量出现问题</w:t>
      </w:r>
      <w:r>
        <w:rPr>
          <w:rFonts w:hint="eastAsia"/>
          <w:lang w:eastAsia="zh-CN"/>
        </w:rPr>
        <w:t>，</w:t>
      </w:r>
      <w:r>
        <w:t>供货商应在24小时内到达现场处理，主动做好善后等工作。</w:t>
      </w:r>
    </w:p>
    <w:p>
      <w:pPr>
        <w:pStyle w:val="7"/>
        <w:bidi w:val="0"/>
      </w:pPr>
      <w:r>
        <w:t>7、包装方式：按照《关于印发《商品包装政府采购需求标准（试行）》、《快递包装政府采购需求标准（试行）》的通知》-财办库〔2020〕123号的相关规定执行。</w:t>
      </w:r>
    </w:p>
    <w:p>
      <w:pPr>
        <w:pStyle w:val="7"/>
        <w:bidi w:val="0"/>
      </w:pPr>
      <w:r>
        <w:t>8、配送要求：</w:t>
      </w:r>
    </w:p>
    <w:p>
      <w:pPr>
        <w:pStyle w:val="7"/>
        <w:bidi w:val="0"/>
      </w:pPr>
      <w:r>
        <w:t>8.1供应商必须严格按照采购需求和时间要求进行供货；</w:t>
      </w:r>
    </w:p>
    <w:p>
      <w:pPr>
        <w:pStyle w:val="7"/>
        <w:bidi w:val="0"/>
      </w:pPr>
      <w:r>
        <w:t>8.2供应商自备送货车，安排专人及时供货，装卸费、吊车费、送货费用及运输安全等费用由供货方自行承担；因运输装卸过程中造成的损耗，须无条件更换，并承诺不附加任何费用；</w:t>
      </w:r>
    </w:p>
    <w:p>
      <w:pPr>
        <w:pStyle w:val="7"/>
        <w:bidi w:val="0"/>
      </w:pPr>
      <w:r>
        <w:t>9、验收标准：</w:t>
      </w:r>
    </w:p>
    <w:p>
      <w:pPr>
        <w:pStyle w:val="7"/>
        <w:bidi w:val="0"/>
      </w:pPr>
      <w:r>
        <w:t>9.1货物到达采购人指定地点后，由采购人组织双方参与方式对货物进行验收，须满足采购文件、响应文件及合同约定相关要求，且须符合国家、行业规定的相关标准和国家质检要求，一次性自行验收。</w:t>
      </w:r>
    </w:p>
    <w:p>
      <w:pPr>
        <w:pStyle w:val="7"/>
        <w:bidi w:val="0"/>
      </w:pPr>
      <w:r>
        <w:t>9.2货物供应渠道正规、稳定且质量有保证，检验手续合法有效，具备完善的管理制度流程；</w:t>
      </w:r>
    </w:p>
    <w:p>
      <w:pPr>
        <w:pStyle w:val="7"/>
        <w:bidi w:val="0"/>
      </w:pPr>
      <w:r>
        <w:t>9.3对于验收不合格的产品应及时退回供应商，同时做好相关记录。</w:t>
      </w:r>
    </w:p>
    <w:p>
      <w:pPr>
        <w:rPr>
          <w:rFonts w:ascii="宋体" w:hAnsi="宋体" w:eastAsia="宋体" w:cs="宋体"/>
          <w:b/>
          <w:bCs/>
          <w:spacing w:val="6"/>
          <w:sz w:val="31"/>
          <w:szCs w:val="31"/>
        </w:rPr>
      </w:pPr>
      <w:r>
        <w:rPr>
          <w:rFonts w:ascii="宋体" w:hAnsi="宋体" w:eastAsia="宋体" w:cs="宋体"/>
          <w:b/>
          <w:bCs/>
          <w:spacing w:val="6"/>
          <w:sz w:val="31"/>
          <w:szCs w:val="31"/>
        </w:rPr>
        <w:br w:type="page"/>
      </w:r>
    </w:p>
    <w:p>
      <w:pPr>
        <w:pStyle w:val="2"/>
        <w:bidi w:val="0"/>
      </w:pPr>
      <w:bookmarkStart w:id="23" w:name="_Toc9317"/>
      <w:r>
        <w:t>第五章</w:t>
      </w:r>
      <w:r>
        <w:rPr>
          <w:rFonts w:hint="eastAsia"/>
          <w:lang w:val="en-US" w:eastAsia="zh-CN"/>
        </w:rPr>
        <w:t xml:space="preserve">  </w:t>
      </w:r>
      <w:r>
        <w:t>合同条款及格式</w:t>
      </w:r>
      <w:bookmarkEnd w:id="23"/>
    </w:p>
    <w:p>
      <w:pPr>
        <w:spacing w:before="205" w:line="227" w:lineRule="auto"/>
        <w:ind w:left="1904"/>
        <w:rPr>
          <w:rFonts w:ascii="宋体" w:hAnsi="宋体" w:eastAsia="宋体" w:cs="宋体"/>
          <w:sz w:val="20"/>
          <w:szCs w:val="20"/>
        </w:rPr>
      </w:pPr>
      <w:r>
        <w:rPr>
          <w:rFonts w:ascii="宋体" w:hAnsi="宋体" w:eastAsia="宋体" w:cs="宋体"/>
          <w:b/>
          <w:bCs/>
          <w:spacing w:val="7"/>
          <w:sz w:val="20"/>
          <w:szCs w:val="20"/>
        </w:rPr>
        <w:t>（此合同作为参考，最终合同以采购人给出的合同定稿为准）</w:t>
      </w:r>
    </w:p>
    <w:p>
      <w:pPr>
        <w:spacing w:before="65" w:line="227" w:lineRule="auto"/>
        <w:ind w:left="447"/>
        <w:rPr>
          <w:rFonts w:ascii="宋体" w:hAnsi="宋体" w:eastAsia="宋体" w:cs="宋体"/>
          <w:sz w:val="20"/>
          <w:szCs w:val="20"/>
        </w:rPr>
      </w:pPr>
      <w:r>
        <w:rPr>
          <w:rFonts w:ascii="宋体" w:hAnsi="宋体" w:eastAsia="宋体" w:cs="宋体"/>
          <w:spacing w:val="3"/>
          <w:sz w:val="20"/>
          <w:szCs w:val="20"/>
        </w:rPr>
        <w:t>甲方（采购人</w:t>
      </w:r>
      <w:r>
        <w:rPr>
          <w:rFonts w:ascii="宋体" w:hAnsi="宋体" w:eastAsia="宋体" w:cs="宋体"/>
          <w:spacing w:val="1"/>
          <w:sz w:val="20"/>
          <w:szCs w:val="20"/>
        </w:rPr>
        <w:t>）：</w:t>
      </w:r>
    </w:p>
    <w:p>
      <w:pPr>
        <w:spacing w:before="164" w:line="227" w:lineRule="auto"/>
        <w:ind w:left="441"/>
        <w:rPr>
          <w:rFonts w:ascii="宋体" w:hAnsi="宋体" w:eastAsia="宋体" w:cs="宋体"/>
          <w:sz w:val="20"/>
          <w:szCs w:val="20"/>
        </w:rPr>
      </w:pPr>
      <w:r>
        <w:rPr>
          <w:rFonts w:ascii="宋体" w:hAnsi="宋体" w:eastAsia="宋体" w:cs="宋体"/>
          <w:spacing w:val="6"/>
          <w:sz w:val="20"/>
          <w:szCs w:val="20"/>
        </w:rPr>
        <w:t>乙方（成交供应商</w:t>
      </w:r>
      <w:r>
        <w:rPr>
          <w:rFonts w:ascii="宋体" w:hAnsi="宋体" w:eastAsia="宋体" w:cs="宋体"/>
          <w:sz w:val="20"/>
          <w:szCs w:val="20"/>
        </w:rPr>
        <w:t>）：</w:t>
      </w:r>
    </w:p>
    <w:p>
      <w:pPr>
        <w:spacing w:before="161" w:line="377" w:lineRule="auto"/>
        <w:ind w:left="3" w:right="2" w:firstLine="417"/>
        <w:rPr>
          <w:rFonts w:ascii="宋体" w:hAnsi="宋体" w:eastAsia="宋体" w:cs="宋体"/>
          <w:sz w:val="20"/>
          <w:szCs w:val="20"/>
        </w:rPr>
      </w:pPr>
      <w:r>
        <w:rPr>
          <w:rFonts w:hint="eastAsia" w:ascii="宋体" w:hAnsi="宋体" w:eastAsia="宋体" w:cs="宋体"/>
          <w:spacing w:val="8"/>
          <w:sz w:val="20"/>
          <w:szCs w:val="20"/>
          <w:lang w:eastAsia="zh-CN"/>
        </w:rPr>
        <w:t>工作服装购置项目</w:t>
      </w:r>
      <w:r>
        <w:rPr>
          <w:rFonts w:ascii="宋体" w:hAnsi="宋体" w:eastAsia="宋体" w:cs="宋体"/>
          <w:spacing w:val="8"/>
          <w:sz w:val="20"/>
          <w:szCs w:val="20"/>
        </w:rPr>
        <w:t>(项目编号：</w:t>
      </w:r>
      <w:r>
        <w:rPr>
          <w:rFonts w:hint="eastAsia" w:ascii="宋体" w:hAnsi="宋体" w:eastAsia="宋体" w:cs="宋体"/>
          <w:sz w:val="20"/>
          <w:szCs w:val="20"/>
          <w:lang w:eastAsia="zh-CN"/>
        </w:rPr>
        <w:t>HY-ZB-055-2025</w:t>
      </w:r>
      <w:r>
        <w:rPr>
          <w:rFonts w:ascii="宋体" w:hAnsi="宋体" w:eastAsia="宋体" w:cs="宋体"/>
          <w:spacing w:val="8"/>
          <w:sz w:val="20"/>
          <w:szCs w:val="20"/>
        </w:rPr>
        <w:t>)在由</w:t>
      </w:r>
      <w:r>
        <w:rPr>
          <w:rFonts w:hint="eastAsia" w:ascii="宋体" w:hAnsi="宋体" w:eastAsia="宋体" w:cs="宋体"/>
          <w:spacing w:val="8"/>
          <w:sz w:val="20"/>
          <w:szCs w:val="20"/>
          <w:lang w:eastAsia="zh-CN"/>
        </w:rPr>
        <w:t>陕西翰元工程咨询有限公司</w:t>
      </w:r>
      <w:r>
        <w:rPr>
          <w:rFonts w:ascii="宋体" w:hAnsi="宋体" w:eastAsia="宋体" w:cs="宋体"/>
          <w:spacing w:val="7"/>
          <w:sz w:val="20"/>
          <w:szCs w:val="20"/>
        </w:rPr>
        <w:t>组织竞争</w:t>
      </w:r>
      <w:r>
        <w:rPr>
          <w:rFonts w:ascii="宋体" w:hAnsi="宋体" w:eastAsia="宋体" w:cs="宋体"/>
          <w:spacing w:val="4"/>
          <w:sz w:val="20"/>
          <w:szCs w:val="20"/>
        </w:rPr>
        <w:t>性谈判(以下简称“甲方”)确定（以下简称“乙方”）为的成交供应商。</w:t>
      </w:r>
    </w:p>
    <w:p>
      <w:pPr>
        <w:spacing w:before="2" w:line="376" w:lineRule="auto"/>
        <w:ind w:left="2" w:firstLine="420"/>
        <w:rPr>
          <w:rFonts w:ascii="宋体" w:hAnsi="宋体" w:eastAsia="宋体" w:cs="宋体"/>
          <w:sz w:val="20"/>
          <w:szCs w:val="20"/>
        </w:rPr>
      </w:pPr>
      <w:r>
        <w:rPr>
          <w:rFonts w:ascii="宋体" w:hAnsi="宋体" w:eastAsia="宋体" w:cs="宋体"/>
          <w:spacing w:val="11"/>
          <w:sz w:val="20"/>
          <w:szCs w:val="20"/>
        </w:rPr>
        <w:t>依据《中华人民共和国民法典》和《中华人民共和国政府采购法</w:t>
      </w:r>
      <w:r>
        <w:rPr>
          <w:rFonts w:ascii="宋体" w:hAnsi="宋体" w:eastAsia="宋体" w:cs="宋体"/>
          <w:spacing w:val="10"/>
          <w:sz w:val="20"/>
          <w:szCs w:val="20"/>
        </w:rPr>
        <w:t>》，经双方协商按下述条款和</w:t>
      </w:r>
      <w:r>
        <w:rPr>
          <w:rFonts w:ascii="宋体" w:hAnsi="宋体" w:eastAsia="宋体" w:cs="宋体"/>
          <w:spacing w:val="7"/>
          <w:sz w:val="20"/>
          <w:szCs w:val="20"/>
        </w:rPr>
        <w:t>条件签署本合同。</w:t>
      </w:r>
    </w:p>
    <w:p>
      <w:pPr>
        <w:spacing w:line="226" w:lineRule="auto"/>
        <w:ind w:left="420"/>
        <w:rPr>
          <w:rFonts w:ascii="宋体" w:hAnsi="宋体" w:eastAsia="宋体" w:cs="宋体"/>
          <w:sz w:val="20"/>
          <w:szCs w:val="20"/>
        </w:rPr>
      </w:pPr>
      <w:r>
        <w:rPr>
          <w:rFonts w:ascii="宋体" w:hAnsi="宋体" w:eastAsia="宋体" w:cs="宋体"/>
          <w:b/>
          <w:bCs/>
          <w:spacing w:val="7"/>
          <w:sz w:val="20"/>
          <w:szCs w:val="20"/>
        </w:rPr>
        <w:t>第一条：合同价款</w:t>
      </w:r>
    </w:p>
    <w:p>
      <w:pPr>
        <w:spacing w:before="165" w:line="226" w:lineRule="auto"/>
        <w:ind w:left="430"/>
        <w:rPr>
          <w:rFonts w:ascii="宋体" w:hAnsi="宋体" w:eastAsia="宋体" w:cs="宋体"/>
          <w:sz w:val="20"/>
          <w:szCs w:val="20"/>
        </w:rPr>
      </w:pPr>
      <w:r>
        <w:rPr>
          <w:rFonts w:ascii="宋体" w:hAnsi="宋体" w:eastAsia="宋体" w:cs="宋体"/>
          <w:spacing w:val="5"/>
          <w:sz w:val="20"/>
          <w:szCs w:val="20"/>
        </w:rPr>
        <w:t>（一）合同总价款为人民币（大写）(¥)。</w:t>
      </w:r>
    </w:p>
    <w:p>
      <w:pPr>
        <w:spacing w:before="165" w:line="302" w:lineRule="auto"/>
        <w:ind w:right="2" w:firstLine="430"/>
        <w:rPr>
          <w:rFonts w:ascii="宋体" w:hAnsi="宋体" w:eastAsia="宋体" w:cs="宋体"/>
          <w:sz w:val="20"/>
          <w:szCs w:val="20"/>
        </w:rPr>
      </w:pPr>
      <w:r>
        <w:rPr>
          <w:rFonts w:ascii="宋体" w:hAnsi="宋体" w:eastAsia="宋体" w:cs="宋体"/>
          <w:spacing w:val="10"/>
          <w:sz w:val="20"/>
          <w:szCs w:val="20"/>
        </w:rPr>
        <w:t>（二）合同总价包括：包括但不限于完成本次采购所要求的货物、服务至验收合格的其他一切</w:t>
      </w:r>
      <w:r>
        <w:rPr>
          <w:rFonts w:ascii="宋体" w:hAnsi="宋体" w:eastAsia="宋体" w:cs="宋体"/>
          <w:spacing w:val="5"/>
          <w:sz w:val="20"/>
          <w:szCs w:val="20"/>
        </w:rPr>
        <w:t>相关费用。</w:t>
      </w:r>
    </w:p>
    <w:p>
      <w:pPr>
        <w:spacing w:before="160" w:line="226" w:lineRule="auto"/>
        <w:ind w:left="430"/>
        <w:rPr>
          <w:rFonts w:ascii="宋体" w:hAnsi="宋体" w:eastAsia="宋体" w:cs="宋体"/>
          <w:sz w:val="20"/>
          <w:szCs w:val="20"/>
        </w:rPr>
      </w:pPr>
      <w:r>
        <w:rPr>
          <w:rFonts w:ascii="宋体" w:hAnsi="宋体" w:eastAsia="宋体" w:cs="宋体"/>
          <w:spacing w:val="9"/>
          <w:sz w:val="20"/>
          <w:szCs w:val="20"/>
        </w:rPr>
        <w:t>（三）合同总价为固定总价，不受市场价格变化因</w:t>
      </w:r>
      <w:r>
        <w:rPr>
          <w:rFonts w:ascii="宋体" w:hAnsi="宋体" w:eastAsia="宋体" w:cs="宋体"/>
          <w:spacing w:val="8"/>
          <w:sz w:val="20"/>
          <w:szCs w:val="20"/>
        </w:rPr>
        <w:t>素的影响。</w:t>
      </w:r>
    </w:p>
    <w:p>
      <w:pPr>
        <w:spacing w:before="166" w:line="227" w:lineRule="auto"/>
        <w:ind w:left="420"/>
        <w:rPr>
          <w:rFonts w:ascii="宋体" w:hAnsi="宋体" w:eastAsia="宋体" w:cs="宋体"/>
          <w:sz w:val="20"/>
          <w:szCs w:val="20"/>
        </w:rPr>
      </w:pPr>
      <w:r>
        <w:rPr>
          <w:rFonts w:ascii="宋体" w:hAnsi="宋体" w:eastAsia="宋体" w:cs="宋体"/>
          <w:b/>
          <w:bCs/>
          <w:spacing w:val="8"/>
          <w:sz w:val="20"/>
          <w:szCs w:val="20"/>
        </w:rPr>
        <w:t>第二条：质量检验标准、供货方对质量负责的要求及期限</w:t>
      </w:r>
    </w:p>
    <w:p>
      <w:pPr>
        <w:spacing w:before="162" w:line="227" w:lineRule="auto"/>
        <w:ind w:left="436"/>
        <w:rPr>
          <w:rFonts w:ascii="宋体" w:hAnsi="宋体" w:eastAsia="宋体" w:cs="宋体"/>
          <w:sz w:val="20"/>
          <w:szCs w:val="20"/>
        </w:rPr>
      </w:pPr>
      <w:r>
        <w:rPr>
          <w:rFonts w:ascii="宋体" w:hAnsi="宋体" w:eastAsia="宋体" w:cs="宋体"/>
          <w:spacing w:val="8"/>
          <w:sz w:val="20"/>
          <w:szCs w:val="20"/>
        </w:rPr>
        <w:t>1、产品质量符合国家、行业规定及采购文件相关要求。</w:t>
      </w:r>
    </w:p>
    <w:p>
      <w:pPr>
        <w:spacing w:before="162" w:line="225" w:lineRule="auto"/>
        <w:ind w:left="421"/>
        <w:rPr>
          <w:rFonts w:ascii="宋体" w:hAnsi="宋体" w:eastAsia="宋体" w:cs="宋体"/>
          <w:sz w:val="20"/>
          <w:szCs w:val="20"/>
        </w:rPr>
      </w:pPr>
      <w:r>
        <w:rPr>
          <w:rFonts w:hint="eastAsia" w:ascii="宋体" w:hAnsi="宋体" w:eastAsia="宋体" w:cs="宋体"/>
          <w:spacing w:val="8"/>
          <w:sz w:val="20"/>
          <w:szCs w:val="20"/>
          <w:lang w:val="en-US" w:eastAsia="zh-CN"/>
        </w:rPr>
        <w:t>2</w:t>
      </w:r>
      <w:r>
        <w:rPr>
          <w:rFonts w:ascii="宋体" w:hAnsi="宋体" w:eastAsia="宋体" w:cs="宋体"/>
          <w:spacing w:val="8"/>
          <w:sz w:val="20"/>
          <w:szCs w:val="20"/>
        </w:rPr>
        <w:t>、因产品质量出现问题,供货商应在24小时内到达现场处理，主动做好善后等工作。</w:t>
      </w:r>
    </w:p>
    <w:p>
      <w:pPr>
        <w:spacing w:before="167" w:line="227" w:lineRule="auto"/>
        <w:ind w:left="420"/>
        <w:rPr>
          <w:rFonts w:ascii="宋体" w:hAnsi="宋体" w:eastAsia="宋体" w:cs="宋体"/>
          <w:sz w:val="20"/>
          <w:szCs w:val="20"/>
        </w:rPr>
      </w:pPr>
      <w:r>
        <w:rPr>
          <w:rFonts w:ascii="宋体" w:hAnsi="宋体" w:eastAsia="宋体" w:cs="宋体"/>
          <w:b/>
          <w:bCs/>
          <w:spacing w:val="7"/>
          <w:sz w:val="20"/>
          <w:szCs w:val="20"/>
        </w:rPr>
        <w:t>第三条：供货范围和随机文件</w:t>
      </w:r>
    </w:p>
    <w:p>
      <w:pPr>
        <w:spacing w:before="162" w:line="227" w:lineRule="auto"/>
        <w:ind w:left="421"/>
        <w:rPr>
          <w:rFonts w:ascii="宋体" w:hAnsi="宋体" w:eastAsia="宋体" w:cs="宋体"/>
          <w:sz w:val="20"/>
          <w:szCs w:val="20"/>
        </w:rPr>
      </w:pPr>
      <w:r>
        <w:rPr>
          <w:rFonts w:ascii="宋体" w:hAnsi="宋体" w:eastAsia="宋体" w:cs="宋体"/>
          <w:spacing w:val="9"/>
          <w:sz w:val="20"/>
          <w:szCs w:val="20"/>
        </w:rPr>
        <w:t>《产品合格证》。</w:t>
      </w:r>
    </w:p>
    <w:p>
      <w:pPr>
        <w:spacing w:before="162" w:line="227" w:lineRule="auto"/>
        <w:ind w:left="420"/>
        <w:rPr>
          <w:rFonts w:ascii="宋体" w:hAnsi="宋体" w:eastAsia="宋体" w:cs="宋体"/>
          <w:sz w:val="20"/>
          <w:szCs w:val="20"/>
        </w:rPr>
      </w:pPr>
      <w:r>
        <w:rPr>
          <w:rFonts w:ascii="宋体" w:hAnsi="宋体" w:eastAsia="宋体" w:cs="宋体"/>
          <w:b/>
          <w:bCs/>
          <w:spacing w:val="8"/>
          <w:sz w:val="20"/>
          <w:szCs w:val="20"/>
        </w:rPr>
        <w:t>第四条：包装标准、交提货方式与地点</w:t>
      </w:r>
    </w:p>
    <w:p>
      <w:pPr>
        <w:spacing w:before="163" w:line="377" w:lineRule="auto"/>
        <w:ind w:right="40" w:firstLine="422"/>
        <w:jc w:val="both"/>
        <w:rPr>
          <w:rFonts w:ascii="宋体" w:hAnsi="宋体" w:eastAsia="宋体" w:cs="宋体"/>
          <w:sz w:val="20"/>
          <w:szCs w:val="20"/>
        </w:rPr>
      </w:pPr>
      <w:r>
        <w:rPr>
          <w:rFonts w:ascii="宋体" w:hAnsi="宋体" w:eastAsia="宋体" w:cs="宋体"/>
          <w:spacing w:val="10"/>
          <w:sz w:val="20"/>
          <w:szCs w:val="20"/>
        </w:rPr>
        <w:t>涉及的商品包装和快递包装，均应符合《商品包装政府采购需求</w:t>
      </w:r>
      <w:r>
        <w:rPr>
          <w:rFonts w:ascii="宋体" w:hAnsi="宋体" w:eastAsia="宋体" w:cs="宋体"/>
          <w:spacing w:val="9"/>
          <w:sz w:val="20"/>
          <w:szCs w:val="20"/>
        </w:rPr>
        <w:t>标准（试行）》《快递包装政</w:t>
      </w:r>
      <w:r>
        <w:rPr>
          <w:rFonts w:ascii="宋体" w:hAnsi="宋体" w:eastAsia="宋体" w:cs="宋体"/>
          <w:spacing w:val="10"/>
          <w:sz w:val="20"/>
          <w:szCs w:val="20"/>
        </w:rPr>
        <w:t>府采购需求标准（试行）》的要求，包装应适应于远距离运输、防潮、防震</w:t>
      </w:r>
      <w:r>
        <w:rPr>
          <w:rFonts w:ascii="宋体" w:hAnsi="宋体" w:eastAsia="宋体" w:cs="宋体"/>
          <w:spacing w:val="9"/>
          <w:sz w:val="20"/>
          <w:szCs w:val="20"/>
        </w:rPr>
        <w:t>、防锈和防野蛮装卸，以确保货物安全无损运抵指定地点。费用由供货方承担，包装物不回收。</w:t>
      </w:r>
    </w:p>
    <w:p>
      <w:pPr>
        <w:spacing w:before="1" w:line="227" w:lineRule="auto"/>
        <w:ind w:left="420"/>
        <w:rPr>
          <w:rFonts w:ascii="宋体" w:hAnsi="宋体" w:eastAsia="宋体" w:cs="宋体"/>
          <w:sz w:val="20"/>
          <w:szCs w:val="20"/>
        </w:rPr>
      </w:pPr>
      <w:r>
        <w:rPr>
          <w:rFonts w:ascii="宋体" w:hAnsi="宋体" w:eastAsia="宋体" w:cs="宋体"/>
          <w:b/>
          <w:bCs/>
          <w:spacing w:val="7"/>
          <w:sz w:val="20"/>
          <w:szCs w:val="20"/>
        </w:rPr>
        <w:t>第五条：运输方式及到达站港和费用负担：</w:t>
      </w:r>
    </w:p>
    <w:p>
      <w:pPr>
        <w:spacing w:before="161" w:line="227" w:lineRule="auto"/>
        <w:ind w:left="428"/>
        <w:rPr>
          <w:rFonts w:ascii="宋体" w:hAnsi="宋体" w:eastAsia="宋体" w:cs="宋体"/>
          <w:sz w:val="20"/>
          <w:szCs w:val="20"/>
        </w:rPr>
      </w:pPr>
      <w:r>
        <w:rPr>
          <w:rFonts w:ascii="宋体" w:hAnsi="宋体" w:eastAsia="宋体" w:cs="宋体"/>
          <w:spacing w:val="6"/>
          <w:sz w:val="20"/>
          <w:szCs w:val="20"/>
        </w:rPr>
        <w:t>收货地址：</w:t>
      </w:r>
    </w:p>
    <w:p>
      <w:pPr>
        <w:spacing w:before="162" w:line="228" w:lineRule="auto"/>
        <w:ind w:left="428"/>
        <w:rPr>
          <w:rFonts w:ascii="宋体" w:hAnsi="宋体" w:eastAsia="宋体" w:cs="宋体"/>
          <w:sz w:val="20"/>
          <w:szCs w:val="20"/>
        </w:rPr>
      </w:pPr>
      <w:r>
        <w:rPr>
          <w:rFonts w:ascii="宋体" w:hAnsi="宋体" w:eastAsia="宋体" w:cs="宋体"/>
          <w:spacing w:val="6"/>
          <w:sz w:val="20"/>
          <w:szCs w:val="20"/>
        </w:rPr>
        <w:t>收件人：</w:t>
      </w:r>
    </w:p>
    <w:p>
      <w:pPr>
        <w:spacing w:before="161" w:line="230" w:lineRule="auto"/>
        <w:ind w:left="445"/>
        <w:rPr>
          <w:rFonts w:ascii="宋体" w:hAnsi="宋体" w:eastAsia="宋体" w:cs="宋体"/>
          <w:sz w:val="20"/>
          <w:szCs w:val="20"/>
        </w:rPr>
      </w:pPr>
      <w:r>
        <w:rPr>
          <w:rFonts w:ascii="宋体" w:hAnsi="宋体" w:eastAsia="宋体" w:cs="宋体"/>
          <w:spacing w:val="-2"/>
          <w:sz w:val="20"/>
          <w:szCs w:val="20"/>
        </w:rPr>
        <w:t>电话：</w:t>
      </w:r>
    </w:p>
    <w:p>
      <w:pPr>
        <w:spacing w:before="41" w:line="227" w:lineRule="auto"/>
        <w:ind w:left="431"/>
        <w:rPr>
          <w:rFonts w:ascii="宋体" w:hAnsi="宋体" w:eastAsia="宋体" w:cs="宋体"/>
          <w:sz w:val="20"/>
          <w:szCs w:val="20"/>
        </w:rPr>
      </w:pPr>
      <w:r>
        <w:rPr>
          <w:rFonts w:ascii="宋体" w:hAnsi="宋体" w:eastAsia="宋体" w:cs="宋体"/>
          <w:spacing w:val="6"/>
          <w:sz w:val="20"/>
          <w:szCs w:val="20"/>
        </w:rPr>
        <w:t>费用由供货方承担。</w:t>
      </w:r>
    </w:p>
    <w:p>
      <w:pPr>
        <w:spacing w:before="161" w:line="228" w:lineRule="auto"/>
        <w:ind w:left="420"/>
        <w:rPr>
          <w:rFonts w:ascii="宋体" w:hAnsi="宋体" w:eastAsia="宋体" w:cs="宋体"/>
          <w:sz w:val="20"/>
          <w:szCs w:val="20"/>
        </w:rPr>
      </w:pPr>
      <w:bookmarkStart w:id="24" w:name="bookmark18"/>
      <w:bookmarkEnd w:id="24"/>
      <w:r>
        <w:rPr>
          <w:rFonts w:ascii="宋体" w:hAnsi="宋体" w:eastAsia="宋体" w:cs="宋体"/>
          <w:b/>
          <w:bCs/>
          <w:spacing w:val="7"/>
          <w:sz w:val="20"/>
          <w:szCs w:val="20"/>
        </w:rPr>
        <w:t>第六条：标的物所有权划分</w:t>
      </w:r>
    </w:p>
    <w:p>
      <w:pPr>
        <w:spacing w:before="162" w:line="377" w:lineRule="auto"/>
        <w:ind w:left="5" w:right="1" w:firstLine="415"/>
        <w:jc w:val="both"/>
        <w:rPr>
          <w:rFonts w:ascii="宋体" w:hAnsi="宋体" w:eastAsia="宋体" w:cs="宋体"/>
          <w:sz w:val="20"/>
          <w:szCs w:val="20"/>
        </w:rPr>
      </w:pPr>
      <w:r>
        <w:rPr>
          <w:rFonts w:ascii="宋体" w:hAnsi="宋体" w:eastAsia="宋体" w:cs="宋体"/>
          <w:spacing w:val="7"/>
          <w:sz w:val="20"/>
          <w:szCs w:val="20"/>
        </w:rPr>
        <w:t>标的物所有权自时起转移，但购货方未履行支付</w:t>
      </w:r>
      <w:r>
        <w:rPr>
          <w:rFonts w:ascii="宋体" w:hAnsi="宋体" w:eastAsia="宋体" w:cs="宋体"/>
          <w:spacing w:val="6"/>
          <w:sz w:val="20"/>
          <w:szCs w:val="20"/>
        </w:rPr>
        <w:t>价款义务的，归所有；产品在发</w:t>
      </w:r>
      <w:r>
        <w:rPr>
          <w:rFonts w:ascii="宋体" w:hAnsi="宋体" w:eastAsia="宋体" w:cs="宋体"/>
          <w:spacing w:val="10"/>
          <w:sz w:val="20"/>
          <w:szCs w:val="20"/>
        </w:rPr>
        <w:t>货时供货方需经办理保价运输、购货方在提取货物时请进行外</w:t>
      </w:r>
      <w:r>
        <w:rPr>
          <w:rFonts w:ascii="宋体" w:hAnsi="宋体" w:eastAsia="宋体" w:cs="宋体"/>
          <w:spacing w:val="9"/>
          <w:sz w:val="20"/>
          <w:szCs w:val="20"/>
        </w:rPr>
        <w:t>观验收，发现货损、货差要及时拍照并知会购货方，协助处理善后问题。货损货差没处理前请拒绝接收并向运输公司索赔；</w:t>
      </w:r>
    </w:p>
    <w:p>
      <w:pPr>
        <w:spacing w:before="1" w:line="226" w:lineRule="auto"/>
        <w:ind w:left="420"/>
        <w:rPr>
          <w:rFonts w:ascii="宋体" w:hAnsi="宋体" w:eastAsia="宋体" w:cs="宋体"/>
          <w:sz w:val="20"/>
          <w:szCs w:val="20"/>
        </w:rPr>
      </w:pPr>
      <w:r>
        <w:rPr>
          <w:rFonts w:ascii="宋体" w:hAnsi="宋体" w:eastAsia="宋体" w:cs="宋体"/>
          <w:b/>
          <w:bCs/>
          <w:spacing w:val="7"/>
          <w:sz w:val="20"/>
          <w:szCs w:val="20"/>
        </w:rPr>
        <w:t>第七条：交货期及结算方式：</w:t>
      </w:r>
    </w:p>
    <w:p>
      <w:pPr>
        <w:spacing w:before="164" w:line="228" w:lineRule="auto"/>
        <w:ind w:left="435"/>
        <w:rPr>
          <w:rFonts w:ascii="宋体" w:hAnsi="宋体" w:eastAsia="宋体" w:cs="宋体"/>
          <w:sz w:val="20"/>
          <w:szCs w:val="20"/>
        </w:rPr>
      </w:pPr>
      <w:r>
        <w:rPr>
          <w:rFonts w:ascii="宋体" w:hAnsi="宋体" w:eastAsia="宋体" w:cs="宋体"/>
          <w:spacing w:val="6"/>
          <w:sz w:val="20"/>
          <w:szCs w:val="20"/>
        </w:rPr>
        <w:t>1、交付期限：合同签订后</w:t>
      </w:r>
      <w:r>
        <w:rPr>
          <w:rFonts w:hint="eastAsia" w:ascii="宋体" w:hAnsi="宋体" w:eastAsia="宋体" w:cs="宋体"/>
          <w:spacing w:val="6"/>
          <w:sz w:val="20"/>
          <w:szCs w:val="20"/>
          <w:lang w:val="en-US" w:eastAsia="zh-CN"/>
        </w:rPr>
        <w:t>7</w:t>
      </w:r>
      <w:r>
        <w:rPr>
          <w:rFonts w:ascii="宋体" w:hAnsi="宋体" w:eastAsia="宋体" w:cs="宋体"/>
          <w:spacing w:val="6"/>
          <w:sz w:val="20"/>
          <w:szCs w:val="20"/>
        </w:rPr>
        <w:t>个日历日内完成。</w:t>
      </w:r>
    </w:p>
    <w:p>
      <w:pPr>
        <w:spacing w:before="161" w:line="227" w:lineRule="auto"/>
        <w:ind w:left="422"/>
        <w:rPr>
          <w:rFonts w:ascii="宋体" w:hAnsi="宋体" w:eastAsia="宋体" w:cs="宋体"/>
          <w:sz w:val="20"/>
          <w:szCs w:val="20"/>
        </w:rPr>
      </w:pPr>
      <w:r>
        <w:rPr>
          <w:rFonts w:ascii="宋体" w:hAnsi="宋体" w:eastAsia="宋体" w:cs="宋体"/>
          <w:spacing w:val="9"/>
          <w:sz w:val="20"/>
          <w:szCs w:val="20"/>
        </w:rPr>
        <w:t>2、交货地点：</w:t>
      </w:r>
      <w:r>
        <w:rPr>
          <w:rFonts w:hint="eastAsia" w:ascii="宋体" w:hAnsi="宋体" w:eastAsia="宋体" w:cs="宋体"/>
          <w:spacing w:val="9"/>
          <w:sz w:val="20"/>
          <w:szCs w:val="20"/>
          <w:lang w:eastAsia="zh-CN"/>
        </w:rPr>
        <w:t>大荔县人民法院</w:t>
      </w:r>
      <w:r>
        <w:rPr>
          <w:rFonts w:ascii="宋体" w:hAnsi="宋体" w:eastAsia="宋体" w:cs="宋体"/>
          <w:spacing w:val="8"/>
          <w:sz w:val="20"/>
          <w:szCs w:val="20"/>
        </w:rPr>
        <w:t>。</w:t>
      </w:r>
    </w:p>
    <w:p>
      <w:pPr>
        <w:spacing w:before="162" w:line="227" w:lineRule="auto"/>
        <w:ind w:left="424"/>
        <w:rPr>
          <w:rFonts w:ascii="宋体" w:hAnsi="宋体" w:eastAsia="宋体" w:cs="宋体"/>
          <w:sz w:val="20"/>
          <w:szCs w:val="20"/>
        </w:rPr>
      </w:pPr>
      <w:r>
        <w:rPr>
          <w:rFonts w:ascii="宋体" w:hAnsi="宋体" w:eastAsia="宋体" w:cs="宋体"/>
          <w:spacing w:val="8"/>
          <w:sz w:val="20"/>
          <w:szCs w:val="20"/>
        </w:rPr>
        <w:t>3、付款方式：货物配送到位，验收完成后一次性付款。</w:t>
      </w:r>
    </w:p>
    <w:p>
      <w:pPr>
        <w:spacing w:before="162" w:line="227" w:lineRule="auto"/>
        <w:ind w:left="419"/>
        <w:rPr>
          <w:rFonts w:ascii="宋体" w:hAnsi="宋体" w:eastAsia="宋体" w:cs="宋体"/>
          <w:sz w:val="20"/>
          <w:szCs w:val="20"/>
        </w:rPr>
      </w:pPr>
      <w:r>
        <w:rPr>
          <w:rFonts w:ascii="宋体" w:hAnsi="宋体" w:eastAsia="宋体" w:cs="宋体"/>
          <w:spacing w:val="9"/>
          <w:sz w:val="20"/>
          <w:szCs w:val="20"/>
        </w:rPr>
        <w:t>4、支付方式：银行转账。乙方须为甲方提供增值税发票。</w:t>
      </w:r>
    </w:p>
    <w:p>
      <w:pPr>
        <w:spacing w:before="162" w:line="228" w:lineRule="auto"/>
        <w:ind w:left="420"/>
        <w:rPr>
          <w:rFonts w:ascii="宋体" w:hAnsi="宋体" w:eastAsia="宋体" w:cs="宋体"/>
          <w:sz w:val="20"/>
          <w:szCs w:val="20"/>
        </w:rPr>
      </w:pPr>
      <w:r>
        <w:rPr>
          <w:rFonts w:ascii="宋体" w:hAnsi="宋体" w:eastAsia="宋体" w:cs="宋体"/>
          <w:b/>
          <w:bCs/>
          <w:spacing w:val="6"/>
          <w:sz w:val="20"/>
          <w:szCs w:val="20"/>
        </w:rPr>
        <w:t>第八条：违约责任：</w:t>
      </w:r>
    </w:p>
    <w:p>
      <w:pPr>
        <w:spacing w:before="161" w:line="228" w:lineRule="auto"/>
        <w:ind w:left="421"/>
        <w:rPr>
          <w:rFonts w:ascii="宋体" w:hAnsi="宋体" w:eastAsia="宋体" w:cs="宋体"/>
          <w:sz w:val="20"/>
          <w:szCs w:val="20"/>
        </w:rPr>
      </w:pPr>
      <w:r>
        <w:rPr>
          <w:rFonts w:ascii="宋体" w:hAnsi="宋体" w:eastAsia="宋体" w:cs="宋体"/>
          <w:spacing w:val="8"/>
          <w:sz w:val="20"/>
          <w:szCs w:val="20"/>
        </w:rPr>
        <w:t>按《民典法》有关条款办理。</w:t>
      </w:r>
    </w:p>
    <w:p>
      <w:pPr>
        <w:spacing w:before="163" w:line="228" w:lineRule="auto"/>
        <w:ind w:left="420"/>
        <w:rPr>
          <w:rFonts w:ascii="宋体" w:hAnsi="宋体" w:eastAsia="宋体" w:cs="宋体"/>
          <w:sz w:val="20"/>
          <w:szCs w:val="20"/>
        </w:rPr>
      </w:pPr>
      <w:r>
        <w:rPr>
          <w:rFonts w:ascii="宋体" w:hAnsi="宋体" w:eastAsia="宋体" w:cs="宋体"/>
          <w:b/>
          <w:bCs/>
          <w:spacing w:val="6"/>
          <w:sz w:val="20"/>
          <w:szCs w:val="20"/>
        </w:rPr>
        <w:t>第九条：争议解决方式：</w:t>
      </w:r>
    </w:p>
    <w:p>
      <w:pPr>
        <w:spacing w:before="162" w:line="377" w:lineRule="auto"/>
        <w:ind w:right="40" w:firstLine="420"/>
        <w:rPr>
          <w:rFonts w:ascii="宋体" w:hAnsi="宋体" w:eastAsia="宋体" w:cs="宋体"/>
          <w:sz w:val="20"/>
          <w:szCs w:val="20"/>
        </w:rPr>
      </w:pPr>
      <w:r>
        <w:rPr>
          <w:rFonts w:ascii="宋体" w:hAnsi="宋体" w:eastAsia="宋体" w:cs="宋体"/>
          <w:spacing w:val="10"/>
          <w:sz w:val="20"/>
          <w:szCs w:val="20"/>
        </w:rPr>
        <w:t>本合同生效后，在执行过程中如发生争议，双方友好协商解决，协</w:t>
      </w:r>
      <w:r>
        <w:rPr>
          <w:rFonts w:ascii="宋体" w:hAnsi="宋体" w:eastAsia="宋体" w:cs="宋体"/>
          <w:spacing w:val="9"/>
          <w:sz w:val="20"/>
          <w:szCs w:val="20"/>
        </w:rPr>
        <w:t>商不成时，依法向提起诉讼</w:t>
      </w:r>
      <w:r>
        <w:rPr>
          <w:rFonts w:ascii="宋体" w:hAnsi="宋体" w:eastAsia="宋体" w:cs="宋体"/>
          <w:spacing w:val="10"/>
          <w:sz w:val="20"/>
          <w:szCs w:val="20"/>
        </w:rPr>
        <w:t>方人民法院提起诉讼解决。任何一方违反本合同约定义务的，应当承担</w:t>
      </w:r>
      <w:r>
        <w:rPr>
          <w:rFonts w:ascii="宋体" w:hAnsi="宋体" w:eastAsia="宋体" w:cs="宋体"/>
          <w:spacing w:val="9"/>
          <w:sz w:val="20"/>
          <w:szCs w:val="20"/>
        </w:rPr>
        <w:t>相应的违约责任，并承担由</w:t>
      </w:r>
      <w:r>
        <w:rPr>
          <w:rFonts w:ascii="宋体" w:hAnsi="宋体" w:eastAsia="宋体" w:cs="宋体"/>
          <w:spacing w:val="10"/>
          <w:sz w:val="20"/>
          <w:szCs w:val="20"/>
        </w:rPr>
        <w:t>此给守约方造成的损失，包括守约方为实现债权，而支付的债律师费、</w:t>
      </w:r>
      <w:r>
        <w:rPr>
          <w:rFonts w:ascii="宋体" w:hAnsi="宋体" w:eastAsia="宋体" w:cs="宋体"/>
          <w:spacing w:val="9"/>
          <w:sz w:val="20"/>
          <w:szCs w:val="20"/>
        </w:rPr>
        <w:t>公证费、鉴定费、保全费、</w:t>
      </w:r>
      <w:r>
        <w:rPr>
          <w:rFonts w:ascii="宋体" w:hAnsi="宋体" w:eastAsia="宋体" w:cs="宋体"/>
          <w:spacing w:val="5"/>
          <w:sz w:val="20"/>
          <w:szCs w:val="20"/>
        </w:rPr>
        <w:t>差旅费等。</w:t>
      </w:r>
    </w:p>
    <w:p>
      <w:pPr>
        <w:spacing w:before="1" w:line="352" w:lineRule="auto"/>
        <w:ind w:firstLine="420"/>
        <w:rPr>
          <w:rFonts w:ascii="宋体" w:hAnsi="宋体" w:eastAsia="宋体" w:cs="宋体"/>
          <w:sz w:val="20"/>
          <w:szCs w:val="20"/>
        </w:rPr>
      </w:pPr>
      <w:r>
        <w:rPr>
          <w:rFonts w:ascii="宋体" w:hAnsi="宋体" w:eastAsia="宋体" w:cs="宋体"/>
          <w:b/>
          <w:bCs/>
          <w:spacing w:val="10"/>
          <w:sz w:val="20"/>
          <w:szCs w:val="20"/>
        </w:rPr>
        <w:t>第十条：</w:t>
      </w:r>
      <w:r>
        <w:rPr>
          <w:rFonts w:ascii="宋体" w:hAnsi="宋体" w:eastAsia="宋体" w:cs="宋体"/>
          <w:spacing w:val="10"/>
          <w:sz w:val="20"/>
          <w:szCs w:val="20"/>
        </w:rPr>
        <w:t>双方均确认本合同的联系地址、电</w:t>
      </w:r>
      <w:r>
        <w:rPr>
          <w:rFonts w:ascii="宋体" w:hAnsi="宋体" w:eastAsia="宋体" w:cs="宋体"/>
          <w:spacing w:val="9"/>
          <w:sz w:val="20"/>
          <w:szCs w:val="20"/>
        </w:rPr>
        <w:t>话、电子邮件地址为有效的通讯方式，双方的联系方式变更的，应当变更后2日内以书面形式告知对方。如因履行合同发生纠纷进入诉讼、执行</w:t>
      </w:r>
      <w:r>
        <w:rPr>
          <w:rFonts w:ascii="宋体" w:hAnsi="宋体" w:eastAsia="宋体" w:cs="宋体"/>
          <w:spacing w:val="8"/>
          <w:sz w:val="20"/>
          <w:szCs w:val="20"/>
        </w:rPr>
        <w:t>或仲</w:t>
      </w:r>
      <w:r>
        <w:rPr>
          <w:rFonts w:ascii="宋体" w:hAnsi="宋体" w:eastAsia="宋体" w:cs="宋体"/>
          <w:spacing w:val="9"/>
          <w:sz w:val="20"/>
          <w:szCs w:val="20"/>
        </w:rPr>
        <w:t>裁程序，该合同约定地址为法律文书直接送达、邮寄送达、电话录音送达、电</w:t>
      </w:r>
      <w:r>
        <w:rPr>
          <w:rFonts w:ascii="宋体" w:hAnsi="宋体" w:eastAsia="宋体" w:cs="宋体"/>
          <w:spacing w:val="8"/>
          <w:sz w:val="20"/>
          <w:szCs w:val="20"/>
        </w:rPr>
        <w:t>子送达的地址。因当</w:t>
      </w:r>
      <w:r>
        <w:rPr>
          <w:rFonts w:ascii="宋体" w:hAnsi="宋体" w:eastAsia="宋体" w:cs="宋体"/>
          <w:spacing w:val="11"/>
          <w:sz w:val="20"/>
          <w:szCs w:val="20"/>
        </w:rPr>
        <w:t>事人提供或者确认的送达地址不准确、送达地址变更后未及时依程序</w:t>
      </w:r>
      <w:r>
        <w:rPr>
          <w:rFonts w:ascii="宋体" w:hAnsi="宋体" w:eastAsia="宋体" w:cs="宋体"/>
          <w:spacing w:val="10"/>
          <w:sz w:val="20"/>
          <w:szCs w:val="20"/>
        </w:rPr>
        <w:t>告知对方和法院、当事人或指定的接收人拒绝签收等原因，导致法律文书未能被当事人实际接收的，邮</w:t>
      </w:r>
      <w:r>
        <w:rPr>
          <w:rFonts w:ascii="宋体" w:hAnsi="宋体" w:eastAsia="宋体" w:cs="宋体"/>
          <w:spacing w:val="9"/>
          <w:sz w:val="20"/>
          <w:szCs w:val="20"/>
        </w:rPr>
        <w:t>寄送达的，以文书退回之日视为送达之日；直接送达的，法律文书留在该地址之日为送达之日。</w:t>
      </w:r>
    </w:p>
    <w:p>
      <w:pPr>
        <w:spacing w:before="162" w:line="302" w:lineRule="auto"/>
        <w:ind w:left="5" w:right="1" w:firstLine="414"/>
        <w:rPr>
          <w:rFonts w:ascii="宋体" w:hAnsi="宋体" w:eastAsia="宋体" w:cs="宋体"/>
          <w:sz w:val="20"/>
          <w:szCs w:val="20"/>
        </w:rPr>
      </w:pPr>
      <w:r>
        <w:rPr>
          <w:rFonts w:ascii="宋体" w:hAnsi="宋体" w:eastAsia="宋体" w:cs="宋体"/>
          <w:b/>
          <w:bCs/>
          <w:spacing w:val="6"/>
          <w:sz w:val="20"/>
          <w:szCs w:val="20"/>
        </w:rPr>
        <w:t>第十一条：</w:t>
      </w:r>
      <w:r>
        <w:rPr>
          <w:rFonts w:ascii="宋体" w:hAnsi="宋体" w:eastAsia="宋体" w:cs="宋体"/>
          <w:spacing w:val="6"/>
          <w:sz w:val="20"/>
          <w:szCs w:val="20"/>
        </w:rPr>
        <w:t>其他约定事项与本合同解除的条件：如有合同变更,应提前3日书面通知对方；如遇</w:t>
      </w:r>
      <w:r>
        <w:rPr>
          <w:rFonts w:ascii="宋体" w:hAnsi="宋体" w:eastAsia="宋体" w:cs="宋体"/>
          <w:spacing w:val="9"/>
          <w:sz w:val="20"/>
          <w:szCs w:val="20"/>
        </w:rPr>
        <w:t>《民典法》所规定的不可抗力，双方协商解</w:t>
      </w:r>
      <w:r>
        <w:rPr>
          <w:rFonts w:ascii="宋体" w:hAnsi="宋体" w:eastAsia="宋体" w:cs="宋体"/>
          <w:spacing w:val="8"/>
          <w:sz w:val="20"/>
          <w:szCs w:val="20"/>
        </w:rPr>
        <w:t>除合同。</w:t>
      </w:r>
    </w:p>
    <w:p>
      <w:pPr>
        <w:spacing w:before="161" w:line="227" w:lineRule="auto"/>
        <w:ind w:left="420"/>
        <w:rPr>
          <w:rFonts w:ascii="宋体" w:hAnsi="宋体" w:eastAsia="宋体" w:cs="宋体"/>
          <w:sz w:val="20"/>
          <w:szCs w:val="20"/>
        </w:rPr>
      </w:pPr>
      <w:r>
        <w:rPr>
          <w:rFonts w:ascii="宋体" w:hAnsi="宋体" w:eastAsia="宋体" w:cs="宋体"/>
          <w:b/>
          <w:bCs/>
          <w:spacing w:val="9"/>
          <w:sz w:val="20"/>
          <w:szCs w:val="20"/>
        </w:rPr>
        <w:t>第十二条：</w:t>
      </w:r>
      <w:r>
        <w:rPr>
          <w:rFonts w:ascii="宋体" w:hAnsi="宋体" w:eastAsia="宋体" w:cs="宋体"/>
          <w:spacing w:val="9"/>
          <w:sz w:val="20"/>
          <w:szCs w:val="20"/>
        </w:rPr>
        <w:t>本合同一式两份、双方各执一份；传真件与原件具有同等法律效力。</w:t>
      </w:r>
    </w:p>
    <w:p>
      <w:pPr>
        <w:spacing w:before="41" w:line="227" w:lineRule="auto"/>
        <w:ind w:left="438"/>
        <w:rPr>
          <w:rFonts w:ascii="宋体" w:hAnsi="宋体" w:eastAsia="宋体" w:cs="宋体"/>
          <w:sz w:val="20"/>
          <w:szCs w:val="20"/>
        </w:rPr>
      </w:pPr>
      <w:r>
        <w:rPr>
          <w:rFonts w:ascii="宋体" w:hAnsi="宋体" w:eastAsia="宋体" w:cs="宋体"/>
          <w:spacing w:val="7"/>
          <w:sz w:val="20"/>
          <w:szCs w:val="20"/>
        </w:rPr>
        <w:t>（以下为签字盖章页）</w:t>
      </w:r>
    </w:p>
    <w:tbl>
      <w:tblPr>
        <w:tblStyle w:val="19"/>
        <w:tblW w:w="99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52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682" w:type="dxa"/>
            <w:vAlign w:val="top"/>
          </w:tcPr>
          <w:p>
            <w:pPr>
              <w:spacing w:before="58" w:line="227" w:lineRule="auto"/>
              <w:ind w:left="114"/>
            </w:pPr>
            <w:r>
              <w:rPr>
                <w:spacing w:val="7"/>
              </w:rPr>
              <w:t>购货方</w:t>
            </w:r>
          </w:p>
        </w:tc>
        <w:tc>
          <w:tcPr>
            <w:tcW w:w="5221" w:type="dxa"/>
            <w:vAlign w:val="top"/>
          </w:tcPr>
          <w:p>
            <w:pPr>
              <w:spacing w:before="58" w:line="227" w:lineRule="auto"/>
              <w:ind w:left="114"/>
            </w:pPr>
            <w:r>
              <w:rPr>
                <w:spacing w:val="6"/>
              </w:rPr>
              <w:t>供货方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682" w:type="dxa"/>
            <w:vAlign w:val="top"/>
          </w:tcPr>
          <w:p>
            <w:pPr>
              <w:spacing w:before="54" w:line="227" w:lineRule="auto"/>
              <w:ind w:left="114"/>
            </w:pPr>
            <w:r>
              <w:rPr>
                <w:spacing w:val="8"/>
              </w:rPr>
              <w:t>购货方（盖章</w:t>
            </w:r>
            <w:r>
              <w:rPr>
                <w:spacing w:val="1"/>
              </w:rPr>
              <w:t>）：</w:t>
            </w:r>
          </w:p>
        </w:tc>
        <w:tc>
          <w:tcPr>
            <w:tcW w:w="5221" w:type="dxa"/>
            <w:vAlign w:val="top"/>
          </w:tcPr>
          <w:p>
            <w:pPr>
              <w:spacing w:before="54" w:line="227" w:lineRule="auto"/>
              <w:ind w:left="114"/>
            </w:pPr>
            <w:r>
              <w:rPr>
                <w:spacing w:val="8"/>
              </w:rPr>
              <w:t>供货方（章</w:t>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682" w:type="dxa"/>
            <w:vAlign w:val="top"/>
          </w:tcPr>
          <w:p>
            <w:pPr>
              <w:spacing w:before="54" w:line="237" w:lineRule="auto"/>
              <w:ind w:left="116"/>
            </w:pPr>
            <w:r>
              <w:rPr>
                <w:spacing w:val="3"/>
              </w:rPr>
              <w:t>地址：</w:t>
            </w:r>
          </w:p>
        </w:tc>
        <w:tc>
          <w:tcPr>
            <w:tcW w:w="5221" w:type="dxa"/>
            <w:vAlign w:val="top"/>
          </w:tcPr>
          <w:p>
            <w:pPr>
              <w:spacing w:before="54" w:line="237" w:lineRule="auto"/>
              <w:ind w:left="114"/>
            </w:pPr>
            <w:r>
              <w:rPr>
                <w:spacing w:val="3"/>
              </w:rPr>
              <w:t>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682" w:type="dxa"/>
            <w:vAlign w:val="top"/>
          </w:tcPr>
          <w:p>
            <w:pPr>
              <w:spacing w:before="55" w:line="228" w:lineRule="auto"/>
              <w:ind w:left="116"/>
            </w:pPr>
            <w:r>
              <w:rPr>
                <w:spacing w:val="6"/>
              </w:rPr>
              <w:t>法定代表人：</w:t>
            </w:r>
          </w:p>
        </w:tc>
        <w:tc>
          <w:tcPr>
            <w:tcW w:w="5221" w:type="dxa"/>
            <w:vAlign w:val="top"/>
          </w:tcPr>
          <w:p>
            <w:pPr>
              <w:spacing w:before="55" w:line="228" w:lineRule="auto"/>
              <w:ind w:left="114"/>
            </w:pPr>
            <w:r>
              <w:rPr>
                <w:spacing w:val="6"/>
              </w:rPr>
              <w:t>法定代表人：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682" w:type="dxa"/>
            <w:vAlign w:val="top"/>
          </w:tcPr>
          <w:p>
            <w:pPr>
              <w:spacing w:before="55" w:line="228" w:lineRule="auto"/>
              <w:ind w:left="115"/>
            </w:pPr>
            <w:r>
              <w:rPr>
                <w:spacing w:val="6"/>
              </w:rPr>
              <w:t>委托代表人：</w:t>
            </w:r>
          </w:p>
        </w:tc>
        <w:tc>
          <w:tcPr>
            <w:tcW w:w="5221" w:type="dxa"/>
            <w:vAlign w:val="top"/>
          </w:tcPr>
          <w:p>
            <w:pPr>
              <w:spacing w:before="55" w:line="228" w:lineRule="auto"/>
              <w:ind w:left="113"/>
            </w:pPr>
            <w:r>
              <w:rPr>
                <w:spacing w:val="6"/>
              </w:rPr>
              <w:t>委托代表人：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682" w:type="dxa"/>
            <w:vAlign w:val="top"/>
          </w:tcPr>
          <w:p>
            <w:pPr>
              <w:spacing w:before="56" w:line="230" w:lineRule="auto"/>
              <w:ind w:left="140"/>
            </w:pPr>
            <w:r>
              <w:rPr>
                <w:spacing w:val="-5"/>
              </w:rPr>
              <w:t>电话：</w:t>
            </w:r>
          </w:p>
        </w:tc>
        <w:tc>
          <w:tcPr>
            <w:tcW w:w="5221" w:type="dxa"/>
            <w:vAlign w:val="top"/>
          </w:tcPr>
          <w:p>
            <w:pPr>
              <w:spacing w:before="56" w:line="230" w:lineRule="auto"/>
              <w:ind w:left="138"/>
            </w:pPr>
            <w:r>
              <w:rPr>
                <w:spacing w:val="-5"/>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682" w:type="dxa"/>
            <w:vAlign w:val="top"/>
          </w:tcPr>
          <w:p>
            <w:pPr>
              <w:rPr>
                <w:rFonts w:ascii="Arial"/>
                <w:sz w:val="21"/>
              </w:rPr>
            </w:pPr>
          </w:p>
        </w:tc>
        <w:tc>
          <w:tcPr>
            <w:tcW w:w="5221" w:type="dxa"/>
            <w:vAlign w:val="top"/>
          </w:tcPr>
          <w:p>
            <w:pPr>
              <w:spacing w:before="58" w:line="228" w:lineRule="auto"/>
              <w:ind w:left="114"/>
            </w:pPr>
            <w:r>
              <w:rPr>
                <w:spacing w:val="5"/>
              </w:rPr>
              <w:t>开户银行：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682" w:type="dxa"/>
            <w:vAlign w:val="top"/>
          </w:tcPr>
          <w:p>
            <w:pPr>
              <w:rPr>
                <w:rFonts w:ascii="Arial"/>
                <w:sz w:val="21"/>
              </w:rPr>
            </w:pPr>
          </w:p>
        </w:tc>
        <w:tc>
          <w:tcPr>
            <w:tcW w:w="5221" w:type="dxa"/>
            <w:vAlign w:val="top"/>
          </w:tcPr>
          <w:p>
            <w:pPr>
              <w:spacing w:before="58" w:line="228" w:lineRule="auto"/>
              <w:ind w:left="117"/>
            </w:pPr>
            <w:r>
              <w:rPr>
                <w:spacing w:val="2"/>
              </w:rPr>
              <w:t>账户：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682" w:type="dxa"/>
            <w:vAlign w:val="top"/>
          </w:tcPr>
          <w:p>
            <w:pPr>
              <w:rPr>
                <w:rFonts w:ascii="Arial"/>
                <w:sz w:val="21"/>
              </w:rPr>
            </w:pPr>
          </w:p>
        </w:tc>
        <w:tc>
          <w:tcPr>
            <w:tcW w:w="5221" w:type="dxa"/>
            <w:vAlign w:val="top"/>
          </w:tcPr>
          <w:p>
            <w:pPr>
              <w:spacing w:before="57" w:line="228" w:lineRule="auto"/>
              <w:ind w:left="129"/>
            </w:pPr>
            <w:r>
              <w:rPr>
                <w:spacing w:val="2"/>
              </w:rPr>
              <w:t>邮政编码：</w:t>
            </w:r>
          </w:p>
        </w:tc>
      </w:tr>
    </w:tbl>
    <w:p>
      <w:pPr>
        <w:rPr>
          <w:rFonts w:ascii="宋体" w:hAnsi="宋体" w:eastAsia="宋体" w:cs="宋体"/>
          <w:b/>
          <w:bCs/>
          <w:spacing w:val="2"/>
          <w:sz w:val="31"/>
          <w:szCs w:val="31"/>
        </w:rPr>
      </w:pPr>
      <w:bookmarkStart w:id="25" w:name="bookmark19"/>
      <w:bookmarkEnd w:id="25"/>
      <w:r>
        <w:rPr>
          <w:rFonts w:ascii="宋体" w:hAnsi="宋体" w:eastAsia="宋体" w:cs="宋体"/>
          <w:b/>
          <w:bCs/>
          <w:spacing w:val="2"/>
          <w:sz w:val="31"/>
          <w:szCs w:val="31"/>
        </w:rPr>
        <w:br w:type="page"/>
      </w:r>
    </w:p>
    <w:p>
      <w:pPr>
        <w:pStyle w:val="2"/>
        <w:bidi w:val="0"/>
      </w:pPr>
      <w:bookmarkStart w:id="26" w:name="_Toc24472"/>
      <w:r>
        <w:t>第六章</w:t>
      </w:r>
      <w:r>
        <w:rPr>
          <w:rFonts w:hint="eastAsia"/>
          <w:lang w:val="en-US" w:eastAsia="zh-CN"/>
        </w:rPr>
        <w:t xml:space="preserve">  </w:t>
      </w:r>
      <w:r>
        <w:t>响应文件格式</w:t>
      </w:r>
      <w:bookmarkEnd w:id="26"/>
    </w:p>
    <w:p>
      <w:pPr>
        <w:spacing w:before="42" w:line="224" w:lineRule="auto"/>
        <w:jc w:val="right"/>
        <w:rPr>
          <w:rFonts w:ascii="宋体" w:hAnsi="宋体" w:eastAsia="宋体" w:cs="宋体"/>
          <w:sz w:val="35"/>
          <w:szCs w:val="35"/>
        </w:rPr>
      </w:pPr>
      <w:r>
        <w:rPr>
          <w:rFonts w:ascii="宋体" w:hAnsi="宋体" w:eastAsia="宋体" w:cs="宋体"/>
          <w:b/>
          <w:bCs/>
          <w:spacing w:val="2"/>
          <w:sz w:val="35"/>
          <w:szCs w:val="35"/>
        </w:rPr>
        <w:t>正本/副本</w:t>
      </w:r>
    </w:p>
    <w:p>
      <w:pPr>
        <w:spacing w:before="131" w:line="224" w:lineRule="auto"/>
        <w:rPr>
          <w:rFonts w:hint="eastAsia" w:ascii="宋体" w:hAnsi="宋体" w:eastAsia="宋体" w:cs="宋体"/>
          <w:sz w:val="31"/>
          <w:szCs w:val="31"/>
          <w:lang w:eastAsia="zh-CN"/>
        </w:rPr>
      </w:pPr>
      <w:r>
        <w:rPr>
          <w:rFonts w:ascii="宋体" w:hAnsi="宋体" w:eastAsia="宋体" w:cs="宋体"/>
          <w:b/>
          <w:bCs/>
          <w:spacing w:val="5"/>
          <w:sz w:val="31"/>
          <w:szCs w:val="31"/>
        </w:rPr>
        <w:t>采购项目编号：</w:t>
      </w:r>
      <w:r>
        <w:rPr>
          <w:rFonts w:hint="eastAsia" w:ascii="宋体" w:hAnsi="宋体" w:eastAsia="宋体" w:cs="宋体"/>
          <w:b/>
          <w:bCs/>
          <w:sz w:val="31"/>
          <w:szCs w:val="31"/>
          <w:lang w:eastAsia="zh-CN"/>
        </w:rPr>
        <w:t>HY-ZB-055-2025</w:t>
      </w:r>
    </w:p>
    <w:p>
      <w:pPr>
        <w:spacing w:before="140" w:line="223" w:lineRule="auto"/>
        <w:ind w:left="2773"/>
        <w:rPr>
          <w:rFonts w:hint="eastAsia" w:ascii="宋体" w:hAnsi="宋体" w:eastAsia="宋体" w:cs="宋体"/>
          <w:b/>
          <w:bCs/>
          <w:spacing w:val="4"/>
          <w:sz w:val="43"/>
          <w:szCs w:val="43"/>
          <w:lang w:eastAsia="zh-CN"/>
        </w:rPr>
      </w:pPr>
    </w:p>
    <w:p>
      <w:pPr>
        <w:spacing w:before="140" w:line="223" w:lineRule="auto"/>
        <w:ind w:left="2773"/>
        <w:rPr>
          <w:rFonts w:hint="eastAsia" w:ascii="宋体" w:hAnsi="宋体" w:eastAsia="宋体" w:cs="宋体"/>
          <w:b/>
          <w:bCs/>
          <w:spacing w:val="4"/>
          <w:sz w:val="43"/>
          <w:szCs w:val="43"/>
          <w:lang w:eastAsia="zh-CN"/>
        </w:rPr>
      </w:pPr>
    </w:p>
    <w:p>
      <w:pPr>
        <w:spacing w:before="140" w:line="223" w:lineRule="auto"/>
        <w:ind w:left="2773"/>
        <w:rPr>
          <w:rFonts w:hint="eastAsia" w:ascii="宋体" w:hAnsi="宋体" w:eastAsia="宋体" w:cs="宋体"/>
          <w:b/>
          <w:bCs/>
          <w:spacing w:val="4"/>
          <w:sz w:val="43"/>
          <w:szCs w:val="43"/>
          <w:lang w:eastAsia="zh-CN"/>
        </w:rPr>
      </w:pPr>
    </w:p>
    <w:p>
      <w:pPr>
        <w:spacing w:before="140" w:line="223" w:lineRule="auto"/>
        <w:jc w:val="center"/>
        <w:rPr>
          <w:rFonts w:hint="eastAsia" w:ascii="宋体" w:hAnsi="宋体" w:eastAsia="宋体" w:cs="宋体"/>
          <w:sz w:val="43"/>
          <w:szCs w:val="43"/>
          <w:lang w:eastAsia="zh-CN"/>
        </w:rPr>
      </w:pPr>
      <w:r>
        <w:rPr>
          <w:rFonts w:hint="eastAsia" w:ascii="宋体" w:hAnsi="宋体" w:eastAsia="宋体" w:cs="宋体"/>
          <w:b/>
          <w:bCs/>
          <w:spacing w:val="4"/>
          <w:sz w:val="43"/>
          <w:szCs w:val="43"/>
          <w:lang w:eastAsia="zh-CN"/>
        </w:rPr>
        <w:t>工作服装购置项目</w:t>
      </w:r>
    </w:p>
    <w:p>
      <w:pPr>
        <w:spacing w:before="114" w:line="225" w:lineRule="auto"/>
        <w:ind w:left="2913"/>
        <w:rPr>
          <w:rFonts w:ascii="宋体" w:hAnsi="宋体" w:eastAsia="宋体" w:cs="宋体"/>
          <w:b/>
          <w:bCs/>
          <w:spacing w:val="5"/>
          <w:sz w:val="35"/>
          <w:szCs w:val="35"/>
        </w:rPr>
      </w:pPr>
    </w:p>
    <w:p>
      <w:pPr>
        <w:spacing w:before="114" w:line="225" w:lineRule="auto"/>
        <w:ind w:left="2913"/>
        <w:rPr>
          <w:rFonts w:ascii="宋体" w:hAnsi="宋体" w:eastAsia="宋体" w:cs="宋体"/>
          <w:b/>
          <w:bCs/>
          <w:spacing w:val="5"/>
          <w:sz w:val="35"/>
          <w:szCs w:val="35"/>
        </w:rPr>
      </w:pPr>
    </w:p>
    <w:p>
      <w:pPr>
        <w:spacing w:before="114" w:line="225" w:lineRule="auto"/>
        <w:ind w:left="2913"/>
        <w:rPr>
          <w:rFonts w:ascii="宋体" w:hAnsi="宋体" w:eastAsia="宋体" w:cs="宋体"/>
          <w:b/>
          <w:bCs/>
          <w:spacing w:val="5"/>
          <w:sz w:val="35"/>
          <w:szCs w:val="35"/>
        </w:rPr>
      </w:pPr>
    </w:p>
    <w:p>
      <w:pPr>
        <w:spacing w:before="114" w:line="225" w:lineRule="auto"/>
        <w:jc w:val="center"/>
        <w:rPr>
          <w:rFonts w:ascii="宋体" w:hAnsi="宋体" w:eastAsia="宋体" w:cs="宋体"/>
          <w:sz w:val="35"/>
          <w:szCs w:val="35"/>
        </w:rPr>
      </w:pPr>
      <w:r>
        <w:rPr>
          <w:rFonts w:ascii="宋体" w:hAnsi="宋体" w:eastAsia="宋体" w:cs="宋体"/>
          <w:b/>
          <w:bCs/>
          <w:spacing w:val="5"/>
          <w:sz w:val="35"/>
          <w:szCs w:val="35"/>
        </w:rPr>
        <w:t>竞争性谈判响应文件</w:t>
      </w:r>
    </w:p>
    <w:p>
      <w:pPr>
        <w:spacing w:before="91" w:line="219" w:lineRule="auto"/>
        <w:ind w:left="1161"/>
        <w:rPr>
          <w:rFonts w:ascii="宋体" w:hAnsi="宋体" w:eastAsia="宋体" w:cs="宋体"/>
          <w:b/>
          <w:bCs/>
          <w:spacing w:val="1"/>
          <w:sz w:val="28"/>
          <w:szCs w:val="28"/>
        </w:rPr>
      </w:pPr>
    </w:p>
    <w:p>
      <w:pPr>
        <w:spacing w:before="91" w:line="219" w:lineRule="auto"/>
        <w:ind w:left="1161"/>
        <w:rPr>
          <w:rFonts w:ascii="宋体" w:hAnsi="宋体" w:eastAsia="宋体" w:cs="宋体"/>
          <w:b/>
          <w:bCs/>
          <w:spacing w:val="1"/>
          <w:sz w:val="28"/>
          <w:szCs w:val="28"/>
        </w:rPr>
      </w:pPr>
    </w:p>
    <w:p>
      <w:pPr>
        <w:spacing w:before="91" w:line="219" w:lineRule="auto"/>
        <w:ind w:left="1161"/>
        <w:rPr>
          <w:rFonts w:ascii="宋体" w:hAnsi="宋体" w:eastAsia="宋体" w:cs="宋体"/>
          <w:b/>
          <w:bCs/>
          <w:spacing w:val="1"/>
          <w:sz w:val="28"/>
          <w:szCs w:val="28"/>
        </w:rPr>
      </w:pPr>
    </w:p>
    <w:p>
      <w:pPr>
        <w:spacing w:before="91" w:line="219" w:lineRule="auto"/>
        <w:ind w:left="1161"/>
        <w:rPr>
          <w:rFonts w:ascii="宋体" w:hAnsi="宋体" w:eastAsia="宋体" w:cs="宋体"/>
          <w:b/>
          <w:bCs/>
          <w:spacing w:val="1"/>
          <w:sz w:val="28"/>
          <w:szCs w:val="28"/>
        </w:rPr>
      </w:pPr>
    </w:p>
    <w:p>
      <w:pPr>
        <w:spacing w:before="91" w:line="219" w:lineRule="auto"/>
        <w:ind w:left="1161"/>
        <w:rPr>
          <w:rFonts w:ascii="宋体" w:hAnsi="宋体" w:eastAsia="宋体" w:cs="宋体"/>
          <w:b/>
          <w:bCs/>
          <w:spacing w:val="1"/>
          <w:sz w:val="28"/>
          <w:szCs w:val="28"/>
        </w:rPr>
      </w:pPr>
    </w:p>
    <w:p>
      <w:pPr>
        <w:spacing w:before="91" w:line="219" w:lineRule="auto"/>
        <w:ind w:left="1161"/>
        <w:rPr>
          <w:rFonts w:ascii="宋体" w:hAnsi="宋体" w:eastAsia="宋体" w:cs="宋体"/>
          <w:sz w:val="28"/>
          <w:szCs w:val="28"/>
        </w:rPr>
      </w:pPr>
      <w:r>
        <w:rPr>
          <w:rFonts w:ascii="宋体" w:hAnsi="宋体" w:eastAsia="宋体" w:cs="宋体"/>
          <w:b/>
          <w:bCs/>
          <w:spacing w:val="1"/>
          <w:sz w:val="28"/>
          <w:szCs w:val="28"/>
        </w:rPr>
        <w:t>供应商名称</w:t>
      </w:r>
      <w:r>
        <w:rPr>
          <w:rFonts w:ascii="宋体" w:hAnsi="宋体" w:eastAsia="宋体" w:cs="宋体"/>
          <w:b/>
          <w:bCs/>
          <w:spacing w:val="-39"/>
          <w:sz w:val="28"/>
          <w:szCs w:val="28"/>
        </w:rPr>
        <w:t>：</w:t>
      </w:r>
      <w:r>
        <w:rPr>
          <w:rFonts w:hint="eastAsia" w:ascii="宋体" w:hAnsi="宋体" w:eastAsia="宋体" w:cs="宋体"/>
          <w:b/>
          <w:bCs/>
          <w:spacing w:val="-39"/>
          <w:sz w:val="28"/>
          <w:szCs w:val="28"/>
          <w:u w:val="single"/>
          <w:lang w:val="en-US" w:eastAsia="zh-CN"/>
        </w:rPr>
        <w:t xml:space="preserve">                          </w:t>
      </w:r>
      <w:r>
        <w:rPr>
          <w:rFonts w:ascii="宋体" w:hAnsi="宋体" w:eastAsia="宋体" w:cs="宋体"/>
          <w:b/>
          <w:bCs/>
          <w:spacing w:val="-39"/>
          <w:sz w:val="28"/>
          <w:szCs w:val="28"/>
        </w:rPr>
        <w:t>（</w:t>
      </w:r>
      <w:r>
        <w:rPr>
          <w:rFonts w:ascii="宋体" w:hAnsi="宋体" w:eastAsia="宋体" w:cs="宋体"/>
          <w:b/>
          <w:bCs/>
          <w:spacing w:val="1"/>
          <w:sz w:val="28"/>
          <w:szCs w:val="28"/>
        </w:rPr>
        <w:t>公章）</w:t>
      </w:r>
    </w:p>
    <w:p>
      <w:pPr>
        <w:spacing w:before="92" w:line="219" w:lineRule="auto"/>
        <w:ind w:left="740"/>
        <w:rPr>
          <w:rFonts w:ascii="宋体" w:hAnsi="宋体" w:eastAsia="宋体" w:cs="宋体"/>
          <w:sz w:val="28"/>
          <w:szCs w:val="28"/>
        </w:rPr>
      </w:pPr>
      <w:r>
        <w:rPr>
          <w:rFonts w:ascii="宋体" w:hAnsi="宋体" w:eastAsia="宋体" w:cs="宋体"/>
          <w:b/>
          <w:bCs/>
          <w:spacing w:val="-1"/>
          <w:sz w:val="28"/>
          <w:szCs w:val="28"/>
        </w:rPr>
        <w:t>法定代表人或授权委托人</w:t>
      </w:r>
      <w:r>
        <w:rPr>
          <w:rFonts w:ascii="宋体" w:hAnsi="宋体" w:eastAsia="宋体" w:cs="宋体"/>
          <w:b/>
          <w:bCs/>
          <w:spacing w:val="-15"/>
          <w:sz w:val="28"/>
          <w:szCs w:val="28"/>
        </w:rPr>
        <w:t>：</w:t>
      </w:r>
      <w:r>
        <w:rPr>
          <w:rFonts w:hint="eastAsia" w:ascii="宋体" w:hAnsi="宋体" w:eastAsia="宋体" w:cs="宋体"/>
          <w:b/>
          <w:bCs/>
          <w:spacing w:val="-15"/>
          <w:sz w:val="28"/>
          <w:szCs w:val="28"/>
          <w:u w:val="single"/>
          <w:lang w:val="en-US" w:eastAsia="zh-CN"/>
        </w:rPr>
        <w:t xml:space="preserve">              </w:t>
      </w:r>
      <w:r>
        <w:rPr>
          <w:rFonts w:ascii="宋体" w:hAnsi="宋体" w:eastAsia="宋体" w:cs="宋体"/>
          <w:b/>
          <w:bCs/>
          <w:spacing w:val="-15"/>
          <w:sz w:val="28"/>
          <w:szCs w:val="28"/>
        </w:rPr>
        <w:t>（</w:t>
      </w:r>
      <w:r>
        <w:rPr>
          <w:rFonts w:ascii="宋体" w:hAnsi="宋体" w:eastAsia="宋体" w:cs="宋体"/>
          <w:b/>
          <w:bCs/>
          <w:spacing w:val="-1"/>
          <w:sz w:val="28"/>
          <w:szCs w:val="28"/>
        </w:rPr>
        <w:t>签字或盖章）</w:t>
      </w:r>
    </w:p>
    <w:p>
      <w:pPr>
        <w:spacing w:before="91" w:line="220" w:lineRule="auto"/>
        <w:ind w:left="2755"/>
        <w:rPr>
          <w:rFonts w:ascii="宋体" w:hAnsi="宋体" w:eastAsia="宋体" w:cs="宋体"/>
          <w:sz w:val="28"/>
          <w:szCs w:val="28"/>
        </w:rPr>
      </w:pPr>
      <w:r>
        <w:rPr>
          <w:rFonts w:ascii="宋体" w:hAnsi="宋体" w:eastAsia="宋体" w:cs="宋体"/>
          <w:b/>
          <w:bCs/>
          <w:spacing w:val="-20"/>
          <w:sz w:val="28"/>
          <w:szCs w:val="28"/>
        </w:rPr>
        <w:t>日期：</w:t>
      </w:r>
      <w:r>
        <w:rPr>
          <w:rFonts w:hint="eastAsia" w:ascii="宋体" w:hAnsi="宋体" w:eastAsia="宋体" w:cs="宋体"/>
          <w:b/>
          <w:bCs/>
          <w:spacing w:val="-20"/>
          <w:sz w:val="28"/>
          <w:szCs w:val="28"/>
          <w:lang w:val="en-US" w:eastAsia="zh-CN"/>
        </w:rPr>
        <w:t xml:space="preserve">      </w:t>
      </w:r>
      <w:r>
        <w:rPr>
          <w:rFonts w:ascii="宋体" w:hAnsi="宋体" w:eastAsia="宋体" w:cs="宋体"/>
          <w:b/>
          <w:bCs/>
          <w:spacing w:val="-20"/>
          <w:sz w:val="28"/>
          <w:szCs w:val="28"/>
        </w:rPr>
        <w:t>年</w:t>
      </w:r>
      <w:r>
        <w:rPr>
          <w:rFonts w:hint="eastAsia" w:ascii="宋体" w:hAnsi="宋体" w:eastAsia="宋体" w:cs="宋体"/>
          <w:b/>
          <w:bCs/>
          <w:spacing w:val="-20"/>
          <w:sz w:val="28"/>
          <w:szCs w:val="28"/>
          <w:lang w:val="en-US" w:eastAsia="zh-CN"/>
        </w:rPr>
        <w:t xml:space="preserve">   </w:t>
      </w:r>
      <w:r>
        <w:rPr>
          <w:rFonts w:ascii="宋体" w:hAnsi="宋体" w:eastAsia="宋体" w:cs="宋体"/>
          <w:b/>
          <w:bCs/>
          <w:spacing w:val="-20"/>
          <w:sz w:val="28"/>
          <w:szCs w:val="28"/>
        </w:rPr>
        <w:t>月</w:t>
      </w:r>
      <w:r>
        <w:rPr>
          <w:rFonts w:hint="eastAsia" w:ascii="宋体" w:hAnsi="宋体" w:eastAsia="宋体" w:cs="宋体"/>
          <w:b/>
          <w:bCs/>
          <w:spacing w:val="-20"/>
          <w:sz w:val="28"/>
          <w:szCs w:val="28"/>
          <w:lang w:val="en-US" w:eastAsia="zh-CN"/>
        </w:rPr>
        <w:t xml:space="preserve">   </w:t>
      </w:r>
      <w:r>
        <w:rPr>
          <w:rFonts w:ascii="宋体" w:hAnsi="宋体" w:eastAsia="宋体" w:cs="宋体"/>
          <w:b/>
          <w:bCs/>
          <w:spacing w:val="-20"/>
          <w:sz w:val="28"/>
          <w:szCs w:val="28"/>
        </w:rPr>
        <w:t>日</w:t>
      </w:r>
    </w:p>
    <w:p>
      <w:pPr>
        <w:rPr>
          <w:rFonts w:ascii="宋体" w:hAnsi="宋体" w:eastAsia="宋体" w:cs="宋体"/>
          <w:b/>
          <w:bCs/>
          <w:spacing w:val="-41"/>
          <w:sz w:val="35"/>
          <w:szCs w:val="35"/>
        </w:rPr>
      </w:pPr>
      <w:r>
        <w:rPr>
          <w:rFonts w:ascii="宋体" w:hAnsi="宋体" w:eastAsia="宋体" w:cs="宋体"/>
          <w:b/>
          <w:bCs/>
          <w:spacing w:val="-41"/>
          <w:sz w:val="35"/>
          <w:szCs w:val="35"/>
        </w:rPr>
        <w:br w:type="page"/>
      </w:r>
    </w:p>
    <w:p>
      <w:pPr>
        <w:spacing w:before="76" w:line="227" w:lineRule="auto"/>
        <w:ind w:left="3692"/>
        <w:rPr>
          <w:rFonts w:ascii="宋体" w:hAnsi="宋体" w:eastAsia="宋体" w:cs="宋体"/>
          <w:sz w:val="35"/>
          <w:szCs w:val="35"/>
        </w:rPr>
      </w:pPr>
      <w:r>
        <w:rPr>
          <w:rFonts w:ascii="宋体" w:hAnsi="宋体" w:eastAsia="宋体" w:cs="宋体"/>
          <w:b/>
          <w:bCs/>
          <w:spacing w:val="-41"/>
          <w:sz w:val="35"/>
          <w:szCs w:val="35"/>
        </w:rPr>
        <w:t>目录</w:t>
      </w:r>
    </w:p>
    <w:p>
      <w:pPr>
        <w:spacing w:before="78" w:line="221" w:lineRule="auto"/>
        <w:ind w:left="859"/>
        <w:rPr>
          <w:rFonts w:ascii="宋体" w:hAnsi="宋体" w:eastAsia="宋体" w:cs="宋体"/>
          <w:sz w:val="24"/>
          <w:szCs w:val="24"/>
        </w:rPr>
      </w:pPr>
      <w:r>
        <w:rPr>
          <w:rFonts w:ascii="宋体" w:hAnsi="宋体" w:eastAsia="宋体" w:cs="宋体"/>
          <w:spacing w:val="-10"/>
          <w:sz w:val="24"/>
          <w:szCs w:val="24"/>
        </w:rPr>
        <w:t>1)响应函</w:t>
      </w:r>
    </w:p>
    <w:p>
      <w:pPr>
        <w:spacing w:before="178" w:line="218" w:lineRule="auto"/>
        <w:ind w:left="844"/>
        <w:rPr>
          <w:rFonts w:ascii="宋体" w:hAnsi="宋体" w:eastAsia="宋体" w:cs="宋体"/>
          <w:sz w:val="24"/>
          <w:szCs w:val="24"/>
        </w:rPr>
      </w:pPr>
      <w:r>
        <w:rPr>
          <w:rFonts w:ascii="宋体" w:hAnsi="宋体" w:eastAsia="宋体" w:cs="宋体"/>
          <w:spacing w:val="-2"/>
          <w:sz w:val="24"/>
          <w:szCs w:val="24"/>
        </w:rPr>
        <w:t>2)谈判报价表</w:t>
      </w:r>
    </w:p>
    <w:p>
      <w:pPr>
        <w:spacing w:before="185" w:line="219" w:lineRule="auto"/>
        <w:ind w:left="846"/>
        <w:rPr>
          <w:rFonts w:ascii="宋体" w:hAnsi="宋体" w:eastAsia="宋体" w:cs="宋体"/>
          <w:sz w:val="24"/>
          <w:szCs w:val="24"/>
        </w:rPr>
      </w:pPr>
      <w:r>
        <w:rPr>
          <w:rFonts w:ascii="宋体" w:hAnsi="宋体" w:eastAsia="宋体" w:cs="宋体"/>
          <w:spacing w:val="-5"/>
          <w:sz w:val="24"/>
          <w:szCs w:val="24"/>
        </w:rPr>
        <w:t>3)资格证明文件</w:t>
      </w:r>
    </w:p>
    <w:p>
      <w:pPr>
        <w:spacing w:before="180" w:line="219" w:lineRule="auto"/>
        <w:ind w:left="840"/>
        <w:rPr>
          <w:rFonts w:ascii="宋体" w:hAnsi="宋体" w:eastAsia="宋体" w:cs="宋体"/>
          <w:sz w:val="24"/>
          <w:szCs w:val="24"/>
        </w:rPr>
      </w:pPr>
      <w:r>
        <w:rPr>
          <w:rFonts w:ascii="宋体" w:hAnsi="宋体" w:eastAsia="宋体" w:cs="宋体"/>
          <w:spacing w:val="-5"/>
          <w:sz w:val="24"/>
          <w:szCs w:val="24"/>
        </w:rPr>
        <w:t>4)响应偏离表</w:t>
      </w:r>
    </w:p>
    <w:p>
      <w:pPr>
        <w:spacing w:before="182" w:line="219" w:lineRule="auto"/>
        <w:ind w:left="846"/>
        <w:rPr>
          <w:rFonts w:ascii="宋体" w:hAnsi="宋体" w:eastAsia="宋体" w:cs="宋体"/>
          <w:sz w:val="24"/>
          <w:szCs w:val="24"/>
        </w:rPr>
      </w:pPr>
      <w:r>
        <w:rPr>
          <w:rFonts w:ascii="宋体" w:hAnsi="宋体" w:eastAsia="宋体" w:cs="宋体"/>
          <w:spacing w:val="-3"/>
          <w:sz w:val="24"/>
          <w:szCs w:val="24"/>
        </w:rPr>
        <w:t>5)供货方案</w:t>
      </w:r>
    </w:p>
    <w:p>
      <w:pPr>
        <w:spacing w:before="184" w:line="219" w:lineRule="auto"/>
        <w:ind w:left="843"/>
        <w:rPr>
          <w:rFonts w:ascii="宋体" w:hAnsi="宋体" w:eastAsia="宋体" w:cs="宋体"/>
          <w:sz w:val="24"/>
          <w:szCs w:val="24"/>
        </w:rPr>
      </w:pPr>
      <w:r>
        <w:rPr>
          <w:rFonts w:ascii="宋体" w:hAnsi="宋体" w:eastAsia="宋体" w:cs="宋体"/>
          <w:spacing w:val="-2"/>
          <w:sz w:val="24"/>
          <w:szCs w:val="24"/>
        </w:rPr>
        <w:t>6)供应商承诺书</w:t>
      </w:r>
    </w:p>
    <w:p>
      <w:pPr>
        <w:spacing w:before="181" w:line="219" w:lineRule="auto"/>
        <w:ind w:left="847"/>
        <w:rPr>
          <w:rFonts w:ascii="宋体" w:hAnsi="宋体" w:eastAsia="宋体" w:cs="宋体"/>
          <w:sz w:val="24"/>
          <w:szCs w:val="24"/>
        </w:rPr>
      </w:pPr>
      <w:r>
        <w:rPr>
          <w:rFonts w:ascii="宋体" w:hAnsi="宋体" w:eastAsia="宋体" w:cs="宋体"/>
          <w:spacing w:val="-1"/>
          <w:sz w:val="24"/>
          <w:szCs w:val="24"/>
        </w:rPr>
        <w:t>7)供应商认为有必要补充说明的事宜</w:t>
      </w:r>
    </w:p>
    <w:p>
      <w:pPr>
        <w:rPr>
          <w:rFonts w:ascii="宋体" w:hAnsi="宋体" w:eastAsia="宋体" w:cs="宋体"/>
          <w:b/>
          <w:bCs/>
          <w:spacing w:val="3"/>
          <w:sz w:val="31"/>
          <w:szCs w:val="31"/>
        </w:rPr>
      </w:pPr>
      <w:r>
        <w:rPr>
          <w:rFonts w:ascii="宋体" w:hAnsi="宋体" w:eastAsia="宋体" w:cs="宋体"/>
          <w:b/>
          <w:bCs/>
          <w:spacing w:val="3"/>
          <w:sz w:val="31"/>
          <w:szCs w:val="31"/>
        </w:rPr>
        <w:br w:type="page"/>
      </w:r>
    </w:p>
    <w:p>
      <w:pPr>
        <w:spacing w:before="63" w:line="226" w:lineRule="auto"/>
        <w:ind w:left="3741"/>
        <w:outlineLvl w:val="1"/>
        <w:rPr>
          <w:rFonts w:ascii="宋体" w:hAnsi="宋体" w:eastAsia="宋体" w:cs="宋体"/>
          <w:sz w:val="31"/>
          <w:szCs w:val="31"/>
        </w:rPr>
      </w:pPr>
      <w:bookmarkStart w:id="27" w:name="_Toc14726"/>
      <w:r>
        <w:rPr>
          <w:rFonts w:ascii="宋体" w:hAnsi="宋体" w:eastAsia="宋体" w:cs="宋体"/>
          <w:b/>
          <w:bCs/>
          <w:spacing w:val="3"/>
          <w:sz w:val="31"/>
          <w:szCs w:val="31"/>
        </w:rPr>
        <w:t>一、响应函</w:t>
      </w:r>
      <w:bookmarkEnd w:id="27"/>
    </w:p>
    <w:p>
      <w:pPr>
        <w:spacing w:before="293" w:line="219" w:lineRule="auto"/>
        <w:ind w:left="18"/>
        <w:rPr>
          <w:rFonts w:ascii="宋体" w:hAnsi="宋体" w:eastAsia="宋体" w:cs="宋体"/>
          <w:sz w:val="24"/>
          <w:szCs w:val="24"/>
        </w:rPr>
      </w:pPr>
      <w:r>
        <w:rPr>
          <w:rFonts w:hint="eastAsia" w:ascii="宋体" w:hAnsi="宋体" w:eastAsia="宋体" w:cs="宋体"/>
          <w:b/>
          <w:bCs/>
          <w:spacing w:val="-4"/>
          <w:sz w:val="24"/>
          <w:szCs w:val="24"/>
          <w:lang w:eastAsia="zh-CN"/>
        </w:rPr>
        <w:t>陕西翰元工程咨询有限公司</w:t>
      </w:r>
      <w:r>
        <w:rPr>
          <w:rFonts w:ascii="宋体" w:hAnsi="宋体" w:eastAsia="宋体" w:cs="宋体"/>
          <w:b/>
          <w:bCs/>
          <w:spacing w:val="-4"/>
          <w:sz w:val="24"/>
          <w:szCs w:val="24"/>
        </w:rPr>
        <w:t>：</w:t>
      </w:r>
    </w:p>
    <w:p>
      <w:pPr>
        <w:pStyle w:val="7"/>
        <w:bidi w:val="0"/>
      </w:pPr>
      <w:r>
        <w:t>我单位收到贵公司关于</w:t>
      </w:r>
      <w:r>
        <w:rPr>
          <w:rFonts w:hint="eastAsia"/>
          <w:lang w:eastAsia="zh-CN"/>
        </w:rPr>
        <w:t>工作服装购置项目</w:t>
      </w:r>
      <w:r>
        <w:t>（项目编号：</w:t>
      </w:r>
      <w:r>
        <w:rPr>
          <w:rFonts w:hint="eastAsia"/>
          <w:lang w:eastAsia="zh-CN"/>
        </w:rPr>
        <w:t>HY-ZB-055-2025</w:t>
      </w:r>
      <w:r>
        <w:t>）的采购文件，经详细研究，我们决定参加本次项目采购活动。为此，我方郑重声明以下诸点，并负法律责任。</w:t>
      </w:r>
    </w:p>
    <w:p>
      <w:pPr>
        <w:pStyle w:val="7"/>
        <w:bidi w:val="0"/>
      </w:pPr>
      <w:r>
        <w:t>一、愿意按照采购文件中的一切要求，向采购人提供所需相应货物和服务。</w:t>
      </w:r>
    </w:p>
    <w:p>
      <w:pPr>
        <w:pStyle w:val="7"/>
        <w:bidi w:val="0"/>
      </w:pPr>
      <w:r>
        <w:t>二、我方提交的响应文件正本一份、副本两份及电子版一份，并保证响应文件提供的数据和材料真实、准确。否则，愿承担相关的法律责任。</w:t>
      </w:r>
    </w:p>
    <w:p>
      <w:pPr>
        <w:pStyle w:val="7"/>
        <w:bidi w:val="0"/>
      </w:pPr>
      <w:r>
        <w:t>三、我方已详细阅读了采购文件，完全理解并放弃提出含糊不清或易形成歧义的表述和资料。</w:t>
      </w:r>
    </w:p>
    <w:p>
      <w:pPr>
        <w:pStyle w:val="7"/>
        <w:bidi w:val="0"/>
      </w:pPr>
      <w:r>
        <w:t>四、我方愿意向贵方提供任何与本次询价有关的数据、情况、和技术资料，若贵方需要，我方愿意提供我方作出的一切承诺的证明材料。</w:t>
      </w:r>
    </w:p>
    <w:p>
      <w:pPr>
        <w:pStyle w:val="7"/>
        <w:bidi w:val="0"/>
      </w:pPr>
      <w:r>
        <w:t>五、我方的响应文件有效期为自响应文件递交截止之日起个</w:t>
      </w:r>
      <w:r>
        <w:rPr>
          <w:rFonts w:hint="eastAsia"/>
          <w:lang w:val="en-US" w:eastAsia="zh-CN"/>
        </w:rPr>
        <w:t xml:space="preserve"> </w:t>
      </w:r>
      <w:r>
        <w:rPr>
          <w:rFonts w:hint="eastAsia"/>
          <w:u w:val="single"/>
          <w:lang w:val="en-US" w:eastAsia="zh-CN"/>
        </w:rPr>
        <w:t xml:space="preserve">    </w:t>
      </w:r>
      <w:r>
        <w:t>日历日，询价采购后在规定的投标有效期内撤回投标，我们愿接受政府采购法的有关处罚决定。</w:t>
      </w:r>
    </w:p>
    <w:p>
      <w:pPr>
        <w:pStyle w:val="7"/>
        <w:bidi w:val="0"/>
      </w:pPr>
      <w:r>
        <w:t>六、我方承诺遵守《中华人民共和国政府采购法》及其实施条例的有关规定，保证在获得成交资格后：</w:t>
      </w:r>
    </w:p>
    <w:p>
      <w:pPr>
        <w:pStyle w:val="7"/>
        <w:bidi w:val="0"/>
      </w:pPr>
      <w:r>
        <w:t>（1）按照采购文件确定的事项签订合同，履行双方所签订的合同，并承担合同规定的责任和义务；</w:t>
      </w:r>
    </w:p>
    <w:p>
      <w:pPr>
        <w:pStyle w:val="7"/>
        <w:bidi w:val="0"/>
      </w:pPr>
      <w:r>
        <w:t>（2）我方保证按规定和标准向贵方缴纳成交服务费；</w:t>
      </w:r>
    </w:p>
    <w:p>
      <w:pPr>
        <w:pStyle w:val="7"/>
        <w:bidi w:val="0"/>
      </w:pPr>
      <w:r>
        <w:t>（3）响应文件有效期延长至合同履行完毕。</w:t>
      </w:r>
    </w:p>
    <w:p>
      <w:pPr>
        <w:pStyle w:val="7"/>
        <w:bidi w:val="0"/>
      </w:pPr>
      <w:r>
        <w:t>七、我方完全理解最低报价不是成交的唯一条件，并尊重询价小组的评审结论和成交结果。</w:t>
      </w:r>
    </w:p>
    <w:p>
      <w:pPr>
        <w:pStyle w:val="7"/>
        <w:bidi w:val="0"/>
      </w:pPr>
      <w:r>
        <w:t>八、一旦我方成交,我方同意与使用单位签订保密协议。</w:t>
      </w:r>
    </w:p>
    <w:p>
      <w:pPr>
        <w:pStyle w:val="7"/>
        <w:bidi w:val="0"/>
      </w:pPr>
      <w:r>
        <w:t>九、有关于本响应文件的函电，请按下列地址联系：</w:t>
      </w:r>
    </w:p>
    <w:p>
      <w:pPr>
        <w:pStyle w:val="7"/>
        <w:bidi w:val="0"/>
      </w:pPr>
    </w:p>
    <w:p>
      <w:pPr>
        <w:pStyle w:val="7"/>
        <w:bidi w:val="0"/>
      </w:pPr>
      <w:r>
        <w:t>供应商全称（公章）：</w:t>
      </w:r>
      <w:r>
        <w:rPr>
          <w:rFonts w:hint="eastAsia"/>
          <w:u w:val="single"/>
          <w:lang w:val="en-US" w:eastAsia="zh-CN"/>
        </w:rPr>
        <w:t xml:space="preserve">                                        </w:t>
      </w:r>
    </w:p>
    <w:p>
      <w:pPr>
        <w:pStyle w:val="7"/>
        <w:bidi w:val="0"/>
      </w:pPr>
      <w:r>
        <w:t>法定代表人/授权代表（签字或盖章）：</w:t>
      </w:r>
      <w:r>
        <w:rPr>
          <w:rFonts w:hint="eastAsia"/>
          <w:u w:val="single"/>
          <w:lang w:val="en-US" w:eastAsia="zh-CN"/>
        </w:rPr>
        <w:t xml:space="preserve">                        </w:t>
      </w:r>
    </w:p>
    <w:p>
      <w:pPr>
        <w:pStyle w:val="7"/>
        <w:bidi w:val="0"/>
      </w:pPr>
      <w:r>
        <w:t>地址：</w:t>
      </w:r>
      <w:r>
        <w:rPr>
          <w:rFonts w:hint="eastAsia"/>
          <w:u w:val="single"/>
          <w:lang w:val="en-US" w:eastAsia="zh-CN"/>
        </w:rPr>
        <w:t xml:space="preserve">                                        </w:t>
      </w:r>
    </w:p>
    <w:p>
      <w:pPr>
        <w:pStyle w:val="7"/>
        <w:bidi w:val="0"/>
      </w:pPr>
      <w:r>
        <w:t>开户银行：</w:t>
      </w:r>
      <w:r>
        <w:rPr>
          <w:rFonts w:hint="eastAsia"/>
          <w:u w:val="single"/>
          <w:lang w:val="en-US" w:eastAsia="zh-CN"/>
        </w:rPr>
        <w:t xml:space="preserve">                                </w:t>
      </w:r>
    </w:p>
    <w:p>
      <w:pPr>
        <w:pStyle w:val="7"/>
        <w:bidi w:val="0"/>
      </w:pPr>
      <w:r>
        <w:t>账号：</w:t>
      </w:r>
      <w:r>
        <w:rPr>
          <w:rFonts w:hint="eastAsia"/>
          <w:u w:val="single"/>
          <w:lang w:val="en-US" w:eastAsia="zh-CN"/>
        </w:rPr>
        <w:t xml:space="preserve">                                        </w:t>
      </w:r>
    </w:p>
    <w:p>
      <w:pPr>
        <w:pStyle w:val="7"/>
        <w:bidi w:val="0"/>
      </w:pPr>
      <w:r>
        <w:t>电话：</w:t>
      </w:r>
      <w:r>
        <w:rPr>
          <w:rFonts w:hint="eastAsia"/>
          <w:u w:val="single"/>
          <w:lang w:val="en-US" w:eastAsia="zh-CN"/>
        </w:rPr>
        <w:t xml:space="preserve">                                        </w:t>
      </w:r>
    </w:p>
    <w:p>
      <w:pPr>
        <w:pStyle w:val="7"/>
        <w:bidi w:val="0"/>
      </w:pPr>
      <w:r>
        <w:t>传真：</w:t>
      </w:r>
      <w:r>
        <w:rPr>
          <w:rFonts w:hint="eastAsia"/>
          <w:u w:val="single"/>
          <w:lang w:val="en-US" w:eastAsia="zh-CN"/>
        </w:rPr>
        <w:t xml:space="preserve">                                        </w:t>
      </w:r>
    </w:p>
    <w:p>
      <w:pPr>
        <w:pStyle w:val="7"/>
        <w:bidi w:val="0"/>
      </w:pPr>
      <w:r>
        <w:t>邮编：</w:t>
      </w:r>
      <w:r>
        <w:rPr>
          <w:rFonts w:hint="eastAsia"/>
          <w:u w:val="single"/>
          <w:lang w:val="en-US" w:eastAsia="zh-CN"/>
        </w:rPr>
        <w:t xml:space="preserve">                                        </w:t>
      </w:r>
    </w:p>
    <w:p>
      <w:pPr>
        <w:pStyle w:val="7"/>
        <w:bidi w:val="0"/>
      </w:pP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pPr>
        <w:rPr>
          <w:rFonts w:ascii="宋体" w:hAnsi="宋体" w:eastAsia="宋体" w:cs="宋体"/>
          <w:b/>
          <w:bCs/>
          <w:spacing w:val="4"/>
          <w:sz w:val="31"/>
          <w:szCs w:val="31"/>
        </w:rPr>
      </w:pPr>
      <w:r>
        <w:rPr>
          <w:rFonts w:ascii="宋体" w:hAnsi="宋体" w:eastAsia="宋体" w:cs="宋体"/>
          <w:b/>
          <w:bCs/>
          <w:spacing w:val="4"/>
          <w:sz w:val="31"/>
          <w:szCs w:val="31"/>
        </w:rPr>
        <w:br w:type="page"/>
      </w:r>
    </w:p>
    <w:p>
      <w:pPr>
        <w:spacing w:before="139" w:line="223" w:lineRule="auto"/>
        <w:ind w:left="3419"/>
        <w:outlineLvl w:val="1"/>
        <w:rPr>
          <w:rFonts w:ascii="宋体" w:hAnsi="宋体" w:eastAsia="宋体" w:cs="宋体"/>
          <w:sz w:val="31"/>
          <w:szCs w:val="31"/>
        </w:rPr>
      </w:pPr>
      <w:bookmarkStart w:id="28" w:name="_Toc29910"/>
      <w:r>
        <w:rPr>
          <w:rFonts w:ascii="宋体" w:hAnsi="宋体" w:eastAsia="宋体" w:cs="宋体"/>
          <w:b/>
          <w:bCs/>
          <w:spacing w:val="4"/>
          <w:sz w:val="31"/>
          <w:szCs w:val="31"/>
        </w:rPr>
        <w:t>二、谈判报价表</w:t>
      </w:r>
      <w:bookmarkEnd w:id="28"/>
    </w:p>
    <w:p>
      <w:pPr>
        <w:spacing w:before="91" w:line="219" w:lineRule="auto"/>
        <w:ind w:left="3925"/>
        <w:rPr>
          <w:rFonts w:ascii="宋体" w:hAnsi="宋体" w:eastAsia="宋体" w:cs="宋体"/>
          <w:sz w:val="28"/>
          <w:szCs w:val="28"/>
        </w:rPr>
      </w:pPr>
      <w:r>
        <w:rPr>
          <w:rFonts w:ascii="宋体" w:hAnsi="宋体" w:eastAsia="宋体" w:cs="宋体"/>
          <w:b/>
          <w:bCs/>
          <w:spacing w:val="-9"/>
          <w:sz w:val="28"/>
          <w:szCs w:val="28"/>
        </w:rPr>
        <w:t>1、报价表</w:t>
      </w:r>
    </w:p>
    <w:p>
      <w:pPr>
        <w:spacing w:before="172" w:line="228" w:lineRule="auto"/>
        <w:ind w:left="212"/>
        <w:rPr>
          <w:rFonts w:ascii="宋体" w:hAnsi="宋体" w:eastAsia="宋体" w:cs="宋体"/>
          <w:sz w:val="20"/>
          <w:szCs w:val="20"/>
        </w:rPr>
      </w:pPr>
      <w:r>
        <w:rPr>
          <w:rFonts w:ascii="宋体" w:hAnsi="宋体" w:eastAsia="宋体" w:cs="宋体"/>
          <w:spacing w:val="7"/>
          <w:sz w:val="20"/>
          <w:szCs w:val="20"/>
        </w:rPr>
        <w:t>项目名称：</w:t>
      </w:r>
    </w:p>
    <w:p>
      <w:pPr>
        <w:spacing w:before="143" w:line="228" w:lineRule="auto"/>
        <w:ind w:left="212"/>
        <w:rPr>
          <w:rFonts w:ascii="宋体" w:hAnsi="宋体" w:eastAsia="宋体" w:cs="宋体"/>
          <w:sz w:val="20"/>
          <w:szCs w:val="20"/>
        </w:rPr>
      </w:pPr>
      <w:r>
        <w:rPr>
          <w:rFonts w:ascii="宋体" w:hAnsi="宋体" w:eastAsia="宋体" w:cs="宋体"/>
          <w:spacing w:val="7"/>
          <w:sz w:val="20"/>
          <w:szCs w:val="20"/>
        </w:rPr>
        <w:t>项目编号：</w:t>
      </w:r>
    </w:p>
    <w:tbl>
      <w:tblPr>
        <w:tblStyle w:val="19"/>
        <w:tblW w:w="9032"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5"/>
        <w:gridCol w:w="69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4" w:hRule="atLeast"/>
        </w:trPr>
        <w:tc>
          <w:tcPr>
            <w:tcW w:w="2105" w:type="dxa"/>
            <w:vAlign w:val="top"/>
          </w:tcPr>
          <w:p>
            <w:pPr>
              <w:spacing w:before="65" w:line="226" w:lineRule="auto"/>
              <w:ind w:left="533"/>
            </w:pPr>
            <w:r>
              <w:rPr>
                <w:spacing w:val="7"/>
              </w:rPr>
              <w:t>谈判总报价</w:t>
            </w:r>
          </w:p>
        </w:tc>
        <w:tc>
          <w:tcPr>
            <w:tcW w:w="6927" w:type="dxa"/>
            <w:vAlign w:val="top"/>
          </w:tcPr>
          <w:p>
            <w:pPr>
              <w:spacing w:before="65" w:line="228" w:lineRule="auto"/>
              <w:ind w:left="114"/>
            </w:pPr>
            <w:r>
              <w:rPr>
                <w:spacing w:val="3"/>
              </w:rPr>
              <w:t>大写：</w:t>
            </w:r>
          </w:p>
          <w:p>
            <w:pPr>
              <w:spacing w:before="220" w:line="228" w:lineRule="auto"/>
              <w:ind w:left="117"/>
            </w:pPr>
            <w:r>
              <w:rPr>
                <w:spacing w:val="-6"/>
              </w:rPr>
              <w:t>小写：￥</w:t>
            </w:r>
            <w:r>
              <w:rPr>
                <w:rFonts w:hint="eastAsia" w:eastAsia="宋体"/>
                <w:spacing w:val="-6"/>
                <w:lang w:val="en-US" w:eastAsia="zh-CN"/>
              </w:rPr>
              <w:t xml:space="preserve">                                            </w:t>
            </w:r>
            <w:r>
              <w:rPr>
                <w:spacing w:val="-6"/>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2105" w:type="dxa"/>
            <w:vAlign w:val="top"/>
          </w:tcPr>
          <w:p>
            <w:pPr>
              <w:spacing w:before="65" w:line="228" w:lineRule="auto"/>
              <w:ind w:left="641"/>
            </w:pPr>
            <w:r>
              <w:rPr>
                <w:spacing w:val="6"/>
              </w:rPr>
              <w:t>交付期限</w:t>
            </w:r>
          </w:p>
        </w:tc>
        <w:tc>
          <w:tcPr>
            <w:tcW w:w="6927" w:type="dxa"/>
            <w:vAlign w:val="top"/>
          </w:tcPr>
          <w:p>
            <w:pPr>
              <w:spacing w:before="65" w:line="228" w:lineRule="auto"/>
              <w:ind w:left="112"/>
            </w:pPr>
            <w:r>
              <w:rPr>
                <w:spacing w:val="8"/>
              </w:rPr>
              <w:t>合同签订后</w:t>
            </w:r>
            <w:r>
              <w:rPr>
                <w:rFonts w:hint="eastAsia" w:eastAsia="宋体"/>
                <w:spacing w:val="8"/>
                <w:lang w:val="en-US" w:eastAsia="zh-CN"/>
              </w:rPr>
              <w:t xml:space="preserve">             </w:t>
            </w:r>
            <w:r>
              <w:rPr>
                <w:spacing w:val="8"/>
              </w:rPr>
              <w:t>个日历日内完成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2105" w:type="dxa"/>
            <w:vAlign w:val="top"/>
          </w:tcPr>
          <w:p>
            <w:pPr>
              <w:spacing w:before="65" w:line="228" w:lineRule="auto"/>
              <w:ind w:left="744"/>
            </w:pPr>
            <w:r>
              <w:rPr>
                <w:spacing w:val="6"/>
              </w:rPr>
              <w:t>质保期</w:t>
            </w:r>
          </w:p>
        </w:tc>
        <w:tc>
          <w:tcPr>
            <w:tcW w:w="69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2105" w:type="dxa"/>
            <w:vAlign w:val="top"/>
          </w:tcPr>
          <w:p>
            <w:pPr>
              <w:spacing w:before="65" w:line="229" w:lineRule="auto"/>
              <w:ind w:left="851"/>
            </w:pPr>
            <w:r>
              <w:rPr>
                <w:spacing w:val="3"/>
              </w:rPr>
              <w:t>备注</w:t>
            </w:r>
          </w:p>
        </w:tc>
        <w:tc>
          <w:tcPr>
            <w:tcW w:w="6927" w:type="dxa"/>
            <w:vAlign w:val="top"/>
          </w:tcPr>
          <w:p>
            <w:pPr>
              <w:rPr>
                <w:rFonts w:ascii="Arial"/>
                <w:sz w:val="21"/>
              </w:rPr>
            </w:pPr>
          </w:p>
        </w:tc>
      </w:tr>
    </w:tbl>
    <w:p>
      <w:pPr>
        <w:spacing w:before="65" w:line="330" w:lineRule="auto"/>
        <w:ind w:firstLine="644"/>
        <w:rPr>
          <w:rFonts w:ascii="宋体" w:hAnsi="宋体" w:eastAsia="宋体" w:cs="宋体"/>
          <w:sz w:val="20"/>
          <w:szCs w:val="20"/>
        </w:rPr>
      </w:pPr>
      <w:r>
        <w:rPr>
          <w:rFonts w:ascii="宋体" w:hAnsi="宋体" w:eastAsia="宋体" w:cs="宋体"/>
          <w:spacing w:val="7"/>
          <w:sz w:val="20"/>
          <w:szCs w:val="20"/>
        </w:rPr>
        <w:t>1、本报价包括所有产品、包装、人工费、装卸、搬运、运输费、不合格货物的退换、</w:t>
      </w:r>
      <w:r>
        <w:rPr>
          <w:rFonts w:ascii="宋体" w:hAnsi="宋体" w:eastAsia="宋体" w:cs="宋体"/>
          <w:spacing w:val="6"/>
          <w:sz w:val="20"/>
          <w:szCs w:val="20"/>
        </w:rPr>
        <w:t>售后费、</w:t>
      </w:r>
      <w:r>
        <w:rPr>
          <w:rFonts w:ascii="宋体" w:hAnsi="宋体" w:eastAsia="宋体" w:cs="宋体"/>
          <w:spacing w:val="9"/>
          <w:sz w:val="20"/>
          <w:szCs w:val="20"/>
        </w:rPr>
        <w:t>各种税费及合同实施过程中的不可预见费用等全部费用。</w:t>
      </w:r>
    </w:p>
    <w:p>
      <w:pPr>
        <w:spacing w:before="222" w:line="226" w:lineRule="auto"/>
        <w:ind w:left="631"/>
        <w:rPr>
          <w:rFonts w:ascii="宋体" w:hAnsi="宋体" w:eastAsia="宋体" w:cs="宋体"/>
          <w:sz w:val="20"/>
          <w:szCs w:val="20"/>
        </w:rPr>
      </w:pPr>
      <w:r>
        <w:rPr>
          <w:rFonts w:ascii="宋体" w:hAnsi="宋体" w:eastAsia="宋体" w:cs="宋体"/>
          <w:spacing w:val="8"/>
          <w:sz w:val="20"/>
          <w:szCs w:val="20"/>
        </w:rPr>
        <w:t>2、本报价的币种为人民币，表内报价内容以元为单位（如有小数，保留小数点后2位）。</w:t>
      </w:r>
    </w:p>
    <w:p>
      <w:pPr>
        <w:spacing w:before="65" w:line="227" w:lineRule="auto"/>
        <w:ind w:left="3988"/>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4"/>
          <w:sz w:val="20"/>
          <w:szCs w:val="20"/>
        </w:rPr>
        <w:t>：（</w:t>
      </w:r>
      <w:r>
        <w:rPr>
          <w:rFonts w:ascii="宋体" w:hAnsi="宋体" w:eastAsia="宋体" w:cs="宋体"/>
          <w:spacing w:val="11"/>
          <w:sz w:val="20"/>
          <w:szCs w:val="20"/>
        </w:rPr>
        <w:t>公章）</w:t>
      </w:r>
    </w:p>
    <w:p>
      <w:pPr>
        <w:spacing w:before="66" w:line="227" w:lineRule="auto"/>
        <w:ind w:left="3989"/>
        <w:rPr>
          <w:rFonts w:ascii="宋体" w:hAnsi="宋体" w:eastAsia="宋体" w:cs="宋体"/>
          <w:sz w:val="20"/>
          <w:szCs w:val="20"/>
        </w:rPr>
      </w:pPr>
      <w:r>
        <w:rPr>
          <w:rFonts w:ascii="宋体" w:hAnsi="宋体" w:eastAsia="宋体" w:cs="宋体"/>
          <w:spacing w:val="10"/>
          <w:sz w:val="20"/>
          <w:szCs w:val="20"/>
        </w:rPr>
        <w:t>法定代表人或委托代理人</w:t>
      </w:r>
      <w:r>
        <w:rPr>
          <w:rFonts w:ascii="宋体" w:hAnsi="宋体" w:eastAsia="宋体" w:cs="宋体"/>
          <w:sz w:val="20"/>
          <w:szCs w:val="20"/>
        </w:rPr>
        <w:t>：（</w:t>
      </w:r>
      <w:r>
        <w:rPr>
          <w:rFonts w:ascii="宋体" w:hAnsi="宋体" w:eastAsia="宋体" w:cs="宋体"/>
          <w:spacing w:val="10"/>
          <w:sz w:val="20"/>
          <w:szCs w:val="20"/>
        </w:rPr>
        <w:t>签字或盖章）</w:t>
      </w:r>
    </w:p>
    <w:p>
      <w:pPr>
        <w:spacing w:before="65" w:line="228" w:lineRule="auto"/>
        <w:ind w:left="4024"/>
        <w:rPr>
          <w:rFonts w:ascii="宋体" w:hAnsi="宋体" w:eastAsia="宋体" w:cs="宋体"/>
          <w:sz w:val="20"/>
          <w:szCs w:val="20"/>
        </w:rPr>
      </w:pPr>
      <w:r>
        <w:rPr>
          <w:rFonts w:ascii="宋体" w:hAnsi="宋体" w:eastAsia="宋体" w:cs="宋体"/>
          <w:spacing w:val="-6"/>
          <w:sz w:val="20"/>
          <w:szCs w:val="20"/>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pPr>
        <w:rPr>
          <w:rFonts w:ascii="宋体" w:hAnsi="宋体" w:eastAsia="宋体" w:cs="宋体"/>
          <w:b/>
          <w:bCs/>
          <w:spacing w:val="-5"/>
          <w:sz w:val="28"/>
          <w:szCs w:val="28"/>
        </w:rPr>
      </w:pPr>
      <w:r>
        <w:rPr>
          <w:rFonts w:ascii="宋体" w:hAnsi="宋体" w:eastAsia="宋体" w:cs="宋体"/>
          <w:b/>
          <w:bCs/>
          <w:spacing w:val="-5"/>
          <w:sz w:val="28"/>
          <w:szCs w:val="28"/>
        </w:rPr>
        <w:br w:type="page"/>
      </w:r>
    </w:p>
    <w:p>
      <w:pPr>
        <w:spacing w:before="151" w:line="219" w:lineRule="auto"/>
        <w:ind w:left="3764"/>
        <w:rPr>
          <w:rFonts w:ascii="宋体" w:hAnsi="宋体" w:eastAsia="宋体" w:cs="宋体"/>
          <w:sz w:val="28"/>
          <w:szCs w:val="28"/>
        </w:rPr>
      </w:pPr>
      <w:r>
        <w:rPr>
          <w:rFonts w:ascii="宋体" w:hAnsi="宋体" w:eastAsia="宋体" w:cs="宋体"/>
          <w:b/>
          <w:bCs/>
          <w:spacing w:val="-5"/>
          <w:sz w:val="28"/>
          <w:szCs w:val="28"/>
        </w:rPr>
        <w:t>2、分项报价表</w:t>
      </w:r>
    </w:p>
    <w:p>
      <w:pPr>
        <w:spacing w:before="220" w:line="228" w:lineRule="auto"/>
        <w:ind w:left="137"/>
        <w:rPr>
          <w:rFonts w:ascii="宋体" w:hAnsi="宋体" w:eastAsia="宋体" w:cs="宋体"/>
          <w:sz w:val="20"/>
          <w:szCs w:val="20"/>
        </w:rPr>
      </w:pPr>
      <w:r>
        <w:rPr>
          <w:rFonts w:ascii="宋体" w:hAnsi="宋体" w:eastAsia="宋体" w:cs="宋体"/>
          <w:spacing w:val="7"/>
          <w:sz w:val="20"/>
          <w:szCs w:val="20"/>
        </w:rPr>
        <w:t>项目名称：</w:t>
      </w:r>
    </w:p>
    <w:p>
      <w:pPr>
        <w:spacing w:before="64" w:line="228" w:lineRule="auto"/>
        <w:ind w:left="137"/>
        <w:rPr>
          <w:rFonts w:ascii="宋体" w:hAnsi="宋体" w:eastAsia="宋体" w:cs="宋体"/>
          <w:sz w:val="20"/>
          <w:szCs w:val="20"/>
        </w:rPr>
      </w:pPr>
      <w:r>
        <w:rPr>
          <w:rFonts w:ascii="宋体" w:hAnsi="宋体" w:eastAsia="宋体" w:cs="宋体"/>
          <w:spacing w:val="7"/>
          <w:sz w:val="20"/>
          <w:szCs w:val="20"/>
        </w:rPr>
        <w:t>项目编号：</w:t>
      </w:r>
    </w:p>
    <w:p>
      <w:pPr>
        <w:spacing w:before="65" w:line="227" w:lineRule="auto"/>
        <w:ind w:left="138" w:firstLine="5264" w:firstLineChars="2800"/>
        <w:rPr>
          <w:rFonts w:ascii="宋体" w:hAnsi="宋体" w:eastAsia="宋体" w:cs="宋体"/>
          <w:sz w:val="20"/>
          <w:szCs w:val="20"/>
        </w:rPr>
      </w:pPr>
      <w:r>
        <w:rPr>
          <w:rFonts w:ascii="宋体" w:hAnsi="宋体" w:eastAsia="宋体" w:cs="宋体"/>
          <w:spacing w:val="-6"/>
          <w:sz w:val="20"/>
          <w:szCs w:val="20"/>
        </w:rPr>
        <w:t>货币：人民币</w:t>
      </w:r>
      <w:r>
        <w:rPr>
          <w:rFonts w:ascii="宋体" w:hAnsi="宋体" w:eastAsia="宋体" w:cs="宋体"/>
          <w:spacing w:val="-7"/>
          <w:sz w:val="20"/>
          <w:szCs w:val="20"/>
        </w:rPr>
        <w:t>单位：元共</w:t>
      </w:r>
      <w:r>
        <w:rPr>
          <w:rFonts w:hint="eastAsia" w:ascii="宋体" w:hAnsi="宋体" w:eastAsia="宋体" w:cs="宋体"/>
          <w:spacing w:val="-7"/>
          <w:sz w:val="20"/>
          <w:szCs w:val="20"/>
          <w:lang w:val="en-US" w:eastAsia="zh-CN"/>
        </w:rPr>
        <w:t xml:space="preserve">   </w:t>
      </w:r>
      <w:r>
        <w:rPr>
          <w:rFonts w:ascii="宋体" w:hAnsi="宋体" w:eastAsia="宋体" w:cs="宋体"/>
          <w:spacing w:val="-7"/>
          <w:sz w:val="20"/>
          <w:szCs w:val="20"/>
        </w:rPr>
        <w:t>页，第</w:t>
      </w:r>
      <w:r>
        <w:rPr>
          <w:rFonts w:hint="eastAsia" w:ascii="宋体" w:hAnsi="宋体" w:eastAsia="宋体" w:cs="宋体"/>
          <w:spacing w:val="-7"/>
          <w:sz w:val="20"/>
          <w:szCs w:val="20"/>
          <w:lang w:val="en-US" w:eastAsia="zh-CN"/>
        </w:rPr>
        <w:t xml:space="preserve">   </w:t>
      </w:r>
      <w:r>
        <w:rPr>
          <w:rFonts w:ascii="宋体" w:hAnsi="宋体" w:eastAsia="宋体" w:cs="宋体"/>
          <w:spacing w:val="-7"/>
          <w:sz w:val="20"/>
          <w:szCs w:val="20"/>
        </w:rPr>
        <w:t>页</w:t>
      </w:r>
    </w:p>
    <w:tbl>
      <w:tblPr>
        <w:tblStyle w:val="19"/>
        <w:tblW w:w="93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1254"/>
        <w:gridCol w:w="692"/>
        <w:gridCol w:w="1177"/>
        <w:gridCol w:w="871"/>
        <w:gridCol w:w="695"/>
        <w:gridCol w:w="723"/>
        <w:gridCol w:w="1226"/>
        <w:gridCol w:w="1262"/>
        <w:gridCol w:w="7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91" w:type="dxa"/>
            <w:vAlign w:val="top"/>
          </w:tcPr>
          <w:p>
            <w:pPr>
              <w:spacing w:before="227" w:line="229" w:lineRule="auto"/>
              <w:ind w:left="140"/>
            </w:pPr>
            <w:r>
              <w:rPr>
                <w:spacing w:val="5"/>
              </w:rPr>
              <w:t>序号</w:t>
            </w:r>
          </w:p>
        </w:tc>
        <w:tc>
          <w:tcPr>
            <w:tcW w:w="1254" w:type="dxa"/>
            <w:vAlign w:val="top"/>
          </w:tcPr>
          <w:p>
            <w:pPr>
              <w:spacing w:before="226" w:line="228" w:lineRule="auto"/>
              <w:ind w:left="210"/>
            </w:pPr>
            <w:r>
              <w:rPr>
                <w:spacing w:val="7"/>
              </w:rPr>
              <w:t>产品名称</w:t>
            </w:r>
          </w:p>
        </w:tc>
        <w:tc>
          <w:tcPr>
            <w:tcW w:w="692" w:type="dxa"/>
            <w:vAlign w:val="top"/>
          </w:tcPr>
          <w:p>
            <w:pPr>
              <w:spacing w:before="226" w:line="228" w:lineRule="auto"/>
              <w:ind w:left="157"/>
            </w:pPr>
            <w:r>
              <w:rPr>
                <w:spacing w:val="-4"/>
              </w:rPr>
              <w:t>品牌</w:t>
            </w:r>
          </w:p>
        </w:tc>
        <w:tc>
          <w:tcPr>
            <w:tcW w:w="1177" w:type="dxa"/>
            <w:vAlign w:val="top"/>
          </w:tcPr>
          <w:p>
            <w:pPr>
              <w:spacing w:before="226" w:line="228" w:lineRule="auto"/>
              <w:ind w:left="173"/>
            </w:pPr>
            <w:r>
              <w:rPr>
                <w:spacing w:val="7"/>
              </w:rPr>
              <w:t>规格型号</w:t>
            </w:r>
          </w:p>
        </w:tc>
        <w:tc>
          <w:tcPr>
            <w:tcW w:w="871" w:type="dxa"/>
            <w:vAlign w:val="top"/>
          </w:tcPr>
          <w:p>
            <w:pPr>
              <w:spacing w:before="227" w:line="228" w:lineRule="auto"/>
              <w:ind w:left="126"/>
            </w:pPr>
            <w:r>
              <w:rPr>
                <w:spacing w:val="6"/>
              </w:rPr>
              <w:t>制造商</w:t>
            </w:r>
          </w:p>
        </w:tc>
        <w:tc>
          <w:tcPr>
            <w:tcW w:w="695" w:type="dxa"/>
            <w:vAlign w:val="top"/>
          </w:tcPr>
          <w:p>
            <w:pPr>
              <w:spacing w:before="226" w:line="228" w:lineRule="auto"/>
              <w:ind w:left="144"/>
            </w:pPr>
            <w:r>
              <w:rPr>
                <w:spacing w:val="3"/>
              </w:rPr>
              <w:t>数量</w:t>
            </w:r>
          </w:p>
        </w:tc>
        <w:tc>
          <w:tcPr>
            <w:tcW w:w="723" w:type="dxa"/>
            <w:vAlign w:val="top"/>
          </w:tcPr>
          <w:p>
            <w:pPr>
              <w:spacing w:before="227" w:line="228" w:lineRule="auto"/>
              <w:ind w:left="157"/>
            </w:pPr>
            <w:r>
              <w:rPr>
                <w:spacing w:val="3"/>
              </w:rPr>
              <w:t>单位</w:t>
            </w:r>
          </w:p>
        </w:tc>
        <w:tc>
          <w:tcPr>
            <w:tcW w:w="1226" w:type="dxa"/>
            <w:vAlign w:val="top"/>
          </w:tcPr>
          <w:p>
            <w:pPr>
              <w:spacing w:before="227" w:line="226" w:lineRule="auto"/>
              <w:ind w:left="116"/>
            </w:pPr>
            <w:r>
              <w:rPr>
                <w:spacing w:val="5"/>
              </w:rPr>
              <w:t>单价（元）</w:t>
            </w:r>
          </w:p>
        </w:tc>
        <w:tc>
          <w:tcPr>
            <w:tcW w:w="1262" w:type="dxa"/>
            <w:vAlign w:val="top"/>
          </w:tcPr>
          <w:p>
            <w:pPr>
              <w:spacing w:before="227" w:line="226" w:lineRule="auto"/>
              <w:ind w:left="120"/>
            </w:pPr>
            <w:r>
              <w:rPr>
                <w:spacing w:val="4"/>
              </w:rPr>
              <w:t>总价（元）</w:t>
            </w:r>
          </w:p>
        </w:tc>
        <w:tc>
          <w:tcPr>
            <w:tcW w:w="729" w:type="dxa"/>
            <w:vAlign w:val="top"/>
          </w:tcPr>
          <w:p>
            <w:pPr>
              <w:spacing w:before="227" w:line="229" w:lineRule="auto"/>
              <w:ind w:left="161"/>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91" w:type="dxa"/>
            <w:vAlign w:val="top"/>
          </w:tcPr>
          <w:p>
            <w:pPr>
              <w:rPr>
                <w:rFonts w:ascii="Arial"/>
                <w:sz w:val="21"/>
              </w:rPr>
            </w:pPr>
          </w:p>
        </w:tc>
        <w:tc>
          <w:tcPr>
            <w:tcW w:w="1254" w:type="dxa"/>
            <w:vAlign w:val="top"/>
          </w:tcPr>
          <w:p>
            <w:pPr>
              <w:rPr>
                <w:rFonts w:ascii="Arial"/>
                <w:sz w:val="21"/>
              </w:rPr>
            </w:pPr>
          </w:p>
        </w:tc>
        <w:tc>
          <w:tcPr>
            <w:tcW w:w="692" w:type="dxa"/>
            <w:vAlign w:val="top"/>
          </w:tcPr>
          <w:p>
            <w:pPr>
              <w:rPr>
                <w:rFonts w:ascii="Arial"/>
                <w:sz w:val="21"/>
              </w:rPr>
            </w:pPr>
          </w:p>
        </w:tc>
        <w:tc>
          <w:tcPr>
            <w:tcW w:w="1177" w:type="dxa"/>
            <w:vAlign w:val="top"/>
          </w:tcPr>
          <w:p>
            <w:pPr>
              <w:rPr>
                <w:rFonts w:ascii="Arial"/>
                <w:sz w:val="21"/>
              </w:rPr>
            </w:pPr>
          </w:p>
        </w:tc>
        <w:tc>
          <w:tcPr>
            <w:tcW w:w="871" w:type="dxa"/>
            <w:vAlign w:val="top"/>
          </w:tcPr>
          <w:p>
            <w:pPr>
              <w:rPr>
                <w:rFonts w:ascii="Arial"/>
                <w:sz w:val="21"/>
              </w:rPr>
            </w:pPr>
          </w:p>
        </w:tc>
        <w:tc>
          <w:tcPr>
            <w:tcW w:w="695" w:type="dxa"/>
            <w:vAlign w:val="top"/>
          </w:tcPr>
          <w:p>
            <w:pPr>
              <w:rPr>
                <w:rFonts w:ascii="Arial"/>
                <w:sz w:val="21"/>
              </w:rPr>
            </w:pPr>
          </w:p>
        </w:tc>
        <w:tc>
          <w:tcPr>
            <w:tcW w:w="723" w:type="dxa"/>
            <w:vAlign w:val="top"/>
          </w:tcPr>
          <w:p>
            <w:pPr>
              <w:rPr>
                <w:rFonts w:ascii="Arial"/>
                <w:sz w:val="21"/>
              </w:rPr>
            </w:pPr>
          </w:p>
        </w:tc>
        <w:tc>
          <w:tcPr>
            <w:tcW w:w="1226" w:type="dxa"/>
            <w:vAlign w:val="top"/>
          </w:tcPr>
          <w:p>
            <w:pPr>
              <w:rPr>
                <w:rFonts w:ascii="Arial"/>
                <w:sz w:val="21"/>
              </w:rPr>
            </w:pPr>
          </w:p>
        </w:tc>
        <w:tc>
          <w:tcPr>
            <w:tcW w:w="1262" w:type="dxa"/>
            <w:vAlign w:val="top"/>
          </w:tcPr>
          <w:p>
            <w:pPr>
              <w:rPr>
                <w:rFonts w:ascii="Arial"/>
                <w:sz w:val="21"/>
              </w:rPr>
            </w:pPr>
          </w:p>
        </w:tc>
        <w:tc>
          <w:tcPr>
            <w:tcW w:w="7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91" w:type="dxa"/>
            <w:vAlign w:val="top"/>
          </w:tcPr>
          <w:p>
            <w:pPr>
              <w:rPr>
                <w:rFonts w:ascii="Arial"/>
                <w:sz w:val="21"/>
              </w:rPr>
            </w:pPr>
          </w:p>
        </w:tc>
        <w:tc>
          <w:tcPr>
            <w:tcW w:w="1254" w:type="dxa"/>
            <w:vAlign w:val="top"/>
          </w:tcPr>
          <w:p>
            <w:pPr>
              <w:rPr>
                <w:rFonts w:ascii="Arial"/>
                <w:sz w:val="21"/>
              </w:rPr>
            </w:pPr>
          </w:p>
        </w:tc>
        <w:tc>
          <w:tcPr>
            <w:tcW w:w="692" w:type="dxa"/>
            <w:vAlign w:val="top"/>
          </w:tcPr>
          <w:p>
            <w:pPr>
              <w:rPr>
                <w:rFonts w:ascii="Arial"/>
                <w:sz w:val="21"/>
              </w:rPr>
            </w:pPr>
          </w:p>
        </w:tc>
        <w:tc>
          <w:tcPr>
            <w:tcW w:w="1177" w:type="dxa"/>
            <w:vAlign w:val="top"/>
          </w:tcPr>
          <w:p>
            <w:pPr>
              <w:rPr>
                <w:rFonts w:ascii="Arial"/>
                <w:sz w:val="21"/>
              </w:rPr>
            </w:pPr>
          </w:p>
        </w:tc>
        <w:tc>
          <w:tcPr>
            <w:tcW w:w="871" w:type="dxa"/>
            <w:vAlign w:val="top"/>
          </w:tcPr>
          <w:p>
            <w:pPr>
              <w:rPr>
                <w:rFonts w:ascii="Arial"/>
                <w:sz w:val="21"/>
              </w:rPr>
            </w:pPr>
          </w:p>
        </w:tc>
        <w:tc>
          <w:tcPr>
            <w:tcW w:w="695" w:type="dxa"/>
            <w:vAlign w:val="top"/>
          </w:tcPr>
          <w:p>
            <w:pPr>
              <w:rPr>
                <w:rFonts w:ascii="Arial"/>
                <w:sz w:val="21"/>
              </w:rPr>
            </w:pPr>
          </w:p>
        </w:tc>
        <w:tc>
          <w:tcPr>
            <w:tcW w:w="723" w:type="dxa"/>
            <w:vAlign w:val="top"/>
          </w:tcPr>
          <w:p>
            <w:pPr>
              <w:rPr>
                <w:rFonts w:ascii="Arial"/>
                <w:sz w:val="21"/>
              </w:rPr>
            </w:pPr>
          </w:p>
        </w:tc>
        <w:tc>
          <w:tcPr>
            <w:tcW w:w="1226" w:type="dxa"/>
            <w:vAlign w:val="top"/>
          </w:tcPr>
          <w:p>
            <w:pPr>
              <w:rPr>
                <w:rFonts w:ascii="Arial"/>
                <w:sz w:val="21"/>
              </w:rPr>
            </w:pPr>
          </w:p>
        </w:tc>
        <w:tc>
          <w:tcPr>
            <w:tcW w:w="1262" w:type="dxa"/>
            <w:vAlign w:val="top"/>
          </w:tcPr>
          <w:p>
            <w:pPr>
              <w:rPr>
                <w:rFonts w:ascii="Arial"/>
                <w:sz w:val="21"/>
              </w:rPr>
            </w:pPr>
          </w:p>
        </w:tc>
        <w:tc>
          <w:tcPr>
            <w:tcW w:w="7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91" w:type="dxa"/>
            <w:vAlign w:val="top"/>
          </w:tcPr>
          <w:p>
            <w:pPr>
              <w:rPr>
                <w:rFonts w:ascii="Arial"/>
                <w:sz w:val="21"/>
              </w:rPr>
            </w:pPr>
          </w:p>
        </w:tc>
        <w:tc>
          <w:tcPr>
            <w:tcW w:w="1254" w:type="dxa"/>
            <w:vAlign w:val="top"/>
          </w:tcPr>
          <w:p>
            <w:pPr>
              <w:rPr>
                <w:rFonts w:ascii="Arial"/>
                <w:sz w:val="21"/>
              </w:rPr>
            </w:pPr>
          </w:p>
        </w:tc>
        <w:tc>
          <w:tcPr>
            <w:tcW w:w="692" w:type="dxa"/>
            <w:vAlign w:val="top"/>
          </w:tcPr>
          <w:p>
            <w:pPr>
              <w:rPr>
                <w:rFonts w:ascii="Arial"/>
                <w:sz w:val="21"/>
              </w:rPr>
            </w:pPr>
          </w:p>
        </w:tc>
        <w:tc>
          <w:tcPr>
            <w:tcW w:w="1177" w:type="dxa"/>
            <w:vAlign w:val="top"/>
          </w:tcPr>
          <w:p>
            <w:pPr>
              <w:rPr>
                <w:rFonts w:ascii="Arial"/>
                <w:sz w:val="21"/>
              </w:rPr>
            </w:pPr>
          </w:p>
        </w:tc>
        <w:tc>
          <w:tcPr>
            <w:tcW w:w="871" w:type="dxa"/>
            <w:vAlign w:val="top"/>
          </w:tcPr>
          <w:p>
            <w:pPr>
              <w:rPr>
                <w:rFonts w:ascii="Arial"/>
                <w:sz w:val="21"/>
              </w:rPr>
            </w:pPr>
          </w:p>
        </w:tc>
        <w:tc>
          <w:tcPr>
            <w:tcW w:w="695" w:type="dxa"/>
            <w:vAlign w:val="top"/>
          </w:tcPr>
          <w:p>
            <w:pPr>
              <w:rPr>
                <w:rFonts w:ascii="Arial"/>
                <w:sz w:val="21"/>
              </w:rPr>
            </w:pPr>
          </w:p>
        </w:tc>
        <w:tc>
          <w:tcPr>
            <w:tcW w:w="723" w:type="dxa"/>
            <w:vAlign w:val="top"/>
          </w:tcPr>
          <w:p>
            <w:pPr>
              <w:rPr>
                <w:rFonts w:ascii="Arial"/>
                <w:sz w:val="21"/>
              </w:rPr>
            </w:pPr>
          </w:p>
        </w:tc>
        <w:tc>
          <w:tcPr>
            <w:tcW w:w="1226" w:type="dxa"/>
            <w:vAlign w:val="top"/>
          </w:tcPr>
          <w:p>
            <w:pPr>
              <w:rPr>
                <w:rFonts w:ascii="Arial"/>
                <w:sz w:val="21"/>
              </w:rPr>
            </w:pPr>
          </w:p>
        </w:tc>
        <w:tc>
          <w:tcPr>
            <w:tcW w:w="1262" w:type="dxa"/>
            <w:vAlign w:val="top"/>
          </w:tcPr>
          <w:p>
            <w:pPr>
              <w:rPr>
                <w:rFonts w:ascii="Arial"/>
                <w:sz w:val="21"/>
              </w:rPr>
            </w:pPr>
          </w:p>
        </w:tc>
        <w:tc>
          <w:tcPr>
            <w:tcW w:w="7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91" w:type="dxa"/>
            <w:vAlign w:val="top"/>
          </w:tcPr>
          <w:p>
            <w:pPr>
              <w:rPr>
                <w:rFonts w:ascii="Arial"/>
                <w:sz w:val="21"/>
              </w:rPr>
            </w:pPr>
          </w:p>
        </w:tc>
        <w:tc>
          <w:tcPr>
            <w:tcW w:w="1254" w:type="dxa"/>
            <w:vAlign w:val="top"/>
          </w:tcPr>
          <w:p>
            <w:pPr>
              <w:rPr>
                <w:rFonts w:ascii="Arial"/>
                <w:sz w:val="21"/>
              </w:rPr>
            </w:pPr>
          </w:p>
        </w:tc>
        <w:tc>
          <w:tcPr>
            <w:tcW w:w="692" w:type="dxa"/>
            <w:vAlign w:val="top"/>
          </w:tcPr>
          <w:p>
            <w:pPr>
              <w:rPr>
                <w:rFonts w:ascii="Arial"/>
                <w:sz w:val="21"/>
              </w:rPr>
            </w:pPr>
          </w:p>
        </w:tc>
        <w:tc>
          <w:tcPr>
            <w:tcW w:w="1177" w:type="dxa"/>
            <w:vAlign w:val="top"/>
          </w:tcPr>
          <w:p>
            <w:pPr>
              <w:rPr>
                <w:rFonts w:ascii="Arial"/>
                <w:sz w:val="21"/>
              </w:rPr>
            </w:pPr>
          </w:p>
        </w:tc>
        <w:tc>
          <w:tcPr>
            <w:tcW w:w="871" w:type="dxa"/>
            <w:vAlign w:val="top"/>
          </w:tcPr>
          <w:p>
            <w:pPr>
              <w:rPr>
                <w:rFonts w:ascii="Arial"/>
                <w:sz w:val="21"/>
              </w:rPr>
            </w:pPr>
          </w:p>
        </w:tc>
        <w:tc>
          <w:tcPr>
            <w:tcW w:w="695" w:type="dxa"/>
            <w:vAlign w:val="top"/>
          </w:tcPr>
          <w:p>
            <w:pPr>
              <w:rPr>
                <w:rFonts w:ascii="Arial"/>
                <w:sz w:val="21"/>
              </w:rPr>
            </w:pPr>
          </w:p>
        </w:tc>
        <w:tc>
          <w:tcPr>
            <w:tcW w:w="723" w:type="dxa"/>
            <w:vAlign w:val="top"/>
          </w:tcPr>
          <w:p>
            <w:pPr>
              <w:rPr>
                <w:rFonts w:ascii="Arial"/>
                <w:sz w:val="21"/>
              </w:rPr>
            </w:pPr>
          </w:p>
        </w:tc>
        <w:tc>
          <w:tcPr>
            <w:tcW w:w="1226" w:type="dxa"/>
            <w:vAlign w:val="top"/>
          </w:tcPr>
          <w:p>
            <w:pPr>
              <w:rPr>
                <w:rFonts w:ascii="Arial"/>
                <w:sz w:val="21"/>
              </w:rPr>
            </w:pPr>
          </w:p>
        </w:tc>
        <w:tc>
          <w:tcPr>
            <w:tcW w:w="1262" w:type="dxa"/>
            <w:vAlign w:val="top"/>
          </w:tcPr>
          <w:p>
            <w:pPr>
              <w:rPr>
                <w:rFonts w:ascii="Arial"/>
                <w:sz w:val="21"/>
              </w:rPr>
            </w:pPr>
          </w:p>
        </w:tc>
        <w:tc>
          <w:tcPr>
            <w:tcW w:w="7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91" w:type="dxa"/>
            <w:vAlign w:val="top"/>
          </w:tcPr>
          <w:p>
            <w:pPr>
              <w:rPr>
                <w:rFonts w:ascii="Arial"/>
                <w:sz w:val="21"/>
              </w:rPr>
            </w:pPr>
          </w:p>
        </w:tc>
        <w:tc>
          <w:tcPr>
            <w:tcW w:w="1254" w:type="dxa"/>
            <w:vAlign w:val="top"/>
          </w:tcPr>
          <w:p>
            <w:pPr>
              <w:rPr>
                <w:rFonts w:ascii="Arial"/>
                <w:sz w:val="21"/>
              </w:rPr>
            </w:pPr>
          </w:p>
        </w:tc>
        <w:tc>
          <w:tcPr>
            <w:tcW w:w="692" w:type="dxa"/>
            <w:vAlign w:val="top"/>
          </w:tcPr>
          <w:p>
            <w:pPr>
              <w:rPr>
                <w:rFonts w:ascii="Arial"/>
                <w:sz w:val="21"/>
              </w:rPr>
            </w:pPr>
          </w:p>
        </w:tc>
        <w:tc>
          <w:tcPr>
            <w:tcW w:w="1177" w:type="dxa"/>
            <w:vAlign w:val="top"/>
          </w:tcPr>
          <w:p>
            <w:pPr>
              <w:rPr>
                <w:rFonts w:ascii="Arial"/>
                <w:sz w:val="21"/>
              </w:rPr>
            </w:pPr>
          </w:p>
        </w:tc>
        <w:tc>
          <w:tcPr>
            <w:tcW w:w="871" w:type="dxa"/>
            <w:vAlign w:val="top"/>
          </w:tcPr>
          <w:p>
            <w:pPr>
              <w:rPr>
                <w:rFonts w:ascii="Arial"/>
                <w:sz w:val="21"/>
              </w:rPr>
            </w:pPr>
          </w:p>
        </w:tc>
        <w:tc>
          <w:tcPr>
            <w:tcW w:w="695" w:type="dxa"/>
            <w:vAlign w:val="top"/>
          </w:tcPr>
          <w:p>
            <w:pPr>
              <w:rPr>
                <w:rFonts w:ascii="Arial"/>
                <w:sz w:val="21"/>
              </w:rPr>
            </w:pPr>
          </w:p>
        </w:tc>
        <w:tc>
          <w:tcPr>
            <w:tcW w:w="723" w:type="dxa"/>
            <w:vAlign w:val="top"/>
          </w:tcPr>
          <w:p>
            <w:pPr>
              <w:rPr>
                <w:rFonts w:ascii="Arial"/>
                <w:sz w:val="21"/>
              </w:rPr>
            </w:pPr>
          </w:p>
        </w:tc>
        <w:tc>
          <w:tcPr>
            <w:tcW w:w="1226" w:type="dxa"/>
            <w:vAlign w:val="top"/>
          </w:tcPr>
          <w:p>
            <w:pPr>
              <w:rPr>
                <w:rFonts w:ascii="Arial"/>
                <w:sz w:val="21"/>
              </w:rPr>
            </w:pPr>
          </w:p>
        </w:tc>
        <w:tc>
          <w:tcPr>
            <w:tcW w:w="1262" w:type="dxa"/>
            <w:vAlign w:val="top"/>
          </w:tcPr>
          <w:p>
            <w:pPr>
              <w:rPr>
                <w:rFonts w:ascii="Arial"/>
                <w:sz w:val="21"/>
              </w:rPr>
            </w:pPr>
          </w:p>
        </w:tc>
        <w:tc>
          <w:tcPr>
            <w:tcW w:w="7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91" w:type="dxa"/>
            <w:vAlign w:val="top"/>
          </w:tcPr>
          <w:p>
            <w:pPr>
              <w:rPr>
                <w:rFonts w:ascii="Arial"/>
                <w:sz w:val="21"/>
              </w:rPr>
            </w:pPr>
          </w:p>
        </w:tc>
        <w:tc>
          <w:tcPr>
            <w:tcW w:w="1254" w:type="dxa"/>
            <w:vAlign w:val="top"/>
          </w:tcPr>
          <w:p>
            <w:pPr>
              <w:rPr>
                <w:rFonts w:ascii="Arial"/>
                <w:sz w:val="21"/>
              </w:rPr>
            </w:pPr>
          </w:p>
        </w:tc>
        <w:tc>
          <w:tcPr>
            <w:tcW w:w="692" w:type="dxa"/>
            <w:vAlign w:val="top"/>
          </w:tcPr>
          <w:p>
            <w:pPr>
              <w:rPr>
                <w:rFonts w:ascii="Arial"/>
                <w:sz w:val="21"/>
              </w:rPr>
            </w:pPr>
          </w:p>
        </w:tc>
        <w:tc>
          <w:tcPr>
            <w:tcW w:w="1177" w:type="dxa"/>
            <w:vAlign w:val="top"/>
          </w:tcPr>
          <w:p>
            <w:pPr>
              <w:rPr>
                <w:rFonts w:ascii="Arial"/>
                <w:sz w:val="21"/>
              </w:rPr>
            </w:pPr>
          </w:p>
        </w:tc>
        <w:tc>
          <w:tcPr>
            <w:tcW w:w="871" w:type="dxa"/>
            <w:vAlign w:val="top"/>
          </w:tcPr>
          <w:p>
            <w:pPr>
              <w:rPr>
                <w:rFonts w:ascii="Arial"/>
                <w:sz w:val="21"/>
              </w:rPr>
            </w:pPr>
          </w:p>
        </w:tc>
        <w:tc>
          <w:tcPr>
            <w:tcW w:w="695" w:type="dxa"/>
            <w:vAlign w:val="top"/>
          </w:tcPr>
          <w:p>
            <w:pPr>
              <w:rPr>
                <w:rFonts w:ascii="Arial"/>
                <w:sz w:val="21"/>
              </w:rPr>
            </w:pPr>
          </w:p>
        </w:tc>
        <w:tc>
          <w:tcPr>
            <w:tcW w:w="723" w:type="dxa"/>
            <w:vAlign w:val="top"/>
          </w:tcPr>
          <w:p>
            <w:pPr>
              <w:rPr>
                <w:rFonts w:ascii="Arial"/>
                <w:sz w:val="21"/>
              </w:rPr>
            </w:pPr>
          </w:p>
        </w:tc>
        <w:tc>
          <w:tcPr>
            <w:tcW w:w="1226" w:type="dxa"/>
            <w:vAlign w:val="top"/>
          </w:tcPr>
          <w:p>
            <w:pPr>
              <w:rPr>
                <w:rFonts w:ascii="Arial"/>
                <w:sz w:val="21"/>
              </w:rPr>
            </w:pPr>
          </w:p>
        </w:tc>
        <w:tc>
          <w:tcPr>
            <w:tcW w:w="1262" w:type="dxa"/>
            <w:vAlign w:val="top"/>
          </w:tcPr>
          <w:p>
            <w:pPr>
              <w:rPr>
                <w:rFonts w:ascii="Arial"/>
                <w:sz w:val="21"/>
              </w:rPr>
            </w:pPr>
          </w:p>
        </w:tc>
        <w:tc>
          <w:tcPr>
            <w:tcW w:w="7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8591" w:type="dxa"/>
            <w:gridSpan w:val="9"/>
            <w:vAlign w:val="top"/>
          </w:tcPr>
          <w:p>
            <w:pPr>
              <w:spacing w:before="280" w:line="228" w:lineRule="auto"/>
              <w:ind w:left="537"/>
            </w:pPr>
            <w:r>
              <w:rPr>
                <w:spacing w:val="3"/>
              </w:rPr>
              <w:t>合计：大写：小写：元。</w:t>
            </w:r>
          </w:p>
        </w:tc>
        <w:tc>
          <w:tcPr>
            <w:tcW w:w="729" w:type="dxa"/>
            <w:vAlign w:val="top"/>
          </w:tcPr>
          <w:p>
            <w:pPr>
              <w:rPr>
                <w:rFonts w:ascii="Arial"/>
                <w:sz w:val="21"/>
              </w:rPr>
            </w:pPr>
          </w:p>
        </w:tc>
      </w:tr>
    </w:tbl>
    <w:p>
      <w:pPr>
        <w:spacing w:before="131" w:line="226" w:lineRule="auto"/>
        <w:ind w:left="133"/>
        <w:rPr>
          <w:rFonts w:ascii="宋体" w:hAnsi="宋体" w:eastAsia="宋体" w:cs="宋体"/>
          <w:sz w:val="20"/>
          <w:szCs w:val="20"/>
        </w:rPr>
      </w:pPr>
      <w:r>
        <w:rPr>
          <w:rFonts w:ascii="宋体" w:hAnsi="宋体" w:eastAsia="宋体" w:cs="宋体"/>
          <w:spacing w:val="6"/>
          <w:sz w:val="20"/>
          <w:szCs w:val="20"/>
        </w:rPr>
        <w:t>注：1、本表中的“合计”与“报价表”中的总价一致；</w:t>
      </w:r>
    </w:p>
    <w:p>
      <w:pPr>
        <w:spacing w:before="223" w:line="226" w:lineRule="auto"/>
        <w:ind w:left="556"/>
        <w:rPr>
          <w:rFonts w:ascii="宋体" w:hAnsi="宋体" w:eastAsia="宋体" w:cs="宋体"/>
          <w:sz w:val="20"/>
          <w:szCs w:val="20"/>
        </w:rPr>
      </w:pPr>
      <w:r>
        <w:rPr>
          <w:rFonts w:ascii="宋体" w:hAnsi="宋体" w:eastAsia="宋体" w:cs="宋体"/>
          <w:spacing w:val="8"/>
          <w:sz w:val="20"/>
          <w:szCs w:val="20"/>
        </w:rPr>
        <w:t>2、本报价的币种为人民币，表内报价内容以元为单位（如有小数，保留小数点后2位）。</w:t>
      </w:r>
    </w:p>
    <w:p>
      <w:pPr>
        <w:spacing w:before="223" w:line="226" w:lineRule="auto"/>
        <w:ind w:right="33"/>
        <w:jc w:val="right"/>
        <w:rPr>
          <w:rFonts w:ascii="宋体" w:hAnsi="宋体" w:eastAsia="宋体" w:cs="宋体"/>
          <w:sz w:val="20"/>
          <w:szCs w:val="20"/>
        </w:rPr>
      </w:pPr>
      <w:r>
        <w:rPr>
          <w:rFonts w:ascii="宋体" w:hAnsi="宋体" w:eastAsia="宋体" w:cs="宋体"/>
          <w:spacing w:val="5"/>
          <w:sz w:val="20"/>
          <w:szCs w:val="20"/>
        </w:rPr>
        <w:t>3、分项报价出现漏项或报价数量与谈判文件要求不符的，将被视为无效报价，按无效响应处理。</w:t>
      </w:r>
    </w:p>
    <w:p>
      <w:pPr>
        <w:spacing w:before="65" w:line="227" w:lineRule="auto"/>
        <w:ind w:left="4333"/>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4"/>
          <w:sz w:val="20"/>
          <w:szCs w:val="20"/>
        </w:rPr>
        <w:t>：（</w:t>
      </w:r>
      <w:r>
        <w:rPr>
          <w:rFonts w:ascii="宋体" w:hAnsi="宋体" w:eastAsia="宋体" w:cs="宋体"/>
          <w:spacing w:val="11"/>
          <w:sz w:val="20"/>
          <w:szCs w:val="20"/>
        </w:rPr>
        <w:t>公章）</w:t>
      </w:r>
    </w:p>
    <w:p>
      <w:pPr>
        <w:spacing w:before="66" w:line="227" w:lineRule="auto"/>
        <w:ind w:right="33"/>
        <w:jc w:val="right"/>
        <w:rPr>
          <w:rFonts w:ascii="宋体" w:hAnsi="宋体" w:eastAsia="宋体" w:cs="宋体"/>
          <w:sz w:val="20"/>
          <w:szCs w:val="20"/>
        </w:rPr>
      </w:pPr>
      <w:r>
        <w:rPr>
          <w:rFonts w:ascii="宋体" w:hAnsi="宋体" w:eastAsia="宋体" w:cs="宋体"/>
          <w:spacing w:val="10"/>
          <w:sz w:val="20"/>
          <w:szCs w:val="20"/>
        </w:rPr>
        <w:t>法定代表人或委托代理人</w:t>
      </w:r>
      <w:r>
        <w:rPr>
          <w:rFonts w:ascii="宋体" w:hAnsi="宋体" w:eastAsia="宋体" w:cs="宋体"/>
          <w:spacing w:val="-42"/>
          <w:w w:val="78"/>
          <w:sz w:val="20"/>
          <w:szCs w:val="20"/>
        </w:rPr>
        <w:t>：（</w:t>
      </w:r>
      <w:r>
        <w:rPr>
          <w:rFonts w:ascii="宋体" w:hAnsi="宋体" w:eastAsia="宋体" w:cs="宋体"/>
          <w:spacing w:val="10"/>
          <w:sz w:val="20"/>
          <w:szCs w:val="20"/>
        </w:rPr>
        <w:t>签字或盖章）</w:t>
      </w:r>
    </w:p>
    <w:p>
      <w:pPr>
        <w:spacing w:before="66" w:line="228" w:lineRule="auto"/>
        <w:ind w:left="4369"/>
        <w:rPr>
          <w:rFonts w:ascii="宋体" w:hAnsi="宋体" w:eastAsia="宋体" w:cs="宋体"/>
          <w:sz w:val="20"/>
          <w:szCs w:val="20"/>
        </w:rPr>
      </w:pPr>
      <w:r>
        <w:rPr>
          <w:rFonts w:ascii="宋体" w:hAnsi="宋体" w:eastAsia="宋体" w:cs="宋体"/>
          <w:spacing w:val="-6"/>
          <w:sz w:val="20"/>
          <w:szCs w:val="20"/>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pPr>
        <w:rPr>
          <w:rFonts w:ascii="宋体" w:hAnsi="宋体" w:eastAsia="宋体" w:cs="宋体"/>
          <w:b/>
          <w:bCs/>
          <w:spacing w:val="5"/>
          <w:sz w:val="31"/>
          <w:szCs w:val="31"/>
        </w:rPr>
      </w:pPr>
      <w:r>
        <w:rPr>
          <w:rFonts w:ascii="宋体" w:hAnsi="宋体" w:eastAsia="宋体" w:cs="宋体"/>
          <w:b/>
          <w:bCs/>
          <w:spacing w:val="5"/>
          <w:sz w:val="31"/>
          <w:szCs w:val="31"/>
        </w:rPr>
        <w:br w:type="page"/>
      </w:r>
    </w:p>
    <w:p>
      <w:pPr>
        <w:spacing w:before="138" w:line="225" w:lineRule="auto"/>
        <w:ind w:left="3266"/>
        <w:outlineLvl w:val="1"/>
        <w:rPr>
          <w:rFonts w:ascii="宋体" w:hAnsi="宋体" w:eastAsia="宋体" w:cs="宋体"/>
          <w:sz w:val="31"/>
          <w:szCs w:val="31"/>
        </w:rPr>
      </w:pPr>
      <w:bookmarkStart w:id="29" w:name="_Toc25735"/>
      <w:r>
        <w:rPr>
          <w:rFonts w:ascii="宋体" w:hAnsi="宋体" w:eastAsia="宋体" w:cs="宋体"/>
          <w:b/>
          <w:bCs/>
          <w:spacing w:val="5"/>
          <w:sz w:val="31"/>
          <w:szCs w:val="31"/>
        </w:rPr>
        <w:t>三、资格证明文件</w:t>
      </w:r>
      <w:bookmarkEnd w:id="29"/>
    </w:p>
    <w:p>
      <w:pPr>
        <w:pStyle w:val="7"/>
        <w:bidi w:val="0"/>
        <w:rPr>
          <w:rFonts w:hint="eastAsia" w:eastAsia="宋体"/>
          <w:lang w:eastAsia="zh-CN"/>
        </w:rPr>
      </w:pPr>
      <w:r>
        <w:rPr>
          <w:rFonts w:hint="eastAsia"/>
        </w:rPr>
        <w:t>3.1具有独立承担民事责任能力的法人、其他组织或自然人，法人或其他组织提供营业执照（事业单位法人证书）等合法证明文件。</w:t>
      </w:r>
    </w:p>
    <w:p>
      <w:pPr>
        <w:pStyle w:val="7"/>
        <w:bidi w:val="0"/>
        <w:rPr>
          <w:rFonts w:hint="eastAsia" w:eastAsia="宋体"/>
          <w:lang w:eastAsia="zh-CN"/>
        </w:rPr>
      </w:pPr>
      <w:r>
        <w:rPr>
          <w:rFonts w:hint="eastAsia"/>
        </w:rPr>
        <w:t>3.2财务状况报告：提供2024年度财务审计报告（成立时间至提交响应文件截止时间不足一年的可提供开标前六个月内其基本存款账户开户银行出具的资信证明及基本存款账户开户证明资料）。</w:t>
      </w:r>
    </w:p>
    <w:p>
      <w:pPr>
        <w:pStyle w:val="7"/>
        <w:bidi w:val="0"/>
        <w:rPr>
          <w:rFonts w:hint="eastAsia" w:eastAsia="宋体"/>
          <w:lang w:eastAsia="zh-CN"/>
        </w:rPr>
      </w:pPr>
      <w:r>
        <w:rPr>
          <w:rFonts w:hint="eastAsia"/>
        </w:rPr>
        <w:t>3.3社会保障资金缴纳证明：提供投标文件截止时间前12个月内至少一个月已缴纳的社会保障资金的凭据（专用收据或社会保险缴纳清单）；依法不需要缴纳社会保障资金的供应商应提供相关文件证明。</w:t>
      </w:r>
    </w:p>
    <w:p>
      <w:pPr>
        <w:pStyle w:val="7"/>
        <w:bidi w:val="0"/>
        <w:rPr>
          <w:rFonts w:hint="eastAsia" w:eastAsia="宋体"/>
          <w:lang w:eastAsia="zh-CN"/>
        </w:rPr>
      </w:pPr>
      <w:r>
        <w:rPr>
          <w:rFonts w:hint="eastAsia"/>
        </w:rPr>
        <w:t>3.1税收缴纳证明：提供投标文件截止时间前12个月内至少一个月已缴纳税收的凭据；依法免税的供应商应提供相关文件证明。</w:t>
      </w:r>
    </w:p>
    <w:p>
      <w:pPr>
        <w:pStyle w:val="7"/>
        <w:bidi w:val="0"/>
        <w:rPr>
          <w:rFonts w:hint="eastAsia" w:eastAsia="宋体"/>
          <w:lang w:eastAsia="zh-CN"/>
        </w:rPr>
      </w:pPr>
      <w:r>
        <w:rPr>
          <w:rFonts w:hint="eastAsia"/>
        </w:rPr>
        <w:t>3.5未被列入“信用中国”网站（www.creditchina.gov.cn）失信被执行人和重大税收违法案件当事人名单，不处于“中国政府采购网”(www.ccgp.gov.cn)“政府采购严重违法失信行为记录名单中禁止参加政府采购活动的情况。</w:t>
      </w:r>
    </w:p>
    <w:p>
      <w:pPr>
        <w:pStyle w:val="7"/>
        <w:bidi w:val="0"/>
        <w:rPr>
          <w:rFonts w:hint="eastAsia" w:eastAsia="宋体"/>
          <w:lang w:eastAsia="zh-CN"/>
        </w:rPr>
      </w:pPr>
      <w:r>
        <w:rPr>
          <w:rFonts w:hint="eastAsia"/>
        </w:rPr>
        <w:t>3.6须提供法定代表人授权书（附法定代表人、被授权人身份证复印件）及被授权人身份证原件；法定代表人直接参加投标，须提供法定代表人身份证明文件。</w:t>
      </w:r>
    </w:p>
    <w:p>
      <w:pPr>
        <w:pStyle w:val="7"/>
        <w:bidi w:val="0"/>
        <w:rPr>
          <w:rFonts w:hint="eastAsia" w:eastAsia="宋体"/>
          <w:lang w:eastAsia="zh-CN"/>
        </w:rPr>
      </w:pPr>
      <w:r>
        <w:rPr>
          <w:rFonts w:hint="eastAsia"/>
        </w:rPr>
        <w:t>3.7参加政府采购活动前三年内在经营活动中没有重大违法记录的书面声明；提供具有履行合同所必需的设备和专业技术能力的承诺函。</w:t>
      </w:r>
    </w:p>
    <w:p>
      <w:pPr>
        <w:pStyle w:val="7"/>
        <w:bidi w:val="0"/>
      </w:pPr>
      <w:r>
        <w:rPr>
          <w:rFonts w:hint="eastAsia"/>
        </w:rPr>
        <w:t>3.8单位负责人为同一人或者存在控股、管理关系的不同单位不得同时参加，未提及之处详见采购文件。</w:t>
      </w:r>
    </w:p>
    <w:p>
      <w:pPr>
        <w:spacing w:before="183" w:line="219" w:lineRule="auto"/>
        <w:jc w:val="right"/>
        <w:rPr>
          <w:rFonts w:ascii="宋体" w:hAnsi="宋体" w:eastAsia="宋体" w:cs="宋体"/>
          <w:sz w:val="22"/>
          <w:szCs w:val="22"/>
        </w:rPr>
      </w:pPr>
      <w:r>
        <w:rPr>
          <w:rFonts w:ascii="宋体" w:hAnsi="宋体" w:eastAsia="宋体" w:cs="宋体"/>
          <w:b/>
          <w:bCs/>
          <w:spacing w:val="-5"/>
          <w:sz w:val="22"/>
          <w:szCs w:val="22"/>
        </w:rPr>
        <w:t>注：竞争性谈判响应文件须按要求提供上述相关证明文件复印件并加盖公章（后附有关格式）。</w:t>
      </w:r>
    </w:p>
    <w:p>
      <w:pPr>
        <w:rPr>
          <w:rFonts w:ascii="宋体" w:hAnsi="宋体" w:eastAsia="宋体" w:cs="宋体"/>
          <w:color w:val="333333"/>
          <w:spacing w:val="-4"/>
          <w:sz w:val="24"/>
          <w:szCs w:val="24"/>
        </w:rPr>
      </w:pPr>
      <w:r>
        <w:rPr>
          <w:rFonts w:ascii="宋体" w:hAnsi="宋体" w:eastAsia="宋体" w:cs="宋体"/>
          <w:color w:val="333333"/>
          <w:spacing w:val="-4"/>
          <w:sz w:val="24"/>
          <w:szCs w:val="24"/>
        </w:rPr>
        <w:br w:type="page"/>
      </w:r>
    </w:p>
    <w:p>
      <w:pPr>
        <w:pStyle w:val="7"/>
        <w:bidi w:val="0"/>
      </w:pPr>
      <w:r>
        <w:t>格式1</w:t>
      </w:r>
    </w:p>
    <w:p>
      <w:pPr>
        <w:spacing w:before="239" w:line="219" w:lineRule="auto"/>
        <w:ind w:left="2850"/>
        <w:rPr>
          <w:rFonts w:ascii="宋体" w:hAnsi="宋体" w:eastAsia="宋体" w:cs="宋体"/>
          <w:sz w:val="28"/>
          <w:szCs w:val="28"/>
        </w:rPr>
      </w:pPr>
      <w:r>
        <w:rPr>
          <w:rFonts w:ascii="宋体" w:hAnsi="宋体" w:eastAsia="宋体" w:cs="宋体"/>
          <w:b/>
          <w:bCs/>
          <w:color w:val="333333"/>
          <w:spacing w:val="-3"/>
          <w:sz w:val="28"/>
          <w:szCs w:val="28"/>
        </w:rPr>
        <w:t>供应商信用记录书面声明函</w:t>
      </w:r>
    </w:p>
    <w:p>
      <w:pPr>
        <w:spacing w:before="235" w:line="219" w:lineRule="auto"/>
        <w:rPr>
          <w:rFonts w:hint="eastAsia" w:ascii="宋体" w:hAnsi="宋体" w:eastAsia="宋体" w:cs="宋体"/>
          <w:sz w:val="24"/>
          <w:szCs w:val="24"/>
          <w:lang w:eastAsia="zh-CN"/>
        </w:rPr>
      </w:pPr>
      <w:r>
        <w:rPr>
          <w:rFonts w:ascii="宋体" w:hAnsi="宋体" w:eastAsia="宋体" w:cs="宋体"/>
          <w:color w:val="333333"/>
          <w:spacing w:val="-1"/>
          <w:sz w:val="24"/>
          <w:szCs w:val="24"/>
        </w:rPr>
        <w:t>致：</w:t>
      </w:r>
      <w:r>
        <w:rPr>
          <w:rFonts w:hint="eastAsia" w:ascii="宋体" w:hAnsi="宋体" w:eastAsia="宋体" w:cs="宋体"/>
          <w:color w:val="333333"/>
          <w:spacing w:val="-1"/>
          <w:sz w:val="24"/>
          <w:szCs w:val="24"/>
          <w:lang w:eastAsia="zh-CN"/>
        </w:rPr>
        <w:t>陕西翰元工程咨询有限公司</w:t>
      </w:r>
    </w:p>
    <w:p>
      <w:pPr>
        <w:spacing w:before="182" w:line="360" w:lineRule="auto"/>
        <w:ind w:left="1" w:right="80" w:firstLine="480"/>
        <w:rPr>
          <w:rFonts w:ascii="宋体" w:hAnsi="宋体" w:eastAsia="宋体" w:cs="宋体"/>
          <w:sz w:val="24"/>
          <w:szCs w:val="24"/>
        </w:rPr>
      </w:pPr>
      <w:r>
        <w:rPr>
          <w:rFonts w:ascii="宋体" w:hAnsi="宋体" w:eastAsia="宋体" w:cs="宋体"/>
          <w:color w:val="333333"/>
          <w:spacing w:val="-1"/>
          <w:sz w:val="24"/>
          <w:szCs w:val="24"/>
        </w:rPr>
        <w:t>我公司</w:t>
      </w:r>
      <w:r>
        <w:rPr>
          <w:rFonts w:ascii="宋体" w:hAnsi="宋体" w:eastAsia="宋体" w:cs="宋体"/>
          <w:color w:val="333333"/>
          <w:spacing w:val="-1"/>
          <w:sz w:val="24"/>
          <w:szCs w:val="24"/>
          <w:u w:val="single" w:color="auto"/>
        </w:rPr>
        <w:t>（供应商名称</w:t>
      </w:r>
      <w:r>
        <w:rPr>
          <w:rFonts w:ascii="宋体" w:hAnsi="宋体" w:eastAsia="宋体" w:cs="宋体"/>
          <w:color w:val="333333"/>
          <w:spacing w:val="-7"/>
          <w:sz w:val="24"/>
          <w:szCs w:val="24"/>
          <w:u w:val="single" w:color="auto"/>
        </w:rPr>
        <w:t>）</w:t>
      </w:r>
      <w:r>
        <w:rPr>
          <w:rFonts w:ascii="宋体" w:hAnsi="宋体" w:eastAsia="宋体" w:cs="宋体"/>
          <w:color w:val="333333"/>
          <w:spacing w:val="-7"/>
          <w:sz w:val="24"/>
          <w:szCs w:val="24"/>
        </w:rPr>
        <w:t>，</w:t>
      </w:r>
      <w:r>
        <w:rPr>
          <w:rFonts w:ascii="宋体" w:hAnsi="宋体" w:eastAsia="宋体" w:cs="宋体"/>
          <w:color w:val="333333"/>
          <w:spacing w:val="-1"/>
          <w:sz w:val="24"/>
          <w:szCs w:val="24"/>
        </w:rPr>
        <w:t>就参加</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2"/>
          <w:sz w:val="24"/>
          <w:szCs w:val="24"/>
        </w:rPr>
        <w:t>采购项目（采购项目编号</w:t>
      </w:r>
      <w:r>
        <w:rPr>
          <w:rFonts w:ascii="宋体" w:hAnsi="宋体" w:eastAsia="宋体" w:cs="宋体"/>
          <w:color w:val="333333"/>
          <w:spacing w:val="-10"/>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0"/>
          <w:sz w:val="24"/>
          <w:szCs w:val="24"/>
        </w:rPr>
        <w:t>）</w:t>
      </w:r>
      <w:r>
        <w:rPr>
          <w:rFonts w:ascii="宋体" w:hAnsi="宋体" w:eastAsia="宋体" w:cs="宋体"/>
          <w:color w:val="333333"/>
          <w:spacing w:val="-2"/>
          <w:sz w:val="24"/>
          <w:szCs w:val="24"/>
        </w:rPr>
        <w:t>谈判事宜，在此郑重声明：</w:t>
      </w:r>
    </w:p>
    <w:p>
      <w:pPr>
        <w:spacing w:before="4" w:line="312" w:lineRule="auto"/>
        <w:ind w:firstLine="401"/>
        <w:rPr>
          <w:rFonts w:ascii="宋体" w:hAnsi="宋体" w:eastAsia="宋体" w:cs="宋体"/>
          <w:sz w:val="24"/>
          <w:szCs w:val="24"/>
        </w:rPr>
      </w:pPr>
      <w:r>
        <w:rPr>
          <w:rFonts w:ascii="宋体" w:hAnsi="宋体" w:eastAsia="宋体" w:cs="宋体"/>
          <w:color w:val="333333"/>
          <w:spacing w:val="-1"/>
          <w:sz w:val="24"/>
          <w:szCs w:val="24"/>
        </w:rPr>
        <w:t>1、在参加本次政府采购活动前3年内的经营</w:t>
      </w:r>
      <w:r>
        <w:rPr>
          <w:rFonts w:ascii="宋体" w:hAnsi="宋体" w:eastAsia="宋体" w:cs="宋体"/>
          <w:color w:val="333333"/>
          <w:spacing w:val="-2"/>
          <w:sz w:val="24"/>
          <w:szCs w:val="24"/>
        </w:rPr>
        <w:t>活动中</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2"/>
          <w:sz w:val="24"/>
          <w:szCs w:val="24"/>
        </w:rPr>
        <w:t>（填“没有”或“有”）</w:t>
      </w:r>
      <w:r>
        <w:rPr>
          <w:rFonts w:ascii="宋体" w:hAnsi="宋体" w:eastAsia="宋体" w:cs="宋体"/>
          <w:color w:val="333333"/>
          <w:spacing w:val="-3"/>
          <w:sz w:val="24"/>
          <w:szCs w:val="24"/>
        </w:rPr>
        <w:t>重大违法记录。供应商在参加政府采购活动前3年</w:t>
      </w:r>
      <w:r>
        <w:rPr>
          <w:rFonts w:ascii="宋体" w:hAnsi="宋体" w:eastAsia="宋体" w:cs="宋体"/>
          <w:color w:val="333333"/>
          <w:spacing w:val="-4"/>
          <w:sz w:val="24"/>
          <w:szCs w:val="24"/>
        </w:rPr>
        <w:t>内因违法经营被禁止在一定期限内参</w:t>
      </w:r>
      <w:r>
        <w:rPr>
          <w:rFonts w:ascii="宋体" w:hAnsi="宋体" w:eastAsia="宋体" w:cs="宋体"/>
          <w:color w:val="333333"/>
          <w:spacing w:val="-6"/>
          <w:sz w:val="24"/>
          <w:szCs w:val="24"/>
        </w:rPr>
        <w:t>加政府采购活动，期限届满的，可以参加政府采购活动，但应提供期限届满的证明材料。</w:t>
      </w:r>
    </w:p>
    <w:p>
      <w:pPr>
        <w:spacing w:before="184" w:line="219" w:lineRule="auto"/>
        <w:ind w:left="386"/>
        <w:rPr>
          <w:rFonts w:ascii="宋体" w:hAnsi="宋体" w:eastAsia="宋体" w:cs="宋体"/>
          <w:sz w:val="24"/>
          <w:szCs w:val="24"/>
        </w:rPr>
      </w:pPr>
      <w:r>
        <w:rPr>
          <w:rFonts w:ascii="宋体" w:hAnsi="宋体" w:eastAsia="宋体" w:cs="宋体"/>
          <w:color w:val="333333"/>
          <w:spacing w:val="-2"/>
          <w:sz w:val="24"/>
          <w:szCs w:val="24"/>
        </w:rPr>
        <w:t>2、我方</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2"/>
          <w:sz w:val="24"/>
          <w:szCs w:val="24"/>
        </w:rPr>
        <w:t>（填“未被列入”或“被列</w:t>
      </w:r>
      <w:r>
        <w:rPr>
          <w:rFonts w:ascii="宋体" w:hAnsi="宋体" w:eastAsia="宋体" w:cs="宋体"/>
          <w:color w:val="333333"/>
          <w:spacing w:val="-3"/>
          <w:sz w:val="24"/>
          <w:szCs w:val="24"/>
        </w:rPr>
        <w:t>入”）失信被执行人名单。</w:t>
      </w:r>
    </w:p>
    <w:p>
      <w:pPr>
        <w:spacing w:before="183" w:line="219" w:lineRule="auto"/>
        <w:ind w:left="388"/>
        <w:rPr>
          <w:rFonts w:ascii="宋体" w:hAnsi="宋体" w:eastAsia="宋体" w:cs="宋体"/>
          <w:sz w:val="24"/>
          <w:szCs w:val="24"/>
        </w:rPr>
      </w:pPr>
      <w:r>
        <w:rPr>
          <w:rFonts w:ascii="宋体" w:hAnsi="宋体" w:eastAsia="宋体" w:cs="宋体"/>
          <w:color w:val="333333"/>
          <w:spacing w:val="-2"/>
          <w:sz w:val="24"/>
          <w:szCs w:val="24"/>
        </w:rPr>
        <w:t>3、我方</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2"/>
          <w:sz w:val="24"/>
          <w:szCs w:val="24"/>
        </w:rPr>
        <w:t>（填“未被列入”或“被列入”）重大税收违法案件当事人</w:t>
      </w:r>
      <w:r>
        <w:rPr>
          <w:rFonts w:ascii="宋体" w:hAnsi="宋体" w:eastAsia="宋体" w:cs="宋体"/>
          <w:color w:val="333333"/>
          <w:spacing w:val="-3"/>
          <w:sz w:val="24"/>
          <w:szCs w:val="24"/>
        </w:rPr>
        <w:t>名单。</w:t>
      </w:r>
    </w:p>
    <w:p>
      <w:pPr>
        <w:spacing w:before="183" w:line="290" w:lineRule="auto"/>
        <w:ind w:left="1" w:right="128" w:firstLine="381"/>
        <w:rPr>
          <w:rFonts w:ascii="宋体" w:hAnsi="宋体" w:eastAsia="宋体" w:cs="宋体"/>
          <w:sz w:val="24"/>
          <w:szCs w:val="24"/>
        </w:rPr>
      </w:pPr>
      <w:r>
        <w:rPr>
          <w:rFonts w:ascii="宋体" w:hAnsi="宋体" w:eastAsia="宋体" w:cs="宋体"/>
          <w:color w:val="333333"/>
          <w:spacing w:val="-2"/>
          <w:sz w:val="24"/>
          <w:szCs w:val="24"/>
        </w:rPr>
        <w:t>4、我方</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2"/>
          <w:sz w:val="24"/>
          <w:szCs w:val="24"/>
        </w:rPr>
        <w:t>（填“未被列入”或“被列入”）政府采购严重违法失信行为记录名</w:t>
      </w:r>
      <w:r>
        <w:rPr>
          <w:rFonts w:ascii="宋体" w:hAnsi="宋体" w:eastAsia="宋体" w:cs="宋体"/>
          <w:color w:val="333333"/>
          <w:spacing w:val="-6"/>
          <w:sz w:val="24"/>
          <w:szCs w:val="24"/>
        </w:rPr>
        <w:t>单。</w:t>
      </w:r>
    </w:p>
    <w:p>
      <w:pPr>
        <w:spacing w:before="181" w:line="362" w:lineRule="auto"/>
        <w:ind w:right="80" w:firstLine="387"/>
        <w:rPr>
          <w:rFonts w:ascii="宋体" w:hAnsi="宋体" w:eastAsia="宋体" w:cs="宋体"/>
          <w:sz w:val="24"/>
          <w:szCs w:val="24"/>
        </w:rPr>
      </w:pPr>
      <w:r>
        <w:rPr>
          <w:rFonts w:ascii="宋体" w:hAnsi="宋体" w:eastAsia="宋体" w:cs="宋体"/>
          <w:color w:val="333333"/>
          <w:spacing w:val="-6"/>
          <w:sz w:val="24"/>
          <w:szCs w:val="24"/>
        </w:rPr>
        <w:t>如有不实，我方将无条件地退出本项目的采购活动，并遵照《政府采购法》有关“提</w:t>
      </w:r>
      <w:r>
        <w:rPr>
          <w:rFonts w:ascii="宋体" w:hAnsi="宋体" w:eastAsia="宋体" w:cs="宋体"/>
          <w:color w:val="333333"/>
          <w:spacing w:val="-3"/>
          <w:sz w:val="24"/>
          <w:szCs w:val="24"/>
        </w:rPr>
        <w:t>供虚假材料的规定”接受处罚。特此声明。</w:t>
      </w:r>
    </w:p>
    <w:p>
      <w:pPr>
        <w:spacing w:before="79" w:line="219" w:lineRule="auto"/>
        <w:ind w:left="1920"/>
        <w:rPr>
          <w:rFonts w:ascii="宋体" w:hAnsi="宋体" w:eastAsia="宋体" w:cs="宋体"/>
          <w:sz w:val="24"/>
          <w:szCs w:val="24"/>
        </w:rPr>
      </w:pPr>
      <w:r>
        <w:rPr>
          <w:rFonts w:ascii="宋体" w:hAnsi="宋体" w:eastAsia="宋体" w:cs="宋体"/>
          <w:color w:val="333333"/>
          <w:spacing w:val="5"/>
          <w:sz w:val="24"/>
          <w:szCs w:val="24"/>
        </w:rPr>
        <w:t>供应商</w:t>
      </w:r>
      <w:r>
        <w:rPr>
          <w:rFonts w:ascii="宋体" w:hAnsi="宋体" w:eastAsia="宋体" w:cs="宋体"/>
          <w:color w:val="333333"/>
          <w:spacing w:val="-30"/>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30"/>
          <w:sz w:val="24"/>
          <w:szCs w:val="24"/>
        </w:rPr>
        <w:t>（</w:t>
      </w:r>
      <w:r>
        <w:rPr>
          <w:rFonts w:ascii="宋体" w:hAnsi="宋体" w:eastAsia="宋体" w:cs="宋体"/>
          <w:color w:val="333333"/>
          <w:spacing w:val="5"/>
          <w:sz w:val="24"/>
          <w:szCs w:val="24"/>
        </w:rPr>
        <w:t>盖章）</w:t>
      </w:r>
    </w:p>
    <w:p>
      <w:pPr>
        <w:spacing w:before="184" w:line="219" w:lineRule="auto"/>
        <w:ind w:left="1920"/>
        <w:rPr>
          <w:rFonts w:ascii="宋体" w:hAnsi="宋体" w:eastAsia="宋体" w:cs="宋体"/>
          <w:sz w:val="24"/>
          <w:szCs w:val="24"/>
        </w:rPr>
      </w:pPr>
      <w:r>
        <w:rPr>
          <w:rFonts w:ascii="宋体" w:hAnsi="宋体" w:eastAsia="宋体" w:cs="宋体"/>
          <w:color w:val="333333"/>
          <w:spacing w:val="-1"/>
          <w:sz w:val="24"/>
          <w:szCs w:val="24"/>
        </w:rPr>
        <w:t>法定代表人（单位负责人）</w:t>
      </w:r>
    </w:p>
    <w:p>
      <w:pPr>
        <w:spacing w:before="183" w:line="219" w:lineRule="auto"/>
        <w:ind w:left="1922"/>
        <w:rPr>
          <w:rFonts w:ascii="宋体" w:hAnsi="宋体" w:eastAsia="宋体" w:cs="宋体"/>
          <w:sz w:val="24"/>
          <w:szCs w:val="24"/>
        </w:rPr>
      </w:pPr>
      <w:r>
        <w:rPr>
          <w:rFonts w:ascii="宋体" w:hAnsi="宋体" w:eastAsia="宋体" w:cs="宋体"/>
          <w:color w:val="333333"/>
          <w:spacing w:val="-2"/>
          <w:sz w:val="24"/>
          <w:szCs w:val="24"/>
        </w:rPr>
        <w:t>或授权委托人</w:t>
      </w:r>
      <w:r>
        <w:rPr>
          <w:rFonts w:ascii="宋体" w:hAnsi="宋体" w:eastAsia="宋体" w:cs="宋体"/>
          <w:color w:val="333333"/>
          <w:spacing w:val="5"/>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5"/>
          <w:sz w:val="24"/>
          <w:szCs w:val="24"/>
          <w:u w:val="single" w:color="auto"/>
        </w:rPr>
        <w:t>（</w:t>
      </w:r>
      <w:r>
        <w:rPr>
          <w:rFonts w:ascii="宋体" w:hAnsi="宋体" w:eastAsia="宋体" w:cs="宋体"/>
          <w:color w:val="333333"/>
          <w:spacing w:val="-2"/>
          <w:sz w:val="24"/>
          <w:szCs w:val="24"/>
        </w:rPr>
        <w:t>盖章或签字）</w:t>
      </w:r>
    </w:p>
    <w:p>
      <w:pPr>
        <w:spacing w:before="184" w:line="219" w:lineRule="auto"/>
        <w:ind w:left="1961"/>
        <w:rPr>
          <w:rFonts w:ascii="宋体" w:hAnsi="宋体" w:eastAsia="宋体" w:cs="宋体"/>
          <w:sz w:val="24"/>
          <w:szCs w:val="24"/>
        </w:rPr>
      </w:pPr>
      <w:r>
        <w:rPr>
          <w:rFonts w:ascii="宋体" w:hAnsi="宋体" w:eastAsia="宋体" w:cs="宋体"/>
          <w:color w:val="333333"/>
          <w:spacing w:val="-15"/>
          <w:sz w:val="24"/>
          <w:szCs w:val="24"/>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pPr>
        <w:rPr>
          <w:rFonts w:ascii="宋体" w:hAnsi="宋体" w:eastAsia="宋体" w:cs="宋体"/>
          <w:b/>
          <w:bCs/>
          <w:color w:val="333333"/>
          <w:spacing w:val="-3"/>
          <w:sz w:val="24"/>
          <w:szCs w:val="24"/>
        </w:rPr>
      </w:pPr>
      <w:r>
        <w:rPr>
          <w:rFonts w:ascii="宋体" w:hAnsi="宋体" w:eastAsia="宋体" w:cs="宋体"/>
          <w:b/>
          <w:bCs/>
          <w:color w:val="333333"/>
          <w:spacing w:val="-3"/>
          <w:sz w:val="24"/>
          <w:szCs w:val="24"/>
        </w:rPr>
        <w:br w:type="page"/>
      </w:r>
    </w:p>
    <w:p>
      <w:pPr>
        <w:pStyle w:val="7"/>
        <w:bidi w:val="0"/>
        <w:rPr>
          <w:rFonts w:hint="default"/>
          <w:lang w:val="en-US" w:eastAsia="zh-CN"/>
        </w:rPr>
      </w:pPr>
      <w:r>
        <w:rPr>
          <w:rFonts w:hint="eastAsia"/>
          <w:lang w:val="en-US" w:eastAsia="zh-CN"/>
        </w:rPr>
        <w:t>格式2</w:t>
      </w:r>
    </w:p>
    <w:p>
      <w:pPr>
        <w:spacing w:before="163" w:line="219" w:lineRule="auto"/>
        <w:ind w:left="407"/>
        <w:rPr>
          <w:rFonts w:ascii="宋体" w:hAnsi="宋体" w:eastAsia="宋体" w:cs="宋体"/>
          <w:sz w:val="24"/>
          <w:szCs w:val="24"/>
        </w:rPr>
      </w:pPr>
      <w:r>
        <w:rPr>
          <w:rFonts w:ascii="宋体" w:hAnsi="宋体" w:eastAsia="宋体" w:cs="宋体"/>
          <w:b/>
          <w:bCs/>
          <w:color w:val="333333"/>
          <w:spacing w:val="-3"/>
          <w:sz w:val="24"/>
          <w:szCs w:val="24"/>
        </w:rPr>
        <w:t>（一）供应商提供直接控股和管理关系清单，格式不限。</w:t>
      </w:r>
    </w:p>
    <w:p>
      <w:pPr>
        <w:spacing w:before="184" w:line="219" w:lineRule="auto"/>
        <w:ind w:left="3346"/>
        <w:rPr>
          <w:rFonts w:ascii="宋体" w:hAnsi="宋体" w:eastAsia="宋体" w:cs="宋体"/>
          <w:sz w:val="24"/>
          <w:szCs w:val="24"/>
        </w:rPr>
      </w:pPr>
      <w:r>
        <w:rPr>
          <w:rFonts w:ascii="宋体" w:hAnsi="宋体" w:eastAsia="宋体" w:cs="宋体"/>
          <w:color w:val="333333"/>
          <w:spacing w:val="-1"/>
          <w:sz w:val="24"/>
          <w:szCs w:val="24"/>
        </w:rPr>
        <w:t>控股管理关系（样表）</w:t>
      </w:r>
    </w:p>
    <w:p>
      <w:pPr>
        <w:spacing w:before="183" w:line="219" w:lineRule="auto"/>
        <w:ind w:left="11"/>
        <w:rPr>
          <w:rFonts w:ascii="宋体" w:hAnsi="宋体" w:eastAsia="宋体" w:cs="宋体"/>
          <w:sz w:val="24"/>
          <w:szCs w:val="24"/>
        </w:rPr>
      </w:pPr>
      <w:r>
        <w:rPr>
          <w:rFonts w:ascii="宋体" w:hAnsi="宋体" w:eastAsia="宋体" w:cs="宋体"/>
          <w:color w:val="333333"/>
          <w:spacing w:val="-1"/>
          <w:sz w:val="24"/>
          <w:szCs w:val="24"/>
        </w:rPr>
        <w:t>致：</w:t>
      </w:r>
      <w:r>
        <w:rPr>
          <w:rFonts w:hint="eastAsia" w:ascii="宋体" w:hAnsi="宋体" w:eastAsia="宋体" w:cs="宋体"/>
          <w:color w:val="333333"/>
          <w:spacing w:val="-1"/>
          <w:sz w:val="24"/>
          <w:szCs w:val="24"/>
          <w:lang w:eastAsia="zh-CN"/>
        </w:rPr>
        <w:t>陕西翰元工程咨询有限公司</w:t>
      </w:r>
      <w:r>
        <w:rPr>
          <w:rFonts w:ascii="宋体" w:hAnsi="宋体" w:eastAsia="宋体" w:cs="宋体"/>
          <w:color w:val="333333"/>
          <w:spacing w:val="-1"/>
          <w:sz w:val="24"/>
          <w:szCs w:val="24"/>
        </w:rPr>
        <w:t>：</w:t>
      </w:r>
    </w:p>
    <w:p>
      <w:pPr>
        <w:spacing w:before="182" w:line="219" w:lineRule="auto"/>
        <w:ind w:left="397"/>
        <w:rPr>
          <w:rFonts w:ascii="宋体" w:hAnsi="宋体" w:eastAsia="宋体" w:cs="宋体"/>
          <w:sz w:val="24"/>
          <w:szCs w:val="24"/>
        </w:rPr>
      </w:pPr>
      <w:r>
        <w:rPr>
          <w:rFonts w:ascii="宋体" w:hAnsi="宋体" w:eastAsia="宋体" w:cs="宋体"/>
          <w:color w:val="333333"/>
          <w:spacing w:val="-1"/>
          <w:sz w:val="24"/>
          <w:szCs w:val="24"/>
        </w:rPr>
        <w:t>我方与以下供应商存在直接控股、管理关系：</w:t>
      </w:r>
    </w:p>
    <w:tbl>
      <w:tblPr>
        <w:tblStyle w:val="19"/>
        <w:tblW w:w="8526" w:type="dxa"/>
        <w:tblInd w:w="2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8"/>
        <w:gridCol w:w="2114"/>
        <w:gridCol w:w="2346"/>
        <w:gridCol w:w="19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526" w:type="dxa"/>
            <w:gridSpan w:val="4"/>
            <w:vAlign w:val="top"/>
          </w:tcPr>
          <w:p>
            <w:pPr>
              <w:spacing w:before="177" w:line="219" w:lineRule="auto"/>
              <w:ind w:left="500"/>
              <w:rPr>
                <w:sz w:val="24"/>
                <w:szCs w:val="24"/>
              </w:rPr>
            </w:pPr>
            <w:r>
              <w:rPr>
                <w:color w:val="333333"/>
                <w:spacing w:val="-1"/>
                <w:sz w:val="24"/>
                <w:szCs w:val="24"/>
              </w:rPr>
              <w:t>存在直接控股、管理关系的相关供应商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2118" w:type="dxa"/>
            <w:vAlign w:val="top"/>
          </w:tcPr>
          <w:p>
            <w:pPr>
              <w:spacing w:before="78" w:line="221" w:lineRule="auto"/>
              <w:ind w:left="824"/>
              <w:rPr>
                <w:sz w:val="24"/>
                <w:szCs w:val="24"/>
              </w:rPr>
            </w:pPr>
            <w:r>
              <w:rPr>
                <w:color w:val="333333"/>
                <w:spacing w:val="-5"/>
                <w:sz w:val="24"/>
                <w:szCs w:val="24"/>
              </w:rPr>
              <w:t>序号</w:t>
            </w:r>
          </w:p>
        </w:tc>
        <w:tc>
          <w:tcPr>
            <w:tcW w:w="2114" w:type="dxa"/>
            <w:vAlign w:val="top"/>
          </w:tcPr>
          <w:p>
            <w:pPr>
              <w:spacing w:before="173" w:line="335" w:lineRule="auto"/>
              <w:ind w:left="342" w:right="214" w:hanging="117"/>
              <w:rPr>
                <w:sz w:val="24"/>
                <w:szCs w:val="24"/>
              </w:rPr>
            </w:pPr>
            <w:r>
              <w:rPr>
                <w:color w:val="333333"/>
                <w:spacing w:val="-2"/>
                <w:sz w:val="24"/>
                <w:szCs w:val="24"/>
              </w:rPr>
              <w:t>直接控股股东名称及出资比例</w:t>
            </w:r>
          </w:p>
        </w:tc>
        <w:tc>
          <w:tcPr>
            <w:tcW w:w="2346" w:type="dxa"/>
            <w:vAlign w:val="top"/>
          </w:tcPr>
          <w:p>
            <w:pPr>
              <w:spacing w:before="173" w:line="335" w:lineRule="auto"/>
              <w:ind w:left="943" w:right="208" w:hanging="720"/>
              <w:rPr>
                <w:sz w:val="24"/>
                <w:szCs w:val="24"/>
              </w:rPr>
            </w:pPr>
            <w:r>
              <w:rPr>
                <w:color w:val="333333"/>
                <w:spacing w:val="-2"/>
                <w:sz w:val="24"/>
                <w:szCs w:val="24"/>
              </w:rPr>
              <w:t>直接管理关系单位</w:t>
            </w:r>
            <w:r>
              <w:rPr>
                <w:color w:val="333333"/>
                <w:spacing w:val="-7"/>
                <w:sz w:val="24"/>
                <w:szCs w:val="24"/>
              </w:rPr>
              <w:t>名称</w:t>
            </w:r>
          </w:p>
        </w:tc>
        <w:tc>
          <w:tcPr>
            <w:tcW w:w="1948" w:type="dxa"/>
            <w:vAlign w:val="top"/>
          </w:tcPr>
          <w:p>
            <w:pPr>
              <w:spacing w:before="78" w:line="221" w:lineRule="auto"/>
              <w:ind w:left="936"/>
              <w:rPr>
                <w:sz w:val="24"/>
                <w:szCs w:val="24"/>
              </w:rPr>
            </w:pPr>
            <w:r>
              <w:rPr>
                <w:color w:val="333333"/>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118" w:type="dxa"/>
            <w:vAlign w:val="top"/>
          </w:tcPr>
          <w:p>
            <w:pPr>
              <w:spacing w:before="216" w:line="241" w:lineRule="auto"/>
              <w:ind w:left="1022"/>
              <w:rPr>
                <w:sz w:val="24"/>
                <w:szCs w:val="24"/>
              </w:rPr>
            </w:pPr>
            <w:r>
              <w:rPr>
                <w:color w:val="333333"/>
                <w:sz w:val="24"/>
                <w:szCs w:val="24"/>
              </w:rPr>
              <w:t>1</w:t>
            </w:r>
          </w:p>
        </w:tc>
        <w:tc>
          <w:tcPr>
            <w:tcW w:w="2114" w:type="dxa"/>
            <w:vAlign w:val="top"/>
          </w:tcPr>
          <w:p>
            <w:pPr>
              <w:rPr>
                <w:rFonts w:ascii="Arial"/>
                <w:sz w:val="21"/>
              </w:rPr>
            </w:pPr>
          </w:p>
        </w:tc>
        <w:tc>
          <w:tcPr>
            <w:tcW w:w="2346" w:type="dxa"/>
            <w:vAlign w:val="top"/>
          </w:tcPr>
          <w:p>
            <w:pPr>
              <w:rPr>
                <w:rFonts w:ascii="Arial"/>
                <w:sz w:val="21"/>
              </w:rPr>
            </w:pPr>
          </w:p>
        </w:tc>
        <w:tc>
          <w:tcPr>
            <w:tcW w:w="19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2118" w:type="dxa"/>
            <w:vAlign w:val="top"/>
          </w:tcPr>
          <w:p>
            <w:pPr>
              <w:spacing w:before="202" w:line="241" w:lineRule="auto"/>
              <w:ind w:left="1008"/>
              <w:rPr>
                <w:sz w:val="24"/>
                <w:szCs w:val="24"/>
              </w:rPr>
            </w:pPr>
            <w:r>
              <w:rPr>
                <w:color w:val="333333"/>
                <w:sz w:val="24"/>
                <w:szCs w:val="24"/>
              </w:rPr>
              <w:t>2</w:t>
            </w:r>
          </w:p>
        </w:tc>
        <w:tc>
          <w:tcPr>
            <w:tcW w:w="2114" w:type="dxa"/>
            <w:vAlign w:val="top"/>
          </w:tcPr>
          <w:p>
            <w:pPr>
              <w:rPr>
                <w:rFonts w:ascii="Arial"/>
                <w:sz w:val="21"/>
              </w:rPr>
            </w:pPr>
          </w:p>
        </w:tc>
        <w:tc>
          <w:tcPr>
            <w:tcW w:w="2346" w:type="dxa"/>
            <w:vAlign w:val="top"/>
          </w:tcPr>
          <w:p>
            <w:pPr>
              <w:rPr>
                <w:rFonts w:ascii="Arial"/>
                <w:sz w:val="21"/>
              </w:rPr>
            </w:pPr>
          </w:p>
        </w:tc>
        <w:tc>
          <w:tcPr>
            <w:tcW w:w="19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2118" w:type="dxa"/>
            <w:vAlign w:val="top"/>
          </w:tcPr>
          <w:p>
            <w:pPr>
              <w:spacing w:before="78" w:line="99" w:lineRule="exact"/>
              <w:ind w:left="891"/>
              <w:rPr>
                <w:sz w:val="24"/>
                <w:szCs w:val="24"/>
              </w:rPr>
            </w:pPr>
            <w:r>
              <w:rPr>
                <w:color w:val="333333"/>
                <w:position w:val="1"/>
                <w:sz w:val="24"/>
                <w:szCs w:val="24"/>
              </w:rPr>
              <w:t>...</w:t>
            </w:r>
          </w:p>
        </w:tc>
        <w:tc>
          <w:tcPr>
            <w:tcW w:w="2114" w:type="dxa"/>
            <w:vAlign w:val="top"/>
          </w:tcPr>
          <w:p>
            <w:pPr>
              <w:rPr>
                <w:rFonts w:ascii="Arial"/>
                <w:sz w:val="21"/>
              </w:rPr>
            </w:pPr>
          </w:p>
        </w:tc>
        <w:tc>
          <w:tcPr>
            <w:tcW w:w="2346" w:type="dxa"/>
            <w:vAlign w:val="top"/>
          </w:tcPr>
          <w:p>
            <w:pPr>
              <w:rPr>
                <w:rFonts w:ascii="Arial"/>
                <w:sz w:val="21"/>
              </w:rPr>
            </w:pPr>
          </w:p>
        </w:tc>
        <w:tc>
          <w:tcPr>
            <w:tcW w:w="1948" w:type="dxa"/>
            <w:vAlign w:val="top"/>
          </w:tcPr>
          <w:p>
            <w:pPr>
              <w:rPr>
                <w:rFonts w:ascii="Arial"/>
                <w:sz w:val="21"/>
              </w:rPr>
            </w:pPr>
          </w:p>
        </w:tc>
      </w:tr>
    </w:tbl>
    <w:p>
      <w:pPr>
        <w:spacing w:before="78" w:line="219" w:lineRule="auto"/>
        <w:ind w:left="2786"/>
        <w:rPr>
          <w:rFonts w:ascii="宋体" w:hAnsi="宋体" w:eastAsia="宋体" w:cs="宋体"/>
          <w:sz w:val="24"/>
          <w:szCs w:val="24"/>
        </w:rPr>
      </w:pPr>
      <w:r>
        <w:rPr>
          <w:rFonts w:ascii="宋体" w:hAnsi="宋体" w:eastAsia="宋体" w:cs="宋体"/>
          <w:color w:val="333333"/>
          <w:spacing w:val="5"/>
          <w:sz w:val="24"/>
          <w:szCs w:val="24"/>
        </w:rPr>
        <w:t>供应商</w:t>
      </w:r>
      <w:r>
        <w:rPr>
          <w:rFonts w:ascii="宋体" w:hAnsi="宋体" w:eastAsia="宋体" w:cs="宋体"/>
          <w:color w:val="333333"/>
          <w:spacing w:val="-30"/>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30"/>
          <w:sz w:val="24"/>
          <w:szCs w:val="24"/>
        </w:rPr>
        <w:t>（</w:t>
      </w:r>
      <w:r>
        <w:rPr>
          <w:rFonts w:ascii="宋体" w:hAnsi="宋体" w:eastAsia="宋体" w:cs="宋体"/>
          <w:color w:val="333333"/>
          <w:spacing w:val="5"/>
          <w:sz w:val="24"/>
          <w:szCs w:val="24"/>
        </w:rPr>
        <w:t>盖章）</w:t>
      </w:r>
    </w:p>
    <w:p>
      <w:pPr>
        <w:spacing w:before="184" w:line="219" w:lineRule="auto"/>
        <w:ind w:left="2787"/>
        <w:rPr>
          <w:rFonts w:ascii="宋体" w:hAnsi="宋体" w:eastAsia="宋体" w:cs="宋体"/>
          <w:sz w:val="24"/>
          <w:szCs w:val="24"/>
        </w:rPr>
      </w:pPr>
      <w:r>
        <w:rPr>
          <w:rFonts w:ascii="宋体" w:hAnsi="宋体" w:eastAsia="宋体" w:cs="宋体"/>
          <w:color w:val="333333"/>
          <w:spacing w:val="-1"/>
          <w:sz w:val="24"/>
          <w:szCs w:val="24"/>
        </w:rPr>
        <w:t>法定代表人（单位负责人）</w:t>
      </w:r>
    </w:p>
    <w:p>
      <w:pPr>
        <w:spacing w:before="182" w:line="219" w:lineRule="auto"/>
        <w:ind w:left="2789"/>
        <w:rPr>
          <w:rFonts w:ascii="宋体" w:hAnsi="宋体" w:eastAsia="宋体" w:cs="宋体"/>
          <w:sz w:val="24"/>
          <w:szCs w:val="24"/>
        </w:rPr>
      </w:pPr>
      <w:r>
        <w:rPr>
          <w:rFonts w:ascii="宋体" w:hAnsi="宋体" w:eastAsia="宋体" w:cs="宋体"/>
          <w:color w:val="333333"/>
          <w:spacing w:val="1"/>
          <w:sz w:val="24"/>
          <w:szCs w:val="24"/>
        </w:rPr>
        <w:t>或授权委托人</w:t>
      </w:r>
      <w:r>
        <w:rPr>
          <w:rFonts w:ascii="宋体" w:hAnsi="宋体" w:eastAsia="宋体" w:cs="宋体"/>
          <w:color w:val="333333"/>
          <w:spacing w:val="-13"/>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3"/>
          <w:sz w:val="24"/>
          <w:szCs w:val="24"/>
        </w:rPr>
        <w:t>（</w:t>
      </w:r>
      <w:r>
        <w:rPr>
          <w:rFonts w:ascii="宋体" w:hAnsi="宋体" w:eastAsia="宋体" w:cs="宋体"/>
          <w:color w:val="333333"/>
          <w:spacing w:val="1"/>
          <w:sz w:val="24"/>
          <w:szCs w:val="24"/>
        </w:rPr>
        <w:t>盖章或签字）</w:t>
      </w:r>
    </w:p>
    <w:p>
      <w:pPr>
        <w:spacing w:before="184" w:line="219" w:lineRule="auto"/>
        <w:ind w:left="2827"/>
        <w:rPr>
          <w:rFonts w:ascii="宋体" w:hAnsi="宋体" w:eastAsia="宋体" w:cs="宋体"/>
          <w:sz w:val="24"/>
          <w:szCs w:val="24"/>
        </w:rPr>
      </w:pPr>
      <w:r>
        <w:rPr>
          <w:rFonts w:ascii="宋体" w:hAnsi="宋体" w:eastAsia="宋体" w:cs="宋体"/>
          <w:color w:val="333333"/>
          <w:spacing w:val="-20"/>
          <w:sz w:val="24"/>
          <w:szCs w:val="24"/>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pPr>
        <w:spacing w:before="79" w:line="360" w:lineRule="auto"/>
        <w:ind w:left="13" w:firstLine="384"/>
        <w:jc w:val="both"/>
        <w:rPr>
          <w:rFonts w:ascii="宋体" w:hAnsi="宋体" w:eastAsia="宋体" w:cs="宋体"/>
          <w:sz w:val="24"/>
          <w:szCs w:val="24"/>
        </w:rPr>
      </w:pPr>
      <w:r>
        <w:rPr>
          <w:rFonts w:ascii="宋体" w:hAnsi="宋体" w:eastAsia="宋体" w:cs="宋体"/>
          <w:color w:val="333333"/>
          <w:sz w:val="24"/>
          <w:szCs w:val="24"/>
        </w:rPr>
        <w:t>备注：1.直接控股股东：是指其出资额占有限责任</w:t>
      </w:r>
      <w:r>
        <w:rPr>
          <w:rFonts w:ascii="宋体" w:hAnsi="宋体" w:eastAsia="宋体" w:cs="宋体"/>
          <w:color w:val="333333"/>
          <w:spacing w:val="-1"/>
          <w:sz w:val="24"/>
          <w:szCs w:val="24"/>
        </w:rPr>
        <w:t>公司资本总额百分之五十以上或</w:t>
      </w:r>
      <w:r>
        <w:rPr>
          <w:rFonts w:ascii="宋体" w:hAnsi="宋体" w:eastAsia="宋体" w:cs="宋体"/>
          <w:color w:val="333333"/>
          <w:spacing w:val="-2"/>
          <w:sz w:val="24"/>
          <w:szCs w:val="24"/>
        </w:rPr>
        <w:t>者其持有的股份占股份有限公司股份总额百分之五十以上的股东；出资额或者持有股份的比例虽然不足百分之五十，但依其出资额或者持有的股份所享有的表决权已足以对股</w:t>
      </w:r>
      <w:r>
        <w:rPr>
          <w:rFonts w:ascii="宋体" w:hAnsi="宋体" w:eastAsia="宋体" w:cs="宋体"/>
          <w:color w:val="333333"/>
          <w:spacing w:val="-1"/>
          <w:sz w:val="24"/>
          <w:szCs w:val="24"/>
        </w:rPr>
        <w:t>东会、股东大会的决议产生重大影响的股东。</w:t>
      </w:r>
    </w:p>
    <w:p>
      <w:pPr>
        <w:spacing w:line="290" w:lineRule="auto"/>
        <w:ind w:left="15" w:right="106" w:firstLine="383"/>
        <w:rPr>
          <w:rFonts w:ascii="宋体" w:hAnsi="宋体" w:eastAsia="宋体" w:cs="宋体"/>
          <w:sz w:val="24"/>
          <w:szCs w:val="24"/>
        </w:rPr>
      </w:pPr>
      <w:r>
        <w:rPr>
          <w:rFonts w:ascii="宋体" w:hAnsi="宋体" w:eastAsia="宋体" w:cs="宋体"/>
          <w:color w:val="333333"/>
          <w:spacing w:val="-2"/>
          <w:sz w:val="24"/>
          <w:szCs w:val="24"/>
        </w:rPr>
        <w:t>2.管理关系：是指不具有出资持股关系的其他单位之间存在的管理与被管理关系，</w:t>
      </w:r>
      <w:r>
        <w:rPr>
          <w:rFonts w:ascii="宋体" w:hAnsi="宋体" w:eastAsia="宋体" w:cs="宋体"/>
          <w:color w:val="333333"/>
          <w:spacing w:val="-1"/>
          <w:sz w:val="24"/>
          <w:szCs w:val="24"/>
        </w:rPr>
        <w:t>如一些上下级关系的事业单位和团体组织。</w:t>
      </w:r>
    </w:p>
    <w:p>
      <w:pPr>
        <w:spacing w:before="183" w:line="289" w:lineRule="auto"/>
        <w:ind w:left="14" w:right="48" w:firstLine="385"/>
        <w:rPr>
          <w:rFonts w:ascii="宋体" w:hAnsi="宋体" w:eastAsia="宋体" w:cs="宋体"/>
          <w:sz w:val="24"/>
          <w:szCs w:val="24"/>
        </w:rPr>
      </w:pPr>
      <w:r>
        <w:rPr>
          <w:rFonts w:ascii="宋体" w:hAnsi="宋体" w:eastAsia="宋体" w:cs="宋体"/>
          <w:color w:val="333333"/>
          <w:sz w:val="24"/>
          <w:szCs w:val="24"/>
        </w:rPr>
        <w:t>3.本表所指的控股、管理关系仅限于直接控股</w:t>
      </w:r>
      <w:r>
        <w:rPr>
          <w:rFonts w:ascii="宋体" w:hAnsi="宋体" w:eastAsia="宋体" w:cs="宋体"/>
          <w:color w:val="333333"/>
          <w:spacing w:val="-1"/>
          <w:sz w:val="24"/>
          <w:szCs w:val="24"/>
        </w:rPr>
        <w:t>、直接管理关系，不包括间接的控股</w:t>
      </w:r>
      <w:r>
        <w:rPr>
          <w:rFonts w:ascii="宋体" w:hAnsi="宋体" w:eastAsia="宋体" w:cs="宋体"/>
          <w:color w:val="333333"/>
          <w:sz w:val="24"/>
          <w:szCs w:val="24"/>
        </w:rPr>
        <w:t>或管理关系。公司实际控制人与公司之间的关系不</w:t>
      </w:r>
      <w:r>
        <w:rPr>
          <w:rFonts w:ascii="宋体" w:hAnsi="宋体" w:eastAsia="宋体" w:cs="宋体"/>
          <w:color w:val="333333"/>
          <w:spacing w:val="-1"/>
          <w:sz w:val="24"/>
          <w:szCs w:val="24"/>
        </w:rPr>
        <w:t>属于本表所指的直接控股关系。</w:t>
      </w:r>
    </w:p>
    <w:p>
      <w:pPr>
        <w:spacing w:before="185" w:line="313" w:lineRule="auto"/>
        <w:ind w:right="47" w:firstLine="394"/>
        <w:rPr>
          <w:rFonts w:ascii="宋体" w:hAnsi="宋体" w:eastAsia="宋体" w:cs="宋体"/>
          <w:sz w:val="24"/>
          <w:szCs w:val="24"/>
        </w:rPr>
      </w:pPr>
      <w:r>
        <w:rPr>
          <w:rFonts w:ascii="宋体" w:hAnsi="宋体" w:eastAsia="宋体" w:cs="宋体"/>
          <w:color w:val="333333"/>
          <w:spacing w:val="-1"/>
          <w:sz w:val="24"/>
          <w:szCs w:val="24"/>
        </w:rPr>
        <w:t>4.供应商如不存在直接控股股东的，则在“直接控股股东名称及出资比</w:t>
      </w:r>
      <w:r>
        <w:rPr>
          <w:rFonts w:ascii="宋体" w:hAnsi="宋体" w:eastAsia="宋体" w:cs="宋体"/>
          <w:color w:val="333333"/>
          <w:spacing w:val="-2"/>
          <w:sz w:val="24"/>
          <w:szCs w:val="24"/>
        </w:rPr>
        <w:t>例”处填写“无”或“/”。供应商不存在直接管理关</w:t>
      </w:r>
      <w:r>
        <w:rPr>
          <w:rFonts w:ascii="宋体" w:hAnsi="宋体" w:eastAsia="宋体" w:cs="宋体"/>
          <w:color w:val="333333"/>
          <w:spacing w:val="-3"/>
          <w:sz w:val="24"/>
          <w:szCs w:val="24"/>
        </w:rPr>
        <w:t>系的，则在“直接管理关系单位名称”中填</w:t>
      </w:r>
      <w:r>
        <w:rPr>
          <w:rFonts w:ascii="宋体" w:hAnsi="宋体" w:eastAsia="宋体" w:cs="宋体"/>
          <w:color w:val="333333"/>
          <w:spacing w:val="-4"/>
          <w:sz w:val="24"/>
          <w:szCs w:val="24"/>
        </w:rPr>
        <w:t>“无”或“/”。</w:t>
      </w:r>
    </w:p>
    <w:p>
      <w:pPr>
        <w:rPr>
          <w:rFonts w:ascii="宋体" w:hAnsi="宋体" w:eastAsia="宋体" w:cs="宋体"/>
          <w:b/>
          <w:bCs/>
          <w:color w:val="333333"/>
          <w:spacing w:val="-4"/>
          <w:sz w:val="24"/>
          <w:szCs w:val="24"/>
        </w:rPr>
      </w:pPr>
      <w:r>
        <w:rPr>
          <w:rFonts w:ascii="宋体" w:hAnsi="宋体" w:eastAsia="宋体" w:cs="宋体"/>
          <w:b/>
          <w:bCs/>
          <w:color w:val="333333"/>
          <w:spacing w:val="-4"/>
          <w:sz w:val="24"/>
          <w:szCs w:val="24"/>
        </w:rPr>
        <w:br w:type="page"/>
      </w:r>
    </w:p>
    <w:p>
      <w:pPr>
        <w:spacing w:before="78" w:line="360" w:lineRule="auto"/>
        <w:ind w:left="3" w:firstLine="7"/>
        <w:rPr>
          <w:rFonts w:ascii="宋体" w:hAnsi="宋体" w:eastAsia="宋体" w:cs="宋体"/>
          <w:sz w:val="24"/>
          <w:szCs w:val="24"/>
        </w:rPr>
      </w:pPr>
      <w:r>
        <w:rPr>
          <w:rFonts w:ascii="宋体" w:hAnsi="宋体" w:eastAsia="宋体" w:cs="宋体"/>
          <w:b/>
          <w:bCs/>
          <w:color w:val="333333"/>
          <w:spacing w:val="-4"/>
          <w:sz w:val="24"/>
          <w:szCs w:val="24"/>
        </w:rPr>
        <w:t>（二）不存在与参加本项目的其它供应商单位负责人为</w:t>
      </w:r>
      <w:r>
        <w:rPr>
          <w:rFonts w:ascii="宋体" w:hAnsi="宋体" w:eastAsia="宋体" w:cs="宋体"/>
          <w:b/>
          <w:bCs/>
          <w:color w:val="333333"/>
          <w:spacing w:val="-5"/>
          <w:sz w:val="24"/>
          <w:szCs w:val="24"/>
        </w:rPr>
        <w:t>同一人或者存在直接控股、管理</w:t>
      </w:r>
      <w:r>
        <w:rPr>
          <w:rFonts w:ascii="宋体" w:hAnsi="宋体" w:eastAsia="宋体" w:cs="宋体"/>
          <w:b/>
          <w:bCs/>
          <w:color w:val="333333"/>
          <w:spacing w:val="-6"/>
          <w:sz w:val="24"/>
          <w:szCs w:val="24"/>
        </w:rPr>
        <w:t>关系承诺</w:t>
      </w:r>
    </w:p>
    <w:p>
      <w:pPr>
        <w:spacing w:line="219" w:lineRule="auto"/>
        <w:rPr>
          <w:rFonts w:hint="eastAsia" w:ascii="宋体" w:hAnsi="宋体" w:eastAsia="宋体" w:cs="宋体"/>
          <w:sz w:val="24"/>
          <w:szCs w:val="24"/>
          <w:lang w:eastAsia="zh-CN"/>
        </w:rPr>
      </w:pPr>
      <w:r>
        <w:rPr>
          <w:rFonts w:ascii="宋体" w:hAnsi="宋体" w:eastAsia="宋体" w:cs="宋体"/>
          <w:color w:val="333333"/>
          <w:spacing w:val="-1"/>
          <w:sz w:val="24"/>
          <w:szCs w:val="24"/>
        </w:rPr>
        <w:t>致：</w:t>
      </w:r>
      <w:r>
        <w:rPr>
          <w:rFonts w:hint="eastAsia" w:ascii="宋体" w:hAnsi="宋体" w:eastAsia="宋体" w:cs="宋体"/>
          <w:color w:val="333333"/>
          <w:spacing w:val="-1"/>
          <w:sz w:val="24"/>
          <w:szCs w:val="24"/>
          <w:lang w:eastAsia="zh-CN"/>
        </w:rPr>
        <w:t>陕西翰元工程咨询有限公司</w:t>
      </w:r>
    </w:p>
    <w:p>
      <w:pPr>
        <w:spacing w:before="182" w:line="360" w:lineRule="auto"/>
        <w:ind w:firstLine="480"/>
        <w:rPr>
          <w:rFonts w:ascii="宋体" w:hAnsi="宋体" w:eastAsia="宋体" w:cs="宋体"/>
          <w:sz w:val="24"/>
          <w:szCs w:val="24"/>
        </w:rPr>
      </w:pPr>
      <w:r>
        <w:rPr>
          <w:rFonts w:ascii="宋体" w:hAnsi="宋体" w:eastAsia="宋体" w:cs="宋体"/>
          <w:color w:val="333333"/>
          <w:spacing w:val="-1"/>
          <w:sz w:val="24"/>
          <w:szCs w:val="24"/>
        </w:rPr>
        <w:t>我单位参加贵公司组织的</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2"/>
          <w:sz w:val="24"/>
          <w:szCs w:val="24"/>
        </w:rPr>
        <w:t>（项目名称及编号）采购活动，郑重承诺：</w:t>
      </w:r>
    </w:p>
    <w:p>
      <w:pPr>
        <w:spacing w:line="360" w:lineRule="auto"/>
        <w:ind w:firstLine="478"/>
        <w:jc w:val="both"/>
        <w:rPr>
          <w:rFonts w:ascii="宋体" w:hAnsi="宋体" w:eastAsia="宋体" w:cs="宋体"/>
          <w:sz w:val="24"/>
          <w:szCs w:val="24"/>
        </w:rPr>
      </w:pPr>
      <w:r>
        <w:rPr>
          <w:rFonts w:ascii="宋体" w:hAnsi="宋体" w:eastAsia="宋体" w:cs="宋体"/>
          <w:color w:val="333333"/>
          <w:spacing w:val="5"/>
          <w:sz w:val="24"/>
          <w:szCs w:val="24"/>
        </w:rPr>
        <w:t>在参加本次政府采购活动不存在与参加本项目的其它供应商单位负责人为同一人</w:t>
      </w:r>
      <w:r>
        <w:rPr>
          <w:rFonts w:ascii="宋体" w:hAnsi="宋体" w:eastAsia="宋体" w:cs="宋体"/>
          <w:color w:val="333333"/>
          <w:spacing w:val="-2"/>
          <w:sz w:val="24"/>
          <w:szCs w:val="24"/>
        </w:rPr>
        <w:t>或者存在直接控股、管理关系。本公司对上述承诺的真实性负责。如有虚假，将依法承担相应责任。</w:t>
      </w:r>
    </w:p>
    <w:p>
      <w:pPr>
        <w:spacing w:line="219" w:lineRule="auto"/>
        <w:ind w:left="240"/>
        <w:rPr>
          <w:rFonts w:ascii="宋体" w:hAnsi="宋体" w:eastAsia="宋体" w:cs="宋体"/>
          <w:sz w:val="24"/>
          <w:szCs w:val="24"/>
        </w:rPr>
      </w:pPr>
      <w:r>
        <w:rPr>
          <w:rFonts w:ascii="宋体" w:hAnsi="宋体" w:eastAsia="宋体" w:cs="宋体"/>
          <w:color w:val="333333"/>
          <w:spacing w:val="-3"/>
          <w:sz w:val="24"/>
          <w:szCs w:val="24"/>
        </w:rPr>
        <w:t>特此承诺</w:t>
      </w:r>
    </w:p>
    <w:p>
      <w:pPr>
        <w:spacing w:before="78" w:line="219" w:lineRule="auto"/>
        <w:ind w:left="1920"/>
        <w:rPr>
          <w:rFonts w:ascii="宋体" w:hAnsi="宋体" w:eastAsia="宋体" w:cs="宋体"/>
          <w:sz w:val="24"/>
          <w:szCs w:val="24"/>
        </w:rPr>
      </w:pPr>
      <w:r>
        <w:rPr>
          <w:rFonts w:ascii="宋体" w:hAnsi="宋体" w:eastAsia="宋体" w:cs="宋体"/>
          <w:color w:val="333333"/>
          <w:spacing w:val="5"/>
          <w:sz w:val="24"/>
          <w:szCs w:val="24"/>
        </w:rPr>
        <w:t>供应商</w:t>
      </w:r>
      <w:r>
        <w:rPr>
          <w:rFonts w:ascii="宋体" w:hAnsi="宋体" w:eastAsia="宋体" w:cs="宋体"/>
          <w:color w:val="333333"/>
          <w:spacing w:val="-30"/>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30"/>
          <w:sz w:val="24"/>
          <w:szCs w:val="24"/>
        </w:rPr>
        <w:t>（</w:t>
      </w:r>
      <w:r>
        <w:rPr>
          <w:rFonts w:ascii="宋体" w:hAnsi="宋体" w:eastAsia="宋体" w:cs="宋体"/>
          <w:color w:val="333333"/>
          <w:spacing w:val="5"/>
          <w:sz w:val="24"/>
          <w:szCs w:val="24"/>
        </w:rPr>
        <w:t>盖章）</w:t>
      </w:r>
    </w:p>
    <w:p>
      <w:pPr>
        <w:spacing w:before="184" w:line="219" w:lineRule="auto"/>
        <w:ind w:left="1920"/>
        <w:rPr>
          <w:rFonts w:ascii="宋体" w:hAnsi="宋体" w:eastAsia="宋体" w:cs="宋体"/>
          <w:sz w:val="24"/>
          <w:szCs w:val="24"/>
        </w:rPr>
      </w:pPr>
      <w:r>
        <w:rPr>
          <w:rFonts w:ascii="宋体" w:hAnsi="宋体" w:eastAsia="宋体" w:cs="宋体"/>
          <w:color w:val="333333"/>
          <w:spacing w:val="-1"/>
          <w:sz w:val="24"/>
          <w:szCs w:val="24"/>
        </w:rPr>
        <w:t>法定代表人（单位负责人）</w:t>
      </w:r>
    </w:p>
    <w:p>
      <w:pPr>
        <w:spacing w:before="182" w:line="219" w:lineRule="auto"/>
        <w:ind w:left="1922"/>
        <w:rPr>
          <w:rFonts w:ascii="宋体" w:hAnsi="宋体" w:eastAsia="宋体" w:cs="宋体"/>
          <w:sz w:val="24"/>
          <w:szCs w:val="24"/>
        </w:rPr>
      </w:pPr>
      <w:r>
        <w:rPr>
          <w:rFonts w:ascii="宋体" w:hAnsi="宋体" w:eastAsia="宋体" w:cs="宋体"/>
          <w:color w:val="333333"/>
          <w:spacing w:val="1"/>
          <w:sz w:val="24"/>
          <w:szCs w:val="24"/>
        </w:rPr>
        <w:t>或授权委托人</w:t>
      </w:r>
      <w:r>
        <w:rPr>
          <w:rFonts w:ascii="宋体" w:hAnsi="宋体" w:eastAsia="宋体" w:cs="宋体"/>
          <w:color w:val="333333"/>
          <w:spacing w:val="-13"/>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3"/>
          <w:sz w:val="24"/>
          <w:szCs w:val="24"/>
        </w:rPr>
        <w:t>（</w:t>
      </w:r>
      <w:r>
        <w:rPr>
          <w:rFonts w:ascii="宋体" w:hAnsi="宋体" w:eastAsia="宋体" w:cs="宋体"/>
          <w:color w:val="333333"/>
          <w:spacing w:val="1"/>
          <w:sz w:val="24"/>
          <w:szCs w:val="24"/>
        </w:rPr>
        <w:t>盖章或签字）</w:t>
      </w:r>
    </w:p>
    <w:p>
      <w:pPr>
        <w:spacing w:before="184" w:line="219" w:lineRule="auto"/>
        <w:ind w:left="1961"/>
        <w:rPr>
          <w:rFonts w:ascii="宋体" w:hAnsi="宋体" w:eastAsia="宋体" w:cs="宋体"/>
          <w:sz w:val="24"/>
          <w:szCs w:val="24"/>
        </w:rPr>
      </w:pPr>
      <w:r>
        <w:rPr>
          <w:rFonts w:ascii="宋体" w:hAnsi="宋体" w:eastAsia="宋体" w:cs="宋体"/>
          <w:color w:val="333333"/>
          <w:spacing w:val="-15"/>
          <w:sz w:val="24"/>
          <w:szCs w:val="24"/>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pPr>
        <w:rPr>
          <w:rFonts w:ascii="宋体" w:hAnsi="宋体" w:eastAsia="宋体" w:cs="宋体"/>
          <w:b/>
          <w:bCs/>
          <w:color w:val="333333"/>
          <w:spacing w:val="-3"/>
          <w:sz w:val="24"/>
          <w:szCs w:val="24"/>
        </w:rPr>
      </w:pPr>
      <w:r>
        <w:rPr>
          <w:rFonts w:ascii="宋体" w:hAnsi="宋体" w:eastAsia="宋体" w:cs="宋体"/>
          <w:b/>
          <w:bCs/>
          <w:color w:val="333333"/>
          <w:spacing w:val="-3"/>
          <w:sz w:val="24"/>
          <w:szCs w:val="24"/>
        </w:rPr>
        <w:br w:type="page"/>
      </w:r>
    </w:p>
    <w:p>
      <w:pPr>
        <w:spacing w:before="163" w:line="219" w:lineRule="auto"/>
        <w:ind w:left="2012"/>
        <w:rPr>
          <w:rFonts w:ascii="宋体" w:hAnsi="宋体" w:eastAsia="宋体" w:cs="宋体"/>
          <w:sz w:val="24"/>
          <w:szCs w:val="24"/>
        </w:rPr>
      </w:pPr>
      <w:r>
        <w:rPr>
          <w:rFonts w:ascii="宋体" w:hAnsi="宋体" w:eastAsia="宋体" w:cs="宋体"/>
          <w:b/>
          <w:bCs/>
          <w:color w:val="333333"/>
          <w:spacing w:val="-3"/>
          <w:sz w:val="24"/>
          <w:szCs w:val="24"/>
        </w:rPr>
        <w:t>具有履行合同所必需的设备和专业技术能力书面声明</w:t>
      </w:r>
    </w:p>
    <w:p>
      <w:pPr>
        <w:spacing w:before="78" w:line="219" w:lineRule="auto"/>
        <w:rPr>
          <w:rFonts w:hint="eastAsia" w:ascii="宋体" w:hAnsi="宋体" w:eastAsia="宋体" w:cs="宋体"/>
          <w:sz w:val="24"/>
          <w:szCs w:val="24"/>
          <w:lang w:eastAsia="zh-CN"/>
        </w:rPr>
      </w:pPr>
      <w:r>
        <w:rPr>
          <w:rFonts w:ascii="宋体" w:hAnsi="宋体" w:eastAsia="宋体" w:cs="宋体"/>
          <w:color w:val="333333"/>
          <w:spacing w:val="-1"/>
          <w:sz w:val="24"/>
          <w:szCs w:val="24"/>
        </w:rPr>
        <w:t>致：</w:t>
      </w:r>
      <w:r>
        <w:rPr>
          <w:rFonts w:hint="eastAsia" w:ascii="宋体" w:hAnsi="宋体" w:eastAsia="宋体" w:cs="宋体"/>
          <w:color w:val="333333"/>
          <w:spacing w:val="-1"/>
          <w:sz w:val="24"/>
          <w:szCs w:val="24"/>
          <w:lang w:eastAsia="zh-CN"/>
        </w:rPr>
        <w:t>陕西翰元工程咨询有限公司</w:t>
      </w:r>
    </w:p>
    <w:p>
      <w:pPr>
        <w:spacing w:before="180" w:line="361" w:lineRule="auto"/>
        <w:ind w:firstLine="482"/>
        <w:jc w:val="both"/>
        <w:rPr>
          <w:rFonts w:ascii="宋体" w:hAnsi="宋体" w:eastAsia="宋体" w:cs="宋体"/>
          <w:sz w:val="24"/>
          <w:szCs w:val="24"/>
        </w:rPr>
      </w:pPr>
      <w:r>
        <w:rPr>
          <w:rFonts w:ascii="宋体" w:hAnsi="宋体" w:eastAsia="宋体" w:cs="宋体"/>
          <w:color w:val="333333"/>
          <w:spacing w:val="-1"/>
          <w:sz w:val="24"/>
          <w:szCs w:val="24"/>
        </w:rPr>
        <w:t>我单位</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
          <w:sz w:val="24"/>
          <w:szCs w:val="24"/>
        </w:rPr>
        <w:t>（供应商名称）于</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
          <w:sz w:val="24"/>
          <w:szCs w:val="24"/>
        </w:rPr>
        <w:t>年</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
          <w:sz w:val="24"/>
          <w:szCs w:val="24"/>
        </w:rPr>
        <w:t>月</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
          <w:sz w:val="24"/>
          <w:szCs w:val="24"/>
        </w:rPr>
        <w:t>日在中华人民</w:t>
      </w:r>
      <w:r>
        <w:rPr>
          <w:rFonts w:ascii="宋体" w:hAnsi="宋体" w:eastAsia="宋体" w:cs="宋体"/>
          <w:color w:val="333333"/>
          <w:spacing w:val="-2"/>
          <w:sz w:val="24"/>
          <w:szCs w:val="24"/>
        </w:rPr>
        <w:t>共和国境内</w:t>
      </w:r>
      <w:r>
        <w:rPr>
          <w:rFonts w:ascii="宋体" w:hAnsi="宋体" w:eastAsia="宋体" w:cs="宋体"/>
          <w:color w:val="333333"/>
          <w:spacing w:val="-2"/>
          <w:sz w:val="24"/>
          <w:szCs w:val="24"/>
          <w:u w:val="single" w:color="auto"/>
        </w:rPr>
        <w:t>（详细注册地址）</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2"/>
          <w:sz w:val="24"/>
          <w:szCs w:val="24"/>
        </w:rPr>
        <w:t>合法注册并经营，公司主营业务为</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2"/>
          <w:sz w:val="24"/>
          <w:szCs w:val="24"/>
        </w:rPr>
        <w:t>，营</w:t>
      </w:r>
      <w:r>
        <w:rPr>
          <w:rFonts w:ascii="宋体" w:hAnsi="宋体" w:eastAsia="宋体" w:cs="宋体"/>
          <w:color w:val="333333"/>
          <w:spacing w:val="-3"/>
          <w:sz w:val="24"/>
          <w:szCs w:val="24"/>
        </w:rPr>
        <w:t>业（生产经营）面积为</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3"/>
          <w:sz w:val="24"/>
          <w:szCs w:val="24"/>
        </w:rPr>
        <w:t>，现有员工数量</w:t>
      </w:r>
      <w:r>
        <w:rPr>
          <w:rFonts w:ascii="宋体" w:hAnsi="宋体" w:eastAsia="宋体" w:cs="宋体"/>
          <w:color w:val="333333"/>
          <w:spacing w:val="-4"/>
          <w:sz w:val="24"/>
          <w:szCs w:val="24"/>
        </w:rPr>
        <w:t>为</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4"/>
          <w:sz w:val="24"/>
          <w:szCs w:val="24"/>
        </w:rPr>
        <w:t>，其中与履行本合同相关的专业技术人员有</w:t>
      </w:r>
      <w:r>
        <w:rPr>
          <w:rFonts w:ascii="宋体" w:hAnsi="宋体" w:eastAsia="宋体" w:cs="宋体"/>
          <w:color w:val="333333"/>
          <w:spacing w:val="-4"/>
          <w:sz w:val="24"/>
          <w:szCs w:val="24"/>
          <w:u w:val="single" w:color="auto"/>
        </w:rPr>
        <w:t>（专业能力、数量</w:t>
      </w:r>
      <w:r>
        <w:rPr>
          <w:rFonts w:ascii="宋体" w:hAnsi="宋体" w:eastAsia="宋体" w:cs="宋体"/>
          <w:color w:val="333333"/>
          <w:spacing w:val="-16"/>
          <w:sz w:val="24"/>
          <w:szCs w:val="24"/>
          <w:u w:val="single" w:color="auto"/>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6"/>
          <w:sz w:val="24"/>
          <w:szCs w:val="24"/>
        </w:rPr>
        <w:t>，</w:t>
      </w:r>
      <w:r>
        <w:rPr>
          <w:rFonts w:ascii="宋体" w:hAnsi="宋体" w:eastAsia="宋体" w:cs="宋体"/>
          <w:color w:val="333333"/>
          <w:spacing w:val="-4"/>
          <w:sz w:val="24"/>
          <w:szCs w:val="24"/>
        </w:rPr>
        <w:t>本公司郑重承诺，</w:t>
      </w:r>
      <w:r>
        <w:rPr>
          <w:rFonts w:ascii="宋体" w:hAnsi="宋体" w:eastAsia="宋体" w:cs="宋体"/>
          <w:color w:val="333333"/>
          <w:spacing w:val="-2"/>
          <w:sz w:val="24"/>
          <w:szCs w:val="24"/>
        </w:rPr>
        <w:t>具有履行合同所必需的设备和专业技术能力；未为本项目提供整体设计、规范编制或者</w:t>
      </w:r>
      <w:r>
        <w:rPr>
          <w:rFonts w:ascii="宋体" w:hAnsi="宋体" w:eastAsia="宋体" w:cs="宋体"/>
          <w:color w:val="333333"/>
          <w:spacing w:val="-1"/>
          <w:sz w:val="24"/>
          <w:szCs w:val="24"/>
        </w:rPr>
        <w:t>项目管理、监理、检测等服务。</w:t>
      </w:r>
    </w:p>
    <w:p>
      <w:pPr>
        <w:spacing w:before="78" w:line="219" w:lineRule="auto"/>
        <w:ind w:left="1920"/>
        <w:rPr>
          <w:rFonts w:ascii="宋体" w:hAnsi="宋体" w:eastAsia="宋体" w:cs="宋体"/>
          <w:sz w:val="24"/>
          <w:szCs w:val="24"/>
        </w:rPr>
      </w:pPr>
      <w:r>
        <w:rPr>
          <w:rFonts w:ascii="宋体" w:hAnsi="宋体" w:eastAsia="宋体" w:cs="宋体"/>
          <w:color w:val="333333"/>
          <w:spacing w:val="5"/>
          <w:sz w:val="24"/>
          <w:szCs w:val="24"/>
        </w:rPr>
        <w:t>供应商</w:t>
      </w:r>
      <w:r>
        <w:rPr>
          <w:rFonts w:ascii="宋体" w:hAnsi="宋体" w:eastAsia="宋体" w:cs="宋体"/>
          <w:color w:val="333333"/>
          <w:spacing w:val="-30"/>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30"/>
          <w:sz w:val="24"/>
          <w:szCs w:val="24"/>
        </w:rPr>
        <w:t>（</w:t>
      </w:r>
      <w:r>
        <w:rPr>
          <w:rFonts w:ascii="宋体" w:hAnsi="宋体" w:eastAsia="宋体" w:cs="宋体"/>
          <w:color w:val="333333"/>
          <w:spacing w:val="5"/>
          <w:sz w:val="24"/>
          <w:szCs w:val="24"/>
        </w:rPr>
        <w:t>盖章）</w:t>
      </w:r>
    </w:p>
    <w:p>
      <w:pPr>
        <w:spacing w:before="184" w:line="219" w:lineRule="auto"/>
        <w:ind w:left="1921"/>
        <w:rPr>
          <w:rFonts w:ascii="宋体" w:hAnsi="宋体" w:eastAsia="宋体" w:cs="宋体"/>
          <w:sz w:val="24"/>
          <w:szCs w:val="24"/>
        </w:rPr>
      </w:pPr>
      <w:r>
        <w:rPr>
          <w:rFonts w:ascii="宋体" w:hAnsi="宋体" w:eastAsia="宋体" w:cs="宋体"/>
          <w:color w:val="333333"/>
          <w:spacing w:val="-1"/>
          <w:sz w:val="24"/>
          <w:szCs w:val="24"/>
        </w:rPr>
        <w:t>法定代表人（单位负责人）</w:t>
      </w:r>
    </w:p>
    <w:p>
      <w:pPr>
        <w:spacing w:before="182" w:line="219" w:lineRule="auto"/>
        <w:ind w:left="1923"/>
        <w:rPr>
          <w:rFonts w:ascii="宋体" w:hAnsi="宋体" w:eastAsia="宋体" w:cs="宋体"/>
          <w:sz w:val="24"/>
          <w:szCs w:val="24"/>
        </w:rPr>
      </w:pPr>
      <w:r>
        <w:rPr>
          <w:rFonts w:ascii="宋体" w:hAnsi="宋体" w:eastAsia="宋体" w:cs="宋体"/>
          <w:color w:val="333333"/>
          <w:spacing w:val="1"/>
          <w:sz w:val="24"/>
          <w:szCs w:val="24"/>
        </w:rPr>
        <w:t>或授权委托人</w:t>
      </w:r>
      <w:r>
        <w:rPr>
          <w:rFonts w:ascii="宋体" w:hAnsi="宋体" w:eastAsia="宋体" w:cs="宋体"/>
          <w:color w:val="333333"/>
          <w:spacing w:val="-13"/>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3"/>
          <w:sz w:val="24"/>
          <w:szCs w:val="24"/>
        </w:rPr>
        <w:t>（</w:t>
      </w:r>
      <w:r>
        <w:rPr>
          <w:rFonts w:ascii="宋体" w:hAnsi="宋体" w:eastAsia="宋体" w:cs="宋体"/>
          <w:color w:val="333333"/>
          <w:spacing w:val="1"/>
          <w:sz w:val="24"/>
          <w:szCs w:val="24"/>
        </w:rPr>
        <w:t>盖章或签字）</w:t>
      </w:r>
    </w:p>
    <w:p>
      <w:pPr>
        <w:spacing w:before="184" w:line="219" w:lineRule="auto"/>
        <w:ind w:left="1962"/>
        <w:rPr>
          <w:rFonts w:ascii="宋体" w:hAnsi="宋体" w:eastAsia="宋体" w:cs="宋体"/>
          <w:sz w:val="24"/>
          <w:szCs w:val="24"/>
        </w:rPr>
      </w:pPr>
      <w:r>
        <w:rPr>
          <w:rFonts w:ascii="宋体" w:hAnsi="宋体" w:eastAsia="宋体" w:cs="宋体"/>
          <w:color w:val="333333"/>
          <w:spacing w:val="-15"/>
          <w:sz w:val="24"/>
          <w:szCs w:val="24"/>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pPr>
        <w:rPr>
          <w:rFonts w:ascii="宋体" w:hAnsi="宋体" w:eastAsia="宋体" w:cs="宋体"/>
          <w:b/>
          <w:bCs/>
          <w:color w:val="333333"/>
          <w:spacing w:val="-4"/>
          <w:sz w:val="24"/>
          <w:szCs w:val="24"/>
        </w:rPr>
      </w:pPr>
      <w:r>
        <w:rPr>
          <w:rFonts w:ascii="宋体" w:hAnsi="宋体" w:eastAsia="宋体" w:cs="宋体"/>
          <w:b/>
          <w:bCs/>
          <w:color w:val="333333"/>
          <w:spacing w:val="-4"/>
          <w:sz w:val="24"/>
          <w:szCs w:val="24"/>
        </w:rPr>
        <w:br w:type="page"/>
      </w:r>
    </w:p>
    <w:p>
      <w:pPr>
        <w:spacing w:before="163" w:line="219" w:lineRule="auto"/>
        <w:ind w:left="3042"/>
        <w:rPr>
          <w:rFonts w:ascii="宋体" w:hAnsi="宋体" w:eastAsia="宋体" w:cs="宋体"/>
          <w:sz w:val="24"/>
          <w:szCs w:val="24"/>
        </w:rPr>
      </w:pPr>
      <w:r>
        <w:rPr>
          <w:rFonts w:ascii="宋体" w:hAnsi="宋体" w:eastAsia="宋体" w:cs="宋体"/>
          <w:b/>
          <w:bCs/>
          <w:color w:val="333333"/>
          <w:spacing w:val="-4"/>
          <w:sz w:val="24"/>
          <w:szCs w:val="24"/>
        </w:rPr>
        <w:t>（1）、法定代表人身份证明</w:t>
      </w:r>
    </w:p>
    <w:p>
      <w:pPr>
        <w:spacing w:before="182" w:line="219" w:lineRule="auto"/>
        <w:ind w:left="480"/>
        <w:rPr>
          <w:rFonts w:ascii="宋体" w:hAnsi="宋体" w:eastAsia="宋体" w:cs="宋体"/>
          <w:sz w:val="24"/>
          <w:szCs w:val="24"/>
        </w:rPr>
      </w:pPr>
      <w:r>
        <w:rPr>
          <w:rFonts w:ascii="宋体" w:hAnsi="宋体" w:eastAsia="宋体" w:cs="宋体"/>
          <w:color w:val="333333"/>
          <w:spacing w:val="-10"/>
          <w:sz w:val="24"/>
          <w:szCs w:val="24"/>
        </w:rPr>
        <w:t>供应商：</w:t>
      </w:r>
      <w:r>
        <w:rPr>
          <w:rFonts w:hint="eastAsia" w:ascii="宋体" w:hAnsi="宋体" w:eastAsia="宋体" w:cs="宋体"/>
          <w:color w:val="333333"/>
          <w:spacing w:val="-1"/>
          <w:sz w:val="24"/>
          <w:szCs w:val="24"/>
          <w:u w:val="single"/>
          <w:lang w:val="en-US" w:eastAsia="zh-CN"/>
        </w:rPr>
        <w:t xml:space="preserve">                    </w:t>
      </w:r>
    </w:p>
    <w:p>
      <w:pPr>
        <w:spacing w:before="183" w:line="220" w:lineRule="auto"/>
        <w:ind w:left="481"/>
        <w:rPr>
          <w:rFonts w:ascii="宋体" w:hAnsi="宋体" w:eastAsia="宋体" w:cs="宋体"/>
          <w:sz w:val="24"/>
          <w:szCs w:val="24"/>
        </w:rPr>
      </w:pPr>
      <w:r>
        <w:rPr>
          <w:rFonts w:ascii="宋体" w:hAnsi="宋体" w:eastAsia="宋体" w:cs="宋体"/>
          <w:color w:val="333333"/>
          <w:spacing w:val="-3"/>
          <w:sz w:val="24"/>
          <w:szCs w:val="24"/>
        </w:rPr>
        <w:t>单位性质：</w:t>
      </w:r>
      <w:r>
        <w:rPr>
          <w:rFonts w:hint="eastAsia" w:ascii="宋体" w:hAnsi="宋体" w:eastAsia="宋体" w:cs="宋体"/>
          <w:color w:val="333333"/>
          <w:spacing w:val="-1"/>
          <w:sz w:val="24"/>
          <w:szCs w:val="24"/>
          <w:u w:val="single"/>
          <w:lang w:val="en-US" w:eastAsia="zh-CN"/>
        </w:rPr>
        <w:t xml:space="preserve">                    </w:t>
      </w:r>
    </w:p>
    <w:p>
      <w:pPr>
        <w:spacing w:before="181" w:line="229" w:lineRule="auto"/>
        <w:ind w:left="480"/>
        <w:rPr>
          <w:rFonts w:ascii="宋体" w:hAnsi="宋体" w:eastAsia="宋体" w:cs="宋体"/>
          <w:sz w:val="24"/>
          <w:szCs w:val="24"/>
        </w:rPr>
      </w:pPr>
      <w:r>
        <w:rPr>
          <w:rFonts w:ascii="宋体" w:hAnsi="宋体" w:eastAsia="宋体" w:cs="宋体"/>
          <w:color w:val="333333"/>
          <w:spacing w:val="-9"/>
          <w:sz w:val="24"/>
          <w:szCs w:val="24"/>
        </w:rPr>
        <w:t>地址：</w:t>
      </w:r>
      <w:r>
        <w:rPr>
          <w:rFonts w:hint="eastAsia" w:ascii="宋体" w:hAnsi="宋体" w:eastAsia="宋体" w:cs="宋体"/>
          <w:color w:val="333333"/>
          <w:spacing w:val="-1"/>
          <w:sz w:val="24"/>
          <w:szCs w:val="24"/>
          <w:u w:val="single"/>
          <w:lang w:val="en-US" w:eastAsia="zh-CN"/>
        </w:rPr>
        <w:t xml:space="preserve">                    </w:t>
      </w:r>
    </w:p>
    <w:p>
      <w:pPr>
        <w:spacing w:before="171" w:line="219" w:lineRule="auto"/>
        <w:ind w:left="481"/>
        <w:rPr>
          <w:rFonts w:ascii="宋体" w:hAnsi="宋体" w:eastAsia="宋体" w:cs="宋体"/>
          <w:sz w:val="24"/>
          <w:szCs w:val="24"/>
        </w:rPr>
      </w:pPr>
      <w:r>
        <w:rPr>
          <w:rFonts w:ascii="宋体" w:hAnsi="宋体" w:eastAsia="宋体" w:cs="宋体"/>
          <w:color w:val="333333"/>
          <w:spacing w:val="-2"/>
          <w:sz w:val="24"/>
          <w:szCs w:val="24"/>
        </w:rPr>
        <w:t>成立时间：</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2"/>
          <w:sz w:val="24"/>
          <w:szCs w:val="24"/>
        </w:rPr>
        <w:t>年</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2"/>
          <w:sz w:val="24"/>
          <w:szCs w:val="24"/>
        </w:rPr>
        <w:t>月</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2"/>
          <w:sz w:val="24"/>
          <w:szCs w:val="24"/>
        </w:rPr>
        <w:t>日</w:t>
      </w:r>
    </w:p>
    <w:p>
      <w:pPr>
        <w:spacing w:before="183" w:line="220" w:lineRule="auto"/>
        <w:ind w:left="481"/>
        <w:rPr>
          <w:rFonts w:ascii="宋体" w:hAnsi="宋体" w:eastAsia="宋体" w:cs="宋体"/>
          <w:sz w:val="24"/>
          <w:szCs w:val="24"/>
        </w:rPr>
      </w:pPr>
      <w:r>
        <w:rPr>
          <w:rFonts w:ascii="宋体" w:hAnsi="宋体" w:eastAsia="宋体" w:cs="宋体"/>
          <w:color w:val="333333"/>
          <w:spacing w:val="-3"/>
          <w:sz w:val="24"/>
          <w:szCs w:val="24"/>
        </w:rPr>
        <w:t>经营期限：</w:t>
      </w:r>
      <w:r>
        <w:rPr>
          <w:rFonts w:hint="eastAsia" w:ascii="宋体" w:hAnsi="宋体" w:eastAsia="宋体" w:cs="宋体"/>
          <w:color w:val="333333"/>
          <w:spacing w:val="-1"/>
          <w:sz w:val="24"/>
          <w:szCs w:val="24"/>
          <w:u w:val="single"/>
          <w:lang w:val="en-US" w:eastAsia="zh-CN"/>
        </w:rPr>
        <w:t xml:space="preserve">               </w:t>
      </w:r>
    </w:p>
    <w:p>
      <w:pPr>
        <w:spacing w:before="183" w:line="219" w:lineRule="auto"/>
        <w:ind w:left="480"/>
        <w:rPr>
          <w:rFonts w:ascii="宋体" w:hAnsi="宋体" w:eastAsia="宋体" w:cs="宋体"/>
          <w:sz w:val="24"/>
          <w:szCs w:val="24"/>
        </w:rPr>
      </w:pPr>
      <w:r>
        <w:rPr>
          <w:rFonts w:ascii="宋体" w:hAnsi="宋体" w:eastAsia="宋体" w:cs="宋体"/>
          <w:color w:val="333333"/>
          <w:spacing w:val="-18"/>
          <w:sz w:val="24"/>
          <w:szCs w:val="24"/>
        </w:rPr>
        <w:t>姓名：</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8"/>
          <w:sz w:val="24"/>
          <w:szCs w:val="24"/>
        </w:rPr>
        <w:t>性别：</w:t>
      </w:r>
      <w:r>
        <w:rPr>
          <w:rFonts w:hint="eastAsia" w:ascii="宋体" w:hAnsi="宋体" w:eastAsia="宋体" w:cs="宋体"/>
          <w:color w:val="333333"/>
          <w:spacing w:val="-1"/>
          <w:sz w:val="24"/>
          <w:szCs w:val="24"/>
          <w:u w:val="single"/>
          <w:lang w:val="en-US" w:eastAsia="zh-CN"/>
        </w:rPr>
        <w:t xml:space="preserve">               </w:t>
      </w:r>
    </w:p>
    <w:p>
      <w:pPr>
        <w:spacing w:before="183" w:line="219" w:lineRule="auto"/>
        <w:ind w:left="480"/>
        <w:rPr>
          <w:rFonts w:ascii="宋体" w:hAnsi="宋体" w:eastAsia="宋体" w:cs="宋体"/>
          <w:sz w:val="24"/>
          <w:szCs w:val="24"/>
        </w:rPr>
      </w:pPr>
      <w:r>
        <w:rPr>
          <w:rFonts w:ascii="宋体" w:hAnsi="宋体" w:eastAsia="宋体" w:cs="宋体"/>
          <w:color w:val="333333"/>
          <w:spacing w:val="-17"/>
          <w:sz w:val="24"/>
          <w:szCs w:val="24"/>
        </w:rPr>
        <w:t>年龄：</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7"/>
          <w:sz w:val="24"/>
          <w:szCs w:val="24"/>
        </w:rPr>
        <w:t>职务：</w:t>
      </w:r>
      <w:r>
        <w:rPr>
          <w:rFonts w:hint="eastAsia" w:ascii="宋体" w:hAnsi="宋体" w:eastAsia="宋体" w:cs="宋体"/>
          <w:color w:val="333333"/>
          <w:spacing w:val="-1"/>
          <w:sz w:val="24"/>
          <w:szCs w:val="24"/>
          <w:u w:val="single"/>
          <w:lang w:val="en-US" w:eastAsia="zh-CN"/>
        </w:rPr>
        <w:t xml:space="preserve">               </w:t>
      </w:r>
    </w:p>
    <w:p>
      <w:pPr>
        <w:spacing w:before="182" w:line="316" w:lineRule="auto"/>
        <w:ind w:left="18" w:right="1063" w:firstLine="466"/>
        <w:rPr>
          <w:rFonts w:ascii="宋体" w:hAnsi="宋体" w:eastAsia="宋体" w:cs="宋体"/>
          <w:sz w:val="24"/>
          <w:szCs w:val="24"/>
        </w:rPr>
      </w:pPr>
      <w:r>
        <w:rPr>
          <w:rFonts w:ascii="宋体" w:hAnsi="宋体" w:eastAsia="宋体" w:cs="宋体"/>
          <w:color w:val="333333"/>
          <w:spacing w:val="-1"/>
          <w:sz w:val="24"/>
          <w:szCs w:val="24"/>
        </w:rPr>
        <w:t>系</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
          <w:sz w:val="24"/>
          <w:szCs w:val="24"/>
        </w:rPr>
        <w:t>（供应商</w:t>
      </w:r>
      <w:r>
        <w:rPr>
          <w:rFonts w:ascii="宋体" w:hAnsi="宋体" w:eastAsia="宋体" w:cs="宋体"/>
          <w:color w:val="333333"/>
          <w:spacing w:val="-2"/>
          <w:sz w:val="24"/>
          <w:szCs w:val="24"/>
        </w:rPr>
        <w:t>名称）的法定代表人。</w:t>
      </w:r>
      <w:r>
        <w:rPr>
          <w:rFonts w:ascii="宋体" w:hAnsi="宋体" w:eastAsia="宋体" w:cs="宋体"/>
          <w:color w:val="333333"/>
          <w:spacing w:val="-1"/>
          <w:sz w:val="24"/>
          <w:szCs w:val="24"/>
        </w:rPr>
        <w:t>附法定代表人（单位负责人）身份证复印件（</w:t>
      </w:r>
      <w:r>
        <w:rPr>
          <w:rFonts w:ascii="宋体" w:hAnsi="宋体" w:eastAsia="宋体" w:cs="宋体"/>
          <w:color w:val="333333"/>
          <w:spacing w:val="-2"/>
          <w:sz w:val="24"/>
          <w:szCs w:val="24"/>
        </w:rPr>
        <w:t>正反两面）</w:t>
      </w:r>
    </w:p>
    <w:tbl>
      <w:tblPr>
        <w:tblStyle w:val="19"/>
        <w:tblW w:w="4633" w:type="dxa"/>
        <w:tblInd w:w="221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33"/>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28" w:hRule="atLeast"/>
        </w:trPr>
        <w:tc>
          <w:tcPr>
            <w:tcW w:w="4633" w:type="dxa"/>
            <w:tcBorders>
              <w:bottom w:val="single" w:color="000000" w:sz="2" w:space="0"/>
            </w:tcBorders>
            <w:vAlign w:val="top"/>
          </w:tcPr>
          <w:p>
            <w:pPr>
              <w:rPr>
                <w:rFonts w:ascii="Arial"/>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352" w:hRule="atLeast"/>
        </w:trPr>
        <w:tc>
          <w:tcPr>
            <w:tcW w:w="4633" w:type="dxa"/>
            <w:tcBorders>
              <w:top w:val="single" w:color="000000" w:sz="2" w:space="0"/>
            </w:tcBorders>
            <w:vAlign w:val="top"/>
          </w:tcPr>
          <w:p>
            <w:pPr>
              <w:rPr>
                <w:rFonts w:ascii="Arial"/>
                <w:sz w:val="21"/>
              </w:rPr>
            </w:pPr>
          </w:p>
        </w:tc>
      </w:tr>
    </w:tbl>
    <w:p>
      <w:pPr>
        <w:spacing w:before="79" w:line="219" w:lineRule="auto"/>
        <w:ind w:left="2880"/>
        <w:rPr>
          <w:rFonts w:ascii="宋体" w:hAnsi="宋体" w:eastAsia="宋体" w:cs="宋体"/>
          <w:sz w:val="24"/>
          <w:szCs w:val="24"/>
        </w:rPr>
      </w:pPr>
      <w:r>
        <w:rPr>
          <w:rFonts w:ascii="宋体" w:hAnsi="宋体" w:eastAsia="宋体" w:cs="宋体"/>
          <w:color w:val="333333"/>
          <w:spacing w:val="5"/>
          <w:sz w:val="24"/>
          <w:szCs w:val="24"/>
        </w:rPr>
        <w:t>供应商</w:t>
      </w:r>
      <w:r>
        <w:rPr>
          <w:rFonts w:ascii="宋体" w:hAnsi="宋体" w:eastAsia="宋体" w:cs="宋体"/>
          <w:color w:val="333333"/>
          <w:spacing w:val="-30"/>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30"/>
          <w:sz w:val="24"/>
          <w:szCs w:val="24"/>
        </w:rPr>
        <w:t>（</w:t>
      </w:r>
      <w:r>
        <w:rPr>
          <w:rFonts w:ascii="宋体" w:hAnsi="宋体" w:eastAsia="宋体" w:cs="宋体"/>
          <w:color w:val="333333"/>
          <w:spacing w:val="5"/>
          <w:sz w:val="24"/>
          <w:szCs w:val="24"/>
        </w:rPr>
        <w:t>盖章）</w:t>
      </w:r>
    </w:p>
    <w:p>
      <w:pPr>
        <w:spacing w:before="184" w:line="219" w:lineRule="auto"/>
        <w:ind w:left="2921"/>
        <w:rPr>
          <w:rFonts w:ascii="宋体" w:hAnsi="宋体" w:eastAsia="宋体" w:cs="宋体"/>
          <w:sz w:val="24"/>
          <w:szCs w:val="24"/>
        </w:rPr>
      </w:pPr>
      <w:r>
        <w:rPr>
          <w:rFonts w:ascii="宋体" w:hAnsi="宋体" w:eastAsia="宋体" w:cs="宋体"/>
          <w:color w:val="333333"/>
          <w:spacing w:val="-15"/>
          <w:sz w:val="24"/>
          <w:szCs w:val="24"/>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pPr>
        <w:rPr>
          <w:rFonts w:ascii="宋体" w:hAnsi="宋体" w:eastAsia="宋体" w:cs="宋体"/>
          <w:b/>
          <w:bCs/>
          <w:color w:val="333333"/>
          <w:spacing w:val="-3"/>
          <w:sz w:val="24"/>
          <w:szCs w:val="24"/>
        </w:rPr>
      </w:pPr>
      <w:r>
        <w:rPr>
          <w:rFonts w:ascii="宋体" w:hAnsi="宋体" w:eastAsia="宋体" w:cs="宋体"/>
          <w:b/>
          <w:bCs/>
          <w:color w:val="333333"/>
          <w:spacing w:val="-3"/>
          <w:sz w:val="24"/>
          <w:szCs w:val="24"/>
        </w:rPr>
        <w:br w:type="page"/>
      </w:r>
    </w:p>
    <w:p>
      <w:pPr>
        <w:spacing w:before="78" w:line="219" w:lineRule="auto"/>
        <w:ind w:left="2078"/>
        <w:rPr>
          <w:rFonts w:ascii="宋体" w:hAnsi="宋体" w:eastAsia="宋体" w:cs="宋体"/>
          <w:sz w:val="24"/>
          <w:szCs w:val="24"/>
        </w:rPr>
      </w:pPr>
      <w:r>
        <w:rPr>
          <w:rFonts w:ascii="宋体" w:hAnsi="宋体" w:eastAsia="宋体" w:cs="宋体"/>
          <w:b/>
          <w:bCs/>
          <w:color w:val="333333"/>
          <w:spacing w:val="-3"/>
          <w:sz w:val="24"/>
          <w:szCs w:val="24"/>
        </w:rPr>
        <w:t>（2）、法定代表人（单位负责人）授权委托书</w:t>
      </w:r>
    </w:p>
    <w:p>
      <w:pPr>
        <w:spacing w:before="184" w:line="219" w:lineRule="auto"/>
        <w:rPr>
          <w:rFonts w:hint="eastAsia" w:ascii="宋体" w:hAnsi="宋体" w:eastAsia="宋体" w:cs="宋体"/>
          <w:sz w:val="24"/>
          <w:szCs w:val="24"/>
          <w:lang w:eastAsia="zh-CN"/>
        </w:rPr>
      </w:pPr>
      <w:r>
        <w:rPr>
          <w:rFonts w:ascii="宋体" w:hAnsi="宋体" w:eastAsia="宋体" w:cs="宋体"/>
          <w:color w:val="333333"/>
          <w:spacing w:val="-1"/>
          <w:sz w:val="24"/>
          <w:szCs w:val="24"/>
        </w:rPr>
        <w:t>致：</w:t>
      </w:r>
      <w:r>
        <w:rPr>
          <w:rFonts w:hint="eastAsia" w:ascii="宋体" w:hAnsi="宋体" w:eastAsia="宋体" w:cs="宋体"/>
          <w:color w:val="333333"/>
          <w:spacing w:val="-1"/>
          <w:sz w:val="24"/>
          <w:szCs w:val="24"/>
          <w:lang w:eastAsia="zh-CN"/>
        </w:rPr>
        <w:t>陕西翰元工程咨询有限公司</w:t>
      </w:r>
    </w:p>
    <w:p>
      <w:pPr>
        <w:spacing w:before="182" w:line="360" w:lineRule="auto"/>
        <w:ind w:right="249" w:firstLine="721"/>
        <w:rPr>
          <w:rFonts w:ascii="宋体" w:hAnsi="宋体" w:eastAsia="宋体" w:cs="宋体"/>
          <w:sz w:val="24"/>
          <w:szCs w:val="24"/>
        </w:rPr>
      </w:pPr>
      <w:r>
        <w:rPr>
          <w:rFonts w:ascii="宋体" w:hAnsi="宋体" w:eastAsia="宋体" w:cs="宋体"/>
          <w:color w:val="333333"/>
          <w:spacing w:val="-1"/>
          <w:sz w:val="24"/>
          <w:szCs w:val="24"/>
        </w:rPr>
        <w:t>本授权声明</w:t>
      </w:r>
      <w:r>
        <w:rPr>
          <w:rFonts w:ascii="宋体" w:hAnsi="宋体" w:eastAsia="宋体" w:cs="宋体"/>
          <w:color w:val="333333"/>
          <w:spacing w:val="-20"/>
          <w:sz w:val="24"/>
          <w:szCs w:val="24"/>
          <w:u w:val="single" w:color="auto"/>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20"/>
          <w:sz w:val="24"/>
          <w:szCs w:val="24"/>
        </w:rPr>
        <w:t>（</w:t>
      </w:r>
      <w:r>
        <w:rPr>
          <w:rFonts w:ascii="宋体" w:hAnsi="宋体" w:eastAsia="宋体" w:cs="宋体"/>
          <w:color w:val="333333"/>
          <w:spacing w:val="-1"/>
          <w:sz w:val="24"/>
          <w:szCs w:val="24"/>
        </w:rPr>
        <w:t>供应商名称）按中华人民共和国法律于</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
          <w:sz w:val="24"/>
          <w:szCs w:val="24"/>
        </w:rPr>
        <w:t>年</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
          <w:sz w:val="24"/>
          <w:szCs w:val="24"/>
        </w:rPr>
        <w:t>月</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
          <w:sz w:val="24"/>
          <w:szCs w:val="24"/>
        </w:rPr>
        <w:t>日成立。</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
          <w:sz w:val="24"/>
          <w:szCs w:val="24"/>
        </w:rPr>
        <w:t>（法定代表人（单位负责人）姓名、职</w:t>
      </w:r>
      <w:r>
        <w:rPr>
          <w:rFonts w:ascii="宋体" w:hAnsi="宋体" w:eastAsia="宋体" w:cs="宋体"/>
          <w:color w:val="333333"/>
          <w:spacing w:val="-18"/>
          <w:sz w:val="24"/>
          <w:szCs w:val="24"/>
        </w:rPr>
        <w:t>务）特授权</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8"/>
          <w:sz w:val="24"/>
          <w:szCs w:val="24"/>
        </w:rPr>
        <w:t>（被授权人姓名、职务、）为我方“</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9"/>
          <w:sz w:val="24"/>
          <w:szCs w:val="24"/>
        </w:rPr>
        <w:t>”</w:t>
      </w:r>
      <w:r>
        <w:rPr>
          <w:rFonts w:ascii="宋体" w:hAnsi="宋体" w:eastAsia="宋体" w:cs="宋体"/>
          <w:color w:val="333333"/>
          <w:spacing w:val="-1"/>
          <w:sz w:val="24"/>
          <w:szCs w:val="24"/>
        </w:rPr>
        <w:t>项目（项目编号</w:t>
      </w:r>
      <w:r>
        <w:rPr>
          <w:rFonts w:ascii="宋体" w:hAnsi="宋体" w:eastAsia="宋体" w:cs="宋体"/>
          <w:color w:val="333333"/>
          <w:spacing w:val="-8"/>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8"/>
          <w:sz w:val="24"/>
          <w:szCs w:val="24"/>
        </w:rPr>
        <w:t>）</w:t>
      </w:r>
      <w:r>
        <w:rPr>
          <w:rFonts w:ascii="宋体" w:hAnsi="宋体" w:eastAsia="宋体" w:cs="宋体"/>
          <w:color w:val="333333"/>
          <w:spacing w:val="-1"/>
          <w:sz w:val="24"/>
          <w:szCs w:val="24"/>
        </w:rPr>
        <w:t>谈判活动的合法代表，以我方</w:t>
      </w:r>
      <w:r>
        <w:rPr>
          <w:rFonts w:ascii="宋体" w:hAnsi="宋体" w:eastAsia="宋体" w:cs="宋体"/>
          <w:color w:val="333333"/>
          <w:spacing w:val="-2"/>
          <w:sz w:val="24"/>
          <w:szCs w:val="24"/>
        </w:rPr>
        <w:t>名义全权处理该项目有关</w:t>
      </w:r>
      <w:r>
        <w:rPr>
          <w:rFonts w:ascii="宋体" w:hAnsi="宋体" w:eastAsia="宋体" w:cs="宋体"/>
          <w:color w:val="333333"/>
          <w:sz w:val="24"/>
          <w:szCs w:val="24"/>
        </w:rPr>
        <w:t>谈判、签订合同以及执行合同等一切事宜，本单位均</w:t>
      </w:r>
      <w:r>
        <w:rPr>
          <w:rFonts w:ascii="宋体" w:hAnsi="宋体" w:eastAsia="宋体" w:cs="宋体"/>
          <w:color w:val="333333"/>
          <w:spacing w:val="-1"/>
          <w:sz w:val="24"/>
          <w:szCs w:val="24"/>
        </w:rPr>
        <w:t>予承认并负全部责任。</w:t>
      </w:r>
    </w:p>
    <w:p>
      <w:pPr>
        <w:spacing w:line="219" w:lineRule="auto"/>
        <w:rPr>
          <w:rFonts w:ascii="宋体" w:hAnsi="宋体" w:eastAsia="宋体" w:cs="宋体"/>
          <w:sz w:val="24"/>
          <w:szCs w:val="24"/>
        </w:rPr>
      </w:pPr>
      <w:r>
        <w:rPr>
          <w:rFonts w:ascii="宋体" w:hAnsi="宋体" w:eastAsia="宋体" w:cs="宋体"/>
          <w:color w:val="333333"/>
          <w:spacing w:val="-1"/>
          <w:sz w:val="24"/>
          <w:szCs w:val="24"/>
        </w:rPr>
        <w:t>代理人无转委托权。</w:t>
      </w:r>
    </w:p>
    <w:p>
      <w:pPr>
        <w:spacing w:before="183" w:line="360" w:lineRule="auto"/>
        <w:ind w:left="1" w:right="423" w:firstLine="1"/>
        <w:rPr>
          <w:rFonts w:ascii="宋体" w:hAnsi="宋体" w:eastAsia="宋体" w:cs="宋体"/>
          <w:sz w:val="24"/>
          <w:szCs w:val="24"/>
        </w:rPr>
      </w:pPr>
      <w:r>
        <w:rPr>
          <w:rFonts w:ascii="宋体" w:hAnsi="宋体" w:eastAsia="宋体" w:cs="宋体"/>
          <w:color w:val="333333"/>
          <w:spacing w:val="-4"/>
          <w:sz w:val="24"/>
          <w:szCs w:val="24"/>
        </w:rPr>
        <w:t>说明：本授权有效期与谈判响应文件有效期保持一致（自谈判截止之日起不少于90天</w:t>
      </w:r>
      <w:r>
        <w:rPr>
          <w:rFonts w:ascii="宋体" w:hAnsi="宋体" w:eastAsia="宋体" w:cs="宋体"/>
          <w:color w:val="333333"/>
          <w:spacing w:val="-56"/>
          <w:w w:val="89"/>
          <w:sz w:val="24"/>
          <w:szCs w:val="24"/>
        </w:rPr>
        <w:t>），</w:t>
      </w:r>
      <w:r>
        <w:rPr>
          <w:rFonts w:ascii="宋体" w:hAnsi="宋体" w:eastAsia="宋体" w:cs="宋体"/>
          <w:color w:val="333333"/>
          <w:spacing w:val="-1"/>
          <w:sz w:val="24"/>
          <w:szCs w:val="24"/>
        </w:rPr>
        <w:t>本表仅限授权代表参加谈判时提供。</w:t>
      </w:r>
    </w:p>
    <w:p>
      <w:pPr>
        <w:spacing w:line="218" w:lineRule="auto"/>
        <w:rPr>
          <w:rFonts w:ascii="宋体" w:hAnsi="宋体" w:eastAsia="宋体" w:cs="宋体"/>
          <w:sz w:val="24"/>
          <w:szCs w:val="24"/>
        </w:rPr>
      </w:pPr>
      <w:r>
        <w:rPr>
          <w:rFonts w:ascii="宋体" w:hAnsi="宋体" w:eastAsia="宋体" w:cs="宋体"/>
          <w:color w:val="333333"/>
          <w:spacing w:val="3"/>
          <w:sz w:val="24"/>
          <w:szCs w:val="24"/>
        </w:rPr>
        <w:t>供应商名称</w:t>
      </w:r>
      <w:r>
        <w:rPr>
          <w:rFonts w:ascii="宋体" w:hAnsi="宋体" w:eastAsia="宋体" w:cs="宋体"/>
          <w:color w:val="333333"/>
          <w:spacing w:val="-18"/>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8"/>
          <w:sz w:val="24"/>
          <w:szCs w:val="24"/>
        </w:rPr>
        <w:t>（</w:t>
      </w:r>
      <w:r>
        <w:rPr>
          <w:rFonts w:ascii="宋体" w:hAnsi="宋体" w:eastAsia="宋体" w:cs="宋体"/>
          <w:color w:val="333333"/>
          <w:spacing w:val="3"/>
          <w:sz w:val="24"/>
          <w:szCs w:val="24"/>
        </w:rPr>
        <w:t>盖章）</w:t>
      </w:r>
    </w:p>
    <w:p>
      <w:pPr>
        <w:spacing w:before="184" w:line="219" w:lineRule="auto"/>
        <w:ind w:left="1"/>
        <w:rPr>
          <w:rFonts w:ascii="宋体" w:hAnsi="宋体" w:eastAsia="宋体" w:cs="宋体"/>
          <w:sz w:val="24"/>
          <w:szCs w:val="24"/>
        </w:rPr>
      </w:pPr>
      <w:r>
        <w:rPr>
          <w:rFonts w:ascii="宋体" w:hAnsi="宋体" w:eastAsia="宋体" w:cs="宋体"/>
          <w:color w:val="333333"/>
          <w:spacing w:val="1"/>
          <w:sz w:val="24"/>
          <w:szCs w:val="24"/>
        </w:rPr>
        <w:t>法定代表人（单位负责人</w:t>
      </w:r>
      <w:r>
        <w:rPr>
          <w:rFonts w:ascii="宋体" w:hAnsi="宋体" w:eastAsia="宋体" w:cs="宋体"/>
          <w:color w:val="333333"/>
          <w:spacing w:val="-10"/>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0"/>
          <w:sz w:val="24"/>
          <w:szCs w:val="24"/>
        </w:rPr>
        <w:t>（</w:t>
      </w:r>
      <w:r>
        <w:rPr>
          <w:rFonts w:ascii="宋体" w:hAnsi="宋体" w:eastAsia="宋体" w:cs="宋体"/>
          <w:color w:val="333333"/>
          <w:spacing w:val="1"/>
          <w:sz w:val="24"/>
          <w:szCs w:val="24"/>
        </w:rPr>
        <w:t>签字或盖章）</w:t>
      </w:r>
    </w:p>
    <w:p>
      <w:pPr>
        <w:spacing w:before="184" w:line="219" w:lineRule="auto"/>
        <w:ind w:left="7"/>
        <w:rPr>
          <w:rFonts w:ascii="宋体" w:hAnsi="宋体" w:eastAsia="宋体" w:cs="宋体"/>
          <w:sz w:val="24"/>
          <w:szCs w:val="24"/>
        </w:rPr>
      </w:pPr>
      <w:r>
        <w:rPr>
          <w:rFonts w:ascii="宋体" w:hAnsi="宋体" w:eastAsia="宋体" w:cs="宋体"/>
          <w:color w:val="333333"/>
          <w:spacing w:val="-4"/>
          <w:sz w:val="24"/>
          <w:szCs w:val="24"/>
        </w:rPr>
        <w:t>身份证号：</w:t>
      </w:r>
      <w:r>
        <w:rPr>
          <w:rFonts w:hint="eastAsia" w:ascii="宋体" w:hAnsi="宋体" w:eastAsia="宋体" w:cs="宋体"/>
          <w:color w:val="333333"/>
          <w:spacing w:val="-1"/>
          <w:sz w:val="24"/>
          <w:szCs w:val="24"/>
          <w:u w:val="single"/>
          <w:lang w:val="en-US" w:eastAsia="zh-CN"/>
        </w:rPr>
        <w:t xml:space="preserve">                        </w:t>
      </w:r>
    </w:p>
    <w:p>
      <w:pPr>
        <w:spacing w:before="182" w:line="219" w:lineRule="auto"/>
        <w:rPr>
          <w:rFonts w:ascii="宋体" w:hAnsi="宋体" w:eastAsia="宋体" w:cs="宋体"/>
          <w:sz w:val="24"/>
          <w:szCs w:val="24"/>
        </w:rPr>
      </w:pPr>
      <w:r>
        <w:rPr>
          <w:rFonts w:ascii="宋体" w:hAnsi="宋体" w:eastAsia="宋体" w:cs="宋体"/>
          <w:color w:val="333333"/>
          <w:spacing w:val="2"/>
          <w:sz w:val="24"/>
          <w:szCs w:val="24"/>
        </w:rPr>
        <w:t>被授权人</w:t>
      </w:r>
      <w:r>
        <w:rPr>
          <w:rFonts w:ascii="宋体" w:hAnsi="宋体" w:eastAsia="宋体" w:cs="宋体"/>
          <w:color w:val="333333"/>
          <w:spacing w:val="-16"/>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6"/>
          <w:sz w:val="24"/>
          <w:szCs w:val="24"/>
        </w:rPr>
        <w:t>（</w:t>
      </w:r>
      <w:r>
        <w:rPr>
          <w:rFonts w:ascii="宋体" w:hAnsi="宋体" w:eastAsia="宋体" w:cs="宋体"/>
          <w:color w:val="333333"/>
          <w:spacing w:val="2"/>
          <w:sz w:val="24"/>
          <w:szCs w:val="24"/>
        </w:rPr>
        <w:t>签字或盖章）</w:t>
      </w:r>
    </w:p>
    <w:p>
      <w:pPr>
        <w:spacing w:before="184" w:line="219" w:lineRule="auto"/>
        <w:ind w:left="7"/>
        <w:rPr>
          <w:rFonts w:ascii="宋体" w:hAnsi="宋体" w:eastAsia="宋体" w:cs="宋体"/>
          <w:sz w:val="24"/>
          <w:szCs w:val="24"/>
        </w:rPr>
      </w:pPr>
      <w:r>
        <w:rPr>
          <w:rFonts w:ascii="宋体" w:hAnsi="宋体" w:eastAsia="宋体" w:cs="宋体"/>
          <w:color w:val="333333"/>
          <w:spacing w:val="-4"/>
          <w:sz w:val="24"/>
          <w:szCs w:val="24"/>
        </w:rPr>
        <w:t>身份证号：</w:t>
      </w:r>
      <w:r>
        <w:rPr>
          <w:rFonts w:hint="eastAsia" w:ascii="宋体" w:hAnsi="宋体" w:eastAsia="宋体" w:cs="宋体"/>
          <w:color w:val="333333"/>
          <w:spacing w:val="-1"/>
          <w:sz w:val="24"/>
          <w:szCs w:val="24"/>
          <w:u w:val="single"/>
          <w:lang w:val="en-US" w:eastAsia="zh-CN"/>
        </w:rPr>
        <w:t xml:space="preserve">                        </w:t>
      </w:r>
    </w:p>
    <w:p>
      <w:pPr>
        <w:tabs>
          <w:tab w:val="left" w:pos="7143"/>
        </w:tabs>
        <w:spacing w:before="184" w:line="219" w:lineRule="auto"/>
        <w:ind w:left="6543"/>
        <w:rPr>
          <w:rFonts w:ascii="宋体" w:hAnsi="宋体" w:eastAsia="宋体" w:cs="宋体"/>
          <w:sz w:val="24"/>
          <w:szCs w:val="24"/>
        </w:rPr>
      </w:pP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9"/>
          <w:sz w:val="24"/>
          <w:szCs w:val="24"/>
        </w:rPr>
        <w:t>年</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9"/>
          <w:sz w:val="24"/>
          <w:szCs w:val="24"/>
        </w:rPr>
        <w:t>月</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9"/>
          <w:sz w:val="24"/>
          <w:szCs w:val="24"/>
        </w:rPr>
        <w:t>日</w:t>
      </w:r>
    </w:p>
    <w:tbl>
      <w:tblPr>
        <w:tblStyle w:val="19"/>
        <w:tblW w:w="9240" w:type="dxa"/>
        <w:tblInd w:w="3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0"/>
        <w:gridCol w:w="4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2" w:hRule="atLeast"/>
        </w:trPr>
        <w:tc>
          <w:tcPr>
            <w:tcW w:w="4620" w:type="dxa"/>
            <w:vAlign w:val="top"/>
          </w:tcPr>
          <w:p>
            <w:pPr>
              <w:spacing w:before="78" w:line="219" w:lineRule="auto"/>
              <w:ind w:left="999"/>
              <w:rPr>
                <w:sz w:val="24"/>
                <w:szCs w:val="24"/>
              </w:rPr>
            </w:pPr>
            <w:r>
              <w:rPr>
                <w:color w:val="333333"/>
                <w:spacing w:val="-1"/>
                <w:sz w:val="24"/>
                <w:szCs w:val="24"/>
              </w:rPr>
              <w:t>法定代表人身份证复印件</w:t>
            </w:r>
          </w:p>
          <w:p>
            <w:pPr>
              <w:spacing w:before="182" w:line="220" w:lineRule="auto"/>
              <w:ind w:left="1610"/>
              <w:rPr>
                <w:sz w:val="24"/>
                <w:szCs w:val="24"/>
              </w:rPr>
            </w:pPr>
            <w:r>
              <w:rPr>
                <w:color w:val="333333"/>
                <w:spacing w:val="-4"/>
                <w:sz w:val="24"/>
                <w:szCs w:val="24"/>
              </w:rPr>
              <w:t>（正反两面）</w:t>
            </w:r>
          </w:p>
        </w:tc>
        <w:tc>
          <w:tcPr>
            <w:tcW w:w="4620" w:type="dxa"/>
            <w:vAlign w:val="top"/>
          </w:tcPr>
          <w:p>
            <w:pPr>
              <w:spacing w:before="78" w:line="219" w:lineRule="auto"/>
              <w:ind w:left="1115"/>
              <w:rPr>
                <w:sz w:val="24"/>
                <w:szCs w:val="24"/>
              </w:rPr>
            </w:pPr>
            <w:r>
              <w:rPr>
                <w:color w:val="333333"/>
                <w:spacing w:val="-1"/>
                <w:sz w:val="24"/>
                <w:szCs w:val="24"/>
              </w:rPr>
              <w:t>授权代表身份证复印件</w:t>
            </w:r>
          </w:p>
          <w:p>
            <w:pPr>
              <w:spacing w:before="182" w:line="220" w:lineRule="auto"/>
              <w:ind w:left="1607"/>
              <w:rPr>
                <w:sz w:val="24"/>
                <w:szCs w:val="24"/>
              </w:rPr>
            </w:pPr>
            <w:r>
              <w:rPr>
                <w:color w:val="333333"/>
                <w:spacing w:val="-4"/>
                <w:sz w:val="24"/>
                <w:szCs w:val="24"/>
              </w:rPr>
              <w:t>（正反两面）</w:t>
            </w:r>
          </w:p>
        </w:tc>
      </w:tr>
    </w:tbl>
    <w:p>
      <w:pPr>
        <w:spacing w:before="79" w:line="224" w:lineRule="auto"/>
        <w:rPr>
          <w:rFonts w:ascii="宋体" w:hAnsi="宋体" w:eastAsia="宋体" w:cs="宋体"/>
          <w:sz w:val="24"/>
          <w:szCs w:val="24"/>
        </w:rPr>
      </w:pPr>
      <w:r>
        <w:rPr>
          <w:rFonts w:ascii="宋体" w:hAnsi="宋体" w:eastAsia="宋体" w:cs="宋体"/>
          <w:color w:val="333333"/>
          <w:spacing w:val="-5"/>
          <w:sz w:val="24"/>
          <w:szCs w:val="24"/>
        </w:rPr>
        <w:t>注：</w:t>
      </w:r>
    </w:p>
    <w:p>
      <w:pPr>
        <w:spacing w:before="176" w:line="219" w:lineRule="auto"/>
        <w:ind w:left="18"/>
        <w:rPr>
          <w:rFonts w:ascii="宋体" w:hAnsi="宋体" w:eastAsia="宋体" w:cs="宋体"/>
          <w:sz w:val="24"/>
          <w:szCs w:val="24"/>
        </w:rPr>
      </w:pPr>
      <w:r>
        <w:rPr>
          <w:rFonts w:ascii="宋体" w:hAnsi="宋体" w:eastAsia="宋体" w:cs="宋体"/>
          <w:color w:val="333333"/>
          <w:spacing w:val="-2"/>
          <w:sz w:val="24"/>
          <w:szCs w:val="24"/>
        </w:rPr>
        <w:t>1.此授权书的有效期应与响应文件有效期一致；</w:t>
      </w:r>
    </w:p>
    <w:p>
      <w:pPr>
        <w:spacing w:before="184" w:line="219" w:lineRule="auto"/>
        <w:ind w:left="3"/>
        <w:rPr>
          <w:rFonts w:ascii="宋体" w:hAnsi="宋体" w:eastAsia="宋体" w:cs="宋体"/>
          <w:sz w:val="24"/>
          <w:szCs w:val="24"/>
        </w:rPr>
      </w:pPr>
      <w:r>
        <w:rPr>
          <w:rFonts w:ascii="宋体" w:hAnsi="宋体" w:eastAsia="宋体" w:cs="宋体"/>
          <w:color w:val="333333"/>
          <w:spacing w:val="-1"/>
          <w:sz w:val="24"/>
          <w:szCs w:val="24"/>
        </w:rPr>
        <w:t>2.法定代表人直接参与谈判时无需提供。</w:t>
      </w:r>
    </w:p>
    <w:p>
      <w:pPr>
        <w:rPr>
          <w:rFonts w:ascii="宋体" w:hAnsi="宋体" w:eastAsia="宋体" w:cs="宋体"/>
          <w:b/>
          <w:bCs/>
          <w:color w:val="333333"/>
          <w:spacing w:val="-4"/>
          <w:sz w:val="24"/>
          <w:szCs w:val="24"/>
        </w:rPr>
      </w:pPr>
      <w:r>
        <w:rPr>
          <w:rFonts w:ascii="宋体" w:hAnsi="宋体" w:eastAsia="宋体" w:cs="宋体"/>
          <w:b/>
          <w:bCs/>
          <w:color w:val="333333"/>
          <w:spacing w:val="-4"/>
          <w:sz w:val="24"/>
          <w:szCs w:val="24"/>
        </w:rPr>
        <w:br w:type="page"/>
      </w:r>
    </w:p>
    <w:p>
      <w:pPr>
        <w:spacing w:before="163" w:line="219" w:lineRule="auto"/>
        <w:ind w:left="3457"/>
        <w:rPr>
          <w:rFonts w:ascii="宋体" w:hAnsi="宋体" w:eastAsia="宋体" w:cs="宋体"/>
          <w:sz w:val="24"/>
          <w:szCs w:val="24"/>
        </w:rPr>
      </w:pPr>
      <w:r>
        <w:rPr>
          <w:rFonts w:ascii="宋体" w:hAnsi="宋体" w:eastAsia="宋体" w:cs="宋体"/>
          <w:b/>
          <w:bCs/>
          <w:color w:val="333333"/>
          <w:spacing w:val="-4"/>
          <w:sz w:val="24"/>
          <w:szCs w:val="24"/>
        </w:rPr>
        <w:t>非联合体不分包声明</w:t>
      </w:r>
    </w:p>
    <w:p>
      <w:pPr>
        <w:spacing w:before="78" w:line="219" w:lineRule="auto"/>
        <w:rPr>
          <w:rFonts w:hint="eastAsia" w:ascii="宋体" w:hAnsi="宋体" w:eastAsia="宋体" w:cs="宋体"/>
          <w:sz w:val="24"/>
          <w:szCs w:val="24"/>
          <w:lang w:eastAsia="zh-CN"/>
        </w:rPr>
      </w:pPr>
      <w:r>
        <w:rPr>
          <w:rFonts w:ascii="宋体" w:hAnsi="宋体" w:eastAsia="宋体" w:cs="宋体"/>
          <w:color w:val="333333"/>
          <w:spacing w:val="-1"/>
          <w:sz w:val="24"/>
          <w:szCs w:val="24"/>
        </w:rPr>
        <w:t>致：</w:t>
      </w:r>
      <w:r>
        <w:rPr>
          <w:rFonts w:hint="eastAsia" w:ascii="宋体" w:hAnsi="宋体" w:eastAsia="宋体" w:cs="宋体"/>
          <w:color w:val="333333"/>
          <w:spacing w:val="-1"/>
          <w:sz w:val="24"/>
          <w:szCs w:val="24"/>
          <w:lang w:eastAsia="zh-CN"/>
        </w:rPr>
        <w:t>陕西翰元工程咨询有限公司</w:t>
      </w:r>
    </w:p>
    <w:p>
      <w:pPr>
        <w:spacing w:before="183" w:line="362" w:lineRule="auto"/>
        <w:ind w:left="1" w:firstLine="480"/>
        <w:rPr>
          <w:rFonts w:ascii="宋体" w:hAnsi="宋体" w:eastAsia="宋体" w:cs="宋体"/>
          <w:sz w:val="24"/>
          <w:szCs w:val="24"/>
        </w:rPr>
      </w:pPr>
      <w:r>
        <w:rPr>
          <w:rFonts w:ascii="宋体" w:hAnsi="宋体" w:eastAsia="宋体" w:cs="宋体"/>
          <w:color w:val="333333"/>
          <w:spacing w:val="-1"/>
          <w:sz w:val="24"/>
          <w:szCs w:val="24"/>
        </w:rPr>
        <w:t>我单位参加贵公司组织的</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2"/>
          <w:sz w:val="24"/>
          <w:szCs w:val="24"/>
        </w:rPr>
        <w:t>（项目名称及编号）采购活动中，我方愿意</w:t>
      </w:r>
      <w:r>
        <w:rPr>
          <w:rFonts w:ascii="宋体" w:hAnsi="宋体" w:eastAsia="宋体" w:cs="宋体"/>
          <w:color w:val="333333"/>
          <w:spacing w:val="-1"/>
          <w:sz w:val="24"/>
          <w:szCs w:val="24"/>
        </w:rPr>
        <w:t>参与谈判，并向贵公司郑重声明：我单位为独立谈判，</w:t>
      </w:r>
      <w:r>
        <w:rPr>
          <w:rFonts w:ascii="宋体" w:hAnsi="宋体" w:eastAsia="宋体" w:cs="宋体"/>
          <w:b/>
          <w:bCs/>
          <w:color w:val="333333"/>
          <w:spacing w:val="-1"/>
          <w:sz w:val="24"/>
          <w:szCs w:val="24"/>
        </w:rPr>
        <w:t>非联合体不分包</w:t>
      </w:r>
      <w:r>
        <w:rPr>
          <w:rFonts w:ascii="宋体" w:hAnsi="宋体" w:eastAsia="宋体" w:cs="宋体"/>
          <w:color w:val="333333"/>
          <w:spacing w:val="-1"/>
          <w:sz w:val="24"/>
          <w:szCs w:val="24"/>
        </w:rPr>
        <w:t>。</w:t>
      </w:r>
    </w:p>
    <w:p>
      <w:pPr>
        <w:spacing w:before="79" w:line="219" w:lineRule="auto"/>
        <w:ind w:left="1920"/>
        <w:rPr>
          <w:rFonts w:ascii="宋体" w:hAnsi="宋体" w:eastAsia="宋体" w:cs="宋体"/>
          <w:sz w:val="24"/>
          <w:szCs w:val="24"/>
        </w:rPr>
      </w:pPr>
      <w:r>
        <w:rPr>
          <w:rFonts w:ascii="宋体" w:hAnsi="宋体" w:eastAsia="宋体" w:cs="宋体"/>
          <w:color w:val="333333"/>
          <w:spacing w:val="5"/>
          <w:sz w:val="24"/>
          <w:szCs w:val="24"/>
        </w:rPr>
        <w:t>供应商</w:t>
      </w:r>
      <w:r>
        <w:rPr>
          <w:rFonts w:ascii="宋体" w:hAnsi="宋体" w:eastAsia="宋体" w:cs="宋体"/>
          <w:color w:val="333333"/>
          <w:spacing w:val="-30"/>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30"/>
          <w:sz w:val="24"/>
          <w:szCs w:val="24"/>
        </w:rPr>
        <w:t>（</w:t>
      </w:r>
      <w:r>
        <w:rPr>
          <w:rFonts w:ascii="宋体" w:hAnsi="宋体" w:eastAsia="宋体" w:cs="宋体"/>
          <w:color w:val="333333"/>
          <w:spacing w:val="5"/>
          <w:sz w:val="24"/>
          <w:szCs w:val="24"/>
        </w:rPr>
        <w:t>盖章）</w:t>
      </w:r>
    </w:p>
    <w:p>
      <w:pPr>
        <w:spacing w:before="184" w:line="219" w:lineRule="auto"/>
        <w:ind w:left="1920"/>
        <w:rPr>
          <w:rFonts w:ascii="宋体" w:hAnsi="宋体" w:eastAsia="宋体" w:cs="宋体"/>
          <w:sz w:val="24"/>
          <w:szCs w:val="24"/>
        </w:rPr>
      </w:pPr>
      <w:r>
        <w:rPr>
          <w:rFonts w:ascii="宋体" w:hAnsi="宋体" w:eastAsia="宋体" w:cs="宋体"/>
          <w:color w:val="333333"/>
          <w:spacing w:val="-1"/>
          <w:sz w:val="24"/>
          <w:szCs w:val="24"/>
        </w:rPr>
        <w:t>法定代表人（单位负责人）</w:t>
      </w:r>
    </w:p>
    <w:p>
      <w:pPr>
        <w:spacing w:before="182" w:line="219" w:lineRule="auto"/>
        <w:ind w:left="1922"/>
        <w:rPr>
          <w:rFonts w:ascii="宋体" w:hAnsi="宋体" w:eastAsia="宋体" w:cs="宋体"/>
          <w:sz w:val="24"/>
          <w:szCs w:val="24"/>
        </w:rPr>
      </w:pPr>
      <w:r>
        <w:rPr>
          <w:rFonts w:ascii="宋体" w:hAnsi="宋体" w:eastAsia="宋体" w:cs="宋体"/>
          <w:color w:val="333333"/>
          <w:spacing w:val="1"/>
          <w:sz w:val="24"/>
          <w:szCs w:val="24"/>
        </w:rPr>
        <w:t>或授权委托人</w:t>
      </w:r>
      <w:r>
        <w:rPr>
          <w:rFonts w:ascii="宋体" w:hAnsi="宋体" w:eastAsia="宋体" w:cs="宋体"/>
          <w:color w:val="333333"/>
          <w:spacing w:val="-13"/>
          <w:sz w:val="24"/>
          <w:szCs w:val="24"/>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3"/>
          <w:sz w:val="24"/>
          <w:szCs w:val="24"/>
        </w:rPr>
        <w:t>（</w:t>
      </w:r>
      <w:r>
        <w:rPr>
          <w:rFonts w:ascii="宋体" w:hAnsi="宋体" w:eastAsia="宋体" w:cs="宋体"/>
          <w:color w:val="333333"/>
          <w:spacing w:val="1"/>
          <w:sz w:val="24"/>
          <w:szCs w:val="24"/>
        </w:rPr>
        <w:t>盖章或签字）</w:t>
      </w:r>
    </w:p>
    <w:p>
      <w:pPr>
        <w:spacing w:before="184" w:line="219" w:lineRule="auto"/>
        <w:ind w:left="1961"/>
        <w:rPr>
          <w:rFonts w:ascii="宋体" w:hAnsi="宋体" w:eastAsia="宋体" w:cs="宋体"/>
          <w:sz w:val="24"/>
          <w:szCs w:val="24"/>
        </w:rPr>
      </w:pPr>
      <w:r>
        <w:rPr>
          <w:rFonts w:ascii="宋体" w:hAnsi="宋体" w:eastAsia="宋体" w:cs="宋体"/>
          <w:color w:val="333333"/>
          <w:spacing w:val="-15"/>
          <w:sz w:val="24"/>
          <w:szCs w:val="24"/>
        </w:rPr>
        <w:t>日期：</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5"/>
          <w:sz w:val="24"/>
          <w:szCs w:val="24"/>
        </w:rPr>
        <w:t>年</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5"/>
          <w:sz w:val="24"/>
          <w:szCs w:val="24"/>
        </w:rPr>
        <w:t>月</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color w:val="333333"/>
          <w:spacing w:val="-15"/>
          <w:sz w:val="24"/>
          <w:szCs w:val="24"/>
        </w:rPr>
        <w:t>日</w:t>
      </w:r>
    </w:p>
    <w:p>
      <w:pPr>
        <w:rPr>
          <w:rFonts w:ascii="宋体" w:hAnsi="宋体" w:eastAsia="宋体" w:cs="宋体"/>
          <w:b/>
          <w:bCs/>
          <w:spacing w:val="1"/>
          <w:sz w:val="31"/>
          <w:szCs w:val="31"/>
        </w:rPr>
      </w:pPr>
      <w:r>
        <w:rPr>
          <w:rFonts w:ascii="宋体" w:hAnsi="宋体" w:eastAsia="宋体" w:cs="宋体"/>
          <w:b/>
          <w:bCs/>
          <w:spacing w:val="1"/>
          <w:sz w:val="31"/>
          <w:szCs w:val="31"/>
        </w:rPr>
        <w:br w:type="page"/>
      </w:r>
    </w:p>
    <w:p>
      <w:pPr>
        <w:spacing w:before="101" w:line="225" w:lineRule="auto"/>
        <w:ind w:left="3447"/>
        <w:outlineLvl w:val="1"/>
        <w:rPr>
          <w:rFonts w:ascii="宋体" w:hAnsi="宋体" w:eastAsia="宋体" w:cs="宋体"/>
          <w:sz w:val="31"/>
          <w:szCs w:val="31"/>
        </w:rPr>
      </w:pPr>
      <w:bookmarkStart w:id="30" w:name="_Toc31171"/>
      <w:r>
        <w:rPr>
          <w:rFonts w:ascii="宋体" w:hAnsi="宋体" w:eastAsia="宋体" w:cs="宋体"/>
          <w:b/>
          <w:bCs/>
          <w:spacing w:val="1"/>
          <w:sz w:val="31"/>
          <w:szCs w:val="31"/>
        </w:rPr>
        <w:t>四、响应偏离表</w:t>
      </w:r>
      <w:bookmarkEnd w:id="30"/>
    </w:p>
    <w:p>
      <w:pPr>
        <w:spacing w:before="91" w:line="219" w:lineRule="auto"/>
        <w:ind w:left="2860"/>
        <w:rPr>
          <w:rFonts w:ascii="宋体" w:hAnsi="宋体" w:eastAsia="宋体" w:cs="宋体"/>
          <w:sz w:val="28"/>
          <w:szCs w:val="28"/>
        </w:rPr>
      </w:pPr>
      <w:r>
        <w:rPr>
          <w:rFonts w:ascii="宋体" w:hAnsi="宋体" w:eastAsia="宋体" w:cs="宋体"/>
          <w:b/>
          <w:bCs/>
          <w:spacing w:val="-4"/>
          <w:sz w:val="28"/>
          <w:szCs w:val="28"/>
        </w:rPr>
        <w:t>（一）采购内容响应偏离表</w:t>
      </w:r>
    </w:p>
    <w:tbl>
      <w:tblPr>
        <w:tblStyle w:val="19"/>
        <w:tblW w:w="8841"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756"/>
        <w:gridCol w:w="2550"/>
        <w:gridCol w:w="1605"/>
        <w:gridCol w:w="12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30" w:type="dxa"/>
            <w:vAlign w:val="top"/>
          </w:tcPr>
          <w:p>
            <w:pPr>
              <w:spacing w:before="65" w:line="229" w:lineRule="auto"/>
              <w:ind w:left="179"/>
            </w:pPr>
            <w:r>
              <w:rPr>
                <w:spacing w:val="5"/>
              </w:rPr>
              <w:t>序号</w:t>
            </w:r>
          </w:p>
        </w:tc>
        <w:tc>
          <w:tcPr>
            <w:tcW w:w="2756" w:type="dxa"/>
            <w:vAlign w:val="top"/>
          </w:tcPr>
          <w:p>
            <w:pPr>
              <w:spacing w:before="185" w:line="228" w:lineRule="auto"/>
              <w:ind w:left="1067"/>
            </w:pPr>
            <w:r>
              <w:rPr>
                <w:spacing w:val="7"/>
              </w:rPr>
              <w:t>谈判文件</w:t>
            </w:r>
          </w:p>
          <w:p>
            <w:pPr>
              <w:spacing w:before="113" w:line="227" w:lineRule="auto"/>
              <w:ind w:left="855"/>
            </w:pPr>
            <w:r>
              <w:rPr>
                <w:spacing w:val="8"/>
              </w:rPr>
              <w:t>采购内容要求</w:t>
            </w:r>
          </w:p>
        </w:tc>
        <w:tc>
          <w:tcPr>
            <w:tcW w:w="2550" w:type="dxa"/>
            <w:vAlign w:val="top"/>
          </w:tcPr>
          <w:p>
            <w:pPr>
              <w:spacing w:before="185" w:line="228" w:lineRule="auto"/>
              <w:ind w:left="871"/>
            </w:pPr>
            <w:r>
              <w:rPr>
                <w:spacing w:val="4"/>
              </w:rPr>
              <w:t>响应文件</w:t>
            </w:r>
          </w:p>
          <w:p>
            <w:pPr>
              <w:spacing w:before="113" w:line="227" w:lineRule="auto"/>
              <w:ind w:left="651"/>
            </w:pPr>
            <w:r>
              <w:rPr>
                <w:spacing w:val="8"/>
              </w:rPr>
              <w:t>采购内容响应</w:t>
            </w:r>
          </w:p>
        </w:tc>
        <w:tc>
          <w:tcPr>
            <w:tcW w:w="1605" w:type="dxa"/>
            <w:vAlign w:val="top"/>
          </w:tcPr>
          <w:p>
            <w:pPr>
              <w:spacing w:before="65" w:line="228" w:lineRule="auto"/>
              <w:ind w:left="389"/>
            </w:pPr>
            <w:r>
              <w:rPr>
                <w:spacing w:val="7"/>
              </w:rPr>
              <w:t>偏离情况</w:t>
            </w:r>
          </w:p>
        </w:tc>
        <w:tc>
          <w:tcPr>
            <w:tcW w:w="1200" w:type="dxa"/>
            <w:vAlign w:val="top"/>
          </w:tcPr>
          <w:p>
            <w:pPr>
              <w:spacing w:before="65" w:line="228" w:lineRule="auto"/>
              <w:ind w:left="399"/>
            </w:pPr>
            <w:r>
              <w:rPr>
                <w:spacing w:val="3"/>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730" w:type="dxa"/>
            <w:vAlign w:val="top"/>
          </w:tcPr>
          <w:p>
            <w:pPr>
              <w:rPr>
                <w:rFonts w:ascii="Arial"/>
                <w:sz w:val="21"/>
              </w:rPr>
            </w:pPr>
          </w:p>
        </w:tc>
        <w:tc>
          <w:tcPr>
            <w:tcW w:w="2756" w:type="dxa"/>
            <w:vAlign w:val="top"/>
          </w:tcPr>
          <w:p>
            <w:pPr>
              <w:rPr>
                <w:rFonts w:ascii="Arial"/>
                <w:sz w:val="21"/>
              </w:rPr>
            </w:pPr>
          </w:p>
        </w:tc>
        <w:tc>
          <w:tcPr>
            <w:tcW w:w="2550" w:type="dxa"/>
            <w:vAlign w:val="top"/>
          </w:tcPr>
          <w:p>
            <w:pPr>
              <w:rPr>
                <w:rFonts w:ascii="Arial"/>
                <w:sz w:val="21"/>
              </w:rPr>
            </w:pPr>
          </w:p>
        </w:tc>
        <w:tc>
          <w:tcPr>
            <w:tcW w:w="1605" w:type="dxa"/>
            <w:vAlign w:val="top"/>
          </w:tcPr>
          <w:p>
            <w:pPr>
              <w:rPr>
                <w:rFonts w:ascii="Arial"/>
                <w:sz w:val="21"/>
              </w:rPr>
            </w:pPr>
          </w:p>
        </w:tc>
        <w:tc>
          <w:tcPr>
            <w:tcW w:w="1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30" w:type="dxa"/>
            <w:vAlign w:val="top"/>
          </w:tcPr>
          <w:p>
            <w:pPr>
              <w:rPr>
                <w:rFonts w:ascii="Arial"/>
                <w:sz w:val="21"/>
              </w:rPr>
            </w:pPr>
          </w:p>
        </w:tc>
        <w:tc>
          <w:tcPr>
            <w:tcW w:w="2756" w:type="dxa"/>
            <w:vAlign w:val="top"/>
          </w:tcPr>
          <w:p>
            <w:pPr>
              <w:rPr>
                <w:rFonts w:ascii="Arial"/>
                <w:sz w:val="21"/>
              </w:rPr>
            </w:pPr>
          </w:p>
        </w:tc>
        <w:tc>
          <w:tcPr>
            <w:tcW w:w="2550" w:type="dxa"/>
            <w:vAlign w:val="top"/>
          </w:tcPr>
          <w:p>
            <w:pPr>
              <w:rPr>
                <w:rFonts w:ascii="Arial"/>
                <w:sz w:val="21"/>
              </w:rPr>
            </w:pPr>
          </w:p>
        </w:tc>
        <w:tc>
          <w:tcPr>
            <w:tcW w:w="1605" w:type="dxa"/>
            <w:vAlign w:val="top"/>
          </w:tcPr>
          <w:p>
            <w:pPr>
              <w:rPr>
                <w:rFonts w:ascii="Arial"/>
                <w:sz w:val="21"/>
              </w:rPr>
            </w:pPr>
          </w:p>
        </w:tc>
        <w:tc>
          <w:tcPr>
            <w:tcW w:w="1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30" w:type="dxa"/>
            <w:vAlign w:val="top"/>
          </w:tcPr>
          <w:p>
            <w:pPr>
              <w:rPr>
                <w:rFonts w:ascii="Arial"/>
                <w:sz w:val="21"/>
              </w:rPr>
            </w:pPr>
          </w:p>
        </w:tc>
        <w:tc>
          <w:tcPr>
            <w:tcW w:w="2756" w:type="dxa"/>
            <w:vAlign w:val="top"/>
          </w:tcPr>
          <w:p>
            <w:pPr>
              <w:rPr>
                <w:rFonts w:ascii="Arial"/>
                <w:sz w:val="21"/>
              </w:rPr>
            </w:pPr>
          </w:p>
        </w:tc>
        <w:tc>
          <w:tcPr>
            <w:tcW w:w="2550" w:type="dxa"/>
            <w:vAlign w:val="top"/>
          </w:tcPr>
          <w:p>
            <w:pPr>
              <w:rPr>
                <w:rFonts w:ascii="Arial"/>
                <w:sz w:val="21"/>
              </w:rPr>
            </w:pPr>
          </w:p>
        </w:tc>
        <w:tc>
          <w:tcPr>
            <w:tcW w:w="1605" w:type="dxa"/>
            <w:vAlign w:val="top"/>
          </w:tcPr>
          <w:p>
            <w:pPr>
              <w:rPr>
                <w:rFonts w:ascii="Arial"/>
                <w:sz w:val="21"/>
              </w:rPr>
            </w:pPr>
          </w:p>
        </w:tc>
        <w:tc>
          <w:tcPr>
            <w:tcW w:w="1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30" w:type="dxa"/>
            <w:vAlign w:val="top"/>
          </w:tcPr>
          <w:p>
            <w:pPr>
              <w:rPr>
                <w:rFonts w:ascii="Arial"/>
                <w:sz w:val="21"/>
              </w:rPr>
            </w:pPr>
          </w:p>
        </w:tc>
        <w:tc>
          <w:tcPr>
            <w:tcW w:w="2756" w:type="dxa"/>
            <w:vAlign w:val="top"/>
          </w:tcPr>
          <w:p>
            <w:pPr>
              <w:rPr>
                <w:rFonts w:ascii="Arial"/>
                <w:sz w:val="21"/>
              </w:rPr>
            </w:pPr>
          </w:p>
        </w:tc>
        <w:tc>
          <w:tcPr>
            <w:tcW w:w="2550" w:type="dxa"/>
            <w:vAlign w:val="top"/>
          </w:tcPr>
          <w:p>
            <w:pPr>
              <w:rPr>
                <w:rFonts w:ascii="Arial"/>
                <w:sz w:val="21"/>
              </w:rPr>
            </w:pPr>
          </w:p>
        </w:tc>
        <w:tc>
          <w:tcPr>
            <w:tcW w:w="1605" w:type="dxa"/>
            <w:vAlign w:val="top"/>
          </w:tcPr>
          <w:p>
            <w:pPr>
              <w:rPr>
                <w:rFonts w:ascii="Arial"/>
                <w:sz w:val="21"/>
              </w:rPr>
            </w:pPr>
          </w:p>
        </w:tc>
        <w:tc>
          <w:tcPr>
            <w:tcW w:w="1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30" w:type="dxa"/>
            <w:vAlign w:val="top"/>
          </w:tcPr>
          <w:p>
            <w:pPr>
              <w:rPr>
                <w:rFonts w:ascii="Arial"/>
                <w:sz w:val="21"/>
              </w:rPr>
            </w:pPr>
          </w:p>
        </w:tc>
        <w:tc>
          <w:tcPr>
            <w:tcW w:w="2756" w:type="dxa"/>
            <w:vAlign w:val="top"/>
          </w:tcPr>
          <w:p>
            <w:pPr>
              <w:rPr>
                <w:rFonts w:ascii="Arial"/>
                <w:sz w:val="21"/>
              </w:rPr>
            </w:pPr>
          </w:p>
        </w:tc>
        <w:tc>
          <w:tcPr>
            <w:tcW w:w="2550" w:type="dxa"/>
            <w:vAlign w:val="top"/>
          </w:tcPr>
          <w:p>
            <w:pPr>
              <w:rPr>
                <w:rFonts w:ascii="Arial"/>
                <w:sz w:val="21"/>
              </w:rPr>
            </w:pPr>
          </w:p>
        </w:tc>
        <w:tc>
          <w:tcPr>
            <w:tcW w:w="1605" w:type="dxa"/>
            <w:vAlign w:val="top"/>
          </w:tcPr>
          <w:p>
            <w:pPr>
              <w:rPr>
                <w:rFonts w:ascii="Arial"/>
                <w:sz w:val="21"/>
              </w:rPr>
            </w:pPr>
          </w:p>
        </w:tc>
        <w:tc>
          <w:tcPr>
            <w:tcW w:w="1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30" w:type="dxa"/>
            <w:vAlign w:val="top"/>
          </w:tcPr>
          <w:p>
            <w:pPr>
              <w:rPr>
                <w:rFonts w:ascii="Arial"/>
                <w:sz w:val="21"/>
              </w:rPr>
            </w:pPr>
          </w:p>
        </w:tc>
        <w:tc>
          <w:tcPr>
            <w:tcW w:w="2756" w:type="dxa"/>
            <w:vAlign w:val="top"/>
          </w:tcPr>
          <w:p>
            <w:pPr>
              <w:rPr>
                <w:rFonts w:ascii="Arial"/>
                <w:sz w:val="21"/>
              </w:rPr>
            </w:pPr>
          </w:p>
        </w:tc>
        <w:tc>
          <w:tcPr>
            <w:tcW w:w="2550" w:type="dxa"/>
            <w:vAlign w:val="top"/>
          </w:tcPr>
          <w:p>
            <w:pPr>
              <w:rPr>
                <w:rFonts w:ascii="Arial"/>
                <w:sz w:val="21"/>
              </w:rPr>
            </w:pPr>
          </w:p>
        </w:tc>
        <w:tc>
          <w:tcPr>
            <w:tcW w:w="1605" w:type="dxa"/>
            <w:vAlign w:val="top"/>
          </w:tcPr>
          <w:p>
            <w:pPr>
              <w:rPr>
                <w:rFonts w:ascii="Arial"/>
                <w:sz w:val="21"/>
              </w:rPr>
            </w:pPr>
          </w:p>
        </w:tc>
        <w:tc>
          <w:tcPr>
            <w:tcW w:w="1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30" w:type="dxa"/>
            <w:vAlign w:val="top"/>
          </w:tcPr>
          <w:p>
            <w:pPr>
              <w:rPr>
                <w:rFonts w:ascii="Arial"/>
                <w:sz w:val="21"/>
              </w:rPr>
            </w:pPr>
          </w:p>
        </w:tc>
        <w:tc>
          <w:tcPr>
            <w:tcW w:w="2756" w:type="dxa"/>
            <w:vAlign w:val="top"/>
          </w:tcPr>
          <w:p>
            <w:pPr>
              <w:rPr>
                <w:rFonts w:ascii="Arial"/>
                <w:sz w:val="21"/>
              </w:rPr>
            </w:pPr>
          </w:p>
        </w:tc>
        <w:tc>
          <w:tcPr>
            <w:tcW w:w="2550" w:type="dxa"/>
            <w:vAlign w:val="top"/>
          </w:tcPr>
          <w:p>
            <w:pPr>
              <w:rPr>
                <w:rFonts w:ascii="Arial"/>
                <w:sz w:val="21"/>
              </w:rPr>
            </w:pPr>
          </w:p>
        </w:tc>
        <w:tc>
          <w:tcPr>
            <w:tcW w:w="1605" w:type="dxa"/>
            <w:vAlign w:val="top"/>
          </w:tcPr>
          <w:p>
            <w:pPr>
              <w:rPr>
                <w:rFonts w:ascii="Arial"/>
                <w:sz w:val="21"/>
              </w:rPr>
            </w:pPr>
          </w:p>
        </w:tc>
        <w:tc>
          <w:tcPr>
            <w:tcW w:w="1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30" w:type="dxa"/>
            <w:vAlign w:val="top"/>
          </w:tcPr>
          <w:p>
            <w:pPr>
              <w:rPr>
                <w:rFonts w:ascii="Arial"/>
                <w:sz w:val="21"/>
              </w:rPr>
            </w:pPr>
          </w:p>
        </w:tc>
        <w:tc>
          <w:tcPr>
            <w:tcW w:w="2756" w:type="dxa"/>
            <w:vAlign w:val="top"/>
          </w:tcPr>
          <w:p>
            <w:pPr>
              <w:rPr>
                <w:rFonts w:ascii="Arial"/>
                <w:sz w:val="21"/>
              </w:rPr>
            </w:pPr>
          </w:p>
        </w:tc>
        <w:tc>
          <w:tcPr>
            <w:tcW w:w="2550" w:type="dxa"/>
            <w:vAlign w:val="top"/>
          </w:tcPr>
          <w:p>
            <w:pPr>
              <w:rPr>
                <w:rFonts w:ascii="Arial"/>
                <w:sz w:val="21"/>
              </w:rPr>
            </w:pPr>
          </w:p>
        </w:tc>
        <w:tc>
          <w:tcPr>
            <w:tcW w:w="1605" w:type="dxa"/>
            <w:vAlign w:val="top"/>
          </w:tcPr>
          <w:p>
            <w:pPr>
              <w:rPr>
                <w:rFonts w:ascii="Arial"/>
                <w:sz w:val="21"/>
              </w:rPr>
            </w:pPr>
          </w:p>
        </w:tc>
        <w:tc>
          <w:tcPr>
            <w:tcW w:w="1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30" w:type="dxa"/>
            <w:vAlign w:val="top"/>
          </w:tcPr>
          <w:p>
            <w:pPr>
              <w:rPr>
                <w:rFonts w:ascii="Arial"/>
                <w:sz w:val="21"/>
              </w:rPr>
            </w:pPr>
          </w:p>
        </w:tc>
        <w:tc>
          <w:tcPr>
            <w:tcW w:w="2756" w:type="dxa"/>
            <w:vAlign w:val="top"/>
          </w:tcPr>
          <w:p>
            <w:pPr>
              <w:rPr>
                <w:rFonts w:ascii="Arial"/>
                <w:sz w:val="21"/>
              </w:rPr>
            </w:pPr>
          </w:p>
        </w:tc>
        <w:tc>
          <w:tcPr>
            <w:tcW w:w="2550" w:type="dxa"/>
            <w:vAlign w:val="top"/>
          </w:tcPr>
          <w:p>
            <w:pPr>
              <w:rPr>
                <w:rFonts w:ascii="Arial"/>
                <w:sz w:val="21"/>
              </w:rPr>
            </w:pPr>
          </w:p>
        </w:tc>
        <w:tc>
          <w:tcPr>
            <w:tcW w:w="1605" w:type="dxa"/>
            <w:vAlign w:val="top"/>
          </w:tcPr>
          <w:p>
            <w:pPr>
              <w:rPr>
                <w:rFonts w:ascii="Arial"/>
                <w:sz w:val="21"/>
              </w:rPr>
            </w:pPr>
          </w:p>
        </w:tc>
        <w:tc>
          <w:tcPr>
            <w:tcW w:w="1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30" w:type="dxa"/>
            <w:vAlign w:val="top"/>
          </w:tcPr>
          <w:p>
            <w:pPr>
              <w:rPr>
                <w:rFonts w:ascii="Arial"/>
                <w:sz w:val="21"/>
              </w:rPr>
            </w:pPr>
          </w:p>
        </w:tc>
        <w:tc>
          <w:tcPr>
            <w:tcW w:w="2756" w:type="dxa"/>
            <w:vAlign w:val="top"/>
          </w:tcPr>
          <w:p>
            <w:pPr>
              <w:rPr>
                <w:rFonts w:ascii="Arial"/>
                <w:sz w:val="21"/>
              </w:rPr>
            </w:pPr>
          </w:p>
        </w:tc>
        <w:tc>
          <w:tcPr>
            <w:tcW w:w="2550" w:type="dxa"/>
            <w:vAlign w:val="top"/>
          </w:tcPr>
          <w:p>
            <w:pPr>
              <w:rPr>
                <w:rFonts w:ascii="Arial"/>
                <w:sz w:val="21"/>
              </w:rPr>
            </w:pPr>
          </w:p>
        </w:tc>
        <w:tc>
          <w:tcPr>
            <w:tcW w:w="1605" w:type="dxa"/>
            <w:vAlign w:val="top"/>
          </w:tcPr>
          <w:p>
            <w:pPr>
              <w:rPr>
                <w:rFonts w:ascii="Arial"/>
                <w:sz w:val="21"/>
              </w:rPr>
            </w:pPr>
          </w:p>
        </w:tc>
        <w:tc>
          <w:tcPr>
            <w:tcW w:w="1200" w:type="dxa"/>
            <w:vAlign w:val="top"/>
          </w:tcPr>
          <w:p>
            <w:pPr>
              <w:rPr>
                <w:rFonts w:ascii="Arial"/>
                <w:sz w:val="21"/>
              </w:rPr>
            </w:pPr>
          </w:p>
        </w:tc>
      </w:tr>
    </w:tbl>
    <w:p>
      <w:pPr>
        <w:spacing w:before="139" w:line="370" w:lineRule="auto"/>
        <w:ind w:firstLine="3"/>
        <w:rPr>
          <w:rFonts w:ascii="宋体" w:hAnsi="宋体" w:eastAsia="宋体" w:cs="宋体"/>
          <w:sz w:val="20"/>
          <w:szCs w:val="20"/>
        </w:rPr>
      </w:pPr>
      <w:r>
        <w:rPr>
          <w:rFonts w:ascii="宋体" w:hAnsi="宋体" w:eastAsia="宋体" w:cs="宋体"/>
          <w:b/>
          <w:bCs/>
          <w:spacing w:val="7"/>
          <w:sz w:val="20"/>
          <w:szCs w:val="20"/>
        </w:rPr>
        <w:t>说明：1.按谈判文件“第五章”中的“采购内容”认真填</w:t>
      </w:r>
      <w:r>
        <w:rPr>
          <w:rFonts w:ascii="宋体" w:hAnsi="宋体" w:eastAsia="宋体" w:cs="宋体"/>
          <w:b/>
          <w:bCs/>
          <w:spacing w:val="6"/>
          <w:sz w:val="20"/>
          <w:szCs w:val="20"/>
        </w:rPr>
        <w:t>写本表。偏离情况填写：“优于、等于或</w:t>
      </w:r>
      <w:r>
        <w:rPr>
          <w:rFonts w:ascii="宋体" w:hAnsi="宋体" w:eastAsia="宋体" w:cs="宋体"/>
          <w:b/>
          <w:bCs/>
          <w:spacing w:val="5"/>
          <w:sz w:val="20"/>
          <w:szCs w:val="20"/>
        </w:rPr>
        <w:t>低于”。如有优于请在说明栏写明“优于”的详细情况。</w:t>
      </w:r>
    </w:p>
    <w:p>
      <w:pPr>
        <w:spacing w:before="1" w:line="226" w:lineRule="auto"/>
        <w:ind w:left="3"/>
        <w:rPr>
          <w:rFonts w:ascii="宋体" w:hAnsi="宋体" w:eastAsia="宋体" w:cs="宋体"/>
          <w:sz w:val="20"/>
          <w:szCs w:val="20"/>
        </w:rPr>
      </w:pPr>
      <w:r>
        <w:rPr>
          <w:rFonts w:ascii="宋体" w:hAnsi="宋体" w:eastAsia="宋体" w:cs="宋体"/>
          <w:b/>
          <w:bCs/>
          <w:spacing w:val="7"/>
          <w:sz w:val="20"/>
          <w:szCs w:val="20"/>
        </w:rPr>
        <w:t>2.供应商需提供与产品相关的证明材料（如检测报告、白皮书、产品</w:t>
      </w:r>
      <w:r>
        <w:rPr>
          <w:rFonts w:ascii="宋体" w:hAnsi="宋体" w:eastAsia="宋体" w:cs="宋体"/>
          <w:b/>
          <w:bCs/>
          <w:spacing w:val="6"/>
          <w:sz w:val="20"/>
          <w:szCs w:val="20"/>
        </w:rPr>
        <w:t>说明书或宣传彩页等）</w:t>
      </w:r>
    </w:p>
    <w:p>
      <w:pPr>
        <w:spacing w:before="66" w:line="227" w:lineRule="auto"/>
        <w:ind w:left="2732"/>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4"/>
          <w:sz w:val="20"/>
          <w:szCs w:val="20"/>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pacing w:val="-4"/>
          <w:sz w:val="20"/>
          <w:szCs w:val="20"/>
        </w:rPr>
        <w:t>（</w:t>
      </w:r>
      <w:r>
        <w:rPr>
          <w:rFonts w:ascii="宋体" w:hAnsi="宋体" w:eastAsia="宋体" w:cs="宋体"/>
          <w:spacing w:val="11"/>
          <w:sz w:val="20"/>
          <w:szCs w:val="20"/>
        </w:rPr>
        <w:t>公章）</w:t>
      </w:r>
    </w:p>
    <w:p>
      <w:pPr>
        <w:spacing w:before="66" w:line="227" w:lineRule="auto"/>
        <w:ind w:left="2732"/>
        <w:rPr>
          <w:rFonts w:ascii="宋体" w:hAnsi="宋体" w:eastAsia="宋体" w:cs="宋体"/>
          <w:sz w:val="20"/>
          <w:szCs w:val="20"/>
        </w:rPr>
      </w:pPr>
      <w:r>
        <w:rPr>
          <w:rFonts w:ascii="宋体" w:hAnsi="宋体" w:eastAsia="宋体" w:cs="宋体"/>
          <w:spacing w:val="10"/>
          <w:sz w:val="20"/>
          <w:szCs w:val="20"/>
        </w:rPr>
        <w:t>法定代表人或委托代理人</w:t>
      </w:r>
      <w:r>
        <w:rPr>
          <w:rFonts w:ascii="宋体" w:hAnsi="宋体" w:eastAsia="宋体" w:cs="宋体"/>
          <w:sz w:val="20"/>
          <w:szCs w:val="20"/>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z w:val="20"/>
          <w:szCs w:val="20"/>
        </w:rPr>
        <w:t>（</w:t>
      </w:r>
      <w:r>
        <w:rPr>
          <w:rFonts w:ascii="宋体" w:hAnsi="宋体" w:eastAsia="宋体" w:cs="宋体"/>
          <w:spacing w:val="10"/>
          <w:sz w:val="20"/>
          <w:szCs w:val="20"/>
        </w:rPr>
        <w:t>签字或盖章）</w:t>
      </w:r>
    </w:p>
    <w:p>
      <w:pPr>
        <w:spacing w:before="65" w:line="228" w:lineRule="auto"/>
        <w:ind w:left="2767"/>
        <w:rPr>
          <w:rFonts w:ascii="宋体" w:hAnsi="宋体" w:eastAsia="宋体" w:cs="宋体"/>
          <w:sz w:val="20"/>
          <w:szCs w:val="20"/>
        </w:rPr>
      </w:pPr>
      <w:r>
        <w:rPr>
          <w:rFonts w:ascii="宋体" w:hAnsi="宋体" w:eastAsia="宋体" w:cs="宋体"/>
          <w:spacing w:val="-6"/>
          <w:sz w:val="20"/>
          <w:szCs w:val="20"/>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pPr>
        <w:rPr>
          <w:rFonts w:ascii="宋体" w:hAnsi="宋体" w:eastAsia="宋体" w:cs="宋体"/>
          <w:b/>
          <w:bCs/>
          <w:spacing w:val="-4"/>
          <w:sz w:val="28"/>
          <w:szCs w:val="28"/>
        </w:rPr>
      </w:pPr>
      <w:r>
        <w:rPr>
          <w:rFonts w:ascii="宋体" w:hAnsi="宋体" w:eastAsia="宋体" w:cs="宋体"/>
          <w:b/>
          <w:bCs/>
          <w:spacing w:val="-4"/>
          <w:sz w:val="28"/>
          <w:szCs w:val="28"/>
        </w:rPr>
        <w:br w:type="page"/>
      </w:r>
    </w:p>
    <w:p>
      <w:pPr>
        <w:spacing w:before="91" w:line="220" w:lineRule="auto"/>
        <w:ind w:left="3255"/>
        <w:rPr>
          <w:rFonts w:ascii="宋体" w:hAnsi="宋体" w:eastAsia="宋体" w:cs="宋体"/>
          <w:sz w:val="28"/>
          <w:szCs w:val="28"/>
        </w:rPr>
      </w:pPr>
      <w:r>
        <w:rPr>
          <w:rFonts w:ascii="宋体" w:hAnsi="宋体" w:eastAsia="宋体" w:cs="宋体"/>
          <w:b/>
          <w:bCs/>
          <w:spacing w:val="-4"/>
          <w:sz w:val="28"/>
          <w:szCs w:val="28"/>
        </w:rPr>
        <w:t>（二）商务响应偏离表</w:t>
      </w:r>
    </w:p>
    <w:tbl>
      <w:tblPr>
        <w:tblStyle w:val="19"/>
        <w:tblW w:w="92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816"/>
        <w:gridCol w:w="2719"/>
        <w:gridCol w:w="1495"/>
        <w:gridCol w:w="1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863" w:type="dxa"/>
            <w:vAlign w:val="top"/>
          </w:tcPr>
          <w:p>
            <w:pPr>
              <w:spacing w:before="289" w:line="222" w:lineRule="auto"/>
              <w:ind w:left="167"/>
              <w:rPr>
                <w:sz w:val="22"/>
                <w:szCs w:val="22"/>
              </w:rPr>
            </w:pPr>
            <w:r>
              <w:rPr>
                <w:spacing w:val="-3"/>
                <w:sz w:val="22"/>
                <w:szCs w:val="22"/>
              </w:rPr>
              <w:t>序号</w:t>
            </w:r>
          </w:p>
        </w:tc>
        <w:tc>
          <w:tcPr>
            <w:tcW w:w="2816" w:type="dxa"/>
            <w:vAlign w:val="top"/>
          </w:tcPr>
          <w:p>
            <w:pPr>
              <w:spacing w:before="129" w:line="220" w:lineRule="auto"/>
              <w:ind w:left="1078"/>
              <w:rPr>
                <w:sz w:val="22"/>
                <w:szCs w:val="22"/>
              </w:rPr>
            </w:pPr>
            <w:r>
              <w:rPr>
                <w:spacing w:val="-2"/>
                <w:sz w:val="22"/>
                <w:szCs w:val="22"/>
              </w:rPr>
              <w:t>谈判文件</w:t>
            </w:r>
          </w:p>
          <w:p>
            <w:pPr>
              <w:spacing w:before="57" w:line="220" w:lineRule="auto"/>
              <w:ind w:left="1083"/>
              <w:rPr>
                <w:sz w:val="22"/>
                <w:szCs w:val="22"/>
              </w:rPr>
            </w:pPr>
            <w:r>
              <w:rPr>
                <w:spacing w:val="-4"/>
                <w:sz w:val="22"/>
                <w:szCs w:val="22"/>
              </w:rPr>
              <w:t>商务要求</w:t>
            </w:r>
          </w:p>
        </w:tc>
        <w:tc>
          <w:tcPr>
            <w:tcW w:w="2719" w:type="dxa"/>
            <w:vAlign w:val="top"/>
          </w:tcPr>
          <w:p>
            <w:pPr>
              <w:spacing w:before="129" w:line="220" w:lineRule="auto"/>
              <w:ind w:left="1041"/>
              <w:rPr>
                <w:sz w:val="22"/>
                <w:szCs w:val="22"/>
              </w:rPr>
            </w:pPr>
            <w:r>
              <w:rPr>
                <w:spacing w:val="-5"/>
                <w:sz w:val="22"/>
                <w:szCs w:val="22"/>
              </w:rPr>
              <w:t>响应文件</w:t>
            </w:r>
          </w:p>
          <w:p>
            <w:pPr>
              <w:spacing w:before="57" w:line="220" w:lineRule="auto"/>
              <w:ind w:left="1034"/>
              <w:rPr>
                <w:sz w:val="22"/>
                <w:szCs w:val="22"/>
              </w:rPr>
            </w:pPr>
            <w:r>
              <w:rPr>
                <w:spacing w:val="-4"/>
                <w:sz w:val="22"/>
                <w:szCs w:val="22"/>
              </w:rPr>
              <w:t>商务响应</w:t>
            </w:r>
          </w:p>
        </w:tc>
        <w:tc>
          <w:tcPr>
            <w:tcW w:w="1495" w:type="dxa"/>
            <w:vAlign w:val="top"/>
          </w:tcPr>
          <w:p>
            <w:pPr>
              <w:spacing w:before="290" w:line="220" w:lineRule="auto"/>
              <w:ind w:left="245"/>
              <w:rPr>
                <w:sz w:val="22"/>
                <w:szCs w:val="22"/>
              </w:rPr>
            </w:pPr>
            <w:r>
              <w:rPr>
                <w:spacing w:val="-2"/>
                <w:sz w:val="22"/>
                <w:szCs w:val="22"/>
              </w:rPr>
              <w:t>偏离情况</w:t>
            </w:r>
          </w:p>
        </w:tc>
        <w:tc>
          <w:tcPr>
            <w:tcW w:w="1384" w:type="dxa"/>
            <w:vAlign w:val="top"/>
          </w:tcPr>
          <w:p>
            <w:pPr>
              <w:spacing w:before="290" w:line="220" w:lineRule="auto"/>
              <w:ind w:left="481"/>
              <w:rPr>
                <w:sz w:val="22"/>
                <w:szCs w:val="22"/>
              </w:rPr>
            </w:pPr>
            <w:r>
              <w:rPr>
                <w:spacing w:val="-5"/>
                <w:sz w:val="22"/>
                <w:szCs w:val="22"/>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63" w:type="dxa"/>
            <w:vAlign w:val="top"/>
          </w:tcPr>
          <w:p>
            <w:pPr>
              <w:rPr>
                <w:rFonts w:ascii="Arial"/>
                <w:sz w:val="21"/>
              </w:rPr>
            </w:pPr>
          </w:p>
        </w:tc>
        <w:tc>
          <w:tcPr>
            <w:tcW w:w="2816" w:type="dxa"/>
            <w:vAlign w:val="top"/>
          </w:tcPr>
          <w:p>
            <w:pPr>
              <w:rPr>
                <w:rFonts w:ascii="Arial"/>
                <w:sz w:val="21"/>
              </w:rPr>
            </w:pPr>
          </w:p>
        </w:tc>
        <w:tc>
          <w:tcPr>
            <w:tcW w:w="2719" w:type="dxa"/>
            <w:vAlign w:val="top"/>
          </w:tcPr>
          <w:p>
            <w:pPr>
              <w:rPr>
                <w:rFonts w:ascii="Arial"/>
                <w:sz w:val="21"/>
              </w:rPr>
            </w:pPr>
          </w:p>
        </w:tc>
        <w:tc>
          <w:tcPr>
            <w:tcW w:w="1495"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63" w:type="dxa"/>
            <w:vAlign w:val="top"/>
          </w:tcPr>
          <w:p>
            <w:pPr>
              <w:rPr>
                <w:rFonts w:ascii="Arial"/>
                <w:sz w:val="21"/>
              </w:rPr>
            </w:pPr>
          </w:p>
        </w:tc>
        <w:tc>
          <w:tcPr>
            <w:tcW w:w="2816" w:type="dxa"/>
            <w:vAlign w:val="top"/>
          </w:tcPr>
          <w:p>
            <w:pPr>
              <w:rPr>
                <w:rFonts w:ascii="Arial"/>
                <w:sz w:val="21"/>
              </w:rPr>
            </w:pPr>
          </w:p>
        </w:tc>
        <w:tc>
          <w:tcPr>
            <w:tcW w:w="2719" w:type="dxa"/>
            <w:vAlign w:val="top"/>
          </w:tcPr>
          <w:p>
            <w:pPr>
              <w:rPr>
                <w:rFonts w:ascii="Arial"/>
                <w:sz w:val="21"/>
              </w:rPr>
            </w:pPr>
          </w:p>
        </w:tc>
        <w:tc>
          <w:tcPr>
            <w:tcW w:w="1495"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63" w:type="dxa"/>
            <w:vAlign w:val="top"/>
          </w:tcPr>
          <w:p>
            <w:pPr>
              <w:rPr>
                <w:rFonts w:ascii="Arial"/>
                <w:sz w:val="21"/>
              </w:rPr>
            </w:pPr>
          </w:p>
        </w:tc>
        <w:tc>
          <w:tcPr>
            <w:tcW w:w="2816" w:type="dxa"/>
            <w:vAlign w:val="top"/>
          </w:tcPr>
          <w:p>
            <w:pPr>
              <w:rPr>
                <w:rFonts w:ascii="Arial"/>
                <w:sz w:val="21"/>
              </w:rPr>
            </w:pPr>
          </w:p>
        </w:tc>
        <w:tc>
          <w:tcPr>
            <w:tcW w:w="2719" w:type="dxa"/>
            <w:vAlign w:val="top"/>
          </w:tcPr>
          <w:p>
            <w:pPr>
              <w:rPr>
                <w:rFonts w:ascii="Arial"/>
                <w:sz w:val="21"/>
              </w:rPr>
            </w:pPr>
          </w:p>
        </w:tc>
        <w:tc>
          <w:tcPr>
            <w:tcW w:w="1495"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63" w:type="dxa"/>
            <w:vAlign w:val="top"/>
          </w:tcPr>
          <w:p>
            <w:pPr>
              <w:rPr>
                <w:rFonts w:ascii="Arial"/>
                <w:sz w:val="21"/>
              </w:rPr>
            </w:pPr>
          </w:p>
        </w:tc>
        <w:tc>
          <w:tcPr>
            <w:tcW w:w="2816" w:type="dxa"/>
            <w:vAlign w:val="top"/>
          </w:tcPr>
          <w:p>
            <w:pPr>
              <w:rPr>
                <w:rFonts w:ascii="Arial"/>
                <w:sz w:val="21"/>
              </w:rPr>
            </w:pPr>
          </w:p>
        </w:tc>
        <w:tc>
          <w:tcPr>
            <w:tcW w:w="2719" w:type="dxa"/>
            <w:vAlign w:val="top"/>
          </w:tcPr>
          <w:p>
            <w:pPr>
              <w:rPr>
                <w:rFonts w:ascii="Arial"/>
                <w:sz w:val="21"/>
              </w:rPr>
            </w:pPr>
          </w:p>
        </w:tc>
        <w:tc>
          <w:tcPr>
            <w:tcW w:w="1495"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63" w:type="dxa"/>
            <w:vAlign w:val="top"/>
          </w:tcPr>
          <w:p>
            <w:pPr>
              <w:rPr>
                <w:rFonts w:ascii="Arial"/>
                <w:sz w:val="21"/>
              </w:rPr>
            </w:pPr>
          </w:p>
        </w:tc>
        <w:tc>
          <w:tcPr>
            <w:tcW w:w="2816" w:type="dxa"/>
            <w:vAlign w:val="top"/>
          </w:tcPr>
          <w:p>
            <w:pPr>
              <w:rPr>
                <w:rFonts w:ascii="Arial"/>
                <w:sz w:val="21"/>
              </w:rPr>
            </w:pPr>
          </w:p>
        </w:tc>
        <w:tc>
          <w:tcPr>
            <w:tcW w:w="2719" w:type="dxa"/>
            <w:vAlign w:val="top"/>
          </w:tcPr>
          <w:p>
            <w:pPr>
              <w:rPr>
                <w:rFonts w:ascii="Arial"/>
                <w:sz w:val="21"/>
              </w:rPr>
            </w:pPr>
          </w:p>
        </w:tc>
        <w:tc>
          <w:tcPr>
            <w:tcW w:w="1495"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63" w:type="dxa"/>
            <w:vAlign w:val="top"/>
          </w:tcPr>
          <w:p>
            <w:pPr>
              <w:rPr>
                <w:rFonts w:ascii="Arial"/>
                <w:sz w:val="21"/>
              </w:rPr>
            </w:pPr>
          </w:p>
        </w:tc>
        <w:tc>
          <w:tcPr>
            <w:tcW w:w="2816" w:type="dxa"/>
            <w:vAlign w:val="top"/>
          </w:tcPr>
          <w:p>
            <w:pPr>
              <w:rPr>
                <w:rFonts w:ascii="Arial"/>
                <w:sz w:val="21"/>
              </w:rPr>
            </w:pPr>
          </w:p>
        </w:tc>
        <w:tc>
          <w:tcPr>
            <w:tcW w:w="2719" w:type="dxa"/>
            <w:vAlign w:val="top"/>
          </w:tcPr>
          <w:p>
            <w:pPr>
              <w:rPr>
                <w:rFonts w:ascii="Arial"/>
                <w:sz w:val="21"/>
              </w:rPr>
            </w:pPr>
          </w:p>
        </w:tc>
        <w:tc>
          <w:tcPr>
            <w:tcW w:w="1495"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63" w:type="dxa"/>
            <w:vAlign w:val="top"/>
          </w:tcPr>
          <w:p>
            <w:pPr>
              <w:rPr>
                <w:rFonts w:ascii="Arial"/>
                <w:sz w:val="21"/>
              </w:rPr>
            </w:pPr>
          </w:p>
        </w:tc>
        <w:tc>
          <w:tcPr>
            <w:tcW w:w="2816" w:type="dxa"/>
            <w:vAlign w:val="top"/>
          </w:tcPr>
          <w:p>
            <w:pPr>
              <w:rPr>
                <w:rFonts w:ascii="Arial"/>
                <w:sz w:val="21"/>
              </w:rPr>
            </w:pPr>
          </w:p>
        </w:tc>
        <w:tc>
          <w:tcPr>
            <w:tcW w:w="2719" w:type="dxa"/>
            <w:vAlign w:val="top"/>
          </w:tcPr>
          <w:p>
            <w:pPr>
              <w:rPr>
                <w:rFonts w:ascii="Arial"/>
                <w:sz w:val="21"/>
              </w:rPr>
            </w:pPr>
          </w:p>
        </w:tc>
        <w:tc>
          <w:tcPr>
            <w:tcW w:w="1495"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63" w:type="dxa"/>
            <w:vAlign w:val="top"/>
          </w:tcPr>
          <w:p>
            <w:pPr>
              <w:rPr>
                <w:rFonts w:ascii="Arial"/>
                <w:sz w:val="21"/>
              </w:rPr>
            </w:pPr>
          </w:p>
        </w:tc>
        <w:tc>
          <w:tcPr>
            <w:tcW w:w="2816" w:type="dxa"/>
            <w:vAlign w:val="top"/>
          </w:tcPr>
          <w:p>
            <w:pPr>
              <w:rPr>
                <w:rFonts w:ascii="Arial"/>
                <w:sz w:val="21"/>
              </w:rPr>
            </w:pPr>
          </w:p>
        </w:tc>
        <w:tc>
          <w:tcPr>
            <w:tcW w:w="2719" w:type="dxa"/>
            <w:vAlign w:val="top"/>
          </w:tcPr>
          <w:p>
            <w:pPr>
              <w:rPr>
                <w:rFonts w:ascii="Arial"/>
                <w:sz w:val="21"/>
              </w:rPr>
            </w:pPr>
          </w:p>
        </w:tc>
        <w:tc>
          <w:tcPr>
            <w:tcW w:w="1495"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63" w:type="dxa"/>
            <w:vAlign w:val="top"/>
          </w:tcPr>
          <w:p>
            <w:pPr>
              <w:rPr>
                <w:rFonts w:ascii="Arial"/>
                <w:sz w:val="21"/>
              </w:rPr>
            </w:pPr>
          </w:p>
        </w:tc>
        <w:tc>
          <w:tcPr>
            <w:tcW w:w="2816" w:type="dxa"/>
            <w:vAlign w:val="top"/>
          </w:tcPr>
          <w:p>
            <w:pPr>
              <w:rPr>
                <w:rFonts w:ascii="Arial"/>
                <w:sz w:val="21"/>
              </w:rPr>
            </w:pPr>
          </w:p>
        </w:tc>
        <w:tc>
          <w:tcPr>
            <w:tcW w:w="2719" w:type="dxa"/>
            <w:vAlign w:val="top"/>
          </w:tcPr>
          <w:p>
            <w:pPr>
              <w:rPr>
                <w:rFonts w:ascii="Arial"/>
                <w:sz w:val="21"/>
              </w:rPr>
            </w:pPr>
          </w:p>
        </w:tc>
        <w:tc>
          <w:tcPr>
            <w:tcW w:w="1495"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63" w:type="dxa"/>
            <w:vAlign w:val="top"/>
          </w:tcPr>
          <w:p>
            <w:pPr>
              <w:rPr>
                <w:rFonts w:ascii="Arial"/>
                <w:sz w:val="21"/>
              </w:rPr>
            </w:pPr>
          </w:p>
        </w:tc>
        <w:tc>
          <w:tcPr>
            <w:tcW w:w="2816" w:type="dxa"/>
            <w:vAlign w:val="top"/>
          </w:tcPr>
          <w:p>
            <w:pPr>
              <w:rPr>
                <w:rFonts w:ascii="Arial"/>
                <w:sz w:val="21"/>
              </w:rPr>
            </w:pPr>
          </w:p>
        </w:tc>
        <w:tc>
          <w:tcPr>
            <w:tcW w:w="2719" w:type="dxa"/>
            <w:vAlign w:val="top"/>
          </w:tcPr>
          <w:p>
            <w:pPr>
              <w:rPr>
                <w:rFonts w:ascii="Arial"/>
                <w:sz w:val="21"/>
              </w:rPr>
            </w:pPr>
          </w:p>
        </w:tc>
        <w:tc>
          <w:tcPr>
            <w:tcW w:w="1495"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63" w:type="dxa"/>
            <w:vAlign w:val="top"/>
          </w:tcPr>
          <w:p>
            <w:pPr>
              <w:rPr>
                <w:rFonts w:ascii="Arial"/>
                <w:sz w:val="21"/>
              </w:rPr>
            </w:pPr>
          </w:p>
        </w:tc>
        <w:tc>
          <w:tcPr>
            <w:tcW w:w="2816" w:type="dxa"/>
            <w:vAlign w:val="top"/>
          </w:tcPr>
          <w:p>
            <w:pPr>
              <w:rPr>
                <w:rFonts w:ascii="Arial"/>
                <w:sz w:val="21"/>
              </w:rPr>
            </w:pPr>
          </w:p>
        </w:tc>
        <w:tc>
          <w:tcPr>
            <w:tcW w:w="2719" w:type="dxa"/>
            <w:vAlign w:val="top"/>
          </w:tcPr>
          <w:p>
            <w:pPr>
              <w:rPr>
                <w:rFonts w:ascii="Arial"/>
                <w:sz w:val="21"/>
              </w:rPr>
            </w:pPr>
          </w:p>
        </w:tc>
        <w:tc>
          <w:tcPr>
            <w:tcW w:w="1495"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63" w:type="dxa"/>
            <w:vAlign w:val="top"/>
          </w:tcPr>
          <w:p>
            <w:pPr>
              <w:rPr>
                <w:rFonts w:ascii="Arial"/>
                <w:sz w:val="21"/>
              </w:rPr>
            </w:pPr>
          </w:p>
        </w:tc>
        <w:tc>
          <w:tcPr>
            <w:tcW w:w="2816" w:type="dxa"/>
            <w:vAlign w:val="top"/>
          </w:tcPr>
          <w:p>
            <w:pPr>
              <w:rPr>
                <w:rFonts w:ascii="Arial"/>
                <w:sz w:val="21"/>
              </w:rPr>
            </w:pPr>
          </w:p>
        </w:tc>
        <w:tc>
          <w:tcPr>
            <w:tcW w:w="2719" w:type="dxa"/>
            <w:vAlign w:val="top"/>
          </w:tcPr>
          <w:p>
            <w:pPr>
              <w:rPr>
                <w:rFonts w:ascii="Arial"/>
                <w:sz w:val="21"/>
              </w:rPr>
            </w:pPr>
          </w:p>
        </w:tc>
        <w:tc>
          <w:tcPr>
            <w:tcW w:w="1495" w:type="dxa"/>
            <w:vAlign w:val="top"/>
          </w:tcPr>
          <w:p>
            <w:pPr>
              <w:rPr>
                <w:rFonts w:ascii="Arial"/>
                <w:sz w:val="21"/>
              </w:rPr>
            </w:pPr>
          </w:p>
        </w:tc>
        <w:tc>
          <w:tcPr>
            <w:tcW w:w="13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63" w:type="dxa"/>
            <w:vAlign w:val="top"/>
          </w:tcPr>
          <w:p>
            <w:pPr>
              <w:rPr>
                <w:rFonts w:ascii="Arial"/>
                <w:sz w:val="21"/>
              </w:rPr>
            </w:pPr>
          </w:p>
        </w:tc>
        <w:tc>
          <w:tcPr>
            <w:tcW w:w="2816" w:type="dxa"/>
            <w:vAlign w:val="top"/>
          </w:tcPr>
          <w:p>
            <w:pPr>
              <w:rPr>
                <w:rFonts w:ascii="Arial"/>
                <w:sz w:val="21"/>
              </w:rPr>
            </w:pPr>
          </w:p>
        </w:tc>
        <w:tc>
          <w:tcPr>
            <w:tcW w:w="2719" w:type="dxa"/>
            <w:vAlign w:val="top"/>
          </w:tcPr>
          <w:p>
            <w:pPr>
              <w:rPr>
                <w:rFonts w:ascii="Arial"/>
                <w:sz w:val="21"/>
              </w:rPr>
            </w:pPr>
          </w:p>
        </w:tc>
        <w:tc>
          <w:tcPr>
            <w:tcW w:w="1495" w:type="dxa"/>
            <w:vAlign w:val="top"/>
          </w:tcPr>
          <w:p>
            <w:pPr>
              <w:rPr>
                <w:rFonts w:ascii="Arial"/>
                <w:sz w:val="21"/>
              </w:rPr>
            </w:pPr>
          </w:p>
        </w:tc>
        <w:tc>
          <w:tcPr>
            <w:tcW w:w="1384" w:type="dxa"/>
            <w:vAlign w:val="top"/>
          </w:tcPr>
          <w:p>
            <w:pPr>
              <w:rPr>
                <w:rFonts w:ascii="Arial"/>
                <w:sz w:val="21"/>
              </w:rPr>
            </w:pPr>
          </w:p>
        </w:tc>
      </w:tr>
    </w:tbl>
    <w:p>
      <w:pPr>
        <w:spacing w:before="140" w:line="371" w:lineRule="auto"/>
        <w:ind w:left="112" w:right="105" w:firstLine="3"/>
        <w:rPr>
          <w:rFonts w:ascii="宋体" w:hAnsi="宋体" w:eastAsia="宋体" w:cs="宋体"/>
          <w:sz w:val="20"/>
          <w:szCs w:val="20"/>
        </w:rPr>
      </w:pPr>
      <w:r>
        <w:rPr>
          <w:rFonts w:ascii="宋体" w:hAnsi="宋体" w:eastAsia="宋体" w:cs="宋体"/>
          <w:b/>
          <w:bCs/>
          <w:spacing w:val="7"/>
          <w:sz w:val="20"/>
          <w:szCs w:val="20"/>
        </w:rPr>
        <w:t>说明：按谈判文件的“第五章”中的“商务要求”认真填写本表。偏离</w:t>
      </w:r>
      <w:r>
        <w:rPr>
          <w:rFonts w:ascii="宋体" w:hAnsi="宋体" w:eastAsia="宋体" w:cs="宋体"/>
          <w:b/>
          <w:bCs/>
          <w:spacing w:val="6"/>
          <w:sz w:val="20"/>
          <w:szCs w:val="20"/>
        </w:rPr>
        <w:t>情况填写：“优于、等于或</w:t>
      </w:r>
      <w:r>
        <w:rPr>
          <w:rFonts w:ascii="宋体" w:hAnsi="宋体" w:eastAsia="宋体" w:cs="宋体"/>
          <w:b/>
          <w:bCs/>
          <w:spacing w:val="5"/>
          <w:sz w:val="20"/>
          <w:szCs w:val="20"/>
        </w:rPr>
        <w:t>低于”。如有优于请在说明栏写明“优于”的详细情况。</w:t>
      </w:r>
    </w:p>
    <w:p>
      <w:pPr>
        <w:spacing w:before="287" w:line="227" w:lineRule="auto"/>
        <w:ind w:left="3052"/>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4"/>
          <w:sz w:val="20"/>
          <w:szCs w:val="20"/>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pacing w:val="-4"/>
          <w:sz w:val="20"/>
          <w:szCs w:val="20"/>
        </w:rPr>
        <w:t>（</w:t>
      </w:r>
      <w:r>
        <w:rPr>
          <w:rFonts w:ascii="宋体" w:hAnsi="宋体" w:eastAsia="宋体" w:cs="宋体"/>
          <w:spacing w:val="11"/>
          <w:sz w:val="20"/>
          <w:szCs w:val="20"/>
        </w:rPr>
        <w:t>公章）</w:t>
      </w:r>
    </w:p>
    <w:p>
      <w:pPr>
        <w:spacing w:before="65" w:line="227" w:lineRule="auto"/>
        <w:ind w:left="3053"/>
        <w:rPr>
          <w:rFonts w:ascii="宋体" w:hAnsi="宋体" w:eastAsia="宋体" w:cs="宋体"/>
          <w:sz w:val="20"/>
          <w:szCs w:val="20"/>
        </w:rPr>
      </w:pPr>
      <w:r>
        <w:rPr>
          <w:rFonts w:ascii="宋体" w:hAnsi="宋体" w:eastAsia="宋体" w:cs="宋体"/>
          <w:spacing w:val="10"/>
          <w:sz w:val="20"/>
          <w:szCs w:val="20"/>
        </w:rPr>
        <w:t>法定代表人或委托代理人</w:t>
      </w:r>
      <w:r>
        <w:rPr>
          <w:rFonts w:ascii="宋体" w:hAnsi="宋体" w:eastAsia="宋体" w:cs="宋体"/>
          <w:spacing w:val="-1"/>
          <w:sz w:val="20"/>
          <w:szCs w:val="20"/>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pacing w:val="-1"/>
          <w:sz w:val="20"/>
          <w:szCs w:val="20"/>
        </w:rPr>
        <w:t>（</w:t>
      </w:r>
      <w:r>
        <w:rPr>
          <w:rFonts w:ascii="宋体" w:hAnsi="宋体" w:eastAsia="宋体" w:cs="宋体"/>
          <w:spacing w:val="10"/>
          <w:sz w:val="20"/>
          <w:szCs w:val="20"/>
        </w:rPr>
        <w:t>签字或盖章）</w:t>
      </w:r>
    </w:p>
    <w:p>
      <w:pPr>
        <w:spacing w:before="66" w:line="228" w:lineRule="auto"/>
        <w:ind w:left="3088"/>
        <w:outlineLvl w:val="9"/>
        <w:rPr>
          <w:rFonts w:ascii="宋体" w:hAnsi="宋体" w:eastAsia="宋体" w:cs="宋体"/>
          <w:sz w:val="20"/>
          <w:szCs w:val="20"/>
        </w:rPr>
      </w:pPr>
      <w:bookmarkStart w:id="31" w:name="_Toc29075"/>
      <w:r>
        <w:rPr>
          <w:rFonts w:ascii="宋体" w:hAnsi="宋体" w:eastAsia="宋体" w:cs="宋体"/>
          <w:spacing w:val="-6"/>
          <w:sz w:val="20"/>
          <w:szCs w:val="20"/>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bookmarkEnd w:id="31"/>
    </w:p>
    <w:p>
      <w:pPr>
        <w:rPr>
          <w:rFonts w:ascii="宋体" w:hAnsi="宋体" w:eastAsia="宋体" w:cs="宋体"/>
          <w:b/>
          <w:bCs/>
          <w:spacing w:val="4"/>
          <w:sz w:val="31"/>
          <w:szCs w:val="31"/>
        </w:rPr>
      </w:pPr>
      <w:r>
        <w:rPr>
          <w:rFonts w:ascii="宋体" w:hAnsi="宋体" w:eastAsia="宋体" w:cs="宋体"/>
          <w:b/>
          <w:bCs/>
          <w:spacing w:val="4"/>
          <w:sz w:val="31"/>
          <w:szCs w:val="31"/>
        </w:rPr>
        <w:br w:type="page"/>
      </w:r>
    </w:p>
    <w:p>
      <w:pPr>
        <w:spacing w:before="101" w:line="224" w:lineRule="auto"/>
        <w:ind w:left="3579"/>
        <w:rPr>
          <w:rFonts w:ascii="宋体" w:hAnsi="宋体" w:eastAsia="宋体" w:cs="宋体"/>
          <w:sz w:val="31"/>
          <w:szCs w:val="31"/>
        </w:rPr>
      </w:pPr>
      <w:r>
        <w:rPr>
          <w:rFonts w:ascii="宋体" w:hAnsi="宋体" w:eastAsia="宋体" w:cs="宋体"/>
          <w:b/>
          <w:bCs/>
          <w:spacing w:val="4"/>
          <w:sz w:val="31"/>
          <w:szCs w:val="31"/>
        </w:rPr>
        <w:t>五、供货方案</w:t>
      </w:r>
    </w:p>
    <w:p>
      <w:pPr>
        <w:spacing w:before="247" w:line="289" w:lineRule="auto"/>
        <w:ind w:firstLine="416"/>
        <w:rPr>
          <w:rFonts w:ascii="宋体" w:hAnsi="宋体" w:eastAsia="宋体" w:cs="宋体"/>
          <w:sz w:val="20"/>
          <w:szCs w:val="20"/>
        </w:rPr>
      </w:pPr>
      <w:r>
        <w:rPr>
          <w:rFonts w:ascii="宋体" w:hAnsi="宋体" w:eastAsia="宋体" w:cs="宋体"/>
          <w:spacing w:val="10"/>
          <w:sz w:val="20"/>
          <w:szCs w:val="20"/>
        </w:rPr>
        <w:t>包括但不限于项目实施方案、人员配备、应急方案、售后服务方案、</w:t>
      </w:r>
      <w:r>
        <w:rPr>
          <w:rFonts w:ascii="宋体" w:hAnsi="宋体" w:eastAsia="宋体" w:cs="宋体"/>
          <w:spacing w:val="9"/>
          <w:sz w:val="20"/>
          <w:szCs w:val="20"/>
        </w:rPr>
        <w:t>相关业绩等供应商认为有</w:t>
      </w:r>
      <w:r>
        <w:rPr>
          <w:rFonts w:ascii="宋体" w:hAnsi="宋体" w:eastAsia="宋体" w:cs="宋体"/>
          <w:spacing w:val="7"/>
          <w:sz w:val="20"/>
          <w:szCs w:val="20"/>
        </w:rPr>
        <w:t>必要补充说明的事项。</w:t>
      </w:r>
    </w:p>
    <w:p>
      <w:pPr>
        <w:rPr>
          <w:rFonts w:ascii="宋体" w:hAnsi="宋体" w:eastAsia="宋体" w:cs="宋体"/>
          <w:b/>
          <w:bCs/>
          <w:spacing w:val="5"/>
          <w:sz w:val="31"/>
          <w:szCs w:val="31"/>
        </w:rPr>
      </w:pPr>
      <w:bookmarkStart w:id="32" w:name="bookmark20"/>
      <w:bookmarkEnd w:id="32"/>
      <w:r>
        <w:rPr>
          <w:rFonts w:ascii="宋体" w:hAnsi="宋体" w:eastAsia="宋体" w:cs="宋体"/>
          <w:b/>
          <w:bCs/>
          <w:spacing w:val="5"/>
          <w:sz w:val="31"/>
          <w:szCs w:val="31"/>
        </w:rPr>
        <w:br w:type="page"/>
      </w:r>
    </w:p>
    <w:p>
      <w:pPr>
        <w:spacing w:before="101" w:line="224" w:lineRule="auto"/>
        <w:ind w:left="3258"/>
        <w:outlineLvl w:val="1"/>
        <w:rPr>
          <w:rFonts w:ascii="宋体" w:hAnsi="宋体" w:eastAsia="宋体" w:cs="宋体"/>
          <w:sz w:val="31"/>
          <w:szCs w:val="31"/>
        </w:rPr>
      </w:pPr>
      <w:bookmarkStart w:id="33" w:name="_Toc30277"/>
      <w:r>
        <w:rPr>
          <w:rFonts w:ascii="宋体" w:hAnsi="宋体" w:eastAsia="宋体" w:cs="宋体"/>
          <w:b/>
          <w:bCs/>
          <w:spacing w:val="5"/>
          <w:sz w:val="31"/>
          <w:szCs w:val="31"/>
        </w:rPr>
        <w:t>六、供应商承诺书</w:t>
      </w:r>
      <w:bookmarkEnd w:id="33"/>
    </w:p>
    <w:p>
      <w:pPr>
        <w:spacing w:before="78" w:line="219" w:lineRule="auto"/>
        <w:ind w:left="1535"/>
        <w:rPr>
          <w:rFonts w:ascii="宋体" w:hAnsi="宋体" w:eastAsia="宋体" w:cs="宋体"/>
          <w:sz w:val="24"/>
          <w:szCs w:val="24"/>
        </w:rPr>
      </w:pPr>
      <w:r>
        <w:rPr>
          <w:rFonts w:ascii="宋体" w:hAnsi="宋体" w:eastAsia="宋体" w:cs="宋体"/>
          <w:b/>
          <w:bCs/>
          <w:spacing w:val="-3"/>
          <w:sz w:val="24"/>
          <w:szCs w:val="24"/>
        </w:rPr>
        <w:t>（一）政府采购供应商拒绝政府采购领域商业贿赂承诺书</w:t>
      </w:r>
    </w:p>
    <w:p>
      <w:pPr>
        <w:spacing w:before="65" w:line="227" w:lineRule="auto"/>
        <w:ind w:left="318"/>
        <w:rPr>
          <w:rFonts w:ascii="宋体" w:hAnsi="宋体" w:eastAsia="宋体" w:cs="宋体"/>
          <w:sz w:val="20"/>
          <w:szCs w:val="20"/>
        </w:rPr>
      </w:pPr>
      <w:r>
        <w:rPr>
          <w:rFonts w:ascii="宋体" w:hAnsi="宋体" w:eastAsia="宋体" w:cs="宋体"/>
          <w:spacing w:val="9"/>
          <w:sz w:val="20"/>
          <w:szCs w:val="20"/>
        </w:rPr>
        <w:t>为响应党中央、国务院关于治理政府采购领域商业贿赂行为的号召，我公司在此庄严承诺：</w:t>
      </w:r>
    </w:p>
    <w:p>
      <w:pPr>
        <w:spacing w:before="162" w:line="227" w:lineRule="auto"/>
        <w:ind w:left="434"/>
        <w:rPr>
          <w:rFonts w:ascii="宋体" w:hAnsi="宋体" w:eastAsia="宋体" w:cs="宋体"/>
          <w:sz w:val="20"/>
          <w:szCs w:val="20"/>
        </w:rPr>
      </w:pPr>
      <w:r>
        <w:rPr>
          <w:rFonts w:ascii="宋体" w:hAnsi="宋体" w:eastAsia="宋体" w:cs="宋体"/>
          <w:spacing w:val="8"/>
          <w:sz w:val="20"/>
          <w:szCs w:val="20"/>
        </w:rPr>
        <w:t>1、在参与政府采购活动中遵纪守法、诚信经营、公平竞争。</w:t>
      </w:r>
    </w:p>
    <w:p>
      <w:pPr>
        <w:spacing w:before="162" w:line="227" w:lineRule="auto"/>
        <w:ind w:right="36"/>
        <w:jc w:val="right"/>
        <w:rPr>
          <w:rFonts w:ascii="宋体" w:hAnsi="宋体" w:eastAsia="宋体" w:cs="宋体"/>
          <w:sz w:val="20"/>
          <w:szCs w:val="20"/>
        </w:rPr>
      </w:pPr>
      <w:r>
        <w:rPr>
          <w:rFonts w:ascii="宋体" w:hAnsi="宋体" w:eastAsia="宋体" w:cs="宋体"/>
          <w:spacing w:val="9"/>
          <w:sz w:val="20"/>
          <w:szCs w:val="20"/>
        </w:rPr>
        <w:t>2、不向采购人、采购代理机构和政府采购评审专家进行任何形式的商业贿赂以谋取交易机会。</w:t>
      </w:r>
    </w:p>
    <w:p>
      <w:pPr>
        <w:spacing w:before="162" w:line="303" w:lineRule="auto"/>
        <w:ind w:left="3" w:right="89" w:firstLine="420"/>
        <w:rPr>
          <w:rFonts w:ascii="宋体" w:hAnsi="宋体" w:eastAsia="宋体" w:cs="宋体"/>
          <w:sz w:val="20"/>
          <w:szCs w:val="20"/>
        </w:rPr>
      </w:pPr>
      <w:r>
        <w:rPr>
          <w:rFonts w:ascii="宋体" w:hAnsi="宋体" w:eastAsia="宋体" w:cs="宋体"/>
          <w:spacing w:val="8"/>
          <w:sz w:val="20"/>
          <w:szCs w:val="20"/>
        </w:rPr>
        <w:t>3、不向政府采购代理机构和采购人提供虚假资质文件或采用虚假应标方式参与政府采购市场竞</w:t>
      </w:r>
      <w:r>
        <w:rPr>
          <w:rFonts w:ascii="宋体" w:hAnsi="宋体" w:eastAsia="宋体" w:cs="宋体"/>
          <w:spacing w:val="7"/>
          <w:sz w:val="20"/>
          <w:szCs w:val="20"/>
        </w:rPr>
        <w:t>争并谋取中标、成交。</w:t>
      </w:r>
    </w:p>
    <w:p>
      <w:pPr>
        <w:spacing w:before="161" w:line="227" w:lineRule="auto"/>
        <w:ind w:left="418"/>
        <w:rPr>
          <w:rFonts w:ascii="宋体" w:hAnsi="宋体" w:eastAsia="宋体" w:cs="宋体"/>
          <w:sz w:val="20"/>
          <w:szCs w:val="20"/>
        </w:rPr>
      </w:pPr>
      <w:r>
        <w:rPr>
          <w:rFonts w:ascii="宋体" w:hAnsi="宋体" w:eastAsia="宋体" w:cs="宋体"/>
          <w:spacing w:val="7"/>
          <w:sz w:val="20"/>
          <w:szCs w:val="20"/>
        </w:rPr>
        <w:t>4、不采取“围标、陪标”等商业欺诈手段获得政府采购订单。</w:t>
      </w:r>
    </w:p>
    <w:p>
      <w:pPr>
        <w:spacing w:before="163" w:line="227" w:lineRule="auto"/>
        <w:ind w:left="423"/>
        <w:rPr>
          <w:rFonts w:ascii="宋体" w:hAnsi="宋体" w:eastAsia="宋体" w:cs="宋体"/>
          <w:sz w:val="20"/>
          <w:szCs w:val="20"/>
        </w:rPr>
      </w:pPr>
      <w:r>
        <w:rPr>
          <w:rFonts w:ascii="宋体" w:hAnsi="宋体" w:eastAsia="宋体" w:cs="宋体"/>
          <w:spacing w:val="8"/>
          <w:sz w:val="20"/>
          <w:szCs w:val="20"/>
        </w:rPr>
        <w:t>5、不采取不正当手段诋毁、排挤其他供应商。</w:t>
      </w:r>
    </w:p>
    <w:p>
      <w:pPr>
        <w:spacing w:before="164" w:line="227" w:lineRule="auto"/>
        <w:ind w:left="420"/>
        <w:rPr>
          <w:rFonts w:ascii="宋体" w:hAnsi="宋体" w:eastAsia="宋体" w:cs="宋体"/>
          <w:sz w:val="20"/>
          <w:szCs w:val="20"/>
        </w:rPr>
      </w:pPr>
      <w:r>
        <w:rPr>
          <w:rFonts w:ascii="宋体" w:hAnsi="宋体" w:eastAsia="宋体" w:cs="宋体"/>
          <w:spacing w:val="8"/>
          <w:sz w:val="20"/>
          <w:szCs w:val="20"/>
        </w:rPr>
        <w:t>6、不在提供商品和服务时“偷梁换柱、以次充好”损害采购人的合法权益。</w:t>
      </w:r>
    </w:p>
    <w:p>
      <w:pPr>
        <w:spacing w:before="162" w:line="302" w:lineRule="auto"/>
        <w:ind w:right="87" w:firstLine="424"/>
        <w:rPr>
          <w:rFonts w:ascii="宋体" w:hAnsi="宋体" w:eastAsia="宋体" w:cs="宋体"/>
          <w:sz w:val="20"/>
          <w:szCs w:val="20"/>
        </w:rPr>
      </w:pPr>
      <w:r>
        <w:rPr>
          <w:rFonts w:ascii="宋体" w:hAnsi="宋体" w:eastAsia="宋体" w:cs="宋体"/>
          <w:spacing w:val="8"/>
          <w:sz w:val="20"/>
          <w:szCs w:val="20"/>
        </w:rPr>
        <w:t>7、不与采购人、采购代理机构政府采购评审专家或其它供应商恶意串通，进行质疑和投诉，维</w:t>
      </w:r>
      <w:r>
        <w:rPr>
          <w:rFonts w:ascii="宋体" w:hAnsi="宋体" w:eastAsia="宋体" w:cs="宋体"/>
          <w:spacing w:val="7"/>
          <w:sz w:val="20"/>
          <w:szCs w:val="20"/>
        </w:rPr>
        <w:t>护政府采购市场秩序。</w:t>
      </w:r>
    </w:p>
    <w:p>
      <w:pPr>
        <w:spacing w:before="162" w:line="303" w:lineRule="auto"/>
        <w:ind w:left="1" w:right="89" w:firstLine="418"/>
        <w:rPr>
          <w:rFonts w:ascii="宋体" w:hAnsi="宋体" w:eastAsia="宋体" w:cs="宋体"/>
          <w:sz w:val="20"/>
          <w:szCs w:val="20"/>
        </w:rPr>
      </w:pPr>
      <w:r>
        <w:rPr>
          <w:rFonts w:ascii="宋体" w:hAnsi="宋体" w:eastAsia="宋体" w:cs="宋体"/>
          <w:spacing w:val="8"/>
          <w:sz w:val="20"/>
          <w:szCs w:val="20"/>
        </w:rPr>
        <w:t>8、尊重和接受政府采购监督管理部门的监督和政府采购代理机构招标采购要求，承担因违约行</w:t>
      </w:r>
      <w:r>
        <w:rPr>
          <w:rFonts w:ascii="宋体" w:hAnsi="宋体" w:eastAsia="宋体" w:cs="宋体"/>
          <w:spacing w:val="7"/>
          <w:sz w:val="20"/>
          <w:szCs w:val="20"/>
        </w:rPr>
        <w:t>为给采购人造成的损失。</w:t>
      </w:r>
    </w:p>
    <w:p>
      <w:pPr>
        <w:spacing w:before="162" w:line="227" w:lineRule="auto"/>
        <w:ind w:left="420"/>
        <w:rPr>
          <w:rFonts w:ascii="宋体" w:hAnsi="宋体" w:eastAsia="宋体" w:cs="宋体"/>
          <w:sz w:val="20"/>
          <w:szCs w:val="20"/>
        </w:rPr>
      </w:pPr>
      <w:r>
        <w:rPr>
          <w:rFonts w:ascii="宋体" w:hAnsi="宋体" w:eastAsia="宋体" w:cs="宋体"/>
          <w:spacing w:val="9"/>
          <w:sz w:val="20"/>
          <w:szCs w:val="20"/>
        </w:rPr>
        <w:t>9、不发生其他有悖于政府采购公开、公平、公正和诚信原则的行为。</w:t>
      </w:r>
    </w:p>
    <w:p>
      <w:pPr>
        <w:spacing w:before="65" w:line="227" w:lineRule="auto"/>
        <w:jc w:val="right"/>
        <w:rPr>
          <w:rFonts w:ascii="宋体" w:hAnsi="宋体" w:eastAsia="宋体" w:cs="宋体"/>
          <w:sz w:val="20"/>
          <w:szCs w:val="20"/>
        </w:rPr>
      </w:pPr>
      <w:r>
        <w:rPr>
          <w:rFonts w:ascii="宋体" w:hAnsi="宋体" w:eastAsia="宋体" w:cs="宋体"/>
          <w:spacing w:val="10"/>
          <w:sz w:val="20"/>
          <w:szCs w:val="20"/>
        </w:rPr>
        <w:t>供应商名称</w:t>
      </w:r>
      <w:r>
        <w:rPr>
          <w:rFonts w:ascii="宋体" w:hAnsi="宋体" w:eastAsia="宋体" w:cs="宋体"/>
          <w:spacing w:val="-35"/>
          <w:sz w:val="20"/>
          <w:szCs w:val="20"/>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pacing w:val="-35"/>
          <w:sz w:val="20"/>
          <w:szCs w:val="20"/>
        </w:rPr>
        <w:t>（</w:t>
      </w:r>
      <w:r>
        <w:rPr>
          <w:rFonts w:ascii="宋体" w:hAnsi="宋体" w:eastAsia="宋体" w:cs="宋体"/>
          <w:spacing w:val="10"/>
          <w:sz w:val="20"/>
          <w:szCs w:val="20"/>
        </w:rPr>
        <w:t>公章）</w:t>
      </w:r>
    </w:p>
    <w:p>
      <w:pPr>
        <w:spacing w:before="162" w:line="227" w:lineRule="auto"/>
        <w:jc w:val="right"/>
        <w:rPr>
          <w:rFonts w:ascii="宋体" w:hAnsi="宋体" w:eastAsia="宋体" w:cs="宋体"/>
          <w:sz w:val="20"/>
          <w:szCs w:val="20"/>
        </w:rPr>
      </w:pPr>
      <w:r>
        <w:rPr>
          <w:rFonts w:ascii="宋体" w:hAnsi="宋体" w:eastAsia="宋体" w:cs="宋体"/>
          <w:spacing w:val="10"/>
          <w:sz w:val="20"/>
          <w:szCs w:val="20"/>
        </w:rPr>
        <w:t>法定代表人或委托代理人</w:t>
      </w:r>
      <w:r>
        <w:rPr>
          <w:rFonts w:ascii="宋体" w:hAnsi="宋体" w:eastAsia="宋体" w:cs="宋体"/>
          <w:spacing w:val="-41"/>
          <w:w w:val="76"/>
          <w:sz w:val="20"/>
          <w:szCs w:val="20"/>
        </w:rPr>
        <w:t>：</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pacing w:val="-41"/>
          <w:w w:val="76"/>
          <w:sz w:val="20"/>
          <w:szCs w:val="20"/>
        </w:rPr>
        <w:t>（</w:t>
      </w:r>
      <w:r>
        <w:rPr>
          <w:rFonts w:ascii="宋体" w:hAnsi="宋体" w:eastAsia="宋体" w:cs="宋体"/>
          <w:spacing w:val="10"/>
          <w:sz w:val="20"/>
          <w:szCs w:val="20"/>
        </w:rPr>
        <w:t>签字及盖章）</w:t>
      </w:r>
    </w:p>
    <w:p>
      <w:pPr>
        <w:spacing w:before="162" w:line="237" w:lineRule="auto"/>
        <w:ind w:left="4199"/>
        <w:rPr>
          <w:rFonts w:ascii="宋体" w:hAnsi="宋体" w:eastAsia="宋体" w:cs="宋体"/>
          <w:sz w:val="20"/>
          <w:szCs w:val="20"/>
        </w:rPr>
      </w:pPr>
      <w:r>
        <w:rPr>
          <w:rFonts w:ascii="宋体" w:hAnsi="宋体" w:eastAsia="宋体" w:cs="宋体"/>
          <w:spacing w:val="7"/>
          <w:sz w:val="20"/>
          <w:szCs w:val="20"/>
        </w:rPr>
        <w:t>地址：</w:t>
      </w:r>
      <w:r>
        <w:rPr>
          <w:rFonts w:hint="eastAsia" w:ascii="宋体" w:hAnsi="宋体" w:eastAsia="宋体" w:cs="宋体"/>
          <w:color w:val="333333"/>
          <w:spacing w:val="-1"/>
          <w:sz w:val="24"/>
          <w:szCs w:val="24"/>
          <w:u w:val="single"/>
          <w:lang w:val="en-US" w:eastAsia="zh-CN"/>
        </w:rPr>
        <w:t xml:space="preserve">                     </w:t>
      </w:r>
    </w:p>
    <w:p>
      <w:pPr>
        <w:spacing w:before="153" w:line="228" w:lineRule="auto"/>
        <w:ind w:left="4214"/>
        <w:rPr>
          <w:rFonts w:ascii="宋体" w:hAnsi="宋体" w:eastAsia="宋体" w:cs="宋体"/>
          <w:sz w:val="20"/>
          <w:szCs w:val="20"/>
        </w:rPr>
      </w:pPr>
      <w:r>
        <w:rPr>
          <w:rFonts w:ascii="宋体" w:hAnsi="宋体" w:eastAsia="宋体" w:cs="宋体"/>
          <w:spacing w:val="2"/>
          <w:sz w:val="20"/>
          <w:szCs w:val="20"/>
        </w:rPr>
        <w:t>邮编：</w:t>
      </w:r>
      <w:r>
        <w:rPr>
          <w:rFonts w:hint="eastAsia" w:ascii="宋体" w:hAnsi="宋体" w:eastAsia="宋体" w:cs="宋体"/>
          <w:color w:val="333333"/>
          <w:spacing w:val="-1"/>
          <w:sz w:val="24"/>
          <w:szCs w:val="24"/>
          <w:u w:val="single"/>
          <w:lang w:val="en-US" w:eastAsia="zh-CN"/>
        </w:rPr>
        <w:t xml:space="preserve">                     </w:t>
      </w:r>
    </w:p>
    <w:p>
      <w:pPr>
        <w:spacing w:before="162" w:line="230" w:lineRule="auto"/>
        <w:ind w:left="4223"/>
        <w:rPr>
          <w:rFonts w:ascii="宋体" w:hAnsi="宋体" w:eastAsia="宋体" w:cs="宋体"/>
          <w:sz w:val="20"/>
          <w:szCs w:val="20"/>
        </w:rPr>
      </w:pPr>
      <w:r>
        <w:rPr>
          <w:rFonts w:ascii="宋体" w:hAnsi="宋体" w:eastAsia="宋体" w:cs="宋体"/>
          <w:spacing w:val="-1"/>
          <w:sz w:val="20"/>
          <w:szCs w:val="20"/>
        </w:rPr>
        <w:t>电话：</w:t>
      </w:r>
      <w:r>
        <w:rPr>
          <w:rFonts w:hint="eastAsia" w:ascii="宋体" w:hAnsi="宋体" w:eastAsia="宋体" w:cs="宋体"/>
          <w:color w:val="333333"/>
          <w:spacing w:val="-1"/>
          <w:sz w:val="24"/>
          <w:szCs w:val="24"/>
          <w:u w:val="single"/>
          <w:lang w:val="en-US" w:eastAsia="zh-CN"/>
        </w:rPr>
        <w:t xml:space="preserve">                        </w:t>
      </w:r>
    </w:p>
    <w:p>
      <w:pPr>
        <w:spacing w:before="65" w:line="228" w:lineRule="auto"/>
        <w:ind w:left="6396"/>
        <w:rPr>
          <w:rFonts w:ascii="宋体" w:hAnsi="宋体" w:eastAsia="宋体" w:cs="宋体"/>
          <w:sz w:val="20"/>
          <w:szCs w:val="20"/>
        </w:rPr>
      </w:pP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pPr>
        <w:rPr>
          <w:rFonts w:ascii="宋体" w:hAnsi="宋体" w:eastAsia="宋体" w:cs="宋体"/>
          <w:b/>
          <w:bCs/>
          <w:spacing w:val="7"/>
          <w:sz w:val="31"/>
          <w:szCs w:val="31"/>
        </w:rPr>
      </w:pPr>
      <w:r>
        <w:rPr>
          <w:rFonts w:ascii="宋体" w:hAnsi="宋体" w:eastAsia="宋体" w:cs="宋体"/>
          <w:b/>
          <w:bCs/>
          <w:spacing w:val="7"/>
          <w:sz w:val="31"/>
          <w:szCs w:val="31"/>
        </w:rPr>
        <w:br w:type="page"/>
      </w:r>
    </w:p>
    <w:p>
      <w:pPr>
        <w:spacing w:before="101" w:line="224" w:lineRule="auto"/>
        <w:ind w:left="1805"/>
        <w:outlineLvl w:val="1"/>
        <w:rPr>
          <w:rFonts w:ascii="宋体" w:hAnsi="宋体" w:eastAsia="宋体" w:cs="宋体"/>
          <w:sz w:val="31"/>
          <w:szCs w:val="31"/>
        </w:rPr>
      </w:pPr>
      <w:bookmarkStart w:id="34" w:name="_Toc11195"/>
      <w:r>
        <w:rPr>
          <w:rFonts w:ascii="宋体" w:hAnsi="宋体" w:eastAsia="宋体" w:cs="宋体"/>
          <w:b/>
          <w:bCs/>
          <w:spacing w:val="7"/>
          <w:sz w:val="31"/>
          <w:szCs w:val="31"/>
        </w:rPr>
        <w:t>七、供应商认为有必要补充说明的事宜</w:t>
      </w:r>
      <w:bookmarkEnd w:id="34"/>
    </w:p>
    <w:p>
      <w:pPr>
        <w:spacing w:before="65" w:line="227" w:lineRule="auto"/>
        <w:ind w:left="12"/>
        <w:rPr>
          <w:rFonts w:ascii="宋体" w:hAnsi="宋体" w:eastAsia="宋体" w:cs="宋体"/>
          <w:sz w:val="20"/>
          <w:szCs w:val="20"/>
        </w:rPr>
      </w:pPr>
      <w:r>
        <w:rPr>
          <w:rFonts w:ascii="宋体" w:hAnsi="宋体" w:eastAsia="宋体" w:cs="宋体"/>
          <w:spacing w:val="8"/>
          <w:sz w:val="20"/>
          <w:szCs w:val="20"/>
        </w:rPr>
        <w:t>1、依据竞争性谈判文件要求，供应商认为有必要说明的其他内容。</w:t>
      </w:r>
    </w:p>
    <w:p>
      <w:pPr>
        <w:spacing w:before="161" w:line="228" w:lineRule="auto"/>
        <w:rPr>
          <w:rFonts w:ascii="宋体" w:hAnsi="宋体" w:eastAsia="宋体" w:cs="宋体"/>
          <w:sz w:val="20"/>
          <w:szCs w:val="20"/>
        </w:rPr>
      </w:pPr>
      <w:r>
        <w:rPr>
          <w:rFonts w:ascii="宋体" w:hAnsi="宋体" w:eastAsia="宋体" w:cs="宋体"/>
          <w:spacing w:val="7"/>
          <w:sz w:val="20"/>
          <w:szCs w:val="20"/>
        </w:rPr>
        <w:t>2、若无此页内容，须填无。</w:t>
      </w:r>
    </w:p>
    <w:p>
      <w:pPr>
        <w:rPr>
          <w:rFonts w:ascii="宋体" w:hAnsi="宋体" w:eastAsia="宋体" w:cs="宋体"/>
          <w:b/>
          <w:bCs/>
          <w:spacing w:val="-3"/>
          <w:sz w:val="31"/>
          <w:szCs w:val="31"/>
        </w:rPr>
      </w:pPr>
      <w:r>
        <w:rPr>
          <w:rFonts w:ascii="宋体" w:hAnsi="宋体" w:eastAsia="宋体" w:cs="宋体"/>
          <w:b/>
          <w:bCs/>
          <w:spacing w:val="-3"/>
          <w:sz w:val="31"/>
          <w:szCs w:val="31"/>
        </w:rPr>
        <w:br w:type="page"/>
      </w:r>
    </w:p>
    <w:p>
      <w:pPr>
        <w:pStyle w:val="2"/>
        <w:bidi w:val="0"/>
      </w:pPr>
      <w:bookmarkStart w:id="35" w:name="_Toc26852"/>
      <w:r>
        <w:t>第七章</w:t>
      </w:r>
      <w:r>
        <w:rPr>
          <w:rFonts w:hint="eastAsia"/>
          <w:lang w:val="en-US" w:eastAsia="zh-CN"/>
        </w:rPr>
        <w:t xml:space="preserve">  </w:t>
      </w:r>
      <w:r>
        <w:t>附件</w:t>
      </w:r>
      <w:bookmarkEnd w:id="35"/>
    </w:p>
    <w:p>
      <w:pPr>
        <w:pStyle w:val="3"/>
        <w:bidi w:val="0"/>
      </w:pPr>
      <w:bookmarkStart w:id="36" w:name="_Toc24634"/>
      <w:r>
        <w:t>一、中小企业声明函</w:t>
      </w:r>
      <w:bookmarkEnd w:id="36"/>
    </w:p>
    <w:p>
      <w:pPr>
        <w:spacing w:before="211" w:line="369" w:lineRule="auto"/>
        <w:ind w:right="8" w:firstLine="566"/>
        <w:jc w:val="both"/>
        <w:rPr>
          <w:rFonts w:ascii="宋体" w:hAnsi="宋体" w:eastAsia="宋体" w:cs="宋体"/>
          <w:sz w:val="24"/>
          <w:szCs w:val="24"/>
        </w:rPr>
      </w:pPr>
      <w:r>
        <w:rPr>
          <w:rFonts w:ascii="宋体" w:hAnsi="宋体" w:eastAsia="宋体" w:cs="宋体"/>
          <w:spacing w:val="-27"/>
          <w:sz w:val="24"/>
          <w:szCs w:val="24"/>
        </w:rPr>
        <w:t>本公司郑重声明</w:t>
      </w:r>
      <w:r>
        <w:rPr>
          <w:rFonts w:ascii="宋体" w:hAnsi="宋体" w:eastAsia="宋体" w:cs="宋体"/>
          <w:spacing w:val="-26"/>
          <w:sz w:val="24"/>
          <w:szCs w:val="24"/>
        </w:rPr>
        <w:t>，根据《政府采购促进中小企业</w:t>
      </w:r>
      <w:bookmarkStart w:id="39" w:name="_GoBack"/>
      <w:bookmarkEnd w:id="39"/>
      <w:r>
        <w:rPr>
          <w:rFonts w:ascii="宋体" w:hAnsi="宋体" w:eastAsia="宋体" w:cs="宋体"/>
          <w:spacing w:val="-26"/>
          <w:sz w:val="24"/>
          <w:szCs w:val="24"/>
        </w:rPr>
        <w:t>发展管理办法》（财库〔2020〕46号）的</w:t>
      </w:r>
      <w:r>
        <w:rPr>
          <w:rFonts w:ascii="宋体" w:hAnsi="宋体" w:eastAsia="宋体" w:cs="宋体"/>
          <w:spacing w:val="-19"/>
          <w:sz w:val="24"/>
          <w:szCs w:val="24"/>
        </w:rPr>
        <w:t>规</w:t>
      </w:r>
      <w:r>
        <w:rPr>
          <w:rFonts w:ascii="宋体" w:hAnsi="宋体" w:eastAsia="宋体" w:cs="宋体"/>
          <w:spacing w:val="-8"/>
          <w:sz w:val="24"/>
          <w:szCs w:val="24"/>
        </w:rPr>
        <w:t>定，本公司参加</w:t>
      </w:r>
      <w:r>
        <w:rPr>
          <w:rFonts w:ascii="宋体" w:hAnsi="宋体" w:eastAsia="宋体" w:cs="宋体"/>
          <w:spacing w:val="-8"/>
          <w:sz w:val="24"/>
          <w:szCs w:val="24"/>
          <w:u w:val="single" w:color="auto"/>
        </w:rPr>
        <w:t>（单位名称）</w:t>
      </w:r>
      <w:r>
        <w:rPr>
          <w:rFonts w:ascii="宋体" w:hAnsi="宋体" w:eastAsia="宋体" w:cs="宋体"/>
          <w:spacing w:val="-8"/>
          <w:sz w:val="24"/>
          <w:szCs w:val="24"/>
        </w:rPr>
        <w:t>的</w:t>
      </w:r>
      <w:r>
        <w:rPr>
          <w:rFonts w:ascii="宋体" w:hAnsi="宋体" w:eastAsia="宋体" w:cs="宋体"/>
          <w:spacing w:val="-8"/>
          <w:sz w:val="24"/>
          <w:szCs w:val="24"/>
          <w:u w:val="single" w:color="auto"/>
        </w:rPr>
        <w:t>（项目名称）</w:t>
      </w:r>
      <w:r>
        <w:rPr>
          <w:rFonts w:ascii="宋体" w:hAnsi="宋体" w:eastAsia="宋体" w:cs="宋体"/>
          <w:spacing w:val="-8"/>
          <w:sz w:val="24"/>
          <w:szCs w:val="24"/>
        </w:rPr>
        <w:t>采购活动，提供的货物全部由符合政策要求</w:t>
      </w:r>
      <w:r>
        <w:rPr>
          <w:rFonts w:ascii="宋体" w:hAnsi="宋体" w:eastAsia="宋体" w:cs="宋体"/>
          <w:spacing w:val="-2"/>
          <w:sz w:val="24"/>
          <w:szCs w:val="24"/>
        </w:rPr>
        <w:t>的中小企业制造。相关企业（含联合体中的中小企业、签订分包意向协议的中小企</w:t>
      </w:r>
      <w:r>
        <w:rPr>
          <w:rFonts w:ascii="宋体" w:hAnsi="宋体" w:eastAsia="宋体" w:cs="宋体"/>
          <w:spacing w:val="-3"/>
          <w:sz w:val="24"/>
          <w:szCs w:val="24"/>
        </w:rPr>
        <w:t>业）</w:t>
      </w:r>
      <w:r>
        <w:rPr>
          <w:rFonts w:ascii="宋体" w:hAnsi="宋体" w:eastAsia="宋体" w:cs="宋体"/>
          <w:spacing w:val="-4"/>
          <w:sz w:val="24"/>
          <w:szCs w:val="24"/>
        </w:rPr>
        <w:t>的具体情况如下：</w:t>
      </w:r>
    </w:p>
    <w:p>
      <w:pPr>
        <w:spacing w:line="286" w:lineRule="auto"/>
        <w:ind w:left="3" w:firstLine="588"/>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11"/>
          <w:sz w:val="24"/>
          <w:szCs w:val="24"/>
          <w:u w:val="single" w:color="auto"/>
        </w:rPr>
        <w:t>（标的名称</w:t>
      </w:r>
      <w:r>
        <w:rPr>
          <w:rFonts w:ascii="宋体" w:hAnsi="宋体" w:eastAsia="宋体" w:cs="宋体"/>
          <w:spacing w:val="-64"/>
          <w:sz w:val="24"/>
          <w:szCs w:val="24"/>
          <w:u w:val="single" w:color="auto"/>
        </w:rPr>
        <w:t>）</w:t>
      </w:r>
      <w:r>
        <w:rPr>
          <w:rFonts w:ascii="宋体" w:hAnsi="宋体" w:eastAsia="宋体" w:cs="宋体"/>
          <w:spacing w:val="-64"/>
          <w:sz w:val="24"/>
          <w:szCs w:val="24"/>
        </w:rPr>
        <w:t>，</w:t>
      </w:r>
      <w:r>
        <w:rPr>
          <w:rFonts w:ascii="宋体" w:hAnsi="宋体" w:eastAsia="宋体" w:cs="宋体"/>
          <w:spacing w:val="-11"/>
          <w:sz w:val="24"/>
          <w:szCs w:val="24"/>
        </w:rPr>
        <w:t>属于</w:t>
      </w:r>
      <w:r>
        <w:rPr>
          <w:rFonts w:ascii="宋体" w:hAnsi="宋体" w:eastAsia="宋体" w:cs="宋体"/>
          <w:spacing w:val="-11"/>
          <w:sz w:val="24"/>
          <w:szCs w:val="24"/>
          <w:u w:val="single" w:color="auto"/>
        </w:rPr>
        <w:t>（采购文件中明确的所属行业）</w:t>
      </w:r>
      <w:r>
        <w:rPr>
          <w:rFonts w:ascii="宋体" w:hAnsi="宋体" w:eastAsia="宋体" w:cs="宋体"/>
          <w:spacing w:val="-11"/>
          <w:sz w:val="24"/>
          <w:szCs w:val="24"/>
        </w:rPr>
        <w:t>行业；制造商为</w:t>
      </w:r>
      <w:r>
        <w:rPr>
          <w:rFonts w:ascii="宋体" w:hAnsi="宋体" w:eastAsia="宋体" w:cs="宋体"/>
          <w:spacing w:val="-11"/>
          <w:sz w:val="24"/>
          <w:szCs w:val="24"/>
          <w:u w:val="single" w:color="auto"/>
        </w:rPr>
        <w:t>（企业名称</w:t>
      </w:r>
      <w:r>
        <w:rPr>
          <w:rFonts w:ascii="宋体" w:hAnsi="宋体" w:eastAsia="宋体" w:cs="宋体"/>
          <w:spacing w:val="-64"/>
          <w:sz w:val="24"/>
          <w:szCs w:val="24"/>
        </w:rPr>
        <w:t>），</w:t>
      </w:r>
      <w:r>
        <w:rPr>
          <w:rFonts w:ascii="宋体" w:hAnsi="宋体" w:eastAsia="宋体" w:cs="宋体"/>
          <w:spacing w:val="-11"/>
          <w:sz w:val="24"/>
          <w:szCs w:val="24"/>
        </w:rPr>
        <w:t>从业人员</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pacing w:val="-11"/>
          <w:sz w:val="24"/>
          <w:szCs w:val="24"/>
        </w:rPr>
        <w:t>人，营业收入为</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pacing w:val="-11"/>
          <w:sz w:val="24"/>
          <w:szCs w:val="24"/>
        </w:rPr>
        <w:t>万元，资产总额为</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pacing w:val="-11"/>
          <w:sz w:val="24"/>
          <w:szCs w:val="24"/>
        </w:rPr>
        <w:t>万元，属于</w:t>
      </w:r>
      <w:r>
        <w:rPr>
          <w:rFonts w:ascii="宋体" w:hAnsi="宋体" w:eastAsia="宋体" w:cs="宋体"/>
          <w:spacing w:val="-11"/>
          <w:sz w:val="24"/>
          <w:szCs w:val="24"/>
          <w:u w:val="single" w:color="auto"/>
        </w:rPr>
        <w:t>（中型企</w:t>
      </w:r>
      <w:r>
        <w:rPr>
          <w:rFonts w:ascii="宋体" w:hAnsi="宋体" w:eastAsia="宋体" w:cs="宋体"/>
          <w:spacing w:val="-12"/>
          <w:sz w:val="24"/>
          <w:szCs w:val="24"/>
          <w:u w:val="single" w:color="auto"/>
        </w:rPr>
        <w:t>业、小型企业、</w:t>
      </w:r>
      <w:r>
        <w:rPr>
          <w:rFonts w:ascii="宋体" w:hAnsi="宋体" w:eastAsia="宋体" w:cs="宋体"/>
          <w:spacing w:val="-6"/>
          <w:sz w:val="24"/>
          <w:szCs w:val="24"/>
          <w:u w:val="single" w:color="auto"/>
        </w:rPr>
        <w:t>微型企业</w:t>
      </w:r>
      <w:r>
        <w:rPr>
          <w:rFonts w:ascii="宋体" w:hAnsi="宋体" w:eastAsia="宋体" w:cs="宋体"/>
          <w:spacing w:val="-2"/>
          <w:sz w:val="24"/>
          <w:szCs w:val="24"/>
          <w:u w:val="single" w:color="auto"/>
        </w:rPr>
        <w:t>）</w:t>
      </w:r>
      <w:r>
        <w:rPr>
          <w:rFonts w:ascii="宋体" w:hAnsi="宋体" w:eastAsia="宋体" w:cs="宋体"/>
          <w:spacing w:val="-2"/>
          <w:sz w:val="24"/>
          <w:szCs w:val="24"/>
        </w:rPr>
        <w:t>；</w:t>
      </w:r>
    </w:p>
    <w:p>
      <w:pPr>
        <w:spacing w:before="78" w:line="287" w:lineRule="auto"/>
        <w:ind w:left="3" w:right="24" w:firstLine="557"/>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10"/>
          <w:sz w:val="24"/>
          <w:szCs w:val="24"/>
          <w:u w:val="single" w:color="auto"/>
        </w:rPr>
        <w:t>（标的名称</w:t>
      </w:r>
      <w:r>
        <w:rPr>
          <w:rFonts w:ascii="宋体" w:hAnsi="宋体" w:eastAsia="宋体" w:cs="宋体"/>
          <w:spacing w:val="-61"/>
          <w:w w:val="96"/>
          <w:sz w:val="24"/>
          <w:szCs w:val="24"/>
          <w:u w:val="single" w:color="auto"/>
        </w:rPr>
        <w:t>）</w:t>
      </w:r>
      <w:r>
        <w:rPr>
          <w:rFonts w:ascii="宋体" w:hAnsi="宋体" w:eastAsia="宋体" w:cs="宋体"/>
          <w:spacing w:val="-61"/>
          <w:w w:val="96"/>
          <w:sz w:val="24"/>
          <w:szCs w:val="24"/>
        </w:rPr>
        <w:t>，</w:t>
      </w:r>
      <w:r>
        <w:rPr>
          <w:rFonts w:ascii="宋体" w:hAnsi="宋体" w:eastAsia="宋体" w:cs="宋体"/>
          <w:spacing w:val="-10"/>
          <w:sz w:val="24"/>
          <w:szCs w:val="24"/>
        </w:rPr>
        <w:t>属于</w:t>
      </w:r>
      <w:r>
        <w:rPr>
          <w:rFonts w:ascii="宋体" w:hAnsi="宋体" w:eastAsia="宋体" w:cs="宋体"/>
          <w:spacing w:val="-10"/>
          <w:sz w:val="24"/>
          <w:szCs w:val="24"/>
          <w:u w:val="single" w:color="auto"/>
        </w:rPr>
        <w:t>（采购文件中明确的所属行业）</w:t>
      </w:r>
      <w:r>
        <w:rPr>
          <w:rFonts w:ascii="宋体" w:hAnsi="宋体" w:eastAsia="宋体" w:cs="宋体"/>
          <w:spacing w:val="-10"/>
          <w:sz w:val="24"/>
          <w:szCs w:val="24"/>
        </w:rPr>
        <w:t>行业；制造商</w:t>
      </w:r>
      <w:r>
        <w:rPr>
          <w:rFonts w:ascii="宋体" w:hAnsi="宋体" w:eastAsia="宋体" w:cs="宋体"/>
          <w:spacing w:val="-11"/>
          <w:sz w:val="24"/>
          <w:szCs w:val="24"/>
        </w:rPr>
        <w:t>为</w:t>
      </w:r>
      <w:r>
        <w:rPr>
          <w:rFonts w:ascii="宋体" w:hAnsi="宋体" w:eastAsia="宋体" w:cs="宋体"/>
          <w:spacing w:val="-11"/>
          <w:sz w:val="24"/>
          <w:szCs w:val="24"/>
          <w:u w:val="single" w:color="auto"/>
        </w:rPr>
        <w:t>（企业名称</w:t>
      </w:r>
      <w:r>
        <w:rPr>
          <w:rFonts w:ascii="宋体" w:hAnsi="宋体" w:eastAsia="宋体" w:cs="宋体"/>
          <w:spacing w:val="-61"/>
          <w:w w:val="96"/>
          <w:sz w:val="24"/>
          <w:szCs w:val="24"/>
          <w:u w:val="single" w:color="auto"/>
        </w:rPr>
        <w:t>）</w:t>
      </w:r>
      <w:r>
        <w:rPr>
          <w:rFonts w:ascii="宋体" w:hAnsi="宋体" w:eastAsia="宋体" w:cs="宋体"/>
          <w:spacing w:val="-61"/>
          <w:w w:val="96"/>
          <w:sz w:val="24"/>
          <w:szCs w:val="24"/>
        </w:rPr>
        <w:t>，</w:t>
      </w:r>
      <w:r>
        <w:rPr>
          <w:rFonts w:ascii="宋体" w:hAnsi="宋体" w:eastAsia="宋体" w:cs="宋体"/>
          <w:spacing w:val="-12"/>
          <w:sz w:val="24"/>
          <w:szCs w:val="24"/>
        </w:rPr>
        <w:t>从业人员</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pacing w:val="-12"/>
          <w:sz w:val="24"/>
          <w:szCs w:val="24"/>
        </w:rPr>
        <w:t>人，营业收入为</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pacing w:val="-12"/>
          <w:sz w:val="24"/>
          <w:szCs w:val="24"/>
        </w:rPr>
        <w:t>万元，资产总额为</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pacing w:val="-12"/>
          <w:sz w:val="24"/>
          <w:szCs w:val="24"/>
        </w:rPr>
        <w:t>万元，属于</w:t>
      </w:r>
      <w:r>
        <w:rPr>
          <w:rFonts w:ascii="宋体" w:hAnsi="宋体" w:eastAsia="宋体" w:cs="宋体"/>
          <w:spacing w:val="-12"/>
          <w:sz w:val="24"/>
          <w:szCs w:val="24"/>
          <w:u w:val="single" w:color="auto"/>
        </w:rPr>
        <w:t>（中型企业、小型企业、</w:t>
      </w:r>
      <w:r>
        <w:rPr>
          <w:rFonts w:ascii="宋体" w:hAnsi="宋体" w:eastAsia="宋体" w:cs="宋体"/>
          <w:spacing w:val="-6"/>
          <w:sz w:val="24"/>
          <w:szCs w:val="24"/>
          <w:u w:val="single" w:color="auto"/>
        </w:rPr>
        <w:t>微型企业</w:t>
      </w:r>
      <w:r>
        <w:rPr>
          <w:rFonts w:ascii="宋体" w:hAnsi="宋体" w:eastAsia="宋体" w:cs="宋体"/>
          <w:spacing w:val="-2"/>
          <w:sz w:val="24"/>
          <w:szCs w:val="24"/>
          <w:u w:val="single" w:color="auto"/>
        </w:rPr>
        <w:t>）</w:t>
      </w:r>
      <w:r>
        <w:rPr>
          <w:rFonts w:ascii="宋体" w:hAnsi="宋体" w:eastAsia="宋体" w:cs="宋体"/>
          <w:spacing w:val="-2"/>
          <w:sz w:val="24"/>
          <w:szCs w:val="24"/>
        </w:rPr>
        <w:t>；</w:t>
      </w:r>
    </w:p>
    <w:p>
      <w:pPr>
        <w:spacing w:before="78" w:line="378" w:lineRule="exact"/>
        <w:ind w:left="590"/>
        <w:rPr>
          <w:rFonts w:ascii="宋体" w:hAnsi="宋体" w:eastAsia="宋体" w:cs="宋体"/>
          <w:sz w:val="24"/>
          <w:szCs w:val="24"/>
        </w:rPr>
      </w:pPr>
      <w:r>
        <w:rPr>
          <w:rFonts w:ascii="宋体" w:hAnsi="宋体" w:eastAsia="宋体" w:cs="宋体"/>
          <w:spacing w:val="-13"/>
          <w:position w:val="3"/>
          <w:sz w:val="24"/>
          <w:szCs w:val="24"/>
        </w:rPr>
        <w:t>……</w:t>
      </w:r>
    </w:p>
    <w:p>
      <w:pPr>
        <w:spacing w:before="94" w:line="361" w:lineRule="auto"/>
        <w:ind w:left="15" w:right="104" w:firstLine="603"/>
        <w:rPr>
          <w:rFonts w:ascii="宋体" w:hAnsi="宋体" w:eastAsia="宋体" w:cs="宋体"/>
          <w:sz w:val="24"/>
          <w:szCs w:val="24"/>
        </w:rPr>
      </w:pPr>
      <w:r>
        <w:rPr>
          <w:rFonts w:ascii="宋体" w:hAnsi="宋体" w:eastAsia="宋体" w:cs="宋体"/>
          <w:spacing w:val="-8"/>
          <w:sz w:val="24"/>
          <w:szCs w:val="24"/>
        </w:rPr>
        <w:t>以上企业，不属于大企业的分支机构，不存在控股股东为大企业的情形，也不</w:t>
      </w:r>
      <w:r>
        <w:rPr>
          <w:rFonts w:ascii="宋体" w:hAnsi="宋体" w:eastAsia="宋体" w:cs="宋体"/>
          <w:spacing w:val="-9"/>
          <w:sz w:val="24"/>
          <w:szCs w:val="24"/>
        </w:rPr>
        <w:t>存在</w:t>
      </w:r>
      <w:r>
        <w:rPr>
          <w:rFonts w:ascii="宋体" w:hAnsi="宋体" w:eastAsia="宋体" w:cs="宋体"/>
          <w:spacing w:val="-5"/>
          <w:sz w:val="24"/>
          <w:szCs w:val="24"/>
        </w:rPr>
        <w:t>与大企业的负责人为同一人的情形。</w:t>
      </w:r>
    </w:p>
    <w:p>
      <w:pPr>
        <w:spacing w:before="1" w:line="218" w:lineRule="auto"/>
        <w:ind w:left="566"/>
        <w:rPr>
          <w:rFonts w:ascii="宋体" w:hAnsi="宋体" w:eastAsia="宋体" w:cs="宋体"/>
          <w:sz w:val="24"/>
          <w:szCs w:val="24"/>
        </w:rPr>
      </w:pPr>
      <w:r>
        <w:rPr>
          <w:rFonts w:ascii="宋体" w:hAnsi="宋体" w:eastAsia="宋体" w:cs="宋体"/>
          <w:spacing w:val="-2"/>
          <w:sz w:val="24"/>
          <w:szCs w:val="24"/>
        </w:rPr>
        <w:t>本企业对上述声明内容的真实性负责。如有虚假，将依</w:t>
      </w:r>
      <w:r>
        <w:rPr>
          <w:rFonts w:ascii="宋体" w:hAnsi="宋体" w:eastAsia="宋体" w:cs="宋体"/>
          <w:spacing w:val="-3"/>
          <w:sz w:val="24"/>
          <w:szCs w:val="24"/>
        </w:rPr>
        <w:t>法承担相应责任。</w:t>
      </w:r>
    </w:p>
    <w:p>
      <w:pPr>
        <w:spacing w:before="79" w:line="219" w:lineRule="auto"/>
        <w:ind w:left="4210"/>
        <w:rPr>
          <w:rFonts w:ascii="宋体" w:hAnsi="宋体" w:eastAsia="宋体" w:cs="宋体"/>
          <w:sz w:val="24"/>
          <w:szCs w:val="24"/>
        </w:rPr>
      </w:pPr>
      <w:r>
        <w:rPr>
          <w:rFonts w:ascii="宋体" w:hAnsi="宋体" w:eastAsia="宋体" w:cs="宋体"/>
          <w:spacing w:val="-8"/>
          <w:sz w:val="24"/>
          <w:szCs w:val="24"/>
        </w:rPr>
        <w:t>企业名称（盖章</w:t>
      </w:r>
      <w:r>
        <w:rPr>
          <w:rFonts w:ascii="宋体" w:hAnsi="宋体" w:eastAsia="宋体" w:cs="宋体"/>
          <w:spacing w:val="-1"/>
          <w:sz w:val="24"/>
          <w:szCs w:val="24"/>
        </w:rPr>
        <w:t>）：</w:t>
      </w:r>
    </w:p>
    <w:p>
      <w:pPr>
        <w:spacing w:before="229" w:line="220" w:lineRule="auto"/>
        <w:ind w:left="4247"/>
        <w:rPr>
          <w:rFonts w:ascii="宋体" w:hAnsi="宋体" w:eastAsia="宋体" w:cs="宋体"/>
          <w:sz w:val="24"/>
          <w:szCs w:val="24"/>
        </w:rPr>
      </w:pPr>
      <w:r>
        <w:rPr>
          <w:rFonts w:ascii="宋体" w:hAnsi="宋体" w:eastAsia="宋体" w:cs="宋体"/>
          <w:spacing w:val="-21"/>
          <w:sz w:val="24"/>
          <w:szCs w:val="24"/>
        </w:rPr>
        <w:t>日期：</w:t>
      </w:r>
    </w:p>
    <w:p>
      <w:pPr>
        <w:rPr>
          <w:rFonts w:ascii="宋体" w:hAnsi="宋体" w:eastAsia="宋体" w:cs="宋体"/>
          <w:b/>
          <w:bCs/>
          <w:spacing w:val="6"/>
          <w:sz w:val="28"/>
          <w:szCs w:val="28"/>
        </w:rPr>
      </w:pPr>
      <w:r>
        <w:rPr>
          <w:rFonts w:ascii="宋体" w:hAnsi="宋体" w:eastAsia="宋体" w:cs="宋体"/>
          <w:b/>
          <w:bCs/>
          <w:spacing w:val="6"/>
          <w:sz w:val="28"/>
          <w:szCs w:val="28"/>
        </w:rPr>
        <w:br w:type="page"/>
      </w:r>
    </w:p>
    <w:p>
      <w:pPr>
        <w:spacing w:before="91" w:line="219" w:lineRule="auto"/>
        <w:ind w:left="6"/>
        <w:outlineLvl w:val="1"/>
        <w:rPr>
          <w:rFonts w:ascii="宋体" w:hAnsi="宋体" w:eastAsia="宋体" w:cs="宋体"/>
          <w:sz w:val="28"/>
          <w:szCs w:val="28"/>
        </w:rPr>
      </w:pPr>
      <w:bookmarkStart w:id="37" w:name="_Toc22395"/>
      <w:r>
        <w:rPr>
          <w:rFonts w:ascii="宋体" w:hAnsi="宋体" w:eastAsia="宋体" w:cs="宋体"/>
          <w:b/>
          <w:bCs/>
          <w:spacing w:val="6"/>
          <w:sz w:val="28"/>
          <w:szCs w:val="28"/>
        </w:rPr>
        <w:t>二、监狱企业相关资格证明材料</w:t>
      </w:r>
      <w:bookmarkEnd w:id="37"/>
    </w:p>
    <w:p>
      <w:pPr>
        <w:spacing w:before="78" w:line="245" w:lineRule="auto"/>
        <w:ind w:left="142" w:hanging="1"/>
        <w:jc w:val="both"/>
        <w:rPr>
          <w:rFonts w:ascii="宋体" w:hAnsi="宋体" w:eastAsia="宋体" w:cs="宋体"/>
          <w:sz w:val="24"/>
          <w:szCs w:val="24"/>
        </w:rPr>
      </w:pPr>
      <w:r>
        <w:rPr>
          <w:rFonts w:ascii="宋体" w:hAnsi="宋体" w:eastAsia="宋体" w:cs="宋体"/>
          <w:b/>
          <w:bCs/>
          <w:spacing w:val="-3"/>
          <w:sz w:val="24"/>
          <w:szCs w:val="24"/>
        </w:rPr>
        <w:t>注：1、根据《司法部关于政府采购支持监狱企业发展有关问题的通知》财库〔2014〕</w:t>
      </w:r>
      <w:r>
        <w:rPr>
          <w:rFonts w:ascii="宋体" w:hAnsi="宋体" w:eastAsia="宋体" w:cs="宋体"/>
          <w:b/>
          <w:bCs/>
          <w:spacing w:val="9"/>
          <w:sz w:val="24"/>
          <w:szCs w:val="24"/>
        </w:rPr>
        <w:t>68号，监狱企业参加政府采购活动时，应当提供由省级以上监狱管理局、戒毒管</w:t>
      </w:r>
      <w:r>
        <w:rPr>
          <w:rFonts w:ascii="宋体" w:hAnsi="宋体" w:eastAsia="宋体" w:cs="宋体"/>
          <w:b/>
          <w:bCs/>
          <w:spacing w:val="7"/>
          <w:sz w:val="24"/>
          <w:szCs w:val="24"/>
        </w:rPr>
        <w:t>理局（含新疆生产建设兵团）出具的属于监狱企业的证明文件。</w:t>
      </w:r>
    </w:p>
    <w:p>
      <w:pPr>
        <w:spacing w:before="78" w:line="220" w:lineRule="auto"/>
        <w:rPr>
          <w:rFonts w:ascii="宋体" w:hAnsi="宋体" w:eastAsia="宋体" w:cs="宋体"/>
          <w:sz w:val="24"/>
          <w:szCs w:val="24"/>
        </w:rPr>
      </w:pPr>
      <w:r>
        <w:rPr>
          <w:rFonts w:ascii="宋体" w:hAnsi="宋体" w:eastAsia="宋体" w:cs="宋体"/>
          <w:b/>
          <w:bCs/>
          <w:spacing w:val="-10"/>
          <w:sz w:val="24"/>
          <w:szCs w:val="24"/>
        </w:rPr>
        <w:t>注：非监狱企业可不填写此表。</w:t>
      </w:r>
    </w:p>
    <w:p/>
    <w:p/>
    <w:p/>
    <w:p/>
    <w:p>
      <w:pPr>
        <w:spacing w:before="91" w:line="220" w:lineRule="auto"/>
        <w:ind w:left="1"/>
        <w:outlineLvl w:val="1"/>
        <w:rPr>
          <w:rFonts w:ascii="宋体" w:hAnsi="宋体" w:eastAsia="宋体" w:cs="宋体"/>
          <w:sz w:val="28"/>
          <w:szCs w:val="28"/>
        </w:rPr>
      </w:pPr>
      <w:bookmarkStart w:id="38" w:name="_Toc23771"/>
      <w:r>
        <w:rPr>
          <w:rFonts w:ascii="宋体" w:hAnsi="宋体" w:eastAsia="宋体" w:cs="宋体"/>
          <w:b/>
          <w:bCs/>
          <w:spacing w:val="6"/>
          <w:sz w:val="28"/>
          <w:szCs w:val="28"/>
        </w:rPr>
        <w:t>三、残疾人福利性单位声明函</w:t>
      </w:r>
      <w:bookmarkEnd w:id="38"/>
    </w:p>
    <w:p>
      <w:pPr>
        <w:spacing w:before="78" w:line="348" w:lineRule="auto"/>
        <w:ind w:firstLine="584"/>
        <w:jc w:val="both"/>
        <w:rPr>
          <w:rFonts w:ascii="宋体" w:hAnsi="宋体" w:eastAsia="宋体" w:cs="宋体"/>
          <w:sz w:val="24"/>
          <w:szCs w:val="24"/>
        </w:rPr>
      </w:pPr>
      <w:r>
        <w:rPr>
          <w:rFonts w:ascii="宋体" w:hAnsi="宋体" w:eastAsia="宋体" w:cs="宋体"/>
          <w:spacing w:val="13"/>
          <w:sz w:val="24"/>
          <w:szCs w:val="24"/>
        </w:rPr>
        <w:t>本单位郑重声明，根据《财政部民政部中国残疾人联合会关于促进</w:t>
      </w:r>
      <w:r>
        <w:rPr>
          <w:rFonts w:ascii="宋体" w:hAnsi="宋体" w:eastAsia="宋体" w:cs="宋体"/>
          <w:spacing w:val="12"/>
          <w:sz w:val="24"/>
          <w:szCs w:val="24"/>
        </w:rPr>
        <w:t>残疾人</w:t>
      </w:r>
      <w:r>
        <w:rPr>
          <w:rFonts w:ascii="宋体" w:hAnsi="宋体" w:eastAsia="宋体" w:cs="宋体"/>
          <w:spacing w:val="8"/>
          <w:sz w:val="24"/>
          <w:szCs w:val="24"/>
        </w:rPr>
        <w:t>就业政府采购政策的通知》（财库〔2017〕141号）的规定，本</w:t>
      </w:r>
      <w:r>
        <w:rPr>
          <w:rFonts w:ascii="宋体" w:hAnsi="宋体" w:eastAsia="宋体" w:cs="宋体"/>
          <w:spacing w:val="7"/>
          <w:sz w:val="24"/>
          <w:szCs w:val="24"/>
        </w:rPr>
        <w:t>单位为符合条件的</w:t>
      </w:r>
      <w:r>
        <w:rPr>
          <w:rFonts w:ascii="宋体" w:hAnsi="宋体" w:eastAsia="宋体" w:cs="宋体"/>
          <w:spacing w:val="14"/>
          <w:sz w:val="24"/>
          <w:szCs w:val="24"/>
        </w:rPr>
        <w:t>残疾人福利性单位，且本单位参加</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pacing w:val="14"/>
          <w:sz w:val="24"/>
          <w:szCs w:val="24"/>
        </w:rPr>
        <w:t>单位的</w:t>
      </w:r>
      <w:r>
        <w:rPr>
          <w:rFonts w:hint="eastAsia" w:ascii="宋体" w:hAnsi="宋体" w:eastAsia="宋体" w:cs="宋体"/>
          <w:color w:val="333333"/>
          <w:spacing w:val="-1"/>
          <w:sz w:val="24"/>
          <w:szCs w:val="24"/>
          <w:u w:val="single"/>
          <w:lang w:val="en-US" w:eastAsia="zh-CN"/>
        </w:rPr>
        <w:t xml:space="preserve">         </w:t>
      </w:r>
      <w:r>
        <w:rPr>
          <w:rFonts w:ascii="宋体" w:hAnsi="宋体" w:eastAsia="宋体" w:cs="宋体"/>
          <w:spacing w:val="14"/>
          <w:sz w:val="24"/>
          <w:szCs w:val="24"/>
        </w:rPr>
        <w:t>项目采购活动提供本单位制造的货物（由本单位承担工程/提供服务</w:t>
      </w:r>
      <w:r>
        <w:rPr>
          <w:rFonts w:ascii="宋体" w:hAnsi="宋体" w:eastAsia="宋体" w:cs="宋体"/>
          <w:spacing w:val="-5"/>
          <w:sz w:val="24"/>
          <w:szCs w:val="24"/>
        </w:rPr>
        <w:t>），</w:t>
      </w:r>
      <w:r>
        <w:rPr>
          <w:rFonts w:ascii="宋体" w:hAnsi="宋体" w:eastAsia="宋体" w:cs="宋体"/>
          <w:spacing w:val="14"/>
          <w:sz w:val="24"/>
          <w:szCs w:val="24"/>
        </w:rPr>
        <w:t>或者提供其他残疾人</w:t>
      </w:r>
      <w:r>
        <w:rPr>
          <w:rFonts w:ascii="宋体" w:hAnsi="宋体" w:eastAsia="宋体" w:cs="宋体"/>
          <w:spacing w:val="13"/>
          <w:sz w:val="24"/>
          <w:szCs w:val="24"/>
        </w:rPr>
        <w:t>福利性单位</w:t>
      </w:r>
      <w:r>
        <w:rPr>
          <w:rFonts w:ascii="宋体" w:hAnsi="宋体" w:eastAsia="宋体" w:cs="宋体"/>
          <w:spacing w:val="25"/>
          <w:sz w:val="24"/>
          <w:szCs w:val="24"/>
        </w:rPr>
        <w:t>制造的货物（不包括使用非残疾人福利性单位注册商</w:t>
      </w:r>
      <w:r>
        <w:rPr>
          <w:rFonts w:ascii="宋体" w:hAnsi="宋体" w:eastAsia="宋体" w:cs="宋体"/>
          <w:spacing w:val="24"/>
          <w:sz w:val="24"/>
          <w:szCs w:val="24"/>
        </w:rPr>
        <w:t>标的货物）。</w:t>
      </w:r>
    </w:p>
    <w:p>
      <w:pPr>
        <w:spacing w:line="218" w:lineRule="auto"/>
        <w:ind w:left="584"/>
        <w:rPr>
          <w:rFonts w:ascii="宋体" w:hAnsi="宋体" w:eastAsia="宋体" w:cs="宋体"/>
          <w:sz w:val="24"/>
          <w:szCs w:val="24"/>
        </w:rPr>
      </w:pPr>
      <w:r>
        <w:rPr>
          <w:rFonts w:ascii="宋体" w:hAnsi="宋体" w:eastAsia="宋体" w:cs="宋体"/>
          <w:spacing w:val="15"/>
          <w:sz w:val="24"/>
          <w:szCs w:val="24"/>
        </w:rPr>
        <w:t>本单位对上述声明的真实性负责。如有虚假，将依法承担相应责任。</w:t>
      </w:r>
    </w:p>
    <w:p>
      <w:pPr>
        <w:spacing w:before="78" w:line="219" w:lineRule="auto"/>
        <w:ind w:left="4218"/>
        <w:rPr>
          <w:rFonts w:ascii="宋体" w:hAnsi="宋体" w:eastAsia="宋体" w:cs="宋体"/>
          <w:sz w:val="24"/>
          <w:szCs w:val="24"/>
        </w:rPr>
      </w:pPr>
      <w:r>
        <w:rPr>
          <w:rFonts w:ascii="宋体" w:hAnsi="宋体" w:eastAsia="宋体" w:cs="宋体"/>
          <w:spacing w:val="8"/>
          <w:sz w:val="24"/>
          <w:szCs w:val="24"/>
        </w:rPr>
        <w:t>单位名称（盖章</w:t>
      </w:r>
      <w:r>
        <w:rPr>
          <w:rFonts w:ascii="宋体" w:hAnsi="宋体" w:eastAsia="宋体" w:cs="宋体"/>
          <w:spacing w:val="22"/>
          <w:sz w:val="24"/>
          <w:szCs w:val="24"/>
        </w:rPr>
        <w:t>）：</w:t>
      </w:r>
    </w:p>
    <w:p>
      <w:pPr>
        <w:spacing w:before="119" w:line="220" w:lineRule="auto"/>
        <w:ind w:left="4258"/>
        <w:rPr>
          <w:rFonts w:ascii="宋体" w:hAnsi="宋体" w:eastAsia="宋体" w:cs="宋体"/>
          <w:sz w:val="24"/>
          <w:szCs w:val="24"/>
        </w:rPr>
      </w:pPr>
      <w:r>
        <w:rPr>
          <w:rFonts w:ascii="宋体" w:hAnsi="宋体" w:eastAsia="宋体" w:cs="宋体"/>
          <w:spacing w:val="-14"/>
          <w:sz w:val="24"/>
          <w:szCs w:val="24"/>
        </w:rPr>
        <w:t>日期：</w:t>
      </w:r>
    </w:p>
    <w:p>
      <w:pPr>
        <w:spacing w:before="79" w:line="220" w:lineRule="auto"/>
        <w:ind w:left="7"/>
        <w:rPr>
          <w:rFonts w:ascii="宋体" w:hAnsi="宋体" w:eastAsia="宋体" w:cs="宋体"/>
          <w:sz w:val="24"/>
          <w:szCs w:val="24"/>
        </w:rPr>
      </w:pPr>
      <w:r>
        <w:rPr>
          <w:rFonts w:ascii="宋体" w:hAnsi="宋体" w:eastAsia="宋体" w:cs="宋体"/>
          <w:b/>
          <w:bCs/>
          <w:spacing w:val="10"/>
          <w:sz w:val="24"/>
          <w:szCs w:val="24"/>
        </w:rPr>
        <w:t>注：非残疾人福利性单位可不填写此表。</w:t>
      </w:r>
    </w:p>
    <w:p>
      <w:pPr>
        <w:rPr>
          <w:rFonts w:ascii="仿宋" w:hAnsi="仿宋" w:eastAsia="仿宋" w:cs="仿宋"/>
          <w:b/>
          <w:bCs/>
          <w:spacing w:val="-2"/>
          <w:sz w:val="43"/>
          <w:szCs w:val="43"/>
        </w:rPr>
      </w:pPr>
      <w:r>
        <w:rPr>
          <w:rFonts w:ascii="仿宋" w:hAnsi="仿宋" w:eastAsia="仿宋" w:cs="仿宋"/>
          <w:b/>
          <w:bCs/>
          <w:spacing w:val="-2"/>
          <w:sz w:val="43"/>
          <w:szCs w:val="43"/>
        </w:rPr>
        <w:br w:type="page"/>
      </w:r>
    </w:p>
    <w:p>
      <w:pPr>
        <w:spacing w:before="140" w:line="226" w:lineRule="auto"/>
        <w:ind w:left="3456"/>
        <w:rPr>
          <w:rFonts w:ascii="仿宋" w:hAnsi="仿宋" w:eastAsia="仿宋" w:cs="仿宋"/>
          <w:sz w:val="43"/>
          <w:szCs w:val="43"/>
        </w:rPr>
      </w:pPr>
      <w:r>
        <w:rPr>
          <w:rFonts w:ascii="仿宋" w:hAnsi="仿宋" w:eastAsia="仿宋" w:cs="仿宋"/>
          <w:b/>
          <w:bCs/>
          <w:spacing w:val="-2"/>
          <w:sz w:val="43"/>
          <w:szCs w:val="43"/>
        </w:rPr>
        <w:t>质疑函范本</w:t>
      </w:r>
    </w:p>
    <w:p>
      <w:pPr>
        <w:spacing w:before="91" w:line="222" w:lineRule="auto"/>
        <w:rPr>
          <w:rFonts w:ascii="黑体" w:hAnsi="黑体" w:eastAsia="黑体" w:cs="黑体"/>
          <w:sz w:val="28"/>
          <w:szCs w:val="28"/>
        </w:rPr>
      </w:pPr>
      <w:r>
        <w:rPr>
          <w:rFonts w:ascii="黑体" w:hAnsi="黑体" w:eastAsia="黑体" w:cs="黑体"/>
          <w:spacing w:val="-2"/>
          <w:sz w:val="28"/>
          <w:szCs w:val="28"/>
        </w:rPr>
        <w:t>一、质疑供应商基本信息</w:t>
      </w:r>
    </w:p>
    <w:p>
      <w:pPr>
        <w:spacing w:before="209" w:line="223" w:lineRule="auto"/>
        <w:ind w:left="9"/>
        <w:rPr>
          <w:sz w:val="28"/>
          <w:szCs w:val="28"/>
        </w:rPr>
      </w:pPr>
      <w:r>
        <w:rPr>
          <w:rFonts w:ascii="仿宋" w:hAnsi="仿宋" w:eastAsia="仿宋" w:cs="仿宋"/>
          <w:spacing w:val="-5"/>
          <w:sz w:val="28"/>
          <w:szCs w:val="28"/>
        </w:rPr>
        <w:t>质疑供应商：</w:t>
      </w:r>
      <w:r>
        <w:rPr>
          <w:position w:val="-3"/>
          <w:sz w:val="28"/>
          <w:szCs w:val="28"/>
        </w:rPr>
        <w:drawing>
          <wp:inline distT="0" distB="0" distL="0" distR="0">
            <wp:extent cx="40005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5"/>
                    <a:stretch>
                      <a:fillRect/>
                    </a:stretch>
                  </pic:blipFill>
                  <pic:spPr>
                    <a:xfrm>
                      <a:off x="0" y="0"/>
                      <a:ext cx="4000500" cy="7620"/>
                    </a:xfrm>
                    <a:prstGeom prst="rect">
                      <a:avLst/>
                    </a:prstGeom>
                  </pic:spPr>
                </pic:pic>
              </a:graphicData>
            </a:graphic>
          </wp:inline>
        </w:drawing>
      </w:r>
    </w:p>
    <w:p>
      <w:pPr>
        <w:spacing w:before="206" w:line="222" w:lineRule="auto"/>
        <w:ind w:left="4"/>
        <w:rPr>
          <w:sz w:val="28"/>
          <w:szCs w:val="28"/>
        </w:rPr>
      </w:pPr>
      <w:r>
        <w:rPr>
          <w:rFonts w:ascii="仿宋" w:hAnsi="仿宋" w:eastAsia="仿宋" w:cs="仿宋"/>
          <w:spacing w:val="-11"/>
          <w:sz w:val="28"/>
          <w:szCs w:val="28"/>
        </w:rPr>
        <w:t>地址：</w:t>
      </w:r>
      <w:r>
        <w:rPr>
          <w:position w:val="-3"/>
          <w:sz w:val="28"/>
          <w:szCs w:val="28"/>
        </w:rPr>
        <w:drawing>
          <wp:inline distT="0" distB="0" distL="0" distR="0">
            <wp:extent cx="2310765"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6"/>
                    <a:stretch>
                      <a:fillRect/>
                    </a:stretch>
                  </pic:blipFill>
                  <pic:spPr>
                    <a:xfrm>
                      <a:off x="0" y="0"/>
                      <a:ext cx="2311399" cy="7620"/>
                    </a:xfrm>
                    <a:prstGeom prst="rect">
                      <a:avLst/>
                    </a:prstGeom>
                  </pic:spPr>
                </pic:pic>
              </a:graphicData>
            </a:graphic>
          </wp:inline>
        </w:drawing>
      </w:r>
      <w:r>
        <w:rPr>
          <w:rFonts w:ascii="仿宋" w:hAnsi="仿宋" w:eastAsia="仿宋" w:cs="仿宋"/>
          <w:spacing w:val="-11"/>
          <w:sz w:val="28"/>
          <w:szCs w:val="28"/>
        </w:rPr>
        <w:t>邮编：</w:t>
      </w:r>
      <w:r>
        <w:rPr>
          <w:position w:val="-3"/>
          <w:sz w:val="28"/>
          <w:szCs w:val="28"/>
        </w:rPr>
        <w:drawing>
          <wp:inline distT="0" distB="0" distL="0" distR="0">
            <wp:extent cx="16891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1689100" cy="7620"/>
                    </a:xfrm>
                    <a:prstGeom prst="rect">
                      <a:avLst/>
                    </a:prstGeom>
                  </pic:spPr>
                </pic:pic>
              </a:graphicData>
            </a:graphic>
          </wp:inline>
        </w:drawing>
      </w:r>
    </w:p>
    <w:p>
      <w:pPr>
        <w:spacing w:before="208" w:line="359" w:lineRule="auto"/>
        <w:ind w:left="3" w:right="724" w:hanging="3"/>
        <w:rPr>
          <w:sz w:val="28"/>
          <w:szCs w:val="28"/>
        </w:rPr>
      </w:pPr>
      <w:r>
        <w:rPr>
          <w:rFonts w:ascii="仿宋" w:hAnsi="仿宋" w:eastAsia="仿宋" w:cs="仿宋"/>
          <w:spacing w:val="-4"/>
          <w:sz w:val="28"/>
          <w:szCs w:val="28"/>
        </w:rPr>
        <w:t>联系人：</w:t>
      </w:r>
      <w:r>
        <w:rPr>
          <w:position w:val="-3"/>
          <w:sz w:val="28"/>
          <w:szCs w:val="28"/>
        </w:rPr>
        <w:drawing>
          <wp:inline distT="0" distB="0" distL="0" distR="0">
            <wp:extent cx="213296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8"/>
                    <a:stretch>
                      <a:fillRect/>
                    </a:stretch>
                  </pic:blipFill>
                  <pic:spPr>
                    <a:xfrm>
                      <a:off x="0" y="0"/>
                      <a:ext cx="2133599" cy="7620"/>
                    </a:xfrm>
                    <a:prstGeom prst="rect">
                      <a:avLst/>
                    </a:prstGeom>
                  </pic:spPr>
                </pic:pic>
              </a:graphicData>
            </a:graphic>
          </wp:inline>
        </w:drawing>
      </w:r>
      <w:r>
        <w:rPr>
          <w:rFonts w:ascii="仿宋" w:hAnsi="仿宋" w:eastAsia="仿宋" w:cs="仿宋"/>
          <w:spacing w:val="-4"/>
          <w:sz w:val="28"/>
          <w:szCs w:val="28"/>
        </w:rPr>
        <w:t>联系电话：</w:t>
      </w:r>
      <w:r>
        <w:rPr>
          <w:position w:val="-3"/>
          <w:sz w:val="28"/>
          <w:szCs w:val="28"/>
        </w:rPr>
        <w:drawing>
          <wp:inline distT="0" distB="0" distL="0" distR="0">
            <wp:extent cx="13335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9"/>
                    <a:stretch>
                      <a:fillRect/>
                    </a:stretch>
                  </pic:blipFill>
                  <pic:spPr>
                    <a:xfrm>
                      <a:off x="0" y="0"/>
                      <a:ext cx="1333500" cy="7620"/>
                    </a:xfrm>
                    <a:prstGeom prst="rect">
                      <a:avLst/>
                    </a:prstGeom>
                  </pic:spPr>
                </pic:pic>
              </a:graphicData>
            </a:graphic>
          </wp:inline>
        </w:drawing>
      </w:r>
      <w:r>
        <w:rPr>
          <w:rFonts w:ascii="仿宋" w:hAnsi="仿宋" w:eastAsia="仿宋" w:cs="仿宋"/>
          <w:spacing w:val="-4"/>
          <w:sz w:val="28"/>
          <w:szCs w:val="28"/>
        </w:rPr>
        <w:t>授权代表：</w:t>
      </w:r>
      <w:r>
        <w:rPr>
          <w:position w:val="-3"/>
          <w:sz w:val="28"/>
          <w:szCs w:val="28"/>
        </w:rPr>
        <w:drawing>
          <wp:inline distT="0" distB="0" distL="0" distR="0">
            <wp:extent cx="417703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4177664" cy="7619"/>
                    </a:xfrm>
                    <a:prstGeom prst="rect">
                      <a:avLst/>
                    </a:prstGeom>
                  </pic:spPr>
                </pic:pic>
              </a:graphicData>
            </a:graphic>
          </wp:inline>
        </w:drawing>
      </w:r>
    </w:p>
    <w:p>
      <w:pPr>
        <w:spacing w:line="223" w:lineRule="auto"/>
        <w:rPr>
          <w:sz w:val="28"/>
          <w:szCs w:val="28"/>
        </w:rPr>
      </w:pPr>
      <w:r>
        <w:rPr>
          <w:rFonts w:ascii="仿宋" w:hAnsi="仿宋" w:eastAsia="仿宋" w:cs="仿宋"/>
          <w:spacing w:val="-3"/>
          <w:sz w:val="28"/>
          <w:szCs w:val="28"/>
        </w:rPr>
        <w:t>联系电话：</w:t>
      </w:r>
      <w:r>
        <w:rPr>
          <w:position w:val="-3"/>
          <w:sz w:val="28"/>
          <w:szCs w:val="28"/>
        </w:rPr>
        <w:drawing>
          <wp:inline distT="0" distB="0" distL="0" distR="0">
            <wp:extent cx="417703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1"/>
                    <a:stretch>
                      <a:fillRect/>
                    </a:stretch>
                  </pic:blipFill>
                  <pic:spPr>
                    <a:xfrm>
                      <a:off x="0" y="0"/>
                      <a:ext cx="4177664" cy="7619"/>
                    </a:xfrm>
                    <a:prstGeom prst="rect">
                      <a:avLst/>
                    </a:prstGeom>
                  </pic:spPr>
                </pic:pic>
              </a:graphicData>
            </a:graphic>
          </wp:inline>
        </w:drawing>
      </w:r>
    </w:p>
    <w:p>
      <w:pPr>
        <w:spacing w:before="207" w:line="222" w:lineRule="auto"/>
        <w:ind w:left="4"/>
        <w:rPr>
          <w:sz w:val="28"/>
          <w:szCs w:val="28"/>
        </w:rPr>
      </w:pPr>
      <w:r>
        <w:rPr>
          <w:rFonts w:ascii="仿宋" w:hAnsi="仿宋" w:eastAsia="仿宋" w:cs="仿宋"/>
          <w:spacing w:val="-10"/>
          <w:sz w:val="28"/>
          <w:szCs w:val="28"/>
        </w:rPr>
        <w:t>地址：</w:t>
      </w:r>
      <w:r>
        <w:rPr>
          <w:position w:val="-3"/>
          <w:sz w:val="28"/>
          <w:szCs w:val="28"/>
        </w:rPr>
        <w:drawing>
          <wp:inline distT="0" distB="0" distL="0" distR="0">
            <wp:extent cx="22225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2"/>
                    <a:stretch>
                      <a:fillRect/>
                    </a:stretch>
                  </pic:blipFill>
                  <pic:spPr>
                    <a:xfrm>
                      <a:off x="0" y="0"/>
                      <a:ext cx="2223134" cy="7619"/>
                    </a:xfrm>
                    <a:prstGeom prst="rect">
                      <a:avLst/>
                    </a:prstGeom>
                  </pic:spPr>
                </pic:pic>
              </a:graphicData>
            </a:graphic>
          </wp:inline>
        </w:drawing>
      </w:r>
      <w:r>
        <w:rPr>
          <w:rFonts w:ascii="仿宋" w:hAnsi="仿宋" w:eastAsia="仿宋" w:cs="仿宋"/>
          <w:spacing w:val="-10"/>
          <w:sz w:val="28"/>
          <w:szCs w:val="28"/>
        </w:rPr>
        <w:t>邮编：</w:t>
      </w:r>
      <w:r>
        <w:rPr>
          <w:position w:val="-3"/>
          <w:sz w:val="28"/>
          <w:szCs w:val="28"/>
        </w:rPr>
        <w:drawing>
          <wp:inline distT="0" distB="0" distL="0" distR="0">
            <wp:extent cx="1777365"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3"/>
                    <a:stretch>
                      <a:fillRect/>
                    </a:stretch>
                  </pic:blipFill>
                  <pic:spPr>
                    <a:xfrm>
                      <a:off x="0" y="0"/>
                      <a:ext cx="1777365" cy="7619"/>
                    </a:xfrm>
                    <a:prstGeom prst="rect">
                      <a:avLst/>
                    </a:prstGeom>
                  </pic:spPr>
                </pic:pic>
              </a:graphicData>
            </a:graphic>
          </wp:inline>
        </w:drawing>
      </w:r>
    </w:p>
    <w:p>
      <w:pPr>
        <w:spacing w:before="207" w:line="222" w:lineRule="auto"/>
        <w:rPr>
          <w:rFonts w:ascii="黑体" w:hAnsi="黑体" w:eastAsia="黑体" w:cs="黑体"/>
          <w:sz w:val="28"/>
          <w:szCs w:val="28"/>
        </w:rPr>
      </w:pPr>
      <w:r>
        <w:rPr>
          <w:rFonts w:ascii="黑体" w:hAnsi="黑体" w:eastAsia="黑体" w:cs="黑体"/>
          <w:spacing w:val="-2"/>
          <w:sz w:val="28"/>
          <w:szCs w:val="28"/>
        </w:rPr>
        <w:t>二、质疑项目基本情况</w:t>
      </w:r>
    </w:p>
    <w:p>
      <w:pPr>
        <w:spacing w:before="208" w:line="222" w:lineRule="auto"/>
        <w:ind w:left="9"/>
        <w:rPr>
          <w:sz w:val="28"/>
          <w:szCs w:val="28"/>
        </w:rPr>
      </w:pPr>
      <w:r>
        <w:rPr>
          <w:rFonts w:ascii="仿宋" w:hAnsi="仿宋" w:eastAsia="仿宋" w:cs="仿宋"/>
          <w:spacing w:val="-4"/>
          <w:sz w:val="28"/>
          <w:szCs w:val="28"/>
        </w:rPr>
        <w:t>质疑项目的名称：</w:t>
      </w:r>
      <w:r>
        <w:rPr>
          <w:position w:val="-3"/>
          <w:sz w:val="28"/>
          <w:szCs w:val="28"/>
        </w:rPr>
        <w:drawing>
          <wp:inline distT="0" distB="0" distL="0" distR="0">
            <wp:extent cx="364363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4"/>
                    <a:stretch>
                      <a:fillRect/>
                    </a:stretch>
                  </pic:blipFill>
                  <pic:spPr>
                    <a:xfrm>
                      <a:off x="0" y="0"/>
                      <a:ext cx="3644264" cy="7619"/>
                    </a:xfrm>
                    <a:prstGeom prst="rect">
                      <a:avLst/>
                    </a:prstGeom>
                  </pic:spPr>
                </pic:pic>
              </a:graphicData>
            </a:graphic>
          </wp:inline>
        </w:drawing>
      </w:r>
    </w:p>
    <w:p>
      <w:pPr>
        <w:spacing w:before="208" w:line="359" w:lineRule="auto"/>
        <w:ind w:left="1" w:right="724" w:firstLine="8"/>
        <w:jc w:val="both"/>
        <w:rPr>
          <w:rFonts w:ascii="黑体" w:hAnsi="黑体" w:eastAsia="黑体" w:cs="黑体"/>
          <w:sz w:val="28"/>
          <w:szCs w:val="28"/>
        </w:rPr>
      </w:pPr>
      <w:r>
        <w:rPr>
          <w:rFonts w:ascii="仿宋" w:hAnsi="仿宋" w:eastAsia="仿宋" w:cs="仿宋"/>
          <w:spacing w:val="-5"/>
          <w:sz w:val="28"/>
          <w:szCs w:val="28"/>
        </w:rPr>
        <w:t>质疑项目的编号：</w:t>
      </w:r>
      <w:r>
        <w:rPr>
          <w:position w:val="-3"/>
          <w:sz w:val="28"/>
          <w:szCs w:val="28"/>
        </w:rPr>
        <w:drawing>
          <wp:inline distT="0" distB="0" distL="0" distR="0">
            <wp:extent cx="133286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5"/>
                    <a:stretch>
                      <a:fillRect/>
                    </a:stretch>
                  </pic:blipFill>
                  <pic:spPr>
                    <a:xfrm>
                      <a:off x="0" y="0"/>
                      <a:ext cx="1333499" cy="7619"/>
                    </a:xfrm>
                    <a:prstGeom prst="rect">
                      <a:avLst/>
                    </a:prstGeom>
                  </pic:spPr>
                </pic:pic>
              </a:graphicData>
            </a:graphic>
          </wp:inline>
        </w:drawing>
      </w:r>
      <w:r>
        <w:rPr>
          <w:rFonts w:ascii="仿宋" w:hAnsi="仿宋" w:eastAsia="仿宋" w:cs="仿宋"/>
          <w:spacing w:val="-5"/>
          <w:sz w:val="28"/>
          <w:szCs w:val="28"/>
        </w:rPr>
        <w:t>包号：</w:t>
      </w:r>
      <w:r>
        <w:rPr>
          <w:position w:val="-3"/>
          <w:sz w:val="28"/>
          <w:szCs w:val="28"/>
        </w:rPr>
        <w:drawing>
          <wp:inline distT="0" distB="0" distL="0" distR="0">
            <wp:extent cx="1777365"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6"/>
                    <a:stretch>
                      <a:fillRect/>
                    </a:stretch>
                  </pic:blipFill>
                  <pic:spPr>
                    <a:xfrm>
                      <a:off x="0" y="0"/>
                      <a:ext cx="1777365" cy="7619"/>
                    </a:xfrm>
                    <a:prstGeom prst="rect">
                      <a:avLst/>
                    </a:prstGeom>
                  </pic:spPr>
                </pic:pic>
              </a:graphicData>
            </a:graphic>
          </wp:inline>
        </w:drawing>
      </w:r>
      <w:r>
        <w:rPr>
          <w:rFonts w:ascii="仿宋" w:hAnsi="仿宋" w:eastAsia="仿宋" w:cs="仿宋"/>
          <w:spacing w:val="-3"/>
          <w:sz w:val="28"/>
          <w:szCs w:val="28"/>
        </w:rPr>
        <w:t>采购人名称：</w:t>
      </w:r>
      <w:r>
        <w:rPr>
          <w:position w:val="-3"/>
          <w:sz w:val="28"/>
          <w:szCs w:val="28"/>
        </w:rPr>
        <w:drawing>
          <wp:inline distT="0" distB="0" distL="0" distR="0">
            <wp:extent cx="40005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7"/>
                    <a:stretch>
                      <a:fillRect/>
                    </a:stretch>
                  </pic:blipFill>
                  <pic:spPr>
                    <a:xfrm>
                      <a:off x="0" y="0"/>
                      <a:ext cx="4000500" cy="7619"/>
                    </a:xfrm>
                    <a:prstGeom prst="rect">
                      <a:avLst/>
                    </a:prstGeom>
                  </pic:spPr>
                </pic:pic>
              </a:graphicData>
            </a:graphic>
          </wp:inline>
        </w:drawing>
      </w:r>
      <w:r>
        <w:rPr>
          <w:rFonts w:ascii="仿宋" w:hAnsi="仿宋" w:eastAsia="仿宋" w:cs="仿宋"/>
          <w:spacing w:val="-2"/>
          <w:sz w:val="28"/>
          <w:szCs w:val="28"/>
        </w:rPr>
        <w:t>采购文件获取日期：</w:t>
      </w:r>
      <w:r>
        <w:rPr>
          <w:position w:val="-3"/>
          <w:sz w:val="28"/>
          <w:szCs w:val="28"/>
        </w:rPr>
        <w:drawing>
          <wp:inline distT="0" distB="0" distL="0" distR="0">
            <wp:extent cx="34671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8"/>
                    <a:stretch>
                      <a:fillRect/>
                    </a:stretch>
                  </pic:blipFill>
                  <pic:spPr>
                    <a:xfrm>
                      <a:off x="0" y="0"/>
                      <a:ext cx="3467100" cy="7619"/>
                    </a:xfrm>
                    <a:prstGeom prst="rect">
                      <a:avLst/>
                    </a:prstGeom>
                  </pic:spPr>
                </pic:pic>
              </a:graphicData>
            </a:graphic>
          </wp:inline>
        </w:drawing>
      </w:r>
      <w:r>
        <w:rPr>
          <w:rFonts w:ascii="黑体" w:hAnsi="黑体" w:eastAsia="黑体" w:cs="黑体"/>
          <w:spacing w:val="-2"/>
          <w:sz w:val="28"/>
          <w:szCs w:val="28"/>
        </w:rPr>
        <w:t>三、质疑事项具体内容</w:t>
      </w:r>
    </w:p>
    <w:p>
      <w:pPr>
        <w:spacing w:line="359" w:lineRule="auto"/>
        <w:ind w:left="3" w:right="652" w:firstLine="6"/>
        <w:jc w:val="both"/>
        <w:rPr>
          <w:sz w:val="28"/>
          <w:szCs w:val="28"/>
        </w:rPr>
      </w:pPr>
      <w:r>
        <w:rPr>
          <w:rFonts w:ascii="仿宋" w:hAnsi="仿宋" w:eastAsia="仿宋" w:cs="仿宋"/>
          <w:spacing w:val="-10"/>
          <w:sz w:val="28"/>
          <w:szCs w:val="28"/>
        </w:rPr>
        <w:t>质疑事项1：</w:t>
      </w:r>
      <w:r>
        <w:rPr>
          <w:position w:val="-3"/>
          <w:sz w:val="28"/>
          <w:szCs w:val="28"/>
        </w:rPr>
        <w:drawing>
          <wp:inline distT="0" distB="0" distL="0" distR="0">
            <wp:extent cx="4090035"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9"/>
                    <a:stretch>
                      <a:fillRect/>
                    </a:stretch>
                  </pic:blipFill>
                  <pic:spPr>
                    <a:xfrm>
                      <a:off x="0" y="0"/>
                      <a:ext cx="4090669" cy="7619"/>
                    </a:xfrm>
                    <a:prstGeom prst="rect">
                      <a:avLst/>
                    </a:prstGeom>
                  </pic:spPr>
                </pic:pic>
              </a:graphicData>
            </a:graphic>
          </wp:inline>
        </w:drawing>
      </w:r>
      <w:r>
        <w:rPr>
          <w:rFonts w:ascii="仿宋" w:hAnsi="仿宋" w:eastAsia="仿宋" w:cs="仿宋"/>
          <w:spacing w:val="-4"/>
          <w:sz w:val="28"/>
          <w:szCs w:val="28"/>
        </w:rPr>
        <w:t>事实依据：</w:t>
      </w:r>
      <w:r>
        <w:rPr>
          <w:position w:val="-3"/>
          <w:sz w:val="28"/>
          <w:szCs w:val="28"/>
        </w:rPr>
        <w:drawing>
          <wp:inline distT="0" distB="0" distL="0" distR="0">
            <wp:extent cx="417703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0"/>
                    <a:stretch>
                      <a:fillRect/>
                    </a:stretch>
                  </pic:blipFill>
                  <pic:spPr>
                    <a:xfrm>
                      <a:off x="0" y="0"/>
                      <a:ext cx="4177664" cy="7619"/>
                    </a:xfrm>
                    <a:prstGeom prst="rect">
                      <a:avLst/>
                    </a:prstGeom>
                  </pic:spPr>
                </pic:pic>
              </a:graphicData>
            </a:graphic>
          </wp:inline>
        </w:drawing>
      </w:r>
    </w:p>
    <w:p>
      <w:pPr>
        <w:spacing w:before="1" w:line="359" w:lineRule="auto"/>
        <w:ind w:left="9" w:right="652" w:firstLine="2"/>
        <w:jc w:val="both"/>
        <w:rPr>
          <w:rFonts w:ascii="仿宋" w:hAnsi="仿宋" w:eastAsia="仿宋" w:cs="仿宋"/>
          <w:sz w:val="28"/>
          <w:szCs w:val="28"/>
        </w:rPr>
      </w:pPr>
      <w:r>
        <w:rPr>
          <w:rFonts w:ascii="仿宋" w:hAnsi="仿宋" w:eastAsia="仿宋" w:cs="仿宋"/>
          <w:spacing w:val="-6"/>
          <w:sz w:val="28"/>
          <w:szCs w:val="28"/>
        </w:rPr>
        <w:t>法律依据：</w:t>
      </w:r>
      <w:r>
        <w:rPr>
          <w:position w:val="-3"/>
          <w:sz w:val="28"/>
          <w:szCs w:val="28"/>
        </w:rPr>
        <w:drawing>
          <wp:inline distT="0" distB="0" distL="0" distR="0">
            <wp:extent cx="417703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1"/>
                    <a:stretch>
                      <a:fillRect/>
                    </a:stretch>
                  </pic:blipFill>
                  <pic:spPr>
                    <a:xfrm>
                      <a:off x="0" y="0"/>
                      <a:ext cx="4177664" cy="7619"/>
                    </a:xfrm>
                    <a:prstGeom prst="rect">
                      <a:avLst/>
                    </a:prstGeom>
                  </pic:spPr>
                </pic:pic>
              </a:graphicData>
            </a:graphic>
          </wp:inline>
        </w:drawing>
      </w:r>
      <w:r>
        <w:rPr>
          <w:rFonts w:ascii="仿宋" w:hAnsi="仿宋" w:eastAsia="仿宋" w:cs="仿宋"/>
          <w:spacing w:val="-7"/>
          <w:sz w:val="28"/>
          <w:szCs w:val="28"/>
        </w:rPr>
        <w:t>质疑事项2：</w:t>
      </w:r>
      <w:r>
        <w:rPr>
          <w:position w:val="-3"/>
          <w:sz w:val="28"/>
          <w:szCs w:val="28"/>
        </w:rPr>
        <w:drawing>
          <wp:inline distT="0" distB="0" distL="0" distR="0">
            <wp:extent cx="4090035"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2"/>
                    <a:stretch>
                      <a:fillRect/>
                    </a:stretch>
                  </pic:blipFill>
                  <pic:spPr>
                    <a:xfrm>
                      <a:off x="0" y="0"/>
                      <a:ext cx="4090669" cy="7619"/>
                    </a:xfrm>
                    <a:prstGeom prst="rect">
                      <a:avLst/>
                    </a:prstGeom>
                  </pic:spPr>
                </pic:pic>
              </a:graphicData>
            </a:graphic>
          </wp:inline>
        </w:drawing>
      </w:r>
      <w:r>
        <w:rPr>
          <w:rFonts w:ascii="仿宋" w:hAnsi="仿宋" w:eastAsia="仿宋" w:cs="仿宋"/>
          <w:spacing w:val="-12"/>
          <w:sz w:val="28"/>
          <w:szCs w:val="28"/>
        </w:rPr>
        <w:t>……</w:t>
      </w:r>
    </w:p>
    <w:p>
      <w:pPr>
        <w:spacing w:before="1" w:line="221" w:lineRule="auto"/>
        <w:ind w:left="12"/>
        <w:rPr>
          <w:rFonts w:ascii="黑体" w:hAnsi="黑体" w:eastAsia="黑体" w:cs="黑体"/>
          <w:sz w:val="28"/>
          <w:szCs w:val="28"/>
        </w:rPr>
      </w:pPr>
      <w:r>
        <w:rPr>
          <w:rFonts w:ascii="黑体" w:hAnsi="黑体" w:eastAsia="黑体" w:cs="黑体"/>
          <w:spacing w:val="-2"/>
          <w:sz w:val="28"/>
          <w:szCs w:val="28"/>
        </w:rPr>
        <w:t>四、与质疑事项相关的质疑请求</w:t>
      </w:r>
    </w:p>
    <w:p>
      <w:pPr>
        <w:spacing w:before="209" w:line="221" w:lineRule="auto"/>
        <w:ind w:left="3"/>
        <w:rPr>
          <w:sz w:val="28"/>
          <w:szCs w:val="28"/>
        </w:rPr>
      </w:pPr>
      <w:r>
        <w:rPr>
          <w:rFonts w:ascii="仿宋" w:hAnsi="仿宋" w:eastAsia="仿宋" w:cs="仿宋"/>
          <w:spacing w:val="-7"/>
          <w:sz w:val="28"/>
          <w:szCs w:val="28"/>
        </w:rPr>
        <w:t>请求：</w:t>
      </w:r>
      <w:r>
        <w:rPr>
          <w:position w:val="-3"/>
          <w:sz w:val="28"/>
          <w:szCs w:val="28"/>
        </w:rPr>
        <w:drawing>
          <wp:inline distT="0" distB="0" distL="0" distR="0">
            <wp:extent cx="4623435"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3"/>
                    <a:stretch>
                      <a:fillRect/>
                    </a:stretch>
                  </pic:blipFill>
                  <pic:spPr>
                    <a:xfrm>
                      <a:off x="0" y="0"/>
                      <a:ext cx="4623435" cy="7619"/>
                    </a:xfrm>
                    <a:prstGeom prst="rect">
                      <a:avLst/>
                    </a:prstGeom>
                  </pic:spPr>
                </pic:pic>
              </a:graphicData>
            </a:graphic>
          </wp:inline>
        </w:drawing>
      </w:r>
    </w:p>
    <w:p>
      <w:pPr>
        <w:spacing w:before="91" w:line="223" w:lineRule="auto"/>
        <w:ind w:left="9"/>
        <w:rPr>
          <w:rFonts w:ascii="仿宋" w:hAnsi="仿宋" w:eastAsia="仿宋" w:cs="仿宋"/>
          <w:sz w:val="28"/>
          <w:szCs w:val="28"/>
        </w:rPr>
      </w:pPr>
      <w:r>
        <w:rPr>
          <w:rFonts w:ascii="仿宋" w:hAnsi="仿宋" w:eastAsia="仿宋" w:cs="仿宋"/>
          <w:spacing w:val="-5"/>
          <w:sz w:val="28"/>
          <w:szCs w:val="28"/>
        </w:rPr>
        <w:t>签字(签章)：公章：</w:t>
      </w:r>
    </w:p>
    <w:p>
      <w:pPr>
        <w:spacing w:before="285" w:line="224" w:lineRule="auto"/>
        <w:ind w:left="62"/>
        <w:rPr>
          <w:rFonts w:ascii="仿宋" w:hAnsi="仿宋" w:eastAsia="仿宋" w:cs="仿宋"/>
          <w:sz w:val="28"/>
          <w:szCs w:val="28"/>
        </w:rPr>
      </w:pPr>
      <w:r>
        <w:rPr>
          <w:rFonts w:ascii="仿宋" w:hAnsi="仿宋" w:eastAsia="仿宋" w:cs="仿宋"/>
          <w:spacing w:val="-26"/>
          <w:sz w:val="28"/>
          <w:szCs w:val="28"/>
        </w:rPr>
        <w:t>日期：</w:t>
      </w:r>
    </w:p>
    <w:p>
      <w:pPr>
        <w:rPr>
          <w:rFonts w:ascii="仿宋" w:hAnsi="仿宋" w:eastAsia="仿宋" w:cs="仿宋"/>
          <w:b/>
          <w:bCs/>
          <w:spacing w:val="1"/>
          <w:sz w:val="43"/>
          <w:szCs w:val="43"/>
        </w:rPr>
      </w:pPr>
      <w:r>
        <w:rPr>
          <w:rFonts w:ascii="仿宋" w:hAnsi="仿宋" w:eastAsia="仿宋" w:cs="仿宋"/>
          <w:b/>
          <w:bCs/>
          <w:spacing w:val="1"/>
          <w:sz w:val="43"/>
          <w:szCs w:val="43"/>
        </w:rPr>
        <w:br w:type="page"/>
      </w:r>
    </w:p>
    <w:p>
      <w:pPr>
        <w:spacing w:before="140" w:line="226" w:lineRule="auto"/>
        <w:ind w:left="3444"/>
        <w:rPr>
          <w:rFonts w:ascii="仿宋" w:hAnsi="仿宋" w:eastAsia="仿宋" w:cs="仿宋"/>
          <w:sz w:val="43"/>
          <w:szCs w:val="43"/>
        </w:rPr>
      </w:pPr>
      <w:r>
        <w:rPr>
          <w:rFonts w:ascii="仿宋" w:hAnsi="仿宋" w:eastAsia="仿宋" w:cs="仿宋"/>
          <w:b/>
          <w:bCs/>
          <w:spacing w:val="1"/>
          <w:sz w:val="43"/>
          <w:szCs w:val="43"/>
        </w:rPr>
        <w:t>投诉书范本</w:t>
      </w:r>
    </w:p>
    <w:p>
      <w:pPr>
        <w:spacing w:before="47" w:line="221" w:lineRule="auto"/>
        <w:rPr>
          <w:rFonts w:ascii="黑体" w:hAnsi="黑体" w:eastAsia="黑体" w:cs="黑体"/>
          <w:sz w:val="28"/>
          <w:szCs w:val="28"/>
        </w:rPr>
      </w:pPr>
      <w:r>
        <w:rPr>
          <w:rFonts w:ascii="黑体" w:hAnsi="黑体" w:eastAsia="黑体" w:cs="黑体"/>
          <w:spacing w:val="-2"/>
          <w:sz w:val="28"/>
          <w:szCs w:val="28"/>
        </w:rPr>
        <w:t>一、投诉相关主体基本情况</w:t>
      </w:r>
    </w:p>
    <w:p>
      <w:pPr>
        <w:spacing w:before="27" w:line="223" w:lineRule="auto"/>
        <w:ind w:left="2"/>
        <w:rPr>
          <w:sz w:val="28"/>
          <w:szCs w:val="28"/>
        </w:rPr>
      </w:pPr>
      <w:r>
        <w:rPr>
          <w:rFonts w:ascii="仿宋" w:hAnsi="仿宋" w:eastAsia="仿宋" w:cs="仿宋"/>
          <w:spacing w:val="-5"/>
          <w:sz w:val="28"/>
          <w:szCs w:val="28"/>
        </w:rPr>
        <w:t>投诉人：</w:t>
      </w:r>
      <w:r>
        <w:rPr>
          <w:position w:val="-3"/>
          <w:sz w:val="28"/>
          <w:szCs w:val="28"/>
        </w:rPr>
        <w:drawing>
          <wp:inline distT="0" distB="0" distL="0" distR="0">
            <wp:extent cx="4445635"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4"/>
                    <a:stretch>
                      <a:fillRect/>
                    </a:stretch>
                  </pic:blipFill>
                  <pic:spPr>
                    <a:xfrm>
                      <a:off x="0" y="0"/>
                      <a:ext cx="4445635" cy="7620"/>
                    </a:xfrm>
                    <a:prstGeom prst="rect">
                      <a:avLst/>
                    </a:prstGeom>
                  </pic:spPr>
                </pic:pic>
              </a:graphicData>
            </a:graphic>
          </wp:inline>
        </w:drawing>
      </w:r>
    </w:p>
    <w:p>
      <w:pPr>
        <w:spacing w:before="24" w:line="222" w:lineRule="auto"/>
        <w:ind w:left="4"/>
        <w:rPr>
          <w:sz w:val="28"/>
          <w:szCs w:val="28"/>
        </w:rPr>
      </w:pPr>
      <w:r>
        <w:rPr>
          <w:rFonts w:ascii="仿宋" w:hAnsi="仿宋" w:eastAsia="仿宋" w:cs="仿宋"/>
          <w:spacing w:val="-15"/>
          <w:sz w:val="28"/>
          <w:szCs w:val="28"/>
        </w:rPr>
        <w:t>地址：</w:t>
      </w:r>
      <w:r>
        <w:rPr>
          <w:position w:val="-3"/>
          <w:sz w:val="28"/>
          <w:szCs w:val="28"/>
        </w:rPr>
        <w:drawing>
          <wp:inline distT="0" distB="0" distL="0" distR="0">
            <wp:extent cx="25781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5"/>
                    <a:stretch>
                      <a:fillRect/>
                    </a:stretch>
                  </pic:blipFill>
                  <pic:spPr>
                    <a:xfrm>
                      <a:off x="0" y="0"/>
                      <a:ext cx="2578734" cy="7619"/>
                    </a:xfrm>
                    <a:prstGeom prst="rect">
                      <a:avLst/>
                    </a:prstGeom>
                  </pic:spPr>
                </pic:pic>
              </a:graphicData>
            </a:graphic>
          </wp:inline>
        </w:drawing>
      </w:r>
      <w:r>
        <w:rPr>
          <w:rFonts w:ascii="仿宋" w:hAnsi="仿宋" w:eastAsia="仿宋" w:cs="仿宋"/>
          <w:spacing w:val="-15"/>
          <w:sz w:val="28"/>
          <w:szCs w:val="28"/>
        </w:rPr>
        <w:t>邮编：</w:t>
      </w:r>
      <w:r>
        <w:rPr>
          <w:position w:val="-3"/>
          <w:sz w:val="28"/>
          <w:szCs w:val="28"/>
        </w:rPr>
        <w:drawing>
          <wp:inline distT="0" distB="0" distL="0" distR="0">
            <wp:extent cx="1421765"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6"/>
                    <a:stretch>
                      <a:fillRect/>
                    </a:stretch>
                  </pic:blipFill>
                  <pic:spPr>
                    <a:xfrm>
                      <a:off x="0" y="0"/>
                      <a:ext cx="1421765" cy="7619"/>
                    </a:xfrm>
                    <a:prstGeom prst="rect">
                      <a:avLst/>
                    </a:prstGeom>
                  </pic:spPr>
                </pic:pic>
              </a:graphicData>
            </a:graphic>
          </wp:inline>
        </w:drawing>
      </w:r>
    </w:p>
    <w:p>
      <w:pPr>
        <w:spacing w:before="28" w:line="223" w:lineRule="auto"/>
        <w:ind w:left="12"/>
        <w:rPr>
          <w:sz w:val="28"/>
          <w:szCs w:val="28"/>
        </w:rPr>
      </w:pPr>
      <w:r>
        <w:rPr>
          <w:rFonts w:ascii="仿宋" w:hAnsi="仿宋" w:eastAsia="仿宋" w:cs="仿宋"/>
          <w:spacing w:val="-3"/>
          <w:sz w:val="28"/>
          <w:szCs w:val="28"/>
        </w:rPr>
        <w:t>法定代表人/主要负责人：</w:t>
      </w:r>
      <w:r>
        <w:rPr>
          <w:position w:val="-3"/>
          <w:sz w:val="28"/>
          <w:szCs w:val="28"/>
        </w:rPr>
        <w:drawing>
          <wp:inline distT="0" distB="0" distL="0" distR="0">
            <wp:extent cx="3111500"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7"/>
                    <a:stretch>
                      <a:fillRect/>
                    </a:stretch>
                  </pic:blipFill>
                  <pic:spPr>
                    <a:xfrm>
                      <a:off x="0" y="0"/>
                      <a:ext cx="3112134" cy="7619"/>
                    </a:xfrm>
                    <a:prstGeom prst="rect">
                      <a:avLst/>
                    </a:prstGeom>
                  </pic:spPr>
                </pic:pic>
              </a:graphicData>
            </a:graphic>
          </wp:inline>
        </w:drawing>
      </w:r>
    </w:p>
    <w:p>
      <w:pPr>
        <w:spacing w:before="24" w:line="223" w:lineRule="auto"/>
        <w:rPr>
          <w:sz w:val="28"/>
          <w:szCs w:val="28"/>
        </w:rPr>
      </w:pPr>
      <w:r>
        <w:rPr>
          <w:rFonts w:ascii="仿宋" w:hAnsi="仿宋" w:eastAsia="仿宋" w:cs="仿宋"/>
          <w:spacing w:val="-3"/>
          <w:sz w:val="28"/>
          <w:szCs w:val="28"/>
        </w:rPr>
        <w:t>联系电话：</w:t>
      </w:r>
      <w:r>
        <w:rPr>
          <w:position w:val="-3"/>
          <w:sz w:val="28"/>
          <w:szCs w:val="28"/>
        </w:rPr>
        <w:drawing>
          <wp:inline distT="0" distB="0" distL="0" distR="0">
            <wp:extent cx="4266565" cy="69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8"/>
                    <a:stretch>
                      <a:fillRect/>
                    </a:stretch>
                  </pic:blipFill>
                  <pic:spPr>
                    <a:xfrm>
                      <a:off x="0" y="0"/>
                      <a:ext cx="4267199" cy="7619"/>
                    </a:xfrm>
                    <a:prstGeom prst="rect">
                      <a:avLst/>
                    </a:prstGeom>
                  </pic:spPr>
                </pic:pic>
              </a:graphicData>
            </a:graphic>
          </wp:inline>
        </w:drawing>
      </w:r>
    </w:p>
    <w:p>
      <w:pPr>
        <w:spacing w:before="24" w:line="223" w:lineRule="auto"/>
        <w:ind w:left="3"/>
        <w:rPr>
          <w:rFonts w:ascii="仿宋" w:hAnsi="仿宋" w:eastAsia="仿宋" w:cs="仿宋"/>
          <w:sz w:val="28"/>
          <w:szCs w:val="28"/>
        </w:rPr>
      </w:pPr>
      <w:r>
        <w:rPr>
          <w:rFonts w:ascii="仿宋" w:hAnsi="仿宋" w:eastAsia="仿宋" w:cs="仿宋"/>
          <w:spacing w:val="-4"/>
          <w:sz w:val="28"/>
          <w:szCs w:val="28"/>
        </w:rPr>
        <w:t>授权代表：</w:t>
      </w:r>
      <w:r>
        <w:rPr>
          <w:position w:val="-3"/>
          <w:sz w:val="28"/>
          <w:szCs w:val="28"/>
        </w:rPr>
        <w:drawing>
          <wp:inline distT="0" distB="0" distL="0" distR="0">
            <wp:extent cx="1155065" cy="698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9"/>
                    <a:stretch>
                      <a:fillRect/>
                    </a:stretch>
                  </pic:blipFill>
                  <pic:spPr>
                    <a:xfrm>
                      <a:off x="0" y="0"/>
                      <a:ext cx="1155065" cy="7619"/>
                    </a:xfrm>
                    <a:prstGeom prst="rect">
                      <a:avLst/>
                    </a:prstGeom>
                  </pic:spPr>
                </pic:pic>
              </a:graphicData>
            </a:graphic>
          </wp:inline>
        </w:drawing>
      </w:r>
      <w:r>
        <w:rPr>
          <w:rFonts w:ascii="仿宋" w:hAnsi="仿宋" w:eastAsia="仿宋" w:cs="仿宋"/>
          <w:spacing w:val="-4"/>
          <w:sz w:val="28"/>
          <w:szCs w:val="28"/>
        </w:rPr>
        <w:t>联系电话</w:t>
      </w:r>
      <w:r>
        <w:rPr>
          <w:rFonts w:ascii="仿宋" w:hAnsi="仿宋" w:eastAsia="仿宋" w:cs="仿宋"/>
          <w:spacing w:val="-4"/>
          <w:sz w:val="28"/>
          <w:szCs w:val="28"/>
          <w:u w:val="dotted" w:color="auto"/>
        </w:rPr>
        <w:t>：</w:t>
      </w:r>
    </w:p>
    <w:p>
      <w:pPr>
        <w:spacing w:before="25" w:line="222" w:lineRule="auto"/>
        <w:ind w:left="4"/>
        <w:rPr>
          <w:sz w:val="28"/>
          <w:szCs w:val="28"/>
        </w:rPr>
      </w:pPr>
      <w:r>
        <w:rPr>
          <w:rFonts w:ascii="仿宋" w:hAnsi="仿宋" w:eastAsia="仿宋" w:cs="仿宋"/>
          <w:spacing w:val="-14"/>
          <w:sz w:val="28"/>
          <w:szCs w:val="28"/>
        </w:rPr>
        <w:t>地址：</w:t>
      </w:r>
      <w:r>
        <w:rPr>
          <w:position w:val="-3"/>
          <w:sz w:val="28"/>
          <w:szCs w:val="28"/>
        </w:rPr>
        <w:drawing>
          <wp:inline distT="0" distB="0" distL="0" distR="0">
            <wp:extent cx="2576830" cy="762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0"/>
                    <a:stretch>
                      <a:fillRect/>
                    </a:stretch>
                  </pic:blipFill>
                  <pic:spPr>
                    <a:xfrm>
                      <a:off x="0" y="0"/>
                      <a:ext cx="2577464" cy="7620"/>
                    </a:xfrm>
                    <a:prstGeom prst="rect">
                      <a:avLst/>
                    </a:prstGeom>
                  </pic:spPr>
                </pic:pic>
              </a:graphicData>
            </a:graphic>
          </wp:inline>
        </w:drawing>
      </w:r>
      <w:r>
        <w:rPr>
          <w:rFonts w:ascii="仿宋" w:hAnsi="仿宋" w:eastAsia="仿宋" w:cs="仿宋"/>
          <w:spacing w:val="-14"/>
          <w:sz w:val="28"/>
          <w:szCs w:val="28"/>
        </w:rPr>
        <w:t>邮编：</w:t>
      </w:r>
      <w:r>
        <w:rPr>
          <w:position w:val="-3"/>
          <w:sz w:val="28"/>
          <w:szCs w:val="28"/>
        </w:rPr>
        <w:drawing>
          <wp:inline distT="0" distB="0" distL="0" distR="0">
            <wp:extent cx="1422400" cy="762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1"/>
                    <a:stretch>
                      <a:fillRect/>
                    </a:stretch>
                  </pic:blipFill>
                  <pic:spPr>
                    <a:xfrm>
                      <a:off x="0" y="0"/>
                      <a:ext cx="1423034" cy="7620"/>
                    </a:xfrm>
                    <a:prstGeom prst="rect">
                      <a:avLst/>
                    </a:prstGeom>
                  </pic:spPr>
                </pic:pic>
              </a:graphicData>
            </a:graphic>
          </wp:inline>
        </w:drawing>
      </w:r>
    </w:p>
    <w:p>
      <w:pPr>
        <w:spacing w:before="27" w:line="223" w:lineRule="auto"/>
        <w:ind w:left="3"/>
        <w:rPr>
          <w:sz w:val="28"/>
          <w:szCs w:val="28"/>
        </w:rPr>
      </w:pPr>
      <w:r>
        <w:rPr>
          <w:rFonts w:ascii="仿宋" w:hAnsi="仿宋" w:eastAsia="仿宋" w:cs="仿宋"/>
          <w:spacing w:val="-9"/>
          <w:sz w:val="28"/>
          <w:szCs w:val="28"/>
        </w:rPr>
        <w:t>被投诉人1：</w:t>
      </w:r>
      <w:r>
        <w:rPr>
          <w:position w:val="-3"/>
          <w:sz w:val="28"/>
          <w:szCs w:val="28"/>
        </w:rPr>
        <w:drawing>
          <wp:inline distT="0" distB="0" distL="0" distR="0">
            <wp:extent cx="4090035" cy="762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2"/>
                    <a:stretch>
                      <a:fillRect/>
                    </a:stretch>
                  </pic:blipFill>
                  <pic:spPr>
                    <a:xfrm>
                      <a:off x="0" y="0"/>
                      <a:ext cx="4090669" cy="7620"/>
                    </a:xfrm>
                    <a:prstGeom prst="rect">
                      <a:avLst/>
                    </a:prstGeom>
                  </pic:spPr>
                </pic:pic>
              </a:graphicData>
            </a:graphic>
          </wp:inline>
        </w:drawing>
      </w:r>
    </w:p>
    <w:p>
      <w:pPr>
        <w:spacing w:before="25" w:line="222" w:lineRule="auto"/>
        <w:ind w:left="4"/>
        <w:rPr>
          <w:sz w:val="28"/>
          <w:szCs w:val="28"/>
        </w:rPr>
      </w:pPr>
      <w:r>
        <w:rPr>
          <w:rFonts w:ascii="仿宋" w:hAnsi="仿宋" w:eastAsia="仿宋" w:cs="仿宋"/>
          <w:spacing w:val="-14"/>
          <w:sz w:val="28"/>
          <w:szCs w:val="28"/>
        </w:rPr>
        <w:t>地址：</w:t>
      </w:r>
      <w:r>
        <w:rPr>
          <w:position w:val="-3"/>
          <w:sz w:val="28"/>
          <w:szCs w:val="28"/>
        </w:rPr>
        <w:drawing>
          <wp:inline distT="0" distB="0" distL="0" distR="0">
            <wp:extent cx="2576830" cy="762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3"/>
                    <a:stretch>
                      <a:fillRect/>
                    </a:stretch>
                  </pic:blipFill>
                  <pic:spPr>
                    <a:xfrm>
                      <a:off x="0" y="0"/>
                      <a:ext cx="2577464" cy="7620"/>
                    </a:xfrm>
                    <a:prstGeom prst="rect">
                      <a:avLst/>
                    </a:prstGeom>
                  </pic:spPr>
                </pic:pic>
              </a:graphicData>
            </a:graphic>
          </wp:inline>
        </w:drawing>
      </w:r>
      <w:r>
        <w:rPr>
          <w:rFonts w:ascii="仿宋" w:hAnsi="仿宋" w:eastAsia="仿宋" w:cs="仿宋"/>
          <w:spacing w:val="-14"/>
          <w:sz w:val="28"/>
          <w:szCs w:val="28"/>
        </w:rPr>
        <w:t>邮编：</w:t>
      </w:r>
      <w:r>
        <w:rPr>
          <w:position w:val="-3"/>
          <w:sz w:val="28"/>
          <w:szCs w:val="28"/>
        </w:rPr>
        <w:drawing>
          <wp:inline distT="0" distB="0" distL="0" distR="0">
            <wp:extent cx="1422400" cy="762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4"/>
                    <a:stretch>
                      <a:fillRect/>
                    </a:stretch>
                  </pic:blipFill>
                  <pic:spPr>
                    <a:xfrm>
                      <a:off x="0" y="0"/>
                      <a:ext cx="1423034" cy="7620"/>
                    </a:xfrm>
                    <a:prstGeom prst="rect">
                      <a:avLst/>
                    </a:prstGeom>
                  </pic:spPr>
                </pic:pic>
              </a:graphicData>
            </a:graphic>
          </wp:inline>
        </w:drawing>
      </w:r>
    </w:p>
    <w:p>
      <w:pPr>
        <w:spacing w:before="28" w:line="223" w:lineRule="auto"/>
        <w:rPr>
          <w:sz w:val="28"/>
          <w:szCs w:val="28"/>
        </w:rPr>
      </w:pPr>
      <w:r>
        <w:rPr>
          <w:rFonts w:ascii="仿宋" w:hAnsi="仿宋" w:eastAsia="仿宋" w:cs="仿宋"/>
          <w:spacing w:val="-4"/>
          <w:sz w:val="28"/>
          <w:szCs w:val="28"/>
        </w:rPr>
        <w:t>联系人：</w:t>
      </w:r>
      <w:r>
        <w:rPr>
          <w:position w:val="-3"/>
          <w:sz w:val="28"/>
          <w:szCs w:val="28"/>
        </w:rPr>
        <w:drawing>
          <wp:inline distT="0" distB="0" distL="0" distR="0">
            <wp:extent cx="1333500" cy="698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5"/>
                    <a:stretch>
                      <a:fillRect/>
                    </a:stretch>
                  </pic:blipFill>
                  <pic:spPr>
                    <a:xfrm>
                      <a:off x="0" y="0"/>
                      <a:ext cx="1333500" cy="7619"/>
                    </a:xfrm>
                    <a:prstGeom prst="rect">
                      <a:avLst/>
                    </a:prstGeom>
                  </pic:spPr>
                </pic:pic>
              </a:graphicData>
            </a:graphic>
          </wp:inline>
        </w:drawing>
      </w:r>
      <w:r>
        <w:rPr>
          <w:rFonts w:ascii="仿宋" w:hAnsi="仿宋" w:eastAsia="仿宋" w:cs="仿宋"/>
          <w:spacing w:val="-4"/>
          <w:sz w:val="28"/>
          <w:szCs w:val="28"/>
        </w:rPr>
        <w:t>联系电话：</w:t>
      </w:r>
      <w:r>
        <w:rPr>
          <w:position w:val="-3"/>
          <w:sz w:val="28"/>
          <w:szCs w:val="28"/>
        </w:rPr>
        <w:drawing>
          <wp:inline distT="0" distB="0" distL="0" distR="0">
            <wp:extent cx="2222500" cy="698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22"/>
                    <a:stretch>
                      <a:fillRect/>
                    </a:stretch>
                  </pic:blipFill>
                  <pic:spPr>
                    <a:xfrm>
                      <a:off x="0" y="0"/>
                      <a:ext cx="2223134" cy="7619"/>
                    </a:xfrm>
                    <a:prstGeom prst="rect">
                      <a:avLst/>
                    </a:prstGeom>
                  </pic:spPr>
                </pic:pic>
              </a:graphicData>
            </a:graphic>
          </wp:inline>
        </w:drawing>
      </w:r>
    </w:p>
    <w:p>
      <w:pPr>
        <w:spacing w:before="23" w:line="239" w:lineRule="auto"/>
        <w:ind w:left="13" w:right="7522" w:hanging="10"/>
        <w:rPr>
          <w:rFonts w:ascii="仿宋" w:hAnsi="仿宋" w:eastAsia="仿宋" w:cs="仿宋"/>
          <w:sz w:val="28"/>
          <w:szCs w:val="28"/>
        </w:rPr>
      </w:pPr>
      <w:r>
        <w:rPr>
          <w:rFonts w:ascii="仿宋" w:hAnsi="仿宋" w:eastAsia="仿宋" w:cs="仿宋"/>
          <w:spacing w:val="-16"/>
          <w:sz w:val="28"/>
          <w:szCs w:val="28"/>
        </w:rPr>
        <w:t>被投诉人2：</w:t>
      </w:r>
      <w:r>
        <w:rPr>
          <w:rFonts w:ascii="仿宋" w:hAnsi="仿宋" w:eastAsia="仿宋" w:cs="仿宋"/>
          <w:spacing w:val="-14"/>
          <w:sz w:val="28"/>
          <w:szCs w:val="28"/>
        </w:rPr>
        <w:t>……</w:t>
      </w:r>
    </w:p>
    <w:p>
      <w:pPr>
        <w:spacing w:before="1" w:line="222" w:lineRule="auto"/>
        <w:ind w:left="5"/>
        <w:rPr>
          <w:sz w:val="28"/>
          <w:szCs w:val="28"/>
        </w:rPr>
      </w:pPr>
      <w:r>
        <w:rPr>
          <w:rFonts w:ascii="仿宋" w:hAnsi="仿宋" w:eastAsia="仿宋" w:cs="仿宋"/>
          <w:spacing w:val="-4"/>
          <w:sz w:val="28"/>
          <w:szCs w:val="28"/>
        </w:rPr>
        <w:t>相关供应商：</w:t>
      </w:r>
      <w:r>
        <w:rPr>
          <w:position w:val="-3"/>
          <w:sz w:val="28"/>
          <w:szCs w:val="28"/>
        </w:rPr>
        <w:drawing>
          <wp:inline distT="0" distB="0" distL="0" distR="0">
            <wp:extent cx="3644900" cy="698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46"/>
                    <a:stretch>
                      <a:fillRect/>
                    </a:stretch>
                  </pic:blipFill>
                  <pic:spPr>
                    <a:xfrm>
                      <a:off x="0" y="0"/>
                      <a:ext cx="3644900" cy="7619"/>
                    </a:xfrm>
                    <a:prstGeom prst="rect">
                      <a:avLst/>
                    </a:prstGeom>
                  </pic:spPr>
                </pic:pic>
              </a:graphicData>
            </a:graphic>
          </wp:inline>
        </w:drawing>
      </w:r>
    </w:p>
    <w:p>
      <w:pPr>
        <w:spacing w:before="28" w:line="222" w:lineRule="auto"/>
        <w:ind w:left="4"/>
        <w:rPr>
          <w:sz w:val="28"/>
          <w:szCs w:val="28"/>
        </w:rPr>
      </w:pPr>
      <w:r>
        <w:rPr>
          <w:rFonts w:ascii="仿宋" w:hAnsi="仿宋" w:eastAsia="仿宋" w:cs="仿宋"/>
          <w:spacing w:val="-15"/>
          <w:sz w:val="28"/>
          <w:szCs w:val="28"/>
        </w:rPr>
        <w:t>地址：</w:t>
      </w:r>
      <w:r>
        <w:rPr>
          <w:position w:val="-3"/>
          <w:sz w:val="28"/>
          <w:szCs w:val="28"/>
        </w:rPr>
        <w:drawing>
          <wp:inline distT="0" distB="0" distL="0" distR="0">
            <wp:extent cx="2577465" cy="698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7"/>
                    <a:stretch>
                      <a:fillRect/>
                    </a:stretch>
                  </pic:blipFill>
                  <pic:spPr>
                    <a:xfrm>
                      <a:off x="0" y="0"/>
                      <a:ext cx="2578099" cy="7619"/>
                    </a:xfrm>
                    <a:prstGeom prst="rect">
                      <a:avLst/>
                    </a:prstGeom>
                  </pic:spPr>
                </pic:pic>
              </a:graphicData>
            </a:graphic>
          </wp:inline>
        </w:drawing>
      </w:r>
      <w:r>
        <w:rPr>
          <w:rFonts w:ascii="仿宋" w:hAnsi="仿宋" w:eastAsia="仿宋" w:cs="仿宋"/>
          <w:spacing w:val="-15"/>
          <w:sz w:val="28"/>
          <w:szCs w:val="28"/>
        </w:rPr>
        <w:t>邮编：</w:t>
      </w:r>
      <w:r>
        <w:rPr>
          <w:position w:val="-3"/>
          <w:sz w:val="28"/>
          <w:szCs w:val="28"/>
        </w:rPr>
        <w:drawing>
          <wp:inline distT="0" distB="0" distL="0" distR="0">
            <wp:extent cx="1333500" cy="698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48"/>
                    <a:stretch>
                      <a:fillRect/>
                    </a:stretch>
                  </pic:blipFill>
                  <pic:spPr>
                    <a:xfrm>
                      <a:off x="0" y="0"/>
                      <a:ext cx="1333500" cy="7619"/>
                    </a:xfrm>
                    <a:prstGeom prst="rect">
                      <a:avLst/>
                    </a:prstGeom>
                  </pic:spPr>
                </pic:pic>
              </a:graphicData>
            </a:graphic>
          </wp:inline>
        </w:drawing>
      </w:r>
    </w:p>
    <w:p>
      <w:pPr>
        <w:spacing w:before="25" w:line="239" w:lineRule="auto"/>
        <w:ind w:right="2072"/>
        <w:rPr>
          <w:rFonts w:ascii="黑体" w:hAnsi="黑体" w:eastAsia="黑体" w:cs="黑体"/>
          <w:sz w:val="28"/>
          <w:szCs w:val="28"/>
        </w:rPr>
      </w:pPr>
      <w:r>
        <w:rPr>
          <w:rFonts w:ascii="仿宋" w:hAnsi="仿宋" w:eastAsia="仿宋" w:cs="仿宋"/>
          <w:spacing w:val="-4"/>
          <w:sz w:val="28"/>
          <w:szCs w:val="28"/>
        </w:rPr>
        <w:t>联系人：</w:t>
      </w:r>
      <w:r>
        <w:rPr>
          <w:position w:val="-3"/>
          <w:sz w:val="28"/>
          <w:szCs w:val="28"/>
        </w:rPr>
        <w:drawing>
          <wp:inline distT="0" distB="0" distL="0" distR="0">
            <wp:extent cx="1333500" cy="698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49"/>
                    <a:stretch>
                      <a:fillRect/>
                    </a:stretch>
                  </pic:blipFill>
                  <pic:spPr>
                    <a:xfrm>
                      <a:off x="0" y="0"/>
                      <a:ext cx="1333500" cy="7619"/>
                    </a:xfrm>
                    <a:prstGeom prst="rect">
                      <a:avLst/>
                    </a:prstGeom>
                  </pic:spPr>
                </pic:pic>
              </a:graphicData>
            </a:graphic>
          </wp:inline>
        </w:drawing>
      </w:r>
      <w:r>
        <w:rPr>
          <w:rFonts w:ascii="仿宋" w:hAnsi="仿宋" w:eastAsia="仿宋" w:cs="仿宋"/>
          <w:spacing w:val="-4"/>
          <w:sz w:val="28"/>
          <w:szCs w:val="28"/>
        </w:rPr>
        <w:t>联系电话：</w:t>
      </w:r>
      <w:r>
        <w:rPr>
          <w:position w:val="-3"/>
          <w:sz w:val="28"/>
          <w:szCs w:val="28"/>
        </w:rPr>
        <w:drawing>
          <wp:inline distT="0" distB="0" distL="0" distR="0">
            <wp:extent cx="1511300" cy="698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50"/>
                    <a:stretch>
                      <a:fillRect/>
                    </a:stretch>
                  </pic:blipFill>
                  <pic:spPr>
                    <a:xfrm>
                      <a:off x="0" y="0"/>
                      <a:ext cx="1511300" cy="7619"/>
                    </a:xfrm>
                    <a:prstGeom prst="rect">
                      <a:avLst/>
                    </a:prstGeom>
                  </pic:spPr>
                </pic:pic>
              </a:graphicData>
            </a:graphic>
          </wp:inline>
        </w:drawing>
      </w:r>
      <w:r>
        <w:rPr>
          <w:rFonts w:ascii="黑体" w:hAnsi="黑体" w:eastAsia="黑体" w:cs="黑体"/>
          <w:spacing w:val="-2"/>
          <w:sz w:val="28"/>
          <w:szCs w:val="28"/>
        </w:rPr>
        <w:t>二、投诉项目基本情况</w:t>
      </w:r>
    </w:p>
    <w:p>
      <w:pPr>
        <w:spacing w:before="2" w:line="222" w:lineRule="auto"/>
        <w:ind w:left="5"/>
        <w:rPr>
          <w:sz w:val="28"/>
          <w:szCs w:val="28"/>
        </w:rPr>
      </w:pPr>
      <w:r>
        <w:rPr>
          <w:rFonts w:ascii="仿宋" w:hAnsi="仿宋" w:eastAsia="仿宋" w:cs="仿宋"/>
          <w:spacing w:val="-3"/>
          <w:sz w:val="28"/>
          <w:szCs w:val="28"/>
        </w:rPr>
        <w:t>采购项目名称：</w:t>
      </w:r>
      <w:r>
        <w:rPr>
          <w:position w:val="-3"/>
          <w:sz w:val="28"/>
          <w:szCs w:val="28"/>
        </w:rPr>
        <w:drawing>
          <wp:inline distT="0" distB="0" distL="0" distR="0">
            <wp:extent cx="3556000" cy="698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51"/>
                    <a:stretch>
                      <a:fillRect/>
                    </a:stretch>
                  </pic:blipFill>
                  <pic:spPr>
                    <a:xfrm>
                      <a:off x="0" y="0"/>
                      <a:ext cx="3556000" cy="7619"/>
                    </a:xfrm>
                    <a:prstGeom prst="rect">
                      <a:avLst/>
                    </a:prstGeom>
                  </pic:spPr>
                </pic:pic>
              </a:graphicData>
            </a:graphic>
          </wp:inline>
        </w:drawing>
      </w:r>
    </w:p>
    <w:p>
      <w:pPr>
        <w:spacing w:before="26" w:line="223" w:lineRule="auto"/>
        <w:ind w:left="5"/>
        <w:rPr>
          <w:sz w:val="28"/>
          <w:szCs w:val="28"/>
        </w:rPr>
      </w:pPr>
      <w:r>
        <w:rPr>
          <w:rFonts w:ascii="仿宋" w:hAnsi="仿宋" w:eastAsia="仿宋" w:cs="仿宋"/>
          <w:spacing w:val="-6"/>
          <w:sz w:val="28"/>
          <w:szCs w:val="28"/>
        </w:rPr>
        <w:t>采购项目编号：</w:t>
      </w:r>
      <w:r>
        <w:rPr>
          <w:position w:val="-3"/>
          <w:sz w:val="28"/>
          <w:szCs w:val="28"/>
        </w:rPr>
        <w:drawing>
          <wp:inline distT="0" distB="0" distL="0" distR="0">
            <wp:extent cx="1511300" cy="698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52"/>
                    <a:stretch>
                      <a:fillRect/>
                    </a:stretch>
                  </pic:blipFill>
                  <pic:spPr>
                    <a:xfrm>
                      <a:off x="0" y="0"/>
                      <a:ext cx="1511934" cy="7619"/>
                    </a:xfrm>
                    <a:prstGeom prst="rect">
                      <a:avLst/>
                    </a:prstGeom>
                  </pic:spPr>
                </pic:pic>
              </a:graphicData>
            </a:graphic>
          </wp:inline>
        </w:drawing>
      </w:r>
      <w:r>
        <w:rPr>
          <w:rFonts w:ascii="仿宋" w:hAnsi="仿宋" w:eastAsia="仿宋" w:cs="仿宋"/>
          <w:spacing w:val="-6"/>
          <w:sz w:val="28"/>
          <w:szCs w:val="28"/>
        </w:rPr>
        <w:t>包号：</w:t>
      </w:r>
      <w:r>
        <w:rPr>
          <w:position w:val="-3"/>
          <w:sz w:val="28"/>
          <w:szCs w:val="28"/>
        </w:rPr>
        <w:drawing>
          <wp:inline distT="0" distB="0" distL="0" distR="0">
            <wp:extent cx="1243965" cy="698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53"/>
                    <a:stretch>
                      <a:fillRect/>
                    </a:stretch>
                  </pic:blipFill>
                  <pic:spPr>
                    <a:xfrm>
                      <a:off x="0" y="0"/>
                      <a:ext cx="1243965" cy="7619"/>
                    </a:xfrm>
                    <a:prstGeom prst="rect">
                      <a:avLst/>
                    </a:prstGeom>
                  </pic:spPr>
                </pic:pic>
              </a:graphicData>
            </a:graphic>
          </wp:inline>
        </w:drawing>
      </w:r>
    </w:p>
    <w:p>
      <w:pPr>
        <w:spacing w:before="24" w:line="222" w:lineRule="auto"/>
        <w:ind w:left="5"/>
        <w:rPr>
          <w:sz w:val="28"/>
          <w:szCs w:val="28"/>
        </w:rPr>
      </w:pPr>
      <w:r>
        <w:rPr>
          <w:rFonts w:ascii="仿宋" w:hAnsi="仿宋" w:eastAsia="仿宋" w:cs="仿宋"/>
          <w:spacing w:val="-4"/>
          <w:sz w:val="28"/>
          <w:szCs w:val="28"/>
        </w:rPr>
        <w:t>采购人名称：</w:t>
      </w:r>
      <w:r>
        <w:rPr>
          <w:position w:val="-3"/>
          <w:sz w:val="28"/>
          <w:szCs w:val="28"/>
        </w:rPr>
        <w:drawing>
          <wp:inline distT="0" distB="0" distL="0" distR="0">
            <wp:extent cx="3822700" cy="698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54"/>
                    <a:stretch>
                      <a:fillRect/>
                    </a:stretch>
                  </pic:blipFill>
                  <pic:spPr>
                    <a:xfrm>
                      <a:off x="0" y="0"/>
                      <a:ext cx="3823334" cy="7619"/>
                    </a:xfrm>
                    <a:prstGeom prst="rect">
                      <a:avLst/>
                    </a:prstGeom>
                  </pic:spPr>
                </pic:pic>
              </a:graphicData>
            </a:graphic>
          </wp:inline>
        </w:drawing>
      </w:r>
    </w:p>
    <w:p>
      <w:pPr>
        <w:spacing w:before="25" w:line="222" w:lineRule="auto"/>
        <w:ind w:left="8"/>
        <w:rPr>
          <w:sz w:val="28"/>
          <w:szCs w:val="28"/>
        </w:rPr>
      </w:pPr>
      <w:r>
        <w:rPr>
          <w:rFonts w:ascii="仿宋" w:hAnsi="仿宋" w:eastAsia="仿宋" w:cs="仿宋"/>
          <w:spacing w:val="-4"/>
          <w:sz w:val="28"/>
          <w:szCs w:val="28"/>
        </w:rPr>
        <w:t>代理机构名称：</w:t>
      </w:r>
      <w:r>
        <w:rPr>
          <w:position w:val="-3"/>
          <w:sz w:val="28"/>
          <w:szCs w:val="28"/>
        </w:rPr>
        <w:drawing>
          <wp:inline distT="0" distB="0" distL="0" distR="0">
            <wp:extent cx="3644900" cy="698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55"/>
                    <a:stretch>
                      <a:fillRect/>
                    </a:stretch>
                  </pic:blipFill>
                  <pic:spPr>
                    <a:xfrm>
                      <a:off x="0" y="0"/>
                      <a:ext cx="3645534" cy="7619"/>
                    </a:xfrm>
                    <a:prstGeom prst="rect">
                      <a:avLst/>
                    </a:prstGeom>
                  </pic:spPr>
                </pic:pic>
              </a:graphicData>
            </a:graphic>
          </wp:inline>
        </w:drawing>
      </w:r>
    </w:p>
    <w:p>
      <w:pPr>
        <w:spacing w:before="29" w:line="223" w:lineRule="auto"/>
        <w:ind w:left="5"/>
        <w:rPr>
          <w:sz w:val="28"/>
          <w:szCs w:val="28"/>
        </w:rPr>
      </w:pPr>
      <w:r>
        <w:rPr>
          <w:rFonts w:ascii="仿宋" w:hAnsi="仿宋" w:eastAsia="仿宋" w:cs="仿宋"/>
          <w:spacing w:val="-2"/>
          <w:sz w:val="28"/>
          <w:szCs w:val="28"/>
        </w:rPr>
        <w:t>采购文件公告:</w:t>
      </w:r>
      <w:r>
        <w:rPr>
          <w:rFonts w:ascii="仿宋" w:hAnsi="仿宋" w:eastAsia="仿宋" w:cs="仿宋"/>
          <w:spacing w:val="-2"/>
          <w:sz w:val="28"/>
          <w:szCs w:val="28"/>
          <w:u w:val="dotted" w:color="auto"/>
        </w:rPr>
        <w:t>是/否</w:t>
      </w:r>
      <w:r>
        <w:rPr>
          <w:rFonts w:ascii="仿宋" w:hAnsi="仿宋" w:eastAsia="仿宋" w:cs="仿宋"/>
          <w:spacing w:val="-2"/>
          <w:sz w:val="28"/>
          <w:szCs w:val="28"/>
        </w:rPr>
        <w:t>公告期限：</w:t>
      </w:r>
      <w:r>
        <w:rPr>
          <w:position w:val="-3"/>
          <w:sz w:val="28"/>
          <w:szCs w:val="28"/>
        </w:rPr>
        <w:drawing>
          <wp:inline distT="0" distB="0" distL="0" distR="0">
            <wp:extent cx="2933700" cy="698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56"/>
                    <a:stretch>
                      <a:fillRect/>
                    </a:stretch>
                  </pic:blipFill>
                  <pic:spPr>
                    <a:xfrm>
                      <a:off x="0" y="0"/>
                      <a:ext cx="2933700" cy="7619"/>
                    </a:xfrm>
                    <a:prstGeom prst="rect">
                      <a:avLst/>
                    </a:prstGeom>
                  </pic:spPr>
                </pic:pic>
              </a:graphicData>
            </a:graphic>
          </wp:inline>
        </w:drawing>
      </w:r>
    </w:p>
    <w:p>
      <w:pPr>
        <w:spacing w:before="24" w:line="239" w:lineRule="auto"/>
        <w:ind w:left="1" w:right="1652" w:firstLine="4"/>
        <w:rPr>
          <w:rFonts w:ascii="黑体" w:hAnsi="黑体" w:eastAsia="黑体" w:cs="黑体"/>
          <w:sz w:val="28"/>
          <w:szCs w:val="28"/>
        </w:rPr>
      </w:pPr>
      <w:r>
        <w:rPr>
          <w:rFonts w:ascii="仿宋" w:hAnsi="仿宋" w:eastAsia="仿宋" w:cs="仿宋"/>
          <w:spacing w:val="-2"/>
          <w:sz w:val="28"/>
          <w:szCs w:val="28"/>
        </w:rPr>
        <w:t>采购结果公告:</w:t>
      </w:r>
      <w:r>
        <w:rPr>
          <w:rFonts w:ascii="仿宋" w:hAnsi="仿宋" w:eastAsia="仿宋" w:cs="仿宋"/>
          <w:spacing w:val="-2"/>
          <w:sz w:val="28"/>
          <w:szCs w:val="28"/>
          <w:u w:val="dotted" w:color="auto"/>
        </w:rPr>
        <w:t>是/否</w:t>
      </w:r>
      <w:r>
        <w:rPr>
          <w:rFonts w:ascii="仿宋" w:hAnsi="仿宋" w:eastAsia="仿宋" w:cs="仿宋"/>
          <w:spacing w:val="-2"/>
          <w:sz w:val="28"/>
          <w:szCs w:val="28"/>
        </w:rPr>
        <w:t>公告期限：</w:t>
      </w:r>
      <w:r>
        <w:rPr>
          <w:position w:val="-3"/>
          <w:sz w:val="28"/>
          <w:szCs w:val="28"/>
        </w:rPr>
        <w:drawing>
          <wp:inline distT="0" distB="0" distL="0" distR="0">
            <wp:extent cx="2133600" cy="698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57"/>
                    <a:stretch>
                      <a:fillRect/>
                    </a:stretch>
                  </pic:blipFill>
                  <pic:spPr>
                    <a:xfrm>
                      <a:off x="0" y="0"/>
                      <a:ext cx="2133600" cy="7619"/>
                    </a:xfrm>
                    <a:prstGeom prst="rect">
                      <a:avLst/>
                    </a:prstGeom>
                  </pic:spPr>
                </pic:pic>
              </a:graphicData>
            </a:graphic>
          </wp:inline>
        </w:drawing>
      </w:r>
      <w:r>
        <w:rPr>
          <w:rFonts w:ascii="黑体" w:hAnsi="黑体" w:eastAsia="黑体" w:cs="黑体"/>
          <w:spacing w:val="-2"/>
          <w:sz w:val="28"/>
          <w:szCs w:val="28"/>
        </w:rPr>
        <w:t>三、质疑基本情况</w:t>
      </w:r>
    </w:p>
    <w:p>
      <w:pPr>
        <w:spacing w:before="2" w:line="239" w:lineRule="auto"/>
        <w:ind w:left="3" w:firstLine="560"/>
        <w:rPr>
          <w:sz w:val="28"/>
          <w:szCs w:val="28"/>
        </w:rPr>
      </w:pPr>
      <w:r>
        <w:rPr>
          <w:rFonts w:ascii="仿宋" w:hAnsi="仿宋" w:eastAsia="仿宋" w:cs="仿宋"/>
          <w:spacing w:val="-9"/>
          <w:sz w:val="28"/>
          <w:szCs w:val="28"/>
        </w:rPr>
        <w:t>投诉人于</w:t>
      </w:r>
      <w:r>
        <w:rPr>
          <w:position w:val="-3"/>
          <w:sz w:val="28"/>
          <w:szCs w:val="28"/>
        </w:rPr>
        <w:drawing>
          <wp:inline distT="0" distB="0" distL="0" distR="0">
            <wp:extent cx="269240" cy="698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58"/>
                    <a:stretch>
                      <a:fillRect/>
                    </a:stretch>
                  </pic:blipFill>
                  <pic:spPr>
                    <a:xfrm>
                      <a:off x="0" y="0"/>
                      <a:ext cx="269790" cy="7619"/>
                    </a:xfrm>
                    <a:prstGeom prst="rect">
                      <a:avLst/>
                    </a:prstGeom>
                  </pic:spPr>
                </pic:pic>
              </a:graphicData>
            </a:graphic>
          </wp:inline>
        </w:drawing>
      </w:r>
      <w:r>
        <w:rPr>
          <w:rFonts w:ascii="仿宋" w:hAnsi="仿宋" w:eastAsia="仿宋" w:cs="仿宋"/>
          <w:spacing w:val="-9"/>
          <w:sz w:val="28"/>
          <w:szCs w:val="28"/>
        </w:rPr>
        <w:t>年</w:t>
      </w:r>
      <w:r>
        <w:rPr>
          <w:position w:val="-3"/>
          <w:sz w:val="28"/>
          <w:szCs w:val="28"/>
        </w:rPr>
        <w:drawing>
          <wp:inline distT="0" distB="0" distL="0" distR="0">
            <wp:extent cx="271145" cy="698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59"/>
                    <a:stretch>
                      <a:fillRect/>
                    </a:stretch>
                  </pic:blipFill>
                  <pic:spPr>
                    <a:xfrm>
                      <a:off x="0" y="0"/>
                      <a:ext cx="271699" cy="7619"/>
                    </a:xfrm>
                    <a:prstGeom prst="rect">
                      <a:avLst/>
                    </a:prstGeom>
                  </pic:spPr>
                </pic:pic>
              </a:graphicData>
            </a:graphic>
          </wp:inline>
        </w:drawing>
      </w:r>
      <w:r>
        <w:rPr>
          <w:rFonts w:ascii="仿宋" w:hAnsi="仿宋" w:eastAsia="仿宋" w:cs="仿宋"/>
          <w:spacing w:val="-9"/>
          <w:sz w:val="28"/>
          <w:szCs w:val="28"/>
        </w:rPr>
        <w:t>月</w:t>
      </w:r>
      <w:r>
        <w:rPr>
          <w:position w:val="-3"/>
          <w:sz w:val="28"/>
          <w:szCs w:val="28"/>
        </w:rPr>
        <w:drawing>
          <wp:inline distT="0" distB="0" distL="0" distR="0">
            <wp:extent cx="181610" cy="698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60"/>
                    <a:stretch>
                      <a:fillRect/>
                    </a:stretch>
                  </pic:blipFill>
                  <pic:spPr>
                    <a:xfrm>
                      <a:off x="0" y="0"/>
                      <a:ext cx="181981" cy="7619"/>
                    </a:xfrm>
                    <a:prstGeom prst="rect">
                      <a:avLst/>
                    </a:prstGeom>
                  </pic:spPr>
                </pic:pic>
              </a:graphicData>
            </a:graphic>
          </wp:inline>
        </w:drawing>
      </w:r>
      <w:r>
        <w:rPr>
          <w:rFonts w:ascii="仿宋" w:hAnsi="仿宋" w:eastAsia="仿宋" w:cs="仿宋"/>
          <w:spacing w:val="-9"/>
          <w:sz w:val="28"/>
          <w:szCs w:val="28"/>
        </w:rPr>
        <w:t>日,向</w:t>
      </w:r>
      <w:r>
        <w:rPr>
          <w:position w:val="-3"/>
          <w:sz w:val="28"/>
          <w:szCs w:val="28"/>
        </w:rPr>
        <w:drawing>
          <wp:inline distT="0" distB="0" distL="0" distR="0">
            <wp:extent cx="1903730" cy="698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61"/>
                    <a:stretch>
                      <a:fillRect/>
                    </a:stretch>
                  </pic:blipFill>
                  <pic:spPr>
                    <a:xfrm>
                      <a:off x="0" y="0"/>
                      <a:ext cx="1903806" cy="7619"/>
                    </a:xfrm>
                    <a:prstGeom prst="rect">
                      <a:avLst/>
                    </a:prstGeom>
                  </pic:spPr>
                </pic:pic>
              </a:graphicData>
            </a:graphic>
          </wp:inline>
        </w:drawing>
      </w:r>
      <w:r>
        <w:rPr>
          <w:rFonts w:ascii="仿宋" w:hAnsi="仿宋" w:eastAsia="仿宋" w:cs="仿宋"/>
          <w:spacing w:val="-9"/>
          <w:sz w:val="28"/>
          <w:szCs w:val="28"/>
        </w:rPr>
        <w:t>提出质疑，质疑</w:t>
      </w:r>
      <w:r>
        <w:rPr>
          <w:rFonts w:ascii="仿宋" w:hAnsi="仿宋" w:eastAsia="仿宋" w:cs="仿宋"/>
          <w:spacing w:val="-5"/>
          <w:sz w:val="28"/>
          <w:szCs w:val="28"/>
        </w:rPr>
        <w:t>事项为：</w:t>
      </w:r>
      <w:r>
        <w:rPr>
          <w:position w:val="-3"/>
          <w:sz w:val="28"/>
          <w:szCs w:val="28"/>
        </w:rPr>
        <w:drawing>
          <wp:inline distT="0" distB="0" distL="0" distR="0">
            <wp:extent cx="4979035" cy="698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62"/>
                    <a:stretch>
                      <a:fillRect/>
                    </a:stretch>
                  </pic:blipFill>
                  <pic:spPr>
                    <a:xfrm>
                      <a:off x="0" y="0"/>
                      <a:ext cx="4979035" cy="7619"/>
                    </a:xfrm>
                    <a:prstGeom prst="rect">
                      <a:avLst/>
                    </a:prstGeom>
                  </pic:spPr>
                </pic:pic>
              </a:graphicData>
            </a:graphic>
          </wp:inline>
        </w:drawing>
      </w:r>
    </w:p>
    <w:p>
      <w:pPr>
        <w:spacing w:before="3" w:line="239" w:lineRule="auto"/>
        <w:ind w:left="12" w:firstLine="413"/>
        <w:rPr>
          <w:rFonts w:ascii="仿宋" w:hAnsi="仿宋" w:eastAsia="仿宋" w:cs="仿宋"/>
          <w:sz w:val="28"/>
          <w:szCs w:val="28"/>
        </w:rPr>
      </w:pPr>
      <w:r>
        <w:rPr>
          <w:rFonts w:ascii="仿宋" w:hAnsi="仿宋" w:eastAsia="仿宋" w:cs="仿宋"/>
          <w:sz w:val="28"/>
          <w:szCs w:val="28"/>
          <w:u w:val="dotted" w:color="auto"/>
        </w:rPr>
        <w:t>采购人/代理机构</w:t>
      </w:r>
      <w:r>
        <w:rPr>
          <w:rFonts w:ascii="仿宋" w:hAnsi="仿宋" w:eastAsia="仿宋" w:cs="仿宋"/>
          <w:sz w:val="28"/>
          <w:szCs w:val="28"/>
        </w:rPr>
        <w:t>于</w:t>
      </w:r>
      <w:r>
        <w:rPr>
          <w:position w:val="-3"/>
          <w:sz w:val="28"/>
          <w:szCs w:val="28"/>
        </w:rPr>
        <w:drawing>
          <wp:inline distT="0" distB="0" distL="0" distR="0">
            <wp:extent cx="280670" cy="698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63"/>
                    <a:stretch>
                      <a:fillRect/>
                    </a:stretch>
                  </pic:blipFill>
                  <pic:spPr>
                    <a:xfrm>
                      <a:off x="0" y="0"/>
                      <a:ext cx="280670" cy="7619"/>
                    </a:xfrm>
                    <a:prstGeom prst="rect">
                      <a:avLst/>
                    </a:prstGeom>
                  </pic:spPr>
                </pic:pic>
              </a:graphicData>
            </a:graphic>
          </wp:inline>
        </w:drawing>
      </w:r>
      <w:r>
        <w:rPr>
          <w:rFonts w:ascii="仿宋" w:hAnsi="仿宋" w:eastAsia="仿宋" w:cs="仿宋"/>
          <w:sz w:val="28"/>
          <w:szCs w:val="28"/>
        </w:rPr>
        <w:t>年</w:t>
      </w:r>
      <w:r>
        <w:rPr>
          <w:position w:val="-3"/>
          <w:sz w:val="28"/>
          <w:szCs w:val="28"/>
        </w:rPr>
        <w:drawing>
          <wp:inline distT="0" distB="0" distL="0" distR="0">
            <wp:extent cx="281940" cy="698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64"/>
                    <a:stretch>
                      <a:fillRect/>
                    </a:stretch>
                  </pic:blipFill>
                  <pic:spPr>
                    <a:xfrm>
                      <a:off x="0" y="0"/>
                      <a:ext cx="281940" cy="7619"/>
                    </a:xfrm>
                    <a:prstGeom prst="rect">
                      <a:avLst/>
                    </a:prstGeom>
                  </pic:spPr>
                </pic:pic>
              </a:graphicData>
            </a:graphic>
          </wp:inline>
        </w:drawing>
      </w:r>
      <w:r>
        <w:rPr>
          <w:rFonts w:ascii="仿宋" w:hAnsi="仿宋" w:eastAsia="仿宋" w:cs="仿宋"/>
          <w:sz w:val="28"/>
          <w:szCs w:val="28"/>
        </w:rPr>
        <w:t>月</w:t>
      </w:r>
      <w:r>
        <w:rPr>
          <w:position w:val="-3"/>
          <w:sz w:val="28"/>
          <w:szCs w:val="28"/>
        </w:rPr>
        <w:drawing>
          <wp:inline distT="0" distB="0" distL="0" distR="0">
            <wp:extent cx="280670" cy="698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65"/>
                    <a:stretch>
                      <a:fillRect/>
                    </a:stretch>
                  </pic:blipFill>
                  <pic:spPr>
                    <a:xfrm>
                      <a:off x="0" y="0"/>
                      <a:ext cx="280670" cy="7619"/>
                    </a:xfrm>
                    <a:prstGeom prst="rect">
                      <a:avLst/>
                    </a:prstGeom>
                  </pic:spPr>
                </pic:pic>
              </a:graphicData>
            </a:graphic>
          </wp:inline>
        </w:drawing>
      </w:r>
      <w:r>
        <w:rPr>
          <w:rFonts w:ascii="仿宋" w:hAnsi="仿宋" w:eastAsia="仿宋" w:cs="仿宋"/>
          <w:sz w:val="28"/>
          <w:szCs w:val="28"/>
        </w:rPr>
        <w:t>日,就质疑事项作出了答复/没有在</w:t>
      </w:r>
      <w:r>
        <w:rPr>
          <w:rFonts w:ascii="仿宋" w:hAnsi="仿宋" w:eastAsia="仿宋" w:cs="仿宋"/>
          <w:spacing w:val="-3"/>
          <w:sz w:val="28"/>
          <w:szCs w:val="28"/>
        </w:rPr>
        <w:t>法定期限内作出答复。</w:t>
      </w:r>
    </w:p>
    <w:p>
      <w:pPr>
        <w:spacing w:before="1" w:line="220" w:lineRule="auto"/>
        <w:ind w:left="12"/>
        <w:rPr>
          <w:rFonts w:ascii="黑体" w:hAnsi="黑体" w:eastAsia="黑体" w:cs="黑体"/>
          <w:sz w:val="28"/>
          <w:szCs w:val="28"/>
        </w:rPr>
      </w:pPr>
      <w:r>
        <w:rPr>
          <w:rFonts w:ascii="黑体" w:hAnsi="黑体" w:eastAsia="黑体" w:cs="黑体"/>
          <w:spacing w:val="-3"/>
          <w:sz w:val="28"/>
          <w:szCs w:val="28"/>
        </w:rPr>
        <w:t>四、投诉事项具体内容</w:t>
      </w:r>
    </w:p>
    <w:p>
      <w:pPr>
        <w:spacing w:before="27"/>
        <w:ind w:left="2" w:right="392"/>
        <w:rPr>
          <w:sz w:val="28"/>
          <w:szCs w:val="28"/>
        </w:rPr>
      </w:pPr>
      <w:r>
        <w:rPr>
          <w:rFonts w:ascii="仿宋" w:hAnsi="仿宋" w:eastAsia="仿宋" w:cs="仿宋"/>
          <w:spacing w:val="-8"/>
          <w:sz w:val="28"/>
          <w:szCs w:val="28"/>
        </w:rPr>
        <w:t>投诉事项1：</w:t>
      </w:r>
      <w:r>
        <w:rPr>
          <w:position w:val="-3"/>
          <w:sz w:val="28"/>
          <w:szCs w:val="28"/>
        </w:rPr>
        <w:drawing>
          <wp:inline distT="0" distB="0" distL="0" distR="0">
            <wp:extent cx="4445635" cy="6985"/>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66"/>
                    <a:stretch>
                      <a:fillRect/>
                    </a:stretch>
                  </pic:blipFill>
                  <pic:spPr>
                    <a:xfrm>
                      <a:off x="0" y="0"/>
                      <a:ext cx="4445635" cy="7619"/>
                    </a:xfrm>
                    <a:prstGeom prst="rect">
                      <a:avLst/>
                    </a:prstGeom>
                  </pic:spPr>
                </pic:pic>
              </a:graphicData>
            </a:graphic>
          </wp:inline>
        </w:drawing>
      </w:r>
      <w:r>
        <w:rPr>
          <w:rFonts w:ascii="仿宋" w:hAnsi="仿宋" w:eastAsia="仿宋" w:cs="仿宋"/>
          <w:spacing w:val="-4"/>
          <w:sz w:val="28"/>
          <w:szCs w:val="28"/>
        </w:rPr>
        <w:t>事实依据：</w:t>
      </w:r>
      <w:r>
        <w:rPr>
          <w:position w:val="-3"/>
          <w:sz w:val="28"/>
          <w:szCs w:val="28"/>
        </w:rPr>
        <w:drawing>
          <wp:inline distT="0" distB="0" distL="0" distR="0">
            <wp:extent cx="4622165" cy="6985"/>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67"/>
                    <a:stretch>
                      <a:fillRect/>
                    </a:stretch>
                  </pic:blipFill>
                  <pic:spPr>
                    <a:xfrm>
                      <a:off x="0" y="0"/>
                      <a:ext cx="4622165" cy="7619"/>
                    </a:xfrm>
                    <a:prstGeom prst="rect">
                      <a:avLst/>
                    </a:prstGeom>
                  </pic:spPr>
                </pic:pic>
              </a:graphicData>
            </a:graphic>
          </wp:inline>
        </w:drawing>
      </w:r>
    </w:p>
    <w:p>
      <w:pPr>
        <w:spacing w:before="1" w:line="222" w:lineRule="auto"/>
        <w:ind w:left="12"/>
        <w:rPr>
          <w:sz w:val="28"/>
          <w:szCs w:val="28"/>
        </w:rPr>
      </w:pPr>
      <w:r>
        <w:rPr>
          <w:rFonts w:ascii="仿宋" w:hAnsi="仿宋" w:eastAsia="仿宋" w:cs="仿宋"/>
          <w:spacing w:val="-6"/>
          <w:sz w:val="28"/>
          <w:szCs w:val="28"/>
        </w:rPr>
        <w:t>法律依据：</w:t>
      </w:r>
      <w:r>
        <w:rPr>
          <w:position w:val="-3"/>
          <w:sz w:val="28"/>
          <w:szCs w:val="28"/>
        </w:rPr>
        <w:drawing>
          <wp:inline distT="0" distB="0" distL="0" distR="0">
            <wp:extent cx="4622165" cy="698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68"/>
                    <a:stretch>
                      <a:fillRect/>
                    </a:stretch>
                  </pic:blipFill>
                  <pic:spPr>
                    <a:xfrm>
                      <a:off x="0" y="0"/>
                      <a:ext cx="4622165" cy="7619"/>
                    </a:xfrm>
                    <a:prstGeom prst="rect">
                      <a:avLst/>
                    </a:prstGeom>
                  </pic:spPr>
                </pic:pic>
              </a:graphicData>
            </a:graphic>
          </wp:inline>
        </w:drawing>
      </w:r>
    </w:p>
    <w:p>
      <w:pPr>
        <w:spacing w:before="23"/>
        <w:ind w:left="13" w:right="7522" w:hanging="11"/>
        <w:rPr>
          <w:rFonts w:ascii="仿宋" w:hAnsi="仿宋" w:eastAsia="仿宋" w:cs="仿宋"/>
          <w:sz w:val="28"/>
          <w:szCs w:val="28"/>
        </w:rPr>
      </w:pPr>
      <w:r>
        <w:rPr>
          <w:rFonts w:ascii="仿宋" w:hAnsi="仿宋" w:eastAsia="仿宋" w:cs="仿宋"/>
          <w:spacing w:val="-16"/>
          <w:sz w:val="28"/>
          <w:szCs w:val="28"/>
        </w:rPr>
        <w:t>投诉事项2：</w:t>
      </w:r>
      <w:r>
        <w:rPr>
          <w:rFonts w:ascii="仿宋" w:hAnsi="仿宋" w:eastAsia="仿宋" w:cs="仿宋"/>
          <w:spacing w:val="-14"/>
          <w:sz w:val="28"/>
          <w:szCs w:val="28"/>
        </w:rPr>
        <w:t>……</w:t>
      </w:r>
    </w:p>
    <w:p>
      <w:pPr>
        <w:spacing w:before="2" w:line="220" w:lineRule="auto"/>
        <w:ind w:left="3"/>
        <w:rPr>
          <w:rFonts w:ascii="黑体" w:hAnsi="黑体" w:eastAsia="黑体" w:cs="黑体"/>
          <w:sz w:val="28"/>
          <w:szCs w:val="28"/>
        </w:rPr>
      </w:pPr>
      <w:r>
        <w:rPr>
          <w:rFonts w:ascii="黑体" w:hAnsi="黑体" w:eastAsia="黑体" w:cs="黑体"/>
          <w:spacing w:val="-2"/>
          <w:sz w:val="28"/>
          <w:szCs w:val="28"/>
        </w:rPr>
        <w:t>五、与投诉事项相关的投诉请求</w:t>
      </w:r>
    </w:p>
    <w:p>
      <w:pPr>
        <w:spacing w:before="27" w:line="221" w:lineRule="auto"/>
        <w:ind w:left="3"/>
        <w:rPr>
          <w:sz w:val="28"/>
          <w:szCs w:val="28"/>
        </w:rPr>
      </w:pPr>
      <w:r>
        <w:rPr>
          <w:rFonts w:ascii="仿宋" w:hAnsi="仿宋" w:eastAsia="仿宋" w:cs="仿宋"/>
          <w:spacing w:val="-7"/>
          <w:sz w:val="28"/>
          <w:szCs w:val="28"/>
        </w:rPr>
        <w:t>请求：</w:t>
      </w:r>
      <w:r>
        <w:rPr>
          <w:position w:val="-3"/>
          <w:sz w:val="28"/>
          <w:szCs w:val="28"/>
        </w:rPr>
        <w:drawing>
          <wp:inline distT="0" distB="0" distL="0" distR="0">
            <wp:extent cx="4533900" cy="698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69"/>
                    <a:stretch>
                      <a:fillRect/>
                    </a:stretch>
                  </pic:blipFill>
                  <pic:spPr>
                    <a:xfrm>
                      <a:off x="0" y="0"/>
                      <a:ext cx="4533900" cy="7619"/>
                    </a:xfrm>
                    <a:prstGeom prst="rect">
                      <a:avLst/>
                    </a:prstGeom>
                  </pic:spPr>
                </pic:pic>
              </a:graphicData>
            </a:graphic>
          </wp:inline>
        </w:drawing>
      </w:r>
    </w:p>
    <w:p>
      <w:pPr>
        <w:spacing w:before="27" w:line="223" w:lineRule="auto"/>
        <w:ind w:left="9"/>
        <w:rPr>
          <w:rFonts w:ascii="仿宋" w:hAnsi="仿宋" w:eastAsia="仿宋" w:cs="仿宋"/>
          <w:sz w:val="28"/>
          <w:szCs w:val="28"/>
        </w:rPr>
      </w:pPr>
      <w:r>
        <w:rPr>
          <w:rFonts w:ascii="仿宋" w:hAnsi="仿宋" w:eastAsia="仿宋" w:cs="仿宋"/>
          <w:spacing w:val="-5"/>
          <w:sz w:val="28"/>
          <w:szCs w:val="28"/>
        </w:rPr>
        <w:t>签字(签章)：公章：</w:t>
      </w:r>
    </w:p>
    <w:p>
      <w:pPr>
        <w:spacing w:before="27" w:line="224" w:lineRule="auto"/>
        <w:ind w:left="62"/>
        <w:rPr>
          <w:rFonts w:ascii="仿宋" w:hAnsi="仿宋" w:eastAsia="仿宋" w:cs="仿宋"/>
          <w:sz w:val="28"/>
          <w:szCs w:val="28"/>
        </w:rPr>
      </w:pPr>
      <w:r>
        <w:rPr>
          <w:rFonts w:ascii="仿宋" w:hAnsi="仿宋" w:eastAsia="仿宋" w:cs="仿宋"/>
          <w:spacing w:val="-26"/>
          <w:sz w:val="28"/>
          <w:szCs w:val="28"/>
        </w:rPr>
        <w:t>日期：</w:t>
      </w:r>
    </w:p>
    <w:sectPr>
      <w:footerReference r:id="rId3" w:type="default"/>
      <w:pgSz w:w="11906" w:h="16838"/>
      <w:pgMar w:top="1417" w:right="1417" w:bottom="1417" w:left="1417" w:header="737" w:footer="794"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000000"/>
    <w:rsid w:val="0F212ABD"/>
    <w:rsid w:val="1A97277C"/>
    <w:rsid w:val="1BBD6B30"/>
    <w:rsid w:val="271A2271"/>
    <w:rsid w:val="29005C84"/>
    <w:rsid w:val="330818C0"/>
    <w:rsid w:val="37AF6CBC"/>
    <w:rsid w:val="44DA7282"/>
    <w:rsid w:val="4CFC1D12"/>
    <w:rsid w:val="5A89241A"/>
    <w:rsid w:val="65CE4A46"/>
    <w:rsid w:val="6C957C87"/>
    <w:rsid w:val="78EA08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topLinePunct/>
      <w:autoSpaceDE/>
      <w:autoSpaceDN w:val="0"/>
      <w:adjustRightInd/>
      <w:snapToGrid/>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eastAsia="宋体"/>
      <w:b/>
      <w:kern w:val="44"/>
      <w:sz w:val="32"/>
    </w:rPr>
  </w:style>
  <w:style w:type="paragraph" w:styleId="3">
    <w:name w:val="heading 2"/>
    <w:basedOn w:val="1"/>
    <w:next w:val="1"/>
    <w:unhideWhenUsed/>
    <w:qFormat/>
    <w:uiPriority w:val="0"/>
    <w:pPr>
      <w:keepNext/>
      <w:keepLines/>
      <w:spacing w:beforeLines="0" w:beforeAutospacing="0" w:afterLines="0" w:afterAutospacing="0" w:line="240" w:lineRule="auto"/>
      <w:jc w:val="center"/>
      <w:outlineLvl w:val="1"/>
    </w:pPr>
    <w:rPr>
      <w:rFonts w:ascii="Times New Roman" w:hAnsi="Times New Roman" w:eastAsia="宋体"/>
      <w:b/>
      <w:sz w:val="24"/>
    </w:rPr>
  </w:style>
  <w:style w:type="paragraph" w:styleId="4">
    <w:name w:val="heading 3"/>
    <w:basedOn w:val="1"/>
    <w:next w:val="1"/>
    <w:unhideWhenUsed/>
    <w:qFormat/>
    <w:uiPriority w:val="0"/>
    <w:pPr>
      <w:keepNext/>
      <w:keepLines/>
      <w:spacing w:beforeLines="0" w:beforeAutospacing="0" w:afterLines="0" w:afterAutospacing="0" w:line="240" w:lineRule="auto"/>
      <w:outlineLvl w:val="2"/>
    </w:pPr>
    <w:rPr>
      <w:rFonts w:ascii="Times New Roman" w:hAnsi="Times New Roman" w:eastAsia="宋体"/>
      <w:b/>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rFonts w:ascii="Times New Roman" w:hAnsi="Times New Roman" w:eastAsia="宋体"/>
    </w:rPr>
  </w:style>
  <w:style w:type="paragraph" w:styleId="8">
    <w:name w:val="Plain Text"/>
    <w:basedOn w:val="1"/>
    <w:qFormat/>
    <w:uiPriority w:val="0"/>
    <w:pPr>
      <w:adjustRightInd/>
      <w:spacing w:line="240" w:lineRule="auto"/>
      <w:jc w:val="both"/>
      <w:textAlignment w:val="auto"/>
    </w:pPr>
    <w:rPr>
      <w:rFonts w:ascii="宋体" w:hAnsi="Courier New" w:cs="Times New Roman"/>
      <w:kern w:val="2"/>
      <w:sz w:val="21"/>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FollowedHyperlink"/>
    <w:basedOn w:val="15"/>
    <w:qFormat/>
    <w:uiPriority w:val="0"/>
    <w:rPr>
      <w:rFonts w:hint="eastAsia" w:ascii="微软雅黑" w:hAnsi="微软雅黑" w:eastAsia="微软雅黑" w:cs="微软雅黑"/>
      <w:color w:val="02396F"/>
      <w:u w:val="single"/>
    </w:rPr>
  </w:style>
  <w:style w:type="character" w:styleId="18">
    <w:name w:val="Hyperlink"/>
    <w:basedOn w:val="15"/>
    <w:qFormat/>
    <w:uiPriority w:val="0"/>
    <w:rPr>
      <w:rFonts w:hint="eastAsia" w:ascii="微软雅黑" w:hAnsi="微软雅黑" w:eastAsia="微软雅黑" w:cs="微软雅黑"/>
      <w:color w:val="02396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redfilenumber"/>
    <w:basedOn w:val="15"/>
    <w:qFormat/>
    <w:uiPriority w:val="0"/>
    <w:rPr>
      <w:color w:val="BA2636"/>
      <w:sz w:val="18"/>
      <w:szCs w:val="18"/>
    </w:rPr>
  </w:style>
  <w:style w:type="character" w:customStyle="1" w:styleId="21">
    <w:name w:val="redfilefwwh"/>
    <w:basedOn w:val="15"/>
    <w:qFormat/>
    <w:uiPriority w:val="0"/>
    <w:rPr>
      <w:color w:val="BA2636"/>
      <w:sz w:val="18"/>
      <w:szCs w:val="18"/>
    </w:rPr>
  </w:style>
  <w:style w:type="character" w:customStyle="1" w:styleId="22">
    <w:name w:val="prev"/>
    <w:basedOn w:val="15"/>
    <w:qFormat/>
    <w:uiPriority w:val="0"/>
    <w:rPr>
      <w:color w:val="325594"/>
      <w:shd w:val="clear" w:fill="F5F5F5"/>
    </w:rPr>
  </w:style>
  <w:style w:type="character" w:customStyle="1" w:styleId="23">
    <w:name w:val="prev1"/>
    <w:basedOn w:val="15"/>
    <w:qFormat/>
    <w:uiPriority w:val="0"/>
    <w:rPr>
      <w:rFonts w:ascii="微软雅黑" w:hAnsi="微软雅黑" w:eastAsia="微软雅黑" w:cs="微软雅黑"/>
      <w:sz w:val="21"/>
      <w:szCs w:val="21"/>
    </w:rPr>
  </w:style>
  <w:style w:type="character" w:customStyle="1" w:styleId="24">
    <w:name w:val="gjfg"/>
    <w:basedOn w:val="15"/>
    <w:qFormat/>
    <w:uiPriority w:val="0"/>
  </w:style>
  <w:style w:type="character" w:customStyle="1" w:styleId="25">
    <w:name w:val="displayarti"/>
    <w:basedOn w:val="15"/>
    <w:qFormat/>
    <w:uiPriority w:val="0"/>
    <w:rPr>
      <w:color w:val="FFFFFF"/>
      <w:shd w:val="clear" w:fill="A00000"/>
    </w:rPr>
  </w:style>
  <w:style w:type="character" w:customStyle="1" w:styleId="26">
    <w:name w:val="next2"/>
    <w:basedOn w:val="15"/>
    <w:qFormat/>
    <w:uiPriority w:val="0"/>
    <w:rPr>
      <w:color w:val="888888"/>
    </w:rPr>
  </w:style>
  <w:style w:type="character" w:customStyle="1" w:styleId="27">
    <w:name w:val="next3"/>
    <w:basedOn w:val="15"/>
    <w:qFormat/>
    <w:uiPriority w:val="0"/>
    <w:rPr>
      <w:rFonts w:hint="eastAsia" w:ascii="微软雅黑" w:hAnsi="微软雅黑" w:eastAsia="微软雅黑" w:cs="微软雅黑"/>
      <w:sz w:val="21"/>
      <w:szCs w:val="21"/>
    </w:rPr>
  </w:style>
  <w:style w:type="character" w:customStyle="1" w:styleId="28">
    <w:name w:val="cfdate"/>
    <w:basedOn w:val="15"/>
    <w:qFormat/>
    <w:uiPriority w:val="0"/>
    <w:rPr>
      <w:color w:val="333333"/>
      <w:sz w:val="18"/>
      <w:szCs w:val="18"/>
    </w:rPr>
  </w:style>
  <w:style w:type="character" w:customStyle="1" w:styleId="29">
    <w:name w:val="qxdate"/>
    <w:basedOn w:val="15"/>
    <w:qFormat/>
    <w:uiPriority w:val="0"/>
    <w:rPr>
      <w:color w:val="333333"/>
      <w:sz w:val="18"/>
      <w:szCs w:val="18"/>
    </w:rPr>
  </w:style>
  <w:style w:type="character" w:customStyle="1" w:styleId="30">
    <w:name w:val="next"/>
    <w:basedOn w:val="15"/>
    <w:qFormat/>
    <w:uiPriority w:val="0"/>
    <w:rPr>
      <w:rFonts w:hint="eastAsia" w:ascii="微软雅黑" w:hAnsi="微软雅黑" w:eastAsia="微软雅黑" w:cs="微软雅黑"/>
      <w:sz w:val="21"/>
      <w:szCs w:val="21"/>
    </w:rPr>
  </w:style>
  <w:style w:type="character" w:customStyle="1" w:styleId="31">
    <w:name w:val="next1"/>
    <w:basedOn w:val="15"/>
    <w:qFormat/>
    <w:uiPriority w:val="0"/>
    <w:rPr>
      <w:color w:val="88888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1" Type="http://schemas.openxmlformats.org/officeDocument/2006/relationships/fontTable" Target="fontTable.xml"/><Relationship Id="rId70" Type="http://schemas.openxmlformats.org/officeDocument/2006/relationships/customXml" Target="../customXml/item1.xml"/><Relationship Id="rId7" Type="http://schemas.openxmlformats.org/officeDocument/2006/relationships/image" Target="media/image3.jpe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jpe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15993</Words>
  <Characters>17364</Characters>
  <TotalTime>175</TotalTime>
  <ScaleCrop>false</ScaleCrop>
  <LinksUpToDate>false</LinksUpToDate>
  <CharactersWithSpaces>17461</CharactersWithSpaces>
  <Application>WPS Office_11.8.6.8810_F1E327BC-269C-435d-A152-05C5408002CA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2025-09-09T12:31:00Z</dcterms:created>
  <dc:creator>User</dc:creator>
  <cp:lastModifiedBy>Administrator</cp:lastModifiedBy>
  <cp:lastPrinted>2025-12-07T01:48:00Z</cp:lastPrinted>
  <dcterms:modified xsi:type="dcterms:W3CDTF">2025-12-08T08:00:21Z</dcterms:modified>
  <dc:title>政府采购货物和服务项目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2025-11-26T10:39:40Z</vt:filetime>
  </property>
  <property fmtid="{D5CDD505-2E9C-101B-9397-08002B2CF9AE}" pid="4" name="KSOTemplateDocerSaveRecord">
    <vt:lpwstr>eyJoZGlkIjoiNTg2OGY2YWQwNGM4MmU2ZWU4YjFhYTA5ODYzMzRlY2QiLCJ1c2VySWQiOiIxODMwNDYxIn0=</vt:lpwstr>
  </property>
  <property fmtid="{D5CDD505-2E9C-101B-9397-08002B2CF9AE}" pid="5" name="KSOProductBuildVer">
    <vt:lpwstr>2052-11.8.6.8810</vt:lpwstr>
  </property>
  <property fmtid="{D5CDD505-2E9C-101B-9397-08002B2CF9AE}" pid="6" name="ICV">
    <vt:lpwstr>0243F3F83048404D94A594C2DA3911F3_12</vt:lpwstr>
  </property>
</Properties>
</file>