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FD434">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bdr w:val="none" w:color="auto" w:sz="0" w:space="0"/>
          <w:lang w:val="en-US" w:eastAsia="zh-CN" w:bidi="ar"/>
          <w14:textFill>
            <w14:solidFill>
              <w14:schemeClr w14:val="tx1"/>
            </w14:solidFill>
          </w14:textFill>
        </w:rPr>
        <w:t>汉中市南郑区城镇开发边界优化调整方案编制服务采购项目竞争性磋商公告</w:t>
      </w:r>
    </w:p>
    <w:p w14:paraId="3A6E6D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7FFEE6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bookmarkStart w:id="0" w:name="_GoBack"/>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汉中市南郑区城镇开发边界优化调整方案编制服务采购项目</w:t>
      </w:r>
      <w:bookmarkEnd w:id="0"/>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2025年12月24日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32445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0641D2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项目编号：TZZB-HZ-2025371C</w:t>
      </w:r>
    </w:p>
    <w:p w14:paraId="37A403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项目名称：汉中市南郑区城镇开发边界优化调整方案编制服务采购项目</w:t>
      </w:r>
    </w:p>
    <w:p w14:paraId="23733A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5144F2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预算金额：800,000.00元</w:t>
      </w:r>
    </w:p>
    <w:p w14:paraId="0BBDDD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0D3F62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52473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采购包1：1年</w:t>
      </w:r>
    </w:p>
    <w:p w14:paraId="4F130E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479408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167E8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5EFCAD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10A120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379524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合同包1(汉中市南郑区城镇开发边界优化调整方案编制服务采购项目)落实政府采购政策需满足的资格要求如下:</w:t>
      </w:r>
    </w:p>
    <w:p w14:paraId="04E7A1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参与的供应商（联合体）服务全部由符合政策要求的中小企业承接。</w:t>
      </w:r>
    </w:p>
    <w:p w14:paraId="298949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190E88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合同包1(汉中市南郑区城镇开发边界优化调整方案编制服务采购项目)特定资格要求如下:</w:t>
      </w:r>
    </w:p>
    <w:p w14:paraId="36F231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(1)供应商为具有独立承担民事责任能力的企业法人、负责人或其他组织或自然人，并出具有效的营业执照或证明文件或自然人的身份证明。</w:t>
      </w:r>
    </w:p>
    <w:p w14:paraId="3B35D4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(2)供应商提供《汉中市政府采购供应商资格承诺函》。</w:t>
      </w:r>
    </w:p>
    <w:p w14:paraId="550F9A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磋商活动的，应出具法定代表人证明书及法定代表人合法有效的身份证扫描件，且应与营业执照上信息一致；法定代表人授权代表参加磋商活动的，应出具法定代表人证明书、法定代表人授权书及授权代表合法有效的身份证扫描件。</w:t>
      </w:r>
    </w:p>
    <w:p w14:paraId="2A6FA8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(4)供应商须具有城乡规划编制乙级及以上资质或土地规划乙级及以上资质。</w:t>
      </w:r>
    </w:p>
    <w:p w14:paraId="7DC14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1627D2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2025年12月12日 至 2025年12月18日 ，每天上午 00:00:00 至 12:00:00 ，下午 12:00:00 至 23:59:59 （北京时间）</w:t>
      </w:r>
    </w:p>
    <w:p w14:paraId="0E15FE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3B8DF8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3C5921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36B23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04086E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2025年12月24日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5AAC6E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3FBA1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676CD4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2025年12月24日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474DCF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5B85B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05A898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0083D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3368BC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705FD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5E375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FE402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D1416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1C7C31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54F276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22C0C0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7957C0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3F7197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0F2966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75A6CB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70996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556466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336715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汉中市自然资源局南郑分局</w:t>
      </w:r>
    </w:p>
    <w:p w14:paraId="029EA2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陕西省汉中市南郑区汉山街道办南环路3号</w:t>
      </w:r>
    </w:p>
    <w:p w14:paraId="3553AE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0916-5516558</w:t>
      </w:r>
    </w:p>
    <w:p w14:paraId="7CD726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65CEE9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30E5DB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14BE11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3E7691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7E8C23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72BEFC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3783E4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3D5EC257">
      <w:pPr>
        <w:keepNext w:val="0"/>
        <w:keepLines w:val="0"/>
        <w:widowControl/>
        <w:suppressLineNumbers w:val="0"/>
        <w:wordWrap w:val="0"/>
        <w:spacing w:line="480" w:lineRule="atLeast"/>
        <w:jc w:val="both"/>
        <w:rPr>
          <w:rFonts w:hint="eastAsia" w:ascii="微软雅黑" w:hAnsi="微软雅黑" w:eastAsia="微软雅黑" w:cs="微软雅黑"/>
          <w:color w:val="000000" w:themeColor="text1"/>
          <w:sz w:val="21"/>
          <w:szCs w:val="21"/>
          <w14:textFill>
            <w14:solidFill>
              <w14:schemeClr w14:val="tx1"/>
            </w14:solidFill>
          </w14:textFill>
        </w:rPr>
      </w:pPr>
    </w:p>
    <w:p w14:paraId="0C905F2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4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2025-12-11T08:28:07Z</dcterms:created>
  <dc:creator>0003</dc:creator>
  <cp:lastModifiedBy>soul</cp:lastModifiedBy>
  <dcterms:modified xsi:type="dcterms:W3CDTF">2025-12-11T08:28:24Z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6CAC436C9A3A4DBCBB0D9299DACE38A3_12</vt:lpwstr>
  </property>
</Properties>
</file>