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1922A">
      <w:pPr>
        <w:rPr>
          <w:rFonts w:hint="eastAsia" w:ascii="仿宋" w:hAnsi="仿宋" w:eastAsia="仿宋" w:cs="仿宋"/>
        </w:rPr>
      </w:pPr>
      <w:bookmarkStart w:id="0" w:name="_Toc283626499"/>
      <w:bookmarkStart w:id="1" w:name="_Toc283240483"/>
      <w:r>
        <w:rPr>
          <w:rFonts w:hint="eastAsia" w:ascii="仿宋" w:hAnsi="仿宋" w:eastAsia="仿宋" w:cs="仿宋"/>
        </w:rPr>
        <w:drawing>
          <wp:inline distT="0" distB="0" distL="114300" distR="114300">
            <wp:extent cx="2170430" cy="457200"/>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2170430" cy="457200"/>
                    </a:xfrm>
                    <a:prstGeom prst="rect">
                      <a:avLst/>
                    </a:prstGeom>
                    <a:noFill/>
                    <a:ln>
                      <a:noFill/>
                    </a:ln>
                  </pic:spPr>
                </pic:pic>
              </a:graphicData>
            </a:graphic>
          </wp:inline>
        </w:drawing>
      </w:r>
    </w:p>
    <w:p w14:paraId="5092BCDA">
      <w:pPr>
        <w:rPr>
          <w:rFonts w:hint="eastAsia" w:ascii="仿宋" w:hAnsi="仿宋" w:eastAsia="仿宋" w:cs="仿宋"/>
        </w:rPr>
      </w:pPr>
    </w:p>
    <w:p w14:paraId="1FC3387B">
      <w:pPr>
        <w:jc w:val="center"/>
        <w:rPr>
          <w:rFonts w:hint="eastAsia" w:ascii="仿宋" w:hAnsi="仿宋" w:eastAsia="仿宋" w:cs="仿宋"/>
          <w:b/>
        </w:rPr>
      </w:pPr>
    </w:p>
    <w:p w14:paraId="79413161">
      <w:pPr>
        <w:ind w:left="-720" w:leftChars="-400" w:right="-480" w:rightChars="-200" w:hanging="240" w:hangingChars="46"/>
        <w:jc w:val="center"/>
        <w:rPr>
          <w:rFonts w:hint="eastAsia" w:ascii="仿宋" w:hAnsi="仿宋" w:eastAsia="仿宋" w:cs="仿宋"/>
          <w:b/>
          <w:sz w:val="52"/>
          <w:szCs w:val="52"/>
          <w:lang w:val="en-US" w:eastAsia="zh-CN"/>
        </w:rPr>
      </w:pPr>
      <w:r>
        <w:rPr>
          <w:rFonts w:hint="eastAsia" w:ascii="仿宋" w:hAnsi="仿宋" w:eastAsia="仿宋" w:cs="仿宋"/>
          <w:b/>
          <w:sz w:val="52"/>
          <w:szCs w:val="52"/>
          <w:lang w:val="en-US" w:eastAsia="zh-CN"/>
        </w:rPr>
        <w:t>西安医学院第一附属医院经颅磁刺激治疗仪、光子治疗仪等一批设备购置安装及</w:t>
      </w:r>
    </w:p>
    <w:p w14:paraId="25211B7C">
      <w:pPr>
        <w:ind w:left="-720" w:leftChars="-400" w:right="-480" w:rightChars="-200" w:hanging="240" w:hangingChars="46"/>
        <w:jc w:val="center"/>
        <w:rPr>
          <w:rFonts w:hint="eastAsia" w:ascii="仿宋" w:hAnsi="仿宋" w:eastAsia="仿宋" w:cs="仿宋"/>
          <w:b/>
          <w:sz w:val="52"/>
          <w:szCs w:val="52"/>
        </w:rPr>
      </w:pPr>
      <w:r>
        <w:rPr>
          <w:rFonts w:hint="eastAsia" w:ascii="仿宋" w:hAnsi="仿宋" w:eastAsia="仿宋" w:cs="仿宋"/>
          <w:b/>
          <w:sz w:val="52"/>
          <w:szCs w:val="52"/>
          <w:lang w:val="en-US" w:eastAsia="zh-CN"/>
        </w:rPr>
        <w:t>售后服务项目</w:t>
      </w:r>
    </w:p>
    <w:p w14:paraId="39FDF672">
      <w:pPr>
        <w:pStyle w:val="18"/>
        <w:rPr>
          <w:rFonts w:hint="eastAsia" w:ascii="仿宋" w:hAnsi="仿宋" w:eastAsia="仿宋" w:cs="仿宋"/>
        </w:rPr>
      </w:pPr>
    </w:p>
    <w:p w14:paraId="1F17CCE1">
      <w:pPr>
        <w:pStyle w:val="18"/>
        <w:rPr>
          <w:rFonts w:hint="eastAsia" w:ascii="仿宋" w:hAnsi="仿宋" w:eastAsia="仿宋" w:cs="仿宋"/>
        </w:rPr>
      </w:pPr>
    </w:p>
    <w:p w14:paraId="6203884C">
      <w:pPr>
        <w:jc w:val="center"/>
        <w:rPr>
          <w:rFonts w:hint="eastAsia" w:ascii="仿宋" w:hAnsi="仿宋" w:eastAsia="仿宋" w:cs="仿宋"/>
          <w:b/>
          <w:sz w:val="84"/>
          <w:szCs w:val="84"/>
        </w:rPr>
      </w:pPr>
      <w:r>
        <w:rPr>
          <w:rFonts w:hint="eastAsia" w:ascii="仿宋" w:hAnsi="仿宋" w:eastAsia="仿宋" w:cs="仿宋"/>
          <w:b/>
          <w:sz w:val="84"/>
          <w:szCs w:val="84"/>
          <w:lang w:val="en-US" w:eastAsia="zh-CN"/>
        </w:rPr>
        <w:t>竞争性</w:t>
      </w:r>
      <w:r>
        <w:rPr>
          <w:rFonts w:hint="eastAsia" w:ascii="仿宋" w:hAnsi="仿宋" w:eastAsia="仿宋" w:cs="仿宋"/>
          <w:b/>
          <w:sz w:val="84"/>
          <w:szCs w:val="84"/>
        </w:rPr>
        <w:t>谈判文件</w:t>
      </w:r>
    </w:p>
    <w:p w14:paraId="6B7CE818">
      <w:pPr>
        <w:jc w:val="center"/>
        <w:rPr>
          <w:rFonts w:hint="eastAsia" w:ascii="仿宋" w:hAnsi="仿宋" w:eastAsia="仿宋" w:cs="仿宋"/>
          <w:b/>
          <w:sz w:val="32"/>
          <w:szCs w:val="32"/>
          <w:lang w:val="en-US" w:eastAsia="zh-CN"/>
        </w:rPr>
      </w:pPr>
      <w:r>
        <w:rPr>
          <w:rFonts w:hint="eastAsia" w:ascii="仿宋" w:hAnsi="仿宋" w:eastAsia="仿宋" w:cs="仿宋"/>
          <w:b/>
          <w:sz w:val="32"/>
          <w:szCs w:val="32"/>
        </w:rPr>
        <w:t>项目编号：</w:t>
      </w:r>
      <w:r>
        <w:rPr>
          <w:rFonts w:hint="eastAsia" w:ascii="仿宋" w:hAnsi="仿宋" w:eastAsia="仿宋" w:cs="仿宋"/>
          <w:b/>
          <w:sz w:val="32"/>
          <w:szCs w:val="32"/>
          <w:lang w:eastAsia="zh-CN"/>
        </w:rPr>
        <w:t>SZT2025-SN-SC-ZC-HW-1245</w:t>
      </w:r>
    </w:p>
    <w:p w14:paraId="2912D3DA">
      <w:pPr>
        <w:rPr>
          <w:rFonts w:hint="eastAsia" w:ascii="仿宋" w:hAnsi="仿宋" w:eastAsia="仿宋" w:cs="仿宋"/>
        </w:rPr>
      </w:pPr>
    </w:p>
    <w:p w14:paraId="5C12E560">
      <w:pPr>
        <w:rPr>
          <w:rFonts w:hint="eastAsia" w:ascii="仿宋" w:hAnsi="仿宋" w:eastAsia="仿宋" w:cs="仿宋"/>
        </w:rPr>
      </w:pPr>
    </w:p>
    <w:p w14:paraId="41363FEB">
      <w:pPr>
        <w:pStyle w:val="18"/>
        <w:rPr>
          <w:rFonts w:hint="eastAsia" w:ascii="仿宋" w:hAnsi="仿宋" w:eastAsia="仿宋" w:cs="仿宋"/>
        </w:rPr>
      </w:pPr>
    </w:p>
    <w:p w14:paraId="0B12345D">
      <w:pPr>
        <w:rPr>
          <w:rFonts w:hint="eastAsia" w:ascii="仿宋" w:hAnsi="仿宋" w:eastAsia="仿宋" w:cs="仿宋"/>
        </w:rPr>
      </w:pPr>
    </w:p>
    <w:p w14:paraId="7A83AF6A">
      <w:pPr>
        <w:rPr>
          <w:rFonts w:hint="eastAsia" w:ascii="仿宋" w:hAnsi="仿宋" w:eastAsia="仿宋" w:cs="仿宋"/>
        </w:rPr>
      </w:pPr>
    </w:p>
    <w:p w14:paraId="7FBE0563">
      <w:pPr>
        <w:rPr>
          <w:rFonts w:hint="eastAsia" w:ascii="仿宋" w:hAnsi="仿宋" w:eastAsia="仿宋" w:cs="仿宋"/>
        </w:rPr>
      </w:pPr>
    </w:p>
    <w:p w14:paraId="2CC06B4D">
      <w:pPr>
        <w:rPr>
          <w:rFonts w:hint="eastAsia" w:ascii="仿宋" w:hAnsi="仿宋" w:eastAsia="仿宋" w:cs="仿宋"/>
        </w:rPr>
      </w:pPr>
    </w:p>
    <w:p w14:paraId="7363F0F1">
      <w:pPr>
        <w:rPr>
          <w:rFonts w:hint="eastAsia" w:ascii="仿宋" w:hAnsi="仿宋" w:eastAsia="仿宋" w:cs="仿宋"/>
        </w:rPr>
      </w:pPr>
    </w:p>
    <w:p w14:paraId="258499CD">
      <w:pPr>
        <w:rPr>
          <w:rFonts w:hint="eastAsia"/>
        </w:rPr>
      </w:pPr>
    </w:p>
    <w:p w14:paraId="0B436E1D">
      <w:pPr>
        <w:spacing w:line="480" w:lineRule="auto"/>
        <w:ind w:firstLine="1751" w:firstLineChars="545"/>
        <w:rPr>
          <w:rFonts w:hint="eastAsia" w:ascii="仿宋" w:hAnsi="仿宋" w:eastAsia="仿宋" w:cs="仿宋"/>
          <w:b/>
          <w:sz w:val="32"/>
          <w:szCs w:val="32"/>
        </w:rPr>
      </w:pPr>
      <w:r>
        <w:rPr>
          <w:rFonts w:hint="eastAsia" w:ascii="仿宋" w:hAnsi="仿宋" w:eastAsia="仿宋" w:cs="仿宋"/>
          <w:b/>
          <w:sz w:val="32"/>
          <w:szCs w:val="32"/>
        </w:rPr>
        <w:t>采购代理机构：陕西中技招标有限公司</w:t>
      </w:r>
    </w:p>
    <w:p w14:paraId="4C221EE0">
      <w:pPr>
        <w:spacing w:line="480" w:lineRule="auto"/>
        <w:jc w:val="center"/>
        <w:rPr>
          <w:rFonts w:hint="eastAsia" w:ascii="仿宋" w:hAnsi="仿宋" w:eastAsia="仿宋" w:cs="仿宋"/>
          <w:b/>
        </w:rPr>
      </w:pPr>
      <w:r>
        <w:rPr>
          <w:rFonts w:hint="eastAsia" w:ascii="仿宋" w:hAnsi="仿宋" w:eastAsia="仿宋" w:cs="仿宋"/>
          <w:b/>
          <w:sz w:val="32"/>
          <w:szCs w:val="32"/>
        </w:rPr>
        <w:t>二零二五年</w:t>
      </w:r>
      <w:r>
        <w:rPr>
          <w:rFonts w:hint="eastAsia" w:ascii="仿宋" w:hAnsi="仿宋" w:eastAsia="仿宋" w:cs="仿宋"/>
          <w:b/>
          <w:sz w:val="32"/>
          <w:szCs w:val="32"/>
          <w:lang w:val="en-US" w:eastAsia="zh-CN"/>
        </w:rPr>
        <w:t>十二</w:t>
      </w:r>
      <w:r>
        <w:rPr>
          <w:rFonts w:hint="eastAsia" w:ascii="仿宋" w:hAnsi="仿宋" w:eastAsia="仿宋" w:cs="仿宋"/>
          <w:b/>
          <w:sz w:val="32"/>
          <w:szCs w:val="32"/>
        </w:rPr>
        <w:t>月</w:t>
      </w:r>
    </w:p>
    <w:p w14:paraId="52B8E4A9">
      <w:pPr>
        <w:jc w:val="center"/>
        <w:rPr>
          <w:rFonts w:hint="eastAsia" w:ascii="仿宋" w:hAnsi="仿宋" w:eastAsia="仿宋" w:cs="仿宋"/>
          <w:b/>
        </w:rPr>
        <w:sectPr>
          <w:headerReference r:id="rId6" w:type="first"/>
          <w:footerReference r:id="rId8" w:type="first"/>
          <w:headerReference r:id="rId5" w:type="default"/>
          <w:footerReference r:id="rId7" w:type="default"/>
          <w:pgSz w:w="11906" w:h="16838"/>
          <w:pgMar w:top="1418" w:right="1608" w:bottom="1418" w:left="1898" w:header="851" w:footer="851" w:gutter="0"/>
          <w:cols w:space="720" w:num="1"/>
          <w:titlePg/>
          <w:docGrid w:linePitch="326" w:charSpace="0"/>
        </w:sectPr>
      </w:pPr>
    </w:p>
    <w:p w14:paraId="5235C1A5">
      <w:pPr>
        <w:jc w:val="center"/>
        <w:rPr>
          <w:rFonts w:hint="eastAsia" w:ascii="仿宋" w:hAnsi="仿宋" w:eastAsia="仿宋" w:cs="仿宋"/>
        </w:rPr>
      </w:pPr>
      <w:r>
        <w:rPr>
          <w:rFonts w:hint="eastAsia" w:ascii="仿宋" w:hAnsi="仿宋" w:eastAsia="仿宋" w:cs="仿宋"/>
          <w:b/>
        </w:rPr>
        <w:t>目    录</w:t>
      </w:r>
    </w:p>
    <w:bookmarkEnd w:id="0"/>
    <w:bookmarkEnd w:id="1"/>
    <w:p w14:paraId="748E282A">
      <w:pPr>
        <w:pStyle w:val="31"/>
        <w:tabs>
          <w:tab w:val="right" w:leader="dot" w:pos="8585"/>
        </w:tabs>
        <w:rPr>
          <w:i w:val="0"/>
          <w:iCs w:val="0"/>
        </w:rPr>
      </w:pPr>
      <w:bookmarkStart w:id="2" w:name="_Toc332874416"/>
      <w:bookmarkStart w:id="3" w:name="_Toc17679"/>
      <w:bookmarkStart w:id="4" w:name="_Toc10984"/>
      <w:bookmarkStart w:id="5" w:name="_Toc311415567"/>
      <w:bookmarkStart w:id="6" w:name="_Toc311415568"/>
      <w:bookmarkStart w:id="7" w:name="_Toc283240484"/>
      <w:bookmarkStart w:id="8" w:name="_Toc283626500"/>
      <w:bookmarkStart w:id="9" w:name="_Toc332874417"/>
      <w:r>
        <w:rPr>
          <w:rFonts w:hint="eastAsia" w:ascii="仿宋" w:hAnsi="仿宋" w:eastAsia="仿宋" w:cs="仿宋"/>
          <w:i w:val="0"/>
          <w:iCs w:val="0"/>
          <w:sz w:val="24"/>
          <w:szCs w:val="24"/>
        </w:rPr>
        <w:fldChar w:fldCharType="begin"/>
      </w:r>
      <w:r>
        <w:rPr>
          <w:rFonts w:hint="eastAsia" w:ascii="仿宋" w:hAnsi="仿宋" w:eastAsia="仿宋" w:cs="仿宋"/>
          <w:i w:val="0"/>
          <w:iCs w:val="0"/>
          <w:sz w:val="24"/>
          <w:szCs w:val="24"/>
        </w:rPr>
        <w:instrText xml:space="preserve">TOC \o "1-3" \h \u </w:instrText>
      </w:r>
      <w:r>
        <w:rPr>
          <w:rFonts w:hint="eastAsia" w:ascii="仿宋" w:hAnsi="仿宋" w:eastAsia="仿宋" w:cs="仿宋"/>
          <w:i w:val="0"/>
          <w:iCs w:val="0"/>
          <w:sz w:val="24"/>
          <w:szCs w:val="24"/>
        </w:rPr>
        <w:fldChar w:fldCharType="separate"/>
      </w:r>
      <w:r>
        <w:rPr>
          <w:rFonts w:hint="eastAsia" w:ascii="仿宋" w:hAnsi="仿宋" w:eastAsia="仿宋" w:cs="仿宋"/>
          <w:i w:val="0"/>
          <w:iCs w:val="0"/>
          <w:szCs w:val="24"/>
        </w:rPr>
        <w:fldChar w:fldCharType="begin"/>
      </w:r>
      <w:r>
        <w:rPr>
          <w:rFonts w:hint="eastAsia" w:ascii="仿宋" w:hAnsi="仿宋" w:eastAsia="仿宋" w:cs="仿宋"/>
          <w:i w:val="0"/>
          <w:iCs w:val="0"/>
          <w:szCs w:val="24"/>
        </w:rPr>
        <w:instrText xml:space="preserve"> HYPERLINK \l _Toc29263 </w:instrText>
      </w:r>
      <w:r>
        <w:rPr>
          <w:rFonts w:hint="eastAsia" w:ascii="仿宋" w:hAnsi="仿宋" w:eastAsia="仿宋" w:cs="仿宋"/>
          <w:i w:val="0"/>
          <w:iCs w:val="0"/>
          <w:szCs w:val="24"/>
        </w:rPr>
        <w:fldChar w:fldCharType="separate"/>
      </w:r>
      <w:r>
        <w:rPr>
          <w:rFonts w:hint="eastAsia" w:ascii="仿宋" w:hAnsi="仿宋" w:eastAsia="仿宋" w:cs="仿宋"/>
          <w:i w:val="0"/>
          <w:iCs w:val="0"/>
          <w:szCs w:val="32"/>
        </w:rPr>
        <w:t>第一部分  竞争性谈判公告</w:t>
      </w:r>
      <w:r>
        <w:rPr>
          <w:i w:val="0"/>
          <w:iCs w:val="0"/>
        </w:rPr>
        <w:tab/>
      </w:r>
      <w:r>
        <w:rPr>
          <w:i w:val="0"/>
          <w:iCs w:val="0"/>
        </w:rPr>
        <w:fldChar w:fldCharType="begin"/>
      </w:r>
      <w:r>
        <w:rPr>
          <w:i w:val="0"/>
          <w:iCs w:val="0"/>
        </w:rPr>
        <w:instrText xml:space="preserve"> PAGEREF _Toc29263 \h </w:instrText>
      </w:r>
      <w:r>
        <w:rPr>
          <w:i w:val="0"/>
          <w:iCs w:val="0"/>
        </w:rPr>
        <w:fldChar w:fldCharType="separate"/>
      </w:r>
      <w:r>
        <w:rPr>
          <w:i w:val="0"/>
          <w:iCs w:val="0"/>
        </w:rPr>
        <w:t>4</w:t>
      </w:r>
      <w:r>
        <w:rPr>
          <w:i w:val="0"/>
          <w:iCs w:val="0"/>
        </w:rPr>
        <w:fldChar w:fldCharType="end"/>
      </w:r>
      <w:r>
        <w:rPr>
          <w:rFonts w:hint="eastAsia" w:ascii="仿宋" w:hAnsi="仿宋" w:eastAsia="仿宋" w:cs="仿宋"/>
          <w:i w:val="0"/>
          <w:iCs w:val="0"/>
          <w:szCs w:val="24"/>
        </w:rPr>
        <w:fldChar w:fldCharType="end"/>
      </w:r>
    </w:p>
    <w:p w14:paraId="3E14ED84">
      <w:pPr>
        <w:pStyle w:val="31"/>
        <w:tabs>
          <w:tab w:val="right" w:leader="dot" w:pos="8585"/>
        </w:tabs>
        <w:rPr>
          <w:i w:val="0"/>
          <w:iCs w:val="0"/>
        </w:rPr>
      </w:pPr>
      <w:r>
        <w:rPr>
          <w:rFonts w:hint="eastAsia" w:ascii="仿宋" w:hAnsi="仿宋" w:eastAsia="仿宋" w:cs="仿宋"/>
          <w:i w:val="0"/>
          <w:iCs w:val="0"/>
          <w:szCs w:val="24"/>
        </w:rPr>
        <w:fldChar w:fldCharType="begin"/>
      </w:r>
      <w:r>
        <w:rPr>
          <w:rFonts w:hint="eastAsia" w:ascii="仿宋" w:hAnsi="仿宋" w:eastAsia="仿宋" w:cs="仿宋"/>
          <w:i w:val="0"/>
          <w:iCs w:val="0"/>
          <w:szCs w:val="24"/>
        </w:rPr>
        <w:instrText xml:space="preserve"> HYPERLINK \l _Toc30716 </w:instrText>
      </w:r>
      <w:r>
        <w:rPr>
          <w:rFonts w:hint="eastAsia" w:ascii="仿宋" w:hAnsi="仿宋" w:eastAsia="仿宋" w:cs="仿宋"/>
          <w:i w:val="0"/>
          <w:iCs w:val="0"/>
          <w:szCs w:val="24"/>
        </w:rPr>
        <w:fldChar w:fldCharType="separate"/>
      </w:r>
      <w:r>
        <w:rPr>
          <w:rFonts w:hint="eastAsia" w:ascii="仿宋" w:hAnsi="仿宋" w:eastAsia="仿宋" w:cs="仿宋"/>
          <w:bCs/>
          <w:i w:val="0"/>
          <w:iCs w:val="0"/>
          <w:szCs w:val="32"/>
        </w:rPr>
        <w:t>第二部分  供应商须知前附表</w:t>
      </w:r>
      <w:r>
        <w:rPr>
          <w:i w:val="0"/>
          <w:iCs w:val="0"/>
        </w:rPr>
        <w:tab/>
      </w:r>
      <w:r>
        <w:rPr>
          <w:i w:val="0"/>
          <w:iCs w:val="0"/>
        </w:rPr>
        <w:fldChar w:fldCharType="begin"/>
      </w:r>
      <w:r>
        <w:rPr>
          <w:i w:val="0"/>
          <w:iCs w:val="0"/>
        </w:rPr>
        <w:instrText xml:space="preserve"> PAGEREF _Toc30716 \h </w:instrText>
      </w:r>
      <w:r>
        <w:rPr>
          <w:i w:val="0"/>
          <w:iCs w:val="0"/>
        </w:rPr>
        <w:fldChar w:fldCharType="separate"/>
      </w:r>
      <w:r>
        <w:rPr>
          <w:i w:val="0"/>
          <w:iCs w:val="0"/>
        </w:rPr>
        <w:t>7</w:t>
      </w:r>
      <w:r>
        <w:rPr>
          <w:i w:val="0"/>
          <w:iCs w:val="0"/>
        </w:rPr>
        <w:fldChar w:fldCharType="end"/>
      </w:r>
      <w:r>
        <w:rPr>
          <w:rFonts w:hint="eastAsia" w:ascii="仿宋" w:hAnsi="仿宋" w:eastAsia="仿宋" w:cs="仿宋"/>
          <w:i w:val="0"/>
          <w:iCs w:val="0"/>
          <w:szCs w:val="24"/>
        </w:rPr>
        <w:fldChar w:fldCharType="end"/>
      </w:r>
    </w:p>
    <w:p w14:paraId="2D18BC41">
      <w:pPr>
        <w:pStyle w:val="31"/>
        <w:tabs>
          <w:tab w:val="right" w:leader="dot" w:pos="8585"/>
        </w:tabs>
        <w:rPr>
          <w:i w:val="0"/>
          <w:iCs w:val="0"/>
        </w:rPr>
      </w:pPr>
      <w:r>
        <w:rPr>
          <w:rFonts w:hint="eastAsia" w:ascii="仿宋" w:hAnsi="仿宋" w:eastAsia="仿宋" w:cs="仿宋"/>
          <w:i w:val="0"/>
          <w:iCs w:val="0"/>
          <w:szCs w:val="24"/>
        </w:rPr>
        <w:fldChar w:fldCharType="begin"/>
      </w:r>
      <w:r>
        <w:rPr>
          <w:rFonts w:hint="eastAsia" w:ascii="仿宋" w:hAnsi="仿宋" w:eastAsia="仿宋" w:cs="仿宋"/>
          <w:i w:val="0"/>
          <w:iCs w:val="0"/>
          <w:szCs w:val="24"/>
        </w:rPr>
        <w:instrText xml:space="preserve"> HYPERLINK \l _Toc20443 </w:instrText>
      </w:r>
      <w:r>
        <w:rPr>
          <w:rFonts w:hint="eastAsia" w:ascii="仿宋" w:hAnsi="仿宋" w:eastAsia="仿宋" w:cs="仿宋"/>
          <w:i w:val="0"/>
          <w:iCs w:val="0"/>
          <w:szCs w:val="24"/>
        </w:rPr>
        <w:fldChar w:fldCharType="separate"/>
      </w:r>
      <w:r>
        <w:rPr>
          <w:rFonts w:hint="eastAsia" w:ascii="仿宋" w:hAnsi="仿宋" w:eastAsia="仿宋" w:cs="仿宋"/>
          <w:bCs/>
          <w:i w:val="0"/>
          <w:iCs w:val="0"/>
        </w:rPr>
        <w:t>第三部分  供应商须知</w:t>
      </w:r>
      <w:r>
        <w:rPr>
          <w:i w:val="0"/>
          <w:iCs w:val="0"/>
        </w:rPr>
        <w:tab/>
      </w:r>
      <w:r>
        <w:rPr>
          <w:i w:val="0"/>
          <w:iCs w:val="0"/>
        </w:rPr>
        <w:fldChar w:fldCharType="begin"/>
      </w:r>
      <w:r>
        <w:rPr>
          <w:i w:val="0"/>
          <w:iCs w:val="0"/>
        </w:rPr>
        <w:instrText xml:space="preserve"> PAGEREF _Toc20443 \h </w:instrText>
      </w:r>
      <w:r>
        <w:rPr>
          <w:i w:val="0"/>
          <w:iCs w:val="0"/>
        </w:rPr>
        <w:fldChar w:fldCharType="separate"/>
      </w:r>
      <w:r>
        <w:rPr>
          <w:i w:val="0"/>
          <w:iCs w:val="0"/>
        </w:rPr>
        <w:t>14</w:t>
      </w:r>
      <w:r>
        <w:rPr>
          <w:i w:val="0"/>
          <w:iCs w:val="0"/>
        </w:rPr>
        <w:fldChar w:fldCharType="end"/>
      </w:r>
      <w:r>
        <w:rPr>
          <w:rFonts w:hint="eastAsia" w:ascii="仿宋" w:hAnsi="仿宋" w:eastAsia="仿宋" w:cs="仿宋"/>
          <w:i w:val="0"/>
          <w:iCs w:val="0"/>
          <w:szCs w:val="24"/>
        </w:rPr>
        <w:fldChar w:fldCharType="end"/>
      </w:r>
    </w:p>
    <w:p w14:paraId="1E44C8DD">
      <w:pPr>
        <w:pStyle w:val="36"/>
        <w:tabs>
          <w:tab w:val="right" w:leader="dot" w:pos="8585"/>
        </w:tabs>
        <w:rPr>
          <w:i w:val="0"/>
          <w:iCs w:val="0"/>
        </w:rPr>
      </w:pPr>
      <w:r>
        <w:rPr>
          <w:rFonts w:hint="eastAsia" w:ascii="仿宋" w:hAnsi="仿宋" w:eastAsia="仿宋" w:cs="仿宋"/>
          <w:i w:val="0"/>
          <w:iCs w:val="0"/>
          <w:szCs w:val="24"/>
        </w:rPr>
        <w:fldChar w:fldCharType="begin"/>
      </w:r>
      <w:r>
        <w:rPr>
          <w:rFonts w:hint="eastAsia" w:ascii="仿宋" w:hAnsi="仿宋" w:eastAsia="仿宋" w:cs="仿宋"/>
          <w:i w:val="0"/>
          <w:iCs w:val="0"/>
          <w:szCs w:val="24"/>
        </w:rPr>
        <w:instrText xml:space="preserve"> HYPERLINK \l _Toc25017 </w:instrText>
      </w:r>
      <w:r>
        <w:rPr>
          <w:rFonts w:hint="eastAsia" w:ascii="仿宋" w:hAnsi="仿宋" w:eastAsia="仿宋" w:cs="仿宋"/>
          <w:i w:val="0"/>
          <w:iCs w:val="0"/>
          <w:szCs w:val="24"/>
        </w:rPr>
        <w:fldChar w:fldCharType="separate"/>
      </w:r>
      <w:r>
        <w:rPr>
          <w:rFonts w:hint="eastAsia" w:ascii="仿宋" w:hAnsi="仿宋" w:eastAsia="仿宋" w:cs="仿宋"/>
          <w:i w:val="0"/>
          <w:iCs w:val="0"/>
          <w:szCs w:val="24"/>
        </w:rPr>
        <w:t>A．总  则</w:t>
      </w:r>
      <w:r>
        <w:rPr>
          <w:i w:val="0"/>
          <w:iCs w:val="0"/>
        </w:rPr>
        <w:tab/>
      </w:r>
      <w:r>
        <w:rPr>
          <w:i w:val="0"/>
          <w:iCs w:val="0"/>
        </w:rPr>
        <w:fldChar w:fldCharType="begin"/>
      </w:r>
      <w:r>
        <w:rPr>
          <w:i w:val="0"/>
          <w:iCs w:val="0"/>
        </w:rPr>
        <w:instrText xml:space="preserve"> PAGEREF _Toc25017 \h </w:instrText>
      </w:r>
      <w:r>
        <w:rPr>
          <w:i w:val="0"/>
          <w:iCs w:val="0"/>
        </w:rPr>
        <w:fldChar w:fldCharType="separate"/>
      </w:r>
      <w:r>
        <w:rPr>
          <w:i w:val="0"/>
          <w:iCs w:val="0"/>
        </w:rPr>
        <w:t>14</w:t>
      </w:r>
      <w:r>
        <w:rPr>
          <w:i w:val="0"/>
          <w:iCs w:val="0"/>
        </w:rPr>
        <w:fldChar w:fldCharType="end"/>
      </w:r>
      <w:r>
        <w:rPr>
          <w:rFonts w:hint="eastAsia" w:ascii="仿宋" w:hAnsi="仿宋" w:eastAsia="仿宋" w:cs="仿宋"/>
          <w:i w:val="0"/>
          <w:iCs w:val="0"/>
          <w:szCs w:val="24"/>
        </w:rPr>
        <w:fldChar w:fldCharType="end"/>
      </w:r>
    </w:p>
    <w:p w14:paraId="1261D56A">
      <w:pPr>
        <w:pStyle w:val="23"/>
        <w:tabs>
          <w:tab w:val="right" w:leader="dot" w:pos="8585"/>
        </w:tabs>
        <w:rPr>
          <w:i w:val="0"/>
          <w:iCs w:val="0"/>
        </w:rPr>
      </w:pPr>
      <w:r>
        <w:rPr>
          <w:rFonts w:hint="eastAsia" w:ascii="仿宋" w:hAnsi="仿宋" w:eastAsia="仿宋" w:cs="仿宋"/>
          <w:i w:val="0"/>
          <w:iCs w:val="0"/>
          <w:szCs w:val="24"/>
        </w:rPr>
        <w:fldChar w:fldCharType="begin"/>
      </w:r>
      <w:r>
        <w:rPr>
          <w:rFonts w:hint="eastAsia" w:ascii="仿宋" w:hAnsi="仿宋" w:eastAsia="仿宋" w:cs="仿宋"/>
          <w:i w:val="0"/>
          <w:iCs w:val="0"/>
          <w:szCs w:val="24"/>
        </w:rPr>
        <w:instrText xml:space="preserve"> HYPERLINK \l _Toc8991 </w:instrText>
      </w:r>
      <w:r>
        <w:rPr>
          <w:rFonts w:hint="eastAsia" w:ascii="仿宋" w:hAnsi="仿宋" w:eastAsia="仿宋" w:cs="仿宋"/>
          <w:i w:val="0"/>
          <w:iCs w:val="0"/>
          <w:szCs w:val="24"/>
        </w:rPr>
        <w:fldChar w:fldCharType="separate"/>
      </w:r>
      <w:r>
        <w:rPr>
          <w:rFonts w:hint="eastAsia" w:ascii="仿宋" w:hAnsi="仿宋" w:eastAsia="仿宋" w:cs="仿宋"/>
          <w:i w:val="0"/>
          <w:iCs w:val="0"/>
          <w:szCs w:val="24"/>
        </w:rPr>
        <w:t>1．适用范围</w:t>
      </w:r>
      <w:r>
        <w:rPr>
          <w:i w:val="0"/>
          <w:iCs w:val="0"/>
        </w:rPr>
        <w:tab/>
      </w:r>
      <w:r>
        <w:rPr>
          <w:i w:val="0"/>
          <w:iCs w:val="0"/>
        </w:rPr>
        <w:fldChar w:fldCharType="begin"/>
      </w:r>
      <w:r>
        <w:rPr>
          <w:i w:val="0"/>
          <w:iCs w:val="0"/>
        </w:rPr>
        <w:instrText xml:space="preserve"> PAGEREF _Toc8991 \h </w:instrText>
      </w:r>
      <w:r>
        <w:rPr>
          <w:i w:val="0"/>
          <w:iCs w:val="0"/>
        </w:rPr>
        <w:fldChar w:fldCharType="separate"/>
      </w:r>
      <w:r>
        <w:rPr>
          <w:i w:val="0"/>
          <w:iCs w:val="0"/>
        </w:rPr>
        <w:t>14</w:t>
      </w:r>
      <w:r>
        <w:rPr>
          <w:i w:val="0"/>
          <w:iCs w:val="0"/>
        </w:rPr>
        <w:fldChar w:fldCharType="end"/>
      </w:r>
      <w:r>
        <w:rPr>
          <w:rFonts w:hint="eastAsia" w:ascii="仿宋" w:hAnsi="仿宋" w:eastAsia="仿宋" w:cs="仿宋"/>
          <w:i w:val="0"/>
          <w:iCs w:val="0"/>
          <w:szCs w:val="24"/>
        </w:rPr>
        <w:fldChar w:fldCharType="end"/>
      </w:r>
    </w:p>
    <w:p w14:paraId="294E5104">
      <w:pPr>
        <w:pStyle w:val="23"/>
        <w:tabs>
          <w:tab w:val="right" w:leader="dot" w:pos="8585"/>
        </w:tabs>
        <w:rPr>
          <w:i w:val="0"/>
          <w:iCs w:val="0"/>
        </w:rPr>
      </w:pPr>
      <w:r>
        <w:rPr>
          <w:rFonts w:hint="eastAsia" w:ascii="仿宋" w:hAnsi="仿宋" w:eastAsia="仿宋" w:cs="仿宋"/>
          <w:i w:val="0"/>
          <w:iCs w:val="0"/>
          <w:szCs w:val="24"/>
        </w:rPr>
        <w:fldChar w:fldCharType="begin"/>
      </w:r>
      <w:r>
        <w:rPr>
          <w:rFonts w:hint="eastAsia" w:ascii="仿宋" w:hAnsi="仿宋" w:eastAsia="仿宋" w:cs="仿宋"/>
          <w:i w:val="0"/>
          <w:iCs w:val="0"/>
          <w:szCs w:val="24"/>
        </w:rPr>
        <w:instrText xml:space="preserve"> HYPERLINK \l _Toc28569 </w:instrText>
      </w:r>
      <w:r>
        <w:rPr>
          <w:rFonts w:hint="eastAsia" w:ascii="仿宋" w:hAnsi="仿宋" w:eastAsia="仿宋" w:cs="仿宋"/>
          <w:i w:val="0"/>
          <w:iCs w:val="0"/>
          <w:szCs w:val="24"/>
        </w:rPr>
        <w:fldChar w:fldCharType="separate"/>
      </w:r>
      <w:r>
        <w:rPr>
          <w:rFonts w:hint="eastAsia" w:ascii="仿宋" w:hAnsi="仿宋" w:eastAsia="仿宋" w:cs="仿宋"/>
          <w:i w:val="0"/>
          <w:iCs w:val="0"/>
          <w:szCs w:val="24"/>
        </w:rPr>
        <w:t>2．定义</w:t>
      </w:r>
      <w:r>
        <w:rPr>
          <w:i w:val="0"/>
          <w:iCs w:val="0"/>
        </w:rPr>
        <w:tab/>
      </w:r>
      <w:r>
        <w:rPr>
          <w:i w:val="0"/>
          <w:iCs w:val="0"/>
        </w:rPr>
        <w:fldChar w:fldCharType="begin"/>
      </w:r>
      <w:r>
        <w:rPr>
          <w:i w:val="0"/>
          <w:iCs w:val="0"/>
        </w:rPr>
        <w:instrText xml:space="preserve"> PAGEREF _Toc28569 \h </w:instrText>
      </w:r>
      <w:r>
        <w:rPr>
          <w:i w:val="0"/>
          <w:iCs w:val="0"/>
        </w:rPr>
        <w:fldChar w:fldCharType="separate"/>
      </w:r>
      <w:r>
        <w:rPr>
          <w:i w:val="0"/>
          <w:iCs w:val="0"/>
        </w:rPr>
        <w:t>14</w:t>
      </w:r>
      <w:r>
        <w:rPr>
          <w:i w:val="0"/>
          <w:iCs w:val="0"/>
        </w:rPr>
        <w:fldChar w:fldCharType="end"/>
      </w:r>
      <w:r>
        <w:rPr>
          <w:rFonts w:hint="eastAsia" w:ascii="仿宋" w:hAnsi="仿宋" w:eastAsia="仿宋" w:cs="仿宋"/>
          <w:i w:val="0"/>
          <w:iCs w:val="0"/>
          <w:szCs w:val="24"/>
        </w:rPr>
        <w:fldChar w:fldCharType="end"/>
      </w:r>
    </w:p>
    <w:p w14:paraId="1F920EB4">
      <w:pPr>
        <w:pStyle w:val="23"/>
        <w:tabs>
          <w:tab w:val="right" w:leader="dot" w:pos="8585"/>
        </w:tabs>
        <w:rPr>
          <w:i w:val="0"/>
          <w:iCs w:val="0"/>
        </w:rPr>
      </w:pPr>
      <w:r>
        <w:rPr>
          <w:rFonts w:hint="eastAsia" w:ascii="仿宋" w:hAnsi="仿宋" w:eastAsia="仿宋" w:cs="仿宋"/>
          <w:i w:val="0"/>
          <w:iCs w:val="0"/>
          <w:szCs w:val="24"/>
        </w:rPr>
        <w:fldChar w:fldCharType="begin"/>
      </w:r>
      <w:r>
        <w:rPr>
          <w:rFonts w:hint="eastAsia" w:ascii="仿宋" w:hAnsi="仿宋" w:eastAsia="仿宋" w:cs="仿宋"/>
          <w:i w:val="0"/>
          <w:iCs w:val="0"/>
          <w:szCs w:val="24"/>
        </w:rPr>
        <w:instrText xml:space="preserve"> HYPERLINK \l _Toc14107 </w:instrText>
      </w:r>
      <w:r>
        <w:rPr>
          <w:rFonts w:hint="eastAsia" w:ascii="仿宋" w:hAnsi="仿宋" w:eastAsia="仿宋" w:cs="仿宋"/>
          <w:i w:val="0"/>
          <w:iCs w:val="0"/>
          <w:szCs w:val="24"/>
        </w:rPr>
        <w:fldChar w:fldCharType="separate"/>
      </w:r>
      <w:r>
        <w:rPr>
          <w:rFonts w:hint="eastAsia" w:ascii="仿宋" w:hAnsi="仿宋" w:eastAsia="仿宋" w:cs="仿宋"/>
          <w:i w:val="0"/>
          <w:iCs w:val="0"/>
          <w:szCs w:val="24"/>
        </w:rPr>
        <w:t>3．合格的供应商</w:t>
      </w:r>
      <w:r>
        <w:rPr>
          <w:i w:val="0"/>
          <w:iCs w:val="0"/>
        </w:rPr>
        <w:tab/>
      </w:r>
      <w:r>
        <w:rPr>
          <w:i w:val="0"/>
          <w:iCs w:val="0"/>
        </w:rPr>
        <w:fldChar w:fldCharType="begin"/>
      </w:r>
      <w:r>
        <w:rPr>
          <w:i w:val="0"/>
          <w:iCs w:val="0"/>
        </w:rPr>
        <w:instrText xml:space="preserve"> PAGEREF _Toc14107 \h </w:instrText>
      </w:r>
      <w:r>
        <w:rPr>
          <w:i w:val="0"/>
          <w:iCs w:val="0"/>
        </w:rPr>
        <w:fldChar w:fldCharType="separate"/>
      </w:r>
      <w:r>
        <w:rPr>
          <w:i w:val="0"/>
          <w:iCs w:val="0"/>
        </w:rPr>
        <w:t>14</w:t>
      </w:r>
      <w:r>
        <w:rPr>
          <w:i w:val="0"/>
          <w:iCs w:val="0"/>
        </w:rPr>
        <w:fldChar w:fldCharType="end"/>
      </w:r>
      <w:r>
        <w:rPr>
          <w:rFonts w:hint="eastAsia" w:ascii="仿宋" w:hAnsi="仿宋" w:eastAsia="仿宋" w:cs="仿宋"/>
          <w:i w:val="0"/>
          <w:iCs w:val="0"/>
          <w:szCs w:val="24"/>
        </w:rPr>
        <w:fldChar w:fldCharType="end"/>
      </w:r>
    </w:p>
    <w:p w14:paraId="2E9925BA">
      <w:pPr>
        <w:pStyle w:val="23"/>
        <w:tabs>
          <w:tab w:val="right" w:leader="dot" w:pos="8585"/>
        </w:tabs>
        <w:rPr>
          <w:i w:val="0"/>
          <w:iCs w:val="0"/>
        </w:rPr>
      </w:pPr>
      <w:r>
        <w:rPr>
          <w:rFonts w:hint="eastAsia" w:ascii="仿宋" w:hAnsi="仿宋" w:eastAsia="仿宋" w:cs="仿宋"/>
          <w:i w:val="0"/>
          <w:iCs w:val="0"/>
          <w:szCs w:val="24"/>
        </w:rPr>
        <w:fldChar w:fldCharType="begin"/>
      </w:r>
      <w:r>
        <w:rPr>
          <w:rFonts w:hint="eastAsia" w:ascii="仿宋" w:hAnsi="仿宋" w:eastAsia="仿宋" w:cs="仿宋"/>
          <w:i w:val="0"/>
          <w:iCs w:val="0"/>
          <w:szCs w:val="24"/>
        </w:rPr>
        <w:instrText xml:space="preserve"> HYPERLINK \l _Toc31990 </w:instrText>
      </w:r>
      <w:r>
        <w:rPr>
          <w:rFonts w:hint="eastAsia" w:ascii="仿宋" w:hAnsi="仿宋" w:eastAsia="仿宋" w:cs="仿宋"/>
          <w:i w:val="0"/>
          <w:iCs w:val="0"/>
          <w:szCs w:val="24"/>
        </w:rPr>
        <w:fldChar w:fldCharType="separate"/>
      </w:r>
      <w:r>
        <w:rPr>
          <w:rFonts w:hint="eastAsia" w:ascii="仿宋" w:hAnsi="仿宋" w:eastAsia="仿宋" w:cs="仿宋"/>
          <w:i w:val="0"/>
          <w:iCs w:val="0"/>
          <w:szCs w:val="24"/>
        </w:rPr>
        <w:t>4．合格的货物</w:t>
      </w:r>
      <w:r>
        <w:rPr>
          <w:i w:val="0"/>
          <w:iCs w:val="0"/>
        </w:rPr>
        <w:tab/>
      </w:r>
      <w:r>
        <w:rPr>
          <w:i w:val="0"/>
          <w:iCs w:val="0"/>
        </w:rPr>
        <w:fldChar w:fldCharType="begin"/>
      </w:r>
      <w:r>
        <w:rPr>
          <w:i w:val="0"/>
          <w:iCs w:val="0"/>
        </w:rPr>
        <w:instrText xml:space="preserve"> PAGEREF _Toc31990 \h </w:instrText>
      </w:r>
      <w:r>
        <w:rPr>
          <w:i w:val="0"/>
          <w:iCs w:val="0"/>
        </w:rPr>
        <w:fldChar w:fldCharType="separate"/>
      </w:r>
      <w:r>
        <w:rPr>
          <w:i w:val="0"/>
          <w:iCs w:val="0"/>
        </w:rPr>
        <w:t>14</w:t>
      </w:r>
      <w:r>
        <w:rPr>
          <w:i w:val="0"/>
          <w:iCs w:val="0"/>
        </w:rPr>
        <w:fldChar w:fldCharType="end"/>
      </w:r>
      <w:r>
        <w:rPr>
          <w:rFonts w:hint="eastAsia" w:ascii="仿宋" w:hAnsi="仿宋" w:eastAsia="仿宋" w:cs="仿宋"/>
          <w:i w:val="0"/>
          <w:iCs w:val="0"/>
          <w:szCs w:val="24"/>
        </w:rPr>
        <w:fldChar w:fldCharType="end"/>
      </w:r>
    </w:p>
    <w:p w14:paraId="48784390">
      <w:pPr>
        <w:pStyle w:val="23"/>
        <w:tabs>
          <w:tab w:val="right" w:leader="dot" w:pos="8585"/>
        </w:tabs>
        <w:rPr>
          <w:i w:val="0"/>
          <w:iCs w:val="0"/>
        </w:rPr>
      </w:pPr>
      <w:r>
        <w:rPr>
          <w:rFonts w:hint="eastAsia" w:ascii="仿宋" w:hAnsi="仿宋" w:eastAsia="仿宋" w:cs="仿宋"/>
          <w:i w:val="0"/>
          <w:iCs w:val="0"/>
          <w:szCs w:val="24"/>
        </w:rPr>
        <w:fldChar w:fldCharType="begin"/>
      </w:r>
      <w:r>
        <w:rPr>
          <w:rFonts w:hint="eastAsia" w:ascii="仿宋" w:hAnsi="仿宋" w:eastAsia="仿宋" w:cs="仿宋"/>
          <w:i w:val="0"/>
          <w:iCs w:val="0"/>
          <w:szCs w:val="24"/>
        </w:rPr>
        <w:instrText xml:space="preserve"> HYPERLINK \l _Toc11437 </w:instrText>
      </w:r>
      <w:r>
        <w:rPr>
          <w:rFonts w:hint="eastAsia" w:ascii="仿宋" w:hAnsi="仿宋" w:eastAsia="仿宋" w:cs="仿宋"/>
          <w:i w:val="0"/>
          <w:iCs w:val="0"/>
          <w:szCs w:val="24"/>
        </w:rPr>
        <w:fldChar w:fldCharType="separate"/>
      </w:r>
      <w:r>
        <w:rPr>
          <w:rFonts w:hint="eastAsia" w:ascii="仿宋" w:hAnsi="仿宋" w:eastAsia="仿宋" w:cs="仿宋"/>
          <w:i w:val="0"/>
          <w:iCs w:val="0"/>
          <w:szCs w:val="24"/>
        </w:rPr>
        <w:t>5．费用</w:t>
      </w:r>
      <w:r>
        <w:rPr>
          <w:i w:val="0"/>
          <w:iCs w:val="0"/>
        </w:rPr>
        <w:tab/>
      </w:r>
      <w:r>
        <w:rPr>
          <w:i w:val="0"/>
          <w:iCs w:val="0"/>
        </w:rPr>
        <w:fldChar w:fldCharType="begin"/>
      </w:r>
      <w:r>
        <w:rPr>
          <w:i w:val="0"/>
          <w:iCs w:val="0"/>
        </w:rPr>
        <w:instrText xml:space="preserve"> PAGEREF _Toc11437 \h </w:instrText>
      </w:r>
      <w:r>
        <w:rPr>
          <w:i w:val="0"/>
          <w:iCs w:val="0"/>
        </w:rPr>
        <w:fldChar w:fldCharType="separate"/>
      </w:r>
      <w:r>
        <w:rPr>
          <w:i w:val="0"/>
          <w:iCs w:val="0"/>
        </w:rPr>
        <w:t>14</w:t>
      </w:r>
      <w:r>
        <w:rPr>
          <w:i w:val="0"/>
          <w:iCs w:val="0"/>
        </w:rPr>
        <w:fldChar w:fldCharType="end"/>
      </w:r>
      <w:r>
        <w:rPr>
          <w:rFonts w:hint="eastAsia" w:ascii="仿宋" w:hAnsi="仿宋" w:eastAsia="仿宋" w:cs="仿宋"/>
          <w:i w:val="0"/>
          <w:iCs w:val="0"/>
          <w:szCs w:val="24"/>
        </w:rPr>
        <w:fldChar w:fldCharType="end"/>
      </w:r>
    </w:p>
    <w:p w14:paraId="51EC18D8">
      <w:pPr>
        <w:pStyle w:val="36"/>
        <w:tabs>
          <w:tab w:val="right" w:leader="dot" w:pos="8585"/>
        </w:tabs>
        <w:rPr>
          <w:i w:val="0"/>
          <w:iCs w:val="0"/>
        </w:rPr>
      </w:pPr>
      <w:r>
        <w:rPr>
          <w:rFonts w:hint="eastAsia" w:ascii="仿宋" w:hAnsi="仿宋" w:eastAsia="仿宋" w:cs="仿宋"/>
          <w:i w:val="0"/>
          <w:iCs w:val="0"/>
          <w:szCs w:val="24"/>
        </w:rPr>
        <w:fldChar w:fldCharType="begin"/>
      </w:r>
      <w:r>
        <w:rPr>
          <w:rFonts w:hint="eastAsia" w:ascii="仿宋" w:hAnsi="仿宋" w:eastAsia="仿宋" w:cs="仿宋"/>
          <w:i w:val="0"/>
          <w:iCs w:val="0"/>
          <w:szCs w:val="24"/>
        </w:rPr>
        <w:instrText xml:space="preserve"> HYPERLINK \l _Toc22115 </w:instrText>
      </w:r>
      <w:r>
        <w:rPr>
          <w:rFonts w:hint="eastAsia" w:ascii="仿宋" w:hAnsi="仿宋" w:eastAsia="仿宋" w:cs="仿宋"/>
          <w:i w:val="0"/>
          <w:iCs w:val="0"/>
          <w:szCs w:val="24"/>
        </w:rPr>
        <w:fldChar w:fldCharType="separate"/>
      </w:r>
      <w:r>
        <w:rPr>
          <w:rFonts w:hint="eastAsia" w:ascii="仿宋" w:hAnsi="仿宋" w:eastAsia="仿宋" w:cs="仿宋"/>
          <w:i w:val="0"/>
          <w:iCs w:val="0"/>
          <w:szCs w:val="24"/>
        </w:rPr>
        <w:t>B．谈判文件说明</w:t>
      </w:r>
      <w:r>
        <w:rPr>
          <w:i w:val="0"/>
          <w:iCs w:val="0"/>
        </w:rPr>
        <w:tab/>
      </w:r>
      <w:r>
        <w:rPr>
          <w:i w:val="0"/>
          <w:iCs w:val="0"/>
        </w:rPr>
        <w:fldChar w:fldCharType="begin"/>
      </w:r>
      <w:r>
        <w:rPr>
          <w:i w:val="0"/>
          <w:iCs w:val="0"/>
        </w:rPr>
        <w:instrText xml:space="preserve"> PAGEREF _Toc22115 \h </w:instrText>
      </w:r>
      <w:r>
        <w:rPr>
          <w:i w:val="0"/>
          <w:iCs w:val="0"/>
        </w:rPr>
        <w:fldChar w:fldCharType="separate"/>
      </w:r>
      <w:r>
        <w:rPr>
          <w:i w:val="0"/>
          <w:iCs w:val="0"/>
        </w:rPr>
        <w:t>15</w:t>
      </w:r>
      <w:r>
        <w:rPr>
          <w:i w:val="0"/>
          <w:iCs w:val="0"/>
        </w:rPr>
        <w:fldChar w:fldCharType="end"/>
      </w:r>
      <w:r>
        <w:rPr>
          <w:rFonts w:hint="eastAsia" w:ascii="仿宋" w:hAnsi="仿宋" w:eastAsia="仿宋" w:cs="仿宋"/>
          <w:i w:val="0"/>
          <w:iCs w:val="0"/>
          <w:szCs w:val="24"/>
        </w:rPr>
        <w:fldChar w:fldCharType="end"/>
      </w:r>
    </w:p>
    <w:p w14:paraId="5620E9B7">
      <w:pPr>
        <w:pStyle w:val="23"/>
        <w:tabs>
          <w:tab w:val="right" w:leader="dot" w:pos="8585"/>
        </w:tabs>
        <w:rPr>
          <w:i w:val="0"/>
          <w:iCs w:val="0"/>
        </w:rPr>
      </w:pPr>
      <w:r>
        <w:rPr>
          <w:rFonts w:hint="eastAsia" w:ascii="仿宋" w:hAnsi="仿宋" w:eastAsia="仿宋" w:cs="仿宋"/>
          <w:i w:val="0"/>
          <w:iCs w:val="0"/>
          <w:szCs w:val="24"/>
        </w:rPr>
        <w:fldChar w:fldCharType="begin"/>
      </w:r>
      <w:r>
        <w:rPr>
          <w:rFonts w:hint="eastAsia" w:ascii="仿宋" w:hAnsi="仿宋" w:eastAsia="仿宋" w:cs="仿宋"/>
          <w:i w:val="0"/>
          <w:iCs w:val="0"/>
          <w:szCs w:val="24"/>
        </w:rPr>
        <w:instrText xml:space="preserve"> HYPERLINK \l _Toc14500 </w:instrText>
      </w:r>
      <w:r>
        <w:rPr>
          <w:rFonts w:hint="eastAsia" w:ascii="仿宋" w:hAnsi="仿宋" w:eastAsia="仿宋" w:cs="仿宋"/>
          <w:i w:val="0"/>
          <w:iCs w:val="0"/>
          <w:szCs w:val="24"/>
        </w:rPr>
        <w:fldChar w:fldCharType="separate"/>
      </w:r>
      <w:r>
        <w:rPr>
          <w:rFonts w:hint="eastAsia" w:ascii="仿宋" w:hAnsi="仿宋" w:eastAsia="仿宋" w:cs="仿宋"/>
          <w:i w:val="0"/>
          <w:iCs w:val="0"/>
          <w:szCs w:val="24"/>
        </w:rPr>
        <w:t>6．谈判文件的构成</w:t>
      </w:r>
      <w:r>
        <w:rPr>
          <w:i w:val="0"/>
          <w:iCs w:val="0"/>
        </w:rPr>
        <w:tab/>
      </w:r>
      <w:r>
        <w:rPr>
          <w:i w:val="0"/>
          <w:iCs w:val="0"/>
        </w:rPr>
        <w:fldChar w:fldCharType="begin"/>
      </w:r>
      <w:r>
        <w:rPr>
          <w:i w:val="0"/>
          <w:iCs w:val="0"/>
        </w:rPr>
        <w:instrText xml:space="preserve"> PAGEREF _Toc14500 \h </w:instrText>
      </w:r>
      <w:r>
        <w:rPr>
          <w:i w:val="0"/>
          <w:iCs w:val="0"/>
        </w:rPr>
        <w:fldChar w:fldCharType="separate"/>
      </w:r>
      <w:r>
        <w:rPr>
          <w:i w:val="0"/>
          <w:iCs w:val="0"/>
        </w:rPr>
        <w:t>15</w:t>
      </w:r>
      <w:r>
        <w:rPr>
          <w:i w:val="0"/>
          <w:iCs w:val="0"/>
        </w:rPr>
        <w:fldChar w:fldCharType="end"/>
      </w:r>
      <w:r>
        <w:rPr>
          <w:rFonts w:hint="eastAsia" w:ascii="仿宋" w:hAnsi="仿宋" w:eastAsia="仿宋" w:cs="仿宋"/>
          <w:i w:val="0"/>
          <w:iCs w:val="0"/>
          <w:szCs w:val="24"/>
        </w:rPr>
        <w:fldChar w:fldCharType="end"/>
      </w:r>
    </w:p>
    <w:p w14:paraId="009FEBD3">
      <w:pPr>
        <w:pStyle w:val="23"/>
        <w:tabs>
          <w:tab w:val="right" w:leader="dot" w:pos="8585"/>
        </w:tabs>
        <w:rPr>
          <w:i w:val="0"/>
          <w:iCs w:val="0"/>
        </w:rPr>
      </w:pPr>
      <w:r>
        <w:rPr>
          <w:rFonts w:hint="eastAsia" w:ascii="仿宋" w:hAnsi="仿宋" w:eastAsia="仿宋" w:cs="仿宋"/>
          <w:i w:val="0"/>
          <w:iCs w:val="0"/>
          <w:szCs w:val="24"/>
        </w:rPr>
        <w:fldChar w:fldCharType="begin"/>
      </w:r>
      <w:r>
        <w:rPr>
          <w:rFonts w:hint="eastAsia" w:ascii="仿宋" w:hAnsi="仿宋" w:eastAsia="仿宋" w:cs="仿宋"/>
          <w:i w:val="0"/>
          <w:iCs w:val="0"/>
          <w:szCs w:val="24"/>
        </w:rPr>
        <w:instrText xml:space="preserve"> HYPERLINK \l _Toc5609 </w:instrText>
      </w:r>
      <w:r>
        <w:rPr>
          <w:rFonts w:hint="eastAsia" w:ascii="仿宋" w:hAnsi="仿宋" w:eastAsia="仿宋" w:cs="仿宋"/>
          <w:i w:val="0"/>
          <w:iCs w:val="0"/>
          <w:szCs w:val="24"/>
        </w:rPr>
        <w:fldChar w:fldCharType="separate"/>
      </w:r>
      <w:r>
        <w:rPr>
          <w:rFonts w:hint="eastAsia" w:ascii="仿宋" w:hAnsi="仿宋" w:eastAsia="仿宋" w:cs="仿宋"/>
          <w:i w:val="0"/>
          <w:iCs w:val="0"/>
          <w:szCs w:val="24"/>
        </w:rPr>
        <w:t>7．谈判文件的澄清</w:t>
      </w:r>
      <w:r>
        <w:rPr>
          <w:i w:val="0"/>
          <w:iCs w:val="0"/>
        </w:rPr>
        <w:tab/>
      </w:r>
      <w:r>
        <w:rPr>
          <w:i w:val="0"/>
          <w:iCs w:val="0"/>
        </w:rPr>
        <w:fldChar w:fldCharType="begin"/>
      </w:r>
      <w:r>
        <w:rPr>
          <w:i w:val="0"/>
          <w:iCs w:val="0"/>
        </w:rPr>
        <w:instrText xml:space="preserve"> PAGEREF _Toc5609 \h </w:instrText>
      </w:r>
      <w:r>
        <w:rPr>
          <w:i w:val="0"/>
          <w:iCs w:val="0"/>
        </w:rPr>
        <w:fldChar w:fldCharType="separate"/>
      </w:r>
      <w:r>
        <w:rPr>
          <w:i w:val="0"/>
          <w:iCs w:val="0"/>
        </w:rPr>
        <w:t>15</w:t>
      </w:r>
      <w:r>
        <w:rPr>
          <w:i w:val="0"/>
          <w:iCs w:val="0"/>
        </w:rPr>
        <w:fldChar w:fldCharType="end"/>
      </w:r>
      <w:r>
        <w:rPr>
          <w:rFonts w:hint="eastAsia" w:ascii="仿宋" w:hAnsi="仿宋" w:eastAsia="仿宋" w:cs="仿宋"/>
          <w:i w:val="0"/>
          <w:iCs w:val="0"/>
          <w:szCs w:val="24"/>
        </w:rPr>
        <w:fldChar w:fldCharType="end"/>
      </w:r>
    </w:p>
    <w:p w14:paraId="5BECD8FB">
      <w:pPr>
        <w:pStyle w:val="23"/>
        <w:tabs>
          <w:tab w:val="right" w:leader="dot" w:pos="8585"/>
        </w:tabs>
        <w:rPr>
          <w:i w:val="0"/>
          <w:iCs w:val="0"/>
        </w:rPr>
      </w:pPr>
      <w:r>
        <w:rPr>
          <w:rFonts w:hint="eastAsia" w:ascii="仿宋" w:hAnsi="仿宋" w:eastAsia="仿宋" w:cs="仿宋"/>
          <w:i w:val="0"/>
          <w:iCs w:val="0"/>
          <w:szCs w:val="24"/>
        </w:rPr>
        <w:fldChar w:fldCharType="begin"/>
      </w:r>
      <w:r>
        <w:rPr>
          <w:rFonts w:hint="eastAsia" w:ascii="仿宋" w:hAnsi="仿宋" w:eastAsia="仿宋" w:cs="仿宋"/>
          <w:i w:val="0"/>
          <w:iCs w:val="0"/>
          <w:szCs w:val="24"/>
        </w:rPr>
        <w:instrText xml:space="preserve"> HYPERLINK \l _Toc19314 </w:instrText>
      </w:r>
      <w:r>
        <w:rPr>
          <w:rFonts w:hint="eastAsia" w:ascii="仿宋" w:hAnsi="仿宋" w:eastAsia="仿宋" w:cs="仿宋"/>
          <w:i w:val="0"/>
          <w:iCs w:val="0"/>
          <w:szCs w:val="24"/>
        </w:rPr>
        <w:fldChar w:fldCharType="separate"/>
      </w:r>
      <w:r>
        <w:rPr>
          <w:rFonts w:hint="eastAsia" w:ascii="仿宋" w:hAnsi="仿宋" w:eastAsia="仿宋" w:cs="仿宋"/>
          <w:i w:val="0"/>
          <w:iCs w:val="0"/>
          <w:szCs w:val="24"/>
        </w:rPr>
        <w:t>8．谈判文件的修改</w:t>
      </w:r>
      <w:r>
        <w:rPr>
          <w:i w:val="0"/>
          <w:iCs w:val="0"/>
        </w:rPr>
        <w:tab/>
      </w:r>
      <w:r>
        <w:rPr>
          <w:i w:val="0"/>
          <w:iCs w:val="0"/>
        </w:rPr>
        <w:fldChar w:fldCharType="begin"/>
      </w:r>
      <w:r>
        <w:rPr>
          <w:i w:val="0"/>
          <w:iCs w:val="0"/>
        </w:rPr>
        <w:instrText xml:space="preserve"> PAGEREF _Toc19314 \h </w:instrText>
      </w:r>
      <w:r>
        <w:rPr>
          <w:i w:val="0"/>
          <w:iCs w:val="0"/>
        </w:rPr>
        <w:fldChar w:fldCharType="separate"/>
      </w:r>
      <w:r>
        <w:rPr>
          <w:i w:val="0"/>
          <w:iCs w:val="0"/>
        </w:rPr>
        <w:t>15</w:t>
      </w:r>
      <w:r>
        <w:rPr>
          <w:i w:val="0"/>
          <w:iCs w:val="0"/>
        </w:rPr>
        <w:fldChar w:fldCharType="end"/>
      </w:r>
      <w:r>
        <w:rPr>
          <w:rFonts w:hint="eastAsia" w:ascii="仿宋" w:hAnsi="仿宋" w:eastAsia="仿宋" w:cs="仿宋"/>
          <w:i w:val="0"/>
          <w:iCs w:val="0"/>
          <w:szCs w:val="24"/>
        </w:rPr>
        <w:fldChar w:fldCharType="end"/>
      </w:r>
    </w:p>
    <w:p w14:paraId="48BA30D9">
      <w:pPr>
        <w:pStyle w:val="36"/>
        <w:tabs>
          <w:tab w:val="right" w:leader="dot" w:pos="8585"/>
        </w:tabs>
        <w:rPr>
          <w:i w:val="0"/>
          <w:iCs w:val="0"/>
        </w:rPr>
      </w:pPr>
      <w:r>
        <w:rPr>
          <w:rFonts w:hint="eastAsia" w:ascii="仿宋" w:hAnsi="仿宋" w:eastAsia="仿宋" w:cs="仿宋"/>
          <w:i w:val="0"/>
          <w:iCs w:val="0"/>
          <w:szCs w:val="24"/>
        </w:rPr>
        <w:fldChar w:fldCharType="begin"/>
      </w:r>
      <w:r>
        <w:rPr>
          <w:rFonts w:hint="eastAsia" w:ascii="仿宋" w:hAnsi="仿宋" w:eastAsia="仿宋" w:cs="仿宋"/>
          <w:i w:val="0"/>
          <w:iCs w:val="0"/>
          <w:szCs w:val="24"/>
        </w:rPr>
        <w:instrText xml:space="preserve"> HYPERLINK \l _Toc30331 </w:instrText>
      </w:r>
      <w:r>
        <w:rPr>
          <w:rFonts w:hint="eastAsia" w:ascii="仿宋" w:hAnsi="仿宋" w:eastAsia="仿宋" w:cs="仿宋"/>
          <w:i w:val="0"/>
          <w:iCs w:val="0"/>
          <w:szCs w:val="24"/>
        </w:rPr>
        <w:fldChar w:fldCharType="separate"/>
      </w:r>
      <w:r>
        <w:rPr>
          <w:rFonts w:hint="eastAsia" w:ascii="仿宋" w:hAnsi="仿宋" w:eastAsia="仿宋" w:cs="仿宋"/>
          <w:i w:val="0"/>
          <w:iCs w:val="0"/>
          <w:szCs w:val="24"/>
        </w:rPr>
        <w:t>C．谈判响应文件的编写</w:t>
      </w:r>
      <w:r>
        <w:rPr>
          <w:i w:val="0"/>
          <w:iCs w:val="0"/>
        </w:rPr>
        <w:tab/>
      </w:r>
      <w:r>
        <w:rPr>
          <w:i w:val="0"/>
          <w:iCs w:val="0"/>
        </w:rPr>
        <w:fldChar w:fldCharType="begin"/>
      </w:r>
      <w:r>
        <w:rPr>
          <w:i w:val="0"/>
          <w:iCs w:val="0"/>
        </w:rPr>
        <w:instrText xml:space="preserve"> PAGEREF _Toc30331 \h </w:instrText>
      </w:r>
      <w:r>
        <w:rPr>
          <w:i w:val="0"/>
          <w:iCs w:val="0"/>
        </w:rPr>
        <w:fldChar w:fldCharType="separate"/>
      </w:r>
      <w:r>
        <w:rPr>
          <w:i w:val="0"/>
          <w:iCs w:val="0"/>
        </w:rPr>
        <w:t>16</w:t>
      </w:r>
      <w:r>
        <w:rPr>
          <w:i w:val="0"/>
          <w:iCs w:val="0"/>
        </w:rPr>
        <w:fldChar w:fldCharType="end"/>
      </w:r>
      <w:r>
        <w:rPr>
          <w:rFonts w:hint="eastAsia" w:ascii="仿宋" w:hAnsi="仿宋" w:eastAsia="仿宋" w:cs="仿宋"/>
          <w:i w:val="0"/>
          <w:iCs w:val="0"/>
          <w:szCs w:val="24"/>
        </w:rPr>
        <w:fldChar w:fldCharType="end"/>
      </w:r>
    </w:p>
    <w:p w14:paraId="1843D45C">
      <w:pPr>
        <w:pStyle w:val="23"/>
        <w:tabs>
          <w:tab w:val="right" w:leader="dot" w:pos="8585"/>
        </w:tabs>
        <w:rPr>
          <w:i w:val="0"/>
          <w:iCs w:val="0"/>
        </w:rPr>
      </w:pPr>
      <w:r>
        <w:rPr>
          <w:rFonts w:hint="eastAsia" w:ascii="仿宋" w:hAnsi="仿宋" w:eastAsia="仿宋" w:cs="仿宋"/>
          <w:i w:val="0"/>
          <w:iCs w:val="0"/>
          <w:szCs w:val="24"/>
        </w:rPr>
        <w:fldChar w:fldCharType="begin"/>
      </w:r>
      <w:r>
        <w:rPr>
          <w:rFonts w:hint="eastAsia" w:ascii="仿宋" w:hAnsi="仿宋" w:eastAsia="仿宋" w:cs="仿宋"/>
          <w:i w:val="0"/>
          <w:iCs w:val="0"/>
          <w:szCs w:val="24"/>
        </w:rPr>
        <w:instrText xml:space="preserve"> HYPERLINK \l _Toc14179 </w:instrText>
      </w:r>
      <w:r>
        <w:rPr>
          <w:rFonts w:hint="eastAsia" w:ascii="仿宋" w:hAnsi="仿宋" w:eastAsia="仿宋" w:cs="仿宋"/>
          <w:i w:val="0"/>
          <w:iCs w:val="0"/>
          <w:szCs w:val="24"/>
        </w:rPr>
        <w:fldChar w:fldCharType="separate"/>
      </w:r>
      <w:r>
        <w:rPr>
          <w:rFonts w:hint="eastAsia" w:ascii="仿宋" w:hAnsi="仿宋" w:eastAsia="仿宋" w:cs="仿宋"/>
          <w:i w:val="0"/>
          <w:iCs w:val="0"/>
          <w:szCs w:val="24"/>
        </w:rPr>
        <w:t>9．谈判响应文件编制的原则</w:t>
      </w:r>
      <w:r>
        <w:rPr>
          <w:i w:val="0"/>
          <w:iCs w:val="0"/>
        </w:rPr>
        <w:tab/>
      </w:r>
      <w:r>
        <w:rPr>
          <w:i w:val="0"/>
          <w:iCs w:val="0"/>
        </w:rPr>
        <w:fldChar w:fldCharType="begin"/>
      </w:r>
      <w:r>
        <w:rPr>
          <w:i w:val="0"/>
          <w:iCs w:val="0"/>
        </w:rPr>
        <w:instrText xml:space="preserve"> PAGEREF _Toc14179 \h </w:instrText>
      </w:r>
      <w:r>
        <w:rPr>
          <w:i w:val="0"/>
          <w:iCs w:val="0"/>
        </w:rPr>
        <w:fldChar w:fldCharType="separate"/>
      </w:r>
      <w:r>
        <w:rPr>
          <w:i w:val="0"/>
          <w:iCs w:val="0"/>
        </w:rPr>
        <w:t>16</w:t>
      </w:r>
      <w:r>
        <w:rPr>
          <w:i w:val="0"/>
          <w:iCs w:val="0"/>
        </w:rPr>
        <w:fldChar w:fldCharType="end"/>
      </w:r>
      <w:r>
        <w:rPr>
          <w:rFonts w:hint="eastAsia" w:ascii="仿宋" w:hAnsi="仿宋" w:eastAsia="仿宋" w:cs="仿宋"/>
          <w:i w:val="0"/>
          <w:iCs w:val="0"/>
          <w:szCs w:val="24"/>
        </w:rPr>
        <w:fldChar w:fldCharType="end"/>
      </w:r>
    </w:p>
    <w:p w14:paraId="50B9F5FB">
      <w:pPr>
        <w:pStyle w:val="23"/>
        <w:tabs>
          <w:tab w:val="right" w:leader="dot" w:pos="8585"/>
        </w:tabs>
        <w:rPr>
          <w:i w:val="0"/>
          <w:iCs w:val="0"/>
        </w:rPr>
      </w:pPr>
      <w:r>
        <w:rPr>
          <w:rFonts w:hint="eastAsia" w:ascii="仿宋" w:hAnsi="仿宋" w:eastAsia="仿宋" w:cs="仿宋"/>
          <w:i w:val="0"/>
          <w:iCs w:val="0"/>
          <w:szCs w:val="24"/>
        </w:rPr>
        <w:fldChar w:fldCharType="begin"/>
      </w:r>
      <w:r>
        <w:rPr>
          <w:rFonts w:hint="eastAsia" w:ascii="仿宋" w:hAnsi="仿宋" w:eastAsia="仿宋" w:cs="仿宋"/>
          <w:i w:val="0"/>
          <w:iCs w:val="0"/>
          <w:szCs w:val="24"/>
        </w:rPr>
        <w:instrText xml:space="preserve"> HYPERLINK \l _Toc32722 </w:instrText>
      </w:r>
      <w:r>
        <w:rPr>
          <w:rFonts w:hint="eastAsia" w:ascii="仿宋" w:hAnsi="仿宋" w:eastAsia="仿宋" w:cs="仿宋"/>
          <w:i w:val="0"/>
          <w:iCs w:val="0"/>
          <w:szCs w:val="24"/>
        </w:rPr>
        <w:fldChar w:fldCharType="separate"/>
      </w:r>
      <w:r>
        <w:rPr>
          <w:rFonts w:hint="eastAsia" w:ascii="仿宋" w:hAnsi="仿宋" w:eastAsia="仿宋" w:cs="仿宋"/>
          <w:i w:val="0"/>
          <w:iCs w:val="0"/>
          <w:szCs w:val="24"/>
        </w:rPr>
        <w:t>10．谈判语言</w:t>
      </w:r>
      <w:r>
        <w:rPr>
          <w:i w:val="0"/>
          <w:iCs w:val="0"/>
        </w:rPr>
        <w:tab/>
      </w:r>
      <w:r>
        <w:rPr>
          <w:i w:val="0"/>
          <w:iCs w:val="0"/>
        </w:rPr>
        <w:fldChar w:fldCharType="begin"/>
      </w:r>
      <w:r>
        <w:rPr>
          <w:i w:val="0"/>
          <w:iCs w:val="0"/>
        </w:rPr>
        <w:instrText xml:space="preserve"> PAGEREF _Toc32722 \h </w:instrText>
      </w:r>
      <w:r>
        <w:rPr>
          <w:i w:val="0"/>
          <w:iCs w:val="0"/>
        </w:rPr>
        <w:fldChar w:fldCharType="separate"/>
      </w:r>
      <w:r>
        <w:rPr>
          <w:i w:val="0"/>
          <w:iCs w:val="0"/>
        </w:rPr>
        <w:t>16</w:t>
      </w:r>
      <w:r>
        <w:rPr>
          <w:i w:val="0"/>
          <w:iCs w:val="0"/>
        </w:rPr>
        <w:fldChar w:fldCharType="end"/>
      </w:r>
      <w:r>
        <w:rPr>
          <w:rFonts w:hint="eastAsia" w:ascii="仿宋" w:hAnsi="仿宋" w:eastAsia="仿宋" w:cs="仿宋"/>
          <w:i w:val="0"/>
          <w:iCs w:val="0"/>
          <w:szCs w:val="24"/>
        </w:rPr>
        <w:fldChar w:fldCharType="end"/>
      </w:r>
    </w:p>
    <w:p w14:paraId="029A4DA4">
      <w:pPr>
        <w:pStyle w:val="23"/>
        <w:tabs>
          <w:tab w:val="right" w:leader="dot" w:pos="8585"/>
        </w:tabs>
        <w:rPr>
          <w:i w:val="0"/>
          <w:iCs w:val="0"/>
        </w:rPr>
      </w:pPr>
      <w:r>
        <w:rPr>
          <w:rFonts w:hint="eastAsia" w:ascii="仿宋" w:hAnsi="仿宋" w:eastAsia="仿宋" w:cs="仿宋"/>
          <w:i w:val="0"/>
          <w:iCs w:val="0"/>
          <w:szCs w:val="24"/>
        </w:rPr>
        <w:fldChar w:fldCharType="begin"/>
      </w:r>
      <w:r>
        <w:rPr>
          <w:rFonts w:hint="eastAsia" w:ascii="仿宋" w:hAnsi="仿宋" w:eastAsia="仿宋" w:cs="仿宋"/>
          <w:i w:val="0"/>
          <w:iCs w:val="0"/>
          <w:szCs w:val="24"/>
        </w:rPr>
        <w:instrText xml:space="preserve"> HYPERLINK \l _Toc20861 </w:instrText>
      </w:r>
      <w:r>
        <w:rPr>
          <w:rFonts w:hint="eastAsia" w:ascii="仿宋" w:hAnsi="仿宋" w:eastAsia="仿宋" w:cs="仿宋"/>
          <w:i w:val="0"/>
          <w:iCs w:val="0"/>
          <w:szCs w:val="24"/>
        </w:rPr>
        <w:fldChar w:fldCharType="separate"/>
      </w:r>
      <w:r>
        <w:rPr>
          <w:rFonts w:hint="eastAsia" w:ascii="仿宋" w:hAnsi="仿宋" w:eastAsia="仿宋" w:cs="仿宋"/>
          <w:i w:val="0"/>
          <w:iCs w:val="0"/>
          <w:szCs w:val="24"/>
        </w:rPr>
        <w:t>11．计量单位</w:t>
      </w:r>
      <w:r>
        <w:rPr>
          <w:i w:val="0"/>
          <w:iCs w:val="0"/>
        </w:rPr>
        <w:tab/>
      </w:r>
      <w:r>
        <w:rPr>
          <w:i w:val="0"/>
          <w:iCs w:val="0"/>
        </w:rPr>
        <w:fldChar w:fldCharType="begin"/>
      </w:r>
      <w:r>
        <w:rPr>
          <w:i w:val="0"/>
          <w:iCs w:val="0"/>
        </w:rPr>
        <w:instrText xml:space="preserve"> PAGEREF _Toc20861 \h </w:instrText>
      </w:r>
      <w:r>
        <w:rPr>
          <w:i w:val="0"/>
          <w:iCs w:val="0"/>
        </w:rPr>
        <w:fldChar w:fldCharType="separate"/>
      </w:r>
      <w:r>
        <w:rPr>
          <w:i w:val="0"/>
          <w:iCs w:val="0"/>
        </w:rPr>
        <w:t>16</w:t>
      </w:r>
      <w:r>
        <w:rPr>
          <w:i w:val="0"/>
          <w:iCs w:val="0"/>
        </w:rPr>
        <w:fldChar w:fldCharType="end"/>
      </w:r>
      <w:r>
        <w:rPr>
          <w:rFonts w:hint="eastAsia" w:ascii="仿宋" w:hAnsi="仿宋" w:eastAsia="仿宋" w:cs="仿宋"/>
          <w:i w:val="0"/>
          <w:iCs w:val="0"/>
          <w:szCs w:val="24"/>
        </w:rPr>
        <w:fldChar w:fldCharType="end"/>
      </w:r>
    </w:p>
    <w:p w14:paraId="6D460806">
      <w:pPr>
        <w:pStyle w:val="23"/>
        <w:tabs>
          <w:tab w:val="right" w:leader="dot" w:pos="8585"/>
        </w:tabs>
        <w:rPr>
          <w:i w:val="0"/>
          <w:iCs w:val="0"/>
        </w:rPr>
      </w:pPr>
      <w:r>
        <w:rPr>
          <w:rFonts w:hint="eastAsia" w:ascii="仿宋" w:hAnsi="仿宋" w:eastAsia="仿宋" w:cs="仿宋"/>
          <w:i w:val="0"/>
          <w:iCs w:val="0"/>
          <w:szCs w:val="24"/>
        </w:rPr>
        <w:fldChar w:fldCharType="begin"/>
      </w:r>
      <w:r>
        <w:rPr>
          <w:rFonts w:hint="eastAsia" w:ascii="仿宋" w:hAnsi="仿宋" w:eastAsia="仿宋" w:cs="仿宋"/>
          <w:i w:val="0"/>
          <w:iCs w:val="0"/>
          <w:szCs w:val="24"/>
        </w:rPr>
        <w:instrText xml:space="preserve"> HYPERLINK \l _Toc13895 </w:instrText>
      </w:r>
      <w:r>
        <w:rPr>
          <w:rFonts w:hint="eastAsia" w:ascii="仿宋" w:hAnsi="仿宋" w:eastAsia="仿宋" w:cs="仿宋"/>
          <w:i w:val="0"/>
          <w:iCs w:val="0"/>
          <w:szCs w:val="24"/>
        </w:rPr>
        <w:fldChar w:fldCharType="separate"/>
      </w:r>
      <w:r>
        <w:rPr>
          <w:rFonts w:hint="eastAsia" w:ascii="仿宋" w:hAnsi="仿宋" w:eastAsia="仿宋" w:cs="仿宋"/>
          <w:i w:val="0"/>
          <w:iCs w:val="0"/>
          <w:szCs w:val="24"/>
        </w:rPr>
        <w:t>12．谈判响应文件的组成</w:t>
      </w:r>
      <w:r>
        <w:rPr>
          <w:i w:val="0"/>
          <w:iCs w:val="0"/>
        </w:rPr>
        <w:tab/>
      </w:r>
      <w:r>
        <w:rPr>
          <w:i w:val="0"/>
          <w:iCs w:val="0"/>
        </w:rPr>
        <w:fldChar w:fldCharType="begin"/>
      </w:r>
      <w:r>
        <w:rPr>
          <w:i w:val="0"/>
          <w:iCs w:val="0"/>
        </w:rPr>
        <w:instrText xml:space="preserve"> PAGEREF _Toc13895 \h </w:instrText>
      </w:r>
      <w:r>
        <w:rPr>
          <w:i w:val="0"/>
          <w:iCs w:val="0"/>
        </w:rPr>
        <w:fldChar w:fldCharType="separate"/>
      </w:r>
      <w:r>
        <w:rPr>
          <w:i w:val="0"/>
          <w:iCs w:val="0"/>
        </w:rPr>
        <w:t>16</w:t>
      </w:r>
      <w:r>
        <w:rPr>
          <w:i w:val="0"/>
          <w:iCs w:val="0"/>
        </w:rPr>
        <w:fldChar w:fldCharType="end"/>
      </w:r>
      <w:r>
        <w:rPr>
          <w:rFonts w:hint="eastAsia" w:ascii="仿宋" w:hAnsi="仿宋" w:eastAsia="仿宋" w:cs="仿宋"/>
          <w:i w:val="0"/>
          <w:iCs w:val="0"/>
          <w:szCs w:val="24"/>
        </w:rPr>
        <w:fldChar w:fldCharType="end"/>
      </w:r>
    </w:p>
    <w:p w14:paraId="75FE07C1">
      <w:pPr>
        <w:pStyle w:val="23"/>
        <w:tabs>
          <w:tab w:val="right" w:leader="dot" w:pos="8585"/>
        </w:tabs>
        <w:rPr>
          <w:i w:val="0"/>
          <w:iCs w:val="0"/>
        </w:rPr>
      </w:pPr>
      <w:r>
        <w:rPr>
          <w:rFonts w:hint="eastAsia" w:ascii="仿宋" w:hAnsi="仿宋" w:eastAsia="仿宋" w:cs="仿宋"/>
          <w:i w:val="0"/>
          <w:iCs w:val="0"/>
          <w:szCs w:val="24"/>
        </w:rPr>
        <w:fldChar w:fldCharType="begin"/>
      </w:r>
      <w:r>
        <w:rPr>
          <w:rFonts w:hint="eastAsia" w:ascii="仿宋" w:hAnsi="仿宋" w:eastAsia="仿宋" w:cs="仿宋"/>
          <w:i w:val="0"/>
          <w:iCs w:val="0"/>
          <w:szCs w:val="24"/>
        </w:rPr>
        <w:instrText xml:space="preserve"> HYPERLINK \l _Toc10872 </w:instrText>
      </w:r>
      <w:r>
        <w:rPr>
          <w:rFonts w:hint="eastAsia" w:ascii="仿宋" w:hAnsi="仿宋" w:eastAsia="仿宋" w:cs="仿宋"/>
          <w:i w:val="0"/>
          <w:iCs w:val="0"/>
          <w:szCs w:val="24"/>
        </w:rPr>
        <w:fldChar w:fldCharType="separate"/>
      </w:r>
      <w:r>
        <w:rPr>
          <w:rFonts w:hint="eastAsia" w:ascii="仿宋" w:hAnsi="仿宋" w:eastAsia="仿宋" w:cs="仿宋"/>
          <w:i w:val="0"/>
          <w:iCs w:val="0"/>
          <w:szCs w:val="24"/>
        </w:rPr>
        <w:t>13．谈判响应文件格式</w:t>
      </w:r>
      <w:r>
        <w:rPr>
          <w:i w:val="0"/>
          <w:iCs w:val="0"/>
        </w:rPr>
        <w:tab/>
      </w:r>
      <w:r>
        <w:rPr>
          <w:i w:val="0"/>
          <w:iCs w:val="0"/>
        </w:rPr>
        <w:fldChar w:fldCharType="begin"/>
      </w:r>
      <w:r>
        <w:rPr>
          <w:i w:val="0"/>
          <w:iCs w:val="0"/>
        </w:rPr>
        <w:instrText xml:space="preserve"> PAGEREF _Toc10872 \h </w:instrText>
      </w:r>
      <w:r>
        <w:rPr>
          <w:i w:val="0"/>
          <w:iCs w:val="0"/>
        </w:rPr>
        <w:fldChar w:fldCharType="separate"/>
      </w:r>
      <w:r>
        <w:rPr>
          <w:i w:val="0"/>
          <w:iCs w:val="0"/>
        </w:rPr>
        <w:t>16</w:t>
      </w:r>
      <w:r>
        <w:rPr>
          <w:i w:val="0"/>
          <w:iCs w:val="0"/>
        </w:rPr>
        <w:fldChar w:fldCharType="end"/>
      </w:r>
      <w:r>
        <w:rPr>
          <w:rFonts w:hint="eastAsia" w:ascii="仿宋" w:hAnsi="仿宋" w:eastAsia="仿宋" w:cs="仿宋"/>
          <w:i w:val="0"/>
          <w:iCs w:val="0"/>
          <w:szCs w:val="24"/>
        </w:rPr>
        <w:fldChar w:fldCharType="end"/>
      </w:r>
    </w:p>
    <w:p w14:paraId="0CCB9CC3">
      <w:pPr>
        <w:pStyle w:val="23"/>
        <w:tabs>
          <w:tab w:val="right" w:leader="dot" w:pos="8585"/>
        </w:tabs>
        <w:rPr>
          <w:i w:val="0"/>
          <w:iCs w:val="0"/>
        </w:rPr>
      </w:pPr>
      <w:r>
        <w:rPr>
          <w:rFonts w:hint="eastAsia" w:ascii="仿宋" w:hAnsi="仿宋" w:eastAsia="仿宋" w:cs="仿宋"/>
          <w:i w:val="0"/>
          <w:iCs w:val="0"/>
          <w:szCs w:val="24"/>
        </w:rPr>
        <w:fldChar w:fldCharType="begin"/>
      </w:r>
      <w:r>
        <w:rPr>
          <w:rFonts w:hint="eastAsia" w:ascii="仿宋" w:hAnsi="仿宋" w:eastAsia="仿宋" w:cs="仿宋"/>
          <w:i w:val="0"/>
          <w:iCs w:val="0"/>
          <w:szCs w:val="24"/>
        </w:rPr>
        <w:instrText xml:space="preserve"> HYPERLINK \l _Toc5738 </w:instrText>
      </w:r>
      <w:r>
        <w:rPr>
          <w:rFonts w:hint="eastAsia" w:ascii="仿宋" w:hAnsi="仿宋" w:eastAsia="仿宋" w:cs="仿宋"/>
          <w:i w:val="0"/>
          <w:iCs w:val="0"/>
          <w:szCs w:val="24"/>
        </w:rPr>
        <w:fldChar w:fldCharType="separate"/>
      </w:r>
      <w:r>
        <w:rPr>
          <w:rFonts w:hint="eastAsia" w:ascii="仿宋" w:hAnsi="仿宋" w:eastAsia="仿宋" w:cs="仿宋"/>
          <w:i w:val="0"/>
          <w:iCs w:val="0"/>
          <w:szCs w:val="24"/>
        </w:rPr>
        <w:t>14．谈判报价</w:t>
      </w:r>
      <w:r>
        <w:rPr>
          <w:i w:val="0"/>
          <w:iCs w:val="0"/>
        </w:rPr>
        <w:tab/>
      </w:r>
      <w:r>
        <w:rPr>
          <w:i w:val="0"/>
          <w:iCs w:val="0"/>
        </w:rPr>
        <w:fldChar w:fldCharType="begin"/>
      </w:r>
      <w:r>
        <w:rPr>
          <w:i w:val="0"/>
          <w:iCs w:val="0"/>
        </w:rPr>
        <w:instrText xml:space="preserve"> PAGEREF _Toc5738 \h </w:instrText>
      </w:r>
      <w:r>
        <w:rPr>
          <w:i w:val="0"/>
          <w:iCs w:val="0"/>
        </w:rPr>
        <w:fldChar w:fldCharType="separate"/>
      </w:r>
      <w:r>
        <w:rPr>
          <w:i w:val="0"/>
          <w:iCs w:val="0"/>
        </w:rPr>
        <w:t>16</w:t>
      </w:r>
      <w:r>
        <w:rPr>
          <w:i w:val="0"/>
          <w:iCs w:val="0"/>
        </w:rPr>
        <w:fldChar w:fldCharType="end"/>
      </w:r>
      <w:r>
        <w:rPr>
          <w:rFonts w:hint="eastAsia" w:ascii="仿宋" w:hAnsi="仿宋" w:eastAsia="仿宋" w:cs="仿宋"/>
          <w:i w:val="0"/>
          <w:iCs w:val="0"/>
          <w:szCs w:val="24"/>
        </w:rPr>
        <w:fldChar w:fldCharType="end"/>
      </w:r>
    </w:p>
    <w:p w14:paraId="25CDD0E1">
      <w:pPr>
        <w:pStyle w:val="23"/>
        <w:tabs>
          <w:tab w:val="right" w:leader="dot" w:pos="8585"/>
        </w:tabs>
        <w:rPr>
          <w:i w:val="0"/>
          <w:iCs w:val="0"/>
        </w:rPr>
      </w:pPr>
      <w:r>
        <w:rPr>
          <w:rFonts w:hint="eastAsia" w:ascii="仿宋" w:hAnsi="仿宋" w:eastAsia="仿宋" w:cs="仿宋"/>
          <w:i w:val="0"/>
          <w:iCs w:val="0"/>
          <w:szCs w:val="24"/>
        </w:rPr>
        <w:fldChar w:fldCharType="begin"/>
      </w:r>
      <w:r>
        <w:rPr>
          <w:rFonts w:hint="eastAsia" w:ascii="仿宋" w:hAnsi="仿宋" w:eastAsia="仿宋" w:cs="仿宋"/>
          <w:i w:val="0"/>
          <w:iCs w:val="0"/>
          <w:szCs w:val="24"/>
        </w:rPr>
        <w:instrText xml:space="preserve"> HYPERLINK \l _Toc10355 </w:instrText>
      </w:r>
      <w:r>
        <w:rPr>
          <w:rFonts w:hint="eastAsia" w:ascii="仿宋" w:hAnsi="仿宋" w:eastAsia="仿宋" w:cs="仿宋"/>
          <w:i w:val="0"/>
          <w:iCs w:val="0"/>
          <w:szCs w:val="24"/>
        </w:rPr>
        <w:fldChar w:fldCharType="separate"/>
      </w:r>
      <w:r>
        <w:rPr>
          <w:rFonts w:hint="eastAsia" w:ascii="仿宋" w:hAnsi="仿宋" w:eastAsia="仿宋" w:cs="仿宋"/>
          <w:i w:val="0"/>
          <w:iCs w:val="0"/>
          <w:szCs w:val="24"/>
        </w:rPr>
        <w:t>15．谈判货币</w:t>
      </w:r>
      <w:r>
        <w:rPr>
          <w:i w:val="0"/>
          <w:iCs w:val="0"/>
        </w:rPr>
        <w:tab/>
      </w:r>
      <w:r>
        <w:rPr>
          <w:i w:val="0"/>
          <w:iCs w:val="0"/>
        </w:rPr>
        <w:fldChar w:fldCharType="begin"/>
      </w:r>
      <w:r>
        <w:rPr>
          <w:i w:val="0"/>
          <w:iCs w:val="0"/>
        </w:rPr>
        <w:instrText xml:space="preserve"> PAGEREF _Toc10355 \h </w:instrText>
      </w:r>
      <w:r>
        <w:rPr>
          <w:i w:val="0"/>
          <w:iCs w:val="0"/>
        </w:rPr>
        <w:fldChar w:fldCharType="separate"/>
      </w:r>
      <w:r>
        <w:rPr>
          <w:i w:val="0"/>
          <w:iCs w:val="0"/>
        </w:rPr>
        <w:t>17</w:t>
      </w:r>
      <w:r>
        <w:rPr>
          <w:i w:val="0"/>
          <w:iCs w:val="0"/>
        </w:rPr>
        <w:fldChar w:fldCharType="end"/>
      </w:r>
      <w:r>
        <w:rPr>
          <w:rFonts w:hint="eastAsia" w:ascii="仿宋" w:hAnsi="仿宋" w:eastAsia="仿宋" w:cs="仿宋"/>
          <w:i w:val="0"/>
          <w:iCs w:val="0"/>
          <w:szCs w:val="24"/>
        </w:rPr>
        <w:fldChar w:fldCharType="end"/>
      </w:r>
    </w:p>
    <w:p w14:paraId="2204688D">
      <w:pPr>
        <w:pStyle w:val="23"/>
        <w:tabs>
          <w:tab w:val="right" w:leader="dot" w:pos="8585"/>
        </w:tabs>
        <w:rPr>
          <w:i w:val="0"/>
          <w:iCs w:val="0"/>
        </w:rPr>
      </w:pPr>
      <w:r>
        <w:rPr>
          <w:rFonts w:hint="eastAsia" w:ascii="仿宋" w:hAnsi="仿宋" w:eastAsia="仿宋" w:cs="仿宋"/>
          <w:i w:val="0"/>
          <w:iCs w:val="0"/>
          <w:szCs w:val="24"/>
        </w:rPr>
        <w:fldChar w:fldCharType="begin"/>
      </w:r>
      <w:r>
        <w:rPr>
          <w:rFonts w:hint="eastAsia" w:ascii="仿宋" w:hAnsi="仿宋" w:eastAsia="仿宋" w:cs="仿宋"/>
          <w:i w:val="0"/>
          <w:iCs w:val="0"/>
          <w:szCs w:val="24"/>
        </w:rPr>
        <w:instrText xml:space="preserve"> HYPERLINK \l _Toc8808 </w:instrText>
      </w:r>
      <w:r>
        <w:rPr>
          <w:rFonts w:hint="eastAsia" w:ascii="仿宋" w:hAnsi="仿宋" w:eastAsia="仿宋" w:cs="仿宋"/>
          <w:i w:val="0"/>
          <w:iCs w:val="0"/>
          <w:szCs w:val="24"/>
        </w:rPr>
        <w:fldChar w:fldCharType="separate"/>
      </w:r>
      <w:r>
        <w:rPr>
          <w:rFonts w:hint="eastAsia" w:ascii="仿宋" w:hAnsi="仿宋" w:eastAsia="仿宋" w:cs="仿宋"/>
          <w:i w:val="0"/>
          <w:iCs w:val="0"/>
          <w:szCs w:val="24"/>
        </w:rPr>
        <w:t>16．证明供应商资格的证明文件</w:t>
      </w:r>
      <w:r>
        <w:rPr>
          <w:i w:val="0"/>
          <w:iCs w:val="0"/>
        </w:rPr>
        <w:tab/>
      </w:r>
      <w:r>
        <w:rPr>
          <w:i w:val="0"/>
          <w:iCs w:val="0"/>
        </w:rPr>
        <w:fldChar w:fldCharType="begin"/>
      </w:r>
      <w:r>
        <w:rPr>
          <w:i w:val="0"/>
          <w:iCs w:val="0"/>
        </w:rPr>
        <w:instrText xml:space="preserve"> PAGEREF _Toc8808 \h </w:instrText>
      </w:r>
      <w:r>
        <w:rPr>
          <w:i w:val="0"/>
          <w:iCs w:val="0"/>
        </w:rPr>
        <w:fldChar w:fldCharType="separate"/>
      </w:r>
      <w:r>
        <w:rPr>
          <w:i w:val="0"/>
          <w:iCs w:val="0"/>
        </w:rPr>
        <w:t>17</w:t>
      </w:r>
      <w:r>
        <w:rPr>
          <w:i w:val="0"/>
          <w:iCs w:val="0"/>
        </w:rPr>
        <w:fldChar w:fldCharType="end"/>
      </w:r>
      <w:r>
        <w:rPr>
          <w:rFonts w:hint="eastAsia" w:ascii="仿宋" w:hAnsi="仿宋" w:eastAsia="仿宋" w:cs="仿宋"/>
          <w:i w:val="0"/>
          <w:iCs w:val="0"/>
          <w:szCs w:val="24"/>
        </w:rPr>
        <w:fldChar w:fldCharType="end"/>
      </w:r>
    </w:p>
    <w:p w14:paraId="3597664F">
      <w:pPr>
        <w:pStyle w:val="23"/>
        <w:tabs>
          <w:tab w:val="right" w:leader="dot" w:pos="8585"/>
        </w:tabs>
        <w:rPr>
          <w:i w:val="0"/>
          <w:iCs w:val="0"/>
        </w:rPr>
      </w:pPr>
      <w:r>
        <w:rPr>
          <w:rFonts w:hint="eastAsia" w:ascii="仿宋" w:hAnsi="仿宋" w:eastAsia="仿宋" w:cs="仿宋"/>
          <w:i w:val="0"/>
          <w:iCs w:val="0"/>
          <w:szCs w:val="24"/>
        </w:rPr>
        <w:fldChar w:fldCharType="begin"/>
      </w:r>
      <w:r>
        <w:rPr>
          <w:rFonts w:hint="eastAsia" w:ascii="仿宋" w:hAnsi="仿宋" w:eastAsia="仿宋" w:cs="仿宋"/>
          <w:i w:val="0"/>
          <w:iCs w:val="0"/>
          <w:szCs w:val="24"/>
        </w:rPr>
        <w:instrText xml:space="preserve"> HYPERLINK \l _Toc20303 </w:instrText>
      </w:r>
      <w:r>
        <w:rPr>
          <w:rFonts w:hint="eastAsia" w:ascii="仿宋" w:hAnsi="仿宋" w:eastAsia="仿宋" w:cs="仿宋"/>
          <w:i w:val="0"/>
          <w:iCs w:val="0"/>
          <w:szCs w:val="24"/>
        </w:rPr>
        <w:fldChar w:fldCharType="separate"/>
      </w:r>
      <w:r>
        <w:rPr>
          <w:rFonts w:hint="eastAsia" w:ascii="仿宋" w:hAnsi="仿宋" w:eastAsia="仿宋" w:cs="仿宋"/>
          <w:i w:val="0"/>
          <w:iCs w:val="0"/>
          <w:szCs w:val="24"/>
        </w:rPr>
        <w:t>17．证明货物的合格性和符合谈判文件规定的文件</w:t>
      </w:r>
      <w:r>
        <w:rPr>
          <w:i w:val="0"/>
          <w:iCs w:val="0"/>
        </w:rPr>
        <w:tab/>
      </w:r>
      <w:r>
        <w:rPr>
          <w:i w:val="0"/>
          <w:iCs w:val="0"/>
        </w:rPr>
        <w:fldChar w:fldCharType="begin"/>
      </w:r>
      <w:r>
        <w:rPr>
          <w:i w:val="0"/>
          <w:iCs w:val="0"/>
        </w:rPr>
        <w:instrText xml:space="preserve"> PAGEREF _Toc20303 \h </w:instrText>
      </w:r>
      <w:r>
        <w:rPr>
          <w:i w:val="0"/>
          <w:iCs w:val="0"/>
        </w:rPr>
        <w:fldChar w:fldCharType="separate"/>
      </w:r>
      <w:r>
        <w:rPr>
          <w:i w:val="0"/>
          <w:iCs w:val="0"/>
        </w:rPr>
        <w:t>17</w:t>
      </w:r>
      <w:r>
        <w:rPr>
          <w:i w:val="0"/>
          <w:iCs w:val="0"/>
        </w:rPr>
        <w:fldChar w:fldCharType="end"/>
      </w:r>
      <w:r>
        <w:rPr>
          <w:rFonts w:hint="eastAsia" w:ascii="仿宋" w:hAnsi="仿宋" w:eastAsia="仿宋" w:cs="仿宋"/>
          <w:i w:val="0"/>
          <w:iCs w:val="0"/>
          <w:szCs w:val="24"/>
        </w:rPr>
        <w:fldChar w:fldCharType="end"/>
      </w:r>
    </w:p>
    <w:p w14:paraId="724E20C5">
      <w:pPr>
        <w:pStyle w:val="23"/>
        <w:tabs>
          <w:tab w:val="right" w:leader="dot" w:pos="8585"/>
        </w:tabs>
        <w:rPr>
          <w:i w:val="0"/>
          <w:iCs w:val="0"/>
        </w:rPr>
      </w:pPr>
      <w:r>
        <w:rPr>
          <w:rFonts w:hint="eastAsia" w:ascii="仿宋" w:hAnsi="仿宋" w:eastAsia="仿宋" w:cs="仿宋"/>
          <w:i w:val="0"/>
          <w:iCs w:val="0"/>
          <w:szCs w:val="24"/>
        </w:rPr>
        <w:fldChar w:fldCharType="begin"/>
      </w:r>
      <w:r>
        <w:rPr>
          <w:rFonts w:hint="eastAsia" w:ascii="仿宋" w:hAnsi="仿宋" w:eastAsia="仿宋" w:cs="仿宋"/>
          <w:i w:val="0"/>
          <w:iCs w:val="0"/>
          <w:szCs w:val="24"/>
        </w:rPr>
        <w:instrText xml:space="preserve"> HYPERLINK \l _Toc14200 </w:instrText>
      </w:r>
      <w:r>
        <w:rPr>
          <w:rFonts w:hint="eastAsia" w:ascii="仿宋" w:hAnsi="仿宋" w:eastAsia="仿宋" w:cs="仿宋"/>
          <w:i w:val="0"/>
          <w:iCs w:val="0"/>
          <w:szCs w:val="24"/>
        </w:rPr>
        <w:fldChar w:fldCharType="separate"/>
      </w:r>
      <w:r>
        <w:rPr>
          <w:rFonts w:hint="eastAsia" w:ascii="仿宋" w:hAnsi="仿宋" w:eastAsia="仿宋" w:cs="仿宋"/>
          <w:i w:val="0"/>
          <w:iCs w:val="0"/>
          <w:szCs w:val="24"/>
        </w:rPr>
        <w:t>18．谈判保证金</w:t>
      </w:r>
      <w:r>
        <w:rPr>
          <w:i w:val="0"/>
          <w:iCs w:val="0"/>
        </w:rPr>
        <w:tab/>
      </w:r>
      <w:r>
        <w:rPr>
          <w:i w:val="0"/>
          <w:iCs w:val="0"/>
        </w:rPr>
        <w:fldChar w:fldCharType="begin"/>
      </w:r>
      <w:r>
        <w:rPr>
          <w:i w:val="0"/>
          <w:iCs w:val="0"/>
        </w:rPr>
        <w:instrText xml:space="preserve"> PAGEREF _Toc14200 \h </w:instrText>
      </w:r>
      <w:r>
        <w:rPr>
          <w:i w:val="0"/>
          <w:iCs w:val="0"/>
        </w:rPr>
        <w:fldChar w:fldCharType="separate"/>
      </w:r>
      <w:r>
        <w:rPr>
          <w:i w:val="0"/>
          <w:iCs w:val="0"/>
        </w:rPr>
        <w:t>17</w:t>
      </w:r>
      <w:r>
        <w:rPr>
          <w:i w:val="0"/>
          <w:iCs w:val="0"/>
        </w:rPr>
        <w:fldChar w:fldCharType="end"/>
      </w:r>
      <w:r>
        <w:rPr>
          <w:rFonts w:hint="eastAsia" w:ascii="仿宋" w:hAnsi="仿宋" w:eastAsia="仿宋" w:cs="仿宋"/>
          <w:i w:val="0"/>
          <w:iCs w:val="0"/>
          <w:szCs w:val="24"/>
        </w:rPr>
        <w:fldChar w:fldCharType="end"/>
      </w:r>
    </w:p>
    <w:p w14:paraId="30A675A8">
      <w:pPr>
        <w:pStyle w:val="23"/>
        <w:tabs>
          <w:tab w:val="right" w:leader="dot" w:pos="8585"/>
        </w:tabs>
        <w:rPr>
          <w:i w:val="0"/>
          <w:iCs w:val="0"/>
        </w:rPr>
      </w:pPr>
      <w:r>
        <w:rPr>
          <w:rFonts w:hint="eastAsia" w:ascii="仿宋" w:hAnsi="仿宋" w:eastAsia="仿宋" w:cs="仿宋"/>
          <w:i w:val="0"/>
          <w:iCs w:val="0"/>
          <w:szCs w:val="24"/>
        </w:rPr>
        <w:fldChar w:fldCharType="begin"/>
      </w:r>
      <w:r>
        <w:rPr>
          <w:rFonts w:hint="eastAsia" w:ascii="仿宋" w:hAnsi="仿宋" w:eastAsia="仿宋" w:cs="仿宋"/>
          <w:i w:val="0"/>
          <w:iCs w:val="0"/>
          <w:szCs w:val="24"/>
        </w:rPr>
        <w:instrText xml:space="preserve"> HYPERLINK \l _Toc13524 </w:instrText>
      </w:r>
      <w:r>
        <w:rPr>
          <w:rFonts w:hint="eastAsia" w:ascii="仿宋" w:hAnsi="仿宋" w:eastAsia="仿宋" w:cs="仿宋"/>
          <w:i w:val="0"/>
          <w:iCs w:val="0"/>
          <w:szCs w:val="24"/>
        </w:rPr>
        <w:fldChar w:fldCharType="separate"/>
      </w:r>
      <w:r>
        <w:rPr>
          <w:rFonts w:hint="eastAsia" w:ascii="仿宋" w:hAnsi="仿宋" w:eastAsia="仿宋" w:cs="仿宋"/>
          <w:i w:val="0"/>
          <w:iCs w:val="0"/>
          <w:szCs w:val="24"/>
        </w:rPr>
        <w:t>19．谈判有效期</w:t>
      </w:r>
      <w:r>
        <w:rPr>
          <w:i w:val="0"/>
          <w:iCs w:val="0"/>
        </w:rPr>
        <w:tab/>
      </w:r>
      <w:r>
        <w:rPr>
          <w:i w:val="0"/>
          <w:iCs w:val="0"/>
        </w:rPr>
        <w:fldChar w:fldCharType="begin"/>
      </w:r>
      <w:r>
        <w:rPr>
          <w:i w:val="0"/>
          <w:iCs w:val="0"/>
        </w:rPr>
        <w:instrText xml:space="preserve"> PAGEREF _Toc13524 \h </w:instrText>
      </w:r>
      <w:r>
        <w:rPr>
          <w:i w:val="0"/>
          <w:iCs w:val="0"/>
        </w:rPr>
        <w:fldChar w:fldCharType="separate"/>
      </w:r>
      <w:r>
        <w:rPr>
          <w:i w:val="0"/>
          <w:iCs w:val="0"/>
        </w:rPr>
        <w:t>17</w:t>
      </w:r>
      <w:r>
        <w:rPr>
          <w:i w:val="0"/>
          <w:iCs w:val="0"/>
        </w:rPr>
        <w:fldChar w:fldCharType="end"/>
      </w:r>
      <w:r>
        <w:rPr>
          <w:rFonts w:hint="eastAsia" w:ascii="仿宋" w:hAnsi="仿宋" w:eastAsia="仿宋" w:cs="仿宋"/>
          <w:i w:val="0"/>
          <w:iCs w:val="0"/>
          <w:szCs w:val="24"/>
        </w:rPr>
        <w:fldChar w:fldCharType="end"/>
      </w:r>
    </w:p>
    <w:p w14:paraId="647A95B7">
      <w:pPr>
        <w:pStyle w:val="23"/>
        <w:tabs>
          <w:tab w:val="right" w:leader="dot" w:pos="8585"/>
        </w:tabs>
        <w:rPr>
          <w:i w:val="0"/>
          <w:iCs w:val="0"/>
        </w:rPr>
      </w:pPr>
      <w:r>
        <w:rPr>
          <w:rFonts w:hint="eastAsia" w:ascii="仿宋" w:hAnsi="仿宋" w:eastAsia="仿宋" w:cs="仿宋"/>
          <w:i w:val="0"/>
          <w:iCs w:val="0"/>
          <w:szCs w:val="24"/>
        </w:rPr>
        <w:fldChar w:fldCharType="begin"/>
      </w:r>
      <w:r>
        <w:rPr>
          <w:rFonts w:hint="eastAsia" w:ascii="仿宋" w:hAnsi="仿宋" w:eastAsia="仿宋" w:cs="仿宋"/>
          <w:i w:val="0"/>
          <w:iCs w:val="0"/>
          <w:szCs w:val="24"/>
        </w:rPr>
        <w:instrText xml:space="preserve"> HYPERLINK \l _Toc21484 </w:instrText>
      </w:r>
      <w:r>
        <w:rPr>
          <w:rFonts w:hint="eastAsia" w:ascii="仿宋" w:hAnsi="仿宋" w:eastAsia="仿宋" w:cs="仿宋"/>
          <w:i w:val="0"/>
          <w:iCs w:val="0"/>
          <w:szCs w:val="24"/>
        </w:rPr>
        <w:fldChar w:fldCharType="separate"/>
      </w:r>
      <w:r>
        <w:rPr>
          <w:rFonts w:hint="eastAsia" w:ascii="仿宋" w:hAnsi="仿宋" w:eastAsia="仿宋" w:cs="仿宋"/>
          <w:i w:val="0"/>
          <w:iCs w:val="0"/>
          <w:szCs w:val="24"/>
        </w:rPr>
        <w:t>20．谈判响应文件的签署及格式</w:t>
      </w:r>
      <w:r>
        <w:rPr>
          <w:i w:val="0"/>
          <w:iCs w:val="0"/>
        </w:rPr>
        <w:tab/>
      </w:r>
      <w:r>
        <w:rPr>
          <w:i w:val="0"/>
          <w:iCs w:val="0"/>
        </w:rPr>
        <w:fldChar w:fldCharType="begin"/>
      </w:r>
      <w:r>
        <w:rPr>
          <w:i w:val="0"/>
          <w:iCs w:val="0"/>
        </w:rPr>
        <w:instrText xml:space="preserve"> PAGEREF _Toc21484 \h </w:instrText>
      </w:r>
      <w:r>
        <w:rPr>
          <w:i w:val="0"/>
          <w:iCs w:val="0"/>
        </w:rPr>
        <w:fldChar w:fldCharType="separate"/>
      </w:r>
      <w:r>
        <w:rPr>
          <w:i w:val="0"/>
          <w:iCs w:val="0"/>
        </w:rPr>
        <w:t>18</w:t>
      </w:r>
      <w:r>
        <w:rPr>
          <w:i w:val="0"/>
          <w:iCs w:val="0"/>
        </w:rPr>
        <w:fldChar w:fldCharType="end"/>
      </w:r>
      <w:r>
        <w:rPr>
          <w:rFonts w:hint="eastAsia" w:ascii="仿宋" w:hAnsi="仿宋" w:eastAsia="仿宋" w:cs="仿宋"/>
          <w:i w:val="0"/>
          <w:iCs w:val="0"/>
          <w:szCs w:val="24"/>
        </w:rPr>
        <w:fldChar w:fldCharType="end"/>
      </w:r>
    </w:p>
    <w:p w14:paraId="164F0E4E">
      <w:pPr>
        <w:pStyle w:val="36"/>
        <w:tabs>
          <w:tab w:val="right" w:leader="dot" w:pos="8585"/>
        </w:tabs>
        <w:rPr>
          <w:i w:val="0"/>
          <w:iCs w:val="0"/>
        </w:rPr>
      </w:pPr>
      <w:r>
        <w:rPr>
          <w:rFonts w:hint="eastAsia" w:ascii="仿宋" w:hAnsi="仿宋" w:eastAsia="仿宋" w:cs="仿宋"/>
          <w:i w:val="0"/>
          <w:iCs w:val="0"/>
          <w:szCs w:val="24"/>
        </w:rPr>
        <w:fldChar w:fldCharType="begin"/>
      </w:r>
      <w:r>
        <w:rPr>
          <w:rFonts w:hint="eastAsia" w:ascii="仿宋" w:hAnsi="仿宋" w:eastAsia="仿宋" w:cs="仿宋"/>
          <w:i w:val="0"/>
          <w:iCs w:val="0"/>
          <w:szCs w:val="24"/>
        </w:rPr>
        <w:instrText xml:space="preserve"> HYPERLINK \l _Toc18188 </w:instrText>
      </w:r>
      <w:r>
        <w:rPr>
          <w:rFonts w:hint="eastAsia" w:ascii="仿宋" w:hAnsi="仿宋" w:eastAsia="仿宋" w:cs="仿宋"/>
          <w:i w:val="0"/>
          <w:iCs w:val="0"/>
          <w:szCs w:val="24"/>
        </w:rPr>
        <w:fldChar w:fldCharType="separate"/>
      </w:r>
      <w:r>
        <w:rPr>
          <w:rFonts w:hint="eastAsia" w:ascii="仿宋" w:hAnsi="仿宋" w:eastAsia="仿宋" w:cs="仿宋"/>
          <w:i w:val="0"/>
          <w:iCs w:val="0"/>
          <w:szCs w:val="24"/>
        </w:rPr>
        <w:t>D．谈判响应文件的递交</w:t>
      </w:r>
      <w:r>
        <w:rPr>
          <w:i w:val="0"/>
          <w:iCs w:val="0"/>
        </w:rPr>
        <w:tab/>
      </w:r>
      <w:r>
        <w:rPr>
          <w:i w:val="0"/>
          <w:iCs w:val="0"/>
        </w:rPr>
        <w:fldChar w:fldCharType="begin"/>
      </w:r>
      <w:r>
        <w:rPr>
          <w:i w:val="0"/>
          <w:iCs w:val="0"/>
        </w:rPr>
        <w:instrText xml:space="preserve"> PAGEREF _Toc18188 \h </w:instrText>
      </w:r>
      <w:r>
        <w:rPr>
          <w:i w:val="0"/>
          <w:iCs w:val="0"/>
        </w:rPr>
        <w:fldChar w:fldCharType="separate"/>
      </w:r>
      <w:r>
        <w:rPr>
          <w:i w:val="0"/>
          <w:iCs w:val="0"/>
        </w:rPr>
        <w:t>18</w:t>
      </w:r>
      <w:r>
        <w:rPr>
          <w:i w:val="0"/>
          <w:iCs w:val="0"/>
        </w:rPr>
        <w:fldChar w:fldCharType="end"/>
      </w:r>
      <w:r>
        <w:rPr>
          <w:rFonts w:hint="eastAsia" w:ascii="仿宋" w:hAnsi="仿宋" w:eastAsia="仿宋" w:cs="仿宋"/>
          <w:i w:val="0"/>
          <w:iCs w:val="0"/>
          <w:szCs w:val="24"/>
        </w:rPr>
        <w:fldChar w:fldCharType="end"/>
      </w:r>
    </w:p>
    <w:p w14:paraId="1B342572">
      <w:pPr>
        <w:pStyle w:val="23"/>
        <w:tabs>
          <w:tab w:val="right" w:leader="dot" w:pos="8585"/>
        </w:tabs>
        <w:rPr>
          <w:i w:val="0"/>
          <w:iCs w:val="0"/>
        </w:rPr>
      </w:pPr>
      <w:r>
        <w:rPr>
          <w:rFonts w:hint="eastAsia" w:ascii="仿宋" w:hAnsi="仿宋" w:eastAsia="仿宋" w:cs="仿宋"/>
          <w:i w:val="0"/>
          <w:iCs w:val="0"/>
          <w:szCs w:val="24"/>
        </w:rPr>
        <w:fldChar w:fldCharType="begin"/>
      </w:r>
      <w:r>
        <w:rPr>
          <w:rFonts w:hint="eastAsia" w:ascii="仿宋" w:hAnsi="仿宋" w:eastAsia="仿宋" w:cs="仿宋"/>
          <w:i w:val="0"/>
          <w:iCs w:val="0"/>
          <w:szCs w:val="24"/>
        </w:rPr>
        <w:instrText xml:space="preserve"> HYPERLINK \l _Toc31391 </w:instrText>
      </w:r>
      <w:r>
        <w:rPr>
          <w:rFonts w:hint="eastAsia" w:ascii="仿宋" w:hAnsi="仿宋" w:eastAsia="仿宋" w:cs="仿宋"/>
          <w:i w:val="0"/>
          <w:iCs w:val="0"/>
          <w:szCs w:val="24"/>
        </w:rPr>
        <w:fldChar w:fldCharType="separate"/>
      </w:r>
      <w:r>
        <w:rPr>
          <w:rFonts w:hint="eastAsia" w:ascii="仿宋" w:hAnsi="仿宋" w:eastAsia="仿宋" w:cs="仿宋"/>
          <w:i w:val="0"/>
          <w:iCs w:val="0"/>
          <w:szCs w:val="24"/>
        </w:rPr>
        <w:t>21．谈判响应文件的数量、包装和标记</w:t>
      </w:r>
      <w:r>
        <w:rPr>
          <w:i w:val="0"/>
          <w:iCs w:val="0"/>
        </w:rPr>
        <w:tab/>
      </w:r>
      <w:r>
        <w:rPr>
          <w:i w:val="0"/>
          <w:iCs w:val="0"/>
        </w:rPr>
        <w:fldChar w:fldCharType="begin"/>
      </w:r>
      <w:r>
        <w:rPr>
          <w:i w:val="0"/>
          <w:iCs w:val="0"/>
        </w:rPr>
        <w:instrText xml:space="preserve"> PAGEREF _Toc31391 \h </w:instrText>
      </w:r>
      <w:r>
        <w:rPr>
          <w:i w:val="0"/>
          <w:iCs w:val="0"/>
        </w:rPr>
        <w:fldChar w:fldCharType="separate"/>
      </w:r>
      <w:r>
        <w:rPr>
          <w:i w:val="0"/>
          <w:iCs w:val="0"/>
        </w:rPr>
        <w:t>18</w:t>
      </w:r>
      <w:r>
        <w:rPr>
          <w:i w:val="0"/>
          <w:iCs w:val="0"/>
        </w:rPr>
        <w:fldChar w:fldCharType="end"/>
      </w:r>
      <w:r>
        <w:rPr>
          <w:rFonts w:hint="eastAsia" w:ascii="仿宋" w:hAnsi="仿宋" w:eastAsia="仿宋" w:cs="仿宋"/>
          <w:i w:val="0"/>
          <w:iCs w:val="0"/>
          <w:szCs w:val="24"/>
        </w:rPr>
        <w:fldChar w:fldCharType="end"/>
      </w:r>
    </w:p>
    <w:p w14:paraId="346FBE2C">
      <w:pPr>
        <w:pStyle w:val="23"/>
        <w:tabs>
          <w:tab w:val="right" w:leader="dot" w:pos="8585"/>
        </w:tabs>
        <w:rPr>
          <w:i w:val="0"/>
          <w:iCs w:val="0"/>
        </w:rPr>
      </w:pPr>
      <w:r>
        <w:rPr>
          <w:rFonts w:hint="eastAsia" w:ascii="仿宋" w:hAnsi="仿宋" w:eastAsia="仿宋" w:cs="仿宋"/>
          <w:i w:val="0"/>
          <w:iCs w:val="0"/>
          <w:szCs w:val="24"/>
        </w:rPr>
        <w:fldChar w:fldCharType="begin"/>
      </w:r>
      <w:r>
        <w:rPr>
          <w:rFonts w:hint="eastAsia" w:ascii="仿宋" w:hAnsi="仿宋" w:eastAsia="仿宋" w:cs="仿宋"/>
          <w:i w:val="0"/>
          <w:iCs w:val="0"/>
          <w:szCs w:val="24"/>
        </w:rPr>
        <w:instrText xml:space="preserve"> HYPERLINK \l _Toc32383 </w:instrText>
      </w:r>
      <w:r>
        <w:rPr>
          <w:rFonts w:hint="eastAsia" w:ascii="仿宋" w:hAnsi="仿宋" w:eastAsia="仿宋" w:cs="仿宋"/>
          <w:i w:val="0"/>
          <w:iCs w:val="0"/>
          <w:szCs w:val="24"/>
        </w:rPr>
        <w:fldChar w:fldCharType="separate"/>
      </w:r>
      <w:r>
        <w:rPr>
          <w:rFonts w:hint="eastAsia" w:ascii="仿宋" w:hAnsi="仿宋" w:eastAsia="仿宋" w:cs="仿宋"/>
          <w:i w:val="0"/>
          <w:iCs w:val="0"/>
          <w:szCs w:val="24"/>
        </w:rPr>
        <w:t>22．谈判截止时间</w:t>
      </w:r>
      <w:r>
        <w:rPr>
          <w:i w:val="0"/>
          <w:iCs w:val="0"/>
        </w:rPr>
        <w:tab/>
      </w:r>
      <w:r>
        <w:rPr>
          <w:i w:val="0"/>
          <w:iCs w:val="0"/>
        </w:rPr>
        <w:fldChar w:fldCharType="begin"/>
      </w:r>
      <w:r>
        <w:rPr>
          <w:i w:val="0"/>
          <w:iCs w:val="0"/>
        </w:rPr>
        <w:instrText xml:space="preserve"> PAGEREF _Toc32383 \h </w:instrText>
      </w:r>
      <w:r>
        <w:rPr>
          <w:i w:val="0"/>
          <w:iCs w:val="0"/>
        </w:rPr>
        <w:fldChar w:fldCharType="separate"/>
      </w:r>
      <w:r>
        <w:rPr>
          <w:i w:val="0"/>
          <w:iCs w:val="0"/>
        </w:rPr>
        <w:t>18</w:t>
      </w:r>
      <w:r>
        <w:rPr>
          <w:i w:val="0"/>
          <w:iCs w:val="0"/>
        </w:rPr>
        <w:fldChar w:fldCharType="end"/>
      </w:r>
      <w:r>
        <w:rPr>
          <w:rFonts w:hint="eastAsia" w:ascii="仿宋" w:hAnsi="仿宋" w:eastAsia="仿宋" w:cs="仿宋"/>
          <w:i w:val="0"/>
          <w:iCs w:val="0"/>
          <w:szCs w:val="24"/>
        </w:rPr>
        <w:fldChar w:fldCharType="end"/>
      </w:r>
    </w:p>
    <w:p w14:paraId="716D2070">
      <w:pPr>
        <w:pStyle w:val="23"/>
        <w:tabs>
          <w:tab w:val="right" w:leader="dot" w:pos="8585"/>
        </w:tabs>
        <w:rPr>
          <w:i w:val="0"/>
          <w:iCs w:val="0"/>
        </w:rPr>
      </w:pPr>
      <w:r>
        <w:rPr>
          <w:rFonts w:hint="eastAsia" w:ascii="仿宋" w:hAnsi="仿宋" w:eastAsia="仿宋" w:cs="仿宋"/>
          <w:i w:val="0"/>
          <w:iCs w:val="0"/>
          <w:szCs w:val="24"/>
        </w:rPr>
        <w:fldChar w:fldCharType="begin"/>
      </w:r>
      <w:r>
        <w:rPr>
          <w:rFonts w:hint="eastAsia" w:ascii="仿宋" w:hAnsi="仿宋" w:eastAsia="仿宋" w:cs="仿宋"/>
          <w:i w:val="0"/>
          <w:iCs w:val="0"/>
          <w:szCs w:val="24"/>
        </w:rPr>
        <w:instrText xml:space="preserve"> HYPERLINK \l _Toc1733 </w:instrText>
      </w:r>
      <w:r>
        <w:rPr>
          <w:rFonts w:hint="eastAsia" w:ascii="仿宋" w:hAnsi="仿宋" w:eastAsia="仿宋" w:cs="仿宋"/>
          <w:i w:val="0"/>
          <w:iCs w:val="0"/>
          <w:szCs w:val="24"/>
        </w:rPr>
        <w:fldChar w:fldCharType="separate"/>
      </w:r>
      <w:r>
        <w:rPr>
          <w:rFonts w:hint="eastAsia" w:ascii="仿宋" w:hAnsi="仿宋" w:eastAsia="仿宋" w:cs="仿宋"/>
          <w:i w:val="0"/>
          <w:iCs w:val="0"/>
          <w:szCs w:val="24"/>
        </w:rPr>
        <w:t>23．谈判响应文件的修改与撤回</w:t>
      </w:r>
      <w:r>
        <w:rPr>
          <w:i w:val="0"/>
          <w:iCs w:val="0"/>
        </w:rPr>
        <w:tab/>
      </w:r>
      <w:r>
        <w:rPr>
          <w:i w:val="0"/>
          <w:iCs w:val="0"/>
        </w:rPr>
        <w:fldChar w:fldCharType="begin"/>
      </w:r>
      <w:r>
        <w:rPr>
          <w:i w:val="0"/>
          <w:iCs w:val="0"/>
        </w:rPr>
        <w:instrText xml:space="preserve"> PAGEREF _Toc1733 \h </w:instrText>
      </w:r>
      <w:r>
        <w:rPr>
          <w:i w:val="0"/>
          <w:iCs w:val="0"/>
        </w:rPr>
        <w:fldChar w:fldCharType="separate"/>
      </w:r>
      <w:r>
        <w:rPr>
          <w:i w:val="0"/>
          <w:iCs w:val="0"/>
        </w:rPr>
        <w:t>18</w:t>
      </w:r>
      <w:r>
        <w:rPr>
          <w:i w:val="0"/>
          <w:iCs w:val="0"/>
        </w:rPr>
        <w:fldChar w:fldCharType="end"/>
      </w:r>
      <w:r>
        <w:rPr>
          <w:rFonts w:hint="eastAsia" w:ascii="仿宋" w:hAnsi="仿宋" w:eastAsia="仿宋" w:cs="仿宋"/>
          <w:i w:val="0"/>
          <w:iCs w:val="0"/>
          <w:szCs w:val="24"/>
        </w:rPr>
        <w:fldChar w:fldCharType="end"/>
      </w:r>
    </w:p>
    <w:p w14:paraId="3D48DD0A">
      <w:pPr>
        <w:pStyle w:val="36"/>
        <w:tabs>
          <w:tab w:val="right" w:leader="dot" w:pos="8585"/>
        </w:tabs>
        <w:rPr>
          <w:i w:val="0"/>
          <w:iCs w:val="0"/>
        </w:rPr>
      </w:pPr>
      <w:r>
        <w:rPr>
          <w:rFonts w:hint="eastAsia" w:ascii="仿宋" w:hAnsi="仿宋" w:eastAsia="仿宋" w:cs="仿宋"/>
          <w:i w:val="0"/>
          <w:iCs w:val="0"/>
          <w:szCs w:val="24"/>
        </w:rPr>
        <w:fldChar w:fldCharType="begin"/>
      </w:r>
      <w:r>
        <w:rPr>
          <w:rFonts w:hint="eastAsia" w:ascii="仿宋" w:hAnsi="仿宋" w:eastAsia="仿宋" w:cs="仿宋"/>
          <w:i w:val="0"/>
          <w:iCs w:val="0"/>
          <w:szCs w:val="24"/>
        </w:rPr>
        <w:instrText xml:space="preserve"> HYPERLINK \l _Toc9005 </w:instrText>
      </w:r>
      <w:r>
        <w:rPr>
          <w:rFonts w:hint="eastAsia" w:ascii="仿宋" w:hAnsi="仿宋" w:eastAsia="仿宋" w:cs="仿宋"/>
          <w:i w:val="0"/>
          <w:iCs w:val="0"/>
          <w:szCs w:val="24"/>
        </w:rPr>
        <w:fldChar w:fldCharType="separate"/>
      </w:r>
      <w:r>
        <w:rPr>
          <w:rFonts w:hint="eastAsia" w:ascii="仿宋" w:hAnsi="仿宋" w:eastAsia="仿宋" w:cs="仿宋"/>
          <w:i w:val="0"/>
          <w:iCs w:val="0"/>
          <w:szCs w:val="24"/>
        </w:rPr>
        <w:t>E．谈判大会/评审</w:t>
      </w:r>
      <w:r>
        <w:rPr>
          <w:i w:val="0"/>
          <w:iCs w:val="0"/>
        </w:rPr>
        <w:tab/>
      </w:r>
      <w:r>
        <w:rPr>
          <w:i w:val="0"/>
          <w:iCs w:val="0"/>
        </w:rPr>
        <w:fldChar w:fldCharType="begin"/>
      </w:r>
      <w:r>
        <w:rPr>
          <w:i w:val="0"/>
          <w:iCs w:val="0"/>
        </w:rPr>
        <w:instrText xml:space="preserve"> PAGEREF _Toc9005 \h </w:instrText>
      </w:r>
      <w:r>
        <w:rPr>
          <w:i w:val="0"/>
          <w:iCs w:val="0"/>
        </w:rPr>
        <w:fldChar w:fldCharType="separate"/>
      </w:r>
      <w:r>
        <w:rPr>
          <w:i w:val="0"/>
          <w:iCs w:val="0"/>
        </w:rPr>
        <w:t>19</w:t>
      </w:r>
      <w:r>
        <w:rPr>
          <w:i w:val="0"/>
          <w:iCs w:val="0"/>
        </w:rPr>
        <w:fldChar w:fldCharType="end"/>
      </w:r>
      <w:r>
        <w:rPr>
          <w:rFonts w:hint="eastAsia" w:ascii="仿宋" w:hAnsi="仿宋" w:eastAsia="仿宋" w:cs="仿宋"/>
          <w:i w:val="0"/>
          <w:iCs w:val="0"/>
          <w:szCs w:val="24"/>
        </w:rPr>
        <w:fldChar w:fldCharType="end"/>
      </w:r>
    </w:p>
    <w:p w14:paraId="5900C6B3">
      <w:pPr>
        <w:pStyle w:val="23"/>
        <w:tabs>
          <w:tab w:val="right" w:leader="dot" w:pos="8585"/>
        </w:tabs>
        <w:rPr>
          <w:i w:val="0"/>
          <w:iCs w:val="0"/>
        </w:rPr>
      </w:pPr>
      <w:r>
        <w:rPr>
          <w:rFonts w:hint="eastAsia" w:ascii="仿宋" w:hAnsi="仿宋" w:eastAsia="仿宋" w:cs="仿宋"/>
          <w:i w:val="0"/>
          <w:iCs w:val="0"/>
          <w:szCs w:val="24"/>
        </w:rPr>
        <w:fldChar w:fldCharType="begin"/>
      </w:r>
      <w:r>
        <w:rPr>
          <w:rFonts w:hint="eastAsia" w:ascii="仿宋" w:hAnsi="仿宋" w:eastAsia="仿宋" w:cs="仿宋"/>
          <w:i w:val="0"/>
          <w:iCs w:val="0"/>
          <w:szCs w:val="24"/>
        </w:rPr>
        <w:instrText xml:space="preserve"> HYPERLINK \l _Toc7034 </w:instrText>
      </w:r>
      <w:r>
        <w:rPr>
          <w:rFonts w:hint="eastAsia" w:ascii="仿宋" w:hAnsi="仿宋" w:eastAsia="仿宋" w:cs="仿宋"/>
          <w:i w:val="0"/>
          <w:iCs w:val="0"/>
          <w:szCs w:val="24"/>
        </w:rPr>
        <w:fldChar w:fldCharType="separate"/>
      </w:r>
      <w:r>
        <w:rPr>
          <w:rFonts w:hint="eastAsia" w:ascii="仿宋" w:hAnsi="仿宋" w:eastAsia="仿宋" w:cs="仿宋"/>
          <w:i w:val="0"/>
          <w:iCs w:val="0"/>
          <w:szCs w:val="24"/>
        </w:rPr>
        <w:t>24．谈判大会</w:t>
      </w:r>
      <w:r>
        <w:rPr>
          <w:i w:val="0"/>
          <w:iCs w:val="0"/>
        </w:rPr>
        <w:tab/>
      </w:r>
      <w:r>
        <w:rPr>
          <w:i w:val="0"/>
          <w:iCs w:val="0"/>
        </w:rPr>
        <w:fldChar w:fldCharType="begin"/>
      </w:r>
      <w:r>
        <w:rPr>
          <w:i w:val="0"/>
          <w:iCs w:val="0"/>
        </w:rPr>
        <w:instrText xml:space="preserve"> PAGEREF _Toc7034 \h </w:instrText>
      </w:r>
      <w:r>
        <w:rPr>
          <w:i w:val="0"/>
          <w:iCs w:val="0"/>
        </w:rPr>
        <w:fldChar w:fldCharType="separate"/>
      </w:r>
      <w:r>
        <w:rPr>
          <w:i w:val="0"/>
          <w:iCs w:val="0"/>
        </w:rPr>
        <w:t>19</w:t>
      </w:r>
      <w:r>
        <w:rPr>
          <w:i w:val="0"/>
          <w:iCs w:val="0"/>
        </w:rPr>
        <w:fldChar w:fldCharType="end"/>
      </w:r>
      <w:r>
        <w:rPr>
          <w:rFonts w:hint="eastAsia" w:ascii="仿宋" w:hAnsi="仿宋" w:eastAsia="仿宋" w:cs="仿宋"/>
          <w:i w:val="0"/>
          <w:iCs w:val="0"/>
          <w:szCs w:val="24"/>
        </w:rPr>
        <w:fldChar w:fldCharType="end"/>
      </w:r>
    </w:p>
    <w:p w14:paraId="191B2B5B">
      <w:pPr>
        <w:pStyle w:val="23"/>
        <w:tabs>
          <w:tab w:val="right" w:leader="dot" w:pos="8585"/>
        </w:tabs>
        <w:rPr>
          <w:i w:val="0"/>
          <w:iCs w:val="0"/>
        </w:rPr>
      </w:pPr>
      <w:r>
        <w:rPr>
          <w:rFonts w:hint="eastAsia" w:ascii="仿宋" w:hAnsi="仿宋" w:eastAsia="仿宋" w:cs="仿宋"/>
          <w:i w:val="0"/>
          <w:iCs w:val="0"/>
          <w:szCs w:val="24"/>
        </w:rPr>
        <w:fldChar w:fldCharType="begin"/>
      </w:r>
      <w:r>
        <w:rPr>
          <w:rFonts w:hint="eastAsia" w:ascii="仿宋" w:hAnsi="仿宋" w:eastAsia="仿宋" w:cs="仿宋"/>
          <w:i w:val="0"/>
          <w:iCs w:val="0"/>
          <w:szCs w:val="24"/>
        </w:rPr>
        <w:instrText xml:space="preserve"> HYPERLINK \l _Toc17017 </w:instrText>
      </w:r>
      <w:r>
        <w:rPr>
          <w:rFonts w:hint="eastAsia" w:ascii="仿宋" w:hAnsi="仿宋" w:eastAsia="仿宋" w:cs="仿宋"/>
          <w:i w:val="0"/>
          <w:iCs w:val="0"/>
          <w:szCs w:val="24"/>
        </w:rPr>
        <w:fldChar w:fldCharType="separate"/>
      </w:r>
      <w:r>
        <w:rPr>
          <w:rFonts w:hint="eastAsia" w:ascii="仿宋" w:hAnsi="仿宋" w:eastAsia="仿宋" w:cs="仿宋"/>
          <w:i w:val="0"/>
          <w:iCs w:val="0"/>
          <w:szCs w:val="24"/>
        </w:rPr>
        <w:t>25．谈判小组</w:t>
      </w:r>
      <w:r>
        <w:rPr>
          <w:i w:val="0"/>
          <w:iCs w:val="0"/>
        </w:rPr>
        <w:tab/>
      </w:r>
      <w:r>
        <w:rPr>
          <w:i w:val="0"/>
          <w:iCs w:val="0"/>
        </w:rPr>
        <w:fldChar w:fldCharType="begin"/>
      </w:r>
      <w:r>
        <w:rPr>
          <w:i w:val="0"/>
          <w:iCs w:val="0"/>
        </w:rPr>
        <w:instrText xml:space="preserve"> PAGEREF _Toc17017 \h </w:instrText>
      </w:r>
      <w:r>
        <w:rPr>
          <w:i w:val="0"/>
          <w:iCs w:val="0"/>
        </w:rPr>
        <w:fldChar w:fldCharType="separate"/>
      </w:r>
      <w:r>
        <w:rPr>
          <w:i w:val="0"/>
          <w:iCs w:val="0"/>
        </w:rPr>
        <w:t>19</w:t>
      </w:r>
      <w:r>
        <w:rPr>
          <w:i w:val="0"/>
          <w:iCs w:val="0"/>
        </w:rPr>
        <w:fldChar w:fldCharType="end"/>
      </w:r>
      <w:r>
        <w:rPr>
          <w:rFonts w:hint="eastAsia" w:ascii="仿宋" w:hAnsi="仿宋" w:eastAsia="仿宋" w:cs="仿宋"/>
          <w:i w:val="0"/>
          <w:iCs w:val="0"/>
          <w:szCs w:val="24"/>
        </w:rPr>
        <w:fldChar w:fldCharType="end"/>
      </w:r>
    </w:p>
    <w:p w14:paraId="7649F1B4">
      <w:pPr>
        <w:pStyle w:val="23"/>
        <w:tabs>
          <w:tab w:val="right" w:leader="dot" w:pos="8585"/>
        </w:tabs>
        <w:rPr>
          <w:i w:val="0"/>
          <w:iCs w:val="0"/>
        </w:rPr>
      </w:pPr>
      <w:r>
        <w:rPr>
          <w:rFonts w:hint="eastAsia" w:ascii="仿宋" w:hAnsi="仿宋" w:eastAsia="仿宋" w:cs="仿宋"/>
          <w:i w:val="0"/>
          <w:iCs w:val="0"/>
          <w:szCs w:val="24"/>
        </w:rPr>
        <w:fldChar w:fldCharType="begin"/>
      </w:r>
      <w:r>
        <w:rPr>
          <w:rFonts w:hint="eastAsia" w:ascii="仿宋" w:hAnsi="仿宋" w:eastAsia="仿宋" w:cs="仿宋"/>
          <w:i w:val="0"/>
          <w:iCs w:val="0"/>
          <w:szCs w:val="24"/>
        </w:rPr>
        <w:instrText xml:space="preserve"> HYPERLINK \l _Toc29818 </w:instrText>
      </w:r>
      <w:r>
        <w:rPr>
          <w:rFonts w:hint="eastAsia" w:ascii="仿宋" w:hAnsi="仿宋" w:eastAsia="仿宋" w:cs="仿宋"/>
          <w:i w:val="0"/>
          <w:iCs w:val="0"/>
          <w:szCs w:val="24"/>
        </w:rPr>
        <w:fldChar w:fldCharType="separate"/>
      </w:r>
      <w:r>
        <w:rPr>
          <w:rFonts w:hint="eastAsia" w:ascii="仿宋" w:hAnsi="仿宋" w:eastAsia="仿宋" w:cs="仿宋"/>
          <w:i w:val="0"/>
          <w:iCs w:val="0"/>
          <w:szCs w:val="24"/>
        </w:rPr>
        <w:t>26．谈判响应文件的评审</w:t>
      </w:r>
      <w:r>
        <w:rPr>
          <w:i w:val="0"/>
          <w:iCs w:val="0"/>
        </w:rPr>
        <w:tab/>
      </w:r>
      <w:r>
        <w:rPr>
          <w:i w:val="0"/>
          <w:iCs w:val="0"/>
        </w:rPr>
        <w:fldChar w:fldCharType="begin"/>
      </w:r>
      <w:r>
        <w:rPr>
          <w:i w:val="0"/>
          <w:iCs w:val="0"/>
        </w:rPr>
        <w:instrText xml:space="preserve"> PAGEREF _Toc29818 \h </w:instrText>
      </w:r>
      <w:r>
        <w:rPr>
          <w:i w:val="0"/>
          <w:iCs w:val="0"/>
        </w:rPr>
        <w:fldChar w:fldCharType="separate"/>
      </w:r>
      <w:r>
        <w:rPr>
          <w:i w:val="0"/>
          <w:iCs w:val="0"/>
        </w:rPr>
        <w:t>19</w:t>
      </w:r>
      <w:r>
        <w:rPr>
          <w:i w:val="0"/>
          <w:iCs w:val="0"/>
        </w:rPr>
        <w:fldChar w:fldCharType="end"/>
      </w:r>
      <w:r>
        <w:rPr>
          <w:rFonts w:hint="eastAsia" w:ascii="仿宋" w:hAnsi="仿宋" w:eastAsia="仿宋" w:cs="仿宋"/>
          <w:i w:val="0"/>
          <w:iCs w:val="0"/>
          <w:szCs w:val="24"/>
        </w:rPr>
        <w:fldChar w:fldCharType="end"/>
      </w:r>
    </w:p>
    <w:p w14:paraId="657F5CE6">
      <w:pPr>
        <w:pStyle w:val="23"/>
        <w:tabs>
          <w:tab w:val="right" w:leader="dot" w:pos="8585"/>
        </w:tabs>
        <w:rPr>
          <w:i w:val="0"/>
          <w:iCs w:val="0"/>
        </w:rPr>
      </w:pPr>
      <w:r>
        <w:rPr>
          <w:rFonts w:hint="eastAsia" w:ascii="仿宋" w:hAnsi="仿宋" w:eastAsia="仿宋" w:cs="仿宋"/>
          <w:i w:val="0"/>
          <w:iCs w:val="0"/>
          <w:szCs w:val="24"/>
        </w:rPr>
        <w:fldChar w:fldCharType="begin"/>
      </w:r>
      <w:r>
        <w:rPr>
          <w:rFonts w:hint="eastAsia" w:ascii="仿宋" w:hAnsi="仿宋" w:eastAsia="仿宋" w:cs="仿宋"/>
          <w:i w:val="0"/>
          <w:iCs w:val="0"/>
          <w:szCs w:val="24"/>
        </w:rPr>
        <w:instrText xml:space="preserve"> HYPERLINK \l _Toc9578 </w:instrText>
      </w:r>
      <w:r>
        <w:rPr>
          <w:rFonts w:hint="eastAsia" w:ascii="仿宋" w:hAnsi="仿宋" w:eastAsia="仿宋" w:cs="仿宋"/>
          <w:i w:val="0"/>
          <w:iCs w:val="0"/>
          <w:szCs w:val="24"/>
        </w:rPr>
        <w:fldChar w:fldCharType="separate"/>
      </w:r>
      <w:r>
        <w:rPr>
          <w:rFonts w:hint="eastAsia" w:ascii="仿宋" w:hAnsi="仿宋" w:eastAsia="仿宋" w:cs="仿宋"/>
          <w:i w:val="0"/>
          <w:iCs w:val="0"/>
          <w:szCs w:val="24"/>
        </w:rPr>
        <w:t>27．谈判</w:t>
      </w:r>
      <w:r>
        <w:rPr>
          <w:i w:val="0"/>
          <w:iCs w:val="0"/>
        </w:rPr>
        <w:tab/>
      </w:r>
      <w:r>
        <w:rPr>
          <w:i w:val="0"/>
          <w:iCs w:val="0"/>
        </w:rPr>
        <w:fldChar w:fldCharType="begin"/>
      </w:r>
      <w:r>
        <w:rPr>
          <w:i w:val="0"/>
          <w:iCs w:val="0"/>
        </w:rPr>
        <w:instrText xml:space="preserve"> PAGEREF _Toc9578 \h </w:instrText>
      </w:r>
      <w:r>
        <w:rPr>
          <w:i w:val="0"/>
          <w:iCs w:val="0"/>
        </w:rPr>
        <w:fldChar w:fldCharType="separate"/>
      </w:r>
      <w:r>
        <w:rPr>
          <w:i w:val="0"/>
          <w:iCs w:val="0"/>
        </w:rPr>
        <w:t>20</w:t>
      </w:r>
      <w:r>
        <w:rPr>
          <w:i w:val="0"/>
          <w:iCs w:val="0"/>
        </w:rPr>
        <w:fldChar w:fldCharType="end"/>
      </w:r>
      <w:r>
        <w:rPr>
          <w:rFonts w:hint="eastAsia" w:ascii="仿宋" w:hAnsi="仿宋" w:eastAsia="仿宋" w:cs="仿宋"/>
          <w:i w:val="0"/>
          <w:iCs w:val="0"/>
          <w:szCs w:val="24"/>
        </w:rPr>
        <w:fldChar w:fldCharType="end"/>
      </w:r>
    </w:p>
    <w:p w14:paraId="47FE268A">
      <w:pPr>
        <w:pStyle w:val="23"/>
        <w:tabs>
          <w:tab w:val="right" w:leader="dot" w:pos="8585"/>
        </w:tabs>
        <w:rPr>
          <w:i w:val="0"/>
          <w:iCs w:val="0"/>
        </w:rPr>
      </w:pPr>
      <w:r>
        <w:rPr>
          <w:rFonts w:hint="eastAsia" w:ascii="仿宋" w:hAnsi="仿宋" w:eastAsia="仿宋" w:cs="仿宋"/>
          <w:i w:val="0"/>
          <w:iCs w:val="0"/>
          <w:szCs w:val="24"/>
        </w:rPr>
        <w:fldChar w:fldCharType="begin"/>
      </w:r>
      <w:r>
        <w:rPr>
          <w:rFonts w:hint="eastAsia" w:ascii="仿宋" w:hAnsi="仿宋" w:eastAsia="仿宋" w:cs="仿宋"/>
          <w:i w:val="0"/>
          <w:iCs w:val="0"/>
          <w:szCs w:val="24"/>
        </w:rPr>
        <w:instrText xml:space="preserve"> HYPERLINK \l _Toc18923 </w:instrText>
      </w:r>
      <w:r>
        <w:rPr>
          <w:rFonts w:hint="eastAsia" w:ascii="仿宋" w:hAnsi="仿宋" w:eastAsia="仿宋" w:cs="仿宋"/>
          <w:i w:val="0"/>
          <w:iCs w:val="0"/>
          <w:szCs w:val="24"/>
        </w:rPr>
        <w:fldChar w:fldCharType="separate"/>
      </w:r>
      <w:r>
        <w:rPr>
          <w:rFonts w:hint="eastAsia" w:ascii="仿宋" w:hAnsi="仿宋" w:eastAsia="仿宋" w:cs="仿宋"/>
          <w:i w:val="0"/>
          <w:iCs w:val="0"/>
          <w:szCs w:val="24"/>
        </w:rPr>
        <w:t>28．谈判响应文件的澄清</w:t>
      </w:r>
      <w:r>
        <w:rPr>
          <w:i w:val="0"/>
          <w:iCs w:val="0"/>
        </w:rPr>
        <w:tab/>
      </w:r>
      <w:r>
        <w:rPr>
          <w:i w:val="0"/>
          <w:iCs w:val="0"/>
        </w:rPr>
        <w:fldChar w:fldCharType="begin"/>
      </w:r>
      <w:r>
        <w:rPr>
          <w:i w:val="0"/>
          <w:iCs w:val="0"/>
        </w:rPr>
        <w:instrText xml:space="preserve"> PAGEREF _Toc18923 \h </w:instrText>
      </w:r>
      <w:r>
        <w:rPr>
          <w:i w:val="0"/>
          <w:iCs w:val="0"/>
        </w:rPr>
        <w:fldChar w:fldCharType="separate"/>
      </w:r>
      <w:r>
        <w:rPr>
          <w:i w:val="0"/>
          <w:iCs w:val="0"/>
        </w:rPr>
        <w:t>21</w:t>
      </w:r>
      <w:r>
        <w:rPr>
          <w:i w:val="0"/>
          <w:iCs w:val="0"/>
        </w:rPr>
        <w:fldChar w:fldCharType="end"/>
      </w:r>
      <w:r>
        <w:rPr>
          <w:rFonts w:hint="eastAsia" w:ascii="仿宋" w:hAnsi="仿宋" w:eastAsia="仿宋" w:cs="仿宋"/>
          <w:i w:val="0"/>
          <w:iCs w:val="0"/>
          <w:szCs w:val="24"/>
        </w:rPr>
        <w:fldChar w:fldCharType="end"/>
      </w:r>
    </w:p>
    <w:p w14:paraId="0EE0943E">
      <w:pPr>
        <w:pStyle w:val="23"/>
        <w:tabs>
          <w:tab w:val="right" w:leader="dot" w:pos="8585"/>
        </w:tabs>
        <w:rPr>
          <w:i w:val="0"/>
          <w:iCs w:val="0"/>
        </w:rPr>
      </w:pPr>
      <w:r>
        <w:rPr>
          <w:rFonts w:hint="eastAsia" w:ascii="仿宋" w:hAnsi="仿宋" w:eastAsia="仿宋" w:cs="仿宋"/>
          <w:i w:val="0"/>
          <w:iCs w:val="0"/>
          <w:szCs w:val="24"/>
        </w:rPr>
        <w:fldChar w:fldCharType="begin"/>
      </w:r>
      <w:r>
        <w:rPr>
          <w:rFonts w:hint="eastAsia" w:ascii="仿宋" w:hAnsi="仿宋" w:eastAsia="仿宋" w:cs="仿宋"/>
          <w:i w:val="0"/>
          <w:iCs w:val="0"/>
          <w:szCs w:val="24"/>
        </w:rPr>
        <w:instrText xml:space="preserve"> HYPERLINK \l _Toc20970 </w:instrText>
      </w:r>
      <w:r>
        <w:rPr>
          <w:rFonts w:hint="eastAsia" w:ascii="仿宋" w:hAnsi="仿宋" w:eastAsia="仿宋" w:cs="仿宋"/>
          <w:i w:val="0"/>
          <w:iCs w:val="0"/>
          <w:szCs w:val="24"/>
        </w:rPr>
        <w:fldChar w:fldCharType="separate"/>
      </w:r>
      <w:r>
        <w:rPr>
          <w:rFonts w:hint="eastAsia" w:ascii="仿宋" w:hAnsi="仿宋" w:eastAsia="仿宋" w:cs="仿宋"/>
          <w:i w:val="0"/>
          <w:iCs w:val="0"/>
          <w:szCs w:val="24"/>
        </w:rPr>
        <w:t>29．谈判响应文件的比较和评价</w:t>
      </w:r>
      <w:r>
        <w:rPr>
          <w:i w:val="0"/>
          <w:iCs w:val="0"/>
        </w:rPr>
        <w:tab/>
      </w:r>
      <w:r>
        <w:rPr>
          <w:i w:val="0"/>
          <w:iCs w:val="0"/>
        </w:rPr>
        <w:fldChar w:fldCharType="begin"/>
      </w:r>
      <w:r>
        <w:rPr>
          <w:i w:val="0"/>
          <w:iCs w:val="0"/>
        </w:rPr>
        <w:instrText xml:space="preserve"> PAGEREF _Toc20970 \h </w:instrText>
      </w:r>
      <w:r>
        <w:rPr>
          <w:i w:val="0"/>
          <w:iCs w:val="0"/>
        </w:rPr>
        <w:fldChar w:fldCharType="separate"/>
      </w:r>
      <w:r>
        <w:rPr>
          <w:i w:val="0"/>
          <w:iCs w:val="0"/>
        </w:rPr>
        <w:t>21</w:t>
      </w:r>
      <w:r>
        <w:rPr>
          <w:i w:val="0"/>
          <w:iCs w:val="0"/>
        </w:rPr>
        <w:fldChar w:fldCharType="end"/>
      </w:r>
      <w:r>
        <w:rPr>
          <w:rFonts w:hint="eastAsia" w:ascii="仿宋" w:hAnsi="仿宋" w:eastAsia="仿宋" w:cs="仿宋"/>
          <w:i w:val="0"/>
          <w:iCs w:val="0"/>
          <w:szCs w:val="24"/>
        </w:rPr>
        <w:fldChar w:fldCharType="end"/>
      </w:r>
    </w:p>
    <w:p w14:paraId="1173746D">
      <w:pPr>
        <w:pStyle w:val="23"/>
        <w:tabs>
          <w:tab w:val="right" w:leader="dot" w:pos="8585"/>
        </w:tabs>
        <w:rPr>
          <w:i w:val="0"/>
          <w:iCs w:val="0"/>
        </w:rPr>
      </w:pPr>
      <w:r>
        <w:rPr>
          <w:rFonts w:hint="eastAsia" w:ascii="仿宋" w:hAnsi="仿宋" w:eastAsia="仿宋" w:cs="仿宋"/>
          <w:i w:val="0"/>
          <w:iCs w:val="0"/>
          <w:szCs w:val="24"/>
        </w:rPr>
        <w:fldChar w:fldCharType="begin"/>
      </w:r>
      <w:r>
        <w:rPr>
          <w:rFonts w:hint="eastAsia" w:ascii="仿宋" w:hAnsi="仿宋" w:eastAsia="仿宋" w:cs="仿宋"/>
          <w:i w:val="0"/>
          <w:iCs w:val="0"/>
          <w:szCs w:val="24"/>
        </w:rPr>
        <w:instrText xml:space="preserve"> HYPERLINK \l _Toc18205 </w:instrText>
      </w:r>
      <w:r>
        <w:rPr>
          <w:rFonts w:hint="eastAsia" w:ascii="仿宋" w:hAnsi="仿宋" w:eastAsia="仿宋" w:cs="仿宋"/>
          <w:i w:val="0"/>
          <w:iCs w:val="0"/>
          <w:szCs w:val="24"/>
        </w:rPr>
        <w:fldChar w:fldCharType="separate"/>
      </w:r>
      <w:r>
        <w:rPr>
          <w:rFonts w:hint="eastAsia" w:ascii="仿宋" w:hAnsi="仿宋" w:eastAsia="仿宋" w:cs="仿宋"/>
          <w:i w:val="0"/>
          <w:iCs w:val="0"/>
          <w:szCs w:val="24"/>
        </w:rPr>
        <w:t>30．评审原则及主要方法</w:t>
      </w:r>
      <w:r>
        <w:rPr>
          <w:i w:val="0"/>
          <w:iCs w:val="0"/>
        </w:rPr>
        <w:tab/>
      </w:r>
      <w:r>
        <w:rPr>
          <w:i w:val="0"/>
          <w:iCs w:val="0"/>
        </w:rPr>
        <w:fldChar w:fldCharType="begin"/>
      </w:r>
      <w:r>
        <w:rPr>
          <w:i w:val="0"/>
          <w:iCs w:val="0"/>
        </w:rPr>
        <w:instrText xml:space="preserve"> PAGEREF _Toc18205 \h </w:instrText>
      </w:r>
      <w:r>
        <w:rPr>
          <w:i w:val="0"/>
          <w:iCs w:val="0"/>
        </w:rPr>
        <w:fldChar w:fldCharType="separate"/>
      </w:r>
      <w:r>
        <w:rPr>
          <w:i w:val="0"/>
          <w:iCs w:val="0"/>
        </w:rPr>
        <w:t>22</w:t>
      </w:r>
      <w:r>
        <w:rPr>
          <w:i w:val="0"/>
          <w:iCs w:val="0"/>
        </w:rPr>
        <w:fldChar w:fldCharType="end"/>
      </w:r>
      <w:r>
        <w:rPr>
          <w:rFonts w:hint="eastAsia" w:ascii="仿宋" w:hAnsi="仿宋" w:eastAsia="仿宋" w:cs="仿宋"/>
          <w:i w:val="0"/>
          <w:iCs w:val="0"/>
          <w:szCs w:val="24"/>
        </w:rPr>
        <w:fldChar w:fldCharType="end"/>
      </w:r>
    </w:p>
    <w:p w14:paraId="09BDAA15">
      <w:pPr>
        <w:pStyle w:val="23"/>
        <w:tabs>
          <w:tab w:val="right" w:leader="dot" w:pos="8585"/>
        </w:tabs>
        <w:rPr>
          <w:i w:val="0"/>
          <w:iCs w:val="0"/>
        </w:rPr>
      </w:pPr>
      <w:r>
        <w:rPr>
          <w:rFonts w:hint="eastAsia" w:ascii="仿宋" w:hAnsi="仿宋" w:eastAsia="仿宋" w:cs="仿宋"/>
          <w:i w:val="0"/>
          <w:iCs w:val="0"/>
          <w:szCs w:val="24"/>
        </w:rPr>
        <w:fldChar w:fldCharType="begin"/>
      </w:r>
      <w:r>
        <w:rPr>
          <w:rFonts w:hint="eastAsia" w:ascii="仿宋" w:hAnsi="仿宋" w:eastAsia="仿宋" w:cs="仿宋"/>
          <w:i w:val="0"/>
          <w:iCs w:val="0"/>
          <w:szCs w:val="24"/>
        </w:rPr>
        <w:instrText xml:space="preserve"> HYPERLINK \l _Toc14048 </w:instrText>
      </w:r>
      <w:r>
        <w:rPr>
          <w:rFonts w:hint="eastAsia" w:ascii="仿宋" w:hAnsi="仿宋" w:eastAsia="仿宋" w:cs="仿宋"/>
          <w:i w:val="0"/>
          <w:iCs w:val="0"/>
          <w:szCs w:val="24"/>
        </w:rPr>
        <w:fldChar w:fldCharType="separate"/>
      </w:r>
      <w:r>
        <w:rPr>
          <w:rFonts w:hint="eastAsia" w:ascii="仿宋" w:hAnsi="仿宋" w:eastAsia="仿宋" w:cs="仿宋"/>
          <w:i w:val="0"/>
          <w:iCs w:val="0"/>
          <w:szCs w:val="24"/>
        </w:rPr>
        <w:t>31．</w:t>
      </w:r>
      <w:r>
        <w:rPr>
          <w:rFonts w:hint="eastAsia" w:ascii="仿宋" w:hAnsi="仿宋" w:eastAsia="仿宋" w:cs="仿宋"/>
          <w:i w:val="0"/>
          <w:iCs w:val="0"/>
          <w:szCs w:val="24"/>
          <w:lang w:val="en-US" w:eastAsia="zh-CN"/>
        </w:rPr>
        <w:t>供应商</w:t>
      </w:r>
      <w:r>
        <w:rPr>
          <w:rFonts w:hint="eastAsia" w:ascii="仿宋" w:hAnsi="仿宋" w:eastAsia="仿宋" w:cs="仿宋"/>
          <w:i w:val="0"/>
          <w:iCs w:val="0"/>
          <w:szCs w:val="24"/>
        </w:rPr>
        <w:t>政府采购政策</w:t>
      </w:r>
      <w:r>
        <w:rPr>
          <w:i w:val="0"/>
          <w:iCs w:val="0"/>
        </w:rPr>
        <w:tab/>
      </w:r>
      <w:r>
        <w:rPr>
          <w:i w:val="0"/>
          <w:iCs w:val="0"/>
        </w:rPr>
        <w:fldChar w:fldCharType="begin"/>
      </w:r>
      <w:r>
        <w:rPr>
          <w:i w:val="0"/>
          <w:iCs w:val="0"/>
        </w:rPr>
        <w:instrText xml:space="preserve"> PAGEREF _Toc14048 \h </w:instrText>
      </w:r>
      <w:r>
        <w:rPr>
          <w:i w:val="0"/>
          <w:iCs w:val="0"/>
        </w:rPr>
        <w:fldChar w:fldCharType="separate"/>
      </w:r>
      <w:r>
        <w:rPr>
          <w:i w:val="0"/>
          <w:iCs w:val="0"/>
        </w:rPr>
        <w:t>22</w:t>
      </w:r>
      <w:r>
        <w:rPr>
          <w:i w:val="0"/>
          <w:iCs w:val="0"/>
        </w:rPr>
        <w:fldChar w:fldCharType="end"/>
      </w:r>
      <w:r>
        <w:rPr>
          <w:rFonts w:hint="eastAsia" w:ascii="仿宋" w:hAnsi="仿宋" w:eastAsia="仿宋" w:cs="仿宋"/>
          <w:i w:val="0"/>
          <w:iCs w:val="0"/>
          <w:szCs w:val="24"/>
        </w:rPr>
        <w:fldChar w:fldCharType="end"/>
      </w:r>
    </w:p>
    <w:p w14:paraId="3B1760C9">
      <w:pPr>
        <w:pStyle w:val="23"/>
        <w:tabs>
          <w:tab w:val="right" w:leader="dot" w:pos="8585"/>
        </w:tabs>
        <w:rPr>
          <w:i w:val="0"/>
          <w:iCs w:val="0"/>
        </w:rPr>
      </w:pPr>
      <w:r>
        <w:rPr>
          <w:rFonts w:hint="eastAsia" w:ascii="仿宋" w:hAnsi="仿宋" w:eastAsia="仿宋" w:cs="仿宋"/>
          <w:i w:val="0"/>
          <w:iCs w:val="0"/>
          <w:szCs w:val="24"/>
        </w:rPr>
        <w:fldChar w:fldCharType="begin"/>
      </w:r>
      <w:r>
        <w:rPr>
          <w:rFonts w:hint="eastAsia" w:ascii="仿宋" w:hAnsi="仿宋" w:eastAsia="仿宋" w:cs="仿宋"/>
          <w:i w:val="0"/>
          <w:iCs w:val="0"/>
          <w:szCs w:val="24"/>
        </w:rPr>
        <w:instrText xml:space="preserve"> HYPERLINK \l _Toc21679 </w:instrText>
      </w:r>
      <w:r>
        <w:rPr>
          <w:rFonts w:hint="eastAsia" w:ascii="仿宋" w:hAnsi="仿宋" w:eastAsia="仿宋" w:cs="仿宋"/>
          <w:i w:val="0"/>
          <w:iCs w:val="0"/>
          <w:szCs w:val="24"/>
        </w:rPr>
        <w:fldChar w:fldCharType="separate"/>
      </w:r>
      <w:r>
        <w:rPr>
          <w:rFonts w:hint="eastAsia" w:ascii="仿宋" w:hAnsi="仿宋" w:eastAsia="仿宋" w:cs="仿宋"/>
          <w:i w:val="0"/>
          <w:iCs w:val="0"/>
          <w:szCs w:val="24"/>
        </w:rPr>
        <w:t>32．与采购人、采购代理机构和谈判小组接触</w:t>
      </w:r>
      <w:r>
        <w:rPr>
          <w:i w:val="0"/>
          <w:iCs w:val="0"/>
        </w:rPr>
        <w:tab/>
      </w:r>
      <w:r>
        <w:rPr>
          <w:i w:val="0"/>
          <w:iCs w:val="0"/>
        </w:rPr>
        <w:fldChar w:fldCharType="begin"/>
      </w:r>
      <w:r>
        <w:rPr>
          <w:i w:val="0"/>
          <w:iCs w:val="0"/>
        </w:rPr>
        <w:instrText xml:space="preserve"> PAGEREF _Toc21679 \h </w:instrText>
      </w:r>
      <w:r>
        <w:rPr>
          <w:i w:val="0"/>
          <w:iCs w:val="0"/>
        </w:rPr>
        <w:fldChar w:fldCharType="separate"/>
      </w:r>
      <w:r>
        <w:rPr>
          <w:i w:val="0"/>
          <w:iCs w:val="0"/>
        </w:rPr>
        <w:t>24</w:t>
      </w:r>
      <w:r>
        <w:rPr>
          <w:i w:val="0"/>
          <w:iCs w:val="0"/>
        </w:rPr>
        <w:fldChar w:fldCharType="end"/>
      </w:r>
      <w:r>
        <w:rPr>
          <w:rFonts w:hint="eastAsia" w:ascii="仿宋" w:hAnsi="仿宋" w:eastAsia="仿宋" w:cs="仿宋"/>
          <w:i w:val="0"/>
          <w:iCs w:val="0"/>
          <w:szCs w:val="24"/>
        </w:rPr>
        <w:fldChar w:fldCharType="end"/>
      </w:r>
    </w:p>
    <w:p w14:paraId="2ADE7E08">
      <w:pPr>
        <w:pStyle w:val="36"/>
        <w:tabs>
          <w:tab w:val="right" w:leader="dot" w:pos="8585"/>
        </w:tabs>
        <w:rPr>
          <w:i w:val="0"/>
          <w:iCs w:val="0"/>
        </w:rPr>
      </w:pPr>
      <w:r>
        <w:rPr>
          <w:rFonts w:hint="eastAsia" w:ascii="仿宋" w:hAnsi="仿宋" w:eastAsia="仿宋" w:cs="仿宋"/>
          <w:i w:val="0"/>
          <w:iCs w:val="0"/>
          <w:szCs w:val="24"/>
        </w:rPr>
        <w:fldChar w:fldCharType="begin"/>
      </w:r>
      <w:r>
        <w:rPr>
          <w:rFonts w:hint="eastAsia" w:ascii="仿宋" w:hAnsi="仿宋" w:eastAsia="仿宋" w:cs="仿宋"/>
          <w:i w:val="0"/>
          <w:iCs w:val="0"/>
          <w:szCs w:val="24"/>
        </w:rPr>
        <w:instrText xml:space="preserve"> HYPERLINK \l _Toc25192 </w:instrText>
      </w:r>
      <w:r>
        <w:rPr>
          <w:rFonts w:hint="eastAsia" w:ascii="仿宋" w:hAnsi="仿宋" w:eastAsia="仿宋" w:cs="仿宋"/>
          <w:i w:val="0"/>
          <w:iCs w:val="0"/>
          <w:szCs w:val="24"/>
        </w:rPr>
        <w:fldChar w:fldCharType="separate"/>
      </w:r>
      <w:r>
        <w:rPr>
          <w:rFonts w:hint="eastAsia" w:ascii="仿宋" w:hAnsi="仿宋" w:eastAsia="仿宋" w:cs="仿宋"/>
          <w:i w:val="0"/>
          <w:iCs w:val="0"/>
          <w:szCs w:val="24"/>
        </w:rPr>
        <w:t>F．授予合同</w:t>
      </w:r>
      <w:r>
        <w:rPr>
          <w:i w:val="0"/>
          <w:iCs w:val="0"/>
        </w:rPr>
        <w:tab/>
      </w:r>
      <w:r>
        <w:rPr>
          <w:i w:val="0"/>
          <w:iCs w:val="0"/>
        </w:rPr>
        <w:fldChar w:fldCharType="begin"/>
      </w:r>
      <w:r>
        <w:rPr>
          <w:i w:val="0"/>
          <w:iCs w:val="0"/>
        </w:rPr>
        <w:instrText xml:space="preserve"> PAGEREF _Toc25192 \h </w:instrText>
      </w:r>
      <w:r>
        <w:rPr>
          <w:i w:val="0"/>
          <w:iCs w:val="0"/>
        </w:rPr>
        <w:fldChar w:fldCharType="separate"/>
      </w:r>
      <w:r>
        <w:rPr>
          <w:i w:val="0"/>
          <w:iCs w:val="0"/>
        </w:rPr>
        <w:t>25</w:t>
      </w:r>
      <w:r>
        <w:rPr>
          <w:i w:val="0"/>
          <w:iCs w:val="0"/>
        </w:rPr>
        <w:fldChar w:fldCharType="end"/>
      </w:r>
      <w:r>
        <w:rPr>
          <w:rFonts w:hint="eastAsia" w:ascii="仿宋" w:hAnsi="仿宋" w:eastAsia="仿宋" w:cs="仿宋"/>
          <w:i w:val="0"/>
          <w:iCs w:val="0"/>
          <w:szCs w:val="24"/>
        </w:rPr>
        <w:fldChar w:fldCharType="end"/>
      </w:r>
    </w:p>
    <w:p w14:paraId="095B49AD">
      <w:pPr>
        <w:pStyle w:val="23"/>
        <w:tabs>
          <w:tab w:val="right" w:leader="dot" w:pos="8585"/>
        </w:tabs>
        <w:rPr>
          <w:i w:val="0"/>
          <w:iCs w:val="0"/>
        </w:rPr>
      </w:pPr>
      <w:r>
        <w:rPr>
          <w:rFonts w:hint="eastAsia" w:ascii="仿宋" w:hAnsi="仿宋" w:eastAsia="仿宋" w:cs="仿宋"/>
          <w:i w:val="0"/>
          <w:iCs w:val="0"/>
          <w:szCs w:val="24"/>
        </w:rPr>
        <w:fldChar w:fldCharType="begin"/>
      </w:r>
      <w:r>
        <w:rPr>
          <w:rFonts w:hint="eastAsia" w:ascii="仿宋" w:hAnsi="仿宋" w:eastAsia="仿宋" w:cs="仿宋"/>
          <w:i w:val="0"/>
          <w:iCs w:val="0"/>
          <w:szCs w:val="24"/>
        </w:rPr>
        <w:instrText xml:space="preserve"> HYPERLINK \l _Toc14461 </w:instrText>
      </w:r>
      <w:r>
        <w:rPr>
          <w:rFonts w:hint="eastAsia" w:ascii="仿宋" w:hAnsi="仿宋" w:eastAsia="仿宋" w:cs="仿宋"/>
          <w:i w:val="0"/>
          <w:iCs w:val="0"/>
          <w:szCs w:val="24"/>
        </w:rPr>
        <w:fldChar w:fldCharType="separate"/>
      </w:r>
      <w:r>
        <w:rPr>
          <w:rFonts w:hint="eastAsia" w:ascii="仿宋" w:hAnsi="仿宋" w:eastAsia="仿宋" w:cs="仿宋"/>
          <w:i w:val="0"/>
          <w:iCs w:val="0"/>
          <w:szCs w:val="24"/>
        </w:rPr>
        <w:t>33．定标及合同授予</w:t>
      </w:r>
      <w:r>
        <w:rPr>
          <w:i w:val="0"/>
          <w:iCs w:val="0"/>
        </w:rPr>
        <w:tab/>
      </w:r>
      <w:r>
        <w:rPr>
          <w:i w:val="0"/>
          <w:iCs w:val="0"/>
        </w:rPr>
        <w:fldChar w:fldCharType="begin"/>
      </w:r>
      <w:r>
        <w:rPr>
          <w:i w:val="0"/>
          <w:iCs w:val="0"/>
        </w:rPr>
        <w:instrText xml:space="preserve"> PAGEREF _Toc14461 \h </w:instrText>
      </w:r>
      <w:r>
        <w:rPr>
          <w:i w:val="0"/>
          <w:iCs w:val="0"/>
        </w:rPr>
        <w:fldChar w:fldCharType="separate"/>
      </w:r>
      <w:r>
        <w:rPr>
          <w:i w:val="0"/>
          <w:iCs w:val="0"/>
        </w:rPr>
        <w:t>25</w:t>
      </w:r>
      <w:r>
        <w:rPr>
          <w:i w:val="0"/>
          <w:iCs w:val="0"/>
        </w:rPr>
        <w:fldChar w:fldCharType="end"/>
      </w:r>
      <w:r>
        <w:rPr>
          <w:rFonts w:hint="eastAsia" w:ascii="仿宋" w:hAnsi="仿宋" w:eastAsia="仿宋" w:cs="仿宋"/>
          <w:i w:val="0"/>
          <w:iCs w:val="0"/>
          <w:szCs w:val="24"/>
        </w:rPr>
        <w:fldChar w:fldCharType="end"/>
      </w:r>
    </w:p>
    <w:p w14:paraId="535D85A8">
      <w:pPr>
        <w:pStyle w:val="23"/>
        <w:tabs>
          <w:tab w:val="right" w:leader="dot" w:pos="8585"/>
        </w:tabs>
        <w:rPr>
          <w:i w:val="0"/>
          <w:iCs w:val="0"/>
        </w:rPr>
      </w:pPr>
      <w:r>
        <w:rPr>
          <w:rFonts w:hint="eastAsia" w:ascii="仿宋" w:hAnsi="仿宋" w:eastAsia="仿宋" w:cs="仿宋"/>
          <w:i w:val="0"/>
          <w:iCs w:val="0"/>
          <w:szCs w:val="24"/>
        </w:rPr>
        <w:fldChar w:fldCharType="begin"/>
      </w:r>
      <w:r>
        <w:rPr>
          <w:rFonts w:hint="eastAsia" w:ascii="仿宋" w:hAnsi="仿宋" w:eastAsia="仿宋" w:cs="仿宋"/>
          <w:i w:val="0"/>
          <w:iCs w:val="0"/>
          <w:szCs w:val="24"/>
        </w:rPr>
        <w:instrText xml:space="preserve"> HYPERLINK \l _Toc23151 </w:instrText>
      </w:r>
      <w:r>
        <w:rPr>
          <w:rFonts w:hint="eastAsia" w:ascii="仿宋" w:hAnsi="仿宋" w:eastAsia="仿宋" w:cs="仿宋"/>
          <w:i w:val="0"/>
          <w:iCs w:val="0"/>
          <w:szCs w:val="24"/>
        </w:rPr>
        <w:fldChar w:fldCharType="separate"/>
      </w:r>
      <w:r>
        <w:rPr>
          <w:rFonts w:hint="eastAsia" w:ascii="仿宋" w:hAnsi="仿宋" w:eastAsia="仿宋" w:cs="仿宋"/>
          <w:i w:val="0"/>
          <w:iCs w:val="0"/>
          <w:szCs w:val="24"/>
        </w:rPr>
        <w:t>34．接受和拒绝任何或所有谈判的权力</w:t>
      </w:r>
      <w:r>
        <w:rPr>
          <w:i w:val="0"/>
          <w:iCs w:val="0"/>
        </w:rPr>
        <w:tab/>
      </w:r>
      <w:r>
        <w:rPr>
          <w:i w:val="0"/>
          <w:iCs w:val="0"/>
        </w:rPr>
        <w:fldChar w:fldCharType="begin"/>
      </w:r>
      <w:r>
        <w:rPr>
          <w:i w:val="0"/>
          <w:iCs w:val="0"/>
        </w:rPr>
        <w:instrText xml:space="preserve"> PAGEREF _Toc23151 \h </w:instrText>
      </w:r>
      <w:r>
        <w:rPr>
          <w:i w:val="0"/>
          <w:iCs w:val="0"/>
        </w:rPr>
        <w:fldChar w:fldCharType="separate"/>
      </w:r>
      <w:r>
        <w:rPr>
          <w:i w:val="0"/>
          <w:iCs w:val="0"/>
        </w:rPr>
        <w:t>25</w:t>
      </w:r>
      <w:r>
        <w:rPr>
          <w:i w:val="0"/>
          <w:iCs w:val="0"/>
        </w:rPr>
        <w:fldChar w:fldCharType="end"/>
      </w:r>
      <w:r>
        <w:rPr>
          <w:rFonts w:hint="eastAsia" w:ascii="仿宋" w:hAnsi="仿宋" w:eastAsia="仿宋" w:cs="仿宋"/>
          <w:i w:val="0"/>
          <w:iCs w:val="0"/>
          <w:szCs w:val="24"/>
        </w:rPr>
        <w:fldChar w:fldCharType="end"/>
      </w:r>
    </w:p>
    <w:p w14:paraId="53AE1A10">
      <w:pPr>
        <w:pStyle w:val="23"/>
        <w:tabs>
          <w:tab w:val="right" w:leader="dot" w:pos="8585"/>
        </w:tabs>
        <w:rPr>
          <w:i w:val="0"/>
          <w:iCs w:val="0"/>
        </w:rPr>
      </w:pPr>
      <w:r>
        <w:rPr>
          <w:rFonts w:hint="eastAsia" w:ascii="仿宋" w:hAnsi="仿宋" w:eastAsia="仿宋" w:cs="仿宋"/>
          <w:i w:val="0"/>
          <w:iCs w:val="0"/>
          <w:szCs w:val="24"/>
        </w:rPr>
        <w:fldChar w:fldCharType="begin"/>
      </w:r>
      <w:r>
        <w:rPr>
          <w:rFonts w:hint="eastAsia" w:ascii="仿宋" w:hAnsi="仿宋" w:eastAsia="仿宋" w:cs="仿宋"/>
          <w:i w:val="0"/>
          <w:iCs w:val="0"/>
          <w:szCs w:val="24"/>
        </w:rPr>
        <w:instrText xml:space="preserve"> HYPERLINK \l _Toc25142 </w:instrText>
      </w:r>
      <w:r>
        <w:rPr>
          <w:rFonts w:hint="eastAsia" w:ascii="仿宋" w:hAnsi="仿宋" w:eastAsia="仿宋" w:cs="仿宋"/>
          <w:i w:val="0"/>
          <w:iCs w:val="0"/>
          <w:szCs w:val="24"/>
        </w:rPr>
        <w:fldChar w:fldCharType="separate"/>
      </w:r>
      <w:r>
        <w:rPr>
          <w:rFonts w:hint="eastAsia" w:ascii="仿宋" w:hAnsi="仿宋" w:eastAsia="仿宋" w:cs="仿宋"/>
          <w:i w:val="0"/>
          <w:iCs w:val="0"/>
          <w:szCs w:val="24"/>
        </w:rPr>
        <w:t>3</w:t>
      </w:r>
      <w:r>
        <w:rPr>
          <w:rFonts w:hint="eastAsia" w:ascii="仿宋" w:hAnsi="仿宋" w:eastAsia="仿宋" w:cs="仿宋"/>
          <w:i w:val="0"/>
          <w:iCs w:val="0"/>
          <w:szCs w:val="24"/>
          <w:lang w:val="en-US" w:eastAsia="zh-CN"/>
        </w:rPr>
        <w:t>5</w:t>
      </w:r>
      <w:r>
        <w:rPr>
          <w:rFonts w:hint="eastAsia" w:ascii="仿宋" w:hAnsi="仿宋" w:eastAsia="仿宋" w:cs="仿宋"/>
          <w:i w:val="0"/>
          <w:iCs w:val="0"/>
          <w:szCs w:val="24"/>
        </w:rPr>
        <w:t>．腐败和欺诈行为</w:t>
      </w:r>
      <w:r>
        <w:rPr>
          <w:i w:val="0"/>
          <w:iCs w:val="0"/>
        </w:rPr>
        <w:tab/>
      </w:r>
      <w:r>
        <w:rPr>
          <w:i w:val="0"/>
          <w:iCs w:val="0"/>
        </w:rPr>
        <w:fldChar w:fldCharType="begin"/>
      </w:r>
      <w:r>
        <w:rPr>
          <w:i w:val="0"/>
          <w:iCs w:val="0"/>
        </w:rPr>
        <w:instrText xml:space="preserve"> PAGEREF _Toc25142 \h </w:instrText>
      </w:r>
      <w:r>
        <w:rPr>
          <w:i w:val="0"/>
          <w:iCs w:val="0"/>
        </w:rPr>
        <w:fldChar w:fldCharType="separate"/>
      </w:r>
      <w:r>
        <w:rPr>
          <w:i w:val="0"/>
          <w:iCs w:val="0"/>
        </w:rPr>
        <w:t>25</w:t>
      </w:r>
      <w:r>
        <w:rPr>
          <w:i w:val="0"/>
          <w:iCs w:val="0"/>
        </w:rPr>
        <w:fldChar w:fldCharType="end"/>
      </w:r>
      <w:r>
        <w:rPr>
          <w:rFonts w:hint="eastAsia" w:ascii="仿宋" w:hAnsi="仿宋" w:eastAsia="仿宋" w:cs="仿宋"/>
          <w:i w:val="0"/>
          <w:iCs w:val="0"/>
          <w:szCs w:val="24"/>
        </w:rPr>
        <w:fldChar w:fldCharType="end"/>
      </w:r>
    </w:p>
    <w:p w14:paraId="709F4D58">
      <w:pPr>
        <w:pStyle w:val="23"/>
        <w:tabs>
          <w:tab w:val="right" w:leader="dot" w:pos="8585"/>
        </w:tabs>
        <w:rPr>
          <w:i w:val="0"/>
          <w:iCs w:val="0"/>
        </w:rPr>
      </w:pPr>
      <w:r>
        <w:rPr>
          <w:rFonts w:hint="eastAsia" w:ascii="仿宋" w:hAnsi="仿宋" w:eastAsia="仿宋" w:cs="仿宋"/>
          <w:i w:val="0"/>
          <w:iCs w:val="0"/>
          <w:szCs w:val="24"/>
        </w:rPr>
        <w:fldChar w:fldCharType="begin"/>
      </w:r>
      <w:r>
        <w:rPr>
          <w:rFonts w:hint="eastAsia" w:ascii="仿宋" w:hAnsi="仿宋" w:eastAsia="仿宋" w:cs="仿宋"/>
          <w:i w:val="0"/>
          <w:iCs w:val="0"/>
          <w:szCs w:val="24"/>
        </w:rPr>
        <w:instrText xml:space="preserve"> HYPERLINK \l _Toc12700 </w:instrText>
      </w:r>
      <w:r>
        <w:rPr>
          <w:rFonts w:hint="eastAsia" w:ascii="仿宋" w:hAnsi="仿宋" w:eastAsia="仿宋" w:cs="仿宋"/>
          <w:i w:val="0"/>
          <w:iCs w:val="0"/>
          <w:szCs w:val="24"/>
        </w:rPr>
        <w:fldChar w:fldCharType="separate"/>
      </w:r>
      <w:r>
        <w:rPr>
          <w:rFonts w:hint="eastAsia" w:ascii="仿宋" w:hAnsi="仿宋" w:eastAsia="仿宋" w:cs="仿宋"/>
          <w:i w:val="0"/>
          <w:iCs w:val="0"/>
          <w:szCs w:val="24"/>
        </w:rPr>
        <w:t>3</w:t>
      </w:r>
      <w:r>
        <w:rPr>
          <w:rFonts w:hint="eastAsia" w:ascii="仿宋" w:hAnsi="仿宋" w:eastAsia="仿宋" w:cs="仿宋"/>
          <w:i w:val="0"/>
          <w:iCs w:val="0"/>
          <w:szCs w:val="24"/>
          <w:lang w:val="en-US" w:eastAsia="zh-CN"/>
        </w:rPr>
        <w:t>6</w:t>
      </w:r>
      <w:r>
        <w:rPr>
          <w:rFonts w:hint="eastAsia" w:ascii="仿宋" w:hAnsi="仿宋" w:eastAsia="仿宋" w:cs="仿宋"/>
          <w:i w:val="0"/>
          <w:iCs w:val="0"/>
          <w:szCs w:val="24"/>
        </w:rPr>
        <w:t>．招标代理服务费</w:t>
      </w:r>
      <w:r>
        <w:rPr>
          <w:i w:val="0"/>
          <w:iCs w:val="0"/>
        </w:rPr>
        <w:tab/>
      </w:r>
      <w:r>
        <w:rPr>
          <w:i w:val="0"/>
          <w:iCs w:val="0"/>
        </w:rPr>
        <w:fldChar w:fldCharType="begin"/>
      </w:r>
      <w:r>
        <w:rPr>
          <w:i w:val="0"/>
          <w:iCs w:val="0"/>
        </w:rPr>
        <w:instrText xml:space="preserve"> PAGEREF _Toc12700 \h </w:instrText>
      </w:r>
      <w:r>
        <w:rPr>
          <w:i w:val="0"/>
          <w:iCs w:val="0"/>
        </w:rPr>
        <w:fldChar w:fldCharType="separate"/>
      </w:r>
      <w:r>
        <w:rPr>
          <w:i w:val="0"/>
          <w:iCs w:val="0"/>
        </w:rPr>
        <w:t>26</w:t>
      </w:r>
      <w:r>
        <w:rPr>
          <w:i w:val="0"/>
          <w:iCs w:val="0"/>
        </w:rPr>
        <w:fldChar w:fldCharType="end"/>
      </w:r>
      <w:r>
        <w:rPr>
          <w:rFonts w:hint="eastAsia" w:ascii="仿宋" w:hAnsi="仿宋" w:eastAsia="仿宋" w:cs="仿宋"/>
          <w:i w:val="0"/>
          <w:iCs w:val="0"/>
          <w:szCs w:val="24"/>
        </w:rPr>
        <w:fldChar w:fldCharType="end"/>
      </w:r>
    </w:p>
    <w:p w14:paraId="202494B1">
      <w:pPr>
        <w:pStyle w:val="31"/>
        <w:tabs>
          <w:tab w:val="right" w:leader="dot" w:pos="8585"/>
        </w:tabs>
        <w:rPr>
          <w:i w:val="0"/>
          <w:iCs w:val="0"/>
        </w:rPr>
      </w:pPr>
      <w:r>
        <w:rPr>
          <w:rFonts w:hint="eastAsia" w:ascii="仿宋" w:hAnsi="仿宋" w:eastAsia="仿宋" w:cs="仿宋"/>
          <w:i w:val="0"/>
          <w:iCs w:val="0"/>
          <w:szCs w:val="24"/>
        </w:rPr>
        <w:fldChar w:fldCharType="begin"/>
      </w:r>
      <w:r>
        <w:rPr>
          <w:rFonts w:hint="eastAsia" w:ascii="仿宋" w:hAnsi="仿宋" w:eastAsia="仿宋" w:cs="仿宋"/>
          <w:i w:val="0"/>
          <w:iCs w:val="0"/>
          <w:szCs w:val="24"/>
        </w:rPr>
        <w:instrText xml:space="preserve"> HYPERLINK \l _Toc7777 </w:instrText>
      </w:r>
      <w:r>
        <w:rPr>
          <w:rFonts w:hint="eastAsia" w:ascii="仿宋" w:hAnsi="仿宋" w:eastAsia="仿宋" w:cs="仿宋"/>
          <w:i w:val="0"/>
          <w:iCs w:val="0"/>
          <w:szCs w:val="24"/>
        </w:rPr>
        <w:fldChar w:fldCharType="separate"/>
      </w:r>
      <w:r>
        <w:rPr>
          <w:rFonts w:hint="eastAsia" w:ascii="仿宋" w:hAnsi="仿宋" w:eastAsia="仿宋" w:cs="仿宋"/>
          <w:i w:val="0"/>
          <w:iCs w:val="0"/>
          <w:szCs w:val="32"/>
        </w:rPr>
        <w:t>第四部分  合同格式及主要条款</w:t>
      </w:r>
      <w:r>
        <w:rPr>
          <w:i w:val="0"/>
          <w:iCs w:val="0"/>
        </w:rPr>
        <w:tab/>
      </w:r>
      <w:r>
        <w:rPr>
          <w:i w:val="0"/>
          <w:iCs w:val="0"/>
        </w:rPr>
        <w:fldChar w:fldCharType="begin"/>
      </w:r>
      <w:r>
        <w:rPr>
          <w:i w:val="0"/>
          <w:iCs w:val="0"/>
        </w:rPr>
        <w:instrText xml:space="preserve"> PAGEREF _Toc7777 \h </w:instrText>
      </w:r>
      <w:r>
        <w:rPr>
          <w:i w:val="0"/>
          <w:iCs w:val="0"/>
        </w:rPr>
        <w:fldChar w:fldCharType="separate"/>
      </w:r>
      <w:r>
        <w:rPr>
          <w:i w:val="0"/>
          <w:iCs w:val="0"/>
        </w:rPr>
        <w:t>27</w:t>
      </w:r>
      <w:r>
        <w:rPr>
          <w:i w:val="0"/>
          <w:iCs w:val="0"/>
        </w:rPr>
        <w:fldChar w:fldCharType="end"/>
      </w:r>
      <w:r>
        <w:rPr>
          <w:rFonts w:hint="eastAsia" w:ascii="仿宋" w:hAnsi="仿宋" w:eastAsia="仿宋" w:cs="仿宋"/>
          <w:i w:val="0"/>
          <w:iCs w:val="0"/>
          <w:szCs w:val="24"/>
        </w:rPr>
        <w:fldChar w:fldCharType="end"/>
      </w:r>
    </w:p>
    <w:p w14:paraId="74876DA6">
      <w:pPr>
        <w:pStyle w:val="31"/>
        <w:tabs>
          <w:tab w:val="right" w:leader="dot" w:pos="8585"/>
        </w:tabs>
        <w:rPr>
          <w:i w:val="0"/>
          <w:iCs w:val="0"/>
        </w:rPr>
      </w:pPr>
      <w:r>
        <w:rPr>
          <w:rFonts w:hint="eastAsia" w:ascii="仿宋" w:hAnsi="仿宋" w:eastAsia="仿宋" w:cs="仿宋"/>
          <w:i w:val="0"/>
          <w:iCs w:val="0"/>
          <w:szCs w:val="24"/>
        </w:rPr>
        <w:fldChar w:fldCharType="begin"/>
      </w:r>
      <w:r>
        <w:rPr>
          <w:rFonts w:hint="eastAsia" w:ascii="仿宋" w:hAnsi="仿宋" w:eastAsia="仿宋" w:cs="仿宋"/>
          <w:i w:val="0"/>
          <w:iCs w:val="0"/>
          <w:szCs w:val="24"/>
        </w:rPr>
        <w:instrText xml:space="preserve"> HYPERLINK \l _Toc11186 </w:instrText>
      </w:r>
      <w:r>
        <w:rPr>
          <w:rFonts w:hint="eastAsia" w:ascii="仿宋" w:hAnsi="仿宋" w:eastAsia="仿宋" w:cs="仿宋"/>
          <w:i w:val="0"/>
          <w:iCs w:val="0"/>
          <w:szCs w:val="24"/>
        </w:rPr>
        <w:fldChar w:fldCharType="separate"/>
      </w:r>
      <w:r>
        <w:rPr>
          <w:rFonts w:hint="eastAsia" w:ascii="仿宋" w:hAnsi="仿宋" w:eastAsia="仿宋" w:cs="仿宋"/>
          <w:i w:val="0"/>
          <w:iCs w:val="0"/>
          <w:szCs w:val="32"/>
        </w:rPr>
        <w:t>第五部分  附件--谈判响应文件格式</w:t>
      </w:r>
      <w:r>
        <w:rPr>
          <w:i w:val="0"/>
          <w:iCs w:val="0"/>
        </w:rPr>
        <w:tab/>
      </w:r>
      <w:r>
        <w:rPr>
          <w:i w:val="0"/>
          <w:iCs w:val="0"/>
        </w:rPr>
        <w:fldChar w:fldCharType="begin"/>
      </w:r>
      <w:r>
        <w:rPr>
          <w:i w:val="0"/>
          <w:iCs w:val="0"/>
        </w:rPr>
        <w:instrText xml:space="preserve"> PAGEREF _Toc11186 \h </w:instrText>
      </w:r>
      <w:r>
        <w:rPr>
          <w:i w:val="0"/>
          <w:iCs w:val="0"/>
        </w:rPr>
        <w:fldChar w:fldCharType="separate"/>
      </w:r>
      <w:r>
        <w:rPr>
          <w:i w:val="0"/>
          <w:iCs w:val="0"/>
        </w:rPr>
        <w:t>32</w:t>
      </w:r>
      <w:r>
        <w:rPr>
          <w:i w:val="0"/>
          <w:iCs w:val="0"/>
        </w:rPr>
        <w:fldChar w:fldCharType="end"/>
      </w:r>
      <w:r>
        <w:rPr>
          <w:rFonts w:hint="eastAsia" w:ascii="仿宋" w:hAnsi="仿宋" w:eastAsia="仿宋" w:cs="仿宋"/>
          <w:i w:val="0"/>
          <w:iCs w:val="0"/>
          <w:szCs w:val="24"/>
        </w:rPr>
        <w:fldChar w:fldCharType="end"/>
      </w:r>
    </w:p>
    <w:p w14:paraId="2F31C8B9">
      <w:pPr>
        <w:pStyle w:val="36"/>
        <w:tabs>
          <w:tab w:val="right" w:leader="dot" w:pos="8585"/>
        </w:tabs>
        <w:rPr>
          <w:i w:val="0"/>
          <w:iCs w:val="0"/>
        </w:rPr>
      </w:pPr>
      <w:r>
        <w:rPr>
          <w:rFonts w:hint="eastAsia" w:ascii="仿宋" w:hAnsi="仿宋" w:eastAsia="仿宋" w:cs="仿宋"/>
          <w:i w:val="0"/>
          <w:iCs w:val="0"/>
          <w:szCs w:val="24"/>
        </w:rPr>
        <w:fldChar w:fldCharType="begin"/>
      </w:r>
      <w:r>
        <w:rPr>
          <w:rFonts w:hint="eastAsia" w:ascii="仿宋" w:hAnsi="仿宋" w:eastAsia="仿宋" w:cs="仿宋"/>
          <w:i w:val="0"/>
          <w:iCs w:val="0"/>
          <w:szCs w:val="24"/>
        </w:rPr>
        <w:instrText xml:space="preserve"> HYPERLINK \l _Toc11602 </w:instrText>
      </w:r>
      <w:r>
        <w:rPr>
          <w:rFonts w:hint="eastAsia" w:ascii="仿宋" w:hAnsi="仿宋" w:eastAsia="仿宋" w:cs="仿宋"/>
          <w:i w:val="0"/>
          <w:iCs w:val="0"/>
          <w:szCs w:val="24"/>
        </w:rPr>
        <w:fldChar w:fldCharType="separate"/>
      </w:r>
      <w:r>
        <w:rPr>
          <w:rFonts w:hint="eastAsia" w:ascii="仿宋" w:hAnsi="仿宋" w:eastAsia="仿宋" w:cs="仿宋"/>
          <w:i w:val="0"/>
          <w:iCs w:val="0"/>
          <w:szCs w:val="28"/>
        </w:rPr>
        <w:t>附件1 谈判函</w:t>
      </w:r>
      <w:r>
        <w:rPr>
          <w:i w:val="0"/>
          <w:iCs w:val="0"/>
        </w:rPr>
        <w:tab/>
      </w:r>
      <w:r>
        <w:rPr>
          <w:i w:val="0"/>
          <w:iCs w:val="0"/>
        </w:rPr>
        <w:fldChar w:fldCharType="begin"/>
      </w:r>
      <w:r>
        <w:rPr>
          <w:i w:val="0"/>
          <w:iCs w:val="0"/>
        </w:rPr>
        <w:instrText xml:space="preserve"> PAGEREF _Toc11602 \h </w:instrText>
      </w:r>
      <w:r>
        <w:rPr>
          <w:i w:val="0"/>
          <w:iCs w:val="0"/>
        </w:rPr>
        <w:fldChar w:fldCharType="separate"/>
      </w:r>
      <w:r>
        <w:rPr>
          <w:i w:val="0"/>
          <w:iCs w:val="0"/>
        </w:rPr>
        <w:t>34</w:t>
      </w:r>
      <w:r>
        <w:rPr>
          <w:i w:val="0"/>
          <w:iCs w:val="0"/>
        </w:rPr>
        <w:fldChar w:fldCharType="end"/>
      </w:r>
      <w:r>
        <w:rPr>
          <w:rFonts w:hint="eastAsia" w:ascii="仿宋" w:hAnsi="仿宋" w:eastAsia="仿宋" w:cs="仿宋"/>
          <w:i w:val="0"/>
          <w:iCs w:val="0"/>
          <w:szCs w:val="24"/>
        </w:rPr>
        <w:fldChar w:fldCharType="end"/>
      </w:r>
    </w:p>
    <w:p w14:paraId="5CF660B3">
      <w:pPr>
        <w:pStyle w:val="36"/>
        <w:tabs>
          <w:tab w:val="right" w:leader="dot" w:pos="8585"/>
        </w:tabs>
        <w:rPr>
          <w:i w:val="0"/>
          <w:iCs w:val="0"/>
        </w:rPr>
      </w:pPr>
      <w:r>
        <w:rPr>
          <w:rFonts w:hint="eastAsia" w:ascii="仿宋" w:hAnsi="仿宋" w:eastAsia="仿宋" w:cs="仿宋"/>
          <w:i w:val="0"/>
          <w:iCs w:val="0"/>
          <w:szCs w:val="24"/>
        </w:rPr>
        <w:fldChar w:fldCharType="begin"/>
      </w:r>
      <w:r>
        <w:rPr>
          <w:rFonts w:hint="eastAsia" w:ascii="仿宋" w:hAnsi="仿宋" w:eastAsia="仿宋" w:cs="仿宋"/>
          <w:i w:val="0"/>
          <w:iCs w:val="0"/>
          <w:szCs w:val="24"/>
        </w:rPr>
        <w:instrText xml:space="preserve"> HYPERLINK \l _Toc32356 </w:instrText>
      </w:r>
      <w:r>
        <w:rPr>
          <w:rFonts w:hint="eastAsia" w:ascii="仿宋" w:hAnsi="仿宋" w:eastAsia="仿宋" w:cs="仿宋"/>
          <w:i w:val="0"/>
          <w:iCs w:val="0"/>
          <w:szCs w:val="24"/>
        </w:rPr>
        <w:fldChar w:fldCharType="separate"/>
      </w:r>
      <w:r>
        <w:rPr>
          <w:rFonts w:hint="eastAsia" w:ascii="仿宋" w:hAnsi="仿宋" w:eastAsia="仿宋" w:cs="仿宋"/>
          <w:i w:val="0"/>
          <w:iCs w:val="0"/>
          <w:szCs w:val="28"/>
        </w:rPr>
        <w:t>附件2 谈判报价表</w:t>
      </w:r>
      <w:r>
        <w:rPr>
          <w:i w:val="0"/>
          <w:iCs w:val="0"/>
        </w:rPr>
        <w:tab/>
      </w:r>
      <w:r>
        <w:rPr>
          <w:i w:val="0"/>
          <w:iCs w:val="0"/>
        </w:rPr>
        <w:fldChar w:fldCharType="begin"/>
      </w:r>
      <w:r>
        <w:rPr>
          <w:i w:val="0"/>
          <w:iCs w:val="0"/>
        </w:rPr>
        <w:instrText xml:space="preserve"> PAGEREF _Toc32356 \h </w:instrText>
      </w:r>
      <w:r>
        <w:rPr>
          <w:i w:val="0"/>
          <w:iCs w:val="0"/>
        </w:rPr>
        <w:fldChar w:fldCharType="separate"/>
      </w:r>
      <w:r>
        <w:rPr>
          <w:i w:val="0"/>
          <w:iCs w:val="0"/>
        </w:rPr>
        <w:t>35</w:t>
      </w:r>
      <w:r>
        <w:rPr>
          <w:i w:val="0"/>
          <w:iCs w:val="0"/>
        </w:rPr>
        <w:fldChar w:fldCharType="end"/>
      </w:r>
      <w:r>
        <w:rPr>
          <w:rFonts w:hint="eastAsia" w:ascii="仿宋" w:hAnsi="仿宋" w:eastAsia="仿宋" w:cs="仿宋"/>
          <w:i w:val="0"/>
          <w:iCs w:val="0"/>
          <w:szCs w:val="24"/>
        </w:rPr>
        <w:fldChar w:fldCharType="end"/>
      </w:r>
    </w:p>
    <w:p w14:paraId="4EC63A8D">
      <w:pPr>
        <w:pStyle w:val="36"/>
        <w:tabs>
          <w:tab w:val="right" w:leader="dot" w:pos="8585"/>
        </w:tabs>
        <w:rPr>
          <w:i w:val="0"/>
          <w:iCs w:val="0"/>
        </w:rPr>
      </w:pPr>
      <w:r>
        <w:rPr>
          <w:rFonts w:hint="eastAsia" w:ascii="仿宋" w:hAnsi="仿宋" w:eastAsia="仿宋" w:cs="仿宋"/>
          <w:i w:val="0"/>
          <w:iCs w:val="0"/>
          <w:szCs w:val="24"/>
        </w:rPr>
        <w:fldChar w:fldCharType="begin"/>
      </w:r>
      <w:r>
        <w:rPr>
          <w:rFonts w:hint="eastAsia" w:ascii="仿宋" w:hAnsi="仿宋" w:eastAsia="仿宋" w:cs="仿宋"/>
          <w:i w:val="0"/>
          <w:iCs w:val="0"/>
          <w:szCs w:val="24"/>
        </w:rPr>
        <w:instrText xml:space="preserve"> HYPERLINK \l _Toc20812 </w:instrText>
      </w:r>
      <w:r>
        <w:rPr>
          <w:rFonts w:hint="eastAsia" w:ascii="仿宋" w:hAnsi="仿宋" w:eastAsia="仿宋" w:cs="仿宋"/>
          <w:i w:val="0"/>
          <w:iCs w:val="0"/>
          <w:szCs w:val="24"/>
        </w:rPr>
        <w:fldChar w:fldCharType="separate"/>
      </w:r>
      <w:r>
        <w:rPr>
          <w:rFonts w:hint="eastAsia" w:ascii="仿宋" w:hAnsi="仿宋" w:eastAsia="仿宋" w:cs="仿宋"/>
          <w:i w:val="0"/>
          <w:iCs w:val="0"/>
          <w:szCs w:val="28"/>
        </w:rPr>
        <w:t>附件3 分项报价表</w:t>
      </w:r>
      <w:r>
        <w:rPr>
          <w:i w:val="0"/>
          <w:iCs w:val="0"/>
        </w:rPr>
        <w:tab/>
      </w:r>
      <w:r>
        <w:rPr>
          <w:i w:val="0"/>
          <w:iCs w:val="0"/>
        </w:rPr>
        <w:fldChar w:fldCharType="begin"/>
      </w:r>
      <w:r>
        <w:rPr>
          <w:i w:val="0"/>
          <w:iCs w:val="0"/>
        </w:rPr>
        <w:instrText xml:space="preserve"> PAGEREF _Toc20812 \h </w:instrText>
      </w:r>
      <w:r>
        <w:rPr>
          <w:i w:val="0"/>
          <w:iCs w:val="0"/>
        </w:rPr>
        <w:fldChar w:fldCharType="separate"/>
      </w:r>
      <w:r>
        <w:rPr>
          <w:i w:val="0"/>
          <w:iCs w:val="0"/>
        </w:rPr>
        <w:t>36</w:t>
      </w:r>
      <w:r>
        <w:rPr>
          <w:i w:val="0"/>
          <w:iCs w:val="0"/>
        </w:rPr>
        <w:fldChar w:fldCharType="end"/>
      </w:r>
      <w:r>
        <w:rPr>
          <w:rFonts w:hint="eastAsia" w:ascii="仿宋" w:hAnsi="仿宋" w:eastAsia="仿宋" w:cs="仿宋"/>
          <w:i w:val="0"/>
          <w:iCs w:val="0"/>
          <w:szCs w:val="24"/>
        </w:rPr>
        <w:fldChar w:fldCharType="end"/>
      </w:r>
    </w:p>
    <w:p w14:paraId="22DDC570">
      <w:pPr>
        <w:pStyle w:val="36"/>
        <w:tabs>
          <w:tab w:val="right" w:leader="dot" w:pos="8585"/>
        </w:tabs>
        <w:rPr>
          <w:i w:val="0"/>
          <w:iCs w:val="0"/>
        </w:rPr>
      </w:pPr>
      <w:r>
        <w:rPr>
          <w:rFonts w:hint="eastAsia" w:ascii="仿宋" w:hAnsi="仿宋" w:eastAsia="仿宋" w:cs="仿宋"/>
          <w:i w:val="0"/>
          <w:iCs w:val="0"/>
          <w:szCs w:val="24"/>
        </w:rPr>
        <w:fldChar w:fldCharType="begin"/>
      </w:r>
      <w:r>
        <w:rPr>
          <w:rFonts w:hint="eastAsia" w:ascii="仿宋" w:hAnsi="仿宋" w:eastAsia="仿宋" w:cs="仿宋"/>
          <w:i w:val="0"/>
          <w:iCs w:val="0"/>
          <w:szCs w:val="24"/>
        </w:rPr>
        <w:instrText xml:space="preserve"> HYPERLINK \l _Toc28271 </w:instrText>
      </w:r>
      <w:r>
        <w:rPr>
          <w:rFonts w:hint="eastAsia" w:ascii="仿宋" w:hAnsi="仿宋" w:eastAsia="仿宋" w:cs="仿宋"/>
          <w:i w:val="0"/>
          <w:iCs w:val="0"/>
          <w:szCs w:val="24"/>
        </w:rPr>
        <w:fldChar w:fldCharType="separate"/>
      </w:r>
      <w:r>
        <w:rPr>
          <w:rFonts w:hint="eastAsia" w:ascii="仿宋" w:hAnsi="仿宋" w:eastAsia="仿宋" w:cs="仿宋"/>
          <w:i w:val="0"/>
          <w:iCs w:val="0"/>
          <w:szCs w:val="28"/>
        </w:rPr>
        <w:t>附件4 规格、技术参数偏离表</w:t>
      </w:r>
      <w:r>
        <w:rPr>
          <w:i w:val="0"/>
          <w:iCs w:val="0"/>
        </w:rPr>
        <w:tab/>
      </w:r>
      <w:r>
        <w:rPr>
          <w:i w:val="0"/>
          <w:iCs w:val="0"/>
        </w:rPr>
        <w:fldChar w:fldCharType="begin"/>
      </w:r>
      <w:r>
        <w:rPr>
          <w:i w:val="0"/>
          <w:iCs w:val="0"/>
        </w:rPr>
        <w:instrText xml:space="preserve"> PAGEREF _Toc28271 \h </w:instrText>
      </w:r>
      <w:r>
        <w:rPr>
          <w:i w:val="0"/>
          <w:iCs w:val="0"/>
        </w:rPr>
        <w:fldChar w:fldCharType="separate"/>
      </w:r>
      <w:r>
        <w:rPr>
          <w:i w:val="0"/>
          <w:iCs w:val="0"/>
        </w:rPr>
        <w:t>37</w:t>
      </w:r>
      <w:r>
        <w:rPr>
          <w:i w:val="0"/>
          <w:iCs w:val="0"/>
        </w:rPr>
        <w:fldChar w:fldCharType="end"/>
      </w:r>
      <w:r>
        <w:rPr>
          <w:rFonts w:hint="eastAsia" w:ascii="仿宋" w:hAnsi="仿宋" w:eastAsia="仿宋" w:cs="仿宋"/>
          <w:i w:val="0"/>
          <w:iCs w:val="0"/>
          <w:szCs w:val="24"/>
        </w:rPr>
        <w:fldChar w:fldCharType="end"/>
      </w:r>
    </w:p>
    <w:p w14:paraId="5456541D">
      <w:pPr>
        <w:pStyle w:val="36"/>
        <w:tabs>
          <w:tab w:val="right" w:leader="dot" w:pos="8585"/>
        </w:tabs>
        <w:rPr>
          <w:i w:val="0"/>
          <w:iCs w:val="0"/>
        </w:rPr>
      </w:pPr>
      <w:r>
        <w:rPr>
          <w:rFonts w:hint="eastAsia" w:ascii="仿宋" w:hAnsi="仿宋" w:eastAsia="仿宋" w:cs="仿宋"/>
          <w:i w:val="0"/>
          <w:iCs w:val="0"/>
          <w:szCs w:val="24"/>
        </w:rPr>
        <w:fldChar w:fldCharType="begin"/>
      </w:r>
      <w:r>
        <w:rPr>
          <w:rFonts w:hint="eastAsia" w:ascii="仿宋" w:hAnsi="仿宋" w:eastAsia="仿宋" w:cs="仿宋"/>
          <w:i w:val="0"/>
          <w:iCs w:val="0"/>
          <w:szCs w:val="24"/>
        </w:rPr>
        <w:instrText xml:space="preserve"> HYPERLINK \l _Toc23781 </w:instrText>
      </w:r>
      <w:r>
        <w:rPr>
          <w:rFonts w:hint="eastAsia" w:ascii="仿宋" w:hAnsi="仿宋" w:eastAsia="仿宋" w:cs="仿宋"/>
          <w:i w:val="0"/>
          <w:iCs w:val="0"/>
          <w:szCs w:val="24"/>
        </w:rPr>
        <w:fldChar w:fldCharType="separate"/>
      </w:r>
      <w:r>
        <w:rPr>
          <w:rFonts w:hint="eastAsia" w:ascii="仿宋" w:hAnsi="仿宋" w:eastAsia="仿宋" w:cs="仿宋"/>
          <w:i w:val="0"/>
          <w:iCs w:val="0"/>
          <w:szCs w:val="28"/>
        </w:rPr>
        <w:t>附件5 供应商为本项目提供的资格证明文件</w:t>
      </w:r>
      <w:r>
        <w:rPr>
          <w:i w:val="0"/>
          <w:iCs w:val="0"/>
        </w:rPr>
        <w:tab/>
      </w:r>
      <w:r>
        <w:rPr>
          <w:i w:val="0"/>
          <w:iCs w:val="0"/>
        </w:rPr>
        <w:fldChar w:fldCharType="begin"/>
      </w:r>
      <w:r>
        <w:rPr>
          <w:i w:val="0"/>
          <w:iCs w:val="0"/>
        </w:rPr>
        <w:instrText xml:space="preserve"> PAGEREF _Toc23781 \h </w:instrText>
      </w:r>
      <w:r>
        <w:rPr>
          <w:i w:val="0"/>
          <w:iCs w:val="0"/>
        </w:rPr>
        <w:fldChar w:fldCharType="separate"/>
      </w:r>
      <w:r>
        <w:rPr>
          <w:i w:val="0"/>
          <w:iCs w:val="0"/>
        </w:rPr>
        <w:t>38</w:t>
      </w:r>
      <w:r>
        <w:rPr>
          <w:i w:val="0"/>
          <w:iCs w:val="0"/>
        </w:rPr>
        <w:fldChar w:fldCharType="end"/>
      </w:r>
      <w:r>
        <w:rPr>
          <w:rFonts w:hint="eastAsia" w:ascii="仿宋" w:hAnsi="仿宋" w:eastAsia="仿宋" w:cs="仿宋"/>
          <w:i w:val="0"/>
          <w:iCs w:val="0"/>
          <w:szCs w:val="24"/>
        </w:rPr>
        <w:fldChar w:fldCharType="end"/>
      </w:r>
    </w:p>
    <w:p w14:paraId="307E16FF">
      <w:pPr>
        <w:pStyle w:val="36"/>
        <w:tabs>
          <w:tab w:val="right" w:leader="dot" w:pos="8585"/>
        </w:tabs>
        <w:rPr>
          <w:i w:val="0"/>
          <w:iCs w:val="0"/>
        </w:rPr>
      </w:pPr>
      <w:r>
        <w:rPr>
          <w:rFonts w:hint="eastAsia" w:ascii="仿宋" w:hAnsi="仿宋" w:eastAsia="仿宋" w:cs="仿宋"/>
          <w:i w:val="0"/>
          <w:iCs w:val="0"/>
          <w:szCs w:val="24"/>
        </w:rPr>
        <w:fldChar w:fldCharType="begin"/>
      </w:r>
      <w:r>
        <w:rPr>
          <w:rFonts w:hint="eastAsia" w:ascii="仿宋" w:hAnsi="仿宋" w:eastAsia="仿宋" w:cs="仿宋"/>
          <w:i w:val="0"/>
          <w:iCs w:val="0"/>
          <w:szCs w:val="24"/>
        </w:rPr>
        <w:instrText xml:space="preserve"> HYPERLINK \l _Toc27029 </w:instrText>
      </w:r>
      <w:r>
        <w:rPr>
          <w:rFonts w:hint="eastAsia" w:ascii="仿宋" w:hAnsi="仿宋" w:eastAsia="仿宋" w:cs="仿宋"/>
          <w:i w:val="0"/>
          <w:iCs w:val="0"/>
          <w:szCs w:val="24"/>
        </w:rPr>
        <w:fldChar w:fldCharType="separate"/>
      </w:r>
      <w:r>
        <w:rPr>
          <w:rFonts w:hint="eastAsia" w:ascii="仿宋" w:hAnsi="仿宋" w:eastAsia="仿宋" w:cs="仿宋"/>
          <w:i w:val="0"/>
          <w:iCs w:val="0"/>
          <w:szCs w:val="28"/>
        </w:rPr>
        <w:t>附件</w:t>
      </w:r>
      <w:r>
        <w:rPr>
          <w:rFonts w:hint="eastAsia" w:ascii="仿宋" w:hAnsi="仿宋" w:eastAsia="仿宋" w:cs="仿宋"/>
          <w:i w:val="0"/>
          <w:iCs w:val="0"/>
          <w:szCs w:val="28"/>
          <w:lang w:val="en-US" w:eastAsia="zh-CN"/>
        </w:rPr>
        <w:t>6</w:t>
      </w:r>
      <w:r>
        <w:rPr>
          <w:rFonts w:hint="eastAsia" w:ascii="仿宋" w:hAnsi="仿宋" w:eastAsia="仿宋" w:cs="仿宋"/>
          <w:i w:val="0"/>
          <w:iCs w:val="0"/>
          <w:szCs w:val="28"/>
        </w:rPr>
        <w:t xml:space="preserve"> 商务偏离表</w:t>
      </w:r>
      <w:r>
        <w:rPr>
          <w:i w:val="0"/>
          <w:iCs w:val="0"/>
        </w:rPr>
        <w:tab/>
      </w:r>
      <w:r>
        <w:rPr>
          <w:i w:val="0"/>
          <w:iCs w:val="0"/>
        </w:rPr>
        <w:fldChar w:fldCharType="begin"/>
      </w:r>
      <w:r>
        <w:rPr>
          <w:i w:val="0"/>
          <w:iCs w:val="0"/>
        </w:rPr>
        <w:instrText xml:space="preserve"> PAGEREF _Toc27029 \h </w:instrText>
      </w:r>
      <w:r>
        <w:rPr>
          <w:i w:val="0"/>
          <w:iCs w:val="0"/>
        </w:rPr>
        <w:fldChar w:fldCharType="separate"/>
      </w:r>
      <w:r>
        <w:rPr>
          <w:i w:val="0"/>
          <w:iCs w:val="0"/>
        </w:rPr>
        <w:t>48</w:t>
      </w:r>
      <w:r>
        <w:rPr>
          <w:i w:val="0"/>
          <w:iCs w:val="0"/>
        </w:rPr>
        <w:fldChar w:fldCharType="end"/>
      </w:r>
      <w:r>
        <w:rPr>
          <w:rFonts w:hint="eastAsia" w:ascii="仿宋" w:hAnsi="仿宋" w:eastAsia="仿宋" w:cs="仿宋"/>
          <w:i w:val="0"/>
          <w:iCs w:val="0"/>
          <w:szCs w:val="24"/>
        </w:rPr>
        <w:fldChar w:fldCharType="end"/>
      </w:r>
    </w:p>
    <w:p w14:paraId="0FBEC724">
      <w:pPr>
        <w:pStyle w:val="36"/>
        <w:tabs>
          <w:tab w:val="right" w:leader="dot" w:pos="8585"/>
        </w:tabs>
        <w:rPr>
          <w:i w:val="0"/>
          <w:iCs w:val="0"/>
        </w:rPr>
      </w:pPr>
      <w:r>
        <w:rPr>
          <w:rFonts w:hint="eastAsia" w:ascii="仿宋" w:hAnsi="仿宋" w:eastAsia="仿宋" w:cs="仿宋"/>
          <w:i w:val="0"/>
          <w:iCs w:val="0"/>
          <w:szCs w:val="24"/>
        </w:rPr>
        <w:fldChar w:fldCharType="begin"/>
      </w:r>
      <w:r>
        <w:rPr>
          <w:rFonts w:hint="eastAsia" w:ascii="仿宋" w:hAnsi="仿宋" w:eastAsia="仿宋" w:cs="仿宋"/>
          <w:i w:val="0"/>
          <w:iCs w:val="0"/>
          <w:szCs w:val="24"/>
        </w:rPr>
        <w:instrText xml:space="preserve"> HYPERLINK \l _Toc32313 </w:instrText>
      </w:r>
      <w:r>
        <w:rPr>
          <w:rFonts w:hint="eastAsia" w:ascii="仿宋" w:hAnsi="仿宋" w:eastAsia="仿宋" w:cs="仿宋"/>
          <w:i w:val="0"/>
          <w:iCs w:val="0"/>
          <w:szCs w:val="24"/>
        </w:rPr>
        <w:fldChar w:fldCharType="separate"/>
      </w:r>
      <w:r>
        <w:rPr>
          <w:rFonts w:hint="eastAsia" w:ascii="仿宋" w:hAnsi="仿宋" w:eastAsia="仿宋" w:cs="仿宋"/>
          <w:i w:val="0"/>
          <w:iCs w:val="0"/>
          <w:szCs w:val="24"/>
        </w:rPr>
        <w:t>附件</w:t>
      </w:r>
      <w:r>
        <w:rPr>
          <w:rFonts w:hint="eastAsia" w:ascii="仿宋" w:hAnsi="仿宋" w:eastAsia="仿宋" w:cs="仿宋"/>
          <w:i w:val="0"/>
          <w:iCs w:val="0"/>
          <w:szCs w:val="24"/>
          <w:lang w:val="en-US" w:eastAsia="zh-CN"/>
        </w:rPr>
        <w:t>7</w:t>
      </w:r>
      <w:r>
        <w:rPr>
          <w:rFonts w:hint="eastAsia" w:ascii="仿宋" w:hAnsi="仿宋" w:eastAsia="仿宋" w:cs="仿宋"/>
          <w:i w:val="0"/>
          <w:iCs w:val="0"/>
          <w:szCs w:val="24"/>
        </w:rPr>
        <w:t xml:space="preserve"> 技术方案</w:t>
      </w:r>
      <w:r>
        <w:rPr>
          <w:rFonts w:hint="eastAsia" w:ascii="仿宋" w:hAnsi="仿宋" w:eastAsia="仿宋" w:cs="仿宋"/>
          <w:i w:val="0"/>
          <w:iCs w:val="0"/>
          <w:szCs w:val="24"/>
          <w:lang w:val="en-US" w:eastAsia="zh-CN"/>
        </w:rPr>
        <w:t>及售后服务方案</w:t>
      </w:r>
      <w:r>
        <w:rPr>
          <w:i w:val="0"/>
          <w:iCs w:val="0"/>
        </w:rPr>
        <w:tab/>
      </w:r>
      <w:r>
        <w:rPr>
          <w:i w:val="0"/>
          <w:iCs w:val="0"/>
        </w:rPr>
        <w:fldChar w:fldCharType="begin"/>
      </w:r>
      <w:r>
        <w:rPr>
          <w:i w:val="0"/>
          <w:iCs w:val="0"/>
        </w:rPr>
        <w:instrText xml:space="preserve"> PAGEREF _Toc32313 \h </w:instrText>
      </w:r>
      <w:r>
        <w:rPr>
          <w:i w:val="0"/>
          <w:iCs w:val="0"/>
        </w:rPr>
        <w:fldChar w:fldCharType="separate"/>
      </w:r>
      <w:r>
        <w:rPr>
          <w:i w:val="0"/>
          <w:iCs w:val="0"/>
        </w:rPr>
        <w:t>49</w:t>
      </w:r>
      <w:r>
        <w:rPr>
          <w:i w:val="0"/>
          <w:iCs w:val="0"/>
        </w:rPr>
        <w:fldChar w:fldCharType="end"/>
      </w:r>
      <w:r>
        <w:rPr>
          <w:rFonts w:hint="eastAsia" w:ascii="仿宋" w:hAnsi="仿宋" w:eastAsia="仿宋" w:cs="仿宋"/>
          <w:i w:val="0"/>
          <w:iCs w:val="0"/>
          <w:szCs w:val="24"/>
        </w:rPr>
        <w:fldChar w:fldCharType="end"/>
      </w:r>
    </w:p>
    <w:p w14:paraId="40E835B4">
      <w:pPr>
        <w:pStyle w:val="36"/>
        <w:tabs>
          <w:tab w:val="right" w:leader="dot" w:pos="8585"/>
        </w:tabs>
        <w:rPr>
          <w:i w:val="0"/>
          <w:iCs w:val="0"/>
        </w:rPr>
      </w:pPr>
      <w:r>
        <w:rPr>
          <w:rFonts w:hint="eastAsia" w:ascii="仿宋" w:hAnsi="仿宋" w:eastAsia="仿宋" w:cs="仿宋"/>
          <w:i w:val="0"/>
          <w:iCs w:val="0"/>
          <w:szCs w:val="24"/>
        </w:rPr>
        <w:fldChar w:fldCharType="begin"/>
      </w:r>
      <w:r>
        <w:rPr>
          <w:rFonts w:hint="eastAsia" w:ascii="仿宋" w:hAnsi="仿宋" w:eastAsia="仿宋" w:cs="仿宋"/>
          <w:i w:val="0"/>
          <w:iCs w:val="0"/>
          <w:szCs w:val="24"/>
        </w:rPr>
        <w:instrText xml:space="preserve"> HYPERLINK \l _Toc1890 </w:instrText>
      </w:r>
      <w:r>
        <w:rPr>
          <w:rFonts w:hint="eastAsia" w:ascii="仿宋" w:hAnsi="仿宋" w:eastAsia="仿宋" w:cs="仿宋"/>
          <w:i w:val="0"/>
          <w:iCs w:val="0"/>
          <w:szCs w:val="24"/>
        </w:rPr>
        <w:fldChar w:fldCharType="separate"/>
      </w:r>
      <w:r>
        <w:rPr>
          <w:rFonts w:hint="eastAsia" w:ascii="仿宋" w:hAnsi="仿宋" w:eastAsia="仿宋" w:cs="仿宋"/>
          <w:bCs/>
          <w:i w:val="0"/>
          <w:iCs w:val="0"/>
          <w:highlight w:val="none"/>
        </w:rPr>
        <w:t>附件</w:t>
      </w:r>
      <w:r>
        <w:rPr>
          <w:rFonts w:hint="eastAsia" w:ascii="仿宋" w:hAnsi="仿宋" w:eastAsia="仿宋" w:cs="仿宋"/>
          <w:bCs/>
          <w:i w:val="0"/>
          <w:iCs w:val="0"/>
          <w:highlight w:val="none"/>
          <w:lang w:val="en-US" w:eastAsia="zh-CN"/>
        </w:rPr>
        <w:t xml:space="preserve">8 </w:t>
      </w:r>
      <w:r>
        <w:rPr>
          <w:rFonts w:hint="eastAsia" w:ascii="仿宋" w:hAnsi="仿宋" w:eastAsia="仿宋" w:cs="仿宋"/>
          <w:i w:val="0"/>
          <w:iCs w:val="0"/>
          <w:highlight w:val="none"/>
        </w:rPr>
        <w:t>拟投入本项目人员汇总表</w:t>
      </w:r>
      <w:r>
        <w:rPr>
          <w:i w:val="0"/>
          <w:iCs w:val="0"/>
        </w:rPr>
        <w:tab/>
      </w:r>
      <w:r>
        <w:rPr>
          <w:i w:val="0"/>
          <w:iCs w:val="0"/>
        </w:rPr>
        <w:fldChar w:fldCharType="begin"/>
      </w:r>
      <w:r>
        <w:rPr>
          <w:i w:val="0"/>
          <w:iCs w:val="0"/>
        </w:rPr>
        <w:instrText xml:space="preserve"> PAGEREF _Toc1890 \h </w:instrText>
      </w:r>
      <w:r>
        <w:rPr>
          <w:i w:val="0"/>
          <w:iCs w:val="0"/>
        </w:rPr>
        <w:fldChar w:fldCharType="separate"/>
      </w:r>
      <w:r>
        <w:rPr>
          <w:i w:val="0"/>
          <w:iCs w:val="0"/>
        </w:rPr>
        <w:t>50</w:t>
      </w:r>
      <w:r>
        <w:rPr>
          <w:i w:val="0"/>
          <w:iCs w:val="0"/>
        </w:rPr>
        <w:fldChar w:fldCharType="end"/>
      </w:r>
      <w:r>
        <w:rPr>
          <w:rFonts w:hint="eastAsia" w:ascii="仿宋" w:hAnsi="仿宋" w:eastAsia="仿宋" w:cs="仿宋"/>
          <w:i w:val="0"/>
          <w:iCs w:val="0"/>
          <w:szCs w:val="24"/>
        </w:rPr>
        <w:fldChar w:fldCharType="end"/>
      </w:r>
    </w:p>
    <w:p w14:paraId="79E3D778">
      <w:pPr>
        <w:pStyle w:val="36"/>
        <w:tabs>
          <w:tab w:val="right" w:leader="dot" w:pos="8585"/>
        </w:tabs>
        <w:rPr>
          <w:i w:val="0"/>
          <w:iCs w:val="0"/>
        </w:rPr>
      </w:pPr>
      <w:r>
        <w:rPr>
          <w:rFonts w:hint="eastAsia" w:ascii="仿宋" w:hAnsi="仿宋" w:eastAsia="仿宋" w:cs="仿宋"/>
          <w:i w:val="0"/>
          <w:iCs w:val="0"/>
          <w:szCs w:val="24"/>
        </w:rPr>
        <w:fldChar w:fldCharType="begin"/>
      </w:r>
      <w:r>
        <w:rPr>
          <w:rFonts w:hint="eastAsia" w:ascii="仿宋" w:hAnsi="仿宋" w:eastAsia="仿宋" w:cs="仿宋"/>
          <w:i w:val="0"/>
          <w:iCs w:val="0"/>
          <w:szCs w:val="24"/>
        </w:rPr>
        <w:instrText xml:space="preserve"> HYPERLINK \l _Toc28955 </w:instrText>
      </w:r>
      <w:r>
        <w:rPr>
          <w:rFonts w:hint="eastAsia" w:ascii="仿宋" w:hAnsi="仿宋" w:eastAsia="仿宋" w:cs="仿宋"/>
          <w:i w:val="0"/>
          <w:iCs w:val="0"/>
          <w:szCs w:val="24"/>
        </w:rPr>
        <w:fldChar w:fldCharType="separate"/>
      </w:r>
      <w:r>
        <w:rPr>
          <w:rFonts w:hint="eastAsia" w:ascii="仿宋" w:hAnsi="仿宋" w:eastAsia="仿宋" w:cs="仿宋"/>
          <w:bCs/>
          <w:i w:val="0"/>
          <w:iCs w:val="0"/>
          <w:szCs w:val="28"/>
        </w:rPr>
        <w:t>附件</w:t>
      </w:r>
      <w:r>
        <w:rPr>
          <w:rFonts w:hint="eastAsia" w:ascii="仿宋" w:hAnsi="仿宋" w:eastAsia="仿宋" w:cs="仿宋"/>
          <w:bCs/>
          <w:i w:val="0"/>
          <w:iCs w:val="0"/>
          <w:szCs w:val="28"/>
          <w:lang w:val="en-US" w:eastAsia="zh-CN"/>
        </w:rPr>
        <w:t>9</w:t>
      </w:r>
      <w:r>
        <w:rPr>
          <w:rFonts w:hint="eastAsia" w:ascii="仿宋" w:hAnsi="仿宋" w:eastAsia="仿宋" w:cs="仿宋"/>
          <w:bCs/>
          <w:i w:val="0"/>
          <w:iCs w:val="0"/>
          <w:szCs w:val="28"/>
        </w:rPr>
        <w:t xml:space="preserve"> 需落实的政府采购政策</w:t>
      </w:r>
      <w:r>
        <w:rPr>
          <w:i w:val="0"/>
          <w:iCs w:val="0"/>
        </w:rPr>
        <w:tab/>
      </w:r>
      <w:r>
        <w:rPr>
          <w:i w:val="0"/>
          <w:iCs w:val="0"/>
        </w:rPr>
        <w:fldChar w:fldCharType="begin"/>
      </w:r>
      <w:r>
        <w:rPr>
          <w:i w:val="0"/>
          <w:iCs w:val="0"/>
        </w:rPr>
        <w:instrText xml:space="preserve"> PAGEREF _Toc28955 \h </w:instrText>
      </w:r>
      <w:r>
        <w:rPr>
          <w:i w:val="0"/>
          <w:iCs w:val="0"/>
        </w:rPr>
        <w:fldChar w:fldCharType="separate"/>
      </w:r>
      <w:r>
        <w:rPr>
          <w:i w:val="0"/>
          <w:iCs w:val="0"/>
        </w:rPr>
        <w:t>51</w:t>
      </w:r>
      <w:r>
        <w:rPr>
          <w:i w:val="0"/>
          <w:iCs w:val="0"/>
        </w:rPr>
        <w:fldChar w:fldCharType="end"/>
      </w:r>
      <w:r>
        <w:rPr>
          <w:rFonts w:hint="eastAsia" w:ascii="仿宋" w:hAnsi="仿宋" w:eastAsia="仿宋" w:cs="仿宋"/>
          <w:i w:val="0"/>
          <w:iCs w:val="0"/>
          <w:szCs w:val="24"/>
        </w:rPr>
        <w:fldChar w:fldCharType="end"/>
      </w:r>
    </w:p>
    <w:p w14:paraId="313331F3">
      <w:pPr>
        <w:pStyle w:val="31"/>
        <w:tabs>
          <w:tab w:val="right" w:leader="dot" w:pos="8585"/>
        </w:tabs>
        <w:rPr>
          <w:i w:val="0"/>
          <w:iCs w:val="0"/>
        </w:rPr>
      </w:pPr>
      <w:r>
        <w:rPr>
          <w:rFonts w:hint="eastAsia" w:ascii="仿宋" w:hAnsi="仿宋" w:eastAsia="仿宋" w:cs="仿宋"/>
          <w:i w:val="0"/>
          <w:iCs w:val="0"/>
          <w:szCs w:val="24"/>
        </w:rPr>
        <w:fldChar w:fldCharType="begin"/>
      </w:r>
      <w:r>
        <w:rPr>
          <w:rFonts w:hint="eastAsia" w:ascii="仿宋" w:hAnsi="仿宋" w:eastAsia="仿宋" w:cs="仿宋"/>
          <w:i w:val="0"/>
          <w:iCs w:val="0"/>
          <w:szCs w:val="24"/>
        </w:rPr>
        <w:instrText xml:space="preserve"> HYPERLINK \l _Toc21762 </w:instrText>
      </w:r>
      <w:r>
        <w:rPr>
          <w:rFonts w:hint="eastAsia" w:ascii="仿宋" w:hAnsi="仿宋" w:eastAsia="仿宋" w:cs="仿宋"/>
          <w:i w:val="0"/>
          <w:iCs w:val="0"/>
          <w:szCs w:val="24"/>
        </w:rPr>
        <w:fldChar w:fldCharType="separate"/>
      </w:r>
      <w:r>
        <w:rPr>
          <w:rFonts w:hint="eastAsia" w:ascii="仿宋" w:hAnsi="仿宋" w:eastAsia="仿宋" w:cs="仿宋"/>
          <w:i w:val="0"/>
          <w:iCs w:val="0"/>
          <w:szCs w:val="32"/>
        </w:rPr>
        <w:t>第六部分 采购内容及要求</w:t>
      </w:r>
      <w:r>
        <w:rPr>
          <w:i w:val="0"/>
          <w:iCs w:val="0"/>
        </w:rPr>
        <w:tab/>
      </w:r>
      <w:r>
        <w:rPr>
          <w:i w:val="0"/>
          <w:iCs w:val="0"/>
        </w:rPr>
        <w:fldChar w:fldCharType="begin"/>
      </w:r>
      <w:r>
        <w:rPr>
          <w:i w:val="0"/>
          <w:iCs w:val="0"/>
        </w:rPr>
        <w:instrText xml:space="preserve"> PAGEREF _Toc21762 \h </w:instrText>
      </w:r>
      <w:r>
        <w:rPr>
          <w:i w:val="0"/>
          <w:iCs w:val="0"/>
        </w:rPr>
        <w:fldChar w:fldCharType="separate"/>
      </w:r>
      <w:r>
        <w:rPr>
          <w:i w:val="0"/>
          <w:iCs w:val="0"/>
        </w:rPr>
        <w:t>55</w:t>
      </w:r>
      <w:r>
        <w:rPr>
          <w:i w:val="0"/>
          <w:iCs w:val="0"/>
        </w:rPr>
        <w:fldChar w:fldCharType="end"/>
      </w:r>
      <w:r>
        <w:rPr>
          <w:rFonts w:hint="eastAsia" w:ascii="仿宋" w:hAnsi="仿宋" w:eastAsia="仿宋" w:cs="仿宋"/>
          <w:i w:val="0"/>
          <w:iCs w:val="0"/>
          <w:szCs w:val="24"/>
        </w:rPr>
        <w:fldChar w:fldCharType="end"/>
      </w:r>
    </w:p>
    <w:p w14:paraId="411DB614">
      <w:pPr>
        <w:pStyle w:val="31"/>
        <w:tabs>
          <w:tab w:val="right" w:leader="dot" w:pos="8585"/>
        </w:tabs>
        <w:rPr>
          <w:rFonts w:hint="eastAsia" w:ascii="仿宋" w:hAnsi="仿宋" w:eastAsia="仿宋" w:cs="仿宋"/>
          <w:sz w:val="24"/>
          <w:szCs w:val="24"/>
        </w:rPr>
      </w:pPr>
      <w:r>
        <w:rPr>
          <w:rFonts w:hint="eastAsia" w:ascii="仿宋" w:hAnsi="仿宋" w:eastAsia="仿宋" w:cs="仿宋"/>
          <w:i w:val="0"/>
          <w:iCs w:val="0"/>
          <w:szCs w:val="24"/>
        </w:rPr>
        <w:fldChar w:fldCharType="end"/>
      </w:r>
    </w:p>
    <w:p w14:paraId="31A18C6A">
      <w:pPr>
        <w:pStyle w:val="2"/>
        <w:adjustRightInd w:val="0"/>
        <w:snapToGrid w:val="0"/>
        <w:spacing w:before="0" w:after="0" w:line="360" w:lineRule="auto"/>
        <w:jc w:val="center"/>
        <w:rPr>
          <w:rFonts w:hint="eastAsia" w:ascii="仿宋" w:hAnsi="仿宋" w:eastAsia="仿宋" w:cs="仿宋"/>
          <w:b w:val="0"/>
          <w:sz w:val="24"/>
          <w:szCs w:val="24"/>
        </w:rPr>
      </w:pPr>
      <w:r>
        <w:rPr>
          <w:rFonts w:hint="eastAsia" w:ascii="仿宋" w:hAnsi="仿宋" w:eastAsia="仿宋" w:cs="仿宋"/>
          <w:sz w:val="24"/>
          <w:szCs w:val="24"/>
        </w:rPr>
        <w:br w:type="page"/>
      </w:r>
      <w:bookmarkStart w:id="10" w:name="_Toc29263"/>
      <w:r>
        <w:rPr>
          <w:rFonts w:hint="eastAsia" w:ascii="仿宋" w:hAnsi="仿宋" w:eastAsia="仿宋" w:cs="仿宋"/>
          <w:sz w:val="32"/>
          <w:szCs w:val="32"/>
        </w:rPr>
        <w:t>第一部分  竞争性谈判公告</w:t>
      </w:r>
      <w:bookmarkEnd w:id="2"/>
      <w:bookmarkEnd w:id="3"/>
      <w:bookmarkEnd w:id="4"/>
      <w:bookmarkEnd w:id="5"/>
      <w:bookmarkEnd w:id="10"/>
    </w:p>
    <w:p w14:paraId="7C9AD44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jc w:val="left"/>
        <w:rPr>
          <w:rFonts w:hint="eastAsia" w:ascii="仿宋" w:hAnsi="仿宋" w:eastAsia="仿宋" w:cs="仿宋"/>
          <w:b w:val="0"/>
          <w:bCs w:val="0"/>
          <w:color w:val="auto"/>
          <w:sz w:val="24"/>
          <w:szCs w:val="24"/>
        </w:rPr>
      </w:pPr>
      <w:bookmarkStart w:id="11" w:name="_Toc4630"/>
      <w:bookmarkStart w:id="12" w:name="_Toc16147"/>
      <w:r>
        <w:rPr>
          <w:rStyle w:val="50"/>
          <w:rFonts w:hint="eastAsia" w:ascii="仿宋" w:hAnsi="仿宋" w:eastAsia="仿宋" w:cs="仿宋"/>
          <w:b/>
          <w:bCs/>
          <w:i w:val="0"/>
          <w:iCs w:val="0"/>
          <w:caps w:val="0"/>
          <w:color w:val="auto"/>
          <w:spacing w:val="0"/>
          <w:sz w:val="24"/>
          <w:szCs w:val="24"/>
          <w:shd w:val="clear" w:fill="FFFFFF"/>
        </w:rPr>
        <w:t>项目概况</w:t>
      </w:r>
    </w:p>
    <w:p w14:paraId="1A3D13D4">
      <w:pPr>
        <w:pStyle w:val="41"/>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经颅磁刺激治疗仪、光子治疗仪等一批设备购置安装及售后服务项目采购项目的潜在供应商应在西安市莲湖区高新四路1号高科广场A座10楼1001室获取采购文件，并于 2025年12月11日 14时30分 （北京时间）前提交响应文件。</w:t>
      </w:r>
    </w:p>
    <w:p w14:paraId="370BB89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40" w:lineRule="auto"/>
        <w:ind w:left="0" w:right="0" w:firstLine="0"/>
        <w:jc w:val="left"/>
        <w:rPr>
          <w:rFonts w:hint="eastAsia" w:ascii="仿宋" w:hAnsi="仿宋" w:eastAsia="仿宋" w:cs="仿宋"/>
          <w:b w:val="0"/>
          <w:bCs w:val="0"/>
          <w:i w:val="0"/>
          <w:iCs w:val="0"/>
          <w:caps w:val="0"/>
          <w:color w:val="auto"/>
          <w:spacing w:val="0"/>
          <w:sz w:val="24"/>
          <w:szCs w:val="24"/>
        </w:rPr>
      </w:pPr>
      <w:r>
        <w:rPr>
          <w:rStyle w:val="50"/>
          <w:rFonts w:hint="eastAsia" w:ascii="仿宋" w:hAnsi="仿宋" w:eastAsia="仿宋" w:cs="仿宋"/>
          <w:b/>
          <w:bCs/>
          <w:i w:val="0"/>
          <w:iCs w:val="0"/>
          <w:caps w:val="0"/>
          <w:color w:val="auto"/>
          <w:spacing w:val="0"/>
          <w:sz w:val="24"/>
          <w:szCs w:val="24"/>
          <w:shd w:val="clear" w:fill="FFFFFF"/>
        </w:rPr>
        <w:t>一、项目基本情况</w:t>
      </w:r>
    </w:p>
    <w:p w14:paraId="50BEDFEF">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项目编号：SZT2025-SN-SC-ZC-HW-1245</w:t>
      </w:r>
    </w:p>
    <w:p w14:paraId="6F067000">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项目名称：经颅磁刺激治疗仪、光子治疗仪等一批设备购置安装及售后服务项目</w:t>
      </w:r>
    </w:p>
    <w:p w14:paraId="3761F9CE">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采购方式：竞争性谈判</w:t>
      </w:r>
    </w:p>
    <w:p w14:paraId="721D61F9">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预算金额：374,500.00元</w:t>
      </w:r>
    </w:p>
    <w:p w14:paraId="5839ECA9">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采购需求：</w:t>
      </w:r>
    </w:p>
    <w:p w14:paraId="1BD1B998">
      <w:pPr>
        <w:pStyle w:val="4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合同包1(光子治疗仪等设备购置):</w:t>
      </w:r>
    </w:p>
    <w:p w14:paraId="54E3BC34">
      <w:pPr>
        <w:pStyle w:val="4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合同包预算金额：191,500.00元</w:t>
      </w:r>
    </w:p>
    <w:p w14:paraId="10BF21C1">
      <w:pPr>
        <w:pStyle w:val="4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合同包最高限价：191,500.00元</w:t>
      </w:r>
    </w:p>
    <w:tbl>
      <w:tblPr>
        <w:tblStyle w:val="47"/>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15"/>
        <w:gridCol w:w="1311"/>
        <w:gridCol w:w="1643"/>
        <w:gridCol w:w="1389"/>
        <w:gridCol w:w="2056"/>
        <w:gridCol w:w="1611"/>
      </w:tblGrid>
      <w:tr w14:paraId="4D5BCA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A20971B">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13D247">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A1596B">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F42CB8">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27787C8">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32761C">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品目预算(元)</w:t>
            </w:r>
          </w:p>
        </w:tc>
      </w:tr>
      <w:tr w14:paraId="2E45EB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6D557C">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47544A">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其他医疗设备</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286B7B1">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心胸外科医疗设备</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26B0A02">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1A8061">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13A4550">
            <w:pPr>
              <w:keepNext w:val="0"/>
              <w:keepLines w:val="0"/>
              <w:widowControl/>
              <w:suppressLineNumbers w:val="0"/>
              <w:wordWrap/>
              <w:spacing w:before="0" w:beforeAutospacing="0" w:after="0" w:afterAutospacing="0" w:line="240" w:lineRule="auto"/>
              <w:ind w:left="0" w:right="0"/>
              <w:jc w:val="righ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191,500.00</w:t>
            </w:r>
          </w:p>
        </w:tc>
      </w:tr>
    </w:tbl>
    <w:p w14:paraId="1D0482E5">
      <w:pPr>
        <w:pStyle w:val="4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本合同包不接受联合体投标</w:t>
      </w:r>
    </w:p>
    <w:p w14:paraId="69190B47">
      <w:pPr>
        <w:pStyle w:val="4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合同履行期限：合同签订之日起，接甲方通知后 5 日内完成交付、安装及调试。</w:t>
      </w:r>
    </w:p>
    <w:p w14:paraId="2950A724">
      <w:pPr>
        <w:pStyle w:val="4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合同包2(经颅磁刺激治疗仪等设备购置):</w:t>
      </w:r>
    </w:p>
    <w:p w14:paraId="4223FB35">
      <w:pPr>
        <w:pStyle w:val="4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合同包预算金额：183,000.00元</w:t>
      </w:r>
    </w:p>
    <w:p w14:paraId="381F83E4">
      <w:pPr>
        <w:pStyle w:val="4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合同包最高限价：183,000.00元</w:t>
      </w:r>
    </w:p>
    <w:tbl>
      <w:tblPr>
        <w:tblStyle w:val="47"/>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15"/>
        <w:gridCol w:w="1311"/>
        <w:gridCol w:w="1643"/>
        <w:gridCol w:w="1389"/>
        <w:gridCol w:w="2056"/>
        <w:gridCol w:w="1611"/>
      </w:tblGrid>
      <w:tr w14:paraId="284468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48875E9">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A30E29">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7A2E33F">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7DCA4A">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4F7B0C8">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72E22B2">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品目预算(元)</w:t>
            </w:r>
          </w:p>
        </w:tc>
      </w:tr>
      <w:tr w14:paraId="2B7059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A38556B">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34E6BC">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其他医疗设备</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E4FF6C">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神经内科医疗设备</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6EE22E">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B78A68">
            <w:pPr>
              <w:keepNext w:val="0"/>
              <w:keepLines w:val="0"/>
              <w:widowControl/>
              <w:suppressLineNumbers w:val="0"/>
              <w:wordWrap w:val="0"/>
              <w:spacing w:before="0" w:beforeAutospacing="0" w:after="0" w:afterAutospacing="0" w:line="240" w:lineRule="auto"/>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8F86313">
            <w:pPr>
              <w:keepNext w:val="0"/>
              <w:keepLines w:val="0"/>
              <w:widowControl/>
              <w:suppressLineNumbers w:val="0"/>
              <w:wordWrap/>
              <w:spacing w:before="0" w:beforeAutospacing="0" w:after="0" w:afterAutospacing="0" w:line="240" w:lineRule="auto"/>
              <w:ind w:left="0" w:right="0"/>
              <w:jc w:val="righ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183,000.00</w:t>
            </w:r>
          </w:p>
        </w:tc>
      </w:tr>
    </w:tbl>
    <w:p w14:paraId="35385FCA">
      <w:pPr>
        <w:pStyle w:val="4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本合同包不接受联合体投标</w:t>
      </w:r>
    </w:p>
    <w:p w14:paraId="124A6201">
      <w:pPr>
        <w:pStyle w:val="4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3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合同履行期限：合同签订之日起，接甲方通知后 5 日内完成交付、安装及调试。</w:t>
      </w:r>
    </w:p>
    <w:p w14:paraId="39C3090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40" w:lineRule="auto"/>
        <w:ind w:left="0" w:right="0" w:firstLine="0"/>
        <w:jc w:val="left"/>
        <w:rPr>
          <w:rFonts w:hint="eastAsia" w:ascii="仿宋" w:hAnsi="仿宋" w:eastAsia="仿宋" w:cs="仿宋"/>
          <w:b w:val="0"/>
          <w:bCs w:val="0"/>
          <w:i w:val="0"/>
          <w:iCs w:val="0"/>
          <w:caps w:val="0"/>
          <w:color w:val="auto"/>
          <w:spacing w:val="0"/>
          <w:sz w:val="24"/>
          <w:szCs w:val="24"/>
        </w:rPr>
      </w:pPr>
      <w:r>
        <w:rPr>
          <w:rStyle w:val="50"/>
          <w:rFonts w:hint="eastAsia" w:ascii="仿宋" w:hAnsi="仿宋" w:eastAsia="仿宋" w:cs="仿宋"/>
          <w:b/>
          <w:bCs/>
          <w:i w:val="0"/>
          <w:iCs w:val="0"/>
          <w:caps w:val="0"/>
          <w:color w:val="auto"/>
          <w:spacing w:val="0"/>
          <w:sz w:val="24"/>
          <w:szCs w:val="24"/>
          <w:shd w:val="clear" w:fill="FFFFFF"/>
        </w:rPr>
        <w:t>二、申请人的资格要求：</w:t>
      </w:r>
    </w:p>
    <w:p w14:paraId="53F5A307">
      <w:pPr>
        <w:pStyle w:val="4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1.满足《中华人民共和国政府采购法》第二十二条规定;</w:t>
      </w:r>
    </w:p>
    <w:p w14:paraId="18BEFF27">
      <w:pPr>
        <w:pStyle w:val="4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2.落实政府采购政策需满足的资格要求： 无。</w:t>
      </w:r>
    </w:p>
    <w:p w14:paraId="09DC2F95">
      <w:pPr>
        <w:pStyle w:val="4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3.本项目的特定资格要求：</w:t>
      </w:r>
    </w:p>
    <w:p w14:paraId="052BA64E">
      <w:pPr>
        <w:pStyle w:val="4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合同包1(光子治疗仪等设备购置)特定资格要求如下:</w:t>
      </w:r>
    </w:p>
    <w:p w14:paraId="0DF59FDD">
      <w:pPr>
        <w:pStyle w:val="4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480" w:right="0" w:firstLine="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1、法定代表人直接参加谈判的，须提供法定代表人身份证，并与营业执照上信息一致。法定代表人授权代表参加谈判的，须提供法定代表人授权书；</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2、提供供应商医疗器械经营许可证或医疗器械经营备案证；</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3、所投产品属于医疗器械的提供生产厂家的医疗器械生产许可证或医疗器械生产备案证；</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4、所投产品属于医疗器械管理的提供医疗器械注册证或医疗器械备案凭证，如国家规定免注册产品提供相关证明文件；</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5、本项目不接受联合体谈判，单位负责人为同一人或者存在直接控股、管理关系的不同单位，不得参加同一项下的政府采购活动。对列入失信被执行人、政府采购严重违法失信行为记录名单的供应商，拒绝参与本项目政府采购活动。</w:t>
      </w:r>
    </w:p>
    <w:p w14:paraId="4592C3FA">
      <w:pPr>
        <w:pStyle w:val="4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合同包2(经颅磁刺激治疗仪等设备购置)特定资格要求如下:</w:t>
      </w:r>
    </w:p>
    <w:p w14:paraId="0EC3985D">
      <w:pPr>
        <w:pStyle w:val="4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480" w:right="0" w:firstLine="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同合同包1</w:t>
      </w:r>
    </w:p>
    <w:p w14:paraId="29606EE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40" w:lineRule="auto"/>
        <w:ind w:left="0" w:right="0" w:firstLine="0"/>
        <w:jc w:val="left"/>
        <w:rPr>
          <w:rFonts w:hint="eastAsia" w:ascii="仿宋" w:hAnsi="仿宋" w:eastAsia="仿宋" w:cs="仿宋"/>
          <w:b w:val="0"/>
          <w:bCs w:val="0"/>
          <w:i w:val="0"/>
          <w:iCs w:val="0"/>
          <w:caps w:val="0"/>
          <w:color w:val="auto"/>
          <w:spacing w:val="0"/>
          <w:sz w:val="24"/>
          <w:szCs w:val="24"/>
        </w:rPr>
      </w:pPr>
      <w:r>
        <w:rPr>
          <w:rStyle w:val="50"/>
          <w:rFonts w:hint="eastAsia" w:ascii="仿宋" w:hAnsi="仿宋" w:eastAsia="仿宋" w:cs="仿宋"/>
          <w:b/>
          <w:bCs/>
          <w:i w:val="0"/>
          <w:iCs w:val="0"/>
          <w:caps w:val="0"/>
          <w:color w:val="auto"/>
          <w:spacing w:val="0"/>
          <w:sz w:val="24"/>
          <w:szCs w:val="24"/>
          <w:shd w:val="clear" w:fill="FFFFFF"/>
        </w:rPr>
        <w:t>三、获取采购文件</w:t>
      </w:r>
    </w:p>
    <w:p w14:paraId="568CDAB6">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时间： 2025年12月05日 至 2025年12月09日 ，每天上午 08:30:00 至 12:00:00 ，下午 13:30:00 至 17:30:00 （北京时间）</w:t>
      </w:r>
    </w:p>
    <w:p w14:paraId="49955D24">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途径：西安市莲湖区高新四路1号高科广场A座10楼1001室</w:t>
      </w:r>
    </w:p>
    <w:p w14:paraId="42E62A0C">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方式：现场获取</w:t>
      </w:r>
    </w:p>
    <w:p w14:paraId="217140B2">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shd w:val="clear" w:fill="FFFFFF"/>
        </w:rPr>
        <w:t>售价</w:t>
      </w:r>
      <w:r>
        <w:rPr>
          <w:rFonts w:hint="eastAsia" w:ascii="仿宋" w:hAnsi="仿宋" w:eastAsia="仿宋" w:cs="仿宋"/>
          <w:i w:val="0"/>
          <w:iCs w:val="0"/>
          <w:caps w:val="0"/>
          <w:color w:val="auto"/>
          <w:spacing w:val="0"/>
          <w:sz w:val="24"/>
          <w:szCs w:val="24"/>
          <w:highlight w:val="none"/>
          <w:shd w:val="clear" w:fill="FFFFFF"/>
        </w:rPr>
        <w:t>： </w:t>
      </w:r>
      <w:r>
        <w:rPr>
          <w:rFonts w:hint="eastAsia" w:ascii="仿宋" w:hAnsi="仿宋" w:eastAsia="仿宋" w:cs="仿宋"/>
          <w:i w:val="0"/>
          <w:iCs w:val="0"/>
          <w:caps w:val="0"/>
          <w:color w:val="auto"/>
          <w:spacing w:val="0"/>
          <w:sz w:val="24"/>
          <w:szCs w:val="24"/>
          <w:highlight w:val="none"/>
          <w:shd w:val="clear" w:fill="FFFFFF"/>
          <w:lang w:val="en-US" w:eastAsia="zh-CN"/>
        </w:rPr>
        <w:t>3</w:t>
      </w:r>
      <w:r>
        <w:rPr>
          <w:rFonts w:hint="eastAsia" w:ascii="仿宋" w:hAnsi="仿宋" w:eastAsia="仿宋" w:cs="仿宋"/>
          <w:i w:val="0"/>
          <w:iCs w:val="0"/>
          <w:caps w:val="0"/>
          <w:color w:val="auto"/>
          <w:spacing w:val="0"/>
          <w:sz w:val="24"/>
          <w:szCs w:val="24"/>
          <w:highlight w:val="none"/>
          <w:shd w:val="clear" w:fill="FFFFFF"/>
        </w:rPr>
        <w:t>00元</w:t>
      </w:r>
    </w:p>
    <w:p w14:paraId="750B939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40" w:lineRule="auto"/>
        <w:ind w:left="0" w:right="0" w:firstLine="0"/>
        <w:jc w:val="left"/>
        <w:rPr>
          <w:rFonts w:hint="eastAsia" w:ascii="仿宋" w:hAnsi="仿宋" w:eastAsia="仿宋" w:cs="仿宋"/>
          <w:b w:val="0"/>
          <w:bCs w:val="0"/>
          <w:i w:val="0"/>
          <w:iCs w:val="0"/>
          <w:caps w:val="0"/>
          <w:color w:val="auto"/>
          <w:spacing w:val="0"/>
          <w:sz w:val="24"/>
          <w:szCs w:val="24"/>
        </w:rPr>
      </w:pPr>
      <w:r>
        <w:rPr>
          <w:rStyle w:val="50"/>
          <w:rFonts w:hint="eastAsia" w:ascii="仿宋" w:hAnsi="仿宋" w:eastAsia="仿宋" w:cs="仿宋"/>
          <w:b/>
          <w:bCs/>
          <w:i w:val="0"/>
          <w:iCs w:val="0"/>
          <w:caps w:val="0"/>
          <w:color w:val="auto"/>
          <w:spacing w:val="0"/>
          <w:sz w:val="24"/>
          <w:szCs w:val="24"/>
          <w:shd w:val="clear" w:fill="FFFFFF"/>
        </w:rPr>
        <w:t>四、响应文件提交</w:t>
      </w:r>
    </w:p>
    <w:p w14:paraId="37E34166">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截止时间： 2025年12月11日 14时30分00秒 （北京时间）</w:t>
      </w:r>
    </w:p>
    <w:p w14:paraId="05E7D130">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地点：西安市莲湖区高新四路1号高科广场A座5楼0503第二会议室</w:t>
      </w:r>
    </w:p>
    <w:p w14:paraId="40BC323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40" w:lineRule="auto"/>
        <w:ind w:left="0" w:right="0" w:firstLine="0"/>
        <w:jc w:val="left"/>
        <w:rPr>
          <w:rFonts w:hint="eastAsia" w:ascii="仿宋" w:hAnsi="仿宋" w:eastAsia="仿宋" w:cs="仿宋"/>
          <w:b w:val="0"/>
          <w:bCs w:val="0"/>
          <w:i w:val="0"/>
          <w:iCs w:val="0"/>
          <w:caps w:val="0"/>
          <w:color w:val="auto"/>
          <w:spacing w:val="0"/>
          <w:sz w:val="24"/>
          <w:szCs w:val="24"/>
        </w:rPr>
      </w:pPr>
      <w:r>
        <w:rPr>
          <w:rStyle w:val="50"/>
          <w:rFonts w:hint="eastAsia" w:ascii="仿宋" w:hAnsi="仿宋" w:eastAsia="仿宋" w:cs="仿宋"/>
          <w:b/>
          <w:bCs/>
          <w:i w:val="0"/>
          <w:iCs w:val="0"/>
          <w:caps w:val="0"/>
          <w:color w:val="auto"/>
          <w:spacing w:val="0"/>
          <w:sz w:val="24"/>
          <w:szCs w:val="24"/>
          <w:shd w:val="clear" w:fill="FFFFFF"/>
        </w:rPr>
        <w:t>五、开启</w:t>
      </w:r>
    </w:p>
    <w:p w14:paraId="408DCF26">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时间： 2025年12月11日 14时30分00秒 （北京时间）</w:t>
      </w:r>
    </w:p>
    <w:p w14:paraId="46E19982">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地点：西安市莲湖区高新四路1号高科广场A座5楼0503第二会议室</w:t>
      </w:r>
    </w:p>
    <w:p w14:paraId="71A765F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40" w:lineRule="auto"/>
        <w:ind w:left="0" w:right="0" w:firstLine="0"/>
        <w:jc w:val="left"/>
        <w:rPr>
          <w:rFonts w:hint="eastAsia" w:ascii="仿宋" w:hAnsi="仿宋" w:eastAsia="仿宋" w:cs="仿宋"/>
          <w:b w:val="0"/>
          <w:bCs w:val="0"/>
          <w:i w:val="0"/>
          <w:iCs w:val="0"/>
          <w:caps w:val="0"/>
          <w:color w:val="auto"/>
          <w:spacing w:val="0"/>
          <w:sz w:val="24"/>
          <w:szCs w:val="24"/>
        </w:rPr>
      </w:pPr>
      <w:r>
        <w:rPr>
          <w:rStyle w:val="50"/>
          <w:rFonts w:hint="eastAsia" w:ascii="仿宋" w:hAnsi="仿宋" w:eastAsia="仿宋" w:cs="仿宋"/>
          <w:b/>
          <w:bCs/>
          <w:i w:val="0"/>
          <w:iCs w:val="0"/>
          <w:caps w:val="0"/>
          <w:color w:val="auto"/>
          <w:spacing w:val="0"/>
          <w:sz w:val="24"/>
          <w:szCs w:val="24"/>
          <w:shd w:val="clear" w:fill="FFFFFF"/>
        </w:rPr>
        <w:t>六、公告期限</w:t>
      </w:r>
    </w:p>
    <w:p w14:paraId="1B856F7E">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自本公告发布之日起3个工作日。</w:t>
      </w:r>
    </w:p>
    <w:p w14:paraId="591788F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40" w:lineRule="auto"/>
        <w:ind w:left="0" w:right="0" w:firstLine="0"/>
        <w:jc w:val="left"/>
        <w:rPr>
          <w:rFonts w:hint="eastAsia" w:ascii="仿宋" w:hAnsi="仿宋" w:eastAsia="仿宋" w:cs="仿宋"/>
          <w:b w:val="0"/>
          <w:bCs w:val="0"/>
          <w:i w:val="0"/>
          <w:iCs w:val="0"/>
          <w:caps w:val="0"/>
          <w:color w:val="auto"/>
          <w:spacing w:val="0"/>
          <w:sz w:val="24"/>
          <w:szCs w:val="24"/>
        </w:rPr>
      </w:pPr>
      <w:r>
        <w:rPr>
          <w:rStyle w:val="50"/>
          <w:rFonts w:hint="eastAsia" w:ascii="仿宋" w:hAnsi="仿宋" w:eastAsia="仿宋" w:cs="仿宋"/>
          <w:b/>
          <w:bCs/>
          <w:i w:val="0"/>
          <w:iCs w:val="0"/>
          <w:caps w:val="0"/>
          <w:color w:val="auto"/>
          <w:spacing w:val="0"/>
          <w:sz w:val="24"/>
          <w:szCs w:val="24"/>
          <w:shd w:val="clear" w:fill="FFFFFF"/>
        </w:rPr>
        <w:t>七、其他补充事宜</w:t>
      </w:r>
    </w:p>
    <w:p w14:paraId="1D76AEAC">
      <w:pPr>
        <w:pStyle w:val="4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1、单位名称：陕西中技招标有限公司</w:t>
      </w:r>
    </w:p>
    <w:p w14:paraId="36520B68">
      <w:pPr>
        <w:pStyle w:val="4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2、开户行名称：招商银行西安分行营业部</w:t>
      </w:r>
    </w:p>
    <w:p w14:paraId="55AA06CF">
      <w:pPr>
        <w:pStyle w:val="4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3、账 号：1299 1681 2810 001</w:t>
      </w:r>
    </w:p>
    <w:p w14:paraId="63AF0BB1">
      <w:pPr>
        <w:pStyle w:val="4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4、咨询电话：029-87304306-863</w:t>
      </w:r>
    </w:p>
    <w:p w14:paraId="771C9F52">
      <w:pPr>
        <w:pStyle w:val="4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5、电子邮件： wangxin@sxzjtc.com</w:t>
      </w:r>
    </w:p>
    <w:p w14:paraId="6C0BA0E4">
      <w:pPr>
        <w:pStyle w:val="4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6、落实政府采购政策：（1）财政部、工业和信息化部关于印发《政府采购促进中小企业发展管理办法》的通知-财库〔2020〕46号；（2）关于进一步加大政府采购支持中小企业力度的通知-财库〔2022〕19号；（3）财政部 司法部关于政府采购支持监狱企业发展有关问题的通知-财库〔2014〕68号；（4）财政部 民政部 中国残疾人联合会关于促进残疾人就业政府采购政策的通知-财库〔2017〕141号；（5）财政部 发展改革委 生态环境部关于调整优化节能产品、环境标志产品政府采购执行机制的通知-财库〔2019〕9号；（6）财政部生态环境部关于印发环境标志产品政府采购品目清单的通知-财库〔2019〕18号；（7）财政部发展改革委关于印发节能产品政府采购品目清单的通知 -财库〔2019〕19号；（8）财政部 农业农村部 国家乡村振兴局关于运用政府采购政策支持乡村产业振兴的通知-财库〔2021〕19号；（9）财政部、农业农村部、国家乡村振兴局、中华全国供销合作总社关于印发《关于深入开展政府采购脱贫地区农副产品工作推进乡村产业振兴的实施意见》的通知-财库〔2021〕20号；（10）陕西省财政厅关于落实政府采购支持中小企业政策有关事项的通知-陕财办采函〔2022〕10号；（11）陕西省财政厅关于进一步加强政府绿色采购有关问题的通知-陕财办采〔2021〕29号；（12）陕西省财政厅关于印发《陕西省中小企业政府采购信用融资办法》-陕财办采〔2018〕23号；（13）陕西省财政厅关于加快推进我省中小企业政府采购信用融资工作的通知-陕财办采〔2020〕15号；（14）陕西省财政厅 中国人民银行西安分行关于深入推进政府采购信用融资业务的通知-陕财办采〔2023〕5号；（15）如有最新颁布的政府采购政策，按最新的文件执行。</w:t>
      </w:r>
    </w:p>
    <w:p w14:paraId="093ADC15">
      <w:pPr>
        <w:pStyle w:val="4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8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7、本项目为非专门面向中小企业采购项目。</w:t>
      </w:r>
    </w:p>
    <w:p w14:paraId="5F23DCB7">
      <w:pPr>
        <w:pStyle w:val="4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80"/>
        <w:jc w:val="both"/>
        <w:rPr>
          <w:rFonts w:hint="default"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lang w:val="en-US" w:eastAsia="zh-CN"/>
        </w:rPr>
        <w:t>8、谈判文件售价：300元/包。</w:t>
      </w:r>
    </w:p>
    <w:p w14:paraId="6BBF82E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40" w:lineRule="auto"/>
        <w:ind w:left="0" w:right="0" w:firstLine="0"/>
        <w:jc w:val="left"/>
        <w:rPr>
          <w:rFonts w:hint="eastAsia" w:ascii="仿宋" w:hAnsi="仿宋" w:eastAsia="仿宋" w:cs="仿宋"/>
          <w:b w:val="0"/>
          <w:bCs w:val="0"/>
          <w:i w:val="0"/>
          <w:iCs w:val="0"/>
          <w:caps w:val="0"/>
          <w:color w:val="auto"/>
          <w:spacing w:val="0"/>
          <w:sz w:val="24"/>
          <w:szCs w:val="24"/>
        </w:rPr>
      </w:pPr>
      <w:r>
        <w:rPr>
          <w:rStyle w:val="50"/>
          <w:rFonts w:hint="eastAsia" w:ascii="仿宋" w:hAnsi="仿宋" w:eastAsia="仿宋" w:cs="仿宋"/>
          <w:b/>
          <w:bCs/>
          <w:i w:val="0"/>
          <w:iCs w:val="0"/>
          <w:caps w:val="0"/>
          <w:color w:val="auto"/>
          <w:spacing w:val="0"/>
          <w:sz w:val="24"/>
          <w:szCs w:val="24"/>
          <w:shd w:val="clear" w:fill="FFFFFF"/>
        </w:rPr>
        <w:t>八、对本次招标提出询问，请按以下方式联系。</w:t>
      </w:r>
    </w:p>
    <w:p w14:paraId="386FB39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rPr>
        <w:t>1.采购人信息</w:t>
      </w:r>
    </w:p>
    <w:p w14:paraId="2AACF918">
      <w:pPr>
        <w:pStyle w:val="4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名称：西安医学院第一附属医院</w:t>
      </w:r>
    </w:p>
    <w:p w14:paraId="02E9C030">
      <w:pPr>
        <w:pStyle w:val="4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地址：丰镐西路48号</w:t>
      </w:r>
    </w:p>
    <w:p w14:paraId="2DFE47BB">
      <w:pPr>
        <w:pStyle w:val="4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联系方式：029-84277525</w:t>
      </w:r>
      <w:bookmarkStart w:id="421" w:name="_GoBack"/>
      <w:bookmarkEnd w:id="421"/>
    </w:p>
    <w:p w14:paraId="2F454E1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rPr>
        <w:t>2.采购代理机构信息</w:t>
      </w:r>
    </w:p>
    <w:p w14:paraId="51F21B35">
      <w:pPr>
        <w:pStyle w:val="4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名称：陕西中技招标有限公司</w:t>
      </w:r>
    </w:p>
    <w:p w14:paraId="69DD69BA">
      <w:pPr>
        <w:pStyle w:val="4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地址：西安市高新四路1号高科广场A座1001室</w:t>
      </w:r>
    </w:p>
    <w:p w14:paraId="01C4B33E">
      <w:pPr>
        <w:pStyle w:val="4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联系方式：029-87304306-807</w:t>
      </w:r>
    </w:p>
    <w:p w14:paraId="4DDBC07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rPr>
        <w:t>3.项目联系方式</w:t>
      </w:r>
    </w:p>
    <w:p w14:paraId="4F8E1EDC">
      <w:pPr>
        <w:pStyle w:val="4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项目联系人：王馨、李娜、单博、史肖霞、李文俊</w:t>
      </w:r>
    </w:p>
    <w:p w14:paraId="708AB147">
      <w:pPr>
        <w:pStyle w:val="4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电话：029-87304306-807</w:t>
      </w:r>
    </w:p>
    <w:p w14:paraId="1FFE18C4">
      <w:pPr>
        <w:pStyle w:val="4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80"/>
        <w:jc w:val="both"/>
        <w:textAlignment w:val="baseline"/>
        <w:rPr>
          <w:rFonts w:hint="eastAsia" w:ascii="仿宋" w:hAnsi="仿宋" w:eastAsia="仿宋" w:cs="仿宋"/>
          <w:sz w:val="24"/>
          <w:szCs w:val="24"/>
        </w:rPr>
      </w:pPr>
    </w:p>
    <w:p w14:paraId="34D6BAA8">
      <w:pPr>
        <w:pStyle w:val="18"/>
        <w:keepNext w:val="0"/>
        <w:keepLines w:val="0"/>
        <w:pageBreakBefore w:val="0"/>
        <w:widowControl w:val="0"/>
        <w:kinsoku w:val="0"/>
        <w:wordWrap/>
        <w:overflowPunct w:val="0"/>
        <w:topLinePunct w:val="0"/>
        <w:autoSpaceDE/>
        <w:autoSpaceDN/>
        <w:bidi w:val="0"/>
        <w:adjustRightInd/>
        <w:snapToGrid/>
        <w:spacing w:after="0" w:line="450" w:lineRule="exact"/>
        <w:ind w:left="0"/>
        <w:textAlignment w:val="auto"/>
        <w:rPr>
          <w:rFonts w:hint="eastAsia" w:ascii="仿宋" w:hAnsi="仿宋" w:eastAsia="仿宋" w:cs="仿宋"/>
          <w:color w:val="auto"/>
          <w:sz w:val="24"/>
          <w:szCs w:val="24"/>
        </w:rPr>
      </w:pPr>
    </w:p>
    <w:p w14:paraId="6665BE74">
      <w:pPr>
        <w:widowControl/>
        <w:rPr>
          <w:rFonts w:hint="eastAsia" w:ascii="仿宋" w:hAnsi="仿宋" w:eastAsia="仿宋" w:cs="仿宋"/>
        </w:rPr>
      </w:pPr>
    </w:p>
    <w:p w14:paraId="15AB56CF">
      <w:pPr>
        <w:bidi w:val="0"/>
        <w:jc w:val="center"/>
        <w:outlineLvl w:val="0"/>
        <w:rPr>
          <w:rFonts w:hint="eastAsia" w:ascii="仿宋" w:hAnsi="仿宋" w:eastAsia="仿宋" w:cs="仿宋"/>
        </w:rPr>
      </w:pPr>
      <w:r>
        <w:rPr>
          <w:rFonts w:hint="eastAsia" w:ascii="仿宋" w:hAnsi="仿宋" w:eastAsia="仿宋" w:cs="仿宋"/>
          <w:b/>
          <w:bCs/>
          <w:sz w:val="32"/>
          <w:szCs w:val="32"/>
        </w:rPr>
        <w:br w:type="page"/>
      </w:r>
      <w:bookmarkStart w:id="13" w:name="_Toc30716"/>
      <w:r>
        <w:rPr>
          <w:rFonts w:hint="eastAsia" w:ascii="仿宋" w:hAnsi="仿宋" w:eastAsia="仿宋" w:cs="仿宋"/>
          <w:b/>
          <w:bCs/>
          <w:sz w:val="32"/>
          <w:szCs w:val="32"/>
        </w:rPr>
        <w:t>第二部分  供应商须知前附表</w:t>
      </w:r>
      <w:bookmarkEnd w:id="6"/>
      <w:bookmarkEnd w:id="7"/>
      <w:bookmarkEnd w:id="8"/>
      <w:bookmarkEnd w:id="9"/>
      <w:bookmarkEnd w:id="11"/>
      <w:bookmarkEnd w:id="12"/>
      <w:bookmarkEnd w:id="13"/>
    </w:p>
    <w:tbl>
      <w:tblPr>
        <w:tblStyle w:val="47"/>
        <w:tblW w:w="8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426"/>
        <w:gridCol w:w="6783"/>
      </w:tblGrid>
      <w:tr w14:paraId="29FD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34" w:type="dxa"/>
            <w:noWrap w:val="0"/>
            <w:vAlign w:val="center"/>
          </w:tcPr>
          <w:p w14:paraId="09BCE208">
            <w:pPr>
              <w:keepNext w:val="0"/>
              <w:keepLines w:val="0"/>
              <w:suppressLineNumbers w:val="0"/>
              <w:spacing w:before="0" w:beforeAutospacing="0" w:after="0" w:afterAutospacing="0"/>
              <w:ind w:left="-120" w:leftChars="-50" w:right="-120" w:rightChars="-50"/>
              <w:jc w:val="center"/>
              <w:rPr>
                <w:rFonts w:hint="eastAsia" w:ascii="仿宋" w:hAnsi="仿宋" w:eastAsia="仿宋" w:cs="仿宋"/>
              </w:rPr>
            </w:pPr>
            <w:r>
              <w:rPr>
                <w:rFonts w:hint="eastAsia" w:ascii="仿宋" w:hAnsi="仿宋" w:eastAsia="仿宋" w:cs="仿宋"/>
              </w:rPr>
              <w:t>项号</w:t>
            </w:r>
          </w:p>
        </w:tc>
        <w:tc>
          <w:tcPr>
            <w:tcW w:w="1426" w:type="dxa"/>
            <w:noWrap w:val="0"/>
            <w:vAlign w:val="center"/>
          </w:tcPr>
          <w:p w14:paraId="6D4BCEF1">
            <w:pPr>
              <w:keepNext w:val="0"/>
              <w:keepLines w:val="0"/>
              <w:suppressLineNumbers w:val="0"/>
              <w:spacing w:before="0" w:beforeAutospacing="0" w:after="0" w:afterAutospacing="0"/>
              <w:ind w:left="-120" w:leftChars="-50" w:right="-120" w:rightChars="-50"/>
              <w:jc w:val="center"/>
              <w:rPr>
                <w:rFonts w:hint="eastAsia" w:ascii="仿宋" w:hAnsi="仿宋" w:eastAsia="仿宋" w:cs="仿宋"/>
              </w:rPr>
            </w:pPr>
            <w:r>
              <w:rPr>
                <w:rFonts w:hint="eastAsia" w:ascii="仿宋" w:hAnsi="仿宋" w:eastAsia="仿宋" w:cs="仿宋"/>
              </w:rPr>
              <w:t>条款号</w:t>
            </w:r>
          </w:p>
        </w:tc>
        <w:tc>
          <w:tcPr>
            <w:tcW w:w="6783" w:type="dxa"/>
            <w:noWrap w:val="0"/>
            <w:vAlign w:val="center"/>
          </w:tcPr>
          <w:p w14:paraId="180A698C">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编列内容</w:t>
            </w:r>
          </w:p>
        </w:tc>
      </w:tr>
      <w:tr w14:paraId="64BC0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exact"/>
          <w:jc w:val="center"/>
        </w:trPr>
        <w:tc>
          <w:tcPr>
            <w:tcW w:w="734" w:type="dxa"/>
            <w:noWrap w:val="0"/>
            <w:vAlign w:val="center"/>
          </w:tcPr>
          <w:p w14:paraId="1E448B28">
            <w:pPr>
              <w:keepNext w:val="0"/>
              <w:keepLines w:val="0"/>
              <w:numPr>
                <w:ilvl w:val="0"/>
                <w:numId w:val="2"/>
              </w:numPr>
              <w:suppressLineNumbers w:val="0"/>
              <w:spacing w:before="0" w:beforeAutospacing="0" w:after="0" w:afterAutospacing="0"/>
              <w:ind w:right="0"/>
              <w:jc w:val="center"/>
              <w:rPr>
                <w:rFonts w:hint="eastAsia" w:ascii="仿宋" w:hAnsi="仿宋" w:eastAsia="仿宋" w:cs="仿宋"/>
              </w:rPr>
            </w:pPr>
          </w:p>
        </w:tc>
        <w:tc>
          <w:tcPr>
            <w:tcW w:w="1426" w:type="dxa"/>
            <w:noWrap w:val="0"/>
            <w:vAlign w:val="center"/>
          </w:tcPr>
          <w:p w14:paraId="64FDDD28">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竞争性</w:t>
            </w:r>
          </w:p>
          <w:p w14:paraId="06C9C307">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谈判公告</w:t>
            </w:r>
          </w:p>
        </w:tc>
        <w:tc>
          <w:tcPr>
            <w:tcW w:w="6783" w:type="dxa"/>
            <w:noWrap w:val="0"/>
            <w:vAlign w:val="center"/>
          </w:tcPr>
          <w:p w14:paraId="0A83F8AA">
            <w:pPr>
              <w:keepNext w:val="0"/>
              <w:keepLines w:val="0"/>
              <w:suppressLineNumbers w:val="0"/>
              <w:spacing w:before="0" w:beforeAutospacing="0" w:after="0" w:afterAutospacing="0"/>
              <w:ind w:left="-3" w:leftChars="-9" w:right="0" w:hanging="19" w:hangingChars="8"/>
              <w:rPr>
                <w:rFonts w:hint="eastAsia" w:ascii="仿宋" w:hAnsi="仿宋" w:eastAsia="仿宋" w:cs="仿宋"/>
                <w:lang w:eastAsia="zh-CN"/>
              </w:rPr>
            </w:pPr>
            <w:r>
              <w:rPr>
                <w:rFonts w:hint="eastAsia" w:ascii="仿宋" w:hAnsi="仿宋" w:eastAsia="仿宋" w:cs="仿宋"/>
              </w:rPr>
              <w:t>项目名称：</w:t>
            </w:r>
            <w:r>
              <w:rPr>
                <w:rFonts w:hint="eastAsia" w:ascii="仿宋" w:hAnsi="仿宋" w:eastAsia="仿宋" w:cs="仿宋"/>
                <w:lang w:eastAsia="zh-CN"/>
              </w:rPr>
              <w:t>西安医学院第一附属医院经颅磁刺激治疗仪、光子治疗仪等一批设备购置安装及售后服务项目</w:t>
            </w:r>
          </w:p>
          <w:p w14:paraId="049FF201">
            <w:pPr>
              <w:keepNext w:val="0"/>
              <w:keepLines w:val="0"/>
              <w:suppressLineNumbers w:val="0"/>
              <w:spacing w:before="0" w:beforeAutospacing="0" w:after="0" w:afterAutospacing="0"/>
              <w:ind w:left="-3" w:leftChars="-9" w:right="0" w:hanging="19" w:hangingChars="8"/>
              <w:rPr>
                <w:rFonts w:hint="eastAsia" w:ascii="仿宋" w:hAnsi="仿宋" w:eastAsia="仿宋" w:cs="仿宋"/>
                <w:lang w:eastAsia="zh-CN"/>
              </w:rPr>
            </w:pPr>
            <w:r>
              <w:rPr>
                <w:rFonts w:hint="eastAsia" w:ascii="仿宋" w:hAnsi="仿宋" w:eastAsia="仿宋" w:cs="仿宋"/>
              </w:rPr>
              <w:t>项目编号：</w:t>
            </w:r>
            <w:r>
              <w:rPr>
                <w:rFonts w:hint="eastAsia" w:ascii="仿宋" w:hAnsi="仿宋" w:eastAsia="仿宋" w:cs="仿宋"/>
                <w:lang w:eastAsia="zh-CN"/>
              </w:rPr>
              <w:t>SZT2025-SN-QT-HW-0922</w:t>
            </w:r>
          </w:p>
        </w:tc>
      </w:tr>
      <w:tr w14:paraId="2C221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jc w:val="center"/>
        </w:trPr>
        <w:tc>
          <w:tcPr>
            <w:tcW w:w="734" w:type="dxa"/>
            <w:noWrap w:val="0"/>
            <w:vAlign w:val="center"/>
          </w:tcPr>
          <w:p w14:paraId="490E7AAC">
            <w:pPr>
              <w:keepNext w:val="0"/>
              <w:keepLines w:val="0"/>
              <w:numPr>
                <w:ilvl w:val="0"/>
                <w:numId w:val="2"/>
              </w:numPr>
              <w:suppressLineNumbers w:val="0"/>
              <w:spacing w:before="0" w:beforeAutospacing="0" w:after="0" w:afterAutospacing="0"/>
              <w:ind w:right="0"/>
              <w:jc w:val="center"/>
              <w:rPr>
                <w:rFonts w:hint="eastAsia" w:ascii="仿宋" w:hAnsi="仿宋" w:eastAsia="仿宋" w:cs="仿宋"/>
              </w:rPr>
            </w:pPr>
          </w:p>
        </w:tc>
        <w:tc>
          <w:tcPr>
            <w:tcW w:w="1426" w:type="dxa"/>
            <w:noWrap w:val="0"/>
            <w:vAlign w:val="center"/>
          </w:tcPr>
          <w:p w14:paraId="1D9EBBA3">
            <w:pPr>
              <w:keepNext w:val="0"/>
              <w:keepLines w:val="0"/>
              <w:suppressLineNumbers w:val="0"/>
              <w:spacing w:before="0" w:beforeAutospacing="0" w:after="0" w:afterAutospacing="0"/>
              <w:ind w:left="960" w:right="0" w:hanging="960" w:hangingChars="400"/>
              <w:jc w:val="center"/>
              <w:rPr>
                <w:rFonts w:hint="eastAsia" w:ascii="仿宋" w:hAnsi="仿宋" w:eastAsia="仿宋" w:cs="仿宋"/>
              </w:rPr>
            </w:pPr>
            <w:r>
              <w:rPr>
                <w:rFonts w:hint="eastAsia" w:ascii="仿宋" w:hAnsi="仿宋" w:eastAsia="仿宋" w:cs="仿宋"/>
              </w:rPr>
              <w:t>资金来源</w:t>
            </w:r>
          </w:p>
        </w:tc>
        <w:tc>
          <w:tcPr>
            <w:tcW w:w="6783" w:type="dxa"/>
            <w:noWrap w:val="0"/>
            <w:vAlign w:val="center"/>
          </w:tcPr>
          <w:p w14:paraId="7B408C07">
            <w:pPr>
              <w:keepNext w:val="0"/>
              <w:keepLines w:val="0"/>
              <w:suppressLineNumbers w:val="0"/>
              <w:spacing w:before="0" w:beforeAutospacing="0" w:after="0" w:afterAutospacing="0"/>
              <w:ind w:left="960" w:right="0" w:hanging="960" w:hangingChars="400"/>
              <w:rPr>
                <w:rFonts w:hint="eastAsia" w:ascii="仿宋" w:hAnsi="仿宋" w:eastAsia="仿宋" w:cs="仿宋"/>
              </w:rPr>
            </w:pPr>
            <w:r>
              <w:rPr>
                <w:rFonts w:hint="eastAsia" w:ascii="仿宋" w:hAnsi="仿宋" w:eastAsia="仿宋" w:cs="仿宋"/>
              </w:rPr>
              <w:t>已落实。</w:t>
            </w:r>
          </w:p>
        </w:tc>
      </w:tr>
      <w:tr w14:paraId="4BFB3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734" w:type="dxa"/>
            <w:noWrap w:val="0"/>
            <w:vAlign w:val="center"/>
          </w:tcPr>
          <w:p w14:paraId="43C41C18">
            <w:pPr>
              <w:keepNext w:val="0"/>
              <w:keepLines w:val="0"/>
              <w:numPr>
                <w:ilvl w:val="0"/>
                <w:numId w:val="2"/>
              </w:numPr>
              <w:suppressLineNumbers w:val="0"/>
              <w:spacing w:before="0" w:beforeAutospacing="0" w:after="0" w:afterAutospacing="0"/>
              <w:ind w:right="0"/>
              <w:jc w:val="center"/>
              <w:rPr>
                <w:rFonts w:hint="eastAsia" w:ascii="仿宋" w:hAnsi="仿宋" w:eastAsia="仿宋" w:cs="仿宋"/>
              </w:rPr>
            </w:pPr>
          </w:p>
        </w:tc>
        <w:tc>
          <w:tcPr>
            <w:tcW w:w="1426" w:type="dxa"/>
            <w:noWrap w:val="0"/>
            <w:vAlign w:val="center"/>
          </w:tcPr>
          <w:p w14:paraId="5A00EC2B">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采购人、采购代理机构</w:t>
            </w:r>
          </w:p>
        </w:tc>
        <w:tc>
          <w:tcPr>
            <w:tcW w:w="6783" w:type="dxa"/>
            <w:noWrap w:val="0"/>
            <w:vAlign w:val="center"/>
          </w:tcPr>
          <w:p w14:paraId="5CA20E10">
            <w:pPr>
              <w:keepNext w:val="0"/>
              <w:keepLines w:val="0"/>
              <w:suppressLineNumbers w:val="0"/>
              <w:spacing w:before="0" w:beforeAutospacing="0" w:after="0" w:afterAutospacing="0"/>
              <w:ind w:left="960" w:right="0" w:hanging="960" w:hangingChars="400"/>
              <w:rPr>
                <w:rFonts w:hint="eastAsia" w:ascii="仿宋" w:hAnsi="仿宋" w:eastAsia="仿宋" w:cs="仿宋"/>
                <w:lang w:eastAsia="zh-CN"/>
              </w:rPr>
            </w:pPr>
            <w:r>
              <w:rPr>
                <w:rFonts w:hint="eastAsia" w:ascii="仿宋" w:hAnsi="仿宋" w:eastAsia="仿宋" w:cs="仿宋"/>
              </w:rPr>
              <w:t>采购人：西安医学院第一附属医院</w:t>
            </w:r>
          </w:p>
          <w:p w14:paraId="57095F97">
            <w:pPr>
              <w:keepNext w:val="0"/>
              <w:keepLines w:val="0"/>
              <w:suppressLineNumbers w:val="0"/>
              <w:spacing w:before="0" w:beforeAutospacing="0" w:after="0" w:afterAutospacing="0"/>
              <w:ind w:left="960" w:right="0" w:hanging="960" w:hangingChars="400"/>
              <w:rPr>
                <w:rFonts w:hint="eastAsia" w:ascii="仿宋" w:hAnsi="仿宋" w:eastAsia="仿宋" w:cs="仿宋"/>
              </w:rPr>
            </w:pPr>
            <w:r>
              <w:rPr>
                <w:rFonts w:hint="eastAsia" w:ascii="仿宋" w:hAnsi="仿宋" w:eastAsia="仿宋" w:cs="仿宋"/>
              </w:rPr>
              <w:t>采购代理机构：陕西中技招标有限公司</w:t>
            </w:r>
          </w:p>
        </w:tc>
      </w:tr>
      <w:tr w14:paraId="0EC0E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734" w:type="dxa"/>
            <w:noWrap w:val="0"/>
            <w:vAlign w:val="center"/>
          </w:tcPr>
          <w:p w14:paraId="331E6FE7">
            <w:pPr>
              <w:keepNext w:val="0"/>
              <w:keepLines w:val="0"/>
              <w:numPr>
                <w:ilvl w:val="0"/>
                <w:numId w:val="2"/>
              </w:numPr>
              <w:suppressLineNumbers w:val="0"/>
              <w:spacing w:before="0" w:beforeAutospacing="0" w:after="0" w:afterAutospacing="0"/>
              <w:ind w:right="0"/>
              <w:jc w:val="center"/>
              <w:rPr>
                <w:rFonts w:hint="eastAsia" w:ascii="仿宋" w:hAnsi="仿宋" w:eastAsia="仿宋" w:cs="仿宋"/>
              </w:rPr>
            </w:pPr>
          </w:p>
        </w:tc>
        <w:tc>
          <w:tcPr>
            <w:tcW w:w="1426" w:type="dxa"/>
            <w:noWrap w:val="0"/>
            <w:vAlign w:val="center"/>
          </w:tcPr>
          <w:p w14:paraId="613E1769">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采购内容</w:t>
            </w:r>
          </w:p>
        </w:tc>
        <w:tc>
          <w:tcPr>
            <w:tcW w:w="6783" w:type="dxa"/>
            <w:noWrap w:val="0"/>
            <w:vAlign w:val="center"/>
          </w:tcPr>
          <w:p w14:paraId="5F48E236">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rPr>
              <w:t>详见谈判文件第六部分采购内容及要求。本次采购、谈判报价、评审和合同授予均以项目为单位，供应商必须就一个完整</w:t>
            </w:r>
            <w:r>
              <w:rPr>
                <w:rFonts w:hint="eastAsia" w:ascii="仿宋" w:hAnsi="仿宋" w:eastAsia="仿宋" w:cs="仿宋"/>
                <w:lang w:val="en-US" w:eastAsia="zh-CN"/>
              </w:rPr>
              <w:t>包</w:t>
            </w:r>
            <w:r>
              <w:rPr>
                <w:rFonts w:hint="eastAsia" w:ascii="仿宋" w:hAnsi="仿宋" w:eastAsia="仿宋" w:cs="仿宋"/>
              </w:rPr>
              <w:t>进行响应。</w:t>
            </w:r>
          </w:p>
        </w:tc>
      </w:tr>
      <w:tr w14:paraId="348A5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34" w:type="dxa"/>
            <w:noWrap w:val="0"/>
            <w:vAlign w:val="center"/>
          </w:tcPr>
          <w:p w14:paraId="26501876">
            <w:pPr>
              <w:keepNext w:val="0"/>
              <w:keepLines w:val="0"/>
              <w:numPr>
                <w:ilvl w:val="0"/>
                <w:numId w:val="2"/>
              </w:numPr>
              <w:suppressLineNumbers w:val="0"/>
              <w:spacing w:before="0" w:beforeAutospacing="0" w:after="0" w:afterAutospacing="0"/>
              <w:ind w:right="0"/>
              <w:jc w:val="center"/>
              <w:rPr>
                <w:rFonts w:hint="eastAsia" w:ascii="仿宋" w:hAnsi="仿宋" w:eastAsia="仿宋" w:cs="仿宋"/>
              </w:rPr>
            </w:pPr>
          </w:p>
        </w:tc>
        <w:tc>
          <w:tcPr>
            <w:tcW w:w="1426" w:type="dxa"/>
            <w:noWrap w:val="0"/>
            <w:vAlign w:val="center"/>
          </w:tcPr>
          <w:p w14:paraId="71137253">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highlight w:val="none"/>
              </w:rPr>
              <w:t>交货</w:t>
            </w:r>
            <w:r>
              <w:rPr>
                <w:rFonts w:hint="eastAsia" w:ascii="仿宋" w:hAnsi="仿宋" w:eastAsia="仿宋" w:cs="仿宋"/>
                <w:highlight w:val="none"/>
                <w:lang w:val="en-US" w:eastAsia="zh-CN"/>
              </w:rPr>
              <w:t>安装</w:t>
            </w:r>
            <w:r>
              <w:rPr>
                <w:rFonts w:hint="eastAsia" w:ascii="仿宋" w:hAnsi="仿宋" w:eastAsia="仿宋" w:cs="仿宋"/>
                <w:highlight w:val="none"/>
              </w:rPr>
              <w:t>期</w:t>
            </w:r>
          </w:p>
        </w:tc>
        <w:tc>
          <w:tcPr>
            <w:tcW w:w="6783" w:type="dxa"/>
            <w:noWrap w:val="0"/>
            <w:vAlign w:val="center"/>
          </w:tcPr>
          <w:p w14:paraId="09CCCB74">
            <w:pPr>
              <w:keepNext w:val="0"/>
              <w:keepLines w:val="0"/>
              <w:suppressLineNumbers w:val="0"/>
              <w:spacing w:before="0" w:beforeAutospacing="0" w:after="0" w:afterAutospacing="0"/>
              <w:ind w:left="0" w:right="0"/>
              <w:rPr>
                <w:rFonts w:hint="eastAsia" w:ascii="仿宋" w:hAnsi="仿宋" w:eastAsia="仿宋" w:cs="仿宋"/>
                <w:highlight w:val="none"/>
                <w:lang w:eastAsia="zh-CN"/>
              </w:rPr>
            </w:pPr>
            <w:r>
              <w:rPr>
                <w:rFonts w:hint="eastAsia" w:ascii="仿宋" w:hAnsi="仿宋" w:eastAsia="仿宋" w:cs="仿宋"/>
                <w:highlight w:val="none"/>
                <w:lang w:eastAsia="zh-CN"/>
              </w:rPr>
              <w:t>合同签订之日起，接甲方通知后5日内完成交付、安装及调试。</w:t>
            </w:r>
          </w:p>
        </w:tc>
      </w:tr>
      <w:tr w14:paraId="41B9F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34" w:type="dxa"/>
            <w:noWrap w:val="0"/>
            <w:vAlign w:val="center"/>
          </w:tcPr>
          <w:p w14:paraId="197E0B27">
            <w:pPr>
              <w:keepNext w:val="0"/>
              <w:keepLines w:val="0"/>
              <w:numPr>
                <w:ilvl w:val="0"/>
                <w:numId w:val="2"/>
              </w:numPr>
              <w:suppressLineNumbers w:val="0"/>
              <w:spacing w:before="0" w:beforeAutospacing="0" w:after="0" w:afterAutospacing="0"/>
              <w:ind w:right="0"/>
              <w:jc w:val="center"/>
              <w:rPr>
                <w:rFonts w:hint="eastAsia" w:ascii="仿宋" w:hAnsi="仿宋" w:eastAsia="仿宋" w:cs="仿宋"/>
              </w:rPr>
            </w:pPr>
          </w:p>
        </w:tc>
        <w:tc>
          <w:tcPr>
            <w:tcW w:w="1426" w:type="dxa"/>
            <w:noWrap w:val="0"/>
            <w:vAlign w:val="center"/>
          </w:tcPr>
          <w:p w14:paraId="2F22DC1A">
            <w:pPr>
              <w:keepNext w:val="0"/>
              <w:keepLines w:val="0"/>
              <w:suppressLineNumbers w:val="0"/>
              <w:spacing w:before="0" w:beforeAutospacing="0" w:after="0" w:afterAutospacing="0"/>
              <w:ind w:left="0" w:right="0"/>
              <w:jc w:val="center"/>
              <w:rPr>
                <w:rFonts w:hint="default" w:ascii="仿宋" w:hAnsi="仿宋" w:eastAsia="仿宋" w:cs="仿宋"/>
                <w:highlight w:val="none"/>
              </w:rPr>
            </w:pPr>
            <w:r>
              <w:rPr>
                <w:rFonts w:hint="eastAsia" w:ascii="仿宋" w:hAnsi="仿宋" w:eastAsia="仿宋" w:cs="仿宋"/>
                <w:highlight w:val="none"/>
              </w:rPr>
              <w:t>交货地点</w:t>
            </w:r>
          </w:p>
        </w:tc>
        <w:tc>
          <w:tcPr>
            <w:tcW w:w="6783" w:type="dxa"/>
            <w:noWrap w:val="0"/>
            <w:vAlign w:val="center"/>
          </w:tcPr>
          <w:p w14:paraId="39C1AACF">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rPr>
              <w:t>西安医学院第一附属医院指定地点</w:t>
            </w:r>
          </w:p>
        </w:tc>
      </w:tr>
      <w:tr w14:paraId="62CB9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noWrap w:val="0"/>
            <w:vAlign w:val="center"/>
          </w:tcPr>
          <w:p w14:paraId="357E3F0A">
            <w:pPr>
              <w:keepNext w:val="0"/>
              <w:keepLines w:val="0"/>
              <w:numPr>
                <w:ilvl w:val="0"/>
                <w:numId w:val="2"/>
              </w:numPr>
              <w:suppressLineNumbers w:val="0"/>
              <w:spacing w:before="0" w:beforeAutospacing="0" w:after="0" w:afterAutospacing="0"/>
              <w:ind w:right="0"/>
              <w:jc w:val="center"/>
              <w:rPr>
                <w:rFonts w:hint="eastAsia" w:ascii="仿宋" w:hAnsi="仿宋" w:eastAsia="仿宋" w:cs="仿宋"/>
              </w:rPr>
            </w:pPr>
          </w:p>
        </w:tc>
        <w:tc>
          <w:tcPr>
            <w:tcW w:w="1426" w:type="dxa"/>
            <w:noWrap w:val="0"/>
            <w:vAlign w:val="center"/>
          </w:tcPr>
          <w:p w14:paraId="63689228">
            <w:pPr>
              <w:keepNext w:val="0"/>
              <w:keepLines w:val="0"/>
              <w:suppressLineNumbers w:val="0"/>
              <w:spacing w:before="0" w:beforeAutospacing="0" w:after="0" w:afterAutospacing="0"/>
              <w:ind w:left="0" w:right="0"/>
              <w:jc w:val="center"/>
              <w:rPr>
                <w:rFonts w:hint="eastAsia" w:ascii="仿宋" w:hAnsi="仿宋" w:eastAsia="仿宋" w:cs="仿宋"/>
                <w:bCs/>
              </w:rPr>
            </w:pPr>
            <w:r>
              <w:rPr>
                <w:rFonts w:hint="eastAsia" w:ascii="仿宋" w:hAnsi="仿宋" w:eastAsia="仿宋" w:cs="仿宋"/>
                <w:bCs/>
              </w:rPr>
              <w:t>谈判报价</w:t>
            </w:r>
          </w:p>
        </w:tc>
        <w:tc>
          <w:tcPr>
            <w:tcW w:w="6783" w:type="dxa"/>
            <w:noWrap w:val="0"/>
            <w:vAlign w:val="center"/>
          </w:tcPr>
          <w:p w14:paraId="3F30791B">
            <w:pPr>
              <w:keepNext w:val="0"/>
              <w:keepLines w:val="0"/>
              <w:suppressLineNumbers w:val="0"/>
              <w:spacing w:before="0" w:beforeAutospacing="0" w:after="0" w:afterAutospacing="0"/>
              <w:ind w:left="0" w:right="0"/>
              <w:rPr>
                <w:rFonts w:hint="eastAsia" w:ascii="仿宋" w:hAnsi="仿宋" w:eastAsia="仿宋" w:cs="仿宋"/>
              </w:rPr>
            </w:pPr>
            <w:r>
              <w:rPr>
                <w:rFonts w:hint="eastAsia" w:ascii="宋体" w:hAnsi="宋体" w:cs="Times New Roman"/>
              </w:rPr>
              <w:t>一次包死，已包含在合同价格内，包括货物价款、附件、专用工具、安装、调试、检验、技术培训及技术资料和包装、运输、保险等全部费用。</w:t>
            </w:r>
          </w:p>
        </w:tc>
      </w:tr>
      <w:tr w14:paraId="6CD9C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noWrap w:val="0"/>
            <w:vAlign w:val="center"/>
          </w:tcPr>
          <w:p w14:paraId="08B9CC7E">
            <w:pPr>
              <w:keepNext w:val="0"/>
              <w:keepLines w:val="0"/>
              <w:numPr>
                <w:ilvl w:val="0"/>
                <w:numId w:val="2"/>
              </w:numPr>
              <w:suppressLineNumbers w:val="0"/>
              <w:spacing w:before="0" w:beforeAutospacing="0" w:after="0" w:afterAutospacing="0"/>
              <w:ind w:right="0"/>
              <w:jc w:val="center"/>
              <w:rPr>
                <w:rFonts w:hint="eastAsia" w:ascii="仿宋" w:hAnsi="仿宋" w:eastAsia="仿宋" w:cs="仿宋"/>
              </w:rPr>
            </w:pPr>
          </w:p>
        </w:tc>
        <w:tc>
          <w:tcPr>
            <w:tcW w:w="1426" w:type="dxa"/>
            <w:noWrap w:val="0"/>
            <w:vAlign w:val="center"/>
          </w:tcPr>
          <w:p w14:paraId="3F3152C3">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highlight w:val="none"/>
              </w:rPr>
              <w:t>付款方式</w:t>
            </w:r>
          </w:p>
        </w:tc>
        <w:tc>
          <w:tcPr>
            <w:tcW w:w="6783" w:type="dxa"/>
            <w:noWrap w:val="0"/>
            <w:vAlign w:val="center"/>
          </w:tcPr>
          <w:p w14:paraId="5B845B4D">
            <w:pPr>
              <w:keepNext w:val="0"/>
              <w:keepLines w:val="0"/>
              <w:suppressLineNumbers w:val="0"/>
              <w:spacing w:before="0" w:beforeAutospacing="0" w:after="0" w:afterAutospacing="0"/>
              <w:ind w:left="0" w:right="0"/>
              <w:rPr>
                <w:rFonts w:hint="eastAsia" w:ascii="仿宋" w:hAnsi="仿宋" w:eastAsia="仿宋" w:cs="仿宋"/>
                <w:bCs/>
              </w:rPr>
            </w:pPr>
            <w:r>
              <w:rPr>
                <w:rFonts w:hint="eastAsia" w:ascii="仿宋" w:hAnsi="仿宋" w:eastAsia="仿宋" w:cs="仿宋"/>
                <w:bCs/>
              </w:rPr>
              <w:t>设备安装调试验收合格（以甲方出具的书面验收合格文件为准），达到付款条件起 30 日内，支付合同总金额的 100.00%。</w:t>
            </w:r>
          </w:p>
        </w:tc>
      </w:tr>
      <w:tr w14:paraId="3955B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noWrap w:val="0"/>
            <w:vAlign w:val="center"/>
          </w:tcPr>
          <w:p w14:paraId="613614D1">
            <w:pPr>
              <w:keepNext w:val="0"/>
              <w:keepLines w:val="0"/>
              <w:numPr>
                <w:ilvl w:val="0"/>
                <w:numId w:val="2"/>
              </w:numPr>
              <w:suppressLineNumbers w:val="0"/>
              <w:spacing w:before="0" w:beforeAutospacing="0" w:after="0" w:afterAutospacing="0"/>
              <w:ind w:right="0"/>
              <w:jc w:val="center"/>
              <w:rPr>
                <w:rFonts w:hint="eastAsia" w:ascii="仿宋" w:hAnsi="仿宋" w:eastAsia="仿宋" w:cs="仿宋"/>
              </w:rPr>
            </w:pPr>
          </w:p>
        </w:tc>
        <w:tc>
          <w:tcPr>
            <w:tcW w:w="1426" w:type="dxa"/>
            <w:noWrap w:val="0"/>
            <w:vAlign w:val="center"/>
          </w:tcPr>
          <w:p w14:paraId="1C126A74">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highlight w:val="none"/>
              </w:rPr>
              <w:t>质保期</w:t>
            </w:r>
          </w:p>
        </w:tc>
        <w:tc>
          <w:tcPr>
            <w:tcW w:w="6783" w:type="dxa"/>
            <w:noWrap w:val="0"/>
            <w:vAlign w:val="center"/>
          </w:tcPr>
          <w:p w14:paraId="2613DA6F">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rPr>
              <w:t>二年</w:t>
            </w:r>
          </w:p>
        </w:tc>
      </w:tr>
      <w:tr w14:paraId="009A1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noWrap w:val="0"/>
            <w:vAlign w:val="center"/>
          </w:tcPr>
          <w:p w14:paraId="374A1E3B">
            <w:pPr>
              <w:keepNext w:val="0"/>
              <w:keepLines w:val="0"/>
              <w:numPr>
                <w:ilvl w:val="0"/>
                <w:numId w:val="2"/>
              </w:numPr>
              <w:suppressLineNumbers w:val="0"/>
              <w:spacing w:before="0" w:beforeAutospacing="0" w:after="0" w:afterAutospacing="0"/>
              <w:ind w:right="0"/>
              <w:jc w:val="center"/>
              <w:rPr>
                <w:rFonts w:hint="eastAsia" w:ascii="仿宋" w:hAnsi="仿宋" w:eastAsia="仿宋" w:cs="仿宋"/>
              </w:rPr>
            </w:pPr>
          </w:p>
        </w:tc>
        <w:tc>
          <w:tcPr>
            <w:tcW w:w="1426" w:type="dxa"/>
            <w:noWrap w:val="0"/>
            <w:vAlign w:val="center"/>
          </w:tcPr>
          <w:p w14:paraId="342C2364">
            <w:pPr>
              <w:keepNext w:val="0"/>
              <w:keepLines w:val="0"/>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rPr>
              <w:t>踏勘</w:t>
            </w:r>
          </w:p>
        </w:tc>
        <w:tc>
          <w:tcPr>
            <w:tcW w:w="6783" w:type="dxa"/>
            <w:noWrap w:val="0"/>
            <w:vAlign w:val="center"/>
          </w:tcPr>
          <w:p w14:paraId="21A4161B">
            <w:pPr>
              <w:pStyle w:val="164"/>
              <w:keepNext w:val="0"/>
              <w:keepLines w:val="0"/>
              <w:suppressLineNumbers w:val="0"/>
              <w:tabs>
                <w:tab w:val="left" w:pos="820"/>
              </w:tabs>
              <w:spacing w:before="0" w:beforeAutospacing="0" w:after="0" w:afterAutospacing="0"/>
              <w:ind w:left="0" w:right="0" w:firstLine="0" w:firstLineChars="0"/>
              <w:rPr>
                <w:rFonts w:hint="eastAsia" w:ascii="仿宋" w:hAnsi="仿宋" w:eastAsia="仿宋" w:cs="仿宋"/>
                <w:b/>
                <w:bCs/>
                <w:szCs w:val="24"/>
              </w:rPr>
            </w:pPr>
            <w:r>
              <w:rPr>
                <w:rFonts w:hint="eastAsia" w:ascii="仿宋" w:hAnsi="仿宋" w:eastAsia="仿宋" w:cs="仿宋"/>
                <w:szCs w:val="24"/>
              </w:rPr>
              <w:t>否</w:t>
            </w:r>
          </w:p>
        </w:tc>
      </w:tr>
      <w:tr w14:paraId="369E1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noWrap w:val="0"/>
            <w:vAlign w:val="center"/>
          </w:tcPr>
          <w:p w14:paraId="48C96FF4">
            <w:pPr>
              <w:keepNext w:val="0"/>
              <w:keepLines w:val="0"/>
              <w:numPr>
                <w:ilvl w:val="0"/>
                <w:numId w:val="2"/>
              </w:numPr>
              <w:suppressLineNumbers w:val="0"/>
              <w:spacing w:before="0" w:beforeAutospacing="0" w:after="0" w:afterAutospacing="0"/>
              <w:ind w:right="0"/>
              <w:jc w:val="center"/>
              <w:rPr>
                <w:rFonts w:hint="eastAsia" w:ascii="仿宋" w:hAnsi="仿宋" w:eastAsia="仿宋" w:cs="仿宋"/>
              </w:rPr>
            </w:pPr>
          </w:p>
        </w:tc>
        <w:tc>
          <w:tcPr>
            <w:tcW w:w="1426" w:type="dxa"/>
            <w:noWrap w:val="0"/>
            <w:vAlign w:val="center"/>
          </w:tcPr>
          <w:p w14:paraId="040550DD">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谈判保证金</w:t>
            </w:r>
          </w:p>
        </w:tc>
        <w:tc>
          <w:tcPr>
            <w:tcW w:w="6783" w:type="dxa"/>
            <w:noWrap w:val="0"/>
            <w:vAlign w:val="center"/>
          </w:tcPr>
          <w:p w14:paraId="34BEEB64">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1包：</w:t>
            </w:r>
            <w:r>
              <w:rPr>
                <w:rFonts w:hint="eastAsia" w:ascii="仿宋" w:hAnsi="仿宋" w:eastAsia="仿宋" w:cs="仿宋"/>
              </w:rPr>
              <w:t>人民币叁仟</w:t>
            </w:r>
            <w:r>
              <w:rPr>
                <w:rFonts w:hint="eastAsia" w:ascii="仿宋" w:hAnsi="仿宋" w:eastAsia="仿宋" w:cs="仿宋"/>
                <w:lang w:val="en-US" w:eastAsia="zh-CN"/>
              </w:rPr>
              <w:t>捌佰</w:t>
            </w:r>
            <w:r>
              <w:rPr>
                <w:rFonts w:hint="eastAsia" w:ascii="仿宋" w:hAnsi="仿宋" w:eastAsia="仿宋" w:cs="仿宋"/>
              </w:rPr>
              <w:t>元整</w:t>
            </w:r>
            <w:r>
              <w:rPr>
                <w:rFonts w:hint="eastAsia" w:ascii="仿宋" w:hAnsi="仿宋" w:eastAsia="仿宋" w:cs="仿宋"/>
                <w:lang w:eastAsia="zh-CN"/>
              </w:rPr>
              <w:t>；</w:t>
            </w:r>
            <w:r>
              <w:rPr>
                <w:rFonts w:hint="eastAsia" w:ascii="仿宋" w:hAnsi="仿宋" w:eastAsia="仿宋" w:cs="仿宋"/>
                <w:lang w:val="en-US" w:eastAsia="zh-CN"/>
              </w:rPr>
              <w:t>2包：</w:t>
            </w:r>
            <w:r>
              <w:rPr>
                <w:rFonts w:hint="eastAsia" w:ascii="仿宋" w:hAnsi="仿宋" w:eastAsia="仿宋" w:cs="仿宋"/>
              </w:rPr>
              <w:t>人民币叁仟</w:t>
            </w:r>
            <w:r>
              <w:rPr>
                <w:rFonts w:hint="eastAsia" w:ascii="仿宋" w:hAnsi="仿宋" w:eastAsia="仿宋" w:cs="仿宋"/>
                <w:lang w:val="en-US" w:eastAsia="zh-CN"/>
              </w:rPr>
              <w:t>伍佰</w:t>
            </w:r>
            <w:r>
              <w:rPr>
                <w:rFonts w:hint="eastAsia" w:ascii="仿宋" w:hAnsi="仿宋" w:eastAsia="仿宋" w:cs="仿宋"/>
              </w:rPr>
              <w:t>元整。</w:t>
            </w:r>
          </w:p>
          <w:p w14:paraId="492FDC39">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rPr>
              <w:t>采用支票、电汇、</w:t>
            </w:r>
            <w:r>
              <w:rPr>
                <w:rFonts w:hint="eastAsia" w:ascii="仿宋" w:hAnsi="仿宋" w:eastAsia="仿宋" w:cs="仿宋"/>
                <w:lang w:val="en-US" w:eastAsia="zh-CN"/>
              </w:rPr>
              <w:t>保函、</w:t>
            </w:r>
            <w:r>
              <w:rPr>
                <w:rFonts w:hint="eastAsia" w:ascii="仿宋" w:hAnsi="仿宋" w:eastAsia="仿宋" w:cs="仿宋"/>
              </w:rPr>
              <w:t>网上银行支付等非现金形式交纳，有效期为谈判之日起90日历天，且确保响应文件递交截止时间前到达采购代理机构指定账户。</w:t>
            </w:r>
          </w:p>
          <w:p w14:paraId="4768B8F9">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rPr>
              <w:t>接受谈判保证金单位名称：陕西中技招标有限公司</w:t>
            </w:r>
          </w:p>
          <w:p w14:paraId="44F40BDB">
            <w:pPr>
              <w:keepNext w:val="0"/>
              <w:keepLines w:val="0"/>
              <w:widowControl/>
              <w:suppressLineNumbers w:val="0"/>
              <w:spacing w:before="0" w:beforeAutospacing="0" w:after="0" w:afterAutospacing="0"/>
              <w:ind w:left="-5" w:leftChars="-20" w:right="0" w:hanging="43" w:hangingChars="18"/>
              <w:jc w:val="left"/>
              <w:rPr>
                <w:rFonts w:hint="eastAsia" w:ascii="仿宋" w:hAnsi="仿宋" w:eastAsia="仿宋" w:cs="仿宋"/>
              </w:rPr>
            </w:pPr>
            <w:r>
              <w:rPr>
                <w:rFonts w:hint="eastAsia" w:ascii="仿宋" w:hAnsi="仿宋" w:eastAsia="仿宋" w:cs="仿宋"/>
              </w:rPr>
              <w:t>开户行名称：招商银行西安分行营业部</w:t>
            </w:r>
          </w:p>
          <w:p w14:paraId="222890D9">
            <w:pPr>
              <w:keepNext w:val="0"/>
              <w:keepLines w:val="0"/>
              <w:widowControl/>
              <w:suppressLineNumbers w:val="0"/>
              <w:spacing w:before="0" w:beforeAutospacing="0" w:after="0" w:afterAutospacing="0"/>
              <w:ind w:left="-5" w:leftChars="-20" w:right="0" w:hanging="43" w:hangingChars="18"/>
              <w:jc w:val="left"/>
              <w:rPr>
                <w:rFonts w:hint="eastAsia" w:ascii="仿宋" w:hAnsi="仿宋" w:eastAsia="仿宋" w:cs="仿宋"/>
              </w:rPr>
            </w:pPr>
            <w:r>
              <w:rPr>
                <w:rFonts w:hint="eastAsia" w:ascii="仿宋" w:hAnsi="仿宋" w:eastAsia="仿宋" w:cs="仿宋"/>
              </w:rPr>
              <w:t>账号：129916812810001</w:t>
            </w:r>
          </w:p>
          <w:p w14:paraId="15351499">
            <w:pPr>
              <w:keepNext w:val="0"/>
              <w:keepLines w:val="0"/>
              <w:widowControl/>
              <w:suppressLineNumbers w:val="0"/>
              <w:spacing w:before="0" w:beforeAutospacing="0" w:after="0" w:afterAutospacing="0"/>
              <w:ind w:left="-5" w:leftChars="-20" w:right="0" w:hanging="43" w:hangingChars="18"/>
              <w:jc w:val="left"/>
              <w:rPr>
                <w:rFonts w:hint="eastAsia" w:ascii="仿宋" w:hAnsi="仿宋" w:eastAsia="仿宋" w:cs="仿宋"/>
              </w:rPr>
            </w:pPr>
            <w:r>
              <w:rPr>
                <w:rFonts w:hint="eastAsia" w:ascii="仿宋" w:hAnsi="仿宋" w:eastAsia="仿宋" w:cs="仿宋"/>
              </w:rPr>
              <w:t>转账事由：（项目编号后四位） 项目</w:t>
            </w:r>
            <w:r>
              <w:rPr>
                <w:rFonts w:hint="eastAsia" w:ascii="仿宋" w:hAnsi="仿宋" w:eastAsia="仿宋" w:cs="仿宋"/>
                <w:lang w:eastAsia="zh-CN"/>
              </w:rPr>
              <w:t>（</w:t>
            </w:r>
            <w:r>
              <w:rPr>
                <w:rFonts w:hint="eastAsia" w:ascii="仿宋" w:hAnsi="仿宋" w:eastAsia="仿宋" w:cs="仿宋"/>
                <w:lang w:val="en-US" w:eastAsia="zh-CN"/>
              </w:rPr>
              <w:t>包号</w:t>
            </w:r>
            <w:r>
              <w:rPr>
                <w:rFonts w:hint="eastAsia" w:ascii="仿宋" w:hAnsi="仿宋" w:eastAsia="仿宋" w:cs="仿宋"/>
                <w:lang w:eastAsia="zh-CN"/>
              </w:rPr>
              <w:t>）</w:t>
            </w:r>
            <w:r>
              <w:rPr>
                <w:rFonts w:hint="eastAsia" w:ascii="仿宋" w:hAnsi="仿宋" w:eastAsia="仿宋" w:cs="仿宋"/>
              </w:rPr>
              <w:t>谈判保证金</w:t>
            </w:r>
          </w:p>
          <w:p w14:paraId="27CA4AB8">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rPr>
              <w:t>咨询电话：029-88364981-863/846</w:t>
            </w:r>
          </w:p>
        </w:tc>
      </w:tr>
      <w:tr w14:paraId="021D4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34" w:type="dxa"/>
            <w:noWrap w:val="0"/>
            <w:vAlign w:val="center"/>
          </w:tcPr>
          <w:p w14:paraId="3621E0AE">
            <w:pPr>
              <w:keepNext w:val="0"/>
              <w:keepLines w:val="0"/>
              <w:numPr>
                <w:ilvl w:val="0"/>
                <w:numId w:val="2"/>
              </w:numPr>
              <w:suppressLineNumbers w:val="0"/>
              <w:spacing w:before="0" w:beforeAutospacing="0" w:after="0" w:afterAutospacing="0"/>
              <w:ind w:right="0"/>
              <w:jc w:val="center"/>
              <w:rPr>
                <w:rFonts w:hint="eastAsia" w:ascii="仿宋" w:hAnsi="仿宋" w:eastAsia="仿宋" w:cs="仿宋"/>
              </w:rPr>
            </w:pPr>
          </w:p>
        </w:tc>
        <w:tc>
          <w:tcPr>
            <w:tcW w:w="1426" w:type="dxa"/>
            <w:noWrap w:val="0"/>
            <w:vAlign w:val="center"/>
          </w:tcPr>
          <w:p w14:paraId="64F84190">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谈判有效期</w:t>
            </w:r>
          </w:p>
        </w:tc>
        <w:tc>
          <w:tcPr>
            <w:tcW w:w="6783" w:type="dxa"/>
            <w:noWrap w:val="0"/>
            <w:vAlign w:val="center"/>
          </w:tcPr>
          <w:p w14:paraId="0EFBA97B">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rPr>
              <w:t>谈判响应文件从递交截止之日起，有效期为90天。成交供应商谈判响应文件有效期自动延长至项目质保期结束。</w:t>
            </w:r>
          </w:p>
        </w:tc>
      </w:tr>
      <w:tr w14:paraId="55B0E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34" w:type="dxa"/>
            <w:noWrap w:val="0"/>
            <w:vAlign w:val="center"/>
          </w:tcPr>
          <w:p w14:paraId="0A30EB96">
            <w:pPr>
              <w:keepNext w:val="0"/>
              <w:keepLines w:val="0"/>
              <w:numPr>
                <w:ilvl w:val="0"/>
                <w:numId w:val="2"/>
              </w:numPr>
              <w:suppressLineNumbers w:val="0"/>
              <w:spacing w:before="0" w:beforeAutospacing="0" w:after="0" w:afterAutospacing="0"/>
              <w:ind w:right="0"/>
              <w:jc w:val="center"/>
              <w:rPr>
                <w:rFonts w:hint="eastAsia" w:ascii="仿宋" w:hAnsi="仿宋" w:eastAsia="仿宋" w:cs="仿宋"/>
              </w:rPr>
            </w:pPr>
          </w:p>
        </w:tc>
        <w:tc>
          <w:tcPr>
            <w:tcW w:w="1426" w:type="dxa"/>
            <w:noWrap w:val="0"/>
            <w:vAlign w:val="center"/>
          </w:tcPr>
          <w:p w14:paraId="530E6135">
            <w:pPr>
              <w:keepNext w:val="0"/>
              <w:keepLines w:val="0"/>
              <w:suppressLineNumbers w:val="0"/>
              <w:spacing w:before="0" w:beforeAutospacing="0" w:after="0" w:afterAutospacing="0" w:line="360" w:lineRule="exact"/>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供应商</w:t>
            </w:r>
          </w:p>
          <w:p w14:paraId="45571457">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b/>
                <w:color w:val="auto"/>
                <w:sz w:val="24"/>
                <w:szCs w:val="24"/>
                <w:highlight w:val="none"/>
              </w:rPr>
              <w:t>资格要求</w:t>
            </w:r>
          </w:p>
        </w:tc>
        <w:tc>
          <w:tcPr>
            <w:tcW w:w="6783" w:type="dxa"/>
            <w:noWrap w:val="0"/>
            <w:vAlign w:val="center"/>
          </w:tcPr>
          <w:p w14:paraId="269AA8D2">
            <w:pPr>
              <w:keepNext w:val="0"/>
              <w:keepLines w:val="0"/>
              <w:suppressLineNumbers w:val="0"/>
              <w:autoSpaceDE w:val="0"/>
              <w:autoSpaceDN w:val="0"/>
              <w:adjustRightInd w:val="0"/>
              <w:spacing w:before="0" w:beforeAutospacing="0" w:after="0" w:afterAutospacing="0" w:line="360" w:lineRule="auto"/>
              <w:ind w:left="0" w:right="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（1）基本资格条件：符合《中华人民共和国政府采购法》第二十二条的规定，提供以下文件：</w:t>
            </w:r>
          </w:p>
          <w:p w14:paraId="651F1E42">
            <w:pPr>
              <w:keepNext w:val="0"/>
              <w:keepLines w:val="0"/>
              <w:numPr>
                <w:ilvl w:val="0"/>
                <w:numId w:val="3"/>
              </w:numPr>
              <w:suppressLineNumbers w:val="0"/>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具有独立承担民事责任的能力（企业法人应提供统一社会信用代码的营业执照；法人或其他组织谈判的，提供有效的营业执照或事业单位法人证书；其他组织应提供合法证明文件）；</w:t>
            </w:r>
          </w:p>
          <w:p w14:paraId="42940514">
            <w:pPr>
              <w:keepNext w:val="0"/>
              <w:keepLines w:val="0"/>
              <w:numPr>
                <w:ilvl w:val="0"/>
                <w:numId w:val="3"/>
              </w:numPr>
              <w:suppressLineNumbers w:val="0"/>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2024年度</w:t>
            </w:r>
            <w:r>
              <w:rPr>
                <w:rFonts w:hint="eastAsia" w:ascii="仿宋" w:hAnsi="仿宋" w:eastAsia="仿宋" w:cs="仿宋"/>
                <w:b/>
                <w:bCs/>
                <w:color w:val="auto"/>
                <w:sz w:val="24"/>
                <w:highlight w:val="none"/>
                <w:u w:val="single"/>
              </w:rPr>
              <w:t>经审计的财务报告</w:t>
            </w:r>
            <w:r>
              <w:rPr>
                <w:rFonts w:hint="eastAsia" w:ascii="仿宋" w:hAnsi="仿宋" w:eastAsia="仿宋" w:cs="仿宋"/>
                <w:b/>
                <w:bCs/>
                <w:color w:val="auto"/>
                <w:sz w:val="24"/>
                <w:highlight w:val="none"/>
              </w:rPr>
              <w:t>或在投标日期前12个月内</w:t>
            </w:r>
            <w:r>
              <w:rPr>
                <w:rFonts w:hint="eastAsia" w:ascii="仿宋" w:hAnsi="仿宋" w:eastAsia="仿宋" w:cs="仿宋"/>
                <w:b/>
                <w:bCs/>
                <w:color w:val="auto"/>
                <w:sz w:val="24"/>
                <w:highlight w:val="none"/>
                <w:u w:val="single"/>
              </w:rPr>
              <w:t>银行出具的资信证明</w:t>
            </w:r>
            <w:r>
              <w:rPr>
                <w:rFonts w:hint="eastAsia" w:ascii="仿宋" w:hAnsi="仿宋" w:eastAsia="仿宋" w:cs="仿宋"/>
                <w:b/>
                <w:bCs/>
                <w:color w:val="auto"/>
                <w:sz w:val="24"/>
                <w:highlight w:val="none"/>
              </w:rPr>
              <w:t>；</w:t>
            </w:r>
          </w:p>
          <w:p w14:paraId="3B19F8AF">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3）提供具有履行本合同所必需专业技术能力的</w:t>
            </w:r>
            <w:r>
              <w:rPr>
                <w:rFonts w:hint="eastAsia" w:ascii="仿宋" w:hAnsi="仿宋" w:eastAsia="仿宋" w:cs="仿宋"/>
                <w:color w:val="auto"/>
                <w:sz w:val="24"/>
                <w:highlight w:val="none"/>
                <w:u w:val="single"/>
              </w:rPr>
              <w:t>说明及承诺</w:t>
            </w:r>
            <w:r>
              <w:rPr>
                <w:rFonts w:hint="eastAsia" w:ascii="仿宋" w:hAnsi="仿宋" w:eastAsia="仿宋" w:cs="仿宋"/>
                <w:color w:val="auto"/>
                <w:sz w:val="24"/>
                <w:highlight w:val="none"/>
              </w:rPr>
              <w:t>；</w:t>
            </w:r>
          </w:p>
          <w:p w14:paraId="547E6F83">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b/>
                <w:bCs/>
                <w:color w:val="auto"/>
                <w:sz w:val="24"/>
                <w:highlight w:val="none"/>
              </w:rPr>
              <w:t>依法缴纳税收和社会保障资金</w:t>
            </w:r>
            <w:r>
              <w:rPr>
                <w:rFonts w:hint="eastAsia" w:ascii="仿宋" w:hAnsi="仿宋" w:eastAsia="仿宋" w:cs="仿宋"/>
                <w:color w:val="auto"/>
                <w:sz w:val="24"/>
                <w:highlight w:val="none"/>
              </w:rPr>
              <w:t>的良好记录（</w:t>
            </w:r>
            <w:r>
              <w:rPr>
                <w:rFonts w:hint="eastAsia" w:ascii="仿宋" w:hAnsi="仿宋" w:eastAsia="仿宋" w:cs="仿宋"/>
                <w:color w:val="auto"/>
                <w:sz w:val="24"/>
                <w:highlight w:val="none"/>
                <w:u w:val="single"/>
              </w:rPr>
              <w:t>截止</w:t>
            </w:r>
            <w:r>
              <w:rPr>
                <w:rFonts w:hint="eastAsia" w:ascii="仿宋" w:hAnsi="仿宋" w:eastAsia="仿宋" w:cs="仿宋"/>
                <w:color w:val="auto"/>
                <w:sz w:val="24"/>
                <w:highlight w:val="none"/>
                <w:u w:val="single"/>
                <w:lang w:val="en-US" w:eastAsia="zh-CN"/>
              </w:rPr>
              <w:t>谈判</w:t>
            </w:r>
            <w:r>
              <w:rPr>
                <w:rFonts w:hint="eastAsia" w:ascii="仿宋" w:hAnsi="仿宋" w:eastAsia="仿宋" w:cs="仿宋"/>
                <w:color w:val="auto"/>
                <w:sz w:val="24"/>
                <w:highlight w:val="none"/>
                <w:u w:val="single"/>
              </w:rPr>
              <w:t>日期前12个月内任意时段的缴费凭据或提供税务部门和社保部门出具的纳税证明和社保证明</w:t>
            </w:r>
            <w:r>
              <w:rPr>
                <w:rFonts w:hint="eastAsia" w:ascii="仿宋" w:hAnsi="仿宋" w:eastAsia="仿宋" w:cs="仿宋"/>
                <w:color w:val="auto"/>
                <w:sz w:val="24"/>
                <w:highlight w:val="none"/>
              </w:rPr>
              <w:t>）。依法免税的供应商提供相应文件证明其依法免税；</w:t>
            </w:r>
          </w:p>
          <w:p w14:paraId="4E08C44B">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5）参加政府采购活动前3年内在经营活动中没有重大违法记录的</w:t>
            </w:r>
            <w:r>
              <w:rPr>
                <w:rFonts w:hint="eastAsia" w:ascii="仿宋" w:hAnsi="仿宋" w:eastAsia="仿宋" w:cs="仿宋"/>
                <w:color w:val="auto"/>
                <w:sz w:val="24"/>
                <w:highlight w:val="none"/>
                <w:u w:val="single"/>
              </w:rPr>
              <w:t>书面声明</w:t>
            </w:r>
            <w:r>
              <w:rPr>
                <w:rFonts w:hint="eastAsia" w:ascii="仿宋" w:hAnsi="仿宋" w:eastAsia="仿宋" w:cs="仿宋"/>
                <w:color w:val="auto"/>
                <w:sz w:val="24"/>
                <w:highlight w:val="none"/>
              </w:rPr>
              <w:t>。</w:t>
            </w:r>
          </w:p>
          <w:p w14:paraId="507D4905">
            <w:pPr>
              <w:pStyle w:val="157"/>
              <w:keepNext w:val="0"/>
              <w:keepLines w:val="0"/>
              <w:widowControl/>
              <w:suppressLineNumbers w:val="0"/>
              <w:spacing w:before="0" w:line="360" w:lineRule="auto"/>
              <w:ind w:left="0" w:right="0"/>
              <w:rPr>
                <w:rFonts w:hint="eastAsia" w:ascii="仿宋" w:hAnsi="仿宋" w:eastAsia="仿宋" w:cs="仿宋"/>
                <w:b w:val="0"/>
                <w:bCs/>
                <w:color w:val="auto"/>
                <w:sz w:val="24"/>
                <w:szCs w:val="24"/>
                <w:highlight w:val="none"/>
              </w:rPr>
            </w:pPr>
            <w:r>
              <w:rPr>
                <w:rFonts w:hint="eastAsia" w:ascii="仿宋" w:hAnsi="仿宋" w:eastAsia="仿宋" w:cs="仿宋"/>
                <w:bCs/>
                <w:color w:val="auto"/>
                <w:sz w:val="24"/>
                <w:highlight w:val="none"/>
              </w:rPr>
              <w:t>（2）其他资格条件：</w:t>
            </w:r>
          </w:p>
          <w:p w14:paraId="48D6DE63">
            <w:pPr>
              <w:keepNext w:val="0"/>
              <w:keepLines w:val="0"/>
              <w:suppressLineNumbers w:val="0"/>
              <w:autoSpaceDE w:val="0"/>
              <w:autoSpaceDN w:val="0"/>
              <w:adjustRightInd w:val="0"/>
              <w:spacing w:before="0" w:beforeAutospacing="0" w:after="0" w:afterAutospacing="0" w:line="360" w:lineRule="auto"/>
              <w:ind w:left="0" w:right="0"/>
              <w:rPr>
                <w:rFonts w:hint="eastAsia" w:ascii="仿宋" w:hAnsi="仿宋" w:eastAsia="仿宋" w:cs="仿宋"/>
              </w:rPr>
            </w:pPr>
            <w:r>
              <w:rPr>
                <w:rFonts w:hint="eastAsia" w:ascii="仿宋" w:hAnsi="仿宋" w:eastAsia="仿宋" w:cs="仿宋"/>
                <w:color w:val="auto"/>
                <w:sz w:val="24"/>
                <w:szCs w:val="24"/>
                <w:highlight w:val="none"/>
                <w:shd w:val="clear" w:color="auto" w:fill="FFFFFF"/>
              </w:rPr>
              <w:t>见公告</w:t>
            </w:r>
          </w:p>
        </w:tc>
      </w:tr>
      <w:tr w14:paraId="1A2E4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34" w:type="dxa"/>
            <w:noWrap w:val="0"/>
            <w:vAlign w:val="center"/>
          </w:tcPr>
          <w:p w14:paraId="17290DDB">
            <w:pPr>
              <w:keepNext w:val="0"/>
              <w:keepLines w:val="0"/>
              <w:numPr>
                <w:ilvl w:val="0"/>
                <w:numId w:val="2"/>
              </w:numPr>
              <w:suppressLineNumbers w:val="0"/>
              <w:spacing w:before="0" w:beforeAutospacing="0" w:after="0" w:afterAutospacing="0"/>
              <w:ind w:right="0"/>
              <w:jc w:val="center"/>
              <w:rPr>
                <w:rFonts w:hint="eastAsia" w:ascii="仿宋" w:hAnsi="仿宋" w:eastAsia="仿宋" w:cs="仿宋"/>
              </w:rPr>
            </w:pPr>
          </w:p>
        </w:tc>
        <w:tc>
          <w:tcPr>
            <w:tcW w:w="1426" w:type="dxa"/>
            <w:noWrap w:val="0"/>
            <w:vAlign w:val="center"/>
          </w:tcPr>
          <w:p w14:paraId="305426CB">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响应文件的数量及签署规定</w:t>
            </w:r>
          </w:p>
        </w:tc>
        <w:tc>
          <w:tcPr>
            <w:tcW w:w="6783" w:type="dxa"/>
            <w:noWrap w:val="0"/>
            <w:vAlign w:val="center"/>
          </w:tcPr>
          <w:p w14:paraId="297A5808">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rPr>
              <w:t>供应商应</w:t>
            </w:r>
            <w:r>
              <w:rPr>
                <w:rFonts w:hint="eastAsia" w:ascii="仿宋" w:hAnsi="仿宋" w:eastAsia="仿宋" w:cs="仿宋"/>
                <w:b/>
                <w:bCs/>
                <w:u w:val="thick"/>
                <w:lang w:val="en-US" w:eastAsia="zh-CN"/>
              </w:rPr>
              <w:t>按包</w:t>
            </w:r>
            <w:r>
              <w:rPr>
                <w:rFonts w:hint="eastAsia" w:ascii="仿宋" w:hAnsi="仿宋" w:eastAsia="仿宋" w:cs="仿宋"/>
              </w:rPr>
              <w:t>制作响应文件，提交壹套正本“响应文件”、贰套副本“响应文件”（响应文件不退还）及电子版文件（Word版及PDF版，单独密封）一份。若正本和副本不符，以正本为准。响应文件应编制目录及页码。供应商应在响应文件封面及响应文件密封文件袋正面注明“正本”、“副本”“电子版”。供应商应在响应文件封面及密封文件袋表面加盖单位公章。以保证响应文件密封性完整。</w:t>
            </w:r>
          </w:p>
        </w:tc>
      </w:tr>
      <w:tr w14:paraId="30ED9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34" w:type="dxa"/>
            <w:noWrap w:val="0"/>
            <w:vAlign w:val="center"/>
          </w:tcPr>
          <w:p w14:paraId="1C53DAEA">
            <w:pPr>
              <w:keepNext w:val="0"/>
              <w:keepLines w:val="0"/>
              <w:numPr>
                <w:ilvl w:val="0"/>
                <w:numId w:val="2"/>
              </w:numPr>
              <w:suppressLineNumbers w:val="0"/>
              <w:spacing w:before="0" w:beforeAutospacing="0" w:after="0" w:afterAutospacing="0"/>
              <w:ind w:right="0"/>
              <w:jc w:val="center"/>
              <w:rPr>
                <w:rFonts w:hint="eastAsia" w:ascii="仿宋" w:hAnsi="仿宋" w:eastAsia="仿宋" w:cs="仿宋"/>
              </w:rPr>
            </w:pPr>
          </w:p>
        </w:tc>
        <w:tc>
          <w:tcPr>
            <w:tcW w:w="1426" w:type="dxa"/>
            <w:noWrap w:val="0"/>
            <w:vAlign w:val="center"/>
          </w:tcPr>
          <w:p w14:paraId="4885F74E">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装订要求</w:t>
            </w:r>
          </w:p>
        </w:tc>
        <w:tc>
          <w:tcPr>
            <w:tcW w:w="6783" w:type="dxa"/>
            <w:noWrap w:val="0"/>
            <w:vAlign w:val="center"/>
          </w:tcPr>
          <w:p w14:paraId="12028335">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rPr>
              <w:t>响应文件应胶装成册，建议双面打印。</w:t>
            </w:r>
          </w:p>
        </w:tc>
      </w:tr>
      <w:tr w14:paraId="221BA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34" w:type="dxa"/>
            <w:noWrap w:val="0"/>
            <w:vAlign w:val="center"/>
          </w:tcPr>
          <w:p w14:paraId="591B41DD">
            <w:pPr>
              <w:keepNext w:val="0"/>
              <w:keepLines w:val="0"/>
              <w:numPr>
                <w:ilvl w:val="0"/>
                <w:numId w:val="2"/>
              </w:numPr>
              <w:suppressLineNumbers w:val="0"/>
              <w:spacing w:before="0" w:beforeAutospacing="0" w:after="0" w:afterAutospacing="0"/>
              <w:ind w:right="0"/>
              <w:jc w:val="center"/>
              <w:rPr>
                <w:rFonts w:hint="eastAsia" w:ascii="仿宋" w:hAnsi="仿宋" w:eastAsia="仿宋" w:cs="仿宋"/>
              </w:rPr>
            </w:pPr>
          </w:p>
        </w:tc>
        <w:tc>
          <w:tcPr>
            <w:tcW w:w="1426" w:type="dxa"/>
            <w:noWrap w:val="0"/>
            <w:vAlign w:val="center"/>
          </w:tcPr>
          <w:p w14:paraId="7C7565EF">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分包或转包</w:t>
            </w:r>
          </w:p>
        </w:tc>
        <w:tc>
          <w:tcPr>
            <w:tcW w:w="6783" w:type="dxa"/>
            <w:noWrap w:val="0"/>
            <w:vAlign w:val="center"/>
          </w:tcPr>
          <w:p w14:paraId="5FA20869">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rPr>
              <w:t>本项目不允许分包或转包。</w:t>
            </w:r>
          </w:p>
        </w:tc>
      </w:tr>
      <w:tr w14:paraId="6E04A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34" w:type="dxa"/>
            <w:noWrap w:val="0"/>
            <w:vAlign w:val="center"/>
          </w:tcPr>
          <w:p w14:paraId="72F3F56A">
            <w:pPr>
              <w:keepNext w:val="0"/>
              <w:keepLines w:val="0"/>
              <w:numPr>
                <w:ilvl w:val="0"/>
                <w:numId w:val="2"/>
              </w:numPr>
              <w:suppressLineNumbers w:val="0"/>
              <w:spacing w:before="0" w:beforeAutospacing="0" w:after="0" w:afterAutospacing="0"/>
              <w:ind w:right="0"/>
              <w:jc w:val="center"/>
              <w:rPr>
                <w:rFonts w:hint="eastAsia" w:ascii="仿宋" w:hAnsi="仿宋" w:eastAsia="仿宋" w:cs="仿宋"/>
              </w:rPr>
            </w:pPr>
          </w:p>
        </w:tc>
        <w:tc>
          <w:tcPr>
            <w:tcW w:w="1426" w:type="dxa"/>
            <w:noWrap w:val="0"/>
            <w:vAlign w:val="center"/>
          </w:tcPr>
          <w:p w14:paraId="4B035C60">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企业信用</w:t>
            </w:r>
          </w:p>
        </w:tc>
        <w:tc>
          <w:tcPr>
            <w:tcW w:w="6783" w:type="dxa"/>
            <w:noWrap w:val="0"/>
            <w:vAlign w:val="center"/>
          </w:tcPr>
          <w:p w14:paraId="40AF2724">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rPr>
              <w:t>评审现场对供应商“信用中国”网站(www.creditchina.gov.cn)及中国政府采购网(www.ccgp.gov.cn)相关主体信用记录进行查询，被列入失信被执行人、政府采购严重违法失信行为记录名单及其他不符合《中华人民共和国政府采购法》第二十二条规定条件的供应商，将按照无效响应文件处理。</w:t>
            </w:r>
          </w:p>
        </w:tc>
      </w:tr>
      <w:tr w14:paraId="648D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34" w:type="dxa"/>
            <w:noWrap w:val="0"/>
            <w:vAlign w:val="center"/>
          </w:tcPr>
          <w:p w14:paraId="2473C62C">
            <w:pPr>
              <w:keepNext w:val="0"/>
              <w:keepLines w:val="0"/>
              <w:numPr>
                <w:ilvl w:val="0"/>
                <w:numId w:val="2"/>
              </w:numPr>
              <w:suppressLineNumbers w:val="0"/>
              <w:spacing w:before="0" w:beforeAutospacing="0" w:after="0" w:afterAutospacing="0"/>
              <w:ind w:right="0"/>
              <w:jc w:val="center"/>
              <w:rPr>
                <w:rFonts w:hint="eastAsia" w:ascii="仿宋" w:hAnsi="仿宋" w:eastAsia="仿宋" w:cs="仿宋"/>
              </w:rPr>
            </w:pPr>
          </w:p>
        </w:tc>
        <w:tc>
          <w:tcPr>
            <w:tcW w:w="1426" w:type="dxa"/>
            <w:noWrap w:val="0"/>
            <w:vAlign w:val="center"/>
          </w:tcPr>
          <w:p w14:paraId="7DFBD222">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供应商失信行为</w:t>
            </w:r>
          </w:p>
        </w:tc>
        <w:tc>
          <w:tcPr>
            <w:tcW w:w="6783" w:type="dxa"/>
            <w:noWrap w:val="0"/>
            <w:vAlign w:val="top"/>
          </w:tcPr>
          <w:p w14:paraId="3DC1921E">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rPr>
              <w:t>供应商有《陕西省政府采购领域供应商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004B5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34" w:type="dxa"/>
            <w:noWrap w:val="0"/>
            <w:vAlign w:val="center"/>
          </w:tcPr>
          <w:p w14:paraId="7430930A">
            <w:pPr>
              <w:keepNext w:val="0"/>
              <w:keepLines w:val="0"/>
              <w:numPr>
                <w:ilvl w:val="0"/>
                <w:numId w:val="2"/>
              </w:numPr>
              <w:suppressLineNumbers w:val="0"/>
              <w:spacing w:before="0" w:beforeAutospacing="0" w:after="0" w:afterAutospacing="0"/>
              <w:ind w:right="0"/>
              <w:jc w:val="center"/>
              <w:rPr>
                <w:rFonts w:hint="eastAsia" w:ascii="仿宋" w:hAnsi="仿宋" w:eastAsia="仿宋" w:cs="仿宋"/>
              </w:rPr>
            </w:pPr>
          </w:p>
        </w:tc>
        <w:tc>
          <w:tcPr>
            <w:tcW w:w="1426" w:type="dxa"/>
            <w:noWrap w:val="0"/>
            <w:vAlign w:val="center"/>
          </w:tcPr>
          <w:p w14:paraId="5076D6D5">
            <w:pPr>
              <w:keepNext w:val="0"/>
              <w:keepLines w:val="0"/>
              <w:suppressLineNumbers w:val="0"/>
              <w:snapToGrid w:val="0"/>
              <w:spacing w:before="0" w:beforeAutospacing="0" w:after="0" w:afterAutospacing="0"/>
              <w:ind w:left="0" w:right="0"/>
              <w:jc w:val="center"/>
              <w:rPr>
                <w:rFonts w:hint="eastAsia" w:ascii="仿宋_GB2312" w:hAnsi="仿宋_GB2312" w:cs="仿宋_GB2312"/>
              </w:rPr>
            </w:pPr>
            <w:r>
              <w:rPr>
                <w:rFonts w:hint="eastAsia" w:ascii="仿宋" w:hAnsi="仿宋" w:eastAsia="仿宋" w:cs="仿宋"/>
              </w:rPr>
              <w:t>所有权</w:t>
            </w:r>
          </w:p>
        </w:tc>
        <w:tc>
          <w:tcPr>
            <w:tcW w:w="6783" w:type="dxa"/>
            <w:noWrap w:val="0"/>
            <w:vAlign w:val="center"/>
          </w:tcPr>
          <w:p w14:paraId="01CAEAA3">
            <w:pPr>
              <w:keepNext w:val="0"/>
              <w:keepLines w:val="0"/>
              <w:widowControl/>
              <w:suppressLineNumbers w:val="0"/>
              <w:spacing w:before="0" w:beforeAutospacing="0" w:after="0" w:afterAutospacing="0"/>
              <w:ind w:left="0" w:right="0"/>
              <w:jc w:val="left"/>
              <w:rPr>
                <w:rFonts w:hint="eastAsia" w:ascii="仿宋_GB2312" w:hAnsi="仿宋_GB2312" w:cs="仿宋_GB2312"/>
              </w:rPr>
            </w:pPr>
            <w:r>
              <w:rPr>
                <w:rFonts w:hint="eastAsia" w:ascii="仿宋" w:hAnsi="仿宋" w:eastAsia="仿宋" w:cs="仿宋"/>
              </w:rPr>
              <w:t>供应商应保证采购人在国内使用该货物或货物的任何一部分时，免受第三方提出的侵犯其知识产权的起诉。</w:t>
            </w:r>
          </w:p>
        </w:tc>
      </w:tr>
      <w:tr w14:paraId="32E16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34" w:type="dxa"/>
            <w:noWrap w:val="0"/>
            <w:vAlign w:val="center"/>
          </w:tcPr>
          <w:p w14:paraId="18396CC3">
            <w:pPr>
              <w:keepNext w:val="0"/>
              <w:keepLines w:val="0"/>
              <w:numPr>
                <w:ilvl w:val="0"/>
                <w:numId w:val="2"/>
              </w:numPr>
              <w:suppressLineNumbers w:val="0"/>
              <w:spacing w:before="0" w:beforeAutospacing="0" w:after="0" w:afterAutospacing="0"/>
              <w:ind w:right="0"/>
              <w:jc w:val="center"/>
              <w:rPr>
                <w:rFonts w:hint="eastAsia" w:ascii="仿宋" w:hAnsi="仿宋" w:eastAsia="仿宋" w:cs="仿宋"/>
              </w:rPr>
            </w:pPr>
          </w:p>
        </w:tc>
        <w:tc>
          <w:tcPr>
            <w:tcW w:w="1426" w:type="dxa"/>
            <w:noWrap w:val="0"/>
            <w:vAlign w:val="center"/>
          </w:tcPr>
          <w:p w14:paraId="466806FE">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采购预算</w:t>
            </w:r>
          </w:p>
        </w:tc>
        <w:tc>
          <w:tcPr>
            <w:tcW w:w="6783" w:type="dxa"/>
            <w:noWrap w:val="0"/>
            <w:vAlign w:val="top"/>
          </w:tcPr>
          <w:p w14:paraId="601E1E68">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rPr>
              <w:t>供应商谈判总报价超过采购预算的报价为无效报价。</w:t>
            </w:r>
          </w:p>
        </w:tc>
      </w:tr>
      <w:tr w14:paraId="35118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34" w:type="dxa"/>
            <w:noWrap w:val="0"/>
            <w:vAlign w:val="center"/>
          </w:tcPr>
          <w:p w14:paraId="509863DF">
            <w:pPr>
              <w:keepNext w:val="0"/>
              <w:keepLines w:val="0"/>
              <w:numPr>
                <w:ilvl w:val="0"/>
                <w:numId w:val="2"/>
              </w:numPr>
              <w:suppressLineNumbers w:val="0"/>
              <w:spacing w:before="0" w:beforeAutospacing="0" w:after="0" w:afterAutospacing="0"/>
              <w:ind w:right="0"/>
              <w:jc w:val="center"/>
              <w:rPr>
                <w:rFonts w:hint="eastAsia" w:ascii="仿宋" w:hAnsi="仿宋" w:eastAsia="仿宋" w:cs="仿宋"/>
              </w:rPr>
            </w:pPr>
            <w:bookmarkStart w:id="14" w:name="_Toc246928894"/>
            <w:bookmarkStart w:id="15" w:name="_Toc283240485"/>
            <w:bookmarkStart w:id="16" w:name="_Toc283626501"/>
            <w:bookmarkStart w:id="17" w:name="_Toc311415569"/>
            <w:bookmarkStart w:id="18" w:name="_Toc332874418"/>
          </w:p>
        </w:tc>
        <w:tc>
          <w:tcPr>
            <w:tcW w:w="1426" w:type="dxa"/>
            <w:noWrap w:val="0"/>
            <w:vAlign w:val="center"/>
          </w:tcPr>
          <w:p w14:paraId="3A26298F">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sz w:val="24"/>
              </w:rPr>
              <w:t>中小企业划型标准</w:t>
            </w:r>
          </w:p>
        </w:tc>
        <w:tc>
          <w:tcPr>
            <w:tcW w:w="6783" w:type="dxa"/>
            <w:noWrap w:val="0"/>
            <w:vAlign w:val="top"/>
          </w:tcPr>
          <w:p w14:paraId="5960E3E8">
            <w:pPr>
              <w:keepNext w:val="0"/>
              <w:keepLines w:val="0"/>
              <w:suppressLineNumbers w:val="0"/>
              <w:spacing w:before="0" w:beforeAutospacing="0" w:after="0" w:afterAutospacing="0" w:line="360" w:lineRule="auto"/>
              <w:ind w:left="0" w:right="0"/>
              <w:rPr>
                <w:rFonts w:hint="default" w:ascii="仿宋" w:hAnsi="仿宋" w:eastAsia="仿宋" w:cs="仿宋"/>
                <w:b/>
                <w:bCs/>
                <w:sz w:val="24"/>
                <w:szCs w:val="24"/>
                <w:highlight w:val="none"/>
                <w:u w:val="single"/>
                <w:lang w:val="en-US" w:eastAsia="zh-CN"/>
              </w:rPr>
            </w:pPr>
            <w:r>
              <w:rPr>
                <w:rFonts w:hint="eastAsia" w:ascii="仿宋" w:hAnsi="仿宋" w:eastAsia="仿宋" w:cs="仿宋"/>
                <w:sz w:val="24"/>
                <w:szCs w:val="24"/>
              </w:rPr>
              <w:t>政府采购</w:t>
            </w:r>
            <w:r>
              <w:rPr>
                <w:rFonts w:hint="eastAsia" w:ascii="仿宋" w:hAnsi="仿宋" w:eastAsia="仿宋" w:cs="仿宋"/>
                <w:sz w:val="24"/>
                <w:szCs w:val="24"/>
                <w:lang w:val="en-US" w:eastAsia="zh-CN"/>
              </w:rPr>
              <w:t>货物</w:t>
            </w:r>
            <w:r>
              <w:rPr>
                <w:rFonts w:hint="eastAsia" w:ascii="仿宋" w:hAnsi="仿宋" w:eastAsia="仿宋" w:cs="仿宋"/>
                <w:sz w:val="24"/>
                <w:szCs w:val="24"/>
              </w:rPr>
              <w:t>类中小企业说明</w:t>
            </w:r>
          </w:p>
          <w:p w14:paraId="0FDA8CC3">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《中小企业划型标准规定》(工信部联企业[2011]300号)</w:t>
            </w:r>
          </w:p>
          <w:p w14:paraId="06D4160A">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一、根据《中华人民共和国中小企业促进法》和《国务院关于进一步促进中小企业发展的若干意见》（国发〔2009〕36号)，制定本规定。</w:t>
            </w:r>
          </w:p>
          <w:p w14:paraId="31DBBBB3">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二、中小企业划分为中型、小型、微型三种类型，具体标准根据企业从业人员、营业收入、资产总额等指标，结合行业特点制定。</w:t>
            </w:r>
          </w:p>
          <w:p w14:paraId="57F667E2">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211E220">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四、本项目划分标准：</w:t>
            </w:r>
          </w:p>
          <w:p w14:paraId="6D514CCB">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b/>
                <w:bCs/>
                <w:color w:val="auto"/>
                <w:sz w:val="24"/>
                <w:szCs w:val="24"/>
                <w:lang w:bidi="ar"/>
              </w:rPr>
              <w:t>工业。</w:t>
            </w:r>
            <w:r>
              <w:rPr>
                <w:rFonts w:hint="eastAsia" w:ascii="仿宋" w:hAnsi="仿宋" w:eastAsia="仿宋" w:cs="仿宋"/>
                <w:b w:val="0"/>
                <w:bCs w:val="0"/>
                <w:color w:val="auto"/>
                <w:sz w:val="24"/>
                <w:szCs w:val="24"/>
                <w:lang w:eastAsia="zh-CN" w:bidi="ar"/>
              </w:rPr>
              <w:t>（</w:t>
            </w:r>
            <w:r>
              <w:rPr>
                <w:rFonts w:hint="eastAsia" w:ascii="仿宋" w:hAnsi="仿宋" w:eastAsia="仿宋" w:cs="仿宋"/>
                <w:b w:val="0"/>
                <w:bCs w:val="0"/>
                <w:color w:val="auto"/>
                <w:sz w:val="24"/>
                <w:szCs w:val="24"/>
                <w:lang w:bidi="ar"/>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仿宋" w:hAnsi="仿宋" w:eastAsia="仿宋" w:cs="仿宋"/>
                <w:b w:val="0"/>
                <w:bCs w:val="0"/>
                <w:color w:val="auto"/>
                <w:sz w:val="24"/>
                <w:szCs w:val="24"/>
                <w:lang w:eastAsia="zh-CN" w:bidi="ar"/>
              </w:rPr>
              <w:t>）</w:t>
            </w:r>
          </w:p>
        </w:tc>
      </w:tr>
      <w:tr w14:paraId="0CD1D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34" w:type="dxa"/>
            <w:noWrap w:val="0"/>
            <w:vAlign w:val="center"/>
          </w:tcPr>
          <w:p w14:paraId="4C0B3245">
            <w:pPr>
              <w:keepNext w:val="0"/>
              <w:keepLines w:val="0"/>
              <w:numPr>
                <w:ilvl w:val="0"/>
                <w:numId w:val="2"/>
              </w:numPr>
              <w:suppressLineNumbers w:val="0"/>
              <w:spacing w:before="0" w:beforeAutospacing="0" w:after="0" w:afterAutospacing="0"/>
              <w:ind w:right="0"/>
              <w:jc w:val="center"/>
              <w:rPr>
                <w:rFonts w:hint="eastAsia" w:ascii="仿宋" w:hAnsi="仿宋" w:eastAsia="仿宋" w:cs="仿宋"/>
              </w:rPr>
            </w:pPr>
          </w:p>
        </w:tc>
        <w:tc>
          <w:tcPr>
            <w:tcW w:w="1426" w:type="dxa"/>
            <w:noWrap w:val="0"/>
            <w:vAlign w:val="center"/>
          </w:tcPr>
          <w:p w14:paraId="40C54D52">
            <w:pPr>
              <w:keepNext w:val="0"/>
              <w:keepLines w:val="0"/>
              <w:suppressLineNumbers w:val="0"/>
              <w:spacing w:before="0" w:beforeAutospacing="0" w:after="0" w:afterAutospacing="0"/>
              <w:ind w:left="0" w:right="0"/>
              <w:jc w:val="center"/>
              <w:rPr>
                <w:rFonts w:hint="eastAsia" w:ascii="仿宋" w:hAnsi="仿宋" w:eastAsia="仿宋" w:cs="仿宋"/>
                <w:sz w:val="24"/>
              </w:rPr>
            </w:pPr>
            <w:r>
              <w:rPr>
                <w:rFonts w:hint="eastAsia" w:ascii="仿宋" w:hAnsi="仿宋" w:eastAsia="仿宋" w:cs="仿宋"/>
                <w:sz w:val="24"/>
              </w:rPr>
              <w:t>供应商质疑</w:t>
            </w:r>
          </w:p>
        </w:tc>
        <w:tc>
          <w:tcPr>
            <w:tcW w:w="6783" w:type="dxa"/>
            <w:noWrap w:val="0"/>
            <w:vAlign w:val="top"/>
          </w:tcPr>
          <w:p w14:paraId="4B9548A4">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仿宋" w:hAnsi="仿宋" w:eastAsia="仿宋" w:cs="仿宋"/>
                <w:sz w:val="24"/>
              </w:rPr>
            </w:pPr>
            <w:r>
              <w:rPr>
                <w:rFonts w:hint="eastAsia" w:ascii="仿宋" w:hAnsi="仿宋" w:eastAsia="仿宋" w:cs="仿宋"/>
                <w:sz w:val="24"/>
              </w:rPr>
              <w:t>供应商提出质疑应符合中华人民共和国财政部令第94号《政府采购质疑和投诉办法》的规定：</w:t>
            </w:r>
          </w:p>
          <w:p w14:paraId="68DB0E54">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仿宋" w:hAnsi="仿宋" w:eastAsia="仿宋" w:cs="仿宋"/>
                <w:sz w:val="24"/>
              </w:rPr>
            </w:pPr>
            <w:r>
              <w:rPr>
                <w:rFonts w:hint="eastAsia" w:ascii="仿宋" w:hAnsi="仿宋" w:eastAsia="仿宋" w:cs="仿宋"/>
                <w:sz w:val="24"/>
              </w:rPr>
              <w:t>1、提出质疑的供应商应当是参与所质疑项目采购活动的供应商。</w:t>
            </w:r>
          </w:p>
          <w:p w14:paraId="44848231">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仿宋" w:hAnsi="仿宋" w:eastAsia="仿宋" w:cs="仿宋"/>
                <w:sz w:val="24"/>
              </w:rPr>
            </w:pPr>
            <w:r>
              <w:rPr>
                <w:rFonts w:hint="eastAsia" w:ascii="仿宋" w:hAnsi="仿宋" w:eastAsia="仿宋" w:cs="仿宋"/>
                <w:sz w:val="24"/>
              </w:rPr>
              <w:t>2、供应商认为采购文件、采购过程、中标或者成交结果使自己的权益受到损害的，可以在知道或者应知其权益受到损害之日起7个工作日内，以书面形式向采购人、采购代理机构提出质疑，供应商应在法定质疑期内一次性提出针对同一采购程序环节的质疑。</w:t>
            </w:r>
          </w:p>
          <w:p w14:paraId="7D1A8F83">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仿宋" w:hAnsi="仿宋" w:eastAsia="仿宋" w:cs="仿宋"/>
                <w:sz w:val="24"/>
              </w:rPr>
            </w:pPr>
            <w:r>
              <w:rPr>
                <w:rFonts w:hint="eastAsia" w:ascii="仿宋" w:hAnsi="仿宋" w:eastAsia="仿宋" w:cs="仿宋"/>
                <w:sz w:val="24"/>
              </w:rPr>
              <w:t>供应商应知其权益受到损害之日，是指：</w:t>
            </w:r>
          </w:p>
          <w:p w14:paraId="41BF9DC0">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仿宋" w:hAnsi="仿宋" w:eastAsia="仿宋" w:cs="仿宋"/>
                <w:sz w:val="24"/>
              </w:rPr>
            </w:pPr>
            <w:r>
              <w:rPr>
                <w:rFonts w:hint="eastAsia" w:ascii="仿宋" w:hAnsi="仿宋" w:eastAsia="仿宋" w:cs="仿宋"/>
                <w:sz w:val="24"/>
              </w:rPr>
              <w:t>2.1对可以质疑的采购文件提出质疑的，为收到采购文件之日或者采购文件公告期限届满之日；</w:t>
            </w:r>
          </w:p>
          <w:p w14:paraId="24A6C78E">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仿宋" w:hAnsi="仿宋" w:eastAsia="仿宋" w:cs="仿宋"/>
                <w:sz w:val="24"/>
              </w:rPr>
            </w:pPr>
            <w:r>
              <w:rPr>
                <w:rFonts w:hint="eastAsia" w:ascii="仿宋" w:hAnsi="仿宋" w:eastAsia="仿宋" w:cs="仿宋"/>
                <w:sz w:val="24"/>
              </w:rPr>
              <w:t>2.2对采购过程提出质疑的，为各采购程序环节结束之日；</w:t>
            </w:r>
          </w:p>
          <w:p w14:paraId="0D62FCCE">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仿宋" w:hAnsi="仿宋" w:eastAsia="仿宋" w:cs="仿宋"/>
                <w:sz w:val="24"/>
              </w:rPr>
            </w:pPr>
            <w:r>
              <w:rPr>
                <w:rFonts w:hint="eastAsia" w:ascii="仿宋" w:hAnsi="仿宋" w:eastAsia="仿宋" w:cs="仿宋"/>
                <w:sz w:val="24"/>
              </w:rPr>
              <w:t>2.3对中标或者成交结果提出质疑的，为中标或者成交结果公告期限届满之日。</w:t>
            </w:r>
          </w:p>
          <w:p w14:paraId="3D022903">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仿宋" w:hAnsi="仿宋" w:eastAsia="仿宋" w:cs="仿宋"/>
                <w:sz w:val="24"/>
              </w:rPr>
            </w:pPr>
            <w:r>
              <w:rPr>
                <w:rFonts w:hint="eastAsia" w:ascii="仿宋" w:hAnsi="仿宋" w:eastAsia="仿宋" w:cs="仿宋"/>
                <w:sz w:val="24"/>
              </w:rPr>
              <w:t>3、供应商提出质疑应当提交质疑函和必要的证明材料。质疑函应当包括：</w:t>
            </w:r>
          </w:p>
          <w:p w14:paraId="1356B837">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仿宋" w:hAnsi="仿宋" w:eastAsia="仿宋" w:cs="仿宋"/>
                <w:sz w:val="24"/>
              </w:rPr>
            </w:pPr>
            <w:r>
              <w:rPr>
                <w:rFonts w:hint="eastAsia" w:ascii="仿宋" w:hAnsi="仿宋" w:eastAsia="仿宋" w:cs="仿宋"/>
                <w:sz w:val="24"/>
              </w:rPr>
              <w:t>3.1供应商的姓名或者名称、地址、邮编、联系人及联系电话；</w:t>
            </w:r>
          </w:p>
          <w:p w14:paraId="02590DF4">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仿宋" w:hAnsi="仿宋" w:eastAsia="仿宋" w:cs="仿宋"/>
                <w:sz w:val="24"/>
              </w:rPr>
            </w:pPr>
            <w:r>
              <w:rPr>
                <w:rFonts w:hint="eastAsia" w:ascii="仿宋" w:hAnsi="仿宋" w:eastAsia="仿宋" w:cs="仿宋"/>
                <w:sz w:val="24"/>
              </w:rPr>
              <w:t>3.2质疑项目的名称、编号；</w:t>
            </w:r>
          </w:p>
          <w:p w14:paraId="78FE550E">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仿宋" w:hAnsi="仿宋" w:eastAsia="仿宋" w:cs="仿宋"/>
                <w:sz w:val="24"/>
              </w:rPr>
            </w:pPr>
            <w:r>
              <w:rPr>
                <w:rFonts w:hint="eastAsia" w:ascii="仿宋" w:hAnsi="仿宋" w:eastAsia="仿宋" w:cs="仿宋"/>
                <w:sz w:val="24"/>
              </w:rPr>
              <w:t>3.3具体、明确的质疑事项和与质疑事项相关的请求；</w:t>
            </w:r>
          </w:p>
          <w:p w14:paraId="6505C4F9">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仿宋" w:hAnsi="仿宋" w:eastAsia="仿宋" w:cs="仿宋"/>
                <w:sz w:val="24"/>
              </w:rPr>
            </w:pPr>
            <w:r>
              <w:rPr>
                <w:rFonts w:hint="eastAsia" w:ascii="仿宋" w:hAnsi="仿宋" w:eastAsia="仿宋" w:cs="仿宋"/>
                <w:sz w:val="24"/>
              </w:rPr>
              <w:t>3.4事实依据；</w:t>
            </w:r>
          </w:p>
          <w:p w14:paraId="73DE358B">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仿宋" w:hAnsi="仿宋" w:eastAsia="仿宋" w:cs="仿宋"/>
                <w:sz w:val="24"/>
              </w:rPr>
            </w:pPr>
            <w:r>
              <w:rPr>
                <w:rFonts w:hint="eastAsia" w:ascii="仿宋" w:hAnsi="仿宋" w:eastAsia="仿宋" w:cs="仿宋"/>
                <w:sz w:val="24"/>
              </w:rPr>
              <w:t>3.5必要的法律依据；</w:t>
            </w:r>
          </w:p>
          <w:p w14:paraId="0BA1E331">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仿宋" w:hAnsi="仿宋" w:eastAsia="仿宋" w:cs="仿宋"/>
                <w:sz w:val="24"/>
              </w:rPr>
            </w:pPr>
            <w:r>
              <w:rPr>
                <w:rFonts w:hint="eastAsia" w:ascii="仿宋" w:hAnsi="仿宋" w:eastAsia="仿宋" w:cs="仿宋"/>
                <w:sz w:val="24"/>
              </w:rPr>
              <w:t>3.6提出质疑的日期。</w:t>
            </w:r>
          </w:p>
          <w:p w14:paraId="1CAFD6C1">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仿宋" w:hAnsi="仿宋" w:eastAsia="仿宋" w:cs="仿宋"/>
                <w:sz w:val="24"/>
              </w:rPr>
            </w:pPr>
            <w:r>
              <w:rPr>
                <w:rFonts w:hint="eastAsia" w:ascii="仿宋" w:hAnsi="仿宋" w:eastAsia="仿宋" w:cs="仿宋"/>
                <w:sz w:val="24"/>
              </w:rPr>
              <w:t>质疑函应采用财政部颁布的《政府采购供应商质疑函范本》。</w:t>
            </w:r>
          </w:p>
          <w:p w14:paraId="5662753D">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仿宋" w:hAnsi="仿宋" w:eastAsia="仿宋" w:cs="仿宋"/>
                <w:sz w:val="24"/>
              </w:rPr>
            </w:pPr>
            <w:r>
              <w:rPr>
                <w:rFonts w:hint="eastAsia" w:ascii="仿宋" w:hAnsi="仿宋" w:eastAsia="仿宋" w:cs="仿宋"/>
                <w:sz w:val="24"/>
              </w:rPr>
              <w:t>供应商为自然人的，应当由本人签字；供应商为法人或者其他组织的，应当由法定代表人、主要负责人，或者其授权代表签字或者盖章，并加盖公章。</w:t>
            </w:r>
          </w:p>
          <w:p w14:paraId="4EB3BC18">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仿宋" w:hAnsi="仿宋" w:eastAsia="仿宋" w:cs="仿宋"/>
                <w:sz w:val="24"/>
              </w:rPr>
            </w:pPr>
            <w:r>
              <w:rPr>
                <w:rFonts w:hint="eastAsia" w:ascii="仿宋" w:hAnsi="仿宋" w:eastAsia="仿宋" w:cs="仿宋"/>
                <w:sz w:val="24"/>
              </w:rPr>
              <w:t>4、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D39FFB6">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仿宋" w:hAnsi="仿宋" w:eastAsia="仿宋" w:cs="仿宋"/>
                <w:sz w:val="24"/>
              </w:rPr>
            </w:pPr>
            <w:r>
              <w:rPr>
                <w:rFonts w:hint="eastAsia" w:ascii="仿宋" w:hAnsi="仿宋" w:eastAsia="仿宋" w:cs="仿宋"/>
                <w:sz w:val="24"/>
              </w:rPr>
              <w:t>5、有下列情形之一的，属于无效质疑，采购代理机构和采购人不予受理：</w:t>
            </w:r>
          </w:p>
          <w:p w14:paraId="56F42CE1">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仿宋" w:hAnsi="仿宋" w:eastAsia="仿宋" w:cs="仿宋"/>
                <w:sz w:val="24"/>
              </w:rPr>
            </w:pPr>
            <w:r>
              <w:rPr>
                <w:rFonts w:hint="eastAsia" w:ascii="仿宋" w:hAnsi="仿宋" w:eastAsia="仿宋" w:cs="仿宋"/>
                <w:sz w:val="24"/>
              </w:rPr>
              <w:t>5.1质疑供应商不是参与所质疑项目采购活动的供应商；</w:t>
            </w:r>
          </w:p>
          <w:p w14:paraId="41EF1F7D">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仿宋" w:hAnsi="仿宋" w:eastAsia="仿宋" w:cs="仿宋"/>
                <w:sz w:val="24"/>
              </w:rPr>
            </w:pPr>
            <w:r>
              <w:rPr>
                <w:rFonts w:hint="eastAsia" w:ascii="仿宋" w:hAnsi="仿宋" w:eastAsia="仿宋" w:cs="仿宋"/>
                <w:sz w:val="24"/>
              </w:rPr>
              <w:t>5.2未在法定质疑期内发出质疑的；</w:t>
            </w:r>
          </w:p>
          <w:p w14:paraId="5DE0082F">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仿宋" w:hAnsi="仿宋" w:eastAsia="仿宋" w:cs="仿宋"/>
                <w:sz w:val="24"/>
              </w:rPr>
            </w:pPr>
            <w:r>
              <w:rPr>
                <w:rFonts w:hint="eastAsia" w:ascii="仿宋" w:hAnsi="仿宋" w:eastAsia="仿宋" w:cs="仿宋"/>
                <w:sz w:val="24"/>
              </w:rPr>
              <w:t>5.3质疑未以书面形式提出；</w:t>
            </w:r>
          </w:p>
          <w:p w14:paraId="6BCB3106">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仿宋" w:hAnsi="仿宋" w:eastAsia="仿宋" w:cs="仿宋"/>
                <w:sz w:val="24"/>
              </w:rPr>
            </w:pPr>
            <w:r>
              <w:rPr>
                <w:rFonts w:hint="eastAsia" w:ascii="仿宋" w:hAnsi="仿宋" w:eastAsia="仿宋" w:cs="仿宋"/>
                <w:sz w:val="24"/>
              </w:rPr>
              <w:t>5.4质疑函没有合法有效的签字、盖章或授权的；</w:t>
            </w:r>
          </w:p>
          <w:p w14:paraId="2707A2AF">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仿宋" w:hAnsi="仿宋" w:eastAsia="仿宋" w:cs="仿宋"/>
                <w:sz w:val="24"/>
              </w:rPr>
            </w:pPr>
            <w:r>
              <w:rPr>
                <w:rFonts w:hint="eastAsia" w:ascii="仿宋" w:hAnsi="仿宋" w:eastAsia="仿宋" w:cs="仿宋"/>
                <w:sz w:val="24"/>
              </w:rPr>
              <w:t>5.5以非法手段取得证据、材料的；</w:t>
            </w:r>
          </w:p>
          <w:p w14:paraId="0864A81A">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仿宋" w:hAnsi="仿宋" w:eastAsia="仿宋" w:cs="仿宋"/>
                <w:sz w:val="24"/>
              </w:rPr>
            </w:pPr>
            <w:r>
              <w:rPr>
                <w:rFonts w:hint="eastAsia" w:ascii="仿宋" w:hAnsi="仿宋" w:eastAsia="仿宋" w:cs="仿宋"/>
                <w:sz w:val="24"/>
              </w:rPr>
              <w:t>5.6质疑答复后，同一质疑人就同一事项再次提出质疑的；</w:t>
            </w:r>
          </w:p>
          <w:p w14:paraId="2B41CBB2">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仿宋" w:hAnsi="仿宋" w:eastAsia="仿宋" w:cs="仿宋"/>
                <w:sz w:val="24"/>
              </w:rPr>
            </w:pPr>
            <w:r>
              <w:rPr>
                <w:rFonts w:hint="eastAsia" w:ascii="仿宋" w:hAnsi="仿宋" w:eastAsia="仿宋" w:cs="仿宋"/>
                <w:sz w:val="24"/>
              </w:rPr>
              <w:t>5.7不符合法律、法规、规章和政府采购监管机构规定的其他条件的。</w:t>
            </w:r>
          </w:p>
          <w:p w14:paraId="5DAE3736">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仿宋" w:hAnsi="仿宋" w:eastAsia="仿宋" w:cs="仿宋"/>
                <w:sz w:val="24"/>
              </w:rPr>
            </w:pPr>
            <w:r>
              <w:rPr>
                <w:rFonts w:hint="eastAsia" w:ascii="仿宋" w:hAnsi="仿宋" w:eastAsia="仿宋" w:cs="仿宋"/>
                <w:sz w:val="24"/>
              </w:rPr>
              <w:t>6、质疑答复</w:t>
            </w:r>
          </w:p>
          <w:p w14:paraId="389F617F">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仿宋" w:hAnsi="仿宋" w:eastAsia="仿宋" w:cs="仿宋"/>
                <w:sz w:val="24"/>
              </w:rPr>
            </w:pPr>
            <w:r>
              <w:rPr>
                <w:rFonts w:hint="eastAsia" w:ascii="仿宋" w:hAnsi="仿宋" w:eastAsia="仿宋" w:cs="仿宋"/>
                <w:sz w:val="24"/>
              </w:rPr>
              <w:t>采购人、采购代理机构在收到质疑函后七个工作日内做出答复。</w:t>
            </w:r>
          </w:p>
          <w:p w14:paraId="26E7B383">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仿宋" w:hAnsi="仿宋" w:eastAsia="仿宋" w:cs="仿宋"/>
                <w:sz w:val="24"/>
              </w:rPr>
            </w:pPr>
            <w:r>
              <w:rPr>
                <w:rFonts w:hint="eastAsia" w:ascii="仿宋" w:hAnsi="仿宋" w:eastAsia="仿宋" w:cs="仿宋"/>
                <w:sz w:val="24"/>
              </w:rPr>
              <w:t>7、质疑接收方式：供应商以书面形式将质疑函原件和必要的证明材料送至接收部门，法定代表人、主要负责人、自然人提交质疑函须提交其身份证复印件，代理人提交质疑函须提交授权委托书及授权人和被授权人身份证复印件。</w:t>
            </w:r>
          </w:p>
          <w:p w14:paraId="1483FBD2">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仿宋" w:hAnsi="仿宋" w:eastAsia="仿宋" w:cs="仿宋"/>
                <w:sz w:val="24"/>
              </w:rPr>
            </w:pPr>
            <w:r>
              <w:rPr>
                <w:rFonts w:hint="eastAsia" w:ascii="仿宋" w:hAnsi="仿宋" w:eastAsia="仿宋" w:cs="仿宋"/>
                <w:sz w:val="24"/>
              </w:rPr>
              <w:t>接收部门：</w:t>
            </w:r>
            <w:r>
              <w:rPr>
                <w:rFonts w:hint="eastAsia" w:ascii="仿宋" w:hAnsi="仿宋" w:eastAsia="仿宋" w:cs="仿宋"/>
                <w:sz w:val="24"/>
                <w:u w:val="single"/>
              </w:rPr>
              <w:t xml:space="preserve">  陕西中技招标有限公司企业管理部     </w:t>
            </w:r>
          </w:p>
          <w:p w14:paraId="4FF59841">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仿宋" w:hAnsi="仿宋" w:eastAsia="仿宋" w:cs="仿宋"/>
                <w:sz w:val="24"/>
              </w:rPr>
            </w:pPr>
            <w:r>
              <w:rPr>
                <w:rFonts w:hint="eastAsia" w:ascii="仿宋" w:hAnsi="仿宋" w:eastAsia="仿宋" w:cs="仿宋"/>
                <w:sz w:val="24"/>
              </w:rPr>
              <w:t>接 收 人：</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戴</w:t>
            </w:r>
            <w:r>
              <w:rPr>
                <w:rFonts w:hint="eastAsia" w:ascii="仿宋" w:hAnsi="仿宋" w:eastAsia="仿宋" w:cs="仿宋"/>
                <w:sz w:val="24"/>
                <w:u w:val="single"/>
              </w:rPr>
              <w:t xml:space="preserve">经理       </w:t>
            </w:r>
          </w:p>
          <w:p w14:paraId="25B8081A">
            <w:pPr>
              <w:keepNext w:val="0"/>
              <w:keepLines w:val="0"/>
              <w:pageBreakBefore w:val="0"/>
              <w:widowControl w:val="0"/>
              <w:suppressLineNumbers w:val="0"/>
              <w:kinsoku/>
              <w:wordWrap/>
              <w:overflowPunct/>
              <w:topLinePunct w:val="0"/>
              <w:bidi w:val="0"/>
              <w:snapToGrid w:val="0"/>
              <w:spacing w:before="0" w:beforeAutospacing="0" w:after="0" w:afterAutospacing="0" w:line="360" w:lineRule="auto"/>
              <w:ind w:left="0" w:right="0"/>
              <w:textAlignment w:val="auto"/>
              <w:rPr>
                <w:rFonts w:hint="eastAsia" w:ascii="仿宋" w:hAnsi="仿宋" w:eastAsia="仿宋" w:cs="仿宋"/>
                <w:sz w:val="24"/>
              </w:rPr>
            </w:pPr>
            <w:r>
              <w:rPr>
                <w:rFonts w:hint="eastAsia" w:ascii="仿宋" w:hAnsi="仿宋" w:eastAsia="仿宋" w:cs="仿宋"/>
                <w:sz w:val="24"/>
              </w:rPr>
              <w:t>联系电话：029-</w:t>
            </w:r>
            <w:r>
              <w:rPr>
                <w:rFonts w:hint="eastAsia" w:ascii="仿宋" w:hAnsi="仿宋" w:eastAsia="仿宋" w:cs="仿宋"/>
                <w:sz w:val="24"/>
                <w:lang w:eastAsia="zh-CN"/>
              </w:rPr>
              <w:t>87304326</w:t>
            </w:r>
            <w:r>
              <w:rPr>
                <w:rFonts w:hint="eastAsia" w:ascii="仿宋" w:hAnsi="仿宋" w:eastAsia="仿宋" w:cs="仿宋"/>
                <w:sz w:val="24"/>
              </w:rPr>
              <w:t>-8</w:t>
            </w:r>
            <w:r>
              <w:rPr>
                <w:rFonts w:hint="eastAsia" w:ascii="仿宋" w:hAnsi="仿宋" w:eastAsia="仿宋" w:cs="仿宋"/>
                <w:sz w:val="24"/>
                <w:lang w:val="en-US" w:eastAsia="zh-CN"/>
              </w:rPr>
              <w:t>5</w:t>
            </w:r>
            <w:r>
              <w:rPr>
                <w:rFonts w:hint="eastAsia" w:ascii="仿宋" w:hAnsi="仿宋" w:eastAsia="仿宋" w:cs="仿宋"/>
                <w:sz w:val="24"/>
              </w:rPr>
              <w:t>6</w:t>
            </w:r>
          </w:p>
          <w:p w14:paraId="751E6F2D">
            <w:pPr>
              <w:keepNext w:val="0"/>
              <w:keepLines w:val="0"/>
              <w:pageBreakBefore w:val="0"/>
              <w:widowControl w:val="0"/>
              <w:suppressLineNumbers w:val="0"/>
              <w:kinsoku/>
              <w:wordWrap/>
              <w:overflowPunct/>
              <w:topLinePunct w:val="0"/>
              <w:bidi w:val="0"/>
              <w:snapToGrid w:val="0"/>
              <w:spacing w:before="0" w:beforeAutospacing="0" w:after="0" w:afterAutospacing="0" w:line="360" w:lineRule="auto"/>
              <w:ind w:left="0" w:right="0"/>
              <w:textAlignment w:val="auto"/>
              <w:rPr>
                <w:rFonts w:hint="eastAsia" w:ascii="仿宋" w:hAnsi="仿宋" w:eastAsia="仿宋" w:cs="仿宋"/>
                <w:sz w:val="24"/>
              </w:rPr>
            </w:pPr>
            <w:r>
              <w:rPr>
                <w:rFonts w:hint="eastAsia" w:ascii="仿宋" w:hAnsi="仿宋" w:eastAsia="仿宋" w:cs="仿宋"/>
                <w:sz w:val="24"/>
              </w:rPr>
              <w:t>地 址：西安市高新区高新四路1号高科广场A座1001室</w:t>
            </w:r>
          </w:p>
          <w:p w14:paraId="52E4BCA7">
            <w:pPr>
              <w:keepNext w:val="0"/>
              <w:keepLines w:val="0"/>
              <w:suppressLineNumbers w:val="0"/>
              <w:spacing w:before="0" w:beforeAutospacing="0" w:after="0" w:afterAutospacing="0"/>
              <w:ind w:left="0" w:right="0"/>
              <w:rPr>
                <w:rFonts w:hint="eastAsia" w:ascii="仿宋" w:hAnsi="仿宋" w:eastAsia="仿宋" w:cs="仿宋"/>
                <w:b/>
                <w:bCs/>
                <w:color w:val="auto"/>
                <w:sz w:val="24"/>
                <w:szCs w:val="24"/>
                <w:lang w:bidi="ar"/>
              </w:rPr>
            </w:pPr>
            <w:r>
              <w:rPr>
                <w:rFonts w:hint="eastAsia" w:ascii="仿宋" w:hAnsi="仿宋" w:eastAsia="仿宋" w:cs="仿宋"/>
                <w:sz w:val="24"/>
              </w:rPr>
              <w:t>8、投诉人在全国范围12个月内三次以上投诉查无实据的，由财政部门列入不良行为记录名单。</w:t>
            </w:r>
            <w:r>
              <w:rPr>
                <w:rFonts w:hint="eastAsia" w:ascii="仿宋" w:hAnsi="仿宋" w:eastAsia="仿宋" w:cs="仿宋"/>
                <w:sz w:val="24"/>
              </w:rPr>
              <w:br w:type="textWrapping"/>
            </w:r>
            <w:r>
              <w:rPr>
                <w:rFonts w:hint="eastAsia" w:ascii="仿宋" w:hAnsi="仿宋" w:eastAsia="仿宋" w:cs="仿宋"/>
                <w:sz w:val="24"/>
              </w:rPr>
              <w:t>9、投诉人有下列行为之一的，属于虚假、恶意投诉，由财政部门列入不良行为记录名单，禁止其1至3年内参加政府采购活动：</w:t>
            </w:r>
            <w:r>
              <w:rPr>
                <w:rFonts w:hint="eastAsia" w:ascii="仿宋" w:hAnsi="仿宋" w:eastAsia="仿宋" w:cs="仿宋"/>
                <w:sz w:val="24"/>
              </w:rPr>
              <w:br w:type="textWrapping"/>
            </w:r>
            <w:r>
              <w:rPr>
                <w:rFonts w:hint="eastAsia" w:ascii="仿宋" w:hAnsi="仿宋" w:eastAsia="仿宋" w:cs="仿宋"/>
                <w:sz w:val="24"/>
              </w:rPr>
              <w:t>9.1捏造事实;</w:t>
            </w:r>
            <w:r>
              <w:rPr>
                <w:rFonts w:hint="eastAsia" w:ascii="仿宋" w:hAnsi="仿宋" w:eastAsia="仿宋" w:cs="仿宋"/>
                <w:sz w:val="24"/>
              </w:rPr>
              <w:br w:type="textWrapping"/>
            </w:r>
            <w:r>
              <w:rPr>
                <w:rFonts w:hint="eastAsia" w:ascii="仿宋" w:hAnsi="仿宋" w:eastAsia="仿宋" w:cs="仿宋"/>
                <w:sz w:val="24"/>
              </w:rPr>
              <w:t>9.2提供虚假材料;</w:t>
            </w:r>
            <w:r>
              <w:rPr>
                <w:rFonts w:hint="eastAsia" w:ascii="仿宋" w:hAnsi="仿宋" w:eastAsia="仿宋" w:cs="仿宋"/>
                <w:sz w:val="24"/>
              </w:rPr>
              <w:br w:type="textWrapping"/>
            </w:r>
            <w:r>
              <w:rPr>
                <w:rFonts w:hint="eastAsia" w:ascii="仿宋" w:hAnsi="仿宋" w:eastAsia="仿宋" w:cs="仿宋"/>
                <w:sz w:val="24"/>
              </w:rPr>
              <w:t>9.3以非法手段取得证明材料。证据来源的合法性存在明显疑问，投诉人无</w:t>
            </w:r>
          </w:p>
        </w:tc>
      </w:tr>
      <w:tr w14:paraId="2A30E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34" w:type="dxa"/>
            <w:noWrap w:val="0"/>
            <w:vAlign w:val="center"/>
          </w:tcPr>
          <w:p w14:paraId="24A02E6D">
            <w:pPr>
              <w:keepNext w:val="0"/>
              <w:keepLines w:val="0"/>
              <w:numPr>
                <w:ilvl w:val="0"/>
                <w:numId w:val="2"/>
              </w:numPr>
              <w:suppressLineNumbers w:val="0"/>
              <w:spacing w:before="0" w:beforeAutospacing="0" w:after="0" w:afterAutospacing="0"/>
              <w:ind w:right="0"/>
              <w:jc w:val="center"/>
              <w:rPr>
                <w:rFonts w:hint="eastAsia" w:ascii="仿宋" w:hAnsi="仿宋" w:eastAsia="仿宋" w:cs="仿宋"/>
              </w:rPr>
            </w:pPr>
          </w:p>
        </w:tc>
        <w:tc>
          <w:tcPr>
            <w:tcW w:w="1426" w:type="dxa"/>
            <w:noWrap w:val="0"/>
            <w:vAlign w:val="center"/>
          </w:tcPr>
          <w:p w14:paraId="492F10F0">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eastAsia="zh-CN"/>
              </w:rPr>
              <w:t>核心产品</w:t>
            </w:r>
          </w:p>
        </w:tc>
        <w:tc>
          <w:tcPr>
            <w:tcW w:w="6783" w:type="dxa"/>
            <w:noWrap w:val="0"/>
            <w:vAlign w:val="center"/>
          </w:tcPr>
          <w:p w14:paraId="635AABF0">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仿宋" w:hAnsi="仿宋" w:eastAsia="仿宋" w:cs="仿宋"/>
                <w:sz w:val="24"/>
                <w:highlight w:val="none"/>
              </w:rPr>
            </w:pPr>
            <w:r>
              <w:rPr>
                <w:rFonts w:hint="eastAsia" w:ascii="仿宋" w:hAnsi="仿宋" w:eastAsia="仿宋" w:cs="仿宋"/>
                <w:sz w:val="24"/>
                <w:highlight w:val="none"/>
                <w:lang w:eastAsia="zh-CN"/>
              </w:rPr>
              <w:t>本项目核心产品详见“第六部分采购内容及要求”。</w:t>
            </w:r>
          </w:p>
          <w:p w14:paraId="56B904B5">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1"/>
                <w:sz w:val="24"/>
                <w:highlight w:val="none"/>
                <w:lang w:val="en-US" w:eastAsia="zh-CN"/>
              </w:rPr>
              <w:t>核心产品提供相同品牌产品且通过资格审查、符合性审查、技术性审查的不同供应商参加同一合同项下谈判的，按一家供应商计算，报价最低的同品牌供应商获得成交人推荐资格；报价相同的，再次向所有具备报价资格的供应商发起报价，按照报价最低的确定一个供应商获得成交人推荐资格，其他同品牌供应商不作为成交候选人，核心产品不足3个品牌的，按废标处理。</w:t>
            </w:r>
          </w:p>
        </w:tc>
      </w:tr>
      <w:tr w14:paraId="4835A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34" w:type="dxa"/>
            <w:noWrap w:val="0"/>
            <w:vAlign w:val="center"/>
          </w:tcPr>
          <w:p w14:paraId="3B62FB7D">
            <w:pPr>
              <w:keepNext w:val="0"/>
              <w:keepLines w:val="0"/>
              <w:numPr>
                <w:ilvl w:val="0"/>
                <w:numId w:val="2"/>
              </w:numPr>
              <w:suppressLineNumbers w:val="0"/>
              <w:spacing w:before="0" w:beforeAutospacing="0" w:after="0" w:afterAutospacing="0"/>
              <w:ind w:right="0"/>
              <w:jc w:val="center"/>
              <w:rPr>
                <w:rFonts w:hint="eastAsia" w:ascii="仿宋" w:hAnsi="仿宋" w:eastAsia="仿宋" w:cs="仿宋"/>
              </w:rPr>
            </w:pPr>
          </w:p>
        </w:tc>
        <w:tc>
          <w:tcPr>
            <w:tcW w:w="1426" w:type="dxa"/>
            <w:noWrap w:val="0"/>
            <w:vAlign w:val="center"/>
          </w:tcPr>
          <w:p w14:paraId="6EF6D556">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节能环保</w:t>
            </w:r>
          </w:p>
        </w:tc>
        <w:tc>
          <w:tcPr>
            <w:tcW w:w="6783" w:type="dxa"/>
            <w:noWrap w:val="0"/>
            <w:vAlign w:val="center"/>
          </w:tcPr>
          <w:p w14:paraId="6A6DB7E7">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仿宋" w:hAnsi="仿宋" w:eastAsia="仿宋" w:cs="仿宋"/>
                <w:b w:val="0"/>
                <w:bCs w:val="0"/>
                <w:color w:val="auto"/>
                <w:sz w:val="24"/>
                <w:szCs w:val="24"/>
                <w:lang w:bidi="ar"/>
              </w:rPr>
            </w:pPr>
            <w:r>
              <w:rPr>
                <w:rFonts w:hint="eastAsia" w:ascii="仿宋" w:hAnsi="仿宋" w:eastAsia="仿宋" w:cs="仿宋"/>
                <w:b w:val="0"/>
                <w:bCs w:val="0"/>
                <w:color w:val="auto"/>
                <w:sz w:val="24"/>
                <w:szCs w:val="24"/>
                <w:lang w:bidi="ar"/>
              </w:rPr>
              <w:t>1.根据《财政部发展改革委生态环境部市场监管总局关于调整优化节能产品、环境标志产品政府采购执行机制的通知》（财库〔2019〕9号）相关要求，政府采购节能产品、环境标志产品实施品目清单管理。财政部、发展改革委、生态环境部等部门确定实施政府优先采购和强制采购的产品类别，以品目清单的形式发布并适时调整。</w:t>
            </w:r>
          </w:p>
          <w:p w14:paraId="0297441B">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仿宋" w:hAnsi="仿宋" w:eastAsia="仿宋" w:cs="仿宋"/>
                <w:b w:val="0"/>
                <w:bCs w:val="0"/>
                <w:color w:val="auto"/>
                <w:sz w:val="24"/>
                <w:szCs w:val="24"/>
                <w:u w:val="single"/>
                <w:lang w:bidi="ar"/>
              </w:rPr>
            </w:pPr>
            <w:r>
              <w:rPr>
                <w:rFonts w:hint="eastAsia" w:ascii="仿宋" w:hAnsi="仿宋" w:eastAsia="仿宋" w:cs="仿宋"/>
                <w:b w:val="0"/>
                <w:bCs w:val="0"/>
                <w:color w:val="auto"/>
                <w:sz w:val="24"/>
                <w:szCs w:val="24"/>
                <w:u w:val="single"/>
                <w:lang w:bidi="ar"/>
              </w:rPr>
              <w:t>2.本项目采购的如有产品属于节能产品政府采购品目清单中应强制采购的产品范围，供应商应当提供国家确定的认证机构出具的、处于有效期之内的节能产品认证证书，否则作无效投标处理。</w:t>
            </w:r>
          </w:p>
          <w:p w14:paraId="1471011E">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仿宋" w:hAnsi="仿宋" w:eastAsia="仿宋" w:cs="仿宋"/>
                <w:kern w:val="1"/>
                <w:sz w:val="24"/>
                <w:highlight w:val="none"/>
                <w:lang w:val="en-US" w:eastAsia="zh-CN"/>
              </w:rPr>
            </w:pPr>
            <w:r>
              <w:rPr>
                <w:rFonts w:hint="eastAsia" w:ascii="仿宋" w:hAnsi="仿宋" w:eastAsia="仿宋" w:cs="仿宋"/>
                <w:b w:val="0"/>
                <w:bCs w:val="0"/>
                <w:color w:val="auto"/>
                <w:sz w:val="24"/>
                <w:szCs w:val="24"/>
                <w:lang w:bidi="ar"/>
              </w:rPr>
              <w:t>3.本项目采购的如有产品属于节能产品政府采购品目清单中应优先采购的产品范围，本项目采购的如有产品属于环境标志产品政府采购品目清单中应优先采购的产品范围，响应报价相同的，按供应商提供的优先采购产品认证证书数量由多到少顺序排列。</w:t>
            </w:r>
          </w:p>
        </w:tc>
      </w:tr>
    </w:tbl>
    <w:p w14:paraId="3F0EEA9C">
      <w:pPr>
        <w:rPr>
          <w:rFonts w:hint="eastAsia" w:ascii="仿宋" w:hAnsi="仿宋" w:eastAsia="仿宋" w:cs="仿宋"/>
          <w:b/>
          <w:bCs/>
        </w:rPr>
      </w:pPr>
      <w:r>
        <w:rPr>
          <w:rFonts w:hint="eastAsia" w:ascii="仿宋" w:hAnsi="仿宋" w:eastAsia="仿宋" w:cs="仿宋"/>
          <w:b/>
          <w:bCs/>
        </w:rPr>
        <w:t>备注：谈判文件其他部分内容与本须知前附表内容不一致的，以本须知前附表内容为准。</w:t>
      </w:r>
      <w:bookmarkEnd w:id="14"/>
      <w:bookmarkStart w:id="19" w:name="_Toc251"/>
      <w:bookmarkStart w:id="20" w:name="_Toc28321"/>
    </w:p>
    <w:p w14:paraId="77540F3C">
      <w:pPr>
        <w:jc w:val="center"/>
        <w:outlineLvl w:val="0"/>
        <w:rPr>
          <w:rFonts w:hint="eastAsia" w:ascii="仿宋" w:hAnsi="仿宋" w:eastAsia="仿宋" w:cs="仿宋"/>
        </w:rPr>
      </w:pPr>
      <w:r>
        <w:rPr>
          <w:rFonts w:hint="eastAsia" w:ascii="仿宋" w:hAnsi="仿宋" w:eastAsia="仿宋" w:cs="仿宋"/>
          <w:b/>
          <w:bCs/>
        </w:rPr>
        <w:br w:type="page"/>
      </w:r>
      <w:bookmarkStart w:id="21" w:name="_Toc20443"/>
      <w:r>
        <w:rPr>
          <w:rFonts w:hint="eastAsia" w:ascii="仿宋" w:hAnsi="仿宋" w:eastAsia="仿宋" w:cs="仿宋"/>
          <w:b/>
          <w:bCs/>
        </w:rPr>
        <w:t>第三部分  供应商须知</w:t>
      </w:r>
      <w:bookmarkEnd w:id="15"/>
      <w:bookmarkEnd w:id="16"/>
      <w:bookmarkEnd w:id="17"/>
      <w:bookmarkEnd w:id="18"/>
      <w:bookmarkEnd w:id="19"/>
      <w:bookmarkEnd w:id="20"/>
      <w:bookmarkEnd w:id="21"/>
      <w:bookmarkStart w:id="22" w:name="_Toc283626502"/>
      <w:bookmarkStart w:id="23" w:name="_Toc283240486"/>
    </w:p>
    <w:p w14:paraId="6F1EA61E">
      <w:pPr>
        <w:pStyle w:val="3"/>
        <w:overflowPunct w:val="0"/>
        <w:adjustRightInd w:val="0"/>
        <w:snapToGrid w:val="0"/>
        <w:spacing w:before="0" w:after="0" w:line="360" w:lineRule="auto"/>
        <w:jc w:val="center"/>
        <w:rPr>
          <w:rFonts w:hint="eastAsia" w:ascii="仿宋" w:hAnsi="仿宋" w:eastAsia="仿宋" w:cs="仿宋"/>
          <w:sz w:val="24"/>
          <w:szCs w:val="24"/>
        </w:rPr>
      </w:pPr>
      <w:bookmarkStart w:id="24" w:name="_Toc25017"/>
      <w:bookmarkStart w:id="25" w:name="_Toc17770"/>
      <w:bookmarkStart w:id="26" w:name="_Toc5432"/>
      <w:bookmarkStart w:id="27" w:name="_Toc26914"/>
      <w:bookmarkStart w:id="28" w:name="_Toc11410"/>
      <w:bookmarkStart w:id="29" w:name="_Toc332874419"/>
      <w:bookmarkStart w:id="30" w:name="_Toc311415570"/>
      <w:bookmarkStart w:id="31" w:name="_Toc16994"/>
      <w:r>
        <w:rPr>
          <w:rFonts w:hint="eastAsia" w:ascii="仿宋" w:hAnsi="仿宋" w:eastAsia="仿宋" w:cs="仿宋"/>
          <w:sz w:val="24"/>
          <w:szCs w:val="24"/>
        </w:rPr>
        <w:t>A．总  则</w:t>
      </w:r>
      <w:bookmarkEnd w:id="22"/>
      <w:bookmarkEnd w:id="23"/>
      <w:bookmarkEnd w:id="24"/>
      <w:bookmarkEnd w:id="25"/>
      <w:bookmarkEnd w:id="26"/>
      <w:bookmarkEnd w:id="27"/>
      <w:bookmarkEnd w:id="28"/>
      <w:bookmarkEnd w:id="29"/>
      <w:bookmarkEnd w:id="30"/>
      <w:bookmarkEnd w:id="31"/>
    </w:p>
    <w:p w14:paraId="3D0F8FAD">
      <w:pPr>
        <w:pStyle w:val="4"/>
        <w:overflowPunct w:val="0"/>
        <w:adjustRightInd w:val="0"/>
        <w:snapToGrid w:val="0"/>
        <w:spacing w:before="0" w:after="0" w:line="360" w:lineRule="auto"/>
        <w:rPr>
          <w:rFonts w:hint="eastAsia" w:ascii="仿宋" w:hAnsi="仿宋" w:eastAsia="仿宋" w:cs="仿宋"/>
          <w:sz w:val="24"/>
          <w:szCs w:val="24"/>
        </w:rPr>
      </w:pPr>
      <w:bookmarkStart w:id="32" w:name="_Toc10356"/>
      <w:bookmarkStart w:id="33" w:name="_Toc614"/>
      <w:bookmarkStart w:id="34" w:name="_Toc8991"/>
      <w:bookmarkStart w:id="35" w:name="_Toc311415571"/>
      <w:bookmarkStart w:id="36" w:name="_Toc8689"/>
      <w:bookmarkStart w:id="37" w:name="_Toc21856"/>
      <w:r>
        <w:rPr>
          <w:rFonts w:hint="eastAsia" w:ascii="仿宋" w:hAnsi="仿宋" w:eastAsia="仿宋" w:cs="仿宋"/>
          <w:sz w:val="24"/>
          <w:szCs w:val="24"/>
        </w:rPr>
        <w:t>1．适用范围</w:t>
      </w:r>
      <w:bookmarkEnd w:id="32"/>
      <w:bookmarkEnd w:id="33"/>
      <w:bookmarkEnd w:id="34"/>
      <w:bookmarkEnd w:id="35"/>
      <w:bookmarkEnd w:id="36"/>
      <w:bookmarkEnd w:id="37"/>
    </w:p>
    <w:p w14:paraId="18BA7638">
      <w:pPr>
        <w:overflowPunct w:val="0"/>
        <w:adjustRightInd w:val="0"/>
        <w:snapToGrid w:val="0"/>
        <w:rPr>
          <w:rFonts w:hint="eastAsia" w:ascii="仿宋" w:hAnsi="仿宋" w:eastAsia="仿宋" w:cs="仿宋"/>
        </w:rPr>
      </w:pPr>
      <w:r>
        <w:rPr>
          <w:rFonts w:hint="eastAsia" w:ascii="仿宋" w:hAnsi="仿宋" w:eastAsia="仿宋" w:cs="仿宋"/>
        </w:rPr>
        <w:t>1.1 本谈判文件仅适用于本谈判公告中所叙述项目的货物采购。</w:t>
      </w:r>
    </w:p>
    <w:p w14:paraId="02D73490">
      <w:pPr>
        <w:overflowPunct w:val="0"/>
        <w:adjustRightInd w:val="0"/>
        <w:snapToGrid w:val="0"/>
        <w:rPr>
          <w:rFonts w:hint="eastAsia" w:ascii="仿宋" w:hAnsi="仿宋" w:eastAsia="仿宋" w:cs="仿宋"/>
        </w:rPr>
      </w:pPr>
      <w:r>
        <w:rPr>
          <w:rFonts w:hint="eastAsia" w:ascii="仿宋" w:hAnsi="仿宋" w:eastAsia="仿宋" w:cs="仿宋"/>
        </w:rPr>
        <w:t>1.2 本次采购属货物类采购，采购人，采购代理机构、供应商、谈判小组的相关行为均受《中华人民共和国政府采购法》等规章及采购项目所在地有关法规、规章的约束，其权利受到上述法律法规的保护。</w:t>
      </w:r>
    </w:p>
    <w:p w14:paraId="2F3E9CBD">
      <w:pPr>
        <w:pStyle w:val="4"/>
        <w:overflowPunct w:val="0"/>
        <w:adjustRightInd w:val="0"/>
        <w:snapToGrid w:val="0"/>
        <w:spacing w:before="0" w:after="0" w:line="360" w:lineRule="auto"/>
        <w:rPr>
          <w:rFonts w:hint="eastAsia" w:ascii="仿宋" w:hAnsi="仿宋" w:eastAsia="仿宋" w:cs="仿宋"/>
          <w:sz w:val="24"/>
          <w:szCs w:val="24"/>
        </w:rPr>
      </w:pPr>
      <w:bookmarkStart w:id="38" w:name="_Toc9429"/>
      <w:bookmarkStart w:id="39" w:name="_Toc311415572"/>
      <w:bookmarkStart w:id="40" w:name="_Toc15890"/>
      <w:bookmarkStart w:id="41" w:name="_Toc28569"/>
      <w:bookmarkStart w:id="42" w:name="_Toc24001"/>
      <w:bookmarkStart w:id="43" w:name="_Toc14305"/>
      <w:r>
        <w:rPr>
          <w:rFonts w:hint="eastAsia" w:ascii="仿宋" w:hAnsi="仿宋" w:eastAsia="仿宋" w:cs="仿宋"/>
          <w:sz w:val="24"/>
          <w:szCs w:val="24"/>
        </w:rPr>
        <w:t>2．定义</w:t>
      </w:r>
      <w:bookmarkEnd w:id="38"/>
      <w:bookmarkEnd w:id="39"/>
      <w:bookmarkEnd w:id="40"/>
      <w:bookmarkEnd w:id="41"/>
      <w:bookmarkEnd w:id="42"/>
      <w:bookmarkEnd w:id="43"/>
      <w:r>
        <w:rPr>
          <w:rFonts w:hint="eastAsia" w:ascii="仿宋" w:hAnsi="仿宋" w:eastAsia="仿宋" w:cs="仿宋"/>
          <w:sz w:val="24"/>
          <w:szCs w:val="24"/>
        </w:rPr>
        <w:t xml:space="preserve"> </w:t>
      </w:r>
    </w:p>
    <w:p w14:paraId="17AA17EF">
      <w:pPr>
        <w:ind w:left="960" w:hanging="960" w:hangingChars="400"/>
        <w:rPr>
          <w:rFonts w:hint="eastAsia" w:ascii="仿宋" w:hAnsi="仿宋" w:eastAsia="仿宋" w:cs="仿宋"/>
        </w:rPr>
      </w:pPr>
      <w:r>
        <w:rPr>
          <w:rFonts w:hint="eastAsia" w:ascii="仿宋" w:hAnsi="仿宋" w:eastAsia="仿宋" w:cs="仿宋"/>
        </w:rPr>
        <w:t>2.1 “采购人”系指</w:t>
      </w:r>
      <w:r>
        <w:rPr>
          <w:rFonts w:hint="eastAsia" w:ascii="仿宋" w:hAnsi="仿宋" w:eastAsia="仿宋" w:cs="仿宋"/>
          <w:lang w:eastAsia="zh-CN"/>
        </w:rPr>
        <w:t>西安医学院第一附属医院</w:t>
      </w:r>
      <w:r>
        <w:rPr>
          <w:rFonts w:hint="eastAsia" w:ascii="仿宋" w:hAnsi="仿宋" w:eastAsia="仿宋" w:cs="仿宋"/>
        </w:rPr>
        <w:t>；</w:t>
      </w:r>
    </w:p>
    <w:p w14:paraId="6DDAFE2D">
      <w:pPr>
        <w:overflowPunct w:val="0"/>
        <w:adjustRightInd w:val="0"/>
        <w:snapToGrid w:val="0"/>
        <w:ind w:firstLine="480" w:firstLineChars="200"/>
        <w:rPr>
          <w:rFonts w:hint="eastAsia" w:ascii="仿宋" w:hAnsi="仿宋" w:eastAsia="仿宋" w:cs="仿宋"/>
        </w:rPr>
      </w:pPr>
      <w:r>
        <w:rPr>
          <w:rFonts w:hint="eastAsia" w:ascii="仿宋" w:hAnsi="仿宋" w:eastAsia="仿宋" w:cs="仿宋"/>
        </w:rPr>
        <w:t>“采购代理机构”系指陕西中技招标有限公司。</w:t>
      </w:r>
    </w:p>
    <w:p w14:paraId="76CBB016">
      <w:pPr>
        <w:overflowPunct w:val="0"/>
        <w:adjustRightInd w:val="0"/>
        <w:snapToGrid w:val="0"/>
        <w:rPr>
          <w:rFonts w:hint="eastAsia" w:ascii="仿宋" w:hAnsi="仿宋" w:eastAsia="仿宋" w:cs="仿宋"/>
        </w:rPr>
      </w:pPr>
      <w:r>
        <w:rPr>
          <w:rFonts w:hint="eastAsia" w:ascii="仿宋" w:hAnsi="仿宋" w:eastAsia="仿宋" w:cs="仿宋"/>
        </w:rPr>
        <w:t>2.2 “供应商”系指响应采购人要求，向采购人提交谈判响应文件的供应商。</w:t>
      </w:r>
    </w:p>
    <w:p w14:paraId="730E42E7">
      <w:pPr>
        <w:overflowPunct w:val="0"/>
        <w:adjustRightInd w:val="0"/>
        <w:snapToGrid w:val="0"/>
        <w:rPr>
          <w:rFonts w:hint="eastAsia" w:ascii="仿宋" w:hAnsi="仿宋" w:eastAsia="仿宋" w:cs="仿宋"/>
        </w:rPr>
      </w:pPr>
      <w:r>
        <w:rPr>
          <w:rFonts w:hint="eastAsia" w:ascii="仿宋" w:hAnsi="仿宋" w:eastAsia="仿宋" w:cs="仿宋"/>
        </w:rPr>
        <w:t>2.3 “货物”系指谈判文件规定供应商所提供的相关货物。</w:t>
      </w:r>
    </w:p>
    <w:p w14:paraId="41A8BD1D">
      <w:pPr>
        <w:pStyle w:val="4"/>
        <w:overflowPunct w:val="0"/>
        <w:adjustRightInd w:val="0"/>
        <w:snapToGrid w:val="0"/>
        <w:spacing w:before="0" w:after="0" w:line="360" w:lineRule="auto"/>
        <w:rPr>
          <w:rFonts w:hint="eastAsia" w:ascii="仿宋" w:hAnsi="仿宋" w:eastAsia="仿宋" w:cs="仿宋"/>
          <w:sz w:val="24"/>
          <w:szCs w:val="24"/>
        </w:rPr>
      </w:pPr>
      <w:bookmarkStart w:id="44" w:name="_Toc311415573"/>
      <w:bookmarkStart w:id="45" w:name="_Toc22539"/>
      <w:bookmarkStart w:id="46" w:name="_Toc31149"/>
      <w:bookmarkStart w:id="47" w:name="_Toc22014"/>
      <w:bookmarkStart w:id="48" w:name="_Toc29741"/>
      <w:bookmarkStart w:id="49" w:name="_Toc14107"/>
      <w:r>
        <w:rPr>
          <w:rFonts w:hint="eastAsia" w:ascii="仿宋" w:hAnsi="仿宋" w:eastAsia="仿宋" w:cs="仿宋"/>
          <w:sz w:val="24"/>
          <w:szCs w:val="24"/>
        </w:rPr>
        <w:t>3．合格的供应商</w:t>
      </w:r>
      <w:bookmarkEnd w:id="44"/>
      <w:bookmarkEnd w:id="45"/>
      <w:bookmarkEnd w:id="46"/>
      <w:bookmarkEnd w:id="47"/>
      <w:bookmarkEnd w:id="48"/>
      <w:bookmarkEnd w:id="49"/>
    </w:p>
    <w:p w14:paraId="183CE8C9">
      <w:pPr>
        <w:overflowPunct w:val="0"/>
        <w:adjustRightInd w:val="0"/>
        <w:snapToGrid w:val="0"/>
        <w:rPr>
          <w:rFonts w:hint="eastAsia" w:ascii="仿宋" w:hAnsi="仿宋" w:eastAsia="仿宋" w:cs="仿宋"/>
        </w:rPr>
      </w:pPr>
      <w:r>
        <w:rPr>
          <w:rFonts w:hint="eastAsia" w:ascii="仿宋" w:hAnsi="仿宋" w:eastAsia="仿宋" w:cs="仿宋"/>
        </w:rPr>
        <w:t>3.1 凡符合供应商资格要求且有能力提供采购货物的供应商均可谈判。</w:t>
      </w:r>
    </w:p>
    <w:p w14:paraId="2237B89E">
      <w:pPr>
        <w:overflowPunct w:val="0"/>
        <w:adjustRightInd w:val="0"/>
        <w:snapToGrid w:val="0"/>
        <w:rPr>
          <w:rFonts w:hint="eastAsia" w:ascii="仿宋" w:hAnsi="仿宋" w:eastAsia="仿宋" w:cs="仿宋"/>
        </w:rPr>
      </w:pPr>
      <w:r>
        <w:rPr>
          <w:rFonts w:hint="eastAsia" w:ascii="仿宋" w:hAnsi="仿宋" w:eastAsia="仿宋" w:cs="仿宋"/>
        </w:rPr>
        <w:t>3.2 供应商必须在谈判公告载明的地点购买谈判文件并登记备案，未经购买谈判文件并登记备案的潜在供应商均无资格参加本次报价。</w:t>
      </w:r>
    </w:p>
    <w:p w14:paraId="4B8CE3AD">
      <w:pPr>
        <w:overflowPunct w:val="0"/>
        <w:adjustRightInd w:val="0"/>
        <w:snapToGrid w:val="0"/>
        <w:rPr>
          <w:rFonts w:hint="eastAsia" w:ascii="仿宋" w:hAnsi="仿宋" w:eastAsia="仿宋" w:cs="仿宋"/>
        </w:rPr>
      </w:pPr>
      <w:r>
        <w:rPr>
          <w:rFonts w:hint="eastAsia" w:ascii="仿宋" w:hAnsi="仿宋" w:eastAsia="仿宋" w:cs="仿宋"/>
        </w:rPr>
        <w:t>3.3 供应商应参照《中华人民共和国政府采购法》等有关的中国法律和法规。</w:t>
      </w:r>
    </w:p>
    <w:p w14:paraId="6BA4A63F">
      <w:pPr>
        <w:overflowPunct w:val="0"/>
        <w:adjustRightInd w:val="0"/>
        <w:snapToGrid w:val="0"/>
        <w:rPr>
          <w:rFonts w:hint="eastAsia" w:ascii="仿宋" w:hAnsi="仿宋" w:eastAsia="仿宋" w:cs="仿宋"/>
        </w:rPr>
      </w:pPr>
      <w:r>
        <w:rPr>
          <w:rFonts w:hint="eastAsia" w:ascii="仿宋" w:hAnsi="仿宋" w:eastAsia="仿宋" w:cs="仿宋"/>
        </w:rPr>
        <w:t>3.4 供应商在过去和现在都不应直接或间接地与采购人为采购本次的货物进行设计，编制规范和其他文件所委托的咨询公司或其附属机构有任何关联。</w:t>
      </w:r>
    </w:p>
    <w:p w14:paraId="79074A91">
      <w:pPr>
        <w:overflowPunct w:val="0"/>
        <w:adjustRightInd w:val="0"/>
        <w:snapToGrid w:val="0"/>
        <w:rPr>
          <w:rFonts w:hint="eastAsia" w:ascii="仿宋" w:hAnsi="仿宋" w:eastAsia="仿宋" w:cs="仿宋"/>
        </w:rPr>
      </w:pPr>
      <w:r>
        <w:rPr>
          <w:rFonts w:hint="eastAsia" w:ascii="仿宋" w:hAnsi="仿宋" w:eastAsia="仿宋" w:cs="仿宋"/>
        </w:rPr>
        <w:t>3.5 只有在法律上和财务上独立，合法运作，并独立于采购代理机构和采购人的供应商才能参加谈判。</w:t>
      </w:r>
    </w:p>
    <w:p w14:paraId="51B29001">
      <w:pPr>
        <w:pStyle w:val="4"/>
        <w:overflowPunct w:val="0"/>
        <w:adjustRightInd w:val="0"/>
        <w:snapToGrid w:val="0"/>
        <w:spacing w:before="0" w:after="0" w:line="360" w:lineRule="auto"/>
        <w:rPr>
          <w:rFonts w:hint="eastAsia" w:ascii="仿宋" w:hAnsi="仿宋" w:eastAsia="仿宋" w:cs="仿宋"/>
          <w:sz w:val="24"/>
          <w:szCs w:val="24"/>
        </w:rPr>
      </w:pPr>
      <w:bookmarkStart w:id="50" w:name="_Toc21049"/>
      <w:bookmarkStart w:id="51" w:name="_Toc311415574"/>
      <w:bookmarkStart w:id="52" w:name="_Toc31990"/>
      <w:bookmarkStart w:id="53" w:name="_Toc10344"/>
      <w:bookmarkStart w:id="54" w:name="_Toc30921"/>
      <w:bookmarkStart w:id="55" w:name="_Toc22989"/>
      <w:r>
        <w:rPr>
          <w:rFonts w:hint="eastAsia" w:ascii="仿宋" w:hAnsi="仿宋" w:eastAsia="仿宋" w:cs="仿宋"/>
          <w:sz w:val="24"/>
          <w:szCs w:val="24"/>
        </w:rPr>
        <w:t>4．合格的货物</w:t>
      </w:r>
      <w:bookmarkEnd w:id="50"/>
      <w:bookmarkEnd w:id="51"/>
      <w:bookmarkEnd w:id="52"/>
      <w:bookmarkEnd w:id="53"/>
      <w:bookmarkEnd w:id="54"/>
      <w:bookmarkEnd w:id="55"/>
    </w:p>
    <w:p w14:paraId="45BAF242">
      <w:pPr>
        <w:overflowPunct w:val="0"/>
        <w:adjustRightInd w:val="0"/>
        <w:snapToGrid w:val="0"/>
        <w:rPr>
          <w:rFonts w:hint="eastAsia" w:ascii="仿宋" w:hAnsi="仿宋" w:eastAsia="仿宋" w:cs="仿宋"/>
        </w:rPr>
      </w:pPr>
      <w:r>
        <w:rPr>
          <w:rFonts w:hint="eastAsia" w:ascii="仿宋" w:hAnsi="仿宋" w:eastAsia="仿宋" w:cs="仿宋"/>
        </w:rPr>
        <w:t>4.1 合同中提供的所有货物的来源地，均应来自国家有关采购规定的货物的合格来源国，本合同的支付也仅限于这些货物。</w:t>
      </w:r>
    </w:p>
    <w:p w14:paraId="178751B1">
      <w:pPr>
        <w:pStyle w:val="4"/>
        <w:overflowPunct w:val="0"/>
        <w:adjustRightInd w:val="0"/>
        <w:snapToGrid w:val="0"/>
        <w:spacing w:before="0" w:after="0" w:line="360" w:lineRule="auto"/>
        <w:rPr>
          <w:rFonts w:hint="eastAsia" w:ascii="仿宋" w:hAnsi="仿宋" w:eastAsia="仿宋" w:cs="仿宋"/>
          <w:sz w:val="24"/>
          <w:szCs w:val="24"/>
        </w:rPr>
      </w:pPr>
      <w:bookmarkStart w:id="56" w:name="_Toc8488"/>
      <w:bookmarkStart w:id="57" w:name="_Toc3254"/>
      <w:bookmarkStart w:id="58" w:name="_Toc11437"/>
      <w:bookmarkStart w:id="59" w:name="_Toc12815"/>
      <w:bookmarkStart w:id="60" w:name="_Toc311415575"/>
      <w:bookmarkStart w:id="61" w:name="_Toc23272"/>
      <w:r>
        <w:rPr>
          <w:rFonts w:hint="eastAsia" w:ascii="仿宋" w:hAnsi="仿宋" w:eastAsia="仿宋" w:cs="仿宋"/>
          <w:sz w:val="24"/>
          <w:szCs w:val="24"/>
        </w:rPr>
        <w:t>5．费用</w:t>
      </w:r>
      <w:bookmarkEnd w:id="56"/>
      <w:bookmarkEnd w:id="57"/>
      <w:bookmarkEnd w:id="58"/>
      <w:bookmarkEnd w:id="59"/>
      <w:bookmarkEnd w:id="60"/>
      <w:bookmarkEnd w:id="61"/>
    </w:p>
    <w:p w14:paraId="7C6A4A67">
      <w:pPr>
        <w:overflowPunct w:val="0"/>
        <w:adjustRightInd w:val="0"/>
        <w:snapToGrid w:val="0"/>
        <w:rPr>
          <w:rFonts w:hint="eastAsia" w:ascii="仿宋" w:hAnsi="仿宋" w:eastAsia="仿宋" w:cs="仿宋"/>
        </w:rPr>
      </w:pPr>
      <w:r>
        <w:rPr>
          <w:rFonts w:hint="eastAsia" w:ascii="仿宋" w:hAnsi="仿宋" w:eastAsia="仿宋" w:cs="仿宋"/>
        </w:rPr>
        <w:t>5.1 供应商应承担所有与编写和提交谈判响应文件有关的费用，无论谈判过程中的做法和结果如何，采购人和采购代理机构在任何情况下均无义务和责任承担这些费用。</w:t>
      </w:r>
    </w:p>
    <w:p w14:paraId="61DB892D">
      <w:pPr>
        <w:pStyle w:val="3"/>
        <w:overflowPunct w:val="0"/>
        <w:adjustRightInd w:val="0"/>
        <w:snapToGrid w:val="0"/>
        <w:spacing w:before="0" w:after="0" w:line="360" w:lineRule="auto"/>
        <w:jc w:val="center"/>
        <w:rPr>
          <w:rFonts w:hint="eastAsia" w:ascii="仿宋" w:hAnsi="仿宋" w:eastAsia="仿宋" w:cs="仿宋"/>
          <w:sz w:val="24"/>
          <w:szCs w:val="24"/>
        </w:rPr>
      </w:pPr>
      <w:bookmarkStart w:id="62" w:name="_Toc283626503"/>
      <w:bookmarkStart w:id="63" w:name="_Toc5306"/>
      <w:bookmarkStart w:id="64" w:name="_Toc283240487"/>
      <w:bookmarkStart w:id="65" w:name="_Toc31440"/>
      <w:bookmarkStart w:id="66" w:name="_Toc311415576"/>
      <w:bookmarkStart w:id="67" w:name="_Toc332874420"/>
      <w:bookmarkStart w:id="68" w:name="_Toc31378"/>
      <w:bookmarkStart w:id="69" w:name="_Toc26574"/>
      <w:bookmarkStart w:id="70" w:name="_Toc22115"/>
      <w:r>
        <w:rPr>
          <w:rFonts w:hint="eastAsia" w:ascii="仿宋" w:hAnsi="仿宋" w:eastAsia="仿宋" w:cs="仿宋"/>
          <w:sz w:val="24"/>
          <w:szCs w:val="24"/>
        </w:rPr>
        <w:t>B．谈判文件说明</w:t>
      </w:r>
      <w:bookmarkEnd w:id="62"/>
      <w:bookmarkEnd w:id="63"/>
      <w:bookmarkEnd w:id="64"/>
      <w:bookmarkEnd w:id="65"/>
      <w:bookmarkEnd w:id="66"/>
      <w:bookmarkEnd w:id="67"/>
      <w:bookmarkEnd w:id="68"/>
      <w:bookmarkEnd w:id="69"/>
      <w:bookmarkEnd w:id="70"/>
    </w:p>
    <w:p w14:paraId="19B2AB86">
      <w:pPr>
        <w:pStyle w:val="4"/>
        <w:overflowPunct w:val="0"/>
        <w:adjustRightInd w:val="0"/>
        <w:snapToGrid w:val="0"/>
        <w:spacing w:before="0" w:after="0" w:line="360" w:lineRule="auto"/>
        <w:rPr>
          <w:rFonts w:hint="eastAsia" w:ascii="仿宋" w:hAnsi="仿宋" w:eastAsia="仿宋" w:cs="仿宋"/>
          <w:sz w:val="24"/>
          <w:szCs w:val="24"/>
        </w:rPr>
      </w:pPr>
      <w:bookmarkStart w:id="71" w:name="_Toc17881"/>
      <w:bookmarkStart w:id="72" w:name="_Toc26094"/>
      <w:bookmarkStart w:id="73" w:name="_Toc14500"/>
      <w:bookmarkStart w:id="74" w:name="_Toc9969"/>
      <w:bookmarkStart w:id="75" w:name="_Toc27616"/>
      <w:bookmarkStart w:id="76" w:name="_Toc311415577"/>
      <w:r>
        <w:rPr>
          <w:rFonts w:hint="eastAsia" w:ascii="仿宋" w:hAnsi="仿宋" w:eastAsia="仿宋" w:cs="仿宋"/>
          <w:sz w:val="24"/>
          <w:szCs w:val="24"/>
        </w:rPr>
        <w:t>6．谈判文件的构成</w:t>
      </w:r>
      <w:bookmarkEnd w:id="71"/>
      <w:bookmarkEnd w:id="72"/>
      <w:bookmarkEnd w:id="73"/>
      <w:bookmarkEnd w:id="74"/>
      <w:bookmarkEnd w:id="75"/>
      <w:bookmarkEnd w:id="76"/>
    </w:p>
    <w:p w14:paraId="75352CA8">
      <w:pPr>
        <w:overflowPunct w:val="0"/>
        <w:adjustRightInd w:val="0"/>
        <w:snapToGrid w:val="0"/>
        <w:rPr>
          <w:rFonts w:hint="eastAsia" w:ascii="仿宋" w:hAnsi="仿宋" w:eastAsia="仿宋" w:cs="仿宋"/>
        </w:rPr>
      </w:pPr>
      <w:r>
        <w:rPr>
          <w:rFonts w:hint="eastAsia" w:ascii="仿宋" w:hAnsi="仿宋" w:eastAsia="仿宋" w:cs="仿宋"/>
        </w:rPr>
        <w:t>6.1 谈判文件用以阐明所需提供的货物、采购、谈判程序和合同条件。谈判文件包括：</w:t>
      </w:r>
    </w:p>
    <w:p w14:paraId="56E761E4">
      <w:pPr>
        <w:overflowPunct w:val="0"/>
        <w:adjustRightInd w:val="0"/>
        <w:snapToGrid w:val="0"/>
        <w:rPr>
          <w:rFonts w:hint="eastAsia" w:ascii="仿宋" w:hAnsi="仿宋" w:eastAsia="仿宋" w:cs="仿宋"/>
        </w:rPr>
      </w:pPr>
      <w:r>
        <w:rPr>
          <w:rFonts w:hint="eastAsia" w:ascii="仿宋" w:hAnsi="仿宋" w:eastAsia="仿宋" w:cs="仿宋"/>
        </w:rPr>
        <w:t>6.1.1竞争性谈判公告</w:t>
      </w:r>
    </w:p>
    <w:p w14:paraId="7DDFCBF1">
      <w:pPr>
        <w:overflowPunct w:val="0"/>
        <w:adjustRightInd w:val="0"/>
        <w:snapToGrid w:val="0"/>
        <w:rPr>
          <w:rFonts w:hint="eastAsia" w:ascii="仿宋" w:hAnsi="仿宋" w:eastAsia="仿宋" w:cs="仿宋"/>
        </w:rPr>
      </w:pPr>
      <w:r>
        <w:rPr>
          <w:rFonts w:hint="eastAsia" w:ascii="仿宋" w:hAnsi="仿宋" w:eastAsia="仿宋" w:cs="仿宋"/>
        </w:rPr>
        <w:t>6.1.2供应商须知前附表</w:t>
      </w:r>
    </w:p>
    <w:p w14:paraId="673903B1">
      <w:pPr>
        <w:overflowPunct w:val="0"/>
        <w:adjustRightInd w:val="0"/>
        <w:snapToGrid w:val="0"/>
        <w:rPr>
          <w:rFonts w:hint="eastAsia" w:ascii="仿宋" w:hAnsi="仿宋" w:eastAsia="仿宋" w:cs="仿宋"/>
        </w:rPr>
      </w:pPr>
      <w:r>
        <w:rPr>
          <w:rFonts w:hint="eastAsia" w:ascii="仿宋" w:hAnsi="仿宋" w:eastAsia="仿宋" w:cs="仿宋"/>
        </w:rPr>
        <w:t>6.1.3供应商须知</w:t>
      </w:r>
    </w:p>
    <w:p w14:paraId="7AB5A633">
      <w:pPr>
        <w:overflowPunct w:val="0"/>
        <w:adjustRightInd w:val="0"/>
        <w:snapToGrid w:val="0"/>
        <w:rPr>
          <w:rFonts w:hint="eastAsia" w:ascii="仿宋" w:hAnsi="仿宋" w:eastAsia="仿宋" w:cs="仿宋"/>
        </w:rPr>
      </w:pPr>
      <w:r>
        <w:rPr>
          <w:rFonts w:hint="eastAsia" w:ascii="仿宋" w:hAnsi="仿宋" w:eastAsia="仿宋" w:cs="仿宋"/>
        </w:rPr>
        <w:t>6.1.4合同格式及主要条款</w:t>
      </w:r>
    </w:p>
    <w:p w14:paraId="785784E7">
      <w:pPr>
        <w:overflowPunct w:val="0"/>
        <w:adjustRightInd w:val="0"/>
        <w:snapToGrid w:val="0"/>
        <w:rPr>
          <w:rFonts w:hint="eastAsia" w:ascii="仿宋" w:hAnsi="仿宋" w:eastAsia="仿宋" w:cs="仿宋"/>
        </w:rPr>
      </w:pPr>
      <w:r>
        <w:rPr>
          <w:rFonts w:hint="eastAsia" w:ascii="仿宋" w:hAnsi="仿宋" w:eastAsia="仿宋" w:cs="仿宋"/>
        </w:rPr>
        <w:t>6.1.5附件—谈判响应文件格式</w:t>
      </w:r>
    </w:p>
    <w:p w14:paraId="7EB59C2D">
      <w:pPr>
        <w:overflowPunct w:val="0"/>
        <w:adjustRightInd w:val="0"/>
        <w:snapToGrid w:val="0"/>
        <w:rPr>
          <w:rFonts w:hint="eastAsia" w:ascii="仿宋" w:hAnsi="仿宋" w:eastAsia="仿宋" w:cs="仿宋"/>
        </w:rPr>
      </w:pPr>
      <w:r>
        <w:rPr>
          <w:rFonts w:hint="eastAsia" w:ascii="仿宋" w:hAnsi="仿宋" w:eastAsia="仿宋" w:cs="仿宋"/>
        </w:rPr>
        <w:t>6.1.6采购内容及要求</w:t>
      </w:r>
    </w:p>
    <w:p w14:paraId="51F27BCC">
      <w:pPr>
        <w:overflowPunct w:val="0"/>
        <w:adjustRightInd w:val="0"/>
        <w:snapToGrid w:val="0"/>
        <w:rPr>
          <w:rFonts w:hint="eastAsia" w:ascii="仿宋" w:hAnsi="仿宋" w:eastAsia="仿宋" w:cs="仿宋"/>
        </w:rPr>
      </w:pPr>
      <w:r>
        <w:rPr>
          <w:rFonts w:hint="eastAsia" w:ascii="仿宋" w:hAnsi="仿宋" w:eastAsia="仿宋" w:cs="仿宋"/>
        </w:rPr>
        <w:t>6.2 供应商应认真阅读谈判文件中所有的事项、格式条款和规范要求等。供应商没有对谈判文件全面做出实质性响应是供应商的风险。</w:t>
      </w:r>
    </w:p>
    <w:p w14:paraId="5776B583">
      <w:pPr>
        <w:pStyle w:val="4"/>
        <w:overflowPunct w:val="0"/>
        <w:adjustRightInd w:val="0"/>
        <w:snapToGrid w:val="0"/>
        <w:spacing w:before="0" w:after="0" w:line="360" w:lineRule="auto"/>
        <w:rPr>
          <w:rFonts w:hint="eastAsia" w:ascii="仿宋" w:hAnsi="仿宋" w:eastAsia="仿宋" w:cs="仿宋"/>
          <w:sz w:val="24"/>
          <w:szCs w:val="24"/>
        </w:rPr>
      </w:pPr>
      <w:bookmarkStart w:id="77" w:name="_Toc28351"/>
      <w:bookmarkStart w:id="78" w:name="_Toc26412"/>
      <w:bookmarkStart w:id="79" w:name="_Toc1801"/>
      <w:bookmarkStart w:id="80" w:name="_Toc5609"/>
      <w:bookmarkStart w:id="81" w:name="_Toc311415578"/>
      <w:bookmarkStart w:id="82" w:name="_Toc20632"/>
      <w:r>
        <w:rPr>
          <w:rFonts w:hint="eastAsia" w:ascii="仿宋" w:hAnsi="仿宋" w:eastAsia="仿宋" w:cs="仿宋"/>
          <w:sz w:val="24"/>
          <w:szCs w:val="24"/>
        </w:rPr>
        <w:t>7．谈判文件的澄清</w:t>
      </w:r>
      <w:bookmarkEnd w:id="77"/>
      <w:bookmarkEnd w:id="78"/>
      <w:bookmarkEnd w:id="79"/>
      <w:bookmarkEnd w:id="80"/>
      <w:bookmarkEnd w:id="81"/>
      <w:bookmarkEnd w:id="82"/>
    </w:p>
    <w:p w14:paraId="63593179">
      <w:pPr>
        <w:overflowPunct w:val="0"/>
        <w:adjustRightInd w:val="0"/>
        <w:snapToGrid w:val="0"/>
        <w:rPr>
          <w:rFonts w:hint="eastAsia" w:ascii="仿宋" w:hAnsi="仿宋" w:eastAsia="仿宋" w:cs="仿宋"/>
        </w:rPr>
      </w:pPr>
      <w:r>
        <w:rPr>
          <w:rFonts w:hint="eastAsia" w:ascii="仿宋" w:hAnsi="仿宋" w:eastAsia="仿宋" w:cs="仿宋"/>
        </w:rPr>
        <w:t>7.1 任何要求对谈判文件澄清的供应商，应在响应截止时间3日前以书面形式通知采购代理机构。采购代理机构将视情况确定采用适当方式予以澄清或以书面形式予以答复，涉及变更或修正内容在发布媒体上发布更正公告，并以书面形式通知所有谈判文件收受人，且作为谈判文件的组成部分。</w:t>
      </w:r>
    </w:p>
    <w:p w14:paraId="755902C5">
      <w:pPr>
        <w:pStyle w:val="4"/>
        <w:overflowPunct w:val="0"/>
        <w:adjustRightInd w:val="0"/>
        <w:snapToGrid w:val="0"/>
        <w:spacing w:before="0" w:after="0" w:line="360" w:lineRule="auto"/>
        <w:rPr>
          <w:rFonts w:hint="eastAsia" w:ascii="仿宋" w:hAnsi="仿宋" w:eastAsia="仿宋" w:cs="仿宋"/>
          <w:sz w:val="24"/>
          <w:szCs w:val="24"/>
        </w:rPr>
      </w:pPr>
      <w:bookmarkStart w:id="83" w:name="_Toc13276"/>
      <w:bookmarkStart w:id="84" w:name="_Toc17905"/>
      <w:bookmarkStart w:id="85" w:name="_Toc19314"/>
      <w:bookmarkStart w:id="86" w:name="_Toc13176"/>
      <w:bookmarkStart w:id="87" w:name="_Toc13364"/>
      <w:bookmarkStart w:id="88" w:name="_Toc311415579"/>
      <w:r>
        <w:rPr>
          <w:rFonts w:hint="eastAsia" w:ascii="仿宋" w:hAnsi="仿宋" w:eastAsia="仿宋" w:cs="仿宋"/>
          <w:sz w:val="24"/>
          <w:szCs w:val="24"/>
        </w:rPr>
        <w:t>8．谈判文件的修改</w:t>
      </w:r>
      <w:bookmarkEnd w:id="83"/>
      <w:bookmarkEnd w:id="84"/>
      <w:bookmarkEnd w:id="85"/>
      <w:bookmarkEnd w:id="86"/>
      <w:bookmarkEnd w:id="87"/>
      <w:bookmarkEnd w:id="88"/>
    </w:p>
    <w:p w14:paraId="2D037E53">
      <w:pPr>
        <w:overflowPunct w:val="0"/>
        <w:adjustRightInd w:val="0"/>
        <w:snapToGrid w:val="0"/>
        <w:rPr>
          <w:rFonts w:hint="eastAsia" w:ascii="仿宋" w:hAnsi="仿宋" w:eastAsia="仿宋" w:cs="仿宋"/>
        </w:rPr>
      </w:pPr>
      <w:r>
        <w:rPr>
          <w:rFonts w:hint="eastAsia" w:ascii="仿宋" w:hAnsi="仿宋" w:eastAsia="仿宋" w:cs="仿宋"/>
        </w:rPr>
        <w:t>8.1 在谈判文件要求提交谈判响应文件截止时间前，无论出于何种原因，采购人可主动地或在解答供应商要求澄清的问题时对谈判文件进行修改。</w:t>
      </w:r>
    </w:p>
    <w:p w14:paraId="4C0F1A14">
      <w:pPr>
        <w:overflowPunct w:val="0"/>
        <w:adjustRightInd w:val="0"/>
        <w:snapToGrid w:val="0"/>
        <w:rPr>
          <w:rFonts w:hint="eastAsia" w:ascii="仿宋" w:hAnsi="仿宋" w:eastAsia="仿宋" w:cs="仿宋"/>
        </w:rPr>
      </w:pPr>
      <w:r>
        <w:rPr>
          <w:rFonts w:hint="eastAsia" w:ascii="仿宋" w:hAnsi="仿宋" w:eastAsia="仿宋" w:cs="仿宋"/>
        </w:rPr>
        <w:t>8.2 谈判文件的修改将以书面形式通知所有谈判文件的收受人，供应商在收到该通知后应立即以书面的形式予以确认。</w:t>
      </w:r>
    </w:p>
    <w:p w14:paraId="206191DF">
      <w:pPr>
        <w:overflowPunct w:val="0"/>
        <w:adjustRightInd w:val="0"/>
        <w:snapToGrid w:val="0"/>
        <w:rPr>
          <w:rFonts w:hint="eastAsia" w:ascii="仿宋" w:hAnsi="仿宋" w:eastAsia="仿宋" w:cs="仿宋"/>
        </w:rPr>
      </w:pPr>
      <w:r>
        <w:rPr>
          <w:rFonts w:hint="eastAsia" w:ascii="仿宋" w:hAnsi="仿宋" w:eastAsia="仿宋" w:cs="仿宋"/>
        </w:rPr>
        <w:t>8.3 为使供应商在准备谈判响应文件时，有充分的时间对谈判文件的修改进行研究考虑，采购人可自行决定，酌情推迟谈判截止日期，并以书面形式通知所有已领取谈判文件的供应商。</w:t>
      </w:r>
    </w:p>
    <w:p w14:paraId="0F71075A">
      <w:pPr>
        <w:overflowPunct w:val="0"/>
        <w:adjustRightInd w:val="0"/>
        <w:snapToGrid w:val="0"/>
        <w:rPr>
          <w:rFonts w:hint="eastAsia" w:ascii="仿宋" w:hAnsi="仿宋" w:eastAsia="仿宋" w:cs="仿宋"/>
        </w:rPr>
      </w:pPr>
      <w:r>
        <w:rPr>
          <w:rFonts w:hint="eastAsia" w:ascii="仿宋" w:hAnsi="仿宋" w:eastAsia="仿宋" w:cs="仿宋"/>
        </w:rPr>
        <w:t>8.4 谈判文件的修改书将构成谈判文件的一部分，对采购人和供应商都具有约束力。</w:t>
      </w:r>
    </w:p>
    <w:p w14:paraId="379AF38A">
      <w:pPr>
        <w:pStyle w:val="3"/>
        <w:overflowPunct w:val="0"/>
        <w:adjustRightInd w:val="0"/>
        <w:snapToGrid w:val="0"/>
        <w:spacing w:before="0" w:after="0" w:line="360" w:lineRule="auto"/>
        <w:jc w:val="center"/>
        <w:rPr>
          <w:rFonts w:hint="eastAsia" w:ascii="仿宋" w:hAnsi="仿宋" w:eastAsia="仿宋" w:cs="仿宋"/>
          <w:sz w:val="24"/>
          <w:szCs w:val="24"/>
        </w:rPr>
      </w:pPr>
      <w:bookmarkStart w:id="89" w:name="_Toc311415580"/>
      <w:bookmarkStart w:id="90" w:name="_Toc30331"/>
      <w:bookmarkStart w:id="91" w:name="_Toc283240488"/>
      <w:bookmarkStart w:id="92" w:name="_Toc332874421"/>
      <w:bookmarkStart w:id="93" w:name="_Toc4718"/>
      <w:bookmarkStart w:id="94" w:name="_Toc21506"/>
      <w:bookmarkStart w:id="95" w:name="_Toc5481"/>
      <w:bookmarkStart w:id="96" w:name="_Toc29363"/>
      <w:bookmarkStart w:id="97" w:name="_Toc18492"/>
      <w:bookmarkStart w:id="98" w:name="_Toc283626504"/>
      <w:r>
        <w:rPr>
          <w:rFonts w:hint="eastAsia" w:ascii="仿宋" w:hAnsi="仿宋" w:eastAsia="仿宋" w:cs="仿宋"/>
          <w:sz w:val="24"/>
          <w:szCs w:val="24"/>
        </w:rPr>
        <w:t>C．谈判响应文件的编写</w:t>
      </w:r>
      <w:bookmarkEnd w:id="89"/>
      <w:bookmarkEnd w:id="90"/>
      <w:bookmarkEnd w:id="91"/>
      <w:bookmarkEnd w:id="92"/>
      <w:bookmarkEnd w:id="93"/>
      <w:bookmarkEnd w:id="94"/>
      <w:bookmarkEnd w:id="95"/>
      <w:bookmarkEnd w:id="96"/>
      <w:bookmarkEnd w:id="97"/>
      <w:bookmarkEnd w:id="98"/>
    </w:p>
    <w:p w14:paraId="41F3C66B">
      <w:pPr>
        <w:pStyle w:val="4"/>
        <w:overflowPunct w:val="0"/>
        <w:adjustRightInd w:val="0"/>
        <w:snapToGrid w:val="0"/>
        <w:spacing w:before="0" w:after="0" w:line="360" w:lineRule="auto"/>
        <w:rPr>
          <w:rFonts w:hint="eastAsia" w:ascii="仿宋" w:hAnsi="仿宋" w:eastAsia="仿宋" w:cs="仿宋"/>
          <w:sz w:val="24"/>
          <w:szCs w:val="24"/>
        </w:rPr>
      </w:pPr>
      <w:bookmarkStart w:id="99" w:name="_Toc14179"/>
      <w:bookmarkStart w:id="100" w:name="_Toc311415581"/>
      <w:bookmarkStart w:id="101" w:name="_Toc16472"/>
      <w:bookmarkStart w:id="102" w:name="_Toc16636"/>
      <w:bookmarkStart w:id="103" w:name="_Toc17704"/>
      <w:bookmarkStart w:id="104" w:name="_Toc22620"/>
      <w:r>
        <w:rPr>
          <w:rFonts w:hint="eastAsia" w:ascii="仿宋" w:hAnsi="仿宋" w:eastAsia="仿宋" w:cs="仿宋"/>
          <w:sz w:val="24"/>
          <w:szCs w:val="24"/>
        </w:rPr>
        <w:t>9．谈判响应文件编制的原则</w:t>
      </w:r>
      <w:bookmarkEnd w:id="99"/>
      <w:bookmarkEnd w:id="100"/>
      <w:bookmarkEnd w:id="101"/>
      <w:bookmarkEnd w:id="102"/>
      <w:bookmarkEnd w:id="103"/>
      <w:bookmarkEnd w:id="104"/>
    </w:p>
    <w:p w14:paraId="44AED7DD">
      <w:pPr>
        <w:overflowPunct w:val="0"/>
        <w:adjustRightInd w:val="0"/>
        <w:snapToGrid w:val="0"/>
        <w:rPr>
          <w:rFonts w:hint="eastAsia" w:ascii="仿宋" w:hAnsi="仿宋" w:eastAsia="仿宋" w:cs="仿宋"/>
        </w:rPr>
      </w:pPr>
      <w:r>
        <w:rPr>
          <w:rFonts w:hint="eastAsia" w:ascii="仿宋" w:hAnsi="仿宋" w:eastAsia="仿宋" w:cs="仿宋"/>
        </w:rPr>
        <w:t>9.1 供应商应在认真阅读谈判文件所有内容的基础上，按照谈判文件的要求编制完整的谈判响应文件。谈判文件中对谈判响应文件格式有要求的，应按格式逐项填写内容，不准有空项；无相应内容可填的项应填写“无”、“没有相应指标”等明确的回答文字。谈判响应文件中留有空项的，将被视为不完整响应的谈判响应文件，其响应将有可能被拒绝。</w:t>
      </w:r>
    </w:p>
    <w:p w14:paraId="1358E95E">
      <w:pPr>
        <w:overflowPunct w:val="0"/>
        <w:adjustRightInd w:val="0"/>
        <w:snapToGrid w:val="0"/>
        <w:rPr>
          <w:rFonts w:hint="eastAsia" w:ascii="仿宋" w:hAnsi="仿宋" w:eastAsia="仿宋" w:cs="仿宋"/>
        </w:rPr>
      </w:pPr>
      <w:r>
        <w:rPr>
          <w:rFonts w:hint="eastAsia" w:ascii="仿宋" w:hAnsi="仿宋" w:eastAsia="仿宋" w:cs="仿宋"/>
        </w:rPr>
        <w:t>9.2 供应商必须保证谈判响应文件所提供的全部资料真实可靠，并接受对其中任何资料进一步审查的要求。</w:t>
      </w:r>
    </w:p>
    <w:p w14:paraId="218D88FC">
      <w:pPr>
        <w:overflowPunct w:val="0"/>
        <w:adjustRightInd w:val="0"/>
        <w:snapToGrid w:val="0"/>
        <w:rPr>
          <w:rFonts w:hint="eastAsia" w:ascii="仿宋" w:hAnsi="仿宋" w:eastAsia="仿宋" w:cs="仿宋"/>
        </w:rPr>
      </w:pPr>
      <w:r>
        <w:rPr>
          <w:rFonts w:hint="eastAsia" w:ascii="仿宋" w:hAnsi="仿宋" w:eastAsia="仿宋" w:cs="仿宋"/>
        </w:rPr>
        <w:t>9.3 谈判响应文件须对谈判文件中的内容做出实质性和完整的响应，否则其响应将被拒绝。</w:t>
      </w:r>
    </w:p>
    <w:p w14:paraId="09870D13">
      <w:pPr>
        <w:pStyle w:val="4"/>
        <w:overflowPunct w:val="0"/>
        <w:adjustRightInd w:val="0"/>
        <w:snapToGrid w:val="0"/>
        <w:spacing w:before="0" w:after="0" w:line="360" w:lineRule="auto"/>
        <w:rPr>
          <w:rFonts w:hint="eastAsia" w:ascii="仿宋" w:hAnsi="仿宋" w:eastAsia="仿宋" w:cs="仿宋"/>
          <w:sz w:val="24"/>
          <w:szCs w:val="24"/>
        </w:rPr>
      </w:pPr>
      <w:bookmarkStart w:id="105" w:name="_Toc10831"/>
      <w:bookmarkStart w:id="106" w:name="_Toc6234"/>
      <w:bookmarkStart w:id="107" w:name="_Toc22338"/>
      <w:bookmarkStart w:id="108" w:name="_Toc32722"/>
      <w:bookmarkStart w:id="109" w:name="_Toc30365"/>
      <w:bookmarkStart w:id="110" w:name="_Toc311415582"/>
      <w:r>
        <w:rPr>
          <w:rFonts w:hint="eastAsia" w:ascii="仿宋" w:hAnsi="仿宋" w:eastAsia="仿宋" w:cs="仿宋"/>
          <w:sz w:val="24"/>
          <w:szCs w:val="24"/>
        </w:rPr>
        <w:t>10．谈判语言</w:t>
      </w:r>
      <w:bookmarkEnd w:id="105"/>
      <w:bookmarkEnd w:id="106"/>
      <w:bookmarkEnd w:id="107"/>
      <w:bookmarkEnd w:id="108"/>
      <w:bookmarkEnd w:id="109"/>
      <w:bookmarkEnd w:id="110"/>
    </w:p>
    <w:p w14:paraId="69059B99">
      <w:pPr>
        <w:overflowPunct w:val="0"/>
        <w:adjustRightInd w:val="0"/>
        <w:snapToGrid w:val="0"/>
        <w:rPr>
          <w:rFonts w:hint="eastAsia" w:ascii="仿宋" w:hAnsi="仿宋" w:eastAsia="仿宋" w:cs="仿宋"/>
        </w:rPr>
      </w:pPr>
      <w:r>
        <w:rPr>
          <w:rFonts w:hint="eastAsia" w:ascii="仿宋" w:hAnsi="仿宋" w:eastAsia="仿宋" w:cs="仿宋"/>
        </w:rPr>
        <w:t>10.1 由供应商编写的谈判响应文件和往来信件应以中文书写。</w:t>
      </w:r>
    </w:p>
    <w:p w14:paraId="0F4D630B">
      <w:pPr>
        <w:pStyle w:val="4"/>
        <w:overflowPunct w:val="0"/>
        <w:adjustRightInd w:val="0"/>
        <w:snapToGrid w:val="0"/>
        <w:spacing w:before="0" w:after="0" w:line="360" w:lineRule="auto"/>
        <w:rPr>
          <w:rFonts w:hint="eastAsia" w:ascii="仿宋" w:hAnsi="仿宋" w:eastAsia="仿宋" w:cs="仿宋"/>
          <w:sz w:val="24"/>
          <w:szCs w:val="24"/>
        </w:rPr>
      </w:pPr>
      <w:bookmarkStart w:id="111" w:name="_Toc23893"/>
      <w:bookmarkStart w:id="112" w:name="_Toc20861"/>
      <w:bookmarkStart w:id="113" w:name="_Toc15835"/>
      <w:bookmarkStart w:id="114" w:name="_Toc311415583"/>
      <w:bookmarkStart w:id="115" w:name="_Toc19674"/>
      <w:bookmarkStart w:id="116" w:name="_Toc28024"/>
      <w:r>
        <w:rPr>
          <w:rFonts w:hint="eastAsia" w:ascii="仿宋" w:hAnsi="仿宋" w:eastAsia="仿宋" w:cs="仿宋"/>
          <w:sz w:val="24"/>
          <w:szCs w:val="24"/>
        </w:rPr>
        <w:t>11．计量单位</w:t>
      </w:r>
      <w:bookmarkEnd w:id="111"/>
      <w:bookmarkEnd w:id="112"/>
      <w:bookmarkEnd w:id="113"/>
      <w:bookmarkEnd w:id="114"/>
      <w:bookmarkEnd w:id="115"/>
      <w:bookmarkEnd w:id="116"/>
    </w:p>
    <w:p w14:paraId="55CB12A2">
      <w:pPr>
        <w:overflowPunct w:val="0"/>
        <w:adjustRightInd w:val="0"/>
        <w:snapToGrid w:val="0"/>
        <w:rPr>
          <w:rFonts w:hint="eastAsia" w:ascii="仿宋" w:hAnsi="仿宋" w:eastAsia="仿宋" w:cs="仿宋"/>
        </w:rPr>
      </w:pPr>
      <w:r>
        <w:rPr>
          <w:rFonts w:hint="eastAsia" w:ascii="仿宋" w:hAnsi="仿宋" w:eastAsia="仿宋" w:cs="仿宋"/>
        </w:rPr>
        <w:t>11.1 除在谈判文件的技术规格中另有规定外，计量单位应使用中华人民共和国法定计量单位。</w:t>
      </w:r>
    </w:p>
    <w:p w14:paraId="5F58C731">
      <w:pPr>
        <w:pStyle w:val="4"/>
        <w:overflowPunct w:val="0"/>
        <w:adjustRightInd w:val="0"/>
        <w:snapToGrid w:val="0"/>
        <w:spacing w:before="0" w:after="0" w:line="360" w:lineRule="auto"/>
        <w:rPr>
          <w:rFonts w:hint="eastAsia" w:ascii="仿宋" w:hAnsi="仿宋" w:eastAsia="仿宋" w:cs="仿宋"/>
          <w:sz w:val="24"/>
          <w:szCs w:val="24"/>
        </w:rPr>
      </w:pPr>
      <w:bookmarkStart w:id="117" w:name="_Toc24149"/>
      <w:bookmarkStart w:id="118" w:name="_Toc311415584"/>
      <w:bookmarkStart w:id="119" w:name="_Toc20456"/>
      <w:bookmarkStart w:id="120" w:name="_Toc26120"/>
      <w:bookmarkStart w:id="121" w:name="_Toc19828"/>
      <w:bookmarkStart w:id="122" w:name="_Toc13895"/>
      <w:r>
        <w:rPr>
          <w:rFonts w:hint="eastAsia" w:ascii="仿宋" w:hAnsi="仿宋" w:eastAsia="仿宋" w:cs="仿宋"/>
          <w:sz w:val="24"/>
          <w:szCs w:val="24"/>
        </w:rPr>
        <w:t>12．谈判响应文件的组成</w:t>
      </w:r>
      <w:bookmarkEnd w:id="117"/>
      <w:bookmarkEnd w:id="118"/>
      <w:bookmarkEnd w:id="119"/>
      <w:bookmarkEnd w:id="120"/>
      <w:bookmarkEnd w:id="121"/>
      <w:bookmarkEnd w:id="122"/>
    </w:p>
    <w:p w14:paraId="3972BF7C">
      <w:pPr>
        <w:overflowPunct w:val="0"/>
        <w:adjustRightInd w:val="0"/>
        <w:snapToGrid w:val="0"/>
        <w:rPr>
          <w:rFonts w:hint="eastAsia" w:ascii="仿宋" w:hAnsi="仿宋" w:eastAsia="仿宋" w:cs="仿宋"/>
        </w:rPr>
      </w:pPr>
      <w:r>
        <w:rPr>
          <w:rFonts w:hint="eastAsia" w:ascii="仿宋" w:hAnsi="仿宋" w:eastAsia="仿宋" w:cs="仿宋"/>
        </w:rPr>
        <w:t>12.1 所有采购货物只允许供应商有一个谈判方案，不接受任何有选择的方案和报价（包括有条件的折扣）。供应商未按要求，提供了选择方案和/或报价的，其谈判将被拒绝。</w:t>
      </w:r>
    </w:p>
    <w:p w14:paraId="7AB5CABD">
      <w:pPr>
        <w:overflowPunct w:val="0"/>
        <w:adjustRightInd w:val="0"/>
        <w:snapToGrid w:val="0"/>
        <w:rPr>
          <w:rFonts w:hint="eastAsia" w:ascii="仿宋" w:hAnsi="仿宋" w:eastAsia="仿宋" w:cs="仿宋"/>
        </w:rPr>
      </w:pPr>
      <w:r>
        <w:rPr>
          <w:rFonts w:hint="eastAsia" w:ascii="仿宋" w:hAnsi="仿宋" w:eastAsia="仿宋" w:cs="仿宋"/>
        </w:rPr>
        <w:t>12.2 供应商编写的谈判响应文件应包括下列部分：</w:t>
      </w:r>
    </w:p>
    <w:p w14:paraId="4AC046C9">
      <w:pPr>
        <w:overflowPunct w:val="0"/>
        <w:adjustRightInd w:val="0"/>
        <w:snapToGrid w:val="0"/>
        <w:rPr>
          <w:rFonts w:hint="eastAsia" w:ascii="仿宋" w:hAnsi="仿宋" w:eastAsia="仿宋" w:cs="仿宋"/>
        </w:rPr>
      </w:pPr>
      <w:r>
        <w:rPr>
          <w:rFonts w:hint="eastAsia" w:ascii="仿宋" w:hAnsi="仿宋" w:eastAsia="仿宋" w:cs="仿宋"/>
        </w:rPr>
        <w:t>12.2.1谈判函、谈判报价表、分项报价表以及所有附件内容。</w:t>
      </w:r>
    </w:p>
    <w:p w14:paraId="58971A30">
      <w:pPr>
        <w:overflowPunct w:val="0"/>
        <w:adjustRightInd w:val="0"/>
        <w:snapToGrid w:val="0"/>
        <w:rPr>
          <w:rFonts w:hint="eastAsia" w:ascii="仿宋" w:hAnsi="仿宋" w:eastAsia="仿宋" w:cs="仿宋"/>
        </w:rPr>
      </w:pPr>
      <w:r>
        <w:rPr>
          <w:rFonts w:hint="eastAsia" w:ascii="仿宋" w:hAnsi="仿宋" w:eastAsia="仿宋" w:cs="仿宋"/>
        </w:rPr>
        <w:t>12.2.2按照供应商须知出具的供应商资格证明文件。</w:t>
      </w:r>
    </w:p>
    <w:p w14:paraId="20758F91">
      <w:pPr>
        <w:overflowPunct w:val="0"/>
        <w:adjustRightInd w:val="0"/>
        <w:snapToGrid w:val="0"/>
        <w:rPr>
          <w:rFonts w:hint="eastAsia" w:ascii="仿宋" w:hAnsi="仿宋" w:eastAsia="仿宋" w:cs="仿宋"/>
        </w:rPr>
      </w:pPr>
      <w:r>
        <w:rPr>
          <w:rFonts w:hint="eastAsia" w:ascii="仿宋" w:hAnsi="仿宋" w:eastAsia="仿宋" w:cs="仿宋"/>
        </w:rPr>
        <w:t>12.2.3谈判文件要求供应商提供的其他内容。</w:t>
      </w:r>
    </w:p>
    <w:p w14:paraId="49D845A2">
      <w:pPr>
        <w:pStyle w:val="4"/>
        <w:overflowPunct w:val="0"/>
        <w:adjustRightInd w:val="0"/>
        <w:snapToGrid w:val="0"/>
        <w:spacing w:before="0" w:after="0" w:line="360" w:lineRule="auto"/>
        <w:rPr>
          <w:rFonts w:hint="eastAsia" w:ascii="仿宋" w:hAnsi="仿宋" w:eastAsia="仿宋" w:cs="仿宋"/>
          <w:sz w:val="24"/>
          <w:szCs w:val="24"/>
        </w:rPr>
      </w:pPr>
      <w:bookmarkStart w:id="123" w:name="_Toc22416"/>
      <w:bookmarkStart w:id="124" w:name="_Toc10872"/>
      <w:bookmarkStart w:id="125" w:name="_Toc30815"/>
      <w:bookmarkStart w:id="126" w:name="_Toc14275"/>
      <w:bookmarkStart w:id="127" w:name="_Toc311415585"/>
      <w:bookmarkStart w:id="128" w:name="_Toc7926"/>
      <w:r>
        <w:rPr>
          <w:rFonts w:hint="eastAsia" w:ascii="仿宋" w:hAnsi="仿宋" w:eastAsia="仿宋" w:cs="仿宋"/>
          <w:sz w:val="24"/>
          <w:szCs w:val="24"/>
        </w:rPr>
        <w:t>13．谈判响应文件格式</w:t>
      </w:r>
      <w:bookmarkEnd w:id="123"/>
      <w:bookmarkEnd w:id="124"/>
      <w:bookmarkEnd w:id="125"/>
      <w:bookmarkEnd w:id="126"/>
      <w:bookmarkEnd w:id="127"/>
      <w:bookmarkEnd w:id="128"/>
    </w:p>
    <w:p w14:paraId="7848631B">
      <w:pPr>
        <w:overflowPunct w:val="0"/>
        <w:adjustRightInd w:val="0"/>
        <w:snapToGrid w:val="0"/>
        <w:rPr>
          <w:rFonts w:hint="eastAsia" w:ascii="仿宋" w:hAnsi="仿宋" w:eastAsia="仿宋" w:cs="仿宋"/>
        </w:rPr>
      </w:pPr>
      <w:r>
        <w:rPr>
          <w:rFonts w:hint="eastAsia" w:ascii="仿宋" w:hAnsi="仿宋" w:eastAsia="仿宋" w:cs="仿宋"/>
        </w:rPr>
        <w:t>13.1 供应商应按谈判文件中提供的谈判响应文件格式填写“谈判函”、“谈判报价表”、“分项报价表”以及其他相关文件等。</w:t>
      </w:r>
    </w:p>
    <w:p w14:paraId="73A837CF">
      <w:pPr>
        <w:pStyle w:val="4"/>
        <w:overflowPunct w:val="0"/>
        <w:adjustRightInd w:val="0"/>
        <w:snapToGrid w:val="0"/>
        <w:spacing w:before="0" w:after="0" w:line="360" w:lineRule="auto"/>
        <w:rPr>
          <w:rFonts w:hint="eastAsia" w:ascii="仿宋" w:hAnsi="仿宋" w:eastAsia="仿宋" w:cs="仿宋"/>
          <w:sz w:val="24"/>
          <w:szCs w:val="24"/>
        </w:rPr>
      </w:pPr>
      <w:bookmarkStart w:id="129" w:name="_Toc25071"/>
      <w:bookmarkStart w:id="130" w:name="_Toc5738"/>
      <w:bookmarkStart w:id="131" w:name="_Toc25222"/>
      <w:bookmarkStart w:id="132" w:name="_Toc311415586"/>
      <w:bookmarkStart w:id="133" w:name="_Toc6425"/>
      <w:bookmarkStart w:id="134" w:name="_Toc19589"/>
      <w:r>
        <w:rPr>
          <w:rFonts w:hint="eastAsia" w:ascii="仿宋" w:hAnsi="仿宋" w:eastAsia="仿宋" w:cs="仿宋"/>
          <w:sz w:val="24"/>
          <w:szCs w:val="24"/>
        </w:rPr>
        <w:t>14．谈判报价</w:t>
      </w:r>
      <w:bookmarkEnd w:id="129"/>
      <w:bookmarkEnd w:id="130"/>
      <w:bookmarkEnd w:id="131"/>
      <w:bookmarkEnd w:id="132"/>
      <w:bookmarkEnd w:id="133"/>
      <w:bookmarkEnd w:id="134"/>
    </w:p>
    <w:p w14:paraId="363BD07C">
      <w:pPr>
        <w:overflowPunct w:val="0"/>
        <w:adjustRightInd w:val="0"/>
        <w:snapToGrid w:val="0"/>
        <w:rPr>
          <w:rFonts w:hint="eastAsia" w:ascii="仿宋" w:hAnsi="仿宋" w:eastAsia="仿宋" w:cs="仿宋"/>
        </w:rPr>
      </w:pPr>
      <w:r>
        <w:rPr>
          <w:rFonts w:hint="eastAsia" w:ascii="仿宋" w:hAnsi="仿宋" w:eastAsia="仿宋" w:cs="仿宋"/>
        </w:rPr>
        <w:t>14.1 供应商应对此项目进行报价，不得将其中内容拆开报价。</w:t>
      </w:r>
    </w:p>
    <w:p w14:paraId="3F2A5265">
      <w:pPr>
        <w:overflowPunct w:val="0"/>
        <w:adjustRightInd w:val="0"/>
        <w:snapToGrid w:val="0"/>
        <w:rPr>
          <w:rFonts w:hint="eastAsia" w:ascii="仿宋" w:hAnsi="仿宋" w:eastAsia="仿宋" w:cs="仿宋"/>
        </w:rPr>
      </w:pPr>
      <w:r>
        <w:rPr>
          <w:rFonts w:hint="eastAsia" w:ascii="仿宋" w:hAnsi="仿宋" w:eastAsia="仿宋" w:cs="仿宋"/>
        </w:rPr>
        <w:t>14.2 凡本谈判文件要求（或允许）及供应商认为需要进行报价的各项费用项目（不论是否要求进入报价），若报价时未报或未在谈判文件中予以说明，采购人将认为这些费用供应商已记取，并包含在报价中。供应商按上述条款要求填写“分项报价表”只是为了方便采购人对谈判响应文件进行比较，并不限制采购人以其它方式签订合同的权力。</w:t>
      </w:r>
    </w:p>
    <w:p w14:paraId="34C7A8F9">
      <w:pPr>
        <w:overflowPunct w:val="0"/>
        <w:adjustRightInd w:val="0"/>
        <w:snapToGrid w:val="0"/>
        <w:rPr>
          <w:rFonts w:hint="eastAsia" w:ascii="仿宋" w:hAnsi="仿宋" w:eastAsia="仿宋" w:cs="仿宋"/>
        </w:rPr>
      </w:pPr>
      <w:r>
        <w:rPr>
          <w:rFonts w:hint="eastAsia" w:ascii="仿宋" w:hAnsi="仿宋" w:eastAsia="仿宋" w:cs="仿宋"/>
        </w:rPr>
        <w:t>14.3 供应商所报的谈判报价在合同执行过程中是固定不变的，不得以任何理由予以变更。</w:t>
      </w:r>
    </w:p>
    <w:p w14:paraId="1C9501B1">
      <w:pPr>
        <w:overflowPunct w:val="0"/>
        <w:adjustRightInd w:val="0"/>
        <w:snapToGrid w:val="0"/>
        <w:rPr>
          <w:rFonts w:hint="eastAsia" w:ascii="仿宋" w:hAnsi="仿宋" w:eastAsia="仿宋" w:cs="仿宋"/>
        </w:rPr>
      </w:pPr>
      <w:r>
        <w:rPr>
          <w:rFonts w:hint="eastAsia" w:ascii="仿宋" w:hAnsi="仿宋" w:eastAsia="仿宋" w:cs="仿宋"/>
        </w:rPr>
        <w:t>14.4 本次采购为全过程费用，因供应商原因导致的漏报项目，供应商自行承担相关损失。</w:t>
      </w:r>
    </w:p>
    <w:p w14:paraId="3EAC8736">
      <w:pPr>
        <w:pStyle w:val="4"/>
        <w:overflowPunct w:val="0"/>
        <w:adjustRightInd w:val="0"/>
        <w:snapToGrid w:val="0"/>
        <w:spacing w:before="0" w:after="0" w:line="360" w:lineRule="auto"/>
        <w:rPr>
          <w:rFonts w:hint="eastAsia" w:ascii="仿宋" w:hAnsi="仿宋" w:eastAsia="仿宋" w:cs="仿宋"/>
          <w:sz w:val="24"/>
          <w:szCs w:val="24"/>
        </w:rPr>
      </w:pPr>
      <w:bookmarkStart w:id="135" w:name="_Toc23297"/>
      <w:bookmarkStart w:id="136" w:name="_Toc23215"/>
      <w:bookmarkStart w:id="137" w:name="_Toc16372"/>
      <w:bookmarkStart w:id="138" w:name="_Toc10355"/>
      <w:bookmarkStart w:id="139" w:name="_Toc1671"/>
      <w:bookmarkStart w:id="140" w:name="_Toc311415587"/>
      <w:r>
        <w:rPr>
          <w:rFonts w:hint="eastAsia" w:ascii="仿宋" w:hAnsi="仿宋" w:eastAsia="仿宋" w:cs="仿宋"/>
          <w:sz w:val="24"/>
          <w:szCs w:val="24"/>
        </w:rPr>
        <w:t>15．谈判货币</w:t>
      </w:r>
      <w:bookmarkEnd w:id="135"/>
      <w:bookmarkEnd w:id="136"/>
      <w:bookmarkEnd w:id="137"/>
      <w:bookmarkEnd w:id="138"/>
      <w:bookmarkEnd w:id="139"/>
      <w:bookmarkEnd w:id="140"/>
    </w:p>
    <w:p w14:paraId="571353BF">
      <w:pPr>
        <w:overflowPunct w:val="0"/>
        <w:adjustRightInd w:val="0"/>
        <w:snapToGrid w:val="0"/>
        <w:rPr>
          <w:rFonts w:hint="eastAsia" w:ascii="仿宋" w:hAnsi="仿宋" w:eastAsia="仿宋" w:cs="仿宋"/>
        </w:rPr>
      </w:pPr>
      <w:r>
        <w:rPr>
          <w:rFonts w:hint="eastAsia" w:ascii="仿宋" w:hAnsi="仿宋" w:eastAsia="仿宋" w:cs="仿宋"/>
        </w:rPr>
        <w:t>15.1 采购人只接受人民币作为唯一谈判货币。</w:t>
      </w:r>
    </w:p>
    <w:p w14:paraId="2D31DC6E">
      <w:pPr>
        <w:pStyle w:val="4"/>
        <w:overflowPunct w:val="0"/>
        <w:adjustRightInd w:val="0"/>
        <w:snapToGrid w:val="0"/>
        <w:spacing w:before="0" w:after="0" w:line="360" w:lineRule="auto"/>
        <w:rPr>
          <w:rFonts w:hint="eastAsia" w:ascii="仿宋" w:hAnsi="仿宋" w:eastAsia="仿宋" w:cs="仿宋"/>
          <w:sz w:val="24"/>
          <w:szCs w:val="24"/>
        </w:rPr>
      </w:pPr>
      <w:bookmarkStart w:id="141" w:name="_Toc311415588"/>
      <w:bookmarkStart w:id="142" w:name="_Toc8808"/>
      <w:bookmarkStart w:id="143" w:name="_Toc28021"/>
      <w:bookmarkStart w:id="144" w:name="_Toc5198"/>
      <w:bookmarkStart w:id="145" w:name="_Toc21921"/>
      <w:bookmarkStart w:id="146" w:name="_Toc8316"/>
      <w:r>
        <w:rPr>
          <w:rFonts w:hint="eastAsia" w:ascii="仿宋" w:hAnsi="仿宋" w:eastAsia="仿宋" w:cs="仿宋"/>
          <w:sz w:val="24"/>
          <w:szCs w:val="24"/>
        </w:rPr>
        <w:t>16．证明供应商资格的证明文件</w:t>
      </w:r>
      <w:bookmarkEnd w:id="141"/>
      <w:bookmarkEnd w:id="142"/>
      <w:bookmarkEnd w:id="143"/>
      <w:bookmarkEnd w:id="144"/>
      <w:bookmarkEnd w:id="145"/>
      <w:bookmarkEnd w:id="146"/>
    </w:p>
    <w:p w14:paraId="67CCFF16">
      <w:pPr>
        <w:overflowPunct w:val="0"/>
        <w:adjustRightInd w:val="0"/>
        <w:snapToGrid w:val="0"/>
        <w:rPr>
          <w:rFonts w:hint="eastAsia" w:ascii="仿宋" w:hAnsi="仿宋" w:eastAsia="仿宋" w:cs="仿宋"/>
        </w:rPr>
      </w:pPr>
      <w:r>
        <w:rPr>
          <w:rFonts w:hint="eastAsia" w:ascii="仿宋" w:hAnsi="仿宋" w:eastAsia="仿宋" w:cs="仿宋"/>
        </w:rPr>
        <w:t>16.1 供应商必须按要求提交证明文件，以证明其有资格参加谈判和成交后有履行合同的能力，并作为其谈判响应文件的一部分。</w:t>
      </w:r>
    </w:p>
    <w:p w14:paraId="5BE30DDF">
      <w:pPr>
        <w:pStyle w:val="4"/>
        <w:overflowPunct w:val="0"/>
        <w:adjustRightInd w:val="0"/>
        <w:snapToGrid w:val="0"/>
        <w:spacing w:before="0" w:after="0" w:line="360" w:lineRule="auto"/>
        <w:rPr>
          <w:rFonts w:hint="eastAsia" w:ascii="仿宋" w:hAnsi="仿宋" w:eastAsia="仿宋" w:cs="仿宋"/>
          <w:sz w:val="24"/>
          <w:szCs w:val="24"/>
        </w:rPr>
      </w:pPr>
      <w:bookmarkStart w:id="147" w:name="_Toc31100"/>
      <w:bookmarkStart w:id="148" w:name="_Toc24929"/>
      <w:bookmarkStart w:id="149" w:name="_Toc311415589"/>
      <w:bookmarkStart w:id="150" w:name="_Toc20445"/>
      <w:bookmarkStart w:id="151" w:name="_Toc28429"/>
      <w:bookmarkStart w:id="152" w:name="_Toc20303"/>
      <w:r>
        <w:rPr>
          <w:rFonts w:hint="eastAsia" w:ascii="仿宋" w:hAnsi="仿宋" w:eastAsia="仿宋" w:cs="仿宋"/>
          <w:sz w:val="24"/>
          <w:szCs w:val="24"/>
        </w:rPr>
        <w:t>17．证明货物的合格性和符合谈判文件规定的文件</w:t>
      </w:r>
      <w:bookmarkEnd w:id="147"/>
      <w:bookmarkEnd w:id="148"/>
      <w:bookmarkEnd w:id="149"/>
      <w:bookmarkEnd w:id="150"/>
      <w:bookmarkEnd w:id="151"/>
      <w:bookmarkEnd w:id="152"/>
    </w:p>
    <w:p w14:paraId="36F949D0">
      <w:pPr>
        <w:overflowPunct w:val="0"/>
        <w:adjustRightInd w:val="0"/>
        <w:snapToGrid w:val="0"/>
        <w:rPr>
          <w:rFonts w:hint="eastAsia" w:ascii="仿宋" w:hAnsi="仿宋" w:eastAsia="仿宋" w:cs="仿宋"/>
        </w:rPr>
      </w:pPr>
      <w:r>
        <w:rPr>
          <w:rFonts w:hint="eastAsia" w:ascii="仿宋" w:hAnsi="仿宋" w:eastAsia="仿宋" w:cs="仿宋"/>
        </w:rPr>
        <w:t>17.1 供应商应对《谈判文件》中的各项条款做出清晰准确的答复。</w:t>
      </w:r>
    </w:p>
    <w:p w14:paraId="60045A0C">
      <w:pPr>
        <w:pStyle w:val="4"/>
        <w:overflowPunct w:val="0"/>
        <w:adjustRightInd w:val="0"/>
        <w:snapToGrid w:val="0"/>
        <w:spacing w:before="0" w:after="0" w:line="360" w:lineRule="auto"/>
        <w:rPr>
          <w:rFonts w:hint="eastAsia" w:ascii="仿宋" w:hAnsi="仿宋" w:eastAsia="仿宋" w:cs="仿宋"/>
          <w:sz w:val="24"/>
          <w:szCs w:val="24"/>
        </w:rPr>
      </w:pPr>
      <w:bookmarkStart w:id="153" w:name="_Toc11327"/>
      <w:bookmarkStart w:id="154" w:name="_Toc16812"/>
      <w:bookmarkStart w:id="155" w:name="_Toc21260"/>
      <w:bookmarkStart w:id="156" w:name="_Toc29454"/>
      <w:bookmarkStart w:id="157" w:name="_Toc311415590"/>
      <w:bookmarkStart w:id="158" w:name="_Toc14200"/>
      <w:r>
        <w:rPr>
          <w:rFonts w:hint="eastAsia" w:ascii="仿宋" w:hAnsi="仿宋" w:eastAsia="仿宋" w:cs="仿宋"/>
          <w:sz w:val="24"/>
          <w:szCs w:val="24"/>
        </w:rPr>
        <w:t>18．谈判保证金</w:t>
      </w:r>
      <w:bookmarkEnd w:id="153"/>
      <w:bookmarkEnd w:id="154"/>
      <w:bookmarkEnd w:id="155"/>
      <w:bookmarkEnd w:id="156"/>
      <w:bookmarkEnd w:id="157"/>
      <w:bookmarkEnd w:id="158"/>
    </w:p>
    <w:p w14:paraId="38A9B987">
      <w:pPr>
        <w:rPr>
          <w:rFonts w:hint="eastAsia" w:ascii="仿宋" w:hAnsi="仿宋" w:eastAsia="仿宋" w:cs="仿宋"/>
        </w:rPr>
      </w:pPr>
      <w:r>
        <w:rPr>
          <w:rFonts w:hint="eastAsia" w:ascii="仿宋" w:hAnsi="仿宋" w:eastAsia="仿宋" w:cs="仿宋"/>
        </w:rPr>
        <w:t>18.1 谈判保证金按照供应商须知前附表的要求提交。</w:t>
      </w:r>
    </w:p>
    <w:p w14:paraId="624EED04">
      <w:pPr>
        <w:rPr>
          <w:rFonts w:hint="eastAsia" w:ascii="仿宋" w:hAnsi="仿宋" w:eastAsia="仿宋" w:cs="仿宋"/>
        </w:rPr>
      </w:pPr>
      <w:r>
        <w:rPr>
          <w:rFonts w:hint="eastAsia" w:ascii="仿宋" w:hAnsi="仿宋" w:eastAsia="仿宋" w:cs="仿宋"/>
        </w:rPr>
        <w:t>18.2 对于未能按要求提交谈判保证金的供应商，将视为不响应谈判文件而予以拒绝。</w:t>
      </w:r>
    </w:p>
    <w:p w14:paraId="6F1DE3A7">
      <w:pPr>
        <w:rPr>
          <w:rFonts w:hint="eastAsia" w:ascii="仿宋" w:hAnsi="仿宋" w:eastAsia="仿宋" w:cs="仿宋"/>
        </w:rPr>
      </w:pPr>
      <w:r>
        <w:rPr>
          <w:rFonts w:hint="eastAsia" w:ascii="仿宋" w:hAnsi="仿宋" w:eastAsia="仿宋" w:cs="仿宋"/>
        </w:rPr>
        <w:t>18.3 未成交的供应商谈判保证金将于成交通知书发出后5个工作日内予以退还（不计利息）。</w:t>
      </w:r>
    </w:p>
    <w:p w14:paraId="34D68062">
      <w:pPr>
        <w:rPr>
          <w:rFonts w:hint="eastAsia" w:ascii="仿宋" w:hAnsi="仿宋" w:eastAsia="仿宋" w:cs="仿宋"/>
        </w:rPr>
      </w:pPr>
      <w:r>
        <w:rPr>
          <w:rFonts w:hint="eastAsia" w:ascii="仿宋" w:hAnsi="仿宋" w:eastAsia="仿宋" w:cs="仿宋"/>
        </w:rPr>
        <w:t>18.4 成交供应商的谈判保证金，在成交供应商与采购人签订合同后5个工作日内无息退还。</w:t>
      </w:r>
    </w:p>
    <w:p w14:paraId="0AB81375">
      <w:pPr>
        <w:pStyle w:val="4"/>
        <w:overflowPunct w:val="0"/>
        <w:adjustRightInd w:val="0"/>
        <w:snapToGrid w:val="0"/>
        <w:spacing w:before="0" w:after="0" w:line="360" w:lineRule="auto"/>
        <w:rPr>
          <w:rFonts w:hint="eastAsia" w:ascii="仿宋" w:hAnsi="仿宋" w:eastAsia="仿宋" w:cs="仿宋"/>
          <w:sz w:val="24"/>
          <w:szCs w:val="24"/>
        </w:rPr>
      </w:pPr>
      <w:bookmarkStart w:id="159" w:name="_Toc25534"/>
      <w:bookmarkStart w:id="160" w:name="_Toc9007"/>
      <w:bookmarkStart w:id="161" w:name="_Toc5995"/>
      <w:bookmarkStart w:id="162" w:name="_Toc2584"/>
      <w:bookmarkStart w:id="163" w:name="_Toc13524"/>
      <w:bookmarkStart w:id="164" w:name="_Toc311415591"/>
      <w:r>
        <w:rPr>
          <w:rFonts w:hint="eastAsia" w:ascii="仿宋" w:hAnsi="仿宋" w:eastAsia="仿宋" w:cs="仿宋"/>
          <w:sz w:val="24"/>
          <w:szCs w:val="24"/>
        </w:rPr>
        <w:t>19．谈判有效期</w:t>
      </w:r>
      <w:bookmarkEnd w:id="159"/>
      <w:bookmarkEnd w:id="160"/>
      <w:bookmarkEnd w:id="161"/>
      <w:bookmarkEnd w:id="162"/>
      <w:bookmarkEnd w:id="163"/>
      <w:bookmarkEnd w:id="164"/>
    </w:p>
    <w:p w14:paraId="1D5163ED">
      <w:pPr>
        <w:overflowPunct w:val="0"/>
        <w:adjustRightInd w:val="0"/>
        <w:snapToGrid w:val="0"/>
        <w:rPr>
          <w:rFonts w:hint="eastAsia" w:ascii="仿宋" w:hAnsi="仿宋" w:eastAsia="仿宋" w:cs="仿宋"/>
        </w:rPr>
      </w:pPr>
      <w:r>
        <w:rPr>
          <w:rFonts w:hint="eastAsia" w:ascii="仿宋" w:hAnsi="仿宋" w:eastAsia="仿宋" w:cs="仿宋"/>
        </w:rPr>
        <w:t>19.1 谈判响应文件从谈判之日起，谈判有效期为90天。谈判响应文件的有效期比本须知规定的有效期短的，将被视为非响应报价，采购人有权拒绝。</w:t>
      </w:r>
    </w:p>
    <w:p w14:paraId="7A2B2DE1">
      <w:pPr>
        <w:overflowPunct w:val="0"/>
        <w:adjustRightInd w:val="0"/>
        <w:snapToGrid w:val="0"/>
        <w:rPr>
          <w:rFonts w:hint="eastAsia" w:ascii="仿宋" w:hAnsi="仿宋" w:eastAsia="仿宋" w:cs="仿宋"/>
        </w:rPr>
      </w:pPr>
      <w:r>
        <w:rPr>
          <w:rFonts w:hint="eastAsia" w:ascii="仿宋" w:hAnsi="仿宋" w:eastAsia="仿宋" w:cs="仿宋"/>
        </w:rPr>
        <w:t>19.2 特殊情况下，采购人可于谈判有效期满之前要求供应商同意延长有效期，要求与答复均应为书面形式。供应商可以拒绝上述要求，其谈判保证金不被没收。对于同意该要求的供应商，既不要求也不允许其修改谈判响应文件，但将要求其相应延长谈判保证金的有效期，有关退还和没收谈判保证金的规定在谈判有效期的延长期内继续有效。</w:t>
      </w:r>
    </w:p>
    <w:p w14:paraId="1B75B393">
      <w:pPr>
        <w:pStyle w:val="4"/>
        <w:overflowPunct w:val="0"/>
        <w:adjustRightInd w:val="0"/>
        <w:snapToGrid w:val="0"/>
        <w:spacing w:before="0" w:after="0" w:line="360" w:lineRule="auto"/>
        <w:rPr>
          <w:rFonts w:hint="eastAsia" w:ascii="仿宋" w:hAnsi="仿宋" w:eastAsia="仿宋" w:cs="仿宋"/>
          <w:sz w:val="24"/>
          <w:szCs w:val="24"/>
        </w:rPr>
      </w:pPr>
      <w:bookmarkStart w:id="165" w:name="_Toc311415592"/>
      <w:bookmarkStart w:id="166" w:name="_Toc21484"/>
      <w:bookmarkStart w:id="167" w:name="_Toc22817"/>
      <w:bookmarkStart w:id="168" w:name="_Toc6881"/>
      <w:bookmarkStart w:id="169" w:name="_Toc10718"/>
      <w:bookmarkStart w:id="170" w:name="_Toc6888"/>
      <w:r>
        <w:rPr>
          <w:rFonts w:hint="eastAsia" w:ascii="仿宋" w:hAnsi="仿宋" w:eastAsia="仿宋" w:cs="仿宋"/>
          <w:sz w:val="24"/>
          <w:szCs w:val="24"/>
        </w:rPr>
        <w:t>20．谈判响应文件的签署及格式</w:t>
      </w:r>
      <w:bookmarkEnd w:id="165"/>
      <w:bookmarkEnd w:id="166"/>
      <w:bookmarkEnd w:id="167"/>
      <w:bookmarkEnd w:id="168"/>
      <w:bookmarkEnd w:id="169"/>
      <w:bookmarkEnd w:id="170"/>
    </w:p>
    <w:p w14:paraId="7DD7E5ED">
      <w:pPr>
        <w:overflowPunct w:val="0"/>
        <w:adjustRightInd w:val="0"/>
        <w:snapToGrid w:val="0"/>
        <w:rPr>
          <w:rFonts w:hint="eastAsia" w:ascii="仿宋" w:hAnsi="仿宋" w:eastAsia="仿宋" w:cs="仿宋"/>
        </w:rPr>
      </w:pPr>
      <w:r>
        <w:rPr>
          <w:rFonts w:hint="eastAsia" w:ascii="仿宋" w:hAnsi="仿宋" w:eastAsia="仿宋" w:cs="仿宋"/>
        </w:rPr>
        <w:t>20.1 谈判响应文件需打印或者使用墨水笔书写。谈判响应文件应由供应商法定代表人或经法定代表人正式授权的供应商代表在“谈判文件”要求的地方签字并加盖印章。一旦正本和副本有差异，以正本为准。</w:t>
      </w:r>
    </w:p>
    <w:p w14:paraId="40EF27DA">
      <w:pPr>
        <w:overflowPunct w:val="0"/>
        <w:adjustRightInd w:val="0"/>
        <w:snapToGrid w:val="0"/>
        <w:rPr>
          <w:rFonts w:hint="eastAsia" w:ascii="仿宋" w:hAnsi="仿宋" w:eastAsia="仿宋" w:cs="仿宋"/>
        </w:rPr>
      </w:pPr>
      <w:r>
        <w:rPr>
          <w:rFonts w:hint="eastAsia" w:ascii="仿宋" w:hAnsi="仿宋" w:eastAsia="仿宋" w:cs="仿宋"/>
        </w:rPr>
        <w:t>20.2 除供应商对错处作必要修改外，谈判响应文件中不许有加行、涂抹或改写。若有修改须由签署谈判响应文件的授权代表在旁边签字才有效。</w:t>
      </w:r>
    </w:p>
    <w:p w14:paraId="76496F58">
      <w:pPr>
        <w:overflowPunct w:val="0"/>
        <w:adjustRightInd w:val="0"/>
        <w:snapToGrid w:val="0"/>
        <w:rPr>
          <w:rFonts w:hint="eastAsia" w:ascii="仿宋" w:hAnsi="仿宋" w:eastAsia="仿宋" w:cs="仿宋"/>
        </w:rPr>
      </w:pPr>
      <w:r>
        <w:rPr>
          <w:rFonts w:hint="eastAsia" w:ascii="仿宋" w:hAnsi="仿宋" w:eastAsia="仿宋" w:cs="仿宋"/>
        </w:rPr>
        <w:t>20.3 以电报、电话、传真、电子邮件形式的谈判将被拒绝。</w:t>
      </w:r>
    </w:p>
    <w:p w14:paraId="21F42D03">
      <w:pPr>
        <w:pStyle w:val="3"/>
        <w:overflowPunct w:val="0"/>
        <w:adjustRightInd w:val="0"/>
        <w:snapToGrid w:val="0"/>
        <w:spacing w:before="0" w:after="0" w:line="360" w:lineRule="auto"/>
        <w:jc w:val="center"/>
        <w:rPr>
          <w:rFonts w:hint="eastAsia" w:ascii="仿宋" w:hAnsi="仿宋" w:eastAsia="仿宋" w:cs="仿宋"/>
          <w:sz w:val="24"/>
          <w:szCs w:val="24"/>
        </w:rPr>
      </w:pPr>
      <w:bookmarkStart w:id="171" w:name="_Toc15830"/>
      <w:bookmarkStart w:id="172" w:name="_Toc31123"/>
      <w:bookmarkStart w:id="173" w:name="_Toc18188"/>
      <w:bookmarkStart w:id="174" w:name="_Toc31060"/>
      <w:bookmarkStart w:id="175" w:name="_Toc1674"/>
      <w:bookmarkStart w:id="176" w:name="_Toc283240489"/>
      <w:bookmarkStart w:id="177" w:name="_Toc283626505"/>
      <w:bookmarkStart w:id="178" w:name="_Toc311415593"/>
      <w:bookmarkStart w:id="179" w:name="_Toc332874422"/>
      <w:bookmarkStart w:id="180" w:name="_Toc23546"/>
      <w:r>
        <w:rPr>
          <w:rFonts w:hint="eastAsia" w:ascii="仿宋" w:hAnsi="仿宋" w:eastAsia="仿宋" w:cs="仿宋"/>
          <w:sz w:val="24"/>
          <w:szCs w:val="24"/>
        </w:rPr>
        <w:t>D．谈判响应文件的递交</w:t>
      </w:r>
      <w:bookmarkEnd w:id="171"/>
      <w:bookmarkEnd w:id="172"/>
      <w:bookmarkEnd w:id="173"/>
      <w:bookmarkEnd w:id="174"/>
      <w:bookmarkEnd w:id="175"/>
      <w:bookmarkEnd w:id="176"/>
      <w:bookmarkEnd w:id="177"/>
      <w:bookmarkEnd w:id="178"/>
      <w:bookmarkEnd w:id="179"/>
      <w:bookmarkEnd w:id="180"/>
    </w:p>
    <w:p w14:paraId="3B6D051E">
      <w:pPr>
        <w:pStyle w:val="4"/>
        <w:overflowPunct w:val="0"/>
        <w:adjustRightInd w:val="0"/>
        <w:snapToGrid w:val="0"/>
        <w:spacing w:before="0" w:after="0" w:line="360" w:lineRule="auto"/>
        <w:rPr>
          <w:rFonts w:hint="eastAsia" w:ascii="仿宋" w:hAnsi="仿宋" w:eastAsia="仿宋" w:cs="仿宋"/>
          <w:sz w:val="24"/>
          <w:szCs w:val="24"/>
        </w:rPr>
      </w:pPr>
      <w:bookmarkStart w:id="181" w:name="_Toc20827"/>
      <w:bookmarkStart w:id="182" w:name="_Toc7889"/>
      <w:bookmarkStart w:id="183" w:name="_Toc31391"/>
      <w:bookmarkStart w:id="184" w:name="_Toc13423"/>
      <w:bookmarkStart w:id="185" w:name="_Toc2646"/>
      <w:bookmarkStart w:id="186" w:name="_Toc311415594"/>
      <w:r>
        <w:rPr>
          <w:rFonts w:hint="eastAsia" w:ascii="仿宋" w:hAnsi="仿宋" w:eastAsia="仿宋" w:cs="仿宋"/>
          <w:sz w:val="24"/>
          <w:szCs w:val="24"/>
        </w:rPr>
        <w:t>21．谈判响应文件的数量、包装和标记</w:t>
      </w:r>
      <w:bookmarkEnd w:id="181"/>
      <w:bookmarkEnd w:id="182"/>
      <w:bookmarkEnd w:id="183"/>
      <w:bookmarkEnd w:id="184"/>
      <w:bookmarkEnd w:id="185"/>
      <w:bookmarkEnd w:id="186"/>
    </w:p>
    <w:p w14:paraId="2297D048">
      <w:pPr>
        <w:overflowPunct w:val="0"/>
        <w:adjustRightInd w:val="0"/>
        <w:snapToGrid w:val="0"/>
        <w:rPr>
          <w:rFonts w:hint="eastAsia" w:ascii="仿宋" w:hAnsi="仿宋" w:eastAsia="仿宋" w:cs="仿宋"/>
        </w:rPr>
      </w:pPr>
      <w:r>
        <w:rPr>
          <w:rFonts w:hint="eastAsia" w:ascii="仿宋" w:hAnsi="仿宋" w:eastAsia="仿宋" w:cs="仿宋"/>
        </w:rPr>
        <w:t xml:space="preserve">21.1 </w:t>
      </w:r>
      <w:r>
        <w:rPr>
          <w:rFonts w:hint="eastAsia" w:ascii="仿宋" w:hAnsi="仿宋" w:eastAsia="仿宋" w:cs="仿宋"/>
          <w:color w:val="auto"/>
          <w:sz w:val="24"/>
          <w:highlight w:val="none"/>
        </w:rPr>
        <w:t>供应商应按前附表须知提供</w:t>
      </w:r>
      <w:r>
        <w:rPr>
          <w:rFonts w:hint="eastAsia" w:ascii="仿宋" w:hAnsi="仿宋" w:eastAsia="仿宋" w:cs="仿宋"/>
          <w:color w:val="auto"/>
          <w:sz w:val="24"/>
          <w:highlight w:val="none"/>
          <w:lang w:val="en-US" w:eastAsia="zh-CN"/>
        </w:rPr>
        <w:t>响应</w:t>
      </w:r>
      <w:r>
        <w:rPr>
          <w:rFonts w:hint="eastAsia" w:ascii="仿宋" w:hAnsi="仿宋" w:eastAsia="仿宋" w:cs="仿宋"/>
          <w:color w:val="auto"/>
          <w:sz w:val="24"/>
          <w:highlight w:val="none"/>
        </w:rPr>
        <w:t>文件。</w:t>
      </w:r>
    </w:p>
    <w:p w14:paraId="2107DC2A">
      <w:pPr>
        <w:overflowPunct w:val="0"/>
        <w:adjustRightInd w:val="0"/>
        <w:snapToGrid w:val="0"/>
        <w:rPr>
          <w:rFonts w:hint="eastAsia" w:ascii="仿宋" w:hAnsi="仿宋" w:eastAsia="仿宋" w:cs="仿宋"/>
        </w:rPr>
      </w:pPr>
      <w:r>
        <w:rPr>
          <w:rFonts w:hint="eastAsia" w:ascii="仿宋" w:hAnsi="仿宋" w:eastAsia="仿宋" w:cs="仿宋"/>
        </w:rPr>
        <w:t>21.2 谈判响应文件必须密封递交。对封装材料及样式不作特别规定，但供应商应当保证其封装的可靠性，不致因搬运、堆放等原因散开。所有密封袋/箱正面和谈判响应文件封面须标明项目名称、项目编号、供应商名称及“正本”、“副本”、“电子版文件”字样。</w:t>
      </w:r>
    </w:p>
    <w:p w14:paraId="6D9CEFD0">
      <w:pPr>
        <w:overflowPunct w:val="0"/>
        <w:adjustRightInd w:val="0"/>
        <w:snapToGrid w:val="0"/>
        <w:rPr>
          <w:rFonts w:hint="eastAsia" w:ascii="仿宋" w:hAnsi="仿宋" w:eastAsia="仿宋" w:cs="仿宋"/>
        </w:rPr>
      </w:pPr>
      <w:r>
        <w:rPr>
          <w:rFonts w:hint="eastAsia" w:ascii="仿宋" w:hAnsi="仿宋" w:eastAsia="仿宋" w:cs="仿宋"/>
        </w:rPr>
        <w:t>21.3 所有谈判响应文件的密封袋/箱应加盖供应商公章。</w:t>
      </w:r>
    </w:p>
    <w:p w14:paraId="1A4604BE">
      <w:pPr>
        <w:overflowPunct w:val="0"/>
        <w:adjustRightInd w:val="0"/>
        <w:snapToGrid w:val="0"/>
        <w:rPr>
          <w:rFonts w:hint="eastAsia" w:ascii="仿宋" w:hAnsi="仿宋" w:eastAsia="仿宋" w:cs="仿宋"/>
        </w:rPr>
      </w:pPr>
      <w:r>
        <w:rPr>
          <w:rFonts w:hint="eastAsia" w:ascii="仿宋" w:hAnsi="仿宋" w:eastAsia="仿宋" w:cs="仿宋"/>
        </w:rPr>
        <w:t>21.4 如果未按上述规定进行密封和标记，供应商的谈判响应文件有权被拒绝。</w:t>
      </w:r>
    </w:p>
    <w:p w14:paraId="4EE28E75">
      <w:pPr>
        <w:pStyle w:val="4"/>
        <w:overflowPunct w:val="0"/>
        <w:adjustRightInd w:val="0"/>
        <w:snapToGrid w:val="0"/>
        <w:spacing w:before="0" w:after="0" w:line="360" w:lineRule="auto"/>
        <w:rPr>
          <w:rFonts w:hint="eastAsia" w:ascii="仿宋" w:hAnsi="仿宋" w:eastAsia="仿宋" w:cs="仿宋"/>
          <w:sz w:val="24"/>
          <w:szCs w:val="24"/>
        </w:rPr>
      </w:pPr>
      <w:bookmarkStart w:id="187" w:name="_Toc6478"/>
      <w:bookmarkStart w:id="188" w:name="_Toc32383"/>
      <w:bookmarkStart w:id="189" w:name="_Toc311415595"/>
      <w:bookmarkStart w:id="190" w:name="_Toc2010"/>
      <w:bookmarkStart w:id="191" w:name="_Toc8470"/>
      <w:bookmarkStart w:id="192" w:name="_Toc14163"/>
      <w:r>
        <w:rPr>
          <w:rFonts w:hint="eastAsia" w:ascii="仿宋" w:hAnsi="仿宋" w:eastAsia="仿宋" w:cs="仿宋"/>
          <w:sz w:val="24"/>
          <w:szCs w:val="24"/>
        </w:rPr>
        <w:t>22．谈判截止时间</w:t>
      </w:r>
      <w:bookmarkEnd w:id="187"/>
      <w:bookmarkEnd w:id="188"/>
      <w:bookmarkEnd w:id="189"/>
      <w:bookmarkEnd w:id="190"/>
      <w:bookmarkEnd w:id="191"/>
      <w:bookmarkEnd w:id="192"/>
    </w:p>
    <w:p w14:paraId="3B5DC0B2">
      <w:pPr>
        <w:overflowPunct w:val="0"/>
        <w:adjustRightInd w:val="0"/>
        <w:snapToGrid w:val="0"/>
        <w:rPr>
          <w:rFonts w:hint="eastAsia" w:ascii="仿宋" w:hAnsi="仿宋" w:eastAsia="仿宋" w:cs="仿宋"/>
        </w:rPr>
      </w:pPr>
      <w:r>
        <w:rPr>
          <w:rFonts w:hint="eastAsia" w:ascii="仿宋" w:hAnsi="仿宋" w:eastAsia="仿宋" w:cs="仿宋"/>
        </w:rPr>
        <w:t>22.1 所有谈判响应文件都必须按“谈判公告”中规定的谈判响应文件递交截止时间前送达谈判文件规定的递交地址。</w:t>
      </w:r>
    </w:p>
    <w:p w14:paraId="7E2CFF8D">
      <w:pPr>
        <w:overflowPunct w:val="0"/>
        <w:adjustRightInd w:val="0"/>
        <w:snapToGrid w:val="0"/>
        <w:rPr>
          <w:rFonts w:hint="eastAsia" w:ascii="仿宋" w:hAnsi="仿宋" w:eastAsia="仿宋" w:cs="仿宋"/>
        </w:rPr>
      </w:pPr>
      <w:r>
        <w:rPr>
          <w:rFonts w:hint="eastAsia" w:ascii="仿宋" w:hAnsi="仿宋" w:eastAsia="仿宋" w:cs="仿宋"/>
        </w:rPr>
        <w:t>22.2 出现第8.3款因谈判文件的修改推迟谈判截止日期时，则按采购人修改通知规定的时间递交。</w:t>
      </w:r>
    </w:p>
    <w:p w14:paraId="50B687F9">
      <w:pPr>
        <w:overflowPunct w:val="0"/>
        <w:adjustRightInd w:val="0"/>
        <w:snapToGrid w:val="0"/>
        <w:rPr>
          <w:rFonts w:hint="eastAsia" w:ascii="仿宋" w:hAnsi="仿宋" w:eastAsia="仿宋" w:cs="仿宋"/>
        </w:rPr>
      </w:pPr>
      <w:r>
        <w:rPr>
          <w:rFonts w:hint="eastAsia" w:ascii="仿宋" w:hAnsi="仿宋" w:eastAsia="仿宋" w:cs="仿宋"/>
        </w:rPr>
        <w:t>22.3 在谈判响应文件递交截止时间之后的任何谈判响应文件将拒绝接收。</w:t>
      </w:r>
    </w:p>
    <w:p w14:paraId="45A950F0">
      <w:pPr>
        <w:pStyle w:val="4"/>
        <w:overflowPunct w:val="0"/>
        <w:adjustRightInd w:val="0"/>
        <w:snapToGrid w:val="0"/>
        <w:spacing w:before="0" w:after="0" w:line="360" w:lineRule="auto"/>
        <w:rPr>
          <w:rFonts w:hint="eastAsia" w:ascii="仿宋" w:hAnsi="仿宋" w:eastAsia="仿宋" w:cs="仿宋"/>
          <w:sz w:val="24"/>
          <w:szCs w:val="24"/>
        </w:rPr>
      </w:pPr>
      <w:bookmarkStart w:id="193" w:name="_Toc9708"/>
      <w:bookmarkStart w:id="194" w:name="_Toc11331"/>
      <w:bookmarkStart w:id="195" w:name="_Toc1733"/>
      <w:bookmarkStart w:id="196" w:name="_Toc21855"/>
      <w:bookmarkStart w:id="197" w:name="_Toc311415596"/>
      <w:bookmarkStart w:id="198" w:name="_Toc15390"/>
      <w:r>
        <w:rPr>
          <w:rFonts w:hint="eastAsia" w:ascii="仿宋" w:hAnsi="仿宋" w:eastAsia="仿宋" w:cs="仿宋"/>
          <w:sz w:val="24"/>
          <w:szCs w:val="24"/>
        </w:rPr>
        <w:t>23．谈判响应文件的修改与撤回</w:t>
      </w:r>
      <w:bookmarkEnd w:id="193"/>
      <w:bookmarkEnd w:id="194"/>
      <w:bookmarkEnd w:id="195"/>
      <w:bookmarkEnd w:id="196"/>
      <w:bookmarkEnd w:id="197"/>
      <w:bookmarkEnd w:id="198"/>
    </w:p>
    <w:p w14:paraId="54FD0A20">
      <w:pPr>
        <w:overflowPunct w:val="0"/>
        <w:adjustRightInd w:val="0"/>
        <w:snapToGrid w:val="0"/>
        <w:rPr>
          <w:rFonts w:hint="eastAsia" w:ascii="仿宋" w:hAnsi="仿宋" w:eastAsia="仿宋" w:cs="仿宋"/>
        </w:rPr>
      </w:pPr>
      <w:bookmarkStart w:id="199" w:name="_Toc283240490"/>
      <w:bookmarkStart w:id="200" w:name="_Toc311415597"/>
      <w:bookmarkStart w:id="201" w:name="_Toc283626506"/>
      <w:bookmarkStart w:id="202" w:name="_Toc332874423"/>
      <w:r>
        <w:rPr>
          <w:rFonts w:hint="eastAsia" w:ascii="仿宋" w:hAnsi="仿宋" w:eastAsia="仿宋" w:cs="仿宋"/>
        </w:rPr>
        <w:t>23.1 供应商在递交响应文件后，在规定的截止时间之前，可以以书面形式补充修改或撤回已提交的响应文件，并以书面形式通知采购代理机构。补充或修改的内容作为响应文件的组成部分。</w:t>
      </w:r>
    </w:p>
    <w:p w14:paraId="4745272B">
      <w:pPr>
        <w:overflowPunct w:val="0"/>
        <w:adjustRightInd w:val="0"/>
        <w:snapToGrid w:val="0"/>
        <w:rPr>
          <w:rFonts w:hint="eastAsia" w:ascii="仿宋" w:hAnsi="仿宋" w:eastAsia="仿宋" w:cs="仿宋"/>
        </w:rPr>
      </w:pPr>
      <w:r>
        <w:rPr>
          <w:rFonts w:hint="eastAsia" w:ascii="仿宋" w:hAnsi="仿宋" w:eastAsia="仿宋" w:cs="仿宋"/>
        </w:rPr>
        <w:t>23.2 供应商对响应文件的补充修改，应按照谈判文件的规定密封、标记和提交。其送达时间不得迟于谈判截止时间。</w:t>
      </w:r>
    </w:p>
    <w:p w14:paraId="45785B2F">
      <w:pPr>
        <w:overflowPunct w:val="0"/>
        <w:adjustRightInd w:val="0"/>
        <w:snapToGrid w:val="0"/>
        <w:rPr>
          <w:rFonts w:hint="eastAsia" w:ascii="仿宋" w:hAnsi="仿宋" w:eastAsia="仿宋" w:cs="仿宋"/>
        </w:rPr>
      </w:pPr>
      <w:r>
        <w:rPr>
          <w:rFonts w:hint="eastAsia" w:ascii="仿宋" w:hAnsi="仿宋" w:eastAsia="仿宋" w:cs="仿宋"/>
        </w:rPr>
        <w:t>23.3 在谈判截止时间之后，供应商不得对其谈判文件做任何修改，不得退回文件。</w:t>
      </w:r>
    </w:p>
    <w:p w14:paraId="76316BD8">
      <w:pPr>
        <w:overflowPunct w:val="0"/>
        <w:adjustRightInd w:val="0"/>
        <w:snapToGrid w:val="0"/>
        <w:rPr>
          <w:rFonts w:hint="eastAsia" w:ascii="仿宋" w:hAnsi="仿宋" w:eastAsia="仿宋" w:cs="仿宋"/>
        </w:rPr>
      </w:pPr>
      <w:r>
        <w:rPr>
          <w:rFonts w:hint="eastAsia" w:ascii="仿宋" w:hAnsi="仿宋" w:eastAsia="仿宋" w:cs="仿宋"/>
        </w:rPr>
        <w:t>23.4 已提交响应文件的供应商，在提交最后报价之前，可以根据谈判情况退出谈判。</w:t>
      </w:r>
    </w:p>
    <w:p w14:paraId="7E2E203B">
      <w:pPr>
        <w:pStyle w:val="3"/>
        <w:overflowPunct w:val="0"/>
        <w:adjustRightInd w:val="0"/>
        <w:snapToGrid w:val="0"/>
        <w:spacing w:before="0" w:after="0" w:line="360" w:lineRule="auto"/>
        <w:jc w:val="center"/>
        <w:rPr>
          <w:rFonts w:hint="eastAsia" w:ascii="仿宋" w:hAnsi="仿宋" w:eastAsia="仿宋" w:cs="仿宋"/>
          <w:sz w:val="24"/>
          <w:szCs w:val="24"/>
        </w:rPr>
      </w:pPr>
      <w:bookmarkStart w:id="203" w:name="_Toc9005"/>
      <w:bookmarkStart w:id="204" w:name="_Toc6197"/>
      <w:bookmarkStart w:id="205" w:name="_Toc1009"/>
      <w:bookmarkStart w:id="206" w:name="_Toc5130"/>
      <w:bookmarkStart w:id="207" w:name="_Toc20147"/>
      <w:bookmarkStart w:id="208" w:name="_Toc11208"/>
      <w:r>
        <w:rPr>
          <w:rFonts w:hint="eastAsia" w:ascii="仿宋" w:hAnsi="仿宋" w:eastAsia="仿宋" w:cs="仿宋"/>
          <w:sz w:val="24"/>
          <w:szCs w:val="24"/>
        </w:rPr>
        <w:t>E．谈判大会/评审</w:t>
      </w:r>
      <w:bookmarkEnd w:id="199"/>
      <w:bookmarkEnd w:id="200"/>
      <w:bookmarkEnd w:id="201"/>
      <w:bookmarkEnd w:id="202"/>
      <w:bookmarkEnd w:id="203"/>
      <w:bookmarkEnd w:id="204"/>
      <w:bookmarkEnd w:id="205"/>
      <w:bookmarkEnd w:id="206"/>
      <w:bookmarkEnd w:id="207"/>
      <w:bookmarkEnd w:id="208"/>
    </w:p>
    <w:p w14:paraId="7BF2FE25">
      <w:pPr>
        <w:pStyle w:val="4"/>
        <w:overflowPunct w:val="0"/>
        <w:adjustRightInd w:val="0"/>
        <w:snapToGrid w:val="0"/>
        <w:spacing w:before="0" w:after="0" w:line="360" w:lineRule="auto"/>
        <w:rPr>
          <w:rFonts w:hint="eastAsia" w:ascii="仿宋" w:hAnsi="仿宋" w:eastAsia="仿宋" w:cs="仿宋"/>
          <w:sz w:val="24"/>
          <w:szCs w:val="24"/>
        </w:rPr>
      </w:pPr>
      <w:bookmarkStart w:id="209" w:name="_Toc311415598"/>
      <w:bookmarkStart w:id="210" w:name="_Toc7034"/>
      <w:bookmarkStart w:id="211" w:name="_Toc17368"/>
      <w:bookmarkStart w:id="212" w:name="_Toc12121"/>
      <w:bookmarkStart w:id="213" w:name="_Toc13222"/>
      <w:bookmarkStart w:id="214" w:name="_Toc14060"/>
      <w:r>
        <w:rPr>
          <w:rFonts w:hint="eastAsia" w:ascii="仿宋" w:hAnsi="仿宋" w:eastAsia="仿宋" w:cs="仿宋"/>
          <w:sz w:val="24"/>
          <w:szCs w:val="24"/>
        </w:rPr>
        <w:t>24．</w:t>
      </w:r>
      <w:bookmarkEnd w:id="209"/>
      <w:r>
        <w:rPr>
          <w:rFonts w:hint="eastAsia" w:ascii="仿宋" w:hAnsi="仿宋" w:eastAsia="仿宋" w:cs="仿宋"/>
          <w:sz w:val="24"/>
          <w:szCs w:val="24"/>
        </w:rPr>
        <w:t>谈判大会</w:t>
      </w:r>
      <w:bookmarkEnd w:id="210"/>
      <w:bookmarkEnd w:id="211"/>
      <w:bookmarkEnd w:id="212"/>
      <w:bookmarkEnd w:id="213"/>
      <w:bookmarkEnd w:id="214"/>
    </w:p>
    <w:p w14:paraId="457C55DE">
      <w:pPr>
        <w:overflowPunct w:val="0"/>
        <w:adjustRightInd w:val="0"/>
        <w:snapToGrid w:val="0"/>
        <w:rPr>
          <w:rFonts w:hint="eastAsia" w:ascii="仿宋" w:hAnsi="仿宋" w:eastAsia="仿宋" w:cs="仿宋"/>
        </w:rPr>
      </w:pPr>
      <w:r>
        <w:rPr>
          <w:rFonts w:hint="eastAsia" w:ascii="仿宋" w:hAnsi="仿宋" w:eastAsia="仿宋" w:cs="仿宋"/>
        </w:rPr>
        <w:t>24.1 采购代理机构按谈判公告中规定的时间和地点接受供应商递交的谈判响应文件。供应商派代表签到，并参加谈判。</w:t>
      </w:r>
    </w:p>
    <w:p w14:paraId="5E587EB2">
      <w:pPr>
        <w:overflowPunct w:val="0"/>
        <w:adjustRightInd w:val="0"/>
        <w:snapToGrid w:val="0"/>
        <w:rPr>
          <w:rFonts w:hint="eastAsia" w:ascii="仿宋" w:hAnsi="仿宋" w:eastAsia="仿宋" w:cs="仿宋"/>
        </w:rPr>
      </w:pPr>
      <w:r>
        <w:rPr>
          <w:rFonts w:hint="eastAsia" w:ascii="仿宋" w:hAnsi="仿宋" w:eastAsia="仿宋" w:cs="仿宋"/>
        </w:rPr>
        <w:t>24.2 谈判大会上，供应商代表与监标人一同对响应文件密封情况进行确认。</w:t>
      </w:r>
    </w:p>
    <w:p w14:paraId="76BD1EF7">
      <w:pPr>
        <w:overflowPunct w:val="0"/>
        <w:adjustRightInd w:val="0"/>
        <w:snapToGrid w:val="0"/>
        <w:rPr>
          <w:rFonts w:hint="eastAsia" w:ascii="仿宋" w:hAnsi="仿宋" w:eastAsia="仿宋" w:cs="仿宋"/>
        </w:rPr>
      </w:pPr>
      <w:r>
        <w:rPr>
          <w:rFonts w:hint="eastAsia" w:ascii="仿宋" w:hAnsi="仿宋" w:eastAsia="仿宋" w:cs="仿宋"/>
        </w:rPr>
        <w:t>24.3 谈判大会上，拆启所有谈判响应文件。</w:t>
      </w:r>
    </w:p>
    <w:p w14:paraId="24A089EF">
      <w:pPr>
        <w:pStyle w:val="4"/>
        <w:overflowPunct w:val="0"/>
        <w:adjustRightInd w:val="0"/>
        <w:snapToGrid w:val="0"/>
        <w:spacing w:before="0" w:after="0" w:line="360" w:lineRule="auto"/>
        <w:rPr>
          <w:rFonts w:hint="eastAsia" w:ascii="仿宋" w:hAnsi="仿宋" w:eastAsia="仿宋" w:cs="仿宋"/>
          <w:sz w:val="24"/>
          <w:szCs w:val="24"/>
        </w:rPr>
      </w:pPr>
      <w:bookmarkStart w:id="215" w:name="_Toc1772"/>
      <w:bookmarkStart w:id="216" w:name="_Toc14184"/>
      <w:bookmarkStart w:id="217" w:name="_Toc11079"/>
      <w:bookmarkStart w:id="218" w:name="_Toc11835"/>
      <w:bookmarkStart w:id="219" w:name="_Toc311415599"/>
      <w:bookmarkStart w:id="220" w:name="_Toc17017"/>
      <w:r>
        <w:rPr>
          <w:rFonts w:hint="eastAsia" w:ascii="仿宋" w:hAnsi="仿宋" w:eastAsia="仿宋" w:cs="仿宋"/>
          <w:sz w:val="24"/>
          <w:szCs w:val="24"/>
        </w:rPr>
        <w:t>25．谈判小组</w:t>
      </w:r>
      <w:bookmarkEnd w:id="215"/>
      <w:bookmarkEnd w:id="216"/>
      <w:bookmarkEnd w:id="217"/>
      <w:bookmarkEnd w:id="218"/>
      <w:bookmarkEnd w:id="219"/>
      <w:bookmarkEnd w:id="220"/>
      <w:r>
        <w:rPr>
          <w:rFonts w:hint="eastAsia" w:ascii="仿宋" w:hAnsi="仿宋" w:eastAsia="仿宋" w:cs="仿宋"/>
          <w:sz w:val="24"/>
          <w:szCs w:val="24"/>
        </w:rPr>
        <w:t xml:space="preserve"> </w:t>
      </w:r>
    </w:p>
    <w:p w14:paraId="0B3DE6A7">
      <w:pPr>
        <w:overflowPunct w:val="0"/>
        <w:adjustRightInd w:val="0"/>
        <w:snapToGrid w:val="0"/>
        <w:rPr>
          <w:rFonts w:hint="eastAsia" w:ascii="仿宋" w:hAnsi="仿宋" w:eastAsia="仿宋" w:cs="仿宋"/>
        </w:rPr>
      </w:pPr>
      <w:r>
        <w:rPr>
          <w:rFonts w:hint="eastAsia" w:ascii="仿宋" w:hAnsi="仿宋" w:eastAsia="仿宋" w:cs="仿宋"/>
        </w:rPr>
        <w:t>25.1 采购人将根据本次采购项目的特点，参照《中华人民共和国政府采购法》等有关规定组建谈判小组。</w:t>
      </w:r>
    </w:p>
    <w:p w14:paraId="27FC9978">
      <w:pPr>
        <w:overflowPunct w:val="0"/>
        <w:adjustRightInd w:val="0"/>
        <w:snapToGrid w:val="0"/>
        <w:rPr>
          <w:rFonts w:hint="eastAsia" w:ascii="仿宋" w:hAnsi="仿宋" w:eastAsia="仿宋" w:cs="仿宋"/>
        </w:rPr>
      </w:pPr>
      <w:r>
        <w:rPr>
          <w:rFonts w:hint="eastAsia" w:ascii="仿宋" w:hAnsi="仿宋" w:eastAsia="仿宋" w:cs="仿宋"/>
        </w:rPr>
        <w:t>25.2 谈判小组</w:t>
      </w:r>
    </w:p>
    <w:p w14:paraId="2FBFD2AF">
      <w:pPr>
        <w:overflowPunct w:val="0"/>
        <w:adjustRightInd w:val="0"/>
        <w:snapToGrid w:val="0"/>
        <w:rPr>
          <w:rFonts w:hint="eastAsia" w:ascii="仿宋" w:hAnsi="仿宋" w:eastAsia="仿宋" w:cs="仿宋"/>
        </w:rPr>
      </w:pPr>
      <w:r>
        <w:rPr>
          <w:rFonts w:hint="eastAsia" w:ascii="仿宋" w:hAnsi="仿宋" w:eastAsia="仿宋" w:cs="仿宋"/>
        </w:rPr>
        <w:t>成员由采购人及有关技术、经济等方面的专家组成，负责评审活动。</w:t>
      </w:r>
    </w:p>
    <w:p w14:paraId="44A778E2">
      <w:pPr>
        <w:overflowPunct w:val="0"/>
        <w:adjustRightInd w:val="0"/>
        <w:snapToGrid w:val="0"/>
        <w:rPr>
          <w:rFonts w:hint="eastAsia" w:ascii="仿宋" w:hAnsi="仿宋" w:eastAsia="仿宋" w:cs="仿宋"/>
        </w:rPr>
      </w:pPr>
      <w:r>
        <w:rPr>
          <w:rFonts w:hint="eastAsia" w:ascii="仿宋" w:hAnsi="仿宋" w:eastAsia="仿宋" w:cs="仿宋"/>
        </w:rPr>
        <w:t>25.3 谈判小组成员确认谈判文件后对各供应商谈判响应文件进行审查、质疑、评估和比较，并推荐成交候选供应商。</w:t>
      </w:r>
    </w:p>
    <w:p w14:paraId="44502A58">
      <w:pPr>
        <w:pStyle w:val="4"/>
        <w:overflowPunct w:val="0"/>
        <w:adjustRightInd w:val="0"/>
        <w:snapToGrid w:val="0"/>
        <w:spacing w:before="0" w:after="0" w:line="360" w:lineRule="auto"/>
        <w:rPr>
          <w:rFonts w:hint="eastAsia" w:ascii="仿宋" w:hAnsi="仿宋" w:eastAsia="仿宋" w:cs="仿宋"/>
          <w:sz w:val="24"/>
          <w:szCs w:val="24"/>
        </w:rPr>
      </w:pPr>
      <w:bookmarkStart w:id="221" w:name="_Toc311415601"/>
      <w:bookmarkStart w:id="222" w:name="_Toc2960"/>
      <w:bookmarkStart w:id="223" w:name="_Toc25621"/>
      <w:bookmarkStart w:id="224" w:name="_Toc29818"/>
      <w:bookmarkStart w:id="225" w:name="_Toc2320"/>
      <w:bookmarkStart w:id="226" w:name="_Toc13309"/>
      <w:r>
        <w:rPr>
          <w:rFonts w:hint="eastAsia" w:ascii="仿宋" w:hAnsi="仿宋" w:eastAsia="仿宋" w:cs="仿宋"/>
          <w:sz w:val="24"/>
          <w:szCs w:val="24"/>
        </w:rPr>
        <w:t>26．谈判响应文件的</w:t>
      </w:r>
      <w:bookmarkEnd w:id="221"/>
      <w:r>
        <w:rPr>
          <w:rFonts w:hint="eastAsia" w:ascii="仿宋" w:hAnsi="仿宋" w:eastAsia="仿宋" w:cs="仿宋"/>
          <w:sz w:val="24"/>
          <w:szCs w:val="24"/>
        </w:rPr>
        <w:t>评审</w:t>
      </w:r>
      <w:bookmarkEnd w:id="222"/>
      <w:bookmarkEnd w:id="223"/>
      <w:bookmarkEnd w:id="224"/>
      <w:bookmarkEnd w:id="225"/>
      <w:bookmarkEnd w:id="226"/>
    </w:p>
    <w:p w14:paraId="3620B02B">
      <w:pPr>
        <w:overflowPunct w:val="0"/>
        <w:adjustRightInd w:val="0"/>
        <w:snapToGrid w:val="0"/>
        <w:rPr>
          <w:rFonts w:hint="eastAsia" w:ascii="仿宋" w:hAnsi="仿宋" w:eastAsia="仿宋" w:cs="仿宋"/>
        </w:rPr>
      </w:pPr>
      <w:r>
        <w:rPr>
          <w:rFonts w:hint="eastAsia" w:ascii="仿宋" w:hAnsi="仿宋" w:eastAsia="仿宋" w:cs="仿宋"/>
        </w:rPr>
        <w:t>26.1 采购人或其委托采购代理机构对谈判响应文件进行</w:t>
      </w:r>
      <w:r>
        <w:rPr>
          <w:rFonts w:hint="eastAsia" w:ascii="仿宋" w:hAnsi="仿宋" w:eastAsia="仿宋" w:cs="仿宋"/>
          <w:b/>
          <w:bCs/>
          <w:u w:val="single"/>
        </w:rPr>
        <w:t>资格性审查</w:t>
      </w:r>
      <w:r>
        <w:rPr>
          <w:rFonts w:hint="eastAsia" w:ascii="仿宋" w:hAnsi="仿宋" w:eastAsia="仿宋" w:cs="仿宋"/>
        </w:rPr>
        <w:t>（审查不合格不进入下一步评审）：依据法律法规和谈判文件的规定，对谈判响应文件中的资格证明文件进行审查，以确保供应商是否具备相应资格。</w:t>
      </w:r>
    </w:p>
    <w:p w14:paraId="61566788">
      <w:pPr>
        <w:tabs>
          <w:tab w:val="left" w:pos="1155"/>
        </w:tabs>
        <w:rPr>
          <w:rFonts w:hint="eastAsia" w:ascii="仿宋" w:hAnsi="仿宋" w:eastAsia="仿宋" w:cs="仿宋"/>
        </w:rPr>
      </w:pPr>
      <w:r>
        <w:rPr>
          <w:rFonts w:hint="eastAsia" w:ascii="仿宋" w:hAnsi="仿宋" w:eastAsia="仿宋" w:cs="仿宋"/>
        </w:rPr>
        <w:t>26.2 谈判小组对谈判响应文件进行</w:t>
      </w:r>
      <w:r>
        <w:rPr>
          <w:rFonts w:hint="eastAsia" w:ascii="仿宋" w:hAnsi="仿宋" w:eastAsia="仿宋" w:cs="仿宋"/>
          <w:b/>
          <w:bCs/>
          <w:u w:val="single"/>
        </w:rPr>
        <w:t>符合性审查</w:t>
      </w:r>
      <w:r>
        <w:rPr>
          <w:rFonts w:hint="eastAsia" w:ascii="仿宋" w:hAnsi="仿宋" w:eastAsia="仿宋" w:cs="仿宋"/>
        </w:rPr>
        <w:t>（审查不合格不进入下一步评审）：依据谈判文件的规定，从谈判响应文件的有效性、完整性和对谈判文件的响应程度进行审查，以确定是否对谈判文件的实质性内容作出响应。其内容包括并不局限以下部分：</w:t>
      </w:r>
    </w:p>
    <w:p w14:paraId="1429FF19">
      <w:pPr>
        <w:tabs>
          <w:tab w:val="left" w:pos="1155"/>
        </w:tabs>
        <w:rPr>
          <w:rFonts w:hint="eastAsia" w:ascii="仿宋" w:hAnsi="仿宋" w:eastAsia="仿宋" w:cs="仿宋"/>
        </w:rPr>
      </w:pPr>
      <w:r>
        <w:rPr>
          <w:rFonts w:hint="eastAsia" w:ascii="仿宋" w:hAnsi="仿宋" w:eastAsia="仿宋" w:cs="仿宋"/>
        </w:rPr>
        <w:t>26.2.1</w:t>
      </w:r>
      <w:r>
        <w:rPr>
          <w:rFonts w:hint="eastAsia" w:ascii="仿宋" w:hAnsi="仿宋" w:eastAsia="仿宋" w:cs="仿宋"/>
          <w:lang w:eastAsia="zh-CN"/>
        </w:rPr>
        <w:t>交货安装期</w:t>
      </w:r>
      <w:r>
        <w:rPr>
          <w:rFonts w:hint="eastAsia" w:ascii="仿宋" w:hAnsi="仿宋" w:eastAsia="仿宋" w:cs="仿宋"/>
        </w:rPr>
        <w:t>完全响应；</w:t>
      </w:r>
    </w:p>
    <w:p w14:paraId="06D1E6F8">
      <w:pPr>
        <w:tabs>
          <w:tab w:val="left" w:pos="1155"/>
        </w:tabs>
        <w:rPr>
          <w:rFonts w:hint="eastAsia" w:ascii="仿宋" w:hAnsi="仿宋" w:eastAsia="仿宋" w:cs="仿宋"/>
        </w:rPr>
      </w:pPr>
      <w:r>
        <w:rPr>
          <w:rFonts w:hint="eastAsia" w:ascii="仿宋" w:hAnsi="仿宋" w:eastAsia="仿宋" w:cs="仿宋"/>
        </w:rPr>
        <w:t>26.2.2付款方式及质保期完全响应；</w:t>
      </w:r>
    </w:p>
    <w:p w14:paraId="09B0AE74">
      <w:pPr>
        <w:tabs>
          <w:tab w:val="left" w:pos="1155"/>
        </w:tabs>
        <w:rPr>
          <w:rFonts w:hint="eastAsia" w:ascii="仿宋" w:hAnsi="仿宋" w:eastAsia="仿宋" w:cs="仿宋"/>
          <w:lang w:eastAsia="zh-CN"/>
        </w:rPr>
      </w:pPr>
      <w:r>
        <w:rPr>
          <w:rFonts w:hint="eastAsia" w:ascii="仿宋" w:hAnsi="仿宋" w:eastAsia="仿宋" w:cs="仿宋"/>
          <w:highlight w:val="none"/>
          <w:lang w:val="en-US" w:eastAsia="zh-CN"/>
        </w:rPr>
        <w:t>26.2.3</w:t>
      </w:r>
      <w:r>
        <w:rPr>
          <w:rFonts w:hint="eastAsia" w:ascii="仿宋" w:hAnsi="仿宋" w:eastAsia="仿宋" w:cs="仿宋"/>
          <w:highlight w:val="none"/>
        </w:rPr>
        <w:t>交货地点完全响应</w:t>
      </w:r>
      <w:r>
        <w:rPr>
          <w:rFonts w:hint="eastAsia" w:ascii="仿宋" w:hAnsi="仿宋" w:eastAsia="仿宋" w:cs="仿宋"/>
          <w:highlight w:val="none"/>
          <w:lang w:eastAsia="zh-CN"/>
        </w:rPr>
        <w:t>；</w:t>
      </w:r>
    </w:p>
    <w:p w14:paraId="619BB05A">
      <w:pPr>
        <w:tabs>
          <w:tab w:val="left" w:pos="1155"/>
        </w:tabs>
        <w:rPr>
          <w:rFonts w:hint="eastAsia" w:ascii="仿宋" w:hAnsi="仿宋" w:eastAsia="仿宋" w:cs="仿宋"/>
        </w:rPr>
      </w:pPr>
      <w:r>
        <w:rPr>
          <w:rFonts w:hint="eastAsia" w:ascii="仿宋" w:hAnsi="仿宋" w:eastAsia="仿宋" w:cs="仿宋"/>
        </w:rPr>
        <w:t>26.2.</w:t>
      </w:r>
      <w:r>
        <w:rPr>
          <w:rFonts w:hint="eastAsia" w:ascii="仿宋" w:hAnsi="仿宋" w:eastAsia="仿宋" w:cs="仿宋"/>
          <w:lang w:val="en-US" w:eastAsia="zh-CN"/>
        </w:rPr>
        <w:t>4</w:t>
      </w:r>
      <w:r>
        <w:rPr>
          <w:rFonts w:hint="eastAsia" w:ascii="仿宋" w:hAnsi="仿宋" w:eastAsia="仿宋" w:cs="仿宋"/>
        </w:rPr>
        <w:t>响应文件有效期合格；</w:t>
      </w:r>
    </w:p>
    <w:p w14:paraId="16D29F3E">
      <w:pPr>
        <w:overflowPunct w:val="0"/>
        <w:adjustRightInd w:val="0"/>
        <w:snapToGrid w:val="0"/>
        <w:rPr>
          <w:rFonts w:hint="eastAsia" w:ascii="仿宋" w:hAnsi="仿宋" w:eastAsia="仿宋" w:cs="仿宋"/>
        </w:rPr>
      </w:pPr>
      <w:r>
        <w:rPr>
          <w:rFonts w:hint="eastAsia" w:ascii="仿宋" w:hAnsi="仿宋" w:eastAsia="仿宋" w:cs="仿宋"/>
        </w:rPr>
        <w:t>26.2.</w:t>
      </w:r>
      <w:r>
        <w:rPr>
          <w:rFonts w:hint="eastAsia" w:ascii="仿宋" w:hAnsi="仿宋" w:eastAsia="仿宋" w:cs="仿宋"/>
          <w:lang w:val="en-US" w:eastAsia="zh-CN"/>
        </w:rPr>
        <w:t>5</w:t>
      </w:r>
      <w:r>
        <w:rPr>
          <w:rFonts w:hint="eastAsia" w:ascii="仿宋" w:hAnsi="仿宋" w:eastAsia="仿宋" w:cs="仿宋"/>
        </w:rPr>
        <w:t>谈判保证金按要求缴纳；</w:t>
      </w:r>
    </w:p>
    <w:p w14:paraId="634D37EE">
      <w:pPr>
        <w:overflowPunct w:val="0"/>
        <w:adjustRightInd w:val="0"/>
        <w:snapToGrid w:val="0"/>
        <w:rPr>
          <w:rFonts w:hint="eastAsia" w:ascii="仿宋" w:hAnsi="仿宋" w:eastAsia="仿宋" w:cs="仿宋"/>
        </w:rPr>
      </w:pPr>
      <w:r>
        <w:rPr>
          <w:rFonts w:hint="eastAsia" w:ascii="仿宋" w:hAnsi="仿宋" w:eastAsia="仿宋" w:cs="仿宋"/>
        </w:rPr>
        <w:t>26.2</w:t>
      </w:r>
      <w:r>
        <w:rPr>
          <w:rFonts w:hint="eastAsia" w:ascii="仿宋" w:hAnsi="仿宋" w:eastAsia="仿宋" w:cs="仿宋"/>
          <w:lang w:val="en-US" w:eastAsia="zh-CN"/>
        </w:rPr>
        <w:t>.6</w:t>
      </w:r>
      <w:r>
        <w:rPr>
          <w:rFonts w:hint="eastAsia" w:ascii="仿宋" w:hAnsi="仿宋" w:eastAsia="仿宋" w:cs="仿宋"/>
        </w:rPr>
        <w:t>供应商报价未超出采购预算。</w:t>
      </w:r>
    </w:p>
    <w:p w14:paraId="123E7ECF">
      <w:pPr>
        <w:spacing w:after="120"/>
        <w:rPr>
          <w:rFonts w:hint="eastAsia" w:ascii="仿宋" w:hAnsi="仿宋" w:eastAsia="仿宋" w:cs="仿宋"/>
        </w:rPr>
      </w:pPr>
      <w:r>
        <w:rPr>
          <w:rFonts w:hint="eastAsia" w:ascii="仿宋" w:hAnsi="仿宋" w:eastAsia="仿宋" w:cs="仿宋"/>
        </w:rPr>
        <w:t>26.3 谈判小组对谈判响应文件进行</w:t>
      </w:r>
      <w:r>
        <w:rPr>
          <w:rFonts w:hint="eastAsia" w:ascii="仿宋" w:hAnsi="仿宋" w:eastAsia="仿宋" w:cs="仿宋"/>
          <w:b/>
          <w:bCs/>
          <w:u w:val="single"/>
        </w:rPr>
        <w:t>技术响应性审查</w:t>
      </w:r>
      <w:r>
        <w:rPr>
          <w:rFonts w:hint="eastAsia" w:ascii="仿宋" w:hAnsi="仿宋" w:eastAsia="仿宋" w:cs="仿宋"/>
        </w:rPr>
        <w:t>，依据谈判文件的要求，产品主要规格参数”中“★号项”负偏离按无效标处理。</w:t>
      </w:r>
      <w:r>
        <w:rPr>
          <w:rFonts w:hint="eastAsia" w:ascii="仿宋" w:hAnsi="仿宋" w:eastAsia="仿宋" w:cs="仿宋"/>
          <w:lang w:eastAsia="zh-CN"/>
        </w:rPr>
        <w:t>（</w:t>
      </w:r>
      <w:r>
        <w:rPr>
          <w:rFonts w:hint="eastAsia" w:ascii="仿宋" w:hAnsi="仿宋" w:eastAsia="仿宋" w:cs="仿宋"/>
        </w:rPr>
        <w:t>★号项</w:t>
      </w:r>
      <w:r>
        <w:rPr>
          <w:rFonts w:hint="eastAsia" w:ascii="仿宋" w:hAnsi="仿宋" w:eastAsia="仿宋" w:cs="仿宋"/>
          <w:lang w:val="en-US" w:eastAsia="zh-CN"/>
        </w:rPr>
        <w:t>以证明材料为准</w:t>
      </w:r>
      <w:r>
        <w:rPr>
          <w:rFonts w:hint="eastAsia" w:ascii="仿宋" w:hAnsi="仿宋" w:eastAsia="仿宋" w:cs="仿宋"/>
          <w:lang w:eastAsia="zh-CN"/>
        </w:rPr>
        <w:t>）</w:t>
      </w:r>
    </w:p>
    <w:p w14:paraId="5ABC9622">
      <w:pPr>
        <w:overflowPunct w:val="0"/>
        <w:adjustRightInd w:val="0"/>
        <w:snapToGrid w:val="0"/>
        <w:rPr>
          <w:rFonts w:hint="eastAsia" w:ascii="仿宋" w:hAnsi="仿宋" w:eastAsia="仿宋" w:cs="仿宋"/>
        </w:rPr>
      </w:pPr>
      <w:r>
        <w:rPr>
          <w:rFonts w:hint="eastAsia" w:ascii="仿宋" w:hAnsi="仿宋" w:eastAsia="仿宋" w:cs="仿宋"/>
        </w:rPr>
        <w:t>26.4 经过对供应商及谈判响应文件的资格性、符合性及技术响应性审查，出现下列情况者，按无效响应处理。</w:t>
      </w:r>
    </w:p>
    <w:p w14:paraId="2D7881C0">
      <w:pPr>
        <w:overflowPunct w:val="0"/>
        <w:adjustRightInd w:val="0"/>
        <w:snapToGrid w:val="0"/>
        <w:rPr>
          <w:rFonts w:hint="eastAsia" w:ascii="仿宋" w:hAnsi="仿宋" w:eastAsia="仿宋" w:cs="仿宋"/>
        </w:rPr>
      </w:pPr>
      <w:r>
        <w:rPr>
          <w:rFonts w:hint="eastAsia" w:ascii="仿宋" w:hAnsi="仿宋" w:eastAsia="仿宋" w:cs="仿宋"/>
        </w:rPr>
        <w:t>26.4.1供应商没有经过正常渠道购买谈判文件或供应商的名称与登记购买谈判文件单位的名称不符；</w:t>
      </w:r>
    </w:p>
    <w:p w14:paraId="606667D0">
      <w:pPr>
        <w:overflowPunct w:val="0"/>
        <w:adjustRightInd w:val="0"/>
        <w:snapToGrid w:val="0"/>
        <w:rPr>
          <w:rFonts w:hint="eastAsia" w:ascii="仿宋" w:hAnsi="仿宋" w:eastAsia="仿宋" w:cs="仿宋"/>
        </w:rPr>
      </w:pPr>
      <w:r>
        <w:rPr>
          <w:rFonts w:hint="eastAsia" w:ascii="仿宋" w:hAnsi="仿宋" w:eastAsia="仿宋" w:cs="仿宋"/>
        </w:rPr>
        <w:t>26.4.2谈判响应文件没有法定代表人授权书（法人直接谈判除外）或授权书的合法性或有效性不符合谈判文件规定；</w:t>
      </w:r>
    </w:p>
    <w:p w14:paraId="03D3512A">
      <w:pPr>
        <w:overflowPunct w:val="0"/>
        <w:adjustRightInd w:val="0"/>
        <w:snapToGrid w:val="0"/>
        <w:rPr>
          <w:rFonts w:hint="eastAsia" w:ascii="仿宋" w:hAnsi="仿宋" w:eastAsia="仿宋" w:cs="仿宋"/>
        </w:rPr>
      </w:pPr>
      <w:r>
        <w:rPr>
          <w:rFonts w:hint="eastAsia" w:ascii="仿宋" w:hAnsi="仿宋" w:eastAsia="仿宋" w:cs="仿宋"/>
        </w:rPr>
        <w:t>26.4.3供应商资质的有效性或符合性不符合要求的；</w:t>
      </w:r>
    </w:p>
    <w:p w14:paraId="5B318564">
      <w:pPr>
        <w:overflowPunct w:val="0"/>
        <w:adjustRightInd w:val="0"/>
        <w:snapToGrid w:val="0"/>
        <w:rPr>
          <w:rFonts w:hint="eastAsia" w:ascii="仿宋" w:hAnsi="仿宋" w:eastAsia="仿宋" w:cs="仿宋"/>
        </w:rPr>
      </w:pPr>
      <w:r>
        <w:rPr>
          <w:rFonts w:hint="eastAsia" w:ascii="仿宋" w:hAnsi="仿宋" w:eastAsia="仿宋" w:cs="仿宋"/>
        </w:rPr>
        <w:t>26.4.4谈判响应文件的关键内容字迹模糊、无法辨认的；</w:t>
      </w:r>
    </w:p>
    <w:p w14:paraId="7314262D">
      <w:pPr>
        <w:overflowPunct w:val="0"/>
        <w:adjustRightInd w:val="0"/>
        <w:snapToGrid w:val="0"/>
        <w:rPr>
          <w:rFonts w:hint="eastAsia" w:ascii="仿宋" w:hAnsi="仿宋" w:eastAsia="仿宋" w:cs="仿宋"/>
        </w:rPr>
      </w:pPr>
      <w:r>
        <w:rPr>
          <w:rFonts w:hint="eastAsia" w:ascii="仿宋" w:hAnsi="仿宋" w:eastAsia="仿宋" w:cs="仿宋"/>
        </w:rPr>
        <w:t>26.4.5谈判响应文件未按谈判文件规定有效签字和盖章的；或由供应商授权代表签字的,但未随谈判响应文件一起提交有效的“授权委托书”原件的；</w:t>
      </w:r>
    </w:p>
    <w:p w14:paraId="122B6F6E">
      <w:pPr>
        <w:overflowPunct w:val="0"/>
        <w:adjustRightInd w:val="0"/>
        <w:snapToGrid w:val="0"/>
        <w:rPr>
          <w:rFonts w:hint="eastAsia" w:ascii="仿宋" w:hAnsi="仿宋" w:eastAsia="仿宋" w:cs="仿宋"/>
        </w:rPr>
      </w:pPr>
      <w:r>
        <w:rPr>
          <w:rFonts w:hint="eastAsia" w:ascii="仿宋" w:hAnsi="仿宋" w:eastAsia="仿宋" w:cs="仿宋"/>
        </w:rPr>
        <w:t>26.4.6谈判有效期不足的；</w:t>
      </w:r>
    </w:p>
    <w:p w14:paraId="06858C21">
      <w:pPr>
        <w:overflowPunct w:val="0"/>
        <w:adjustRightInd w:val="0"/>
        <w:snapToGrid w:val="0"/>
        <w:rPr>
          <w:rFonts w:hint="eastAsia" w:ascii="仿宋" w:hAnsi="仿宋" w:eastAsia="仿宋" w:cs="仿宋"/>
        </w:rPr>
      </w:pPr>
      <w:r>
        <w:rPr>
          <w:rFonts w:hint="eastAsia" w:ascii="仿宋" w:hAnsi="仿宋" w:eastAsia="仿宋" w:cs="仿宋"/>
        </w:rPr>
        <w:t>26.4.7未按谈判文件要求提供谈判保证金的；</w:t>
      </w:r>
    </w:p>
    <w:p w14:paraId="6484358D">
      <w:pPr>
        <w:overflowPunct w:val="0"/>
        <w:adjustRightInd w:val="0"/>
        <w:snapToGrid w:val="0"/>
        <w:rPr>
          <w:rFonts w:hint="eastAsia" w:ascii="仿宋" w:hAnsi="仿宋" w:eastAsia="仿宋" w:cs="仿宋"/>
          <w:b w:val="0"/>
          <w:bCs w:val="0"/>
        </w:rPr>
      </w:pPr>
      <w:r>
        <w:rPr>
          <w:rFonts w:hint="eastAsia" w:ascii="仿宋" w:hAnsi="仿宋" w:eastAsia="仿宋" w:cs="仿宋"/>
          <w:b w:val="0"/>
          <w:bCs w:val="0"/>
        </w:rPr>
        <w:t>26.4.8谈判内容出现漏项、加</w:t>
      </w:r>
      <w:r>
        <w:rPr>
          <w:rFonts w:hint="eastAsia" w:ascii="仿宋" w:hAnsi="仿宋" w:eastAsia="仿宋" w:cs="仿宋"/>
          <w:b w:val="0"/>
          <w:bCs w:val="0"/>
          <w:color w:val="000000"/>
        </w:rPr>
        <w:t>★</w:t>
      </w:r>
      <w:r>
        <w:rPr>
          <w:rFonts w:hint="eastAsia" w:ascii="仿宋" w:hAnsi="仿宋" w:eastAsia="仿宋" w:cs="仿宋"/>
          <w:b w:val="0"/>
          <w:bCs w:val="0"/>
          <w:color w:val="000000"/>
          <w:lang w:val="en-US" w:eastAsia="zh-CN"/>
        </w:rPr>
        <w:t>项</w:t>
      </w:r>
      <w:r>
        <w:rPr>
          <w:rFonts w:hint="eastAsia" w:ascii="仿宋" w:hAnsi="仿宋" w:eastAsia="仿宋" w:cs="仿宋"/>
          <w:b w:val="0"/>
          <w:bCs w:val="0"/>
        </w:rPr>
        <w:t>的重要技术参数不满足采购要求；</w:t>
      </w:r>
    </w:p>
    <w:p w14:paraId="51444612">
      <w:pPr>
        <w:overflowPunct w:val="0"/>
        <w:adjustRightInd w:val="0"/>
        <w:snapToGrid w:val="0"/>
        <w:rPr>
          <w:rFonts w:hint="eastAsia" w:ascii="仿宋" w:hAnsi="仿宋" w:eastAsia="仿宋" w:cs="仿宋"/>
        </w:rPr>
      </w:pPr>
      <w:r>
        <w:rPr>
          <w:rFonts w:hint="eastAsia" w:ascii="仿宋" w:hAnsi="仿宋" w:eastAsia="仿宋" w:cs="仿宋"/>
        </w:rPr>
        <w:t>26.4.9谈判响应文件的组成不完整，未按谈判文件要求提供的；</w:t>
      </w:r>
    </w:p>
    <w:p w14:paraId="043E8A99">
      <w:pPr>
        <w:overflowPunct w:val="0"/>
        <w:adjustRightInd w:val="0"/>
        <w:snapToGrid w:val="0"/>
        <w:rPr>
          <w:rFonts w:hint="eastAsia" w:ascii="仿宋" w:hAnsi="仿宋" w:eastAsia="仿宋" w:cs="仿宋"/>
        </w:rPr>
      </w:pPr>
      <w:r>
        <w:rPr>
          <w:rFonts w:hint="eastAsia" w:ascii="仿宋" w:hAnsi="仿宋" w:eastAsia="仿宋" w:cs="仿宋"/>
        </w:rPr>
        <w:t>26.4.10谈判响应文件的合同主要条款响应与谈判文件要求不一致，附加了采购人难以接受的条件；</w:t>
      </w:r>
    </w:p>
    <w:p w14:paraId="5244F74F">
      <w:pPr>
        <w:overflowPunct w:val="0"/>
        <w:adjustRightInd w:val="0"/>
        <w:snapToGrid w:val="0"/>
        <w:rPr>
          <w:rFonts w:hint="eastAsia" w:ascii="仿宋" w:hAnsi="仿宋" w:eastAsia="仿宋" w:cs="仿宋"/>
        </w:rPr>
      </w:pPr>
      <w:r>
        <w:rPr>
          <w:rFonts w:hint="eastAsia" w:ascii="仿宋" w:hAnsi="仿宋" w:eastAsia="仿宋" w:cs="仿宋"/>
        </w:rPr>
        <w:t>26.4.11规定不接受选择方案和选择报价（包括交叉折扣）的，供应商提供了选择方案和/或选择报价（包括交叉折扣）；</w:t>
      </w:r>
    </w:p>
    <w:p w14:paraId="62DD62A5">
      <w:pPr>
        <w:overflowPunct w:val="0"/>
        <w:adjustRightInd w:val="0"/>
        <w:snapToGrid w:val="0"/>
        <w:rPr>
          <w:rFonts w:hint="eastAsia" w:ascii="仿宋" w:hAnsi="仿宋" w:eastAsia="仿宋" w:cs="仿宋"/>
        </w:rPr>
      </w:pPr>
      <w:r>
        <w:rPr>
          <w:rFonts w:hint="eastAsia" w:ascii="仿宋" w:hAnsi="仿宋" w:eastAsia="仿宋" w:cs="仿宋"/>
        </w:rPr>
        <w:t>26.4.12报价超出采购预算的；</w:t>
      </w:r>
    </w:p>
    <w:p w14:paraId="4DE5077A">
      <w:pPr>
        <w:overflowPunct w:val="0"/>
        <w:adjustRightInd w:val="0"/>
        <w:snapToGrid w:val="0"/>
        <w:rPr>
          <w:rFonts w:hint="eastAsia" w:ascii="仿宋" w:hAnsi="仿宋" w:eastAsia="仿宋" w:cs="仿宋"/>
        </w:rPr>
      </w:pPr>
      <w:r>
        <w:rPr>
          <w:rFonts w:hint="eastAsia" w:ascii="仿宋" w:hAnsi="仿宋" w:eastAsia="仿宋" w:cs="仿宋"/>
        </w:rPr>
        <w:t>26.4.13谈判报价与市场价偏离较大，低于成本，形成不正当竞争；</w:t>
      </w:r>
    </w:p>
    <w:p w14:paraId="77257FE0">
      <w:pPr>
        <w:overflowPunct w:val="0"/>
        <w:adjustRightInd w:val="0"/>
        <w:snapToGrid w:val="0"/>
        <w:rPr>
          <w:rFonts w:hint="eastAsia" w:ascii="仿宋" w:hAnsi="仿宋" w:eastAsia="仿宋" w:cs="仿宋"/>
        </w:rPr>
      </w:pPr>
      <w:r>
        <w:rPr>
          <w:rFonts w:hint="eastAsia" w:ascii="仿宋" w:hAnsi="仿宋" w:eastAsia="仿宋" w:cs="仿宋"/>
        </w:rPr>
        <w:t>26.4.14提供虚假证明，开具虚假资质，出现虚假应答，除按无效标处理外，还进行相应的处罚。</w:t>
      </w:r>
    </w:p>
    <w:p w14:paraId="10EC61A4">
      <w:pPr>
        <w:pStyle w:val="4"/>
        <w:overflowPunct w:val="0"/>
        <w:adjustRightInd w:val="0"/>
        <w:snapToGrid w:val="0"/>
        <w:spacing w:before="0" w:after="0" w:line="360" w:lineRule="auto"/>
        <w:rPr>
          <w:rFonts w:hint="eastAsia" w:ascii="仿宋" w:hAnsi="仿宋" w:eastAsia="仿宋" w:cs="仿宋"/>
          <w:sz w:val="24"/>
          <w:szCs w:val="24"/>
        </w:rPr>
      </w:pPr>
      <w:bookmarkStart w:id="227" w:name="_Toc22307"/>
      <w:bookmarkStart w:id="228" w:name="_Toc9578"/>
      <w:bookmarkStart w:id="229" w:name="_Toc1281"/>
      <w:bookmarkStart w:id="230" w:name="_Toc14681"/>
      <w:bookmarkStart w:id="231" w:name="_Toc19048"/>
      <w:bookmarkStart w:id="232" w:name="_Toc311415600"/>
      <w:r>
        <w:rPr>
          <w:rFonts w:hint="eastAsia" w:ascii="仿宋" w:hAnsi="仿宋" w:eastAsia="仿宋" w:cs="仿宋"/>
          <w:sz w:val="24"/>
          <w:szCs w:val="24"/>
        </w:rPr>
        <w:t>27．谈判</w:t>
      </w:r>
      <w:bookmarkEnd w:id="227"/>
      <w:bookmarkEnd w:id="228"/>
      <w:bookmarkEnd w:id="229"/>
      <w:bookmarkEnd w:id="230"/>
      <w:bookmarkEnd w:id="231"/>
    </w:p>
    <w:p w14:paraId="75A81BD1">
      <w:pPr>
        <w:overflowPunct w:val="0"/>
        <w:adjustRightInd w:val="0"/>
        <w:snapToGrid w:val="0"/>
        <w:rPr>
          <w:rFonts w:hint="eastAsia" w:ascii="仿宋" w:hAnsi="仿宋" w:eastAsia="仿宋" w:cs="仿宋"/>
        </w:rPr>
      </w:pPr>
      <w:r>
        <w:rPr>
          <w:rFonts w:hint="eastAsia" w:ascii="仿宋" w:hAnsi="仿宋" w:eastAsia="仿宋" w:cs="仿宋"/>
        </w:rPr>
        <w:t>27.1 谈判小组统一与通过技术性审查的供应商分别进行谈判，并进行再次报价。所有谈判报价现场不对供应商公布。</w:t>
      </w:r>
    </w:p>
    <w:p w14:paraId="5CEA4E72">
      <w:pPr>
        <w:pStyle w:val="4"/>
        <w:overflowPunct w:val="0"/>
        <w:adjustRightInd w:val="0"/>
        <w:snapToGrid w:val="0"/>
        <w:spacing w:before="0" w:after="0" w:line="360" w:lineRule="auto"/>
        <w:rPr>
          <w:rFonts w:hint="eastAsia" w:ascii="仿宋" w:hAnsi="仿宋" w:eastAsia="仿宋" w:cs="仿宋"/>
          <w:sz w:val="24"/>
          <w:szCs w:val="24"/>
        </w:rPr>
      </w:pPr>
      <w:bookmarkStart w:id="233" w:name="_Toc17990"/>
      <w:bookmarkStart w:id="234" w:name="_Toc18923"/>
      <w:bookmarkStart w:id="235" w:name="_Toc28649"/>
      <w:bookmarkStart w:id="236" w:name="_Toc7422"/>
      <w:bookmarkStart w:id="237" w:name="_Toc27848"/>
      <w:r>
        <w:rPr>
          <w:rFonts w:hint="eastAsia" w:ascii="仿宋" w:hAnsi="仿宋" w:eastAsia="仿宋" w:cs="仿宋"/>
          <w:sz w:val="24"/>
          <w:szCs w:val="24"/>
        </w:rPr>
        <w:t>28．谈判响应文件的澄清</w:t>
      </w:r>
      <w:bookmarkEnd w:id="232"/>
      <w:bookmarkEnd w:id="233"/>
      <w:bookmarkEnd w:id="234"/>
      <w:bookmarkEnd w:id="235"/>
      <w:bookmarkEnd w:id="236"/>
      <w:bookmarkEnd w:id="237"/>
    </w:p>
    <w:p w14:paraId="67BBB6FD">
      <w:pPr>
        <w:overflowPunct w:val="0"/>
        <w:adjustRightInd w:val="0"/>
        <w:snapToGrid w:val="0"/>
        <w:rPr>
          <w:rFonts w:hint="eastAsia" w:ascii="仿宋" w:hAnsi="仿宋" w:eastAsia="仿宋" w:cs="仿宋"/>
        </w:rPr>
      </w:pPr>
      <w:r>
        <w:rPr>
          <w:rFonts w:hint="eastAsia" w:ascii="仿宋" w:hAnsi="仿宋" w:eastAsia="仿宋" w:cs="仿宋"/>
        </w:rPr>
        <w:t>28.1 在评审期间,采购代理机构可根据谈判小组的需要，要求供应商对其谈判响应文件进行澄清，有关澄清的要求和答复应以书面形式提交。</w:t>
      </w:r>
    </w:p>
    <w:p w14:paraId="49CD3B7A">
      <w:pPr>
        <w:overflowPunct w:val="0"/>
        <w:adjustRightInd w:val="0"/>
        <w:snapToGrid w:val="0"/>
        <w:rPr>
          <w:rFonts w:hint="eastAsia" w:ascii="仿宋" w:hAnsi="仿宋" w:eastAsia="仿宋" w:cs="仿宋"/>
        </w:rPr>
      </w:pPr>
      <w:r>
        <w:rPr>
          <w:rFonts w:hint="eastAsia" w:ascii="仿宋" w:hAnsi="仿宋" w:eastAsia="仿宋" w:cs="仿宋"/>
        </w:rPr>
        <w:t>28.2 供应商应采用书面形式进行澄清或说明，但不得超出谈判响应文件的范围或改变谈判响应文件的实质性内容。</w:t>
      </w:r>
    </w:p>
    <w:p w14:paraId="0504E718">
      <w:pPr>
        <w:pStyle w:val="4"/>
        <w:overflowPunct w:val="0"/>
        <w:adjustRightInd w:val="0"/>
        <w:snapToGrid w:val="0"/>
        <w:spacing w:before="0" w:after="0" w:line="360" w:lineRule="auto"/>
        <w:rPr>
          <w:rFonts w:hint="eastAsia" w:ascii="仿宋" w:hAnsi="仿宋" w:eastAsia="仿宋" w:cs="仿宋"/>
          <w:sz w:val="24"/>
          <w:szCs w:val="24"/>
        </w:rPr>
      </w:pPr>
      <w:bookmarkStart w:id="238" w:name="_Toc24642"/>
      <w:bookmarkStart w:id="239" w:name="_Toc30776"/>
      <w:bookmarkStart w:id="240" w:name="_Toc20970"/>
      <w:bookmarkStart w:id="241" w:name="_Toc28318"/>
      <w:bookmarkStart w:id="242" w:name="_Toc32434"/>
      <w:r>
        <w:rPr>
          <w:rFonts w:hint="eastAsia" w:ascii="仿宋" w:hAnsi="仿宋" w:eastAsia="仿宋" w:cs="仿宋"/>
          <w:sz w:val="24"/>
          <w:szCs w:val="24"/>
        </w:rPr>
        <w:t>29．谈判响应文件的比较和评价</w:t>
      </w:r>
      <w:bookmarkEnd w:id="238"/>
      <w:bookmarkEnd w:id="239"/>
      <w:bookmarkEnd w:id="240"/>
      <w:bookmarkEnd w:id="241"/>
      <w:bookmarkEnd w:id="242"/>
    </w:p>
    <w:p w14:paraId="2238AAC5">
      <w:pPr>
        <w:rPr>
          <w:rFonts w:hint="eastAsia" w:ascii="仿宋" w:hAnsi="仿宋" w:eastAsia="仿宋" w:cs="仿宋"/>
        </w:rPr>
      </w:pPr>
      <w:r>
        <w:rPr>
          <w:rFonts w:hint="eastAsia" w:ascii="仿宋" w:hAnsi="仿宋" w:eastAsia="仿宋" w:cs="仿宋"/>
        </w:rPr>
        <w:t>29.1 谈判小组在评审过程中，发现谈判响应文件出现下列情况之一者，按以下原则修正：</w:t>
      </w:r>
    </w:p>
    <w:p w14:paraId="6956EBE3">
      <w:pPr>
        <w:overflowPunct w:val="0"/>
        <w:adjustRightInd w:val="0"/>
        <w:snapToGrid w:val="0"/>
        <w:rPr>
          <w:rFonts w:hint="eastAsia" w:ascii="仿宋" w:hAnsi="仿宋" w:eastAsia="仿宋" w:cs="仿宋"/>
        </w:rPr>
      </w:pPr>
      <w:r>
        <w:rPr>
          <w:rFonts w:hint="eastAsia" w:ascii="仿宋" w:hAnsi="仿宋" w:eastAsia="仿宋" w:cs="仿宋"/>
        </w:rPr>
        <w:t>29.1.1谈判报价表内容与谈判响应文件中分项报价表内容不一致的，以谈判报价表为准；</w:t>
      </w:r>
    </w:p>
    <w:p w14:paraId="7FB4E737">
      <w:pPr>
        <w:overflowPunct w:val="0"/>
        <w:adjustRightInd w:val="0"/>
        <w:snapToGrid w:val="0"/>
        <w:rPr>
          <w:rFonts w:hint="eastAsia" w:ascii="仿宋" w:hAnsi="仿宋" w:eastAsia="仿宋" w:cs="仿宋"/>
        </w:rPr>
      </w:pPr>
      <w:r>
        <w:rPr>
          <w:rFonts w:hint="eastAsia" w:ascii="仿宋" w:hAnsi="仿宋" w:eastAsia="仿宋" w:cs="仿宋"/>
        </w:rPr>
        <w:t>29.1.2大写金额和小写金额不一致的，以大写金额为准；</w:t>
      </w:r>
    </w:p>
    <w:p w14:paraId="51EAEF2B">
      <w:pPr>
        <w:overflowPunct w:val="0"/>
        <w:adjustRightInd w:val="0"/>
        <w:snapToGrid w:val="0"/>
        <w:rPr>
          <w:rFonts w:hint="eastAsia" w:ascii="仿宋" w:hAnsi="仿宋" w:eastAsia="仿宋" w:cs="仿宋"/>
        </w:rPr>
      </w:pPr>
      <w:r>
        <w:rPr>
          <w:rFonts w:hint="eastAsia" w:ascii="仿宋" w:hAnsi="仿宋" w:eastAsia="仿宋" w:cs="仿宋"/>
        </w:rPr>
        <w:t>29.1.3如果以单价计算的结果与总价不一致，则以单价为准修改总价；单价金额小数点有明显错位的，应以总价为准，并修改单价；</w:t>
      </w:r>
    </w:p>
    <w:p w14:paraId="0F82195C">
      <w:pPr>
        <w:overflowPunct w:val="0"/>
        <w:adjustRightInd w:val="0"/>
        <w:snapToGrid w:val="0"/>
        <w:rPr>
          <w:rFonts w:hint="eastAsia" w:ascii="仿宋" w:hAnsi="仿宋" w:eastAsia="仿宋" w:cs="仿宋"/>
        </w:rPr>
      </w:pPr>
      <w:r>
        <w:rPr>
          <w:rFonts w:hint="eastAsia" w:ascii="仿宋" w:hAnsi="仿宋" w:eastAsia="仿宋" w:cs="仿宋"/>
        </w:rPr>
        <w:t>29.1.4如果用文字表示的数值与用数字表示的数值不一致，以文字表示的值为准。</w:t>
      </w:r>
    </w:p>
    <w:p w14:paraId="3EC0A515">
      <w:pPr>
        <w:overflowPunct w:val="0"/>
        <w:adjustRightInd w:val="0"/>
        <w:snapToGrid w:val="0"/>
        <w:rPr>
          <w:rFonts w:hint="eastAsia" w:ascii="仿宋" w:hAnsi="仿宋" w:eastAsia="仿宋" w:cs="仿宋"/>
        </w:rPr>
      </w:pPr>
      <w:r>
        <w:rPr>
          <w:rFonts w:hint="eastAsia" w:ascii="仿宋" w:hAnsi="仿宋" w:eastAsia="仿宋" w:cs="仿宋"/>
        </w:rPr>
        <w:t>29.1.5对不同文字文本谈判响应文件的解释发生异议的，以中文文本为准；</w:t>
      </w:r>
    </w:p>
    <w:p w14:paraId="453DF23C">
      <w:pPr>
        <w:overflowPunct w:val="0"/>
        <w:adjustRightInd w:val="0"/>
        <w:snapToGrid w:val="0"/>
        <w:rPr>
          <w:rFonts w:hint="eastAsia" w:ascii="仿宋" w:hAnsi="仿宋" w:eastAsia="仿宋" w:cs="仿宋"/>
        </w:rPr>
      </w:pPr>
      <w:r>
        <w:rPr>
          <w:rFonts w:hint="eastAsia" w:ascii="仿宋" w:hAnsi="仿宋" w:eastAsia="仿宋" w:cs="仿宋"/>
        </w:rPr>
        <w:t>29.1.6谈判响应文件的文字叙述与制造厂商的产品样本/检测报告不符时，以产品样本/检测报告为准；</w:t>
      </w:r>
    </w:p>
    <w:p w14:paraId="1239948D">
      <w:pPr>
        <w:overflowPunct w:val="0"/>
        <w:adjustRightInd w:val="0"/>
        <w:snapToGrid w:val="0"/>
        <w:rPr>
          <w:rFonts w:hint="eastAsia" w:ascii="仿宋" w:hAnsi="仿宋" w:eastAsia="仿宋" w:cs="仿宋"/>
        </w:rPr>
      </w:pPr>
      <w:r>
        <w:rPr>
          <w:rFonts w:hint="eastAsia" w:ascii="仿宋" w:hAnsi="仿宋" w:eastAsia="仿宋" w:cs="仿宋"/>
        </w:rPr>
        <w:t>29.1.7正本与副本不一致的，以正本为准；</w:t>
      </w:r>
    </w:p>
    <w:p w14:paraId="3B46C5AF">
      <w:pPr>
        <w:overflowPunct w:val="0"/>
        <w:adjustRightInd w:val="0"/>
        <w:snapToGrid w:val="0"/>
        <w:rPr>
          <w:rFonts w:hint="eastAsia" w:ascii="仿宋" w:hAnsi="仿宋" w:eastAsia="仿宋" w:cs="仿宋"/>
        </w:rPr>
      </w:pPr>
      <w:r>
        <w:rPr>
          <w:rFonts w:hint="eastAsia" w:ascii="仿宋" w:hAnsi="仿宋" w:eastAsia="仿宋" w:cs="仿宋"/>
        </w:rPr>
        <w:t>29.2 对于谈判响应文件中不构成实质性偏差的小的不正规、不一致或不规则，采购人可以接受，但这种接受不能损害或影响任何供应商的相对排序。</w:t>
      </w:r>
    </w:p>
    <w:p w14:paraId="05272AAB">
      <w:pPr>
        <w:overflowPunct w:val="0"/>
        <w:adjustRightInd w:val="0"/>
        <w:snapToGrid w:val="0"/>
        <w:rPr>
          <w:rFonts w:hint="eastAsia" w:ascii="仿宋" w:hAnsi="仿宋" w:eastAsia="仿宋" w:cs="仿宋"/>
        </w:rPr>
      </w:pPr>
      <w:r>
        <w:rPr>
          <w:rFonts w:hint="eastAsia" w:ascii="仿宋" w:hAnsi="仿宋" w:eastAsia="仿宋" w:cs="仿宋"/>
        </w:rPr>
        <w:t>29.3 如果谈判实质上没有响应谈判文件的要求，其响应将被拒绝，供应商不得通过修正或撤消不合要求的偏离或保留从而使其谈判文件成为实质上响应的谈判文件。</w:t>
      </w:r>
    </w:p>
    <w:p w14:paraId="6842BF22">
      <w:pPr>
        <w:overflowPunct w:val="0"/>
        <w:adjustRightInd w:val="0"/>
        <w:snapToGrid w:val="0"/>
        <w:rPr>
          <w:rFonts w:hint="eastAsia" w:ascii="仿宋" w:hAnsi="仿宋" w:eastAsia="仿宋" w:cs="仿宋"/>
        </w:rPr>
      </w:pPr>
      <w:r>
        <w:rPr>
          <w:rFonts w:hint="eastAsia" w:ascii="仿宋" w:hAnsi="仿宋" w:eastAsia="仿宋" w:cs="仿宋"/>
        </w:rPr>
        <w:t>29.4 评审程序：采取逐项分步评审方式，每一步评审不符合者，不进入下一步评审，先进行资格性审查，再进行符合性审查，然后进行技术响应性审查。</w:t>
      </w:r>
    </w:p>
    <w:p w14:paraId="427A8E67">
      <w:pPr>
        <w:overflowPunct w:val="0"/>
        <w:adjustRightInd w:val="0"/>
        <w:snapToGrid w:val="0"/>
        <w:rPr>
          <w:rFonts w:hint="eastAsia" w:ascii="仿宋" w:hAnsi="仿宋" w:eastAsia="仿宋" w:cs="仿宋"/>
        </w:rPr>
      </w:pPr>
      <w:r>
        <w:rPr>
          <w:rFonts w:hint="eastAsia" w:ascii="仿宋" w:hAnsi="仿宋" w:eastAsia="仿宋" w:cs="仿宋"/>
        </w:rPr>
        <w:t>29.5 谈判小组根据各谈判供应商响应文件响应情况决定是否与各供应商进行谈判，谈判方式为谈判小组所有成员集中与单一供应商分别进行谈判，并给与参加谈判的供应商平等的谈判机会。</w:t>
      </w:r>
    </w:p>
    <w:p w14:paraId="66AAAC8F">
      <w:pPr>
        <w:snapToGrid w:val="0"/>
        <w:rPr>
          <w:rFonts w:hint="eastAsia" w:ascii="仿宋" w:hAnsi="仿宋" w:eastAsia="仿宋" w:cs="仿宋"/>
        </w:rPr>
      </w:pPr>
      <w:r>
        <w:rPr>
          <w:rFonts w:hint="eastAsia" w:ascii="仿宋" w:hAnsi="仿宋" w:eastAsia="仿宋" w:cs="仿宋"/>
        </w:rPr>
        <w:t>29.6 通过技术响应性审查的供应商应当在谈判小组规定的时间内提交最后报价，并由法定代表人或其授权人签字，如采购需求没有实质性变化，各供应商的报价应逐次降低，本次报价超过上次报价的，为无效报价。最后报价为不可更改价格，最后报价是供应商响应文件的有效组成部分，作为谈判小组推荐成交候选供应商的依据。</w:t>
      </w:r>
    </w:p>
    <w:p w14:paraId="1DDB3C4C">
      <w:pPr>
        <w:overflowPunct w:val="0"/>
        <w:adjustRightInd w:val="0"/>
        <w:snapToGrid w:val="0"/>
        <w:rPr>
          <w:rFonts w:hint="eastAsia" w:ascii="仿宋" w:hAnsi="仿宋" w:eastAsia="仿宋" w:cs="仿宋"/>
        </w:rPr>
      </w:pPr>
      <w:r>
        <w:rPr>
          <w:rFonts w:hint="eastAsia" w:ascii="仿宋" w:hAnsi="仿宋" w:eastAsia="仿宋" w:cs="仿宋"/>
        </w:rPr>
        <w:t>29.7 谈判小组认为供应商的最后报价或者某些分项报价明显不合理或者低于成本，有可能影响产品质量和不能诚信履约的，要求其在谈判小组规定的期限内提供书面文件予以解释说明，并提交相关证明材料；如果其不能在谈判小组规定时间内够提供相关材料证明其报价的合理性，其最后报价为无效报价。</w:t>
      </w:r>
    </w:p>
    <w:p w14:paraId="7C2C625B">
      <w:pPr>
        <w:pStyle w:val="4"/>
        <w:overflowPunct w:val="0"/>
        <w:adjustRightInd w:val="0"/>
        <w:snapToGrid w:val="0"/>
        <w:spacing w:before="0" w:after="0" w:line="360" w:lineRule="auto"/>
        <w:rPr>
          <w:rFonts w:hint="eastAsia" w:ascii="仿宋" w:hAnsi="仿宋" w:eastAsia="仿宋" w:cs="仿宋"/>
          <w:sz w:val="24"/>
          <w:szCs w:val="24"/>
        </w:rPr>
      </w:pPr>
      <w:bookmarkStart w:id="243" w:name="_Toc4690"/>
      <w:bookmarkStart w:id="244" w:name="_Toc18205"/>
      <w:bookmarkStart w:id="245" w:name="_Toc11799"/>
      <w:bookmarkStart w:id="246" w:name="_Toc10445"/>
      <w:bookmarkStart w:id="247" w:name="_Toc8196"/>
      <w:bookmarkStart w:id="248" w:name="_Toc311415604"/>
      <w:r>
        <w:rPr>
          <w:rFonts w:hint="eastAsia" w:ascii="仿宋" w:hAnsi="仿宋" w:eastAsia="仿宋" w:cs="仿宋"/>
          <w:sz w:val="24"/>
          <w:szCs w:val="24"/>
        </w:rPr>
        <w:t>30．评审原则及主要方法</w:t>
      </w:r>
      <w:bookmarkEnd w:id="243"/>
      <w:bookmarkEnd w:id="244"/>
      <w:bookmarkEnd w:id="245"/>
      <w:bookmarkEnd w:id="246"/>
      <w:bookmarkEnd w:id="247"/>
      <w:bookmarkEnd w:id="248"/>
    </w:p>
    <w:p w14:paraId="57D089AC">
      <w:pPr>
        <w:overflowPunct w:val="0"/>
        <w:adjustRightInd w:val="0"/>
        <w:snapToGrid w:val="0"/>
        <w:rPr>
          <w:rFonts w:hint="eastAsia" w:ascii="仿宋" w:hAnsi="仿宋" w:eastAsia="仿宋" w:cs="仿宋"/>
        </w:rPr>
      </w:pPr>
      <w:r>
        <w:rPr>
          <w:rFonts w:hint="eastAsia" w:ascii="仿宋" w:hAnsi="仿宋" w:eastAsia="仿宋" w:cs="仿宋"/>
        </w:rPr>
        <w:t>30.1 谈判小组将遵循公平、公正和择优的原则，对所有供应商的谈判响应文件评审，都采用相同的程序和标准。</w:t>
      </w:r>
    </w:p>
    <w:p w14:paraId="58678F43">
      <w:pPr>
        <w:overflowPunct w:val="0"/>
        <w:adjustRightInd w:val="0"/>
        <w:snapToGrid w:val="0"/>
        <w:rPr>
          <w:rFonts w:hint="eastAsia" w:ascii="仿宋" w:hAnsi="仿宋" w:eastAsia="仿宋" w:cs="仿宋"/>
        </w:rPr>
      </w:pPr>
      <w:r>
        <w:rPr>
          <w:rFonts w:hint="eastAsia" w:ascii="仿宋" w:hAnsi="仿宋" w:eastAsia="仿宋" w:cs="仿宋"/>
        </w:rPr>
        <w:t>30.2 评审过程的保密：在谈判响应文件的评审、比较、成交候选供应商推荐以及授予合同的过程中，供应商向采购人和谈判小组施加影响的任何行为，都将会导致其报价被拒绝；成交供应商确定后，采购人不对未成交供应商就评审过程以及未能成交原因做出任何解释。未成交供应商不得向谈判小组成员或其他相关人员索问评审过程的情况和材料。</w:t>
      </w:r>
    </w:p>
    <w:p w14:paraId="7BD5227B">
      <w:pPr>
        <w:overflowPunct w:val="0"/>
        <w:adjustRightInd w:val="0"/>
        <w:snapToGrid w:val="0"/>
        <w:rPr>
          <w:rFonts w:hint="eastAsia" w:ascii="仿宋" w:hAnsi="仿宋" w:eastAsia="仿宋" w:cs="仿宋"/>
        </w:rPr>
      </w:pPr>
      <w:r>
        <w:rPr>
          <w:rFonts w:hint="eastAsia" w:ascii="仿宋" w:hAnsi="仿宋" w:eastAsia="仿宋" w:cs="仿宋"/>
        </w:rPr>
        <w:t>30.3 评审原则和办法：谈判小组从质量和服务均能满足采购文件实质性响应要求的供应商中，选择</w:t>
      </w:r>
      <w:r>
        <w:rPr>
          <w:rFonts w:hint="eastAsia"/>
        </w:rPr>
        <w:t>通过资格</w:t>
      </w:r>
      <w:r>
        <w:rPr>
          <w:rFonts w:hint="eastAsia"/>
          <w:lang w:val="en-US" w:eastAsia="zh-CN"/>
        </w:rPr>
        <w:t>性审查</w:t>
      </w:r>
      <w:r>
        <w:rPr>
          <w:rFonts w:hint="eastAsia"/>
        </w:rPr>
        <w:t>、符合</w:t>
      </w:r>
      <w:r>
        <w:rPr>
          <w:rFonts w:hint="eastAsia"/>
          <w:lang w:val="en-US" w:eastAsia="zh-CN"/>
        </w:rPr>
        <w:t>性审查</w:t>
      </w:r>
      <w:r>
        <w:rPr>
          <w:rFonts w:hint="eastAsia"/>
        </w:rPr>
        <w:t>及技术响应性</w:t>
      </w:r>
      <w:r>
        <w:rPr>
          <w:rFonts w:hint="eastAsia"/>
          <w:lang w:val="en-US" w:eastAsia="zh-CN"/>
        </w:rPr>
        <w:t>审查且最后</w:t>
      </w:r>
      <w:r>
        <w:rPr>
          <w:rFonts w:hint="eastAsia"/>
        </w:rPr>
        <w:t>报价最低的供应商。</w:t>
      </w:r>
    </w:p>
    <w:p w14:paraId="5C414E7A">
      <w:pPr>
        <w:adjustRightInd w:val="0"/>
        <w:snapToGrid w:val="0"/>
        <w:rPr>
          <w:rFonts w:hint="eastAsia" w:ascii="仿宋" w:hAnsi="仿宋" w:eastAsia="仿宋" w:cs="仿宋"/>
        </w:rPr>
      </w:pPr>
      <w:r>
        <w:rPr>
          <w:rFonts w:hint="eastAsia" w:ascii="仿宋" w:hAnsi="仿宋" w:eastAsia="仿宋" w:cs="仿宋"/>
        </w:rPr>
        <w:t>30.4 评审过程中，若出现本办法以外的特殊情况时，将暂停评审，有关情况待谈判小组确定后，再行评定。</w:t>
      </w:r>
    </w:p>
    <w:p w14:paraId="27BF72F9">
      <w:pPr>
        <w:pStyle w:val="4"/>
        <w:overflowPunct w:val="0"/>
        <w:adjustRightInd w:val="0"/>
        <w:snapToGrid w:val="0"/>
        <w:spacing w:before="0" w:after="0" w:line="360" w:lineRule="auto"/>
        <w:rPr>
          <w:rFonts w:hint="eastAsia" w:ascii="仿宋" w:hAnsi="仿宋" w:eastAsia="仿宋" w:cs="仿宋"/>
          <w:sz w:val="24"/>
          <w:szCs w:val="24"/>
        </w:rPr>
      </w:pPr>
      <w:bookmarkStart w:id="249" w:name="_Toc28015"/>
      <w:bookmarkStart w:id="250" w:name="_Toc3082"/>
      <w:bookmarkStart w:id="251" w:name="_Toc16724"/>
      <w:bookmarkStart w:id="252" w:name="_Toc12367"/>
      <w:bookmarkStart w:id="253" w:name="_Toc14048"/>
      <w:bookmarkStart w:id="254" w:name="_Toc311415605"/>
      <w:r>
        <w:rPr>
          <w:rFonts w:hint="eastAsia" w:ascii="仿宋" w:hAnsi="仿宋" w:eastAsia="仿宋" w:cs="仿宋"/>
          <w:sz w:val="24"/>
          <w:szCs w:val="24"/>
        </w:rPr>
        <w:t>31．</w:t>
      </w:r>
      <w:r>
        <w:rPr>
          <w:rFonts w:hint="eastAsia" w:ascii="仿宋" w:hAnsi="仿宋" w:eastAsia="仿宋" w:cs="仿宋"/>
          <w:sz w:val="24"/>
          <w:szCs w:val="24"/>
          <w:lang w:val="en-US" w:eastAsia="zh-CN"/>
        </w:rPr>
        <w:t>供应商</w:t>
      </w:r>
      <w:r>
        <w:rPr>
          <w:rFonts w:hint="eastAsia" w:ascii="仿宋" w:hAnsi="仿宋" w:eastAsia="仿宋" w:cs="仿宋"/>
          <w:sz w:val="24"/>
          <w:szCs w:val="24"/>
        </w:rPr>
        <w:t>政府采购政策</w:t>
      </w:r>
      <w:bookmarkEnd w:id="249"/>
      <w:bookmarkEnd w:id="250"/>
      <w:bookmarkEnd w:id="251"/>
      <w:bookmarkEnd w:id="252"/>
      <w:bookmarkEnd w:id="253"/>
    </w:p>
    <w:p w14:paraId="41B85151">
      <w:pPr>
        <w:rPr>
          <w:rFonts w:hint="eastAsia" w:ascii="仿宋" w:hAnsi="仿宋" w:eastAsia="仿宋" w:cs="仿宋"/>
        </w:rPr>
      </w:pPr>
      <w:bookmarkStart w:id="255" w:name="_Toc28588"/>
      <w:bookmarkStart w:id="256" w:name="_Toc26042"/>
      <w:bookmarkStart w:id="257" w:name="_Toc21679"/>
      <w:bookmarkStart w:id="258" w:name="_Toc30297"/>
      <w:bookmarkStart w:id="259" w:name="_Toc29719"/>
      <w:r>
        <w:rPr>
          <w:rFonts w:hint="eastAsia" w:ascii="仿宋" w:hAnsi="仿宋" w:eastAsia="仿宋" w:cs="仿宋"/>
        </w:rPr>
        <w:t>31.1 中小企业落实政府采购政策</w:t>
      </w:r>
    </w:p>
    <w:p w14:paraId="5D9C1DC9">
      <w:pPr>
        <w:ind w:firstLine="480" w:firstLineChars="200"/>
        <w:rPr>
          <w:rFonts w:hint="eastAsia" w:ascii="仿宋" w:hAnsi="仿宋" w:eastAsia="仿宋" w:cs="仿宋"/>
        </w:rPr>
      </w:pPr>
      <w:r>
        <w:rPr>
          <w:rFonts w:hint="eastAsia" w:ascii="仿宋" w:hAnsi="仿宋" w:eastAsia="仿宋" w:cs="仿宋"/>
        </w:rPr>
        <w:t>根据财政部、工业和信息化部关于印发《政府采购促进中小企业发展管理办法》的通知(财库〔2020〕46号)。</w:t>
      </w:r>
    </w:p>
    <w:p w14:paraId="63637F68">
      <w:pPr>
        <w:ind w:firstLine="480" w:firstLineChars="200"/>
        <w:rPr>
          <w:rFonts w:hint="eastAsia" w:ascii="仿宋" w:hAnsi="仿宋" w:eastAsia="仿宋" w:cs="仿宋"/>
        </w:rPr>
      </w:pPr>
      <w:r>
        <w:rPr>
          <w:rFonts w:hint="eastAsia" w:ascii="仿宋" w:hAnsi="仿宋" w:eastAsia="仿宋" w:cs="仿宋"/>
        </w:rPr>
        <w:t>在政府采购活动中，供应商提供的货物符合下列情形的，享受本办法规定的中小企业扶持政策：</w:t>
      </w:r>
    </w:p>
    <w:p w14:paraId="31149C5C">
      <w:pPr>
        <w:adjustRightInd w:val="0"/>
        <w:snapToGrid w:val="0"/>
        <w:ind w:firstLine="480" w:firstLineChars="200"/>
        <w:rPr>
          <w:rFonts w:hint="eastAsia" w:ascii="仿宋" w:hAnsi="仿宋" w:eastAsia="仿宋" w:cs="仿宋"/>
          <w:bCs/>
        </w:rPr>
      </w:pPr>
      <w:r>
        <w:rPr>
          <w:rFonts w:hint="eastAsia" w:ascii="仿宋" w:hAnsi="仿宋" w:eastAsia="仿宋" w:cs="仿宋"/>
          <w:bCs/>
        </w:rPr>
        <w:t>在货物采购项目中，货物由中小企业制造，即货物由中小企业生产且使用该中小企业商号或者注册商标；</w:t>
      </w:r>
    </w:p>
    <w:p w14:paraId="240B94B7">
      <w:pPr>
        <w:adjustRightInd w:val="0"/>
        <w:snapToGrid w:val="0"/>
        <w:ind w:firstLine="480" w:firstLineChars="200"/>
        <w:rPr>
          <w:rFonts w:hint="eastAsia" w:ascii="仿宋" w:hAnsi="仿宋" w:eastAsia="仿宋" w:cs="仿宋"/>
          <w:bCs/>
        </w:rPr>
      </w:pPr>
      <w:r>
        <w:rPr>
          <w:rFonts w:hint="eastAsia" w:ascii="仿宋" w:hAnsi="仿宋" w:eastAsia="仿宋" w:cs="仿宋"/>
          <w:bCs/>
        </w:rPr>
        <w:t>按照《中华人民共和国劳动合同法》订立劳动合同的从业人员。</w:t>
      </w:r>
    </w:p>
    <w:p w14:paraId="46989D28">
      <w:pPr>
        <w:adjustRightInd w:val="0"/>
        <w:snapToGrid w:val="0"/>
        <w:ind w:firstLine="480" w:firstLineChars="200"/>
        <w:rPr>
          <w:rFonts w:hint="eastAsia" w:ascii="仿宋" w:hAnsi="仿宋" w:eastAsia="仿宋" w:cs="仿宋"/>
          <w:bCs/>
        </w:rPr>
      </w:pPr>
      <w:r>
        <w:rPr>
          <w:rFonts w:hint="eastAsia" w:ascii="仿宋" w:hAnsi="仿宋" w:eastAsia="仿宋" w:cs="仿宋"/>
          <w:bCs/>
        </w:rPr>
        <w:t>在货物采购项目中，供应商提供的货物既有中小企业制造货物，也有大型企业制造货物的，不享受本办法规定的中小企业扶持政策。</w:t>
      </w:r>
    </w:p>
    <w:p w14:paraId="355FA497">
      <w:pPr>
        <w:adjustRightInd w:val="0"/>
        <w:snapToGrid w:val="0"/>
        <w:ind w:firstLine="480" w:firstLineChars="200"/>
        <w:rPr>
          <w:rFonts w:hint="eastAsia" w:ascii="仿宋" w:hAnsi="仿宋" w:eastAsia="仿宋" w:cs="仿宋"/>
        </w:rPr>
      </w:pPr>
      <w:r>
        <w:rPr>
          <w:rFonts w:hint="eastAsia" w:ascii="仿宋" w:hAnsi="仿宋" w:eastAsia="仿宋" w:cs="仿宋"/>
          <w:bCs/>
        </w:rPr>
        <w:t>中小企业参加政府采购活动，应当出具本办法规定的《中小企业声明函》（见附件，符合本办法规定的小微企</w:t>
      </w:r>
      <w:r>
        <w:rPr>
          <w:rFonts w:hint="eastAsia" w:ascii="仿宋" w:hAnsi="仿宋" w:eastAsia="仿宋" w:cs="仿宋"/>
        </w:rPr>
        <w:t>业报价给予10%的扣除，用扣除后的价格参加评审。否则不得享受相关政策。</w:t>
      </w:r>
    </w:p>
    <w:p w14:paraId="3DF30717">
      <w:pPr>
        <w:ind w:firstLine="480" w:firstLineChars="200"/>
        <w:rPr>
          <w:rFonts w:hint="eastAsia" w:ascii="仿宋" w:hAnsi="仿宋" w:eastAsia="仿宋" w:cs="仿宋"/>
        </w:rPr>
      </w:pPr>
      <w:r>
        <w:rPr>
          <w:rFonts w:hint="eastAsia" w:ascii="仿宋" w:hAnsi="仿宋" w:eastAsia="仿宋" w:cs="仿宋"/>
        </w:rPr>
        <w:t>投标人出具《中小型企业声明函》</w:t>
      </w:r>
      <w:r>
        <w:rPr>
          <w:rFonts w:hint="eastAsia" w:ascii="仿宋" w:hAnsi="仿宋" w:eastAsia="仿宋" w:cs="仿宋"/>
          <w:kern w:val="0"/>
        </w:rPr>
        <w:t>，并对声明的真实性负责</w:t>
      </w:r>
      <w:r>
        <w:rPr>
          <w:rFonts w:hint="eastAsia" w:ascii="仿宋" w:hAnsi="仿宋" w:eastAsia="仿宋" w:cs="仿宋"/>
        </w:rPr>
        <w:t>。否则，按照有关规定予以处理。</w:t>
      </w:r>
    </w:p>
    <w:p w14:paraId="5A76547C">
      <w:pPr>
        <w:rPr>
          <w:rFonts w:hint="eastAsia" w:ascii="仿宋" w:hAnsi="仿宋" w:eastAsia="仿宋" w:cs="仿宋"/>
        </w:rPr>
      </w:pPr>
      <w:r>
        <w:rPr>
          <w:rFonts w:hint="eastAsia" w:ascii="仿宋" w:hAnsi="仿宋" w:eastAsia="仿宋" w:cs="仿宋"/>
        </w:rPr>
        <w:t>31.2 监狱和戒毒企业应符合《财政部 司法部关于政府采购支持监狱企业发展有关问题的通知》--财库〔2014〕68号，并提供由省级以上监狱管理局、戒毒管理局(含新疆生产建设兵团)出具的属于监狱企业的证明和《监狱和戒毒企业声明函》。符合本办法规定的给予10%的扣除，用扣除后的价格参加评审。</w:t>
      </w:r>
    </w:p>
    <w:p w14:paraId="3B9A8E38">
      <w:pPr>
        <w:overflowPunct w:val="0"/>
        <w:adjustRightInd w:val="0"/>
        <w:snapToGrid w:val="0"/>
        <w:rPr>
          <w:rFonts w:hint="eastAsia" w:ascii="仿宋" w:hAnsi="仿宋" w:eastAsia="仿宋" w:cs="仿宋"/>
          <w:kern w:val="0"/>
        </w:rPr>
      </w:pPr>
      <w:r>
        <w:rPr>
          <w:rFonts w:hint="eastAsia" w:ascii="仿宋" w:hAnsi="仿宋" w:eastAsia="仿宋" w:cs="仿宋"/>
        </w:rPr>
        <w:t xml:space="preserve">31.3 </w:t>
      </w:r>
      <w:r>
        <w:rPr>
          <w:rFonts w:hint="eastAsia" w:ascii="仿宋" w:hAnsi="仿宋" w:eastAsia="仿宋" w:cs="仿宋"/>
          <w:kern w:val="0"/>
        </w:rPr>
        <w:t>残疾人福利性单位应符合《三部门联合发布关于促进残疾人就业政府采购政策的通知》-</w:t>
      </w:r>
      <w:r>
        <w:rPr>
          <w:rFonts w:hint="eastAsia" w:ascii="仿宋" w:hAnsi="仿宋" w:eastAsia="仿宋" w:cs="仿宋"/>
          <w:bCs/>
          <w:kern w:val="0"/>
        </w:rPr>
        <w:t>财库〔2017〕141号</w:t>
      </w:r>
      <w:r>
        <w:rPr>
          <w:rFonts w:hint="eastAsia" w:ascii="仿宋" w:hAnsi="仿宋" w:eastAsia="仿宋" w:cs="仿宋"/>
          <w:kern w:val="0"/>
        </w:rPr>
        <w:t>，并提供通知规定的《残疾人福利性单位声明函》，并对声明的真实性负责。任何单位或者个人在政府采购活动中均不得要求残疾人福利性单位提供其他证明声明函内容的材料。</w:t>
      </w:r>
      <w:r>
        <w:rPr>
          <w:rFonts w:hint="eastAsia" w:ascii="仿宋" w:hAnsi="仿宋" w:eastAsia="仿宋" w:cs="仿宋"/>
        </w:rPr>
        <w:t>符合本办法规定的给予10%的扣除，用扣除后的价格参加评审。</w:t>
      </w:r>
    </w:p>
    <w:p w14:paraId="1E0EA847">
      <w:pPr>
        <w:overflowPunct w:val="0"/>
        <w:adjustRightInd w:val="0"/>
        <w:snapToGrid w:val="0"/>
        <w:ind w:firstLine="480" w:firstLineChars="200"/>
        <w:rPr>
          <w:rFonts w:hint="eastAsia" w:ascii="仿宋" w:hAnsi="仿宋" w:eastAsia="仿宋" w:cs="仿宋"/>
        </w:rPr>
      </w:pPr>
      <w:r>
        <w:rPr>
          <w:rFonts w:hint="eastAsia" w:ascii="仿宋" w:hAnsi="仿宋" w:eastAsia="仿宋" w:cs="仿宋"/>
        </w:rPr>
        <w:t xml:space="preserve">中标、成交供应商为残疾人福利性单位的，采购人或者其委托的采购代理机构应当随中标、成交结果同时公告其《中小型企业声明函》、《监狱和戒毒企业声明函》、《残疾人福利性单位声明函》，接受社会监督。 </w:t>
      </w:r>
    </w:p>
    <w:p w14:paraId="50476477">
      <w:pPr>
        <w:ind w:firstLine="480"/>
        <w:rPr>
          <w:rFonts w:hint="eastAsia" w:ascii="仿宋" w:hAnsi="仿宋" w:eastAsia="仿宋" w:cs="仿宋"/>
        </w:rPr>
      </w:pPr>
      <w:r>
        <w:rPr>
          <w:rFonts w:hint="eastAsia" w:ascii="仿宋" w:hAnsi="仿宋" w:eastAsia="仿宋" w:cs="仿宋"/>
        </w:rPr>
        <w:t>供应商提供的声明函与事实不符的，依照《政府采购法》第七十七条第一款的规定追究法律责任。</w:t>
      </w:r>
    </w:p>
    <w:p w14:paraId="17BDB5F5">
      <w:pPr>
        <w:adjustRightInd w:val="0"/>
        <w:snapToGrid w:val="0"/>
        <w:rPr>
          <w:rFonts w:hint="eastAsia" w:ascii="仿宋" w:hAnsi="仿宋" w:eastAsia="仿宋" w:cs="仿宋"/>
          <w:bCs/>
        </w:rPr>
      </w:pPr>
      <w:r>
        <w:rPr>
          <w:rFonts w:hint="eastAsia" w:ascii="仿宋" w:hAnsi="仿宋" w:eastAsia="仿宋" w:cs="仿宋"/>
        </w:rPr>
        <w:t>31.4 投标供</w:t>
      </w:r>
      <w:r>
        <w:rPr>
          <w:rFonts w:hint="eastAsia" w:ascii="仿宋" w:hAnsi="仿宋" w:eastAsia="仿宋" w:cs="仿宋"/>
          <w:bCs/>
        </w:rPr>
        <w:t>应商应如实提供以上证明文件，如存在虚假应标，将取消其投标资格。</w:t>
      </w:r>
    </w:p>
    <w:p w14:paraId="781B9F21">
      <w:pPr>
        <w:rPr>
          <w:rFonts w:hint="eastAsia" w:ascii="仿宋" w:hAnsi="仿宋" w:eastAsia="仿宋" w:cs="仿宋"/>
        </w:rPr>
      </w:pPr>
      <w:r>
        <w:rPr>
          <w:rFonts w:hint="eastAsia" w:ascii="仿宋" w:hAnsi="仿宋" w:eastAsia="仿宋" w:cs="仿宋"/>
        </w:rPr>
        <w:t>31.5 投标产品政府采购政策</w:t>
      </w:r>
    </w:p>
    <w:p w14:paraId="42172694">
      <w:pPr>
        <w:rPr>
          <w:rFonts w:hint="eastAsia" w:ascii="仿宋" w:hAnsi="仿宋" w:eastAsia="仿宋" w:cs="仿宋"/>
        </w:rPr>
      </w:pPr>
      <w:r>
        <w:rPr>
          <w:rFonts w:hint="eastAsia" w:ascii="仿宋" w:hAnsi="仿宋" w:eastAsia="仿宋" w:cs="仿宋"/>
        </w:rPr>
        <w:t>31.5.1节能产品根据《国务院办公厅关于建立政府强制采购节能产品制度的通知》（国办发〔2007〕51号）的规定，以财库〔2019〕9号为准。</w:t>
      </w:r>
      <w:r>
        <w:rPr>
          <w:rFonts w:hint="eastAsia" w:ascii="仿宋" w:hAnsi="仿宋" w:eastAsia="仿宋" w:cs="仿宋"/>
        </w:rPr>
        <w:br w:type="textWrapping"/>
      </w:r>
      <w:r>
        <w:rPr>
          <w:rFonts w:hint="eastAsia" w:ascii="仿宋" w:hAnsi="仿宋" w:eastAsia="仿宋" w:cs="仿宋"/>
        </w:rPr>
        <w:t>31.5.2环境标志产品根据《环境标志产品政府采购实施的意见》（财库[2006]90号）的规定，以财库〔2019〕9号为准。</w:t>
      </w:r>
      <w:r>
        <w:rPr>
          <w:rFonts w:hint="eastAsia" w:ascii="仿宋" w:hAnsi="仿宋" w:eastAsia="仿宋" w:cs="仿宋"/>
        </w:rPr>
        <w:br w:type="textWrapping"/>
      </w:r>
      <w:r>
        <w:rPr>
          <w:rFonts w:hint="eastAsia" w:ascii="仿宋" w:hAnsi="仿宋" w:eastAsia="仿宋" w:cs="仿宋"/>
        </w:rPr>
        <w:t>31.5.3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w:t>
      </w:r>
      <w:r>
        <w:rPr>
          <w:rFonts w:hint="eastAsia" w:ascii="仿宋" w:hAnsi="仿宋" w:eastAsia="仿宋" w:cs="仿宋"/>
          <w:lang w:val="en-US" w:eastAsia="zh-CN"/>
        </w:rPr>
        <w:t>在价格相同的情况下，</w:t>
      </w:r>
      <w:r>
        <w:rPr>
          <w:rFonts w:hint="eastAsia" w:ascii="仿宋" w:hAnsi="仿宋" w:eastAsia="仿宋" w:cs="仿宋"/>
        </w:rPr>
        <w:t>对获得证书的产品实施政府优先采购</w:t>
      </w:r>
      <w:r>
        <w:rPr>
          <w:rFonts w:ascii="仿宋_GB2312" w:hAnsi="仿宋_GB2312" w:eastAsia="仿宋_GB2312" w:cs="仿宋_GB2312"/>
        </w:rPr>
        <w:t>。</w:t>
      </w:r>
      <w:r>
        <w:rPr>
          <w:rFonts w:hint="eastAsia" w:ascii="仿宋" w:hAnsi="仿宋" w:eastAsia="仿宋" w:cs="仿宋"/>
        </w:rPr>
        <w:br w:type="textWrapping"/>
      </w:r>
      <w:r>
        <w:rPr>
          <w:rFonts w:hint="eastAsia" w:ascii="仿宋" w:hAnsi="仿宋" w:eastAsia="仿宋" w:cs="仿宋"/>
        </w:rPr>
        <w:t>31.5.4节能产品、环境标志产品认证机构应当建立健全数据共享机制，及时向认证结果信息发布平台提供相关信息。中国政府采购网（www.ccgp.gov.cn）建立与认证结果信息发布平台的链接，方便采购人和采购代理机构查询、了解认证机构和获证产品相关情况。</w:t>
      </w:r>
      <w:r>
        <w:rPr>
          <w:rFonts w:hint="eastAsia" w:ascii="仿宋" w:hAnsi="仿宋" w:eastAsia="仿宋" w:cs="仿宋"/>
        </w:rPr>
        <w:br w:type="textWrapping"/>
      </w:r>
      <w:r>
        <w:rPr>
          <w:rFonts w:hint="eastAsia" w:ascii="仿宋" w:hAnsi="仿宋" w:eastAsia="仿宋" w:cs="仿宋"/>
        </w:rPr>
        <w:t>31.5.5对于已列入品目清单的产品类别，采购人可在采购需求中提出更高的节约资源和保护环境要求，对符合条件的获证产品给予优先待遇。</w:t>
      </w:r>
    </w:p>
    <w:p w14:paraId="22BF7E40">
      <w:pPr>
        <w:adjustRightInd w:val="0"/>
        <w:snapToGrid w:val="0"/>
        <w:rPr>
          <w:rFonts w:hint="eastAsia" w:ascii="仿宋" w:hAnsi="仿宋" w:eastAsia="仿宋" w:cs="仿宋"/>
        </w:rPr>
      </w:pPr>
      <w:r>
        <w:rPr>
          <w:rFonts w:hint="eastAsia" w:ascii="仿宋" w:hAnsi="仿宋" w:eastAsia="仿宋" w:cs="仿宋"/>
        </w:rPr>
        <w:t>31.5.6获得上述认证的产品在投标时应提供有效证明材料。以上所有证明文件复印件须加盖供应商公章并注明“与原件一致”。</w:t>
      </w:r>
    </w:p>
    <w:p w14:paraId="09764BBF">
      <w:pPr>
        <w:adjustRightInd w:val="0"/>
        <w:snapToGrid w:val="0"/>
        <w:rPr>
          <w:rFonts w:hint="eastAsia" w:ascii="仿宋" w:hAnsi="仿宋" w:eastAsia="仿宋" w:cs="仿宋"/>
          <w:b/>
          <w:bCs/>
          <w:lang w:val="zh-CN"/>
        </w:rPr>
      </w:pPr>
      <w:r>
        <w:rPr>
          <w:rFonts w:hint="eastAsia" w:ascii="仿宋" w:hAnsi="仿宋" w:eastAsia="仿宋" w:cs="仿宋"/>
          <w:b/>
          <w:bCs/>
          <w:lang w:val="zh-CN"/>
        </w:rPr>
        <w:t>31.</w:t>
      </w:r>
      <w:r>
        <w:rPr>
          <w:rFonts w:hint="eastAsia" w:ascii="仿宋" w:hAnsi="仿宋" w:eastAsia="仿宋" w:cs="仿宋"/>
          <w:b/>
          <w:bCs/>
        </w:rPr>
        <w:t>6</w:t>
      </w:r>
      <w:r>
        <w:rPr>
          <w:rFonts w:hint="eastAsia" w:ascii="仿宋" w:hAnsi="仿宋" w:eastAsia="仿宋" w:cs="仿宋"/>
          <w:b/>
          <w:bCs/>
          <w:lang w:val="zh-CN"/>
        </w:rPr>
        <w:t>专门面向中小企业采购的项目或者采购包，不再执行价格评审优惠的扶持政策。</w:t>
      </w:r>
    </w:p>
    <w:p w14:paraId="55DC0AB2">
      <w:pPr>
        <w:adjustRightInd w:val="0"/>
        <w:snapToGrid w:val="0"/>
        <w:rPr>
          <w:rFonts w:hint="eastAsia" w:ascii="仿宋" w:hAnsi="仿宋" w:eastAsia="仿宋" w:cs="仿宋"/>
        </w:rPr>
      </w:pPr>
      <w:r>
        <w:rPr>
          <w:rFonts w:hint="eastAsia" w:ascii="仿宋" w:hAnsi="仿宋" w:eastAsia="仿宋" w:cs="仿宋"/>
          <w:lang w:val="zh-CN"/>
        </w:rPr>
        <w:t>31.</w:t>
      </w:r>
      <w:r>
        <w:rPr>
          <w:rFonts w:hint="eastAsia" w:ascii="仿宋" w:hAnsi="仿宋" w:eastAsia="仿宋" w:cs="仿宋"/>
        </w:rPr>
        <w:t>7 陕西省中小企业政府采购信用融资办法</w:t>
      </w:r>
    </w:p>
    <w:p w14:paraId="4ED9ED0F">
      <w:pPr>
        <w:adjustRightInd w:val="0"/>
        <w:snapToGrid w:val="0"/>
        <w:rPr>
          <w:rFonts w:hint="eastAsia" w:ascii="仿宋" w:hAnsi="仿宋" w:eastAsia="仿宋" w:cs="仿宋"/>
        </w:rPr>
      </w:pPr>
      <w:r>
        <w:rPr>
          <w:rFonts w:hint="eastAsia" w:ascii="仿宋" w:hAnsi="仿宋" w:eastAsia="仿宋" w:cs="仿宋"/>
        </w:rPr>
        <w:t>按陕西省财政厅关于印发《陕西省中小企业政府采购信用融资办法》（陕财办采〔2018〕23号）执行。</w:t>
      </w:r>
    </w:p>
    <w:p w14:paraId="5CC7C68F">
      <w:pPr>
        <w:adjustRightInd w:val="0"/>
        <w:snapToGrid w:val="0"/>
        <w:rPr>
          <w:rFonts w:hint="eastAsia" w:ascii="仿宋" w:hAnsi="仿宋" w:eastAsia="仿宋" w:cs="仿宋"/>
        </w:rPr>
      </w:pPr>
      <w:r>
        <w:rPr>
          <w:rFonts w:hint="eastAsia" w:ascii="仿宋" w:hAnsi="仿宋" w:eastAsia="仿宋" w:cs="仿宋"/>
        </w:rPr>
        <w:t>31.7.1陕西省政府采购支持中小企业信用融资合作银行名单详见（陕西省政府采购网-采购动态-重要通知</w:t>
      </w:r>
      <w:r>
        <w:rPr>
          <w:rFonts w:hint="eastAsia" w:ascii="仿宋" w:hAnsi="仿宋" w:eastAsia="仿宋" w:cs="仿宋"/>
        </w:rPr>
        <w:fldChar w:fldCharType="begin"/>
      </w:r>
      <w:r>
        <w:rPr>
          <w:rFonts w:hint="eastAsia" w:ascii="仿宋" w:hAnsi="仿宋" w:eastAsia="仿宋" w:cs="仿宋"/>
        </w:rPr>
        <w:instrText xml:space="preserve"> HYPERLINK "http://www.ccgp-shaanxi.gov.cn/）" </w:instrText>
      </w:r>
      <w:r>
        <w:rPr>
          <w:rFonts w:hint="eastAsia" w:ascii="仿宋" w:hAnsi="仿宋" w:eastAsia="仿宋" w:cs="仿宋"/>
        </w:rPr>
        <w:fldChar w:fldCharType="separate"/>
      </w:r>
      <w:r>
        <w:rPr>
          <w:rFonts w:hint="eastAsia" w:ascii="仿宋" w:hAnsi="仿宋" w:eastAsia="仿宋" w:cs="仿宋"/>
        </w:rPr>
        <w:t>http://www.ccgp-shaanxi.gov.cn/）</w:t>
      </w:r>
      <w:r>
        <w:rPr>
          <w:rFonts w:hint="eastAsia" w:ascii="仿宋" w:hAnsi="仿宋" w:eastAsia="仿宋" w:cs="仿宋"/>
        </w:rPr>
        <w:fldChar w:fldCharType="end"/>
      </w:r>
    </w:p>
    <w:p w14:paraId="2BA349B1">
      <w:pPr>
        <w:pStyle w:val="4"/>
        <w:adjustRightInd w:val="0"/>
        <w:snapToGrid w:val="0"/>
        <w:spacing w:before="0" w:after="0" w:line="360" w:lineRule="auto"/>
        <w:rPr>
          <w:rFonts w:hint="eastAsia" w:ascii="仿宋" w:hAnsi="仿宋" w:eastAsia="仿宋" w:cs="仿宋"/>
          <w:sz w:val="24"/>
          <w:szCs w:val="24"/>
        </w:rPr>
      </w:pPr>
      <w:r>
        <w:rPr>
          <w:rFonts w:hint="eastAsia" w:ascii="仿宋" w:hAnsi="仿宋" w:eastAsia="仿宋" w:cs="仿宋"/>
          <w:sz w:val="24"/>
          <w:szCs w:val="24"/>
        </w:rPr>
        <w:t>32．与采购人、采购代理机构和谈判小组接触</w:t>
      </w:r>
      <w:bookmarkEnd w:id="254"/>
      <w:bookmarkEnd w:id="255"/>
      <w:bookmarkEnd w:id="256"/>
      <w:bookmarkEnd w:id="257"/>
      <w:bookmarkEnd w:id="258"/>
      <w:bookmarkEnd w:id="259"/>
    </w:p>
    <w:p w14:paraId="223F986F">
      <w:pPr>
        <w:adjustRightInd w:val="0"/>
        <w:snapToGrid w:val="0"/>
        <w:rPr>
          <w:rFonts w:hint="eastAsia" w:ascii="仿宋" w:hAnsi="仿宋" w:eastAsia="仿宋" w:cs="仿宋"/>
        </w:rPr>
      </w:pPr>
      <w:r>
        <w:rPr>
          <w:rFonts w:hint="eastAsia" w:ascii="仿宋" w:hAnsi="仿宋" w:eastAsia="仿宋" w:cs="仿宋"/>
        </w:rPr>
        <w:t>32.1 供应商试图对采购人和谈判小组的评审、比较或授予合同的决定进行影响，都可能导致其谈判被拒绝。</w:t>
      </w:r>
    </w:p>
    <w:p w14:paraId="20BD1347">
      <w:pPr>
        <w:pStyle w:val="3"/>
        <w:adjustRightInd w:val="0"/>
        <w:snapToGrid w:val="0"/>
        <w:spacing w:before="0" w:after="0" w:line="360" w:lineRule="auto"/>
        <w:jc w:val="center"/>
        <w:rPr>
          <w:rFonts w:hint="eastAsia" w:ascii="仿宋" w:hAnsi="仿宋" w:eastAsia="仿宋" w:cs="仿宋"/>
          <w:sz w:val="24"/>
          <w:szCs w:val="24"/>
        </w:rPr>
      </w:pPr>
      <w:bookmarkStart w:id="260" w:name="_Toc283240491"/>
      <w:bookmarkStart w:id="261" w:name="_Toc283626507"/>
      <w:bookmarkStart w:id="262" w:name="_Toc6162"/>
      <w:bookmarkStart w:id="263" w:name="_Toc25192"/>
      <w:bookmarkStart w:id="264" w:name="_Toc26544"/>
      <w:bookmarkStart w:id="265" w:name="_Toc332874424"/>
      <w:bookmarkStart w:id="266" w:name="_Toc8514"/>
      <w:bookmarkStart w:id="267" w:name="_Toc1126"/>
      <w:bookmarkStart w:id="268" w:name="_Toc6083"/>
      <w:bookmarkStart w:id="269" w:name="_Toc311415606"/>
      <w:r>
        <w:rPr>
          <w:rFonts w:hint="eastAsia" w:ascii="仿宋" w:hAnsi="仿宋" w:eastAsia="仿宋" w:cs="仿宋"/>
          <w:sz w:val="24"/>
          <w:szCs w:val="24"/>
        </w:rPr>
        <w:t>F．授予合同</w:t>
      </w:r>
      <w:bookmarkEnd w:id="260"/>
      <w:bookmarkEnd w:id="261"/>
      <w:bookmarkEnd w:id="262"/>
      <w:bookmarkEnd w:id="263"/>
      <w:bookmarkEnd w:id="264"/>
      <w:bookmarkEnd w:id="265"/>
      <w:bookmarkEnd w:id="266"/>
      <w:bookmarkEnd w:id="267"/>
      <w:bookmarkEnd w:id="268"/>
      <w:bookmarkEnd w:id="269"/>
    </w:p>
    <w:p w14:paraId="41BB1055">
      <w:pPr>
        <w:pStyle w:val="4"/>
        <w:adjustRightInd w:val="0"/>
        <w:snapToGrid w:val="0"/>
        <w:spacing w:before="0" w:after="0" w:line="360" w:lineRule="auto"/>
        <w:rPr>
          <w:rFonts w:hint="eastAsia" w:ascii="仿宋" w:hAnsi="仿宋" w:eastAsia="仿宋" w:cs="仿宋"/>
          <w:sz w:val="24"/>
          <w:szCs w:val="24"/>
        </w:rPr>
      </w:pPr>
      <w:bookmarkStart w:id="270" w:name="_Toc311415607"/>
      <w:bookmarkStart w:id="271" w:name="_Toc14461"/>
      <w:bookmarkStart w:id="272" w:name="_Toc17531"/>
      <w:bookmarkStart w:id="273" w:name="_Toc1081"/>
      <w:bookmarkStart w:id="274" w:name="_Toc10993"/>
      <w:bookmarkStart w:id="275" w:name="_Toc23664"/>
      <w:r>
        <w:rPr>
          <w:rFonts w:hint="eastAsia" w:ascii="仿宋" w:hAnsi="仿宋" w:eastAsia="仿宋" w:cs="仿宋"/>
          <w:sz w:val="24"/>
          <w:szCs w:val="24"/>
        </w:rPr>
        <w:t>33．</w:t>
      </w:r>
      <w:bookmarkEnd w:id="270"/>
      <w:r>
        <w:rPr>
          <w:rFonts w:hint="eastAsia" w:ascii="仿宋" w:hAnsi="仿宋" w:eastAsia="仿宋" w:cs="仿宋"/>
          <w:sz w:val="24"/>
          <w:szCs w:val="24"/>
        </w:rPr>
        <w:t>定标及合同授予</w:t>
      </w:r>
      <w:bookmarkEnd w:id="271"/>
      <w:bookmarkEnd w:id="272"/>
      <w:bookmarkEnd w:id="273"/>
      <w:bookmarkEnd w:id="274"/>
      <w:bookmarkEnd w:id="275"/>
    </w:p>
    <w:p w14:paraId="78CF15B6">
      <w:pPr>
        <w:adjustRightInd w:val="0"/>
        <w:snapToGrid w:val="0"/>
        <w:rPr>
          <w:rFonts w:hint="eastAsia" w:ascii="仿宋" w:hAnsi="仿宋" w:eastAsia="仿宋" w:cs="仿宋"/>
        </w:rPr>
      </w:pPr>
      <w:r>
        <w:rPr>
          <w:rFonts w:hint="eastAsia" w:ascii="仿宋" w:hAnsi="仿宋" w:eastAsia="仿宋" w:cs="仿宋"/>
        </w:rPr>
        <w:t>33.1 采购代理机构在接到采购人的成交供应商复函后，在采购信息发布媒体上公告，并向成交供应商发《成交通知书》。</w:t>
      </w:r>
    </w:p>
    <w:p w14:paraId="69BE3DB7">
      <w:pPr>
        <w:adjustRightInd w:val="0"/>
        <w:snapToGrid w:val="0"/>
        <w:rPr>
          <w:rFonts w:hint="eastAsia" w:ascii="仿宋" w:hAnsi="仿宋" w:eastAsia="仿宋" w:cs="仿宋"/>
        </w:rPr>
      </w:pPr>
      <w:r>
        <w:rPr>
          <w:rFonts w:hint="eastAsia" w:ascii="仿宋" w:hAnsi="仿宋" w:eastAsia="仿宋" w:cs="仿宋"/>
        </w:rPr>
        <w:t>33.2 采购代理机构向成交供应商发出《成交通知书》，对于其他未成交供应商，将在保证金有效期内无息退还其谈判保证金。</w:t>
      </w:r>
    </w:p>
    <w:p w14:paraId="21E2EA79">
      <w:pPr>
        <w:adjustRightInd w:val="0"/>
        <w:snapToGrid w:val="0"/>
        <w:rPr>
          <w:rFonts w:hint="eastAsia" w:ascii="仿宋" w:hAnsi="仿宋" w:eastAsia="仿宋" w:cs="仿宋"/>
        </w:rPr>
      </w:pPr>
      <w:r>
        <w:rPr>
          <w:rFonts w:hint="eastAsia" w:ascii="仿宋" w:hAnsi="仿宋" w:eastAsia="仿宋" w:cs="仿宋"/>
        </w:rPr>
        <w:t>33.3 《成交通知书》将作为签订合同的依据，谈判文件、成交供应商的谈判响应文件和补充文件（如澄清、承诺等）等，均为有法律约束力的经济合同组成的一部分。</w:t>
      </w:r>
    </w:p>
    <w:p w14:paraId="35331BB9">
      <w:pPr>
        <w:adjustRightInd w:val="0"/>
        <w:snapToGrid w:val="0"/>
        <w:rPr>
          <w:rFonts w:hint="eastAsia" w:ascii="仿宋" w:hAnsi="仿宋" w:eastAsia="仿宋" w:cs="仿宋"/>
        </w:rPr>
      </w:pPr>
      <w:r>
        <w:rPr>
          <w:rFonts w:hint="eastAsia" w:ascii="仿宋" w:hAnsi="仿宋" w:eastAsia="仿宋" w:cs="仿宋"/>
        </w:rPr>
        <w:t>33.4 《成交通知书》发出30天内，如果已成交的供应商不能按谈判响应文件，包括补充文件（如澄清、承诺等）中承诺的条件履行签约行为，采购人有权取消其成交资格，并扣除其谈判保证金。</w:t>
      </w:r>
    </w:p>
    <w:p w14:paraId="20E4F82A">
      <w:pPr>
        <w:adjustRightInd w:val="0"/>
        <w:snapToGrid w:val="0"/>
        <w:rPr>
          <w:rFonts w:hint="eastAsia" w:ascii="仿宋" w:hAnsi="仿宋" w:eastAsia="仿宋" w:cs="仿宋"/>
        </w:rPr>
      </w:pPr>
      <w:r>
        <w:rPr>
          <w:rFonts w:hint="eastAsia" w:ascii="仿宋" w:hAnsi="仿宋" w:eastAsia="仿宋" w:cs="仿宋"/>
        </w:rPr>
        <w:t>33.5 成交供应商如果因不可抗力或自身原因不能履行采购合同，采购人可与排位在成交供应商之后第一位的成交候选供应商签订采购合同。</w:t>
      </w:r>
    </w:p>
    <w:p w14:paraId="135F6FA0">
      <w:pPr>
        <w:pStyle w:val="4"/>
        <w:adjustRightInd w:val="0"/>
        <w:snapToGrid w:val="0"/>
        <w:spacing w:before="0" w:after="0" w:line="360" w:lineRule="auto"/>
        <w:rPr>
          <w:rFonts w:hint="eastAsia" w:ascii="仿宋" w:hAnsi="仿宋" w:eastAsia="仿宋" w:cs="仿宋"/>
          <w:sz w:val="24"/>
          <w:szCs w:val="24"/>
        </w:rPr>
      </w:pPr>
      <w:bookmarkStart w:id="276" w:name="_Toc12718"/>
      <w:bookmarkStart w:id="277" w:name="_Toc14225"/>
      <w:bookmarkStart w:id="278" w:name="_Toc27079"/>
      <w:bookmarkStart w:id="279" w:name="_Toc311415609"/>
      <w:bookmarkStart w:id="280" w:name="_Toc23151"/>
      <w:bookmarkStart w:id="281" w:name="_Toc30116"/>
      <w:r>
        <w:rPr>
          <w:rFonts w:hint="eastAsia" w:ascii="仿宋" w:hAnsi="仿宋" w:eastAsia="仿宋" w:cs="仿宋"/>
          <w:sz w:val="24"/>
          <w:szCs w:val="24"/>
        </w:rPr>
        <w:t>34．接受和拒绝任何或所有谈判的权力</w:t>
      </w:r>
      <w:bookmarkEnd w:id="276"/>
      <w:bookmarkEnd w:id="277"/>
      <w:bookmarkEnd w:id="278"/>
      <w:bookmarkEnd w:id="279"/>
      <w:bookmarkEnd w:id="280"/>
      <w:bookmarkEnd w:id="281"/>
    </w:p>
    <w:p w14:paraId="301B7E20">
      <w:pPr>
        <w:adjustRightInd w:val="0"/>
        <w:snapToGrid w:val="0"/>
        <w:rPr>
          <w:rFonts w:hint="eastAsia" w:ascii="仿宋" w:hAnsi="仿宋" w:eastAsia="仿宋" w:cs="仿宋"/>
          <w:lang w:val="en-US" w:eastAsia="zh-CN"/>
        </w:rPr>
      </w:pPr>
      <w:r>
        <w:rPr>
          <w:rFonts w:hint="eastAsia" w:ascii="仿宋" w:hAnsi="仿宋" w:eastAsia="仿宋" w:cs="仿宋"/>
        </w:rPr>
        <w:t>34.1 采购代理机构和采购人保留在授标之前任何时候接受或拒绝任何谈判，以及宣布谈判程序无效或拒绝所有谈判的权力，对受影响的供应商不承担任何责任，也无义务向受影响的供应商解释采取这一行动的理由。</w:t>
      </w:r>
    </w:p>
    <w:p w14:paraId="374BAED3">
      <w:pPr>
        <w:pStyle w:val="4"/>
        <w:adjustRightInd w:val="0"/>
        <w:snapToGrid w:val="0"/>
        <w:spacing w:before="0" w:after="0" w:line="360" w:lineRule="auto"/>
        <w:rPr>
          <w:rFonts w:hint="eastAsia" w:ascii="仿宋" w:hAnsi="仿宋" w:eastAsia="仿宋" w:cs="仿宋"/>
          <w:sz w:val="24"/>
          <w:szCs w:val="24"/>
        </w:rPr>
      </w:pPr>
      <w:bookmarkStart w:id="282" w:name="_Toc28062"/>
      <w:bookmarkStart w:id="283" w:name="_Toc25142"/>
      <w:bookmarkStart w:id="284" w:name="_Toc311415613"/>
      <w:bookmarkStart w:id="285" w:name="_Toc28716"/>
      <w:bookmarkStart w:id="286" w:name="_Toc32515"/>
      <w:bookmarkStart w:id="287" w:name="_Toc25845"/>
      <w:r>
        <w:rPr>
          <w:rFonts w:hint="eastAsia" w:ascii="仿宋" w:hAnsi="仿宋" w:eastAsia="仿宋" w:cs="仿宋"/>
          <w:sz w:val="24"/>
          <w:szCs w:val="24"/>
        </w:rPr>
        <w:t>3</w:t>
      </w:r>
      <w:r>
        <w:rPr>
          <w:rFonts w:hint="eastAsia" w:ascii="仿宋" w:hAnsi="仿宋" w:eastAsia="仿宋" w:cs="仿宋"/>
          <w:sz w:val="24"/>
          <w:szCs w:val="24"/>
          <w:lang w:val="en-US" w:eastAsia="zh-CN"/>
        </w:rPr>
        <w:t>5</w:t>
      </w:r>
      <w:r>
        <w:rPr>
          <w:rFonts w:hint="eastAsia" w:ascii="仿宋" w:hAnsi="仿宋" w:eastAsia="仿宋" w:cs="仿宋"/>
          <w:sz w:val="24"/>
          <w:szCs w:val="24"/>
        </w:rPr>
        <w:t>．腐败和欺诈行为</w:t>
      </w:r>
      <w:bookmarkEnd w:id="282"/>
      <w:bookmarkEnd w:id="283"/>
      <w:bookmarkEnd w:id="284"/>
      <w:bookmarkEnd w:id="285"/>
      <w:bookmarkEnd w:id="286"/>
      <w:bookmarkEnd w:id="287"/>
    </w:p>
    <w:p w14:paraId="31CA17BC">
      <w:pPr>
        <w:adjustRightInd w:val="0"/>
        <w:snapToGrid w:val="0"/>
        <w:rPr>
          <w:rFonts w:hint="eastAsia" w:ascii="仿宋" w:hAnsi="仿宋" w:eastAsia="仿宋" w:cs="仿宋"/>
        </w:rPr>
      </w:pPr>
      <w:r>
        <w:rPr>
          <w:rFonts w:hint="eastAsia" w:ascii="仿宋" w:hAnsi="仿宋" w:eastAsia="仿宋" w:cs="仿宋"/>
        </w:rPr>
        <w:t>3</w:t>
      </w:r>
      <w:r>
        <w:rPr>
          <w:rFonts w:hint="eastAsia" w:ascii="仿宋" w:hAnsi="仿宋" w:eastAsia="仿宋" w:cs="仿宋"/>
          <w:lang w:val="en-US" w:eastAsia="zh-CN"/>
        </w:rPr>
        <w:t>5</w:t>
      </w:r>
      <w:r>
        <w:rPr>
          <w:rFonts w:hint="eastAsia" w:ascii="仿宋" w:hAnsi="仿宋" w:eastAsia="仿宋" w:cs="仿宋"/>
        </w:rPr>
        <w:t>.1 定义</w:t>
      </w:r>
    </w:p>
    <w:p w14:paraId="5DAC0877">
      <w:pPr>
        <w:adjustRightInd w:val="0"/>
        <w:snapToGrid w:val="0"/>
        <w:rPr>
          <w:rFonts w:hint="eastAsia" w:ascii="仿宋" w:hAnsi="仿宋" w:eastAsia="仿宋" w:cs="仿宋"/>
        </w:rPr>
      </w:pPr>
      <w:r>
        <w:rPr>
          <w:rFonts w:hint="eastAsia" w:ascii="仿宋" w:hAnsi="仿宋" w:eastAsia="仿宋" w:cs="仿宋"/>
        </w:rPr>
        <w:t>3</w:t>
      </w:r>
      <w:r>
        <w:rPr>
          <w:rFonts w:hint="eastAsia" w:ascii="仿宋" w:hAnsi="仿宋" w:eastAsia="仿宋" w:cs="仿宋"/>
          <w:lang w:val="en-US" w:eastAsia="zh-CN"/>
        </w:rPr>
        <w:t>5</w:t>
      </w:r>
      <w:r>
        <w:rPr>
          <w:rFonts w:hint="eastAsia" w:ascii="仿宋" w:hAnsi="仿宋" w:eastAsia="仿宋" w:cs="仿宋"/>
        </w:rPr>
        <w:t>.1.1 “腐败行为”是指提供给予接受或索取任何有价值的东西来影响采购代理机构和/或采购人在采购过程或合同实施过程中的行为。</w:t>
      </w:r>
    </w:p>
    <w:p w14:paraId="62B82F52">
      <w:pPr>
        <w:adjustRightInd w:val="0"/>
        <w:snapToGrid w:val="0"/>
        <w:rPr>
          <w:rFonts w:hint="eastAsia" w:ascii="仿宋" w:hAnsi="仿宋" w:eastAsia="仿宋" w:cs="仿宋"/>
        </w:rPr>
      </w:pPr>
      <w:r>
        <w:rPr>
          <w:rFonts w:hint="eastAsia" w:ascii="仿宋" w:hAnsi="仿宋" w:eastAsia="仿宋" w:cs="仿宋"/>
        </w:rPr>
        <w:t>3</w:t>
      </w:r>
      <w:r>
        <w:rPr>
          <w:rFonts w:hint="eastAsia" w:ascii="仿宋" w:hAnsi="仿宋" w:eastAsia="仿宋" w:cs="仿宋"/>
          <w:lang w:val="en-US" w:eastAsia="zh-CN"/>
        </w:rPr>
        <w:t>5</w:t>
      </w:r>
      <w:r>
        <w:rPr>
          <w:rFonts w:hint="eastAsia" w:ascii="仿宋" w:hAnsi="仿宋" w:eastAsia="仿宋" w:cs="仿宋"/>
        </w:rPr>
        <w:t>.1.2 “欺诈行为”是指为了影响采购过程或合同实施过程而谎报事实，损害采购代理机构和/或采购人的利益，包括供应商之间串通谈判（递交谈判响应文件之前和之后），人为地使谈判丧失竞争性，剥夺采购人从自由公开竞争所能获得的权益。</w:t>
      </w:r>
    </w:p>
    <w:p w14:paraId="677B1DAA">
      <w:pPr>
        <w:adjustRightInd w:val="0"/>
        <w:snapToGrid w:val="0"/>
        <w:rPr>
          <w:rFonts w:hint="eastAsia" w:ascii="仿宋" w:hAnsi="仿宋" w:eastAsia="仿宋" w:cs="仿宋"/>
        </w:rPr>
      </w:pPr>
      <w:r>
        <w:rPr>
          <w:rFonts w:hint="eastAsia" w:ascii="仿宋" w:hAnsi="仿宋" w:eastAsia="仿宋" w:cs="仿宋"/>
        </w:rPr>
        <w:t>3</w:t>
      </w:r>
      <w:r>
        <w:rPr>
          <w:rFonts w:hint="eastAsia" w:ascii="仿宋" w:hAnsi="仿宋" w:eastAsia="仿宋" w:cs="仿宋"/>
          <w:lang w:val="en-US" w:eastAsia="zh-CN"/>
        </w:rPr>
        <w:t>5</w:t>
      </w:r>
      <w:r>
        <w:rPr>
          <w:rFonts w:hint="eastAsia" w:ascii="仿宋" w:hAnsi="仿宋" w:eastAsia="仿宋" w:cs="仿宋"/>
        </w:rPr>
        <w:t>.2 如果采购代理机构和采购人认为供应商在本项目的竞争中有腐败或欺诈行为，其谈判将被拒绝。</w:t>
      </w:r>
      <w:bookmarkStart w:id="288" w:name="_Toc311415614"/>
    </w:p>
    <w:p w14:paraId="6006D720">
      <w:pPr>
        <w:pStyle w:val="4"/>
        <w:adjustRightInd w:val="0"/>
        <w:snapToGrid w:val="0"/>
        <w:spacing w:before="0" w:after="0" w:line="360" w:lineRule="auto"/>
        <w:rPr>
          <w:rFonts w:hint="eastAsia" w:ascii="仿宋" w:hAnsi="仿宋" w:eastAsia="仿宋" w:cs="仿宋"/>
          <w:sz w:val="24"/>
          <w:szCs w:val="24"/>
        </w:rPr>
      </w:pPr>
      <w:bookmarkStart w:id="289" w:name="_Toc28987"/>
      <w:bookmarkStart w:id="290" w:name="_Toc12700"/>
      <w:bookmarkStart w:id="291" w:name="_Toc9296"/>
      <w:bookmarkStart w:id="292" w:name="_Toc29931"/>
      <w:bookmarkStart w:id="293" w:name="_Toc25429"/>
      <w:r>
        <w:rPr>
          <w:rFonts w:hint="eastAsia" w:ascii="仿宋" w:hAnsi="仿宋" w:eastAsia="仿宋" w:cs="仿宋"/>
          <w:sz w:val="24"/>
          <w:szCs w:val="24"/>
        </w:rPr>
        <w:t>3</w:t>
      </w:r>
      <w:r>
        <w:rPr>
          <w:rFonts w:hint="eastAsia" w:ascii="仿宋" w:hAnsi="仿宋" w:eastAsia="仿宋" w:cs="仿宋"/>
          <w:sz w:val="24"/>
          <w:szCs w:val="24"/>
          <w:lang w:val="en-US" w:eastAsia="zh-CN"/>
        </w:rPr>
        <w:t>6</w:t>
      </w:r>
      <w:r>
        <w:rPr>
          <w:rFonts w:hint="eastAsia" w:ascii="仿宋" w:hAnsi="仿宋" w:eastAsia="仿宋" w:cs="仿宋"/>
          <w:sz w:val="24"/>
          <w:szCs w:val="24"/>
        </w:rPr>
        <w:t>．招标代理服务费</w:t>
      </w:r>
      <w:bookmarkEnd w:id="288"/>
      <w:bookmarkEnd w:id="289"/>
      <w:bookmarkEnd w:id="290"/>
      <w:bookmarkEnd w:id="291"/>
      <w:bookmarkEnd w:id="292"/>
      <w:bookmarkEnd w:id="293"/>
      <w:r>
        <w:rPr>
          <w:rFonts w:hint="eastAsia" w:ascii="仿宋" w:hAnsi="仿宋" w:eastAsia="仿宋" w:cs="仿宋"/>
          <w:sz w:val="24"/>
          <w:szCs w:val="24"/>
        </w:rPr>
        <w:t xml:space="preserve"> </w:t>
      </w:r>
    </w:p>
    <w:p w14:paraId="7F5663F3">
      <w:pPr>
        <w:rPr>
          <w:rFonts w:hint="eastAsia" w:ascii="仿宋" w:hAnsi="仿宋" w:eastAsia="仿宋" w:cs="仿宋"/>
        </w:rPr>
      </w:pPr>
      <w:r>
        <w:rPr>
          <w:rFonts w:hint="eastAsia" w:ascii="仿宋" w:hAnsi="仿宋" w:eastAsia="仿宋" w:cs="仿宋"/>
        </w:rPr>
        <w:t>3</w:t>
      </w:r>
      <w:r>
        <w:rPr>
          <w:rFonts w:hint="eastAsia" w:ascii="仿宋" w:hAnsi="仿宋" w:eastAsia="仿宋" w:cs="仿宋"/>
          <w:lang w:val="en-US" w:eastAsia="zh-CN"/>
        </w:rPr>
        <w:t>6</w:t>
      </w:r>
      <w:r>
        <w:rPr>
          <w:rFonts w:hint="eastAsia" w:ascii="仿宋" w:hAnsi="仿宋" w:eastAsia="仿宋" w:cs="仿宋"/>
        </w:rPr>
        <w:t xml:space="preserve">.1 </w:t>
      </w:r>
      <w:bookmarkStart w:id="294" w:name="_Toc283240492"/>
      <w:bookmarkStart w:id="295" w:name="_Toc332874425"/>
      <w:bookmarkStart w:id="296" w:name="_Toc283626508"/>
      <w:bookmarkStart w:id="297" w:name="_Toc311415615"/>
      <w:r>
        <w:rPr>
          <w:rFonts w:hint="eastAsia" w:ascii="仿宋" w:hAnsi="仿宋" w:eastAsia="仿宋" w:cs="仿宋"/>
          <w:lang w:val="en-US" w:eastAsia="zh-CN"/>
        </w:rPr>
        <w:t>成交</w:t>
      </w:r>
      <w:r>
        <w:rPr>
          <w:rFonts w:hint="eastAsia" w:ascii="仿宋" w:hAnsi="仿宋" w:eastAsia="仿宋" w:cs="仿宋"/>
          <w:sz w:val="24"/>
          <w:highlight w:val="none"/>
        </w:rPr>
        <w:t>供应商应</w:t>
      </w:r>
      <w:r>
        <w:rPr>
          <w:rFonts w:hint="eastAsia" w:ascii="仿宋" w:hAnsi="仿宋" w:eastAsia="仿宋" w:cs="仿宋"/>
          <w:sz w:val="24"/>
          <w:highlight w:val="none"/>
          <w:lang w:val="en-US" w:eastAsia="zh-CN"/>
        </w:rPr>
        <w:t>按包</w:t>
      </w:r>
      <w:r>
        <w:rPr>
          <w:rFonts w:hint="eastAsia" w:ascii="仿宋" w:hAnsi="仿宋" w:eastAsia="仿宋" w:cs="仿宋"/>
          <w:sz w:val="24"/>
          <w:highlight w:val="none"/>
        </w:rPr>
        <w:t>向采购代理机构交纳招标代理服务费。招标代理服务费的收取参见国家计委颁布的《招标代理服务收费管理暂行办法》（计价格[2002]1980号）和（发改办价格[2003]857号）收费标准，按照</w:t>
      </w:r>
      <w:r>
        <w:rPr>
          <w:rFonts w:hint="eastAsia" w:ascii="仿宋" w:hAnsi="仿宋" w:eastAsia="仿宋" w:cs="仿宋"/>
          <w:lang w:val="en-US" w:eastAsia="zh-CN"/>
        </w:rPr>
        <w:t>成交</w:t>
      </w:r>
      <w:r>
        <w:rPr>
          <w:rFonts w:hint="eastAsia" w:ascii="仿宋" w:hAnsi="仿宋" w:eastAsia="仿宋" w:cs="仿宋"/>
          <w:sz w:val="24"/>
          <w:highlight w:val="none"/>
        </w:rPr>
        <w:t>金额差额定率累进法计算收取（不足人民币</w:t>
      </w:r>
      <w:r>
        <w:rPr>
          <w:rFonts w:hint="eastAsia" w:ascii="仿宋" w:hAnsi="仿宋" w:eastAsia="仿宋" w:cs="仿宋"/>
          <w:sz w:val="24"/>
          <w:highlight w:val="none"/>
          <w:lang w:val="en-US" w:eastAsia="zh-CN"/>
        </w:rPr>
        <w:t>肆</w:t>
      </w:r>
      <w:r>
        <w:rPr>
          <w:rFonts w:hint="eastAsia" w:ascii="仿宋" w:hAnsi="仿宋" w:eastAsia="仿宋" w:cs="仿宋"/>
          <w:sz w:val="24"/>
          <w:highlight w:val="none"/>
        </w:rPr>
        <w:t>仟元按</w:t>
      </w:r>
      <w:r>
        <w:rPr>
          <w:rFonts w:hint="eastAsia" w:ascii="仿宋" w:hAnsi="仿宋" w:eastAsia="仿宋" w:cs="仿宋"/>
          <w:sz w:val="24"/>
          <w:highlight w:val="none"/>
          <w:lang w:val="en-US" w:eastAsia="zh-CN"/>
        </w:rPr>
        <w:t>肆</w:t>
      </w:r>
      <w:r>
        <w:rPr>
          <w:rFonts w:hint="eastAsia" w:ascii="仿宋" w:hAnsi="仿宋" w:eastAsia="仿宋" w:cs="仿宋"/>
          <w:sz w:val="24"/>
          <w:highlight w:val="none"/>
        </w:rPr>
        <w:t>仟元计取）。</w:t>
      </w:r>
      <w:r>
        <w:rPr>
          <w:rFonts w:hint="eastAsia" w:ascii="仿宋" w:hAnsi="仿宋" w:eastAsia="仿宋" w:cs="仿宋"/>
        </w:rPr>
        <w:t>在领取成交通知书时向采购代理机构一次性交纳。</w:t>
      </w:r>
    </w:p>
    <w:p w14:paraId="7CC57874">
      <w:pPr>
        <w:spacing w:line="360" w:lineRule="auto"/>
        <w:rPr>
          <w:rFonts w:hint="eastAsia" w:ascii="仿宋" w:hAnsi="仿宋" w:eastAsia="仿宋" w:cs="仿宋"/>
          <w:sz w:val="24"/>
        </w:rPr>
      </w:pPr>
    </w:p>
    <w:p w14:paraId="5F686304">
      <w:pPr>
        <w:rPr>
          <w:rFonts w:hint="eastAsia" w:ascii="仿宋" w:hAnsi="仿宋" w:eastAsia="仿宋" w:cs="仿宋"/>
        </w:rPr>
      </w:pPr>
    </w:p>
    <w:bookmarkEnd w:id="294"/>
    <w:bookmarkEnd w:id="295"/>
    <w:bookmarkEnd w:id="296"/>
    <w:bookmarkEnd w:id="297"/>
    <w:p w14:paraId="1BE21CC7">
      <w:pPr>
        <w:pStyle w:val="2"/>
        <w:adjustRightInd w:val="0"/>
        <w:snapToGrid w:val="0"/>
        <w:spacing w:before="0" w:after="0" w:line="360" w:lineRule="auto"/>
        <w:jc w:val="center"/>
        <w:rPr>
          <w:rFonts w:hint="eastAsia" w:ascii="仿宋" w:hAnsi="仿宋" w:eastAsia="仿宋" w:cs="仿宋"/>
          <w:sz w:val="24"/>
          <w:szCs w:val="24"/>
        </w:rPr>
      </w:pPr>
      <w:bookmarkStart w:id="298" w:name="_Toc246928930"/>
      <w:bookmarkStart w:id="299" w:name="_Toc25753"/>
      <w:bookmarkStart w:id="300" w:name="_Toc497546918"/>
      <w:bookmarkStart w:id="301" w:name="_Toc497712133"/>
      <w:bookmarkStart w:id="302" w:name="_Toc358725573"/>
      <w:bookmarkStart w:id="303" w:name="_Toc492955459"/>
      <w:bookmarkStart w:id="304" w:name="_Toc497711585"/>
      <w:bookmarkStart w:id="305" w:name="_Toc497551820"/>
      <w:bookmarkStart w:id="306" w:name="_Toc93800308"/>
      <w:bookmarkStart w:id="307" w:name="_Toc283240494"/>
      <w:r>
        <w:rPr>
          <w:rFonts w:hint="eastAsia" w:ascii="仿宋" w:hAnsi="仿宋" w:eastAsia="仿宋" w:cs="仿宋"/>
          <w:sz w:val="24"/>
          <w:szCs w:val="24"/>
        </w:rPr>
        <w:br w:type="page"/>
      </w:r>
      <w:bookmarkStart w:id="308" w:name="_Toc10497"/>
      <w:bookmarkStart w:id="309" w:name="_Toc7777"/>
      <w:bookmarkStart w:id="310" w:name="_Toc26521"/>
      <w:r>
        <w:rPr>
          <w:rFonts w:hint="eastAsia" w:ascii="仿宋" w:hAnsi="仿宋" w:eastAsia="仿宋" w:cs="仿宋"/>
          <w:sz w:val="32"/>
          <w:szCs w:val="32"/>
        </w:rPr>
        <w:t>第四部分</w:t>
      </w:r>
      <w:bookmarkEnd w:id="298"/>
      <w:bookmarkStart w:id="311" w:name="_Toc246928931"/>
      <w:r>
        <w:rPr>
          <w:rFonts w:hint="eastAsia" w:ascii="仿宋" w:hAnsi="仿宋" w:eastAsia="仿宋" w:cs="仿宋"/>
          <w:sz w:val="32"/>
          <w:szCs w:val="32"/>
        </w:rPr>
        <w:t xml:space="preserve">  合同</w:t>
      </w:r>
      <w:bookmarkEnd w:id="299"/>
      <w:bookmarkEnd w:id="300"/>
      <w:bookmarkEnd w:id="301"/>
      <w:bookmarkEnd w:id="302"/>
      <w:bookmarkEnd w:id="303"/>
      <w:bookmarkEnd w:id="304"/>
      <w:bookmarkEnd w:id="305"/>
      <w:bookmarkEnd w:id="306"/>
      <w:bookmarkEnd w:id="311"/>
      <w:r>
        <w:rPr>
          <w:rFonts w:hint="eastAsia" w:ascii="仿宋" w:hAnsi="仿宋" w:eastAsia="仿宋" w:cs="仿宋"/>
          <w:sz w:val="32"/>
          <w:szCs w:val="32"/>
        </w:rPr>
        <w:t>格式及主要条款</w:t>
      </w:r>
      <w:bookmarkEnd w:id="308"/>
      <w:bookmarkEnd w:id="309"/>
      <w:bookmarkEnd w:id="310"/>
    </w:p>
    <w:p w14:paraId="6D069883">
      <w:pPr>
        <w:tabs>
          <w:tab w:val="left" w:pos="600"/>
          <w:tab w:val="center" w:pos="5085"/>
          <w:tab w:val="right" w:leader="dot" w:pos="8505"/>
        </w:tabs>
        <w:spacing w:line="360" w:lineRule="exact"/>
        <w:ind w:left="480" w:leftChars="200"/>
        <w:jc w:val="center"/>
        <w:rPr>
          <w:rFonts w:hint="eastAsia" w:ascii="仿宋" w:hAnsi="仿宋" w:eastAsia="仿宋" w:cs="Arial"/>
          <w:b/>
          <w:bCs/>
          <w:color w:val="000000"/>
          <w:kern w:val="28"/>
          <w:sz w:val="36"/>
          <w:szCs w:val="36"/>
        </w:rPr>
      </w:pPr>
      <w:bookmarkStart w:id="312" w:name="_Toc13389"/>
      <w:bookmarkStart w:id="313" w:name="_Toc1219"/>
      <w:r>
        <w:rPr>
          <w:rFonts w:hint="eastAsia" w:ascii="仿宋" w:hAnsi="仿宋" w:eastAsia="仿宋" w:cs="Arial"/>
          <w:b/>
          <w:bCs/>
          <w:color w:val="000000"/>
          <w:kern w:val="28"/>
          <w:sz w:val="36"/>
          <w:szCs w:val="36"/>
        </w:rPr>
        <w:t>设备购销合同</w:t>
      </w:r>
    </w:p>
    <w:p w14:paraId="657955F7">
      <w:pPr>
        <w:tabs>
          <w:tab w:val="left" w:pos="600"/>
          <w:tab w:val="center" w:pos="5085"/>
          <w:tab w:val="right" w:leader="dot" w:pos="8505"/>
        </w:tabs>
        <w:spacing w:line="500" w:lineRule="exact"/>
        <w:ind w:left="480" w:leftChars="200"/>
        <w:jc w:val="left"/>
        <w:rPr>
          <w:rFonts w:hint="eastAsia" w:ascii="仿宋" w:hAnsi="仿宋" w:eastAsia="仿宋" w:cs="Arial"/>
          <w:b/>
          <w:bCs/>
          <w:color w:val="000000"/>
          <w:kern w:val="28"/>
          <w:sz w:val="24"/>
          <w:szCs w:val="24"/>
        </w:rPr>
      </w:pPr>
    </w:p>
    <w:p w14:paraId="6002B9BD">
      <w:pPr>
        <w:tabs>
          <w:tab w:val="left" w:pos="840"/>
        </w:tabs>
        <w:spacing w:line="500" w:lineRule="exact"/>
        <w:jc w:val="left"/>
        <w:rPr>
          <w:rFonts w:hint="eastAsia" w:ascii="仿宋" w:hAnsi="仿宋" w:eastAsia="仿宋" w:cs="仿宋"/>
          <w:b/>
          <w:bCs/>
          <w:color w:val="000000"/>
          <w:kern w:val="28"/>
          <w:sz w:val="24"/>
          <w:szCs w:val="24"/>
        </w:rPr>
      </w:pPr>
      <w:r>
        <w:rPr>
          <w:rFonts w:hint="eastAsia" w:ascii="仿宋" w:hAnsi="仿宋" w:eastAsia="仿宋" w:cs="仿宋"/>
          <w:b/>
          <w:bCs/>
          <w:color w:val="000000"/>
          <w:kern w:val="28"/>
          <w:sz w:val="24"/>
          <w:szCs w:val="24"/>
        </w:rPr>
        <w:t>需方(甲方)：西安医学院第一附属医院</w:t>
      </w:r>
    </w:p>
    <w:p w14:paraId="179C9558">
      <w:pPr>
        <w:tabs>
          <w:tab w:val="left" w:pos="840"/>
        </w:tabs>
        <w:spacing w:line="500" w:lineRule="exact"/>
        <w:jc w:val="left"/>
        <w:rPr>
          <w:rFonts w:hint="eastAsia" w:ascii="仿宋" w:hAnsi="仿宋" w:eastAsia="仿宋" w:cs="仿宋"/>
          <w:color w:val="000000"/>
          <w:kern w:val="28"/>
          <w:sz w:val="24"/>
          <w:szCs w:val="24"/>
        </w:rPr>
      </w:pPr>
      <w:r>
        <w:rPr>
          <w:rFonts w:hint="eastAsia" w:ascii="仿宋" w:hAnsi="仿宋" w:eastAsia="仿宋" w:cs="仿宋"/>
          <w:color w:val="000000"/>
          <w:kern w:val="28"/>
          <w:sz w:val="24"/>
          <w:szCs w:val="24"/>
        </w:rPr>
        <w:t>地      址：西安市莲湖区丰镐西路48号</w:t>
      </w:r>
    </w:p>
    <w:p w14:paraId="5FBE46BC">
      <w:pPr>
        <w:tabs>
          <w:tab w:val="left" w:pos="840"/>
        </w:tabs>
        <w:spacing w:line="500" w:lineRule="exact"/>
        <w:jc w:val="left"/>
        <w:rPr>
          <w:rFonts w:hint="eastAsia" w:ascii="仿宋" w:hAnsi="仿宋" w:eastAsia="仿宋" w:cs="仿宋"/>
          <w:color w:val="000000"/>
          <w:kern w:val="28"/>
          <w:sz w:val="24"/>
          <w:szCs w:val="24"/>
        </w:rPr>
      </w:pPr>
      <w:r>
        <w:rPr>
          <w:rFonts w:hint="eastAsia" w:ascii="仿宋" w:hAnsi="仿宋" w:eastAsia="仿宋" w:cs="仿宋"/>
          <w:color w:val="000000"/>
          <w:kern w:val="28"/>
          <w:sz w:val="24"/>
          <w:szCs w:val="24"/>
        </w:rPr>
        <w:t>电      话：029-84277733</w:t>
      </w:r>
    </w:p>
    <w:p w14:paraId="685A710D">
      <w:pPr>
        <w:tabs>
          <w:tab w:val="left" w:pos="840"/>
        </w:tabs>
        <w:spacing w:line="500" w:lineRule="exact"/>
        <w:jc w:val="left"/>
        <w:rPr>
          <w:rFonts w:hint="eastAsia" w:ascii="仿宋" w:hAnsi="仿宋" w:eastAsia="仿宋" w:cs="仿宋"/>
          <w:color w:val="000000"/>
          <w:kern w:val="28"/>
          <w:sz w:val="24"/>
          <w:szCs w:val="24"/>
        </w:rPr>
      </w:pPr>
      <w:r>
        <w:rPr>
          <w:rFonts w:hint="eastAsia" w:ascii="仿宋" w:hAnsi="仿宋" w:eastAsia="仿宋" w:cs="仿宋"/>
          <w:color w:val="000000"/>
          <w:kern w:val="28"/>
          <w:sz w:val="24"/>
          <w:szCs w:val="24"/>
        </w:rPr>
        <w:t>邮      编：710077</w:t>
      </w:r>
    </w:p>
    <w:p w14:paraId="3961D4B8">
      <w:pPr>
        <w:tabs>
          <w:tab w:val="left" w:pos="840"/>
        </w:tabs>
        <w:spacing w:line="500" w:lineRule="exact"/>
        <w:jc w:val="left"/>
        <w:rPr>
          <w:rFonts w:hint="eastAsia" w:ascii="仿宋" w:hAnsi="仿宋" w:eastAsia="仿宋" w:cs="仿宋"/>
          <w:color w:val="000000"/>
          <w:kern w:val="28"/>
          <w:sz w:val="24"/>
          <w:szCs w:val="24"/>
        </w:rPr>
      </w:pPr>
      <w:r>
        <w:rPr>
          <w:rFonts w:hint="eastAsia" w:ascii="仿宋" w:hAnsi="仿宋" w:eastAsia="仿宋" w:cs="仿宋"/>
          <w:b/>
          <w:bCs/>
          <w:color w:val="000000"/>
          <w:kern w:val="28"/>
          <w:sz w:val="24"/>
          <w:szCs w:val="24"/>
        </w:rPr>
        <w:t>供方(乙方)：</w:t>
      </w:r>
      <w:r>
        <w:rPr>
          <w:rFonts w:hint="eastAsia" w:ascii="仿宋" w:hAnsi="仿宋" w:eastAsia="仿宋" w:cs="仿宋"/>
          <w:color w:val="000000"/>
          <w:kern w:val="28"/>
          <w:sz w:val="24"/>
          <w:szCs w:val="24"/>
        </w:rPr>
        <w:t xml:space="preserve"> </w:t>
      </w:r>
    </w:p>
    <w:p w14:paraId="023EE69D">
      <w:pPr>
        <w:tabs>
          <w:tab w:val="left" w:pos="840"/>
        </w:tabs>
        <w:spacing w:line="500" w:lineRule="exact"/>
        <w:jc w:val="left"/>
        <w:rPr>
          <w:rFonts w:hint="eastAsia" w:ascii="仿宋" w:hAnsi="仿宋" w:eastAsia="仿宋" w:cs="仿宋"/>
          <w:color w:val="000000"/>
          <w:kern w:val="28"/>
          <w:sz w:val="24"/>
          <w:szCs w:val="24"/>
        </w:rPr>
      </w:pPr>
      <w:r>
        <w:rPr>
          <w:rFonts w:hint="eastAsia" w:ascii="仿宋" w:hAnsi="仿宋" w:eastAsia="仿宋" w:cs="仿宋"/>
          <w:color w:val="000000"/>
          <w:kern w:val="28"/>
          <w:sz w:val="24"/>
          <w:szCs w:val="24"/>
        </w:rPr>
        <w:t>地      址：</w:t>
      </w:r>
    </w:p>
    <w:p w14:paraId="531F190C">
      <w:pPr>
        <w:tabs>
          <w:tab w:val="left" w:pos="840"/>
        </w:tabs>
        <w:spacing w:line="500" w:lineRule="exact"/>
        <w:jc w:val="left"/>
        <w:rPr>
          <w:rFonts w:hint="eastAsia" w:ascii="仿宋" w:hAnsi="仿宋" w:eastAsia="仿宋" w:cs="仿宋"/>
          <w:color w:val="000000"/>
          <w:kern w:val="28"/>
          <w:sz w:val="24"/>
          <w:szCs w:val="24"/>
        </w:rPr>
      </w:pPr>
      <w:r>
        <w:rPr>
          <w:rFonts w:hint="eastAsia" w:ascii="仿宋" w:hAnsi="仿宋" w:eastAsia="仿宋" w:cs="仿宋"/>
          <w:color w:val="000000"/>
          <w:kern w:val="28"/>
          <w:sz w:val="24"/>
          <w:szCs w:val="24"/>
        </w:rPr>
        <w:t>电      话：</w:t>
      </w:r>
    </w:p>
    <w:p w14:paraId="0E414F10">
      <w:pPr>
        <w:tabs>
          <w:tab w:val="left" w:pos="840"/>
        </w:tabs>
        <w:spacing w:line="500" w:lineRule="exact"/>
        <w:jc w:val="left"/>
        <w:rPr>
          <w:rFonts w:hint="eastAsia" w:ascii="仿宋" w:hAnsi="仿宋" w:eastAsia="仿宋" w:cs="仿宋"/>
          <w:color w:val="000000"/>
          <w:kern w:val="28"/>
          <w:sz w:val="24"/>
          <w:szCs w:val="24"/>
        </w:rPr>
      </w:pPr>
      <w:r>
        <w:rPr>
          <w:rFonts w:hint="eastAsia" w:ascii="仿宋" w:hAnsi="仿宋" w:eastAsia="仿宋" w:cs="仿宋"/>
          <w:color w:val="000000"/>
          <w:kern w:val="28"/>
          <w:sz w:val="24"/>
          <w:szCs w:val="24"/>
        </w:rPr>
        <w:t>邮      编：</w:t>
      </w:r>
    </w:p>
    <w:p w14:paraId="5FAD1BBF">
      <w:pPr>
        <w:tabs>
          <w:tab w:val="left" w:pos="840"/>
        </w:tabs>
        <w:spacing w:line="500" w:lineRule="exact"/>
        <w:jc w:val="left"/>
        <w:rPr>
          <w:rFonts w:hint="eastAsia" w:ascii="仿宋" w:hAnsi="仿宋" w:eastAsia="仿宋" w:cs="仿宋"/>
          <w:color w:val="000000"/>
          <w:kern w:val="28"/>
          <w:sz w:val="24"/>
          <w:szCs w:val="24"/>
        </w:rPr>
      </w:pPr>
      <w:r>
        <w:rPr>
          <w:rFonts w:hint="eastAsia" w:ascii="仿宋" w:hAnsi="仿宋" w:eastAsia="仿宋" w:cs="仿宋"/>
          <w:color w:val="000000"/>
          <w:kern w:val="28"/>
          <w:sz w:val="24"/>
          <w:szCs w:val="24"/>
        </w:rPr>
        <w:t>联  系  人：            联系人手机：</w:t>
      </w:r>
    </w:p>
    <w:p w14:paraId="460012DB">
      <w:pPr>
        <w:tabs>
          <w:tab w:val="left" w:pos="840"/>
        </w:tabs>
        <w:spacing w:line="500" w:lineRule="exact"/>
        <w:jc w:val="left"/>
        <w:rPr>
          <w:rFonts w:hint="eastAsia" w:ascii="仿宋" w:hAnsi="仿宋" w:eastAsia="仿宋" w:cs="仿宋"/>
          <w:b/>
          <w:bCs/>
          <w:color w:val="000000"/>
          <w:kern w:val="28"/>
          <w:sz w:val="24"/>
          <w:szCs w:val="24"/>
        </w:rPr>
      </w:pPr>
      <w:r>
        <w:rPr>
          <w:rFonts w:hint="eastAsia" w:ascii="仿宋" w:hAnsi="仿宋" w:eastAsia="仿宋" w:cs="仿宋"/>
          <w:color w:val="000000"/>
          <w:kern w:val="28"/>
          <w:sz w:val="24"/>
          <w:szCs w:val="24"/>
        </w:rPr>
        <w:t xml:space="preserve"> </w:t>
      </w:r>
      <w:r>
        <w:rPr>
          <w:rFonts w:hint="eastAsia" w:ascii="仿宋" w:hAnsi="仿宋" w:eastAsia="仿宋" w:cs="仿宋"/>
          <w:b/>
          <w:bCs/>
          <w:color w:val="000000"/>
          <w:kern w:val="28"/>
          <w:sz w:val="24"/>
          <w:szCs w:val="24"/>
        </w:rPr>
        <w:t>签约地点：西安市莲湖区</w:t>
      </w:r>
    </w:p>
    <w:p w14:paraId="70423CE8">
      <w:pPr>
        <w:pStyle w:val="35"/>
        <w:spacing w:line="500" w:lineRule="exact"/>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根据《中华人民共和国民法典》的规定和</w:t>
      </w:r>
      <w:r>
        <w:rPr>
          <w:rFonts w:hint="eastAsia" w:ascii="仿宋" w:hAnsi="仿宋" w:eastAsia="仿宋" w:cs="仿宋"/>
          <w:kern w:val="28"/>
          <w:sz w:val="24"/>
          <w:szCs w:val="24"/>
        </w:rPr>
        <w:t>西安医学院第一附属医院</w:t>
      </w:r>
      <w:r>
        <w:rPr>
          <w:rFonts w:hint="eastAsia" w:ascii="仿宋" w:hAnsi="仿宋" w:eastAsia="仿宋" w:cs="仿宋"/>
          <w:sz w:val="24"/>
          <w:szCs w:val="24"/>
        </w:rPr>
        <w:t>需求，本着平等互利、协商一致的原则，经甲乙双方友好协商，特订立本合同，共同遵守。</w:t>
      </w:r>
      <w:bookmarkStart w:id="314" w:name="_Toc43101394"/>
    </w:p>
    <w:p w14:paraId="3678B4B3">
      <w:pPr>
        <w:pStyle w:val="35"/>
        <w:numPr>
          <w:ilvl w:val="0"/>
          <w:numId w:val="4"/>
        </w:numPr>
        <w:spacing w:line="500" w:lineRule="exact"/>
        <w:ind w:leftChars="0" w:firstLineChars="0"/>
        <w:rPr>
          <w:rFonts w:hint="eastAsia" w:ascii="仿宋" w:hAnsi="仿宋" w:eastAsia="仿宋" w:cs="仿宋"/>
          <w:b/>
          <w:bCs/>
          <w:sz w:val="24"/>
          <w:szCs w:val="24"/>
        </w:rPr>
      </w:pPr>
      <w:r>
        <w:rPr>
          <w:rFonts w:hint="eastAsia" w:ascii="仿宋" w:hAnsi="仿宋" w:eastAsia="仿宋" w:cs="仿宋"/>
          <w:b/>
          <w:bCs/>
          <w:sz w:val="24"/>
          <w:szCs w:val="24"/>
        </w:rPr>
        <w:t>设备名称、规格型号、制造厂商、数量、价款</w:t>
      </w:r>
    </w:p>
    <w:tbl>
      <w:tblPr>
        <w:tblStyle w:val="47"/>
        <w:tblW w:w="0" w:type="auto"/>
        <w:tblInd w:w="-1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1896"/>
        <w:gridCol w:w="1176"/>
        <w:gridCol w:w="1896"/>
        <w:gridCol w:w="696"/>
        <w:gridCol w:w="696"/>
        <w:gridCol w:w="696"/>
        <w:gridCol w:w="696"/>
      </w:tblGrid>
      <w:tr w14:paraId="012DB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54A2671A">
            <w:pPr>
              <w:pStyle w:val="35"/>
              <w:keepNext w:val="0"/>
              <w:keepLines w:val="0"/>
              <w:suppressLineNumbers w:val="0"/>
              <w:spacing w:before="0" w:beforeAutospacing="0" w:after="0" w:afterAutospacing="0" w:line="500" w:lineRule="exact"/>
              <w:ind w:left="0" w:leftChars="0" w:right="0" w:firstLine="0" w:firstLineChars="0"/>
              <w:jc w:val="center"/>
              <w:rPr>
                <w:rFonts w:hint="eastAsia" w:ascii="仿宋" w:hAnsi="仿宋" w:eastAsia="仿宋" w:cs="仿宋"/>
                <w:sz w:val="24"/>
                <w:szCs w:val="24"/>
              </w:rPr>
            </w:pPr>
            <w:r>
              <w:rPr>
                <w:rFonts w:hint="eastAsia" w:ascii="仿宋" w:hAnsi="仿宋" w:eastAsia="仿宋" w:cs="仿宋"/>
                <w:sz w:val="24"/>
                <w:szCs w:val="24"/>
              </w:rPr>
              <w:t>设备名称</w:t>
            </w:r>
          </w:p>
        </w:tc>
        <w:tc>
          <w:tcPr>
            <w:tcW w:w="0" w:type="auto"/>
            <w:noWrap w:val="0"/>
            <w:vAlign w:val="center"/>
          </w:tcPr>
          <w:p w14:paraId="35C6F5F7">
            <w:pPr>
              <w:pStyle w:val="35"/>
              <w:keepNext w:val="0"/>
              <w:keepLines w:val="0"/>
              <w:suppressLineNumbers w:val="0"/>
              <w:spacing w:before="0" w:beforeAutospacing="0" w:after="0" w:afterAutospacing="0" w:line="500" w:lineRule="exact"/>
              <w:ind w:left="0" w:leftChars="0" w:right="0" w:firstLine="0" w:firstLineChars="0"/>
              <w:jc w:val="center"/>
              <w:rPr>
                <w:rFonts w:hint="eastAsia" w:ascii="仿宋" w:hAnsi="仿宋" w:eastAsia="仿宋" w:cs="仿宋"/>
                <w:sz w:val="24"/>
                <w:szCs w:val="24"/>
              </w:rPr>
            </w:pPr>
            <w:r>
              <w:rPr>
                <w:rFonts w:hint="eastAsia" w:ascii="仿宋" w:hAnsi="仿宋" w:eastAsia="仿宋" w:cs="仿宋"/>
                <w:sz w:val="24"/>
                <w:szCs w:val="24"/>
              </w:rPr>
              <w:t>品牌及规格型号</w:t>
            </w:r>
          </w:p>
        </w:tc>
        <w:tc>
          <w:tcPr>
            <w:tcW w:w="0" w:type="auto"/>
            <w:noWrap w:val="0"/>
            <w:vAlign w:val="center"/>
          </w:tcPr>
          <w:p w14:paraId="19B1708A">
            <w:pPr>
              <w:pStyle w:val="35"/>
              <w:keepNext w:val="0"/>
              <w:keepLines w:val="0"/>
              <w:suppressLineNumbers w:val="0"/>
              <w:spacing w:before="0" w:beforeAutospacing="0" w:after="0" w:afterAutospacing="0" w:line="500" w:lineRule="exact"/>
              <w:ind w:left="0" w:leftChars="0" w:right="0" w:firstLine="0" w:firstLineChars="0"/>
              <w:jc w:val="center"/>
              <w:rPr>
                <w:rFonts w:hint="eastAsia" w:ascii="仿宋" w:hAnsi="仿宋" w:eastAsia="仿宋" w:cs="仿宋"/>
                <w:sz w:val="24"/>
                <w:szCs w:val="24"/>
              </w:rPr>
            </w:pPr>
            <w:r>
              <w:rPr>
                <w:rFonts w:hint="eastAsia" w:ascii="仿宋" w:hAnsi="仿宋" w:eastAsia="仿宋" w:cs="仿宋"/>
                <w:sz w:val="24"/>
                <w:szCs w:val="24"/>
              </w:rPr>
              <w:t>注册证号</w:t>
            </w:r>
          </w:p>
        </w:tc>
        <w:tc>
          <w:tcPr>
            <w:tcW w:w="0" w:type="auto"/>
            <w:noWrap w:val="0"/>
            <w:vAlign w:val="center"/>
          </w:tcPr>
          <w:p w14:paraId="2B7B5489">
            <w:pPr>
              <w:pStyle w:val="35"/>
              <w:keepNext w:val="0"/>
              <w:keepLines w:val="0"/>
              <w:suppressLineNumbers w:val="0"/>
              <w:spacing w:before="0" w:beforeAutospacing="0" w:after="0" w:afterAutospacing="0" w:line="500" w:lineRule="exact"/>
              <w:ind w:left="0" w:leftChars="0" w:right="0" w:firstLine="0" w:firstLineChars="0"/>
              <w:jc w:val="center"/>
              <w:rPr>
                <w:rFonts w:hint="eastAsia" w:ascii="仿宋" w:hAnsi="仿宋" w:eastAsia="仿宋" w:cs="仿宋"/>
                <w:sz w:val="24"/>
                <w:szCs w:val="24"/>
              </w:rPr>
            </w:pPr>
            <w:r>
              <w:rPr>
                <w:rFonts w:hint="eastAsia" w:ascii="仿宋" w:hAnsi="仿宋" w:eastAsia="仿宋" w:cs="仿宋"/>
                <w:sz w:val="24"/>
                <w:szCs w:val="24"/>
              </w:rPr>
              <w:t>制造厂商及产地</w:t>
            </w:r>
          </w:p>
        </w:tc>
        <w:tc>
          <w:tcPr>
            <w:tcW w:w="0" w:type="auto"/>
            <w:noWrap w:val="0"/>
            <w:vAlign w:val="center"/>
          </w:tcPr>
          <w:p w14:paraId="268E9676">
            <w:pPr>
              <w:pStyle w:val="35"/>
              <w:keepNext w:val="0"/>
              <w:keepLines w:val="0"/>
              <w:suppressLineNumbers w:val="0"/>
              <w:spacing w:before="0" w:beforeAutospacing="0" w:after="0" w:afterAutospacing="0" w:line="500" w:lineRule="exact"/>
              <w:ind w:left="0" w:leftChars="0" w:right="0" w:firstLine="0" w:firstLineChars="0"/>
              <w:jc w:val="center"/>
              <w:rPr>
                <w:rFonts w:hint="eastAsia" w:ascii="仿宋" w:hAnsi="仿宋" w:eastAsia="仿宋" w:cs="仿宋"/>
                <w:sz w:val="24"/>
                <w:szCs w:val="24"/>
              </w:rPr>
            </w:pPr>
            <w:r>
              <w:rPr>
                <w:rFonts w:hint="eastAsia" w:ascii="仿宋" w:hAnsi="仿宋" w:eastAsia="仿宋" w:cs="仿宋"/>
                <w:sz w:val="24"/>
                <w:szCs w:val="24"/>
              </w:rPr>
              <w:t>数量</w:t>
            </w:r>
          </w:p>
        </w:tc>
        <w:tc>
          <w:tcPr>
            <w:tcW w:w="0" w:type="auto"/>
            <w:noWrap w:val="0"/>
            <w:vAlign w:val="center"/>
          </w:tcPr>
          <w:p w14:paraId="721EFDFE">
            <w:pPr>
              <w:pStyle w:val="35"/>
              <w:keepNext w:val="0"/>
              <w:keepLines w:val="0"/>
              <w:suppressLineNumbers w:val="0"/>
              <w:spacing w:before="0" w:beforeAutospacing="0" w:after="0" w:afterAutospacing="0" w:line="500" w:lineRule="exact"/>
              <w:ind w:left="0" w:leftChars="0" w:right="0" w:firstLine="0" w:firstLineChars="0"/>
              <w:jc w:val="center"/>
              <w:rPr>
                <w:rFonts w:hint="eastAsia" w:ascii="仿宋" w:hAnsi="仿宋" w:eastAsia="仿宋" w:cs="仿宋"/>
                <w:sz w:val="24"/>
                <w:szCs w:val="24"/>
              </w:rPr>
            </w:pPr>
            <w:r>
              <w:rPr>
                <w:rFonts w:hint="eastAsia" w:ascii="仿宋" w:hAnsi="仿宋" w:eastAsia="仿宋" w:cs="仿宋"/>
                <w:sz w:val="24"/>
                <w:szCs w:val="24"/>
              </w:rPr>
              <w:t>单位</w:t>
            </w:r>
          </w:p>
        </w:tc>
        <w:tc>
          <w:tcPr>
            <w:tcW w:w="0" w:type="auto"/>
            <w:noWrap w:val="0"/>
            <w:vAlign w:val="center"/>
          </w:tcPr>
          <w:p w14:paraId="22548FF7">
            <w:pPr>
              <w:pStyle w:val="35"/>
              <w:keepNext w:val="0"/>
              <w:keepLines w:val="0"/>
              <w:suppressLineNumbers w:val="0"/>
              <w:spacing w:before="0" w:beforeAutospacing="0" w:after="0" w:afterAutospacing="0" w:line="500" w:lineRule="exact"/>
              <w:ind w:left="0" w:leftChars="0" w:right="0" w:firstLine="0" w:firstLineChars="0"/>
              <w:jc w:val="center"/>
              <w:rPr>
                <w:rFonts w:hint="eastAsia" w:ascii="仿宋" w:hAnsi="仿宋" w:eastAsia="仿宋" w:cs="仿宋"/>
                <w:sz w:val="24"/>
                <w:szCs w:val="24"/>
              </w:rPr>
            </w:pPr>
            <w:r>
              <w:rPr>
                <w:rFonts w:hint="eastAsia" w:ascii="仿宋" w:hAnsi="仿宋" w:eastAsia="仿宋" w:cs="仿宋"/>
                <w:sz w:val="24"/>
                <w:szCs w:val="24"/>
              </w:rPr>
              <w:t>单价</w:t>
            </w:r>
          </w:p>
        </w:tc>
        <w:tc>
          <w:tcPr>
            <w:tcW w:w="0" w:type="auto"/>
            <w:noWrap w:val="0"/>
            <w:vAlign w:val="center"/>
          </w:tcPr>
          <w:p w14:paraId="5FCAE340">
            <w:pPr>
              <w:pStyle w:val="35"/>
              <w:keepNext w:val="0"/>
              <w:keepLines w:val="0"/>
              <w:suppressLineNumbers w:val="0"/>
              <w:spacing w:before="0" w:beforeAutospacing="0" w:after="0" w:afterAutospacing="0" w:line="500" w:lineRule="exact"/>
              <w:ind w:left="0" w:leftChars="0" w:right="0" w:firstLine="0" w:firstLineChars="0"/>
              <w:jc w:val="center"/>
              <w:rPr>
                <w:rFonts w:hint="eastAsia" w:ascii="仿宋" w:hAnsi="仿宋" w:eastAsia="仿宋" w:cs="仿宋"/>
                <w:sz w:val="24"/>
                <w:szCs w:val="24"/>
              </w:rPr>
            </w:pPr>
            <w:r>
              <w:rPr>
                <w:rFonts w:hint="eastAsia" w:ascii="仿宋" w:hAnsi="仿宋" w:eastAsia="仿宋" w:cs="仿宋"/>
                <w:sz w:val="24"/>
                <w:szCs w:val="24"/>
              </w:rPr>
              <w:t>小计</w:t>
            </w:r>
          </w:p>
        </w:tc>
      </w:tr>
      <w:tr w14:paraId="7FFB3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trPr>
        <w:tc>
          <w:tcPr>
            <w:tcW w:w="0" w:type="auto"/>
            <w:noWrap w:val="0"/>
            <w:vAlign w:val="center"/>
          </w:tcPr>
          <w:p w14:paraId="76FB14BF">
            <w:pPr>
              <w:pStyle w:val="35"/>
              <w:keepNext w:val="0"/>
              <w:keepLines w:val="0"/>
              <w:suppressLineNumbers w:val="0"/>
              <w:spacing w:before="0" w:beforeAutospacing="0" w:after="0" w:afterAutospacing="0" w:line="500" w:lineRule="exact"/>
              <w:ind w:left="0" w:leftChars="0" w:right="0" w:firstLine="0" w:firstLineChars="0"/>
              <w:jc w:val="center"/>
              <w:rPr>
                <w:rFonts w:hint="eastAsia" w:ascii="仿宋" w:hAnsi="仿宋" w:eastAsia="仿宋" w:cs="仿宋"/>
                <w:sz w:val="24"/>
                <w:szCs w:val="24"/>
              </w:rPr>
            </w:pPr>
          </w:p>
        </w:tc>
        <w:tc>
          <w:tcPr>
            <w:tcW w:w="0" w:type="auto"/>
            <w:noWrap w:val="0"/>
            <w:vAlign w:val="center"/>
          </w:tcPr>
          <w:p w14:paraId="6EEEBF05">
            <w:pPr>
              <w:pStyle w:val="35"/>
              <w:keepNext w:val="0"/>
              <w:keepLines w:val="0"/>
              <w:suppressLineNumbers w:val="0"/>
              <w:spacing w:before="0" w:beforeAutospacing="0" w:after="0" w:afterAutospacing="0" w:line="500" w:lineRule="exact"/>
              <w:ind w:left="0" w:leftChars="0" w:right="0" w:firstLine="0" w:firstLineChars="0"/>
              <w:jc w:val="center"/>
              <w:rPr>
                <w:rFonts w:hint="eastAsia" w:ascii="仿宋" w:hAnsi="仿宋" w:eastAsia="仿宋" w:cs="仿宋"/>
                <w:sz w:val="24"/>
                <w:szCs w:val="24"/>
              </w:rPr>
            </w:pPr>
          </w:p>
        </w:tc>
        <w:tc>
          <w:tcPr>
            <w:tcW w:w="0" w:type="auto"/>
            <w:noWrap w:val="0"/>
            <w:vAlign w:val="center"/>
          </w:tcPr>
          <w:p w14:paraId="447810FF">
            <w:pPr>
              <w:pStyle w:val="35"/>
              <w:keepNext w:val="0"/>
              <w:keepLines w:val="0"/>
              <w:suppressLineNumbers w:val="0"/>
              <w:spacing w:before="0" w:beforeAutospacing="0" w:after="0" w:afterAutospacing="0" w:line="500" w:lineRule="exact"/>
              <w:ind w:left="0" w:leftChars="0" w:right="0" w:firstLine="0" w:firstLineChars="0"/>
              <w:jc w:val="center"/>
              <w:rPr>
                <w:rFonts w:hint="eastAsia" w:ascii="仿宋" w:hAnsi="仿宋" w:eastAsia="仿宋" w:cs="仿宋"/>
                <w:sz w:val="24"/>
                <w:szCs w:val="24"/>
              </w:rPr>
            </w:pPr>
          </w:p>
        </w:tc>
        <w:tc>
          <w:tcPr>
            <w:tcW w:w="0" w:type="auto"/>
            <w:noWrap w:val="0"/>
            <w:vAlign w:val="center"/>
          </w:tcPr>
          <w:p w14:paraId="5C62D275">
            <w:pPr>
              <w:pStyle w:val="35"/>
              <w:keepNext w:val="0"/>
              <w:keepLines w:val="0"/>
              <w:suppressLineNumbers w:val="0"/>
              <w:spacing w:before="0" w:beforeAutospacing="0" w:after="0" w:afterAutospacing="0" w:line="240" w:lineRule="auto"/>
              <w:ind w:left="0" w:leftChars="0" w:right="0" w:firstLine="0" w:firstLineChars="0"/>
              <w:jc w:val="center"/>
              <w:rPr>
                <w:rFonts w:hint="eastAsia" w:ascii="仿宋" w:hAnsi="仿宋" w:eastAsia="仿宋" w:cs="仿宋"/>
                <w:sz w:val="24"/>
                <w:szCs w:val="24"/>
              </w:rPr>
            </w:pPr>
          </w:p>
        </w:tc>
        <w:tc>
          <w:tcPr>
            <w:tcW w:w="0" w:type="auto"/>
            <w:noWrap w:val="0"/>
            <w:vAlign w:val="center"/>
          </w:tcPr>
          <w:p w14:paraId="4A0C6E64">
            <w:pPr>
              <w:pStyle w:val="35"/>
              <w:keepNext w:val="0"/>
              <w:keepLines w:val="0"/>
              <w:suppressLineNumbers w:val="0"/>
              <w:spacing w:before="0" w:beforeAutospacing="0" w:after="0" w:afterAutospacing="0" w:line="500" w:lineRule="exact"/>
              <w:ind w:left="0" w:leftChars="0" w:right="0" w:firstLine="0" w:firstLineChars="0"/>
              <w:jc w:val="center"/>
              <w:rPr>
                <w:rFonts w:hint="eastAsia" w:ascii="仿宋" w:hAnsi="仿宋" w:eastAsia="仿宋" w:cs="仿宋"/>
                <w:sz w:val="24"/>
                <w:szCs w:val="24"/>
              </w:rPr>
            </w:pPr>
          </w:p>
        </w:tc>
        <w:tc>
          <w:tcPr>
            <w:tcW w:w="0" w:type="auto"/>
            <w:noWrap w:val="0"/>
            <w:vAlign w:val="center"/>
          </w:tcPr>
          <w:p w14:paraId="6C621E72">
            <w:pPr>
              <w:pStyle w:val="35"/>
              <w:keepNext w:val="0"/>
              <w:keepLines w:val="0"/>
              <w:suppressLineNumbers w:val="0"/>
              <w:spacing w:before="0" w:beforeAutospacing="0" w:after="0" w:afterAutospacing="0" w:line="500" w:lineRule="exact"/>
              <w:ind w:left="0" w:leftChars="0" w:right="0" w:firstLine="0" w:firstLineChars="0"/>
              <w:jc w:val="center"/>
              <w:rPr>
                <w:rFonts w:hint="eastAsia" w:ascii="仿宋" w:hAnsi="仿宋" w:eastAsia="仿宋" w:cs="仿宋"/>
                <w:sz w:val="24"/>
                <w:szCs w:val="24"/>
              </w:rPr>
            </w:pPr>
          </w:p>
        </w:tc>
        <w:tc>
          <w:tcPr>
            <w:tcW w:w="0" w:type="auto"/>
            <w:noWrap w:val="0"/>
            <w:vAlign w:val="center"/>
          </w:tcPr>
          <w:p w14:paraId="7239AD83">
            <w:pPr>
              <w:pStyle w:val="35"/>
              <w:keepNext w:val="0"/>
              <w:keepLines w:val="0"/>
              <w:suppressLineNumbers w:val="0"/>
              <w:spacing w:before="0" w:beforeAutospacing="0" w:after="0" w:afterAutospacing="0" w:line="500" w:lineRule="exact"/>
              <w:ind w:left="0" w:leftChars="0" w:right="0" w:firstLine="0" w:firstLineChars="0"/>
              <w:jc w:val="center"/>
              <w:rPr>
                <w:rFonts w:hint="eastAsia" w:ascii="仿宋" w:hAnsi="仿宋" w:eastAsia="仿宋" w:cs="仿宋"/>
                <w:sz w:val="24"/>
                <w:szCs w:val="24"/>
              </w:rPr>
            </w:pPr>
          </w:p>
        </w:tc>
        <w:tc>
          <w:tcPr>
            <w:tcW w:w="0" w:type="auto"/>
            <w:noWrap w:val="0"/>
            <w:vAlign w:val="center"/>
          </w:tcPr>
          <w:p w14:paraId="0449F0FD">
            <w:pPr>
              <w:pStyle w:val="35"/>
              <w:keepNext w:val="0"/>
              <w:keepLines w:val="0"/>
              <w:suppressLineNumbers w:val="0"/>
              <w:spacing w:before="0" w:beforeAutospacing="0" w:after="0" w:afterAutospacing="0" w:line="500" w:lineRule="exact"/>
              <w:ind w:left="0" w:leftChars="0" w:right="0" w:firstLine="0" w:firstLineChars="0"/>
              <w:jc w:val="center"/>
              <w:rPr>
                <w:rFonts w:hint="eastAsia" w:ascii="仿宋" w:hAnsi="仿宋" w:eastAsia="仿宋" w:cs="仿宋"/>
                <w:sz w:val="24"/>
                <w:szCs w:val="24"/>
              </w:rPr>
            </w:pPr>
          </w:p>
        </w:tc>
      </w:tr>
      <w:tr w14:paraId="05703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restart"/>
            <w:noWrap w:val="0"/>
            <w:vAlign w:val="center"/>
          </w:tcPr>
          <w:p w14:paraId="041C7787">
            <w:pPr>
              <w:pStyle w:val="35"/>
              <w:keepNext w:val="0"/>
              <w:keepLines w:val="0"/>
              <w:suppressLineNumbers w:val="0"/>
              <w:spacing w:before="0" w:beforeAutospacing="0" w:after="0" w:afterAutospacing="0" w:line="500" w:lineRule="exact"/>
              <w:ind w:left="0" w:leftChars="0" w:right="0" w:firstLine="0" w:firstLineChars="0"/>
              <w:jc w:val="center"/>
              <w:rPr>
                <w:rFonts w:hint="eastAsia" w:ascii="仿宋" w:hAnsi="仿宋" w:eastAsia="仿宋" w:cs="仿宋"/>
                <w:sz w:val="24"/>
                <w:szCs w:val="24"/>
              </w:rPr>
            </w:pPr>
            <w:r>
              <w:rPr>
                <w:rFonts w:hint="eastAsia" w:ascii="仿宋" w:hAnsi="仿宋" w:eastAsia="仿宋" w:cs="仿宋"/>
                <w:sz w:val="24"/>
                <w:szCs w:val="24"/>
              </w:rPr>
              <w:t>总价</w:t>
            </w:r>
          </w:p>
        </w:tc>
        <w:tc>
          <w:tcPr>
            <w:tcW w:w="0" w:type="auto"/>
            <w:gridSpan w:val="7"/>
            <w:noWrap w:val="0"/>
            <w:vAlign w:val="top"/>
          </w:tcPr>
          <w:p w14:paraId="3F550BE0">
            <w:pPr>
              <w:pStyle w:val="35"/>
              <w:keepNext w:val="0"/>
              <w:keepLines w:val="0"/>
              <w:suppressLineNumbers w:val="0"/>
              <w:spacing w:before="0" w:beforeAutospacing="0" w:after="0" w:afterAutospacing="0" w:line="500" w:lineRule="exact"/>
              <w:ind w:left="0" w:leftChars="0" w:right="0" w:firstLine="0" w:firstLineChars="0"/>
              <w:rPr>
                <w:rFonts w:hint="eastAsia" w:ascii="仿宋" w:hAnsi="仿宋" w:eastAsia="仿宋" w:cs="仿宋"/>
                <w:sz w:val="24"/>
                <w:szCs w:val="24"/>
                <w:u w:val="single"/>
              </w:rPr>
            </w:pPr>
            <w:r>
              <w:rPr>
                <w:rFonts w:hint="eastAsia" w:ascii="仿宋" w:hAnsi="仿宋" w:eastAsia="仿宋" w:cs="仿宋"/>
                <w:sz w:val="24"/>
                <w:szCs w:val="24"/>
              </w:rPr>
              <w:t>（小写）</w:t>
            </w:r>
            <w:r>
              <w:rPr>
                <w:rFonts w:hint="eastAsia" w:ascii="仿宋" w:hAnsi="仿宋" w:eastAsia="仿宋" w:cs="仿宋"/>
                <w:sz w:val="24"/>
                <w:szCs w:val="24"/>
                <w:u w:val="single"/>
              </w:rPr>
              <w:t>￥        元</w:t>
            </w:r>
          </w:p>
        </w:tc>
      </w:tr>
      <w:tr w14:paraId="0C259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noWrap w:val="0"/>
            <w:vAlign w:val="top"/>
          </w:tcPr>
          <w:p w14:paraId="57CA1BC0">
            <w:pPr>
              <w:pStyle w:val="35"/>
              <w:keepNext w:val="0"/>
              <w:keepLines w:val="0"/>
              <w:suppressLineNumbers w:val="0"/>
              <w:spacing w:before="0" w:beforeAutospacing="0" w:after="0" w:afterAutospacing="0" w:line="500" w:lineRule="exact"/>
              <w:ind w:left="0" w:leftChars="0" w:right="0" w:firstLine="0" w:firstLineChars="0"/>
              <w:rPr>
                <w:rFonts w:hint="eastAsia" w:ascii="仿宋" w:hAnsi="仿宋" w:eastAsia="仿宋" w:cs="仿宋"/>
                <w:sz w:val="24"/>
                <w:szCs w:val="24"/>
              </w:rPr>
            </w:pPr>
          </w:p>
        </w:tc>
        <w:tc>
          <w:tcPr>
            <w:tcW w:w="0" w:type="auto"/>
            <w:gridSpan w:val="7"/>
            <w:noWrap w:val="0"/>
            <w:vAlign w:val="top"/>
          </w:tcPr>
          <w:p w14:paraId="2B8CFDA5">
            <w:pPr>
              <w:pStyle w:val="35"/>
              <w:keepNext w:val="0"/>
              <w:keepLines w:val="0"/>
              <w:suppressLineNumbers w:val="0"/>
              <w:spacing w:before="0" w:beforeAutospacing="0" w:after="0" w:afterAutospacing="0" w:line="500" w:lineRule="exact"/>
              <w:ind w:left="0" w:leftChars="0" w:right="0" w:firstLine="0" w:firstLineChars="0"/>
              <w:rPr>
                <w:rFonts w:hint="eastAsia" w:ascii="仿宋" w:hAnsi="仿宋" w:eastAsia="仿宋" w:cs="仿宋"/>
                <w:b/>
                <w:bCs/>
                <w:sz w:val="24"/>
                <w:szCs w:val="24"/>
                <w:u w:val="single"/>
              </w:rPr>
            </w:pPr>
            <w:r>
              <w:rPr>
                <w:rFonts w:hint="eastAsia" w:ascii="仿宋" w:hAnsi="仿宋" w:eastAsia="仿宋" w:cs="仿宋"/>
                <w:b/>
                <w:bCs/>
                <w:sz w:val="24"/>
                <w:szCs w:val="24"/>
              </w:rPr>
              <w:t>（大写）</w:t>
            </w:r>
            <w:r>
              <w:rPr>
                <w:rFonts w:hint="eastAsia" w:ascii="仿宋" w:hAnsi="仿宋" w:eastAsia="仿宋" w:cs="仿宋"/>
                <w:b/>
                <w:bCs/>
                <w:sz w:val="24"/>
                <w:szCs w:val="24"/>
                <w:u w:val="single"/>
              </w:rPr>
              <w:t>人民币          元整</w:t>
            </w:r>
          </w:p>
        </w:tc>
      </w:tr>
    </w:tbl>
    <w:p w14:paraId="14132988">
      <w:pPr>
        <w:pStyle w:val="35"/>
        <w:spacing w:line="500" w:lineRule="exact"/>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说明：1、本合同价格为最终结算价格，包括安装、</w:t>
      </w:r>
      <w:r>
        <w:rPr>
          <w:rFonts w:hint="eastAsia" w:ascii="仿宋" w:hAnsi="仿宋" w:eastAsia="仿宋" w:cs="仿宋"/>
          <w:color w:val="auto"/>
          <w:sz w:val="24"/>
          <w:szCs w:val="24"/>
        </w:rPr>
        <w:t>调试正常运行、验</w:t>
      </w:r>
      <w:r>
        <w:rPr>
          <w:rFonts w:hint="eastAsia" w:ascii="仿宋" w:hAnsi="仿宋" w:eastAsia="仿宋" w:cs="仿宋"/>
          <w:sz w:val="24"/>
          <w:szCs w:val="24"/>
        </w:rPr>
        <w:t>收合格后的价格（含保修费、零备件和运杂费、保险费、安装费、验收费、人员培训费、关税及进口环节增值税等所有税费及其它一切费用）。</w:t>
      </w:r>
    </w:p>
    <w:p w14:paraId="4CF8C50E">
      <w:pPr>
        <w:pStyle w:val="35"/>
        <w:spacing w:line="500" w:lineRule="exact"/>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2、设备配置：详见设备配置清单、装箱单及产品彩页（含增配件）。</w:t>
      </w:r>
    </w:p>
    <w:p w14:paraId="08E58500">
      <w:pPr>
        <w:pStyle w:val="35"/>
        <w:numPr>
          <w:ilvl w:val="0"/>
          <w:numId w:val="4"/>
        </w:numPr>
        <w:spacing w:line="500" w:lineRule="exact"/>
        <w:ind w:left="0" w:leftChars="0" w:firstLine="482" w:firstLineChars="200"/>
        <w:rPr>
          <w:rFonts w:hint="eastAsia" w:ascii="仿宋" w:hAnsi="仿宋" w:eastAsia="仿宋" w:cs="仿宋"/>
          <w:b/>
          <w:bCs/>
          <w:sz w:val="24"/>
          <w:szCs w:val="24"/>
        </w:rPr>
      </w:pPr>
      <w:r>
        <w:rPr>
          <w:rFonts w:hint="eastAsia" w:ascii="仿宋" w:hAnsi="仿宋" w:eastAsia="仿宋" w:cs="仿宋"/>
          <w:b/>
          <w:bCs/>
          <w:sz w:val="24"/>
          <w:szCs w:val="24"/>
        </w:rPr>
        <w:t>交货、安装的期限和地点</w:t>
      </w:r>
    </w:p>
    <w:p w14:paraId="3A86BEBC">
      <w:pPr>
        <w:pStyle w:val="35"/>
        <w:spacing w:line="500" w:lineRule="exact"/>
        <w:ind w:left="0" w:leftChars="0" w:firstLine="480" w:firstLineChars="200"/>
        <w:rPr>
          <w:rFonts w:hint="eastAsia" w:ascii="仿宋" w:hAnsi="仿宋" w:eastAsia="仿宋" w:cs="仿宋"/>
          <w:color w:val="FF0000"/>
          <w:sz w:val="24"/>
          <w:szCs w:val="24"/>
          <w:lang w:val="en-GB"/>
        </w:rPr>
      </w:pPr>
      <w:r>
        <w:rPr>
          <w:rFonts w:hint="eastAsia" w:ascii="仿宋" w:hAnsi="仿宋" w:eastAsia="仿宋" w:cs="仿宋"/>
          <w:sz w:val="24"/>
          <w:szCs w:val="24"/>
        </w:rPr>
        <w:t>（一）交货期：</w:t>
      </w:r>
      <w:r>
        <w:rPr>
          <w:rFonts w:hint="eastAsia" w:ascii="仿宋" w:hAnsi="仿宋" w:eastAsia="仿宋" w:cs="仿宋"/>
          <w:sz w:val="24"/>
          <w:szCs w:val="24"/>
          <w:lang w:val="en-GB"/>
        </w:rPr>
        <w:t>合同签订之日起</w:t>
      </w:r>
      <w:r>
        <w:rPr>
          <w:rFonts w:hint="eastAsia" w:ascii="仿宋" w:hAnsi="仿宋" w:eastAsia="仿宋" w:cs="仿宋"/>
          <w:color w:val="auto"/>
          <w:sz w:val="24"/>
          <w:szCs w:val="24"/>
          <w:u w:val="single"/>
          <w:lang w:val="en-GB"/>
        </w:rPr>
        <w:t xml:space="preserve">  </w:t>
      </w:r>
      <w:r>
        <w:rPr>
          <w:rFonts w:hint="eastAsia" w:ascii="仿宋" w:hAnsi="仿宋" w:eastAsia="仿宋" w:cs="仿宋"/>
          <w:color w:val="auto"/>
          <w:sz w:val="24"/>
          <w:szCs w:val="24"/>
          <w:lang w:val="en-GB"/>
        </w:rPr>
        <w:t>个日历日内。</w:t>
      </w:r>
    </w:p>
    <w:p w14:paraId="4F2E2162">
      <w:pPr>
        <w:pStyle w:val="35"/>
        <w:spacing w:line="500" w:lineRule="exact"/>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（二）交货及安装地点：西安医学院第一附属医院内。</w:t>
      </w:r>
    </w:p>
    <w:p w14:paraId="084704ED">
      <w:pPr>
        <w:pStyle w:val="35"/>
        <w:spacing w:line="500" w:lineRule="exact"/>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（三）安装完成时间：接甲方通知后</w:t>
      </w:r>
      <w:r>
        <w:rPr>
          <w:rFonts w:hint="eastAsia" w:ascii="仿宋" w:hAnsi="仿宋" w:eastAsia="仿宋" w:cs="仿宋"/>
          <w:sz w:val="24"/>
          <w:szCs w:val="24"/>
          <w:u w:val="single"/>
        </w:rPr>
        <w:t xml:space="preserve">  </w:t>
      </w:r>
      <w:r>
        <w:rPr>
          <w:rFonts w:hint="eastAsia" w:ascii="仿宋" w:hAnsi="仿宋" w:eastAsia="仿宋" w:cs="仿宋"/>
          <w:sz w:val="24"/>
          <w:szCs w:val="24"/>
        </w:rPr>
        <w:t>个工作日内全部调试完成，并可正常使用。</w:t>
      </w:r>
    </w:p>
    <w:p w14:paraId="6807450D">
      <w:pPr>
        <w:pStyle w:val="35"/>
        <w:spacing w:line="500" w:lineRule="exact"/>
        <w:ind w:left="0" w:leftChars="0" w:firstLine="482" w:firstLineChars="200"/>
        <w:rPr>
          <w:rFonts w:hint="eastAsia" w:ascii="仿宋" w:hAnsi="仿宋" w:eastAsia="仿宋" w:cs="仿宋"/>
          <w:b/>
          <w:bCs/>
          <w:sz w:val="24"/>
          <w:szCs w:val="24"/>
        </w:rPr>
      </w:pPr>
      <w:r>
        <w:rPr>
          <w:rFonts w:hint="eastAsia" w:ascii="仿宋" w:hAnsi="仿宋" w:eastAsia="仿宋" w:cs="仿宋"/>
          <w:b/>
          <w:bCs/>
          <w:sz w:val="24"/>
          <w:szCs w:val="24"/>
        </w:rPr>
        <w:t>三、验收标准和方法</w:t>
      </w:r>
    </w:p>
    <w:p w14:paraId="2C5B0AF6">
      <w:pPr>
        <w:pStyle w:val="35"/>
        <w:spacing w:line="500" w:lineRule="exact"/>
        <w:ind w:left="426" w:leftChars="0" w:firstLine="0" w:firstLineChars="0"/>
        <w:rPr>
          <w:rFonts w:hint="eastAsia" w:ascii="仿宋" w:hAnsi="仿宋" w:eastAsia="仿宋" w:cs="仿宋"/>
          <w:sz w:val="24"/>
          <w:szCs w:val="24"/>
        </w:rPr>
      </w:pPr>
      <w:r>
        <w:rPr>
          <w:rFonts w:hint="eastAsia" w:ascii="仿宋" w:hAnsi="仿宋" w:eastAsia="仿宋" w:cs="仿宋"/>
          <w:sz w:val="24"/>
          <w:szCs w:val="24"/>
        </w:rPr>
        <w:t>（一）验收标准</w:t>
      </w:r>
    </w:p>
    <w:p w14:paraId="752AD683">
      <w:pPr>
        <w:pStyle w:val="35"/>
        <w:spacing w:line="500" w:lineRule="exact"/>
        <w:ind w:left="426" w:leftChars="0" w:firstLine="0" w:firstLineChars="0"/>
        <w:rPr>
          <w:rFonts w:hint="eastAsia" w:ascii="仿宋" w:hAnsi="仿宋" w:eastAsia="仿宋" w:cs="仿宋"/>
          <w:sz w:val="24"/>
          <w:szCs w:val="24"/>
        </w:rPr>
      </w:pPr>
      <w:r>
        <w:rPr>
          <w:rFonts w:hint="eastAsia" w:ascii="仿宋" w:hAnsi="仿宋" w:eastAsia="仿宋" w:cs="仿宋"/>
          <w:sz w:val="24"/>
          <w:szCs w:val="24"/>
        </w:rPr>
        <w:t>1、包装：符合出厂规范,《商品包装政府采购需求标准（试行）》《快递包装政府采购需求标准（试行）》，包装完整无破损，防雨、防潮等各种符号标识清楚，进口设备应具有原产国标识且标识清楚。</w:t>
      </w:r>
    </w:p>
    <w:p w14:paraId="629D93C4">
      <w:pPr>
        <w:pStyle w:val="35"/>
        <w:spacing w:line="500" w:lineRule="exact"/>
        <w:ind w:leftChars="0" w:firstLineChars="0"/>
        <w:rPr>
          <w:rFonts w:hint="eastAsia" w:ascii="仿宋" w:hAnsi="仿宋" w:eastAsia="仿宋" w:cs="仿宋"/>
          <w:sz w:val="24"/>
          <w:szCs w:val="24"/>
        </w:rPr>
      </w:pPr>
      <w:r>
        <w:rPr>
          <w:rFonts w:hint="eastAsia" w:ascii="仿宋" w:hAnsi="仿宋" w:eastAsia="仿宋" w:cs="仿宋"/>
          <w:sz w:val="24"/>
          <w:szCs w:val="24"/>
        </w:rPr>
        <w:t>2、安装：符合本合同项下产品的全部相关国家安全技术标准及甲方要求。</w:t>
      </w:r>
    </w:p>
    <w:p w14:paraId="220F3FBE">
      <w:pPr>
        <w:pStyle w:val="35"/>
        <w:spacing w:line="500" w:lineRule="exact"/>
        <w:ind w:leftChars="0" w:firstLineChars="0"/>
        <w:rPr>
          <w:rFonts w:hint="eastAsia" w:ascii="仿宋" w:hAnsi="仿宋" w:eastAsia="仿宋" w:cs="仿宋"/>
          <w:sz w:val="24"/>
          <w:szCs w:val="24"/>
        </w:rPr>
      </w:pPr>
      <w:r>
        <w:rPr>
          <w:rFonts w:hint="eastAsia" w:ascii="仿宋" w:hAnsi="仿宋" w:eastAsia="仿宋" w:cs="仿宋"/>
          <w:sz w:val="24"/>
          <w:szCs w:val="24"/>
        </w:rPr>
        <w:t>3、产品：（1）必须为原装、全新、合格产品，渠道合法（2）符合供方与需方签订的购销合同（3）符合招、</w:t>
      </w:r>
      <w:r>
        <w:rPr>
          <w:rFonts w:hint="eastAsia" w:ascii="仿宋" w:hAnsi="仿宋" w:eastAsia="仿宋" w:cs="仿宋"/>
          <w:sz w:val="24"/>
          <w:szCs w:val="24"/>
          <w:lang w:eastAsia="zh-CN"/>
        </w:rPr>
        <w:t>响应文件</w:t>
      </w:r>
      <w:r>
        <w:rPr>
          <w:rFonts w:hint="eastAsia" w:ascii="仿宋" w:hAnsi="仿宋" w:eastAsia="仿宋" w:cs="仿宋"/>
          <w:sz w:val="24"/>
          <w:szCs w:val="24"/>
        </w:rPr>
        <w:t>的技术要求（4）符合产品原样本技术数据（5）符合国家有关技术规范要求和安全、环保、节能等强制性标准（6）产品单证齐全（质量合格证、装箱清单、操作手册和维修手册等，如为进口产品，交货前须提供原产地证明、原厂生产检验合格证和海关手续等）。</w:t>
      </w:r>
    </w:p>
    <w:p w14:paraId="6C6EB0A0">
      <w:pPr>
        <w:pStyle w:val="35"/>
        <w:spacing w:line="500" w:lineRule="exact"/>
        <w:ind w:left="425" w:leftChars="0" w:firstLine="0" w:firstLineChars="0"/>
        <w:rPr>
          <w:rFonts w:hint="eastAsia" w:ascii="仿宋" w:hAnsi="仿宋" w:eastAsia="仿宋" w:cs="仿宋"/>
          <w:sz w:val="24"/>
          <w:szCs w:val="24"/>
        </w:rPr>
      </w:pPr>
      <w:r>
        <w:rPr>
          <w:rFonts w:hint="eastAsia" w:ascii="仿宋" w:hAnsi="仿宋" w:eastAsia="仿宋" w:cs="仿宋"/>
          <w:sz w:val="24"/>
          <w:szCs w:val="24"/>
        </w:rPr>
        <w:t>（二）验收方法</w:t>
      </w:r>
    </w:p>
    <w:p w14:paraId="5D6EB01C">
      <w:pPr>
        <w:pStyle w:val="35"/>
        <w:tabs>
          <w:tab w:val="left" w:pos="360"/>
        </w:tabs>
        <w:spacing w:line="500" w:lineRule="exact"/>
        <w:ind w:left="425" w:leftChars="0" w:firstLine="480" w:firstLineChars="200"/>
        <w:rPr>
          <w:rFonts w:hint="eastAsia" w:ascii="仿宋" w:hAnsi="仿宋" w:eastAsia="仿宋" w:cs="仿宋"/>
          <w:sz w:val="24"/>
          <w:szCs w:val="24"/>
        </w:rPr>
      </w:pPr>
      <w:r>
        <w:rPr>
          <w:rFonts w:hint="eastAsia" w:ascii="仿宋" w:hAnsi="仿宋" w:eastAsia="仿宋" w:cs="仿宋"/>
          <w:sz w:val="24"/>
          <w:szCs w:val="24"/>
        </w:rPr>
        <w:t>甲乙双方共同进行验收或依照有关法规、文件规定，由国家质量检验、商检等部门共同进行验收。所有安装、验收的手续由乙方办理并承担费用，甲方提供相关辅助。设备正常运行15个工作日后，经甲方通知，自通知送达之日起三日内，双方共同进行验收，甲方向乙方出具验收合格书面证明文件，视为设备验收合格。乙方逾期未到场或拒绝到场验收的，甲方可自行验收。</w:t>
      </w:r>
    </w:p>
    <w:p w14:paraId="495828DD">
      <w:pPr>
        <w:pStyle w:val="35"/>
        <w:tabs>
          <w:tab w:val="left" w:pos="360"/>
        </w:tabs>
        <w:spacing w:line="500" w:lineRule="exact"/>
        <w:ind w:left="426" w:leftChars="0" w:firstLine="480" w:firstLineChars="200"/>
        <w:rPr>
          <w:rFonts w:hint="eastAsia" w:ascii="仿宋" w:hAnsi="仿宋" w:eastAsia="仿宋" w:cs="仿宋"/>
          <w:sz w:val="24"/>
          <w:szCs w:val="24"/>
        </w:rPr>
      </w:pPr>
      <w:r>
        <w:rPr>
          <w:rFonts w:hint="eastAsia" w:ascii="仿宋" w:hAnsi="仿宋" w:eastAsia="仿宋" w:cs="仿宋"/>
          <w:sz w:val="24"/>
          <w:szCs w:val="24"/>
        </w:rPr>
        <w:t>验收过程中发现设备存在瑕疵或质量问题的，乙方应无条件配合甲方进行维修、更换或退货工作，因此给甲方造成损失的，乙方就全部损失承担赔偿责任。在履行验收环节，乙方须按照《商品包装政府采购需求标准（试行）》《快递包装政府采购需求标准（试行）》的环保要求出具检测报告》</w:t>
      </w:r>
    </w:p>
    <w:p w14:paraId="6B8DF6DC">
      <w:pPr>
        <w:pStyle w:val="35"/>
        <w:numPr>
          <w:ilvl w:val="0"/>
          <w:numId w:val="5"/>
        </w:numPr>
        <w:spacing w:line="500" w:lineRule="exact"/>
        <w:ind w:left="0" w:leftChars="0" w:firstLine="482" w:firstLineChars="200"/>
        <w:rPr>
          <w:rFonts w:hint="eastAsia" w:ascii="仿宋" w:hAnsi="仿宋" w:eastAsia="仿宋" w:cs="仿宋"/>
          <w:b/>
          <w:bCs/>
          <w:sz w:val="24"/>
          <w:szCs w:val="24"/>
        </w:rPr>
      </w:pPr>
      <w:r>
        <w:rPr>
          <w:rFonts w:hint="eastAsia" w:ascii="仿宋" w:hAnsi="仿宋" w:eastAsia="仿宋" w:cs="仿宋"/>
          <w:b/>
          <w:bCs/>
          <w:sz w:val="24"/>
          <w:szCs w:val="24"/>
        </w:rPr>
        <w:t>售后服务及保修</w:t>
      </w:r>
    </w:p>
    <w:p w14:paraId="7CD93812">
      <w:pPr>
        <w:pStyle w:val="35"/>
        <w:spacing w:line="500" w:lineRule="exact"/>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（一）到货及安装：所有设备均由乙方免费送货上门并安装调试。</w:t>
      </w:r>
    </w:p>
    <w:p w14:paraId="0541B5D8">
      <w:pPr>
        <w:pStyle w:val="35"/>
        <w:spacing w:line="500" w:lineRule="exact"/>
        <w:ind w:left="0" w:leftChars="0" w:firstLine="480" w:firstLineChars="200"/>
        <w:rPr>
          <w:rFonts w:hint="eastAsia" w:ascii="仿宋" w:hAnsi="仿宋" w:eastAsia="仿宋" w:cs="仿宋"/>
          <w:sz w:val="24"/>
          <w:szCs w:val="24"/>
          <w:u w:val="single"/>
        </w:rPr>
      </w:pPr>
      <w:r>
        <w:rPr>
          <w:rFonts w:hint="eastAsia" w:ascii="仿宋" w:hAnsi="仿宋" w:eastAsia="仿宋" w:cs="仿宋"/>
          <w:sz w:val="24"/>
          <w:szCs w:val="24"/>
        </w:rPr>
        <w:t>（二）包修及保修：所有设备自验收合格之日（甲方出具书面验收合格证明文件落款之日）起包修</w:t>
      </w:r>
      <w:r>
        <w:rPr>
          <w:rFonts w:hint="eastAsia" w:ascii="仿宋" w:hAnsi="仿宋" w:eastAsia="仿宋" w:cs="仿宋"/>
          <w:sz w:val="24"/>
          <w:szCs w:val="24"/>
          <w:u w:val="single"/>
        </w:rPr>
        <w:t xml:space="preserve">   </w:t>
      </w:r>
      <w:r>
        <w:rPr>
          <w:rFonts w:hint="eastAsia" w:ascii="仿宋" w:hAnsi="仿宋" w:eastAsia="仿宋" w:cs="仿宋"/>
          <w:sz w:val="24"/>
          <w:szCs w:val="24"/>
        </w:rPr>
        <w:t>年。包修期满后免费维修，只收取材料成本费并且保证零配件供应</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年。 </w:t>
      </w:r>
    </w:p>
    <w:p w14:paraId="15B655E7">
      <w:pPr>
        <w:pStyle w:val="35"/>
        <w:spacing w:line="500" w:lineRule="exact"/>
        <w:ind w:left="0" w:leftChars="0" w:firstLine="480" w:firstLineChars="200"/>
        <w:rPr>
          <w:rFonts w:hint="eastAsia" w:ascii="仿宋" w:hAnsi="仿宋" w:eastAsia="仿宋" w:cs="仿宋"/>
          <w:color w:val="auto"/>
          <w:sz w:val="24"/>
          <w:szCs w:val="24"/>
        </w:rPr>
      </w:pPr>
      <w:r>
        <w:rPr>
          <w:rFonts w:hint="eastAsia" w:ascii="仿宋" w:hAnsi="仿宋" w:eastAsia="仿宋" w:cs="仿宋"/>
          <w:sz w:val="24"/>
          <w:szCs w:val="24"/>
        </w:rPr>
        <w:t>（三）维修服务：响应时间</w:t>
      </w:r>
      <w:r>
        <w:rPr>
          <w:rFonts w:hint="eastAsia" w:ascii="仿宋" w:hAnsi="仿宋" w:eastAsia="仿宋" w:cs="仿宋"/>
          <w:sz w:val="24"/>
          <w:szCs w:val="24"/>
          <w:u w:val="single"/>
        </w:rPr>
        <w:t xml:space="preserve"> 1 </w:t>
      </w:r>
      <w:r>
        <w:rPr>
          <w:rFonts w:hint="eastAsia" w:ascii="仿宋" w:hAnsi="仿宋" w:eastAsia="仿宋" w:cs="仿宋"/>
          <w:sz w:val="24"/>
          <w:szCs w:val="24"/>
        </w:rPr>
        <w:t>小时，</w:t>
      </w:r>
      <w:r>
        <w:rPr>
          <w:rFonts w:hint="eastAsia" w:ascii="仿宋" w:hAnsi="仿宋" w:eastAsia="仿宋" w:cs="仿宋"/>
          <w:sz w:val="24"/>
          <w:szCs w:val="24"/>
          <w:u w:val="single"/>
        </w:rPr>
        <w:t>4</w:t>
      </w:r>
      <w:r>
        <w:rPr>
          <w:rFonts w:hint="eastAsia" w:ascii="仿宋" w:hAnsi="仿宋" w:eastAsia="仿宋" w:cs="仿宋"/>
          <w:sz w:val="24"/>
          <w:szCs w:val="24"/>
        </w:rPr>
        <w:t>小时内到场进行维修，</w:t>
      </w:r>
      <w:r>
        <w:rPr>
          <w:rFonts w:hint="eastAsia" w:ascii="仿宋" w:hAnsi="仿宋" w:eastAsia="仿宋" w:cs="仿宋"/>
          <w:sz w:val="24"/>
          <w:szCs w:val="24"/>
          <w:u w:val="single"/>
        </w:rPr>
        <w:t>24</w:t>
      </w:r>
      <w:r>
        <w:rPr>
          <w:rFonts w:hint="eastAsia" w:ascii="仿宋" w:hAnsi="仿宋" w:eastAsia="仿宋" w:cs="仿宋"/>
          <w:sz w:val="24"/>
          <w:szCs w:val="24"/>
        </w:rPr>
        <w:t>小时内修复，如果超过</w:t>
      </w:r>
      <w:r>
        <w:rPr>
          <w:rFonts w:hint="eastAsia" w:ascii="仿宋" w:hAnsi="仿宋" w:eastAsia="仿宋" w:cs="仿宋"/>
          <w:sz w:val="24"/>
          <w:szCs w:val="24"/>
          <w:u w:val="single"/>
        </w:rPr>
        <w:t>24</w:t>
      </w:r>
      <w:r>
        <w:rPr>
          <w:rFonts w:hint="eastAsia" w:ascii="仿宋" w:hAnsi="仿宋" w:eastAsia="仿宋" w:cs="仿宋"/>
          <w:sz w:val="24"/>
          <w:szCs w:val="24"/>
        </w:rPr>
        <w:t>小时不能修复，提供同档次的备用机。质保期间，若同一硬件壹个月内连续2次出现同一故障（非人为情况），</w:t>
      </w:r>
      <w:r>
        <w:rPr>
          <w:rFonts w:hint="eastAsia" w:ascii="仿宋" w:hAnsi="仿宋" w:eastAsia="仿宋" w:cs="仿宋"/>
          <w:color w:val="auto"/>
          <w:sz w:val="24"/>
          <w:szCs w:val="24"/>
        </w:rPr>
        <w:t>乙方无条件为甲方无偿更换为同一档次机器。</w:t>
      </w:r>
    </w:p>
    <w:p w14:paraId="4207B0F0">
      <w:pPr>
        <w:pStyle w:val="35"/>
        <w:spacing w:line="500" w:lineRule="exact"/>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（四）售后服务部门（单位）</w:t>
      </w:r>
    </w:p>
    <w:p w14:paraId="3269C4B2">
      <w:pPr>
        <w:pStyle w:val="35"/>
        <w:tabs>
          <w:tab w:val="left" w:pos="180"/>
          <w:tab w:val="left" w:pos="9360"/>
        </w:tabs>
        <w:spacing w:line="500" w:lineRule="exact"/>
        <w:ind w:left="0" w:leftChars="0" w:firstLine="280"/>
        <w:rPr>
          <w:rFonts w:hint="eastAsia" w:ascii="仿宋" w:hAnsi="仿宋" w:eastAsia="仿宋" w:cs="仿宋"/>
          <w:sz w:val="24"/>
          <w:szCs w:val="24"/>
        </w:rPr>
      </w:pPr>
      <w:r>
        <w:rPr>
          <w:rFonts w:hint="eastAsia" w:ascii="仿宋" w:hAnsi="仿宋" w:eastAsia="仿宋" w:cs="仿宋"/>
          <w:sz w:val="24"/>
          <w:szCs w:val="24"/>
        </w:rPr>
        <w:t xml:space="preserve">公 司 名 称： </w:t>
      </w:r>
    </w:p>
    <w:p w14:paraId="32CEDC86">
      <w:pPr>
        <w:pStyle w:val="35"/>
        <w:tabs>
          <w:tab w:val="left" w:pos="180"/>
          <w:tab w:val="left" w:pos="9360"/>
        </w:tabs>
        <w:spacing w:line="500" w:lineRule="exact"/>
        <w:ind w:left="0" w:leftChars="0" w:firstLine="280"/>
        <w:rPr>
          <w:rFonts w:hint="eastAsia" w:ascii="仿宋" w:hAnsi="仿宋" w:eastAsia="仿宋" w:cs="仿宋"/>
          <w:sz w:val="24"/>
          <w:szCs w:val="24"/>
        </w:rPr>
      </w:pPr>
      <w:r>
        <w:rPr>
          <w:rFonts w:hint="eastAsia" w:ascii="仿宋" w:hAnsi="仿宋" w:eastAsia="仿宋" w:cs="仿宋"/>
          <w:sz w:val="24"/>
          <w:szCs w:val="24"/>
        </w:rPr>
        <w:t xml:space="preserve">地  址： </w:t>
      </w:r>
    </w:p>
    <w:p w14:paraId="15858205">
      <w:pPr>
        <w:pStyle w:val="35"/>
        <w:tabs>
          <w:tab w:val="left" w:pos="180"/>
          <w:tab w:val="left" w:pos="9360"/>
        </w:tabs>
        <w:spacing w:line="500" w:lineRule="exact"/>
        <w:ind w:left="0" w:leftChars="0" w:firstLine="280"/>
        <w:rPr>
          <w:rFonts w:hint="eastAsia" w:ascii="仿宋" w:hAnsi="仿宋" w:eastAsia="仿宋" w:cs="仿宋"/>
          <w:sz w:val="24"/>
          <w:szCs w:val="24"/>
        </w:rPr>
      </w:pPr>
      <w:r>
        <w:rPr>
          <w:rFonts w:hint="eastAsia" w:ascii="仿宋" w:hAnsi="仿宋" w:eastAsia="仿宋" w:cs="仿宋"/>
          <w:sz w:val="24"/>
          <w:szCs w:val="24"/>
        </w:rPr>
        <w:t xml:space="preserve">联系人： </w:t>
      </w:r>
    </w:p>
    <w:p w14:paraId="3AC624D9">
      <w:pPr>
        <w:pStyle w:val="35"/>
        <w:tabs>
          <w:tab w:val="left" w:pos="180"/>
          <w:tab w:val="left" w:pos="9360"/>
        </w:tabs>
        <w:spacing w:line="500" w:lineRule="exact"/>
        <w:ind w:left="0" w:leftChars="0" w:firstLine="280"/>
        <w:rPr>
          <w:rFonts w:hint="eastAsia" w:ascii="仿宋" w:hAnsi="仿宋" w:eastAsia="仿宋" w:cs="仿宋"/>
          <w:sz w:val="24"/>
          <w:szCs w:val="24"/>
        </w:rPr>
      </w:pPr>
      <w:r>
        <w:rPr>
          <w:rFonts w:hint="eastAsia" w:ascii="仿宋" w:hAnsi="仿宋" w:eastAsia="仿宋" w:cs="仿宋"/>
          <w:sz w:val="24"/>
          <w:szCs w:val="24"/>
        </w:rPr>
        <w:t>电  话：</w:t>
      </w:r>
    </w:p>
    <w:p w14:paraId="732AFED7">
      <w:pPr>
        <w:tabs>
          <w:tab w:val="left" w:pos="840"/>
        </w:tabs>
        <w:spacing w:line="5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无</w:t>
      </w:r>
      <w:r>
        <w:rPr>
          <w:rFonts w:hint="eastAsia" w:ascii="仿宋" w:hAnsi="仿宋" w:eastAsia="仿宋" w:cs="仿宋"/>
          <w:sz w:val="24"/>
          <w:szCs w:val="24"/>
        </w:rPr>
        <w:t>）开机率：包修期内，设备年开机率达到98％，故障率低于2％。累计停机时长每满24小时一次，包修期顺延5个工作日（停机时长24小时，包修期顺延5个工作日，停机时长48小时，包修期顺延10个工作日，以此类推）。</w:t>
      </w:r>
    </w:p>
    <w:p w14:paraId="300EEC19">
      <w:pPr>
        <w:pStyle w:val="35"/>
        <w:numPr>
          <w:ilvl w:val="0"/>
          <w:numId w:val="5"/>
        </w:numPr>
        <w:spacing w:line="500" w:lineRule="exact"/>
        <w:ind w:left="0" w:leftChars="0" w:firstLine="482" w:firstLineChars="200"/>
        <w:rPr>
          <w:rFonts w:hint="eastAsia" w:ascii="仿宋" w:hAnsi="仿宋" w:eastAsia="仿宋" w:cs="仿宋"/>
          <w:b/>
          <w:bCs/>
          <w:sz w:val="24"/>
          <w:szCs w:val="24"/>
        </w:rPr>
      </w:pPr>
      <w:r>
        <w:rPr>
          <w:rFonts w:hint="eastAsia" w:ascii="仿宋" w:hAnsi="仿宋" w:eastAsia="仿宋" w:cs="仿宋"/>
          <w:b/>
          <w:bCs/>
          <w:sz w:val="24"/>
          <w:szCs w:val="24"/>
        </w:rPr>
        <w:t>人员培训</w:t>
      </w:r>
    </w:p>
    <w:p w14:paraId="0AF1D8B9">
      <w:pPr>
        <w:pStyle w:val="35"/>
        <w:spacing w:line="500" w:lineRule="exact"/>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装机后乙方为甲方相关医护、技术及维修人员提供培训，直至双方认证合格，培训约定如下：</w:t>
      </w:r>
    </w:p>
    <w:p w14:paraId="43CE2455">
      <w:pPr>
        <w:tabs>
          <w:tab w:val="left" w:pos="360"/>
        </w:tabs>
        <w:topLinePunct/>
        <w:spacing w:line="500" w:lineRule="exact"/>
        <w:ind w:firstLine="480" w:firstLineChars="200"/>
        <w:rPr>
          <w:rFonts w:hint="eastAsia" w:ascii="仿宋" w:hAnsi="仿宋" w:eastAsia="仿宋" w:cs="仿宋"/>
          <w:color w:val="000000"/>
          <w:sz w:val="24"/>
          <w:szCs w:val="24"/>
          <w:u w:val="single"/>
        </w:rPr>
      </w:pPr>
      <w:r>
        <w:rPr>
          <w:rFonts w:hint="eastAsia" w:ascii="仿宋" w:hAnsi="仿宋" w:eastAsia="仿宋" w:cs="仿宋"/>
          <w:color w:val="000000"/>
          <w:sz w:val="24"/>
          <w:szCs w:val="24"/>
        </w:rPr>
        <w:t>（一）培训对象及人数：</w:t>
      </w:r>
      <w:r>
        <w:rPr>
          <w:rFonts w:hint="eastAsia" w:ascii="仿宋" w:hAnsi="仿宋" w:eastAsia="仿宋" w:cs="仿宋"/>
          <w:color w:val="000000"/>
          <w:sz w:val="24"/>
          <w:szCs w:val="24"/>
          <w:u w:val="single"/>
        </w:rPr>
        <w:t xml:space="preserve">技术操作和维修人员2-3人   </w:t>
      </w:r>
    </w:p>
    <w:p w14:paraId="455C2F6C">
      <w:pPr>
        <w:tabs>
          <w:tab w:val="left" w:pos="360"/>
        </w:tabs>
        <w:topLinePunct/>
        <w:spacing w:line="500" w:lineRule="exact"/>
        <w:ind w:firstLine="480" w:firstLineChars="200"/>
        <w:rPr>
          <w:rFonts w:hint="eastAsia" w:ascii="仿宋" w:hAnsi="仿宋" w:eastAsia="仿宋" w:cs="仿宋"/>
          <w:color w:val="000000"/>
          <w:sz w:val="24"/>
          <w:szCs w:val="24"/>
          <w:u w:val="single"/>
        </w:rPr>
      </w:pPr>
      <w:r>
        <w:rPr>
          <w:rFonts w:hint="eastAsia" w:ascii="仿宋" w:hAnsi="仿宋" w:eastAsia="仿宋" w:cs="仿宋"/>
          <w:color w:val="000000"/>
          <w:sz w:val="24"/>
          <w:szCs w:val="24"/>
        </w:rPr>
        <w:t>（二）培训方式及地点：</w:t>
      </w:r>
      <w:r>
        <w:rPr>
          <w:rFonts w:hint="eastAsia" w:ascii="仿宋" w:hAnsi="仿宋" w:eastAsia="仿宋" w:cs="仿宋"/>
          <w:color w:val="000000"/>
          <w:sz w:val="24"/>
          <w:szCs w:val="24"/>
          <w:u w:val="single"/>
        </w:rPr>
        <w:t xml:space="preserve">     现场培训            </w:t>
      </w:r>
    </w:p>
    <w:p w14:paraId="329F82A5">
      <w:pPr>
        <w:pStyle w:val="35"/>
        <w:spacing w:line="500" w:lineRule="exact"/>
        <w:ind w:left="0" w:leftChars="0" w:firstLine="480" w:firstLineChars="200"/>
        <w:rPr>
          <w:rFonts w:hint="eastAsia" w:ascii="仿宋" w:hAnsi="仿宋" w:eastAsia="仿宋" w:cs="仿宋"/>
          <w:b/>
          <w:bCs/>
          <w:sz w:val="24"/>
          <w:szCs w:val="24"/>
        </w:rPr>
      </w:pPr>
      <w:r>
        <w:rPr>
          <w:rFonts w:hint="eastAsia" w:ascii="仿宋" w:hAnsi="仿宋" w:eastAsia="仿宋" w:cs="仿宋"/>
          <w:sz w:val="24"/>
          <w:szCs w:val="24"/>
        </w:rPr>
        <w:t>（三）培训时间及费用：</w:t>
      </w:r>
      <w:r>
        <w:rPr>
          <w:rFonts w:hint="eastAsia" w:ascii="仿宋" w:hAnsi="仿宋" w:eastAsia="仿宋" w:cs="仿宋"/>
          <w:sz w:val="24"/>
          <w:szCs w:val="24"/>
          <w:u w:val="single"/>
        </w:rPr>
        <w:t>免费培训，直至双方认证合格</w:t>
      </w:r>
    </w:p>
    <w:p w14:paraId="67332E4A">
      <w:pPr>
        <w:tabs>
          <w:tab w:val="left" w:pos="360"/>
        </w:tabs>
        <w:topLinePunct/>
        <w:spacing w:line="50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六、付款方式和条件</w:t>
      </w:r>
    </w:p>
    <w:p w14:paraId="2792EF32">
      <w:pPr>
        <w:pStyle w:val="35"/>
        <w:spacing w:line="500" w:lineRule="exact"/>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（一）设备安装调试验收合格（以甲方出具的书面验收合格文件为准）后30日内支付合同总价的100%，至此货款全部结清。</w:t>
      </w:r>
    </w:p>
    <w:p w14:paraId="5DF67860">
      <w:pPr>
        <w:pStyle w:val="35"/>
        <w:spacing w:line="500" w:lineRule="exact"/>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（二）支付方式</w:t>
      </w:r>
    </w:p>
    <w:p w14:paraId="04263AC7">
      <w:pPr>
        <w:pStyle w:val="35"/>
        <w:spacing w:line="500" w:lineRule="exact"/>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通过银行转帐方式将款项转入乙方银行帐户。乙方银行帐户信息如下:</w:t>
      </w:r>
    </w:p>
    <w:p w14:paraId="138461DC">
      <w:pPr>
        <w:pStyle w:val="35"/>
        <w:tabs>
          <w:tab w:val="left" w:pos="180"/>
          <w:tab w:val="left" w:pos="9360"/>
        </w:tabs>
        <w:spacing w:line="500" w:lineRule="exact"/>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 xml:space="preserve">帐 户 全 称: </w:t>
      </w:r>
    </w:p>
    <w:p w14:paraId="3521D2B9">
      <w:pPr>
        <w:pStyle w:val="35"/>
        <w:tabs>
          <w:tab w:val="left" w:pos="180"/>
          <w:tab w:val="left" w:pos="9360"/>
        </w:tabs>
        <w:spacing w:line="500" w:lineRule="exact"/>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帐      号:</w:t>
      </w:r>
    </w:p>
    <w:p w14:paraId="0DAFF74B">
      <w:pPr>
        <w:pStyle w:val="35"/>
        <w:tabs>
          <w:tab w:val="left" w:pos="180"/>
          <w:tab w:val="left" w:pos="9360"/>
        </w:tabs>
        <w:spacing w:line="500" w:lineRule="exact"/>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 xml:space="preserve">开  户  行: </w:t>
      </w:r>
    </w:p>
    <w:p w14:paraId="509C43BE">
      <w:pPr>
        <w:pStyle w:val="35"/>
        <w:tabs>
          <w:tab w:val="left" w:pos="9360"/>
        </w:tabs>
        <w:spacing w:line="500" w:lineRule="exact"/>
        <w:ind w:left="0" w:leftChars="0" w:firstLine="480" w:firstLineChars="200"/>
        <w:rPr>
          <w:rFonts w:hint="eastAsia" w:ascii="仿宋" w:hAnsi="仿宋" w:eastAsia="仿宋" w:cs="仿宋"/>
          <w:sz w:val="24"/>
          <w:szCs w:val="24"/>
          <w:u w:val="single"/>
        </w:rPr>
      </w:pPr>
      <w:r>
        <w:rPr>
          <w:rFonts w:hint="eastAsia" w:ascii="仿宋" w:hAnsi="仿宋" w:eastAsia="仿宋" w:cs="仿宋"/>
          <w:sz w:val="24"/>
          <w:szCs w:val="24"/>
          <w:u w:val="single"/>
        </w:rPr>
        <w:t>甲方仅认可上述指定账户并向该账户付款。如乙方账户信息变更，乙方应出具由法定代表人签署的书面变更文件并加盖乙方公司公章，否则甲方有权拒绝向指定账户之外的任何账户付款，并且由此导致的付款延迟责任由乙方承担。</w:t>
      </w:r>
    </w:p>
    <w:p w14:paraId="31481D6C">
      <w:pPr>
        <w:pStyle w:val="35"/>
        <w:spacing w:line="500" w:lineRule="exact"/>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（三）结算要求：乙方必须在设备验收合格后，向甲方一次性开具符合要求的合同全</w:t>
      </w:r>
      <w:r>
        <w:rPr>
          <w:rFonts w:hint="eastAsia" w:ascii="仿宋" w:hAnsi="仿宋" w:eastAsia="仿宋" w:cs="仿宋"/>
          <w:color w:val="auto"/>
          <w:sz w:val="24"/>
          <w:szCs w:val="24"/>
        </w:rPr>
        <w:t>款正式发票。</w:t>
      </w:r>
    </w:p>
    <w:p w14:paraId="25600B5D">
      <w:pPr>
        <w:pStyle w:val="35"/>
        <w:spacing w:line="500" w:lineRule="exact"/>
        <w:ind w:left="0" w:leftChars="0" w:firstLine="482" w:firstLineChars="200"/>
        <w:rPr>
          <w:rFonts w:hint="eastAsia" w:ascii="仿宋" w:hAnsi="仿宋" w:eastAsia="仿宋" w:cs="仿宋"/>
          <w:b/>
          <w:bCs/>
          <w:sz w:val="24"/>
          <w:szCs w:val="24"/>
        </w:rPr>
      </w:pPr>
      <w:r>
        <w:rPr>
          <w:rFonts w:hint="eastAsia" w:ascii="仿宋" w:hAnsi="仿宋" w:eastAsia="仿宋" w:cs="仿宋"/>
          <w:b/>
          <w:bCs/>
          <w:sz w:val="24"/>
          <w:szCs w:val="24"/>
        </w:rPr>
        <w:t>七、违约责任</w:t>
      </w:r>
    </w:p>
    <w:p w14:paraId="2EE67A2E">
      <w:pPr>
        <w:pStyle w:val="35"/>
        <w:spacing w:line="500" w:lineRule="exact"/>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一）甲方在验收中，如果发现乙方所交付的设备型号、规格、质量等不符合合同约定或国家标准的，甲方可向乙方提出书面异议，并有权拒收设备。乙方在接到甲方书面异议后，应在十个工作日内负责处理，如逾期未处理即视为默认甲方提出的异议和处理意见，由此产生的全部后果由乙方自行承担。</w:t>
      </w:r>
    </w:p>
    <w:p w14:paraId="6228A308">
      <w:pPr>
        <w:pStyle w:val="35"/>
        <w:spacing w:line="500" w:lineRule="exact"/>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二）甲方在设备使用过程中，如果发现乙方所交付的设备型号、规格、质量等不符合合同约定或国家标准的，甲方可向乙方提出书面异议，并有权要求乙方免费维修、更换。乙方在接到甲方书面异议后，应在十个工作日内负责处理，如逾期未处理即视为默认甲方提出的异议和处理意见，由此产生的全部后果由乙方承担。</w:t>
      </w:r>
    </w:p>
    <w:p w14:paraId="60DE73F1">
      <w:pPr>
        <w:pStyle w:val="35"/>
        <w:spacing w:line="500" w:lineRule="exact"/>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三）乙方不能按期交货，每延迟壹天，应付不能交货部分货款5‰的延迟付款违约金。累计支付的延迟付款违约金额不超过逾期交货部分货款总额的10%。逾期交货超过20天，甲方有权单方解除合同，自甲方合同解除通知送达之日，合同解除生效。</w:t>
      </w:r>
    </w:p>
    <w:p w14:paraId="3650D5CB">
      <w:pPr>
        <w:pStyle w:val="35"/>
        <w:spacing w:line="500" w:lineRule="exact"/>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合同解除后，甲方有权拒收乙方货物且无需支付未交货部分货款。由此产生的全部法律责任及费用支出由乙方自行承担。</w:t>
      </w:r>
    </w:p>
    <w:p w14:paraId="6A41E146">
      <w:pPr>
        <w:pStyle w:val="35"/>
        <w:spacing w:line="500" w:lineRule="exact"/>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（四）乙方如没有按合同规定履行售后服务承诺，甲方可另行选择第三方单位进行修复，其费用全部由乙方支付，且甲方有权追究乙方的违约责任。</w:t>
      </w:r>
    </w:p>
    <w:p w14:paraId="48D61EAE">
      <w:pPr>
        <w:pStyle w:val="35"/>
        <w:numPr>
          <w:ilvl w:val="0"/>
          <w:numId w:val="6"/>
        </w:numPr>
        <w:spacing w:line="500" w:lineRule="exact"/>
        <w:ind w:left="0" w:leftChars="0" w:firstLine="482" w:firstLineChars="200"/>
        <w:rPr>
          <w:rFonts w:hint="eastAsia" w:ascii="仿宋" w:hAnsi="仿宋" w:eastAsia="仿宋" w:cs="仿宋"/>
          <w:b/>
          <w:bCs/>
          <w:sz w:val="24"/>
          <w:szCs w:val="24"/>
        </w:rPr>
      </w:pPr>
      <w:r>
        <w:rPr>
          <w:rFonts w:hint="eastAsia" w:ascii="仿宋" w:hAnsi="仿宋" w:eastAsia="仿宋" w:cs="仿宋"/>
          <w:b/>
          <w:bCs/>
          <w:sz w:val="24"/>
          <w:szCs w:val="24"/>
        </w:rPr>
        <w:t>不可抗力</w:t>
      </w:r>
    </w:p>
    <w:p w14:paraId="1C0DC835">
      <w:pPr>
        <w:pStyle w:val="35"/>
        <w:spacing w:line="500" w:lineRule="exact"/>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任何一方由于诸如战争、严重火灾、洪水、台风、地震、国家政府政策或其他不可抗力的事件使合同执行受阻，则合同执行由双方协商后相应延长或终止。受阻方应随时采取所有合理步骤以减少因不可抗力事件所导致合同执行的任何延迟。</w:t>
      </w:r>
    </w:p>
    <w:p w14:paraId="25CC9227">
      <w:pPr>
        <w:pStyle w:val="35"/>
        <w:numPr>
          <w:ilvl w:val="0"/>
          <w:numId w:val="6"/>
        </w:numPr>
        <w:spacing w:line="500" w:lineRule="exact"/>
        <w:ind w:left="0" w:leftChars="0" w:firstLine="482" w:firstLineChars="200"/>
        <w:rPr>
          <w:rFonts w:hint="eastAsia" w:ascii="仿宋" w:hAnsi="仿宋" w:eastAsia="仿宋" w:cs="仿宋"/>
          <w:b/>
          <w:bCs/>
          <w:sz w:val="24"/>
          <w:szCs w:val="24"/>
        </w:rPr>
      </w:pPr>
      <w:r>
        <w:rPr>
          <w:rFonts w:hint="eastAsia" w:ascii="仿宋" w:hAnsi="仿宋" w:eastAsia="仿宋" w:cs="仿宋"/>
          <w:b/>
          <w:bCs/>
          <w:sz w:val="24"/>
          <w:szCs w:val="24"/>
        </w:rPr>
        <w:t>争议解决方式</w:t>
      </w:r>
    </w:p>
    <w:p w14:paraId="377CE37F">
      <w:pPr>
        <w:pStyle w:val="35"/>
        <w:spacing w:line="500" w:lineRule="exact"/>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因本合同而发生的争议或纠纷，甲乙双方应先协商解决，协商不成时可向甲方所在地的人民法院提请诉讼。</w:t>
      </w:r>
    </w:p>
    <w:p w14:paraId="700D9DE2">
      <w:pPr>
        <w:pStyle w:val="35"/>
        <w:tabs>
          <w:tab w:val="left" w:pos="180"/>
          <w:tab w:val="left" w:pos="9360"/>
        </w:tabs>
        <w:spacing w:line="240" w:lineRule="auto"/>
        <w:ind w:left="0" w:leftChars="0" w:firstLine="0" w:firstLineChars="0"/>
        <w:rPr>
          <w:rFonts w:hint="eastAsia" w:ascii="仿宋" w:hAnsi="仿宋" w:eastAsia="仿宋" w:cs="仿宋"/>
          <w:color w:val="auto"/>
          <w:sz w:val="24"/>
          <w:szCs w:val="24"/>
        </w:rPr>
      </w:pPr>
    </w:p>
    <w:p w14:paraId="21A5E45B">
      <w:pPr>
        <w:pStyle w:val="35"/>
        <w:spacing w:line="500" w:lineRule="exact"/>
        <w:ind w:leftChars="0" w:firstLine="281"/>
        <w:rPr>
          <w:rFonts w:hint="eastAsia" w:ascii="仿宋" w:hAnsi="仿宋" w:eastAsia="仿宋" w:cs="仿宋"/>
          <w:color w:val="auto"/>
          <w:sz w:val="24"/>
          <w:szCs w:val="24"/>
        </w:rPr>
      </w:pPr>
      <w:r>
        <w:rPr>
          <w:rFonts w:hint="eastAsia" w:ascii="仿宋" w:hAnsi="仿宋" w:eastAsia="仿宋" w:cs="仿宋"/>
          <w:b/>
          <w:bCs/>
          <w:sz w:val="24"/>
          <w:szCs w:val="24"/>
        </w:rPr>
        <w:t>十、合同生效</w:t>
      </w:r>
    </w:p>
    <w:p w14:paraId="68813838">
      <w:pPr>
        <w:pStyle w:val="35"/>
        <w:spacing w:line="500" w:lineRule="exact"/>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本合同自甲乙双方代表签字并盖章后生效。本合同一式肆份,甲乙双方各执贰份。本合同未尽事宜由甲乙双方协商解决，并作出书面补充规定（协议），补充规定作为本合同的组成部分，与本合同具有同等法律效力。</w:t>
      </w:r>
    </w:p>
    <w:p w14:paraId="61DCA523">
      <w:pPr>
        <w:pStyle w:val="35"/>
        <w:spacing w:line="500" w:lineRule="exact"/>
        <w:ind w:left="0" w:leftChars="0" w:firstLine="0" w:firstLineChars="0"/>
        <w:rPr>
          <w:rFonts w:hint="eastAsia" w:ascii="仿宋" w:hAnsi="仿宋" w:eastAsia="仿宋" w:cs="仿宋"/>
          <w:b/>
          <w:bCs/>
          <w:sz w:val="24"/>
          <w:szCs w:val="24"/>
        </w:rPr>
      </w:pPr>
    </w:p>
    <w:p w14:paraId="54CB513B">
      <w:pPr>
        <w:pStyle w:val="35"/>
        <w:spacing w:line="500" w:lineRule="exact"/>
        <w:ind w:left="0" w:leftChars="0" w:firstLine="0" w:firstLineChars="0"/>
        <w:jc w:val="center"/>
        <w:rPr>
          <w:rFonts w:hint="eastAsia" w:ascii="仿宋" w:hAnsi="仿宋" w:eastAsia="仿宋" w:cs="仿宋"/>
          <w:b/>
          <w:bCs/>
          <w:sz w:val="24"/>
          <w:szCs w:val="24"/>
        </w:rPr>
      </w:pPr>
      <w:bookmarkStart w:id="315" w:name="_Hlk134693783"/>
      <w:r>
        <w:rPr>
          <w:rFonts w:hint="eastAsia" w:ascii="仿宋" w:hAnsi="仿宋" w:eastAsia="仿宋" w:cs="仿宋"/>
          <w:b/>
          <w:bCs/>
          <w:sz w:val="24"/>
          <w:szCs w:val="24"/>
        </w:rPr>
        <w:t>（以下无正文，仅为供需双方签章及合同附件）</w:t>
      </w:r>
    </w:p>
    <w:p w14:paraId="59DEAE2A">
      <w:pPr>
        <w:spacing w:line="500" w:lineRule="exact"/>
        <w:ind w:left="960" w:leftChars="400" w:firstLine="1920" w:firstLineChars="800"/>
        <w:rPr>
          <w:rFonts w:hint="eastAsia" w:ascii="仿宋" w:hAnsi="仿宋" w:eastAsia="仿宋" w:cs="仿宋"/>
          <w:sz w:val="24"/>
          <w:szCs w:val="24"/>
        </w:rPr>
      </w:pPr>
      <w:r>
        <w:rPr>
          <w:rFonts w:hint="eastAsia" w:ascii="仿宋" w:hAnsi="仿宋" w:eastAsia="仿宋" w:cs="仿宋"/>
          <w:sz w:val="24"/>
          <w:szCs w:val="24"/>
        </w:rPr>
        <w:t>本合同附件，共</w:t>
      </w:r>
      <w:r>
        <w:rPr>
          <w:rFonts w:hint="eastAsia" w:ascii="仿宋" w:hAnsi="仿宋" w:eastAsia="仿宋" w:cs="仿宋"/>
          <w:sz w:val="24"/>
          <w:szCs w:val="24"/>
          <w:u w:val="single"/>
        </w:rPr>
        <w:t xml:space="preserve">   </w:t>
      </w:r>
      <w:r>
        <w:rPr>
          <w:rFonts w:hint="eastAsia" w:ascii="仿宋" w:hAnsi="仿宋" w:eastAsia="仿宋" w:cs="仿宋"/>
          <w:sz w:val="24"/>
          <w:szCs w:val="24"/>
        </w:rPr>
        <w:t>页，后附</w:t>
      </w:r>
    </w:p>
    <w:bookmarkEnd w:id="314"/>
    <w:tbl>
      <w:tblPr>
        <w:tblStyle w:val="47"/>
        <w:tblW w:w="10667" w:type="dxa"/>
        <w:jc w:val="center"/>
        <w:tblLayout w:type="fixed"/>
        <w:tblCellMar>
          <w:top w:w="0" w:type="dxa"/>
          <w:left w:w="108" w:type="dxa"/>
          <w:bottom w:w="0" w:type="dxa"/>
          <w:right w:w="108" w:type="dxa"/>
        </w:tblCellMar>
      </w:tblPr>
      <w:tblGrid>
        <w:gridCol w:w="1779"/>
        <w:gridCol w:w="3346"/>
        <w:gridCol w:w="1779"/>
        <w:gridCol w:w="3763"/>
      </w:tblGrid>
      <w:tr w14:paraId="32F21444">
        <w:tblPrEx>
          <w:tblCellMar>
            <w:top w:w="0" w:type="dxa"/>
            <w:left w:w="108" w:type="dxa"/>
            <w:bottom w:w="0" w:type="dxa"/>
            <w:right w:w="108" w:type="dxa"/>
          </w:tblCellMar>
        </w:tblPrEx>
        <w:trPr>
          <w:cantSplit/>
          <w:trHeight w:val="829" w:hRule="atLeast"/>
          <w:jc w:val="center"/>
        </w:trPr>
        <w:tc>
          <w:tcPr>
            <w:tcW w:w="1779" w:type="dxa"/>
            <w:noWrap w:val="0"/>
            <w:vAlign w:val="center"/>
          </w:tcPr>
          <w:p w14:paraId="5505F9D1">
            <w:pPr>
              <w:keepNext w:val="0"/>
              <w:keepLines w:val="0"/>
              <w:suppressLineNumbers w:val="0"/>
              <w:topLinePunct/>
              <w:spacing w:before="0" w:beforeAutospacing="0" w:after="0" w:afterAutospacing="0" w:line="580" w:lineRule="exact"/>
              <w:ind w:left="0" w:right="0"/>
              <w:jc w:val="center"/>
              <w:rPr>
                <w:rFonts w:hint="eastAsia" w:ascii="仿宋" w:hAnsi="仿宋" w:eastAsia="仿宋" w:cs="仿宋"/>
                <w:b/>
                <w:bCs/>
                <w:color w:val="000000"/>
                <w:sz w:val="24"/>
                <w:szCs w:val="24"/>
              </w:rPr>
            </w:pPr>
            <w:r>
              <w:rPr>
                <w:rFonts w:hint="eastAsia" w:ascii="仿宋" w:hAnsi="仿宋" w:eastAsia="仿宋" w:cs="仿宋"/>
                <w:b/>
                <w:bCs/>
                <w:color w:val="000000"/>
                <w:kern w:val="28"/>
                <w:sz w:val="24"/>
                <w:szCs w:val="24"/>
              </w:rPr>
              <w:t>需方(甲方)：</w:t>
            </w:r>
          </w:p>
        </w:tc>
        <w:tc>
          <w:tcPr>
            <w:tcW w:w="3346" w:type="dxa"/>
            <w:noWrap w:val="0"/>
            <w:vAlign w:val="center"/>
          </w:tcPr>
          <w:p w14:paraId="6DD3DF50">
            <w:pPr>
              <w:keepNext w:val="0"/>
              <w:keepLines w:val="0"/>
              <w:suppressLineNumbers w:val="0"/>
              <w:topLinePunct/>
              <w:spacing w:before="0" w:beforeAutospacing="0" w:after="0" w:afterAutospacing="0" w:line="580" w:lineRule="exact"/>
              <w:ind w:left="0" w:right="0"/>
              <w:jc w:val="center"/>
              <w:rPr>
                <w:rFonts w:hint="eastAsia" w:ascii="仿宋" w:hAnsi="仿宋" w:eastAsia="仿宋" w:cs="仿宋"/>
                <w:b/>
                <w:bCs/>
                <w:color w:val="000000"/>
                <w:sz w:val="24"/>
                <w:szCs w:val="24"/>
              </w:rPr>
            </w:pPr>
            <w:r>
              <w:rPr>
                <w:rFonts w:hint="eastAsia" w:ascii="仿宋" w:hAnsi="仿宋" w:eastAsia="仿宋" w:cs="仿宋"/>
                <w:b/>
                <w:bCs/>
                <w:color w:val="000000"/>
                <w:kern w:val="28"/>
                <w:sz w:val="24"/>
                <w:szCs w:val="24"/>
              </w:rPr>
              <w:t>西安医学院第一附属医院</w:t>
            </w:r>
          </w:p>
        </w:tc>
        <w:tc>
          <w:tcPr>
            <w:tcW w:w="1779" w:type="dxa"/>
            <w:noWrap w:val="0"/>
            <w:vAlign w:val="center"/>
          </w:tcPr>
          <w:p w14:paraId="54AFFB9F">
            <w:pPr>
              <w:keepNext w:val="0"/>
              <w:keepLines w:val="0"/>
              <w:suppressLineNumbers w:val="0"/>
              <w:topLinePunct/>
              <w:spacing w:before="0" w:beforeAutospacing="0" w:after="0" w:afterAutospacing="0" w:line="580" w:lineRule="exact"/>
              <w:ind w:left="0" w:right="0"/>
              <w:jc w:val="center"/>
              <w:rPr>
                <w:rFonts w:hint="eastAsia" w:ascii="仿宋" w:hAnsi="仿宋" w:eastAsia="仿宋" w:cs="仿宋"/>
                <w:b/>
                <w:bCs/>
                <w:color w:val="000000"/>
                <w:sz w:val="24"/>
                <w:szCs w:val="24"/>
              </w:rPr>
            </w:pPr>
            <w:r>
              <w:rPr>
                <w:rFonts w:hint="eastAsia" w:ascii="仿宋" w:hAnsi="仿宋" w:eastAsia="仿宋" w:cs="仿宋"/>
                <w:b/>
                <w:bCs/>
                <w:color w:val="000000"/>
                <w:kern w:val="28"/>
                <w:sz w:val="24"/>
                <w:szCs w:val="24"/>
              </w:rPr>
              <w:t>供方(乙方)：</w:t>
            </w:r>
          </w:p>
        </w:tc>
        <w:tc>
          <w:tcPr>
            <w:tcW w:w="3763" w:type="dxa"/>
            <w:noWrap w:val="0"/>
            <w:vAlign w:val="center"/>
          </w:tcPr>
          <w:p w14:paraId="5D801C9D">
            <w:pPr>
              <w:keepNext w:val="0"/>
              <w:keepLines w:val="0"/>
              <w:suppressLineNumbers w:val="0"/>
              <w:topLinePunct/>
              <w:spacing w:before="0" w:beforeAutospacing="0" w:after="0" w:afterAutospacing="0" w:line="580" w:lineRule="exact"/>
              <w:ind w:left="0" w:right="0"/>
              <w:rPr>
                <w:rFonts w:hint="eastAsia" w:ascii="仿宋" w:hAnsi="仿宋" w:eastAsia="仿宋" w:cs="仿宋"/>
                <w:b/>
                <w:bCs/>
                <w:color w:val="000000"/>
                <w:kern w:val="28"/>
                <w:sz w:val="24"/>
                <w:szCs w:val="24"/>
              </w:rPr>
            </w:pPr>
          </w:p>
        </w:tc>
      </w:tr>
      <w:tr w14:paraId="72B9C181">
        <w:tblPrEx>
          <w:tblCellMar>
            <w:top w:w="0" w:type="dxa"/>
            <w:left w:w="108" w:type="dxa"/>
            <w:bottom w:w="0" w:type="dxa"/>
            <w:right w:w="108" w:type="dxa"/>
          </w:tblCellMar>
        </w:tblPrEx>
        <w:trPr>
          <w:cantSplit/>
          <w:trHeight w:val="895" w:hRule="atLeast"/>
          <w:jc w:val="center"/>
        </w:trPr>
        <w:tc>
          <w:tcPr>
            <w:tcW w:w="1779" w:type="dxa"/>
            <w:noWrap w:val="0"/>
            <w:vAlign w:val="center"/>
          </w:tcPr>
          <w:p w14:paraId="663FE79C">
            <w:pPr>
              <w:keepNext w:val="0"/>
              <w:keepLines w:val="0"/>
              <w:suppressLineNumbers w:val="0"/>
              <w:topLinePunct/>
              <w:spacing w:before="0" w:beforeAutospacing="0" w:after="0" w:afterAutospacing="0" w:line="580" w:lineRule="exact"/>
              <w:ind w:left="0" w:right="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法定代表人：</w:t>
            </w:r>
          </w:p>
        </w:tc>
        <w:tc>
          <w:tcPr>
            <w:tcW w:w="3346" w:type="dxa"/>
            <w:noWrap w:val="0"/>
            <w:vAlign w:val="center"/>
          </w:tcPr>
          <w:p w14:paraId="4EAEF187">
            <w:pPr>
              <w:keepNext w:val="0"/>
              <w:keepLines w:val="0"/>
              <w:suppressLineNumbers w:val="0"/>
              <w:topLinePunct/>
              <w:spacing w:before="0" w:beforeAutospacing="0" w:after="0" w:afterAutospacing="0" w:line="580" w:lineRule="exact"/>
              <w:ind w:left="200" w:right="0"/>
              <w:rPr>
                <w:rFonts w:hint="eastAsia" w:ascii="仿宋" w:hAnsi="仿宋" w:eastAsia="仿宋" w:cs="仿宋"/>
                <w:b/>
                <w:bCs/>
                <w:color w:val="000000"/>
                <w:sz w:val="24"/>
                <w:szCs w:val="24"/>
                <w:u w:val="single"/>
              </w:rPr>
            </w:pPr>
            <w:r>
              <w:rPr>
                <w:rFonts w:hint="eastAsia" w:ascii="仿宋" w:hAnsi="仿宋" w:eastAsia="仿宋" w:cs="仿宋"/>
                <w:b/>
                <w:bCs/>
                <w:color w:val="000000"/>
                <w:sz w:val="24"/>
                <w:szCs w:val="24"/>
                <w:u w:val="single"/>
              </w:rPr>
              <w:t xml:space="preserve">                  </w:t>
            </w:r>
          </w:p>
        </w:tc>
        <w:tc>
          <w:tcPr>
            <w:tcW w:w="1779" w:type="dxa"/>
            <w:vMerge w:val="restart"/>
            <w:noWrap w:val="0"/>
            <w:vAlign w:val="center"/>
          </w:tcPr>
          <w:p w14:paraId="20E3A8EC">
            <w:pPr>
              <w:keepNext w:val="0"/>
              <w:keepLines w:val="0"/>
              <w:suppressLineNumbers w:val="0"/>
              <w:topLinePunct/>
              <w:spacing w:before="0" w:beforeAutospacing="0" w:after="0" w:afterAutospacing="0" w:line="580" w:lineRule="exact"/>
              <w:ind w:left="0" w:right="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法定代表人</w:t>
            </w:r>
          </w:p>
          <w:p w14:paraId="250288D0">
            <w:pPr>
              <w:keepNext w:val="0"/>
              <w:keepLines w:val="0"/>
              <w:suppressLineNumbers w:val="0"/>
              <w:topLinePunct/>
              <w:spacing w:before="0" w:beforeAutospacing="0" w:after="0" w:afterAutospacing="0" w:line="580" w:lineRule="exact"/>
              <w:ind w:left="0" w:right="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或</w:t>
            </w:r>
          </w:p>
          <w:p w14:paraId="0D85A04C">
            <w:pPr>
              <w:keepNext w:val="0"/>
              <w:keepLines w:val="0"/>
              <w:suppressLineNumbers w:val="0"/>
              <w:topLinePunct/>
              <w:spacing w:before="0" w:beforeAutospacing="0" w:after="0" w:afterAutospacing="0" w:line="580" w:lineRule="exact"/>
              <w:ind w:left="0" w:right="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委托代理人</w:t>
            </w:r>
          </w:p>
        </w:tc>
        <w:tc>
          <w:tcPr>
            <w:tcW w:w="3763" w:type="dxa"/>
            <w:vMerge w:val="restart"/>
            <w:noWrap w:val="0"/>
            <w:vAlign w:val="center"/>
          </w:tcPr>
          <w:p w14:paraId="762D976B">
            <w:pPr>
              <w:keepNext w:val="0"/>
              <w:keepLines w:val="0"/>
              <w:suppressLineNumbers w:val="0"/>
              <w:topLinePunct/>
              <w:spacing w:before="0" w:beforeAutospacing="0" w:after="0" w:afterAutospacing="0" w:line="580" w:lineRule="exact"/>
              <w:ind w:left="0" w:right="0"/>
              <w:rPr>
                <w:rFonts w:hint="eastAsia" w:ascii="仿宋" w:hAnsi="仿宋" w:eastAsia="仿宋" w:cs="仿宋"/>
                <w:b/>
                <w:bCs/>
                <w:color w:val="000000"/>
                <w:sz w:val="24"/>
                <w:szCs w:val="24"/>
                <w:u w:val="single"/>
              </w:rPr>
            </w:pPr>
            <w:r>
              <w:rPr>
                <w:rFonts w:hint="eastAsia" w:ascii="仿宋" w:hAnsi="仿宋" w:eastAsia="仿宋" w:cs="仿宋"/>
                <w:b/>
                <w:bCs/>
                <w:color w:val="000000"/>
                <w:sz w:val="24"/>
                <w:szCs w:val="24"/>
                <w:u w:val="single"/>
              </w:rPr>
              <w:t xml:space="preserve">                      </w:t>
            </w:r>
          </w:p>
        </w:tc>
      </w:tr>
      <w:tr w14:paraId="0F7EE309">
        <w:tblPrEx>
          <w:tblCellMar>
            <w:top w:w="0" w:type="dxa"/>
            <w:left w:w="108" w:type="dxa"/>
            <w:bottom w:w="0" w:type="dxa"/>
            <w:right w:w="108" w:type="dxa"/>
          </w:tblCellMar>
        </w:tblPrEx>
        <w:trPr>
          <w:cantSplit/>
          <w:trHeight w:val="782" w:hRule="atLeast"/>
          <w:jc w:val="center"/>
        </w:trPr>
        <w:tc>
          <w:tcPr>
            <w:tcW w:w="1779" w:type="dxa"/>
            <w:noWrap w:val="0"/>
            <w:vAlign w:val="center"/>
          </w:tcPr>
          <w:p w14:paraId="05ACB615">
            <w:pPr>
              <w:keepNext w:val="0"/>
              <w:keepLines w:val="0"/>
              <w:suppressLineNumbers w:val="0"/>
              <w:topLinePunct/>
              <w:spacing w:before="0" w:beforeAutospacing="0" w:after="0" w:afterAutospacing="0" w:line="580" w:lineRule="exact"/>
              <w:ind w:left="0" w:right="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委托代理人：</w:t>
            </w:r>
          </w:p>
        </w:tc>
        <w:tc>
          <w:tcPr>
            <w:tcW w:w="3346" w:type="dxa"/>
            <w:noWrap w:val="0"/>
            <w:vAlign w:val="center"/>
          </w:tcPr>
          <w:p w14:paraId="1A807CB8">
            <w:pPr>
              <w:keepNext w:val="0"/>
              <w:keepLines w:val="0"/>
              <w:suppressLineNumbers w:val="0"/>
              <w:topLinePunct/>
              <w:spacing w:before="0" w:beforeAutospacing="0" w:after="0" w:afterAutospacing="0" w:line="580" w:lineRule="exact"/>
              <w:ind w:left="200" w:right="0"/>
              <w:rPr>
                <w:rFonts w:hint="eastAsia" w:ascii="仿宋" w:hAnsi="仿宋" w:eastAsia="仿宋" w:cs="仿宋"/>
                <w:b/>
                <w:bCs/>
                <w:color w:val="000000"/>
                <w:sz w:val="24"/>
                <w:szCs w:val="24"/>
                <w:u w:val="single"/>
              </w:rPr>
            </w:pPr>
            <w:r>
              <w:rPr>
                <w:rFonts w:hint="eastAsia" w:ascii="仿宋" w:hAnsi="仿宋" w:eastAsia="仿宋" w:cs="仿宋"/>
                <w:b/>
                <w:bCs/>
                <w:color w:val="000000"/>
                <w:sz w:val="24"/>
                <w:szCs w:val="24"/>
                <w:u w:val="single"/>
              </w:rPr>
              <w:t xml:space="preserve">                  </w:t>
            </w:r>
          </w:p>
        </w:tc>
        <w:tc>
          <w:tcPr>
            <w:tcW w:w="1779" w:type="dxa"/>
            <w:vMerge w:val="continue"/>
            <w:noWrap w:val="0"/>
            <w:vAlign w:val="center"/>
          </w:tcPr>
          <w:p w14:paraId="0F5C245E">
            <w:pPr>
              <w:keepNext w:val="0"/>
              <w:keepLines w:val="0"/>
              <w:suppressLineNumbers w:val="0"/>
              <w:topLinePunct/>
              <w:spacing w:before="0" w:beforeAutospacing="0" w:after="0" w:afterAutospacing="0" w:line="580" w:lineRule="exact"/>
              <w:ind w:left="0" w:right="0"/>
              <w:jc w:val="center"/>
              <w:rPr>
                <w:rFonts w:hint="eastAsia" w:ascii="仿宋" w:hAnsi="仿宋" w:eastAsia="仿宋" w:cs="仿宋"/>
                <w:b/>
                <w:bCs/>
                <w:color w:val="000000"/>
                <w:sz w:val="24"/>
                <w:szCs w:val="24"/>
              </w:rPr>
            </w:pPr>
          </w:p>
        </w:tc>
        <w:tc>
          <w:tcPr>
            <w:tcW w:w="3763" w:type="dxa"/>
            <w:vMerge w:val="continue"/>
            <w:noWrap w:val="0"/>
            <w:vAlign w:val="center"/>
          </w:tcPr>
          <w:p w14:paraId="1CF1711B">
            <w:pPr>
              <w:keepNext w:val="0"/>
              <w:keepLines w:val="0"/>
              <w:suppressLineNumbers w:val="0"/>
              <w:topLinePunct/>
              <w:spacing w:before="0" w:beforeAutospacing="0" w:after="0" w:afterAutospacing="0" w:line="580" w:lineRule="exact"/>
              <w:ind w:left="200" w:right="0"/>
              <w:rPr>
                <w:rFonts w:hint="eastAsia" w:ascii="仿宋" w:hAnsi="仿宋" w:eastAsia="仿宋" w:cs="仿宋"/>
                <w:b/>
                <w:bCs/>
                <w:color w:val="000000"/>
                <w:sz w:val="24"/>
                <w:szCs w:val="24"/>
              </w:rPr>
            </w:pPr>
          </w:p>
        </w:tc>
      </w:tr>
      <w:tr w14:paraId="35A52B4C">
        <w:tblPrEx>
          <w:tblCellMar>
            <w:top w:w="0" w:type="dxa"/>
            <w:left w:w="108" w:type="dxa"/>
            <w:bottom w:w="0" w:type="dxa"/>
            <w:right w:w="108" w:type="dxa"/>
          </w:tblCellMar>
        </w:tblPrEx>
        <w:trPr>
          <w:cantSplit/>
          <w:trHeight w:val="810" w:hRule="atLeast"/>
          <w:jc w:val="center"/>
        </w:trPr>
        <w:tc>
          <w:tcPr>
            <w:tcW w:w="1779" w:type="dxa"/>
            <w:noWrap w:val="0"/>
            <w:vAlign w:val="center"/>
          </w:tcPr>
          <w:p w14:paraId="2D647F57">
            <w:pPr>
              <w:keepNext w:val="0"/>
              <w:keepLines w:val="0"/>
              <w:suppressLineNumbers w:val="0"/>
              <w:topLinePunct/>
              <w:spacing w:before="0" w:beforeAutospacing="0" w:after="0" w:afterAutospacing="0" w:line="580" w:lineRule="exact"/>
              <w:ind w:left="0" w:right="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经  办  人：</w:t>
            </w:r>
          </w:p>
        </w:tc>
        <w:tc>
          <w:tcPr>
            <w:tcW w:w="3346" w:type="dxa"/>
            <w:noWrap w:val="0"/>
            <w:vAlign w:val="center"/>
          </w:tcPr>
          <w:p w14:paraId="068B36F8">
            <w:pPr>
              <w:keepNext w:val="0"/>
              <w:keepLines w:val="0"/>
              <w:suppressLineNumbers w:val="0"/>
              <w:topLinePunct/>
              <w:spacing w:before="0" w:beforeAutospacing="0" w:after="0" w:afterAutospacing="0" w:line="580" w:lineRule="exact"/>
              <w:ind w:left="200" w:right="0"/>
              <w:rPr>
                <w:rFonts w:hint="eastAsia" w:ascii="仿宋" w:hAnsi="仿宋" w:eastAsia="仿宋" w:cs="仿宋"/>
                <w:b/>
                <w:bCs/>
                <w:color w:val="000000"/>
                <w:sz w:val="24"/>
                <w:szCs w:val="24"/>
                <w:u w:val="single"/>
              </w:rPr>
            </w:pPr>
            <w:r>
              <w:rPr>
                <w:rFonts w:hint="eastAsia" w:ascii="仿宋" w:hAnsi="仿宋" w:eastAsia="仿宋" w:cs="仿宋"/>
                <w:b/>
                <w:bCs/>
                <w:color w:val="000000"/>
                <w:sz w:val="24"/>
                <w:szCs w:val="24"/>
                <w:u w:val="single"/>
              </w:rPr>
              <w:t xml:space="preserve">                  </w:t>
            </w:r>
          </w:p>
        </w:tc>
        <w:tc>
          <w:tcPr>
            <w:tcW w:w="1779" w:type="dxa"/>
            <w:vMerge w:val="continue"/>
            <w:noWrap w:val="0"/>
            <w:vAlign w:val="center"/>
          </w:tcPr>
          <w:p w14:paraId="7800D1C6">
            <w:pPr>
              <w:keepNext w:val="0"/>
              <w:keepLines w:val="0"/>
              <w:suppressLineNumbers w:val="0"/>
              <w:topLinePunct/>
              <w:spacing w:before="0" w:beforeAutospacing="0" w:after="0" w:afterAutospacing="0" w:line="580" w:lineRule="exact"/>
              <w:ind w:left="200" w:right="0"/>
              <w:jc w:val="center"/>
              <w:rPr>
                <w:rFonts w:hint="eastAsia" w:ascii="仿宋" w:hAnsi="仿宋" w:eastAsia="仿宋" w:cs="仿宋"/>
                <w:b/>
                <w:bCs/>
                <w:color w:val="000000"/>
                <w:sz w:val="24"/>
                <w:szCs w:val="24"/>
              </w:rPr>
            </w:pPr>
          </w:p>
        </w:tc>
        <w:tc>
          <w:tcPr>
            <w:tcW w:w="3763" w:type="dxa"/>
            <w:vMerge w:val="continue"/>
            <w:noWrap w:val="0"/>
            <w:vAlign w:val="center"/>
          </w:tcPr>
          <w:p w14:paraId="0ECC805C">
            <w:pPr>
              <w:keepNext w:val="0"/>
              <w:keepLines w:val="0"/>
              <w:suppressLineNumbers w:val="0"/>
              <w:topLinePunct/>
              <w:spacing w:before="0" w:beforeAutospacing="0" w:after="0" w:afterAutospacing="0" w:line="580" w:lineRule="exact"/>
              <w:ind w:left="200" w:right="0"/>
              <w:rPr>
                <w:rFonts w:hint="eastAsia" w:ascii="仿宋" w:hAnsi="仿宋" w:eastAsia="仿宋" w:cs="仿宋"/>
                <w:b/>
                <w:bCs/>
                <w:color w:val="000000"/>
                <w:sz w:val="24"/>
                <w:szCs w:val="24"/>
              </w:rPr>
            </w:pPr>
          </w:p>
        </w:tc>
      </w:tr>
      <w:tr w14:paraId="28A8FC56">
        <w:tblPrEx>
          <w:tblCellMar>
            <w:top w:w="0" w:type="dxa"/>
            <w:left w:w="108" w:type="dxa"/>
            <w:bottom w:w="0" w:type="dxa"/>
            <w:right w:w="108" w:type="dxa"/>
          </w:tblCellMar>
        </w:tblPrEx>
        <w:trPr>
          <w:cantSplit/>
          <w:trHeight w:val="820" w:hRule="atLeast"/>
          <w:jc w:val="center"/>
        </w:trPr>
        <w:tc>
          <w:tcPr>
            <w:tcW w:w="1779" w:type="dxa"/>
            <w:noWrap w:val="0"/>
            <w:vAlign w:val="center"/>
          </w:tcPr>
          <w:p w14:paraId="75FA4092">
            <w:pPr>
              <w:keepNext w:val="0"/>
              <w:keepLines w:val="0"/>
              <w:suppressLineNumbers w:val="0"/>
              <w:topLinePunct/>
              <w:spacing w:before="0" w:beforeAutospacing="0" w:after="0" w:afterAutospacing="0" w:line="580" w:lineRule="exact"/>
              <w:ind w:left="0" w:right="0"/>
              <w:jc w:val="center"/>
              <w:rPr>
                <w:rFonts w:hint="eastAsia" w:ascii="仿宋" w:hAnsi="仿宋" w:eastAsia="仿宋" w:cs="仿宋"/>
                <w:b/>
                <w:bCs/>
                <w:color w:val="000000"/>
                <w:sz w:val="24"/>
                <w:szCs w:val="24"/>
              </w:rPr>
            </w:pPr>
            <w:r>
              <w:rPr>
                <w:rFonts w:hint="eastAsia" w:ascii="仿宋" w:hAnsi="仿宋" w:eastAsia="仿宋" w:cs="仿宋"/>
                <w:b/>
                <w:bCs/>
                <w:color w:val="000000"/>
                <w:kern w:val="28"/>
                <w:sz w:val="24"/>
                <w:szCs w:val="24"/>
              </w:rPr>
              <w:t>盖      章：</w:t>
            </w:r>
          </w:p>
        </w:tc>
        <w:tc>
          <w:tcPr>
            <w:tcW w:w="3346" w:type="dxa"/>
            <w:noWrap w:val="0"/>
            <w:vAlign w:val="center"/>
          </w:tcPr>
          <w:p w14:paraId="45597DCC">
            <w:pPr>
              <w:keepNext w:val="0"/>
              <w:keepLines w:val="0"/>
              <w:suppressLineNumbers w:val="0"/>
              <w:topLinePunct/>
              <w:spacing w:before="0" w:beforeAutospacing="0" w:after="0" w:afterAutospacing="0" w:line="580" w:lineRule="exact"/>
              <w:ind w:left="200" w:right="0"/>
              <w:rPr>
                <w:rFonts w:hint="eastAsia" w:ascii="仿宋" w:hAnsi="仿宋" w:eastAsia="仿宋" w:cs="仿宋"/>
                <w:b/>
                <w:bCs/>
                <w:color w:val="000000"/>
                <w:sz w:val="24"/>
                <w:szCs w:val="24"/>
                <w:u w:val="single"/>
              </w:rPr>
            </w:pPr>
            <w:r>
              <w:rPr>
                <w:rFonts w:hint="eastAsia" w:ascii="仿宋" w:hAnsi="仿宋" w:eastAsia="仿宋" w:cs="仿宋"/>
                <w:b/>
                <w:bCs/>
                <w:color w:val="000000"/>
                <w:sz w:val="24"/>
                <w:szCs w:val="24"/>
                <w:u w:val="single"/>
              </w:rPr>
              <w:t xml:space="preserve">                  </w:t>
            </w:r>
          </w:p>
        </w:tc>
        <w:tc>
          <w:tcPr>
            <w:tcW w:w="1779" w:type="dxa"/>
            <w:noWrap w:val="0"/>
            <w:vAlign w:val="center"/>
          </w:tcPr>
          <w:p w14:paraId="43C5066D">
            <w:pPr>
              <w:keepNext w:val="0"/>
              <w:keepLines w:val="0"/>
              <w:suppressLineNumbers w:val="0"/>
              <w:topLinePunct/>
              <w:spacing w:before="0" w:beforeAutospacing="0" w:after="0" w:afterAutospacing="0" w:line="580" w:lineRule="exact"/>
              <w:ind w:left="0" w:right="0"/>
              <w:jc w:val="center"/>
              <w:rPr>
                <w:rFonts w:hint="eastAsia" w:ascii="仿宋" w:hAnsi="仿宋" w:eastAsia="仿宋" w:cs="仿宋"/>
                <w:b/>
                <w:bCs/>
                <w:color w:val="000000"/>
                <w:sz w:val="24"/>
                <w:szCs w:val="24"/>
              </w:rPr>
            </w:pPr>
            <w:r>
              <w:rPr>
                <w:rFonts w:hint="eastAsia" w:ascii="仿宋" w:hAnsi="仿宋" w:eastAsia="仿宋" w:cs="仿宋"/>
                <w:b/>
                <w:bCs/>
                <w:color w:val="000000"/>
                <w:kern w:val="28"/>
                <w:sz w:val="24"/>
                <w:szCs w:val="24"/>
              </w:rPr>
              <w:t>盖      章：</w:t>
            </w:r>
          </w:p>
        </w:tc>
        <w:tc>
          <w:tcPr>
            <w:tcW w:w="3763" w:type="dxa"/>
            <w:noWrap w:val="0"/>
            <w:vAlign w:val="center"/>
          </w:tcPr>
          <w:p w14:paraId="4CDBBE9C">
            <w:pPr>
              <w:keepNext w:val="0"/>
              <w:keepLines w:val="0"/>
              <w:suppressLineNumbers w:val="0"/>
              <w:topLinePunct/>
              <w:spacing w:before="0" w:beforeAutospacing="0" w:after="0" w:afterAutospacing="0" w:line="580" w:lineRule="exact"/>
              <w:ind w:left="0" w:right="0"/>
              <w:rPr>
                <w:rFonts w:hint="eastAsia" w:ascii="仿宋" w:hAnsi="仿宋" w:eastAsia="仿宋" w:cs="仿宋"/>
                <w:b/>
                <w:bCs/>
                <w:color w:val="000000"/>
                <w:sz w:val="24"/>
                <w:szCs w:val="24"/>
                <w:u w:val="single"/>
              </w:rPr>
            </w:pPr>
            <w:r>
              <w:rPr>
                <w:rFonts w:hint="eastAsia" w:ascii="仿宋" w:hAnsi="仿宋" w:eastAsia="仿宋" w:cs="仿宋"/>
                <w:b/>
                <w:bCs/>
                <w:color w:val="000000"/>
                <w:sz w:val="24"/>
                <w:szCs w:val="24"/>
                <w:u w:val="single"/>
              </w:rPr>
              <w:t xml:space="preserve">                      </w:t>
            </w:r>
          </w:p>
        </w:tc>
      </w:tr>
      <w:tr w14:paraId="37BBBD88">
        <w:tblPrEx>
          <w:tblCellMar>
            <w:top w:w="0" w:type="dxa"/>
            <w:left w:w="108" w:type="dxa"/>
            <w:bottom w:w="0" w:type="dxa"/>
            <w:right w:w="108" w:type="dxa"/>
          </w:tblCellMar>
        </w:tblPrEx>
        <w:trPr>
          <w:cantSplit/>
          <w:trHeight w:val="868" w:hRule="atLeast"/>
          <w:jc w:val="center"/>
        </w:trPr>
        <w:tc>
          <w:tcPr>
            <w:tcW w:w="1779" w:type="dxa"/>
            <w:noWrap w:val="0"/>
            <w:vAlign w:val="center"/>
          </w:tcPr>
          <w:p w14:paraId="30AD3716">
            <w:pPr>
              <w:keepNext w:val="0"/>
              <w:keepLines w:val="0"/>
              <w:suppressLineNumbers w:val="0"/>
              <w:topLinePunct/>
              <w:spacing w:before="0" w:beforeAutospacing="0" w:after="0" w:afterAutospacing="0" w:line="580" w:lineRule="exact"/>
              <w:ind w:left="0" w:right="0"/>
              <w:rPr>
                <w:rFonts w:hint="eastAsia" w:ascii="仿宋" w:hAnsi="仿宋" w:eastAsia="仿宋" w:cs="仿宋"/>
                <w:b/>
                <w:bCs/>
                <w:color w:val="000000"/>
                <w:kern w:val="28"/>
                <w:sz w:val="24"/>
                <w:szCs w:val="24"/>
              </w:rPr>
            </w:pPr>
            <w:r>
              <w:rPr>
                <w:rFonts w:hint="eastAsia" w:ascii="仿宋" w:hAnsi="仿宋" w:eastAsia="仿宋" w:cs="仿宋"/>
                <w:b/>
                <w:bCs/>
                <w:color w:val="000000"/>
                <w:kern w:val="28"/>
                <w:sz w:val="24"/>
                <w:szCs w:val="24"/>
              </w:rPr>
              <w:t>盖 章日 期：</w:t>
            </w:r>
          </w:p>
        </w:tc>
        <w:tc>
          <w:tcPr>
            <w:tcW w:w="3346" w:type="dxa"/>
            <w:noWrap w:val="0"/>
            <w:vAlign w:val="center"/>
          </w:tcPr>
          <w:p w14:paraId="4816E921">
            <w:pPr>
              <w:keepNext w:val="0"/>
              <w:keepLines w:val="0"/>
              <w:suppressLineNumbers w:val="0"/>
              <w:topLinePunct/>
              <w:spacing w:before="0" w:beforeAutospacing="0" w:after="0" w:afterAutospacing="0" w:line="580" w:lineRule="exact"/>
              <w:ind w:left="200" w:right="0"/>
              <w:rPr>
                <w:rFonts w:hint="eastAsia" w:ascii="仿宋" w:hAnsi="仿宋" w:eastAsia="仿宋" w:cs="仿宋"/>
                <w:b/>
                <w:bCs/>
                <w:color w:val="000000"/>
                <w:sz w:val="24"/>
                <w:szCs w:val="24"/>
                <w:u w:val="single"/>
              </w:rPr>
            </w:pPr>
            <w:r>
              <w:rPr>
                <w:rFonts w:hint="eastAsia" w:ascii="仿宋" w:hAnsi="仿宋" w:eastAsia="仿宋" w:cs="仿宋"/>
                <w:b/>
                <w:bCs/>
                <w:color w:val="000000"/>
                <w:sz w:val="24"/>
                <w:szCs w:val="24"/>
                <w:u w:val="single"/>
              </w:rPr>
              <w:t xml:space="preserve">      </w:t>
            </w:r>
            <w:r>
              <w:rPr>
                <w:rFonts w:hint="eastAsia" w:ascii="仿宋" w:hAnsi="仿宋" w:eastAsia="仿宋" w:cs="仿宋"/>
                <w:b/>
                <w:bCs/>
                <w:color w:val="000000"/>
                <w:sz w:val="24"/>
                <w:szCs w:val="24"/>
              </w:rPr>
              <w:t>年</w:t>
            </w:r>
            <w:r>
              <w:rPr>
                <w:rFonts w:hint="eastAsia" w:ascii="仿宋" w:hAnsi="仿宋" w:eastAsia="仿宋" w:cs="仿宋"/>
                <w:b/>
                <w:bCs/>
                <w:color w:val="000000"/>
                <w:sz w:val="24"/>
                <w:szCs w:val="24"/>
                <w:u w:val="single"/>
              </w:rPr>
              <w:t xml:space="preserve">   </w:t>
            </w:r>
            <w:r>
              <w:rPr>
                <w:rFonts w:hint="eastAsia" w:ascii="仿宋" w:hAnsi="仿宋" w:eastAsia="仿宋" w:cs="仿宋"/>
                <w:b/>
                <w:bCs/>
                <w:color w:val="000000"/>
                <w:sz w:val="24"/>
                <w:szCs w:val="24"/>
              </w:rPr>
              <w:t>月</w:t>
            </w:r>
            <w:r>
              <w:rPr>
                <w:rFonts w:hint="eastAsia" w:ascii="仿宋" w:hAnsi="仿宋" w:eastAsia="仿宋" w:cs="仿宋"/>
                <w:b/>
                <w:bCs/>
                <w:color w:val="000000"/>
                <w:sz w:val="24"/>
                <w:szCs w:val="24"/>
                <w:u w:val="single"/>
              </w:rPr>
              <w:t xml:space="preserve">   </w:t>
            </w:r>
            <w:r>
              <w:rPr>
                <w:rFonts w:hint="eastAsia" w:ascii="仿宋" w:hAnsi="仿宋" w:eastAsia="仿宋" w:cs="仿宋"/>
                <w:b/>
                <w:bCs/>
                <w:color w:val="000000"/>
                <w:sz w:val="24"/>
                <w:szCs w:val="24"/>
              </w:rPr>
              <w:t>日</w:t>
            </w:r>
          </w:p>
        </w:tc>
        <w:tc>
          <w:tcPr>
            <w:tcW w:w="1779" w:type="dxa"/>
            <w:noWrap w:val="0"/>
            <w:vAlign w:val="center"/>
          </w:tcPr>
          <w:p w14:paraId="3CC2FCD0">
            <w:pPr>
              <w:keepNext w:val="0"/>
              <w:keepLines w:val="0"/>
              <w:suppressLineNumbers w:val="0"/>
              <w:topLinePunct/>
              <w:spacing w:before="0" w:beforeAutospacing="0" w:after="0" w:afterAutospacing="0" w:line="580" w:lineRule="exact"/>
              <w:ind w:left="0" w:right="0"/>
              <w:jc w:val="center"/>
              <w:rPr>
                <w:rFonts w:hint="eastAsia" w:ascii="仿宋" w:hAnsi="仿宋" w:eastAsia="仿宋" w:cs="仿宋"/>
                <w:b/>
                <w:bCs/>
                <w:color w:val="000000"/>
                <w:kern w:val="28"/>
                <w:sz w:val="24"/>
                <w:szCs w:val="24"/>
              </w:rPr>
            </w:pPr>
            <w:r>
              <w:rPr>
                <w:rFonts w:hint="eastAsia" w:ascii="仿宋" w:hAnsi="仿宋" w:eastAsia="仿宋" w:cs="仿宋"/>
                <w:b/>
                <w:bCs/>
                <w:color w:val="000000"/>
                <w:kern w:val="28"/>
                <w:sz w:val="24"/>
                <w:szCs w:val="24"/>
              </w:rPr>
              <w:t>盖 章日 期：</w:t>
            </w:r>
          </w:p>
        </w:tc>
        <w:tc>
          <w:tcPr>
            <w:tcW w:w="3763" w:type="dxa"/>
            <w:noWrap w:val="0"/>
            <w:vAlign w:val="center"/>
          </w:tcPr>
          <w:p w14:paraId="28E0D4C8">
            <w:pPr>
              <w:keepNext w:val="0"/>
              <w:keepLines w:val="0"/>
              <w:suppressLineNumbers w:val="0"/>
              <w:topLinePunct/>
              <w:spacing w:before="0" w:beforeAutospacing="0" w:after="0" w:afterAutospacing="0" w:line="580" w:lineRule="exact"/>
              <w:ind w:left="0" w:right="0"/>
              <w:rPr>
                <w:rFonts w:hint="eastAsia" w:ascii="仿宋" w:hAnsi="仿宋" w:eastAsia="仿宋" w:cs="仿宋"/>
                <w:b/>
                <w:bCs/>
                <w:color w:val="000000"/>
                <w:sz w:val="24"/>
                <w:szCs w:val="24"/>
              </w:rPr>
            </w:pPr>
            <w:r>
              <w:rPr>
                <w:rFonts w:hint="eastAsia" w:ascii="仿宋" w:hAnsi="仿宋" w:eastAsia="仿宋" w:cs="仿宋"/>
                <w:b/>
                <w:bCs/>
                <w:color w:val="000000"/>
                <w:sz w:val="24"/>
                <w:szCs w:val="24"/>
                <w:u w:val="single"/>
              </w:rPr>
              <w:t xml:space="preserve">       </w:t>
            </w:r>
            <w:r>
              <w:rPr>
                <w:rFonts w:hint="eastAsia" w:ascii="仿宋" w:hAnsi="仿宋" w:eastAsia="仿宋" w:cs="仿宋"/>
                <w:b/>
                <w:bCs/>
                <w:color w:val="000000"/>
                <w:sz w:val="24"/>
                <w:szCs w:val="24"/>
              </w:rPr>
              <w:t>年</w:t>
            </w:r>
            <w:r>
              <w:rPr>
                <w:rFonts w:hint="eastAsia" w:ascii="仿宋" w:hAnsi="仿宋" w:eastAsia="仿宋" w:cs="仿宋"/>
                <w:b/>
                <w:bCs/>
                <w:color w:val="000000"/>
                <w:sz w:val="24"/>
                <w:szCs w:val="24"/>
                <w:u w:val="single"/>
              </w:rPr>
              <w:t xml:space="preserve">    </w:t>
            </w:r>
            <w:r>
              <w:rPr>
                <w:rFonts w:hint="eastAsia" w:ascii="仿宋" w:hAnsi="仿宋" w:eastAsia="仿宋" w:cs="仿宋"/>
                <w:b/>
                <w:bCs/>
                <w:color w:val="000000"/>
                <w:sz w:val="24"/>
                <w:szCs w:val="24"/>
              </w:rPr>
              <w:t>月</w:t>
            </w:r>
            <w:r>
              <w:rPr>
                <w:rFonts w:hint="eastAsia" w:ascii="仿宋" w:hAnsi="仿宋" w:eastAsia="仿宋" w:cs="仿宋"/>
                <w:b/>
                <w:bCs/>
                <w:color w:val="000000"/>
                <w:sz w:val="24"/>
                <w:szCs w:val="24"/>
                <w:u w:val="single"/>
              </w:rPr>
              <w:t xml:space="preserve">    </w:t>
            </w:r>
            <w:r>
              <w:rPr>
                <w:rFonts w:hint="eastAsia" w:ascii="仿宋" w:hAnsi="仿宋" w:eastAsia="仿宋" w:cs="仿宋"/>
                <w:b/>
                <w:bCs/>
                <w:color w:val="000000"/>
                <w:sz w:val="24"/>
                <w:szCs w:val="24"/>
              </w:rPr>
              <w:t>日</w:t>
            </w:r>
          </w:p>
        </w:tc>
      </w:tr>
      <w:bookmarkEnd w:id="315"/>
    </w:tbl>
    <w:p w14:paraId="43D8E35E">
      <w:pPr>
        <w:rPr>
          <w:rFonts w:hint="eastAsia" w:ascii="仿宋" w:hAnsi="仿宋" w:eastAsia="仿宋" w:cs="仿宋"/>
        </w:rPr>
      </w:pPr>
    </w:p>
    <w:p w14:paraId="74451034">
      <w:pPr>
        <w:pStyle w:val="2"/>
        <w:adjustRightInd w:val="0"/>
        <w:snapToGrid w:val="0"/>
        <w:spacing w:before="0" w:after="0" w:line="360" w:lineRule="auto"/>
        <w:jc w:val="center"/>
        <w:rPr>
          <w:rFonts w:hint="eastAsia" w:ascii="仿宋" w:hAnsi="仿宋" w:eastAsia="仿宋" w:cs="仿宋"/>
          <w:sz w:val="24"/>
          <w:szCs w:val="24"/>
        </w:rPr>
      </w:pPr>
      <w:r>
        <w:rPr>
          <w:rFonts w:hint="eastAsia" w:ascii="仿宋" w:hAnsi="仿宋" w:eastAsia="仿宋" w:cs="仿宋"/>
          <w:sz w:val="32"/>
          <w:szCs w:val="32"/>
        </w:rPr>
        <w:br w:type="page"/>
      </w:r>
      <w:bookmarkStart w:id="316" w:name="_Toc11186"/>
      <w:r>
        <w:rPr>
          <w:rFonts w:hint="eastAsia" w:ascii="仿宋" w:hAnsi="仿宋" w:eastAsia="仿宋" w:cs="仿宋"/>
          <w:sz w:val="32"/>
          <w:szCs w:val="32"/>
        </w:rPr>
        <w:t>第五部分  附件--谈判响应文件格式</w:t>
      </w:r>
      <w:bookmarkEnd w:id="307"/>
      <w:bookmarkEnd w:id="312"/>
      <w:bookmarkEnd w:id="313"/>
      <w:bookmarkEnd w:id="316"/>
    </w:p>
    <w:p w14:paraId="7603383E">
      <w:pPr>
        <w:rPr>
          <w:rFonts w:hint="eastAsia" w:ascii="仿宋" w:hAnsi="仿宋" w:eastAsia="仿宋" w:cs="仿宋"/>
          <w:b/>
          <w:bCs/>
        </w:rPr>
      </w:pPr>
      <w:r>
        <w:rPr>
          <w:rFonts w:hint="eastAsia" w:ascii="仿宋" w:hAnsi="仿宋" w:eastAsia="仿宋" w:cs="仿宋"/>
          <w:b/>
          <w:bCs/>
        </w:rPr>
        <w:t>（封面）</w:t>
      </w:r>
    </w:p>
    <w:p w14:paraId="3CC416A9">
      <w:pPr>
        <w:rPr>
          <w:rFonts w:hint="eastAsia" w:ascii="仿宋" w:hAnsi="仿宋" w:eastAsia="仿宋" w:cs="仿宋"/>
          <w:b/>
          <w:bCs/>
        </w:rPr>
      </w:pPr>
      <w:r>
        <w:rPr>
          <w:rFonts w:hint="eastAsia" w:ascii="仿宋" w:hAnsi="仿宋" w:eastAsia="仿宋" w:cs="仿宋"/>
          <w:b/>
          <w:bCs/>
        </w:rPr>
        <w:t xml:space="preserve">                                  （正本/副本/电子版）</w:t>
      </w:r>
    </w:p>
    <w:p w14:paraId="71C0D48E">
      <w:pPr>
        <w:rPr>
          <w:rFonts w:hint="eastAsia" w:ascii="仿宋" w:hAnsi="仿宋" w:eastAsia="仿宋" w:cs="仿宋"/>
          <w:b/>
        </w:rPr>
      </w:pPr>
    </w:p>
    <w:p w14:paraId="5160BD9F">
      <w:pPr>
        <w:jc w:val="center"/>
        <w:rPr>
          <w:rFonts w:hint="eastAsia" w:ascii="仿宋" w:hAnsi="仿宋" w:eastAsia="仿宋" w:cs="仿宋"/>
          <w:b/>
          <w:sz w:val="44"/>
          <w:szCs w:val="44"/>
          <w:lang w:eastAsia="zh-CN"/>
        </w:rPr>
      </w:pPr>
      <w:r>
        <w:rPr>
          <w:rFonts w:hint="eastAsia" w:ascii="仿宋" w:hAnsi="仿宋" w:eastAsia="仿宋" w:cs="仿宋"/>
          <w:b/>
          <w:sz w:val="44"/>
          <w:szCs w:val="44"/>
          <w:lang w:eastAsia="zh-CN"/>
        </w:rPr>
        <w:t>西安医学院第一附属医院经颅磁刺激治疗仪、光子治疗仪等一批设备购置安装及售后服务项目</w:t>
      </w:r>
    </w:p>
    <w:p w14:paraId="210EAEC6">
      <w:pPr>
        <w:rPr>
          <w:rFonts w:hint="eastAsia" w:ascii="仿宋" w:hAnsi="仿宋" w:eastAsia="仿宋" w:cs="仿宋"/>
          <w:b/>
          <w:sz w:val="56"/>
          <w:szCs w:val="56"/>
        </w:rPr>
      </w:pPr>
    </w:p>
    <w:p w14:paraId="25F473DD">
      <w:pPr>
        <w:jc w:val="center"/>
        <w:rPr>
          <w:rFonts w:hint="eastAsia" w:ascii="仿宋" w:hAnsi="仿宋" w:eastAsia="仿宋" w:cs="仿宋"/>
          <w:b/>
          <w:sz w:val="56"/>
          <w:szCs w:val="56"/>
        </w:rPr>
      </w:pPr>
      <w:r>
        <w:rPr>
          <w:rFonts w:hint="eastAsia" w:ascii="仿宋" w:hAnsi="仿宋" w:eastAsia="仿宋" w:cs="仿宋"/>
          <w:b/>
          <w:sz w:val="56"/>
          <w:szCs w:val="56"/>
        </w:rPr>
        <w:t>谈判响应文件</w:t>
      </w:r>
    </w:p>
    <w:p w14:paraId="7714F7E7">
      <w:pPr>
        <w:jc w:val="center"/>
        <w:rPr>
          <w:rFonts w:hint="eastAsia" w:ascii="仿宋" w:hAnsi="仿宋" w:eastAsia="仿宋" w:cs="仿宋"/>
          <w:b/>
          <w:sz w:val="36"/>
          <w:szCs w:val="36"/>
        </w:rPr>
      </w:pPr>
      <w:r>
        <w:rPr>
          <w:rFonts w:hint="eastAsia" w:ascii="仿宋" w:hAnsi="仿宋" w:eastAsia="仿宋" w:cs="仿宋"/>
          <w:b/>
          <w:sz w:val="36"/>
          <w:szCs w:val="36"/>
        </w:rPr>
        <w:t>项目编号：</w:t>
      </w:r>
      <w:r>
        <w:rPr>
          <w:rFonts w:hint="eastAsia" w:ascii="仿宋" w:hAnsi="仿宋" w:eastAsia="仿宋" w:cs="仿宋"/>
          <w:b/>
          <w:sz w:val="36"/>
          <w:szCs w:val="36"/>
          <w:lang w:eastAsia="zh-CN"/>
        </w:rPr>
        <w:t>SZT2025-SN-SC-ZC-HW-1245</w:t>
      </w:r>
      <w:r>
        <w:rPr>
          <w:rFonts w:hint="eastAsia" w:ascii="仿宋" w:hAnsi="仿宋" w:eastAsia="仿宋" w:cs="仿宋"/>
          <w:b/>
          <w:sz w:val="36"/>
          <w:szCs w:val="36"/>
        </w:rPr>
        <w:t xml:space="preserve"> </w:t>
      </w:r>
    </w:p>
    <w:p w14:paraId="61896667">
      <w:pPr>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包号：</w:t>
      </w:r>
    </w:p>
    <w:p w14:paraId="68A275F7">
      <w:pPr>
        <w:rPr>
          <w:rFonts w:hint="eastAsia" w:ascii="仿宋" w:hAnsi="仿宋" w:eastAsia="仿宋" w:cs="仿宋"/>
          <w:b/>
        </w:rPr>
      </w:pPr>
    </w:p>
    <w:p w14:paraId="019A7B9F">
      <w:pPr>
        <w:pStyle w:val="18"/>
        <w:rPr>
          <w:rFonts w:hint="eastAsia" w:ascii="仿宋" w:hAnsi="仿宋" w:eastAsia="仿宋" w:cs="仿宋"/>
        </w:rPr>
      </w:pPr>
    </w:p>
    <w:p w14:paraId="08B95CDC">
      <w:pPr>
        <w:pStyle w:val="18"/>
        <w:rPr>
          <w:rFonts w:hint="eastAsia" w:ascii="仿宋" w:hAnsi="仿宋" w:eastAsia="仿宋" w:cs="仿宋"/>
          <w:b/>
        </w:rPr>
      </w:pPr>
    </w:p>
    <w:p w14:paraId="76146E25">
      <w:pPr>
        <w:rPr>
          <w:rFonts w:hint="eastAsia" w:ascii="仿宋" w:hAnsi="仿宋" w:eastAsia="仿宋" w:cs="仿宋"/>
          <w:b/>
        </w:rPr>
      </w:pPr>
    </w:p>
    <w:p w14:paraId="0D8AD51A">
      <w:pPr>
        <w:rPr>
          <w:rFonts w:hint="eastAsia" w:ascii="仿宋" w:hAnsi="仿宋" w:eastAsia="仿宋" w:cs="仿宋"/>
          <w:b/>
        </w:rPr>
      </w:pPr>
    </w:p>
    <w:p w14:paraId="527FA6F6">
      <w:pPr>
        <w:rPr>
          <w:rFonts w:hint="eastAsia" w:ascii="仿宋" w:hAnsi="仿宋" w:eastAsia="仿宋" w:cs="仿宋"/>
        </w:rPr>
      </w:pPr>
    </w:p>
    <w:p w14:paraId="35FA6B70">
      <w:pPr>
        <w:rPr>
          <w:rFonts w:hint="eastAsia" w:ascii="仿宋" w:hAnsi="仿宋" w:eastAsia="仿宋" w:cs="仿宋"/>
          <w:sz w:val="28"/>
          <w:szCs w:val="28"/>
        </w:rPr>
      </w:pPr>
    </w:p>
    <w:p w14:paraId="4C5D49BB">
      <w:pPr>
        <w:ind w:firstLine="1265" w:firstLineChars="450"/>
        <w:rPr>
          <w:rFonts w:hint="eastAsia" w:ascii="仿宋" w:hAnsi="仿宋" w:eastAsia="仿宋" w:cs="仿宋"/>
          <w:b/>
          <w:sz w:val="28"/>
          <w:szCs w:val="28"/>
        </w:rPr>
      </w:pPr>
      <w:r>
        <w:rPr>
          <w:rFonts w:hint="eastAsia" w:ascii="仿宋" w:hAnsi="仿宋" w:eastAsia="仿宋" w:cs="仿宋"/>
          <w:b/>
          <w:sz w:val="28"/>
          <w:szCs w:val="28"/>
        </w:rPr>
        <w:t>供应商（盖章）：</w:t>
      </w:r>
      <w:r>
        <w:rPr>
          <w:rFonts w:hint="eastAsia" w:ascii="仿宋" w:hAnsi="仿宋" w:eastAsia="仿宋" w:cs="仿宋"/>
          <w:b/>
          <w:sz w:val="28"/>
          <w:szCs w:val="28"/>
          <w:u w:val="single"/>
        </w:rPr>
        <w:t xml:space="preserve">                          </w:t>
      </w:r>
    </w:p>
    <w:p w14:paraId="17623E27">
      <w:pPr>
        <w:jc w:val="center"/>
        <w:rPr>
          <w:rFonts w:hint="eastAsia" w:ascii="仿宋" w:hAnsi="仿宋" w:eastAsia="仿宋" w:cs="仿宋"/>
          <w:b/>
          <w:sz w:val="28"/>
          <w:szCs w:val="28"/>
        </w:rPr>
      </w:pPr>
      <w:r>
        <w:rPr>
          <w:rFonts w:hint="eastAsia" w:ascii="仿宋" w:hAnsi="仿宋" w:eastAsia="仿宋" w:cs="仿宋"/>
          <w:b/>
          <w:sz w:val="28"/>
          <w:szCs w:val="28"/>
        </w:rPr>
        <w:t>二零二五年</w:t>
      </w:r>
      <w:r>
        <w:rPr>
          <w:rFonts w:hint="eastAsia" w:ascii="仿宋" w:hAnsi="仿宋" w:eastAsia="仿宋" w:cs="仿宋"/>
          <w:b/>
          <w:sz w:val="28"/>
          <w:szCs w:val="28"/>
          <w:u w:val="single"/>
        </w:rPr>
        <w:t xml:space="preserve">   </w:t>
      </w:r>
      <w:r>
        <w:rPr>
          <w:rFonts w:hint="eastAsia" w:ascii="仿宋" w:hAnsi="仿宋" w:eastAsia="仿宋" w:cs="仿宋"/>
          <w:b/>
          <w:sz w:val="28"/>
          <w:szCs w:val="28"/>
        </w:rPr>
        <w:t>月</w:t>
      </w:r>
    </w:p>
    <w:p w14:paraId="5442ACA1">
      <w:pPr>
        <w:tabs>
          <w:tab w:val="left" w:pos="6980"/>
        </w:tabs>
        <w:jc w:val="center"/>
        <w:rPr>
          <w:rFonts w:hint="eastAsia" w:ascii="仿宋" w:hAnsi="仿宋" w:eastAsia="仿宋" w:cs="仿宋"/>
        </w:rPr>
      </w:pPr>
      <w:r>
        <w:rPr>
          <w:rFonts w:hint="eastAsia" w:ascii="仿宋" w:hAnsi="仿宋" w:eastAsia="仿宋" w:cs="仿宋"/>
        </w:rPr>
        <w:br w:type="page"/>
      </w:r>
      <w:r>
        <w:rPr>
          <w:rFonts w:hint="eastAsia" w:ascii="仿宋" w:hAnsi="仿宋" w:eastAsia="仿宋" w:cs="仿宋"/>
          <w:b/>
          <w:bCs/>
        </w:rPr>
        <w:t>目录</w:t>
      </w:r>
    </w:p>
    <w:p w14:paraId="567E3EC0">
      <w:pPr>
        <w:spacing w:line="400" w:lineRule="exact"/>
        <w:jc w:val="center"/>
        <w:rPr>
          <w:rFonts w:hint="eastAsia" w:ascii="仿宋" w:hAnsi="仿宋" w:eastAsia="仿宋" w:cs="仿宋"/>
          <w:sz w:val="22"/>
          <w:szCs w:val="28"/>
        </w:rPr>
      </w:pPr>
      <w:bookmarkStart w:id="317" w:name="_Toc283626510"/>
      <w:bookmarkStart w:id="318" w:name="_Toc311415656"/>
      <w:bookmarkStart w:id="319" w:name="_Toc332874427"/>
      <w:bookmarkStart w:id="320" w:name="_Toc283240495"/>
      <w:r>
        <w:rPr>
          <w:rFonts w:hint="eastAsia" w:ascii="仿宋" w:hAnsi="仿宋" w:eastAsia="仿宋" w:cs="仿宋"/>
          <w:sz w:val="22"/>
          <w:szCs w:val="28"/>
        </w:rPr>
        <w:t>书脊格式（规定格式）</w:t>
      </w:r>
    </w:p>
    <w:p w14:paraId="0171AD0F">
      <w:pPr>
        <w:widowControl/>
        <w:spacing w:line="400" w:lineRule="exact"/>
        <w:jc w:val="center"/>
        <w:rPr>
          <w:rFonts w:hint="eastAsia" w:ascii="仿宋" w:hAnsi="仿宋" w:eastAsia="仿宋" w:cs="仿宋"/>
          <w:kern w:val="0"/>
          <w:sz w:val="28"/>
          <w:szCs w:val="28"/>
          <w:u w:val="none" w:color="000000"/>
        </w:rPr>
      </w:pPr>
      <w:r>
        <w:rPr>
          <w:rFonts w:hint="eastAsia" w:ascii="仿宋" w:hAnsi="仿宋" w:eastAsia="仿宋" w:cs="仿宋"/>
          <w:kern w:val="0"/>
          <w:sz w:val="28"/>
          <w:szCs w:val="28"/>
          <w:u w:val="none" w:color="000000"/>
        </w:rPr>
        <w:t>书脊格式</w:t>
      </w:r>
    </w:p>
    <w:tbl>
      <w:tblPr>
        <w:tblStyle w:val="47"/>
        <w:tblpPr w:leftFromText="180" w:rightFromText="180" w:vertAnchor="text" w:horzAnchor="margin" w:tblpXSpec="center" w:tblpY="1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tblGrid>
      <w:tr w14:paraId="4D798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7" w:hRule="atLeast"/>
        </w:trPr>
        <w:tc>
          <w:tcPr>
            <w:tcW w:w="817" w:type="dxa"/>
            <w:noWrap w:val="0"/>
            <w:textDirection w:val="tbRlV"/>
            <w:vAlign w:val="center"/>
          </w:tcPr>
          <w:p w14:paraId="04954EA8">
            <w:pPr>
              <w:keepNext w:val="0"/>
              <w:keepLines w:val="0"/>
              <w:widowControl/>
              <w:suppressLineNumbers w:val="0"/>
              <w:spacing w:before="0" w:beforeAutospacing="0" w:after="0" w:afterAutospacing="0" w:line="400" w:lineRule="exact"/>
              <w:ind w:left="113" w:right="113"/>
              <w:textAlignment w:val="baseline"/>
              <w:rPr>
                <w:rFonts w:hint="default" w:ascii="仿宋" w:hAnsi="仿宋" w:eastAsia="仿宋" w:cs="仿宋"/>
                <w:b/>
                <w:kern w:val="0"/>
                <w:szCs w:val="21"/>
                <w:u w:val="none" w:color="000000"/>
              </w:rPr>
            </w:pPr>
            <w:r>
              <w:rPr>
                <w:rFonts w:hint="default" w:ascii="仿宋" w:hAnsi="仿宋" w:eastAsia="仿宋" w:cs="仿宋"/>
                <w:b/>
                <w:bCs/>
                <w:kern w:val="0"/>
                <w:szCs w:val="21"/>
                <w:u w:val="none" w:color="000000"/>
              </w:rPr>
              <w:t xml:space="preserve">项目编号：              项目名称：         </w:t>
            </w:r>
            <w:r>
              <w:rPr>
                <w:rFonts w:hint="eastAsia" w:ascii="仿宋" w:hAnsi="仿宋" w:eastAsia="仿宋" w:cs="仿宋"/>
                <w:b/>
                <w:bCs/>
                <w:kern w:val="0"/>
                <w:szCs w:val="21"/>
                <w:u w:val="none" w:color="000000"/>
                <w:lang w:val="en-US" w:eastAsia="zh-CN"/>
              </w:rPr>
              <w:t>包号：</w:t>
            </w:r>
            <w:r>
              <w:rPr>
                <w:rFonts w:hint="default" w:ascii="仿宋" w:hAnsi="仿宋" w:eastAsia="仿宋" w:cs="仿宋"/>
                <w:b/>
                <w:bCs/>
                <w:kern w:val="0"/>
                <w:szCs w:val="21"/>
                <w:u w:val="none" w:color="000000"/>
              </w:rPr>
              <w:t xml:space="preserve">               响应单位名称</w:t>
            </w:r>
          </w:p>
        </w:tc>
      </w:tr>
    </w:tbl>
    <w:p w14:paraId="781E315C">
      <w:pPr>
        <w:widowControl/>
        <w:spacing w:line="400" w:lineRule="exact"/>
        <w:jc w:val="center"/>
        <w:rPr>
          <w:rFonts w:hint="eastAsia" w:ascii="仿宋" w:hAnsi="仿宋" w:eastAsia="仿宋" w:cs="仿宋"/>
          <w:kern w:val="0"/>
          <w:sz w:val="28"/>
          <w:szCs w:val="28"/>
          <w:u w:val="none" w:color="000000"/>
        </w:rPr>
      </w:pPr>
    </w:p>
    <w:p w14:paraId="3238791E">
      <w:pPr>
        <w:widowControl/>
        <w:spacing w:line="400" w:lineRule="exact"/>
        <w:jc w:val="center"/>
        <w:rPr>
          <w:rFonts w:hint="eastAsia" w:ascii="仿宋" w:hAnsi="仿宋" w:eastAsia="仿宋" w:cs="仿宋"/>
          <w:kern w:val="0"/>
          <w:sz w:val="28"/>
          <w:szCs w:val="28"/>
          <w:u w:val="none" w:color="000000"/>
        </w:rPr>
      </w:pPr>
    </w:p>
    <w:p w14:paraId="4409D15A">
      <w:pPr>
        <w:widowControl/>
        <w:spacing w:line="400" w:lineRule="exact"/>
        <w:jc w:val="center"/>
        <w:rPr>
          <w:rFonts w:hint="eastAsia" w:ascii="仿宋" w:hAnsi="仿宋" w:eastAsia="仿宋" w:cs="仿宋"/>
          <w:kern w:val="0"/>
          <w:sz w:val="28"/>
          <w:szCs w:val="28"/>
          <w:u w:val="none" w:color="000000"/>
        </w:rPr>
      </w:pPr>
    </w:p>
    <w:p w14:paraId="307F2289">
      <w:pPr>
        <w:widowControl/>
        <w:spacing w:line="400" w:lineRule="exact"/>
        <w:jc w:val="center"/>
        <w:rPr>
          <w:rFonts w:hint="eastAsia" w:ascii="仿宋" w:hAnsi="仿宋" w:eastAsia="仿宋" w:cs="仿宋"/>
          <w:kern w:val="0"/>
          <w:sz w:val="28"/>
          <w:szCs w:val="28"/>
          <w:u w:val="none" w:color="000000"/>
        </w:rPr>
      </w:pPr>
    </w:p>
    <w:p w14:paraId="61129191">
      <w:pPr>
        <w:widowControl/>
        <w:spacing w:line="400" w:lineRule="exact"/>
        <w:jc w:val="center"/>
        <w:rPr>
          <w:rFonts w:hint="eastAsia" w:ascii="仿宋" w:hAnsi="仿宋" w:eastAsia="仿宋" w:cs="仿宋"/>
          <w:kern w:val="0"/>
          <w:sz w:val="28"/>
          <w:szCs w:val="28"/>
          <w:u w:val="none" w:color="000000"/>
        </w:rPr>
      </w:pPr>
    </w:p>
    <w:p w14:paraId="2551CBFB">
      <w:pPr>
        <w:widowControl/>
        <w:spacing w:line="400" w:lineRule="exact"/>
        <w:jc w:val="center"/>
        <w:rPr>
          <w:rFonts w:hint="eastAsia" w:ascii="仿宋" w:hAnsi="仿宋" w:eastAsia="仿宋" w:cs="仿宋"/>
          <w:kern w:val="0"/>
          <w:sz w:val="28"/>
          <w:szCs w:val="28"/>
          <w:u w:val="none" w:color="000000"/>
        </w:rPr>
      </w:pPr>
    </w:p>
    <w:p w14:paraId="5442D63B">
      <w:pPr>
        <w:widowControl/>
        <w:spacing w:line="400" w:lineRule="exact"/>
        <w:jc w:val="center"/>
        <w:rPr>
          <w:rFonts w:hint="eastAsia" w:ascii="仿宋" w:hAnsi="仿宋" w:eastAsia="仿宋" w:cs="仿宋"/>
          <w:kern w:val="0"/>
          <w:sz w:val="28"/>
          <w:szCs w:val="28"/>
          <w:u w:val="none" w:color="000000"/>
        </w:rPr>
      </w:pPr>
    </w:p>
    <w:p w14:paraId="3CBD41BB">
      <w:pPr>
        <w:widowControl/>
        <w:spacing w:line="400" w:lineRule="exact"/>
        <w:jc w:val="center"/>
        <w:rPr>
          <w:rFonts w:hint="eastAsia" w:ascii="仿宋" w:hAnsi="仿宋" w:eastAsia="仿宋" w:cs="仿宋"/>
          <w:kern w:val="0"/>
          <w:sz w:val="28"/>
          <w:szCs w:val="28"/>
          <w:u w:val="none" w:color="000000"/>
        </w:rPr>
      </w:pPr>
    </w:p>
    <w:p w14:paraId="11F48849">
      <w:pPr>
        <w:widowControl/>
        <w:spacing w:line="400" w:lineRule="exact"/>
        <w:jc w:val="center"/>
        <w:rPr>
          <w:rFonts w:hint="eastAsia" w:ascii="仿宋" w:hAnsi="仿宋" w:eastAsia="仿宋" w:cs="仿宋"/>
          <w:kern w:val="0"/>
          <w:sz w:val="28"/>
          <w:szCs w:val="28"/>
          <w:u w:val="none" w:color="000000"/>
        </w:rPr>
      </w:pPr>
    </w:p>
    <w:p w14:paraId="6CC37E46">
      <w:pPr>
        <w:widowControl/>
        <w:spacing w:line="400" w:lineRule="exact"/>
        <w:jc w:val="center"/>
        <w:rPr>
          <w:rFonts w:hint="eastAsia" w:ascii="仿宋" w:hAnsi="仿宋" w:eastAsia="仿宋" w:cs="仿宋"/>
          <w:kern w:val="0"/>
          <w:sz w:val="28"/>
          <w:szCs w:val="28"/>
          <w:u w:val="none" w:color="000000"/>
        </w:rPr>
      </w:pPr>
    </w:p>
    <w:p w14:paraId="3AB87280">
      <w:pPr>
        <w:widowControl/>
        <w:spacing w:line="400" w:lineRule="exact"/>
        <w:jc w:val="center"/>
        <w:rPr>
          <w:rFonts w:hint="eastAsia" w:ascii="仿宋" w:hAnsi="仿宋" w:eastAsia="仿宋" w:cs="仿宋"/>
          <w:kern w:val="0"/>
          <w:sz w:val="28"/>
          <w:szCs w:val="28"/>
          <w:u w:val="none" w:color="000000"/>
        </w:rPr>
      </w:pPr>
    </w:p>
    <w:p w14:paraId="20008FC7">
      <w:pPr>
        <w:widowControl/>
        <w:spacing w:line="400" w:lineRule="exact"/>
        <w:jc w:val="center"/>
        <w:rPr>
          <w:rFonts w:hint="eastAsia" w:ascii="仿宋" w:hAnsi="仿宋" w:eastAsia="仿宋" w:cs="仿宋"/>
          <w:kern w:val="0"/>
          <w:sz w:val="28"/>
          <w:szCs w:val="28"/>
          <w:u w:val="none" w:color="000000"/>
        </w:rPr>
      </w:pPr>
    </w:p>
    <w:p w14:paraId="48E732CD">
      <w:pPr>
        <w:widowControl/>
        <w:spacing w:line="400" w:lineRule="exact"/>
        <w:jc w:val="center"/>
        <w:rPr>
          <w:rFonts w:hint="eastAsia" w:ascii="仿宋" w:hAnsi="仿宋" w:eastAsia="仿宋" w:cs="仿宋"/>
          <w:kern w:val="0"/>
          <w:sz w:val="28"/>
          <w:szCs w:val="28"/>
          <w:u w:val="none" w:color="000000"/>
        </w:rPr>
      </w:pPr>
    </w:p>
    <w:p w14:paraId="6E6AB146">
      <w:pPr>
        <w:widowControl/>
        <w:spacing w:line="400" w:lineRule="exact"/>
        <w:jc w:val="center"/>
        <w:rPr>
          <w:rFonts w:hint="eastAsia" w:ascii="仿宋" w:hAnsi="仿宋" w:eastAsia="仿宋" w:cs="仿宋"/>
          <w:kern w:val="0"/>
          <w:sz w:val="28"/>
          <w:szCs w:val="28"/>
          <w:u w:val="none" w:color="000000"/>
        </w:rPr>
      </w:pPr>
    </w:p>
    <w:p w14:paraId="5799DBC3">
      <w:pPr>
        <w:widowControl/>
        <w:spacing w:line="400" w:lineRule="exact"/>
        <w:jc w:val="center"/>
        <w:rPr>
          <w:rFonts w:hint="eastAsia" w:ascii="仿宋" w:hAnsi="仿宋" w:eastAsia="仿宋" w:cs="仿宋"/>
          <w:kern w:val="0"/>
          <w:sz w:val="28"/>
          <w:szCs w:val="28"/>
          <w:u w:val="none" w:color="000000"/>
        </w:rPr>
      </w:pPr>
    </w:p>
    <w:p w14:paraId="661E11F9">
      <w:pPr>
        <w:widowControl/>
        <w:spacing w:line="400" w:lineRule="exact"/>
        <w:jc w:val="center"/>
        <w:rPr>
          <w:rFonts w:hint="eastAsia" w:ascii="仿宋" w:hAnsi="仿宋" w:eastAsia="仿宋" w:cs="仿宋"/>
          <w:kern w:val="0"/>
          <w:sz w:val="28"/>
          <w:szCs w:val="28"/>
          <w:u w:val="none" w:color="000000"/>
        </w:rPr>
      </w:pPr>
    </w:p>
    <w:p w14:paraId="6BF5458B">
      <w:pPr>
        <w:widowControl/>
        <w:spacing w:line="400" w:lineRule="exact"/>
        <w:jc w:val="center"/>
        <w:rPr>
          <w:rFonts w:hint="eastAsia" w:ascii="仿宋" w:hAnsi="仿宋" w:eastAsia="仿宋" w:cs="仿宋"/>
          <w:kern w:val="0"/>
          <w:sz w:val="28"/>
          <w:szCs w:val="28"/>
          <w:u w:val="none" w:color="000000"/>
        </w:rPr>
      </w:pPr>
    </w:p>
    <w:p w14:paraId="75DF727C">
      <w:pPr>
        <w:widowControl/>
        <w:spacing w:line="400" w:lineRule="exact"/>
        <w:jc w:val="center"/>
        <w:rPr>
          <w:rFonts w:hint="eastAsia" w:ascii="仿宋" w:hAnsi="仿宋" w:eastAsia="仿宋" w:cs="仿宋"/>
          <w:kern w:val="0"/>
          <w:sz w:val="28"/>
          <w:szCs w:val="28"/>
          <w:u w:val="none" w:color="000000"/>
        </w:rPr>
      </w:pPr>
    </w:p>
    <w:p w14:paraId="2DDF86F4">
      <w:pPr>
        <w:widowControl/>
        <w:spacing w:line="400" w:lineRule="exact"/>
        <w:jc w:val="center"/>
        <w:rPr>
          <w:rFonts w:hint="eastAsia" w:ascii="仿宋" w:hAnsi="仿宋" w:eastAsia="仿宋" w:cs="仿宋"/>
          <w:kern w:val="0"/>
          <w:sz w:val="28"/>
          <w:szCs w:val="28"/>
          <w:u w:val="none" w:color="000000"/>
        </w:rPr>
      </w:pPr>
    </w:p>
    <w:p w14:paraId="28DC7077">
      <w:pPr>
        <w:widowControl/>
        <w:spacing w:line="400" w:lineRule="exact"/>
        <w:jc w:val="center"/>
        <w:rPr>
          <w:rFonts w:hint="eastAsia" w:ascii="仿宋" w:hAnsi="仿宋" w:eastAsia="仿宋" w:cs="仿宋"/>
          <w:kern w:val="0"/>
          <w:sz w:val="28"/>
          <w:szCs w:val="28"/>
          <w:u w:val="none" w:color="000000"/>
        </w:rPr>
      </w:pPr>
    </w:p>
    <w:p w14:paraId="3046EB3B">
      <w:pPr>
        <w:widowControl/>
        <w:spacing w:line="400" w:lineRule="exact"/>
        <w:jc w:val="center"/>
        <w:rPr>
          <w:rFonts w:hint="eastAsia" w:ascii="仿宋" w:hAnsi="仿宋" w:eastAsia="仿宋" w:cs="仿宋"/>
          <w:kern w:val="0"/>
          <w:sz w:val="28"/>
          <w:szCs w:val="28"/>
          <w:u w:val="none" w:color="000000"/>
        </w:rPr>
      </w:pPr>
    </w:p>
    <w:p w14:paraId="5A267D5B">
      <w:pPr>
        <w:widowControl/>
        <w:spacing w:line="400" w:lineRule="exact"/>
        <w:jc w:val="center"/>
        <w:rPr>
          <w:rFonts w:hint="eastAsia" w:ascii="仿宋" w:hAnsi="仿宋" w:eastAsia="仿宋" w:cs="仿宋"/>
          <w:kern w:val="0"/>
          <w:sz w:val="28"/>
          <w:szCs w:val="28"/>
          <w:u w:val="none" w:color="000000"/>
        </w:rPr>
      </w:pPr>
    </w:p>
    <w:p w14:paraId="7F715215">
      <w:pPr>
        <w:widowControl/>
        <w:spacing w:line="400" w:lineRule="exact"/>
        <w:jc w:val="center"/>
        <w:rPr>
          <w:rFonts w:hint="eastAsia" w:ascii="仿宋" w:hAnsi="仿宋" w:eastAsia="仿宋" w:cs="仿宋"/>
          <w:kern w:val="0"/>
          <w:sz w:val="28"/>
          <w:szCs w:val="28"/>
          <w:u w:val="none" w:color="000000"/>
        </w:rPr>
      </w:pPr>
    </w:p>
    <w:p w14:paraId="28E70A31">
      <w:pPr>
        <w:widowControl/>
        <w:spacing w:line="400" w:lineRule="exact"/>
        <w:jc w:val="center"/>
        <w:rPr>
          <w:rFonts w:hint="eastAsia" w:ascii="仿宋" w:hAnsi="仿宋" w:eastAsia="仿宋" w:cs="仿宋"/>
          <w:kern w:val="0"/>
          <w:sz w:val="28"/>
          <w:szCs w:val="28"/>
          <w:u w:val="none" w:color="000000"/>
        </w:rPr>
      </w:pPr>
    </w:p>
    <w:p w14:paraId="23CC90D2">
      <w:pPr>
        <w:widowControl/>
        <w:spacing w:line="400" w:lineRule="exact"/>
        <w:jc w:val="center"/>
        <w:rPr>
          <w:rFonts w:hint="eastAsia" w:ascii="仿宋" w:hAnsi="仿宋" w:eastAsia="仿宋" w:cs="仿宋"/>
          <w:kern w:val="0"/>
          <w:sz w:val="28"/>
          <w:szCs w:val="28"/>
          <w:u w:val="none" w:color="000000"/>
        </w:rPr>
      </w:pPr>
    </w:p>
    <w:p w14:paraId="00C011F7">
      <w:pPr>
        <w:widowControl/>
        <w:spacing w:line="400" w:lineRule="exact"/>
        <w:jc w:val="center"/>
        <w:rPr>
          <w:rFonts w:hint="eastAsia" w:ascii="仿宋" w:hAnsi="仿宋" w:eastAsia="仿宋" w:cs="仿宋"/>
          <w:kern w:val="0"/>
          <w:sz w:val="28"/>
          <w:szCs w:val="28"/>
          <w:u w:val="none" w:color="000000"/>
        </w:rPr>
      </w:pPr>
    </w:p>
    <w:p w14:paraId="791EA5B2">
      <w:pPr>
        <w:widowControl/>
        <w:spacing w:line="400" w:lineRule="exact"/>
        <w:jc w:val="center"/>
        <w:rPr>
          <w:rFonts w:hint="eastAsia" w:ascii="仿宋" w:hAnsi="仿宋" w:eastAsia="仿宋" w:cs="仿宋"/>
          <w:kern w:val="0"/>
          <w:sz w:val="28"/>
          <w:szCs w:val="28"/>
          <w:u w:val="none" w:color="000000"/>
        </w:rPr>
      </w:pPr>
    </w:p>
    <w:p w14:paraId="7B5A7A38">
      <w:pPr>
        <w:widowControl/>
        <w:spacing w:line="400" w:lineRule="exact"/>
        <w:rPr>
          <w:rFonts w:hint="eastAsia" w:ascii="仿宋" w:hAnsi="仿宋" w:eastAsia="仿宋" w:cs="仿宋"/>
          <w:bCs/>
          <w:kern w:val="0"/>
          <w:sz w:val="22"/>
          <w:szCs w:val="28"/>
        </w:rPr>
      </w:pPr>
    </w:p>
    <w:p w14:paraId="15A4A51C">
      <w:pPr>
        <w:widowControl/>
        <w:spacing w:line="400" w:lineRule="exact"/>
        <w:jc w:val="center"/>
        <w:rPr>
          <w:rFonts w:hint="eastAsia" w:ascii="仿宋" w:hAnsi="仿宋" w:eastAsia="仿宋" w:cs="仿宋"/>
          <w:bCs/>
          <w:kern w:val="0"/>
          <w:sz w:val="22"/>
          <w:szCs w:val="28"/>
        </w:rPr>
      </w:pPr>
      <w:r>
        <w:rPr>
          <w:rFonts w:hint="eastAsia" w:ascii="仿宋" w:hAnsi="仿宋" w:eastAsia="仿宋" w:cs="仿宋"/>
          <w:bCs/>
          <w:kern w:val="0"/>
          <w:sz w:val="22"/>
          <w:szCs w:val="28"/>
        </w:rPr>
        <w:t>注:书脊内容如果编辑空间不够，可以简写书脊内容</w:t>
      </w:r>
    </w:p>
    <w:p w14:paraId="0BCBE233">
      <w:pPr>
        <w:widowControl/>
        <w:spacing w:line="400" w:lineRule="exact"/>
        <w:jc w:val="center"/>
        <w:rPr>
          <w:rFonts w:hint="eastAsia" w:ascii="仿宋" w:hAnsi="仿宋" w:eastAsia="仿宋" w:cs="仿宋"/>
          <w:bCs/>
          <w:kern w:val="0"/>
          <w:sz w:val="22"/>
          <w:szCs w:val="28"/>
        </w:rPr>
      </w:pPr>
      <w:r>
        <w:rPr>
          <w:rFonts w:hint="eastAsia" w:ascii="仿宋" w:hAnsi="仿宋" w:eastAsia="仿宋" w:cs="仿宋"/>
          <w:bCs/>
          <w:kern w:val="0"/>
          <w:sz w:val="22"/>
          <w:szCs w:val="28"/>
        </w:rPr>
        <w:t>标书厚度如小于1cm，可不用提供书脊</w:t>
      </w:r>
    </w:p>
    <w:p w14:paraId="6AA6641D">
      <w:pPr>
        <w:pStyle w:val="45"/>
        <w:jc w:val="center"/>
        <w:rPr>
          <w:rFonts w:hint="eastAsia" w:ascii="仿宋" w:hAnsi="仿宋" w:eastAsia="仿宋" w:cs="仿宋"/>
        </w:rPr>
      </w:pPr>
      <w:r>
        <w:rPr>
          <w:rFonts w:hint="eastAsia" w:ascii="仿宋" w:hAnsi="仿宋" w:eastAsia="仿宋" w:cs="仿宋"/>
          <w:b/>
          <w:sz w:val="28"/>
          <w:szCs w:val="28"/>
          <w:u w:val="single"/>
        </w:rPr>
        <w:t>响应文件需双面打印</w:t>
      </w:r>
    </w:p>
    <w:bookmarkEnd w:id="317"/>
    <w:bookmarkEnd w:id="318"/>
    <w:bookmarkEnd w:id="319"/>
    <w:bookmarkEnd w:id="320"/>
    <w:p w14:paraId="35C2C603">
      <w:pPr>
        <w:pStyle w:val="3"/>
        <w:adjustRightInd w:val="0"/>
        <w:snapToGrid w:val="0"/>
        <w:spacing w:before="0" w:after="0" w:line="360" w:lineRule="auto"/>
        <w:rPr>
          <w:rFonts w:hint="eastAsia" w:ascii="仿宋" w:hAnsi="仿宋" w:eastAsia="仿宋" w:cs="仿宋"/>
          <w:sz w:val="28"/>
          <w:szCs w:val="28"/>
        </w:rPr>
      </w:pPr>
      <w:bookmarkStart w:id="321" w:name="_Toc16949"/>
      <w:bookmarkStart w:id="322" w:name="_Toc11602"/>
      <w:bookmarkStart w:id="323" w:name="_Toc19266"/>
      <w:bookmarkStart w:id="324" w:name="_Toc15008"/>
      <w:bookmarkStart w:id="325" w:name="_Toc24262"/>
      <w:r>
        <w:rPr>
          <w:rFonts w:hint="eastAsia" w:ascii="仿宋" w:hAnsi="仿宋" w:eastAsia="仿宋" w:cs="仿宋"/>
          <w:sz w:val="28"/>
          <w:szCs w:val="28"/>
        </w:rPr>
        <w:t>附件1 谈判函</w:t>
      </w:r>
      <w:bookmarkEnd w:id="321"/>
      <w:bookmarkEnd w:id="322"/>
      <w:bookmarkEnd w:id="323"/>
      <w:bookmarkEnd w:id="324"/>
      <w:bookmarkEnd w:id="325"/>
    </w:p>
    <w:p w14:paraId="34F05C3F">
      <w:pPr>
        <w:adjustRightInd w:val="0"/>
        <w:snapToGrid w:val="0"/>
        <w:rPr>
          <w:rFonts w:hint="eastAsia" w:ascii="仿宋" w:hAnsi="仿宋" w:eastAsia="仿宋" w:cs="仿宋"/>
        </w:rPr>
      </w:pPr>
      <w:r>
        <w:rPr>
          <w:rFonts w:hint="eastAsia" w:ascii="仿宋" w:hAnsi="仿宋" w:eastAsia="仿宋" w:cs="仿宋"/>
        </w:rPr>
        <w:t>致：陕西中技招标有限公司</w:t>
      </w:r>
    </w:p>
    <w:p w14:paraId="6C3CF4EE">
      <w:pPr>
        <w:adjustRightInd w:val="0"/>
        <w:snapToGrid w:val="0"/>
        <w:ind w:firstLine="540" w:firstLineChars="225"/>
        <w:rPr>
          <w:rFonts w:hint="eastAsia" w:ascii="仿宋" w:hAnsi="仿宋" w:eastAsia="仿宋" w:cs="仿宋"/>
        </w:rPr>
      </w:pPr>
      <w:r>
        <w:rPr>
          <w:rFonts w:hint="eastAsia" w:ascii="仿宋" w:hAnsi="仿宋" w:eastAsia="仿宋" w:cs="仿宋"/>
        </w:rPr>
        <w:t>根据贵方</w:t>
      </w:r>
      <w:r>
        <w:rPr>
          <w:rFonts w:hint="eastAsia" w:ascii="仿宋" w:hAnsi="仿宋" w:eastAsia="仿宋" w:cs="仿宋"/>
          <w:u w:val="single"/>
        </w:rPr>
        <w:t>（项目名称）(项目编号)</w:t>
      </w:r>
      <w:r>
        <w:rPr>
          <w:rFonts w:hint="eastAsia" w:ascii="仿宋" w:hAnsi="仿宋" w:eastAsia="仿宋" w:cs="仿宋"/>
          <w:u w:val="single"/>
          <w:lang w:eastAsia="zh-CN"/>
        </w:rPr>
        <w:t>（</w:t>
      </w:r>
      <w:r>
        <w:rPr>
          <w:rFonts w:hint="eastAsia" w:ascii="仿宋" w:hAnsi="仿宋" w:eastAsia="仿宋" w:cs="仿宋"/>
          <w:u w:val="single"/>
          <w:lang w:val="en-US" w:eastAsia="zh-CN"/>
        </w:rPr>
        <w:t>包号</w:t>
      </w:r>
      <w:r>
        <w:rPr>
          <w:rFonts w:hint="eastAsia" w:ascii="仿宋" w:hAnsi="仿宋" w:eastAsia="仿宋" w:cs="仿宋"/>
          <w:u w:val="single"/>
          <w:lang w:eastAsia="zh-CN"/>
        </w:rPr>
        <w:t>）</w:t>
      </w:r>
      <w:r>
        <w:rPr>
          <w:rFonts w:hint="eastAsia" w:ascii="仿宋" w:hAnsi="仿宋" w:eastAsia="仿宋" w:cs="仿宋"/>
        </w:rPr>
        <w:t>谈判文件要求，签字代表</w:t>
      </w:r>
      <w:r>
        <w:rPr>
          <w:rFonts w:hint="eastAsia" w:ascii="仿宋" w:hAnsi="仿宋" w:eastAsia="仿宋" w:cs="仿宋"/>
          <w:u w:val="single"/>
        </w:rPr>
        <w:t>(全名、职务)</w:t>
      </w:r>
      <w:r>
        <w:rPr>
          <w:rFonts w:hint="eastAsia" w:ascii="仿宋" w:hAnsi="仿宋" w:eastAsia="仿宋" w:cs="仿宋"/>
        </w:rPr>
        <w:t>经正式授权并代表</w:t>
      </w:r>
      <w:r>
        <w:rPr>
          <w:rFonts w:hint="eastAsia" w:ascii="仿宋" w:hAnsi="仿宋" w:eastAsia="仿宋" w:cs="仿宋"/>
          <w:u w:val="single"/>
        </w:rPr>
        <w:t>(供应商名称、地址）</w:t>
      </w:r>
      <w:r>
        <w:rPr>
          <w:rFonts w:hint="eastAsia" w:ascii="仿宋" w:hAnsi="仿宋" w:eastAsia="仿宋" w:cs="仿宋"/>
        </w:rPr>
        <w:t>提交包含下述内容的谈判响应文件正本一份、副本一式二份、电子版一份，包括：</w:t>
      </w:r>
    </w:p>
    <w:p w14:paraId="05AB3271">
      <w:pPr>
        <w:adjustRightInd w:val="0"/>
        <w:snapToGrid w:val="0"/>
        <w:rPr>
          <w:rFonts w:hint="eastAsia" w:ascii="仿宋" w:hAnsi="仿宋" w:eastAsia="仿宋" w:cs="仿宋"/>
        </w:rPr>
      </w:pPr>
      <w:r>
        <w:rPr>
          <w:rFonts w:hint="eastAsia" w:ascii="仿宋" w:hAnsi="仿宋" w:eastAsia="仿宋" w:cs="仿宋"/>
        </w:rPr>
        <w:t xml:space="preserve">    (1) 谈判函； (2) 谈判报价表； (3) 分项报价表； (4) 按供应商须知要求提供的全部文件和谈判文件要求的响应文件； (5) 供应商资格证明文件；</w:t>
      </w:r>
    </w:p>
    <w:p w14:paraId="48710FF8">
      <w:pPr>
        <w:adjustRightInd w:val="0"/>
        <w:snapToGrid w:val="0"/>
        <w:ind w:firstLine="480" w:firstLineChars="200"/>
        <w:rPr>
          <w:rFonts w:hint="eastAsia" w:ascii="仿宋" w:hAnsi="仿宋" w:eastAsia="仿宋" w:cs="仿宋"/>
        </w:rPr>
      </w:pPr>
      <w:r>
        <w:rPr>
          <w:rFonts w:hint="eastAsia" w:ascii="仿宋" w:hAnsi="仿宋" w:eastAsia="仿宋" w:cs="仿宋"/>
        </w:rPr>
        <w:t>据此函，签字代表宣布同意如下：</w:t>
      </w:r>
    </w:p>
    <w:p w14:paraId="37293BD5">
      <w:pPr>
        <w:adjustRightInd w:val="0"/>
        <w:snapToGrid w:val="0"/>
        <w:ind w:firstLine="480" w:firstLineChars="200"/>
        <w:rPr>
          <w:rFonts w:hint="eastAsia" w:ascii="仿宋" w:hAnsi="仿宋" w:eastAsia="仿宋" w:cs="仿宋"/>
        </w:rPr>
      </w:pPr>
      <w:r>
        <w:rPr>
          <w:rFonts w:hint="eastAsia" w:ascii="仿宋" w:hAnsi="仿宋" w:eastAsia="仿宋" w:cs="仿宋"/>
        </w:rPr>
        <w:t>1. 所附谈判报价表中的报价为：</w:t>
      </w:r>
      <w:r>
        <w:rPr>
          <w:rFonts w:hint="eastAsia" w:ascii="仿宋" w:hAnsi="仿宋" w:eastAsia="仿宋" w:cs="仿宋"/>
          <w:u w:val="single"/>
        </w:rPr>
        <w:t xml:space="preserve">        </w:t>
      </w:r>
      <w:r>
        <w:rPr>
          <w:rFonts w:hint="eastAsia" w:ascii="仿宋" w:hAnsi="仿宋" w:eastAsia="仿宋" w:cs="仿宋"/>
        </w:rPr>
        <w:t>（即：</w:t>
      </w:r>
      <w:r>
        <w:rPr>
          <w:rFonts w:hint="eastAsia" w:ascii="仿宋" w:hAnsi="仿宋" w:eastAsia="仿宋" w:cs="仿宋"/>
          <w:u w:val="single"/>
        </w:rPr>
        <w:t xml:space="preserve">大写金额           </w:t>
      </w:r>
      <w:r>
        <w:rPr>
          <w:rFonts w:hint="eastAsia" w:ascii="仿宋" w:hAnsi="仿宋" w:eastAsia="仿宋" w:cs="仿宋"/>
        </w:rPr>
        <w:t>）；</w:t>
      </w:r>
    </w:p>
    <w:p w14:paraId="7B486A72">
      <w:pPr>
        <w:adjustRightInd w:val="0"/>
        <w:snapToGrid w:val="0"/>
        <w:ind w:firstLine="480" w:firstLineChars="200"/>
        <w:rPr>
          <w:rFonts w:hint="eastAsia" w:ascii="仿宋" w:hAnsi="仿宋" w:eastAsia="仿宋" w:cs="仿宋"/>
        </w:rPr>
      </w:pPr>
      <w:r>
        <w:rPr>
          <w:rFonts w:hint="eastAsia" w:ascii="仿宋" w:hAnsi="仿宋" w:eastAsia="仿宋" w:cs="仿宋"/>
        </w:rPr>
        <w:t>2. 我方将按谈判文件的规定履行合同责任和义务；</w:t>
      </w:r>
    </w:p>
    <w:p w14:paraId="7D82A6F2">
      <w:pPr>
        <w:adjustRightInd w:val="0"/>
        <w:snapToGrid w:val="0"/>
        <w:ind w:firstLine="480" w:firstLineChars="200"/>
        <w:rPr>
          <w:rFonts w:hint="eastAsia" w:ascii="仿宋" w:hAnsi="仿宋" w:eastAsia="仿宋" w:cs="仿宋"/>
        </w:rPr>
      </w:pPr>
      <w:r>
        <w:rPr>
          <w:rFonts w:hint="eastAsia" w:ascii="仿宋" w:hAnsi="仿宋" w:eastAsia="仿宋" w:cs="仿宋"/>
        </w:rPr>
        <w:t>3. 我方已详细审查全部谈判文件，包括修改文件（如有的话）以及全部参考资料和有关附件。我们完全理解并同意放弃对这方面有不明及误解的权利；</w:t>
      </w:r>
    </w:p>
    <w:p w14:paraId="234175E8">
      <w:pPr>
        <w:adjustRightInd w:val="0"/>
        <w:snapToGrid w:val="0"/>
        <w:ind w:firstLine="480" w:firstLineChars="200"/>
        <w:rPr>
          <w:rFonts w:hint="eastAsia" w:ascii="仿宋" w:hAnsi="仿宋" w:eastAsia="仿宋" w:cs="仿宋"/>
        </w:rPr>
      </w:pPr>
      <w:r>
        <w:rPr>
          <w:rFonts w:hint="eastAsia" w:ascii="仿宋" w:hAnsi="仿宋" w:eastAsia="仿宋" w:cs="仿宋"/>
        </w:rPr>
        <w:t>4. 谈判文件自谈判之日起有效期为</w:t>
      </w:r>
      <w:r>
        <w:rPr>
          <w:rFonts w:hint="eastAsia" w:ascii="仿宋" w:hAnsi="仿宋" w:eastAsia="仿宋" w:cs="仿宋"/>
          <w:u w:val="single"/>
        </w:rPr>
        <w:t>90</w:t>
      </w:r>
      <w:r>
        <w:rPr>
          <w:rFonts w:hint="eastAsia" w:ascii="仿宋" w:hAnsi="仿宋" w:eastAsia="仿宋" w:cs="仿宋"/>
        </w:rPr>
        <w:t>个日历日；</w:t>
      </w:r>
    </w:p>
    <w:p w14:paraId="6D80FE63">
      <w:pPr>
        <w:adjustRightInd w:val="0"/>
        <w:snapToGrid w:val="0"/>
        <w:ind w:firstLine="480" w:firstLineChars="200"/>
        <w:rPr>
          <w:rFonts w:hint="eastAsia" w:ascii="仿宋" w:hAnsi="仿宋" w:eastAsia="仿宋" w:cs="仿宋"/>
        </w:rPr>
      </w:pPr>
      <w:r>
        <w:rPr>
          <w:rFonts w:hint="eastAsia" w:ascii="仿宋" w:hAnsi="仿宋" w:eastAsia="仿宋" w:cs="仿宋"/>
        </w:rPr>
        <w:t>5. 我方承诺不在规定的谈判截止时间后，谈判有效期内撤回报价；承诺成交后按谈判文件中供应商须知规定的向采购代理机构交纳足额的招标代理服务费；</w:t>
      </w:r>
    </w:p>
    <w:p w14:paraId="23A4A61A">
      <w:pPr>
        <w:adjustRightInd w:val="0"/>
        <w:snapToGrid w:val="0"/>
        <w:ind w:firstLine="480" w:firstLineChars="200"/>
        <w:rPr>
          <w:rFonts w:hint="eastAsia" w:ascii="仿宋" w:hAnsi="仿宋" w:eastAsia="仿宋" w:cs="仿宋"/>
        </w:rPr>
      </w:pPr>
      <w:r>
        <w:rPr>
          <w:rFonts w:hint="eastAsia" w:ascii="仿宋" w:hAnsi="仿宋" w:eastAsia="仿宋" w:cs="仿宋"/>
        </w:rPr>
        <w:t>6. 我方同意提供按照贵方可能要求的与我方报价有关的一切数据或资料，完全理解贵方不一定要接受最低价的报价或收到的任何报价。</w:t>
      </w:r>
    </w:p>
    <w:p w14:paraId="02537526">
      <w:pPr>
        <w:pStyle w:val="19"/>
        <w:tabs>
          <w:tab w:val="left" w:pos="1386"/>
        </w:tabs>
        <w:spacing w:after="0"/>
        <w:ind w:left="0" w:leftChars="0" w:firstLine="480" w:firstLineChars="200"/>
        <w:rPr>
          <w:rFonts w:hint="eastAsia" w:ascii="仿宋" w:hAnsi="仿宋" w:eastAsia="仿宋" w:cs="仿宋"/>
        </w:rPr>
      </w:pPr>
      <w:r>
        <w:rPr>
          <w:rFonts w:hint="eastAsia" w:ascii="仿宋" w:hAnsi="仿宋" w:eastAsia="仿宋" w:cs="仿宋"/>
        </w:rPr>
        <w:t>7. 与本报价有关的一切正式往来通讯请寄：</w:t>
      </w:r>
    </w:p>
    <w:p w14:paraId="5D66803C">
      <w:pPr>
        <w:rPr>
          <w:rFonts w:hint="eastAsia" w:ascii="仿宋" w:hAnsi="仿宋" w:eastAsia="仿宋" w:cs="仿宋"/>
          <w:u w:val="single"/>
        </w:rPr>
      </w:pPr>
      <w:r>
        <w:rPr>
          <w:rFonts w:hint="eastAsia" w:ascii="仿宋" w:hAnsi="仿宋" w:eastAsia="仿宋" w:cs="仿宋"/>
        </w:rPr>
        <w:tab/>
      </w:r>
      <w:r>
        <w:rPr>
          <w:rFonts w:hint="eastAsia" w:ascii="仿宋" w:hAnsi="仿宋" w:eastAsia="仿宋" w:cs="仿宋"/>
        </w:rPr>
        <w:t>地址：</w:t>
      </w:r>
      <w:r>
        <w:rPr>
          <w:rFonts w:hint="eastAsia" w:ascii="仿宋" w:hAnsi="仿宋" w:eastAsia="仿宋" w:cs="仿宋"/>
          <w:u w:val="single"/>
        </w:rPr>
        <w:t xml:space="preserve">                                  </w:t>
      </w:r>
      <w:r>
        <w:rPr>
          <w:rFonts w:hint="eastAsia" w:ascii="仿宋" w:hAnsi="仿宋" w:eastAsia="仿宋" w:cs="仿宋"/>
        </w:rPr>
        <w:t>邮编：</w:t>
      </w:r>
      <w:r>
        <w:rPr>
          <w:rFonts w:hint="eastAsia" w:ascii="仿宋" w:hAnsi="仿宋" w:eastAsia="仿宋" w:cs="仿宋"/>
          <w:u w:val="single"/>
        </w:rPr>
        <w:t xml:space="preserve">                    </w:t>
      </w:r>
    </w:p>
    <w:p w14:paraId="1FDA2A45">
      <w:pPr>
        <w:rPr>
          <w:rFonts w:hint="eastAsia" w:ascii="仿宋" w:hAnsi="仿宋" w:eastAsia="仿宋" w:cs="仿宋"/>
        </w:rPr>
      </w:pPr>
      <w:r>
        <w:rPr>
          <w:rFonts w:hint="eastAsia" w:ascii="仿宋" w:hAnsi="仿宋" w:eastAsia="仿宋" w:cs="仿宋"/>
        </w:rPr>
        <w:tab/>
      </w:r>
      <w:r>
        <w:rPr>
          <w:rFonts w:hint="eastAsia" w:ascii="仿宋" w:hAnsi="仿宋" w:eastAsia="仿宋" w:cs="仿宋"/>
        </w:rPr>
        <w:t>电话：</w:t>
      </w:r>
      <w:r>
        <w:rPr>
          <w:rFonts w:hint="eastAsia" w:ascii="仿宋" w:hAnsi="仿宋" w:eastAsia="仿宋" w:cs="仿宋"/>
          <w:u w:val="single"/>
        </w:rPr>
        <w:t xml:space="preserve">                                  </w:t>
      </w:r>
      <w:r>
        <w:rPr>
          <w:rFonts w:hint="eastAsia" w:ascii="仿宋" w:hAnsi="仿宋" w:eastAsia="仿宋" w:cs="仿宋"/>
        </w:rPr>
        <w:t>传真：</w:t>
      </w:r>
      <w:r>
        <w:rPr>
          <w:rFonts w:hint="eastAsia" w:ascii="仿宋" w:hAnsi="仿宋" w:eastAsia="仿宋" w:cs="仿宋"/>
          <w:u w:val="single"/>
        </w:rPr>
        <w:t xml:space="preserve">                    </w:t>
      </w:r>
    </w:p>
    <w:p w14:paraId="008654F1">
      <w:pPr>
        <w:rPr>
          <w:rFonts w:hint="eastAsia" w:ascii="仿宋" w:hAnsi="仿宋" w:eastAsia="仿宋" w:cs="仿宋"/>
          <w:u w:val="single"/>
        </w:rPr>
      </w:pPr>
      <w:r>
        <w:rPr>
          <w:rFonts w:hint="eastAsia" w:ascii="仿宋" w:hAnsi="仿宋" w:eastAsia="仿宋" w:cs="仿宋"/>
        </w:rPr>
        <w:tab/>
      </w:r>
      <w:r>
        <w:rPr>
          <w:rFonts w:hint="eastAsia" w:ascii="仿宋" w:hAnsi="仿宋" w:eastAsia="仿宋" w:cs="仿宋"/>
        </w:rPr>
        <w:t>供应商代表姓名、职务：</w:t>
      </w:r>
      <w:r>
        <w:rPr>
          <w:rFonts w:hint="eastAsia" w:ascii="仿宋" w:hAnsi="仿宋" w:eastAsia="仿宋" w:cs="仿宋"/>
          <w:u w:val="single"/>
        </w:rPr>
        <w:t xml:space="preserve">                                   </w:t>
      </w:r>
    </w:p>
    <w:p w14:paraId="2413B5E6">
      <w:pPr>
        <w:rPr>
          <w:rFonts w:hint="eastAsia" w:ascii="仿宋" w:hAnsi="仿宋" w:eastAsia="仿宋" w:cs="仿宋"/>
          <w:u w:val="single"/>
        </w:rPr>
      </w:pPr>
      <w:r>
        <w:rPr>
          <w:rFonts w:hint="eastAsia" w:ascii="仿宋" w:hAnsi="仿宋" w:eastAsia="仿宋" w:cs="仿宋"/>
        </w:rPr>
        <w:tab/>
      </w:r>
      <w:r>
        <w:rPr>
          <w:rFonts w:hint="eastAsia" w:ascii="仿宋" w:hAnsi="仿宋" w:eastAsia="仿宋" w:cs="仿宋"/>
        </w:rPr>
        <w:t>供应商代表身份证号：</w:t>
      </w:r>
      <w:r>
        <w:rPr>
          <w:rFonts w:hint="eastAsia" w:ascii="仿宋" w:hAnsi="仿宋" w:eastAsia="仿宋" w:cs="仿宋"/>
          <w:u w:val="single"/>
        </w:rPr>
        <w:t xml:space="preserve">                                     </w:t>
      </w:r>
    </w:p>
    <w:p w14:paraId="70F7EFB6">
      <w:pPr>
        <w:pStyle w:val="18"/>
        <w:rPr>
          <w:rFonts w:hint="eastAsia" w:ascii="仿宋" w:hAnsi="仿宋" w:eastAsia="仿宋" w:cs="仿宋"/>
        </w:rPr>
      </w:pPr>
    </w:p>
    <w:tbl>
      <w:tblPr>
        <w:tblStyle w:val="47"/>
        <w:tblW w:w="0" w:type="auto"/>
        <w:tblInd w:w="2376" w:type="dxa"/>
        <w:tblLayout w:type="fixed"/>
        <w:tblCellMar>
          <w:top w:w="0" w:type="dxa"/>
          <w:left w:w="108" w:type="dxa"/>
          <w:bottom w:w="0" w:type="dxa"/>
          <w:right w:w="108" w:type="dxa"/>
        </w:tblCellMar>
      </w:tblPr>
      <w:tblGrid>
        <w:gridCol w:w="2410"/>
        <w:gridCol w:w="287"/>
        <w:gridCol w:w="4107"/>
      </w:tblGrid>
      <w:tr w14:paraId="7B114530">
        <w:trPr>
          <w:trHeight w:val="680" w:hRule="atLeast"/>
        </w:trPr>
        <w:tc>
          <w:tcPr>
            <w:tcW w:w="2410" w:type="dxa"/>
            <w:noWrap w:val="0"/>
            <w:vAlign w:val="bottom"/>
          </w:tcPr>
          <w:p w14:paraId="3261EC3E">
            <w:pPr>
              <w:pStyle w:val="18"/>
              <w:keepNext w:val="0"/>
              <w:keepLines w:val="0"/>
              <w:suppressLineNumbers w:val="0"/>
              <w:spacing w:before="0" w:beforeAutospacing="0" w:afterAutospacing="0"/>
              <w:ind w:left="0" w:right="0"/>
              <w:jc w:val="distribute"/>
              <w:rPr>
                <w:rFonts w:hint="eastAsia" w:ascii="仿宋" w:hAnsi="仿宋" w:eastAsia="仿宋" w:cs="仿宋"/>
                <w:b w:val="0"/>
                <w:color w:val="000000"/>
                <w:sz w:val="24"/>
                <w:szCs w:val="24"/>
                <w:highlight w:val="none"/>
                <w:lang w:val="en-US" w:eastAsia="zh-CN"/>
              </w:rPr>
            </w:pPr>
            <w:bookmarkStart w:id="326" w:name="_Toc283626511"/>
            <w:bookmarkStart w:id="327" w:name="_Toc332874428"/>
            <w:bookmarkStart w:id="328" w:name="_Toc311415657"/>
            <w:bookmarkStart w:id="329" w:name="_Toc283240496"/>
            <w:r>
              <w:rPr>
                <w:rFonts w:hint="eastAsia" w:ascii="仿宋" w:hAnsi="仿宋" w:eastAsia="仿宋" w:cs="仿宋"/>
                <w:b w:val="0"/>
                <w:color w:val="000000"/>
                <w:sz w:val="24"/>
                <w:highlight w:val="none"/>
                <w:lang w:val="en-US" w:eastAsia="zh-CN"/>
              </w:rPr>
              <w:t>供应商名称</w:t>
            </w:r>
          </w:p>
        </w:tc>
        <w:tc>
          <w:tcPr>
            <w:tcW w:w="287" w:type="dxa"/>
            <w:noWrap w:val="0"/>
            <w:vAlign w:val="bottom"/>
          </w:tcPr>
          <w:p w14:paraId="50D65698">
            <w:pPr>
              <w:pStyle w:val="18"/>
              <w:keepNext w:val="0"/>
              <w:keepLines w:val="0"/>
              <w:suppressLineNumbers w:val="0"/>
              <w:spacing w:before="0" w:beforeAutospacing="0" w:afterAutospacing="0"/>
              <w:ind w:left="0" w:right="0"/>
              <w:jc w:val="left"/>
              <w:rPr>
                <w:rFonts w:hint="eastAsia" w:ascii="仿宋" w:hAnsi="仿宋" w:eastAsia="仿宋" w:cs="仿宋"/>
                <w:b w:val="0"/>
                <w:color w:val="000000"/>
                <w:sz w:val="24"/>
                <w:szCs w:val="24"/>
                <w:highlight w:val="none"/>
                <w:lang w:val="en-US" w:eastAsia="zh-CN"/>
              </w:rPr>
            </w:pPr>
            <w:r>
              <w:rPr>
                <w:rFonts w:hint="eastAsia" w:ascii="仿宋" w:hAnsi="仿宋" w:eastAsia="仿宋" w:cs="仿宋"/>
                <w:b w:val="0"/>
                <w:color w:val="000000"/>
                <w:sz w:val="24"/>
                <w:szCs w:val="24"/>
                <w:highlight w:val="none"/>
                <w:lang w:val="en-US" w:eastAsia="zh-CN"/>
              </w:rPr>
              <w:t>：</w:t>
            </w:r>
          </w:p>
        </w:tc>
        <w:tc>
          <w:tcPr>
            <w:tcW w:w="4107" w:type="dxa"/>
            <w:noWrap w:val="0"/>
            <w:vAlign w:val="bottom"/>
          </w:tcPr>
          <w:p w14:paraId="10090393">
            <w:pPr>
              <w:pStyle w:val="18"/>
              <w:keepNext w:val="0"/>
              <w:keepLines w:val="0"/>
              <w:suppressLineNumbers w:val="0"/>
              <w:spacing w:before="0" w:beforeAutospacing="0" w:afterAutospacing="0"/>
              <w:ind w:left="0" w:right="0"/>
              <w:rPr>
                <w:rFonts w:hint="eastAsia" w:ascii="仿宋" w:hAnsi="仿宋" w:eastAsia="仿宋" w:cs="仿宋"/>
                <w:b w:val="0"/>
                <w:color w:val="000000"/>
                <w:sz w:val="24"/>
                <w:szCs w:val="24"/>
                <w:highlight w:val="none"/>
                <w:u w:val="single"/>
                <w:lang w:val="en-US" w:eastAsia="zh-CN"/>
              </w:rPr>
            </w:pPr>
            <w:r>
              <w:rPr>
                <w:rFonts w:hint="eastAsia" w:ascii="仿宋" w:hAnsi="仿宋" w:eastAsia="仿宋" w:cs="仿宋"/>
                <w:b w:val="0"/>
                <w:color w:val="000000"/>
                <w:sz w:val="24"/>
                <w:szCs w:val="24"/>
                <w:highlight w:val="none"/>
                <w:u w:val="single"/>
                <w:lang w:val="en-US" w:eastAsia="zh-CN"/>
              </w:rPr>
              <w:t xml:space="preserve">                </w:t>
            </w:r>
            <w:r>
              <w:rPr>
                <w:rFonts w:hint="eastAsia" w:ascii="仿宋" w:hAnsi="仿宋" w:eastAsia="仿宋" w:cs="仿宋"/>
                <w:b w:val="0"/>
                <w:color w:val="000000"/>
                <w:sz w:val="24"/>
                <w:highlight w:val="none"/>
                <w:u w:val="single"/>
                <w:lang w:val="en-US" w:eastAsia="zh-CN"/>
              </w:rPr>
              <w:t xml:space="preserve">（公章） </w:t>
            </w:r>
            <w:r>
              <w:rPr>
                <w:rFonts w:hint="eastAsia" w:ascii="仿宋" w:hAnsi="仿宋" w:eastAsia="仿宋" w:cs="仿宋"/>
                <w:b w:val="0"/>
                <w:color w:val="000000"/>
                <w:sz w:val="24"/>
                <w:szCs w:val="24"/>
                <w:highlight w:val="none"/>
                <w:u w:val="single"/>
                <w:lang w:val="en-US" w:eastAsia="zh-CN"/>
              </w:rPr>
              <w:t xml:space="preserve">           </w:t>
            </w:r>
          </w:p>
        </w:tc>
      </w:tr>
      <w:tr w14:paraId="68DF8602">
        <w:tblPrEx>
          <w:tblCellMar>
            <w:top w:w="0" w:type="dxa"/>
            <w:left w:w="108" w:type="dxa"/>
            <w:bottom w:w="0" w:type="dxa"/>
            <w:right w:w="108" w:type="dxa"/>
          </w:tblCellMar>
        </w:tblPrEx>
        <w:trPr>
          <w:trHeight w:val="680" w:hRule="atLeast"/>
        </w:trPr>
        <w:tc>
          <w:tcPr>
            <w:tcW w:w="2410" w:type="dxa"/>
            <w:noWrap w:val="0"/>
            <w:vAlign w:val="bottom"/>
          </w:tcPr>
          <w:p w14:paraId="0F320D1D">
            <w:pPr>
              <w:pStyle w:val="18"/>
              <w:keepNext w:val="0"/>
              <w:keepLines w:val="0"/>
              <w:suppressLineNumbers w:val="0"/>
              <w:spacing w:before="0" w:beforeAutospacing="0" w:afterAutospacing="0"/>
              <w:ind w:left="0" w:right="0"/>
              <w:jc w:val="distribute"/>
              <w:rPr>
                <w:rFonts w:hint="eastAsia" w:ascii="仿宋" w:hAnsi="仿宋" w:eastAsia="仿宋" w:cs="仿宋"/>
                <w:b w:val="0"/>
                <w:color w:val="000000"/>
                <w:sz w:val="24"/>
                <w:szCs w:val="24"/>
                <w:highlight w:val="none"/>
                <w:lang w:val="en-US" w:eastAsia="zh-CN"/>
              </w:rPr>
            </w:pPr>
            <w:r>
              <w:rPr>
                <w:rFonts w:hint="eastAsia" w:ascii="仿宋" w:hAnsi="仿宋" w:eastAsia="仿宋" w:cs="仿宋"/>
                <w:b w:val="0"/>
                <w:color w:val="000000"/>
                <w:sz w:val="24"/>
                <w:highlight w:val="none"/>
                <w:lang w:val="en-US" w:eastAsia="zh-CN"/>
              </w:rPr>
              <w:t>法定代表人或被授权代表（签字或盖章）</w:t>
            </w:r>
          </w:p>
        </w:tc>
        <w:tc>
          <w:tcPr>
            <w:tcW w:w="287" w:type="dxa"/>
            <w:noWrap w:val="0"/>
            <w:vAlign w:val="bottom"/>
          </w:tcPr>
          <w:p w14:paraId="555FCDFA">
            <w:pPr>
              <w:pStyle w:val="18"/>
              <w:keepNext w:val="0"/>
              <w:keepLines w:val="0"/>
              <w:suppressLineNumbers w:val="0"/>
              <w:spacing w:before="0" w:beforeAutospacing="0" w:afterAutospacing="0"/>
              <w:ind w:left="0" w:right="0"/>
              <w:jc w:val="left"/>
              <w:rPr>
                <w:rFonts w:hint="eastAsia" w:ascii="仿宋" w:hAnsi="仿宋" w:eastAsia="仿宋" w:cs="仿宋"/>
                <w:b w:val="0"/>
                <w:color w:val="000000"/>
                <w:sz w:val="24"/>
                <w:szCs w:val="24"/>
                <w:highlight w:val="none"/>
                <w:lang w:val="en-US" w:eastAsia="zh-CN"/>
              </w:rPr>
            </w:pPr>
            <w:r>
              <w:rPr>
                <w:rFonts w:hint="eastAsia" w:ascii="仿宋" w:hAnsi="仿宋" w:eastAsia="仿宋" w:cs="仿宋"/>
                <w:b w:val="0"/>
                <w:color w:val="000000"/>
                <w:sz w:val="24"/>
                <w:szCs w:val="24"/>
                <w:highlight w:val="none"/>
                <w:lang w:val="en-US" w:eastAsia="zh-CN"/>
              </w:rPr>
              <w:t>：</w:t>
            </w:r>
          </w:p>
        </w:tc>
        <w:tc>
          <w:tcPr>
            <w:tcW w:w="4107" w:type="dxa"/>
            <w:noWrap w:val="0"/>
            <w:vAlign w:val="bottom"/>
          </w:tcPr>
          <w:p w14:paraId="2A7DA8F4">
            <w:pPr>
              <w:pStyle w:val="18"/>
              <w:keepNext w:val="0"/>
              <w:keepLines w:val="0"/>
              <w:suppressLineNumbers w:val="0"/>
              <w:spacing w:before="0" w:beforeAutospacing="0" w:afterAutospacing="0"/>
              <w:ind w:left="0" w:right="0"/>
              <w:rPr>
                <w:rFonts w:hint="eastAsia" w:ascii="仿宋" w:hAnsi="仿宋" w:eastAsia="仿宋" w:cs="仿宋"/>
                <w:b w:val="0"/>
                <w:color w:val="000000"/>
                <w:sz w:val="24"/>
                <w:szCs w:val="24"/>
                <w:highlight w:val="none"/>
                <w:u w:val="single"/>
                <w:lang w:val="en-US" w:eastAsia="zh-CN"/>
              </w:rPr>
            </w:pPr>
            <w:r>
              <w:rPr>
                <w:rFonts w:hint="eastAsia" w:ascii="仿宋" w:hAnsi="仿宋" w:eastAsia="仿宋" w:cs="仿宋"/>
                <w:b w:val="0"/>
                <w:color w:val="000000"/>
                <w:sz w:val="24"/>
                <w:szCs w:val="24"/>
                <w:highlight w:val="none"/>
                <w:u w:val="single"/>
                <w:lang w:val="en-US" w:eastAsia="zh-CN"/>
              </w:rPr>
              <w:t xml:space="preserve">            </w:t>
            </w:r>
            <w:r>
              <w:rPr>
                <w:rFonts w:hint="eastAsia" w:ascii="仿宋" w:hAnsi="仿宋" w:eastAsia="仿宋" w:cs="仿宋"/>
                <w:b w:val="0"/>
                <w:color w:val="000000"/>
                <w:sz w:val="24"/>
                <w:highlight w:val="none"/>
                <w:u w:val="single"/>
                <w:lang w:val="en-US" w:eastAsia="zh-CN"/>
              </w:rPr>
              <w:t>（签字或盖章）</w:t>
            </w:r>
            <w:r>
              <w:rPr>
                <w:rFonts w:hint="eastAsia" w:ascii="仿宋" w:hAnsi="仿宋" w:eastAsia="仿宋" w:cs="仿宋"/>
                <w:b w:val="0"/>
                <w:color w:val="000000"/>
                <w:sz w:val="24"/>
                <w:szCs w:val="24"/>
                <w:highlight w:val="none"/>
                <w:u w:val="single"/>
                <w:lang w:val="en-US" w:eastAsia="zh-CN"/>
              </w:rPr>
              <w:t xml:space="preserve">                              </w:t>
            </w:r>
          </w:p>
        </w:tc>
      </w:tr>
      <w:tr w14:paraId="13C1073B">
        <w:tblPrEx>
          <w:tblCellMar>
            <w:top w:w="0" w:type="dxa"/>
            <w:left w:w="108" w:type="dxa"/>
            <w:bottom w:w="0" w:type="dxa"/>
            <w:right w:w="108" w:type="dxa"/>
          </w:tblCellMar>
        </w:tblPrEx>
        <w:trPr>
          <w:trHeight w:val="680" w:hRule="atLeast"/>
        </w:trPr>
        <w:tc>
          <w:tcPr>
            <w:tcW w:w="2410" w:type="dxa"/>
            <w:noWrap w:val="0"/>
            <w:vAlign w:val="bottom"/>
          </w:tcPr>
          <w:p w14:paraId="043D01B0">
            <w:pPr>
              <w:pStyle w:val="18"/>
              <w:keepNext w:val="0"/>
              <w:keepLines w:val="0"/>
              <w:suppressLineNumbers w:val="0"/>
              <w:spacing w:before="0" w:beforeAutospacing="0" w:afterAutospacing="0"/>
              <w:ind w:left="0" w:right="0"/>
              <w:jc w:val="distribute"/>
              <w:rPr>
                <w:rFonts w:hint="eastAsia" w:ascii="仿宋" w:hAnsi="仿宋" w:eastAsia="仿宋" w:cs="仿宋"/>
                <w:b w:val="0"/>
                <w:color w:val="000000"/>
                <w:sz w:val="24"/>
                <w:szCs w:val="24"/>
                <w:highlight w:val="none"/>
                <w:lang w:val="en-US" w:eastAsia="zh-CN"/>
              </w:rPr>
            </w:pPr>
            <w:r>
              <w:rPr>
                <w:rFonts w:hint="eastAsia" w:ascii="仿宋" w:hAnsi="仿宋" w:eastAsia="仿宋" w:cs="仿宋"/>
                <w:b w:val="0"/>
                <w:color w:val="000000"/>
                <w:sz w:val="24"/>
                <w:szCs w:val="24"/>
                <w:highlight w:val="none"/>
                <w:lang w:val="en-US" w:eastAsia="zh-CN"/>
              </w:rPr>
              <w:t>日期</w:t>
            </w:r>
          </w:p>
        </w:tc>
        <w:tc>
          <w:tcPr>
            <w:tcW w:w="287" w:type="dxa"/>
            <w:noWrap w:val="0"/>
            <w:vAlign w:val="bottom"/>
          </w:tcPr>
          <w:p w14:paraId="71B55AC0">
            <w:pPr>
              <w:pStyle w:val="18"/>
              <w:keepNext w:val="0"/>
              <w:keepLines w:val="0"/>
              <w:suppressLineNumbers w:val="0"/>
              <w:spacing w:before="0" w:beforeAutospacing="0" w:afterAutospacing="0"/>
              <w:ind w:left="0" w:right="0"/>
              <w:jc w:val="left"/>
              <w:rPr>
                <w:rFonts w:hint="eastAsia" w:ascii="仿宋" w:hAnsi="仿宋" w:eastAsia="仿宋" w:cs="仿宋"/>
                <w:b w:val="0"/>
                <w:color w:val="000000"/>
                <w:sz w:val="24"/>
                <w:szCs w:val="24"/>
                <w:highlight w:val="none"/>
                <w:lang w:val="en-US" w:eastAsia="zh-CN"/>
              </w:rPr>
            </w:pPr>
            <w:r>
              <w:rPr>
                <w:rFonts w:hint="eastAsia" w:ascii="仿宋" w:hAnsi="仿宋" w:eastAsia="仿宋" w:cs="仿宋"/>
                <w:b w:val="0"/>
                <w:color w:val="000000"/>
                <w:sz w:val="24"/>
                <w:szCs w:val="24"/>
                <w:highlight w:val="none"/>
                <w:lang w:val="en-US" w:eastAsia="zh-CN"/>
              </w:rPr>
              <w:t>：</w:t>
            </w:r>
          </w:p>
        </w:tc>
        <w:tc>
          <w:tcPr>
            <w:tcW w:w="4107" w:type="dxa"/>
            <w:noWrap w:val="0"/>
            <w:vAlign w:val="bottom"/>
          </w:tcPr>
          <w:p w14:paraId="79E406DD">
            <w:pPr>
              <w:pStyle w:val="18"/>
              <w:keepNext w:val="0"/>
              <w:keepLines w:val="0"/>
              <w:suppressLineNumbers w:val="0"/>
              <w:spacing w:before="0" w:beforeAutospacing="0" w:afterAutospacing="0"/>
              <w:ind w:left="0" w:right="0"/>
              <w:rPr>
                <w:rFonts w:hint="eastAsia" w:ascii="仿宋" w:hAnsi="仿宋" w:eastAsia="仿宋" w:cs="仿宋"/>
                <w:b w:val="0"/>
                <w:color w:val="000000"/>
                <w:sz w:val="24"/>
                <w:szCs w:val="24"/>
                <w:highlight w:val="none"/>
                <w:u w:val="single"/>
                <w:lang w:val="en-US" w:eastAsia="zh-CN"/>
              </w:rPr>
            </w:pPr>
            <w:r>
              <w:rPr>
                <w:rFonts w:hint="eastAsia" w:ascii="仿宋" w:hAnsi="仿宋" w:eastAsia="仿宋" w:cs="仿宋"/>
                <w:b w:val="0"/>
                <w:color w:val="000000"/>
                <w:sz w:val="24"/>
                <w:szCs w:val="24"/>
                <w:highlight w:val="none"/>
                <w:u w:val="single"/>
                <w:lang w:val="en-US" w:eastAsia="zh-CN"/>
              </w:rPr>
              <w:t xml:space="preserve">      年       月       日                                  </w:t>
            </w:r>
          </w:p>
        </w:tc>
      </w:tr>
    </w:tbl>
    <w:p w14:paraId="2EABFB2A">
      <w:pPr>
        <w:pStyle w:val="3"/>
        <w:adjustRightInd w:val="0"/>
        <w:snapToGrid w:val="0"/>
        <w:spacing w:before="0" w:after="0" w:line="360" w:lineRule="auto"/>
        <w:rPr>
          <w:rFonts w:hint="eastAsia" w:ascii="仿宋" w:hAnsi="仿宋" w:eastAsia="仿宋" w:cs="仿宋"/>
          <w:sz w:val="28"/>
          <w:szCs w:val="28"/>
        </w:rPr>
      </w:pPr>
      <w:r>
        <w:rPr>
          <w:rFonts w:hint="eastAsia" w:ascii="仿宋" w:hAnsi="仿宋" w:eastAsia="仿宋" w:cs="仿宋"/>
          <w:sz w:val="24"/>
          <w:szCs w:val="24"/>
        </w:rPr>
        <w:br w:type="page"/>
      </w:r>
      <w:bookmarkStart w:id="330" w:name="_Toc25509"/>
      <w:bookmarkStart w:id="331" w:name="_Toc2340"/>
      <w:bookmarkStart w:id="332" w:name="_Toc32356"/>
      <w:bookmarkStart w:id="333" w:name="_Toc17291"/>
      <w:bookmarkStart w:id="334" w:name="_Toc10691"/>
      <w:r>
        <w:rPr>
          <w:rFonts w:hint="eastAsia" w:ascii="仿宋" w:hAnsi="仿宋" w:eastAsia="仿宋" w:cs="仿宋"/>
          <w:sz w:val="28"/>
          <w:szCs w:val="28"/>
        </w:rPr>
        <w:t>附件2 谈判报价表</w:t>
      </w:r>
      <w:bookmarkEnd w:id="326"/>
      <w:bookmarkEnd w:id="327"/>
      <w:bookmarkEnd w:id="328"/>
      <w:bookmarkEnd w:id="329"/>
      <w:bookmarkEnd w:id="330"/>
      <w:bookmarkEnd w:id="331"/>
      <w:bookmarkEnd w:id="332"/>
      <w:bookmarkEnd w:id="333"/>
      <w:bookmarkEnd w:id="334"/>
    </w:p>
    <w:p w14:paraId="1316A885">
      <w:pPr>
        <w:rPr>
          <w:rFonts w:hint="eastAsia" w:ascii="仿宋" w:hAnsi="仿宋" w:eastAsia="仿宋" w:cs="仿宋"/>
        </w:rPr>
      </w:pPr>
    </w:p>
    <w:tbl>
      <w:tblPr>
        <w:tblStyle w:val="47"/>
        <w:tblW w:w="0" w:type="auto"/>
        <w:tblInd w:w="-6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279"/>
        <w:gridCol w:w="5021"/>
      </w:tblGrid>
      <w:tr w14:paraId="7C15A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05" w:hRule="atLeast"/>
        </w:trPr>
        <w:tc>
          <w:tcPr>
            <w:tcW w:w="3279" w:type="dxa"/>
            <w:noWrap w:val="0"/>
            <w:vAlign w:val="center"/>
          </w:tcPr>
          <w:p w14:paraId="72618C0D">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项目名称</w:t>
            </w:r>
          </w:p>
        </w:tc>
        <w:tc>
          <w:tcPr>
            <w:tcW w:w="5021" w:type="dxa"/>
            <w:noWrap w:val="0"/>
            <w:vAlign w:val="center"/>
          </w:tcPr>
          <w:p w14:paraId="703F655F">
            <w:pPr>
              <w:keepNext w:val="0"/>
              <w:keepLines w:val="0"/>
              <w:suppressLineNumbers w:val="0"/>
              <w:spacing w:before="0" w:beforeAutospacing="0" w:after="0" w:afterAutospacing="0"/>
              <w:ind w:left="0" w:right="0"/>
              <w:jc w:val="center"/>
              <w:rPr>
                <w:rFonts w:hint="eastAsia" w:ascii="仿宋" w:hAnsi="仿宋" w:eastAsia="仿宋" w:cs="仿宋"/>
              </w:rPr>
            </w:pPr>
          </w:p>
        </w:tc>
      </w:tr>
      <w:tr w14:paraId="25411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35" w:hRule="atLeast"/>
        </w:trPr>
        <w:tc>
          <w:tcPr>
            <w:tcW w:w="3279" w:type="dxa"/>
            <w:noWrap w:val="0"/>
            <w:vAlign w:val="center"/>
          </w:tcPr>
          <w:p w14:paraId="4A68B7D2">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项目编号</w:t>
            </w:r>
          </w:p>
        </w:tc>
        <w:tc>
          <w:tcPr>
            <w:tcW w:w="5021" w:type="dxa"/>
            <w:noWrap w:val="0"/>
            <w:vAlign w:val="center"/>
          </w:tcPr>
          <w:p w14:paraId="2CA16C2D">
            <w:pPr>
              <w:keepNext w:val="0"/>
              <w:keepLines w:val="0"/>
              <w:suppressLineNumbers w:val="0"/>
              <w:spacing w:before="0" w:beforeAutospacing="0" w:after="0" w:afterAutospacing="0"/>
              <w:ind w:left="0" w:right="0"/>
              <w:jc w:val="center"/>
              <w:rPr>
                <w:rFonts w:hint="eastAsia" w:ascii="仿宋" w:hAnsi="仿宋" w:eastAsia="仿宋" w:cs="仿宋"/>
                <w:caps/>
              </w:rPr>
            </w:pPr>
          </w:p>
        </w:tc>
      </w:tr>
      <w:tr w14:paraId="450E2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3279" w:type="dxa"/>
            <w:noWrap w:val="0"/>
            <w:vAlign w:val="center"/>
          </w:tcPr>
          <w:p w14:paraId="42A94B85">
            <w:pPr>
              <w:keepNext w:val="0"/>
              <w:keepLines w:val="0"/>
              <w:suppressLineNumbers w:val="0"/>
              <w:spacing w:before="0" w:beforeAutospacing="0" w:after="0" w:afterAutospacing="0"/>
              <w:ind w:left="0" w:right="0"/>
              <w:jc w:val="center"/>
              <w:rPr>
                <w:rFonts w:hint="eastAsia" w:ascii="仿宋" w:hAnsi="仿宋" w:eastAsia="仿宋" w:cs="仿宋"/>
                <w:lang w:val="en-US" w:eastAsia="zh-CN"/>
              </w:rPr>
            </w:pPr>
            <w:r>
              <w:rPr>
                <w:rFonts w:hint="eastAsia" w:ascii="仿宋" w:hAnsi="仿宋" w:eastAsia="仿宋" w:cs="仿宋"/>
                <w:lang w:val="en-US" w:eastAsia="zh-CN"/>
              </w:rPr>
              <w:t>包号</w:t>
            </w:r>
          </w:p>
        </w:tc>
        <w:tc>
          <w:tcPr>
            <w:tcW w:w="5021" w:type="dxa"/>
            <w:noWrap w:val="0"/>
            <w:vAlign w:val="center"/>
          </w:tcPr>
          <w:p w14:paraId="666060CD">
            <w:pPr>
              <w:keepNext w:val="0"/>
              <w:keepLines w:val="0"/>
              <w:suppressLineNumbers w:val="0"/>
              <w:spacing w:before="0" w:beforeAutospacing="0" w:after="0" w:afterAutospacing="0"/>
              <w:ind w:left="0" w:right="0"/>
              <w:jc w:val="center"/>
              <w:rPr>
                <w:rFonts w:hint="default" w:ascii="仿宋" w:hAnsi="仿宋" w:eastAsia="仿宋" w:cs="仿宋"/>
                <w:lang w:val="en-US"/>
              </w:rPr>
            </w:pPr>
          </w:p>
        </w:tc>
      </w:tr>
      <w:tr w14:paraId="1D4DE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81" w:hRule="atLeast"/>
        </w:trPr>
        <w:tc>
          <w:tcPr>
            <w:tcW w:w="3279" w:type="dxa"/>
            <w:noWrap w:val="0"/>
            <w:vAlign w:val="center"/>
          </w:tcPr>
          <w:p w14:paraId="61C2582F">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供应商名称</w:t>
            </w:r>
          </w:p>
        </w:tc>
        <w:tc>
          <w:tcPr>
            <w:tcW w:w="5021" w:type="dxa"/>
            <w:noWrap w:val="0"/>
            <w:vAlign w:val="center"/>
          </w:tcPr>
          <w:p w14:paraId="0BC58A91">
            <w:pPr>
              <w:keepNext w:val="0"/>
              <w:keepLines w:val="0"/>
              <w:suppressLineNumbers w:val="0"/>
              <w:spacing w:before="0" w:beforeAutospacing="0" w:after="0" w:afterAutospacing="0"/>
              <w:ind w:left="0" w:right="0"/>
              <w:jc w:val="center"/>
              <w:rPr>
                <w:rFonts w:hint="eastAsia" w:ascii="仿宋" w:hAnsi="仿宋" w:eastAsia="仿宋" w:cs="仿宋"/>
              </w:rPr>
            </w:pPr>
          </w:p>
        </w:tc>
      </w:tr>
      <w:tr w14:paraId="16F4F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8" w:hRule="atLeast"/>
        </w:trPr>
        <w:tc>
          <w:tcPr>
            <w:tcW w:w="3279" w:type="dxa"/>
            <w:noWrap w:val="0"/>
            <w:vAlign w:val="center"/>
          </w:tcPr>
          <w:p w14:paraId="0B2A3BC5">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谈判</w:t>
            </w:r>
            <w:r>
              <w:rPr>
                <w:rFonts w:hint="eastAsia" w:ascii="仿宋" w:hAnsi="仿宋" w:eastAsia="仿宋" w:cs="仿宋"/>
                <w:color w:val="auto"/>
                <w:sz w:val="24"/>
                <w:highlight w:val="none"/>
              </w:rPr>
              <w:t>总报价</w:t>
            </w:r>
          </w:p>
          <w:p w14:paraId="19CAC838">
            <w:pPr>
              <w:keepNext w:val="0"/>
              <w:keepLines w:val="0"/>
              <w:suppressLineNumbers w:val="0"/>
              <w:spacing w:before="0" w:beforeAutospacing="0" w:after="0" w:afterAutospacing="0" w:line="400" w:lineRule="exact"/>
              <w:ind w:left="0" w:right="0"/>
              <w:jc w:val="center"/>
              <w:rPr>
                <w:rFonts w:hint="eastAsia" w:ascii="仿宋" w:hAnsi="仿宋" w:eastAsia="仿宋" w:cs="仿宋"/>
              </w:rPr>
            </w:pPr>
            <w:r>
              <w:rPr>
                <w:rFonts w:hint="eastAsia" w:ascii="仿宋" w:hAnsi="仿宋" w:eastAsia="仿宋" w:cs="仿宋"/>
                <w:color w:val="auto"/>
                <w:sz w:val="24"/>
                <w:highlight w:val="none"/>
              </w:rPr>
              <w:t>（人民币/元）</w:t>
            </w:r>
          </w:p>
        </w:tc>
        <w:tc>
          <w:tcPr>
            <w:tcW w:w="5021" w:type="dxa"/>
            <w:noWrap w:val="0"/>
            <w:vAlign w:val="center"/>
          </w:tcPr>
          <w:p w14:paraId="4A3011EA">
            <w:pPr>
              <w:keepNext w:val="0"/>
              <w:keepLines w:val="0"/>
              <w:suppressLineNumbers w:val="0"/>
              <w:spacing w:before="0" w:beforeAutospacing="0" w:after="0" w:afterAutospacing="0" w:line="400" w:lineRule="exact"/>
              <w:ind w:left="0" w:right="0"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（大写）：</w:t>
            </w:r>
            <w:r>
              <w:rPr>
                <w:rFonts w:hint="eastAsia" w:ascii="仿宋" w:hAnsi="仿宋" w:eastAsia="仿宋" w:cs="仿宋"/>
                <w:color w:val="auto"/>
                <w:sz w:val="24"/>
                <w:highlight w:val="none"/>
                <w:u w:val="single"/>
              </w:rPr>
              <w:t xml:space="preserve">               元</w:t>
            </w:r>
          </w:p>
          <w:p w14:paraId="2AE4135F">
            <w:pPr>
              <w:keepNext w:val="0"/>
              <w:keepLines w:val="0"/>
              <w:suppressLineNumbers w:val="0"/>
              <w:spacing w:before="0" w:beforeAutospacing="0" w:after="0" w:afterAutospacing="0" w:line="400" w:lineRule="exact"/>
              <w:ind w:left="0" w:right="0" w:firstLine="120" w:firstLineChars="50"/>
              <w:rPr>
                <w:rFonts w:hint="eastAsia" w:ascii="仿宋" w:hAnsi="仿宋" w:eastAsia="仿宋" w:cs="仿宋"/>
              </w:rPr>
            </w:pPr>
            <w:r>
              <w:rPr>
                <w:rFonts w:hint="eastAsia" w:ascii="仿宋" w:hAnsi="仿宋" w:eastAsia="仿宋" w:cs="仿宋"/>
                <w:color w:val="auto"/>
                <w:sz w:val="24"/>
                <w:highlight w:val="none"/>
              </w:rPr>
              <w:t>（小写）：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 xml:space="preserve">               </w:t>
            </w:r>
          </w:p>
        </w:tc>
      </w:tr>
      <w:tr w14:paraId="0CAB8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58" w:hRule="atLeast"/>
        </w:trPr>
        <w:tc>
          <w:tcPr>
            <w:tcW w:w="3279" w:type="dxa"/>
            <w:noWrap w:val="0"/>
            <w:vAlign w:val="center"/>
          </w:tcPr>
          <w:p w14:paraId="512F929C">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lang w:eastAsia="zh-CN"/>
              </w:rPr>
              <w:t>交货安装期、</w:t>
            </w:r>
            <w:r>
              <w:rPr>
                <w:rFonts w:hint="eastAsia" w:ascii="仿宋" w:hAnsi="仿宋" w:eastAsia="仿宋" w:cs="仿宋"/>
              </w:rPr>
              <w:t>付款方式</w:t>
            </w:r>
            <w:r>
              <w:rPr>
                <w:rFonts w:hint="eastAsia" w:ascii="仿宋" w:hAnsi="仿宋" w:eastAsia="仿宋" w:cs="仿宋"/>
                <w:lang w:eastAsia="zh-CN"/>
              </w:rPr>
              <w:t>、</w:t>
            </w:r>
            <w:r>
              <w:rPr>
                <w:rFonts w:hint="eastAsia" w:ascii="仿宋" w:hAnsi="仿宋" w:eastAsia="仿宋" w:cs="仿宋"/>
              </w:rPr>
              <w:t>质保期是否响应</w:t>
            </w:r>
          </w:p>
        </w:tc>
        <w:tc>
          <w:tcPr>
            <w:tcW w:w="5021" w:type="dxa"/>
            <w:noWrap w:val="0"/>
            <w:vAlign w:val="center"/>
          </w:tcPr>
          <w:p w14:paraId="6B1AC2E4">
            <w:pPr>
              <w:keepNext w:val="0"/>
              <w:keepLines w:val="0"/>
              <w:suppressLineNumbers w:val="0"/>
              <w:spacing w:before="0" w:beforeAutospacing="0" w:after="0" w:afterAutospacing="0"/>
              <w:ind w:left="0" w:right="0"/>
              <w:jc w:val="center"/>
              <w:rPr>
                <w:rFonts w:hint="default" w:ascii="仿宋" w:hAnsi="仿宋" w:eastAsia="仿宋" w:cs="仿宋"/>
                <w:lang w:val="en-US" w:eastAsia="zh-CN"/>
              </w:rPr>
            </w:pPr>
            <w:r>
              <w:rPr>
                <w:rFonts w:hint="eastAsia" w:ascii="仿宋" w:hAnsi="仿宋" w:eastAsia="仿宋" w:cs="仿宋"/>
                <w:lang w:val="en-US" w:eastAsia="zh-CN"/>
              </w:rPr>
              <w:t>是/否</w:t>
            </w:r>
          </w:p>
        </w:tc>
      </w:tr>
    </w:tbl>
    <w:p w14:paraId="563B5C92">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说明：1、</w:t>
      </w:r>
      <w:r>
        <w:rPr>
          <w:rFonts w:hint="eastAsia" w:ascii="仿宋" w:hAnsi="仿宋" w:eastAsia="仿宋" w:cs="仿宋"/>
          <w:color w:val="auto"/>
          <w:sz w:val="24"/>
          <w:szCs w:val="24"/>
          <w:highlight w:val="none"/>
          <w:lang w:val="en-US" w:eastAsia="zh-CN"/>
        </w:rPr>
        <w:t>谈判</w:t>
      </w:r>
      <w:r>
        <w:rPr>
          <w:rFonts w:hint="eastAsia" w:ascii="仿宋" w:hAnsi="仿宋" w:eastAsia="仿宋" w:cs="仿宋"/>
          <w:color w:val="auto"/>
          <w:sz w:val="24"/>
          <w:szCs w:val="24"/>
          <w:highlight w:val="none"/>
        </w:rPr>
        <w:t>总报价超出采购预算的为无效报价；</w:t>
      </w:r>
    </w:p>
    <w:p w14:paraId="23068DC5">
      <w:pPr>
        <w:adjustRightInd w:val="0"/>
        <w:snapToGrid w:val="0"/>
        <w:spacing w:line="360" w:lineRule="auto"/>
        <w:ind w:firstLine="720" w:firstLineChars="3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highlight w:val="none"/>
        </w:rPr>
        <w:t>交货安装期、质保期、付款方式是否响应选择“是”或“否”。</w:t>
      </w:r>
    </w:p>
    <w:p w14:paraId="0A044522">
      <w:pPr>
        <w:pStyle w:val="18"/>
        <w:rPr>
          <w:rFonts w:hint="eastAsia" w:ascii="仿宋" w:hAnsi="仿宋" w:eastAsia="仿宋" w:cs="仿宋"/>
        </w:rPr>
      </w:pPr>
    </w:p>
    <w:p w14:paraId="46589254">
      <w:pPr>
        <w:rPr>
          <w:rFonts w:hint="eastAsia" w:ascii="仿宋" w:hAnsi="仿宋" w:eastAsia="仿宋" w:cs="仿宋"/>
        </w:rPr>
      </w:pPr>
    </w:p>
    <w:tbl>
      <w:tblPr>
        <w:tblStyle w:val="47"/>
        <w:tblW w:w="0" w:type="auto"/>
        <w:tblInd w:w="2376" w:type="dxa"/>
        <w:tblLayout w:type="fixed"/>
        <w:tblCellMar>
          <w:top w:w="0" w:type="dxa"/>
          <w:left w:w="108" w:type="dxa"/>
          <w:bottom w:w="0" w:type="dxa"/>
          <w:right w:w="108" w:type="dxa"/>
        </w:tblCellMar>
      </w:tblPr>
      <w:tblGrid>
        <w:gridCol w:w="2410"/>
        <w:gridCol w:w="287"/>
        <w:gridCol w:w="4107"/>
      </w:tblGrid>
      <w:tr w14:paraId="3114228A">
        <w:tblPrEx>
          <w:tblCellMar>
            <w:top w:w="0" w:type="dxa"/>
            <w:left w:w="108" w:type="dxa"/>
            <w:bottom w:w="0" w:type="dxa"/>
            <w:right w:w="108" w:type="dxa"/>
          </w:tblCellMar>
        </w:tblPrEx>
        <w:trPr>
          <w:trHeight w:val="680" w:hRule="atLeast"/>
        </w:trPr>
        <w:tc>
          <w:tcPr>
            <w:tcW w:w="2410" w:type="dxa"/>
            <w:noWrap w:val="0"/>
            <w:vAlign w:val="bottom"/>
          </w:tcPr>
          <w:p w14:paraId="42A5BE7E">
            <w:pPr>
              <w:pStyle w:val="18"/>
              <w:keepNext w:val="0"/>
              <w:keepLines w:val="0"/>
              <w:suppressLineNumbers w:val="0"/>
              <w:spacing w:before="0" w:beforeAutospacing="0" w:afterAutospacing="0"/>
              <w:ind w:left="0" w:right="0"/>
              <w:jc w:val="distribute"/>
              <w:rPr>
                <w:rFonts w:hint="eastAsia" w:ascii="仿宋" w:hAnsi="仿宋" w:eastAsia="仿宋" w:cs="仿宋"/>
                <w:b w:val="0"/>
                <w:color w:val="000000"/>
                <w:sz w:val="24"/>
                <w:szCs w:val="24"/>
                <w:highlight w:val="none"/>
                <w:lang w:val="en-US" w:eastAsia="zh-CN"/>
              </w:rPr>
            </w:pPr>
            <w:bookmarkStart w:id="335" w:name="_Toc283240497"/>
            <w:bookmarkStart w:id="336" w:name="_Toc311415658"/>
            <w:bookmarkStart w:id="337" w:name="_Toc332874429"/>
            <w:r>
              <w:rPr>
                <w:rFonts w:hint="eastAsia" w:ascii="仿宋" w:hAnsi="仿宋" w:eastAsia="仿宋" w:cs="仿宋"/>
                <w:b w:val="0"/>
                <w:color w:val="000000"/>
                <w:sz w:val="24"/>
                <w:highlight w:val="none"/>
                <w:lang w:val="en-US" w:eastAsia="zh-CN"/>
              </w:rPr>
              <w:t>供应商名称</w:t>
            </w:r>
          </w:p>
        </w:tc>
        <w:tc>
          <w:tcPr>
            <w:tcW w:w="287" w:type="dxa"/>
            <w:noWrap w:val="0"/>
            <w:vAlign w:val="bottom"/>
          </w:tcPr>
          <w:p w14:paraId="782FD8CF">
            <w:pPr>
              <w:pStyle w:val="18"/>
              <w:keepNext w:val="0"/>
              <w:keepLines w:val="0"/>
              <w:suppressLineNumbers w:val="0"/>
              <w:spacing w:before="0" w:beforeAutospacing="0" w:afterAutospacing="0"/>
              <w:ind w:left="0" w:right="0"/>
              <w:jc w:val="left"/>
              <w:rPr>
                <w:rFonts w:hint="eastAsia" w:ascii="仿宋" w:hAnsi="仿宋" w:eastAsia="仿宋" w:cs="仿宋"/>
                <w:b w:val="0"/>
                <w:color w:val="000000"/>
                <w:sz w:val="24"/>
                <w:szCs w:val="24"/>
                <w:highlight w:val="none"/>
                <w:lang w:val="en-US" w:eastAsia="zh-CN"/>
              </w:rPr>
            </w:pPr>
            <w:r>
              <w:rPr>
                <w:rFonts w:hint="eastAsia" w:ascii="仿宋" w:hAnsi="仿宋" w:eastAsia="仿宋" w:cs="仿宋"/>
                <w:b w:val="0"/>
                <w:color w:val="000000"/>
                <w:sz w:val="24"/>
                <w:szCs w:val="24"/>
                <w:highlight w:val="none"/>
                <w:lang w:val="en-US" w:eastAsia="zh-CN"/>
              </w:rPr>
              <w:t>：</w:t>
            </w:r>
          </w:p>
        </w:tc>
        <w:tc>
          <w:tcPr>
            <w:tcW w:w="4107" w:type="dxa"/>
            <w:noWrap w:val="0"/>
            <w:vAlign w:val="bottom"/>
          </w:tcPr>
          <w:p w14:paraId="03205440">
            <w:pPr>
              <w:pStyle w:val="18"/>
              <w:keepNext w:val="0"/>
              <w:keepLines w:val="0"/>
              <w:suppressLineNumbers w:val="0"/>
              <w:spacing w:before="0" w:beforeAutospacing="0" w:afterAutospacing="0"/>
              <w:ind w:left="0" w:right="0"/>
              <w:rPr>
                <w:rFonts w:hint="eastAsia" w:ascii="仿宋" w:hAnsi="仿宋" w:eastAsia="仿宋" w:cs="仿宋"/>
                <w:b w:val="0"/>
                <w:color w:val="000000"/>
                <w:sz w:val="24"/>
                <w:szCs w:val="24"/>
                <w:highlight w:val="none"/>
                <w:u w:val="single"/>
                <w:lang w:val="en-US" w:eastAsia="zh-CN"/>
              </w:rPr>
            </w:pPr>
            <w:r>
              <w:rPr>
                <w:rFonts w:hint="eastAsia" w:ascii="仿宋" w:hAnsi="仿宋" w:eastAsia="仿宋" w:cs="仿宋"/>
                <w:b w:val="0"/>
                <w:color w:val="000000"/>
                <w:sz w:val="24"/>
                <w:szCs w:val="24"/>
                <w:highlight w:val="none"/>
                <w:u w:val="single"/>
                <w:lang w:val="en-US" w:eastAsia="zh-CN"/>
              </w:rPr>
              <w:t xml:space="preserve">                </w:t>
            </w:r>
            <w:r>
              <w:rPr>
                <w:rFonts w:hint="eastAsia" w:ascii="仿宋" w:hAnsi="仿宋" w:eastAsia="仿宋" w:cs="仿宋"/>
                <w:b w:val="0"/>
                <w:color w:val="000000"/>
                <w:sz w:val="24"/>
                <w:highlight w:val="none"/>
                <w:u w:val="single"/>
                <w:lang w:val="en-US" w:eastAsia="zh-CN"/>
              </w:rPr>
              <w:t xml:space="preserve">（公章） </w:t>
            </w:r>
            <w:r>
              <w:rPr>
                <w:rFonts w:hint="eastAsia" w:ascii="仿宋" w:hAnsi="仿宋" w:eastAsia="仿宋" w:cs="仿宋"/>
                <w:b w:val="0"/>
                <w:color w:val="000000"/>
                <w:sz w:val="24"/>
                <w:szCs w:val="24"/>
                <w:highlight w:val="none"/>
                <w:u w:val="single"/>
                <w:lang w:val="en-US" w:eastAsia="zh-CN"/>
              </w:rPr>
              <w:t xml:space="preserve">           </w:t>
            </w:r>
          </w:p>
        </w:tc>
      </w:tr>
      <w:tr w14:paraId="57474FB6">
        <w:tblPrEx>
          <w:tblCellMar>
            <w:top w:w="0" w:type="dxa"/>
            <w:left w:w="108" w:type="dxa"/>
            <w:bottom w:w="0" w:type="dxa"/>
            <w:right w:w="108" w:type="dxa"/>
          </w:tblCellMar>
        </w:tblPrEx>
        <w:trPr>
          <w:trHeight w:val="680" w:hRule="atLeast"/>
        </w:trPr>
        <w:tc>
          <w:tcPr>
            <w:tcW w:w="2410" w:type="dxa"/>
            <w:noWrap w:val="0"/>
            <w:vAlign w:val="bottom"/>
          </w:tcPr>
          <w:p w14:paraId="185DBA95">
            <w:pPr>
              <w:pStyle w:val="18"/>
              <w:keepNext w:val="0"/>
              <w:keepLines w:val="0"/>
              <w:suppressLineNumbers w:val="0"/>
              <w:spacing w:before="0" w:beforeAutospacing="0" w:afterAutospacing="0"/>
              <w:ind w:left="0" w:right="0"/>
              <w:jc w:val="distribute"/>
              <w:rPr>
                <w:rFonts w:hint="eastAsia" w:ascii="仿宋" w:hAnsi="仿宋" w:eastAsia="仿宋" w:cs="仿宋"/>
                <w:b w:val="0"/>
                <w:color w:val="000000"/>
                <w:sz w:val="24"/>
                <w:szCs w:val="24"/>
                <w:highlight w:val="none"/>
                <w:lang w:val="en-US" w:eastAsia="zh-CN"/>
              </w:rPr>
            </w:pPr>
            <w:r>
              <w:rPr>
                <w:rFonts w:hint="eastAsia" w:ascii="仿宋" w:hAnsi="仿宋" w:eastAsia="仿宋" w:cs="仿宋"/>
                <w:b w:val="0"/>
                <w:color w:val="000000"/>
                <w:sz w:val="24"/>
                <w:highlight w:val="none"/>
                <w:lang w:val="en-US" w:eastAsia="zh-CN"/>
              </w:rPr>
              <w:t>法定代表人或被授权代表（签字或盖章）</w:t>
            </w:r>
          </w:p>
        </w:tc>
        <w:tc>
          <w:tcPr>
            <w:tcW w:w="287" w:type="dxa"/>
            <w:noWrap w:val="0"/>
            <w:vAlign w:val="bottom"/>
          </w:tcPr>
          <w:p w14:paraId="638D6B58">
            <w:pPr>
              <w:pStyle w:val="18"/>
              <w:keepNext w:val="0"/>
              <w:keepLines w:val="0"/>
              <w:suppressLineNumbers w:val="0"/>
              <w:spacing w:before="0" w:beforeAutospacing="0" w:afterAutospacing="0"/>
              <w:ind w:left="0" w:right="0"/>
              <w:jc w:val="left"/>
              <w:rPr>
                <w:rFonts w:hint="eastAsia" w:ascii="仿宋" w:hAnsi="仿宋" w:eastAsia="仿宋" w:cs="仿宋"/>
                <w:b w:val="0"/>
                <w:color w:val="000000"/>
                <w:sz w:val="24"/>
                <w:szCs w:val="24"/>
                <w:highlight w:val="none"/>
                <w:lang w:val="en-US" w:eastAsia="zh-CN"/>
              </w:rPr>
            </w:pPr>
            <w:r>
              <w:rPr>
                <w:rFonts w:hint="eastAsia" w:ascii="仿宋" w:hAnsi="仿宋" w:eastAsia="仿宋" w:cs="仿宋"/>
                <w:b w:val="0"/>
                <w:color w:val="000000"/>
                <w:sz w:val="24"/>
                <w:szCs w:val="24"/>
                <w:highlight w:val="none"/>
                <w:lang w:val="en-US" w:eastAsia="zh-CN"/>
              </w:rPr>
              <w:t>：</w:t>
            </w:r>
          </w:p>
        </w:tc>
        <w:tc>
          <w:tcPr>
            <w:tcW w:w="4107" w:type="dxa"/>
            <w:noWrap w:val="0"/>
            <w:vAlign w:val="bottom"/>
          </w:tcPr>
          <w:p w14:paraId="49D95234">
            <w:pPr>
              <w:pStyle w:val="18"/>
              <w:keepNext w:val="0"/>
              <w:keepLines w:val="0"/>
              <w:suppressLineNumbers w:val="0"/>
              <w:spacing w:before="0" w:beforeAutospacing="0" w:afterAutospacing="0"/>
              <w:ind w:left="0" w:right="0"/>
              <w:rPr>
                <w:rFonts w:hint="eastAsia" w:ascii="仿宋" w:hAnsi="仿宋" w:eastAsia="仿宋" w:cs="仿宋"/>
                <w:b w:val="0"/>
                <w:color w:val="000000"/>
                <w:sz w:val="24"/>
                <w:szCs w:val="24"/>
                <w:highlight w:val="none"/>
                <w:u w:val="single"/>
                <w:lang w:val="en-US" w:eastAsia="zh-CN"/>
              </w:rPr>
            </w:pPr>
            <w:r>
              <w:rPr>
                <w:rFonts w:hint="eastAsia" w:ascii="仿宋" w:hAnsi="仿宋" w:eastAsia="仿宋" w:cs="仿宋"/>
                <w:b w:val="0"/>
                <w:color w:val="000000"/>
                <w:sz w:val="24"/>
                <w:szCs w:val="24"/>
                <w:highlight w:val="none"/>
                <w:u w:val="single"/>
                <w:lang w:val="en-US" w:eastAsia="zh-CN"/>
              </w:rPr>
              <w:t xml:space="preserve">            </w:t>
            </w:r>
            <w:r>
              <w:rPr>
                <w:rFonts w:hint="eastAsia" w:ascii="仿宋" w:hAnsi="仿宋" w:eastAsia="仿宋" w:cs="仿宋"/>
                <w:b w:val="0"/>
                <w:color w:val="000000"/>
                <w:sz w:val="24"/>
                <w:highlight w:val="none"/>
                <w:u w:val="single"/>
                <w:lang w:val="en-US" w:eastAsia="zh-CN"/>
              </w:rPr>
              <w:t>（签字或盖章）</w:t>
            </w:r>
            <w:r>
              <w:rPr>
                <w:rFonts w:hint="eastAsia" w:ascii="仿宋" w:hAnsi="仿宋" w:eastAsia="仿宋" w:cs="仿宋"/>
                <w:b w:val="0"/>
                <w:color w:val="000000"/>
                <w:sz w:val="24"/>
                <w:szCs w:val="24"/>
                <w:highlight w:val="none"/>
                <w:u w:val="single"/>
                <w:lang w:val="en-US" w:eastAsia="zh-CN"/>
              </w:rPr>
              <w:t xml:space="preserve">                              </w:t>
            </w:r>
          </w:p>
        </w:tc>
      </w:tr>
      <w:tr w14:paraId="58DD62CE">
        <w:tblPrEx>
          <w:tblCellMar>
            <w:top w:w="0" w:type="dxa"/>
            <w:left w:w="108" w:type="dxa"/>
            <w:bottom w:w="0" w:type="dxa"/>
            <w:right w:w="108" w:type="dxa"/>
          </w:tblCellMar>
        </w:tblPrEx>
        <w:trPr>
          <w:trHeight w:val="680" w:hRule="atLeast"/>
        </w:trPr>
        <w:tc>
          <w:tcPr>
            <w:tcW w:w="2410" w:type="dxa"/>
            <w:noWrap w:val="0"/>
            <w:vAlign w:val="bottom"/>
          </w:tcPr>
          <w:p w14:paraId="521F3163">
            <w:pPr>
              <w:pStyle w:val="18"/>
              <w:keepNext w:val="0"/>
              <w:keepLines w:val="0"/>
              <w:suppressLineNumbers w:val="0"/>
              <w:spacing w:before="0" w:beforeAutospacing="0" w:afterAutospacing="0"/>
              <w:ind w:left="0" w:right="0"/>
              <w:jc w:val="distribute"/>
              <w:rPr>
                <w:rFonts w:hint="eastAsia" w:ascii="仿宋" w:hAnsi="仿宋" w:eastAsia="仿宋" w:cs="仿宋"/>
                <w:b w:val="0"/>
                <w:color w:val="000000"/>
                <w:sz w:val="24"/>
                <w:szCs w:val="24"/>
                <w:highlight w:val="none"/>
                <w:lang w:val="en-US" w:eastAsia="zh-CN"/>
              </w:rPr>
            </w:pPr>
            <w:r>
              <w:rPr>
                <w:rFonts w:hint="eastAsia" w:ascii="仿宋" w:hAnsi="仿宋" w:eastAsia="仿宋" w:cs="仿宋"/>
                <w:b w:val="0"/>
                <w:color w:val="000000"/>
                <w:sz w:val="24"/>
                <w:szCs w:val="24"/>
                <w:highlight w:val="none"/>
                <w:lang w:val="en-US" w:eastAsia="zh-CN"/>
              </w:rPr>
              <w:t>日期</w:t>
            </w:r>
          </w:p>
        </w:tc>
        <w:tc>
          <w:tcPr>
            <w:tcW w:w="287" w:type="dxa"/>
            <w:noWrap w:val="0"/>
            <w:vAlign w:val="bottom"/>
          </w:tcPr>
          <w:p w14:paraId="4A63CBAA">
            <w:pPr>
              <w:pStyle w:val="18"/>
              <w:keepNext w:val="0"/>
              <w:keepLines w:val="0"/>
              <w:suppressLineNumbers w:val="0"/>
              <w:spacing w:before="0" w:beforeAutospacing="0" w:afterAutospacing="0"/>
              <w:ind w:left="0" w:right="0"/>
              <w:jc w:val="left"/>
              <w:rPr>
                <w:rFonts w:hint="eastAsia" w:ascii="仿宋" w:hAnsi="仿宋" w:eastAsia="仿宋" w:cs="仿宋"/>
                <w:b w:val="0"/>
                <w:color w:val="000000"/>
                <w:sz w:val="24"/>
                <w:szCs w:val="24"/>
                <w:highlight w:val="none"/>
                <w:lang w:val="en-US" w:eastAsia="zh-CN"/>
              </w:rPr>
            </w:pPr>
            <w:r>
              <w:rPr>
                <w:rFonts w:hint="eastAsia" w:ascii="仿宋" w:hAnsi="仿宋" w:eastAsia="仿宋" w:cs="仿宋"/>
                <w:b w:val="0"/>
                <w:color w:val="000000"/>
                <w:sz w:val="24"/>
                <w:szCs w:val="24"/>
                <w:highlight w:val="none"/>
                <w:lang w:val="en-US" w:eastAsia="zh-CN"/>
              </w:rPr>
              <w:t>：</w:t>
            </w:r>
          </w:p>
        </w:tc>
        <w:tc>
          <w:tcPr>
            <w:tcW w:w="4107" w:type="dxa"/>
            <w:noWrap w:val="0"/>
            <w:vAlign w:val="bottom"/>
          </w:tcPr>
          <w:p w14:paraId="13BADADE">
            <w:pPr>
              <w:pStyle w:val="18"/>
              <w:keepNext w:val="0"/>
              <w:keepLines w:val="0"/>
              <w:suppressLineNumbers w:val="0"/>
              <w:spacing w:before="0" w:beforeAutospacing="0" w:afterAutospacing="0"/>
              <w:ind w:left="0" w:right="0"/>
              <w:rPr>
                <w:rFonts w:hint="eastAsia" w:ascii="仿宋" w:hAnsi="仿宋" w:eastAsia="仿宋" w:cs="仿宋"/>
                <w:b w:val="0"/>
                <w:color w:val="000000"/>
                <w:sz w:val="24"/>
                <w:szCs w:val="24"/>
                <w:highlight w:val="none"/>
                <w:u w:val="single"/>
                <w:lang w:val="en-US" w:eastAsia="zh-CN"/>
              </w:rPr>
            </w:pPr>
            <w:r>
              <w:rPr>
                <w:rFonts w:hint="eastAsia" w:ascii="仿宋" w:hAnsi="仿宋" w:eastAsia="仿宋" w:cs="仿宋"/>
                <w:b w:val="0"/>
                <w:color w:val="000000"/>
                <w:sz w:val="24"/>
                <w:szCs w:val="24"/>
                <w:highlight w:val="none"/>
                <w:u w:val="single"/>
                <w:lang w:val="en-US" w:eastAsia="zh-CN"/>
              </w:rPr>
              <w:t xml:space="preserve">      年       月       日                                  </w:t>
            </w:r>
          </w:p>
        </w:tc>
      </w:tr>
    </w:tbl>
    <w:p w14:paraId="651F2A74">
      <w:pPr>
        <w:pStyle w:val="3"/>
        <w:adjustRightInd w:val="0"/>
        <w:snapToGrid w:val="0"/>
        <w:spacing w:before="0" w:after="0" w:line="360" w:lineRule="auto"/>
        <w:rPr>
          <w:rFonts w:hint="eastAsia" w:ascii="仿宋" w:hAnsi="仿宋" w:eastAsia="仿宋" w:cs="仿宋"/>
          <w:sz w:val="28"/>
          <w:szCs w:val="28"/>
        </w:rPr>
      </w:pPr>
      <w:r>
        <w:rPr>
          <w:rFonts w:hint="eastAsia" w:ascii="仿宋" w:hAnsi="仿宋" w:eastAsia="仿宋" w:cs="仿宋"/>
          <w:sz w:val="24"/>
          <w:szCs w:val="24"/>
        </w:rPr>
        <w:br w:type="page"/>
      </w:r>
      <w:bookmarkStart w:id="338" w:name="_Toc9911"/>
      <w:bookmarkStart w:id="339" w:name="_Toc21299"/>
      <w:bookmarkStart w:id="340" w:name="_Toc31312"/>
      <w:bookmarkStart w:id="341" w:name="_Toc26114"/>
      <w:bookmarkStart w:id="342" w:name="_Toc20812"/>
      <w:r>
        <w:rPr>
          <w:rFonts w:hint="eastAsia" w:ascii="仿宋" w:hAnsi="仿宋" w:eastAsia="仿宋" w:cs="仿宋"/>
          <w:sz w:val="28"/>
          <w:szCs w:val="28"/>
        </w:rPr>
        <w:t>附件3 分项报价表</w:t>
      </w:r>
      <w:bookmarkEnd w:id="335"/>
      <w:bookmarkEnd w:id="336"/>
      <w:bookmarkEnd w:id="337"/>
      <w:bookmarkEnd w:id="338"/>
      <w:bookmarkEnd w:id="339"/>
      <w:bookmarkEnd w:id="340"/>
      <w:bookmarkEnd w:id="341"/>
      <w:bookmarkEnd w:id="342"/>
    </w:p>
    <w:p w14:paraId="7F7AE91F">
      <w:pPr>
        <w:pStyle w:val="195"/>
        <w:widowControl w:val="0"/>
        <w:jc w:val="both"/>
        <w:rPr>
          <w:rFonts w:ascii="仿宋" w:hAnsi="仿宋" w:eastAsia="仿宋" w:cs="仿宋"/>
          <w:b/>
          <w:kern w:val="2"/>
          <w:szCs w:val="24"/>
          <w:u w:val="single"/>
        </w:rPr>
      </w:pPr>
      <w:r>
        <w:rPr>
          <w:rFonts w:ascii="仿宋" w:hAnsi="仿宋" w:eastAsia="仿宋" w:cs="仿宋"/>
          <w:kern w:val="2"/>
          <w:szCs w:val="24"/>
        </w:rPr>
        <w:t>供应商名称：</w:t>
      </w:r>
      <w:r>
        <w:rPr>
          <w:rFonts w:ascii="仿宋" w:hAnsi="仿宋" w:eastAsia="仿宋" w:cs="仿宋"/>
          <w:kern w:val="2"/>
          <w:szCs w:val="24"/>
          <w:u w:val="single"/>
        </w:rPr>
        <w:t xml:space="preserve">                        </w:t>
      </w:r>
      <w:r>
        <w:rPr>
          <w:rFonts w:ascii="仿宋" w:hAnsi="仿宋" w:eastAsia="仿宋" w:cs="仿宋"/>
          <w:szCs w:val="24"/>
        </w:rPr>
        <w:t>项目编号：</w:t>
      </w:r>
      <w:r>
        <w:rPr>
          <w:rFonts w:ascii="仿宋" w:hAnsi="仿宋" w:eastAsia="仿宋" w:cs="仿宋"/>
          <w:szCs w:val="24"/>
          <w:u w:val="single"/>
        </w:rPr>
        <w:t xml:space="preserve">                 </w:t>
      </w:r>
    </w:p>
    <w:tbl>
      <w:tblPr>
        <w:tblStyle w:val="47"/>
        <w:tblW w:w="11354" w:type="dxa"/>
        <w:jc w:val="center"/>
        <w:tblLayout w:type="fixed"/>
        <w:tblCellMar>
          <w:top w:w="0" w:type="dxa"/>
          <w:left w:w="108" w:type="dxa"/>
          <w:bottom w:w="0" w:type="dxa"/>
          <w:right w:w="108" w:type="dxa"/>
        </w:tblCellMar>
      </w:tblPr>
      <w:tblGrid>
        <w:gridCol w:w="735"/>
        <w:gridCol w:w="1115"/>
        <w:gridCol w:w="816"/>
        <w:gridCol w:w="1200"/>
        <w:gridCol w:w="1414"/>
        <w:gridCol w:w="770"/>
        <w:gridCol w:w="1138"/>
        <w:gridCol w:w="1230"/>
        <w:gridCol w:w="1008"/>
        <w:gridCol w:w="1008"/>
        <w:gridCol w:w="920"/>
      </w:tblGrid>
      <w:tr w14:paraId="1B73612D">
        <w:tblPrEx>
          <w:tblCellMar>
            <w:top w:w="0" w:type="dxa"/>
            <w:left w:w="108" w:type="dxa"/>
            <w:bottom w:w="0" w:type="dxa"/>
            <w:right w:w="108" w:type="dxa"/>
          </w:tblCellMar>
        </w:tblPrEx>
        <w:trPr>
          <w:trHeight w:val="953" w:hRule="exac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03D2AE9C">
            <w:pPr>
              <w:keepNext w:val="0"/>
              <w:keepLines w:val="0"/>
              <w:widowControl/>
              <w:suppressLineNumbers w:val="0"/>
              <w:spacing w:before="0" w:beforeAutospacing="0" w:after="0" w:afterAutospacing="0" w:line="360" w:lineRule="auto"/>
              <w:ind w:left="-120" w:leftChars="-50" w:right="-57"/>
              <w:jc w:val="center"/>
              <w:rPr>
                <w:rFonts w:hint="eastAsia" w:ascii="仿宋" w:hAnsi="仿宋" w:eastAsia="仿宋" w:cs="仿宋"/>
                <w:b/>
                <w:sz w:val="24"/>
              </w:rPr>
            </w:pPr>
            <w:bookmarkStart w:id="343" w:name="_Toc283240498"/>
            <w:bookmarkStart w:id="344" w:name="_Toc332874430"/>
            <w:bookmarkStart w:id="345" w:name="_Toc405385112"/>
            <w:bookmarkStart w:id="346" w:name="_Toc311415659"/>
            <w:r>
              <w:rPr>
                <w:rFonts w:hint="eastAsia" w:ascii="仿宋" w:hAnsi="仿宋" w:eastAsia="仿宋" w:cs="仿宋"/>
                <w:b/>
                <w:sz w:val="24"/>
              </w:rPr>
              <w:t>序号</w:t>
            </w:r>
          </w:p>
        </w:tc>
        <w:tc>
          <w:tcPr>
            <w:tcW w:w="1115" w:type="dxa"/>
            <w:tcBorders>
              <w:top w:val="single" w:color="auto" w:sz="4" w:space="0"/>
              <w:left w:val="nil"/>
              <w:bottom w:val="single" w:color="auto" w:sz="4" w:space="0"/>
              <w:right w:val="single" w:color="auto" w:sz="4" w:space="0"/>
            </w:tcBorders>
            <w:noWrap w:val="0"/>
            <w:vAlign w:val="center"/>
          </w:tcPr>
          <w:p w14:paraId="32527A4C">
            <w:pPr>
              <w:keepNext w:val="0"/>
              <w:keepLines w:val="0"/>
              <w:widowControl/>
              <w:suppressLineNumbers w:val="0"/>
              <w:spacing w:before="0" w:beforeAutospacing="0" w:after="0" w:afterAutospacing="0" w:line="360" w:lineRule="auto"/>
              <w:ind w:left="-120" w:leftChars="-50" w:right="-57"/>
              <w:jc w:val="center"/>
              <w:rPr>
                <w:rFonts w:hint="eastAsia" w:ascii="仿宋" w:hAnsi="仿宋" w:eastAsia="仿宋" w:cs="仿宋"/>
                <w:b/>
                <w:sz w:val="24"/>
                <w:lang w:eastAsia="zh-CN"/>
              </w:rPr>
            </w:pPr>
            <w:r>
              <w:rPr>
                <w:rFonts w:hint="eastAsia" w:ascii="仿宋" w:hAnsi="仿宋" w:eastAsia="仿宋" w:cs="仿宋"/>
                <w:b/>
                <w:sz w:val="24"/>
                <w:lang w:val="en-US" w:eastAsia="zh-CN"/>
              </w:rPr>
              <w:t>产品名称</w:t>
            </w:r>
          </w:p>
        </w:tc>
        <w:tc>
          <w:tcPr>
            <w:tcW w:w="816" w:type="dxa"/>
            <w:tcBorders>
              <w:top w:val="single" w:color="auto" w:sz="4" w:space="0"/>
              <w:left w:val="nil"/>
              <w:bottom w:val="single" w:color="auto" w:sz="4" w:space="0"/>
              <w:right w:val="single" w:color="auto" w:sz="4" w:space="0"/>
            </w:tcBorders>
            <w:noWrap w:val="0"/>
            <w:vAlign w:val="center"/>
          </w:tcPr>
          <w:p w14:paraId="4BD1EFDD">
            <w:pPr>
              <w:keepNext w:val="0"/>
              <w:keepLines w:val="0"/>
              <w:widowControl/>
              <w:suppressLineNumbers w:val="0"/>
              <w:spacing w:before="0" w:beforeAutospacing="0" w:after="0" w:afterAutospacing="0" w:line="360" w:lineRule="auto"/>
              <w:ind w:left="-120" w:leftChars="-50" w:right="-57"/>
              <w:jc w:val="center"/>
              <w:rPr>
                <w:rFonts w:hint="default" w:ascii="仿宋" w:hAnsi="仿宋" w:eastAsia="仿宋" w:cs="仿宋"/>
                <w:b/>
                <w:sz w:val="24"/>
                <w:lang w:val="en-US" w:eastAsia="zh-CN"/>
              </w:rPr>
            </w:pPr>
            <w:r>
              <w:rPr>
                <w:rFonts w:hint="eastAsia" w:ascii="仿宋" w:hAnsi="仿宋" w:eastAsia="仿宋" w:cs="仿宋"/>
                <w:b/>
                <w:sz w:val="24"/>
                <w:lang w:val="en-US" w:eastAsia="zh-CN"/>
              </w:rPr>
              <w:t>品牌</w:t>
            </w:r>
          </w:p>
        </w:tc>
        <w:tc>
          <w:tcPr>
            <w:tcW w:w="1200" w:type="dxa"/>
            <w:tcBorders>
              <w:top w:val="single" w:color="auto" w:sz="4" w:space="0"/>
              <w:left w:val="nil"/>
              <w:bottom w:val="single" w:color="auto" w:sz="4" w:space="0"/>
              <w:right w:val="single" w:color="auto" w:sz="4" w:space="0"/>
            </w:tcBorders>
            <w:noWrap w:val="0"/>
            <w:vAlign w:val="center"/>
          </w:tcPr>
          <w:p w14:paraId="6412657A">
            <w:pPr>
              <w:keepNext w:val="0"/>
              <w:keepLines w:val="0"/>
              <w:widowControl/>
              <w:suppressLineNumbers w:val="0"/>
              <w:spacing w:before="0" w:beforeAutospacing="0" w:after="0" w:afterAutospacing="0" w:line="360" w:lineRule="auto"/>
              <w:ind w:left="-120" w:leftChars="-50" w:right="-57"/>
              <w:jc w:val="center"/>
              <w:rPr>
                <w:rFonts w:hint="eastAsia" w:ascii="仿宋" w:hAnsi="仿宋" w:eastAsia="仿宋" w:cs="仿宋"/>
                <w:b/>
                <w:sz w:val="24"/>
                <w:lang w:val="en-US" w:eastAsia="zh-CN"/>
              </w:rPr>
            </w:pPr>
            <w:r>
              <w:rPr>
                <w:rFonts w:hint="eastAsia" w:ascii="仿宋" w:hAnsi="仿宋" w:eastAsia="仿宋" w:cs="仿宋"/>
                <w:b/>
                <w:sz w:val="24"/>
                <w:lang w:val="en-US" w:eastAsia="zh-CN"/>
              </w:rPr>
              <w:t>规格型号</w:t>
            </w:r>
          </w:p>
        </w:tc>
        <w:tc>
          <w:tcPr>
            <w:tcW w:w="1414" w:type="dxa"/>
            <w:tcBorders>
              <w:top w:val="single" w:color="auto" w:sz="4" w:space="0"/>
              <w:left w:val="nil"/>
              <w:bottom w:val="single" w:color="auto" w:sz="4" w:space="0"/>
              <w:right w:val="single" w:color="auto" w:sz="4" w:space="0"/>
            </w:tcBorders>
            <w:noWrap w:val="0"/>
            <w:vAlign w:val="center"/>
          </w:tcPr>
          <w:p w14:paraId="14EABAC9">
            <w:pPr>
              <w:keepNext w:val="0"/>
              <w:keepLines w:val="0"/>
              <w:widowControl/>
              <w:suppressLineNumbers w:val="0"/>
              <w:spacing w:before="0" w:beforeAutospacing="0" w:after="0" w:afterAutospacing="0" w:line="360" w:lineRule="auto"/>
              <w:ind w:left="-120" w:leftChars="-50" w:right="-57"/>
              <w:jc w:val="center"/>
              <w:rPr>
                <w:rFonts w:hint="default" w:ascii="仿宋" w:hAnsi="仿宋" w:eastAsia="仿宋" w:cs="仿宋"/>
                <w:b/>
                <w:sz w:val="24"/>
                <w:lang w:val="en-US" w:eastAsia="zh-CN"/>
              </w:rPr>
            </w:pPr>
            <w:r>
              <w:rPr>
                <w:rFonts w:hint="eastAsia" w:ascii="仿宋" w:hAnsi="仿宋" w:eastAsia="仿宋" w:cs="仿宋"/>
                <w:b/>
                <w:kern w:val="0"/>
                <w:sz w:val="24"/>
                <w:lang w:val="en-US" w:eastAsia="zh-CN"/>
              </w:rPr>
              <w:t>生产厂家</w:t>
            </w:r>
          </w:p>
        </w:tc>
        <w:tc>
          <w:tcPr>
            <w:tcW w:w="770" w:type="dxa"/>
            <w:tcBorders>
              <w:top w:val="single" w:color="auto" w:sz="4" w:space="0"/>
              <w:left w:val="nil"/>
              <w:bottom w:val="single" w:color="auto" w:sz="4" w:space="0"/>
              <w:right w:val="single" w:color="auto" w:sz="4" w:space="0"/>
            </w:tcBorders>
            <w:noWrap w:val="0"/>
            <w:vAlign w:val="center"/>
          </w:tcPr>
          <w:p w14:paraId="134150F3">
            <w:pPr>
              <w:keepNext w:val="0"/>
              <w:keepLines w:val="0"/>
              <w:widowControl/>
              <w:suppressLineNumbers w:val="0"/>
              <w:spacing w:before="0" w:beforeAutospacing="0" w:after="0" w:afterAutospacing="0" w:line="360" w:lineRule="auto"/>
              <w:ind w:left="-120" w:leftChars="-50" w:right="-57"/>
              <w:jc w:val="center"/>
              <w:rPr>
                <w:rFonts w:hint="default" w:ascii="仿宋" w:hAnsi="仿宋" w:eastAsia="仿宋" w:cs="仿宋"/>
                <w:b/>
                <w:kern w:val="0"/>
                <w:sz w:val="24"/>
                <w:lang w:val="en-US" w:eastAsia="zh-CN"/>
              </w:rPr>
            </w:pPr>
            <w:r>
              <w:rPr>
                <w:rFonts w:hint="eastAsia" w:ascii="仿宋" w:hAnsi="仿宋" w:eastAsia="仿宋" w:cs="仿宋"/>
                <w:b/>
                <w:kern w:val="0"/>
                <w:sz w:val="24"/>
                <w:lang w:val="en-US" w:eastAsia="zh-CN"/>
              </w:rPr>
              <w:t>产地</w:t>
            </w:r>
          </w:p>
        </w:tc>
        <w:tc>
          <w:tcPr>
            <w:tcW w:w="1138" w:type="dxa"/>
            <w:tcBorders>
              <w:top w:val="single" w:color="auto" w:sz="4" w:space="0"/>
              <w:left w:val="nil"/>
              <w:bottom w:val="single" w:color="auto" w:sz="4" w:space="0"/>
              <w:right w:val="single" w:color="auto" w:sz="4" w:space="0"/>
            </w:tcBorders>
            <w:noWrap w:val="0"/>
            <w:vAlign w:val="center"/>
          </w:tcPr>
          <w:p w14:paraId="63EAF8DA">
            <w:pPr>
              <w:keepNext w:val="0"/>
              <w:keepLines w:val="0"/>
              <w:widowControl/>
              <w:suppressLineNumbers w:val="0"/>
              <w:spacing w:before="0" w:beforeAutospacing="0" w:after="0" w:afterAutospacing="0" w:line="360" w:lineRule="auto"/>
              <w:ind w:left="-120" w:leftChars="-50" w:right="-57"/>
              <w:jc w:val="center"/>
              <w:rPr>
                <w:rFonts w:hint="eastAsia" w:ascii="仿宋" w:hAnsi="仿宋" w:eastAsia="仿宋" w:cs="仿宋"/>
                <w:b/>
                <w:sz w:val="24"/>
              </w:rPr>
            </w:pPr>
            <w:r>
              <w:rPr>
                <w:rFonts w:hint="eastAsia" w:ascii="仿宋" w:hAnsi="仿宋" w:eastAsia="仿宋" w:cs="仿宋"/>
                <w:b/>
                <w:sz w:val="24"/>
              </w:rPr>
              <w:t>单位</w:t>
            </w:r>
          </w:p>
        </w:tc>
        <w:tc>
          <w:tcPr>
            <w:tcW w:w="1230" w:type="dxa"/>
            <w:tcBorders>
              <w:top w:val="single" w:color="auto" w:sz="4" w:space="0"/>
              <w:left w:val="nil"/>
              <w:bottom w:val="single" w:color="auto" w:sz="4" w:space="0"/>
              <w:right w:val="single" w:color="auto" w:sz="4" w:space="0"/>
            </w:tcBorders>
            <w:noWrap w:val="0"/>
            <w:vAlign w:val="center"/>
          </w:tcPr>
          <w:p w14:paraId="4A029100">
            <w:pPr>
              <w:keepNext w:val="0"/>
              <w:keepLines w:val="0"/>
              <w:widowControl/>
              <w:suppressLineNumbers w:val="0"/>
              <w:spacing w:before="0" w:beforeAutospacing="0" w:after="0" w:afterAutospacing="0" w:line="360" w:lineRule="auto"/>
              <w:ind w:left="-120" w:leftChars="-50" w:right="-57"/>
              <w:jc w:val="center"/>
              <w:rPr>
                <w:rFonts w:hint="eastAsia" w:ascii="仿宋" w:hAnsi="仿宋" w:eastAsia="仿宋" w:cs="仿宋"/>
                <w:b/>
                <w:sz w:val="24"/>
              </w:rPr>
            </w:pPr>
            <w:r>
              <w:rPr>
                <w:rFonts w:hint="eastAsia" w:ascii="仿宋" w:hAnsi="仿宋" w:eastAsia="仿宋" w:cs="仿宋"/>
                <w:b/>
                <w:sz w:val="24"/>
              </w:rPr>
              <w:t>数量</w:t>
            </w:r>
          </w:p>
        </w:tc>
        <w:tc>
          <w:tcPr>
            <w:tcW w:w="1008" w:type="dxa"/>
            <w:tcBorders>
              <w:top w:val="single" w:color="auto" w:sz="4" w:space="0"/>
              <w:left w:val="nil"/>
              <w:bottom w:val="single" w:color="auto" w:sz="4" w:space="0"/>
              <w:right w:val="single" w:color="auto" w:sz="4" w:space="0"/>
            </w:tcBorders>
            <w:noWrap w:val="0"/>
            <w:vAlign w:val="center"/>
          </w:tcPr>
          <w:p w14:paraId="490DBED3">
            <w:pPr>
              <w:keepNext w:val="0"/>
              <w:keepLines w:val="0"/>
              <w:widowControl/>
              <w:suppressLineNumbers w:val="0"/>
              <w:spacing w:before="0" w:beforeAutospacing="0" w:after="0" w:afterAutospacing="0" w:line="360" w:lineRule="auto"/>
              <w:ind w:left="-120" w:leftChars="-50" w:right="-57"/>
              <w:jc w:val="center"/>
              <w:rPr>
                <w:rFonts w:hint="default" w:ascii="仿宋" w:hAnsi="仿宋" w:eastAsia="仿宋" w:cs="仿宋"/>
                <w:b/>
                <w:sz w:val="24"/>
                <w:lang w:val="en-US" w:eastAsia="zh-CN"/>
              </w:rPr>
            </w:pPr>
            <w:r>
              <w:rPr>
                <w:rFonts w:hint="eastAsia" w:ascii="仿宋" w:hAnsi="仿宋" w:eastAsia="仿宋" w:cs="仿宋"/>
                <w:b/>
                <w:sz w:val="24"/>
                <w:lang w:val="en-US" w:eastAsia="zh-CN"/>
              </w:rPr>
              <w:t>单价最高限价（元）</w:t>
            </w:r>
          </w:p>
        </w:tc>
        <w:tc>
          <w:tcPr>
            <w:tcW w:w="1008" w:type="dxa"/>
            <w:tcBorders>
              <w:top w:val="single" w:color="auto" w:sz="4" w:space="0"/>
              <w:left w:val="nil"/>
              <w:bottom w:val="single" w:color="auto" w:sz="4" w:space="0"/>
              <w:right w:val="single" w:color="auto" w:sz="4" w:space="0"/>
            </w:tcBorders>
            <w:noWrap w:val="0"/>
            <w:vAlign w:val="center"/>
          </w:tcPr>
          <w:p w14:paraId="0A95D150">
            <w:pPr>
              <w:keepNext w:val="0"/>
              <w:keepLines w:val="0"/>
              <w:widowControl/>
              <w:suppressLineNumbers w:val="0"/>
              <w:spacing w:before="0" w:beforeAutospacing="0" w:after="0" w:afterAutospacing="0" w:line="360" w:lineRule="auto"/>
              <w:ind w:left="-120" w:leftChars="-50" w:right="-57"/>
              <w:jc w:val="center"/>
              <w:rPr>
                <w:rFonts w:hint="eastAsia" w:ascii="仿宋" w:hAnsi="仿宋" w:eastAsia="仿宋" w:cs="仿宋"/>
                <w:b/>
                <w:sz w:val="24"/>
              </w:rPr>
            </w:pPr>
            <w:r>
              <w:rPr>
                <w:rFonts w:hint="eastAsia" w:ascii="仿宋" w:hAnsi="仿宋" w:eastAsia="仿宋" w:cs="仿宋"/>
                <w:b/>
                <w:sz w:val="24"/>
              </w:rPr>
              <w:t>单价</w:t>
            </w:r>
          </w:p>
          <w:p w14:paraId="5FE55C2F">
            <w:pPr>
              <w:keepNext w:val="0"/>
              <w:keepLines w:val="0"/>
              <w:widowControl/>
              <w:suppressLineNumbers w:val="0"/>
              <w:spacing w:before="0" w:beforeAutospacing="0" w:after="0" w:afterAutospacing="0" w:line="360" w:lineRule="auto"/>
              <w:ind w:left="0" w:right="-57"/>
              <w:jc w:val="center"/>
              <w:rPr>
                <w:rFonts w:hint="eastAsia" w:ascii="仿宋" w:hAnsi="仿宋" w:eastAsia="仿宋" w:cs="仿宋"/>
                <w:b/>
                <w:sz w:val="24"/>
              </w:rPr>
            </w:pPr>
            <w:r>
              <w:rPr>
                <w:rFonts w:hint="eastAsia" w:ascii="仿宋" w:hAnsi="仿宋" w:eastAsia="仿宋" w:cs="仿宋"/>
                <w:b/>
                <w:sz w:val="24"/>
              </w:rPr>
              <w:t>（元）</w:t>
            </w:r>
          </w:p>
        </w:tc>
        <w:tc>
          <w:tcPr>
            <w:tcW w:w="920" w:type="dxa"/>
            <w:tcBorders>
              <w:top w:val="single" w:color="auto" w:sz="4" w:space="0"/>
              <w:left w:val="nil"/>
              <w:bottom w:val="single" w:color="auto" w:sz="4" w:space="0"/>
              <w:right w:val="single" w:color="auto" w:sz="4" w:space="0"/>
            </w:tcBorders>
            <w:noWrap w:val="0"/>
            <w:vAlign w:val="center"/>
          </w:tcPr>
          <w:p w14:paraId="0A658F10">
            <w:pPr>
              <w:keepNext w:val="0"/>
              <w:keepLines w:val="0"/>
              <w:widowControl/>
              <w:suppressLineNumbers w:val="0"/>
              <w:spacing w:before="0" w:beforeAutospacing="0" w:after="0" w:afterAutospacing="0" w:line="360" w:lineRule="auto"/>
              <w:ind w:left="0" w:right="-57"/>
              <w:jc w:val="center"/>
              <w:rPr>
                <w:rFonts w:hint="eastAsia" w:ascii="仿宋" w:hAnsi="仿宋" w:eastAsia="仿宋" w:cs="仿宋"/>
                <w:b/>
                <w:sz w:val="24"/>
                <w:lang w:val="en-US" w:eastAsia="zh-CN"/>
              </w:rPr>
            </w:pPr>
            <w:r>
              <w:rPr>
                <w:rFonts w:hint="eastAsia" w:ascii="仿宋" w:hAnsi="仿宋" w:eastAsia="仿宋" w:cs="仿宋"/>
                <w:b/>
                <w:sz w:val="24"/>
                <w:lang w:val="en-US" w:eastAsia="zh-CN"/>
              </w:rPr>
              <w:t>合计</w:t>
            </w:r>
          </w:p>
          <w:p w14:paraId="65A10F30">
            <w:pPr>
              <w:keepNext w:val="0"/>
              <w:keepLines w:val="0"/>
              <w:widowControl/>
              <w:suppressLineNumbers w:val="0"/>
              <w:spacing w:before="0" w:beforeAutospacing="0" w:after="0" w:afterAutospacing="0" w:line="360" w:lineRule="auto"/>
              <w:ind w:left="0" w:right="-57"/>
              <w:jc w:val="center"/>
              <w:rPr>
                <w:rFonts w:hint="eastAsia" w:ascii="仿宋" w:hAnsi="仿宋" w:eastAsia="仿宋" w:cs="仿宋"/>
                <w:b/>
                <w:sz w:val="24"/>
                <w:lang w:val="en-US" w:eastAsia="zh-CN"/>
              </w:rPr>
            </w:pPr>
            <w:r>
              <w:rPr>
                <w:rFonts w:hint="eastAsia" w:ascii="仿宋" w:hAnsi="仿宋" w:eastAsia="仿宋" w:cs="仿宋"/>
                <w:b/>
                <w:sz w:val="24"/>
              </w:rPr>
              <w:t>（元）</w:t>
            </w:r>
          </w:p>
        </w:tc>
      </w:tr>
      <w:tr w14:paraId="04BEF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35" w:type="dxa"/>
            <w:noWrap w:val="0"/>
            <w:vAlign w:val="center"/>
          </w:tcPr>
          <w:p w14:paraId="1076A527">
            <w:pPr>
              <w:keepNext w:val="0"/>
              <w:keepLines w:val="0"/>
              <w:suppressLineNumbers w:val="0"/>
              <w:spacing w:before="0" w:beforeAutospacing="0" w:after="0" w:afterAutospacing="0" w:line="360" w:lineRule="auto"/>
              <w:ind w:left="-50" w:right="-50"/>
              <w:jc w:val="center"/>
              <w:rPr>
                <w:rFonts w:hint="eastAsia" w:ascii="仿宋" w:hAnsi="仿宋" w:eastAsia="仿宋" w:cs="仿宋"/>
                <w:sz w:val="24"/>
              </w:rPr>
            </w:pPr>
            <w:r>
              <w:rPr>
                <w:rFonts w:hint="eastAsia" w:ascii="仿宋" w:hAnsi="仿宋" w:eastAsia="仿宋" w:cs="仿宋"/>
                <w:sz w:val="24"/>
              </w:rPr>
              <w:t>1</w:t>
            </w:r>
          </w:p>
        </w:tc>
        <w:tc>
          <w:tcPr>
            <w:tcW w:w="1115" w:type="dxa"/>
            <w:noWrap w:val="0"/>
            <w:vAlign w:val="center"/>
          </w:tcPr>
          <w:p w14:paraId="6BAB74F3">
            <w:pPr>
              <w:keepNext w:val="0"/>
              <w:keepLines w:val="0"/>
              <w:suppressLineNumbers w:val="0"/>
              <w:spacing w:before="0" w:beforeAutospacing="0" w:after="0" w:afterAutospacing="0" w:line="360" w:lineRule="auto"/>
              <w:ind w:left="-50" w:right="-50"/>
              <w:jc w:val="center"/>
              <w:rPr>
                <w:rFonts w:hint="eastAsia" w:ascii="仿宋" w:hAnsi="仿宋" w:eastAsia="仿宋" w:cs="仿宋"/>
                <w:sz w:val="24"/>
              </w:rPr>
            </w:pPr>
          </w:p>
        </w:tc>
        <w:tc>
          <w:tcPr>
            <w:tcW w:w="816" w:type="dxa"/>
            <w:noWrap w:val="0"/>
            <w:vAlign w:val="center"/>
          </w:tcPr>
          <w:p w14:paraId="7E58B8D2">
            <w:pPr>
              <w:keepNext w:val="0"/>
              <w:keepLines w:val="0"/>
              <w:suppressLineNumbers w:val="0"/>
              <w:spacing w:before="0" w:beforeAutospacing="0" w:after="0" w:afterAutospacing="0" w:line="360" w:lineRule="auto"/>
              <w:ind w:left="-50" w:right="-50"/>
              <w:jc w:val="center"/>
              <w:rPr>
                <w:rFonts w:hint="eastAsia" w:ascii="仿宋" w:hAnsi="仿宋" w:eastAsia="仿宋" w:cs="仿宋"/>
                <w:sz w:val="24"/>
              </w:rPr>
            </w:pPr>
          </w:p>
        </w:tc>
        <w:tc>
          <w:tcPr>
            <w:tcW w:w="1200" w:type="dxa"/>
            <w:noWrap w:val="0"/>
            <w:vAlign w:val="center"/>
          </w:tcPr>
          <w:p w14:paraId="526A7140">
            <w:pPr>
              <w:keepNext w:val="0"/>
              <w:keepLines w:val="0"/>
              <w:suppressLineNumbers w:val="0"/>
              <w:spacing w:before="0" w:beforeAutospacing="0" w:after="0" w:afterAutospacing="0" w:line="360" w:lineRule="auto"/>
              <w:ind w:left="-50" w:right="-50"/>
              <w:jc w:val="center"/>
              <w:rPr>
                <w:rFonts w:hint="eastAsia" w:ascii="仿宋" w:hAnsi="仿宋" w:eastAsia="仿宋" w:cs="仿宋"/>
                <w:sz w:val="24"/>
              </w:rPr>
            </w:pPr>
          </w:p>
        </w:tc>
        <w:tc>
          <w:tcPr>
            <w:tcW w:w="1414" w:type="dxa"/>
            <w:noWrap w:val="0"/>
            <w:vAlign w:val="center"/>
          </w:tcPr>
          <w:p w14:paraId="62CFD221">
            <w:pPr>
              <w:keepNext w:val="0"/>
              <w:keepLines w:val="0"/>
              <w:suppressLineNumbers w:val="0"/>
              <w:spacing w:before="0" w:beforeAutospacing="0" w:after="0" w:afterAutospacing="0" w:line="360" w:lineRule="auto"/>
              <w:ind w:left="-50" w:right="-50"/>
              <w:jc w:val="center"/>
              <w:rPr>
                <w:rFonts w:hint="eastAsia" w:ascii="仿宋" w:hAnsi="仿宋" w:eastAsia="仿宋" w:cs="仿宋"/>
                <w:sz w:val="24"/>
              </w:rPr>
            </w:pPr>
          </w:p>
        </w:tc>
        <w:tc>
          <w:tcPr>
            <w:tcW w:w="770" w:type="dxa"/>
            <w:noWrap w:val="0"/>
            <w:vAlign w:val="center"/>
          </w:tcPr>
          <w:p w14:paraId="0784D5BF">
            <w:pPr>
              <w:keepNext w:val="0"/>
              <w:keepLines w:val="0"/>
              <w:suppressLineNumbers w:val="0"/>
              <w:spacing w:before="0" w:beforeAutospacing="0" w:after="0" w:afterAutospacing="0" w:line="360" w:lineRule="auto"/>
              <w:ind w:left="-50" w:right="-50"/>
              <w:jc w:val="center"/>
              <w:rPr>
                <w:rFonts w:hint="eastAsia" w:ascii="仿宋" w:hAnsi="仿宋" w:eastAsia="仿宋" w:cs="仿宋"/>
                <w:sz w:val="24"/>
              </w:rPr>
            </w:pPr>
          </w:p>
        </w:tc>
        <w:tc>
          <w:tcPr>
            <w:tcW w:w="1138" w:type="dxa"/>
            <w:noWrap w:val="0"/>
            <w:vAlign w:val="center"/>
          </w:tcPr>
          <w:p w14:paraId="69E7D8C6">
            <w:pPr>
              <w:keepNext w:val="0"/>
              <w:keepLines w:val="0"/>
              <w:suppressLineNumbers w:val="0"/>
              <w:spacing w:before="0" w:beforeAutospacing="0" w:after="0" w:afterAutospacing="0" w:line="360" w:lineRule="auto"/>
              <w:ind w:left="-50" w:right="-50"/>
              <w:jc w:val="center"/>
              <w:rPr>
                <w:rFonts w:hint="eastAsia" w:ascii="仿宋" w:hAnsi="仿宋" w:eastAsia="仿宋" w:cs="仿宋"/>
                <w:sz w:val="24"/>
                <w:lang w:val="en-US" w:eastAsia="zh-CN"/>
              </w:rPr>
            </w:pPr>
          </w:p>
        </w:tc>
        <w:tc>
          <w:tcPr>
            <w:tcW w:w="1230" w:type="dxa"/>
            <w:noWrap w:val="0"/>
            <w:vAlign w:val="center"/>
          </w:tcPr>
          <w:p w14:paraId="766C0793">
            <w:pPr>
              <w:keepNext w:val="0"/>
              <w:keepLines w:val="0"/>
              <w:suppressLineNumbers w:val="0"/>
              <w:spacing w:before="0" w:beforeAutospacing="0" w:after="0" w:afterAutospacing="0" w:line="360" w:lineRule="auto"/>
              <w:ind w:left="-50" w:right="-50"/>
              <w:jc w:val="center"/>
              <w:rPr>
                <w:rFonts w:hint="eastAsia" w:ascii="仿宋" w:hAnsi="仿宋" w:eastAsia="仿宋" w:cs="仿宋"/>
                <w:sz w:val="24"/>
                <w:lang w:val="en-US" w:eastAsia="zh-CN"/>
              </w:rPr>
            </w:pPr>
          </w:p>
        </w:tc>
        <w:tc>
          <w:tcPr>
            <w:tcW w:w="1008" w:type="dxa"/>
            <w:noWrap w:val="0"/>
            <w:vAlign w:val="center"/>
          </w:tcPr>
          <w:p w14:paraId="77B30FC7">
            <w:pPr>
              <w:keepNext w:val="0"/>
              <w:keepLines w:val="0"/>
              <w:suppressLineNumbers w:val="0"/>
              <w:spacing w:before="0" w:beforeAutospacing="0" w:after="0" w:afterAutospacing="0" w:line="360" w:lineRule="auto"/>
              <w:ind w:left="-50" w:right="-50"/>
              <w:jc w:val="center"/>
              <w:rPr>
                <w:rFonts w:hint="eastAsia" w:ascii="仿宋" w:hAnsi="仿宋" w:eastAsia="仿宋" w:cs="仿宋"/>
                <w:sz w:val="24"/>
                <w:lang w:val="en-US" w:eastAsia="zh-CN"/>
              </w:rPr>
            </w:pPr>
          </w:p>
        </w:tc>
        <w:tc>
          <w:tcPr>
            <w:tcW w:w="1008" w:type="dxa"/>
            <w:noWrap w:val="0"/>
            <w:vAlign w:val="center"/>
          </w:tcPr>
          <w:p w14:paraId="5B9163AD">
            <w:pPr>
              <w:keepNext w:val="0"/>
              <w:keepLines w:val="0"/>
              <w:suppressLineNumbers w:val="0"/>
              <w:spacing w:before="0" w:beforeAutospacing="0" w:after="0" w:afterAutospacing="0" w:line="360" w:lineRule="auto"/>
              <w:ind w:left="-50" w:right="-50"/>
              <w:jc w:val="center"/>
              <w:rPr>
                <w:rFonts w:hint="default" w:ascii="仿宋" w:hAnsi="仿宋" w:eastAsia="仿宋" w:cs="仿宋"/>
                <w:sz w:val="24"/>
                <w:lang w:val="en-US" w:eastAsia="zh-CN"/>
              </w:rPr>
            </w:pPr>
          </w:p>
        </w:tc>
        <w:tc>
          <w:tcPr>
            <w:tcW w:w="920" w:type="dxa"/>
            <w:noWrap w:val="0"/>
            <w:vAlign w:val="center"/>
          </w:tcPr>
          <w:p w14:paraId="680DB2B4">
            <w:pPr>
              <w:keepNext w:val="0"/>
              <w:keepLines w:val="0"/>
              <w:suppressLineNumbers w:val="0"/>
              <w:spacing w:before="0" w:beforeAutospacing="0" w:after="0" w:afterAutospacing="0" w:line="360" w:lineRule="auto"/>
              <w:ind w:left="-50" w:right="-50"/>
              <w:jc w:val="center"/>
              <w:rPr>
                <w:rFonts w:hint="eastAsia" w:ascii="仿宋" w:hAnsi="仿宋" w:eastAsia="仿宋" w:cs="仿宋"/>
                <w:sz w:val="24"/>
              </w:rPr>
            </w:pPr>
          </w:p>
        </w:tc>
      </w:tr>
      <w:tr w14:paraId="68F5C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35" w:type="dxa"/>
            <w:noWrap w:val="0"/>
            <w:vAlign w:val="center"/>
          </w:tcPr>
          <w:p w14:paraId="78C82027">
            <w:pPr>
              <w:keepNext w:val="0"/>
              <w:keepLines w:val="0"/>
              <w:suppressLineNumbers w:val="0"/>
              <w:spacing w:before="0" w:beforeAutospacing="0" w:after="0" w:afterAutospacing="0" w:line="360" w:lineRule="auto"/>
              <w:ind w:left="-57" w:right="-57"/>
              <w:jc w:val="center"/>
              <w:rPr>
                <w:rFonts w:hint="eastAsia" w:ascii="仿宋" w:hAnsi="仿宋" w:eastAsia="仿宋" w:cs="仿宋"/>
                <w:sz w:val="24"/>
              </w:rPr>
            </w:pPr>
            <w:r>
              <w:rPr>
                <w:rFonts w:hint="eastAsia" w:ascii="仿宋" w:hAnsi="仿宋" w:eastAsia="仿宋" w:cs="仿宋"/>
                <w:sz w:val="24"/>
              </w:rPr>
              <w:t>2</w:t>
            </w:r>
          </w:p>
        </w:tc>
        <w:tc>
          <w:tcPr>
            <w:tcW w:w="1115" w:type="dxa"/>
            <w:noWrap w:val="0"/>
            <w:vAlign w:val="center"/>
          </w:tcPr>
          <w:p w14:paraId="21649CDD">
            <w:pPr>
              <w:keepNext w:val="0"/>
              <w:keepLines w:val="0"/>
              <w:suppressLineNumbers w:val="0"/>
              <w:spacing w:before="0" w:beforeAutospacing="0" w:after="0" w:afterAutospacing="0" w:line="360" w:lineRule="auto"/>
              <w:ind w:left="-50" w:right="-50"/>
              <w:jc w:val="center"/>
              <w:rPr>
                <w:rFonts w:hint="eastAsia" w:ascii="仿宋" w:hAnsi="仿宋" w:eastAsia="仿宋" w:cs="仿宋"/>
                <w:sz w:val="24"/>
              </w:rPr>
            </w:pPr>
          </w:p>
        </w:tc>
        <w:tc>
          <w:tcPr>
            <w:tcW w:w="816" w:type="dxa"/>
            <w:noWrap w:val="0"/>
            <w:vAlign w:val="center"/>
          </w:tcPr>
          <w:p w14:paraId="1F6F33E6">
            <w:pPr>
              <w:keepNext w:val="0"/>
              <w:keepLines w:val="0"/>
              <w:suppressLineNumbers w:val="0"/>
              <w:spacing w:before="0" w:beforeAutospacing="0" w:after="0" w:afterAutospacing="0" w:line="360" w:lineRule="auto"/>
              <w:ind w:left="-50" w:right="-50"/>
              <w:jc w:val="center"/>
              <w:rPr>
                <w:rFonts w:hint="eastAsia" w:ascii="仿宋" w:hAnsi="仿宋" w:eastAsia="仿宋" w:cs="仿宋"/>
                <w:sz w:val="24"/>
              </w:rPr>
            </w:pPr>
          </w:p>
        </w:tc>
        <w:tc>
          <w:tcPr>
            <w:tcW w:w="1200" w:type="dxa"/>
            <w:noWrap w:val="0"/>
            <w:vAlign w:val="center"/>
          </w:tcPr>
          <w:p w14:paraId="04CD3627">
            <w:pPr>
              <w:keepNext w:val="0"/>
              <w:keepLines w:val="0"/>
              <w:suppressLineNumbers w:val="0"/>
              <w:spacing w:before="0" w:beforeAutospacing="0" w:after="0" w:afterAutospacing="0" w:line="360" w:lineRule="auto"/>
              <w:ind w:left="-50" w:right="-50"/>
              <w:jc w:val="center"/>
              <w:rPr>
                <w:rFonts w:hint="eastAsia" w:ascii="仿宋" w:hAnsi="仿宋" w:eastAsia="仿宋" w:cs="仿宋"/>
                <w:sz w:val="24"/>
              </w:rPr>
            </w:pPr>
          </w:p>
        </w:tc>
        <w:tc>
          <w:tcPr>
            <w:tcW w:w="1414" w:type="dxa"/>
            <w:noWrap w:val="0"/>
            <w:vAlign w:val="center"/>
          </w:tcPr>
          <w:p w14:paraId="28BCA01B">
            <w:pPr>
              <w:keepNext w:val="0"/>
              <w:keepLines w:val="0"/>
              <w:suppressLineNumbers w:val="0"/>
              <w:spacing w:before="0" w:beforeAutospacing="0" w:after="0" w:afterAutospacing="0" w:line="360" w:lineRule="auto"/>
              <w:ind w:left="-50" w:right="-50"/>
              <w:jc w:val="center"/>
              <w:rPr>
                <w:rFonts w:hint="eastAsia" w:ascii="仿宋" w:hAnsi="仿宋" w:eastAsia="仿宋" w:cs="仿宋"/>
                <w:sz w:val="24"/>
              </w:rPr>
            </w:pPr>
          </w:p>
        </w:tc>
        <w:tc>
          <w:tcPr>
            <w:tcW w:w="770" w:type="dxa"/>
            <w:noWrap w:val="0"/>
            <w:vAlign w:val="center"/>
          </w:tcPr>
          <w:p w14:paraId="7B9391C1">
            <w:pPr>
              <w:keepNext w:val="0"/>
              <w:keepLines w:val="0"/>
              <w:suppressLineNumbers w:val="0"/>
              <w:spacing w:before="0" w:beforeAutospacing="0" w:after="0" w:afterAutospacing="0" w:line="360" w:lineRule="auto"/>
              <w:ind w:left="-50" w:right="-50"/>
              <w:jc w:val="center"/>
              <w:rPr>
                <w:rFonts w:hint="eastAsia" w:ascii="仿宋" w:hAnsi="仿宋" w:eastAsia="仿宋" w:cs="仿宋"/>
                <w:sz w:val="24"/>
              </w:rPr>
            </w:pPr>
          </w:p>
        </w:tc>
        <w:tc>
          <w:tcPr>
            <w:tcW w:w="1138" w:type="dxa"/>
            <w:noWrap w:val="0"/>
            <w:vAlign w:val="center"/>
          </w:tcPr>
          <w:p w14:paraId="29C4CE42">
            <w:pPr>
              <w:keepNext w:val="0"/>
              <w:keepLines w:val="0"/>
              <w:suppressLineNumbers w:val="0"/>
              <w:spacing w:before="0" w:beforeAutospacing="0" w:after="0" w:afterAutospacing="0" w:line="360" w:lineRule="auto"/>
              <w:ind w:left="-50" w:right="-50"/>
              <w:jc w:val="center"/>
              <w:rPr>
                <w:rFonts w:hint="eastAsia" w:ascii="仿宋" w:hAnsi="仿宋" w:eastAsia="仿宋" w:cs="仿宋"/>
                <w:sz w:val="24"/>
                <w:lang w:val="en-US" w:eastAsia="zh-CN"/>
              </w:rPr>
            </w:pPr>
          </w:p>
        </w:tc>
        <w:tc>
          <w:tcPr>
            <w:tcW w:w="1230" w:type="dxa"/>
            <w:noWrap w:val="0"/>
            <w:vAlign w:val="center"/>
          </w:tcPr>
          <w:p w14:paraId="278B687E">
            <w:pPr>
              <w:keepNext w:val="0"/>
              <w:keepLines w:val="0"/>
              <w:suppressLineNumbers w:val="0"/>
              <w:spacing w:before="0" w:beforeAutospacing="0" w:after="0" w:afterAutospacing="0" w:line="360" w:lineRule="auto"/>
              <w:ind w:left="-50" w:right="-50"/>
              <w:jc w:val="center"/>
              <w:rPr>
                <w:rFonts w:hint="eastAsia" w:ascii="仿宋" w:hAnsi="仿宋" w:eastAsia="仿宋" w:cs="仿宋"/>
                <w:sz w:val="24"/>
                <w:lang w:val="en-US" w:eastAsia="zh-CN"/>
              </w:rPr>
            </w:pPr>
          </w:p>
        </w:tc>
        <w:tc>
          <w:tcPr>
            <w:tcW w:w="1008" w:type="dxa"/>
            <w:noWrap w:val="0"/>
            <w:vAlign w:val="center"/>
          </w:tcPr>
          <w:p w14:paraId="70D5E3F4">
            <w:pPr>
              <w:keepNext w:val="0"/>
              <w:keepLines w:val="0"/>
              <w:suppressLineNumbers w:val="0"/>
              <w:spacing w:before="0" w:beforeAutospacing="0" w:after="0" w:afterAutospacing="0" w:line="360" w:lineRule="auto"/>
              <w:ind w:left="-50" w:right="-50"/>
              <w:jc w:val="center"/>
              <w:rPr>
                <w:rFonts w:hint="eastAsia" w:ascii="仿宋" w:hAnsi="仿宋" w:eastAsia="仿宋" w:cs="仿宋"/>
                <w:sz w:val="24"/>
                <w:lang w:val="en-US" w:eastAsia="zh-CN"/>
              </w:rPr>
            </w:pPr>
          </w:p>
        </w:tc>
        <w:tc>
          <w:tcPr>
            <w:tcW w:w="1008" w:type="dxa"/>
            <w:noWrap w:val="0"/>
            <w:vAlign w:val="center"/>
          </w:tcPr>
          <w:p w14:paraId="33F8B26E">
            <w:pPr>
              <w:keepNext w:val="0"/>
              <w:keepLines w:val="0"/>
              <w:suppressLineNumbers w:val="0"/>
              <w:spacing w:before="0" w:beforeAutospacing="0" w:after="0" w:afterAutospacing="0" w:line="360" w:lineRule="auto"/>
              <w:ind w:left="-50" w:right="-50"/>
              <w:jc w:val="center"/>
              <w:rPr>
                <w:rFonts w:hint="default" w:ascii="仿宋" w:hAnsi="仿宋" w:eastAsia="仿宋" w:cs="仿宋"/>
                <w:sz w:val="24"/>
                <w:lang w:val="en-US" w:eastAsia="zh-CN"/>
              </w:rPr>
            </w:pPr>
          </w:p>
        </w:tc>
        <w:tc>
          <w:tcPr>
            <w:tcW w:w="920" w:type="dxa"/>
            <w:noWrap w:val="0"/>
            <w:vAlign w:val="center"/>
          </w:tcPr>
          <w:p w14:paraId="6F34E270">
            <w:pPr>
              <w:keepNext w:val="0"/>
              <w:keepLines w:val="0"/>
              <w:suppressLineNumbers w:val="0"/>
              <w:spacing w:before="0" w:beforeAutospacing="0" w:after="0" w:afterAutospacing="0" w:line="360" w:lineRule="auto"/>
              <w:ind w:left="-50" w:right="-50"/>
              <w:jc w:val="center"/>
              <w:rPr>
                <w:rFonts w:hint="eastAsia" w:ascii="仿宋" w:hAnsi="仿宋" w:eastAsia="仿宋" w:cs="仿宋"/>
                <w:sz w:val="24"/>
              </w:rPr>
            </w:pPr>
          </w:p>
        </w:tc>
      </w:tr>
      <w:tr w14:paraId="21541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35" w:type="dxa"/>
            <w:noWrap w:val="0"/>
            <w:vAlign w:val="center"/>
          </w:tcPr>
          <w:p w14:paraId="5030D1F9">
            <w:pPr>
              <w:keepNext w:val="0"/>
              <w:keepLines w:val="0"/>
              <w:suppressLineNumbers w:val="0"/>
              <w:spacing w:before="0" w:beforeAutospacing="0" w:after="0" w:afterAutospacing="0" w:line="360" w:lineRule="auto"/>
              <w:ind w:left="-57" w:leftChars="0" w:right="-57" w:rightChars="0"/>
              <w:jc w:val="center"/>
              <w:rPr>
                <w:rFonts w:hint="eastAsia" w:ascii="仿宋" w:hAnsi="仿宋" w:eastAsia="仿宋" w:cs="仿宋"/>
                <w:kern w:val="2"/>
                <w:sz w:val="24"/>
                <w:lang w:val="en-US" w:eastAsia="zh-CN" w:bidi="ar-SA"/>
              </w:rPr>
            </w:pPr>
            <w:r>
              <w:rPr>
                <w:rFonts w:hint="eastAsia" w:ascii="仿宋" w:hAnsi="仿宋" w:eastAsia="仿宋" w:cs="仿宋"/>
                <w:sz w:val="24"/>
                <w:lang w:val="en-US" w:eastAsia="zh-CN"/>
              </w:rPr>
              <w:t>...</w:t>
            </w:r>
          </w:p>
        </w:tc>
        <w:tc>
          <w:tcPr>
            <w:tcW w:w="1115" w:type="dxa"/>
            <w:noWrap w:val="0"/>
            <w:vAlign w:val="center"/>
          </w:tcPr>
          <w:p w14:paraId="1C1AA8ED">
            <w:pPr>
              <w:keepNext w:val="0"/>
              <w:keepLines w:val="0"/>
              <w:suppressLineNumbers w:val="0"/>
              <w:spacing w:before="0" w:beforeAutospacing="0" w:after="0" w:afterAutospacing="0" w:line="360" w:lineRule="auto"/>
              <w:ind w:left="-50" w:leftChars="0" w:right="-50" w:rightChars="0"/>
              <w:jc w:val="center"/>
              <w:rPr>
                <w:rFonts w:hint="eastAsia" w:ascii="仿宋" w:hAnsi="仿宋" w:eastAsia="仿宋" w:cs="仿宋"/>
                <w:kern w:val="2"/>
                <w:sz w:val="24"/>
                <w:lang w:val="en-US" w:eastAsia="zh-CN" w:bidi="ar-SA"/>
              </w:rPr>
            </w:pPr>
            <w:r>
              <w:rPr>
                <w:rFonts w:hint="eastAsia" w:ascii="仿宋" w:hAnsi="仿宋" w:eastAsia="仿宋" w:cs="仿宋"/>
                <w:sz w:val="24"/>
                <w:lang w:val="en-US" w:eastAsia="zh-CN"/>
              </w:rPr>
              <w:t>...</w:t>
            </w:r>
          </w:p>
        </w:tc>
        <w:tc>
          <w:tcPr>
            <w:tcW w:w="816" w:type="dxa"/>
            <w:noWrap w:val="0"/>
            <w:vAlign w:val="center"/>
          </w:tcPr>
          <w:p w14:paraId="03B4D6CB">
            <w:pPr>
              <w:keepNext w:val="0"/>
              <w:keepLines w:val="0"/>
              <w:suppressLineNumbers w:val="0"/>
              <w:spacing w:before="0" w:beforeAutospacing="0" w:after="0" w:afterAutospacing="0" w:line="360" w:lineRule="auto"/>
              <w:ind w:left="-50" w:right="-50"/>
              <w:jc w:val="center"/>
              <w:rPr>
                <w:rFonts w:hint="eastAsia" w:ascii="仿宋" w:hAnsi="仿宋" w:eastAsia="仿宋" w:cs="仿宋"/>
                <w:sz w:val="24"/>
              </w:rPr>
            </w:pPr>
          </w:p>
        </w:tc>
        <w:tc>
          <w:tcPr>
            <w:tcW w:w="1200" w:type="dxa"/>
            <w:noWrap w:val="0"/>
            <w:vAlign w:val="center"/>
          </w:tcPr>
          <w:p w14:paraId="55C51705">
            <w:pPr>
              <w:keepNext w:val="0"/>
              <w:keepLines w:val="0"/>
              <w:suppressLineNumbers w:val="0"/>
              <w:spacing w:before="0" w:beforeAutospacing="0" w:after="0" w:afterAutospacing="0" w:line="360" w:lineRule="auto"/>
              <w:ind w:left="-50" w:right="-50"/>
              <w:jc w:val="center"/>
              <w:rPr>
                <w:rFonts w:hint="eastAsia" w:ascii="仿宋" w:hAnsi="仿宋" w:eastAsia="仿宋" w:cs="仿宋"/>
                <w:sz w:val="24"/>
              </w:rPr>
            </w:pPr>
          </w:p>
        </w:tc>
        <w:tc>
          <w:tcPr>
            <w:tcW w:w="1414" w:type="dxa"/>
            <w:noWrap w:val="0"/>
            <w:vAlign w:val="center"/>
          </w:tcPr>
          <w:p w14:paraId="006304C7">
            <w:pPr>
              <w:keepNext w:val="0"/>
              <w:keepLines w:val="0"/>
              <w:suppressLineNumbers w:val="0"/>
              <w:spacing w:before="0" w:beforeAutospacing="0" w:after="0" w:afterAutospacing="0" w:line="360" w:lineRule="auto"/>
              <w:ind w:left="-50" w:right="-50"/>
              <w:jc w:val="center"/>
              <w:rPr>
                <w:rFonts w:hint="eastAsia" w:ascii="仿宋" w:hAnsi="仿宋" w:eastAsia="仿宋" w:cs="仿宋"/>
                <w:sz w:val="24"/>
              </w:rPr>
            </w:pPr>
          </w:p>
        </w:tc>
        <w:tc>
          <w:tcPr>
            <w:tcW w:w="770" w:type="dxa"/>
            <w:noWrap w:val="0"/>
            <w:vAlign w:val="center"/>
          </w:tcPr>
          <w:p w14:paraId="33FB5CA7">
            <w:pPr>
              <w:keepNext w:val="0"/>
              <w:keepLines w:val="0"/>
              <w:suppressLineNumbers w:val="0"/>
              <w:spacing w:before="0" w:beforeAutospacing="0" w:after="0" w:afterAutospacing="0" w:line="360" w:lineRule="auto"/>
              <w:ind w:left="-50" w:right="-50"/>
              <w:jc w:val="center"/>
              <w:rPr>
                <w:rFonts w:hint="eastAsia" w:ascii="仿宋" w:hAnsi="仿宋" w:eastAsia="仿宋" w:cs="仿宋"/>
                <w:sz w:val="24"/>
              </w:rPr>
            </w:pPr>
          </w:p>
        </w:tc>
        <w:tc>
          <w:tcPr>
            <w:tcW w:w="1138" w:type="dxa"/>
            <w:noWrap w:val="0"/>
            <w:vAlign w:val="center"/>
          </w:tcPr>
          <w:p w14:paraId="0064D712">
            <w:pPr>
              <w:keepNext w:val="0"/>
              <w:keepLines w:val="0"/>
              <w:suppressLineNumbers w:val="0"/>
              <w:spacing w:before="0" w:beforeAutospacing="0" w:after="0" w:afterAutospacing="0" w:line="360" w:lineRule="auto"/>
              <w:ind w:left="-50" w:right="-50"/>
              <w:jc w:val="center"/>
              <w:rPr>
                <w:rFonts w:hint="eastAsia" w:ascii="仿宋" w:hAnsi="仿宋" w:eastAsia="仿宋" w:cs="仿宋"/>
                <w:sz w:val="24"/>
                <w:lang w:val="en-US" w:eastAsia="zh-CN"/>
              </w:rPr>
            </w:pPr>
          </w:p>
        </w:tc>
        <w:tc>
          <w:tcPr>
            <w:tcW w:w="1230" w:type="dxa"/>
            <w:noWrap w:val="0"/>
            <w:vAlign w:val="center"/>
          </w:tcPr>
          <w:p w14:paraId="5CDD8AD8">
            <w:pPr>
              <w:keepNext w:val="0"/>
              <w:keepLines w:val="0"/>
              <w:suppressLineNumbers w:val="0"/>
              <w:spacing w:before="0" w:beforeAutospacing="0" w:after="0" w:afterAutospacing="0" w:line="360" w:lineRule="auto"/>
              <w:ind w:left="-50" w:right="-50"/>
              <w:jc w:val="center"/>
              <w:rPr>
                <w:rFonts w:hint="eastAsia" w:ascii="仿宋" w:hAnsi="仿宋" w:eastAsia="仿宋" w:cs="仿宋"/>
                <w:sz w:val="24"/>
                <w:lang w:val="en-US" w:eastAsia="zh-CN"/>
              </w:rPr>
            </w:pPr>
          </w:p>
        </w:tc>
        <w:tc>
          <w:tcPr>
            <w:tcW w:w="1008" w:type="dxa"/>
            <w:noWrap w:val="0"/>
            <w:vAlign w:val="center"/>
          </w:tcPr>
          <w:p w14:paraId="1008996E">
            <w:pPr>
              <w:keepNext w:val="0"/>
              <w:keepLines w:val="0"/>
              <w:suppressLineNumbers w:val="0"/>
              <w:spacing w:before="0" w:beforeAutospacing="0" w:after="0" w:afterAutospacing="0" w:line="360" w:lineRule="auto"/>
              <w:ind w:left="-50" w:right="-50"/>
              <w:jc w:val="center"/>
              <w:rPr>
                <w:rFonts w:hint="eastAsia" w:ascii="仿宋" w:hAnsi="仿宋" w:eastAsia="仿宋" w:cs="仿宋"/>
                <w:sz w:val="24"/>
                <w:lang w:val="en-US" w:eastAsia="zh-CN"/>
              </w:rPr>
            </w:pPr>
          </w:p>
        </w:tc>
        <w:tc>
          <w:tcPr>
            <w:tcW w:w="1008" w:type="dxa"/>
            <w:noWrap w:val="0"/>
            <w:vAlign w:val="center"/>
          </w:tcPr>
          <w:p w14:paraId="06C8EC15">
            <w:pPr>
              <w:keepNext w:val="0"/>
              <w:keepLines w:val="0"/>
              <w:suppressLineNumbers w:val="0"/>
              <w:spacing w:before="0" w:beforeAutospacing="0" w:after="0" w:afterAutospacing="0" w:line="360" w:lineRule="auto"/>
              <w:ind w:left="-50" w:right="-50"/>
              <w:jc w:val="center"/>
              <w:rPr>
                <w:rFonts w:hint="default" w:ascii="仿宋" w:hAnsi="仿宋" w:eastAsia="仿宋" w:cs="仿宋"/>
                <w:sz w:val="24"/>
                <w:lang w:val="en-US" w:eastAsia="zh-CN"/>
              </w:rPr>
            </w:pPr>
          </w:p>
        </w:tc>
        <w:tc>
          <w:tcPr>
            <w:tcW w:w="920" w:type="dxa"/>
            <w:noWrap w:val="0"/>
            <w:vAlign w:val="center"/>
          </w:tcPr>
          <w:p w14:paraId="2383A5EE">
            <w:pPr>
              <w:keepNext w:val="0"/>
              <w:keepLines w:val="0"/>
              <w:suppressLineNumbers w:val="0"/>
              <w:spacing w:before="0" w:beforeAutospacing="0" w:after="0" w:afterAutospacing="0" w:line="360" w:lineRule="auto"/>
              <w:ind w:left="-50" w:right="-50"/>
              <w:jc w:val="center"/>
              <w:rPr>
                <w:rFonts w:hint="eastAsia" w:ascii="仿宋" w:hAnsi="仿宋" w:eastAsia="仿宋" w:cs="仿宋"/>
                <w:sz w:val="24"/>
              </w:rPr>
            </w:pPr>
          </w:p>
        </w:tc>
      </w:tr>
      <w:tr w14:paraId="0D658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1354" w:type="dxa"/>
            <w:gridSpan w:val="11"/>
            <w:noWrap w:val="0"/>
            <w:vAlign w:val="center"/>
          </w:tcPr>
          <w:p w14:paraId="15C4217A">
            <w:pPr>
              <w:keepNext w:val="0"/>
              <w:keepLines w:val="0"/>
              <w:suppressLineNumbers w:val="0"/>
              <w:spacing w:before="0" w:beforeAutospacing="0" w:after="0" w:afterAutospacing="0" w:line="360" w:lineRule="auto"/>
              <w:ind w:left="-50" w:right="-50"/>
              <w:jc w:val="left"/>
              <w:rPr>
                <w:rFonts w:hint="eastAsia" w:ascii="仿宋" w:hAnsi="仿宋" w:eastAsia="仿宋" w:cs="仿宋"/>
                <w:sz w:val="24"/>
                <w:lang w:val="en-US" w:eastAsia="zh-CN"/>
              </w:rPr>
            </w:pPr>
            <w:r>
              <w:rPr>
                <w:rFonts w:hint="eastAsia" w:ascii="仿宋" w:hAnsi="仿宋" w:eastAsia="仿宋" w:cs="仿宋"/>
                <w:sz w:val="24"/>
                <w:lang w:val="en-US" w:eastAsia="zh-CN"/>
              </w:rPr>
              <w:t>谈判总</w:t>
            </w:r>
            <w:r>
              <w:rPr>
                <w:rFonts w:hint="eastAsia" w:ascii="仿宋" w:hAnsi="仿宋" w:eastAsia="仿宋" w:cs="仿宋"/>
                <w:sz w:val="24"/>
              </w:rPr>
              <w:t>报价</w:t>
            </w:r>
            <w:r>
              <w:rPr>
                <w:rFonts w:hint="eastAsia" w:ascii="仿宋" w:hAnsi="仿宋" w:eastAsia="仿宋" w:cs="仿宋"/>
                <w:sz w:val="24"/>
                <w:lang w:eastAsia="zh-CN"/>
              </w:rPr>
              <w:t>（</w:t>
            </w:r>
            <w:r>
              <w:rPr>
                <w:rFonts w:hint="eastAsia" w:ascii="仿宋" w:hAnsi="仿宋" w:eastAsia="仿宋" w:cs="仿宋"/>
                <w:sz w:val="24"/>
                <w:lang w:val="en-US" w:eastAsia="zh-CN"/>
              </w:rPr>
              <w:t>人民币大写/元</w:t>
            </w:r>
            <w:r>
              <w:rPr>
                <w:rFonts w:hint="eastAsia" w:ascii="仿宋" w:hAnsi="仿宋" w:eastAsia="仿宋" w:cs="仿宋"/>
                <w:sz w:val="24"/>
                <w:lang w:eastAsia="zh-CN"/>
              </w:rPr>
              <w:t>）：</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u w:val="none"/>
                <w:lang w:eastAsia="zh-CN"/>
              </w:rPr>
              <w:t>（</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u w:val="single"/>
                <w:lang w:eastAsia="zh-CN"/>
              </w:rPr>
              <w:t>）</w:t>
            </w:r>
          </w:p>
        </w:tc>
      </w:tr>
    </w:tbl>
    <w:p w14:paraId="336E3C20">
      <w:pPr>
        <w:spacing w:line="400" w:lineRule="exac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备注：1、有关本项目实施所涉及的一切费用均计入报价。采购人将以合同形式有偿取得货物或服务，不接受供应商给予的赠品、回扣或者与采购无关的其他商品、服务，不得出现“0元”“免费赠送”等形式的无偿报价，否则视为响应文件含有采购人不能接受的附加条件，投标无效；采购内容未包含在《分项报价表》名称栏中，供应商不能作出合理解释的，视为响应文件含有采购人不能接受的附加条件的，投标无效。</w:t>
      </w:r>
    </w:p>
    <w:p w14:paraId="5387F633">
      <w:pPr>
        <w:numPr>
          <w:ilvl w:val="0"/>
          <w:numId w:val="7"/>
        </w:numPr>
        <w:spacing w:line="400" w:lineRule="exac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本表所列产品型号须填写所投产品型号，所附医疗产品注册证型号应为一致，否则视为无效标。</w:t>
      </w:r>
    </w:p>
    <w:p w14:paraId="2B53401E">
      <w:pPr>
        <w:numPr>
          <w:ilvl w:val="0"/>
          <w:numId w:val="7"/>
        </w:numPr>
        <w:spacing w:line="400" w:lineRule="exact"/>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单价报价不得超过单价最高限价，否则按无效标处理。</w:t>
      </w:r>
    </w:p>
    <w:p w14:paraId="2EFC145E">
      <w:pPr>
        <w:pStyle w:val="29"/>
        <w:rPr>
          <w:rFonts w:ascii="仿宋" w:hAnsi="仿宋" w:eastAsia="仿宋" w:cs="仿宋"/>
          <w:sz w:val="24"/>
          <w:szCs w:val="24"/>
        </w:rPr>
      </w:pPr>
    </w:p>
    <w:bookmarkEnd w:id="343"/>
    <w:bookmarkEnd w:id="344"/>
    <w:bookmarkEnd w:id="345"/>
    <w:bookmarkEnd w:id="346"/>
    <w:tbl>
      <w:tblPr>
        <w:tblStyle w:val="47"/>
        <w:tblW w:w="0" w:type="auto"/>
        <w:tblInd w:w="2376" w:type="dxa"/>
        <w:tblLayout w:type="fixed"/>
        <w:tblCellMar>
          <w:top w:w="0" w:type="dxa"/>
          <w:left w:w="108" w:type="dxa"/>
          <w:bottom w:w="0" w:type="dxa"/>
          <w:right w:w="108" w:type="dxa"/>
        </w:tblCellMar>
      </w:tblPr>
      <w:tblGrid>
        <w:gridCol w:w="2410"/>
        <w:gridCol w:w="287"/>
        <w:gridCol w:w="4107"/>
      </w:tblGrid>
      <w:tr w14:paraId="6C3EEAFB">
        <w:tblPrEx>
          <w:tblCellMar>
            <w:top w:w="0" w:type="dxa"/>
            <w:left w:w="108" w:type="dxa"/>
            <w:bottom w:w="0" w:type="dxa"/>
            <w:right w:w="108" w:type="dxa"/>
          </w:tblCellMar>
        </w:tblPrEx>
        <w:trPr>
          <w:trHeight w:val="680" w:hRule="atLeast"/>
        </w:trPr>
        <w:tc>
          <w:tcPr>
            <w:tcW w:w="2410" w:type="dxa"/>
            <w:noWrap w:val="0"/>
            <w:vAlign w:val="bottom"/>
          </w:tcPr>
          <w:p w14:paraId="20360D86">
            <w:pPr>
              <w:pStyle w:val="18"/>
              <w:keepNext w:val="0"/>
              <w:keepLines w:val="0"/>
              <w:suppressLineNumbers w:val="0"/>
              <w:spacing w:before="0" w:beforeAutospacing="0" w:afterAutospacing="0"/>
              <w:ind w:left="0" w:right="0"/>
              <w:jc w:val="distribute"/>
              <w:rPr>
                <w:rFonts w:hint="eastAsia" w:ascii="仿宋" w:hAnsi="仿宋" w:eastAsia="仿宋" w:cs="仿宋"/>
                <w:b w:val="0"/>
                <w:color w:val="000000"/>
                <w:sz w:val="24"/>
                <w:szCs w:val="24"/>
                <w:highlight w:val="none"/>
                <w:lang w:val="en-US" w:eastAsia="zh-CN"/>
              </w:rPr>
            </w:pPr>
            <w:bookmarkStart w:id="347" w:name="_Toc332874432"/>
            <w:bookmarkStart w:id="348" w:name="_Toc311415661"/>
            <w:bookmarkStart w:id="349" w:name="_Toc283240500"/>
            <w:r>
              <w:rPr>
                <w:rFonts w:hint="eastAsia" w:ascii="仿宋" w:hAnsi="仿宋" w:eastAsia="仿宋" w:cs="仿宋"/>
                <w:b w:val="0"/>
                <w:color w:val="000000"/>
                <w:sz w:val="24"/>
                <w:highlight w:val="none"/>
                <w:lang w:val="en-US" w:eastAsia="zh-CN"/>
              </w:rPr>
              <w:t>供应商名称</w:t>
            </w:r>
          </w:p>
        </w:tc>
        <w:tc>
          <w:tcPr>
            <w:tcW w:w="287" w:type="dxa"/>
            <w:noWrap w:val="0"/>
            <w:vAlign w:val="bottom"/>
          </w:tcPr>
          <w:p w14:paraId="1C729207">
            <w:pPr>
              <w:pStyle w:val="18"/>
              <w:keepNext w:val="0"/>
              <w:keepLines w:val="0"/>
              <w:suppressLineNumbers w:val="0"/>
              <w:spacing w:before="0" w:beforeAutospacing="0" w:afterAutospacing="0"/>
              <w:ind w:left="0" w:right="0"/>
              <w:jc w:val="left"/>
              <w:rPr>
                <w:rFonts w:hint="eastAsia" w:ascii="仿宋" w:hAnsi="仿宋" w:eastAsia="仿宋" w:cs="仿宋"/>
                <w:b w:val="0"/>
                <w:color w:val="000000"/>
                <w:sz w:val="24"/>
                <w:szCs w:val="24"/>
                <w:highlight w:val="none"/>
                <w:lang w:val="en-US" w:eastAsia="zh-CN"/>
              </w:rPr>
            </w:pPr>
            <w:r>
              <w:rPr>
                <w:rFonts w:hint="eastAsia" w:ascii="仿宋" w:hAnsi="仿宋" w:eastAsia="仿宋" w:cs="仿宋"/>
                <w:b w:val="0"/>
                <w:color w:val="000000"/>
                <w:sz w:val="24"/>
                <w:szCs w:val="24"/>
                <w:highlight w:val="none"/>
                <w:lang w:val="en-US" w:eastAsia="zh-CN"/>
              </w:rPr>
              <w:t>：</w:t>
            </w:r>
          </w:p>
        </w:tc>
        <w:tc>
          <w:tcPr>
            <w:tcW w:w="4107" w:type="dxa"/>
            <w:noWrap w:val="0"/>
            <w:vAlign w:val="bottom"/>
          </w:tcPr>
          <w:p w14:paraId="4E65A33A">
            <w:pPr>
              <w:pStyle w:val="18"/>
              <w:keepNext w:val="0"/>
              <w:keepLines w:val="0"/>
              <w:suppressLineNumbers w:val="0"/>
              <w:spacing w:before="0" w:beforeAutospacing="0" w:afterAutospacing="0"/>
              <w:ind w:left="0" w:right="0"/>
              <w:rPr>
                <w:rFonts w:hint="eastAsia" w:ascii="仿宋" w:hAnsi="仿宋" w:eastAsia="仿宋" w:cs="仿宋"/>
                <w:b w:val="0"/>
                <w:color w:val="000000"/>
                <w:sz w:val="24"/>
                <w:szCs w:val="24"/>
                <w:highlight w:val="none"/>
                <w:u w:val="single"/>
                <w:lang w:val="en-US" w:eastAsia="zh-CN"/>
              </w:rPr>
            </w:pPr>
            <w:r>
              <w:rPr>
                <w:rFonts w:hint="eastAsia" w:ascii="仿宋" w:hAnsi="仿宋" w:eastAsia="仿宋" w:cs="仿宋"/>
                <w:b w:val="0"/>
                <w:color w:val="000000"/>
                <w:sz w:val="24"/>
                <w:szCs w:val="24"/>
                <w:highlight w:val="none"/>
                <w:u w:val="single"/>
                <w:lang w:val="en-US" w:eastAsia="zh-CN"/>
              </w:rPr>
              <w:t xml:space="preserve">                </w:t>
            </w:r>
            <w:r>
              <w:rPr>
                <w:rFonts w:hint="eastAsia" w:ascii="仿宋" w:hAnsi="仿宋" w:eastAsia="仿宋" w:cs="仿宋"/>
                <w:b w:val="0"/>
                <w:color w:val="000000"/>
                <w:sz w:val="24"/>
                <w:highlight w:val="none"/>
                <w:u w:val="single"/>
                <w:lang w:val="en-US" w:eastAsia="zh-CN"/>
              </w:rPr>
              <w:t xml:space="preserve">（公章） </w:t>
            </w:r>
            <w:r>
              <w:rPr>
                <w:rFonts w:hint="eastAsia" w:ascii="仿宋" w:hAnsi="仿宋" w:eastAsia="仿宋" w:cs="仿宋"/>
                <w:b w:val="0"/>
                <w:color w:val="000000"/>
                <w:sz w:val="24"/>
                <w:szCs w:val="24"/>
                <w:highlight w:val="none"/>
                <w:u w:val="single"/>
                <w:lang w:val="en-US" w:eastAsia="zh-CN"/>
              </w:rPr>
              <w:t xml:space="preserve">           </w:t>
            </w:r>
          </w:p>
        </w:tc>
      </w:tr>
      <w:tr w14:paraId="54905D79">
        <w:tblPrEx>
          <w:tblCellMar>
            <w:top w:w="0" w:type="dxa"/>
            <w:left w:w="108" w:type="dxa"/>
            <w:bottom w:w="0" w:type="dxa"/>
            <w:right w:w="108" w:type="dxa"/>
          </w:tblCellMar>
        </w:tblPrEx>
        <w:trPr>
          <w:trHeight w:val="680" w:hRule="atLeast"/>
        </w:trPr>
        <w:tc>
          <w:tcPr>
            <w:tcW w:w="2410" w:type="dxa"/>
            <w:noWrap w:val="0"/>
            <w:vAlign w:val="bottom"/>
          </w:tcPr>
          <w:p w14:paraId="2C123698">
            <w:pPr>
              <w:pStyle w:val="18"/>
              <w:keepNext w:val="0"/>
              <w:keepLines w:val="0"/>
              <w:suppressLineNumbers w:val="0"/>
              <w:spacing w:before="0" w:beforeAutospacing="0" w:afterAutospacing="0"/>
              <w:ind w:left="0" w:right="0"/>
              <w:jc w:val="distribute"/>
              <w:rPr>
                <w:rFonts w:hint="eastAsia" w:ascii="仿宋" w:hAnsi="仿宋" w:eastAsia="仿宋" w:cs="仿宋"/>
                <w:b w:val="0"/>
                <w:color w:val="000000"/>
                <w:sz w:val="24"/>
                <w:szCs w:val="24"/>
                <w:highlight w:val="none"/>
                <w:lang w:val="en-US" w:eastAsia="zh-CN"/>
              </w:rPr>
            </w:pPr>
            <w:r>
              <w:rPr>
                <w:rFonts w:hint="eastAsia" w:ascii="仿宋" w:hAnsi="仿宋" w:eastAsia="仿宋" w:cs="仿宋"/>
                <w:b w:val="0"/>
                <w:color w:val="000000"/>
                <w:sz w:val="24"/>
                <w:highlight w:val="none"/>
                <w:lang w:val="en-US" w:eastAsia="zh-CN"/>
              </w:rPr>
              <w:t>法定代表人或被授权代表（签字或盖章）</w:t>
            </w:r>
          </w:p>
        </w:tc>
        <w:tc>
          <w:tcPr>
            <w:tcW w:w="287" w:type="dxa"/>
            <w:noWrap w:val="0"/>
            <w:vAlign w:val="bottom"/>
          </w:tcPr>
          <w:p w14:paraId="6E2A2D9E">
            <w:pPr>
              <w:pStyle w:val="18"/>
              <w:keepNext w:val="0"/>
              <w:keepLines w:val="0"/>
              <w:suppressLineNumbers w:val="0"/>
              <w:spacing w:before="0" w:beforeAutospacing="0" w:afterAutospacing="0"/>
              <w:ind w:left="0" w:right="0"/>
              <w:jc w:val="left"/>
              <w:rPr>
                <w:rFonts w:hint="eastAsia" w:ascii="仿宋" w:hAnsi="仿宋" w:eastAsia="仿宋" w:cs="仿宋"/>
                <w:b w:val="0"/>
                <w:color w:val="000000"/>
                <w:sz w:val="24"/>
                <w:szCs w:val="24"/>
                <w:highlight w:val="none"/>
                <w:lang w:val="en-US" w:eastAsia="zh-CN"/>
              </w:rPr>
            </w:pPr>
            <w:r>
              <w:rPr>
                <w:rFonts w:hint="eastAsia" w:ascii="仿宋" w:hAnsi="仿宋" w:eastAsia="仿宋" w:cs="仿宋"/>
                <w:b w:val="0"/>
                <w:color w:val="000000"/>
                <w:sz w:val="24"/>
                <w:szCs w:val="24"/>
                <w:highlight w:val="none"/>
                <w:lang w:val="en-US" w:eastAsia="zh-CN"/>
              </w:rPr>
              <w:t>：</w:t>
            </w:r>
          </w:p>
        </w:tc>
        <w:tc>
          <w:tcPr>
            <w:tcW w:w="4107" w:type="dxa"/>
            <w:noWrap w:val="0"/>
            <w:vAlign w:val="bottom"/>
          </w:tcPr>
          <w:p w14:paraId="76EB7AD2">
            <w:pPr>
              <w:pStyle w:val="18"/>
              <w:keepNext w:val="0"/>
              <w:keepLines w:val="0"/>
              <w:suppressLineNumbers w:val="0"/>
              <w:spacing w:before="0" w:beforeAutospacing="0" w:afterAutospacing="0"/>
              <w:ind w:left="0" w:right="0"/>
              <w:rPr>
                <w:rFonts w:hint="eastAsia" w:ascii="仿宋" w:hAnsi="仿宋" w:eastAsia="仿宋" w:cs="仿宋"/>
                <w:b w:val="0"/>
                <w:color w:val="000000"/>
                <w:sz w:val="24"/>
                <w:szCs w:val="24"/>
                <w:highlight w:val="none"/>
                <w:u w:val="single"/>
                <w:lang w:val="en-US" w:eastAsia="zh-CN"/>
              </w:rPr>
            </w:pPr>
            <w:r>
              <w:rPr>
                <w:rFonts w:hint="eastAsia" w:ascii="仿宋" w:hAnsi="仿宋" w:eastAsia="仿宋" w:cs="仿宋"/>
                <w:b w:val="0"/>
                <w:color w:val="000000"/>
                <w:sz w:val="24"/>
                <w:szCs w:val="24"/>
                <w:highlight w:val="none"/>
                <w:u w:val="single"/>
                <w:lang w:val="en-US" w:eastAsia="zh-CN"/>
              </w:rPr>
              <w:t xml:space="preserve">            </w:t>
            </w:r>
            <w:r>
              <w:rPr>
                <w:rFonts w:hint="eastAsia" w:ascii="仿宋" w:hAnsi="仿宋" w:eastAsia="仿宋" w:cs="仿宋"/>
                <w:b w:val="0"/>
                <w:color w:val="000000"/>
                <w:sz w:val="24"/>
                <w:highlight w:val="none"/>
                <w:u w:val="single"/>
                <w:lang w:val="en-US" w:eastAsia="zh-CN"/>
              </w:rPr>
              <w:t>（签字或盖章）</w:t>
            </w:r>
            <w:r>
              <w:rPr>
                <w:rFonts w:hint="eastAsia" w:ascii="仿宋" w:hAnsi="仿宋" w:eastAsia="仿宋" w:cs="仿宋"/>
                <w:b w:val="0"/>
                <w:color w:val="000000"/>
                <w:sz w:val="24"/>
                <w:szCs w:val="24"/>
                <w:highlight w:val="none"/>
                <w:u w:val="single"/>
                <w:lang w:val="en-US" w:eastAsia="zh-CN"/>
              </w:rPr>
              <w:t xml:space="preserve">                              </w:t>
            </w:r>
          </w:p>
        </w:tc>
      </w:tr>
      <w:tr w14:paraId="31CF7E44">
        <w:tblPrEx>
          <w:tblCellMar>
            <w:top w:w="0" w:type="dxa"/>
            <w:left w:w="108" w:type="dxa"/>
            <w:bottom w:w="0" w:type="dxa"/>
            <w:right w:w="108" w:type="dxa"/>
          </w:tblCellMar>
        </w:tblPrEx>
        <w:trPr>
          <w:trHeight w:val="680" w:hRule="atLeast"/>
        </w:trPr>
        <w:tc>
          <w:tcPr>
            <w:tcW w:w="2410" w:type="dxa"/>
            <w:noWrap w:val="0"/>
            <w:vAlign w:val="bottom"/>
          </w:tcPr>
          <w:p w14:paraId="66EA3201">
            <w:pPr>
              <w:pStyle w:val="18"/>
              <w:keepNext w:val="0"/>
              <w:keepLines w:val="0"/>
              <w:suppressLineNumbers w:val="0"/>
              <w:spacing w:before="0" w:beforeAutospacing="0" w:afterAutospacing="0"/>
              <w:ind w:left="0" w:right="0"/>
              <w:jc w:val="distribute"/>
              <w:rPr>
                <w:rFonts w:hint="eastAsia" w:ascii="仿宋" w:hAnsi="仿宋" w:eastAsia="仿宋" w:cs="仿宋"/>
                <w:b w:val="0"/>
                <w:color w:val="000000"/>
                <w:sz w:val="24"/>
                <w:szCs w:val="24"/>
                <w:highlight w:val="none"/>
                <w:lang w:val="en-US" w:eastAsia="zh-CN"/>
              </w:rPr>
            </w:pPr>
            <w:r>
              <w:rPr>
                <w:rFonts w:hint="eastAsia" w:ascii="仿宋" w:hAnsi="仿宋" w:eastAsia="仿宋" w:cs="仿宋"/>
                <w:b w:val="0"/>
                <w:color w:val="000000"/>
                <w:sz w:val="24"/>
                <w:szCs w:val="24"/>
                <w:highlight w:val="none"/>
                <w:lang w:val="en-US" w:eastAsia="zh-CN"/>
              </w:rPr>
              <w:t>日期</w:t>
            </w:r>
          </w:p>
        </w:tc>
        <w:tc>
          <w:tcPr>
            <w:tcW w:w="287" w:type="dxa"/>
            <w:noWrap w:val="0"/>
            <w:vAlign w:val="bottom"/>
          </w:tcPr>
          <w:p w14:paraId="4262D67E">
            <w:pPr>
              <w:pStyle w:val="18"/>
              <w:keepNext w:val="0"/>
              <w:keepLines w:val="0"/>
              <w:suppressLineNumbers w:val="0"/>
              <w:spacing w:before="0" w:beforeAutospacing="0" w:afterAutospacing="0"/>
              <w:ind w:left="0" w:right="0"/>
              <w:jc w:val="left"/>
              <w:rPr>
                <w:rFonts w:hint="eastAsia" w:ascii="仿宋" w:hAnsi="仿宋" w:eastAsia="仿宋" w:cs="仿宋"/>
                <w:b w:val="0"/>
                <w:color w:val="000000"/>
                <w:sz w:val="24"/>
                <w:szCs w:val="24"/>
                <w:highlight w:val="none"/>
                <w:lang w:val="en-US" w:eastAsia="zh-CN"/>
              </w:rPr>
            </w:pPr>
            <w:r>
              <w:rPr>
                <w:rFonts w:hint="eastAsia" w:ascii="仿宋" w:hAnsi="仿宋" w:eastAsia="仿宋" w:cs="仿宋"/>
                <w:b w:val="0"/>
                <w:color w:val="000000"/>
                <w:sz w:val="24"/>
                <w:szCs w:val="24"/>
                <w:highlight w:val="none"/>
                <w:lang w:val="en-US" w:eastAsia="zh-CN"/>
              </w:rPr>
              <w:t>：</w:t>
            </w:r>
          </w:p>
        </w:tc>
        <w:tc>
          <w:tcPr>
            <w:tcW w:w="4107" w:type="dxa"/>
            <w:noWrap w:val="0"/>
            <w:vAlign w:val="bottom"/>
          </w:tcPr>
          <w:p w14:paraId="0703D02B">
            <w:pPr>
              <w:pStyle w:val="18"/>
              <w:keepNext w:val="0"/>
              <w:keepLines w:val="0"/>
              <w:suppressLineNumbers w:val="0"/>
              <w:spacing w:before="0" w:beforeAutospacing="0" w:afterAutospacing="0"/>
              <w:ind w:left="0" w:right="0"/>
              <w:rPr>
                <w:rFonts w:hint="eastAsia" w:ascii="仿宋" w:hAnsi="仿宋" w:eastAsia="仿宋" w:cs="仿宋"/>
                <w:b w:val="0"/>
                <w:color w:val="000000"/>
                <w:sz w:val="24"/>
                <w:szCs w:val="24"/>
                <w:highlight w:val="none"/>
                <w:u w:val="single"/>
                <w:lang w:val="en-US" w:eastAsia="zh-CN"/>
              </w:rPr>
            </w:pPr>
            <w:r>
              <w:rPr>
                <w:rFonts w:hint="eastAsia" w:ascii="仿宋" w:hAnsi="仿宋" w:eastAsia="仿宋" w:cs="仿宋"/>
                <w:b w:val="0"/>
                <w:color w:val="000000"/>
                <w:sz w:val="24"/>
                <w:szCs w:val="24"/>
                <w:highlight w:val="none"/>
                <w:u w:val="single"/>
                <w:lang w:val="en-US" w:eastAsia="zh-CN"/>
              </w:rPr>
              <w:t xml:space="preserve">      年       月       日                                  </w:t>
            </w:r>
          </w:p>
        </w:tc>
      </w:tr>
    </w:tbl>
    <w:p w14:paraId="75B29F71">
      <w:pPr>
        <w:pStyle w:val="3"/>
        <w:adjustRightInd w:val="0"/>
        <w:snapToGrid w:val="0"/>
        <w:spacing w:before="0" w:after="0" w:line="360" w:lineRule="auto"/>
        <w:rPr>
          <w:rFonts w:hint="eastAsia" w:ascii="仿宋" w:hAnsi="仿宋" w:eastAsia="仿宋" w:cs="仿宋"/>
          <w:sz w:val="28"/>
          <w:szCs w:val="28"/>
        </w:rPr>
      </w:pPr>
      <w:r>
        <w:rPr>
          <w:rFonts w:hint="eastAsia" w:ascii="仿宋" w:hAnsi="仿宋" w:eastAsia="仿宋" w:cs="仿宋"/>
          <w:sz w:val="24"/>
          <w:szCs w:val="24"/>
        </w:rPr>
        <w:br w:type="page"/>
      </w:r>
      <w:bookmarkStart w:id="350" w:name="_Toc487"/>
      <w:bookmarkStart w:id="351" w:name="_Toc3556"/>
      <w:bookmarkStart w:id="352" w:name="_Toc28271"/>
      <w:bookmarkStart w:id="353" w:name="_Toc3816"/>
      <w:bookmarkStart w:id="354" w:name="_Toc21474"/>
      <w:r>
        <w:rPr>
          <w:rFonts w:hint="eastAsia" w:ascii="仿宋" w:hAnsi="仿宋" w:eastAsia="仿宋" w:cs="仿宋"/>
          <w:sz w:val="28"/>
          <w:szCs w:val="28"/>
        </w:rPr>
        <w:t>附件4 规格、技术参数偏离</w:t>
      </w:r>
      <w:bookmarkEnd w:id="347"/>
      <w:bookmarkEnd w:id="348"/>
      <w:bookmarkEnd w:id="349"/>
      <w:r>
        <w:rPr>
          <w:rFonts w:hint="eastAsia" w:ascii="仿宋" w:hAnsi="仿宋" w:eastAsia="仿宋" w:cs="仿宋"/>
          <w:sz w:val="28"/>
          <w:szCs w:val="28"/>
        </w:rPr>
        <w:t>表</w:t>
      </w:r>
      <w:bookmarkEnd w:id="350"/>
      <w:bookmarkEnd w:id="351"/>
      <w:bookmarkEnd w:id="352"/>
      <w:bookmarkEnd w:id="353"/>
      <w:bookmarkEnd w:id="354"/>
    </w:p>
    <w:p w14:paraId="36ACB098">
      <w:pPr>
        <w:rPr>
          <w:rFonts w:hint="eastAsia" w:ascii="仿宋" w:hAnsi="仿宋" w:eastAsia="仿宋" w:cs="仿宋"/>
        </w:rPr>
      </w:pPr>
      <w:r>
        <w:rPr>
          <w:rFonts w:hint="eastAsia" w:ascii="仿宋" w:hAnsi="仿宋" w:eastAsia="仿宋" w:cs="仿宋"/>
        </w:rPr>
        <w:t>供应商名称：</w:t>
      </w:r>
      <w:r>
        <w:rPr>
          <w:rFonts w:hint="eastAsia" w:ascii="仿宋" w:hAnsi="仿宋" w:eastAsia="仿宋" w:cs="仿宋"/>
          <w:u w:val="single"/>
        </w:rPr>
        <w:t xml:space="preserve">                       </w:t>
      </w:r>
      <w:r>
        <w:rPr>
          <w:rFonts w:hint="eastAsia" w:ascii="仿宋" w:hAnsi="仿宋" w:eastAsia="仿宋" w:cs="仿宋"/>
        </w:rPr>
        <w:t>项目编号：</w:t>
      </w:r>
      <w:r>
        <w:rPr>
          <w:rFonts w:hint="eastAsia" w:ascii="仿宋" w:hAnsi="仿宋" w:eastAsia="仿宋" w:cs="仿宋"/>
          <w:u w:val="single"/>
        </w:rPr>
        <w:t xml:space="preserve">                 </w:t>
      </w:r>
    </w:p>
    <w:tbl>
      <w:tblPr>
        <w:tblStyle w:val="47"/>
        <w:tblW w:w="4998"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643"/>
        <w:gridCol w:w="2097"/>
        <w:gridCol w:w="1598"/>
        <w:gridCol w:w="1762"/>
        <w:gridCol w:w="1269"/>
        <w:gridCol w:w="1269"/>
      </w:tblGrid>
      <w:tr w14:paraId="152F1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28" w:hRule="atLeast"/>
          <w:jc w:val="center"/>
        </w:trPr>
        <w:tc>
          <w:tcPr>
            <w:tcW w:w="372" w:type="pct"/>
            <w:noWrap w:val="0"/>
            <w:vAlign w:val="center"/>
          </w:tcPr>
          <w:p w14:paraId="102179F1">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序号</w:t>
            </w:r>
          </w:p>
        </w:tc>
        <w:tc>
          <w:tcPr>
            <w:tcW w:w="1213" w:type="pct"/>
            <w:noWrap w:val="0"/>
            <w:vAlign w:val="center"/>
          </w:tcPr>
          <w:p w14:paraId="166FAEEB">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产品名称</w:t>
            </w:r>
          </w:p>
        </w:tc>
        <w:tc>
          <w:tcPr>
            <w:tcW w:w="924" w:type="pct"/>
            <w:noWrap w:val="0"/>
            <w:vAlign w:val="center"/>
          </w:tcPr>
          <w:p w14:paraId="0ADF41BE">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采购需求</w:t>
            </w:r>
          </w:p>
          <w:p w14:paraId="3FC26E26">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技术指标</w:t>
            </w:r>
          </w:p>
        </w:tc>
        <w:tc>
          <w:tcPr>
            <w:tcW w:w="1019" w:type="pct"/>
            <w:noWrap w:val="0"/>
            <w:vAlign w:val="center"/>
          </w:tcPr>
          <w:p w14:paraId="2902620A">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谈判响应</w:t>
            </w:r>
          </w:p>
          <w:p w14:paraId="16F5FAB3">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技术指标</w:t>
            </w:r>
          </w:p>
        </w:tc>
        <w:tc>
          <w:tcPr>
            <w:tcW w:w="734" w:type="pct"/>
            <w:noWrap w:val="0"/>
            <w:vAlign w:val="center"/>
          </w:tcPr>
          <w:p w14:paraId="226B650D">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偏离情况</w:t>
            </w:r>
          </w:p>
        </w:tc>
        <w:tc>
          <w:tcPr>
            <w:tcW w:w="734" w:type="pct"/>
            <w:noWrap w:val="0"/>
            <w:vAlign w:val="center"/>
          </w:tcPr>
          <w:p w14:paraId="670031D6">
            <w:pPr>
              <w:keepNext w:val="0"/>
              <w:keepLines w:val="0"/>
              <w:suppressLineNumbers w:val="0"/>
              <w:spacing w:before="0" w:beforeAutospacing="0" w:after="0" w:afterAutospacing="0"/>
              <w:ind w:left="0" w:right="0"/>
              <w:jc w:val="center"/>
              <w:rPr>
                <w:rFonts w:hint="eastAsia" w:ascii="仿宋" w:hAnsi="仿宋" w:eastAsia="仿宋" w:cs="仿宋"/>
                <w:lang w:val="en-US" w:eastAsia="zh-CN"/>
              </w:rPr>
            </w:pPr>
            <w:r>
              <w:rPr>
                <w:rFonts w:hint="eastAsia" w:ascii="仿宋" w:hAnsi="仿宋" w:eastAsia="仿宋" w:cs="仿宋"/>
                <w:lang w:val="en-US" w:eastAsia="zh-CN"/>
              </w:rPr>
              <w:t>页码</w:t>
            </w:r>
          </w:p>
        </w:tc>
      </w:tr>
      <w:tr w14:paraId="31ADE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372" w:type="pct"/>
            <w:noWrap w:val="0"/>
            <w:vAlign w:val="top"/>
          </w:tcPr>
          <w:p w14:paraId="5E03E551">
            <w:pPr>
              <w:keepNext w:val="0"/>
              <w:keepLines w:val="0"/>
              <w:suppressLineNumbers w:val="0"/>
              <w:spacing w:before="0" w:beforeAutospacing="0" w:after="0" w:afterAutospacing="0"/>
              <w:ind w:left="0" w:right="0"/>
              <w:jc w:val="center"/>
              <w:rPr>
                <w:rFonts w:hint="eastAsia" w:ascii="仿宋" w:hAnsi="仿宋" w:eastAsia="仿宋" w:cs="仿宋"/>
              </w:rPr>
            </w:pPr>
          </w:p>
        </w:tc>
        <w:tc>
          <w:tcPr>
            <w:tcW w:w="1213" w:type="pct"/>
            <w:noWrap w:val="0"/>
            <w:vAlign w:val="top"/>
          </w:tcPr>
          <w:p w14:paraId="10576DE4">
            <w:pPr>
              <w:keepNext w:val="0"/>
              <w:keepLines w:val="0"/>
              <w:suppressLineNumbers w:val="0"/>
              <w:spacing w:before="0" w:beforeAutospacing="0" w:after="0" w:afterAutospacing="0"/>
              <w:ind w:left="0" w:right="0"/>
              <w:jc w:val="center"/>
              <w:rPr>
                <w:rFonts w:hint="eastAsia" w:ascii="仿宋" w:hAnsi="仿宋" w:eastAsia="仿宋" w:cs="仿宋"/>
              </w:rPr>
            </w:pPr>
          </w:p>
        </w:tc>
        <w:tc>
          <w:tcPr>
            <w:tcW w:w="924" w:type="pct"/>
            <w:noWrap w:val="0"/>
            <w:vAlign w:val="center"/>
          </w:tcPr>
          <w:p w14:paraId="5053CA90">
            <w:pPr>
              <w:keepNext w:val="0"/>
              <w:keepLines w:val="0"/>
              <w:suppressLineNumbers w:val="0"/>
              <w:spacing w:before="0" w:beforeAutospacing="0" w:after="0" w:afterAutospacing="0"/>
              <w:ind w:left="0" w:right="0"/>
              <w:jc w:val="center"/>
              <w:rPr>
                <w:rFonts w:hint="eastAsia" w:ascii="仿宋" w:hAnsi="仿宋" w:eastAsia="仿宋" w:cs="仿宋"/>
              </w:rPr>
            </w:pPr>
          </w:p>
        </w:tc>
        <w:tc>
          <w:tcPr>
            <w:tcW w:w="1019" w:type="pct"/>
            <w:noWrap w:val="0"/>
            <w:vAlign w:val="center"/>
          </w:tcPr>
          <w:p w14:paraId="4C30F9B7">
            <w:pPr>
              <w:keepNext w:val="0"/>
              <w:keepLines w:val="0"/>
              <w:suppressLineNumbers w:val="0"/>
              <w:spacing w:before="0" w:beforeAutospacing="0" w:after="0" w:afterAutospacing="0"/>
              <w:ind w:left="0" w:right="0"/>
              <w:jc w:val="center"/>
              <w:rPr>
                <w:rFonts w:hint="eastAsia" w:ascii="仿宋" w:hAnsi="仿宋" w:eastAsia="仿宋" w:cs="仿宋"/>
              </w:rPr>
            </w:pPr>
          </w:p>
        </w:tc>
        <w:tc>
          <w:tcPr>
            <w:tcW w:w="734" w:type="pct"/>
            <w:noWrap w:val="0"/>
            <w:vAlign w:val="center"/>
          </w:tcPr>
          <w:p w14:paraId="521CB4FA">
            <w:pPr>
              <w:keepNext w:val="0"/>
              <w:keepLines w:val="0"/>
              <w:suppressLineNumbers w:val="0"/>
              <w:spacing w:before="0" w:beforeAutospacing="0" w:after="0" w:afterAutospacing="0"/>
              <w:ind w:left="0" w:right="0"/>
              <w:jc w:val="center"/>
              <w:rPr>
                <w:rFonts w:hint="eastAsia" w:ascii="仿宋" w:hAnsi="仿宋" w:eastAsia="仿宋" w:cs="仿宋"/>
                <w:highlight w:val="green"/>
              </w:rPr>
            </w:pPr>
          </w:p>
        </w:tc>
        <w:tc>
          <w:tcPr>
            <w:tcW w:w="734" w:type="pct"/>
            <w:noWrap w:val="0"/>
            <w:vAlign w:val="center"/>
          </w:tcPr>
          <w:p w14:paraId="6CB9110E">
            <w:pPr>
              <w:keepNext w:val="0"/>
              <w:keepLines w:val="0"/>
              <w:suppressLineNumbers w:val="0"/>
              <w:spacing w:before="0" w:beforeAutospacing="0" w:after="0" w:afterAutospacing="0"/>
              <w:ind w:left="0" w:right="0"/>
              <w:jc w:val="center"/>
              <w:rPr>
                <w:rFonts w:hint="eastAsia" w:ascii="仿宋" w:hAnsi="仿宋" w:eastAsia="仿宋" w:cs="仿宋"/>
                <w:highlight w:val="green"/>
              </w:rPr>
            </w:pPr>
          </w:p>
        </w:tc>
      </w:tr>
      <w:tr w14:paraId="3686A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372" w:type="pct"/>
            <w:noWrap w:val="0"/>
            <w:vAlign w:val="top"/>
          </w:tcPr>
          <w:p w14:paraId="33E88284">
            <w:pPr>
              <w:keepNext w:val="0"/>
              <w:keepLines w:val="0"/>
              <w:suppressLineNumbers w:val="0"/>
              <w:spacing w:before="0" w:beforeAutospacing="0" w:after="0" w:afterAutospacing="0"/>
              <w:ind w:left="0" w:right="0"/>
              <w:jc w:val="center"/>
              <w:rPr>
                <w:rFonts w:hint="eastAsia" w:ascii="仿宋" w:hAnsi="仿宋" w:eastAsia="仿宋" w:cs="仿宋"/>
              </w:rPr>
            </w:pPr>
          </w:p>
        </w:tc>
        <w:tc>
          <w:tcPr>
            <w:tcW w:w="1213" w:type="pct"/>
            <w:noWrap w:val="0"/>
            <w:vAlign w:val="top"/>
          </w:tcPr>
          <w:p w14:paraId="309BADDF">
            <w:pPr>
              <w:keepNext w:val="0"/>
              <w:keepLines w:val="0"/>
              <w:suppressLineNumbers w:val="0"/>
              <w:spacing w:before="0" w:beforeAutospacing="0" w:after="0" w:afterAutospacing="0"/>
              <w:ind w:left="0" w:right="0"/>
              <w:jc w:val="center"/>
              <w:rPr>
                <w:rFonts w:hint="eastAsia" w:ascii="仿宋" w:hAnsi="仿宋" w:eastAsia="仿宋" w:cs="仿宋"/>
              </w:rPr>
            </w:pPr>
          </w:p>
        </w:tc>
        <w:tc>
          <w:tcPr>
            <w:tcW w:w="924" w:type="pct"/>
            <w:noWrap w:val="0"/>
            <w:vAlign w:val="center"/>
          </w:tcPr>
          <w:p w14:paraId="596D37A5">
            <w:pPr>
              <w:keepNext w:val="0"/>
              <w:keepLines w:val="0"/>
              <w:suppressLineNumbers w:val="0"/>
              <w:spacing w:before="0" w:beforeAutospacing="0" w:after="0" w:afterAutospacing="0"/>
              <w:ind w:left="0" w:right="0"/>
              <w:jc w:val="center"/>
              <w:rPr>
                <w:rFonts w:hint="eastAsia" w:ascii="仿宋" w:hAnsi="仿宋" w:eastAsia="仿宋" w:cs="仿宋"/>
              </w:rPr>
            </w:pPr>
          </w:p>
        </w:tc>
        <w:tc>
          <w:tcPr>
            <w:tcW w:w="1019" w:type="pct"/>
            <w:noWrap w:val="0"/>
            <w:vAlign w:val="center"/>
          </w:tcPr>
          <w:p w14:paraId="394C3AE9">
            <w:pPr>
              <w:keepNext w:val="0"/>
              <w:keepLines w:val="0"/>
              <w:suppressLineNumbers w:val="0"/>
              <w:spacing w:before="0" w:beforeAutospacing="0" w:after="0" w:afterAutospacing="0"/>
              <w:ind w:left="0" w:right="0"/>
              <w:jc w:val="center"/>
              <w:rPr>
                <w:rFonts w:hint="eastAsia" w:ascii="仿宋" w:hAnsi="仿宋" w:eastAsia="仿宋" w:cs="仿宋"/>
              </w:rPr>
            </w:pPr>
          </w:p>
        </w:tc>
        <w:tc>
          <w:tcPr>
            <w:tcW w:w="734" w:type="pct"/>
            <w:noWrap w:val="0"/>
            <w:vAlign w:val="center"/>
          </w:tcPr>
          <w:p w14:paraId="7DF00EC9">
            <w:pPr>
              <w:keepNext w:val="0"/>
              <w:keepLines w:val="0"/>
              <w:suppressLineNumbers w:val="0"/>
              <w:spacing w:before="0" w:beforeAutospacing="0" w:after="0" w:afterAutospacing="0"/>
              <w:ind w:left="0" w:right="0"/>
              <w:jc w:val="center"/>
              <w:rPr>
                <w:rFonts w:hint="eastAsia" w:ascii="仿宋" w:hAnsi="仿宋" w:eastAsia="仿宋" w:cs="仿宋"/>
                <w:highlight w:val="green"/>
              </w:rPr>
            </w:pPr>
          </w:p>
        </w:tc>
        <w:tc>
          <w:tcPr>
            <w:tcW w:w="734" w:type="pct"/>
            <w:noWrap w:val="0"/>
            <w:vAlign w:val="center"/>
          </w:tcPr>
          <w:p w14:paraId="0179C7FC">
            <w:pPr>
              <w:keepNext w:val="0"/>
              <w:keepLines w:val="0"/>
              <w:suppressLineNumbers w:val="0"/>
              <w:spacing w:before="0" w:beforeAutospacing="0" w:after="0" w:afterAutospacing="0"/>
              <w:ind w:left="0" w:right="0"/>
              <w:jc w:val="center"/>
              <w:rPr>
                <w:rFonts w:hint="eastAsia" w:ascii="仿宋" w:hAnsi="仿宋" w:eastAsia="仿宋" w:cs="仿宋"/>
                <w:highlight w:val="green"/>
              </w:rPr>
            </w:pPr>
          </w:p>
        </w:tc>
      </w:tr>
      <w:tr w14:paraId="5A96F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372" w:type="pct"/>
            <w:noWrap w:val="0"/>
            <w:vAlign w:val="top"/>
          </w:tcPr>
          <w:p w14:paraId="5125B1A2">
            <w:pPr>
              <w:keepNext w:val="0"/>
              <w:keepLines w:val="0"/>
              <w:suppressLineNumbers w:val="0"/>
              <w:spacing w:before="0" w:beforeAutospacing="0" w:after="0" w:afterAutospacing="0"/>
              <w:ind w:left="0" w:right="0"/>
              <w:jc w:val="center"/>
              <w:rPr>
                <w:rFonts w:hint="eastAsia" w:ascii="仿宋" w:hAnsi="仿宋" w:eastAsia="仿宋" w:cs="仿宋"/>
              </w:rPr>
            </w:pPr>
          </w:p>
        </w:tc>
        <w:tc>
          <w:tcPr>
            <w:tcW w:w="1213" w:type="pct"/>
            <w:noWrap w:val="0"/>
            <w:vAlign w:val="top"/>
          </w:tcPr>
          <w:p w14:paraId="3A41193C">
            <w:pPr>
              <w:keepNext w:val="0"/>
              <w:keepLines w:val="0"/>
              <w:suppressLineNumbers w:val="0"/>
              <w:spacing w:before="0" w:beforeAutospacing="0" w:after="0" w:afterAutospacing="0"/>
              <w:ind w:left="0" w:right="0"/>
              <w:jc w:val="center"/>
              <w:rPr>
                <w:rFonts w:hint="eastAsia" w:ascii="仿宋" w:hAnsi="仿宋" w:eastAsia="仿宋" w:cs="仿宋"/>
              </w:rPr>
            </w:pPr>
          </w:p>
        </w:tc>
        <w:tc>
          <w:tcPr>
            <w:tcW w:w="924" w:type="pct"/>
            <w:noWrap w:val="0"/>
            <w:vAlign w:val="center"/>
          </w:tcPr>
          <w:p w14:paraId="359D8BF2">
            <w:pPr>
              <w:keepNext w:val="0"/>
              <w:keepLines w:val="0"/>
              <w:suppressLineNumbers w:val="0"/>
              <w:spacing w:before="0" w:beforeAutospacing="0" w:after="0" w:afterAutospacing="0"/>
              <w:ind w:left="0" w:right="0"/>
              <w:jc w:val="center"/>
              <w:rPr>
                <w:rFonts w:hint="eastAsia" w:ascii="仿宋" w:hAnsi="仿宋" w:eastAsia="仿宋" w:cs="仿宋"/>
              </w:rPr>
            </w:pPr>
          </w:p>
        </w:tc>
        <w:tc>
          <w:tcPr>
            <w:tcW w:w="1019" w:type="pct"/>
            <w:noWrap w:val="0"/>
            <w:vAlign w:val="center"/>
          </w:tcPr>
          <w:p w14:paraId="0D0D6B7A">
            <w:pPr>
              <w:keepNext w:val="0"/>
              <w:keepLines w:val="0"/>
              <w:suppressLineNumbers w:val="0"/>
              <w:spacing w:before="0" w:beforeAutospacing="0" w:after="0" w:afterAutospacing="0"/>
              <w:ind w:left="0" w:right="0"/>
              <w:jc w:val="center"/>
              <w:rPr>
                <w:rFonts w:hint="eastAsia" w:ascii="仿宋" w:hAnsi="仿宋" w:eastAsia="仿宋" w:cs="仿宋"/>
              </w:rPr>
            </w:pPr>
          </w:p>
        </w:tc>
        <w:tc>
          <w:tcPr>
            <w:tcW w:w="734" w:type="pct"/>
            <w:noWrap w:val="0"/>
            <w:vAlign w:val="center"/>
          </w:tcPr>
          <w:p w14:paraId="682C80F8">
            <w:pPr>
              <w:keepNext w:val="0"/>
              <w:keepLines w:val="0"/>
              <w:suppressLineNumbers w:val="0"/>
              <w:spacing w:before="0" w:beforeAutospacing="0" w:after="0" w:afterAutospacing="0"/>
              <w:ind w:left="0" w:right="0"/>
              <w:jc w:val="center"/>
              <w:rPr>
                <w:rFonts w:hint="eastAsia" w:ascii="仿宋" w:hAnsi="仿宋" w:eastAsia="仿宋" w:cs="仿宋"/>
                <w:highlight w:val="green"/>
              </w:rPr>
            </w:pPr>
          </w:p>
        </w:tc>
        <w:tc>
          <w:tcPr>
            <w:tcW w:w="734" w:type="pct"/>
            <w:noWrap w:val="0"/>
            <w:vAlign w:val="center"/>
          </w:tcPr>
          <w:p w14:paraId="2BA522CA">
            <w:pPr>
              <w:keepNext w:val="0"/>
              <w:keepLines w:val="0"/>
              <w:suppressLineNumbers w:val="0"/>
              <w:spacing w:before="0" w:beforeAutospacing="0" w:after="0" w:afterAutospacing="0"/>
              <w:ind w:left="0" w:right="0"/>
              <w:jc w:val="center"/>
              <w:rPr>
                <w:rFonts w:hint="eastAsia" w:ascii="仿宋" w:hAnsi="仿宋" w:eastAsia="仿宋" w:cs="仿宋"/>
                <w:highlight w:val="green"/>
              </w:rPr>
            </w:pPr>
          </w:p>
        </w:tc>
      </w:tr>
      <w:tr w14:paraId="03CDF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372" w:type="pct"/>
            <w:noWrap w:val="0"/>
            <w:vAlign w:val="top"/>
          </w:tcPr>
          <w:p w14:paraId="2B015320">
            <w:pPr>
              <w:keepNext w:val="0"/>
              <w:keepLines w:val="0"/>
              <w:suppressLineNumbers w:val="0"/>
              <w:spacing w:before="0" w:beforeAutospacing="0" w:after="0" w:afterAutospacing="0"/>
              <w:ind w:left="0" w:right="0"/>
              <w:jc w:val="center"/>
              <w:rPr>
                <w:rFonts w:hint="eastAsia" w:ascii="仿宋" w:hAnsi="仿宋" w:eastAsia="仿宋" w:cs="仿宋"/>
              </w:rPr>
            </w:pPr>
          </w:p>
        </w:tc>
        <w:tc>
          <w:tcPr>
            <w:tcW w:w="1213" w:type="pct"/>
            <w:noWrap w:val="0"/>
            <w:vAlign w:val="top"/>
          </w:tcPr>
          <w:p w14:paraId="0765BCBB">
            <w:pPr>
              <w:keepNext w:val="0"/>
              <w:keepLines w:val="0"/>
              <w:suppressLineNumbers w:val="0"/>
              <w:spacing w:before="0" w:beforeAutospacing="0" w:after="0" w:afterAutospacing="0"/>
              <w:ind w:left="0" w:right="0"/>
              <w:jc w:val="center"/>
              <w:rPr>
                <w:rFonts w:hint="eastAsia" w:ascii="仿宋" w:hAnsi="仿宋" w:eastAsia="仿宋" w:cs="仿宋"/>
              </w:rPr>
            </w:pPr>
          </w:p>
        </w:tc>
        <w:tc>
          <w:tcPr>
            <w:tcW w:w="924" w:type="pct"/>
            <w:noWrap w:val="0"/>
            <w:vAlign w:val="center"/>
          </w:tcPr>
          <w:p w14:paraId="02231573">
            <w:pPr>
              <w:keepNext w:val="0"/>
              <w:keepLines w:val="0"/>
              <w:suppressLineNumbers w:val="0"/>
              <w:spacing w:before="0" w:beforeAutospacing="0" w:after="0" w:afterAutospacing="0"/>
              <w:ind w:left="0" w:right="0"/>
              <w:jc w:val="center"/>
              <w:rPr>
                <w:rFonts w:hint="eastAsia" w:ascii="仿宋" w:hAnsi="仿宋" w:eastAsia="仿宋" w:cs="仿宋"/>
              </w:rPr>
            </w:pPr>
          </w:p>
        </w:tc>
        <w:tc>
          <w:tcPr>
            <w:tcW w:w="1019" w:type="pct"/>
            <w:noWrap w:val="0"/>
            <w:vAlign w:val="center"/>
          </w:tcPr>
          <w:p w14:paraId="37FC5935">
            <w:pPr>
              <w:keepNext w:val="0"/>
              <w:keepLines w:val="0"/>
              <w:suppressLineNumbers w:val="0"/>
              <w:spacing w:before="0" w:beforeAutospacing="0" w:after="0" w:afterAutospacing="0"/>
              <w:ind w:left="0" w:right="0"/>
              <w:jc w:val="center"/>
              <w:rPr>
                <w:rFonts w:hint="eastAsia" w:ascii="仿宋" w:hAnsi="仿宋" w:eastAsia="仿宋" w:cs="仿宋"/>
              </w:rPr>
            </w:pPr>
          </w:p>
        </w:tc>
        <w:tc>
          <w:tcPr>
            <w:tcW w:w="734" w:type="pct"/>
            <w:noWrap w:val="0"/>
            <w:vAlign w:val="center"/>
          </w:tcPr>
          <w:p w14:paraId="20FC360F">
            <w:pPr>
              <w:keepNext w:val="0"/>
              <w:keepLines w:val="0"/>
              <w:suppressLineNumbers w:val="0"/>
              <w:spacing w:before="0" w:beforeAutospacing="0" w:after="0" w:afterAutospacing="0"/>
              <w:ind w:left="0" w:right="0"/>
              <w:jc w:val="center"/>
              <w:rPr>
                <w:rFonts w:hint="eastAsia" w:ascii="仿宋" w:hAnsi="仿宋" w:eastAsia="仿宋" w:cs="仿宋"/>
                <w:highlight w:val="green"/>
              </w:rPr>
            </w:pPr>
          </w:p>
        </w:tc>
        <w:tc>
          <w:tcPr>
            <w:tcW w:w="734" w:type="pct"/>
            <w:noWrap w:val="0"/>
            <w:vAlign w:val="center"/>
          </w:tcPr>
          <w:p w14:paraId="4AC60C5E">
            <w:pPr>
              <w:keepNext w:val="0"/>
              <w:keepLines w:val="0"/>
              <w:suppressLineNumbers w:val="0"/>
              <w:spacing w:before="0" w:beforeAutospacing="0" w:after="0" w:afterAutospacing="0"/>
              <w:ind w:left="0" w:right="0"/>
              <w:jc w:val="center"/>
              <w:rPr>
                <w:rFonts w:hint="eastAsia" w:ascii="仿宋" w:hAnsi="仿宋" w:eastAsia="仿宋" w:cs="仿宋"/>
                <w:highlight w:val="green"/>
              </w:rPr>
            </w:pPr>
          </w:p>
        </w:tc>
      </w:tr>
      <w:tr w14:paraId="3D33C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372" w:type="pct"/>
            <w:noWrap w:val="0"/>
            <w:vAlign w:val="top"/>
          </w:tcPr>
          <w:p w14:paraId="51FC5289">
            <w:pPr>
              <w:keepNext w:val="0"/>
              <w:keepLines w:val="0"/>
              <w:suppressLineNumbers w:val="0"/>
              <w:spacing w:before="0" w:beforeAutospacing="0" w:after="0" w:afterAutospacing="0"/>
              <w:ind w:left="0" w:right="0"/>
              <w:jc w:val="center"/>
              <w:rPr>
                <w:rFonts w:hint="eastAsia" w:ascii="仿宋" w:hAnsi="仿宋" w:eastAsia="仿宋" w:cs="仿宋"/>
              </w:rPr>
            </w:pPr>
          </w:p>
        </w:tc>
        <w:tc>
          <w:tcPr>
            <w:tcW w:w="1213" w:type="pct"/>
            <w:noWrap w:val="0"/>
            <w:vAlign w:val="top"/>
          </w:tcPr>
          <w:p w14:paraId="06600A66">
            <w:pPr>
              <w:keepNext w:val="0"/>
              <w:keepLines w:val="0"/>
              <w:suppressLineNumbers w:val="0"/>
              <w:spacing w:before="0" w:beforeAutospacing="0" w:after="0" w:afterAutospacing="0"/>
              <w:ind w:left="0" w:right="0"/>
              <w:jc w:val="center"/>
              <w:rPr>
                <w:rFonts w:hint="eastAsia" w:ascii="仿宋" w:hAnsi="仿宋" w:eastAsia="仿宋" w:cs="仿宋"/>
              </w:rPr>
            </w:pPr>
          </w:p>
        </w:tc>
        <w:tc>
          <w:tcPr>
            <w:tcW w:w="924" w:type="pct"/>
            <w:noWrap w:val="0"/>
            <w:vAlign w:val="center"/>
          </w:tcPr>
          <w:p w14:paraId="3675DC68">
            <w:pPr>
              <w:keepNext w:val="0"/>
              <w:keepLines w:val="0"/>
              <w:suppressLineNumbers w:val="0"/>
              <w:spacing w:before="0" w:beforeAutospacing="0" w:after="0" w:afterAutospacing="0"/>
              <w:ind w:left="0" w:right="0"/>
              <w:jc w:val="center"/>
              <w:rPr>
                <w:rFonts w:hint="eastAsia" w:ascii="仿宋" w:hAnsi="仿宋" w:eastAsia="仿宋" w:cs="仿宋"/>
              </w:rPr>
            </w:pPr>
          </w:p>
        </w:tc>
        <w:tc>
          <w:tcPr>
            <w:tcW w:w="1019" w:type="pct"/>
            <w:noWrap w:val="0"/>
            <w:vAlign w:val="center"/>
          </w:tcPr>
          <w:p w14:paraId="17B15A15">
            <w:pPr>
              <w:keepNext w:val="0"/>
              <w:keepLines w:val="0"/>
              <w:suppressLineNumbers w:val="0"/>
              <w:spacing w:before="0" w:beforeAutospacing="0" w:after="0" w:afterAutospacing="0"/>
              <w:ind w:left="0" w:right="0"/>
              <w:jc w:val="center"/>
              <w:rPr>
                <w:rFonts w:hint="eastAsia" w:ascii="仿宋" w:hAnsi="仿宋" w:eastAsia="仿宋" w:cs="仿宋"/>
              </w:rPr>
            </w:pPr>
          </w:p>
        </w:tc>
        <w:tc>
          <w:tcPr>
            <w:tcW w:w="734" w:type="pct"/>
            <w:noWrap w:val="0"/>
            <w:vAlign w:val="center"/>
          </w:tcPr>
          <w:p w14:paraId="0424C563">
            <w:pPr>
              <w:keepNext w:val="0"/>
              <w:keepLines w:val="0"/>
              <w:suppressLineNumbers w:val="0"/>
              <w:spacing w:before="0" w:beforeAutospacing="0" w:after="0" w:afterAutospacing="0"/>
              <w:ind w:left="0" w:right="0"/>
              <w:jc w:val="center"/>
              <w:rPr>
                <w:rFonts w:hint="eastAsia" w:ascii="仿宋" w:hAnsi="仿宋" w:eastAsia="仿宋" w:cs="仿宋"/>
                <w:highlight w:val="green"/>
              </w:rPr>
            </w:pPr>
          </w:p>
        </w:tc>
        <w:tc>
          <w:tcPr>
            <w:tcW w:w="734" w:type="pct"/>
            <w:noWrap w:val="0"/>
            <w:vAlign w:val="center"/>
          </w:tcPr>
          <w:p w14:paraId="3432CE77">
            <w:pPr>
              <w:keepNext w:val="0"/>
              <w:keepLines w:val="0"/>
              <w:suppressLineNumbers w:val="0"/>
              <w:spacing w:before="0" w:beforeAutospacing="0" w:after="0" w:afterAutospacing="0"/>
              <w:ind w:left="0" w:right="0"/>
              <w:jc w:val="center"/>
              <w:rPr>
                <w:rFonts w:hint="eastAsia" w:ascii="仿宋" w:hAnsi="仿宋" w:eastAsia="仿宋" w:cs="仿宋"/>
                <w:highlight w:val="green"/>
              </w:rPr>
            </w:pPr>
          </w:p>
        </w:tc>
      </w:tr>
      <w:tr w14:paraId="596C9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372" w:type="pct"/>
            <w:noWrap w:val="0"/>
            <w:vAlign w:val="top"/>
          </w:tcPr>
          <w:p w14:paraId="01632596">
            <w:pPr>
              <w:keepNext w:val="0"/>
              <w:keepLines w:val="0"/>
              <w:suppressLineNumbers w:val="0"/>
              <w:spacing w:before="0" w:beforeAutospacing="0" w:after="0" w:afterAutospacing="0"/>
              <w:ind w:left="0" w:right="0"/>
              <w:jc w:val="center"/>
              <w:rPr>
                <w:rFonts w:hint="eastAsia" w:ascii="仿宋" w:hAnsi="仿宋" w:eastAsia="仿宋" w:cs="仿宋"/>
              </w:rPr>
            </w:pPr>
          </w:p>
        </w:tc>
        <w:tc>
          <w:tcPr>
            <w:tcW w:w="1213" w:type="pct"/>
            <w:noWrap w:val="0"/>
            <w:vAlign w:val="top"/>
          </w:tcPr>
          <w:p w14:paraId="115F7D76">
            <w:pPr>
              <w:keepNext w:val="0"/>
              <w:keepLines w:val="0"/>
              <w:suppressLineNumbers w:val="0"/>
              <w:spacing w:before="0" w:beforeAutospacing="0" w:after="0" w:afterAutospacing="0"/>
              <w:ind w:left="0" w:right="0"/>
              <w:jc w:val="center"/>
              <w:rPr>
                <w:rFonts w:hint="eastAsia" w:ascii="仿宋" w:hAnsi="仿宋" w:eastAsia="仿宋" w:cs="仿宋"/>
              </w:rPr>
            </w:pPr>
          </w:p>
        </w:tc>
        <w:tc>
          <w:tcPr>
            <w:tcW w:w="924" w:type="pct"/>
            <w:noWrap w:val="0"/>
            <w:vAlign w:val="center"/>
          </w:tcPr>
          <w:p w14:paraId="3ED16172">
            <w:pPr>
              <w:keepNext w:val="0"/>
              <w:keepLines w:val="0"/>
              <w:suppressLineNumbers w:val="0"/>
              <w:spacing w:before="0" w:beforeAutospacing="0" w:after="0" w:afterAutospacing="0"/>
              <w:ind w:left="0" w:right="0"/>
              <w:jc w:val="center"/>
              <w:rPr>
                <w:rFonts w:hint="eastAsia" w:ascii="仿宋" w:hAnsi="仿宋" w:eastAsia="仿宋" w:cs="仿宋"/>
              </w:rPr>
            </w:pPr>
          </w:p>
        </w:tc>
        <w:tc>
          <w:tcPr>
            <w:tcW w:w="1019" w:type="pct"/>
            <w:noWrap w:val="0"/>
            <w:vAlign w:val="center"/>
          </w:tcPr>
          <w:p w14:paraId="6B6543C9">
            <w:pPr>
              <w:keepNext w:val="0"/>
              <w:keepLines w:val="0"/>
              <w:suppressLineNumbers w:val="0"/>
              <w:spacing w:before="0" w:beforeAutospacing="0" w:after="0" w:afterAutospacing="0"/>
              <w:ind w:left="0" w:right="0"/>
              <w:jc w:val="center"/>
              <w:rPr>
                <w:rFonts w:hint="eastAsia" w:ascii="仿宋" w:hAnsi="仿宋" w:eastAsia="仿宋" w:cs="仿宋"/>
              </w:rPr>
            </w:pPr>
          </w:p>
        </w:tc>
        <w:tc>
          <w:tcPr>
            <w:tcW w:w="734" w:type="pct"/>
            <w:noWrap w:val="0"/>
            <w:vAlign w:val="center"/>
          </w:tcPr>
          <w:p w14:paraId="5AA8930F">
            <w:pPr>
              <w:keepNext w:val="0"/>
              <w:keepLines w:val="0"/>
              <w:suppressLineNumbers w:val="0"/>
              <w:spacing w:before="0" w:beforeAutospacing="0" w:after="0" w:afterAutospacing="0"/>
              <w:ind w:left="0" w:right="0"/>
              <w:jc w:val="center"/>
              <w:rPr>
                <w:rFonts w:hint="eastAsia" w:ascii="仿宋" w:hAnsi="仿宋" w:eastAsia="仿宋" w:cs="仿宋"/>
                <w:highlight w:val="green"/>
              </w:rPr>
            </w:pPr>
          </w:p>
        </w:tc>
        <w:tc>
          <w:tcPr>
            <w:tcW w:w="734" w:type="pct"/>
            <w:noWrap w:val="0"/>
            <w:vAlign w:val="center"/>
          </w:tcPr>
          <w:p w14:paraId="4D52B245">
            <w:pPr>
              <w:keepNext w:val="0"/>
              <w:keepLines w:val="0"/>
              <w:suppressLineNumbers w:val="0"/>
              <w:spacing w:before="0" w:beforeAutospacing="0" w:after="0" w:afterAutospacing="0"/>
              <w:ind w:left="0" w:right="0"/>
              <w:jc w:val="center"/>
              <w:rPr>
                <w:rFonts w:hint="eastAsia" w:ascii="仿宋" w:hAnsi="仿宋" w:eastAsia="仿宋" w:cs="仿宋"/>
                <w:highlight w:val="green"/>
              </w:rPr>
            </w:pPr>
          </w:p>
        </w:tc>
      </w:tr>
    </w:tbl>
    <w:p w14:paraId="16F4402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highlight w:val="none"/>
          <w:lang w:val="en-US" w:eastAsia="zh-CN"/>
        </w:rPr>
      </w:pPr>
      <w:bookmarkStart w:id="355" w:name="_Toc332874433"/>
      <w:bookmarkStart w:id="356" w:name="_Toc311415662"/>
      <w:bookmarkStart w:id="357" w:name="_Toc283240501"/>
      <w:r>
        <w:rPr>
          <w:rFonts w:hint="eastAsia" w:ascii="仿宋" w:hAnsi="仿宋" w:eastAsia="仿宋" w:cs="仿宋"/>
          <w:sz w:val="24"/>
        </w:rPr>
        <w:t>注：</w:t>
      </w:r>
      <w:r>
        <w:rPr>
          <w:rFonts w:hint="eastAsia" w:ascii="仿宋_GB2312" w:hAnsi="仿宋_GB2312" w:eastAsia="仿宋_GB2312" w:cs="仿宋_GB2312"/>
          <w:sz w:val="24"/>
          <w:highlight w:val="none"/>
        </w:rPr>
        <w:t>1、所有技术条款须列明偏离情况。对于有偏离的必须具体指出技术指标项目，无偏离条款须填写“无偏离”。</w:t>
      </w:r>
    </w:p>
    <w:p w14:paraId="561CF1C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2、</w:t>
      </w:r>
      <w:r>
        <w:rPr>
          <w:rFonts w:hint="eastAsia" w:ascii="仿宋_GB2312" w:hAnsi="仿宋_GB2312" w:eastAsia="仿宋_GB2312" w:cs="仿宋_GB2312"/>
          <w:sz w:val="24"/>
          <w:highlight w:val="none"/>
          <w:u w:val="thick"/>
          <w:lang w:val="en-US" w:eastAsia="zh-CN"/>
        </w:rPr>
        <w:t>★项</w:t>
      </w:r>
      <w:r>
        <w:rPr>
          <w:rFonts w:hint="eastAsia" w:ascii="仿宋" w:hAnsi="仿宋" w:eastAsia="仿宋" w:cs="仿宋"/>
          <w:b/>
          <w:bCs/>
          <w:sz w:val="24"/>
          <w:highlight w:val="none"/>
          <w:u w:val="thick"/>
          <w:lang w:val="en-US" w:eastAsia="zh-CN"/>
        </w:rPr>
        <w:t>参数</w:t>
      </w:r>
      <w:r>
        <w:rPr>
          <w:rFonts w:hint="eastAsia" w:ascii="仿宋" w:hAnsi="仿宋" w:eastAsia="仿宋" w:cs="仿宋"/>
          <w:b/>
          <w:bCs/>
          <w:sz w:val="24"/>
          <w:highlight w:val="none"/>
          <w:u w:val="thick"/>
        </w:rPr>
        <w:t>提供技术支持资料</w:t>
      </w:r>
      <w:r>
        <w:rPr>
          <w:rFonts w:hint="eastAsia" w:ascii="仿宋" w:hAnsi="仿宋" w:eastAsia="仿宋" w:cs="仿宋"/>
          <w:b/>
          <w:bCs/>
          <w:sz w:val="24"/>
          <w:highlight w:val="none"/>
          <w:u w:val="thick"/>
          <w:lang w:val="en-US" w:eastAsia="zh-CN"/>
        </w:rPr>
        <w:t>的应</w:t>
      </w:r>
      <w:r>
        <w:rPr>
          <w:rFonts w:hint="eastAsia" w:ascii="仿宋" w:hAnsi="仿宋" w:eastAsia="仿宋" w:cs="仿宋"/>
          <w:b/>
          <w:bCs/>
          <w:sz w:val="24"/>
          <w:highlight w:val="none"/>
          <w:u w:val="thick"/>
        </w:rPr>
        <w:t>列明页码范围</w:t>
      </w:r>
      <w:r>
        <w:rPr>
          <w:rFonts w:hint="eastAsia" w:ascii="仿宋" w:hAnsi="仿宋" w:eastAsia="仿宋" w:cs="仿宋"/>
          <w:b/>
          <w:bCs/>
          <w:sz w:val="24"/>
          <w:highlight w:val="none"/>
          <w:lang w:val="en-US" w:eastAsia="zh-CN"/>
        </w:rPr>
        <w:t>[证明</w:t>
      </w:r>
      <w:r>
        <w:rPr>
          <w:rFonts w:hint="eastAsia" w:ascii="仿宋" w:hAnsi="仿宋" w:eastAsia="仿宋" w:cs="仿宋"/>
          <w:b/>
          <w:bCs/>
          <w:sz w:val="24"/>
          <w:highlight w:val="none"/>
        </w:rPr>
        <w:t>资料</w:t>
      </w:r>
      <w:r>
        <w:rPr>
          <w:rFonts w:hint="eastAsia" w:ascii="仿宋" w:hAnsi="仿宋" w:eastAsia="仿宋" w:cs="仿宋"/>
          <w:b/>
          <w:bCs/>
          <w:sz w:val="24"/>
          <w:highlight w:val="none"/>
          <w:lang w:val="en-US" w:eastAsia="zh-CN"/>
        </w:rPr>
        <w:t>接受</w:t>
      </w:r>
      <w:r>
        <w:rPr>
          <w:rFonts w:hint="eastAsia" w:ascii="仿宋" w:hAnsi="仿宋" w:eastAsia="仿宋" w:cs="仿宋"/>
          <w:b/>
          <w:bCs/>
          <w:spacing w:val="9"/>
          <w:sz w:val="24"/>
          <w:szCs w:val="24"/>
          <w:lang w:val="en-US" w:eastAsia="zh-CN"/>
        </w:rPr>
        <w:t>检测报告、官网截图（官网截图需显示网站信息）、产品彩页（产品彩页为公开印刷出版且能体现厂家信息</w:t>
      </w:r>
      <w:r>
        <w:rPr>
          <w:rFonts w:hint="eastAsia" w:ascii="仿宋" w:hAnsi="仿宋" w:eastAsia="仿宋" w:cs="仿宋"/>
          <w:b/>
          <w:bCs/>
          <w:sz w:val="24"/>
          <w:highlight w:val="none"/>
        </w:rPr>
        <w:t>）</w:t>
      </w:r>
      <w:r>
        <w:rPr>
          <w:rFonts w:hint="eastAsia" w:ascii="仿宋" w:hAnsi="仿宋" w:eastAsia="仿宋" w:cs="仿宋"/>
          <w:b/>
          <w:bCs/>
          <w:sz w:val="24"/>
          <w:highlight w:val="none"/>
          <w:lang w:val="en-US" w:eastAsia="zh-CN"/>
        </w:rPr>
        <w:t>]</w:t>
      </w:r>
      <w:r>
        <w:rPr>
          <w:rFonts w:hint="eastAsia" w:ascii="仿宋" w:hAnsi="仿宋" w:eastAsia="仿宋" w:cs="仿宋"/>
          <w:sz w:val="24"/>
          <w:highlight w:val="none"/>
        </w:rPr>
        <w:t>。</w:t>
      </w:r>
      <w:r>
        <w:rPr>
          <w:rFonts w:hint="eastAsia" w:ascii="仿宋" w:hAnsi="仿宋" w:eastAsia="仿宋" w:cs="仿宋"/>
          <w:b/>
          <w:bCs/>
          <w:i/>
          <w:iCs/>
          <w:sz w:val="24"/>
          <w:highlight w:val="none"/>
          <w:u w:val="thick"/>
        </w:rPr>
        <w:t>如上表内容与证明资料不符，</w:t>
      </w:r>
      <w:r>
        <w:rPr>
          <w:rFonts w:hint="eastAsia" w:ascii="仿宋" w:hAnsi="仿宋" w:eastAsia="仿宋" w:cs="仿宋"/>
          <w:b/>
          <w:bCs/>
          <w:i/>
          <w:iCs/>
          <w:sz w:val="24"/>
          <w:highlight w:val="none"/>
          <w:u w:val="thick"/>
          <w:lang w:val="en-US" w:eastAsia="zh-CN"/>
        </w:rPr>
        <w:t>以证明资料为准</w:t>
      </w:r>
      <w:r>
        <w:rPr>
          <w:rFonts w:hint="eastAsia" w:ascii="仿宋" w:hAnsi="仿宋" w:eastAsia="仿宋" w:cs="仿宋"/>
          <w:sz w:val="24"/>
          <w:highlight w:val="none"/>
        </w:rPr>
        <w:t>，请各供应商</w:t>
      </w:r>
      <w:r>
        <w:rPr>
          <w:rFonts w:hint="eastAsia" w:ascii="仿宋" w:hAnsi="仿宋" w:eastAsia="仿宋" w:cs="仿宋"/>
          <w:b/>
          <w:bCs/>
          <w:i/>
          <w:iCs/>
          <w:sz w:val="24"/>
          <w:highlight w:val="none"/>
          <w:u w:val="thick"/>
        </w:rPr>
        <w:t>慎重填写</w:t>
      </w:r>
      <w:r>
        <w:rPr>
          <w:rFonts w:hint="eastAsia" w:ascii="仿宋" w:hAnsi="仿宋" w:eastAsia="仿宋" w:cs="仿宋"/>
          <w:b/>
          <w:bCs/>
          <w:i/>
          <w:iCs/>
          <w:sz w:val="24"/>
          <w:highlight w:val="none"/>
          <w:u w:val="thick"/>
          <w:lang w:val="en-US" w:eastAsia="zh-CN"/>
        </w:rPr>
        <w:t>偏离情况</w:t>
      </w:r>
      <w:r>
        <w:rPr>
          <w:rFonts w:hint="eastAsia" w:ascii="仿宋" w:hAnsi="仿宋" w:eastAsia="仿宋" w:cs="仿宋"/>
          <w:b/>
          <w:bCs/>
          <w:i/>
          <w:iCs/>
          <w:sz w:val="24"/>
          <w:highlight w:val="none"/>
          <w:u w:val="thick"/>
        </w:rPr>
        <w:t>。</w:t>
      </w:r>
    </w:p>
    <w:p w14:paraId="565E5DD5">
      <w:pPr>
        <w:pStyle w:val="1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kern w:val="2"/>
          <w:sz w:val="24"/>
          <w:highlight w:val="none"/>
          <w:lang w:val="en-US" w:eastAsia="zh-CN" w:bidi="ar-SA"/>
        </w:rPr>
      </w:pPr>
      <w:r>
        <w:rPr>
          <w:rFonts w:hint="eastAsia" w:ascii="仿宋_GB2312" w:hAnsi="仿宋_GB2312" w:eastAsia="仿宋_GB2312" w:cs="仿宋_GB2312"/>
          <w:sz w:val="24"/>
          <w:highlight w:val="none"/>
          <w:lang w:val="en-US" w:eastAsia="zh-CN"/>
        </w:rPr>
        <w:t>3</w:t>
      </w:r>
      <w:r>
        <w:rPr>
          <w:rFonts w:hint="eastAsia" w:ascii="仿宋_GB2312" w:hAnsi="仿宋_GB2312" w:eastAsia="仿宋_GB2312" w:cs="仿宋_GB2312"/>
          <w:sz w:val="24"/>
          <w:highlight w:val="none"/>
        </w:rPr>
        <w:t>、</w:t>
      </w:r>
      <w:r>
        <w:rPr>
          <w:rFonts w:hint="eastAsia" w:ascii="仿宋_GB2312" w:hAnsi="仿宋_GB2312" w:eastAsia="仿宋_GB2312" w:cs="仿宋_GB2312"/>
          <w:color w:val="auto"/>
          <w:kern w:val="2"/>
          <w:sz w:val="24"/>
          <w:highlight w:val="none"/>
          <w:lang w:val="en-US" w:eastAsia="zh-CN" w:bidi="ar-SA"/>
        </w:rPr>
        <w:t>技术支持资料附于本表之后，标注页码。</w:t>
      </w:r>
    </w:p>
    <w:p w14:paraId="115321D8">
      <w:pPr>
        <w:pStyle w:val="1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_GB2312" w:hAnsi="仿宋_GB2312" w:eastAsia="仿宋_GB2312" w:cs="仿宋_GB2312"/>
          <w:color w:val="auto"/>
          <w:kern w:val="2"/>
          <w:sz w:val="24"/>
          <w:highlight w:val="none"/>
          <w:lang w:val="en-US" w:eastAsia="zh-CN" w:bidi="ar-SA"/>
        </w:rPr>
      </w:pPr>
      <w:r>
        <w:rPr>
          <w:rFonts w:hint="eastAsia" w:ascii="仿宋_GB2312" w:hAnsi="仿宋_GB2312" w:eastAsia="仿宋_GB2312" w:cs="仿宋_GB2312"/>
          <w:color w:val="auto"/>
          <w:kern w:val="2"/>
          <w:sz w:val="24"/>
          <w:highlight w:val="none"/>
          <w:lang w:val="en-US" w:eastAsia="zh-CN" w:bidi="ar-SA"/>
        </w:rPr>
        <w:t>4、在任何阶段如发现提供虚假材料将</w:t>
      </w:r>
      <w:r>
        <w:rPr>
          <w:rFonts w:hint="eastAsia" w:ascii="仿宋" w:hAnsi="仿宋" w:eastAsia="仿宋" w:cs="仿宋"/>
        </w:rPr>
        <w:t>上报财政</w:t>
      </w:r>
      <w:r>
        <w:rPr>
          <w:rFonts w:hint="eastAsia" w:ascii="仿宋" w:hAnsi="仿宋" w:eastAsia="仿宋" w:cs="仿宋"/>
          <w:lang w:val="en-US" w:eastAsia="zh-CN"/>
        </w:rPr>
        <w:t>主管部门，1-3年</w:t>
      </w:r>
      <w:r>
        <w:rPr>
          <w:rFonts w:hint="eastAsia" w:ascii="仿宋" w:hAnsi="仿宋" w:eastAsia="仿宋" w:cs="仿宋"/>
        </w:rPr>
        <w:t>禁止参加政府采购活动。</w:t>
      </w:r>
    </w:p>
    <w:tbl>
      <w:tblPr>
        <w:tblStyle w:val="47"/>
        <w:tblW w:w="0" w:type="auto"/>
        <w:tblInd w:w="2376" w:type="dxa"/>
        <w:tblLayout w:type="fixed"/>
        <w:tblCellMar>
          <w:top w:w="0" w:type="dxa"/>
          <w:left w:w="108" w:type="dxa"/>
          <w:bottom w:w="0" w:type="dxa"/>
          <w:right w:w="108" w:type="dxa"/>
        </w:tblCellMar>
      </w:tblPr>
      <w:tblGrid>
        <w:gridCol w:w="2410"/>
        <w:gridCol w:w="287"/>
        <w:gridCol w:w="4107"/>
      </w:tblGrid>
      <w:tr w14:paraId="6C6AB213">
        <w:tblPrEx>
          <w:tblCellMar>
            <w:top w:w="0" w:type="dxa"/>
            <w:left w:w="108" w:type="dxa"/>
            <w:bottom w:w="0" w:type="dxa"/>
            <w:right w:w="108" w:type="dxa"/>
          </w:tblCellMar>
        </w:tblPrEx>
        <w:trPr>
          <w:trHeight w:val="680" w:hRule="atLeast"/>
        </w:trPr>
        <w:tc>
          <w:tcPr>
            <w:tcW w:w="2410" w:type="dxa"/>
            <w:noWrap w:val="0"/>
            <w:vAlign w:val="bottom"/>
          </w:tcPr>
          <w:p w14:paraId="6D255494">
            <w:pPr>
              <w:pStyle w:val="18"/>
              <w:keepNext w:val="0"/>
              <w:keepLines w:val="0"/>
              <w:suppressLineNumbers w:val="0"/>
              <w:spacing w:before="0" w:beforeAutospacing="0" w:afterAutospacing="0"/>
              <w:ind w:left="0" w:right="0"/>
              <w:jc w:val="distribute"/>
              <w:rPr>
                <w:rFonts w:hint="eastAsia" w:ascii="仿宋" w:hAnsi="仿宋" w:eastAsia="仿宋" w:cs="仿宋"/>
                <w:b w:val="0"/>
                <w:color w:val="000000"/>
                <w:sz w:val="24"/>
                <w:szCs w:val="24"/>
                <w:highlight w:val="none"/>
                <w:lang w:val="en-US" w:eastAsia="zh-CN"/>
              </w:rPr>
            </w:pPr>
            <w:bookmarkStart w:id="358" w:name="_Toc1816"/>
            <w:bookmarkStart w:id="359" w:name="_Toc7027"/>
            <w:bookmarkStart w:id="360" w:name="_Toc30257"/>
            <w:r>
              <w:rPr>
                <w:rFonts w:hint="eastAsia" w:ascii="仿宋" w:hAnsi="仿宋" w:eastAsia="仿宋" w:cs="仿宋"/>
                <w:b w:val="0"/>
                <w:color w:val="000000"/>
                <w:sz w:val="24"/>
                <w:highlight w:val="none"/>
                <w:lang w:val="en-US" w:eastAsia="zh-CN"/>
              </w:rPr>
              <w:t>供应商名称</w:t>
            </w:r>
          </w:p>
        </w:tc>
        <w:tc>
          <w:tcPr>
            <w:tcW w:w="287" w:type="dxa"/>
            <w:noWrap w:val="0"/>
            <w:vAlign w:val="bottom"/>
          </w:tcPr>
          <w:p w14:paraId="5A2AFB31">
            <w:pPr>
              <w:pStyle w:val="18"/>
              <w:keepNext w:val="0"/>
              <w:keepLines w:val="0"/>
              <w:suppressLineNumbers w:val="0"/>
              <w:spacing w:before="0" w:beforeAutospacing="0" w:afterAutospacing="0"/>
              <w:ind w:left="0" w:right="0"/>
              <w:jc w:val="left"/>
              <w:rPr>
                <w:rFonts w:hint="eastAsia" w:ascii="仿宋" w:hAnsi="仿宋" w:eastAsia="仿宋" w:cs="仿宋"/>
                <w:b w:val="0"/>
                <w:color w:val="000000"/>
                <w:sz w:val="24"/>
                <w:szCs w:val="24"/>
                <w:highlight w:val="none"/>
                <w:lang w:val="en-US" w:eastAsia="zh-CN"/>
              </w:rPr>
            </w:pPr>
            <w:r>
              <w:rPr>
                <w:rFonts w:hint="eastAsia" w:ascii="仿宋" w:hAnsi="仿宋" w:eastAsia="仿宋" w:cs="仿宋"/>
                <w:b w:val="0"/>
                <w:color w:val="000000"/>
                <w:sz w:val="24"/>
                <w:szCs w:val="24"/>
                <w:highlight w:val="none"/>
                <w:lang w:val="en-US" w:eastAsia="zh-CN"/>
              </w:rPr>
              <w:t>：</w:t>
            </w:r>
          </w:p>
        </w:tc>
        <w:tc>
          <w:tcPr>
            <w:tcW w:w="4107" w:type="dxa"/>
            <w:noWrap w:val="0"/>
            <w:vAlign w:val="bottom"/>
          </w:tcPr>
          <w:p w14:paraId="5B5EE4BB">
            <w:pPr>
              <w:pStyle w:val="18"/>
              <w:keepNext w:val="0"/>
              <w:keepLines w:val="0"/>
              <w:suppressLineNumbers w:val="0"/>
              <w:spacing w:before="0" w:beforeAutospacing="0" w:afterAutospacing="0"/>
              <w:ind w:left="0" w:right="0"/>
              <w:rPr>
                <w:rFonts w:hint="eastAsia" w:ascii="仿宋" w:hAnsi="仿宋" w:eastAsia="仿宋" w:cs="仿宋"/>
                <w:b w:val="0"/>
                <w:color w:val="000000"/>
                <w:sz w:val="24"/>
                <w:szCs w:val="24"/>
                <w:highlight w:val="none"/>
                <w:u w:val="single"/>
                <w:lang w:val="en-US" w:eastAsia="zh-CN"/>
              </w:rPr>
            </w:pPr>
            <w:r>
              <w:rPr>
                <w:rFonts w:hint="eastAsia" w:ascii="仿宋" w:hAnsi="仿宋" w:eastAsia="仿宋" w:cs="仿宋"/>
                <w:b w:val="0"/>
                <w:color w:val="000000"/>
                <w:sz w:val="24"/>
                <w:szCs w:val="24"/>
                <w:highlight w:val="none"/>
                <w:u w:val="single"/>
                <w:lang w:val="en-US" w:eastAsia="zh-CN"/>
              </w:rPr>
              <w:t xml:space="preserve">                </w:t>
            </w:r>
            <w:r>
              <w:rPr>
                <w:rFonts w:hint="eastAsia" w:ascii="仿宋" w:hAnsi="仿宋" w:eastAsia="仿宋" w:cs="仿宋"/>
                <w:b w:val="0"/>
                <w:color w:val="000000"/>
                <w:sz w:val="24"/>
                <w:highlight w:val="none"/>
                <w:u w:val="single"/>
                <w:lang w:val="en-US" w:eastAsia="zh-CN"/>
              </w:rPr>
              <w:t xml:space="preserve">（公章） </w:t>
            </w:r>
            <w:r>
              <w:rPr>
                <w:rFonts w:hint="eastAsia" w:ascii="仿宋" w:hAnsi="仿宋" w:eastAsia="仿宋" w:cs="仿宋"/>
                <w:b w:val="0"/>
                <w:color w:val="000000"/>
                <w:sz w:val="24"/>
                <w:szCs w:val="24"/>
                <w:highlight w:val="none"/>
                <w:u w:val="single"/>
                <w:lang w:val="en-US" w:eastAsia="zh-CN"/>
              </w:rPr>
              <w:t xml:space="preserve">           </w:t>
            </w:r>
          </w:p>
        </w:tc>
      </w:tr>
      <w:tr w14:paraId="066A436D">
        <w:tblPrEx>
          <w:tblCellMar>
            <w:top w:w="0" w:type="dxa"/>
            <w:left w:w="108" w:type="dxa"/>
            <w:bottom w:w="0" w:type="dxa"/>
            <w:right w:w="108" w:type="dxa"/>
          </w:tblCellMar>
        </w:tblPrEx>
        <w:trPr>
          <w:trHeight w:val="680" w:hRule="atLeast"/>
        </w:trPr>
        <w:tc>
          <w:tcPr>
            <w:tcW w:w="2410" w:type="dxa"/>
            <w:noWrap w:val="0"/>
            <w:vAlign w:val="bottom"/>
          </w:tcPr>
          <w:p w14:paraId="00770DD4">
            <w:pPr>
              <w:pStyle w:val="18"/>
              <w:keepNext w:val="0"/>
              <w:keepLines w:val="0"/>
              <w:suppressLineNumbers w:val="0"/>
              <w:spacing w:before="0" w:beforeAutospacing="0" w:afterAutospacing="0"/>
              <w:ind w:left="0" w:right="0"/>
              <w:jc w:val="distribute"/>
              <w:rPr>
                <w:rFonts w:hint="eastAsia" w:ascii="仿宋" w:hAnsi="仿宋" w:eastAsia="仿宋" w:cs="仿宋"/>
                <w:b w:val="0"/>
                <w:color w:val="000000"/>
                <w:sz w:val="24"/>
                <w:szCs w:val="24"/>
                <w:highlight w:val="none"/>
                <w:lang w:val="en-US" w:eastAsia="zh-CN"/>
              </w:rPr>
            </w:pPr>
            <w:r>
              <w:rPr>
                <w:rFonts w:hint="eastAsia" w:ascii="仿宋" w:hAnsi="仿宋" w:eastAsia="仿宋" w:cs="仿宋"/>
                <w:b w:val="0"/>
                <w:color w:val="000000"/>
                <w:sz w:val="24"/>
                <w:highlight w:val="none"/>
                <w:lang w:val="en-US" w:eastAsia="zh-CN"/>
              </w:rPr>
              <w:t>法定代表人或被授权代表（签字或盖章）</w:t>
            </w:r>
          </w:p>
        </w:tc>
        <w:tc>
          <w:tcPr>
            <w:tcW w:w="287" w:type="dxa"/>
            <w:noWrap w:val="0"/>
            <w:vAlign w:val="bottom"/>
          </w:tcPr>
          <w:p w14:paraId="47964D52">
            <w:pPr>
              <w:pStyle w:val="18"/>
              <w:keepNext w:val="0"/>
              <w:keepLines w:val="0"/>
              <w:suppressLineNumbers w:val="0"/>
              <w:spacing w:before="0" w:beforeAutospacing="0" w:afterAutospacing="0"/>
              <w:ind w:left="0" w:right="0"/>
              <w:jc w:val="left"/>
              <w:rPr>
                <w:rFonts w:hint="eastAsia" w:ascii="仿宋" w:hAnsi="仿宋" w:eastAsia="仿宋" w:cs="仿宋"/>
                <w:b w:val="0"/>
                <w:color w:val="000000"/>
                <w:sz w:val="24"/>
                <w:szCs w:val="24"/>
                <w:highlight w:val="none"/>
                <w:lang w:val="en-US" w:eastAsia="zh-CN"/>
              </w:rPr>
            </w:pPr>
            <w:r>
              <w:rPr>
                <w:rFonts w:hint="eastAsia" w:ascii="仿宋" w:hAnsi="仿宋" w:eastAsia="仿宋" w:cs="仿宋"/>
                <w:b w:val="0"/>
                <w:color w:val="000000"/>
                <w:sz w:val="24"/>
                <w:szCs w:val="24"/>
                <w:highlight w:val="none"/>
                <w:lang w:val="en-US" w:eastAsia="zh-CN"/>
              </w:rPr>
              <w:t>：</w:t>
            </w:r>
          </w:p>
        </w:tc>
        <w:tc>
          <w:tcPr>
            <w:tcW w:w="4107" w:type="dxa"/>
            <w:noWrap w:val="0"/>
            <w:vAlign w:val="bottom"/>
          </w:tcPr>
          <w:p w14:paraId="05BE28D2">
            <w:pPr>
              <w:pStyle w:val="18"/>
              <w:keepNext w:val="0"/>
              <w:keepLines w:val="0"/>
              <w:suppressLineNumbers w:val="0"/>
              <w:spacing w:before="0" w:beforeAutospacing="0" w:afterAutospacing="0"/>
              <w:ind w:left="0" w:right="0"/>
              <w:rPr>
                <w:rFonts w:hint="eastAsia" w:ascii="仿宋" w:hAnsi="仿宋" w:eastAsia="仿宋" w:cs="仿宋"/>
                <w:b w:val="0"/>
                <w:color w:val="000000"/>
                <w:sz w:val="24"/>
                <w:szCs w:val="24"/>
                <w:highlight w:val="none"/>
                <w:u w:val="single"/>
                <w:lang w:val="en-US" w:eastAsia="zh-CN"/>
              </w:rPr>
            </w:pPr>
            <w:r>
              <w:rPr>
                <w:rFonts w:hint="eastAsia" w:ascii="仿宋" w:hAnsi="仿宋" w:eastAsia="仿宋" w:cs="仿宋"/>
                <w:b w:val="0"/>
                <w:color w:val="000000"/>
                <w:sz w:val="24"/>
                <w:szCs w:val="24"/>
                <w:highlight w:val="none"/>
                <w:u w:val="single"/>
                <w:lang w:val="en-US" w:eastAsia="zh-CN"/>
              </w:rPr>
              <w:t xml:space="preserve">            </w:t>
            </w:r>
            <w:r>
              <w:rPr>
                <w:rFonts w:hint="eastAsia" w:ascii="仿宋" w:hAnsi="仿宋" w:eastAsia="仿宋" w:cs="仿宋"/>
                <w:b w:val="0"/>
                <w:color w:val="000000"/>
                <w:sz w:val="24"/>
                <w:highlight w:val="none"/>
                <w:u w:val="single"/>
                <w:lang w:val="en-US" w:eastAsia="zh-CN"/>
              </w:rPr>
              <w:t>（签字或盖章）</w:t>
            </w:r>
            <w:r>
              <w:rPr>
                <w:rFonts w:hint="eastAsia" w:ascii="仿宋" w:hAnsi="仿宋" w:eastAsia="仿宋" w:cs="仿宋"/>
                <w:b w:val="0"/>
                <w:color w:val="000000"/>
                <w:sz w:val="24"/>
                <w:szCs w:val="24"/>
                <w:highlight w:val="none"/>
                <w:u w:val="single"/>
                <w:lang w:val="en-US" w:eastAsia="zh-CN"/>
              </w:rPr>
              <w:t xml:space="preserve">                              </w:t>
            </w:r>
          </w:p>
        </w:tc>
      </w:tr>
      <w:tr w14:paraId="73723B97">
        <w:tblPrEx>
          <w:tblCellMar>
            <w:top w:w="0" w:type="dxa"/>
            <w:left w:w="108" w:type="dxa"/>
            <w:bottom w:w="0" w:type="dxa"/>
            <w:right w:w="108" w:type="dxa"/>
          </w:tblCellMar>
        </w:tblPrEx>
        <w:trPr>
          <w:trHeight w:val="680" w:hRule="atLeast"/>
        </w:trPr>
        <w:tc>
          <w:tcPr>
            <w:tcW w:w="2410" w:type="dxa"/>
            <w:noWrap w:val="0"/>
            <w:vAlign w:val="bottom"/>
          </w:tcPr>
          <w:p w14:paraId="5A8B35A8">
            <w:pPr>
              <w:pStyle w:val="18"/>
              <w:keepNext w:val="0"/>
              <w:keepLines w:val="0"/>
              <w:suppressLineNumbers w:val="0"/>
              <w:spacing w:before="0" w:beforeAutospacing="0" w:afterAutospacing="0"/>
              <w:ind w:left="0" w:right="0"/>
              <w:jc w:val="distribute"/>
              <w:rPr>
                <w:rFonts w:hint="eastAsia" w:ascii="仿宋" w:hAnsi="仿宋" w:eastAsia="仿宋" w:cs="仿宋"/>
                <w:b w:val="0"/>
                <w:color w:val="000000"/>
                <w:sz w:val="24"/>
                <w:szCs w:val="24"/>
                <w:highlight w:val="none"/>
                <w:lang w:val="en-US" w:eastAsia="zh-CN"/>
              </w:rPr>
            </w:pPr>
            <w:r>
              <w:rPr>
                <w:rFonts w:hint="eastAsia" w:ascii="仿宋" w:hAnsi="仿宋" w:eastAsia="仿宋" w:cs="仿宋"/>
                <w:b w:val="0"/>
                <w:color w:val="000000"/>
                <w:sz w:val="24"/>
                <w:szCs w:val="24"/>
                <w:highlight w:val="none"/>
                <w:lang w:val="en-US" w:eastAsia="zh-CN"/>
              </w:rPr>
              <w:t>日期</w:t>
            </w:r>
          </w:p>
        </w:tc>
        <w:tc>
          <w:tcPr>
            <w:tcW w:w="287" w:type="dxa"/>
            <w:noWrap w:val="0"/>
            <w:vAlign w:val="bottom"/>
          </w:tcPr>
          <w:p w14:paraId="2E1BC074">
            <w:pPr>
              <w:pStyle w:val="18"/>
              <w:keepNext w:val="0"/>
              <w:keepLines w:val="0"/>
              <w:suppressLineNumbers w:val="0"/>
              <w:spacing w:before="0" w:beforeAutospacing="0" w:afterAutospacing="0"/>
              <w:ind w:left="0" w:right="0"/>
              <w:jc w:val="left"/>
              <w:rPr>
                <w:rFonts w:hint="eastAsia" w:ascii="仿宋" w:hAnsi="仿宋" w:eastAsia="仿宋" w:cs="仿宋"/>
                <w:b w:val="0"/>
                <w:color w:val="000000"/>
                <w:sz w:val="24"/>
                <w:szCs w:val="24"/>
                <w:highlight w:val="none"/>
                <w:lang w:val="en-US" w:eastAsia="zh-CN"/>
              </w:rPr>
            </w:pPr>
            <w:r>
              <w:rPr>
                <w:rFonts w:hint="eastAsia" w:ascii="仿宋" w:hAnsi="仿宋" w:eastAsia="仿宋" w:cs="仿宋"/>
                <w:b w:val="0"/>
                <w:color w:val="000000"/>
                <w:sz w:val="24"/>
                <w:szCs w:val="24"/>
                <w:highlight w:val="none"/>
                <w:lang w:val="en-US" w:eastAsia="zh-CN"/>
              </w:rPr>
              <w:t>：</w:t>
            </w:r>
          </w:p>
        </w:tc>
        <w:tc>
          <w:tcPr>
            <w:tcW w:w="4107" w:type="dxa"/>
            <w:noWrap w:val="0"/>
            <w:vAlign w:val="bottom"/>
          </w:tcPr>
          <w:p w14:paraId="400D5393">
            <w:pPr>
              <w:pStyle w:val="18"/>
              <w:keepNext w:val="0"/>
              <w:keepLines w:val="0"/>
              <w:suppressLineNumbers w:val="0"/>
              <w:spacing w:before="0" w:beforeAutospacing="0" w:afterAutospacing="0"/>
              <w:ind w:left="0" w:right="0"/>
              <w:rPr>
                <w:rFonts w:hint="eastAsia" w:ascii="仿宋" w:hAnsi="仿宋" w:eastAsia="仿宋" w:cs="仿宋"/>
                <w:b w:val="0"/>
                <w:color w:val="000000"/>
                <w:sz w:val="24"/>
                <w:szCs w:val="24"/>
                <w:highlight w:val="none"/>
                <w:u w:val="single"/>
                <w:lang w:val="en-US" w:eastAsia="zh-CN"/>
              </w:rPr>
            </w:pPr>
            <w:r>
              <w:rPr>
                <w:rFonts w:hint="eastAsia" w:ascii="仿宋" w:hAnsi="仿宋" w:eastAsia="仿宋" w:cs="仿宋"/>
                <w:b w:val="0"/>
                <w:color w:val="000000"/>
                <w:sz w:val="24"/>
                <w:szCs w:val="24"/>
                <w:highlight w:val="none"/>
                <w:u w:val="single"/>
                <w:lang w:val="en-US" w:eastAsia="zh-CN"/>
              </w:rPr>
              <w:t xml:space="preserve">      年       月       日                                  </w:t>
            </w:r>
          </w:p>
        </w:tc>
      </w:tr>
    </w:tbl>
    <w:p w14:paraId="2FF4EAC2">
      <w:pPr>
        <w:rPr>
          <w:rFonts w:hint="eastAsia"/>
        </w:rPr>
      </w:pPr>
    </w:p>
    <w:p w14:paraId="31AD8776">
      <w:pPr>
        <w:jc w:val="center"/>
        <w:rPr>
          <w:rFonts w:hint="eastAsia" w:ascii="仿宋" w:hAnsi="仿宋" w:eastAsia="仿宋" w:cs="仿宋"/>
          <w:b/>
          <w:bCs/>
          <w:color w:val="000000"/>
          <w:sz w:val="36"/>
          <w:szCs w:val="36"/>
          <w:lang w:val="en-US" w:eastAsia="zh-CN"/>
        </w:rPr>
      </w:pPr>
      <w:bookmarkStart w:id="361" w:name="_Toc10652"/>
      <w:r>
        <w:rPr>
          <w:rFonts w:hint="eastAsia" w:ascii="仿宋" w:hAnsi="仿宋" w:eastAsia="仿宋" w:cs="仿宋"/>
          <w:sz w:val="24"/>
          <w:szCs w:val="24"/>
        </w:rPr>
        <w:br w:type="page"/>
      </w:r>
      <w:bookmarkStart w:id="362" w:name="_Toc23781"/>
      <w:r>
        <w:rPr>
          <w:rFonts w:hint="eastAsia" w:ascii="仿宋" w:hAnsi="仿宋" w:eastAsia="仿宋" w:cs="仿宋"/>
          <w:b/>
          <w:bCs/>
          <w:color w:val="000000"/>
          <w:sz w:val="36"/>
          <w:szCs w:val="36"/>
        </w:rPr>
        <w:t>★</w:t>
      </w:r>
      <w:r>
        <w:rPr>
          <w:rFonts w:hint="eastAsia" w:ascii="仿宋" w:hAnsi="仿宋" w:eastAsia="仿宋" w:cs="仿宋"/>
          <w:b/>
          <w:bCs/>
          <w:color w:val="000000"/>
          <w:sz w:val="36"/>
          <w:szCs w:val="36"/>
          <w:lang w:val="en-US" w:eastAsia="zh-CN"/>
        </w:rPr>
        <w:t>项证明材料</w:t>
      </w:r>
    </w:p>
    <w:p w14:paraId="41383F22">
      <w:pPr>
        <w:rPr>
          <w:rFonts w:hint="eastAsia" w:ascii="仿宋" w:hAnsi="仿宋" w:eastAsia="仿宋" w:cs="仿宋"/>
          <w:b/>
          <w:bCs/>
          <w:color w:val="000000"/>
          <w:lang w:val="en-US" w:eastAsia="zh-CN"/>
        </w:rPr>
      </w:pPr>
      <w:r>
        <w:rPr>
          <w:rFonts w:hint="eastAsia" w:ascii="仿宋" w:hAnsi="仿宋" w:eastAsia="仿宋" w:cs="仿宋"/>
          <w:b/>
          <w:bCs/>
          <w:color w:val="000000"/>
          <w:lang w:val="en-US" w:eastAsia="zh-CN"/>
        </w:rPr>
        <w:t>例如：1、</w:t>
      </w:r>
    </w:p>
    <w:p w14:paraId="185F7A6C">
      <w:pPr>
        <w:rPr>
          <w:rFonts w:hint="eastAsia" w:ascii="仿宋" w:hAnsi="仿宋" w:eastAsia="仿宋" w:cs="仿宋"/>
          <w:b/>
          <w:bCs/>
          <w:color w:val="000000"/>
          <w:lang w:val="en-US" w:eastAsia="zh-CN"/>
        </w:rPr>
      </w:pPr>
    </w:p>
    <w:p w14:paraId="796CFE57">
      <w:pPr>
        <w:rPr>
          <w:rFonts w:hint="eastAsia" w:ascii="仿宋" w:hAnsi="仿宋" w:eastAsia="仿宋" w:cs="仿宋"/>
          <w:b/>
          <w:bCs/>
          <w:color w:val="000000"/>
          <w:lang w:val="en-US" w:eastAsia="zh-CN"/>
        </w:rPr>
      </w:pPr>
    </w:p>
    <w:p w14:paraId="6575D1A9">
      <w:pPr>
        <w:rPr>
          <w:rFonts w:hint="eastAsia" w:ascii="仿宋" w:hAnsi="仿宋" w:eastAsia="仿宋" w:cs="仿宋"/>
          <w:b/>
          <w:bCs/>
          <w:color w:val="000000"/>
          <w:lang w:val="en-US" w:eastAsia="zh-CN"/>
        </w:rPr>
      </w:pPr>
      <w:r>
        <w:rPr>
          <w:rFonts w:hint="eastAsia" w:ascii="仿宋" w:hAnsi="仿宋" w:eastAsia="仿宋" w:cs="仿宋"/>
          <w:b/>
          <w:bCs/>
          <w:color w:val="000000"/>
          <w:lang w:val="en-US" w:eastAsia="zh-CN"/>
        </w:rPr>
        <w:t>备注：证明材料应体现响应的具体指标，如为多页证明材料，仅提供能证明具体数值的页面并框出。</w:t>
      </w:r>
    </w:p>
    <w:p w14:paraId="2A643C8E">
      <w:pPr>
        <w:rPr>
          <w:rFonts w:hint="eastAsia" w:ascii="仿宋" w:hAnsi="仿宋" w:eastAsia="仿宋" w:cs="仿宋"/>
          <w:sz w:val="28"/>
          <w:szCs w:val="28"/>
        </w:rPr>
      </w:pPr>
      <w:r>
        <w:rPr>
          <w:rFonts w:hint="eastAsia" w:ascii="仿宋" w:hAnsi="仿宋" w:eastAsia="仿宋" w:cs="仿宋"/>
          <w:sz w:val="28"/>
          <w:szCs w:val="28"/>
        </w:rPr>
        <w:br w:type="page"/>
      </w:r>
    </w:p>
    <w:p w14:paraId="230F665F">
      <w:pPr>
        <w:pStyle w:val="3"/>
        <w:adjustRightInd w:val="0"/>
        <w:snapToGrid w:val="0"/>
        <w:spacing w:before="0" w:after="0" w:line="360" w:lineRule="auto"/>
        <w:jc w:val="left"/>
        <w:rPr>
          <w:rFonts w:hint="eastAsia" w:ascii="仿宋" w:hAnsi="仿宋" w:eastAsia="仿宋" w:cs="仿宋"/>
          <w:sz w:val="28"/>
          <w:szCs w:val="28"/>
        </w:rPr>
      </w:pPr>
      <w:r>
        <w:rPr>
          <w:rFonts w:hint="eastAsia" w:ascii="仿宋" w:hAnsi="仿宋" w:eastAsia="仿宋" w:cs="仿宋"/>
          <w:sz w:val="28"/>
          <w:szCs w:val="28"/>
        </w:rPr>
        <w:t>附件5 供应商为本项目提供的资格证明文</w:t>
      </w:r>
      <w:bookmarkEnd w:id="355"/>
      <w:bookmarkEnd w:id="356"/>
      <w:bookmarkEnd w:id="357"/>
      <w:r>
        <w:rPr>
          <w:rFonts w:hint="eastAsia" w:ascii="仿宋" w:hAnsi="仿宋" w:eastAsia="仿宋" w:cs="仿宋"/>
          <w:sz w:val="28"/>
          <w:szCs w:val="28"/>
        </w:rPr>
        <w:t>件</w:t>
      </w:r>
      <w:bookmarkEnd w:id="358"/>
      <w:bookmarkEnd w:id="359"/>
      <w:bookmarkEnd w:id="360"/>
      <w:bookmarkEnd w:id="361"/>
      <w:bookmarkEnd w:id="362"/>
    </w:p>
    <w:p w14:paraId="31ABD9B8">
      <w:pPr>
        <w:spacing w:before="120" w:beforeLines="50" w:line="360" w:lineRule="auto"/>
        <w:outlineLvl w:val="3"/>
        <w:rPr>
          <w:rFonts w:hint="eastAsia" w:ascii="仿宋" w:hAnsi="仿宋" w:eastAsia="仿宋" w:cs="仿宋"/>
          <w:b/>
          <w:color w:val="auto"/>
          <w:sz w:val="24"/>
          <w:highlight w:val="none"/>
        </w:rPr>
      </w:pPr>
      <w:bookmarkStart w:id="363" w:name="_Toc23182"/>
      <w:bookmarkStart w:id="364" w:name="_Toc332874435"/>
      <w:bookmarkStart w:id="365" w:name="_Toc19034"/>
      <w:bookmarkStart w:id="366" w:name="_Toc311415664"/>
      <w:bookmarkStart w:id="367" w:name="_Toc19527"/>
      <w:bookmarkStart w:id="368" w:name="_Toc283240503"/>
      <w:r>
        <w:rPr>
          <w:rFonts w:hint="eastAsia" w:ascii="仿宋" w:hAnsi="仿宋" w:eastAsia="仿宋" w:cs="仿宋"/>
          <w:b/>
          <w:bCs/>
          <w:color w:val="auto"/>
          <w:sz w:val="24"/>
          <w:highlight w:val="none"/>
        </w:rPr>
        <w:t>附件</w:t>
      </w:r>
      <w:r>
        <w:rPr>
          <w:rFonts w:hint="eastAsia" w:ascii="仿宋" w:hAnsi="仿宋" w:eastAsia="仿宋" w:cs="仿宋"/>
          <w:b/>
          <w:bCs/>
          <w:color w:val="auto"/>
          <w:sz w:val="24"/>
          <w:highlight w:val="none"/>
          <w:lang w:val="en-US" w:eastAsia="zh-CN"/>
        </w:rPr>
        <w:t>5</w:t>
      </w:r>
      <w:r>
        <w:rPr>
          <w:rFonts w:hint="eastAsia" w:ascii="仿宋" w:hAnsi="仿宋" w:eastAsia="仿宋" w:cs="仿宋"/>
          <w:b/>
          <w:bCs/>
          <w:color w:val="auto"/>
          <w:sz w:val="24"/>
          <w:highlight w:val="none"/>
        </w:rPr>
        <w:t xml:space="preserve">-1 </w:t>
      </w:r>
      <w:r>
        <w:rPr>
          <w:rFonts w:hint="eastAsia" w:ascii="仿宋" w:hAnsi="仿宋" w:eastAsia="仿宋" w:cs="仿宋"/>
          <w:b/>
          <w:color w:val="auto"/>
          <w:sz w:val="24"/>
          <w:highlight w:val="none"/>
        </w:rPr>
        <w:t>具有独立承担民事责任的能力（企业法人应提供统一社会信用代码的营业执照；法人或其他组织</w:t>
      </w:r>
      <w:r>
        <w:rPr>
          <w:rFonts w:hint="eastAsia" w:ascii="仿宋" w:hAnsi="仿宋" w:eastAsia="仿宋" w:cs="仿宋"/>
          <w:b/>
          <w:color w:val="auto"/>
          <w:sz w:val="24"/>
          <w:highlight w:val="none"/>
          <w:lang w:val="en-US" w:eastAsia="zh-CN"/>
        </w:rPr>
        <w:t>谈判</w:t>
      </w:r>
      <w:r>
        <w:rPr>
          <w:rFonts w:hint="eastAsia" w:ascii="仿宋" w:hAnsi="仿宋" w:eastAsia="仿宋" w:cs="仿宋"/>
          <w:b/>
          <w:color w:val="auto"/>
          <w:sz w:val="24"/>
          <w:highlight w:val="none"/>
        </w:rPr>
        <w:t>的，提供有效的营业执照或事业单位法人证书；其他组织应提供合法证明文件）；</w:t>
      </w:r>
    </w:p>
    <w:p w14:paraId="4594AA7C">
      <w:pPr>
        <w:spacing w:line="360" w:lineRule="auto"/>
        <w:rPr>
          <w:rFonts w:hint="eastAsia" w:ascii="仿宋" w:hAnsi="仿宋" w:eastAsia="仿宋" w:cs="仿宋"/>
          <w:color w:val="auto"/>
          <w:sz w:val="24"/>
          <w:highlight w:val="none"/>
        </w:rPr>
      </w:pPr>
    </w:p>
    <w:p w14:paraId="7B76FBA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14:paraId="5958114D">
      <w:pPr>
        <w:pStyle w:val="24"/>
        <w:tabs>
          <w:tab w:val="left" w:pos="5580"/>
        </w:tabs>
        <w:spacing w:before="120" w:line="360" w:lineRule="auto"/>
        <w:ind w:left="-77" w:leftChars="-32"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1、如</w:t>
      </w:r>
      <w:r>
        <w:rPr>
          <w:rFonts w:hint="eastAsia" w:ascii="仿宋" w:hAnsi="仿宋" w:eastAsia="仿宋" w:cs="仿宋"/>
          <w:color w:val="auto"/>
          <w:sz w:val="24"/>
          <w:highlight w:val="none"/>
        </w:rPr>
        <w:t>供应商</w:t>
      </w:r>
      <w:r>
        <w:rPr>
          <w:rFonts w:hint="eastAsia" w:ascii="仿宋" w:hAnsi="仿宋" w:eastAsia="仿宋" w:cs="仿宋"/>
          <w:color w:val="auto"/>
          <w:sz w:val="24"/>
          <w:szCs w:val="24"/>
          <w:highlight w:val="none"/>
        </w:rPr>
        <w:t>是企业（包括合伙企业），应提供在工商部门注册的有效“营业执照”；</w:t>
      </w:r>
    </w:p>
    <w:p w14:paraId="4A779196">
      <w:pPr>
        <w:pStyle w:val="24"/>
        <w:tabs>
          <w:tab w:val="left" w:pos="5580"/>
        </w:tabs>
        <w:spacing w:before="120" w:line="360" w:lineRule="auto"/>
        <w:ind w:left="-77" w:leftChars="-32"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2、如</w:t>
      </w:r>
      <w:r>
        <w:rPr>
          <w:rFonts w:hint="eastAsia" w:ascii="仿宋" w:hAnsi="仿宋" w:eastAsia="仿宋" w:cs="仿宋"/>
          <w:color w:val="auto"/>
          <w:sz w:val="24"/>
          <w:highlight w:val="none"/>
        </w:rPr>
        <w:t>供应商</w:t>
      </w:r>
      <w:r>
        <w:rPr>
          <w:rFonts w:hint="eastAsia" w:ascii="仿宋" w:hAnsi="仿宋" w:eastAsia="仿宋" w:cs="仿宋"/>
          <w:color w:val="auto"/>
          <w:sz w:val="24"/>
          <w:szCs w:val="24"/>
          <w:highlight w:val="none"/>
        </w:rPr>
        <w:t>是事业单位，应提供有效的“事业单位法人证书”；</w:t>
      </w:r>
    </w:p>
    <w:p w14:paraId="47675CF8">
      <w:pPr>
        <w:pStyle w:val="24"/>
        <w:tabs>
          <w:tab w:val="left" w:pos="5580"/>
        </w:tabs>
        <w:spacing w:before="120" w:line="360" w:lineRule="auto"/>
        <w:ind w:left="-77" w:leftChars="-32"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w:t>
      </w:r>
      <w:r>
        <w:rPr>
          <w:rFonts w:hint="eastAsia" w:ascii="仿宋" w:hAnsi="仿宋" w:eastAsia="仿宋" w:cs="仿宋"/>
          <w:color w:val="auto"/>
          <w:sz w:val="24"/>
          <w:highlight w:val="none"/>
        </w:rPr>
        <w:t>供应商</w:t>
      </w:r>
      <w:r>
        <w:rPr>
          <w:rFonts w:hint="eastAsia" w:ascii="仿宋" w:hAnsi="仿宋" w:eastAsia="仿宋" w:cs="仿宋"/>
          <w:color w:val="auto"/>
          <w:sz w:val="24"/>
          <w:szCs w:val="24"/>
          <w:highlight w:val="none"/>
        </w:rPr>
        <w:t>是为企业专业服务机构的，应提供执业许可证等证明文件；</w:t>
      </w:r>
    </w:p>
    <w:p w14:paraId="23EF08EB">
      <w:pPr>
        <w:pStyle w:val="24"/>
        <w:tabs>
          <w:tab w:val="left" w:pos="5580"/>
        </w:tabs>
        <w:spacing w:before="120" w:line="360" w:lineRule="auto"/>
        <w:ind w:left="-77" w:leftChars="-32"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4、如</w:t>
      </w:r>
      <w:r>
        <w:rPr>
          <w:rFonts w:hint="eastAsia" w:ascii="仿宋" w:hAnsi="仿宋" w:eastAsia="仿宋" w:cs="仿宋"/>
          <w:color w:val="auto"/>
          <w:sz w:val="24"/>
          <w:highlight w:val="none"/>
        </w:rPr>
        <w:t>供应商</w:t>
      </w:r>
      <w:r>
        <w:rPr>
          <w:rFonts w:hint="eastAsia" w:ascii="仿宋" w:hAnsi="仿宋" w:eastAsia="仿宋" w:cs="仿宋"/>
          <w:color w:val="auto"/>
          <w:sz w:val="24"/>
          <w:szCs w:val="24"/>
          <w:highlight w:val="none"/>
        </w:rPr>
        <w:t>是个体工商户，应提供有效的“个体工商户营业执照”；</w:t>
      </w:r>
    </w:p>
    <w:p w14:paraId="2D811DDB">
      <w:pPr>
        <w:pStyle w:val="24"/>
        <w:tabs>
          <w:tab w:val="left" w:pos="5580"/>
        </w:tabs>
        <w:spacing w:before="120" w:line="360" w:lineRule="auto"/>
        <w:ind w:left="-77" w:leftChars="-32"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5、如</w:t>
      </w:r>
      <w:r>
        <w:rPr>
          <w:rFonts w:hint="eastAsia" w:ascii="仿宋" w:hAnsi="仿宋" w:eastAsia="仿宋" w:cs="仿宋"/>
          <w:color w:val="auto"/>
          <w:sz w:val="24"/>
          <w:highlight w:val="none"/>
        </w:rPr>
        <w:t>供应商</w:t>
      </w:r>
      <w:r>
        <w:rPr>
          <w:rFonts w:hint="eastAsia" w:ascii="仿宋" w:hAnsi="仿宋" w:eastAsia="仿宋" w:cs="仿宋"/>
          <w:color w:val="auto"/>
          <w:sz w:val="24"/>
          <w:szCs w:val="24"/>
          <w:highlight w:val="none"/>
        </w:rPr>
        <w:t>为自然人，应提供有效的自然人身份证明。</w:t>
      </w:r>
    </w:p>
    <w:p w14:paraId="322893BC">
      <w:pPr>
        <w:spacing w:line="360" w:lineRule="auto"/>
        <w:rPr>
          <w:rFonts w:hint="eastAsia" w:ascii="仿宋" w:hAnsi="仿宋" w:eastAsia="仿宋" w:cs="仿宋"/>
          <w:color w:val="auto"/>
          <w:sz w:val="24"/>
          <w:highlight w:val="none"/>
        </w:rPr>
      </w:pPr>
    </w:p>
    <w:p w14:paraId="0A00D8C7">
      <w:pPr>
        <w:spacing w:line="360" w:lineRule="auto"/>
        <w:rPr>
          <w:rFonts w:hint="eastAsia" w:ascii="仿宋" w:hAnsi="仿宋" w:eastAsia="仿宋" w:cs="仿宋"/>
          <w:color w:val="auto"/>
          <w:sz w:val="24"/>
          <w:highlight w:val="none"/>
        </w:rPr>
      </w:pPr>
    </w:p>
    <w:p w14:paraId="5A0AF638">
      <w:pPr>
        <w:spacing w:line="360" w:lineRule="auto"/>
        <w:outlineLvl w:val="3"/>
        <w:rPr>
          <w:rFonts w:hint="eastAsia" w:ascii="仿宋" w:hAnsi="仿宋" w:eastAsia="仿宋" w:cs="仿宋"/>
          <w:color w:val="auto"/>
          <w:sz w:val="24"/>
          <w:highlight w:val="none"/>
        </w:rPr>
      </w:pPr>
      <w:bookmarkStart w:id="369" w:name="_Toc11646"/>
      <w:bookmarkStart w:id="370" w:name="_Toc24657"/>
      <w:bookmarkStart w:id="371" w:name="_Toc24599"/>
      <w:r>
        <w:rPr>
          <w:rFonts w:hint="eastAsia" w:ascii="仿宋" w:hAnsi="仿宋" w:eastAsia="仿宋" w:cs="仿宋"/>
          <w:b/>
          <w:bCs/>
          <w:color w:val="auto"/>
          <w:sz w:val="24"/>
          <w:highlight w:val="none"/>
        </w:rPr>
        <w:br w:type="page"/>
      </w:r>
      <w:r>
        <w:rPr>
          <w:rFonts w:hint="eastAsia" w:ascii="仿宋" w:hAnsi="仿宋" w:eastAsia="仿宋" w:cs="仿宋"/>
          <w:b/>
          <w:bCs/>
          <w:color w:val="auto"/>
          <w:sz w:val="24"/>
          <w:highlight w:val="none"/>
        </w:rPr>
        <w:t>附件</w:t>
      </w:r>
      <w:r>
        <w:rPr>
          <w:rFonts w:hint="eastAsia" w:ascii="仿宋" w:hAnsi="仿宋" w:eastAsia="仿宋" w:cs="仿宋"/>
          <w:b/>
          <w:bCs/>
          <w:color w:val="auto"/>
          <w:sz w:val="24"/>
          <w:highlight w:val="none"/>
          <w:lang w:val="en-US" w:eastAsia="zh-CN"/>
        </w:rPr>
        <w:t>5</w:t>
      </w:r>
      <w:r>
        <w:rPr>
          <w:rFonts w:hint="eastAsia" w:ascii="仿宋" w:hAnsi="仿宋" w:eastAsia="仿宋" w:cs="仿宋"/>
          <w:b/>
          <w:bCs/>
          <w:color w:val="auto"/>
          <w:sz w:val="24"/>
          <w:highlight w:val="none"/>
        </w:rPr>
        <w:t>-2 法定代表人授权委托书</w:t>
      </w:r>
      <w:bookmarkEnd w:id="369"/>
      <w:bookmarkEnd w:id="370"/>
      <w:bookmarkEnd w:id="371"/>
    </w:p>
    <w:p w14:paraId="19B99B31">
      <w:pPr>
        <w:tabs>
          <w:tab w:val="left" w:pos="8820"/>
        </w:tabs>
        <w:spacing w:line="360" w:lineRule="auto"/>
        <w:ind w:firstLine="480" w:firstLineChars="200"/>
        <w:rPr>
          <w:rFonts w:hint="eastAsia" w:ascii="仿宋" w:hAnsi="仿宋" w:eastAsia="仿宋" w:cs="仿宋"/>
          <w:color w:val="auto"/>
          <w:sz w:val="24"/>
          <w:highlight w:val="none"/>
          <w:u w:val="single"/>
        </w:rPr>
      </w:pPr>
      <w:bookmarkStart w:id="372" w:name="_Hlt491573490"/>
      <w:bookmarkEnd w:id="372"/>
      <w:bookmarkStart w:id="373" w:name="_Hlt492284272"/>
      <w:bookmarkEnd w:id="373"/>
      <w:r>
        <w:rPr>
          <w:rFonts w:hint="eastAsia" w:ascii="仿宋" w:hAnsi="仿宋" w:eastAsia="仿宋" w:cs="仿宋"/>
          <w:color w:val="auto"/>
          <w:sz w:val="24"/>
          <w:highlight w:val="none"/>
        </w:rPr>
        <w:t>本授权委托书声明：我</w:t>
      </w:r>
      <w:r>
        <w:rPr>
          <w:rFonts w:hint="eastAsia" w:ascii="仿宋" w:hAnsi="仿宋" w:eastAsia="仿宋" w:cs="仿宋"/>
          <w:color w:val="auto"/>
          <w:sz w:val="24"/>
          <w:highlight w:val="none"/>
          <w:u w:val="single"/>
        </w:rPr>
        <w:t>（法定代表人姓名）</w:t>
      </w:r>
      <w:r>
        <w:rPr>
          <w:rFonts w:hint="eastAsia" w:ascii="仿宋" w:hAnsi="仿宋" w:eastAsia="仿宋" w:cs="仿宋"/>
          <w:color w:val="auto"/>
          <w:sz w:val="24"/>
          <w:highlight w:val="none"/>
        </w:rPr>
        <w:t>系注册于</w:t>
      </w:r>
      <w:r>
        <w:rPr>
          <w:rFonts w:hint="eastAsia" w:ascii="仿宋" w:hAnsi="仿宋" w:eastAsia="仿宋" w:cs="仿宋"/>
          <w:color w:val="auto"/>
          <w:sz w:val="24"/>
          <w:highlight w:val="none"/>
          <w:u w:val="single"/>
        </w:rPr>
        <w:t xml:space="preserve">  （供应商地址）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 xml:space="preserve">（供应商名称）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法定代表人</w:t>
      </w:r>
      <w:r>
        <w:rPr>
          <w:rFonts w:hint="eastAsia" w:ascii="仿宋" w:hAnsi="仿宋" w:eastAsia="仿宋" w:cs="仿宋"/>
          <w:color w:val="auto"/>
          <w:sz w:val="24"/>
          <w:highlight w:val="none"/>
        </w:rPr>
        <w:t>，现代表我单位授权下面签字的</w:t>
      </w:r>
      <w:r>
        <w:rPr>
          <w:rFonts w:hint="eastAsia" w:ascii="仿宋" w:hAnsi="仿宋" w:eastAsia="仿宋" w:cs="仿宋"/>
          <w:color w:val="auto"/>
          <w:sz w:val="24"/>
          <w:highlight w:val="none"/>
          <w:u w:val="single"/>
        </w:rPr>
        <w:t>（被授权人的姓名、职务）</w:t>
      </w:r>
      <w:r>
        <w:rPr>
          <w:rFonts w:hint="eastAsia" w:ascii="仿宋" w:hAnsi="仿宋" w:eastAsia="仿宋" w:cs="仿宋"/>
          <w:color w:val="auto"/>
          <w:sz w:val="24"/>
          <w:highlight w:val="none"/>
        </w:rPr>
        <w:t>为我单位合法代理人，代表本单位参加</w:t>
      </w:r>
      <w:r>
        <w:rPr>
          <w:rFonts w:hint="eastAsia" w:ascii="仿宋" w:hAnsi="仿宋" w:eastAsia="仿宋" w:cs="仿宋"/>
          <w:color w:val="auto"/>
          <w:sz w:val="24"/>
          <w:highlight w:val="none"/>
          <w:u w:val="single"/>
        </w:rPr>
        <w:t xml:space="preserve">  （项目名称） (项目编号)</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包号</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谈判</w:t>
      </w:r>
      <w:r>
        <w:rPr>
          <w:rFonts w:hint="eastAsia" w:ascii="仿宋" w:hAnsi="仿宋" w:eastAsia="仿宋" w:cs="仿宋"/>
          <w:color w:val="auto"/>
          <w:sz w:val="24"/>
          <w:highlight w:val="none"/>
        </w:rPr>
        <w:t>活动。代理人在本次</w:t>
      </w:r>
      <w:r>
        <w:rPr>
          <w:rFonts w:hint="eastAsia" w:ascii="仿宋" w:hAnsi="仿宋" w:eastAsia="仿宋" w:cs="仿宋"/>
          <w:color w:val="auto"/>
          <w:sz w:val="24"/>
          <w:highlight w:val="none"/>
          <w:lang w:val="en-US" w:eastAsia="zh-CN"/>
        </w:rPr>
        <w:t>谈判</w:t>
      </w:r>
      <w:r>
        <w:rPr>
          <w:rFonts w:hint="eastAsia" w:ascii="仿宋" w:hAnsi="仿宋" w:eastAsia="仿宋" w:cs="仿宋"/>
          <w:color w:val="auto"/>
          <w:sz w:val="24"/>
          <w:highlight w:val="none"/>
        </w:rPr>
        <w:t>中所签署的一切文件和处理的一切有关事物，我公司均予承认。</w:t>
      </w:r>
    </w:p>
    <w:p w14:paraId="40E82B6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本授权书有效期自</w:t>
      </w:r>
      <w:r>
        <w:rPr>
          <w:rFonts w:hint="eastAsia" w:ascii="仿宋" w:hAnsi="仿宋" w:eastAsia="仿宋" w:cs="仿宋"/>
          <w:color w:val="auto"/>
          <w:sz w:val="24"/>
          <w:highlight w:val="none"/>
          <w:lang w:val="en-US" w:eastAsia="zh-CN"/>
        </w:rPr>
        <w:t>谈判</w:t>
      </w:r>
      <w:r>
        <w:rPr>
          <w:rFonts w:hint="eastAsia" w:ascii="仿宋" w:hAnsi="仿宋" w:eastAsia="仿宋" w:cs="仿宋"/>
          <w:color w:val="auto"/>
          <w:sz w:val="24"/>
          <w:highlight w:val="none"/>
        </w:rPr>
        <w:t>之日起</w:t>
      </w:r>
      <w:r>
        <w:rPr>
          <w:rFonts w:hint="eastAsia" w:ascii="仿宋" w:hAnsi="仿宋" w:eastAsia="仿宋" w:cs="仿宋"/>
          <w:color w:val="auto"/>
          <w:sz w:val="24"/>
          <w:highlight w:val="none"/>
          <w:u w:val="single"/>
        </w:rPr>
        <w:t xml:space="preserve"> 90</w:t>
      </w:r>
      <w:r>
        <w:rPr>
          <w:rFonts w:hint="eastAsia" w:ascii="仿宋" w:hAnsi="仿宋" w:eastAsia="仿宋" w:cs="仿宋"/>
          <w:color w:val="auto"/>
          <w:sz w:val="24"/>
          <w:highlight w:val="none"/>
        </w:rPr>
        <w:t xml:space="preserve">天，特此声明。                        </w:t>
      </w:r>
    </w:p>
    <w:tbl>
      <w:tblPr>
        <w:tblStyle w:val="47"/>
        <w:tblpPr w:leftFromText="180" w:rightFromText="180" w:vertAnchor="text" w:horzAnchor="margin" w:tblpY="7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4390"/>
      </w:tblGrid>
      <w:tr w14:paraId="11C8A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4320" w:type="dxa"/>
            <w:noWrap w:val="0"/>
            <w:vAlign w:val="center"/>
          </w:tcPr>
          <w:p w14:paraId="118657C0">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法定代表人身份证正反面复印件</w:t>
            </w:r>
          </w:p>
          <w:p w14:paraId="224F6B35">
            <w:pPr>
              <w:keepNext w:val="0"/>
              <w:keepLines w:val="0"/>
              <w:suppressLineNumbers w:val="0"/>
              <w:spacing w:before="0" w:beforeAutospacing="0" w:after="0" w:afterAutospacing="0" w:line="360" w:lineRule="auto"/>
              <w:ind w:left="0" w:right="0" w:firstLine="480" w:firstLineChars="200"/>
              <w:jc w:val="center"/>
              <w:rPr>
                <w:rFonts w:hint="eastAsia" w:ascii="仿宋" w:hAnsi="仿宋" w:eastAsia="仿宋" w:cs="仿宋"/>
                <w:color w:val="auto"/>
                <w:sz w:val="24"/>
                <w:highlight w:val="none"/>
              </w:rPr>
            </w:pPr>
          </w:p>
          <w:p w14:paraId="43B8E4EA">
            <w:pPr>
              <w:keepNext w:val="0"/>
              <w:keepLines w:val="0"/>
              <w:suppressLineNumbers w:val="0"/>
              <w:spacing w:before="0" w:beforeAutospacing="0" w:after="0" w:afterAutospacing="0" w:line="360" w:lineRule="auto"/>
              <w:ind w:left="0" w:right="0" w:firstLine="480" w:firstLineChars="200"/>
              <w:rPr>
                <w:rFonts w:hint="eastAsia" w:ascii="仿宋" w:hAnsi="仿宋" w:eastAsia="仿宋" w:cs="仿宋"/>
                <w:color w:val="auto"/>
                <w:sz w:val="24"/>
                <w:highlight w:val="none"/>
              </w:rPr>
            </w:pPr>
          </w:p>
          <w:p w14:paraId="24B64789">
            <w:pPr>
              <w:keepNext w:val="0"/>
              <w:keepLines w:val="0"/>
              <w:suppressLineNumbers w:val="0"/>
              <w:spacing w:before="0" w:beforeAutospacing="0" w:after="0" w:afterAutospacing="0" w:line="360" w:lineRule="auto"/>
              <w:ind w:left="0" w:right="0" w:firstLine="480" w:firstLineChars="200"/>
              <w:jc w:val="center"/>
              <w:rPr>
                <w:rFonts w:hint="eastAsia" w:ascii="仿宋" w:hAnsi="仿宋" w:eastAsia="仿宋" w:cs="仿宋"/>
                <w:color w:val="auto"/>
                <w:sz w:val="24"/>
                <w:highlight w:val="none"/>
              </w:rPr>
            </w:pPr>
          </w:p>
          <w:p w14:paraId="0E881183">
            <w:pPr>
              <w:keepNext w:val="0"/>
              <w:keepLines w:val="0"/>
              <w:suppressLineNumbers w:val="0"/>
              <w:spacing w:before="0" w:beforeAutospacing="0" w:after="0" w:afterAutospacing="0" w:line="360" w:lineRule="auto"/>
              <w:ind w:left="0" w:right="0" w:firstLine="480" w:firstLineChars="200"/>
              <w:jc w:val="center"/>
              <w:rPr>
                <w:rFonts w:hint="eastAsia" w:ascii="仿宋" w:hAnsi="仿宋" w:eastAsia="仿宋" w:cs="仿宋"/>
                <w:color w:val="auto"/>
                <w:sz w:val="24"/>
                <w:highlight w:val="none"/>
              </w:rPr>
            </w:pPr>
          </w:p>
        </w:tc>
        <w:tc>
          <w:tcPr>
            <w:tcW w:w="4390" w:type="dxa"/>
            <w:noWrap w:val="0"/>
            <w:vAlign w:val="center"/>
          </w:tcPr>
          <w:p w14:paraId="6C6947E8">
            <w:pPr>
              <w:keepNext w:val="0"/>
              <w:keepLines w:val="0"/>
              <w:widowControl/>
              <w:suppressLineNumbers w:val="0"/>
              <w:spacing w:before="0" w:beforeAutospacing="0" w:after="0" w:afterAutospacing="0" w:line="360" w:lineRule="auto"/>
              <w:ind w:left="0" w:right="0" w:firstLine="480" w:firstLineChars="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被授权人身份证正反面复印件</w:t>
            </w:r>
          </w:p>
          <w:p w14:paraId="01A12D6E">
            <w:pPr>
              <w:keepNext w:val="0"/>
              <w:keepLines w:val="0"/>
              <w:widowControl/>
              <w:suppressLineNumbers w:val="0"/>
              <w:spacing w:before="0" w:beforeAutospacing="0" w:after="0" w:afterAutospacing="0" w:line="360" w:lineRule="auto"/>
              <w:ind w:left="0" w:right="0" w:firstLine="480" w:firstLineChars="200"/>
              <w:jc w:val="center"/>
              <w:rPr>
                <w:rFonts w:hint="eastAsia" w:ascii="仿宋" w:hAnsi="仿宋" w:eastAsia="仿宋" w:cs="仿宋"/>
                <w:color w:val="auto"/>
                <w:sz w:val="24"/>
                <w:highlight w:val="none"/>
              </w:rPr>
            </w:pPr>
          </w:p>
          <w:p w14:paraId="2FD22ACB">
            <w:pPr>
              <w:pStyle w:val="171"/>
              <w:keepNext w:val="0"/>
              <w:keepLines w:val="0"/>
              <w:suppressLineNumbers w:val="0"/>
              <w:spacing w:before="0" w:beforeAutospacing="0" w:after="0" w:afterAutospacing="0"/>
              <w:ind w:left="0" w:right="0"/>
              <w:rPr>
                <w:rFonts w:hint="eastAsia" w:ascii="仿宋" w:hAnsi="仿宋" w:eastAsia="仿宋" w:cs="仿宋"/>
                <w:color w:val="auto"/>
                <w:highlight w:val="none"/>
              </w:rPr>
            </w:pPr>
          </w:p>
          <w:p w14:paraId="796C326B">
            <w:pPr>
              <w:keepNext w:val="0"/>
              <w:keepLines w:val="0"/>
              <w:suppressLineNumbers w:val="0"/>
              <w:spacing w:before="0" w:beforeAutospacing="0" w:after="0" w:afterAutospacing="0" w:line="360" w:lineRule="auto"/>
              <w:ind w:left="0" w:right="0" w:firstLine="480" w:firstLineChars="200"/>
              <w:jc w:val="center"/>
              <w:rPr>
                <w:rFonts w:hint="eastAsia" w:ascii="仿宋" w:hAnsi="仿宋" w:eastAsia="仿宋" w:cs="仿宋"/>
                <w:color w:val="auto"/>
                <w:sz w:val="24"/>
                <w:highlight w:val="none"/>
              </w:rPr>
            </w:pPr>
          </w:p>
          <w:p w14:paraId="19FF426F">
            <w:pPr>
              <w:keepNext w:val="0"/>
              <w:keepLines w:val="0"/>
              <w:suppressLineNumbers w:val="0"/>
              <w:spacing w:before="0" w:beforeAutospacing="0" w:after="0" w:afterAutospacing="0" w:line="360" w:lineRule="auto"/>
              <w:ind w:left="0" w:right="0" w:firstLine="480" w:firstLineChars="200"/>
              <w:jc w:val="center"/>
              <w:rPr>
                <w:rFonts w:hint="eastAsia" w:ascii="仿宋" w:hAnsi="仿宋" w:eastAsia="仿宋" w:cs="仿宋"/>
                <w:color w:val="auto"/>
                <w:sz w:val="24"/>
                <w:highlight w:val="none"/>
              </w:rPr>
            </w:pPr>
          </w:p>
          <w:p w14:paraId="2FE921BB">
            <w:pPr>
              <w:keepNext w:val="0"/>
              <w:keepLines w:val="0"/>
              <w:suppressLineNumbers w:val="0"/>
              <w:spacing w:before="0" w:beforeAutospacing="0" w:after="0" w:afterAutospacing="0" w:line="360" w:lineRule="auto"/>
              <w:ind w:left="0" w:right="0" w:firstLine="480" w:firstLineChars="200"/>
              <w:jc w:val="center"/>
              <w:rPr>
                <w:rFonts w:hint="eastAsia" w:ascii="仿宋" w:hAnsi="仿宋" w:eastAsia="仿宋" w:cs="仿宋"/>
                <w:color w:val="auto"/>
                <w:sz w:val="24"/>
                <w:highlight w:val="none"/>
              </w:rPr>
            </w:pPr>
          </w:p>
        </w:tc>
      </w:tr>
    </w:tbl>
    <w:p w14:paraId="65E5A1FE">
      <w:pPr>
        <w:pStyle w:val="207"/>
        <w:rPr>
          <w:rFonts w:hint="eastAsia" w:ascii="仿宋" w:hAnsi="仿宋" w:eastAsia="仿宋" w:cs="仿宋"/>
          <w:color w:val="auto"/>
          <w:sz w:val="24"/>
          <w:highlight w:val="none"/>
        </w:rPr>
      </w:pPr>
    </w:p>
    <w:p w14:paraId="5227F0A9">
      <w:pPr>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注：此授权书的有效期应与</w:t>
      </w:r>
      <w:r>
        <w:rPr>
          <w:rFonts w:hint="eastAsia" w:ascii="仿宋" w:hAnsi="仿宋" w:eastAsia="仿宋" w:cs="仿宋"/>
          <w:color w:val="auto"/>
          <w:sz w:val="24"/>
          <w:highlight w:val="none"/>
          <w:lang w:val="en-US" w:eastAsia="zh-CN"/>
        </w:rPr>
        <w:t>响应</w:t>
      </w:r>
      <w:r>
        <w:rPr>
          <w:rFonts w:hint="eastAsia" w:ascii="仿宋" w:hAnsi="仿宋" w:eastAsia="仿宋" w:cs="仿宋"/>
          <w:color w:val="auto"/>
          <w:sz w:val="24"/>
          <w:highlight w:val="none"/>
        </w:rPr>
        <w:t>文件有效期一致</w:t>
      </w:r>
      <w:r>
        <w:rPr>
          <w:rFonts w:hint="eastAsia" w:ascii="仿宋" w:hAnsi="仿宋" w:eastAsia="仿宋" w:cs="仿宋"/>
          <w:color w:val="auto"/>
          <w:sz w:val="24"/>
          <w:highlight w:val="none"/>
          <w:lang w:eastAsia="zh-CN"/>
        </w:rPr>
        <w:t>。</w:t>
      </w:r>
    </w:p>
    <w:tbl>
      <w:tblPr>
        <w:tblStyle w:val="47"/>
        <w:tblW w:w="0" w:type="auto"/>
        <w:tblInd w:w="2268" w:type="dxa"/>
        <w:tblLayout w:type="fixed"/>
        <w:tblCellMar>
          <w:top w:w="0" w:type="dxa"/>
          <w:left w:w="108" w:type="dxa"/>
          <w:bottom w:w="0" w:type="dxa"/>
          <w:right w:w="108" w:type="dxa"/>
        </w:tblCellMar>
      </w:tblPr>
      <w:tblGrid>
        <w:gridCol w:w="2410"/>
        <w:gridCol w:w="287"/>
        <w:gridCol w:w="4107"/>
      </w:tblGrid>
      <w:tr w14:paraId="03FE595F">
        <w:tblPrEx>
          <w:tblCellMar>
            <w:top w:w="0" w:type="dxa"/>
            <w:left w:w="108" w:type="dxa"/>
            <w:bottom w:w="0" w:type="dxa"/>
            <w:right w:w="108" w:type="dxa"/>
          </w:tblCellMar>
        </w:tblPrEx>
        <w:trPr>
          <w:trHeight w:val="680" w:hRule="atLeast"/>
        </w:trPr>
        <w:tc>
          <w:tcPr>
            <w:tcW w:w="2410" w:type="dxa"/>
            <w:noWrap w:val="0"/>
            <w:vAlign w:val="bottom"/>
          </w:tcPr>
          <w:p w14:paraId="65E8A56A">
            <w:pPr>
              <w:pStyle w:val="18"/>
              <w:keepNext w:val="0"/>
              <w:keepLines w:val="0"/>
              <w:suppressLineNumbers w:val="0"/>
              <w:spacing w:before="0" w:beforeAutospacing="0" w:afterAutospacing="0"/>
              <w:ind w:left="0" w:right="0"/>
              <w:jc w:val="distribute"/>
              <w:rPr>
                <w:rFonts w:hint="eastAsia" w:ascii="仿宋" w:hAnsi="仿宋" w:eastAsia="仿宋" w:cs="仿宋"/>
                <w:b w:val="0"/>
                <w:color w:val="auto"/>
                <w:sz w:val="24"/>
                <w:szCs w:val="24"/>
                <w:highlight w:val="none"/>
              </w:rPr>
            </w:pPr>
            <w:r>
              <w:rPr>
                <w:rFonts w:hint="eastAsia" w:ascii="仿宋" w:hAnsi="仿宋" w:eastAsia="仿宋" w:cs="仿宋"/>
                <w:b w:val="0"/>
                <w:color w:val="auto"/>
                <w:sz w:val="24"/>
                <w:highlight w:val="none"/>
              </w:rPr>
              <w:t>供应商名称</w:t>
            </w:r>
          </w:p>
        </w:tc>
        <w:tc>
          <w:tcPr>
            <w:tcW w:w="287" w:type="dxa"/>
            <w:noWrap w:val="0"/>
            <w:vAlign w:val="bottom"/>
          </w:tcPr>
          <w:p w14:paraId="2FDBC2E2">
            <w:pPr>
              <w:pStyle w:val="18"/>
              <w:keepNext w:val="0"/>
              <w:keepLines w:val="0"/>
              <w:suppressLineNumbers w:val="0"/>
              <w:spacing w:before="0" w:beforeAutospacing="0" w:afterAutospacing="0"/>
              <w:ind w:left="0" w:right="0"/>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w:t>
            </w:r>
          </w:p>
        </w:tc>
        <w:tc>
          <w:tcPr>
            <w:tcW w:w="4107" w:type="dxa"/>
            <w:noWrap w:val="0"/>
            <w:vAlign w:val="bottom"/>
          </w:tcPr>
          <w:p w14:paraId="6A23526C">
            <w:pPr>
              <w:pStyle w:val="18"/>
              <w:keepNext w:val="0"/>
              <w:keepLines w:val="0"/>
              <w:suppressLineNumbers w:val="0"/>
              <w:spacing w:before="0" w:beforeAutospacing="0" w:afterAutospacing="0"/>
              <w:ind w:left="0" w:right="0"/>
              <w:rPr>
                <w:rFonts w:hint="eastAsia" w:ascii="仿宋" w:hAnsi="仿宋" w:eastAsia="仿宋" w:cs="仿宋"/>
                <w:b w:val="0"/>
                <w:color w:val="auto"/>
                <w:sz w:val="24"/>
                <w:szCs w:val="24"/>
                <w:highlight w:val="none"/>
                <w:u w:val="single"/>
              </w:rPr>
            </w:pP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u w:val="single"/>
                <w:lang w:val="en-US" w:eastAsia="zh-CN"/>
              </w:rPr>
              <w:t xml:space="preserve">       </w:t>
            </w:r>
            <w:r>
              <w:rPr>
                <w:rFonts w:hint="eastAsia" w:ascii="仿宋" w:hAnsi="仿宋" w:eastAsia="仿宋" w:cs="仿宋"/>
                <w:b w:val="0"/>
                <w:color w:val="auto"/>
                <w:sz w:val="24"/>
                <w:highlight w:val="none"/>
                <w:u w:val="single"/>
              </w:rPr>
              <w:t>（公章）</w:t>
            </w:r>
            <w:r>
              <w:rPr>
                <w:rFonts w:hint="eastAsia" w:ascii="仿宋" w:hAnsi="仿宋" w:eastAsia="仿宋" w:cs="仿宋"/>
                <w:b w:val="0"/>
                <w:color w:val="auto"/>
                <w:sz w:val="24"/>
                <w:szCs w:val="24"/>
                <w:highlight w:val="none"/>
                <w:u w:val="single"/>
              </w:rPr>
              <w:t xml:space="preserve">           </w:t>
            </w:r>
          </w:p>
        </w:tc>
      </w:tr>
      <w:tr w14:paraId="43EDC034">
        <w:tblPrEx>
          <w:tblCellMar>
            <w:top w:w="0" w:type="dxa"/>
            <w:left w:w="108" w:type="dxa"/>
            <w:bottom w:w="0" w:type="dxa"/>
            <w:right w:w="108" w:type="dxa"/>
          </w:tblCellMar>
        </w:tblPrEx>
        <w:trPr>
          <w:trHeight w:val="819" w:hRule="atLeast"/>
        </w:trPr>
        <w:tc>
          <w:tcPr>
            <w:tcW w:w="2410" w:type="dxa"/>
            <w:noWrap w:val="0"/>
            <w:vAlign w:val="bottom"/>
          </w:tcPr>
          <w:p w14:paraId="493C0954">
            <w:pPr>
              <w:pStyle w:val="18"/>
              <w:keepNext w:val="0"/>
              <w:keepLines w:val="0"/>
              <w:suppressLineNumbers w:val="0"/>
              <w:spacing w:before="0" w:beforeAutospacing="0" w:afterAutospacing="0"/>
              <w:ind w:left="0" w:right="0"/>
              <w:jc w:val="distribute"/>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法定代表人</w:t>
            </w:r>
          </w:p>
          <w:p w14:paraId="57A27069">
            <w:pPr>
              <w:pStyle w:val="18"/>
              <w:keepNext w:val="0"/>
              <w:keepLines w:val="0"/>
              <w:suppressLineNumbers w:val="0"/>
              <w:spacing w:before="0" w:beforeAutospacing="0" w:afterAutospacing="0"/>
              <w:ind w:left="0" w:right="0"/>
              <w:jc w:val="distribute"/>
              <w:rPr>
                <w:rFonts w:hint="eastAsia" w:ascii="仿宋" w:hAnsi="仿宋" w:eastAsia="仿宋" w:cs="仿宋"/>
                <w:b w:val="0"/>
                <w:color w:val="auto"/>
                <w:sz w:val="24"/>
                <w:szCs w:val="24"/>
                <w:highlight w:val="none"/>
              </w:rPr>
            </w:pPr>
            <w:r>
              <w:rPr>
                <w:rFonts w:hint="eastAsia" w:ascii="仿宋" w:hAnsi="仿宋" w:eastAsia="仿宋" w:cs="仿宋"/>
                <w:b w:val="0"/>
                <w:color w:val="auto"/>
                <w:sz w:val="24"/>
                <w:highlight w:val="none"/>
              </w:rPr>
              <w:t>（签字或盖章）</w:t>
            </w:r>
          </w:p>
        </w:tc>
        <w:tc>
          <w:tcPr>
            <w:tcW w:w="287" w:type="dxa"/>
            <w:noWrap w:val="0"/>
            <w:vAlign w:val="bottom"/>
          </w:tcPr>
          <w:p w14:paraId="69E77A9A">
            <w:pPr>
              <w:pStyle w:val="18"/>
              <w:keepNext w:val="0"/>
              <w:keepLines w:val="0"/>
              <w:suppressLineNumbers w:val="0"/>
              <w:spacing w:before="0" w:beforeAutospacing="0" w:afterAutospacing="0"/>
              <w:ind w:left="0" w:right="0"/>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w:t>
            </w:r>
          </w:p>
        </w:tc>
        <w:tc>
          <w:tcPr>
            <w:tcW w:w="4107" w:type="dxa"/>
            <w:noWrap w:val="0"/>
            <w:vAlign w:val="bottom"/>
          </w:tcPr>
          <w:p w14:paraId="31AA1328">
            <w:pPr>
              <w:pStyle w:val="18"/>
              <w:keepNext w:val="0"/>
              <w:keepLines w:val="0"/>
              <w:suppressLineNumbers w:val="0"/>
              <w:spacing w:before="0" w:beforeAutospacing="0" w:afterAutospacing="0"/>
              <w:ind w:left="0" w:right="0"/>
              <w:rPr>
                <w:rFonts w:hint="eastAsia" w:ascii="仿宋" w:hAnsi="仿宋" w:eastAsia="仿宋" w:cs="仿宋"/>
                <w:b w:val="0"/>
                <w:color w:val="auto"/>
                <w:sz w:val="24"/>
                <w:szCs w:val="24"/>
                <w:highlight w:val="none"/>
                <w:u w:val="single"/>
              </w:rPr>
            </w:pP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000000"/>
                <w:sz w:val="24"/>
                <w:szCs w:val="24"/>
                <w:highlight w:val="none"/>
                <w:u w:val="single"/>
                <w:lang w:val="en-US" w:eastAsia="zh-CN"/>
              </w:rPr>
              <w:t xml:space="preserve">            </w:t>
            </w:r>
            <w:r>
              <w:rPr>
                <w:rFonts w:hint="eastAsia" w:ascii="仿宋" w:hAnsi="仿宋" w:eastAsia="仿宋" w:cs="仿宋"/>
                <w:b w:val="0"/>
                <w:color w:val="000000"/>
                <w:sz w:val="24"/>
                <w:highlight w:val="none"/>
                <w:u w:val="single"/>
                <w:lang w:val="en-US" w:eastAsia="zh-CN"/>
              </w:rPr>
              <w:t>（签字或盖章）</w:t>
            </w:r>
            <w:r>
              <w:rPr>
                <w:rFonts w:hint="eastAsia" w:ascii="仿宋" w:hAnsi="仿宋" w:eastAsia="仿宋" w:cs="仿宋"/>
                <w:b w:val="0"/>
                <w:color w:val="auto"/>
                <w:sz w:val="24"/>
                <w:szCs w:val="24"/>
                <w:highlight w:val="none"/>
                <w:u w:val="single"/>
              </w:rPr>
              <w:t xml:space="preserve">                            </w:t>
            </w:r>
          </w:p>
        </w:tc>
      </w:tr>
      <w:tr w14:paraId="24AD4253">
        <w:tblPrEx>
          <w:tblCellMar>
            <w:top w:w="0" w:type="dxa"/>
            <w:left w:w="108" w:type="dxa"/>
            <w:bottom w:w="0" w:type="dxa"/>
            <w:right w:w="108" w:type="dxa"/>
          </w:tblCellMar>
        </w:tblPrEx>
        <w:trPr>
          <w:trHeight w:val="817" w:hRule="atLeast"/>
        </w:trPr>
        <w:tc>
          <w:tcPr>
            <w:tcW w:w="2410" w:type="dxa"/>
            <w:noWrap w:val="0"/>
            <w:vAlign w:val="bottom"/>
          </w:tcPr>
          <w:p w14:paraId="5D044117">
            <w:pPr>
              <w:pStyle w:val="18"/>
              <w:keepNext w:val="0"/>
              <w:keepLines w:val="0"/>
              <w:suppressLineNumbers w:val="0"/>
              <w:spacing w:before="0" w:beforeAutospacing="0" w:afterAutospacing="0"/>
              <w:ind w:left="0" w:right="0"/>
              <w:jc w:val="distribute"/>
              <w:rPr>
                <w:rFonts w:hint="eastAsia" w:ascii="仿宋" w:hAnsi="仿宋" w:eastAsia="仿宋" w:cs="仿宋"/>
                <w:b w:val="0"/>
                <w:color w:val="auto"/>
                <w:sz w:val="24"/>
                <w:szCs w:val="24"/>
                <w:highlight w:val="none"/>
              </w:rPr>
            </w:pPr>
            <w:r>
              <w:rPr>
                <w:rFonts w:hint="eastAsia" w:ascii="仿宋" w:hAnsi="仿宋" w:eastAsia="仿宋" w:cs="仿宋"/>
                <w:b w:val="0"/>
                <w:color w:val="auto"/>
                <w:sz w:val="24"/>
                <w:highlight w:val="none"/>
              </w:rPr>
              <w:t>被授权代表（签字或盖章）</w:t>
            </w:r>
          </w:p>
        </w:tc>
        <w:tc>
          <w:tcPr>
            <w:tcW w:w="287" w:type="dxa"/>
            <w:noWrap w:val="0"/>
            <w:vAlign w:val="bottom"/>
          </w:tcPr>
          <w:p w14:paraId="73E5B302">
            <w:pPr>
              <w:pStyle w:val="18"/>
              <w:keepNext w:val="0"/>
              <w:keepLines w:val="0"/>
              <w:suppressLineNumbers w:val="0"/>
              <w:spacing w:before="0" w:beforeAutospacing="0" w:afterAutospacing="0"/>
              <w:ind w:left="0" w:right="0"/>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w:t>
            </w:r>
          </w:p>
        </w:tc>
        <w:tc>
          <w:tcPr>
            <w:tcW w:w="4107" w:type="dxa"/>
            <w:noWrap w:val="0"/>
            <w:vAlign w:val="bottom"/>
          </w:tcPr>
          <w:p w14:paraId="23C2248F">
            <w:pPr>
              <w:pStyle w:val="18"/>
              <w:keepNext w:val="0"/>
              <w:keepLines w:val="0"/>
              <w:suppressLineNumbers w:val="0"/>
              <w:spacing w:before="0" w:beforeAutospacing="0" w:afterAutospacing="0"/>
              <w:ind w:left="0" w:right="0"/>
              <w:rPr>
                <w:rFonts w:hint="eastAsia" w:ascii="仿宋" w:hAnsi="仿宋" w:eastAsia="仿宋" w:cs="仿宋"/>
                <w:b w:val="0"/>
                <w:color w:val="auto"/>
                <w:sz w:val="24"/>
                <w:szCs w:val="24"/>
                <w:highlight w:val="none"/>
                <w:u w:val="single"/>
              </w:rPr>
            </w:pPr>
            <w:r>
              <w:rPr>
                <w:rFonts w:hint="eastAsia" w:ascii="仿宋" w:hAnsi="仿宋" w:eastAsia="仿宋" w:cs="仿宋"/>
                <w:b w:val="0"/>
                <w:color w:val="000000"/>
                <w:sz w:val="24"/>
                <w:szCs w:val="24"/>
                <w:highlight w:val="none"/>
                <w:u w:val="single"/>
                <w:lang w:val="en-US" w:eastAsia="zh-CN"/>
              </w:rPr>
              <w:t xml:space="preserve">              </w:t>
            </w:r>
            <w:r>
              <w:rPr>
                <w:rFonts w:hint="eastAsia" w:ascii="仿宋" w:hAnsi="仿宋" w:eastAsia="仿宋" w:cs="仿宋"/>
                <w:b w:val="0"/>
                <w:color w:val="000000"/>
                <w:sz w:val="24"/>
                <w:highlight w:val="none"/>
                <w:u w:val="single"/>
                <w:lang w:val="en-US" w:eastAsia="zh-CN"/>
              </w:rPr>
              <w:t>（签字或盖章）</w:t>
            </w:r>
            <w:r>
              <w:rPr>
                <w:rFonts w:hint="eastAsia" w:ascii="仿宋" w:hAnsi="仿宋" w:eastAsia="仿宋" w:cs="仿宋"/>
                <w:b w:val="0"/>
                <w:color w:val="000000"/>
                <w:sz w:val="24"/>
                <w:szCs w:val="24"/>
                <w:highlight w:val="none"/>
                <w:u w:val="single"/>
                <w:lang w:val="en-US" w:eastAsia="zh-CN"/>
              </w:rPr>
              <w:t xml:space="preserve">                              </w:t>
            </w:r>
          </w:p>
        </w:tc>
      </w:tr>
      <w:tr w14:paraId="3EC67C61">
        <w:tblPrEx>
          <w:tblCellMar>
            <w:top w:w="0" w:type="dxa"/>
            <w:left w:w="108" w:type="dxa"/>
            <w:bottom w:w="0" w:type="dxa"/>
            <w:right w:w="108" w:type="dxa"/>
          </w:tblCellMar>
        </w:tblPrEx>
        <w:trPr>
          <w:trHeight w:val="680" w:hRule="atLeast"/>
        </w:trPr>
        <w:tc>
          <w:tcPr>
            <w:tcW w:w="2410" w:type="dxa"/>
            <w:noWrap w:val="0"/>
            <w:vAlign w:val="bottom"/>
          </w:tcPr>
          <w:p w14:paraId="5BA93744">
            <w:pPr>
              <w:pStyle w:val="18"/>
              <w:keepNext w:val="0"/>
              <w:keepLines w:val="0"/>
              <w:suppressLineNumbers w:val="0"/>
              <w:spacing w:before="0" w:beforeAutospacing="0" w:afterAutospacing="0"/>
              <w:ind w:left="0" w:right="0"/>
              <w:jc w:val="distribute"/>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日期</w:t>
            </w:r>
          </w:p>
        </w:tc>
        <w:tc>
          <w:tcPr>
            <w:tcW w:w="287" w:type="dxa"/>
            <w:noWrap w:val="0"/>
            <w:vAlign w:val="bottom"/>
          </w:tcPr>
          <w:p w14:paraId="0A1DD093">
            <w:pPr>
              <w:pStyle w:val="18"/>
              <w:keepNext w:val="0"/>
              <w:keepLines w:val="0"/>
              <w:suppressLineNumbers w:val="0"/>
              <w:spacing w:before="0" w:beforeAutospacing="0" w:afterAutospacing="0"/>
              <w:ind w:left="0" w:right="0"/>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w:t>
            </w:r>
          </w:p>
        </w:tc>
        <w:tc>
          <w:tcPr>
            <w:tcW w:w="4107" w:type="dxa"/>
            <w:noWrap w:val="0"/>
            <w:vAlign w:val="bottom"/>
          </w:tcPr>
          <w:p w14:paraId="79D47F19">
            <w:pPr>
              <w:pStyle w:val="18"/>
              <w:keepNext w:val="0"/>
              <w:keepLines w:val="0"/>
              <w:suppressLineNumbers w:val="0"/>
              <w:spacing w:before="0" w:beforeAutospacing="0" w:afterAutospacing="0"/>
              <w:ind w:left="0" w:right="0"/>
              <w:rPr>
                <w:rFonts w:hint="eastAsia" w:ascii="仿宋" w:hAnsi="仿宋" w:eastAsia="仿宋" w:cs="仿宋"/>
                <w:b w:val="0"/>
                <w:color w:val="auto"/>
                <w:sz w:val="24"/>
                <w:szCs w:val="24"/>
                <w:highlight w:val="none"/>
                <w:u w:val="single"/>
              </w:rPr>
            </w:pPr>
            <w:r>
              <w:rPr>
                <w:rFonts w:hint="eastAsia" w:ascii="仿宋" w:hAnsi="仿宋" w:eastAsia="仿宋" w:cs="仿宋"/>
                <w:b w:val="0"/>
                <w:color w:val="000000"/>
                <w:sz w:val="24"/>
                <w:szCs w:val="24"/>
                <w:highlight w:val="none"/>
                <w:u w:val="single"/>
                <w:lang w:val="en-US" w:eastAsia="zh-CN"/>
              </w:rPr>
              <w:t xml:space="preserve">      年       月       日                                  </w:t>
            </w:r>
          </w:p>
        </w:tc>
      </w:tr>
    </w:tbl>
    <w:p w14:paraId="5B2F6D47">
      <w:pPr>
        <w:spacing w:line="360" w:lineRule="auto"/>
        <w:jc w:val="right"/>
        <w:rPr>
          <w:rFonts w:hint="eastAsia" w:ascii="仿宋" w:hAnsi="仿宋" w:eastAsia="仿宋" w:cs="仿宋"/>
          <w:b/>
          <w:bCs/>
          <w:color w:val="auto"/>
          <w:sz w:val="24"/>
          <w:highlight w:val="none"/>
        </w:rPr>
      </w:pPr>
    </w:p>
    <w:p w14:paraId="58B15970">
      <w:pPr>
        <w:spacing w:line="360" w:lineRule="auto"/>
        <w:jc w:val="right"/>
        <w:rPr>
          <w:rFonts w:hint="eastAsia" w:ascii="仿宋" w:hAnsi="仿宋" w:eastAsia="仿宋" w:cs="仿宋"/>
          <w:b/>
          <w:bCs/>
          <w:color w:val="auto"/>
          <w:sz w:val="24"/>
          <w:highlight w:val="none"/>
        </w:rPr>
      </w:pPr>
    </w:p>
    <w:p w14:paraId="7885AD3C">
      <w:pPr>
        <w:spacing w:line="360" w:lineRule="auto"/>
        <w:jc w:val="right"/>
        <w:rPr>
          <w:rFonts w:hint="eastAsia" w:ascii="仿宋" w:hAnsi="仿宋" w:eastAsia="仿宋" w:cs="仿宋"/>
          <w:b/>
          <w:bCs/>
          <w:color w:val="auto"/>
          <w:sz w:val="24"/>
          <w:highlight w:val="none"/>
        </w:rPr>
      </w:pPr>
    </w:p>
    <w:p w14:paraId="770C3709">
      <w:pPr>
        <w:spacing w:line="360" w:lineRule="auto"/>
        <w:rPr>
          <w:rFonts w:hint="eastAsia" w:ascii="仿宋" w:hAnsi="仿宋" w:eastAsia="仿宋" w:cs="仿宋"/>
          <w:b/>
          <w:bCs/>
          <w:color w:val="auto"/>
          <w:sz w:val="24"/>
          <w:highlight w:val="none"/>
        </w:rPr>
      </w:pPr>
      <w:bookmarkStart w:id="374" w:name="_Toc332805171"/>
      <w:bookmarkStart w:id="375" w:name="_Toc332805616"/>
      <w:r>
        <w:rPr>
          <w:rFonts w:hint="eastAsia" w:ascii="仿宋" w:hAnsi="仿宋" w:eastAsia="仿宋" w:cs="仿宋"/>
          <w:b/>
          <w:bCs/>
          <w:color w:val="auto"/>
          <w:sz w:val="24"/>
          <w:highlight w:val="none"/>
        </w:rPr>
        <w:t>附件</w:t>
      </w:r>
      <w:r>
        <w:rPr>
          <w:rFonts w:hint="eastAsia" w:ascii="仿宋" w:hAnsi="仿宋" w:eastAsia="仿宋" w:cs="仿宋"/>
          <w:b/>
          <w:bCs/>
          <w:color w:val="auto"/>
          <w:sz w:val="24"/>
          <w:highlight w:val="none"/>
          <w:lang w:val="en-US" w:eastAsia="zh-CN"/>
        </w:rPr>
        <w:t>5</w:t>
      </w:r>
      <w:r>
        <w:rPr>
          <w:rFonts w:hint="eastAsia" w:ascii="仿宋" w:hAnsi="仿宋" w:eastAsia="仿宋" w:cs="仿宋"/>
          <w:b/>
          <w:bCs/>
          <w:color w:val="auto"/>
          <w:sz w:val="24"/>
          <w:highlight w:val="none"/>
        </w:rPr>
        <w:t>-3供应商财务状况证明文件</w:t>
      </w:r>
      <w:bookmarkEnd w:id="374"/>
      <w:bookmarkEnd w:id="375"/>
    </w:p>
    <w:p w14:paraId="1C49C437">
      <w:pPr>
        <w:spacing w:line="360" w:lineRule="auto"/>
        <w:rPr>
          <w:rFonts w:hint="eastAsia" w:ascii="仿宋" w:hAnsi="仿宋" w:eastAsia="仿宋" w:cs="仿宋"/>
          <w:b/>
          <w:bCs/>
          <w:color w:val="auto"/>
          <w:sz w:val="24"/>
          <w:highlight w:val="none"/>
        </w:rPr>
      </w:pPr>
    </w:p>
    <w:p w14:paraId="3FA75760">
      <w:pPr>
        <w:tabs>
          <w:tab w:val="left" w:pos="5580"/>
        </w:tabs>
        <w:spacing w:before="120" w:line="312"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p w14:paraId="1AFBCAA9">
      <w:pPr>
        <w:tabs>
          <w:tab w:val="left" w:pos="5580"/>
        </w:tabs>
        <w:spacing w:before="120" w:line="312" w:lineRule="auto"/>
        <w:ind w:firstLine="424" w:firstLineChars="177"/>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1、供应商需提供2024年度经审计的财务报告或</w:t>
      </w:r>
      <w:r>
        <w:rPr>
          <w:rFonts w:hint="eastAsia" w:ascii="仿宋" w:hAnsi="仿宋" w:eastAsia="仿宋" w:cs="仿宋"/>
          <w:color w:val="auto"/>
          <w:sz w:val="24"/>
          <w:highlight w:val="none"/>
          <w:lang w:val="en-US" w:eastAsia="zh-CN"/>
        </w:rPr>
        <w:t>谈判</w:t>
      </w:r>
      <w:r>
        <w:rPr>
          <w:rFonts w:hint="eastAsia" w:ascii="仿宋" w:hAnsi="仿宋" w:eastAsia="仿宋" w:cs="仿宋"/>
          <w:color w:val="auto"/>
          <w:sz w:val="24"/>
          <w:highlight w:val="none"/>
        </w:rPr>
        <w:t>日期前12个月内银行出具的资信证明。</w:t>
      </w:r>
    </w:p>
    <w:p w14:paraId="704941F9">
      <w:pPr>
        <w:tabs>
          <w:tab w:val="left" w:pos="5580"/>
        </w:tabs>
        <w:spacing w:before="120" w:line="360" w:lineRule="auto"/>
        <w:ind w:firstLine="424" w:firstLineChars="177"/>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2、供应商提供了财政部门认可的政府采购专业担保机构出具的担保函，则不需要提供上述财务状况报告。</w:t>
      </w:r>
    </w:p>
    <w:p w14:paraId="377E8936">
      <w:pPr>
        <w:pStyle w:val="18"/>
        <w:rPr>
          <w:rFonts w:hint="eastAsia" w:ascii="仿宋" w:hAnsi="仿宋" w:eastAsia="仿宋" w:cs="仿宋"/>
          <w:bCs/>
          <w:color w:val="auto"/>
          <w:sz w:val="24"/>
          <w:szCs w:val="24"/>
          <w:highlight w:val="none"/>
        </w:rPr>
      </w:pPr>
    </w:p>
    <w:p w14:paraId="0BF78CE5">
      <w:pPr>
        <w:spacing w:line="360" w:lineRule="auto"/>
        <w:rPr>
          <w:rFonts w:hint="eastAsia" w:ascii="仿宋" w:hAnsi="仿宋" w:eastAsia="仿宋" w:cs="仿宋"/>
          <w:color w:val="auto"/>
          <w:sz w:val="24"/>
          <w:highlight w:val="none"/>
        </w:rPr>
      </w:pPr>
    </w:p>
    <w:p w14:paraId="5F7EFD36">
      <w:pPr>
        <w:spacing w:line="360" w:lineRule="auto"/>
        <w:rPr>
          <w:rFonts w:hint="eastAsia" w:ascii="仿宋" w:hAnsi="仿宋" w:eastAsia="仿宋" w:cs="仿宋"/>
          <w:color w:val="auto"/>
          <w:sz w:val="24"/>
          <w:highlight w:val="none"/>
        </w:rPr>
      </w:pPr>
    </w:p>
    <w:p w14:paraId="2DC8262E">
      <w:pPr>
        <w:spacing w:line="360" w:lineRule="auto"/>
        <w:outlineLvl w:val="3"/>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br w:type="page"/>
      </w:r>
      <w:bookmarkStart w:id="376" w:name="_Toc332805617"/>
      <w:bookmarkStart w:id="377" w:name="_Toc332805172"/>
      <w:r>
        <w:rPr>
          <w:rFonts w:hint="eastAsia" w:ascii="仿宋" w:hAnsi="仿宋" w:eastAsia="仿宋" w:cs="仿宋"/>
          <w:b/>
          <w:bCs/>
          <w:color w:val="auto"/>
          <w:sz w:val="24"/>
          <w:highlight w:val="none"/>
        </w:rPr>
        <w:t>附件</w:t>
      </w:r>
      <w:r>
        <w:rPr>
          <w:rFonts w:hint="eastAsia" w:ascii="仿宋" w:hAnsi="仿宋" w:eastAsia="仿宋" w:cs="仿宋"/>
          <w:b/>
          <w:bCs/>
          <w:color w:val="auto"/>
          <w:sz w:val="24"/>
          <w:highlight w:val="none"/>
          <w:lang w:val="en-US" w:eastAsia="zh-CN"/>
        </w:rPr>
        <w:t>5</w:t>
      </w:r>
      <w:r>
        <w:rPr>
          <w:rFonts w:hint="eastAsia" w:ascii="仿宋" w:hAnsi="仿宋" w:eastAsia="仿宋" w:cs="仿宋"/>
          <w:b/>
          <w:bCs/>
          <w:color w:val="auto"/>
          <w:sz w:val="24"/>
          <w:highlight w:val="none"/>
        </w:rPr>
        <w:t>-4 社会保障资金缴纳记录证明文件</w:t>
      </w:r>
      <w:bookmarkEnd w:id="376"/>
      <w:bookmarkEnd w:id="377"/>
    </w:p>
    <w:p w14:paraId="5697178C">
      <w:pPr>
        <w:spacing w:line="360" w:lineRule="auto"/>
        <w:rPr>
          <w:rFonts w:hint="eastAsia" w:ascii="仿宋" w:hAnsi="仿宋" w:eastAsia="仿宋" w:cs="仿宋"/>
          <w:b/>
          <w:bCs/>
          <w:color w:val="auto"/>
          <w:sz w:val="24"/>
          <w:highlight w:val="none"/>
        </w:rPr>
      </w:pPr>
    </w:p>
    <w:p w14:paraId="4D2691AD">
      <w:pPr>
        <w:spacing w:before="120" w:line="360" w:lineRule="auto"/>
        <w:ind w:firstLine="470" w:firstLineChars="196"/>
        <w:rPr>
          <w:rFonts w:hint="eastAsia" w:ascii="仿宋" w:hAnsi="仿宋" w:eastAsia="仿宋" w:cs="仿宋"/>
          <w:color w:val="auto"/>
          <w:sz w:val="24"/>
          <w:highlight w:val="none"/>
        </w:rPr>
      </w:pPr>
      <w:bookmarkStart w:id="378" w:name="_Toc109543226"/>
      <w:bookmarkStart w:id="379" w:name="_Toc109542406"/>
      <w:r>
        <w:rPr>
          <w:rFonts w:hint="eastAsia" w:ascii="仿宋" w:hAnsi="仿宋" w:eastAsia="仿宋" w:cs="仿宋"/>
          <w:color w:val="auto"/>
          <w:sz w:val="24"/>
          <w:highlight w:val="none"/>
        </w:rPr>
        <w:t>说明：</w:t>
      </w:r>
    </w:p>
    <w:p w14:paraId="7E04737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b/>
          <w:bCs/>
          <w:color w:val="auto"/>
          <w:sz w:val="24"/>
          <w:highlight w:val="none"/>
        </w:rPr>
        <w:t>供应商按照供应商须知前附表第1</w:t>
      </w:r>
      <w:r>
        <w:rPr>
          <w:rFonts w:hint="eastAsia" w:ascii="仿宋" w:hAnsi="仿宋" w:eastAsia="仿宋" w:cs="仿宋"/>
          <w:b/>
          <w:bCs/>
          <w:color w:val="auto"/>
          <w:sz w:val="24"/>
          <w:highlight w:val="none"/>
          <w:lang w:val="en-US" w:eastAsia="zh-CN"/>
        </w:rPr>
        <w:t>3</w:t>
      </w:r>
      <w:r>
        <w:rPr>
          <w:rFonts w:hint="eastAsia" w:ascii="仿宋" w:hAnsi="仿宋" w:eastAsia="仿宋" w:cs="仿宋"/>
          <w:b/>
          <w:bCs/>
          <w:color w:val="auto"/>
          <w:sz w:val="24"/>
          <w:highlight w:val="none"/>
        </w:rPr>
        <w:t>条的内容提供证明材料</w:t>
      </w:r>
      <w:r>
        <w:rPr>
          <w:rFonts w:hint="eastAsia" w:ascii="仿宋" w:hAnsi="仿宋" w:eastAsia="仿宋" w:cs="仿宋"/>
          <w:color w:val="auto"/>
          <w:sz w:val="24"/>
          <w:highlight w:val="none"/>
        </w:rPr>
        <w:t>；</w:t>
      </w:r>
    </w:p>
    <w:p w14:paraId="531B730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2、国家、地方工商管理部门或者其他相关管理部门对社会保障资金缴纳（如免缴）有特别政策的，须提供相关政策文件复印件以及供应商满足相关政策文件的证明文件。</w:t>
      </w:r>
    </w:p>
    <w:bookmarkEnd w:id="378"/>
    <w:bookmarkEnd w:id="379"/>
    <w:p w14:paraId="52AC2F2F">
      <w:pPr>
        <w:spacing w:line="360" w:lineRule="auto"/>
        <w:rPr>
          <w:rFonts w:hint="eastAsia" w:ascii="仿宋" w:hAnsi="仿宋" w:eastAsia="仿宋" w:cs="仿宋"/>
          <w:color w:val="auto"/>
          <w:sz w:val="24"/>
          <w:highlight w:val="none"/>
        </w:rPr>
      </w:pPr>
    </w:p>
    <w:p w14:paraId="129B5755">
      <w:pPr>
        <w:spacing w:line="360" w:lineRule="auto"/>
        <w:outlineLvl w:val="3"/>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bookmarkStart w:id="380" w:name="_Toc332805173"/>
      <w:bookmarkStart w:id="381" w:name="_Toc332805618"/>
      <w:r>
        <w:rPr>
          <w:rFonts w:hint="eastAsia" w:ascii="仿宋" w:hAnsi="仿宋" w:eastAsia="仿宋" w:cs="仿宋"/>
          <w:b/>
          <w:bCs/>
          <w:color w:val="auto"/>
          <w:sz w:val="24"/>
          <w:highlight w:val="none"/>
        </w:rPr>
        <w:t>附件</w:t>
      </w:r>
      <w:r>
        <w:rPr>
          <w:rFonts w:hint="eastAsia" w:ascii="仿宋" w:hAnsi="仿宋" w:eastAsia="仿宋" w:cs="仿宋"/>
          <w:b/>
          <w:bCs/>
          <w:color w:val="auto"/>
          <w:sz w:val="24"/>
          <w:highlight w:val="none"/>
          <w:lang w:val="en-US" w:eastAsia="zh-CN"/>
        </w:rPr>
        <w:t>5</w:t>
      </w:r>
      <w:r>
        <w:rPr>
          <w:rFonts w:hint="eastAsia" w:ascii="仿宋" w:hAnsi="仿宋" w:eastAsia="仿宋" w:cs="仿宋"/>
          <w:b/>
          <w:bCs/>
          <w:color w:val="auto"/>
          <w:sz w:val="24"/>
          <w:highlight w:val="none"/>
        </w:rPr>
        <w:t>-5 依法缴纳税收记录证明文件</w:t>
      </w:r>
      <w:bookmarkEnd w:id="380"/>
      <w:bookmarkEnd w:id="381"/>
    </w:p>
    <w:p w14:paraId="3F5BF5BB">
      <w:pPr>
        <w:spacing w:line="360" w:lineRule="auto"/>
        <w:rPr>
          <w:rFonts w:hint="eastAsia" w:ascii="仿宋" w:hAnsi="仿宋" w:eastAsia="仿宋" w:cs="仿宋"/>
          <w:color w:val="auto"/>
          <w:sz w:val="24"/>
          <w:highlight w:val="none"/>
        </w:rPr>
      </w:pPr>
    </w:p>
    <w:p w14:paraId="78B65641">
      <w:pPr>
        <w:spacing w:before="120"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p w14:paraId="255A4DA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b/>
          <w:bCs/>
          <w:color w:val="auto"/>
          <w:sz w:val="24"/>
          <w:highlight w:val="none"/>
        </w:rPr>
        <w:t>供应商按照供应商须知前附表第1</w:t>
      </w:r>
      <w:r>
        <w:rPr>
          <w:rFonts w:hint="eastAsia" w:ascii="仿宋" w:hAnsi="仿宋" w:eastAsia="仿宋" w:cs="仿宋"/>
          <w:b/>
          <w:bCs/>
          <w:color w:val="auto"/>
          <w:sz w:val="24"/>
          <w:highlight w:val="none"/>
          <w:lang w:val="en-US" w:eastAsia="zh-CN"/>
        </w:rPr>
        <w:t>3</w:t>
      </w:r>
      <w:r>
        <w:rPr>
          <w:rFonts w:hint="eastAsia" w:ascii="仿宋" w:hAnsi="仿宋" w:eastAsia="仿宋" w:cs="仿宋"/>
          <w:b/>
          <w:bCs/>
          <w:color w:val="auto"/>
          <w:sz w:val="24"/>
          <w:highlight w:val="none"/>
        </w:rPr>
        <w:t>条的内容提供证明材料</w:t>
      </w:r>
      <w:r>
        <w:rPr>
          <w:rFonts w:hint="eastAsia" w:ascii="仿宋" w:hAnsi="仿宋" w:eastAsia="仿宋" w:cs="仿宋"/>
          <w:color w:val="auto"/>
          <w:sz w:val="24"/>
          <w:highlight w:val="none"/>
        </w:rPr>
        <w:t>。依法免税的供应商提供相应文件证明其依法免税。</w:t>
      </w:r>
    </w:p>
    <w:p w14:paraId="0915DA3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2、国家、地方工商管理部门或者其他相关管理部门对企业纳税有特别规定的，须提供相关政策性文件复印件和供应商满足政策文件规定的证明文件。</w:t>
      </w:r>
    </w:p>
    <w:p w14:paraId="7BBB5184">
      <w:pPr>
        <w:spacing w:line="360" w:lineRule="auto"/>
        <w:rPr>
          <w:rFonts w:hint="eastAsia" w:ascii="仿宋" w:hAnsi="仿宋" w:eastAsia="仿宋" w:cs="仿宋"/>
          <w:color w:val="auto"/>
          <w:sz w:val="24"/>
          <w:highlight w:val="none"/>
        </w:rPr>
      </w:pPr>
    </w:p>
    <w:p w14:paraId="24E95B8C">
      <w:pPr>
        <w:spacing w:line="360" w:lineRule="auto"/>
        <w:rPr>
          <w:rFonts w:hint="eastAsia" w:ascii="仿宋" w:hAnsi="仿宋" w:eastAsia="仿宋" w:cs="仿宋"/>
          <w:color w:val="auto"/>
          <w:sz w:val="24"/>
          <w:highlight w:val="none"/>
        </w:rPr>
      </w:pPr>
    </w:p>
    <w:p w14:paraId="44C08272">
      <w:pPr>
        <w:spacing w:line="360" w:lineRule="auto"/>
        <w:rPr>
          <w:rFonts w:hint="eastAsia" w:ascii="仿宋" w:hAnsi="仿宋" w:eastAsia="仿宋" w:cs="仿宋"/>
          <w:color w:val="auto"/>
          <w:sz w:val="24"/>
          <w:highlight w:val="none"/>
        </w:rPr>
      </w:pPr>
    </w:p>
    <w:p w14:paraId="4EE6C8DD">
      <w:pPr>
        <w:spacing w:line="360" w:lineRule="auto"/>
        <w:rPr>
          <w:rFonts w:hint="eastAsia" w:ascii="仿宋" w:hAnsi="仿宋" w:eastAsia="仿宋" w:cs="仿宋"/>
          <w:color w:val="auto"/>
          <w:sz w:val="24"/>
          <w:highlight w:val="none"/>
        </w:rPr>
      </w:pPr>
    </w:p>
    <w:p w14:paraId="5F946573">
      <w:pPr>
        <w:spacing w:line="360" w:lineRule="auto"/>
        <w:rPr>
          <w:rFonts w:hint="eastAsia" w:ascii="仿宋" w:hAnsi="仿宋" w:eastAsia="仿宋" w:cs="仿宋"/>
          <w:color w:val="auto"/>
          <w:sz w:val="24"/>
          <w:highlight w:val="none"/>
        </w:rPr>
      </w:pPr>
    </w:p>
    <w:p w14:paraId="1D87BD4F">
      <w:pPr>
        <w:spacing w:line="360" w:lineRule="auto"/>
        <w:rPr>
          <w:rFonts w:hint="eastAsia" w:ascii="仿宋" w:hAnsi="仿宋" w:eastAsia="仿宋" w:cs="仿宋"/>
          <w:color w:val="auto"/>
          <w:sz w:val="24"/>
          <w:highlight w:val="none"/>
        </w:rPr>
      </w:pPr>
    </w:p>
    <w:p w14:paraId="5FE96144">
      <w:pPr>
        <w:spacing w:line="360" w:lineRule="auto"/>
        <w:rPr>
          <w:rFonts w:hint="eastAsia" w:ascii="仿宋" w:hAnsi="仿宋" w:eastAsia="仿宋" w:cs="仿宋"/>
          <w:color w:val="auto"/>
          <w:sz w:val="24"/>
          <w:highlight w:val="none"/>
        </w:rPr>
      </w:pPr>
    </w:p>
    <w:p w14:paraId="56DE7501">
      <w:pPr>
        <w:spacing w:line="360" w:lineRule="auto"/>
        <w:rPr>
          <w:rFonts w:hint="eastAsia" w:ascii="仿宋" w:hAnsi="仿宋" w:eastAsia="仿宋" w:cs="仿宋"/>
          <w:color w:val="auto"/>
          <w:sz w:val="24"/>
          <w:highlight w:val="none"/>
        </w:rPr>
      </w:pPr>
    </w:p>
    <w:p w14:paraId="6F20CC7D">
      <w:pPr>
        <w:spacing w:line="360" w:lineRule="auto"/>
        <w:rPr>
          <w:rFonts w:hint="eastAsia" w:ascii="仿宋" w:hAnsi="仿宋" w:eastAsia="仿宋" w:cs="仿宋"/>
          <w:color w:val="auto"/>
          <w:sz w:val="24"/>
          <w:highlight w:val="none"/>
        </w:rPr>
      </w:pPr>
    </w:p>
    <w:p w14:paraId="2805936D">
      <w:pPr>
        <w:pStyle w:val="18"/>
        <w:rPr>
          <w:rFonts w:hint="eastAsia" w:ascii="仿宋" w:hAnsi="仿宋" w:eastAsia="仿宋" w:cs="仿宋"/>
          <w:color w:val="auto"/>
          <w:highlight w:val="none"/>
        </w:rPr>
      </w:pPr>
    </w:p>
    <w:p w14:paraId="0E28AFC1">
      <w:pPr>
        <w:pStyle w:val="18"/>
        <w:rPr>
          <w:rFonts w:hint="eastAsia" w:ascii="仿宋" w:hAnsi="仿宋" w:eastAsia="仿宋" w:cs="仿宋"/>
          <w:color w:val="auto"/>
          <w:highlight w:val="none"/>
        </w:rPr>
      </w:pPr>
    </w:p>
    <w:p w14:paraId="226B2BAA">
      <w:pPr>
        <w:spacing w:line="360" w:lineRule="auto"/>
        <w:rPr>
          <w:rFonts w:hint="eastAsia" w:ascii="仿宋" w:hAnsi="仿宋" w:eastAsia="仿宋" w:cs="仿宋"/>
          <w:color w:val="auto"/>
          <w:sz w:val="24"/>
          <w:highlight w:val="none"/>
        </w:rPr>
      </w:pPr>
    </w:p>
    <w:p w14:paraId="64D524AA">
      <w:pPr>
        <w:spacing w:line="360" w:lineRule="auto"/>
        <w:outlineLvl w:val="3"/>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br w:type="page"/>
      </w:r>
      <w:r>
        <w:rPr>
          <w:rFonts w:hint="eastAsia" w:ascii="仿宋" w:hAnsi="仿宋" w:eastAsia="仿宋" w:cs="仿宋"/>
          <w:b/>
          <w:bCs/>
          <w:color w:val="auto"/>
          <w:sz w:val="24"/>
          <w:highlight w:val="none"/>
        </w:rPr>
        <w:t>附件</w:t>
      </w:r>
      <w:r>
        <w:rPr>
          <w:rFonts w:hint="eastAsia" w:ascii="仿宋" w:hAnsi="仿宋" w:eastAsia="仿宋" w:cs="仿宋"/>
          <w:b/>
          <w:bCs/>
          <w:color w:val="auto"/>
          <w:sz w:val="24"/>
          <w:highlight w:val="none"/>
          <w:lang w:val="en-US" w:eastAsia="zh-CN"/>
        </w:rPr>
        <w:t>5</w:t>
      </w:r>
      <w:r>
        <w:rPr>
          <w:rFonts w:hint="eastAsia" w:ascii="仿宋" w:hAnsi="仿宋" w:eastAsia="仿宋" w:cs="仿宋"/>
          <w:b/>
          <w:bCs/>
          <w:color w:val="auto"/>
          <w:sz w:val="24"/>
          <w:highlight w:val="none"/>
        </w:rPr>
        <w:t>-6 参加本次政府采购活动前三年内，在经营活动中没有重大违法记录的书面声明</w:t>
      </w:r>
    </w:p>
    <w:p w14:paraId="57226AE9">
      <w:pPr>
        <w:spacing w:line="40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 xml:space="preserve"> （采购人名称） </w:t>
      </w:r>
    </w:p>
    <w:p w14:paraId="1F50B2E7">
      <w:pPr>
        <w:widowControl/>
        <w:spacing w:line="50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我方作为</w:t>
      </w:r>
      <w:r>
        <w:rPr>
          <w:rFonts w:hint="eastAsia" w:ascii="仿宋" w:hAnsi="仿宋" w:eastAsia="仿宋" w:cs="仿宋"/>
          <w:color w:val="auto"/>
          <w:kern w:val="0"/>
          <w:sz w:val="24"/>
          <w:highlight w:val="none"/>
          <w:u w:val="single"/>
        </w:rPr>
        <w:t>项目名称</w:t>
      </w:r>
      <w:r>
        <w:rPr>
          <w:rFonts w:hint="eastAsia" w:ascii="仿宋" w:hAnsi="仿宋" w:eastAsia="仿宋" w:cs="仿宋"/>
          <w:color w:val="auto"/>
          <w:kern w:val="0"/>
          <w:sz w:val="24"/>
          <w:highlight w:val="none"/>
        </w:rPr>
        <w:t>（项目编号：____）的供应商，在此郑重声明：</w:t>
      </w:r>
    </w:p>
    <w:p w14:paraId="2BF858EC">
      <w:pPr>
        <w:widowControl/>
        <w:spacing w:line="50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1、在参加本次政府采购活动前3年内的经营活动中____（填“没有”或“有”）重大违法记录。供应商</w:t>
      </w:r>
      <w:r>
        <w:rPr>
          <w:rFonts w:hint="eastAsia" w:ascii="仿宋" w:hAnsi="仿宋" w:eastAsia="仿宋" w:cs="仿宋"/>
          <w:b/>
          <w:bCs/>
          <w:color w:val="auto"/>
          <w:kern w:val="0"/>
          <w:sz w:val="24"/>
          <w:highlight w:val="none"/>
        </w:rPr>
        <w:t>在参加政府采购活动前3年内因违法经营被禁止在一定期限内参加政府采购活动，期限届满的，可以参加政府采购活动，但应提供期限届满的证明材料。</w:t>
      </w:r>
    </w:p>
    <w:p w14:paraId="1D33B50F">
      <w:pPr>
        <w:widowControl/>
        <w:spacing w:line="50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2、我方______（填“未被列入”或“被列入”）失信被执行人名单。</w:t>
      </w:r>
    </w:p>
    <w:p w14:paraId="0D766721">
      <w:pPr>
        <w:widowControl/>
        <w:spacing w:line="50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3、我方______（填“未被列入”或“被列入”）重大税收违法案件当事人名单。</w:t>
      </w:r>
    </w:p>
    <w:p w14:paraId="7C457CF7">
      <w:pPr>
        <w:widowControl/>
        <w:spacing w:line="50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4、我方______（填“未被列入”或“被列入”）政府采购严重违法失信行为记录名单。</w:t>
      </w:r>
    </w:p>
    <w:p w14:paraId="5E97D060">
      <w:pPr>
        <w:widowControl/>
        <w:spacing w:line="50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如有不实，我方将无条件地退出本项目的采购活动，并遵照《政府采购法》有关“提供虚假材料的规定”接受处罚。</w:t>
      </w:r>
    </w:p>
    <w:p w14:paraId="79FA5843">
      <w:pPr>
        <w:widowControl/>
        <w:spacing w:line="50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特此声明。</w:t>
      </w:r>
    </w:p>
    <w:p w14:paraId="45CC6BE7">
      <w:pPr>
        <w:widowControl/>
        <w:spacing w:line="500" w:lineRule="exact"/>
        <w:ind w:firstLine="480" w:firstLineChars="200"/>
        <w:rPr>
          <w:rFonts w:hint="eastAsia" w:ascii="仿宋" w:hAnsi="仿宋" w:eastAsia="仿宋" w:cs="仿宋"/>
          <w:color w:val="auto"/>
          <w:kern w:val="0"/>
          <w:sz w:val="24"/>
          <w:highlight w:val="none"/>
        </w:rPr>
      </w:pPr>
    </w:p>
    <w:p w14:paraId="430872AE">
      <w:pPr>
        <w:widowControl/>
        <w:spacing w:line="500" w:lineRule="exact"/>
        <w:ind w:firstLine="480" w:firstLineChars="200"/>
        <w:rPr>
          <w:rFonts w:hint="eastAsia" w:ascii="仿宋" w:hAnsi="仿宋" w:eastAsia="仿宋" w:cs="仿宋"/>
          <w:color w:val="auto"/>
          <w:kern w:val="0"/>
          <w:sz w:val="24"/>
          <w:highlight w:val="none"/>
        </w:rPr>
      </w:pPr>
    </w:p>
    <w:p w14:paraId="5B9A8F27">
      <w:pPr>
        <w:widowControl/>
        <w:spacing w:line="500" w:lineRule="exact"/>
        <w:ind w:firstLine="480" w:firstLineChars="200"/>
        <w:rPr>
          <w:rFonts w:hint="eastAsia" w:ascii="仿宋" w:hAnsi="仿宋" w:eastAsia="仿宋" w:cs="仿宋"/>
          <w:color w:val="auto"/>
          <w:kern w:val="0"/>
          <w:sz w:val="24"/>
          <w:highlight w:val="none"/>
        </w:rPr>
      </w:pPr>
    </w:p>
    <w:tbl>
      <w:tblPr>
        <w:tblStyle w:val="47"/>
        <w:tblW w:w="0" w:type="auto"/>
        <w:tblInd w:w="2376" w:type="dxa"/>
        <w:tblLayout w:type="fixed"/>
        <w:tblCellMar>
          <w:top w:w="0" w:type="dxa"/>
          <w:left w:w="108" w:type="dxa"/>
          <w:bottom w:w="0" w:type="dxa"/>
          <w:right w:w="108" w:type="dxa"/>
        </w:tblCellMar>
      </w:tblPr>
      <w:tblGrid>
        <w:gridCol w:w="2410"/>
        <w:gridCol w:w="287"/>
        <w:gridCol w:w="4107"/>
      </w:tblGrid>
      <w:tr w14:paraId="7E497DD3">
        <w:tblPrEx>
          <w:tblCellMar>
            <w:top w:w="0" w:type="dxa"/>
            <w:left w:w="108" w:type="dxa"/>
            <w:bottom w:w="0" w:type="dxa"/>
            <w:right w:w="108" w:type="dxa"/>
          </w:tblCellMar>
        </w:tblPrEx>
        <w:trPr>
          <w:trHeight w:val="680" w:hRule="atLeast"/>
        </w:trPr>
        <w:tc>
          <w:tcPr>
            <w:tcW w:w="2410" w:type="dxa"/>
            <w:noWrap w:val="0"/>
            <w:vAlign w:val="bottom"/>
          </w:tcPr>
          <w:p w14:paraId="38B1F0F8">
            <w:pPr>
              <w:pStyle w:val="18"/>
              <w:keepNext w:val="0"/>
              <w:keepLines w:val="0"/>
              <w:suppressLineNumbers w:val="0"/>
              <w:spacing w:before="0" w:beforeAutospacing="0" w:afterAutospacing="0"/>
              <w:ind w:left="0" w:right="0"/>
              <w:jc w:val="distribute"/>
              <w:rPr>
                <w:rFonts w:hint="eastAsia" w:ascii="仿宋" w:hAnsi="仿宋" w:eastAsia="仿宋" w:cs="仿宋"/>
                <w:b w:val="0"/>
                <w:color w:val="000000"/>
                <w:sz w:val="24"/>
                <w:szCs w:val="24"/>
                <w:highlight w:val="none"/>
                <w:lang w:val="en-US" w:eastAsia="zh-CN"/>
              </w:rPr>
            </w:pPr>
            <w:r>
              <w:rPr>
                <w:rFonts w:hint="eastAsia" w:ascii="仿宋" w:hAnsi="仿宋" w:eastAsia="仿宋" w:cs="仿宋"/>
                <w:b w:val="0"/>
                <w:color w:val="000000"/>
                <w:sz w:val="24"/>
                <w:highlight w:val="none"/>
                <w:lang w:val="en-US" w:eastAsia="zh-CN"/>
              </w:rPr>
              <w:t>供应商名称</w:t>
            </w:r>
          </w:p>
        </w:tc>
        <w:tc>
          <w:tcPr>
            <w:tcW w:w="287" w:type="dxa"/>
            <w:noWrap w:val="0"/>
            <w:vAlign w:val="bottom"/>
          </w:tcPr>
          <w:p w14:paraId="5AB11C53">
            <w:pPr>
              <w:pStyle w:val="18"/>
              <w:keepNext w:val="0"/>
              <w:keepLines w:val="0"/>
              <w:suppressLineNumbers w:val="0"/>
              <w:spacing w:before="0" w:beforeAutospacing="0" w:afterAutospacing="0"/>
              <w:ind w:left="0" w:right="0"/>
              <w:jc w:val="left"/>
              <w:rPr>
                <w:rFonts w:hint="eastAsia" w:ascii="仿宋" w:hAnsi="仿宋" w:eastAsia="仿宋" w:cs="仿宋"/>
                <w:b w:val="0"/>
                <w:color w:val="000000"/>
                <w:sz w:val="24"/>
                <w:szCs w:val="24"/>
                <w:highlight w:val="none"/>
                <w:lang w:val="en-US" w:eastAsia="zh-CN"/>
              </w:rPr>
            </w:pPr>
            <w:r>
              <w:rPr>
                <w:rFonts w:hint="eastAsia" w:ascii="仿宋" w:hAnsi="仿宋" w:eastAsia="仿宋" w:cs="仿宋"/>
                <w:b w:val="0"/>
                <w:color w:val="000000"/>
                <w:sz w:val="24"/>
                <w:szCs w:val="24"/>
                <w:highlight w:val="none"/>
                <w:lang w:val="en-US" w:eastAsia="zh-CN"/>
              </w:rPr>
              <w:t>：</w:t>
            </w:r>
          </w:p>
        </w:tc>
        <w:tc>
          <w:tcPr>
            <w:tcW w:w="4107" w:type="dxa"/>
            <w:noWrap w:val="0"/>
            <w:vAlign w:val="bottom"/>
          </w:tcPr>
          <w:p w14:paraId="253B2747">
            <w:pPr>
              <w:pStyle w:val="18"/>
              <w:keepNext w:val="0"/>
              <w:keepLines w:val="0"/>
              <w:suppressLineNumbers w:val="0"/>
              <w:spacing w:before="0" w:beforeAutospacing="0" w:afterAutospacing="0"/>
              <w:ind w:left="0" w:right="0"/>
              <w:rPr>
                <w:rFonts w:hint="eastAsia" w:ascii="仿宋" w:hAnsi="仿宋" w:eastAsia="仿宋" w:cs="仿宋"/>
                <w:b w:val="0"/>
                <w:color w:val="000000"/>
                <w:sz w:val="24"/>
                <w:szCs w:val="24"/>
                <w:highlight w:val="none"/>
                <w:u w:val="single"/>
                <w:lang w:val="en-US" w:eastAsia="zh-CN"/>
              </w:rPr>
            </w:pPr>
            <w:r>
              <w:rPr>
                <w:rFonts w:hint="eastAsia" w:ascii="仿宋" w:hAnsi="仿宋" w:eastAsia="仿宋" w:cs="仿宋"/>
                <w:b w:val="0"/>
                <w:color w:val="000000"/>
                <w:sz w:val="24"/>
                <w:szCs w:val="24"/>
                <w:highlight w:val="none"/>
                <w:u w:val="single"/>
                <w:lang w:val="en-US" w:eastAsia="zh-CN"/>
              </w:rPr>
              <w:t xml:space="preserve">                </w:t>
            </w:r>
            <w:r>
              <w:rPr>
                <w:rFonts w:hint="eastAsia" w:ascii="仿宋" w:hAnsi="仿宋" w:eastAsia="仿宋" w:cs="仿宋"/>
                <w:b w:val="0"/>
                <w:color w:val="000000"/>
                <w:sz w:val="24"/>
                <w:highlight w:val="none"/>
                <w:u w:val="single"/>
                <w:lang w:val="en-US" w:eastAsia="zh-CN"/>
              </w:rPr>
              <w:t xml:space="preserve">（公章） </w:t>
            </w:r>
            <w:r>
              <w:rPr>
                <w:rFonts w:hint="eastAsia" w:ascii="仿宋" w:hAnsi="仿宋" w:eastAsia="仿宋" w:cs="仿宋"/>
                <w:b w:val="0"/>
                <w:color w:val="000000"/>
                <w:sz w:val="24"/>
                <w:szCs w:val="24"/>
                <w:highlight w:val="none"/>
                <w:u w:val="single"/>
                <w:lang w:val="en-US" w:eastAsia="zh-CN"/>
              </w:rPr>
              <w:t xml:space="preserve">           </w:t>
            </w:r>
          </w:p>
        </w:tc>
      </w:tr>
      <w:tr w14:paraId="04DEF117">
        <w:tblPrEx>
          <w:tblCellMar>
            <w:top w:w="0" w:type="dxa"/>
            <w:left w:w="108" w:type="dxa"/>
            <w:bottom w:w="0" w:type="dxa"/>
            <w:right w:w="108" w:type="dxa"/>
          </w:tblCellMar>
        </w:tblPrEx>
        <w:trPr>
          <w:trHeight w:val="680" w:hRule="atLeast"/>
        </w:trPr>
        <w:tc>
          <w:tcPr>
            <w:tcW w:w="2410" w:type="dxa"/>
            <w:noWrap w:val="0"/>
            <w:vAlign w:val="bottom"/>
          </w:tcPr>
          <w:p w14:paraId="0EB2EE5B">
            <w:pPr>
              <w:pStyle w:val="18"/>
              <w:keepNext w:val="0"/>
              <w:keepLines w:val="0"/>
              <w:suppressLineNumbers w:val="0"/>
              <w:spacing w:before="0" w:beforeAutospacing="0" w:afterAutospacing="0"/>
              <w:ind w:left="0" w:right="0"/>
              <w:jc w:val="distribute"/>
              <w:rPr>
                <w:rFonts w:hint="eastAsia" w:ascii="仿宋" w:hAnsi="仿宋" w:eastAsia="仿宋" w:cs="仿宋"/>
                <w:b w:val="0"/>
                <w:color w:val="000000"/>
                <w:sz w:val="24"/>
                <w:szCs w:val="24"/>
                <w:highlight w:val="none"/>
                <w:lang w:val="en-US" w:eastAsia="zh-CN"/>
              </w:rPr>
            </w:pPr>
            <w:r>
              <w:rPr>
                <w:rFonts w:hint="eastAsia" w:ascii="仿宋" w:hAnsi="仿宋" w:eastAsia="仿宋" w:cs="仿宋"/>
                <w:b w:val="0"/>
                <w:color w:val="000000"/>
                <w:sz w:val="24"/>
                <w:highlight w:val="none"/>
                <w:lang w:val="en-US" w:eastAsia="zh-CN"/>
              </w:rPr>
              <w:t>法定代表人或被授权代表（签字或盖章）</w:t>
            </w:r>
          </w:p>
        </w:tc>
        <w:tc>
          <w:tcPr>
            <w:tcW w:w="287" w:type="dxa"/>
            <w:noWrap w:val="0"/>
            <w:vAlign w:val="bottom"/>
          </w:tcPr>
          <w:p w14:paraId="2BFBE56C">
            <w:pPr>
              <w:pStyle w:val="18"/>
              <w:keepNext w:val="0"/>
              <w:keepLines w:val="0"/>
              <w:suppressLineNumbers w:val="0"/>
              <w:spacing w:before="0" w:beforeAutospacing="0" w:afterAutospacing="0"/>
              <w:ind w:left="0" w:right="0"/>
              <w:jc w:val="left"/>
              <w:rPr>
                <w:rFonts w:hint="eastAsia" w:ascii="仿宋" w:hAnsi="仿宋" w:eastAsia="仿宋" w:cs="仿宋"/>
                <w:b w:val="0"/>
                <w:color w:val="000000"/>
                <w:sz w:val="24"/>
                <w:szCs w:val="24"/>
                <w:highlight w:val="none"/>
                <w:lang w:val="en-US" w:eastAsia="zh-CN"/>
              </w:rPr>
            </w:pPr>
            <w:r>
              <w:rPr>
                <w:rFonts w:hint="eastAsia" w:ascii="仿宋" w:hAnsi="仿宋" w:eastAsia="仿宋" w:cs="仿宋"/>
                <w:b w:val="0"/>
                <w:color w:val="000000"/>
                <w:sz w:val="24"/>
                <w:szCs w:val="24"/>
                <w:highlight w:val="none"/>
                <w:lang w:val="en-US" w:eastAsia="zh-CN"/>
              </w:rPr>
              <w:t>：</w:t>
            </w:r>
          </w:p>
        </w:tc>
        <w:tc>
          <w:tcPr>
            <w:tcW w:w="4107" w:type="dxa"/>
            <w:noWrap w:val="0"/>
            <w:vAlign w:val="bottom"/>
          </w:tcPr>
          <w:p w14:paraId="282D538C">
            <w:pPr>
              <w:pStyle w:val="18"/>
              <w:keepNext w:val="0"/>
              <w:keepLines w:val="0"/>
              <w:suppressLineNumbers w:val="0"/>
              <w:spacing w:before="0" w:beforeAutospacing="0" w:afterAutospacing="0"/>
              <w:ind w:left="0" w:right="0"/>
              <w:rPr>
                <w:rFonts w:hint="eastAsia" w:ascii="仿宋" w:hAnsi="仿宋" w:eastAsia="仿宋" w:cs="仿宋"/>
                <w:b w:val="0"/>
                <w:color w:val="000000"/>
                <w:sz w:val="24"/>
                <w:szCs w:val="24"/>
                <w:highlight w:val="none"/>
                <w:u w:val="single"/>
                <w:lang w:val="en-US" w:eastAsia="zh-CN"/>
              </w:rPr>
            </w:pPr>
            <w:r>
              <w:rPr>
                <w:rFonts w:hint="eastAsia" w:ascii="仿宋" w:hAnsi="仿宋" w:eastAsia="仿宋" w:cs="仿宋"/>
                <w:b w:val="0"/>
                <w:color w:val="000000"/>
                <w:sz w:val="24"/>
                <w:szCs w:val="24"/>
                <w:highlight w:val="none"/>
                <w:u w:val="single"/>
                <w:lang w:val="en-US" w:eastAsia="zh-CN"/>
              </w:rPr>
              <w:t xml:space="preserve">            </w:t>
            </w:r>
            <w:r>
              <w:rPr>
                <w:rFonts w:hint="eastAsia" w:ascii="仿宋" w:hAnsi="仿宋" w:eastAsia="仿宋" w:cs="仿宋"/>
                <w:b w:val="0"/>
                <w:color w:val="000000"/>
                <w:sz w:val="24"/>
                <w:highlight w:val="none"/>
                <w:u w:val="single"/>
                <w:lang w:val="en-US" w:eastAsia="zh-CN"/>
              </w:rPr>
              <w:t>（签字或盖章）</w:t>
            </w:r>
            <w:r>
              <w:rPr>
                <w:rFonts w:hint="eastAsia" w:ascii="仿宋" w:hAnsi="仿宋" w:eastAsia="仿宋" w:cs="仿宋"/>
                <w:b w:val="0"/>
                <w:color w:val="000000"/>
                <w:sz w:val="24"/>
                <w:szCs w:val="24"/>
                <w:highlight w:val="none"/>
                <w:u w:val="single"/>
                <w:lang w:val="en-US" w:eastAsia="zh-CN"/>
              </w:rPr>
              <w:t xml:space="preserve">                              </w:t>
            </w:r>
          </w:p>
        </w:tc>
      </w:tr>
      <w:tr w14:paraId="0438DB39">
        <w:tblPrEx>
          <w:tblCellMar>
            <w:top w:w="0" w:type="dxa"/>
            <w:left w:w="108" w:type="dxa"/>
            <w:bottom w:w="0" w:type="dxa"/>
            <w:right w:w="108" w:type="dxa"/>
          </w:tblCellMar>
        </w:tblPrEx>
        <w:trPr>
          <w:trHeight w:val="680" w:hRule="atLeast"/>
        </w:trPr>
        <w:tc>
          <w:tcPr>
            <w:tcW w:w="2410" w:type="dxa"/>
            <w:noWrap w:val="0"/>
            <w:vAlign w:val="bottom"/>
          </w:tcPr>
          <w:p w14:paraId="0D8050AA">
            <w:pPr>
              <w:pStyle w:val="18"/>
              <w:keepNext w:val="0"/>
              <w:keepLines w:val="0"/>
              <w:suppressLineNumbers w:val="0"/>
              <w:spacing w:before="0" w:beforeAutospacing="0" w:afterAutospacing="0"/>
              <w:ind w:left="0" w:right="0"/>
              <w:jc w:val="distribute"/>
              <w:rPr>
                <w:rFonts w:hint="eastAsia" w:ascii="仿宋" w:hAnsi="仿宋" w:eastAsia="仿宋" w:cs="仿宋"/>
                <w:b w:val="0"/>
                <w:color w:val="000000"/>
                <w:sz w:val="24"/>
                <w:szCs w:val="24"/>
                <w:highlight w:val="none"/>
                <w:lang w:val="en-US" w:eastAsia="zh-CN"/>
              </w:rPr>
            </w:pPr>
            <w:r>
              <w:rPr>
                <w:rFonts w:hint="eastAsia" w:ascii="仿宋" w:hAnsi="仿宋" w:eastAsia="仿宋" w:cs="仿宋"/>
                <w:b w:val="0"/>
                <w:color w:val="000000"/>
                <w:sz w:val="24"/>
                <w:szCs w:val="24"/>
                <w:highlight w:val="none"/>
                <w:lang w:val="en-US" w:eastAsia="zh-CN"/>
              </w:rPr>
              <w:t>日期</w:t>
            </w:r>
          </w:p>
        </w:tc>
        <w:tc>
          <w:tcPr>
            <w:tcW w:w="287" w:type="dxa"/>
            <w:noWrap w:val="0"/>
            <w:vAlign w:val="bottom"/>
          </w:tcPr>
          <w:p w14:paraId="617ACE0C">
            <w:pPr>
              <w:pStyle w:val="18"/>
              <w:keepNext w:val="0"/>
              <w:keepLines w:val="0"/>
              <w:suppressLineNumbers w:val="0"/>
              <w:spacing w:before="0" w:beforeAutospacing="0" w:afterAutospacing="0"/>
              <w:ind w:left="0" w:right="0"/>
              <w:jc w:val="left"/>
              <w:rPr>
                <w:rFonts w:hint="eastAsia" w:ascii="仿宋" w:hAnsi="仿宋" w:eastAsia="仿宋" w:cs="仿宋"/>
                <w:b w:val="0"/>
                <w:color w:val="000000"/>
                <w:sz w:val="24"/>
                <w:szCs w:val="24"/>
                <w:highlight w:val="none"/>
                <w:lang w:val="en-US" w:eastAsia="zh-CN"/>
              </w:rPr>
            </w:pPr>
            <w:r>
              <w:rPr>
                <w:rFonts w:hint="eastAsia" w:ascii="仿宋" w:hAnsi="仿宋" w:eastAsia="仿宋" w:cs="仿宋"/>
                <w:b w:val="0"/>
                <w:color w:val="000000"/>
                <w:sz w:val="24"/>
                <w:szCs w:val="24"/>
                <w:highlight w:val="none"/>
                <w:lang w:val="en-US" w:eastAsia="zh-CN"/>
              </w:rPr>
              <w:t>：</w:t>
            </w:r>
          </w:p>
        </w:tc>
        <w:tc>
          <w:tcPr>
            <w:tcW w:w="4107" w:type="dxa"/>
            <w:noWrap w:val="0"/>
            <w:vAlign w:val="bottom"/>
          </w:tcPr>
          <w:p w14:paraId="3EFA457D">
            <w:pPr>
              <w:pStyle w:val="18"/>
              <w:keepNext w:val="0"/>
              <w:keepLines w:val="0"/>
              <w:suppressLineNumbers w:val="0"/>
              <w:spacing w:before="0" w:beforeAutospacing="0" w:afterAutospacing="0"/>
              <w:ind w:left="0" w:right="0"/>
              <w:rPr>
                <w:rFonts w:hint="eastAsia" w:ascii="仿宋" w:hAnsi="仿宋" w:eastAsia="仿宋" w:cs="仿宋"/>
                <w:b w:val="0"/>
                <w:color w:val="000000"/>
                <w:sz w:val="24"/>
                <w:szCs w:val="24"/>
                <w:highlight w:val="none"/>
                <w:u w:val="single"/>
                <w:lang w:val="en-US" w:eastAsia="zh-CN"/>
              </w:rPr>
            </w:pPr>
            <w:r>
              <w:rPr>
                <w:rFonts w:hint="eastAsia" w:ascii="仿宋" w:hAnsi="仿宋" w:eastAsia="仿宋" w:cs="仿宋"/>
                <w:b w:val="0"/>
                <w:color w:val="000000"/>
                <w:sz w:val="24"/>
                <w:szCs w:val="24"/>
                <w:highlight w:val="none"/>
                <w:u w:val="single"/>
                <w:lang w:val="en-US" w:eastAsia="zh-CN"/>
              </w:rPr>
              <w:t xml:space="preserve">      年       月       日                                  </w:t>
            </w:r>
          </w:p>
        </w:tc>
      </w:tr>
    </w:tbl>
    <w:p w14:paraId="56A7F8CF">
      <w:pPr>
        <w:pStyle w:val="41"/>
        <w:spacing w:before="120" w:beforeLines="50" w:beforeAutospacing="0" w:after="240" w:afterLines="100" w:afterAutospacing="0" w:line="260" w:lineRule="exact"/>
        <w:jc w:val="right"/>
        <w:rPr>
          <w:rFonts w:hint="eastAsia" w:ascii="仿宋" w:hAnsi="仿宋" w:eastAsia="仿宋" w:cs="仿宋"/>
          <w:color w:val="auto"/>
          <w:szCs w:val="24"/>
          <w:highlight w:val="none"/>
        </w:rPr>
      </w:pPr>
    </w:p>
    <w:p w14:paraId="6D5CE798">
      <w:pPr>
        <w:spacing w:line="360" w:lineRule="auto"/>
        <w:rPr>
          <w:rFonts w:hint="eastAsia" w:ascii="仿宋" w:hAnsi="仿宋" w:eastAsia="仿宋" w:cs="仿宋"/>
          <w:color w:val="auto"/>
          <w:sz w:val="24"/>
          <w:highlight w:val="none"/>
        </w:rPr>
      </w:pPr>
    </w:p>
    <w:p w14:paraId="4A12C0C0">
      <w:pPr>
        <w:pStyle w:val="18"/>
        <w:rPr>
          <w:rFonts w:hint="eastAsia" w:ascii="仿宋" w:hAnsi="仿宋" w:eastAsia="仿宋" w:cs="仿宋"/>
          <w:color w:val="auto"/>
          <w:sz w:val="24"/>
          <w:szCs w:val="24"/>
          <w:highlight w:val="none"/>
        </w:rPr>
      </w:pPr>
    </w:p>
    <w:p w14:paraId="4BAF0A7D">
      <w:pPr>
        <w:rPr>
          <w:rFonts w:hint="eastAsia" w:ascii="仿宋" w:hAnsi="仿宋" w:eastAsia="仿宋" w:cs="仿宋"/>
          <w:color w:val="auto"/>
          <w:sz w:val="24"/>
          <w:highlight w:val="none"/>
        </w:rPr>
      </w:pPr>
    </w:p>
    <w:p w14:paraId="0E1229A4">
      <w:pPr>
        <w:outlineLvl w:val="3"/>
        <w:rPr>
          <w:rFonts w:hint="eastAsia" w:ascii="仿宋" w:hAnsi="仿宋" w:eastAsia="仿宋" w:cs="仿宋"/>
          <w:color w:val="auto"/>
          <w:highlight w:val="none"/>
        </w:rPr>
      </w:pPr>
      <w:bookmarkStart w:id="382" w:name="_Toc332805620"/>
      <w:bookmarkStart w:id="383" w:name="_Toc332805175"/>
      <w:r>
        <w:rPr>
          <w:rFonts w:hint="eastAsia" w:ascii="仿宋" w:hAnsi="仿宋" w:eastAsia="仿宋" w:cs="仿宋"/>
          <w:b/>
          <w:bCs/>
          <w:color w:val="auto"/>
          <w:sz w:val="24"/>
          <w:highlight w:val="none"/>
        </w:rPr>
        <w:t>附件</w:t>
      </w:r>
      <w:r>
        <w:rPr>
          <w:rFonts w:hint="eastAsia" w:ascii="仿宋" w:hAnsi="仿宋" w:eastAsia="仿宋" w:cs="仿宋"/>
          <w:b/>
          <w:bCs/>
          <w:color w:val="auto"/>
          <w:sz w:val="24"/>
          <w:highlight w:val="none"/>
          <w:lang w:val="en-US" w:eastAsia="zh-CN"/>
        </w:rPr>
        <w:t>5</w:t>
      </w:r>
      <w:r>
        <w:rPr>
          <w:rFonts w:hint="eastAsia" w:ascii="仿宋" w:hAnsi="仿宋" w:eastAsia="仿宋" w:cs="仿宋"/>
          <w:b/>
          <w:bCs/>
          <w:color w:val="auto"/>
          <w:sz w:val="24"/>
          <w:highlight w:val="none"/>
        </w:rPr>
        <w:t>-</w:t>
      </w:r>
      <w:bookmarkEnd w:id="382"/>
      <w:bookmarkEnd w:id="383"/>
      <w:r>
        <w:rPr>
          <w:rFonts w:hint="eastAsia" w:ascii="仿宋" w:hAnsi="仿宋" w:eastAsia="仿宋" w:cs="仿宋"/>
          <w:b/>
          <w:bCs/>
          <w:color w:val="auto"/>
          <w:sz w:val="24"/>
          <w:highlight w:val="none"/>
        </w:rPr>
        <w:t>7 履行合同所必需的设备和专业技术能力的说明及承诺</w:t>
      </w:r>
    </w:p>
    <w:p w14:paraId="33F6770A">
      <w:pPr>
        <w:spacing w:line="360" w:lineRule="auto"/>
        <w:rPr>
          <w:rFonts w:hint="eastAsia" w:ascii="仿宋" w:hAnsi="仿宋" w:eastAsia="仿宋" w:cs="仿宋"/>
          <w:color w:val="auto"/>
          <w:sz w:val="24"/>
          <w:szCs w:val="24"/>
          <w:highlight w:val="none"/>
        </w:rPr>
      </w:pPr>
    </w:p>
    <w:p w14:paraId="2EAFF9DC">
      <w:pPr>
        <w:spacing w:line="360" w:lineRule="auto"/>
        <w:rPr>
          <w:rFonts w:hint="eastAsia" w:ascii="仿宋" w:hAnsi="仿宋" w:eastAsia="仿宋" w:cs="仿宋"/>
          <w:color w:val="auto"/>
          <w:spacing w:val="4"/>
          <w:sz w:val="24"/>
          <w:highlight w:val="none"/>
          <w:u w:val="single"/>
        </w:rPr>
      </w:pPr>
      <w:r>
        <w:rPr>
          <w:rFonts w:hint="eastAsia" w:ascii="仿宋" w:hAnsi="仿宋" w:eastAsia="仿宋" w:cs="仿宋"/>
          <w:color w:val="auto"/>
          <w:spacing w:val="4"/>
          <w:sz w:val="24"/>
          <w:highlight w:val="none"/>
        </w:rPr>
        <w:t>致：</w:t>
      </w:r>
      <w:r>
        <w:rPr>
          <w:rFonts w:hint="eastAsia" w:ascii="仿宋" w:hAnsi="仿宋" w:eastAsia="仿宋" w:cs="仿宋"/>
          <w:color w:val="auto"/>
          <w:spacing w:val="4"/>
          <w:sz w:val="24"/>
          <w:highlight w:val="none"/>
          <w:u w:val="single"/>
        </w:rPr>
        <w:t>（采购人名称）</w:t>
      </w:r>
    </w:p>
    <w:p w14:paraId="68D0B190">
      <w:pPr>
        <w:spacing w:before="240" w:beforeLines="100" w:after="120" w:afterLines="50" w:line="360" w:lineRule="auto"/>
        <w:ind w:firstLine="496" w:firstLineChars="200"/>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u w:val="single"/>
        </w:rPr>
        <w:t>（供应商名称）</w:t>
      </w:r>
      <w:r>
        <w:rPr>
          <w:rFonts w:hint="eastAsia" w:ascii="仿宋" w:hAnsi="仿宋" w:eastAsia="仿宋" w:cs="仿宋"/>
          <w:color w:val="auto"/>
          <w:spacing w:val="4"/>
          <w:sz w:val="24"/>
          <w:highlight w:val="none"/>
        </w:rPr>
        <w:t>于</w:t>
      </w:r>
      <w:r>
        <w:rPr>
          <w:rFonts w:hint="eastAsia" w:ascii="仿宋" w:hAnsi="仿宋" w:eastAsia="仿宋" w:cs="仿宋"/>
          <w:color w:val="auto"/>
          <w:spacing w:val="4"/>
          <w:sz w:val="24"/>
          <w:highlight w:val="none"/>
          <w:u w:val="single"/>
        </w:rPr>
        <w:t xml:space="preserve">    </w:t>
      </w:r>
      <w:r>
        <w:rPr>
          <w:rFonts w:hint="eastAsia" w:ascii="仿宋" w:hAnsi="仿宋" w:eastAsia="仿宋" w:cs="仿宋"/>
          <w:color w:val="auto"/>
          <w:spacing w:val="4"/>
          <w:sz w:val="24"/>
          <w:highlight w:val="none"/>
        </w:rPr>
        <w:t>年</w:t>
      </w:r>
      <w:r>
        <w:rPr>
          <w:rFonts w:hint="eastAsia" w:ascii="仿宋" w:hAnsi="仿宋" w:eastAsia="仿宋" w:cs="仿宋"/>
          <w:color w:val="auto"/>
          <w:spacing w:val="4"/>
          <w:sz w:val="24"/>
          <w:highlight w:val="none"/>
          <w:u w:val="single"/>
        </w:rPr>
        <w:t xml:space="preserve">    </w:t>
      </w:r>
      <w:r>
        <w:rPr>
          <w:rFonts w:hint="eastAsia" w:ascii="仿宋" w:hAnsi="仿宋" w:eastAsia="仿宋" w:cs="仿宋"/>
          <w:color w:val="auto"/>
          <w:spacing w:val="4"/>
          <w:sz w:val="24"/>
          <w:highlight w:val="none"/>
        </w:rPr>
        <w:t>月</w:t>
      </w:r>
      <w:r>
        <w:rPr>
          <w:rFonts w:hint="eastAsia" w:ascii="仿宋" w:hAnsi="仿宋" w:eastAsia="仿宋" w:cs="仿宋"/>
          <w:color w:val="auto"/>
          <w:spacing w:val="4"/>
          <w:sz w:val="24"/>
          <w:highlight w:val="none"/>
          <w:u w:val="single"/>
        </w:rPr>
        <w:t xml:space="preserve">    </w:t>
      </w:r>
      <w:r>
        <w:rPr>
          <w:rFonts w:hint="eastAsia" w:ascii="仿宋" w:hAnsi="仿宋" w:eastAsia="仿宋" w:cs="仿宋"/>
          <w:color w:val="auto"/>
          <w:spacing w:val="4"/>
          <w:sz w:val="24"/>
          <w:highlight w:val="none"/>
        </w:rPr>
        <w:t>日在中华人民共和国境内</w:t>
      </w:r>
      <w:r>
        <w:rPr>
          <w:rFonts w:hint="eastAsia" w:ascii="仿宋" w:hAnsi="仿宋" w:eastAsia="仿宋" w:cs="仿宋"/>
          <w:color w:val="auto"/>
          <w:spacing w:val="4"/>
          <w:sz w:val="24"/>
          <w:highlight w:val="none"/>
          <w:u w:val="single"/>
        </w:rPr>
        <w:t>（详细注册地址）</w:t>
      </w:r>
      <w:r>
        <w:rPr>
          <w:rFonts w:hint="eastAsia" w:ascii="仿宋" w:hAnsi="仿宋" w:eastAsia="仿宋" w:cs="仿宋"/>
          <w:color w:val="auto"/>
          <w:spacing w:val="4"/>
          <w:sz w:val="24"/>
          <w:highlight w:val="none"/>
        </w:rPr>
        <w:t>合法注册并经营，公司主营业务为（），营业（生产经营）面积为</w:t>
      </w:r>
      <w:r>
        <w:rPr>
          <w:rFonts w:hint="eastAsia" w:ascii="仿宋" w:hAnsi="仿宋" w:eastAsia="仿宋" w:cs="仿宋"/>
          <w:color w:val="auto"/>
          <w:spacing w:val="4"/>
          <w:sz w:val="24"/>
          <w:highlight w:val="none"/>
          <w:u w:val="single"/>
        </w:rPr>
        <w:t xml:space="preserve">      </w:t>
      </w:r>
      <w:r>
        <w:rPr>
          <w:rFonts w:hint="eastAsia" w:ascii="仿宋" w:hAnsi="仿宋" w:eastAsia="仿宋" w:cs="仿宋"/>
          <w:color w:val="auto"/>
          <w:spacing w:val="4"/>
          <w:sz w:val="24"/>
          <w:highlight w:val="none"/>
        </w:rPr>
        <w:t>。现有员工数量为</w:t>
      </w:r>
      <w:r>
        <w:rPr>
          <w:rFonts w:hint="eastAsia" w:ascii="仿宋" w:hAnsi="仿宋" w:eastAsia="仿宋" w:cs="仿宋"/>
          <w:color w:val="auto"/>
          <w:spacing w:val="4"/>
          <w:sz w:val="24"/>
          <w:highlight w:val="none"/>
          <w:u w:val="single"/>
        </w:rPr>
        <w:t xml:space="preserve">       </w:t>
      </w:r>
      <w:r>
        <w:rPr>
          <w:rFonts w:hint="eastAsia" w:ascii="仿宋" w:hAnsi="仿宋" w:eastAsia="仿宋" w:cs="仿宋"/>
          <w:color w:val="auto"/>
          <w:spacing w:val="4"/>
          <w:sz w:val="24"/>
          <w:highlight w:val="none"/>
        </w:rPr>
        <w:t>，其中与履行本合同相关的专业技术人员有（</w:t>
      </w:r>
      <w:r>
        <w:rPr>
          <w:rFonts w:hint="eastAsia" w:ascii="仿宋" w:hAnsi="仿宋" w:eastAsia="仿宋" w:cs="仿宋"/>
          <w:color w:val="auto"/>
          <w:spacing w:val="4"/>
          <w:sz w:val="24"/>
          <w:highlight w:val="none"/>
          <w:u w:val="single"/>
        </w:rPr>
        <w:t>专业能力、数量</w:t>
      </w:r>
      <w:r>
        <w:rPr>
          <w:rFonts w:hint="eastAsia" w:ascii="仿宋" w:hAnsi="仿宋" w:eastAsia="仿宋" w:cs="仿宋"/>
          <w:color w:val="auto"/>
          <w:spacing w:val="4"/>
          <w:sz w:val="24"/>
          <w:highlight w:val="none"/>
        </w:rPr>
        <w:t>），本公司郑重承诺，具有履行本合同所必需的设备和专业技术能力。</w:t>
      </w:r>
    </w:p>
    <w:p w14:paraId="7BC4E758">
      <w:pPr>
        <w:spacing w:line="360" w:lineRule="auto"/>
        <w:rPr>
          <w:rFonts w:hint="eastAsia" w:ascii="仿宋" w:hAnsi="仿宋" w:eastAsia="仿宋" w:cs="仿宋"/>
          <w:color w:val="auto"/>
          <w:sz w:val="24"/>
          <w:highlight w:val="none"/>
        </w:rPr>
      </w:pPr>
    </w:p>
    <w:p w14:paraId="33FC34A3">
      <w:pPr>
        <w:spacing w:line="360" w:lineRule="auto"/>
        <w:rPr>
          <w:rFonts w:hint="eastAsia" w:ascii="仿宋" w:hAnsi="仿宋" w:eastAsia="仿宋" w:cs="仿宋"/>
          <w:color w:val="auto"/>
          <w:sz w:val="24"/>
          <w:highlight w:val="none"/>
        </w:rPr>
      </w:pPr>
    </w:p>
    <w:p w14:paraId="49E3C2B8">
      <w:pPr>
        <w:spacing w:line="360" w:lineRule="auto"/>
        <w:rPr>
          <w:rFonts w:hint="eastAsia" w:ascii="仿宋" w:hAnsi="仿宋" w:eastAsia="仿宋" w:cs="仿宋"/>
          <w:color w:val="auto"/>
          <w:sz w:val="24"/>
          <w:highlight w:val="none"/>
        </w:rPr>
      </w:pPr>
    </w:p>
    <w:p w14:paraId="39E2DB6F">
      <w:pPr>
        <w:spacing w:line="360" w:lineRule="auto"/>
        <w:rPr>
          <w:rFonts w:hint="eastAsia" w:ascii="仿宋" w:hAnsi="仿宋" w:eastAsia="仿宋" w:cs="仿宋"/>
          <w:color w:val="auto"/>
          <w:sz w:val="24"/>
          <w:highlight w:val="none"/>
        </w:rPr>
      </w:pPr>
    </w:p>
    <w:p w14:paraId="1E9121DB">
      <w:pPr>
        <w:spacing w:line="360" w:lineRule="auto"/>
        <w:rPr>
          <w:rFonts w:hint="eastAsia" w:ascii="仿宋" w:hAnsi="仿宋" w:eastAsia="仿宋" w:cs="仿宋"/>
          <w:color w:val="auto"/>
          <w:sz w:val="24"/>
          <w:highlight w:val="none"/>
        </w:rPr>
      </w:pPr>
    </w:p>
    <w:tbl>
      <w:tblPr>
        <w:tblStyle w:val="47"/>
        <w:tblW w:w="0" w:type="auto"/>
        <w:tblInd w:w="2376" w:type="dxa"/>
        <w:tblLayout w:type="fixed"/>
        <w:tblCellMar>
          <w:top w:w="0" w:type="dxa"/>
          <w:left w:w="108" w:type="dxa"/>
          <w:bottom w:w="0" w:type="dxa"/>
          <w:right w:w="108" w:type="dxa"/>
        </w:tblCellMar>
      </w:tblPr>
      <w:tblGrid>
        <w:gridCol w:w="2410"/>
        <w:gridCol w:w="287"/>
        <w:gridCol w:w="4107"/>
      </w:tblGrid>
      <w:tr w14:paraId="417DB186">
        <w:tblPrEx>
          <w:tblCellMar>
            <w:top w:w="0" w:type="dxa"/>
            <w:left w:w="108" w:type="dxa"/>
            <w:bottom w:w="0" w:type="dxa"/>
            <w:right w:w="108" w:type="dxa"/>
          </w:tblCellMar>
        </w:tblPrEx>
        <w:trPr>
          <w:trHeight w:val="680" w:hRule="atLeast"/>
        </w:trPr>
        <w:tc>
          <w:tcPr>
            <w:tcW w:w="2410" w:type="dxa"/>
            <w:noWrap w:val="0"/>
            <w:vAlign w:val="bottom"/>
          </w:tcPr>
          <w:p w14:paraId="7B70954C">
            <w:pPr>
              <w:pStyle w:val="18"/>
              <w:keepNext w:val="0"/>
              <w:keepLines w:val="0"/>
              <w:suppressLineNumbers w:val="0"/>
              <w:spacing w:before="0" w:beforeAutospacing="0" w:afterAutospacing="0"/>
              <w:ind w:left="0" w:right="0"/>
              <w:jc w:val="distribute"/>
              <w:rPr>
                <w:rFonts w:hint="eastAsia" w:ascii="仿宋" w:hAnsi="仿宋" w:eastAsia="仿宋" w:cs="仿宋"/>
                <w:b w:val="0"/>
                <w:color w:val="000000"/>
                <w:sz w:val="24"/>
                <w:szCs w:val="24"/>
                <w:highlight w:val="none"/>
                <w:lang w:val="en-US" w:eastAsia="zh-CN"/>
              </w:rPr>
            </w:pPr>
            <w:r>
              <w:rPr>
                <w:rFonts w:hint="eastAsia" w:ascii="仿宋" w:hAnsi="仿宋" w:eastAsia="仿宋" w:cs="仿宋"/>
                <w:b w:val="0"/>
                <w:color w:val="000000"/>
                <w:sz w:val="24"/>
                <w:highlight w:val="none"/>
                <w:lang w:val="en-US" w:eastAsia="zh-CN"/>
              </w:rPr>
              <w:t>供应商名称</w:t>
            </w:r>
          </w:p>
        </w:tc>
        <w:tc>
          <w:tcPr>
            <w:tcW w:w="287" w:type="dxa"/>
            <w:noWrap w:val="0"/>
            <w:vAlign w:val="bottom"/>
          </w:tcPr>
          <w:p w14:paraId="0EA140CA">
            <w:pPr>
              <w:pStyle w:val="18"/>
              <w:keepNext w:val="0"/>
              <w:keepLines w:val="0"/>
              <w:suppressLineNumbers w:val="0"/>
              <w:spacing w:before="0" w:beforeAutospacing="0" w:afterAutospacing="0"/>
              <w:ind w:left="0" w:right="0"/>
              <w:jc w:val="left"/>
              <w:rPr>
                <w:rFonts w:hint="eastAsia" w:ascii="仿宋" w:hAnsi="仿宋" w:eastAsia="仿宋" w:cs="仿宋"/>
                <w:b w:val="0"/>
                <w:color w:val="000000"/>
                <w:sz w:val="24"/>
                <w:szCs w:val="24"/>
                <w:highlight w:val="none"/>
                <w:lang w:val="en-US" w:eastAsia="zh-CN"/>
              </w:rPr>
            </w:pPr>
            <w:r>
              <w:rPr>
                <w:rFonts w:hint="eastAsia" w:ascii="仿宋" w:hAnsi="仿宋" w:eastAsia="仿宋" w:cs="仿宋"/>
                <w:b w:val="0"/>
                <w:color w:val="000000"/>
                <w:sz w:val="24"/>
                <w:szCs w:val="24"/>
                <w:highlight w:val="none"/>
                <w:lang w:val="en-US" w:eastAsia="zh-CN"/>
              </w:rPr>
              <w:t>：</w:t>
            </w:r>
          </w:p>
        </w:tc>
        <w:tc>
          <w:tcPr>
            <w:tcW w:w="4107" w:type="dxa"/>
            <w:noWrap w:val="0"/>
            <w:vAlign w:val="bottom"/>
          </w:tcPr>
          <w:p w14:paraId="525A4096">
            <w:pPr>
              <w:pStyle w:val="18"/>
              <w:keepNext w:val="0"/>
              <w:keepLines w:val="0"/>
              <w:suppressLineNumbers w:val="0"/>
              <w:spacing w:before="0" w:beforeAutospacing="0" w:afterAutospacing="0"/>
              <w:ind w:left="0" w:right="0"/>
              <w:rPr>
                <w:rFonts w:hint="eastAsia" w:ascii="仿宋" w:hAnsi="仿宋" w:eastAsia="仿宋" w:cs="仿宋"/>
                <w:b w:val="0"/>
                <w:color w:val="000000"/>
                <w:sz w:val="24"/>
                <w:szCs w:val="24"/>
                <w:highlight w:val="none"/>
                <w:u w:val="single"/>
                <w:lang w:val="en-US" w:eastAsia="zh-CN"/>
              </w:rPr>
            </w:pPr>
            <w:r>
              <w:rPr>
                <w:rFonts w:hint="eastAsia" w:ascii="仿宋" w:hAnsi="仿宋" w:eastAsia="仿宋" w:cs="仿宋"/>
                <w:b w:val="0"/>
                <w:color w:val="000000"/>
                <w:sz w:val="24"/>
                <w:szCs w:val="24"/>
                <w:highlight w:val="none"/>
                <w:u w:val="single"/>
                <w:lang w:val="en-US" w:eastAsia="zh-CN"/>
              </w:rPr>
              <w:t xml:space="preserve">                </w:t>
            </w:r>
            <w:r>
              <w:rPr>
                <w:rFonts w:hint="eastAsia" w:ascii="仿宋" w:hAnsi="仿宋" w:eastAsia="仿宋" w:cs="仿宋"/>
                <w:b w:val="0"/>
                <w:color w:val="000000"/>
                <w:sz w:val="24"/>
                <w:highlight w:val="none"/>
                <w:u w:val="single"/>
                <w:lang w:val="en-US" w:eastAsia="zh-CN"/>
              </w:rPr>
              <w:t xml:space="preserve">（公章） </w:t>
            </w:r>
            <w:r>
              <w:rPr>
                <w:rFonts w:hint="eastAsia" w:ascii="仿宋" w:hAnsi="仿宋" w:eastAsia="仿宋" w:cs="仿宋"/>
                <w:b w:val="0"/>
                <w:color w:val="000000"/>
                <w:sz w:val="24"/>
                <w:szCs w:val="24"/>
                <w:highlight w:val="none"/>
                <w:u w:val="single"/>
                <w:lang w:val="en-US" w:eastAsia="zh-CN"/>
              </w:rPr>
              <w:t xml:space="preserve">           </w:t>
            </w:r>
          </w:p>
        </w:tc>
      </w:tr>
      <w:tr w14:paraId="280278ED">
        <w:tblPrEx>
          <w:tblCellMar>
            <w:top w:w="0" w:type="dxa"/>
            <w:left w:w="108" w:type="dxa"/>
            <w:bottom w:w="0" w:type="dxa"/>
            <w:right w:w="108" w:type="dxa"/>
          </w:tblCellMar>
        </w:tblPrEx>
        <w:trPr>
          <w:trHeight w:val="680" w:hRule="atLeast"/>
        </w:trPr>
        <w:tc>
          <w:tcPr>
            <w:tcW w:w="2410" w:type="dxa"/>
            <w:noWrap w:val="0"/>
            <w:vAlign w:val="bottom"/>
          </w:tcPr>
          <w:p w14:paraId="4AD4A557">
            <w:pPr>
              <w:pStyle w:val="18"/>
              <w:keepNext w:val="0"/>
              <w:keepLines w:val="0"/>
              <w:suppressLineNumbers w:val="0"/>
              <w:spacing w:before="0" w:beforeAutospacing="0" w:afterAutospacing="0"/>
              <w:ind w:left="0" w:right="0"/>
              <w:jc w:val="distribute"/>
              <w:rPr>
                <w:rFonts w:hint="eastAsia" w:ascii="仿宋" w:hAnsi="仿宋" w:eastAsia="仿宋" w:cs="仿宋"/>
                <w:b w:val="0"/>
                <w:color w:val="000000"/>
                <w:sz w:val="24"/>
                <w:szCs w:val="24"/>
                <w:highlight w:val="none"/>
                <w:lang w:val="en-US" w:eastAsia="zh-CN"/>
              </w:rPr>
            </w:pPr>
            <w:r>
              <w:rPr>
                <w:rFonts w:hint="eastAsia" w:ascii="仿宋" w:hAnsi="仿宋" w:eastAsia="仿宋" w:cs="仿宋"/>
                <w:b w:val="0"/>
                <w:color w:val="000000"/>
                <w:sz w:val="24"/>
                <w:highlight w:val="none"/>
                <w:lang w:val="en-US" w:eastAsia="zh-CN"/>
              </w:rPr>
              <w:t>法定代表人或被授权代表（签字或盖章）</w:t>
            </w:r>
          </w:p>
        </w:tc>
        <w:tc>
          <w:tcPr>
            <w:tcW w:w="287" w:type="dxa"/>
            <w:noWrap w:val="0"/>
            <w:vAlign w:val="bottom"/>
          </w:tcPr>
          <w:p w14:paraId="2B835F00">
            <w:pPr>
              <w:pStyle w:val="18"/>
              <w:keepNext w:val="0"/>
              <w:keepLines w:val="0"/>
              <w:suppressLineNumbers w:val="0"/>
              <w:spacing w:before="0" w:beforeAutospacing="0" w:afterAutospacing="0"/>
              <w:ind w:left="0" w:right="0"/>
              <w:jc w:val="left"/>
              <w:rPr>
                <w:rFonts w:hint="eastAsia" w:ascii="仿宋" w:hAnsi="仿宋" w:eastAsia="仿宋" w:cs="仿宋"/>
                <w:b w:val="0"/>
                <w:color w:val="000000"/>
                <w:sz w:val="24"/>
                <w:szCs w:val="24"/>
                <w:highlight w:val="none"/>
                <w:lang w:val="en-US" w:eastAsia="zh-CN"/>
              </w:rPr>
            </w:pPr>
            <w:r>
              <w:rPr>
                <w:rFonts w:hint="eastAsia" w:ascii="仿宋" w:hAnsi="仿宋" w:eastAsia="仿宋" w:cs="仿宋"/>
                <w:b w:val="0"/>
                <w:color w:val="000000"/>
                <w:sz w:val="24"/>
                <w:szCs w:val="24"/>
                <w:highlight w:val="none"/>
                <w:lang w:val="en-US" w:eastAsia="zh-CN"/>
              </w:rPr>
              <w:t>：</w:t>
            </w:r>
          </w:p>
        </w:tc>
        <w:tc>
          <w:tcPr>
            <w:tcW w:w="4107" w:type="dxa"/>
            <w:noWrap w:val="0"/>
            <w:vAlign w:val="bottom"/>
          </w:tcPr>
          <w:p w14:paraId="71B0F958">
            <w:pPr>
              <w:pStyle w:val="18"/>
              <w:keepNext w:val="0"/>
              <w:keepLines w:val="0"/>
              <w:suppressLineNumbers w:val="0"/>
              <w:spacing w:before="0" w:beforeAutospacing="0" w:afterAutospacing="0"/>
              <w:ind w:left="0" w:right="0"/>
              <w:rPr>
                <w:rFonts w:hint="eastAsia" w:ascii="仿宋" w:hAnsi="仿宋" w:eastAsia="仿宋" w:cs="仿宋"/>
                <w:b w:val="0"/>
                <w:color w:val="000000"/>
                <w:sz w:val="24"/>
                <w:szCs w:val="24"/>
                <w:highlight w:val="none"/>
                <w:u w:val="single"/>
                <w:lang w:val="en-US" w:eastAsia="zh-CN"/>
              </w:rPr>
            </w:pPr>
            <w:r>
              <w:rPr>
                <w:rFonts w:hint="eastAsia" w:ascii="仿宋" w:hAnsi="仿宋" w:eastAsia="仿宋" w:cs="仿宋"/>
                <w:b w:val="0"/>
                <w:color w:val="000000"/>
                <w:sz w:val="24"/>
                <w:szCs w:val="24"/>
                <w:highlight w:val="none"/>
                <w:u w:val="single"/>
                <w:lang w:val="en-US" w:eastAsia="zh-CN"/>
              </w:rPr>
              <w:t xml:space="preserve">            </w:t>
            </w:r>
            <w:r>
              <w:rPr>
                <w:rFonts w:hint="eastAsia" w:ascii="仿宋" w:hAnsi="仿宋" w:eastAsia="仿宋" w:cs="仿宋"/>
                <w:b w:val="0"/>
                <w:color w:val="000000"/>
                <w:sz w:val="24"/>
                <w:highlight w:val="none"/>
                <w:u w:val="single"/>
                <w:lang w:val="en-US" w:eastAsia="zh-CN"/>
              </w:rPr>
              <w:t>（签字或盖章）</w:t>
            </w:r>
            <w:r>
              <w:rPr>
                <w:rFonts w:hint="eastAsia" w:ascii="仿宋" w:hAnsi="仿宋" w:eastAsia="仿宋" w:cs="仿宋"/>
                <w:b w:val="0"/>
                <w:color w:val="000000"/>
                <w:sz w:val="24"/>
                <w:szCs w:val="24"/>
                <w:highlight w:val="none"/>
                <w:u w:val="single"/>
                <w:lang w:val="en-US" w:eastAsia="zh-CN"/>
              </w:rPr>
              <w:t xml:space="preserve">                              </w:t>
            </w:r>
          </w:p>
        </w:tc>
      </w:tr>
      <w:tr w14:paraId="0480D325">
        <w:tblPrEx>
          <w:tblCellMar>
            <w:top w:w="0" w:type="dxa"/>
            <w:left w:w="108" w:type="dxa"/>
            <w:bottom w:w="0" w:type="dxa"/>
            <w:right w:w="108" w:type="dxa"/>
          </w:tblCellMar>
        </w:tblPrEx>
        <w:trPr>
          <w:trHeight w:val="680" w:hRule="atLeast"/>
        </w:trPr>
        <w:tc>
          <w:tcPr>
            <w:tcW w:w="2410" w:type="dxa"/>
            <w:noWrap w:val="0"/>
            <w:vAlign w:val="bottom"/>
          </w:tcPr>
          <w:p w14:paraId="1ED319D2">
            <w:pPr>
              <w:pStyle w:val="18"/>
              <w:keepNext w:val="0"/>
              <w:keepLines w:val="0"/>
              <w:suppressLineNumbers w:val="0"/>
              <w:spacing w:before="0" w:beforeAutospacing="0" w:afterAutospacing="0"/>
              <w:ind w:left="0" w:right="0"/>
              <w:jc w:val="distribute"/>
              <w:rPr>
                <w:rFonts w:hint="eastAsia" w:ascii="仿宋" w:hAnsi="仿宋" w:eastAsia="仿宋" w:cs="仿宋"/>
                <w:b w:val="0"/>
                <w:color w:val="000000"/>
                <w:sz w:val="24"/>
                <w:szCs w:val="24"/>
                <w:highlight w:val="none"/>
                <w:lang w:val="en-US" w:eastAsia="zh-CN"/>
              </w:rPr>
            </w:pPr>
            <w:r>
              <w:rPr>
                <w:rFonts w:hint="eastAsia" w:ascii="仿宋" w:hAnsi="仿宋" w:eastAsia="仿宋" w:cs="仿宋"/>
                <w:b w:val="0"/>
                <w:color w:val="000000"/>
                <w:sz w:val="24"/>
                <w:szCs w:val="24"/>
                <w:highlight w:val="none"/>
                <w:lang w:val="en-US" w:eastAsia="zh-CN"/>
              </w:rPr>
              <w:t>日期</w:t>
            </w:r>
          </w:p>
        </w:tc>
        <w:tc>
          <w:tcPr>
            <w:tcW w:w="287" w:type="dxa"/>
            <w:noWrap w:val="0"/>
            <w:vAlign w:val="bottom"/>
          </w:tcPr>
          <w:p w14:paraId="2689022F">
            <w:pPr>
              <w:pStyle w:val="18"/>
              <w:keepNext w:val="0"/>
              <w:keepLines w:val="0"/>
              <w:suppressLineNumbers w:val="0"/>
              <w:spacing w:before="0" w:beforeAutospacing="0" w:afterAutospacing="0"/>
              <w:ind w:left="0" w:right="0"/>
              <w:jc w:val="left"/>
              <w:rPr>
                <w:rFonts w:hint="eastAsia" w:ascii="仿宋" w:hAnsi="仿宋" w:eastAsia="仿宋" w:cs="仿宋"/>
                <w:b w:val="0"/>
                <w:color w:val="000000"/>
                <w:sz w:val="24"/>
                <w:szCs w:val="24"/>
                <w:highlight w:val="none"/>
                <w:lang w:val="en-US" w:eastAsia="zh-CN"/>
              </w:rPr>
            </w:pPr>
            <w:r>
              <w:rPr>
                <w:rFonts w:hint="eastAsia" w:ascii="仿宋" w:hAnsi="仿宋" w:eastAsia="仿宋" w:cs="仿宋"/>
                <w:b w:val="0"/>
                <w:color w:val="000000"/>
                <w:sz w:val="24"/>
                <w:szCs w:val="24"/>
                <w:highlight w:val="none"/>
                <w:lang w:val="en-US" w:eastAsia="zh-CN"/>
              </w:rPr>
              <w:t>：</w:t>
            </w:r>
          </w:p>
        </w:tc>
        <w:tc>
          <w:tcPr>
            <w:tcW w:w="4107" w:type="dxa"/>
            <w:noWrap w:val="0"/>
            <w:vAlign w:val="bottom"/>
          </w:tcPr>
          <w:p w14:paraId="59B905FB">
            <w:pPr>
              <w:pStyle w:val="18"/>
              <w:keepNext w:val="0"/>
              <w:keepLines w:val="0"/>
              <w:suppressLineNumbers w:val="0"/>
              <w:spacing w:before="0" w:beforeAutospacing="0" w:afterAutospacing="0"/>
              <w:ind w:left="0" w:right="0"/>
              <w:rPr>
                <w:rFonts w:hint="eastAsia" w:ascii="仿宋" w:hAnsi="仿宋" w:eastAsia="仿宋" w:cs="仿宋"/>
                <w:b w:val="0"/>
                <w:color w:val="000000"/>
                <w:sz w:val="24"/>
                <w:szCs w:val="24"/>
                <w:highlight w:val="none"/>
                <w:u w:val="single"/>
                <w:lang w:val="en-US" w:eastAsia="zh-CN"/>
              </w:rPr>
            </w:pPr>
            <w:r>
              <w:rPr>
                <w:rFonts w:hint="eastAsia" w:ascii="仿宋" w:hAnsi="仿宋" w:eastAsia="仿宋" w:cs="仿宋"/>
                <w:b w:val="0"/>
                <w:color w:val="000000"/>
                <w:sz w:val="24"/>
                <w:szCs w:val="24"/>
                <w:highlight w:val="none"/>
                <w:u w:val="single"/>
                <w:lang w:val="en-US" w:eastAsia="zh-CN"/>
              </w:rPr>
              <w:t xml:space="preserve">      年       月       日                                  </w:t>
            </w:r>
          </w:p>
        </w:tc>
      </w:tr>
    </w:tbl>
    <w:p w14:paraId="6CA1AFC4">
      <w:pPr>
        <w:spacing w:line="360" w:lineRule="auto"/>
        <w:jc w:val="right"/>
        <w:rPr>
          <w:rFonts w:hint="eastAsia" w:ascii="仿宋" w:hAnsi="仿宋" w:eastAsia="仿宋" w:cs="仿宋"/>
          <w:b/>
          <w:bCs/>
          <w:color w:val="auto"/>
          <w:sz w:val="24"/>
          <w:highlight w:val="none"/>
        </w:rPr>
      </w:pPr>
    </w:p>
    <w:p w14:paraId="3C1DED8A">
      <w:pPr>
        <w:tabs>
          <w:tab w:val="left" w:pos="5580"/>
        </w:tabs>
        <w:spacing w:before="120" w:line="360" w:lineRule="auto"/>
        <w:jc w:val="left"/>
        <w:outlineLvl w:val="3"/>
        <w:rPr>
          <w:rFonts w:hint="eastAsia" w:ascii="仿宋" w:hAnsi="仿宋" w:eastAsia="仿宋" w:cs="仿宋"/>
          <w:color w:val="auto"/>
          <w:sz w:val="24"/>
          <w:highlight w:val="none"/>
        </w:rPr>
      </w:pPr>
      <w:r>
        <w:rPr>
          <w:rFonts w:hint="eastAsia" w:ascii="仿宋" w:hAnsi="仿宋" w:eastAsia="仿宋" w:cs="仿宋"/>
          <w:b w:val="0"/>
          <w:bCs/>
          <w:color w:val="auto"/>
          <w:sz w:val="24"/>
          <w:szCs w:val="24"/>
          <w:highlight w:val="none"/>
        </w:rPr>
        <w:br w:type="page"/>
      </w:r>
      <w:r>
        <w:rPr>
          <w:rFonts w:hint="eastAsia" w:ascii="仿宋" w:hAnsi="仿宋" w:eastAsia="仿宋" w:cs="仿宋"/>
          <w:b/>
          <w:sz w:val="24"/>
        </w:rPr>
        <w:t>附件</w:t>
      </w:r>
      <w:r>
        <w:rPr>
          <w:rFonts w:hint="eastAsia" w:ascii="仿宋" w:hAnsi="仿宋" w:eastAsia="仿宋" w:cs="仿宋"/>
          <w:b/>
          <w:sz w:val="24"/>
          <w:lang w:val="en-US" w:eastAsia="zh-CN"/>
        </w:rPr>
        <w:t>5</w:t>
      </w:r>
      <w:r>
        <w:rPr>
          <w:rFonts w:hint="eastAsia" w:ascii="仿宋" w:hAnsi="仿宋" w:eastAsia="仿宋" w:cs="仿宋"/>
          <w:b/>
          <w:sz w:val="24"/>
        </w:rPr>
        <w:t>-8 本项目不接受联合体参与，单位负责人为同一人或者存在直接控股、管理关系的不同单位，不得参加同一项下的采购活动。对列入失信被执行人、政府采购严重违法失信行为记录名单的供应商，拒绝参与本项目采购活动</w:t>
      </w:r>
    </w:p>
    <w:p w14:paraId="5AED13A3">
      <w:pPr>
        <w:pStyle w:val="18"/>
        <w:rPr>
          <w:rFonts w:hint="eastAsia" w:ascii="仿宋" w:hAnsi="仿宋" w:eastAsia="仿宋" w:cs="仿宋"/>
          <w:b w:val="0"/>
          <w:bCs/>
          <w:color w:val="auto"/>
          <w:sz w:val="24"/>
          <w:highlight w:val="none"/>
        </w:rPr>
      </w:pPr>
    </w:p>
    <w:p w14:paraId="001495D6">
      <w:pPr>
        <w:pStyle w:val="18"/>
        <w:rPr>
          <w:rFonts w:hint="eastAsia" w:ascii="仿宋" w:hAnsi="仿宋" w:eastAsia="仿宋" w:cs="仿宋"/>
          <w:color w:val="auto"/>
          <w:highlight w:val="none"/>
        </w:rPr>
      </w:pPr>
      <w:r>
        <w:rPr>
          <w:rFonts w:hint="eastAsia" w:ascii="仿宋" w:hAnsi="仿宋" w:eastAsia="仿宋" w:cs="仿宋"/>
          <w:b w:val="0"/>
          <w:bCs/>
          <w:color w:val="auto"/>
          <w:sz w:val="24"/>
          <w:highlight w:val="none"/>
        </w:rPr>
        <w:t>致：</w:t>
      </w:r>
      <w:r>
        <w:rPr>
          <w:rFonts w:hint="eastAsia" w:ascii="仿宋" w:hAnsi="仿宋" w:eastAsia="仿宋" w:cs="仿宋"/>
          <w:b w:val="0"/>
          <w:bCs/>
          <w:color w:val="auto"/>
          <w:sz w:val="24"/>
          <w:highlight w:val="none"/>
          <w:u w:val="single"/>
        </w:rPr>
        <w:t xml:space="preserve"> （采购人名称） </w:t>
      </w:r>
    </w:p>
    <w:p w14:paraId="0DDCF8C1">
      <w:pPr>
        <w:spacing w:line="500" w:lineRule="exact"/>
        <w:rPr>
          <w:rFonts w:hint="eastAsia" w:ascii="仿宋" w:hAnsi="仿宋" w:eastAsia="仿宋" w:cs="仿宋"/>
          <w:color w:val="auto"/>
          <w:sz w:val="24"/>
          <w:szCs w:val="24"/>
          <w:highlight w:val="none"/>
        </w:rPr>
      </w:pPr>
    </w:p>
    <w:p w14:paraId="1430941C">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1、我公司为非联合体身份参与本次采购项目。</w:t>
      </w:r>
    </w:p>
    <w:p w14:paraId="76F8E644">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2、我公司在本项目</w:t>
      </w:r>
      <w:r>
        <w:rPr>
          <w:rFonts w:hint="eastAsia" w:ascii="仿宋" w:hAnsi="仿宋" w:eastAsia="仿宋" w:cs="仿宋"/>
          <w:color w:val="auto"/>
          <w:sz w:val="24"/>
          <w:szCs w:val="24"/>
          <w:highlight w:val="none"/>
          <w:lang w:val="en-US" w:eastAsia="zh-CN"/>
        </w:rPr>
        <w:t>谈判</w:t>
      </w:r>
      <w:r>
        <w:rPr>
          <w:rFonts w:hint="eastAsia" w:ascii="仿宋" w:hAnsi="仿宋" w:eastAsia="仿宋" w:cs="仿宋"/>
          <w:color w:val="auto"/>
          <w:sz w:val="24"/>
          <w:szCs w:val="24"/>
          <w:highlight w:val="none"/>
        </w:rPr>
        <w:t>过程中，不存在与其他供应商负责人为同一人或者存在直接控股、管理关系。</w:t>
      </w:r>
    </w:p>
    <w:p w14:paraId="584CEF72">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3、如在</w:t>
      </w:r>
      <w:r>
        <w:rPr>
          <w:rFonts w:hint="eastAsia" w:ascii="仿宋" w:hAnsi="仿宋" w:eastAsia="仿宋" w:cs="仿宋"/>
          <w:color w:val="auto"/>
          <w:sz w:val="24"/>
          <w:highlight w:val="none"/>
          <w:lang w:val="en-US" w:eastAsia="zh-CN"/>
        </w:rPr>
        <w:t>谈判</w:t>
      </w:r>
      <w:r>
        <w:rPr>
          <w:rFonts w:hint="eastAsia" w:ascii="仿宋" w:hAnsi="仿宋" w:eastAsia="仿宋" w:cs="仿宋"/>
          <w:color w:val="auto"/>
          <w:sz w:val="24"/>
          <w:szCs w:val="24"/>
          <w:highlight w:val="none"/>
        </w:rPr>
        <w:t>过程中发现与其他供应商存在直接控股、管理关系等，我公司将及时提出回避。</w:t>
      </w:r>
    </w:p>
    <w:p w14:paraId="18462A4D">
      <w:pPr>
        <w:spacing w:line="5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4、我公司承诺以上说明真实有效，无虚假内容或隐瞒。</w:t>
      </w:r>
    </w:p>
    <w:p w14:paraId="76E9A345">
      <w:pPr>
        <w:pStyle w:val="18"/>
        <w:rPr>
          <w:rFonts w:hint="eastAsia"/>
          <w:color w:val="auto"/>
          <w:highlight w:val="none"/>
        </w:rPr>
      </w:pPr>
    </w:p>
    <w:p w14:paraId="3128916C">
      <w:pPr>
        <w:spacing w:line="500" w:lineRule="exact"/>
        <w:ind w:firstLine="240" w:firstLineChars="100"/>
        <w:rPr>
          <w:rFonts w:hint="eastAsia" w:ascii="仿宋" w:hAnsi="仿宋" w:eastAsia="仿宋" w:cs="仿宋"/>
          <w:color w:val="auto"/>
          <w:szCs w:val="24"/>
          <w:highlight w:val="none"/>
        </w:rPr>
      </w:pPr>
    </w:p>
    <w:p w14:paraId="3D02B5B7">
      <w:pPr>
        <w:pStyle w:val="18"/>
        <w:rPr>
          <w:rFonts w:hint="eastAsia" w:ascii="仿宋" w:hAnsi="仿宋" w:eastAsia="仿宋" w:cs="仿宋"/>
          <w:color w:val="auto"/>
          <w:highlight w:val="none"/>
        </w:rPr>
      </w:pPr>
    </w:p>
    <w:p w14:paraId="27DC1D45">
      <w:pPr>
        <w:adjustRightInd w:val="0"/>
        <w:spacing w:line="400" w:lineRule="exact"/>
        <w:textAlignment w:val="baseline"/>
        <w:rPr>
          <w:rFonts w:hint="eastAsia" w:ascii="仿宋" w:hAnsi="仿宋" w:eastAsia="仿宋" w:cs="仿宋"/>
          <w:color w:val="auto"/>
          <w:highlight w:val="none"/>
        </w:rPr>
      </w:pPr>
    </w:p>
    <w:p w14:paraId="5FC2A449">
      <w:pPr>
        <w:adjustRightInd w:val="0"/>
        <w:spacing w:line="400" w:lineRule="exact"/>
        <w:textAlignment w:val="baseline"/>
        <w:rPr>
          <w:rFonts w:hint="eastAsia" w:ascii="仿宋" w:hAnsi="仿宋" w:eastAsia="仿宋" w:cs="仿宋"/>
          <w:color w:val="auto"/>
          <w:highlight w:val="none"/>
        </w:rPr>
      </w:pPr>
    </w:p>
    <w:tbl>
      <w:tblPr>
        <w:tblStyle w:val="47"/>
        <w:tblW w:w="0" w:type="auto"/>
        <w:tblInd w:w="2376" w:type="dxa"/>
        <w:tblLayout w:type="fixed"/>
        <w:tblCellMar>
          <w:top w:w="0" w:type="dxa"/>
          <w:left w:w="108" w:type="dxa"/>
          <w:bottom w:w="0" w:type="dxa"/>
          <w:right w:w="108" w:type="dxa"/>
        </w:tblCellMar>
      </w:tblPr>
      <w:tblGrid>
        <w:gridCol w:w="2410"/>
        <w:gridCol w:w="287"/>
        <w:gridCol w:w="4107"/>
      </w:tblGrid>
      <w:tr w14:paraId="6BBE4725">
        <w:tblPrEx>
          <w:tblCellMar>
            <w:top w:w="0" w:type="dxa"/>
            <w:left w:w="108" w:type="dxa"/>
            <w:bottom w:w="0" w:type="dxa"/>
            <w:right w:w="108" w:type="dxa"/>
          </w:tblCellMar>
        </w:tblPrEx>
        <w:trPr>
          <w:trHeight w:val="680" w:hRule="atLeast"/>
        </w:trPr>
        <w:tc>
          <w:tcPr>
            <w:tcW w:w="2410" w:type="dxa"/>
            <w:noWrap w:val="0"/>
            <w:vAlign w:val="bottom"/>
          </w:tcPr>
          <w:p w14:paraId="1C6E7A97">
            <w:pPr>
              <w:pStyle w:val="18"/>
              <w:keepNext w:val="0"/>
              <w:keepLines w:val="0"/>
              <w:suppressLineNumbers w:val="0"/>
              <w:spacing w:before="0" w:beforeAutospacing="0" w:afterAutospacing="0"/>
              <w:ind w:left="0" w:right="0"/>
              <w:jc w:val="distribute"/>
              <w:rPr>
                <w:rFonts w:hint="eastAsia" w:ascii="仿宋" w:hAnsi="仿宋" w:eastAsia="仿宋" w:cs="仿宋"/>
                <w:b w:val="0"/>
                <w:color w:val="000000"/>
                <w:sz w:val="24"/>
                <w:szCs w:val="24"/>
                <w:highlight w:val="none"/>
                <w:lang w:val="en-US" w:eastAsia="zh-CN"/>
              </w:rPr>
            </w:pPr>
            <w:r>
              <w:rPr>
                <w:rFonts w:hint="eastAsia" w:ascii="仿宋" w:hAnsi="仿宋" w:eastAsia="仿宋" w:cs="仿宋"/>
                <w:b w:val="0"/>
                <w:color w:val="000000"/>
                <w:sz w:val="24"/>
                <w:highlight w:val="none"/>
                <w:lang w:val="en-US" w:eastAsia="zh-CN"/>
              </w:rPr>
              <w:t>供应商名称</w:t>
            </w:r>
          </w:p>
        </w:tc>
        <w:tc>
          <w:tcPr>
            <w:tcW w:w="287" w:type="dxa"/>
            <w:noWrap w:val="0"/>
            <w:vAlign w:val="bottom"/>
          </w:tcPr>
          <w:p w14:paraId="6075F5F6">
            <w:pPr>
              <w:pStyle w:val="18"/>
              <w:keepNext w:val="0"/>
              <w:keepLines w:val="0"/>
              <w:suppressLineNumbers w:val="0"/>
              <w:spacing w:before="0" w:beforeAutospacing="0" w:afterAutospacing="0"/>
              <w:ind w:left="0" w:right="0"/>
              <w:jc w:val="left"/>
              <w:rPr>
                <w:rFonts w:hint="eastAsia" w:ascii="仿宋" w:hAnsi="仿宋" w:eastAsia="仿宋" w:cs="仿宋"/>
                <w:b w:val="0"/>
                <w:color w:val="000000"/>
                <w:sz w:val="24"/>
                <w:szCs w:val="24"/>
                <w:highlight w:val="none"/>
                <w:lang w:val="en-US" w:eastAsia="zh-CN"/>
              </w:rPr>
            </w:pPr>
            <w:r>
              <w:rPr>
                <w:rFonts w:hint="eastAsia" w:ascii="仿宋" w:hAnsi="仿宋" w:eastAsia="仿宋" w:cs="仿宋"/>
                <w:b w:val="0"/>
                <w:color w:val="000000"/>
                <w:sz w:val="24"/>
                <w:szCs w:val="24"/>
                <w:highlight w:val="none"/>
                <w:lang w:val="en-US" w:eastAsia="zh-CN"/>
              </w:rPr>
              <w:t>：</w:t>
            </w:r>
          </w:p>
        </w:tc>
        <w:tc>
          <w:tcPr>
            <w:tcW w:w="4107" w:type="dxa"/>
            <w:noWrap w:val="0"/>
            <w:vAlign w:val="bottom"/>
          </w:tcPr>
          <w:p w14:paraId="53A9A606">
            <w:pPr>
              <w:pStyle w:val="18"/>
              <w:keepNext w:val="0"/>
              <w:keepLines w:val="0"/>
              <w:suppressLineNumbers w:val="0"/>
              <w:spacing w:before="0" w:beforeAutospacing="0" w:afterAutospacing="0"/>
              <w:ind w:left="0" w:right="0"/>
              <w:rPr>
                <w:rFonts w:hint="eastAsia" w:ascii="仿宋" w:hAnsi="仿宋" w:eastAsia="仿宋" w:cs="仿宋"/>
                <w:b w:val="0"/>
                <w:color w:val="000000"/>
                <w:sz w:val="24"/>
                <w:szCs w:val="24"/>
                <w:highlight w:val="none"/>
                <w:u w:val="single"/>
                <w:lang w:val="en-US" w:eastAsia="zh-CN"/>
              </w:rPr>
            </w:pPr>
            <w:r>
              <w:rPr>
                <w:rFonts w:hint="eastAsia" w:ascii="仿宋" w:hAnsi="仿宋" w:eastAsia="仿宋" w:cs="仿宋"/>
                <w:b w:val="0"/>
                <w:color w:val="000000"/>
                <w:sz w:val="24"/>
                <w:szCs w:val="24"/>
                <w:highlight w:val="none"/>
                <w:u w:val="single"/>
                <w:lang w:val="en-US" w:eastAsia="zh-CN"/>
              </w:rPr>
              <w:t xml:space="preserve">                </w:t>
            </w:r>
            <w:r>
              <w:rPr>
                <w:rFonts w:hint="eastAsia" w:ascii="仿宋" w:hAnsi="仿宋" w:eastAsia="仿宋" w:cs="仿宋"/>
                <w:b w:val="0"/>
                <w:color w:val="000000"/>
                <w:sz w:val="24"/>
                <w:highlight w:val="none"/>
                <w:u w:val="single"/>
                <w:lang w:val="en-US" w:eastAsia="zh-CN"/>
              </w:rPr>
              <w:t xml:space="preserve">（公章） </w:t>
            </w:r>
            <w:r>
              <w:rPr>
                <w:rFonts w:hint="eastAsia" w:ascii="仿宋" w:hAnsi="仿宋" w:eastAsia="仿宋" w:cs="仿宋"/>
                <w:b w:val="0"/>
                <w:color w:val="000000"/>
                <w:sz w:val="24"/>
                <w:szCs w:val="24"/>
                <w:highlight w:val="none"/>
                <w:u w:val="single"/>
                <w:lang w:val="en-US" w:eastAsia="zh-CN"/>
              </w:rPr>
              <w:t xml:space="preserve">           </w:t>
            </w:r>
          </w:p>
        </w:tc>
      </w:tr>
      <w:tr w14:paraId="2F37333C">
        <w:tblPrEx>
          <w:tblCellMar>
            <w:top w:w="0" w:type="dxa"/>
            <w:left w:w="108" w:type="dxa"/>
            <w:bottom w:w="0" w:type="dxa"/>
            <w:right w:w="108" w:type="dxa"/>
          </w:tblCellMar>
        </w:tblPrEx>
        <w:trPr>
          <w:trHeight w:val="680" w:hRule="atLeast"/>
        </w:trPr>
        <w:tc>
          <w:tcPr>
            <w:tcW w:w="2410" w:type="dxa"/>
            <w:noWrap w:val="0"/>
            <w:vAlign w:val="bottom"/>
          </w:tcPr>
          <w:p w14:paraId="1C9748C0">
            <w:pPr>
              <w:pStyle w:val="18"/>
              <w:keepNext w:val="0"/>
              <w:keepLines w:val="0"/>
              <w:suppressLineNumbers w:val="0"/>
              <w:spacing w:before="0" w:beforeAutospacing="0" w:afterAutospacing="0"/>
              <w:ind w:left="0" w:right="0"/>
              <w:jc w:val="distribute"/>
              <w:rPr>
                <w:rFonts w:hint="eastAsia" w:ascii="仿宋" w:hAnsi="仿宋" w:eastAsia="仿宋" w:cs="仿宋"/>
                <w:b w:val="0"/>
                <w:color w:val="000000"/>
                <w:sz w:val="24"/>
                <w:szCs w:val="24"/>
                <w:highlight w:val="none"/>
                <w:lang w:val="en-US" w:eastAsia="zh-CN"/>
              </w:rPr>
            </w:pPr>
            <w:r>
              <w:rPr>
                <w:rFonts w:hint="eastAsia" w:ascii="仿宋" w:hAnsi="仿宋" w:eastAsia="仿宋" w:cs="仿宋"/>
                <w:b w:val="0"/>
                <w:color w:val="000000"/>
                <w:sz w:val="24"/>
                <w:highlight w:val="none"/>
                <w:lang w:val="en-US" w:eastAsia="zh-CN"/>
              </w:rPr>
              <w:t>法定代表人或被授权代表（签字或盖章）</w:t>
            </w:r>
          </w:p>
        </w:tc>
        <w:tc>
          <w:tcPr>
            <w:tcW w:w="287" w:type="dxa"/>
            <w:noWrap w:val="0"/>
            <w:vAlign w:val="bottom"/>
          </w:tcPr>
          <w:p w14:paraId="10EC55D0">
            <w:pPr>
              <w:pStyle w:val="18"/>
              <w:keepNext w:val="0"/>
              <w:keepLines w:val="0"/>
              <w:suppressLineNumbers w:val="0"/>
              <w:spacing w:before="0" w:beforeAutospacing="0" w:afterAutospacing="0"/>
              <w:ind w:left="0" w:right="0"/>
              <w:jc w:val="left"/>
              <w:rPr>
                <w:rFonts w:hint="eastAsia" w:ascii="仿宋" w:hAnsi="仿宋" w:eastAsia="仿宋" w:cs="仿宋"/>
                <w:b w:val="0"/>
                <w:color w:val="000000"/>
                <w:sz w:val="24"/>
                <w:szCs w:val="24"/>
                <w:highlight w:val="none"/>
                <w:lang w:val="en-US" w:eastAsia="zh-CN"/>
              </w:rPr>
            </w:pPr>
            <w:r>
              <w:rPr>
                <w:rFonts w:hint="eastAsia" w:ascii="仿宋" w:hAnsi="仿宋" w:eastAsia="仿宋" w:cs="仿宋"/>
                <w:b w:val="0"/>
                <w:color w:val="000000"/>
                <w:sz w:val="24"/>
                <w:szCs w:val="24"/>
                <w:highlight w:val="none"/>
                <w:lang w:val="en-US" w:eastAsia="zh-CN"/>
              </w:rPr>
              <w:t>：</w:t>
            </w:r>
          </w:p>
        </w:tc>
        <w:tc>
          <w:tcPr>
            <w:tcW w:w="4107" w:type="dxa"/>
            <w:noWrap w:val="0"/>
            <w:vAlign w:val="bottom"/>
          </w:tcPr>
          <w:p w14:paraId="4183275B">
            <w:pPr>
              <w:pStyle w:val="18"/>
              <w:keepNext w:val="0"/>
              <w:keepLines w:val="0"/>
              <w:suppressLineNumbers w:val="0"/>
              <w:spacing w:before="0" w:beforeAutospacing="0" w:afterAutospacing="0"/>
              <w:ind w:left="0" w:right="0"/>
              <w:rPr>
                <w:rFonts w:hint="eastAsia" w:ascii="仿宋" w:hAnsi="仿宋" w:eastAsia="仿宋" w:cs="仿宋"/>
                <w:b w:val="0"/>
                <w:color w:val="000000"/>
                <w:sz w:val="24"/>
                <w:szCs w:val="24"/>
                <w:highlight w:val="none"/>
                <w:u w:val="single"/>
                <w:lang w:val="en-US" w:eastAsia="zh-CN"/>
              </w:rPr>
            </w:pPr>
            <w:r>
              <w:rPr>
                <w:rFonts w:hint="eastAsia" w:ascii="仿宋" w:hAnsi="仿宋" w:eastAsia="仿宋" w:cs="仿宋"/>
                <w:b w:val="0"/>
                <w:color w:val="000000"/>
                <w:sz w:val="24"/>
                <w:szCs w:val="24"/>
                <w:highlight w:val="none"/>
                <w:u w:val="single"/>
                <w:lang w:val="en-US" w:eastAsia="zh-CN"/>
              </w:rPr>
              <w:t xml:space="preserve">            </w:t>
            </w:r>
            <w:r>
              <w:rPr>
                <w:rFonts w:hint="eastAsia" w:ascii="仿宋" w:hAnsi="仿宋" w:eastAsia="仿宋" w:cs="仿宋"/>
                <w:b w:val="0"/>
                <w:color w:val="000000"/>
                <w:sz w:val="24"/>
                <w:highlight w:val="none"/>
                <w:u w:val="single"/>
                <w:lang w:val="en-US" w:eastAsia="zh-CN"/>
              </w:rPr>
              <w:t>（签字或盖章）</w:t>
            </w:r>
            <w:r>
              <w:rPr>
                <w:rFonts w:hint="eastAsia" w:ascii="仿宋" w:hAnsi="仿宋" w:eastAsia="仿宋" w:cs="仿宋"/>
                <w:b w:val="0"/>
                <w:color w:val="000000"/>
                <w:sz w:val="24"/>
                <w:szCs w:val="24"/>
                <w:highlight w:val="none"/>
                <w:u w:val="single"/>
                <w:lang w:val="en-US" w:eastAsia="zh-CN"/>
              </w:rPr>
              <w:t xml:space="preserve">                              </w:t>
            </w:r>
          </w:p>
        </w:tc>
      </w:tr>
      <w:tr w14:paraId="688CDF59">
        <w:tblPrEx>
          <w:tblCellMar>
            <w:top w:w="0" w:type="dxa"/>
            <w:left w:w="108" w:type="dxa"/>
            <w:bottom w:w="0" w:type="dxa"/>
            <w:right w:w="108" w:type="dxa"/>
          </w:tblCellMar>
        </w:tblPrEx>
        <w:trPr>
          <w:trHeight w:val="680" w:hRule="atLeast"/>
        </w:trPr>
        <w:tc>
          <w:tcPr>
            <w:tcW w:w="2410" w:type="dxa"/>
            <w:noWrap w:val="0"/>
            <w:vAlign w:val="bottom"/>
          </w:tcPr>
          <w:p w14:paraId="69D11697">
            <w:pPr>
              <w:pStyle w:val="18"/>
              <w:keepNext w:val="0"/>
              <w:keepLines w:val="0"/>
              <w:suppressLineNumbers w:val="0"/>
              <w:spacing w:before="0" w:beforeAutospacing="0" w:afterAutospacing="0"/>
              <w:ind w:left="0" w:right="0"/>
              <w:jc w:val="distribute"/>
              <w:rPr>
                <w:rFonts w:hint="eastAsia" w:ascii="仿宋" w:hAnsi="仿宋" w:eastAsia="仿宋" w:cs="仿宋"/>
                <w:b w:val="0"/>
                <w:color w:val="000000"/>
                <w:sz w:val="24"/>
                <w:szCs w:val="24"/>
                <w:highlight w:val="none"/>
                <w:lang w:val="en-US" w:eastAsia="zh-CN"/>
              </w:rPr>
            </w:pPr>
            <w:r>
              <w:rPr>
                <w:rFonts w:hint="eastAsia" w:ascii="仿宋" w:hAnsi="仿宋" w:eastAsia="仿宋" w:cs="仿宋"/>
                <w:b w:val="0"/>
                <w:color w:val="000000"/>
                <w:sz w:val="24"/>
                <w:szCs w:val="24"/>
                <w:highlight w:val="none"/>
                <w:lang w:val="en-US" w:eastAsia="zh-CN"/>
              </w:rPr>
              <w:t>日期</w:t>
            </w:r>
          </w:p>
        </w:tc>
        <w:tc>
          <w:tcPr>
            <w:tcW w:w="287" w:type="dxa"/>
            <w:noWrap w:val="0"/>
            <w:vAlign w:val="bottom"/>
          </w:tcPr>
          <w:p w14:paraId="4B5868D9">
            <w:pPr>
              <w:pStyle w:val="18"/>
              <w:keepNext w:val="0"/>
              <w:keepLines w:val="0"/>
              <w:suppressLineNumbers w:val="0"/>
              <w:spacing w:before="0" w:beforeAutospacing="0" w:afterAutospacing="0"/>
              <w:ind w:left="0" w:right="0"/>
              <w:jc w:val="left"/>
              <w:rPr>
                <w:rFonts w:hint="eastAsia" w:ascii="仿宋" w:hAnsi="仿宋" w:eastAsia="仿宋" w:cs="仿宋"/>
                <w:b w:val="0"/>
                <w:color w:val="000000"/>
                <w:sz w:val="24"/>
                <w:szCs w:val="24"/>
                <w:highlight w:val="none"/>
                <w:lang w:val="en-US" w:eastAsia="zh-CN"/>
              </w:rPr>
            </w:pPr>
            <w:r>
              <w:rPr>
                <w:rFonts w:hint="eastAsia" w:ascii="仿宋" w:hAnsi="仿宋" w:eastAsia="仿宋" w:cs="仿宋"/>
                <w:b w:val="0"/>
                <w:color w:val="000000"/>
                <w:sz w:val="24"/>
                <w:szCs w:val="24"/>
                <w:highlight w:val="none"/>
                <w:lang w:val="en-US" w:eastAsia="zh-CN"/>
              </w:rPr>
              <w:t>：</w:t>
            </w:r>
          </w:p>
        </w:tc>
        <w:tc>
          <w:tcPr>
            <w:tcW w:w="4107" w:type="dxa"/>
            <w:noWrap w:val="0"/>
            <w:vAlign w:val="bottom"/>
          </w:tcPr>
          <w:p w14:paraId="7C0E1B9D">
            <w:pPr>
              <w:pStyle w:val="18"/>
              <w:keepNext w:val="0"/>
              <w:keepLines w:val="0"/>
              <w:suppressLineNumbers w:val="0"/>
              <w:spacing w:before="0" w:beforeAutospacing="0" w:afterAutospacing="0"/>
              <w:ind w:left="0" w:right="0"/>
              <w:rPr>
                <w:rFonts w:hint="eastAsia" w:ascii="仿宋" w:hAnsi="仿宋" w:eastAsia="仿宋" w:cs="仿宋"/>
                <w:b w:val="0"/>
                <w:color w:val="000000"/>
                <w:sz w:val="24"/>
                <w:szCs w:val="24"/>
                <w:highlight w:val="none"/>
                <w:u w:val="single"/>
                <w:lang w:val="en-US" w:eastAsia="zh-CN"/>
              </w:rPr>
            </w:pPr>
            <w:r>
              <w:rPr>
                <w:rFonts w:hint="eastAsia" w:ascii="仿宋" w:hAnsi="仿宋" w:eastAsia="仿宋" w:cs="仿宋"/>
                <w:b w:val="0"/>
                <w:color w:val="000000"/>
                <w:sz w:val="24"/>
                <w:szCs w:val="24"/>
                <w:highlight w:val="none"/>
                <w:u w:val="single"/>
                <w:lang w:val="en-US" w:eastAsia="zh-CN"/>
              </w:rPr>
              <w:t xml:space="preserve">      年       月       日                                  </w:t>
            </w:r>
          </w:p>
        </w:tc>
      </w:tr>
    </w:tbl>
    <w:p w14:paraId="04153B24">
      <w:pPr>
        <w:tabs>
          <w:tab w:val="left" w:pos="5580"/>
        </w:tabs>
        <w:spacing w:before="120" w:line="360" w:lineRule="auto"/>
        <w:jc w:val="left"/>
        <w:outlineLvl w:val="3"/>
        <w:rPr>
          <w:rFonts w:hint="eastAsia" w:ascii="仿宋" w:hAnsi="仿宋" w:eastAsia="仿宋" w:cs="仿宋"/>
          <w:b/>
          <w:sz w:val="24"/>
        </w:rPr>
      </w:pPr>
      <w:r>
        <w:rPr>
          <w:rFonts w:hint="eastAsia" w:ascii="仿宋" w:hAnsi="仿宋" w:eastAsia="仿宋" w:cs="仿宋"/>
          <w:b/>
          <w:bCs/>
          <w:color w:val="auto"/>
          <w:sz w:val="24"/>
          <w:szCs w:val="24"/>
          <w:highlight w:val="none"/>
        </w:rPr>
        <w:br w:type="page"/>
      </w:r>
      <w:r>
        <w:rPr>
          <w:rFonts w:hint="eastAsia" w:ascii="仿宋" w:hAnsi="仿宋" w:eastAsia="仿宋" w:cs="仿宋"/>
          <w:b/>
          <w:sz w:val="24"/>
          <w:lang w:val="en-US" w:eastAsia="zh-CN"/>
        </w:rPr>
        <w:t>附件5-9招标</w:t>
      </w:r>
      <w:r>
        <w:rPr>
          <w:rFonts w:hint="eastAsia" w:ascii="仿宋" w:hAnsi="仿宋" w:eastAsia="仿宋" w:cs="仿宋"/>
          <w:b/>
          <w:sz w:val="24"/>
        </w:rPr>
        <w:t>文件要求的其他证明文件</w:t>
      </w:r>
    </w:p>
    <w:p w14:paraId="3FF7BDD0">
      <w:pPr>
        <w:pStyle w:val="45"/>
        <w:rPr>
          <w:rFonts w:hint="eastAsia" w:ascii="仿宋_GB2312" w:hAnsi="仿宋_GB2312" w:eastAsia="仿宋_GB2312" w:cs="仿宋_GB2312"/>
        </w:rPr>
      </w:pPr>
    </w:p>
    <w:p w14:paraId="753035E7">
      <w:pPr>
        <w:numPr>
          <w:ilvl w:val="0"/>
          <w:numId w:val="0"/>
        </w:numPr>
        <w:spacing w:line="360" w:lineRule="auto"/>
        <w:jc w:val="center"/>
        <w:rPr>
          <w:rFonts w:hint="eastAsia" w:ascii="仿宋_GB2312" w:hAnsi="仿宋_GB2312" w:eastAsia="仿宋_GB2312" w:cs="仿宋_GB2312"/>
          <w:b/>
          <w:bCs/>
          <w:caps w:val="0"/>
          <w:smallCaps w:val="0"/>
          <w:color w:val="auto"/>
          <w:spacing w:val="0"/>
          <w:sz w:val="24"/>
          <w:szCs w:val="24"/>
          <w:highlight w:val="none"/>
          <w:lang w:val="en-US"/>
        </w:rPr>
      </w:pPr>
      <w:r>
        <w:rPr>
          <w:rFonts w:hint="eastAsia" w:ascii="仿宋_GB2312" w:hAnsi="仿宋_GB2312" w:eastAsia="仿宋_GB2312" w:cs="仿宋_GB2312"/>
          <w:b/>
          <w:bCs/>
          <w:caps w:val="0"/>
          <w:smallCaps w:val="0"/>
          <w:color w:val="auto"/>
          <w:spacing w:val="0"/>
          <w:sz w:val="24"/>
          <w:highlight w:val="none"/>
          <w:lang w:val="en-US" w:eastAsia="zh-CN"/>
        </w:rPr>
        <w:t>资格证明材料索引表</w:t>
      </w:r>
    </w:p>
    <w:tbl>
      <w:tblPr>
        <w:tblStyle w:val="47"/>
        <w:tblW w:w="8429"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86"/>
        <w:gridCol w:w="1033"/>
        <w:gridCol w:w="1601"/>
        <w:gridCol w:w="3483"/>
        <w:gridCol w:w="863"/>
        <w:gridCol w:w="863"/>
      </w:tblGrid>
      <w:tr w14:paraId="6D57D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6" w:type="dxa"/>
            <w:tcBorders>
              <w:top w:val="single" w:color="000000" w:sz="4" w:space="0"/>
              <w:left w:val="single" w:color="000000" w:sz="4" w:space="0"/>
              <w:bottom w:val="single" w:color="000000" w:sz="4" w:space="0"/>
              <w:right w:val="single" w:color="000000" w:sz="4" w:space="0"/>
            </w:tcBorders>
            <w:noWrap w:val="0"/>
            <w:vAlign w:val="top"/>
          </w:tcPr>
          <w:p w14:paraId="32D37103">
            <w:pPr>
              <w:keepNext w:val="0"/>
              <w:keepLines w:val="0"/>
              <w:widowControl/>
              <w:suppressLineNumbers w:val="0"/>
              <w:spacing w:before="0" w:beforeAutospacing="0" w:after="0" w:afterAutospacing="0"/>
              <w:ind w:left="0" w:right="0"/>
              <w:jc w:val="center"/>
              <w:textAlignment w:val="top"/>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序号</w:t>
            </w:r>
          </w:p>
        </w:tc>
        <w:tc>
          <w:tcPr>
            <w:tcW w:w="1033" w:type="dxa"/>
            <w:tcBorders>
              <w:top w:val="single" w:color="000000" w:sz="4" w:space="0"/>
              <w:left w:val="single" w:color="000000" w:sz="4" w:space="0"/>
              <w:bottom w:val="single" w:color="000000" w:sz="4" w:space="0"/>
              <w:right w:val="single" w:color="000000" w:sz="4" w:space="0"/>
            </w:tcBorders>
            <w:noWrap w:val="0"/>
            <w:vAlign w:val="top"/>
          </w:tcPr>
          <w:p w14:paraId="0DC89710">
            <w:pPr>
              <w:keepNext w:val="0"/>
              <w:keepLines w:val="0"/>
              <w:widowControl/>
              <w:suppressLineNumbers w:val="0"/>
              <w:spacing w:before="0" w:beforeAutospacing="0" w:after="0" w:afterAutospacing="0"/>
              <w:ind w:left="0" w:right="0"/>
              <w:jc w:val="center"/>
              <w:textAlignment w:val="top"/>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产品名称</w:t>
            </w:r>
          </w:p>
        </w:tc>
        <w:tc>
          <w:tcPr>
            <w:tcW w:w="1601" w:type="dxa"/>
            <w:tcBorders>
              <w:top w:val="single" w:color="000000" w:sz="4" w:space="0"/>
              <w:left w:val="single" w:color="000000" w:sz="4" w:space="0"/>
              <w:bottom w:val="single" w:color="000000" w:sz="4" w:space="0"/>
              <w:right w:val="single" w:color="000000" w:sz="4" w:space="0"/>
            </w:tcBorders>
            <w:noWrap w:val="0"/>
            <w:vAlign w:val="top"/>
          </w:tcPr>
          <w:p w14:paraId="00F5FCC7">
            <w:pPr>
              <w:keepNext w:val="0"/>
              <w:keepLines w:val="0"/>
              <w:widowControl/>
              <w:suppressLineNumbers w:val="0"/>
              <w:spacing w:before="0" w:beforeAutospacing="0" w:after="0" w:afterAutospacing="0"/>
              <w:ind w:left="0" w:right="0"/>
              <w:jc w:val="center"/>
              <w:textAlignment w:val="top"/>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生产厂家及规格型号</w:t>
            </w:r>
          </w:p>
        </w:tc>
        <w:tc>
          <w:tcPr>
            <w:tcW w:w="3483" w:type="dxa"/>
            <w:tcBorders>
              <w:top w:val="single" w:color="000000" w:sz="4" w:space="0"/>
              <w:left w:val="single" w:color="000000" w:sz="4" w:space="0"/>
              <w:bottom w:val="single" w:color="000000" w:sz="4" w:space="0"/>
              <w:right w:val="single" w:color="000000" w:sz="4" w:space="0"/>
            </w:tcBorders>
            <w:noWrap w:val="0"/>
            <w:vAlign w:val="top"/>
          </w:tcPr>
          <w:p w14:paraId="78BE8F84">
            <w:pPr>
              <w:keepNext w:val="0"/>
              <w:keepLines w:val="0"/>
              <w:widowControl/>
              <w:suppressLineNumbers w:val="0"/>
              <w:spacing w:before="0" w:beforeAutospacing="0" w:after="0" w:afterAutospacing="0"/>
              <w:ind w:left="0" w:right="0"/>
              <w:jc w:val="center"/>
              <w:textAlignment w:val="top"/>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证明材料</w:t>
            </w:r>
          </w:p>
        </w:tc>
        <w:tc>
          <w:tcPr>
            <w:tcW w:w="863" w:type="dxa"/>
            <w:tcBorders>
              <w:top w:val="single" w:color="000000" w:sz="4" w:space="0"/>
              <w:left w:val="single" w:color="000000" w:sz="4" w:space="0"/>
              <w:bottom w:val="single" w:color="000000" w:sz="4" w:space="0"/>
              <w:right w:val="single" w:color="000000" w:sz="4" w:space="0"/>
            </w:tcBorders>
            <w:noWrap w:val="0"/>
            <w:vAlign w:val="top"/>
          </w:tcPr>
          <w:p w14:paraId="4E881385">
            <w:pPr>
              <w:keepNext w:val="0"/>
              <w:keepLines w:val="0"/>
              <w:widowControl/>
              <w:suppressLineNumbers w:val="0"/>
              <w:spacing w:before="0" w:beforeAutospacing="0" w:after="0" w:afterAutospacing="0"/>
              <w:ind w:left="0" w:right="0"/>
              <w:jc w:val="center"/>
              <w:textAlignment w:val="top"/>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响应文件页码</w:t>
            </w:r>
          </w:p>
        </w:tc>
        <w:tc>
          <w:tcPr>
            <w:tcW w:w="863" w:type="dxa"/>
            <w:tcBorders>
              <w:top w:val="single" w:color="000000" w:sz="4" w:space="0"/>
              <w:left w:val="single" w:color="000000" w:sz="4" w:space="0"/>
              <w:bottom w:val="single" w:color="000000" w:sz="4" w:space="0"/>
              <w:right w:val="single" w:color="000000" w:sz="4" w:space="0"/>
            </w:tcBorders>
            <w:noWrap w:val="0"/>
            <w:vAlign w:val="top"/>
          </w:tcPr>
          <w:p w14:paraId="569E7EED">
            <w:pPr>
              <w:keepNext w:val="0"/>
              <w:keepLines w:val="0"/>
              <w:widowControl/>
              <w:suppressLineNumbers w:val="0"/>
              <w:spacing w:before="0" w:beforeAutospacing="0" w:after="0" w:afterAutospacing="0"/>
              <w:ind w:left="0" w:right="0"/>
              <w:jc w:val="center"/>
              <w:textAlignment w:val="top"/>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备注</w:t>
            </w:r>
          </w:p>
        </w:tc>
      </w:tr>
      <w:tr w14:paraId="200C6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6" w:type="dxa"/>
            <w:vMerge w:val="restart"/>
            <w:tcBorders>
              <w:top w:val="single" w:color="000000" w:sz="4" w:space="0"/>
              <w:left w:val="single" w:color="000000" w:sz="4" w:space="0"/>
              <w:right w:val="single" w:color="000000" w:sz="4" w:space="0"/>
            </w:tcBorders>
            <w:noWrap w:val="0"/>
            <w:vAlign w:val="center"/>
          </w:tcPr>
          <w:p w14:paraId="6ECF67D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033" w:type="dxa"/>
            <w:vMerge w:val="restart"/>
            <w:tcBorders>
              <w:top w:val="single" w:color="000000" w:sz="4" w:space="0"/>
              <w:left w:val="single" w:color="000000" w:sz="4" w:space="0"/>
              <w:right w:val="single" w:color="000000" w:sz="4" w:space="0"/>
            </w:tcBorders>
            <w:noWrap w:val="0"/>
            <w:vAlign w:val="center"/>
          </w:tcPr>
          <w:p w14:paraId="5440F4D5">
            <w:pPr>
              <w:keepNext w:val="0"/>
              <w:keepLines w:val="0"/>
              <w:widowControl/>
              <w:suppressLineNumbers w:val="0"/>
              <w:spacing w:before="0" w:beforeAutospacing="0" w:after="0" w:afterAutospacing="0"/>
              <w:ind w:left="0" w:right="0"/>
              <w:jc w:val="both"/>
              <w:textAlignment w:val="center"/>
              <w:rPr>
                <w:rFonts w:hint="eastAsia" w:ascii="仿宋_GB2312" w:hAnsi="仿宋_GB2312" w:eastAsia="仿宋_GB2312" w:cs="仿宋_GB2312"/>
                <w:i w:val="0"/>
                <w:iCs w:val="0"/>
                <w:color w:val="000000"/>
                <w:sz w:val="24"/>
                <w:szCs w:val="24"/>
                <w:highlight w:val="none"/>
                <w:u w:val="none"/>
                <w:lang w:val="en-US" w:eastAsia="zh-CN"/>
              </w:rPr>
            </w:pPr>
            <w:r>
              <w:rPr>
                <w:rFonts w:hint="eastAsia" w:ascii="仿宋_GB2312" w:hAnsi="仿宋_GB2312" w:eastAsia="仿宋_GB2312" w:cs="仿宋_GB2312"/>
                <w:i w:val="0"/>
                <w:iCs w:val="0"/>
                <w:color w:val="000000"/>
                <w:sz w:val="24"/>
                <w:szCs w:val="24"/>
                <w:highlight w:val="none"/>
                <w:u w:val="none"/>
                <w:lang w:val="en-US" w:eastAsia="zh-CN"/>
              </w:rPr>
              <w:t>转运床</w:t>
            </w:r>
          </w:p>
        </w:tc>
        <w:tc>
          <w:tcPr>
            <w:tcW w:w="1601" w:type="dxa"/>
            <w:vMerge w:val="restart"/>
            <w:tcBorders>
              <w:top w:val="single" w:color="000000" w:sz="4" w:space="0"/>
              <w:left w:val="single" w:color="000000" w:sz="4" w:space="0"/>
              <w:right w:val="single" w:color="000000" w:sz="4" w:space="0"/>
            </w:tcBorders>
            <w:noWrap w:val="0"/>
            <w:vAlign w:val="center"/>
          </w:tcPr>
          <w:p w14:paraId="0818D57C">
            <w:pPr>
              <w:keepNext w:val="0"/>
              <w:keepLines w:val="0"/>
              <w:widowControl/>
              <w:suppressLineNumbers w:val="0"/>
              <w:spacing w:before="0" w:beforeAutospacing="0" w:after="0" w:afterAutospacing="0"/>
              <w:ind w:left="0" w:right="0"/>
              <w:jc w:val="both"/>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3483" w:type="dxa"/>
            <w:tcBorders>
              <w:top w:val="single" w:color="000000" w:sz="4" w:space="0"/>
              <w:left w:val="single" w:color="000000" w:sz="4" w:space="0"/>
              <w:bottom w:val="single" w:color="000000" w:sz="4" w:space="0"/>
              <w:right w:val="single" w:color="000000" w:sz="4" w:space="0"/>
            </w:tcBorders>
            <w:noWrap w:val="0"/>
            <w:vAlign w:val="center"/>
          </w:tcPr>
          <w:p w14:paraId="26B0EB3B">
            <w:pPr>
              <w:keepNext w:val="0"/>
              <w:keepLines w:val="0"/>
              <w:widowControl/>
              <w:suppressLineNumbers w:val="0"/>
              <w:spacing w:before="0" w:beforeAutospacing="0" w:after="0" w:afterAutospacing="0"/>
              <w:ind w:left="0" w:right="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供应商医疗器械经营许可证或医疗器械经营备案证</w:t>
            </w:r>
          </w:p>
        </w:tc>
        <w:tc>
          <w:tcPr>
            <w:tcW w:w="863" w:type="dxa"/>
            <w:tcBorders>
              <w:top w:val="single" w:color="000000" w:sz="4" w:space="0"/>
              <w:left w:val="single" w:color="000000" w:sz="4" w:space="0"/>
              <w:bottom w:val="single" w:color="000000" w:sz="4" w:space="0"/>
              <w:right w:val="single" w:color="000000" w:sz="4" w:space="0"/>
            </w:tcBorders>
            <w:noWrap w:val="0"/>
            <w:vAlign w:val="top"/>
          </w:tcPr>
          <w:p w14:paraId="7C8F8BAF">
            <w:pPr>
              <w:keepNext w:val="0"/>
              <w:keepLines w:val="0"/>
              <w:suppressLineNumbers w:val="0"/>
              <w:spacing w:before="0" w:beforeAutospacing="0" w:after="0" w:afterAutospacing="0"/>
              <w:ind w:left="0" w:right="0"/>
              <w:jc w:val="both"/>
              <w:rPr>
                <w:rFonts w:hint="eastAsia" w:ascii="仿宋_GB2312" w:hAnsi="仿宋_GB2312" w:eastAsia="仿宋_GB2312" w:cs="仿宋_GB2312"/>
                <w:b/>
                <w:bCs/>
                <w:i w:val="0"/>
                <w:iCs w:val="0"/>
                <w:color w:val="000000"/>
                <w:sz w:val="24"/>
                <w:szCs w:val="24"/>
                <w:highlight w:val="none"/>
                <w:u w:val="none"/>
              </w:rPr>
            </w:pPr>
          </w:p>
        </w:tc>
        <w:tc>
          <w:tcPr>
            <w:tcW w:w="863" w:type="dxa"/>
            <w:tcBorders>
              <w:top w:val="single" w:color="000000" w:sz="4" w:space="0"/>
              <w:left w:val="single" w:color="000000" w:sz="4" w:space="0"/>
              <w:bottom w:val="single" w:color="000000" w:sz="4" w:space="0"/>
              <w:right w:val="single" w:color="000000" w:sz="4" w:space="0"/>
            </w:tcBorders>
            <w:noWrap w:val="0"/>
            <w:vAlign w:val="top"/>
          </w:tcPr>
          <w:p w14:paraId="58AD23FB">
            <w:pPr>
              <w:keepNext w:val="0"/>
              <w:keepLines w:val="0"/>
              <w:suppressLineNumbers w:val="0"/>
              <w:spacing w:before="0" w:beforeAutospacing="0" w:after="0" w:afterAutospacing="0"/>
              <w:ind w:left="0" w:right="0"/>
              <w:jc w:val="both"/>
              <w:rPr>
                <w:rFonts w:hint="eastAsia" w:ascii="仿宋_GB2312" w:hAnsi="仿宋_GB2312" w:eastAsia="仿宋_GB2312" w:cs="仿宋_GB2312"/>
                <w:b/>
                <w:bCs/>
                <w:i w:val="0"/>
                <w:iCs w:val="0"/>
                <w:color w:val="000000"/>
                <w:sz w:val="24"/>
                <w:szCs w:val="24"/>
                <w:highlight w:val="none"/>
                <w:u w:val="none"/>
              </w:rPr>
            </w:pPr>
          </w:p>
        </w:tc>
      </w:tr>
      <w:tr w14:paraId="0F9D5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6" w:type="dxa"/>
            <w:vMerge w:val="continue"/>
            <w:tcBorders>
              <w:left w:val="single" w:color="000000" w:sz="4" w:space="0"/>
              <w:right w:val="single" w:color="000000" w:sz="4" w:space="0"/>
            </w:tcBorders>
            <w:noWrap w:val="0"/>
            <w:vAlign w:val="center"/>
          </w:tcPr>
          <w:p w14:paraId="5CFC77CB">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4"/>
                <w:szCs w:val="24"/>
                <w:highlight w:val="none"/>
                <w:u w:val="none"/>
              </w:rPr>
            </w:pPr>
          </w:p>
        </w:tc>
        <w:tc>
          <w:tcPr>
            <w:tcW w:w="1033" w:type="dxa"/>
            <w:vMerge w:val="continue"/>
            <w:tcBorders>
              <w:left w:val="single" w:color="000000" w:sz="4" w:space="0"/>
              <w:right w:val="single" w:color="000000" w:sz="4" w:space="0"/>
            </w:tcBorders>
            <w:noWrap w:val="0"/>
            <w:vAlign w:val="center"/>
          </w:tcPr>
          <w:p w14:paraId="6B5F1D46">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4"/>
                <w:szCs w:val="24"/>
                <w:highlight w:val="none"/>
                <w:u w:val="none"/>
              </w:rPr>
            </w:pPr>
          </w:p>
        </w:tc>
        <w:tc>
          <w:tcPr>
            <w:tcW w:w="1601" w:type="dxa"/>
            <w:vMerge w:val="continue"/>
            <w:tcBorders>
              <w:left w:val="single" w:color="000000" w:sz="4" w:space="0"/>
              <w:right w:val="single" w:color="000000" w:sz="4" w:space="0"/>
            </w:tcBorders>
            <w:noWrap w:val="0"/>
            <w:vAlign w:val="center"/>
          </w:tcPr>
          <w:p w14:paraId="0BABEF4B">
            <w:pPr>
              <w:keepNext w:val="0"/>
              <w:keepLines w:val="0"/>
              <w:widowControl/>
              <w:suppressLineNumbers w:val="0"/>
              <w:spacing w:before="0" w:beforeAutospacing="0" w:after="0" w:afterAutospacing="0"/>
              <w:ind w:left="0" w:right="0"/>
              <w:jc w:val="both"/>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3483" w:type="dxa"/>
            <w:tcBorders>
              <w:top w:val="single" w:color="000000" w:sz="4" w:space="0"/>
              <w:left w:val="single" w:color="000000" w:sz="4" w:space="0"/>
              <w:bottom w:val="single" w:color="000000" w:sz="4" w:space="0"/>
              <w:right w:val="single" w:color="000000" w:sz="4" w:space="0"/>
            </w:tcBorders>
            <w:noWrap w:val="0"/>
            <w:vAlign w:val="center"/>
          </w:tcPr>
          <w:p w14:paraId="6F5CBA2F">
            <w:pPr>
              <w:keepNext w:val="0"/>
              <w:keepLines w:val="0"/>
              <w:widowControl/>
              <w:suppressLineNumbers w:val="0"/>
              <w:spacing w:before="0" w:beforeAutospacing="0" w:after="0" w:afterAutospacing="0"/>
              <w:ind w:left="0" w:right="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 w:hAnsi="仿宋" w:eastAsia="仿宋" w:cs="仿宋"/>
                <w:color w:val="auto"/>
                <w:sz w:val="24"/>
                <w:szCs w:val="24"/>
                <w:lang w:val="en-US" w:eastAsia="zh-CN"/>
              </w:rPr>
              <w:t>投标产品属于</w:t>
            </w:r>
            <w:r>
              <w:rPr>
                <w:rFonts w:hint="eastAsia" w:ascii="仿宋" w:hAnsi="仿宋" w:eastAsia="仿宋" w:cs="仿宋"/>
                <w:color w:val="auto"/>
                <w:sz w:val="24"/>
                <w:szCs w:val="24"/>
              </w:rPr>
              <w:t>医疗器械</w:t>
            </w:r>
            <w:r>
              <w:rPr>
                <w:rFonts w:hint="eastAsia" w:ascii="仿宋" w:hAnsi="仿宋" w:eastAsia="仿宋" w:cs="仿宋"/>
                <w:color w:val="auto"/>
                <w:sz w:val="24"/>
                <w:szCs w:val="24"/>
                <w:lang w:val="en-US" w:eastAsia="zh-CN"/>
              </w:rPr>
              <w:t>的</w:t>
            </w:r>
            <w:r>
              <w:rPr>
                <w:rFonts w:hint="eastAsia" w:ascii="仿宋" w:hAnsi="仿宋" w:eastAsia="仿宋" w:cs="仿宋"/>
                <w:color w:val="auto"/>
                <w:sz w:val="24"/>
                <w:szCs w:val="24"/>
              </w:rPr>
              <w:t>提供生产厂家的医疗器械生产许可证或医疗器械生产备案证</w:t>
            </w:r>
          </w:p>
        </w:tc>
        <w:tc>
          <w:tcPr>
            <w:tcW w:w="863" w:type="dxa"/>
            <w:tcBorders>
              <w:top w:val="single" w:color="000000" w:sz="4" w:space="0"/>
              <w:left w:val="single" w:color="000000" w:sz="4" w:space="0"/>
              <w:bottom w:val="single" w:color="000000" w:sz="4" w:space="0"/>
              <w:right w:val="single" w:color="000000" w:sz="4" w:space="0"/>
            </w:tcBorders>
            <w:noWrap w:val="0"/>
            <w:vAlign w:val="top"/>
          </w:tcPr>
          <w:p w14:paraId="51F6FFE0">
            <w:pPr>
              <w:keepNext w:val="0"/>
              <w:keepLines w:val="0"/>
              <w:suppressLineNumbers w:val="0"/>
              <w:spacing w:before="0" w:beforeAutospacing="0" w:after="0" w:afterAutospacing="0"/>
              <w:ind w:left="0" w:right="0"/>
              <w:jc w:val="both"/>
              <w:rPr>
                <w:rFonts w:hint="eastAsia" w:ascii="仿宋_GB2312" w:hAnsi="仿宋_GB2312" w:eastAsia="仿宋_GB2312" w:cs="仿宋_GB2312"/>
                <w:b/>
                <w:bCs/>
                <w:i w:val="0"/>
                <w:iCs w:val="0"/>
                <w:color w:val="000000"/>
                <w:sz w:val="24"/>
                <w:szCs w:val="24"/>
                <w:highlight w:val="none"/>
                <w:u w:val="none"/>
              </w:rPr>
            </w:pPr>
          </w:p>
        </w:tc>
        <w:tc>
          <w:tcPr>
            <w:tcW w:w="863" w:type="dxa"/>
            <w:tcBorders>
              <w:top w:val="single" w:color="000000" w:sz="4" w:space="0"/>
              <w:left w:val="single" w:color="000000" w:sz="4" w:space="0"/>
              <w:bottom w:val="single" w:color="000000" w:sz="4" w:space="0"/>
              <w:right w:val="single" w:color="000000" w:sz="4" w:space="0"/>
            </w:tcBorders>
            <w:noWrap w:val="0"/>
            <w:vAlign w:val="top"/>
          </w:tcPr>
          <w:p w14:paraId="29CECDC7">
            <w:pPr>
              <w:keepNext w:val="0"/>
              <w:keepLines w:val="0"/>
              <w:suppressLineNumbers w:val="0"/>
              <w:spacing w:before="0" w:beforeAutospacing="0" w:after="0" w:afterAutospacing="0"/>
              <w:ind w:left="0" w:right="0"/>
              <w:jc w:val="both"/>
              <w:rPr>
                <w:rFonts w:hint="eastAsia" w:ascii="仿宋_GB2312" w:hAnsi="仿宋_GB2312" w:eastAsia="仿宋_GB2312" w:cs="仿宋_GB2312"/>
                <w:b/>
                <w:bCs/>
                <w:i w:val="0"/>
                <w:iCs w:val="0"/>
                <w:color w:val="000000"/>
                <w:sz w:val="24"/>
                <w:szCs w:val="24"/>
                <w:highlight w:val="none"/>
                <w:u w:val="none"/>
              </w:rPr>
            </w:pPr>
          </w:p>
        </w:tc>
      </w:tr>
      <w:tr w14:paraId="70FA9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6" w:type="dxa"/>
            <w:vMerge w:val="continue"/>
            <w:tcBorders>
              <w:left w:val="single" w:color="000000" w:sz="4" w:space="0"/>
              <w:right w:val="single" w:color="000000" w:sz="4" w:space="0"/>
            </w:tcBorders>
            <w:noWrap w:val="0"/>
            <w:vAlign w:val="center"/>
          </w:tcPr>
          <w:p w14:paraId="3A04F3A4">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4"/>
                <w:szCs w:val="24"/>
                <w:highlight w:val="none"/>
                <w:u w:val="none"/>
              </w:rPr>
            </w:pPr>
          </w:p>
        </w:tc>
        <w:tc>
          <w:tcPr>
            <w:tcW w:w="1033" w:type="dxa"/>
            <w:vMerge w:val="continue"/>
            <w:tcBorders>
              <w:left w:val="single" w:color="000000" w:sz="4" w:space="0"/>
              <w:right w:val="single" w:color="000000" w:sz="4" w:space="0"/>
            </w:tcBorders>
            <w:noWrap w:val="0"/>
            <w:vAlign w:val="center"/>
          </w:tcPr>
          <w:p w14:paraId="68746DCD">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4"/>
                <w:szCs w:val="24"/>
                <w:highlight w:val="none"/>
                <w:u w:val="none"/>
              </w:rPr>
            </w:pPr>
          </w:p>
        </w:tc>
        <w:tc>
          <w:tcPr>
            <w:tcW w:w="1601" w:type="dxa"/>
            <w:vMerge w:val="continue"/>
            <w:tcBorders>
              <w:left w:val="single" w:color="000000" w:sz="4" w:space="0"/>
              <w:right w:val="single" w:color="000000" w:sz="4" w:space="0"/>
            </w:tcBorders>
            <w:noWrap w:val="0"/>
            <w:vAlign w:val="center"/>
          </w:tcPr>
          <w:p w14:paraId="7E83867B">
            <w:pPr>
              <w:keepNext w:val="0"/>
              <w:keepLines w:val="0"/>
              <w:widowControl/>
              <w:suppressLineNumbers w:val="0"/>
              <w:spacing w:before="0" w:beforeAutospacing="0" w:after="0" w:afterAutospacing="0"/>
              <w:ind w:left="0" w:right="0"/>
              <w:jc w:val="both"/>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3483" w:type="dxa"/>
            <w:tcBorders>
              <w:top w:val="single" w:color="000000" w:sz="4" w:space="0"/>
              <w:left w:val="single" w:color="000000" w:sz="4" w:space="0"/>
              <w:bottom w:val="single" w:color="000000" w:sz="4" w:space="0"/>
              <w:right w:val="single" w:color="000000" w:sz="4" w:space="0"/>
            </w:tcBorders>
            <w:noWrap w:val="0"/>
            <w:vAlign w:val="center"/>
          </w:tcPr>
          <w:p w14:paraId="03E70C88">
            <w:pPr>
              <w:keepNext w:val="0"/>
              <w:keepLines w:val="0"/>
              <w:widowControl/>
              <w:suppressLineNumbers w:val="0"/>
              <w:spacing w:before="0" w:beforeAutospacing="0" w:after="0" w:afterAutospacing="0"/>
              <w:ind w:left="0" w:right="0"/>
              <w:jc w:val="both"/>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投标产品属于医疗器械管理的提供医疗器械注册证或医疗器械备案凭证，如国家规定免注册产品提供相关证明文件；</w:t>
            </w:r>
          </w:p>
        </w:tc>
        <w:tc>
          <w:tcPr>
            <w:tcW w:w="863" w:type="dxa"/>
            <w:tcBorders>
              <w:top w:val="single" w:color="000000" w:sz="4" w:space="0"/>
              <w:left w:val="single" w:color="000000" w:sz="4" w:space="0"/>
              <w:bottom w:val="single" w:color="000000" w:sz="4" w:space="0"/>
              <w:right w:val="single" w:color="000000" w:sz="4" w:space="0"/>
            </w:tcBorders>
            <w:noWrap w:val="0"/>
            <w:vAlign w:val="top"/>
          </w:tcPr>
          <w:p w14:paraId="1AEEC7E2">
            <w:pPr>
              <w:keepNext w:val="0"/>
              <w:keepLines w:val="0"/>
              <w:suppressLineNumbers w:val="0"/>
              <w:spacing w:before="0" w:beforeAutospacing="0" w:after="0" w:afterAutospacing="0"/>
              <w:ind w:left="0" w:right="0"/>
              <w:jc w:val="both"/>
              <w:rPr>
                <w:rFonts w:hint="eastAsia" w:ascii="仿宋_GB2312" w:hAnsi="仿宋_GB2312" w:eastAsia="仿宋_GB2312" w:cs="仿宋_GB2312"/>
                <w:b/>
                <w:bCs/>
                <w:i w:val="0"/>
                <w:iCs w:val="0"/>
                <w:color w:val="000000"/>
                <w:sz w:val="24"/>
                <w:szCs w:val="24"/>
                <w:highlight w:val="none"/>
                <w:u w:val="none"/>
              </w:rPr>
            </w:pPr>
          </w:p>
        </w:tc>
        <w:tc>
          <w:tcPr>
            <w:tcW w:w="863" w:type="dxa"/>
            <w:tcBorders>
              <w:top w:val="single" w:color="000000" w:sz="4" w:space="0"/>
              <w:left w:val="single" w:color="000000" w:sz="4" w:space="0"/>
              <w:bottom w:val="single" w:color="000000" w:sz="4" w:space="0"/>
              <w:right w:val="single" w:color="000000" w:sz="4" w:space="0"/>
            </w:tcBorders>
            <w:noWrap w:val="0"/>
            <w:vAlign w:val="top"/>
          </w:tcPr>
          <w:p w14:paraId="52E18BCE">
            <w:pPr>
              <w:keepNext w:val="0"/>
              <w:keepLines w:val="0"/>
              <w:suppressLineNumbers w:val="0"/>
              <w:spacing w:before="0" w:beforeAutospacing="0" w:after="0" w:afterAutospacing="0"/>
              <w:ind w:left="0" w:right="0"/>
              <w:jc w:val="both"/>
              <w:rPr>
                <w:rFonts w:hint="eastAsia" w:ascii="仿宋_GB2312" w:hAnsi="仿宋_GB2312" w:eastAsia="仿宋_GB2312" w:cs="仿宋_GB2312"/>
                <w:b/>
                <w:bCs/>
                <w:i w:val="0"/>
                <w:iCs w:val="0"/>
                <w:color w:val="000000"/>
                <w:sz w:val="24"/>
                <w:szCs w:val="24"/>
                <w:highlight w:val="none"/>
                <w:u w:val="none"/>
              </w:rPr>
            </w:pPr>
          </w:p>
        </w:tc>
      </w:tr>
      <w:tr w14:paraId="43BA0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6" w:type="dxa"/>
            <w:vMerge w:val="restart"/>
            <w:tcBorders>
              <w:top w:val="single" w:color="000000" w:sz="4" w:space="0"/>
              <w:left w:val="single" w:color="000000" w:sz="4" w:space="0"/>
              <w:right w:val="single" w:color="000000" w:sz="4" w:space="0"/>
            </w:tcBorders>
            <w:noWrap w:val="0"/>
            <w:vAlign w:val="center"/>
          </w:tcPr>
          <w:p w14:paraId="0758DB5D">
            <w:pPr>
              <w:keepNext w:val="0"/>
              <w:keepLines w:val="0"/>
              <w:suppressLineNumbers w:val="0"/>
              <w:spacing w:before="0" w:beforeAutospacing="0" w:after="0" w:afterAutospacing="0"/>
              <w:ind w:left="0" w:right="0"/>
              <w:jc w:val="center"/>
              <w:rPr>
                <w:rFonts w:hint="default" w:ascii="仿宋_GB2312" w:hAnsi="仿宋_GB2312" w:eastAsia="仿宋_GB2312" w:cs="仿宋_GB2312"/>
                <w:i w:val="0"/>
                <w:iCs w:val="0"/>
                <w:color w:val="000000"/>
                <w:sz w:val="24"/>
                <w:szCs w:val="24"/>
                <w:highlight w:val="none"/>
                <w:u w:val="none"/>
                <w:lang w:val="en-US" w:eastAsia="zh-CN"/>
              </w:rPr>
            </w:pPr>
            <w:r>
              <w:rPr>
                <w:rFonts w:hint="eastAsia" w:ascii="仿宋_GB2312" w:hAnsi="仿宋_GB2312" w:cs="仿宋_GB2312"/>
                <w:i w:val="0"/>
                <w:iCs w:val="0"/>
                <w:color w:val="000000"/>
                <w:sz w:val="24"/>
                <w:szCs w:val="24"/>
                <w:highlight w:val="none"/>
                <w:u w:val="none"/>
                <w:lang w:val="en-US" w:eastAsia="zh-CN"/>
              </w:rPr>
              <w:t>2</w:t>
            </w:r>
          </w:p>
        </w:tc>
        <w:tc>
          <w:tcPr>
            <w:tcW w:w="1033" w:type="dxa"/>
            <w:vMerge w:val="restart"/>
            <w:tcBorders>
              <w:top w:val="single" w:color="000000" w:sz="4" w:space="0"/>
              <w:left w:val="single" w:color="000000" w:sz="4" w:space="0"/>
              <w:right w:val="single" w:color="000000" w:sz="4" w:space="0"/>
            </w:tcBorders>
            <w:noWrap w:val="0"/>
            <w:vAlign w:val="center"/>
          </w:tcPr>
          <w:p w14:paraId="0B050C1E">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4"/>
                <w:szCs w:val="24"/>
                <w:highlight w:val="none"/>
                <w:u w:val="none"/>
                <w:lang w:val="en-US" w:eastAsia="zh-CN"/>
              </w:rPr>
            </w:pPr>
            <w:r>
              <w:rPr>
                <w:rFonts w:hint="eastAsia" w:ascii="仿宋_GB2312" w:hAnsi="仿宋_GB2312" w:eastAsia="仿宋_GB2312" w:cs="仿宋_GB2312"/>
                <w:i w:val="0"/>
                <w:iCs w:val="0"/>
                <w:color w:val="000000"/>
                <w:sz w:val="24"/>
                <w:szCs w:val="24"/>
                <w:highlight w:val="none"/>
                <w:u w:val="none"/>
                <w:lang w:val="en-US" w:eastAsia="zh-CN"/>
              </w:rPr>
              <w:t>电动护理床</w:t>
            </w:r>
          </w:p>
        </w:tc>
        <w:tc>
          <w:tcPr>
            <w:tcW w:w="1601" w:type="dxa"/>
            <w:vMerge w:val="restart"/>
            <w:tcBorders>
              <w:top w:val="single" w:color="000000" w:sz="4" w:space="0"/>
              <w:left w:val="single" w:color="000000" w:sz="4" w:space="0"/>
              <w:right w:val="single" w:color="000000" w:sz="4" w:space="0"/>
            </w:tcBorders>
            <w:noWrap w:val="0"/>
            <w:vAlign w:val="center"/>
          </w:tcPr>
          <w:p w14:paraId="6836236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4"/>
                <w:szCs w:val="24"/>
                <w:highlight w:val="none"/>
                <w:u w:val="none"/>
                <w:lang w:val="en-US" w:eastAsia="zh-CN"/>
              </w:rPr>
            </w:pPr>
          </w:p>
        </w:tc>
        <w:tc>
          <w:tcPr>
            <w:tcW w:w="3483" w:type="dxa"/>
            <w:tcBorders>
              <w:top w:val="single" w:color="000000" w:sz="4" w:space="0"/>
              <w:left w:val="single" w:color="000000" w:sz="4" w:space="0"/>
              <w:bottom w:val="single" w:color="000000" w:sz="4" w:space="0"/>
              <w:right w:val="single" w:color="000000" w:sz="4" w:space="0"/>
            </w:tcBorders>
            <w:noWrap w:val="0"/>
            <w:vAlign w:val="center"/>
          </w:tcPr>
          <w:p w14:paraId="4871EC03">
            <w:pPr>
              <w:keepNext w:val="0"/>
              <w:keepLines w:val="0"/>
              <w:widowControl/>
              <w:suppressLineNumbers w:val="0"/>
              <w:spacing w:before="0" w:beforeAutospacing="0" w:after="0" w:afterAutospacing="0"/>
              <w:ind w:left="0" w:right="0"/>
              <w:jc w:val="both"/>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供应商医疗器械经营许可证或医疗器械经营备案证</w:t>
            </w:r>
          </w:p>
        </w:tc>
        <w:tc>
          <w:tcPr>
            <w:tcW w:w="863" w:type="dxa"/>
            <w:tcBorders>
              <w:top w:val="single" w:color="000000" w:sz="4" w:space="0"/>
              <w:left w:val="single" w:color="000000" w:sz="4" w:space="0"/>
              <w:bottom w:val="single" w:color="000000" w:sz="4" w:space="0"/>
              <w:right w:val="single" w:color="000000" w:sz="4" w:space="0"/>
            </w:tcBorders>
            <w:noWrap w:val="0"/>
            <w:vAlign w:val="top"/>
          </w:tcPr>
          <w:p w14:paraId="050D5396">
            <w:pPr>
              <w:keepNext w:val="0"/>
              <w:keepLines w:val="0"/>
              <w:suppressLineNumbers w:val="0"/>
              <w:spacing w:before="0" w:beforeAutospacing="0" w:after="0" w:afterAutospacing="0"/>
              <w:ind w:left="0" w:right="0"/>
              <w:jc w:val="both"/>
              <w:rPr>
                <w:rFonts w:hint="eastAsia" w:ascii="仿宋_GB2312" w:hAnsi="仿宋_GB2312" w:eastAsia="仿宋_GB2312" w:cs="仿宋_GB2312"/>
                <w:b/>
                <w:bCs/>
                <w:i w:val="0"/>
                <w:iCs w:val="0"/>
                <w:color w:val="000000"/>
                <w:sz w:val="24"/>
                <w:szCs w:val="24"/>
                <w:highlight w:val="none"/>
                <w:u w:val="none"/>
              </w:rPr>
            </w:pP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3E377061">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highlight w:val="none"/>
                <w:u w:val="none"/>
              </w:rPr>
            </w:pPr>
          </w:p>
        </w:tc>
      </w:tr>
      <w:tr w14:paraId="6B1E9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6" w:type="dxa"/>
            <w:vMerge w:val="continue"/>
            <w:tcBorders>
              <w:left w:val="single" w:color="000000" w:sz="4" w:space="0"/>
              <w:right w:val="single" w:color="000000" w:sz="4" w:space="0"/>
            </w:tcBorders>
            <w:noWrap w:val="0"/>
            <w:vAlign w:val="center"/>
          </w:tcPr>
          <w:p w14:paraId="20338163">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4"/>
                <w:szCs w:val="24"/>
                <w:highlight w:val="none"/>
                <w:u w:val="none"/>
                <w:lang w:val="en-US" w:eastAsia="zh-CN"/>
              </w:rPr>
            </w:pPr>
          </w:p>
        </w:tc>
        <w:tc>
          <w:tcPr>
            <w:tcW w:w="1033" w:type="dxa"/>
            <w:vMerge w:val="continue"/>
            <w:tcBorders>
              <w:left w:val="single" w:color="000000" w:sz="4" w:space="0"/>
              <w:right w:val="single" w:color="000000" w:sz="4" w:space="0"/>
            </w:tcBorders>
            <w:noWrap w:val="0"/>
            <w:vAlign w:val="center"/>
          </w:tcPr>
          <w:p w14:paraId="0DCCEA47">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4"/>
                <w:szCs w:val="24"/>
                <w:highlight w:val="none"/>
                <w:u w:val="none"/>
                <w:lang w:val="en-US" w:eastAsia="zh-CN"/>
              </w:rPr>
            </w:pPr>
          </w:p>
        </w:tc>
        <w:tc>
          <w:tcPr>
            <w:tcW w:w="1601" w:type="dxa"/>
            <w:vMerge w:val="continue"/>
            <w:tcBorders>
              <w:left w:val="single" w:color="000000" w:sz="4" w:space="0"/>
              <w:right w:val="single" w:color="000000" w:sz="4" w:space="0"/>
            </w:tcBorders>
            <w:noWrap w:val="0"/>
            <w:vAlign w:val="center"/>
          </w:tcPr>
          <w:p w14:paraId="7CBC096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4"/>
                <w:szCs w:val="24"/>
                <w:highlight w:val="none"/>
                <w:u w:val="none"/>
                <w:lang w:val="en-US" w:eastAsia="zh-CN"/>
              </w:rPr>
            </w:pPr>
          </w:p>
        </w:tc>
        <w:tc>
          <w:tcPr>
            <w:tcW w:w="3483" w:type="dxa"/>
            <w:tcBorders>
              <w:top w:val="single" w:color="000000" w:sz="4" w:space="0"/>
              <w:left w:val="single" w:color="000000" w:sz="4" w:space="0"/>
              <w:bottom w:val="single" w:color="000000" w:sz="4" w:space="0"/>
              <w:right w:val="single" w:color="000000" w:sz="4" w:space="0"/>
            </w:tcBorders>
            <w:noWrap w:val="0"/>
            <w:vAlign w:val="center"/>
          </w:tcPr>
          <w:p w14:paraId="35F94DC6">
            <w:pPr>
              <w:keepNext w:val="0"/>
              <w:keepLines w:val="0"/>
              <w:widowControl/>
              <w:suppressLineNumbers w:val="0"/>
              <w:spacing w:before="0" w:beforeAutospacing="0" w:after="0" w:afterAutospacing="0"/>
              <w:ind w:left="0" w:right="0"/>
              <w:jc w:val="both"/>
              <w:textAlignment w:val="center"/>
              <w:rPr>
                <w:rFonts w:hint="eastAsia" w:ascii="仿宋_GB2312" w:hAnsi="仿宋_GB2312" w:eastAsia="仿宋_GB2312" w:cs="仿宋_GB2312"/>
                <w:i w:val="0"/>
                <w:iCs w:val="0"/>
                <w:color w:val="000000"/>
                <w:sz w:val="24"/>
                <w:szCs w:val="24"/>
                <w:highlight w:val="none"/>
                <w:u w:val="none"/>
                <w:lang w:val="en-US" w:eastAsia="zh-CN"/>
              </w:rPr>
            </w:pPr>
            <w:r>
              <w:rPr>
                <w:rFonts w:hint="eastAsia" w:ascii="仿宋" w:hAnsi="仿宋" w:eastAsia="仿宋" w:cs="仿宋"/>
                <w:color w:val="auto"/>
                <w:sz w:val="24"/>
                <w:szCs w:val="24"/>
                <w:lang w:val="en-US" w:eastAsia="zh-CN"/>
              </w:rPr>
              <w:t>投标产品属于</w:t>
            </w:r>
            <w:r>
              <w:rPr>
                <w:rFonts w:hint="eastAsia" w:ascii="仿宋" w:hAnsi="仿宋" w:eastAsia="仿宋" w:cs="仿宋"/>
                <w:color w:val="auto"/>
                <w:sz w:val="24"/>
                <w:szCs w:val="24"/>
              </w:rPr>
              <w:t>医疗器械</w:t>
            </w:r>
            <w:r>
              <w:rPr>
                <w:rFonts w:hint="eastAsia" w:ascii="仿宋" w:hAnsi="仿宋" w:eastAsia="仿宋" w:cs="仿宋"/>
                <w:color w:val="auto"/>
                <w:sz w:val="24"/>
                <w:szCs w:val="24"/>
                <w:lang w:val="en-US" w:eastAsia="zh-CN"/>
              </w:rPr>
              <w:t>的</w:t>
            </w:r>
            <w:r>
              <w:rPr>
                <w:rFonts w:hint="eastAsia" w:ascii="仿宋" w:hAnsi="仿宋" w:eastAsia="仿宋" w:cs="仿宋"/>
                <w:color w:val="auto"/>
                <w:sz w:val="24"/>
                <w:szCs w:val="24"/>
              </w:rPr>
              <w:t>提供生产厂家的医疗器械生产许可证或医疗器械生产备案证</w:t>
            </w:r>
          </w:p>
        </w:tc>
        <w:tc>
          <w:tcPr>
            <w:tcW w:w="863" w:type="dxa"/>
            <w:tcBorders>
              <w:top w:val="single" w:color="000000" w:sz="4" w:space="0"/>
              <w:left w:val="single" w:color="000000" w:sz="4" w:space="0"/>
              <w:bottom w:val="single" w:color="000000" w:sz="4" w:space="0"/>
              <w:right w:val="single" w:color="000000" w:sz="4" w:space="0"/>
            </w:tcBorders>
            <w:noWrap w:val="0"/>
            <w:vAlign w:val="top"/>
          </w:tcPr>
          <w:p w14:paraId="40DEE862">
            <w:pPr>
              <w:keepNext w:val="0"/>
              <w:keepLines w:val="0"/>
              <w:suppressLineNumbers w:val="0"/>
              <w:spacing w:before="0" w:beforeAutospacing="0" w:after="0" w:afterAutospacing="0"/>
              <w:ind w:left="0" w:right="0"/>
              <w:jc w:val="both"/>
              <w:rPr>
                <w:rFonts w:hint="eastAsia" w:ascii="仿宋_GB2312" w:hAnsi="仿宋_GB2312" w:eastAsia="仿宋_GB2312" w:cs="仿宋_GB2312"/>
                <w:b/>
                <w:bCs/>
                <w:i w:val="0"/>
                <w:iCs w:val="0"/>
                <w:color w:val="000000"/>
                <w:sz w:val="24"/>
                <w:szCs w:val="24"/>
                <w:highlight w:val="none"/>
                <w:u w:val="none"/>
              </w:rPr>
            </w:pP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3D937F1C">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highlight w:val="none"/>
                <w:u w:val="none"/>
              </w:rPr>
            </w:pPr>
          </w:p>
        </w:tc>
      </w:tr>
      <w:tr w14:paraId="0B715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6" w:type="dxa"/>
            <w:vMerge w:val="continue"/>
            <w:tcBorders>
              <w:left w:val="single" w:color="000000" w:sz="4" w:space="0"/>
              <w:bottom w:val="single" w:color="000000" w:sz="4" w:space="0"/>
              <w:right w:val="single" w:color="000000" w:sz="4" w:space="0"/>
            </w:tcBorders>
            <w:noWrap w:val="0"/>
            <w:vAlign w:val="center"/>
          </w:tcPr>
          <w:p w14:paraId="7EE43DEF">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4"/>
                <w:szCs w:val="24"/>
                <w:highlight w:val="none"/>
                <w:u w:val="none"/>
                <w:lang w:val="en-US" w:eastAsia="zh-CN"/>
              </w:rPr>
            </w:pPr>
          </w:p>
        </w:tc>
        <w:tc>
          <w:tcPr>
            <w:tcW w:w="1033" w:type="dxa"/>
            <w:vMerge w:val="continue"/>
            <w:tcBorders>
              <w:left w:val="single" w:color="000000" w:sz="4" w:space="0"/>
              <w:bottom w:val="single" w:color="000000" w:sz="4" w:space="0"/>
              <w:right w:val="single" w:color="000000" w:sz="4" w:space="0"/>
            </w:tcBorders>
            <w:noWrap w:val="0"/>
            <w:vAlign w:val="center"/>
          </w:tcPr>
          <w:p w14:paraId="797EAFC3">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4"/>
                <w:szCs w:val="24"/>
                <w:highlight w:val="none"/>
                <w:u w:val="none"/>
                <w:lang w:val="en-US" w:eastAsia="zh-CN"/>
              </w:rPr>
            </w:pPr>
          </w:p>
        </w:tc>
        <w:tc>
          <w:tcPr>
            <w:tcW w:w="1601" w:type="dxa"/>
            <w:vMerge w:val="continue"/>
            <w:tcBorders>
              <w:left w:val="single" w:color="000000" w:sz="4" w:space="0"/>
              <w:bottom w:val="single" w:color="000000" w:sz="4" w:space="0"/>
              <w:right w:val="single" w:color="000000" w:sz="4" w:space="0"/>
            </w:tcBorders>
            <w:noWrap w:val="0"/>
            <w:vAlign w:val="center"/>
          </w:tcPr>
          <w:p w14:paraId="6A1BDE0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4"/>
                <w:szCs w:val="24"/>
                <w:highlight w:val="none"/>
                <w:u w:val="none"/>
                <w:lang w:val="en-US" w:eastAsia="zh-CN"/>
              </w:rPr>
            </w:pPr>
          </w:p>
        </w:tc>
        <w:tc>
          <w:tcPr>
            <w:tcW w:w="3483" w:type="dxa"/>
            <w:tcBorders>
              <w:top w:val="single" w:color="000000" w:sz="4" w:space="0"/>
              <w:left w:val="single" w:color="000000" w:sz="4" w:space="0"/>
              <w:bottom w:val="single" w:color="000000" w:sz="4" w:space="0"/>
              <w:right w:val="single" w:color="000000" w:sz="4" w:space="0"/>
            </w:tcBorders>
            <w:noWrap w:val="0"/>
            <w:vAlign w:val="center"/>
          </w:tcPr>
          <w:p w14:paraId="3F0C8F4A">
            <w:pPr>
              <w:keepNext w:val="0"/>
              <w:keepLines w:val="0"/>
              <w:widowControl/>
              <w:suppressLineNumbers w:val="0"/>
              <w:spacing w:before="0" w:beforeAutospacing="0" w:after="0" w:afterAutospacing="0"/>
              <w:ind w:left="0" w:right="0"/>
              <w:jc w:val="both"/>
              <w:textAlignment w:val="center"/>
              <w:rPr>
                <w:rFonts w:hint="eastAsia" w:ascii="仿宋_GB2312" w:hAnsi="仿宋_GB2312" w:eastAsia="仿宋_GB2312" w:cs="仿宋_GB2312"/>
                <w:i w:val="0"/>
                <w:iCs w:val="0"/>
                <w:color w:val="000000"/>
                <w:sz w:val="24"/>
                <w:szCs w:val="24"/>
                <w:highlight w:val="none"/>
                <w:u w:val="none"/>
                <w:lang w:val="en-US" w:eastAsia="zh-CN"/>
              </w:rPr>
            </w:pPr>
            <w:r>
              <w:rPr>
                <w:rFonts w:hint="eastAsia" w:ascii="仿宋_GB2312" w:hAnsi="仿宋_GB2312" w:eastAsia="仿宋_GB2312" w:cs="仿宋_GB2312"/>
                <w:i w:val="0"/>
                <w:iCs w:val="0"/>
                <w:color w:val="000000"/>
                <w:kern w:val="0"/>
                <w:sz w:val="24"/>
                <w:szCs w:val="24"/>
                <w:highlight w:val="none"/>
                <w:u w:val="none"/>
                <w:lang w:val="en-US" w:eastAsia="zh-CN" w:bidi="ar"/>
              </w:rPr>
              <w:t>投标产品属于医疗器械管理的提供医疗器械注册证或医疗器械备案凭证，如国家规定免注册产品提供相关证明文件；</w:t>
            </w:r>
          </w:p>
        </w:tc>
        <w:tc>
          <w:tcPr>
            <w:tcW w:w="863" w:type="dxa"/>
            <w:tcBorders>
              <w:top w:val="single" w:color="000000" w:sz="4" w:space="0"/>
              <w:left w:val="single" w:color="000000" w:sz="4" w:space="0"/>
              <w:bottom w:val="single" w:color="000000" w:sz="4" w:space="0"/>
              <w:right w:val="single" w:color="000000" w:sz="4" w:space="0"/>
            </w:tcBorders>
            <w:noWrap w:val="0"/>
            <w:vAlign w:val="top"/>
          </w:tcPr>
          <w:p w14:paraId="5A1BE5DF">
            <w:pPr>
              <w:keepNext w:val="0"/>
              <w:keepLines w:val="0"/>
              <w:suppressLineNumbers w:val="0"/>
              <w:spacing w:before="0" w:beforeAutospacing="0" w:after="0" w:afterAutospacing="0"/>
              <w:ind w:left="0" w:right="0"/>
              <w:jc w:val="both"/>
              <w:rPr>
                <w:rFonts w:hint="eastAsia" w:ascii="仿宋_GB2312" w:hAnsi="仿宋_GB2312" w:eastAsia="仿宋_GB2312" w:cs="仿宋_GB2312"/>
                <w:b/>
                <w:bCs/>
                <w:i w:val="0"/>
                <w:iCs w:val="0"/>
                <w:color w:val="000000"/>
                <w:sz w:val="24"/>
                <w:szCs w:val="24"/>
                <w:highlight w:val="none"/>
                <w:u w:val="none"/>
              </w:rPr>
            </w:pP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6FA2A952">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highlight w:val="none"/>
                <w:u w:val="none"/>
              </w:rPr>
            </w:pPr>
          </w:p>
        </w:tc>
      </w:tr>
      <w:tr w14:paraId="187A1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14:paraId="16F831D5">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4"/>
                <w:szCs w:val="24"/>
                <w:highlight w:val="none"/>
                <w:u w:val="none"/>
                <w:lang w:val="en-US" w:eastAsia="zh-CN"/>
              </w:rPr>
            </w:pP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0FEECECB">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sz w:val="24"/>
                <w:szCs w:val="24"/>
                <w:highlight w:val="none"/>
                <w:u w:val="none"/>
                <w:lang w:val="en-US" w:eastAsia="zh-CN"/>
              </w:rPr>
              <w:t>……</w:t>
            </w:r>
          </w:p>
        </w:tc>
        <w:tc>
          <w:tcPr>
            <w:tcW w:w="1601" w:type="dxa"/>
            <w:tcBorders>
              <w:top w:val="single" w:color="000000" w:sz="4" w:space="0"/>
              <w:left w:val="single" w:color="000000" w:sz="4" w:space="0"/>
              <w:bottom w:val="single" w:color="000000" w:sz="4" w:space="0"/>
              <w:right w:val="single" w:color="000000" w:sz="4" w:space="0"/>
            </w:tcBorders>
            <w:noWrap w:val="0"/>
            <w:vAlign w:val="center"/>
          </w:tcPr>
          <w:p w14:paraId="5CE0060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p>
        </w:tc>
        <w:tc>
          <w:tcPr>
            <w:tcW w:w="3483" w:type="dxa"/>
            <w:tcBorders>
              <w:top w:val="single" w:color="000000" w:sz="4" w:space="0"/>
              <w:left w:val="single" w:color="000000" w:sz="4" w:space="0"/>
              <w:bottom w:val="single" w:color="000000" w:sz="4" w:space="0"/>
              <w:right w:val="single" w:color="000000" w:sz="4" w:space="0"/>
            </w:tcBorders>
            <w:noWrap w:val="0"/>
            <w:vAlign w:val="center"/>
          </w:tcPr>
          <w:p w14:paraId="26725DB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sz w:val="24"/>
                <w:szCs w:val="24"/>
                <w:highlight w:val="none"/>
                <w:u w:val="none"/>
                <w:lang w:val="en-US" w:eastAsia="zh-CN"/>
              </w:rPr>
              <w:t>……</w:t>
            </w:r>
          </w:p>
        </w:tc>
        <w:tc>
          <w:tcPr>
            <w:tcW w:w="863" w:type="dxa"/>
            <w:tcBorders>
              <w:top w:val="single" w:color="000000" w:sz="4" w:space="0"/>
              <w:left w:val="single" w:color="000000" w:sz="4" w:space="0"/>
              <w:bottom w:val="single" w:color="000000" w:sz="4" w:space="0"/>
              <w:right w:val="single" w:color="000000" w:sz="4" w:space="0"/>
            </w:tcBorders>
            <w:noWrap w:val="0"/>
            <w:vAlign w:val="top"/>
          </w:tcPr>
          <w:p w14:paraId="78C59314">
            <w:pPr>
              <w:keepNext w:val="0"/>
              <w:keepLines w:val="0"/>
              <w:suppressLineNumbers w:val="0"/>
              <w:spacing w:before="0" w:beforeAutospacing="0" w:after="0" w:afterAutospacing="0"/>
              <w:ind w:left="0" w:right="0"/>
              <w:jc w:val="both"/>
              <w:rPr>
                <w:rFonts w:hint="eastAsia" w:ascii="仿宋_GB2312" w:hAnsi="仿宋_GB2312" w:eastAsia="仿宋_GB2312" w:cs="仿宋_GB2312"/>
                <w:b/>
                <w:bCs/>
                <w:i w:val="0"/>
                <w:iCs w:val="0"/>
                <w:color w:val="000000"/>
                <w:sz w:val="24"/>
                <w:szCs w:val="24"/>
                <w:highlight w:val="none"/>
                <w:u w:val="none"/>
              </w:rPr>
            </w:pP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01FDE06D">
            <w:pPr>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sz w:val="22"/>
                <w:szCs w:val="22"/>
                <w:highlight w:val="none"/>
                <w:u w:val="none"/>
              </w:rPr>
            </w:pPr>
          </w:p>
        </w:tc>
      </w:tr>
    </w:tbl>
    <w:p w14:paraId="75ADF60C">
      <w:pPr>
        <w:numPr>
          <w:ilvl w:val="0"/>
          <w:numId w:val="0"/>
        </w:numPr>
        <w:spacing w:line="360" w:lineRule="auto"/>
        <w:rPr>
          <w:rFonts w:hint="eastAsia" w:ascii="仿宋_GB2312" w:hAnsi="仿宋_GB2312" w:eastAsia="仿宋_GB2312" w:cs="仿宋_GB2312"/>
          <w:b/>
          <w:bCs/>
          <w:caps w:val="0"/>
          <w:smallCaps w:val="0"/>
          <w:color w:val="auto"/>
          <w:spacing w:val="0"/>
          <w:sz w:val="24"/>
          <w:szCs w:val="24"/>
          <w:highlight w:val="none"/>
        </w:rPr>
      </w:pPr>
    </w:p>
    <w:p w14:paraId="23EBE46B">
      <w:pPr>
        <w:numPr>
          <w:ilvl w:val="0"/>
          <w:numId w:val="0"/>
        </w:numPr>
        <w:spacing w:line="360" w:lineRule="auto"/>
        <w:rPr>
          <w:rFonts w:hint="eastAsia" w:ascii="仿宋_GB2312" w:hAnsi="仿宋_GB2312" w:eastAsia="仿宋_GB2312" w:cs="仿宋_GB2312"/>
          <w:b/>
          <w:bCs/>
          <w:caps w:val="0"/>
          <w:smallCaps w:val="0"/>
          <w:color w:val="auto"/>
          <w:spacing w:val="0"/>
          <w:sz w:val="24"/>
          <w:szCs w:val="24"/>
          <w:highlight w:val="none"/>
          <w:lang w:val="en-US" w:eastAsia="zh-CN"/>
        </w:rPr>
      </w:pPr>
      <w:r>
        <w:rPr>
          <w:rFonts w:hint="eastAsia" w:ascii="仿宋_GB2312" w:hAnsi="仿宋_GB2312" w:eastAsia="仿宋_GB2312" w:cs="仿宋_GB2312"/>
          <w:b/>
          <w:bCs/>
          <w:caps w:val="0"/>
          <w:smallCaps w:val="0"/>
          <w:color w:val="auto"/>
          <w:spacing w:val="0"/>
          <w:sz w:val="24"/>
          <w:szCs w:val="24"/>
          <w:highlight w:val="none"/>
          <w:lang w:val="en-US" w:eastAsia="zh-CN"/>
        </w:rPr>
        <w:t>注：需在上表中列明准确页码范围，并按后附格式要求对所投产品逐项进行响应。</w:t>
      </w:r>
    </w:p>
    <w:p w14:paraId="79EFEF2C">
      <w:pPr>
        <w:spacing w:line="360" w:lineRule="auto"/>
        <w:rPr>
          <w:rFonts w:hint="eastAsia" w:ascii="仿宋_GB2312" w:hAnsi="仿宋_GB2312" w:eastAsia="仿宋_GB2312" w:cs="仿宋_GB2312"/>
          <w:sz w:val="24"/>
          <w:highlight w:val="none"/>
        </w:rPr>
      </w:pPr>
    </w:p>
    <w:p w14:paraId="392CB1EB">
      <w:pPr>
        <w:spacing w:line="460" w:lineRule="exact"/>
        <w:rPr>
          <w:rFonts w:hint="eastAsia" w:ascii="仿宋_GB2312" w:hAnsi="仿宋_GB2312" w:eastAsia="仿宋_GB2312" w:cs="仿宋_GB2312"/>
          <w:highlight w:val="none"/>
        </w:rPr>
      </w:pPr>
    </w:p>
    <w:p w14:paraId="0F60C15C">
      <w:pPr>
        <w:numPr>
          <w:ilvl w:val="0"/>
          <w:numId w:val="0"/>
        </w:numPr>
        <w:spacing w:line="360" w:lineRule="auto"/>
        <w:jc w:val="center"/>
        <w:rPr>
          <w:rFonts w:hint="eastAsia" w:ascii="仿宋_GB2312" w:hAnsi="仿宋_GB2312" w:eastAsia="仿宋_GB2312" w:cs="仿宋_GB2312"/>
          <w:b/>
          <w:bCs/>
          <w:caps w:val="0"/>
          <w:smallCaps w:val="0"/>
          <w:color w:val="auto"/>
          <w:spacing w:val="0"/>
          <w:sz w:val="24"/>
          <w:szCs w:val="24"/>
          <w:highlight w:val="none"/>
          <w:lang w:eastAsia="zh-CN"/>
        </w:rPr>
      </w:pPr>
      <w:bookmarkStart w:id="384" w:name="_Toc28950"/>
      <w:bookmarkStart w:id="385" w:name="_Toc53"/>
      <w:bookmarkStart w:id="386" w:name="_Toc32302"/>
      <w:bookmarkStart w:id="387" w:name="_Toc28068"/>
      <w:r>
        <w:rPr>
          <w:rFonts w:hint="eastAsia" w:ascii="仿宋_GB2312" w:hAnsi="仿宋_GB2312" w:eastAsia="仿宋_GB2312" w:cs="仿宋_GB2312"/>
          <w:highlight w:val="none"/>
        </w:rPr>
        <w:br w:type="page"/>
      </w:r>
      <w:bookmarkEnd w:id="384"/>
      <w:bookmarkEnd w:id="385"/>
      <w:bookmarkEnd w:id="386"/>
      <w:bookmarkEnd w:id="387"/>
      <w:r>
        <w:rPr>
          <w:rFonts w:hint="eastAsia" w:ascii="仿宋_GB2312" w:hAnsi="仿宋_GB2312" w:eastAsia="仿宋_GB2312" w:cs="仿宋_GB2312"/>
          <w:b/>
          <w:bCs/>
          <w:caps w:val="0"/>
          <w:smallCaps w:val="0"/>
          <w:color w:val="auto"/>
          <w:spacing w:val="0"/>
          <w:sz w:val="24"/>
          <w:szCs w:val="24"/>
          <w:highlight w:val="none"/>
          <w:lang w:val="en-US" w:eastAsia="zh-CN"/>
        </w:rPr>
        <w:t>一、转运床</w:t>
      </w:r>
    </w:p>
    <w:p w14:paraId="18BA10C8">
      <w:pPr>
        <w:numPr>
          <w:ilvl w:val="0"/>
          <w:numId w:val="0"/>
        </w:numPr>
        <w:spacing w:line="360" w:lineRule="auto"/>
        <w:rPr>
          <w:rFonts w:hint="eastAsia" w:ascii="仿宋_GB2312" w:hAnsi="仿宋_GB2312" w:eastAsia="仿宋_GB2312" w:cs="仿宋_GB2312"/>
          <w:b/>
          <w:bCs/>
          <w:caps w:val="0"/>
          <w:smallCaps w:val="0"/>
          <w:color w:val="auto"/>
          <w:spacing w:val="0"/>
          <w:sz w:val="24"/>
          <w:szCs w:val="24"/>
          <w:highlight w:val="none"/>
          <w:lang w:eastAsia="zh-CN"/>
        </w:rPr>
      </w:pPr>
      <w:r>
        <w:rPr>
          <w:rFonts w:hint="eastAsia" w:ascii="仿宋_GB2312" w:hAnsi="仿宋_GB2312" w:eastAsia="仿宋_GB2312" w:cs="仿宋_GB2312"/>
          <w:b/>
          <w:bCs/>
          <w:caps w:val="0"/>
          <w:smallCaps w:val="0"/>
          <w:color w:val="auto"/>
          <w:spacing w:val="0"/>
          <w:sz w:val="24"/>
          <w:szCs w:val="24"/>
          <w:highlight w:val="none"/>
        </w:rPr>
        <w:t>1、</w:t>
      </w:r>
      <w:r>
        <w:rPr>
          <w:rFonts w:hint="eastAsia" w:ascii="仿宋_GB2312" w:hAnsi="仿宋_GB2312" w:eastAsia="仿宋_GB2312" w:cs="仿宋_GB2312"/>
          <w:b/>
          <w:bCs/>
          <w:caps w:val="0"/>
          <w:smallCaps w:val="0"/>
          <w:color w:val="auto"/>
          <w:spacing w:val="0"/>
          <w:sz w:val="24"/>
          <w:szCs w:val="24"/>
          <w:highlight w:val="none"/>
          <w:lang w:val="en-US" w:eastAsia="zh-CN"/>
        </w:rPr>
        <w:t>供应商</w:t>
      </w:r>
      <w:r>
        <w:rPr>
          <w:rFonts w:hint="eastAsia" w:ascii="仿宋_GB2312" w:hAnsi="仿宋_GB2312" w:eastAsia="仿宋_GB2312" w:cs="仿宋_GB2312"/>
          <w:b/>
          <w:bCs/>
          <w:caps w:val="0"/>
          <w:smallCaps w:val="0"/>
          <w:color w:val="auto"/>
          <w:spacing w:val="0"/>
          <w:sz w:val="24"/>
          <w:szCs w:val="24"/>
          <w:highlight w:val="none"/>
        </w:rPr>
        <w:t>医疗器械经营许可证或医疗器械经营备案证</w:t>
      </w:r>
      <w:r>
        <w:rPr>
          <w:rFonts w:hint="eastAsia" w:ascii="仿宋_GB2312" w:hAnsi="仿宋_GB2312" w:eastAsia="仿宋_GB2312" w:cs="仿宋_GB2312"/>
          <w:b/>
          <w:bCs/>
          <w:caps w:val="0"/>
          <w:smallCaps w:val="0"/>
          <w:color w:val="auto"/>
          <w:spacing w:val="0"/>
          <w:sz w:val="24"/>
          <w:szCs w:val="24"/>
          <w:highlight w:val="none"/>
          <w:lang w:eastAsia="zh-CN"/>
        </w:rPr>
        <w:t>；</w:t>
      </w:r>
    </w:p>
    <w:p w14:paraId="7E5CCC6F">
      <w:pPr>
        <w:numPr>
          <w:ilvl w:val="0"/>
          <w:numId w:val="0"/>
        </w:numPr>
        <w:spacing w:line="360" w:lineRule="auto"/>
        <w:rPr>
          <w:rFonts w:hint="eastAsia" w:ascii="仿宋_GB2312" w:hAnsi="仿宋_GB2312" w:eastAsia="仿宋_GB2312" w:cs="仿宋_GB2312"/>
          <w:b/>
          <w:bCs/>
          <w:caps w:val="0"/>
          <w:smallCaps w:val="0"/>
          <w:color w:val="auto"/>
          <w:spacing w:val="0"/>
          <w:sz w:val="24"/>
          <w:szCs w:val="24"/>
          <w:highlight w:val="none"/>
        </w:rPr>
      </w:pPr>
    </w:p>
    <w:p w14:paraId="236CFE14">
      <w:pPr>
        <w:numPr>
          <w:ilvl w:val="0"/>
          <w:numId w:val="0"/>
        </w:numPr>
        <w:spacing w:line="360" w:lineRule="auto"/>
        <w:rPr>
          <w:rFonts w:hint="eastAsia" w:ascii="仿宋_GB2312" w:hAnsi="仿宋_GB2312" w:eastAsia="仿宋_GB2312" w:cs="仿宋_GB2312"/>
          <w:b/>
          <w:bCs/>
          <w:caps w:val="0"/>
          <w:smallCaps w:val="0"/>
          <w:color w:val="auto"/>
          <w:spacing w:val="0"/>
          <w:sz w:val="24"/>
          <w:szCs w:val="24"/>
          <w:highlight w:val="none"/>
        </w:rPr>
      </w:pPr>
      <w:r>
        <w:rPr>
          <w:rFonts w:hint="eastAsia" w:ascii="仿宋_GB2312" w:hAnsi="仿宋_GB2312" w:eastAsia="仿宋_GB2312" w:cs="仿宋_GB2312"/>
          <w:b/>
          <w:bCs/>
          <w:caps w:val="0"/>
          <w:smallCaps w:val="0"/>
          <w:color w:val="auto"/>
          <w:spacing w:val="0"/>
          <w:sz w:val="24"/>
          <w:szCs w:val="24"/>
          <w:highlight w:val="none"/>
          <w:lang w:val="en-US" w:eastAsia="zh-CN"/>
        </w:rPr>
        <w:t>2、投标产品属于医疗器械的提供生产厂家的医疗器械生产许可证或医疗器械生产备案证</w:t>
      </w:r>
      <w:r>
        <w:rPr>
          <w:rFonts w:hint="eastAsia" w:ascii="仿宋_GB2312" w:hAnsi="仿宋_GB2312" w:eastAsia="仿宋_GB2312" w:cs="仿宋_GB2312"/>
          <w:b/>
          <w:bCs/>
          <w:caps w:val="0"/>
          <w:smallCaps w:val="0"/>
          <w:color w:val="auto"/>
          <w:spacing w:val="0"/>
          <w:sz w:val="24"/>
          <w:szCs w:val="24"/>
          <w:highlight w:val="none"/>
        </w:rPr>
        <w:t>；</w:t>
      </w:r>
    </w:p>
    <w:p w14:paraId="208FF483">
      <w:pPr>
        <w:numPr>
          <w:ilvl w:val="0"/>
          <w:numId w:val="0"/>
        </w:numPr>
        <w:spacing w:line="360" w:lineRule="auto"/>
        <w:rPr>
          <w:rFonts w:hint="eastAsia" w:ascii="仿宋_GB2312" w:hAnsi="仿宋_GB2312" w:eastAsia="仿宋_GB2312" w:cs="仿宋_GB2312"/>
          <w:b/>
          <w:bCs/>
          <w:caps w:val="0"/>
          <w:smallCaps w:val="0"/>
          <w:color w:val="auto"/>
          <w:spacing w:val="0"/>
          <w:sz w:val="24"/>
          <w:szCs w:val="24"/>
          <w:highlight w:val="none"/>
          <w:lang w:val="en-US" w:eastAsia="zh-CN"/>
        </w:rPr>
      </w:pPr>
    </w:p>
    <w:p w14:paraId="5A18A1F7">
      <w:pPr>
        <w:numPr>
          <w:ilvl w:val="0"/>
          <w:numId w:val="0"/>
        </w:numPr>
        <w:spacing w:line="360" w:lineRule="auto"/>
        <w:rPr>
          <w:rFonts w:hint="eastAsia" w:ascii="仿宋_GB2312" w:hAnsi="仿宋_GB2312" w:eastAsia="仿宋_GB2312" w:cs="仿宋_GB2312"/>
          <w:b/>
          <w:bCs/>
          <w:caps w:val="0"/>
          <w:smallCaps w:val="0"/>
          <w:color w:val="auto"/>
          <w:spacing w:val="0"/>
          <w:sz w:val="24"/>
          <w:szCs w:val="24"/>
          <w:highlight w:val="none"/>
        </w:rPr>
      </w:pPr>
      <w:r>
        <w:rPr>
          <w:rFonts w:hint="eastAsia" w:ascii="仿宋_GB2312" w:hAnsi="仿宋_GB2312" w:eastAsia="仿宋_GB2312" w:cs="仿宋_GB2312"/>
          <w:b/>
          <w:bCs/>
          <w:caps w:val="0"/>
          <w:smallCaps w:val="0"/>
          <w:color w:val="auto"/>
          <w:spacing w:val="0"/>
          <w:sz w:val="24"/>
          <w:szCs w:val="24"/>
          <w:highlight w:val="none"/>
          <w:lang w:val="en-US" w:eastAsia="zh-CN"/>
        </w:rPr>
        <w:t>3</w:t>
      </w:r>
      <w:r>
        <w:rPr>
          <w:rFonts w:hint="eastAsia" w:ascii="仿宋_GB2312" w:hAnsi="仿宋_GB2312" w:eastAsia="仿宋_GB2312" w:cs="仿宋_GB2312"/>
          <w:b/>
          <w:bCs/>
          <w:caps w:val="0"/>
          <w:smallCaps w:val="0"/>
          <w:color w:val="auto"/>
          <w:spacing w:val="0"/>
          <w:sz w:val="24"/>
          <w:szCs w:val="24"/>
          <w:highlight w:val="none"/>
        </w:rPr>
        <w:t>、投标产品属于医疗器械管理的提供医疗器械注册证或医疗器械备案凭证，如国家规定免注册产品提供相关证明文件；</w:t>
      </w:r>
    </w:p>
    <w:p w14:paraId="564D4FFE">
      <w:pPr>
        <w:numPr>
          <w:ilvl w:val="0"/>
          <w:numId w:val="0"/>
        </w:numPr>
        <w:spacing w:line="360" w:lineRule="auto"/>
        <w:rPr>
          <w:rFonts w:hint="eastAsia" w:ascii="仿宋_GB2312" w:hAnsi="仿宋_GB2312" w:eastAsia="仿宋_GB2312" w:cs="仿宋_GB2312"/>
          <w:b/>
          <w:bCs/>
          <w:caps w:val="0"/>
          <w:smallCaps w:val="0"/>
          <w:color w:val="auto"/>
          <w:spacing w:val="0"/>
          <w:sz w:val="24"/>
          <w:szCs w:val="24"/>
          <w:highlight w:val="none"/>
          <w:lang w:val="en-US" w:eastAsia="zh-CN"/>
        </w:rPr>
      </w:pPr>
    </w:p>
    <w:p w14:paraId="20524979">
      <w:pPr>
        <w:numPr>
          <w:ilvl w:val="0"/>
          <w:numId w:val="0"/>
        </w:numPr>
        <w:spacing w:line="360" w:lineRule="auto"/>
        <w:rPr>
          <w:rFonts w:hint="eastAsia" w:ascii="仿宋_GB2312" w:hAnsi="仿宋_GB2312" w:eastAsia="仿宋_GB2312" w:cs="仿宋_GB2312"/>
          <w:b/>
          <w:bCs/>
          <w:caps w:val="0"/>
          <w:smallCaps w:val="0"/>
          <w:color w:val="auto"/>
          <w:spacing w:val="0"/>
          <w:sz w:val="24"/>
          <w:szCs w:val="24"/>
          <w:highlight w:val="none"/>
          <w:lang w:val="en-US" w:eastAsia="zh-CN"/>
        </w:rPr>
      </w:pPr>
    </w:p>
    <w:p w14:paraId="1B0D0F98">
      <w:pPr>
        <w:pStyle w:val="41"/>
        <w:wordWrap w:val="0"/>
        <w:spacing w:before="0" w:beforeAutospacing="0" w:after="0" w:afterAutospacing="0" w:line="360" w:lineRule="auto"/>
        <w:rPr>
          <w:rFonts w:hint="eastAsia" w:ascii="仿宋_GB2312" w:hAnsi="仿宋_GB2312" w:eastAsia="仿宋_GB2312" w:cs="仿宋_GB2312"/>
          <w:b/>
          <w:bCs/>
          <w:i w:val="0"/>
          <w:iCs w:val="0"/>
          <w:color w:val="000000"/>
          <w:sz w:val="24"/>
          <w:szCs w:val="24"/>
          <w:highlight w:val="yellow"/>
          <w:u w:val="none"/>
        </w:rPr>
      </w:pPr>
      <w:r>
        <w:rPr>
          <w:rFonts w:hint="eastAsia" w:ascii="仿宋_GB2312" w:hAnsi="仿宋_GB2312" w:eastAsia="仿宋_GB2312" w:cs="仿宋_GB2312"/>
          <w:b/>
          <w:bCs/>
          <w:i w:val="0"/>
          <w:iCs w:val="0"/>
          <w:color w:val="000000"/>
          <w:sz w:val="24"/>
          <w:szCs w:val="24"/>
          <w:highlight w:val="none"/>
          <w:u w:val="none"/>
          <w:lang w:val="en-US" w:eastAsia="zh-CN"/>
        </w:rPr>
        <w:t>备注：</w:t>
      </w:r>
      <w:r>
        <w:rPr>
          <w:rFonts w:hint="eastAsia" w:ascii="仿宋_GB2312" w:hAnsi="仿宋_GB2312" w:eastAsia="仿宋_GB2312" w:cs="仿宋_GB2312"/>
          <w:b/>
          <w:bCs/>
          <w:i w:val="0"/>
          <w:iCs w:val="0"/>
          <w:color w:val="000000"/>
          <w:kern w:val="0"/>
          <w:sz w:val="24"/>
          <w:szCs w:val="24"/>
          <w:highlight w:val="yellow"/>
          <w:lang w:val="en-US" w:eastAsia="zh-CN" w:bidi="ar-SA"/>
        </w:rPr>
        <w:t>1、</w:t>
      </w:r>
      <w:r>
        <w:rPr>
          <w:rFonts w:hint="eastAsia" w:ascii="仿宋_GB2312" w:hAnsi="仿宋_GB2312" w:eastAsia="仿宋_GB2312" w:cs="仿宋_GB2312"/>
          <w:b/>
          <w:bCs/>
          <w:i w:val="0"/>
          <w:iCs w:val="0"/>
          <w:color w:val="000000"/>
          <w:sz w:val="24"/>
          <w:szCs w:val="24"/>
          <w:highlight w:val="yellow"/>
          <w:u w:val="none"/>
        </w:rPr>
        <w:t>如提供的为相同生产厂家产品，第1、2项证书仅附一次即可，后面的产品无需重复提供第1、2项证书，但需列明所附资料在</w:t>
      </w:r>
      <w:r>
        <w:rPr>
          <w:rFonts w:hint="eastAsia" w:ascii="仿宋_GB2312" w:hAnsi="仿宋_GB2312" w:eastAsia="仿宋_GB2312" w:cs="仿宋_GB2312"/>
          <w:b/>
          <w:bCs/>
          <w:i w:val="0"/>
          <w:iCs w:val="0"/>
          <w:color w:val="000000"/>
          <w:sz w:val="24"/>
          <w:szCs w:val="24"/>
          <w:highlight w:val="yellow"/>
          <w:u w:val="none"/>
          <w:lang w:eastAsia="zh-CN"/>
        </w:rPr>
        <w:t>响应文件</w:t>
      </w:r>
      <w:r>
        <w:rPr>
          <w:rFonts w:hint="eastAsia" w:ascii="仿宋_GB2312" w:hAnsi="仿宋_GB2312" w:eastAsia="仿宋_GB2312" w:cs="仿宋_GB2312"/>
          <w:b/>
          <w:bCs/>
          <w:i w:val="0"/>
          <w:iCs w:val="0"/>
          <w:color w:val="000000"/>
          <w:sz w:val="24"/>
          <w:szCs w:val="24"/>
          <w:highlight w:val="yellow"/>
          <w:u w:val="none"/>
        </w:rPr>
        <w:t>中的页码。</w:t>
      </w:r>
    </w:p>
    <w:p w14:paraId="738E150F">
      <w:pPr>
        <w:pStyle w:val="41"/>
        <w:numPr>
          <w:ilvl w:val="0"/>
          <w:numId w:val="0"/>
        </w:numPr>
        <w:wordWrap w:val="0"/>
        <w:spacing w:before="0" w:beforeAutospacing="0" w:after="0" w:afterAutospacing="0" w:line="360" w:lineRule="auto"/>
        <w:rPr>
          <w:rFonts w:hint="eastAsia" w:ascii="仿宋_GB2312" w:hAnsi="仿宋_GB2312" w:eastAsia="仿宋_GB2312" w:cs="仿宋_GB2312"/>
          <w:b/>
          <w:bCs/>
          <w:i w:val="0"/>
          <w:iCs w:val="0"/>
          <w:color w:val="000000"/>
          <w:sz w:val="24"/>
          <w:szCs w:val="24"/>
          <w:highlight w:val="yellow"/>
          <w:u w:val="none"/>
        </w:rPr>
      </w:pPr>
      <w:r>
        <w:rPr>
          <w:rFonts w:hint="eastAsia" w:ascii="仿宋_GB2312" w:hAnsi="仿宋_GB2312" w:eastAsia="仿宋_GB2312" w:cs="仿宋_GB2312"/>
          <w:b/>
          <w:bCs/>
          <w:i w:val="0"/>
          <w:iCs w:val="0"/>
          <w:color w:val="000000"/>
          <w:sz w:val="24"/>
          <w:szCs w:val="24"/>
          <w:highlight w:val="yellow"/>
          <w:u w:val="none"/>
        </w:rPr>
        <w:t>2、第3项注册证或医疗器械备案凭证需在证书中框出产品型号。</w:t>
      </w:r>
    </w:p>
    <w:p w14:paraId="4AF0951B">
      <w:pPr>
        <w:adjustRightInd w:val="0"/>
        <w:snapToGrid w:val="0"/>
        <w:rPr>
          <w:rFonts w:hint="eastAsia" w:ascii="仿宋" w:hAnsi="仿宋" w:eastAsia="仿宋" w:cs="仿宋"/>
        </w:rPr>
      </w:pPr>
      <w:r>
        <w:rPr>
          <w:rFonts w:hint="eastAsia" w:ascii="仿宋_GB2312" w:hAnsi="仿宋_GB2312" w:eastAsia="仿宋_GB2312" w:cs="仿宋_GB2312"/>
          <w:b/>
          <w:bCs/>
          <w:i w:val="0"/>
          <w:iCs w:val="0"/>
          <w:color w:val="000000"/>
          <w:sz w:val="24"/>
          <w:szCs w:val="24"/>
          <w:highlight w:val="yellow"/>
          <w:u w:val="none"/>
          <w:lang w:val="en-US" w:eastAsia="zh-CN"/>
        </w:rPr>
        <w:t>3、证书中的型号必须与分项报价表中体现的型号保持一致。</w:t>
      </w:r>
    </w:p>
    <w:p w14:paraId="0232CE26">
      <w:pPr>
        <w:pStyle w:val="3"/>
        <w:adjustRightInd w:val="0"/>
        <w:spacing w:line="360" w:lineRule="auto"/>
        <w:textAlignment w:val="baseline"/>
        <w:rPr>
          <w:rFonts w:hint="eastAsia" w:ascii="仿宋" w:hAnsi="仿宋" w:eastAsia="仿宋" w:cs="仿宋"/>
          <w:sz w:val="28"/>
          <w:szCs w:val="28"/>
        </w:rPr>
      </w:pPr>
      <w:bookmarkStart w:id="388" w:name="_Toc27008"/>
      <w:bookmarkStart w:id="389" w:name="_Toc1080"/>
      <w:r>
        <w:rPr>
          <w:rFonts w:hint="eastAsia" w:ascii="仿宋" w:hAnsi="仿宋" w:eastAsia="仿宋" w:cs="仿宋"/>
        </w:rPr>
        <w:br w:type="page"/>
      </w:r>
      <w:bookmarkEnd w:id="363"/>
      <w:bookmarkEnd w:id="364"/>
      <w:bookmarkEnd w:id="365"/>
      <w:bookmarkEnd w:id="366"/>
      <w:bookmarkEnd w:id="367"/>
      <w:bookmarkEnd w:id="368"/>
      <w:bookmarkEnd w:id="388"/>
      <w:bookmarkEnd w:id="389"/>
      <w:bookmarkStart w:id="390" w:name="_Toc31192"/>
      <w:bookmarkStart w:id="391" w:name="_Toc11350"/>
      <w:bookmarkStart w:id="392" w:name="_Toc27029"/>
      <w:bookmarkStart w:id="393" w:name="_Toc8570"/>
      <w:bookmarkStart w:id="394" w:name="_Toc16313"/>
      <w:bookmarkStart w:id="395" w:name="_Toc283240508"/>
      <w:bookmarkStart w:id="396" w:name="_Toc332874440"/>
      <w:bookmarkStart w:id="397" w:name="_Toc311415669"/>
      <w:r>
        <w:rPr>
          <w:rFonts w:hint="eastAsia" w:ascii="仿宋" w:hAnsi="仿宋" w:eastAsia="仿宋" w:cs="仿宋"/>
          <w:sz w:val="28"/>
          <w:szCs w:val="28"/>
        </w:rPr>
        <w:t>附件</w:t>
      </w:r>
      <w:r>
        <w:rPr>
          <w:rFonts w:hint="eastAsia" w:ascii="仿宋" w:hAnsi="仿宋" w:eastAsia="仿宋" w:cs="仿宋"/>
          <w:sz w:val="28"/>
          <w:szCs w:val="28"/>
          <w:lang w:val="en-US" w:eastAsia="zh-CN"/>
        </w:rPr>
        <w:t>6</w:t>
      </w:r>
      <w:r>
        <w:rPr>
          <w:rFonts w:hint="eastAsia" w:ascii="仿宋" w:hAnsi="仿宋" w:eastAsia="仿宋" w:cs="仿宋"/>
          <w:sz w:val="28"/>
          <w:szCs w:val="28"/>
        </w:rPr>
        <w:t xml:space="preserve"> 商务偏离表</w:t>
      </w:r>
      <w:bookmarkEnd w:id="390"/>
      <w:bookmarkEnd w:id="391"/>
      <w:bookmarkEnd w:id="392"/>
      <w:bookmarkEnd w:id="393"/>
      <w:bookmarkEnd w:id="394"/>
      <w:bookmarkStart w:id="398" w:name="_Toc10679"/>
      <w:bookmarkStart w:id="399" w:name="_Toc87006284"/>
    </w:p>
    <w:p w14:paraId="30A15B2C">
      <w:pPr>
        <w:rPr>
          <w:rFonts w:hint="eastAsia" w:ascii="仿宋" w:hAnsi="仿宋" w:eastAsia="仿宋" w:cs="仿宋"/>
        </w:rPr>
      </w:pPr>
      <w:r>
        <w:rPr>
          <w:rFonts w:hint="eastAsia" w:ascii="仿宋" w:hAnsi="仿宋" w:eastAsia="仿宋" w:cs="仿宋"/>
        </w:rPr>
        <w:t>供应商名称：</w:t>
      </w:r>
      <w:r>
        <w:rPr>
          <w:rFonts w:hint="eastAsia" w:ascii="仿宋" w:hAnsi="仿宋" w:eastAsia="仿宋" w:cs="仿宋"/>
          <w:u w:val="single"/>
        </w:rPr>
        <w:t xml:space="preserve">                          </w:t>
      </w:r>
      <w:r>
        <w:rPr>
          <w:rFonts w:hint="eastAsia" w:ascii="仿宋" w:hAnsi="仿宋" w:eastAsia="仿宋" w:cs="仿宋"/>
        </w:rPr>
        <w:t>项目编号：</w:t>
      </w:r>
      <w:r>
        <w:rPr>
          <w:rFonts w:hint="eastAsia" w:ascii="仿宋" w:hAnsi="仿宋" w:eastAsia="仿宋" w:cs="仿宋"/>
          <w:u w:val="single"/>
        </w:rPr>
        <w:t xml:space="preserve">               </w:t>
      </w:r>
    </w:p>
    <w:tbl>
      <w:tblPr>
        <w:tblStyle w:val="4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42"/>
        <w:gridCol w:w="1995"/>
        <w:gridCol w:w="2220"/>
        <w:gridCol w:w="2195"/>
        <w:gridCol w:w="1440"/>
      </w:tblGrid>
      <w:tr w14:paraId="0C278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942" w:type="dxa"/>
            <w:noWrap w:val="0"/>
            <w:vAlign w:val="center"/>
          </w:tcPr>
          <w:p w14:paraId="3A8EEEFC">
            <w:pPr>
              <w:keepNext w:val="0"/>
              <w:keepLines w:val="0"/>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rPr>
              <w:t>序号</w:t>
            </w:r>
          </w:p>
        </w:tc>
        <w:tc>
          <w:tcPr>
            <w:tcW w:w="1995" w:type="dxa"/>
            <w:noWrap w:val="0"/>
            <w:vAlign w:val="center"/>
          </w:tcPr>
          <w:p w14:paraId="1D1E82E8">
            <w:pPr>
              <w:keepNext w:val="0"/>
              <w:keepLines w:val="0"/>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rPr>
              <w:t>谈判文件商务要求</w:t>
            </w:r>
          </w:p>
        </w:tc>
        <w:tc>
          <w:tcPr>
            <w:tcW w:w="2220" w:type="dxa"/>
            <w:noWrap w:val="0"/>
            <w:vAlign w:val="center"/>
          </w:tcPr>
          <w:p w14:paraId="26419F6B">
            <w:pPr>
              <w:keepNext w:val="0"/>
              <w:keepLines w:val="0"/>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rPr>
              <w:t>谈判文件商务响应</w:t>
            </w:r>
          </w:p>
        </w:tc>
        <w:tc>
          <w:tcPr>
            <w:tcW w:w="2195" w:type="dxa"/>
            <w:noWrap w:val="0"/>
            <w:vAlign w:val="center"/>
          </w:tcPr>
          <w:p w14:paraId="3EF586BA">
            <w:pPr>
              <w:keepNext w:val="0"/>
              <w:keepLines w:val="0"/>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rPr>
              <w:t>偏离情况</w:t>
            </w:r>
          </w:p>
        </w:tc>
        <w:tc>
          <w:tcPr>
            <w:tcW w:w="1440" w:type="dxa"/>
            <w:noWrap w:val="0"/>
            <w:vAlign w:val="center"/>
          </w:tcPr>
          <w:p w14:paraId="3BA46F21">
            <w:pPr>
              <w:keepNext w:val="0"/>
              <w:keepLines w:val="0"/>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rPr>
              <w:t>说明</w:t>
            </w:r>
          </w:p>
        </w:tc>
      </w:tr>
      <w:tr w14:paraId="05D50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942" w:type="dxa"/>
            <w:noWrap w:val="0"/>
            <w:vAlign w:val="top"/>
          </w:tcPr>
          <w:p w14:paraId="42B5B186">
            <w:pPr>
              <w:keepNext w:val="0"/>
              <w:keepLines w:val="0"/>
              <w:suppressLineNumbers w:val="0"/>
              <w:spacing w:before="0" w:beforeAutospacing="0" w:after="0" w:afterAutospacing="0"/>
              <w:ind w:left="0" w:right="0"/>
              <w:jc w:val="center"/>
              <w:rPr>
                <w:rFonts w:hint="eastAsia" w:ascii="仿宋" w:hAnsi="仿宋" w:eastAsia="仿宋" w:cs="仿宋"/>
              </w:rPr>
            </w:pPr>
          </w:p>
        </w:tc>
        <w:tc>
          <w:tcPr>
            <w:tcW w:w="1995" w:type="dxa"/>
            <w:noWrap w:val="0"/>
            <w:vAlign w:val="top"/>
          </w:tcPr>
          <w:p w14:paraId="265AE17B">
            <w:pPr>
              <w:keepNext w:val="0"/>
              <w:keepLines w:val="0"/>
              <w:suppressLineNumbers w:val="0"/>
              <w:spacing w:before="0" w:beforeAutospacing="0" w:after="0" w:afterAutospacing="0"/>
              <w:ind w:left="0" w:right="0"/>
              <w:jc w:val="center"/>
              <w:rPr>
                <w:rFonts w:hint="eastAsia" w:ascii="仿宋" w:hAnsi="仿宋" w:eastAsia="仿宋" w:cs="仿宋"/>
                <w:lang w:eastAsia="zh-CN"/>
              </w:rPr>
            </w:pPr>
          </w:p>
        </w:tc>
        <w:tc>
          <w:tcPr>
            <w:tcW w:w="2220" w:type="dxa"/>
            <w:noWrap w:val="0"/>
            <w:vAlign w:val="top"/>
          </w:tcPr>
          <w:p w14:paraId="612A5286">
            <w:pPr>
              <w:keepNext w:val="0"/>
              <w:keepLines w:val="0"/>
              <w:suppressLineNumbers w:val="0"/>
              <w:spacing w:before="0" w:beforeAutospacing="0" w:after="0" w:afterAutospacing="0"/>
              <w:ind w:left="0" w:right="0"/>
              <w:jc w:val="center"/>
              <w:rPr>
                <w:rFonts w:hint="eastAsia" w:ascii="仿宋" w:hAnsi="仿宋" w:eastAsia="仿宋" w:cs="仿宋"/>
              </w:rPr>
            </w:pPr>
          </w:p>
        </w:tc>
        <w:tc>
          <w:tcPr>
            <w:tcW w:w="2195" w:type="dxa"/>
            <w:noWrap w:val="0"/>
            <w:vAlign w:val="top"/>
          </w:tcPr>
          <w:p w14:paraId="1E6D88C9">
            <w:pPr>
              <w:keepNext w:val="0"/>
              <w:keepLines w:val="0"/>
              <w:suppressLineNumbers w:val="0"/>
              <w:spacing w:before="0" w:beforeAutospacing="0" w:after="0" w:afterAutospacing="0"/>
              <w:ind w:left="0" w:right="0"/>
              <w:jc w:val="center"/>
              <w:rPr>
                <w:rFonts w:hint="eastAsia" w:ascii="仿宋" w:hAnsi="仿宋" w:eastAsia="仿宋" w:cs="仿宋"/>
              </w:rPr>
            </w:pPr>
          </w:p>
        </w:tc>
        <w:tc>
          <w:tcPr>
            <w:tcW w:w="1440" w:type="dxa"/>
            <w:noWrap w:val="0"/>
            <w:vAlign w:val="top"/>
          </w:tcPr>
          <w:p w14:paraId="64B45A54">
            <w:pPr>
              <w:keepNext w:val="0"/>
              <w:keepLines w:val="0"/>
              <w:suppressLineNumbers w:val="0"/>
              <w:spacing w:before="0" w:beforeAutospacing="0" w:after="0" w:afterAutospacing="0"/>
              <w:ind w:left="0" w:right="0"/>
              <w:jc w:val="center"/>
              <w:rPr>
                <w:rFonts w:hint="eastAsia" w:ascii="仿宋" w:hAnsi="仿宋" w:eastAsia="仿宋" w:cs="仿宋"/>
              </w:rPr>
            </w:pPr>
          </w:p>
        </w:tc>
      </w:tr>
      <w:tr w14:paraId="674FB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942" w:type="dxa"/>
            <w:noWrap w:val="0"/>
            <w:vAlign w:val="top"/>
          </w:tcPr>
          <w:p w14:paraId="2D24E8C9">
            <w:pPr>
              <w:keepNext w:val="0"/>
              <w:keepLines w:val="0"/>
              <w:suppressLineNumbers w:val="0"/>
              <w:spacing w:before="0" w:beforeAutospacing="0" w:after="0" w:afterAutospacing="0"/>
              <w:ind w:left="0" w:right="0"/>
              <w:jc w:val="center"/>
              <w:rPr>
                <w:rFonts w:hint="eastAsia" w:ascii="仿宋" w:hAnsi="仿宋" w:eastAsia="仿宋" w:cs="仿宋"/>
              </w:rPr>
            </w:pPr>
          </w:p>
        </w:tc>
        <w:tc>
          <w:tcPr>
            <w:tcW w:w="1995" w:type="dxa"/>
            <w:noWrap w:val="0"/>
            <w:vAlign w:val="top"/>
          </w:tcPr>
          <w:p w14:paraId="3D47DB15">
            <w:pPr>
              <w:keepNext w:val="0"/>
              <w:keepLines w:val="0"/>
              <w:suppressLineNumbers w:val="0"/>
              <w:spacing w:before="0" w:beforeAutospacing="0" w:after="0" w:afterAutospacing="0"/>
              <w:ind w:left="0" w:right="0"/>
              <w:jc w:val="center"/>
              <w:rPr>
                <w:rFonts w:hint="eastAsia" w:ascii="仿宋" w:hAnsi="仿宋" w:eastAsia="仿宋" w:cs="仿宋"/>
              </w:rPr>
            </w:pPr>
          </w:p>
        </w:tc>
        <w:tc>
          <w:tcPr>
            <w:tcW w:w="2220" w:type="dxa"/>
            <w:noWrap w:val="0"/>
            <w:vAlign w:val="top"/>
          </w:tcPr>
          <w:p w14:paraId="298AC4DC">
            <w:pPr>
              <w:keepNext w:val="0"/>
              <w:keepLines w:val="0"/>
              <w:suppressLineNumbers w:val="0"/>
              <w:spacing w:before="0" w:beforeAutospacing="0" w:after="0" w:afterAutospacing="0"/>
              <w:ind w:left="0" w:right="0"/>
              <w:jc w:val="center"/>
              <w:rPr>
                <w:rFonts w:hint="eastAsia" w:ascii="仿宋" w:hAnsi="仿宋" w:eastAsia="仿宋" w:cs="仿宋"/>
              </w:rPr>
            </w:pPr>
          </w:p>
        </w:tc>
        <w:tc>
          <w:tcPr>
            <w:tcW w:w="2195" w:type="dxa"/>
            <w:noWrap w:val="0"/>
            <w:vAlign w:val="top"/>
          </w:tcPr>
          <w:p w14:paraId="4D4814A6">
            <w:pPr>
              <w:keepNext w:val="0"/>
              <w:keepLines w:val="0"/>
              <w:suppressLineNumbers w:val="0"/>
              <w:spacing w:before="0" w:beforeAutospacing="0" w:after="0" w:afterAutospacing="0"/>
              <w:ind w:left="0" w:right="0"/>
              <w:jc w:val="center"/>
              <w:rPr>
                <w:rFonts w:hint="eastAsia" w:ascii="仿宋" w:hAnsi="仿宋" w:eastAsia="仿宋" w:cs="仿宋"/>
              </w:rPr>
            </w:pPr>
          </w:p>
        </w:tc>
        <w:tc>
          <w:tcPr>
            <w:tcW w:w="1440" w:type="dxa"/>
            <w:noWrap w:val="0"/>
            <w:vAlign w:val="top"/>
          </w:tcPr>
          <w:p w14:paraId="1B4EEBC9">
            <w:pPr>
              <w:keepNext w:val="0"/>
              <w:keepLines w:val="0"/>
              <w:suppressLineNumbers w:val="0"/>
              <w:spacing w:before="0" w:beforeAutospacing="0" w:after="0" w:afterAutospacing="0"/>
              <w:ind w:left="0" w:right="0"/>
              <w:jc w:val="center"/>
              <w:rPr>
                <w:rFonts w:hint="eastAsia" w:ascii="仿宋" w:hAnsi="仿宋" w:eastAsia="仿宋" w:cs="仿宋"/>
              </w:rPr>
            </w:pPr>
          </w:p>
        </w:tc>
      </w:tr>
      <w:tr w14:paraId="2E41E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942" w:type="dxa"/>
            <w:noWrap w:val="0"/>
            <w:vAlign w:val="top"/>
          </w:tcPr>
          <w:p w14:paraId="77801102">
            <w:pPr>
              <w:keepNext w:val="0"/>
              <w:keepLines w:val="0"/>
              <w:suppressLineNumbers w:val="0"/>
              <w:spacing w:before="0" w:beforeAutospacing="0" w:after="0" w:afterAutospacing="0"/>
              <w:ind w:left="0" w:right="0"/>
              <w:jc w:val="center"/>
              <w:rPr>
                <w:rFonts w:hint="eastAsia" w:ascii="仿宋" w:hAnsi="仿宋" w:eastAsia="仿宋" w:cs="仿宋"/>
              </w:rPr>
            </w:pPr>
          </w:p>
        </w:tc>
        <w:tc>
          <w:tcPr>
            <w:tcW w:w="1995" w:type="dxa"/>
            <w:noWrap w:val="0"/>
            <w:vAlign w:val="top"/>
          </w:tcPr>
          <w:p w14:paraId="1569F53E">
            <w:pPr>
              <w:keepNext w:val="0"/>
              <w:keepLines w:val="0"/>
              <w:suppressLineNumbers w:val="0"/>
              <w:spacing w:before="0" w:beforeAutospacing="0" w:after="0" w:afterAutospacing="0"/>
              <w:ind w:left="0" w:right="0"/>
              <w:jc w:val="center"/>
              <w:rPr>
                <w:rFonts w:hint="eastAsia" w:ascii="仿宋" w:hAnsi="仿宋" w:eastAsia="仿宋" w:cs="仿宋"/>
              </w:rPr>
            </w:pPr>
          </w:p>
        </w:tc>
        <w:tc>
          <w:tcPr>
            <w:tcW w:w="2220" w:type="dxa"/>
            <w:noWrap w:val="0"/>
            <w:vAlign w:val="top"/>
          </w:tcPr>
          <w:p w14:paraId="3668B808">
            <w:pPr>
              <w:keepNext w:val="0"/>
              <w:keepLines w:val="0"/>
              <w:suppressLineNumbers w:val="0"/>
              <w:spacing w:before="0" w:beforeAutospacing="0" w:after="0" w:afterAutospacing="0"/>
              <w:ind w:left="0" w:right="0"/>
              <w:jc w:val="center"/>
              <w:rPr>
                <w:rFonts w:hint="eastAsia" w:ascii="仿宋" w:hAnsi="仿宋" w:eastAsia="仿宋" w:cs="仿宋"/>
              </w:rPr>
            </w:pPr>
          </w:p>
        </w:tc>
        <w:tc>
          <w:tcPr>
            <w:tcW w:w="2195" w:type="dxa"/>
            <w:noWrap w:val="0"/>
            <w:vAlign w:val="top"/>
          </w:tcPr>
          <w:p w14:paraId="44C75E81">
            <w:pPr>
              <w:keepNext w:val="0"/>
              <w:keepLines w:val="0"/>
              <w:suppressLineNumbers w:val="0"/>
              <w:spacing w:before="0" w:beforeAutospacing="0" w:after="0" w:afterAutospacing="0"/>
              <w:ind w:left="0" w:right="0"/>
              <w:jc w:val="center"/>
              <w:rPr>
                <w:rFonts w:hint="eastAsia" w:ascii="仿宋" w:hAnsi="仿宋" w:eastAsia="仿宋" w:cs="仿宋"/>
              </w:rPr>
            </w:pPr>
          </w:p>
        </w:tc>
        <w:tc>
          <w:tcPr>
            <w:tcW w:w="1440" w:type="dxa"/>
            <w:noWrap w:val="0"/>
            <w:vAlign w:val="top"/>
          </w:tcPr>
          <w:p w14:paraId="6C421A3B">
            <w:pPr>
              <w:keepNext w:val="0"/>
              <w:keepLines w:val="0"/>
              <w:suppressLineNumbers w:val="0"/>
              <w:spacing w:before="0" w:beforeAutospacing="0" w:after="0" w:afterAutospacing="0"/>
              <w:ind w:left="0" w:right="0"/>
              <w:jc w:val="center"/>
              <w:rPr>
                <w:rFonts w:hint="eastAsia" w:ascii="仿宋" w:hAnsi="仿宋" w:eastAsia="仿宋" w:cs="仿宋"/>
              </w:rPr>
            </w:pPr>
          </w:p>
        </w:tc>
      </w:tr>
      <w:tr w14:paraId="759DF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942" w:type="dxa"/>
            <w:noWrap w:val="0"/>
            <w:vAlign w:val="top"/>
          </w:tcPr>
          <w:p w14:paraId="5315EAEE">
            <w:pPr>
              <w:keepNext w:val="0"/>
              <w:keepLines w:val="0"/>
              <w:suppressLineNumbers w:val="0"/>
              <w:spacing w:before="0" w:beforeAutospacing="0" w:after="0" w:afterAutospacing="0"/>
              <w:ind w:left="0" w:right="0"/>
              <w:jc w:val="center"/>
              <w:rPr>
                <w:rFonts w:hint="eastAsia" w:ascii="仿宋" w:hAnsi="仿宋" w:eastAsia="仿宋" w:cs="仿宋"/>
              </w:rPr>
            </w:pPr>
          </w:p>
        </w:tc>
        <w:tc>
          <w:tcPr>
            <w:tcW w:w="1995" w:type="dxa"/>
            <w:noWrap w:val="0"/>
            <w:vAlign w:val="top"/>
          </w:tcPr>
          <w:p w14:paraId="2C006275">
            <w:pPr>
              <w:keepNext w:val="0"/>
              <w:keepLines w:val="0"/>
              <w:suppressLineNumbers w:val="0"/>
              <w:spacing w:before="0" w:beforeAutospacing="0" w:after="0" w:afterAutospacing="0"/>
              <w:ind w:left="0" w:right="0"/>
              <w:jc w:val="center"/>
              <w:rPr>
                <w:rFonts w:hint="eastAsia" w:ascii="仿宋" w:hAnsi="仿宋" w:eastAsia="仿宋" w:cs="仿宋"/>
                <w:highlight w:val="green"/>
              </w:rPr>
            </w:pPr>
          </w:p>
        </w:tc>
        <w:tc>
          <w:tcPr>
            <w:tcW w:w="2220" w:type="dxa"/>
            <w:noWrap w:val="0"/>
            <w:vAlign w:val="top"/>
          </w:tcPr>
          <w:p w14:paraId="11264C23">
            <w:pPr>
              <w:keepNext w:val="0"/>
              <w:keepLines w:val="0"/>
              <w:suppressLineNumbers w:val="0"/>
              <w:spacing w:before="0" w:beforeAutospacing="0" w:after="0" w:afterAutospacing="0"/>
              <w:ind w:left="0" w:right="0"/>
              <w:jc w:val="center"/>
              <w:rPr>
                <w:rFonts w:hint="eastAsia" w:ascii="仿宋" w:hAnsi="仿宋" w:eastAsia="仿宋" w:cs="仿宋"/>
              </w:rPr>
            </w:pPr>
          </w:p>
        </w:tc>
        <w:tc>
          <w:tcPr>
            <w:tcW w:w="2195" w:type="dxa"/>
            <w:noWrap w:val="0"/>
            <w:vAlign w:val="top"/>
          </w:tcPr>
          <w:p w14:paraId="35545EE6">
            <w:pPr>
              <w:keepNext w:val="0"/>
              <w:keepLines w:val="0"/>
              <w:suppressLineNumbers w:val="0"/>
              <w:spacing w:before="0" w:beforeAutospacing="0" w:after="0" w:afterAutospacing="0"/>
              <w:ind w:left="0" w:right="0"/>
              <w:jc w:val="center"/>
              <w:rPr>
                <w:rFonts w:hint="eastAsia" w:ascii="仿宋" w:hAnsi="仿宋" w:eastAsia="仿宋" w:cs="仿宋"/>
              </w:rPr>
            </w:pPr>
          </w:p>
        </w:tc>
        <w:tc>
          <w:tcPr>
            <w:tcW w:w="1440" w:type="dxa"/>
            <w:noWrap w:val="0"/>
            <w:vAlign w:val="top"/>
          </w:tcPr>
          <w:p w14:paraId="3485B7DE">
            <w:pPr>
              <w:keepNext w:val="0"/>
              <w:keepLines w:val="0"/>
              <w:suppressLineNumbers w:val="0"/>
              <w:spacing w:before="0" w:beforeAutospacing="0" w:after="0" w:afterAutospacing="0"/>
              <w:ind w:left="0" w:right="0"/>
              <w:jc w:val="center"/>
              <w:rPr>
                <w:rFonts w:hint="eastAsia" w:ascii="仿宋" w:hAnsi="仿宋" w:eastAsia="仿宋" w:cs="仿宋"/>
              </w:rPr>
            </w:pPr>
          </w:p>
        </w:tc>
      </w:tr>
      <w:tr w14:paraId="2C156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942" w:type="dxa"/>
            <w:noWrap w:val="0"/>
            <w:vAlign w:val="top"/>
          </w:tcPr>
          <w:p w14:paraId="5CB3D9E3">
            <w:pPr>
              <w:keepNext w:val="0"/>
              <w:keepLines w:val="0"/>
              <w:suppressLineNumbers w:val="0"/>
              <w:spacing w:before="0" w:beforeAutospacing="0" w:after="0" w:afterAutospacing="0"/>
              <w:ind w:left="0" w:right="0"/>
              <w:jc w:val="center"/>
              <w:rPr>
                <w:rFonts w:hint="eastAsia" w:ascii="仿宋" w:hAnsi="仿宋" w:eastAsia="仿宋" w:cs="仿宋"/>
              </w:rPr>
            </w:pPr>
          </w:p>
        </w:tc>
        <w:tc>
          <w:tcPr>
            <w:tcW w:w="1995" w:type="dxa"/>
            <w:noWrap w:val="0"/>
            <w:vAlign w:val="top"/>
          </w:tcPr>
          <w:p w14:paraId="7F41BCF5">
            <w:pPr>
              <w:keepNext w:val="0"/>
              <w:keepLines w:val="0"/>
              <w:suppressLineNumbers w:val="0"/>
              <w:spacing w:before="0" w:beforeAutospacing="0" w:after="0" w:afterAutospacing="0"/>
              <w:ind w:left="0" w:right="0"/>
              <w:jc w:val="center"/>
              <w:rPr>
                <w:rFonts w:hint="default" w:ascii="仿宋" w:hAnsi="仿宋" w:eastAsia="仿宋" w:cs="仿宋"/>
                <w:highlight w:val="green"/>
                <w:lang w:val="en-US" w:eastAsia="zh-CN"/>
              </w:rPr>
            </w:pPr>
          </w:p>
        </w:tc>
        <w:tc>
          <w:tcPr>
            <w:tcW w:w="2220" w:type="dxa"/>
            <w:noWrap w:val="0"/>
            <w:vAlign w:val="top"/>
          </w:tcPr>
          <w:p w14:paraId="77540CDC">
            <w:pPr>
              <w:keepNext w:val="0"/>
              <w:keepLines w:val="0"/>
              <w:suppressLineNumbers w:val="0"/>
              <w:spacing w:before="0" w:beforeAutospacing="0" w:after="0" w:afterAutospacing="0"/>
              <w:ind w:left="0" w:right="0"/>
              <w:jc w:val="center"/>
              <w:rPr>
                <w:rFonts w:hint="eastAsia" w:ascii="仿宋" w:hAnsi="仿宋" w:eastAsia="仿宋" w:cs="仿宋"/>
              </w:rPr>
            </w:pPr>
          </w:p>
        </w:tc>
        <w:tc>
          <w:tcPr>
            <w:tcW w:w="2195" w:type="dxa"/>
            <w:noWrap w:val="0"/>
            <w:vAlign w:val="top"/>
          </w:tcPr>
          <w:p w14:paraId="3341FCE0">
            <w:pPr>
              <w:keepNext w:val="0"/>
              <w:keepLines w:val="0"/>
              <w:suppressLineNumbers w:val="0"/>
              <w:spacing w:before="0" w:beforeAutospacing="0" w:after="0" w:afterAutospacing="0"/>
              <w:ind w:left="0" w:right="0"/>
              <w:jc w:val="center"/>
              <w:rPr>
                <w:rFonts w:hint="eastAsia" w:ascii="仿宋" w:hAnsi="仿宋" w:eastAsia="仿宋" w:cs="仿宋"/>
              </w:rPr>
            </w:pPr>
          </w:p>
        </w:tc>
        <w:tc>
          <w:tcPr>
            <w:tcW w:w="1440" w:type="dxa"/>
            <w:noWrap w:val="0"/>
            <w:vAlign w:val="top"/>
          </w:tcPr>
          <w:p w14:paraId="46D68A38">
            <w:pPr>
              <w:keepNext w:val="0"/>
              <w:keepLines w:val="0"/>
              <w:suppressLineNumbers w:val="0"/>
              <w:spacing w:before="0" w:beforeAutospacing="0" w:after="0" w:afterAutospacing="0"/>
              <w:ind w:left="0" w:right="0"/>
              <w:jc w:val="center"/>
              <w:rPr>
                <w:rFonts w:hint="eastAsia" w:ascii="仿宋" w:hAnsi="仿宋" w:eastAsia="仿宋" w:cs="仿宋"/>
              </w:rPr>
            </w:pPr>
          </w:p>
        </w:tc>
      </w:tr>
      <w:tr w14:paraId="04376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942" w:type="dxa"/>
            <w:noWrap w:val="0"/>
            <w:vAlign w:val="top"/>
          </w:tcPr>
          <w:p w14:paraId="1CB4174C">
            <w:pPr>
              <w:keepNext w:val="0"/>
              <w:keepLines w:val="0"/>
              <w:suppressLineNumbers w:val="0"/>
              <w:spacing w:before="0" w:beforeAutospacing="0" w:after="0" w:afterAutospacing="0"/>
              <w:ind w:left="0" w:right="0"/>
              <w:jc w:val="center"/>
              <w:rPr>
                <w:rFonts w:hint="eastAsia" w:ascii="仿宋" w:hAnsi="仿宋" w:eastAsia="仿宋" w:cs="仿宋"/>
              </w:rPr>
            </w:pPr>
          </w:p>
        </w:tc>
        <w:tc>
          <w:tcPr>
            <w:tcW w:w="1995" w:type="dxa"/>
            <w:noWrap w:val="0"/>
            <w:vAlign w:val="top"/>
          </w:tcPr>
          <w:p w14:paraId="011E7AA7">
            <w:pPr>
              <w:keepNext w:val="0"/>
              <w:keepLines w:val="0"/>
              <w:suppressLineNumbers w:val="0"/>
              <w:spacing w:before="0" w:beforeAutospacing="0" w:after="0" w:afterAutospacing="0"/>
              <w:ind w:left="0" w:right="0"/>
              <w:jc w:val="center"/>
              <w:rPr>
                <w:rFonts w:hint="default" w:ascii="仿宋" w:hAnsi="仿宋" w:eastAsia="仿宋" w:cs="仿宋"/>
                <w:lang w:val="en-US" w:eastAsia="zh-CN"/>
              </w:rPr>
            </w:pPr>
          </w:p>
        </w:tc>
        <w:tc>
          <w:tcPr>
            <w:tcW w:w="2220" w:type="dxa"/>
            <w:noWrap w:val="0"/>
            <w:vAlign w:val="top"/>
          </w:tcPr>
          <w:p w14:paraId="0E1592D7">
            <w:pPr>
              <w:keepNext w:val="0"/>
              <w:keepLines w:val="0"/>
              <w:suppressLineNumbers w:val="0"/>
              <w:spacing w:before="0" w:beforeAutospacing="0" w:after="0" w:afterAutospacing="0"/>
              <w:ind w:left="0" w:right="0"/>
              <w:jc w:val="center"/>
              <w:rPr>
                <w:rFonts w:hint="eastAsia" w:ascii="仿宋" w:hAnsi="仿宋" w:eastAsia="仿宋" w:cs="仿宋"/>
              </w:rPr>
            </w:pPr>
          </w:p>
        </w:tc>
        <w:tc>
          <w:tcPr>
            <w:tcW w:w="2195" w:type="dxa"/>
            <w:noWrap w:val="0"/>
            <w:vAlign w:val="top"/>
          </w:tcPr>
          <w:p w14:paraId="57F8B674">
            <w:pPr>
              <w:keepNext w:val="0"/>
              <w:keepLines w:val="0"/>
              <w:suppressLineNumbers w:val="0"/>
              <w:spacing w:before="0" w:beforeAutospacing="0" w:after="0" w:afterAutospacing="0"/>
              <w:ind w:left="0" w:right="0"/>
              <w:jc w:val="center"/>
              <w:rPr>
                <w:rFonts w:hint="eastAsia" w:ascii="仿宋" w:hAnsi="仿宋" w:eastAsia="仿宋" w:cs="仿宋"/>
              </w:rPr>
            </w:pPr>
          </w:p>
        </w:tc>
        <w:tc>
          <w:tcPr>
            <w:tcW w:w="1440" w:type="dxa"/>
            <w:noWrap w:val="0"/>
            <w:vAlign w:val="top"/>
          </w:tcPr>
          <w:p w14:paraId="10A244ED">
            <w:pPr>
              <w:keepNext w:val="0"/>
              <w:keepLines w:val="0"/>
              <w:suppressLineNumbers w:val="0"/>
              <w:spacing w:before="0" w:beforeAutospacing="0" w:after="0" w:afterAutospacing="0"/>
              <w:ind w:left="0" w:right="0"/>
              <w:jc w:val="center"/>
              <w:rPr>
                <w:rFonts w:hint="eastAsia" w:ascii="仿宋" w:hAnsi="仿宋" w:eastAsia="仿宋" w:cs="仿宋"/>
              </w:rPr>
            </w:pPr>
          </w:p>
        </w:tc>
      </w:tr>
      <w:tr w14:paraId="0B557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942" w:type="dxa"/>
            <w:noWrap w:val="0"/>
            <w:vAlign w:val="top"/>
          </w:tcPr>
          <w:p w14:paraId="66D4620C">
            <w:pPr>
              <w:keepNext w:val="0"/>
              <w:keepLines w:val="0"/>
              <w:suppressLineNumbers w:val="0"/>
              <w:spacing w:before="0" w:beforeAutospacing="0" w:after="0" w:afterAutospacing="0"/>
              <w:ind w:left="0" w:right="0"/>
              <w:jc w:val="center"/>
              <w:rPr>
                <w:rFonts w:hint="eastAsia" w:ascii="仿宋" w:hAnsi="仿宋" w:eastAsia="仿宋" w:cs="仿宋"/>
              </w:rPr>
            </w:pPr>
          </w:p>
        </w:tc>
        <w:tc>
          <w:tcPr>
            <w:tcW w:w="1995" w:type="dxa"/>
            <w:noWrap w:val="0"/>
            <w:vAlign w:val="top"/>
          </w:tcPr>
          <w:p w14:paraId="557C120E">
            <w:pPr>
              <w:keepNext w:val="0"/>
              <w:keepLines w:val="0"/>
              <w:suppressLineNumbers w:val="0"/>
              <w:spacing w:before="0" w:beforeAutospacing="0" w:after="0" w:afterAutospacing="0"/>
              <w:ind w:left="0" w:right="0"/>
              <w:jc w:val="center"/>
              <w:rPr>
                <w:rFonts w:hint="eastAsia" w:ascii="仿宋" w:hAnsi="仿宋" w:eastAsia="仿宋" w:cs="仿宋"/>
              </w:rPr>
            </w:pPr>
          </w:p>
        </w:tc>
        <w:tc>
          <w:tcPr>
            <w:tcW w:w="2220" w:type="dxa"/>
            <w:noWrap w:val="0"/>
            <w:vAlign w:val="top"/>
          </w:tcPr>
          <w:p w14:paraId="74F18887">
            <w:pPr>
              <w:keepNext w:val="0"/>
              <w:keepLines w:val="0"/>
              <w:suppressLineNumbers w:val="0"/>
              <w:spacing w:before="0" w:beforeAutospacing="0" w:after="0" w:afterAutospacing="0"/>
              <w:ind w:left="0" w:right="0"/>
              <w:jc w:val="center"/>
              <w:rPr>
                <w:rFonts w:hint="eastAsia" w:ascii="仿宋" w:hAnsi="仿宋" w:eastAsia="仿宋" w:cs="仿宋"/>
              </w:rPr>
            </w:pPr>
          </w:p>
        </w:tc>
        <w:tc>
          <w:tcPr>
            <w:tcW w:w="2195" w:type="dxa"/>
            <w:noWrap w:val="0"/>
            <w:vAlign w:val="top"/>
          </w:tcPr>
          <w:p w14:paraId="44A6875F">
            <w:pPr>
              <w:keepNext w:val="0"/>
              <w:keepLines w:val="0"/>
              <w:suppressLineNumbers w:val="0"/>
              <w:spacing w:before="0" w:beforeAutospacing="0" w:after="0" w:afterAutospacing="0"/>
              <w:ind w:left="0" w:right="0"/>
              <w:jc w:val="center"/>
              <w:rPr>
                <w:rFonts w:hint="eastAsia" w:ascii="仿宋" w:hAnsi="仿宋" w:eastAsia="仿宋" w:cs="仿宋"/>
              </w:rPr>
            </w:pPr>
          </w:p>
        </w:tc>
        <w:tc>
          <w:tcPr>
            <w:tcW w:w="1440" w:type="dxa"/>
            <w:noWrap w:val="0"/>
            <w:vAlign w:val="top"/>
          </w:tcPr>
          <w:p w14:paraId="74B0B0F1">
            <w:pPr>
              <w:keepNext w:val="0"/>
              <w:keepLines w:val="0"/>
              <w:suppressLineNumbers w:val="0"/>
              <w:spacing w:before="0" w:beforeAutospacing="0" w:after="0" w:afterAutospacing="0"/>
              <w:ind w:left="0" w:right="0"/>
              <w:jc w:val="center"/>
              <w:rPr>
                <w:rFonts w:hint="eastAsia" w:ascii="仿宋" w:hAnsi="仿宋" w:eastAsia="仿宋" w:cs="仿宋"/>
              </w:rPr>
            </w:pPr>
          </w:p>
        </w:tc>
      </w:tr>
      <w:tr w14:paraId="7C414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942" w:type="dxa"/>
            <w:noWrap w:val="0"/>
            <w:vAlign w:val="top"/>
          </w:tcPr>
          <w:p w14:paraId="5E117228">
            <w:pPr>
              <w:keepNext w:val="0"/>
              <w:keepLines w:val="0"/>
              <w:suppressLineNumbers w:val="0"/>
              <w:spacing w:before="0" w:beforeAutospacing="0" w:after="0" w:afterAutospacing="0"/>
              <w:ind w:left="0" w:right="0"/>
              <w:jc w:val="center"/>
              <w:rPr>
                <w:rFonts w:hint="eastAsia" w:ascii="仿宋" w:hAnsi="仿宋" w:eastAsia="仿宋" w:cs="仿宋"/>
              </w:rPr>
            </w:pPr>
          </w:p>
        </w:tc>
        <w:tc>
          <w:tcPr>
            <w:tcW w:w="1995" w:type="dxa"/>
            <w:noWrap w:val="0"/>
            <w:vAlign w:val="top"/>
          </w:tcPr>
          <w:p w14:paraId="19F722C8">
            <w:pPr>
              <w:keepNext w:val="0"/>
              <w:keepLines w:val="0"/>
              <w:suppressLineNumbers w:val="0"/>
              <w:spacing w:before="0" w:beforeAutospacing="0" w:after="0" w:afterAutospacing="0"/>
              <w:ind w:left="0" w:right="0"/>
              <w:jc w:val="center"/>
              <w:rPr>
                <w:rFonts w:hint="eastAsia" w:ascii="仿宋" w:hAnsi="仿宋" w:eastAsia="仿宋" w:cs="仿宋"/>
              </w:rPr>
            </w:pPr>
          </w:p>
        </w:tc>
        <w:tc>
          <w:tcPr>
            <w:tcW w:w="2220" w:type="dxa"/>
            <w:noWrap w:val="0"/>
            <w:vAlign w:val="top"/>
          </w:tcPr>
          <w:p w14:paraId="44C325D0">
            <w:pPr>
              <w:keepNext w:val="0"/>
              <w:keepLines w:val="0"/>
              <w:suppressLineNumbers w:val="0"/>
              <w:spacing w:before="0" w:beforeAutospacing="0" w:after="0" w:afterAutospacing="0"/>
              <w:ind w:left="0" w:right="0"/>
              <w:jc w:val="center"/>
              <w:rPr>
                <w:rFonts w:hint="eastAsia" w:ascii="仿宋" w:hAnsi="仿宋" w:eastAsia="仿宋" w:cs="仿宋"/>
              </w:rPr>
            </w:pPr>
          </w:p>
        </w:tc>
        <w:tc>
          <w:tcPr>
            <w:tcW w:w="2195" w:type="dxa"/>
            <w:noWrap w:val="0"/>
            <w:vAlign w:val="top"/>
          </w:tcPr>
          <w:p w14:paraId="6F63EA2A">
            <w:pPr>
              <w:keepNext w:val="0"/>
              <w:keepLines w:val="0"/>
              <w:suppressLineNumbers w:val="0"/>
              <w:spacing w:before="0" w:beforeAutospacing="0" w:after="0" w:afterAutospacing="0"/>
              <w:ind w:left="0" w:right="0"/>
              <w:jc w:val="center"/>
              <w:rPr>
                <w:rFonts w:hint="eastAsia" w:ascii="仿宋" w:hAnsi="仿宋" w:eastAsia="仿宋" w:cs="仿宋"/>
              </w:rPr>
            </w:pPr>
          </w:p>
        </w:tc>
        <w:tc>
          <w:tcPr>
            <w:tcW w:w="1440" w:type="dxa"/>
            <w:noWrap w:val="0"/>
            <w:vAlign w:val="top"/>
          </w:tcPr>
          <w:p w14:paraId="0E4FF098">
            <w:pPr>
              <w:keepNext w:val="0"/>
              <w:keepLines w:val="0"/>
              <w:suppressLineNumbers w:val="0"/>
              <w:spacing w:before="0" w:beforeAutospacing="0" w:after="0" w:afterAutospacing="0"/>
              <w:ind w:left="0" w:right="0"/>
              <w:jc w:val="center"/>
              <w:rPr>
                <w:rFonts w:hint="eastAsia" w:ascii="仿宋" w:hAnsi="仿宋" w:eastAsia="仿宋" w:cs="仿宋"/>
              </w:rPr>
            </w:pPr>
          </w:p>
        </w:tc>
      </w:tr>
    </w:tbl>
    <w:p w14:paraId="17E40813">
      <w:pPr>
        <w:rPr>
          <w:rFonts w:hint="eastAsia" w:ascii="仿宋" w:hAnsi="仿宋" w:eastAsia="仿宋" w:cs="仿宋"/>
        </w:rPr>
      </w:pPr>
      <w:r>
        <w:rPr>
          <w:rFonts w:hint="eastAsia" w:ascii="仿宋" w:hAnsi="仿宋" w:eastAsia="仿宋" w:cs="仿宋"/>
        </w:rPr>
        <w:t>备注：如全部响应谈判文件所提商务要求，在“谈判文件商务要求”及“谈判文件商务响应”栏中填写“全部”字样，在“偏离情况”栏填入“无偏离”字样。除以上表中列明的偏离项之外，供应商完全响应谈判文件的所有商务条款。</w:t>
      </w:r>
    </w:p>
    <w:p w14:paraId="5D4216A4">
      <w:pPr>
        <w:pStyle w:val="18"/>
        <w:rPr>
          <w:rFonts w:hint="eastAsia" w:ascii="仿宋" w:hAnsi="仿宋" w:eastAsia="仿宋" w:cs="仿宋"/>
        </w:rPr>
      </w:pPr>
    </w:p>
    <w:p w14:paraId="1ED19291">
      <w:pPr>
        <w:rPr>
          <w:rFonts w:hint="eastAsia" w:ascii="仿宋" w:hAnsi="仿宋" w:eastAsia="仿宋" w:cs="仿宋"/>
        </w:rPr>
      </w:pPr>
    </w:p>
    <w:bookmarkEnd w:id="398"/>
    <w:bookmarkEnd w:id="399"/>
    <w:tbl>
      <w:tblPr>
        <w:tblStyle w:val="47"/>
        <w:tblW w:w="0" w:type="auto"/>
        <w:tblInd w:w="2376" w:type="dxa"/>
        <w:tblLayout w:type="fixed"/>
        <w:tblCellMar>
          <w:top w:w="0" w:type="dxa"/>
          <w:left w:w="108" w:type="dxa"/>
          <w:bottom w:w="0" w:type="dxa"/>
          <w:right w:w="108" w:type="dxa"/>
        </w:tblCellMar>
      </w:tblPr>
      <w:tblGrid>
        <w:gridCol w:w="2410"/>
        <w:gridCol w:w="287"/>
        <w:gridCol w:w="4107"/>
      </w:tblGrid>
      <w:tr w14:paraId="6064F660">
        <w:tblPrEx>
          <w:tblCellMar>
            <w:top w:w="0" w:type="dxa"/>
            <w:left w:w="108" w:type="dxa"/>
            <w:bottom w:w="0" w:type="dxa"/>
            <w:right w:w="108" w:type="dxa"/>
          </w:tblCellMar>
        </w:tblPrEx>
        <w:trPr>
          <w:trHeight w:val="680" w:hRule="atLeast"/>
        </w:trPr>
        <w:tc>
          <w:tcPr>
            <w:tcW w:w="2410" w:type="dxa"/>
            <w:noWrap w:val="0"/>
            <w:vAlign w:val="bottom"/>
          </w:tcPr>
          <w:p w14:paraId="07EF5B4E">
            <w:pPr>
              <w:pStyle w:val="18"/>
              <w:keepNext w:val="0"/>
              <w:keepLines w:val="0"/>
              <w:suppressLineNumbers w:val="0"/>
              <w:spacing w:before="0" w:beforeAutospacing="0" w:afterAutospacing="0"/>
              <w:ind w:left="0" w:right="0"/>
              <w:jc w:val="distribute"/>
              <w:rPr>
                <w:rFonts w:hint="eastAsia" w:ascii="仿宋" w:hAnsi="仿宋" w:eastAsia="仿宋" w:cs="仿宋"/>
                <w:b w:val="0"/>
                <w:color w:val="000000"/>
                <w:sz w:val="24"/>
                <w:szCs w:val="24"/>
                <w:highlight w:val="none"/>
                <w:lang w:val="en-US" w:eastAsia="zh-CN"/>
              </w:rPr>
            </w:pPr>
            <w:bookmarkStart w:id="400" w:name="_Toc19102"/>
            <w:bookmarkStart w:id="401" w:name="_Toc26010"/>
            <w:r>
              <w:rPr>
                <w:rFonts w:hint="eastAsia" w:ascii="仿宋" w:hAnsi="仿宋" w:eastAsia="仿宋" w:cs="仿宋"/>
                <w:b w:val="0"/>
                <w:color w:val="000000"/>
                <w:sz w:val="24"/>
                <w:highlight w:val="none"/>
                <w:lang w:val="en-US" w:eastAsia="zh-CN"/>
              </w:rPr>
              <w:t>供应商名称</w:t>
            </w:r>
          </w:p>
        </w:tc>
        <w:tc>
          <w:tcPr>
            <w:tcW w:w="287" w:type="dxa"/>
            <w:noWrap w:val="0"/>
            <w:vAlign w:val="bottom"/>
          </w:tcPr>
          <w:p w14:paraId="473CC7D3">
            <w:pPr>
              <w:pStyle w:val="18"/>
              <w:keepNext w:val="0"/>
              <w:keepLines w:val="0"/>
              <w:suppressLineNumbers w:val="0"/>
              <w:spacing w:before="0" w:beforeAutospacing="0" w:afterAutospacing="0"/>
              <w:ind w:left="0" w:right="0"/>
              <w:jc w:val="left"/>
              <w:rPr>
                <w:rFonts w:hint="eastAsia" w:ascii="仿宋" w:hAnsi="仿宋" w:eastAsia="仿宋" w:cs="仿宋"/>
                <w:b w:val="0"/>
                <w:color w:val="000000"/>
                <w:sz w:val="24"/>
                <w:szCs w:val="24"/>
                <w:highlight w:val="none"/>
                <w:lang w:val="en-US" w:eastAsia="zh-CN"/>
              </w:rPr>
            </w:pPr>
            <w:r>
              <w:rPr>
                <w:rFonts w:hint="eastAsia" w:ascii="仿宋" w:hAnsi="仿宋" w:eastAsia="仿宋" w:cs="仿宋"/>
                <w:b w:val="0"/>
                <w:color w:val="000000"/>
                <w:sz w:val="24"/>
                <w:szCs w:val="24"/>
                <w:highlight w:val="none"/>
                <w:lang w:val="en-US" w:eastAsia="zh-CN"/>
              </w:rPr>
              <w:t>：</w:t>
            </w:r>
          </w:p>
        </w:tc>
        <w:tc>
          <w:tcPr>
            <w:tcW w:w="4107" w:type="dxa"/>
            <w:noWrap w:val="0"/>
            <w:vAlign w:val="bottom"/>
          </w:tcPr>
          <w:p w14:paraId="44D9D8F4">
            <w:pPr>
              <w:pStyle w:val="18"/>
              <w:keepNext w:val="0"/>
              <w:keepLines w:val="0"/>
              <w:suppressLineNumbers w:val="0"/>
              <w:spacing w:before="0" w:beforeAutospacing="0" w:afterAutospacing="0"/>
              <w:ind w:left="0" w:right="0"/>
              <w:rPr>
                <w:rFonts w:hint="eastAsia" w:ascii="仿宋" w:hAnsi="仿宋" w:eastAsia="仿宋" w:cs="仿宋"/>
                <w:b w:val="0"/>
                <w:color w:val="000000"/>
                <w:sz w:val="24"/>
                <w:szCs w:val="24"/>
                <w:highlight w:val="none"/>
                <w:u w:val="single"/>
                <w:lang w:val="en-US" w:eastAsia="zh-CN"/>
              </w:rPr>
            </w:pPr>
            <w:r>
              <w:rPr>
                <w:rFonts w:hint="eastAsia" w:ascii="仿宋" w:hAnsi="仿宋" w:eastAsia="仿宋" w:cs="仿宋"/>
                <w:b w:val="0"/>
                <w:color w:val="000000"/>
                <w:sz w:val="24"/>
                <w:szCs w:val="24"/>
                <w:highlight w:val="none"/>
                <w:u w:val="single"/>
                <w:lang w:val="en-US" w:eastAsia="zh-CN"/>
              </w:rPr>
              <w:t xml:space="preserve">                </w:t>
            </w:r>
            <w:r>
              <w:rPr>
                <w:rFonts w:hint="eastAsia" w:ascii="仿宋" w:hAnsi="仿宋" w:eastAsia="仿宋" w:cs="仿宋"/>
                <w:b w:val="0"/>
                <w:color w:val="000000"/>
                <w:sz w:val="24"/>
                <w:highlight w:val="none"/>
                <w:u w:val="single"/>
                <w:lang w:val="en-US" w:eastAsia="zh-CN"/>
              </w:rPr>
              <w:t xml:space="preserve">（公章） </w:t>
            </w:r>
            <w:r>
              <w:rPr>
                <w:rFonts w:hint="eastAsia" w:ascii="仿宋" w:hAnsi="仿宋" w:eastAsia="仿宋" w:cs="仿宋"/>
                <w:b w:val="0"/>
                <w:color w:val="000000"/>
                <w:sz w:val="24"/>
                <w:szCs w:val="24"/>
                <w:highlight w:val="none"/>
                <w:u w:val="single"/>
                <w:lang w:val="en-US" w:eastAsia="zh-CN"/>
              </w:rPr>
              <w:t xml:space="preserve">           </w:t>
            </w:r>
          </w:p>
        </w:tc>
      </w:tr>
      <w:tr w14:paraId="6B38E6FC">
        <w:tblPrEx>
          <w:tblCellMar>
            <w:top w:w="0" w:type="dxa"/>
            <w:left w:w="108" w:type="dxa"/>
            <w:bottom w:w="0" w:type="dxa"/>
            <w:right w:w="108" w:type="dxa"/>
          </w:tblCellMar>
        </w:tblPrEx>
        <w:trPr>
          <w:trHeight w:val="680" w:hRule="atLeast"/>
        </w:trPr>
        <w:tc>
          <w:tcPr>
            <w:tcW w:w="2410" w:type="dxa"/>
            <w:noWrap w:val="0"/>
            <w:vAlign w:val="bottom"/>
          </w:tcPr>
          <w:p w14:paraId="1B247ADA">
            <w:pPr>
              <w:pStyle w:val="18"/>
              <w:keepNext w:val="0"/>
              <w:keepLines w:val="0"/>
              <w:suppressLineNumbers w:val="0"/>
              <w:spacing w:before="0" w:beforeAutospacing="0" w:afterAutospacing="0"/>
              <w:ind w:left="0" w:right="0"/>
              <w:jc w:val="distribute"/>
              <w:rPr>
                <w:rFonts w:hint="eastAsia" w:ascii="仿宋" w:hAnsi="仿宋" w:eastAsia="仿宋" w:cs="仿宋"/>
                <w:b w:val="0"/>
                <w:color w:val="000000"/>
                <w:sz w:val="24"/>
                <w:szCs w:val="24"/>
                <w:highlight w:val="none"/>
                <w:lang w:val="en-US" w:eastAsia="zh-CN"/>
              </w:rPr>
            </w:pPr>
            <w:r>
              <w:rPr>
                <w:rFonts w:hint="eastAsia" w:ascii="仿宋" w:hAnsi="仿宋" w:eastAsia="仿宋" w:cs="仿宋"/>
                <w:b w:val="0"/>
                <w:color w:val="000000"/>
                <w:sz w:val="24"/>
                <w:highlight w:val="none"/>
                <w:lang w:val="en-US" w:eastAsia="zh-CN"/>
              </w:rPr>
              <w:t>法定代表人或被授权代表（签字或盖章）</w:t>
            </w:r>
          </w:p>
        </w:tc>
        <w:tc>
          <w:tcPr>
            <w:tcW w:w="287" w:type="dxa"/>
            <w:noWrap w:val="0"/>
            <w:vAlign w:val="bottom"/>
          </w:tcPr>
          <w:p w14:paraId="069DF066">
            <w:pPr>
              <w:pStyle w:val="18"/>
              <w:keepNext w:val="0"/>
              <w:keepLines w:val="0"/>
              <w:suppressLineNumbers w:val="0"/>
              <w:spacing w:before="0" w:beforeAutospacing="0" w:afterAutospacing="0"/>
              <w:ind w:left="0" w:right="0"/>
              <w:jc w:val="left"/>
              <w:rPr>
                <w:rFonts w:hint="eastAsia" w:ascii="仿宋" w:hAnsi="仿宋" w:eastAsia="仿宋" w:cs="仿宋"/>
                <w:b w:val="0"/>
                <w:color w:val="000000"/>
                <w:sz w:val="24"/>
                <w:szCs w:val="24"/>
                <w:highlight w:val="none"/>
                <w:lang w:val="en-US" w:eastAsia="zh-CN"/>
              </w:rPr>
            </w:pPr>
            <w:r>
              <w:rPr>
                <w:rFonts w:hint="eastAsia" w:ascii="仿宋" w:hAnsi="仿宋" w:eastAsia="仿宋" w:cs="仿宋"/>
                <w:b w:val="0"/>
                <w:color w:val="000000"/>
                <w:sz w:val="24"/>
                <w:szCs w:val="24"/>
                <w:highlight w:val="none"/>
                <w:lang w:val="en-US" w:eastAsia="zh-CN"/>
              </w:rPr>
              <w:t>：</w:t>
            </w:r>
          </w:p>
        </w:tc>
        <w:tc>
          <w:tcPr>
            <w:tcW w:w="4107" w:type="dxa"/>
            <w:noWrap w:val="0"/>
            <w:vAlign w:val="bottom"/>
          </w:tcPr>
          <w:p w14:paraId="3D5CC865">
            <w:pPr>
              <w:pStyle w:val="18"/>
              <w:keepNext w:val="0"/>
              <w:keepLines w:val="0"/>
              <w:suppressLineNumbers w:val="0"/>
              <w:spacing w:before="0" w:beforeAutospacing="0" w:afterAutospacing="0"/>
              <w:ind w:left="0" w:right="0"/>
              <w:rPr>
                <w:rFonts w:hint="eastAsia" w:ascii="仿宋" w:hAnsi="仿宋" w:eastAsia="仿宋" w:cs="仿宋"/>
                <w:b w:val="0"/>
                <w:color w:val="000000"/>
                <w:sz w:val="24"/>
                <w:szCs w:val="24"/>
                <w:highlight w:val="none"/>
                <w:u w:val="single"/>
                <w:lang w:val="en-US" w:eastAsia="zh-CN"/>
              </w:rPr>
            </w:pPr>
            <w:r>
              <w:rPr>
                <w:rFonts w:hint="eastAsia" w:ascii="仿宋" w:hAnsi="仿宋" w:eastAsia="仿宋" w:cs="仿宋"/>
                <w:b w:val="0"/>
                <w:color w:val="000000"/>
                <w:sz w:val="24"/>
                <w:szCs w:val="24"/>
                <w:highlight w:val="none"/>
                <w:u w:val="single"/>
                <w:lang w:val="en-US" w:eastAsia="zh-CN"/>
              </w:rPr>
              <w:t xml:space="preserve">            </w:t>
            </w:r>
            <w:r>
              <w:rPr>
                <w:rFonts w:hint="eastAsia" w:ascii="仿宋" w:hAnsi="仿宋" w:eastAsia="仿宋" w:cs="仿宋"/>
                <w:b w:val="0"/>
                <w:color w:val="000000"/>
                <w:sz w:val="24"/>
                <w:highlight w:val="none"/>
                <w:u w:val="single"/>
                <w:lang w:val="en-US" w:eastAsia="zh-CN"/>
              </w:rPr>
              <w:t>（签字或盖章）</w:t>
            </w:r>
            <w:r>
              <w:rPr>
                <w:rFonts w:hint="eastAsia" w:ascii="仿宋" w:hAnsi="仿宋" w:eastAsia="仿宋" w:cs="仿宋"/>
                <w:b w:val="0"/>
                <w:color w:val="000000"/>
                <w:sz w:val="24"/>
                <w:szCs w:val="24"/>
                <w:highlight w:val="none"/>
                <w:u w:val="single"/>
                <w:lang w:val="en-US" w:eastAsia="zh-CN"/>
              </w:rPr>
              <w:t xml:space="preserve">                              </w:t>
            </w:r>
          </w:p>
        </w:tc>
      </w:tr>
      <w:tr w14:paraId="248DDC36">
        <w:tblPrEx>
          <w:tblCellMar>
            <w:top w:w="0" w:type="dxa"/>
            <w:left w:w="108" w:type="dxa"/>
            <w:bottom w:w="0" w:type="dxa"/>
            <w:right w:w="108" w:type="dxa"/>
          </w:tblCellMar>
        </w:tblPrEx>
        <w:trPr>
          <w:trHeight w:val="680" w:hRule="atLeast"/>
        </w:trPr>
        <w:tc>
          <w:tcPr>
            <w:tcW w:w="2410" w:type="dxa"/>
            <w:noWrap w:val="0"/>
            <w:vAlign w:val="bottom"/>
          </w:tcPr>
          <w:p w14:paraId="5BC47A23">
            <w:pPr>
              <w:pStyle w:val="18"/>
              <w:keepNext w:val="0"/>
              <w:keepLines w:val="0"/>
              <w:suppressLineNumbers w:val="0"/>
              <w:spacing w:before="0" w:beforeAutospacing="0" w:afterAutospacing="0"/>
              <w:ind w:left="0" w:right="0"/>
              <w:jc w:val="distribute"/>
              <w:rPr>
                <w:rFonts w:hint="eastAsia" w:ascii="仿宋" w:hAnsi="仿宋" w:eastAsia="仿宋" w:cs="仿宋"/>
                <w:b w:val="0"/>
                <w:color w:val="000000"/>
                <w:sz w:val="24"/>
                <w:szCs w:val="24"/>
                <w:highlight w:val="none"/>
                <w:lang w:val="en-US" w:eastAsia="zh-CN"/>
              </w:rPr>
            </w:pPr>
            <w:r>
              <w:rPr>
                <w:rFonts w:hint="eastAsia" w:ascii="仿宋" w:hAnsi="仿宋" w:eastAsia="仿宋" w:cs="仿宋"/>
                <w:b w:val="0"/>
                <w:color w:val="000000"/>
                <w:sz w:val="24"/>
                <w:szCs w:val="24"/>
                <w:highlight w:val="none"/>
                <w:lang w:val="en-US" w:eastAsia="zh-CN"/>
              </w:rPr>
              <w:t>日期</w:t>
            </w:r>
          </w:p>
        </w:tc>
        <w:tc>
          <w:tcPr>
            <w:tcW w:w="287" w:type="dxa"/>
            <w:noWrap w:val="0"/>
            <w:vAlign w:val="bottom"/>
          </w:tcPr>
          <w:p w14:paraId="42DD9199">
            <w:pPr>
              <w:pStyle w:val="18"/>
              <w:keepNext w:val="0"/>
              <w:keepLines w:val="0"/>
              <w:suppressLineNumbers w:val="0"/>
              <w:spacing w:before="0" w:beforeAutospacing="0" w:afterAutospacing="0"/>
              <w:ind w:left="0" w:right="0"/>
              <w:jc w:val="left"/>
              <w:rPr>
                <w:rFonts w:hint="eastAsia" w:ascii="仿宋" w:hAnsi="仿宋" w:eastAsia="仿宋" w:cs="仿宋"/>
                <w:b w:val="0"/>
                <w:color w:val="000000"/>
                <w:sz w:val="24"/>
                <w:szCs w:val="24"/>
                <w:highlight w:val="none"/>
                <w:lang w:val="en-US" w:eastAsia="zh-CN"/>
              </w:rPr>
            </w:pPr>
            <w:r>
              <w:rPr>
                <w:rFonts w:hint="eastAsia" w:ascii="仿宋" w:hAnsi="仿宋" w:eastAsia="仿宋" w:cs="仿宋"/>
                <w:b w:val="0"/>
                <w:color w:val="000000"/>
                <w:sz w:val="24"/>
                <w:szCs w:val="24"/>
                <w:highlight w:val="none"/>
                <w:lang w:val="en-US" w:eastAsia="zh-CN"/>
              </w:rPr>
              <w:t>：</w:t>
            </w:r>
          </w:p>
        </w:tc>
        <w:tc>
          <w:tcPr>
            <w:tcW w:w="4107" w:type="dxa"/>
            <w:noWrap w:val="0"/>
            <w:vAlign w:val="bottom"/>
          </w:tcPr>
          <w:p w14:paraId="2BB4059E">
            <w:pPr>
              <w:pStyle w:val="18"/>
              <w:keepNext w:val="0"/>
              <w:keepLines w:val="0"/>
              <w:suppressLineNumbers w:val="0"/>
              <w:spacing w:before="0" w:beforeAutospacing="0" w:afterAutospacing="0"/>
              <w:ind w:left="0" w:right="0"/>
              <w:rPr>
                <w:rFonts w:hint="eastAsia" w:ascii="仿宋" w:hAnsi="仿宋" w:eastAsia="仿宋" w:cs="仿宋"/>
                <w:b w:val="0"/>
                <w:color w:val="000000"/>
                <w:sz w:val="24"/>
                <w:szCs w:val="24"/>
                <w:highlight w:val="none"/>
                <w:u w:val="single"/>
                <w:lang w:val="en-US" w:eastAsia="zh-CN"/>
              </w:rPr>
            </w:pPr>
            <w:r>
              <w:rPr>
                <w:rFonts w:hint="eastAsia" w:ascii="仿宋" w:hAnsi="仿宋" w:eastAsia="仿宋" w:cs="仿宋"/>
                <w:b w:val="0"/>
                <w:color w:val="000000"/>
                <w:sz w:val="24"/>
                <w:szCs w:val="24"/>
                <w:highlight w:val="none"/>
                <w:u w:val="single"/>
                <w:lang w:val="en-US" w:eastAsia="zh-CN"/>
              </w:rPr>
              <w:t xml:space="preserve">      年       月       日                                  </w:t>
            </w:r>
          </w:p>
        </w:tc>
      </w:tr>
    </w:tbl>
    <w:p w14:paraId="10990197">
      <w:pPr>
        <w:pStyle w:val="3"/>
        <w:adjustRightInd w:val="0"/>
        <w:spacing w:line="360" w:lineRule="auto"/>
        <w:textAlignment w:val="baseline"/>
        <w:rPr>
          <w:rFonts w:hint="default" w:ascii="仿宋" w:hAnsi="仿宋" w:eastAsia="仿宋" w:cs="仿宋"/>
          <w:sz w:val="24"/>
          <w:szCs w:val="24"/>
          <w:lang w:val="en-US" w:eastAsia="zh-CN"/>
        </w:rPr>
      </w:pPr>
      <w:r>
        <w:rPr>
          <w:rFonts w:hint="eastAsia" w:ascii="仿宋" w:hAnsi="仿宋" w:eastAsia="仿宋" w:cs="仿宋"/>
          <w:sz w:val="24"/>
          <w:szCs w:val="24"/>
        </w:rPr>
        <w:br w:type="page"/>
      </w:r>
      <w:bookmarkStart w:id="402" w:name="_Toc14999"/>
      <w:bookmarkStart w:id="403" w:name="_Toc9997"/>
      <w:bookmarkStart w:id="404" w:name="_Toc30391"/>
      <w:bookmarkStart w:id="405" w:name="_Toc8571"/>
      <w:bookmarkStart w:id="406" w:name="_Toc32313"/>
      <w:r>
        <w:rPr>
          <w:rFonts w:hint="eastAsia" w:ascii="仿宋" w:hAnsi="仿宋" w:eastAsia="仿宋" w:cs="仿宋"/>
          <w:sz w:val="24"/>
          <w:szCs w:val="24"/>
        </w:rPr>
        <w:t>附件</w:t>
      </w:r>
      <w:r>
        <w:rPr>
          <w:rFonts w:hint="eastAsia" w:ascii="仿宋" w:hAnsi="仿宋" w:eastAsia="仿宋" w:cs="仿宋"/>
          <w:sz w:val="24"/>
          <w:szCs w:val="24"/>
          <w:lang w:val="en-US" w:eastAsia="zh-CN"/>
        </w:rPr>
        <w:t>7</w:t>
      </w:r>
      <w:r>
        <w:rPr>
          <w:rFonts w:hint="eastAsia" w:ascii="仿宋" w:hAnsi="仿宋" w:eastAsia="仿宋" w:cs="仿宋"/>
          <w:sz w:val="24"/>
          <w:szCs w:val="24"/>
        </w:rPr>
        <w:t xml:space="preserve"> </w:t>
      </w:r>
      <w:bookmarkEnd w:id="402"/>
      <w:bookmarkEnd w:id="403"/>
      <w:bookmarkEnd w:id="404"/>
      <w:r>
        <w:rPr>
          <w:rFonts w:hint="eastAsia" w:ascii="仿宋" w:hAnsi="仿宋" w:eastAsia="仿宋" w:cs="仿宋"/>
          <w:sz w:val="24"/>
          <w:szCs w:val="24"/>
        </w:rPr>
        <w:t>技术方案</w:t>
      </w:r>
      <w:bookmarkEnd w:id="405"/>
      <w:r>
        <w:rPr>
          <w:rFonts w:hint="eastAsia" w:ascii="仿宋" w:hAnsi="仿宋" w:eastAsia="仿宋" w:cs="仿宋"/>
          <w:sz w:val="24"/>
          <w:szCs w:val="24"/>
          <w:lang w:val="en-US" w:eastAsia="zh-CN"/>
        </w:rPr>
        <w:t>及售后服务方案</w:t>
      </w:r>
      <w:bookmarkEnd w:id="406"/>
    </w:p>
    <w:p w14:paraId="3F235976">
      <w:pPr>
        <w:jc w:val="center"/>
        <w:rPr>
          <w:rFonts w:hint="eastAsia" w:ascii="仿宋" w:hAnsi="仿宋" w:eastAsia="仿宋" w:cs="仿宋"/>
        </w:rPr>
      </w:pPr>
      <w:r>
        <w:rPr>
          <w:rFonts w:hint="eastAsia" w:ascii="仿宋" w:hAnsi="仿宋" w:eastAsia="仿宋" w:cs="仿宋"/>
        </w:rPr>
        <w:t>（格式自拟）</w:t>
      </w:r>
    </w:p>
    <w:p w14:paraId="1BB375A5">
      <w:pPr>
        <w:pStyle w:val="3"/>
        <w:adjustRightInd w:val="0"/>
        <w:spacing w:line="416" w:lineRule="atLeast"/>
        <w:textAlignment w:val="baseline"/>
        <w:rPr>
          <w:rFonts w:hint="eastAsia" w:ascii="仿宋" w:hAnsi="仿宋" w:eastAsia="仿宋" w:cs="仿宋"/>
          <w:color w:val="auto"/>
          <w:highlight w:val="none"/>
        </w:rPr>
      </w:pPr>
      <w:r>
        <w:rPr>
          <w:rFonts w:hint="eastAsia" w:ascii="仿宋" w:hAnsi="仿宋" w:eastAsia="仿宋" w:cs="仿宋"/>
          <w:sz w:val="24"/>
          <w:szCs w:val="24"/>
        </w:rPr>
        <w:br w:type="page"/>
      </w:r>
      <w:bookmarkStart w:id="407" w:name="_Toc24146"/>
      <w:bookmarkStart w:id="408" w:name="_Toc29805"/>
      <w:bookmarkStart w:id="409" w:name="_Toc26474"/>
      <w:bookmarkStart w:id="410" w:name="_Toc24187"/>
      <w:bookmarkStart w:id="411" w:name="_Toc1890"/>
      <w:r>
        <w:rPr>
          <w:rFonts w:hint="eastAsia" w:ascii="仿宋" w:hAnsi="仿宋" w:eastAsia="仿宋" w:cs="仿宋"/>
          <w:b/>
          <w:bCs/>
          <w:color w:val="auto"/>
          <w:highlight w:val="none"/>
        </w:rPr>
        <w:t>附件</w:t>
      </w:r>
      <w:bookmarkEnd w:id="400"/>
      <w:bookmarkEnd w:id="401"/>
      <w:bookmarkEnd w:id="407"/>
      <w:bookmarkEnd w:id="408"/>
      <w:bookmarkEnd w:id="409"/>
      <w:bookmarkEnd w:id="410"/>
      <w:r>
        <w:rPr>
          <w:rFonts w:hint="eastAsia" w:ascii="仿宋" w:hAnsi="仿宋" w:eastAsia="仿宋" w:cs="仿宋"/>
          <w:b/>
          <w:bCs/>
          <w:color w:val="auto"/>
          <w:highlight w:val="none"/>
          <w:lang w:val="en-US" w:eastAsia="zh-CN"/>
        </w:rPr>
        <w:t xml:space="preserve">8 </w:t>
      </w:r>
      <w:r>
        <w:rPr>
          <w:rFonts w:hint="eastAsia" w:ascii="仿宋" w:hAnsi="仿宋" w:eastAsia="仿宋" w:cs="仿宋"/>
          <w:color w:val="auto"/>
          <w:highlight w:val="none"/>
        </w:rPr>
        <w:t>拟投入本项目人员汇总表</w:t>
      </w:r>
      <w:bookmarkEnd w:id="411"/>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264"/>
        <w:gridCol w:w="720"/>
        <w:gridCol w:w="816"/>
        <w:gridCol w:w="984"/>
        <w:gridCol w:w="816"/>
        <w:gridCol w:w="882"/>
        <w:gridCol w:w="2275"/>
      </w:tblGrid>
      <w:tr w14:paraId="1CC7A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07" w:type="dxa"/>
            <w:noWrap w:val="0"/>
            <w:vAlign w:val="top"/>
          </w:tcPr>
          <w:p w14:paraId="23580958">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264" w:type="dxa"/>
            <w:noWrap w:val="0"/>
            <w:vAlign w:val="top"/>
          </w:tcPr>
          <w:p w14:paraId="5A4869FA">
            <w:pPr>
              <w:keepNext w:val="0"/>
              <w:keepLines w:val="0"/>
              <w:suppressLineNumbers w:val="0"/>
              <w:spacing w:before="0" w:beforeAutospacing="0" w:after="0" w:afterAutospacing="0" w:line="360" w:lineRule="auto"/>
              <w:ind w:left="0" w:right="0" w:firstLine="240"/>
              <w:rPr>
                <w:rFonts w:hint="eastAsia"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720" w:type="dxa"/>
            <w:noWrap w:val="0"/>
            <w:vAlign w:val="top"/>
          </w:tcPr>
          <w:p w14:paraId="1E383A75">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年龄</w:t>
            </w:r>
          </w:p>
        </w:tc>
        <w:tc>
          <w:tcPr>
            <w:tcW w:w="816" w:type="dxa"/>
            <w:noWrap w:val="0"/>
            <w:vAlign w:val="top"/>
          </w:tcPr>
          <w:p w14:paraId="0A79B3B0">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性别</w:t>
            </w:r>
          </w:p>
        </w:tc>
        <w:tc>
          <w:tcPr>
            <w:tcW w:w="984" w:type="dxa"/>
            <w:noWrap w:val="0"/>
            <w:vAlign w:val="top"/>
          </w:tcPr>
          <w:p w14:paraId="19386D77">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学 历</w:t>
            </w:r>
          </w:p>
        </w:tc>
        <w:tc>
          <w:tcPr>
            <w:tcW w:w="816" w:type="dxa"/>
            <w:noWrap w:val="0"/>
            <w:vAlign w:val="top"/>
          </w:tcPr>
          <w:p w14:paraId="4B3B45CA">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专业</w:t>
            </w:r>
          </w:p>
        </w:tc>
        <w:tc>
          <w:tcPr>
            <w:tcW w:w="882" w:type="dxa"/>
            <w:noWrap w:val="0"/>
            <w:vAlign w:val="top"/>
          </w:tcPr>
          <w:p w14:paraId="05DF3D87">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职称</w:t>
            </w:r>
          </w:p>
        </w:tc>
        <w:tc>
          <w:tcPr>
            <w:tcW w:w="2275" w:type="dxa"/>
            <w:noWrap w:val="0"/>
            <w:vAlign w:val="top"/>
          </w:tcPr>
          <w:p w14:paraId="3735C607">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在本项目拟任职务</w:t>
            </w:r>
          </w:p>
        </w:tc>
      </w:tr>
      <w:tr w14:paraId="75976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14:paraId="0639B9C2">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1264" w:type="dxa"/>
            <w:noWrap w:val="0"/>
            <w:vAlign w:val="top"/>
          </w:tcPr>
          <w:p w14:paraId="77D8BAFC">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720" w:type="dxa"/>
            <w:noWrap w:val="0"/>
            <w:vAlign w:val="top"/>
          </w:tcPr>
          <w:p w14:paraId="2688BA31">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816" w:type="dxa"/>
            <w:noWrap w:val="0"/>
            <w:vAlign w:val="top"/>
          </w:tcPr>
          <w:p w14:paraId="3822D1F4">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984" w:type="dxa"/>
            <w:noWrap w:val="0"/>
            <w:vAlign w:val="top"/>
          </w:tcPr>
          <w:p w14:paraId="4DFB72D0">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816" w:type="dxa"/>
            <w:noWrap w:val="0"/>
            <w:vAlign w:val="top"/>
          </w:tcPr>
          <w:p w14:paraId="607CA080">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882" w:type="dxa"/>
            <w:noWrap w:val="0"/>
            <w:vAlign w:val="top"/>
          </w:tcPr>
          <w:p w14:paraId="06DB3FF0">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2275" w:type="dxa"/>
            <w:noWrap w:val="0"/>
            <w:vAlign w:val="top"/>
          </w:tcPr>
          <w:p w14:paraId="70B9C25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r>
      <w:tr w14:paraId="3E099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14:paraId="1B90113E">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1264" w:type="dxa"/>
            <w:noWrap w:val="0"/>
            <w:vAlign w:val="top"/>
          </w:tcPr>
          <w:p w14:paraId="6D778F3E">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720" w:type="dxa"/>
            <w:noWrap w:val="0"/>
            <w:vAlign w:val="top"/>
          </w:tcPr>
          <w:p w14:paraId="33FD85AF">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816" w:type="dxa"/>
            <w:noWrap w:val="0"/>
            <w:vAlign w:val="top"/>
          </w:tcPr>
          <w:p w14:paraId="4530C07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984" w:type="dxa"/>
            <w:noWrap w:val="0"/>
            <w:vAlign w:val="top"/>
          </w:tcPr>
          <w:p w14:paraId="15140A85">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816" w:type="dxa"/>
            <w:noWrap w:val="0"/>
            <w:vAlign w:val="top"/>
          </w:tcPr>
          <w:p w14:paraId="476D03A9">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882" w:type="dxa"/>
            <w:noWrap w:val="0"/>
            <w:vAlign w:val="top"/>
          </w:tcPr>
          <w:p w14:paraId="3F625462">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2275" w:type="dxa"/>
            <w:noWrap w:val="0"/>
            <w:vAlign w:val="top"/>
          </w:tcPr>
          <w:p w14:paraId="32D57CD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r>
      <w:tr w14:paraId="54E70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14:paraId="78FFEB7D">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1264" w:type="dxa"/>
            <w:noWrap w:val="0"/>
            <w:vAlign w:val="top"/>
          </w:tcPr>
          <w:p w14:paraId="54AED0F5">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720" w:type="dxa"/>
            <w:noWrap w:val="0"/>
            <w:vAlign w:val="top"/>
          </w:tcPr>
          <w:p w14:paraId="4F4EA5DB">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816" w:type="dxa"/>
            <w:noWrap w:val="0"/>
            <w:vAlign w:val="top"/>
          </w:tcPr>
          <w:p w14:paraId="117E26C9">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984" w:type="dxa"/>
            <w:noWrap w:val="0"/>
            <w:vAlign w:val="top"/>
          </w:tcPr>
          <w:p w14:paraId="65674366">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816" w:type="dxa"/>
            <w:noWrap w:val="0"/>
            <w:vAlign w:val="top"/>
          </w:tcPr>
          <w:p w14:paraId="2708B029">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882" w:type="dxa"/>
            <w:noWrap w:val="0"/>
            <w:vAlign w:val="top"/>
          </w:tcPr>
          <w:p w14:paraId="174B095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2275" w:type="dxa"/>
            <w:noWrap w:val="0"/>
            <w:vAlign w:val="top"/>
          </w:tcPr>
          <w:p w14:paraId="691C7AE6">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r>
      <w:tr w14:paraId="281CB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14:paraId="0FCF2DED">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1264" w:type="dxa"/>
            <w:noWrap w:val="0"/>
            <w:vAlign w:val="top"/>
          </w:tcPr>
          <w:p w14:paraId="77B1ED12">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720" w:type="dxa"/>
            <w:noWrap w:val="0"/>
            <w:vAlign w:val="top"/>
          </w:tcPr>
          <w:p w14:paraId="72EA976D">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816" w:type="dxa"/>
            <w:noWrap w:val="0"/>
            <w:vAlign w:val="top"/>
          </w:tcPr>
          <w:p w14:paraId="0B561722">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984" w:type="dxa"/>
            <w:noWrap w:val="0"/>
            <w:vAlign w:val="top"/>
          </w:tcPr>
          <w:p w14:paraId="46F3F6B2">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816" w:type="dxa"/>
            <w:noWrap w:val="0"/>
            <w:vAlign w:val="top"/>
          </w:tcPr>
          <w:p w14:paraId="68B705B6">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882" w:type="dxa"/>
            <w:noWrap w:val="0"/>
            <w:vAlign w:val="top"/>
          </w:tcPr>
          <w:p w14:paraId="79860F8E">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2275" w:type="dxa"/>
            <w:noWrap w:val="0"/>
            <w:vAlign w:val="top"/>
          </w:tcPr>
          <w:p w14:paraId="4211CF5A">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r>
      <w:tr w14:paraId="50DD4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14:paraId="7E132C74">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1264" w:type="dxa"/>
            <w:noWrap w:val="0"/>
            <w:vAlign w:val="top"/>
          </w:tcPr>
          <w:p w14:paraId="3114EC7F">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720" w:type="dxa"/>
            <w:noWrap w:val="0"/>
            <w:vAlign w:val="top"/>
          </w:tcPr>
          <w:p w14:paraId="62F5ABE5">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816" w:type="dxa"/>
            <w:noWrap w:val="0"/>
            <w:vAlign w:val="top"/>
          </w:tcPr>
          <w:p w14:paraId="130E7DF6">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984" w:type="dxa"/>
            <w:noWrap w:val="0"/>
            <w:vAlign w:val="top"/>
          </w:tcPr>
          <w:p w14:paraId="4E80C52B">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816" w:type="dxa"/>
            <w:noWrap w:val="0"/>
            <w:vAlign w:val="top"/>
          </w:tcPr>
          <w:p w14:paraId="71A5E505">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882" w:type="dxa"/>
            <w:noWrap w:val="0"/>
            <w:vAlign w:val="top"/>
          </w:tcPr>
          <w:p w14:paraId="4BD88E52">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2275" w:type="dxa"/>
            <w:noWrap w:val="0"/>
            <w:vAlign w:val="top"/>
          </w:tcPr>
          <w:p w14:paraId="0CE485E4">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r>
      <w:tr w14:paraId="790E1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14:paraId="6081AE4D">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1264" w:type="dxa"/>
            <w:noWrap w:val="0"/>
            <w:vAlign w:val="top"/>
          </w:tcPr>
          <w:p w14:paraId="0DEAE210">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720" w:type="dxa"/>
            <w:noWrap w:val="0"/>
            <w:vAlign w:val="top"/>
          </w:tcPr>
          <w:p w14:paraId="18570EBA">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816" w:type="dxa"/>
            <w:noWrap w:val="0"/>
            <w:vAlign w:val="top"/>
          </w:tcPr>
          <w:p w14:paraId="1665779E">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984" w:type="dxa"/>
            <w:noWrap w:val="0"/>
            <w:vAlign w:val="top"/>
          </w:tcPr>
          <w:p w14:paraId="0AE34063">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816" w:type="dxa"/>
            <w:noWrap w:val="0"/>
            <w:vAlign w:val="top"/>
          </w:tcPr>
          <w:p w14:paraId="59F49B89">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882" w:type="dxa"/>
            <w:noWrap w:val="0"/>
            <w:vAlign w:val="top"/>
          </w:tcPr>
          <w:p w14:paraId="1BEAB318">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2275" w:type="dxa"/>
            <w:noWrap w:val="0"/>
            <w:vAlign w:val="top"/>
          </w:tcPr>
          <w:p w14:paraId="5133359F">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r>
      <w:tr w14:paraId="11459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14:paraId="1481ED26">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1264" w:type="dxa"/>
            <w:noWrap w:val="0"/>
            <w:vAlign w:val="top"/>
          </w:tcPr>
          <w:p w14:paraId="646E95FC">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720" w:type="dxa"/>
            <w:noWrap w:val="0"/>
            <w:vAlign w:val="top"/>
          </w:tcPr>
          <w:p w14:paraId="5D7DBA8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816" w:type="dxa"/>
            <w:noWrap w:val="0"/>
            <w:vAlign w:val="top"/>
          </w:tcPr>
          <w:p w14:paraId="687362D8">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984" w:type="dxa"/>
            <w:noWrap w:val="0"/>
            <w:vAlign w:val="top"/>
          </w:tcPr>
          <w:p w14:paraId="5E97E9F8">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816" w:type="dxa"/>
            <w:noWrap w:val="0"/>
            <w:vAlign w:val="top"/>
          </w:tcPr>
          <w:p w14:paraId="3095BC3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882" w:type="dxa"/>
            <w:noWrap w:val="0"/>
            <w:vAlign w:val="top"/>
          </w:tcPr>
          <w:p w14:paraId="0280EB1F">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2275" w:type="dxa"/>
            <w:noWrap w:val="0"/>
            <w:vAlign w:val="top"/>
          </w:tcPr>
          <w:p w14:paraId="463BC60D">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r>
      <w:tr w14:paraId="5A5C9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14:paraId="2E4AE2A8">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1264" w:type="dxa"/>
            <w:noWrap w:val="0"/>
            <w:vAlign w:val="top"/>
          </w:tcPr>
          <w:p w14:paraId="05A3493D">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720" w:type="dxa"/>
            <w:noWrap w:val="0"/>
            <w:vAlign w:val="top"/>
          </w:tcPr>
          <w:p w14:paraId="21C9845D">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816" w:type="dxa"/>
            <w:noWrap w:val="0"/>
            <w:vAlign w:val="top"/>
          </w:tcPr>
          <w:p w14:paraId="34CB501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984" w:type="dxa"/>
            <w:noWrap w:val="0"/>
            <w:vAlign w:val="top"/>
          </w:tcPr>
          <w:p w14:paraId="7B7CACDD">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816" w:type="dxa"/>
            <w:noWrap w:val="0"/>
            <w:vAlign w:val="top"/>
          </w:tcPr>
          <w:p w14:paraId="65AFAA39">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882" w:type="dxa"/>
            <w:noWrap w:val="0"/>
            <w:vAlign w:val="top"/>
          </w:tcPr>
          <w:p w14:paraId="4949D6E4">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2275" w:type="dxa"/>
            <w:noWrap w:val="0"/>
            <w:vAlign w:val="top"/>
          </w:tcPr>
          <w:p w14:paraId="1A9F8CF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r>
      <w:tr w14:paraId="185F7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14:paraId="6EFC94E0">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1264" w:type="dxa"/>
            <w:noWrap w:val="0"/>
            <w:vAlign w:val="top"/>
          </w:tcPr>
          <w:p w14:paraId="5AF53BD2">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720" w:type="dxa"/>
            <w:noWrap w:val="0"/>
            <w:vAlign w:val="top"/>
          </w:tcPr>
          <w:p w14:paraId="26C36BB9">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816" w:type="dxa"/>
            <w:noWrap w:val="0"/>
            <w:vAlign w:val="top"/>
          </w:tcPr>
          <w:p w14:paraId="73560FAF">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984" w:type="dxa"/>
            <w:noWrap w:val="0"/>
            <w:vAlign w:val="top"/>
          </w:tcPr>
          <w:p w14:paraId="4DCD2A6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816" w:type="dxa"/>
            <w:noWrap w:val="0"/>
            <w:vAlign w:val="top"/>
          </w:tcPr>
          <w:p w14:paraId="59789FCC">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882" w:type="dxa"/>
            <w:noWrap w:val="0"/>
            <w:vAlign w:val="top"/>
          </w:tcPr>
          <w:p w14:paraId="1CDABE49">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2275" w:type="dxa"/>
            <w:noWrap w:val="0"/>
            <w:vAlign w:val="top"/>
          </w:tcPr>
          <w:p w14:paraId="560D3D9F">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r>
      <w:tr w14:paraId="6A3B9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14:paraId="72257764">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1264" w:type="dxa"/>
            <w:noWrap w:val="0"/>
            <w:vAlign w:val="top"/>
          </w:tcPr>
          <w:p w14:paraId="2060D981">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720" w:type="dxa"/>
            <w:noWrap w:val="0"/>
            <w:vAlign w:val="top"/>
          </w:tcPr>
          <w:p w14:paraId="331A7388">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816" w:type="dxa"/>
            <w:noWrap w:val="0"/>
            <w:vAlign w:val="top"/>
          </w:tcPr>
          <w:p w14:paraId="29D92DE6">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984" w:type="dxa"/>
            <w:noWrap w:val="0"/>
            <w:vAlign w:val="top"/>
          </w:tcPr>
          <w:p w14:paraId="69FE3784">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816" w:type="dxa"/>
            <w:noWrap w:val="0"/>
            <w:vAlign w:val="top"/>
          </w:tcPr>
          <w:p w14:paraId="0BD3DF18">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882" w:type="dxa"/>
            <w:noWrap w:val="0"/>
            <w:vAlign w:val="top"/>
          </w:tcPr>
          <w:p w14:paraId="38284E6E">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2275" w:type="dxa"/>
            <w:noWrap w:val="0"/>
            <w:vAlign w:val="top"/>
          </w:tcPr>
          <w:p w14:paraId="5384EFB3">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r>
      <w:tr w14:paraId="00276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14:paraId="505B71D4">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1264" w:type="dxa"/>
            <w:noWrap w:val="0"/>
            <w:vAlign w:val="top"/>
          </w:tcPr>
          <w:p w14:paraId="2237B4BC">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720" w:type="dxa"/>
            <w:noWrap w:val="0"/>
            <w:vAlign w:val="top"/>
          </w:tcPr>
          <w:p w14:paraId="3DCE2FF1">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816" w:type="dxa"/>
            <w:noWrap w:val="0"/>
            <w:vAlign w:val="top"/>
          </w:tcPr>
          <w:p w14:paraId="766BB139">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984" w:type="dxa"/>
            <w:noWrap w:val="0"/>
            <w:vAlign w:val="top"/>
          </w:tcPr>
          <w:p w14:paraId="2AD7E845">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816" w:type="dxa"/>
            <w:noWrap w:val="0"/>
            <w:vAlign w:val="top"/>
          </w:tcPr>
          <w:p w14:paraId="554A1A88">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882" w:type="dxa"/>
            <w:noWrap w:val="0"/>
            <w:vAlign w:val="top"/>
          </w:tcPr>
          <w:p w14:paraId="7B6BB1C5">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2275" w:type="dxa"/>
            <w:noWrap w:val="0"/>
            <w:vAlign w:val="top"/>
          </w:tcPr>
          <w:p w14:paraId="095F928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r>
      <w:tr w14:paraId="5C347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14:paraId="314E59C2">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1264" w:type="dxa"/>
            <w:noWrap w:val="0"/>
            <w:vAlign w:val="top"/>
          </w:tcPr>
          <w:p w14:paraId="4FA4E19D">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720" w:type="dxa"/>
            <w:noWrap w:val="0"/>
            <w:vAlign w:val="top"/>
          </w:tcPr>
          <w:p w14:paraId="26DD23B1">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816" w:type="dxa"/>
            <w:noWrap w:val="0"/>
            <w:vAlign w:val="top"/>
          </w:tcPr>
          <w:p w14:paraId="4F702FD2">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984" w:type="dxa"/>
            <w:noWrap w:val="0"/>
            <w:vAlign w:val="top"/>
          </w:tcPr>
          <w:p w14:paraId="0E47CB11">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816" w:type="dxa"/>
            <w:noWrap w:val="0"/>
            <w:vAlign w:val="top"/>
          </w:tcPr>
          <w:p w14:paraId="30D74E9E">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882" w:type="dxa"/>
            <w:noWrap w:val="0"/>
            <w:vAlign w:val="top"/>
          </w:tcPr>
          <w:p w14:paraId="53CAF063">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2275" w:type="dxa"/>
            <w:noWrap w:val="0"/>
            <w:vAlign w:val="top"/>
          </w:tcPr>
          <w:p w14:paraId="1B0C213C">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r>
      <w:tr w14:paraId="2FC04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14:paraId="64592182">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1264" w:type="dxa"/>
            <w:noWrap w:val="0"/>
            <w:vAlign w:val="top"/>
          </w:tcPr>
          <w:p w14:paraId="62D76FBC">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720" w:type="dxa"/>
            <w:noWrap w:val="0"/>
            <w:vAlign w:val="top"/>
          </w:tcPr>
          <w:p w14:paraId="406D75C3">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816" w:type="dxa"/>
            <w:noWrap w:val="0"/>
            <w:vAlign w:val="top"/>
          </w:tcPr>
          <w:p w14:paraId="773351B0">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984" w:type="dxa"/>
            <w:noWrap w:val="0"/>
            <w:vAlign w:val="top"/>
          </w:tcPr>
          <w:p w14:paraId="4650E45B">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816" w:type="dxa"/>
            <w:noWrap w:val="0"/>
            <w:vAlign w:val="top"/>
          </w:tcPr>
          <w:p w14:paraId="5EF107D5">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882" w:type="dxa"/>
            <w:noWrap w:val="0"/>
            <w:vAlign w:val="top"/>
          </w:tcPr>
          <w:p w14:paraId="3A6E0CB2">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2275" w:type="dxa"/>
            <w:noWrap w:val="0"/>
            <w:vAlign w:val="top"/>
          </w:tcPr>
          <w:p w14:paraId="351151ED">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r>
      <w:tr w14:paraId="7AEA6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14:paraId="3B7D7076">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1264" w:type="dxa"/>
            <w:noWrap w:val="0"/>
            <w:vAlign w:val="top"/>
          </w:tcPr>
          <w:p w14:paraId="0B2C9B4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720" w:type="dxa"/>
            <w:noWrap w:val="0"/>
            <w:vAlign w:val="top"/>
          </w:tcPr>
          <w:p w14:paraId="2805C885">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816" w:type="dxa"/>
            <w:noWrap w:val="0"/>
            <w:vAlign w:val="top"/>
          </w:tcPr>
          <w:p w14:paraId="40B368BE">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984" w:type="dxa"/>
            <w:noWrap w:val="0"/>
            <w:vAlign w:val="top"/>
          </w:tcPr>
          <w:p w14:paraId="5FBCDCDA">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816" w:type="dxa"/>
            <w:noWrap w:val="0"/>
            <w:vAlign w:val="top"/>
          </w:tcPr>
          <w:p w14:paraId="4CD46098">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882" w:type="dxa"/>
            <w:noWrap w:val="0"/>
            <w:vAlign w:val="top"/>
          </w:tcPr>
          <w:p w14:paraId="4501A5C1">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2275" w:type="dxa"/>
            <w:noWrap w:val="0"/>
            <w:vAlign w:val="top"/>
          </w:tcPr>
          <w:p w14:paraId="47A6AB59">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r>
      <w:tr w14:paraId="216AF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14:paraId="57CD0CF1">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1264" w:type="dxa"/>
            <w:noWrap w:val="0"/>
            <w:vAlign w:val="top"/>
          </w:tcPr>
          <w:p w14:paraId="42317474">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720" w:type="dxa"/>
            <w:noWrap w:val="0"/>
            <w:vAlign w:val="top"/>
          </w:tcPr>
          <w:p w14:paraId="2DDE406A">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816" w:type="dxa"/>
            <w:noWrap w:val="0"/>
            <w:vAlign w:val="top"/>
          </w:tcPr>
          <w:p w14:paraId="75D94E85">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984" w:type="dxa"/>
            <w:noWrap w:val="0"/>
            <w:vAlign w:val="top"/>
          </w:tcPr>
          <w:p w14:paraId="79DAB6D3">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816" w:type="dxa"/>
            <w:noWrap w:val="0"/>
            <w:vAlign w:val="top"/>
          </w:tcPr>
          <w:p w14:paraId="7BF2C19B">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882" w:type="dxa"/>
            <w:noWrap w:val="0"/>
            <w:vAlign w:val="top"/>
          </w:tcPr>
          <w:p w14:paraId="1CFBCA0F">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2275" w:type="dxa"/>
            <w:noWrap w:val="0"/>
            <w:vAlign w:val="top"/>
          </w:tcPr>
          <w:p w14:paraId="6922A333">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r>
      <w:tr w14:paraId="5549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14:paraId="0FEE9A8C">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1264" w:type="dxa"/>
            <w:noWrap w:val="0"/>
            <w:vAlign w:val="top"/>
          </w:tcPr>
          <w:p w14:paraId="77FF062C">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720" w:type="dxa"/>
            <w:noWrap w:val="0"/>
            <w:vAlign w:val="top"/>
          </w:tcPr>
          <w:p w14:paraId="65C6E2E6">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816" w:type="dxa"/>
            <w:noWrap w:val="0"/>
            <w:vAlign w:val="top"/>
          </w:tcPr>
          <w:p w14:paraId="47ED222C">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984" w:type="dxa"/>
            <w:noWrap w:val="0"/>
            <w:vAlign w:val="top"/>
          </w:tcPr>
          <w:p w14:paraId="7612DB72">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816" w:type="dxa"/>
            <w:noWrap w:val="0"/>
            <w:vAlign w:val="top"/>
          </w:tcPr>
          <w:p w14:paraId="6C1FEA7A">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882" w:type="dxa"/>
            <w:noWrap w:val="0"/>
            <w:vAlign w:val="top"/>
          </w:tcPr>
          <w:p w14:paraId="0AB2F43F">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2275" w:type="dxa"/>
            <w:noWrap w:val="0"/>
            <w:vAlign w:val="top"/>
          </w:tcPr>
          <w:p w14:paraId="7EC31A5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r>
      <w:tr w14:paraId="1E738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noWrap w:val="0"/>
            <w:vAlign w:val="top"/>
          </w:tcPr>
          <w:p w14:paraId="430DE5E4">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1264" w:type="dxa"/>
            <w:noWrap w:val="0"/>
            <w:vAlign w:val="top"/>
          </w:tcPr>
          <w:p w14:paraId="4ECD2A6A">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720" w:type="dxa"/>
            <w:noWrap w:val="0"/>
            <w:vAlign w:val="top"/>
          </w:tcPr>
          <w:p w14:paraId="3C6F1ADA">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816" w:type="dxa"/>
            <w:noWrap w:val="0"/>
            <w:vAlign w:val="top"/>
          </w:tcPr>
          <w:p w14:paraId="20EFAC35">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984" w:type="dxa"/>
            <w:noWrap w:val="0"/>
            <w:vAlign w:val="top"/>
          </w:tcPr>
          <w:p w14:paraId="3B715FFE">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816" w:type="dxa"/>
            <w:noWrap w:val="0"/>
            <w:vAlign w:val="top"/>
          </w:tcPr>
          <w:p w14:paraId="49667FE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882" w:type="dxa"/>
            <w:noWrap w:val="0"/>
            <w:vAlign w:val="top"/>
          </w:tcPr>
          <w:p w14:paraId="724A209B">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c>
          <w:tcPr>
            <w:tcW w:w="2275" w:type="dxa"/>
            <w:noWrap w:val="0"/>
            <w:vAlign w:val="top"/>
          </w:tcPr>
          <w:p w14:paraId="254F9F2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p>
        </w:tc>
      </w:tr>
    </w:tbl>
    <w:p w14:paraId="66BA3249">
      <w:pPr>
        <w:spacing w:line="360" w:lineRule="auto"/>
        <w:ind w:right="480"/>
        <w:rPr>
          <w:rFonts w:hint="eastAsia" w:ascii="仿宋" w:hAnsi="仿宋" w:eastAsia="仿宋" w:cs="仿宋"/>
          <w:color w:val="auto"/>
          <w:sz w:val="24"/>
          <w:highlight w:val="none"/>
          <w:u w:val="single"/>
        </w:rPr>
      </w:pPr>
    </w:p>
    <w:p w14:paraId="2E02DA50">
      <w:pPr>
        <w:spacing w:line="360" w:lineRule="auto"/>
        <w:ind w:right="480"/>
        <w:rPr>
          <w:rFonts w:hint="eastAsia" w:ascii="仿宋" w:hAnsi="仿宋" w:eastAsia="仿宋" w:cs="仿宋"/>
          <w:color w:val="auto"/>
          <w:sz w:val="24"/>
          <w:highlight w:val="none"/>
          <w:u w:val="single"/>
        </w:rPr>
      </w:pPr>
    </w:p>
    <w:tbl>
      <w:tblPr>
        <w:tblStyle w:val="47"/>
        <w:tblW w:w="0" w:type="auto"/>
        <w:tblInd w:w="2376" w:type="dxa"/>
        <w:tblLayout w:type="fixed"/>
        <w:tblCellMar>
          <w:top w:w="0" w:type="dxa"/>
          <w:left w:w="108" w:type="dxa"/>
          <w:bottom w:w="0" w:type="dxa"/>
          <w:right w:w="108" w:type="dxa"/>
        </w:tblCellMar>
      </w:tblPr>
      <w:tblGrid>
        <w:gridCol w:w="2410"/>
        <w:gridCol w:w="287"/>
        <w:gridCol w:w="4107"/>
      </w:tblGrid>
      <w:tr w14:paraId="1E398BB1">
        <w:tblPrEx>
          <w:tblCellMar>
            <w:top w:w="0" w:type="dxa"/>
            <w:left w:w="108" w:type="dxa"/>
            <w:bottom w:w="0" w:type="dxa"/>
            <w:right w:w="108" w:type="dxa"/>
          </w:tblCellMar>
        </w:tblPrEx>
        <w:trPr>
          <w:trHeight w:val="680" w:hRule="atLeast"/>
        </w:trPr>
        <w:tc>
          <w:tcPr>
            <w:tcW w:w="2410" w:type="dxa"/>
            <w:noWrap w:val="0"/>
            <w:vAlign w:val="bottom"/>
          </w:tcPr>
          <w:p w14:paraId="0DFD8697">
            <w:pPr>
              <w:pStyle w:val="18"/>
              <w:keepNext w:val="0"/>
              <w:keepLines w:val="0"/>
              <w:suppressLineNumbers w:val="0"/>
              <w:spacing w:before="0" w:beforeAutospacing="0" w:afterAutospacing="0"/>
              <w:ind w:left="0" w:right="0"/>
              <w:jc w:val="distribute"/>
              <w:rPr>
                <w:rFonts w:hint="eastAsia" w:ascii="仿宋" w:hAnsi="仿宋" w:eastAsia="仿宋" w:cs="仿宋"/>
                <w:b w:val="0"/>
                <w:color w:val="000000"/>
                <w:sz w:val="24"/>
                <w:szCs w:val="24"/>
                <w:highlight w:val="none"/>
                <w:lang w:val="en-US" w:eastAsia="zh-CN"/>
              </w:rPr>
            </w:pPr>
            <w:r>
              <w:rPr>
                <w:rFonts w:hint="eastAsia" w:ascii="仿宋" w:hAnsi="仿宋" w:eastAsia="仿宋" w:cs="仿宋"/>
                <w:b w:val="0"/>
                <w:color w:val="000000"/>
                <w:sz w:val="24"/>
                <w:highlight w:val="none"/>
                <w:lang w:val="en-US" w:eastAsia="zh-CN"/>
              </w:rPr>
              <w:t>供应商名称</w:t>
            </w:r>
          </w:p>
        </w:tc>
        <w:tc>
          <w:tcPr>
            <w:tcW w:w="287" w:type="dxa"/>
            <w:noWrap w:val="0"/>
            <w:vAlign w:val="bottom"/>
          </w:tcPr>
          <w:p w14:paraId="453BB1F7">
            <w:pPr>
              <w:pStyle w:val="18"/>
              <w:keepNext w:val="0"/>
              <w:keepLines w:val="0"/>
              <w:suppressLineNumbers w:val="0"/>
              <w:spacing w:before="0" w:beforeAutospacing="0" w:afterAutospacing="0"/>
              <w:ind w:left="0" w:right="0"/>
              <w:jc w:val="left"/>
              <w:rPr>
                <w:rFonts w:hint="eastAsia" w:ascii="仿宋" w:hAnsi="仿宋" w:eastAsia="仿宋" w:cs="仿宋"/>
                <w:b w:val="0"/>
                <w:color w:val="000000"/>
                <w:sz w:val="24"/>
                <w:szCs w:val="24"/>
                <w:highlight w:val="none"/>
                <w:lang w:val="en-US" w:eastAsia="zh-CN"/>
              </w:rPr>
            </w:pPr>
            <w:r>
              <w:rPr>
                <w:rFonts w:hint="eastAsia" w:ascii="仿宋" w:hAnsi="仿宋" w:eastAsia="仿宋" w:cs="仿宋"/>
                <w:b w:val="0"/>
                <w:color w:val="000000"/>
                <w:sz w:val="24"/>
                <w:szCs w:val="24"/>
                <w:highlight w:val="none"/>
                <w:lang w:val="en-US" w:eastAsia="zh-CN"/>
              </w:rPr>
              <w:t>：</w:t>
            </w:r>
          </w:p>
        </w:tc>
        <w:tc>
          <w:tcPr>
            <w:tcW w:w="4107" w:type="dxa"/>
            <w:noWrap w:val="0"/>
            <w:vAlign w:val="bottom"/>
          </w:tcPr>
          <w:p w14:paraId="659D9585">
            <w:pPr>
              <w:pStyle w:val="18"/>
              <w:keepNext w:val="0"/>
              <w:keepLines w:val="0"/>
              <w:suppressLineNumbers w:val="0"/>
              <w:spacing w:before="0" w:beforeAutospacing="0" w:afterAutospacing="0"/>
              <w:ind w:left="0" w:right="0"/>
              <w:rPr>
                <w:rFonts w:hint="eastAsia" w:ascii="仿宋" w:hAnsi="仿宋" w:eastAsia="仿宋" w:cs="仿宋"/>
                <w:b w:val="0"/>
                <w:color w:val="000000"/>
                <w:sz w:val="24"/>
                <w:szCs w:val="24"/>
                <w:highlight w:val="none"/>
                <w:u w:val="single"/>
                <w:lang w:val="en-US" w:eastAsia="zh-CN"/>
              </w:rPr>
            </w:pPr>
            <w:r>
              <w:rPr>
                <w:rFonts w:hint="eastAsia" w:ascii="仿宋" w:hAnsi="仿宋" w:eastAsia="仿宋" w:cs="仿宋"/>
                <w:b w:val="0"/>
                <w:color w:val="000000"/>
                <w:sz w:val="24"/>
                <w:szCs w:val="24"/>
                <w:highlight w:val="none"/>
                <w:u w:val="single"/>
                <w:lang w:val="en-US" w:eastAsia="zh-CN"/>
              </w:rPr>
              <w:t xml:space="preserve">                </w:t>
            </w:r>
            <w:r>
              <w:rPr>
                <w:rFonts w:hint="eastAsia" w:ascii="仿宋" w:hAnsi="仿宋" w:eastAsia="仿宋" w:cs="仿宋"/>
                <w:b w:val="0"/>
                <w:color w:val="000000"/>
                <w:sz w:val="24"/>
                <w:highlight w:val="none"/>
                <w:u w:val="single"/>
                <w:lang w:val="en-US" w:eastAsia="zh-CN"/>
              </w:rPr>
              <w:t xml:space="preserve">（公章） </w:t>
            </w:r>
            <w:r>
              <w:rPr>
                <w:rFonts w:hint="eastAsia" w:ascii="仿宋" w:hAnsi="仿宋" w:eastAsia="仿宋" w:cs="仿宋"/>
                <w:b w:val="0"/>
                <w:color w:val="000000"/>
                <w:sz w:val="24"/>
                <w:szCs w:val="24"/>
                <w:highlight w:val="none"/>
                <w:u w:val="single"/>
                <w:lang w:val="en-US" w:eastAsia="zh-CN"/>
              </w:rPr>
              <w:t xml:space="preserve">           </w:t>
            </w:r>
          </w:p>
        </w:tc>
      </w:tr>
      <w:tr w14:paraId="5A22E662">
        <w:tblPrEx>
          <w:tblCellMar>
            <w:top w:w="0" w:type="dxa"/>
            <w:left w:w="108" w:type="dxa"/>
            <w:bottom w:w="0" w:type="dxa"/>
            <w:right w:w="108" w:type="dxa"/>
          </w:tblCellMar>
        </w:tblPrEx>
        <w:trPr>
          <w:trHeight w:val="680" w:hRule="atLeast"/>
        </w:trPr>
        <w:tc>
          <w:tcPr>
            <w:tcW w:w="2410" w:type="dxa"/>
            <w:noWrap w:val="0"/>
            <w:vAlign w:val="bottom"/>
          </w:tcPr>
          <w:p w14:paraId="060155F3">
            <w:pPr>
              <w:pStyle w:val="18"/>
              <w:keepNext w:val="0"/>
              <w:keepLines w:val="0"/>
              <w:suppressLineNumbers w:val="0"/>
              <w:spacing w:before="0" w:beforeAutospacing="0" w:afterAutospacing="0"/>
              <w:ind w:left="0" w:right="0"/>
              <w:jc w:val="distribute"/>
              <w:rPr>
                <w:rFonts w:hint="eastAsia" w:ascii="仿宋" w:hAnsi="仿宋" w:eastAsia="仿宋" w:cs="仿宋"/>
                <w:b w:val="0"/>
                <w:color w:val="000000"/>
                <w:sz w:val="24"/>
                <w:szCs w:val="24"/>
                <w:highlight w:val="none"/>
                <w:lang w:val="en-US" w:eastAsia="zh-CN"/>
              </w:rPr>
            </w:pPr>
            <w:r>
              <w:rPr>
                <w:rFonts w:hint="eastAsia" w:ascii="仿宋" w:hAnsi="仿宋" w:eastAsia="仿宋" w:cs="仿宋"/>
                <w:b w:val="0"/>
                <w:color w:val="000000"/>
                <w:sz w:val="24"/>
                <w:highlight w:val="none"/>
                <w:lang w:val="en-US" w:eastAsia="zh-CN"/>
              </w:rPr>
              <w:t>法定代表人或被授权代表（签字或盖章）</w:t>
            </w:r>
          </w:p>
        </w:tc>
        <w:tc>
          <w:tcPr>
            <w:tcW w:w="287" w:type="dxa"/>
            <w:noWrap w:val="0"/>
            <w:vAlign w:val="bottom"/>
          </w:tcPr>
          <w:p w14:paraId="3767F426">
            <w:pPr>
              <w:pStyle w:val="18"/>
              <w:keepNext w:val="0"/>
              <w:keepLines w:val="0"/>
              <w:suppressLineNumbers w:val="0"/>
              <w:spacing w:before="0" w:beforeAutospacing="0" w:afterAutospacing="0"/>
              <w:ind w:left="0" w:right="0"/>
              <w:jc w:val="left"/>
              <w:rPr>
                <w:rFonts w:hint="eastAsia" w:ascii="仿宋" w:hAnsi="仿宋" w:eastAsia="仿宋" w:cs="仿宋"/>
                <w:b w:val="0"/>
                <w:color w:val="000000"/>
                <w:sz w:val="24"/>
                <w:szCs w:val="24"/>
                <w:highlight w:val="none"/>
                <w:lang w:val="en-US" w:eastAsia="zh-CN"/>
              </w:rPr>
            </w:pPr>
            <w:r>
              <w:rPr>
                <w:rFonts w:hint="eastAsia" w:ascii="仿宋" w:hAnsi="仿宋" w:eastAsia="仿宋" w:cs="仿宋"/>
                <w:b w:val="0"/>
                <w:color w:val="000000"/>
                <w:sz w:val="24"/>
                <w:szCs w:val="24"/>
                <w:highlight w:val="none"/>
                <w:lang w:val="en-US" w:eastAsia="zh-CN"/>
              </w:rPr>
              <w:t>：</w:t>
            </w:r>
          </w:p>
        </w:tc>
        <w:tc>
          <w:tcPr>
            <w:tcW w:w="4107" w:type="dxa"/>
            <w:noWrap w:val="0"/>
            <w:vAlign w:val="bottom"/>
          </w:tcPr>
          <w:p w14:paraId="2B0BD319">
            <w:pPr>
              <w:pStyle w:val="18"/>
              <w:keepNext w:val="0"/>
              <w:keepLines w:val="0"/>
              <w:suppressLineNumbers w:val="0"/>
              <w:spacing w:before="0" w:beforeAutospacing="0" w:afterAutospacing="0"/>
              <w:ind w:left="0" w:right="0"/>
              <w:rPr>
                <w:rFonts w:hint="eastAsia" w:ascii="仿宋" w:hAnsi="仿宋" w:eastAsia="仿宋" w:cs="仿宋"/>
                <w:b w:val="0"/>
                <w:color w:val="000000"/>
                <w:sz w:val="24"/>
                <w:szCs w:val="24"/>
                <w:highlight w:val="none"/>
                <w:u w:val="single"/>
                <w:lang w:val="en-US" w:eastAsia="zh-CN"/>
              </w:rPr>
            </w:pPr>
            <w:r>
              <w:rPr>
                <w:rFonts w:hint="eastAsia" w:ascii="仿宋" w:hAnsi="仿宋" w:eastAsia="仿宋" w:cs="仿宋"/>
                <w:b w:val="0"/>
                <w:color w:val="000000"/>
                <w:sz w:val="24"/>
                <w:szCs w:val="24"/>
                <w:highlight w:val="none"/>
                <w:u w:val="single"/>
                <w:lang w:val="en-US" w:eastAsia="zh-CN"/>
              </w:rPr>
              <w:t xml:space="preserve">            </w:t>
            </w:r>
            <w:r>
              <w:rPr>
                <w:rFonts w:hint="eastAsia" w:ascii="仿宋" w:hAnsi="仿宋" w:eastAsia="仿宋" w:cs="仿宋"/>
                <w:b w:val="0"/>
                <w:color w:val="000000"/>
                <w:sz w:val="24"/>
                <w:highlight w:val="none"/>
                <w:u w:val="single"/>
                <w:lang w:val="en-US" w:eastAsia="zh-CN"/>
              </w:rPr>
              <w:t>（签字或盖章）</w:t>
            </w:r>
            <w:r>
              <w:rPr>
                <w:rFonts w:hint="eastAsia" w:ascii="仿宋" w:hAnsi="仿宋" w:eastAsia="仿宋" w:cs="仿宋"/>
                <w:b w:val="0"/>
                <w:color w:val="000000"/>
                <w:sz w:val="24"/>
                <w:szCs w:val="24"/>
                <w:highlight w:val="none"/>
                <w:u w:val="single"/>
                <w:lang w:val="en-US" w:eastAsia="zh-CN"/>
              </w:rPr>
              <w:t xml:space="preserve">                              </w:t>
            </w:r>
          </w:p>
        </w:tc>
      </w:tr>
      <w:tr w14:paraId="07360594">
        <w:tblPrEx>
          <w:tblCellMar>
            <w:top w:w="0" w:type="dxa"/>
            <w:left w:w="108" w:type="dxa"/>
            <w:bottom w:w="0" w:type="dxa"/>
            <w:right w:w="108" w:type="dxa"/>
          </w:tblCellMar>
        </w:tblPrEx>
        <w:trPr>
          <w:trHeight w:val="680" w:hRule="atLeast"/>
        </w:trPr>
        <w:tc>
          <w:tcPr>
            <w:tcW w:w="2410" w:type="dxa"/>
            <w:noWrap w:val="0"/>
            <w:vAlign w:val="bottom"/>
          </w:tcPr>
          <w:p w14:paraId="2F0050E9">
            <w:pPr>
              <w:pStyle w:val="18"/>
              <w:keepNext w:val="0"/>
              <w:keepLines w:val="0"/>
              <w:suppressLineNumbers w:val="0"/>
              <w:spacing w:before="0" w:beforeAutospacing="0" w:afterAutospacing="0"/>
              <w:ind w:left="0" w:right="0"/>
              <w:jc w:val="distribute"/>
              <w:rPr>
                <w:rFonts w:hint="eastAsia" w:ascii="仿宋" w:hAnsi="仿宋" w:eastAsia="仿宋" w:cs="仿宋"/>
                <w:b w:val="0"/>
                <w:color w:val="000000"/>
                <w:sz w:val="24"/>
                <w:szCs w:val="24"/>
                <w:highlight w:val="none"/>
                <w:lang w:val="en-US" w:eastAsia="zh-CN"/>
              </w:rPr>
            </w:pPr>
            <w:r>
              <w:rPr>
                <w:rFonts w:hint="eastAsia" w:ascii="仿宋" w:hAnsi="仿宋" w:eastAsia="仿宋" w:cs="仿宋"/>
                <w:b w:val="0"/>
                <w:color w:val="000000"/>
                <w:sz w:val="24"/>
                <w:szCs w:val="24"/>
                <w:highlight w:val="none"/>
                <w:lang w:val="en-US" w:eastAsia="zh-CN"/>
              </w:rPr>
              <w:t>日期</w:t>
            </w:r>
          </w:p>
        </w:tc>
        <w:tc>
          <w:tcPr>
            <w:tcW w:w="287" w:type="dxa"/>
            <w:noWrap w:val="0"/>
            <w:vAlign w:val="bottom"/>
          </w:tcPr>
          <w:p w14:paraId="23022839">
            <w:pPr>
              <w:pStyle w:val="18"/>
              <w:keepNext w:val="0"/>
              <w:keepLines w:val="0"/>
              <w:suppressLineNumbers w:val="0"/>
              <w:spacing w:before="0" w:beforeAutospacing="0" w:afterAutospacing="0"/>
              <w:ind w:left="0" w:right="0"/>
              <w:jc w:val="left"/>
              <w:rPr>
                <w:rFonts w:hint="eastAsia" w:ascii="仿宋" w:hAnsi="仿宋" w:eastAsia="仿宋" w:cs="仿宋"/>
                <w:b w:val="0"/>
                <w:color w:val="000000"/>
                <w:sz w:val="24"/>
                <w:szCs w:val="24"/>
                <w:highlight w:val="none"/>
                <w:lang w:val="en-US" w:eastAsia="zh-CN"/>
              </w:rPr>
            </w:pPr>
            <w:r>
              <w:rPr>
                <w:rFonts w:hint="eastAsia" w:ascii="仿宋" w:hAnsi="仿宋" w:eastAsia="仿宋" w:cs="仿宋"/>
                <w:b w:val="0"/>
                <w:color w:val="000000"/>
                <w:sz w:val="24"/>
                <w:szCs w:val="24"/>
                <w:highlight w:val="none"/>
                <w:lang w:val="en-US" w:eastAsia="zh-CN"/>
              </w:rPr>
              <w:t>：</w:t>
            </w:r>
          </w:p>
        </w:tc>
        <w:tc>
          <w:tcPr>
            <w:tcW w:w="4107" w:type="dxa"/>
            <w:noWrap w:val="0"/>
            <w:vAlign w:val="bottom"/>
          </w:tcPr>
          <w:p w14:paraId="721EB50C">
            <w:pPr>
              <w:pStyle w:val="18"/>
              <w:keepNext w:val="0"/>
              <w:keepLines w:val="0"/>
              <w:suppressLineNumbers w:val="0"/>
              <w:spacing w:before="0" w:beforeAutospacing="0" w:afterAutospacing="0"/>
              <w:ind w:left="0" w:right="0"/>
              <w:rPr>
                <w:rFonts w:hint="eastAsia" w:ascii="仿宋" w:hAnsi="仿宋" w:eastAsia="仿宋" w:cs="仿宋"/>
                <w:b w:val="0"/>
                <w:color w:val="000000"/>
                <w:sz w:val="24"/>
                <w:szCs w:val="24"/>
                <w:highlight w:val="none"/>
                <w:u w:val="single"/>
                <w:lang w:val="en-US" w:eastAsia="zh-CN"/>
              </w:rPr>
            </w:pPr>
            <w:r>
              <w:rPr>
                <w:rFonts w:hint="eastAsia" w:ascii="仿宋" w:hAnsi="仿宋" w:eastAsia="仿宋" w:cs="仿宋"/>
                <w:b w:val="0"/>
                <w:color w:val="000000"/>
                <w:sz w:val="24"/>
                <w:szCs w:val="24"/>
                <w:highlight w:val="none"/>
                <w:u w:val="single"/>
                <w:lang w:val="en-US" w:eastAsia="zh-CN"/>
              </w:rPr>
              <w:t xml:space="preserve">      年       月       日                                  </w:t>
            </w:r>
          </w:p>
        </w:tc>
      </w:tr>
    </w:tbl>
    <w:p w14:paraId="1F437B89">
      <w:pPr>
        <w:jc w:val="center"/>
        <w:rPr>
          <w:rFonts w:hint="eastAsia" w:ascii="仿宋" w:hAnsi="仿宋" w:eastAsia="仿宋" w:cs="仿宋"/>
        </w:rPr>
      </w:pPr>
    </w:p>
    <w:p w14:paraId="306F39F4">
      <w:pPr>
        <w:outlineLvl w:val="1"/>
        <w:rPr>
          <w:rFonts w:hint="default" w:ascii="仿宋" w:hAnsi="仿宋" w:eastAsia="仿宋" w:cs="仿宋"/>
          <w:b/>
          <w:bCs/>
          <w:lang w:val="en-US" w:eastAsia="zh-CN"/>
        </w:rPr>
      </w:pPr>
      <w:bookmarkStart w:id="412" w:name="_Toc19226"/>
      <w:bookmarkStart w:id="413" w:name="_Toc82852815"/>
      <w:r>
        <w:rPr>
          <w:rFonts w:hint="eastAsia" w:ascii="仿宋" w:hAnsi="仿宋" w:eastAsia="仿宋" w:cs="仿宋"/>
          <w:sz w:val="32"/>
          <w:szCs w:val="32"/>
        </w:rPr>
        <w:br w:type="page"/>
      </w:r>
      <w:bookmarkEnd w:id="412"/>
      <w:bookmarkEnd w:id="413"/>
      <w:bookmarkStart w:id="414" w:name="_Toc28955"/>
      <w:bookmarkStart w:id="415" w:name="_Toc8385"/>
      <w:bookmarkStart w:id="416" w:name="_Toc14603"/>
      <w:bookmarkStart w:id="417" w:name="_Toc20650"/>
      <w:r>
        <w:rPr>
          <w:rFonts w:hint="eastAsia" w:ascii="仿宋" w:hAnsi="仿宋" w:eastAsia="仿宋" w:cs="仿宋"/>
          <w:b/>
          <w:bCs/>
          <w:sz w:val="28"/>
          <w:szCs w:val="28"/>
        </w:rPr>
        <w:t>附件</w:t>
      </w:r>
      <w:r>
        <w:rPr>
          <w:rFonts w:hint="eastAsia" w:ascii="仿宋" w:hAnsi="仿宋" w:eastAsia="仿宋" w:cs="仿宋"/>
          <w:b/>
          <w:bCs/>
          <w:sz w:val="28"/>
          <w:szCs w:val="28"/>
          <w:lang w:val="en-US" w:eastAsia="zh-CN"/>
        </w:rPr>
        <w:t>9</w:t>
      </w:r>
      <w:r>
        <w:rPr>
          <w:rFonts w:hint="eastAsia" w:ascii="仿宋" w:hAnsi="仿宋" w:eastAsia="仿宋" w:cs="仿宋"/>
          <w:b/>
          <w:bCs/>
          <w:sz w:val="28"/>
          <w:szCs w:val="28"/>
        </w:rPr>
        <w:t xml:space="preserve"> 需落实的政府采购政策</w:t>
      </w:r>
      <w:bookmarkEnd w:id="414"/>
      <w:bookmarkEnd w:id="415"/>
    </w:p>
    <w:p w14:paraId="2945EB78">
      <w:pPr>
        <w:outlineLvl w:val="9"/>
        <w:rPr>
          <w:rFonts w:hint="eastAsia" w:ascii="仿宋" w:hAnsi="仿宋" w:eastAsia="仿宋" w:cs="仿宋"/>
          <w:b/>
          <w:bCs/>
        </w:rPr>
      </w:pPr>
    </w:p>
    <w:p w14:paraId="1274AFD8">
      <w:pPr>
        <w:spacing w:line="360" w:lineRule="auto"/>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中小企业声明函（货物）</w:t>
      </w:r>
    </w:p>
    <w:p w14:paraId="504813FA">
      <w:pPr>
        <w:widowControl/>
        <w:spacing w:line="360" w:lineRule="auto"/>
        <w:ind w:firstLine="480" w:firstLineChars="20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本公司（联合体）郑重声明，根据《政府采购促进中小企业发展管理办法》（财库﹝2020﹞46 号）的规定，本公司（联合体）参加</w:t>
      </w:r>
      <w:r>
        <w:rPr>
          <w:rFonts w:hint="eastAsia" w:ascii="仿宋" w:hAnsi="仿宋" w:eastAsia="仿宋" w:cs="仿宋"/>
          <w:color w:val="auto"/>
          <w:kern w:val="0"/>
          <w:sz w:val="24"/>
          <w:szCs w:val="24"/>
          <w:highlight w:val="none"/>
          <w:u w:val="single"/>
          <w:lang w:bidi="ar"/>
        </w:rPr>
        <w:t>（单位名称）</w:t>
      </w:r>
      <w:r>
        <w:rPr>
          <w:rFonts w:hint="eastAsia" w:ascii="仿宋" w:hAnsi="仿宋" w:eastAsia="仿宋" w:cs="仿宋"/>
          <w:color w:val="auto"/>
          <w:kern w:val="0"/>
          <w:sz w:val="24"/>
          <w:szCs w:val="24"/>
          <w:highlight w:val="none"/>
          <w:lang w:bidi="ar"/>
        </w:rPr>
        <w:t>的</w:t>
      </w:r>
      <w:r>
        <w:rPr>
          <w:rFonts w:hint="eastAsia" w:ascii="仿宋" w:hAnsi="仿宋" w:eastAsia="仿宋" w:cs="仿宋"/>
          <w:color w:val="auto"/>
          <w:kern w:val="0"/>
          <w:sz w:val="24"/>
          <w:szCs w:val="24"/>
          <w:highlight w:val="none"/>
          <w:u w:val="single"/>
          <w:lang w:bidi="ar"/>
        </w:rPr>
        <w:t>（项目名称、项目编号）</w:t>
      </w:r>
      <w:r>
        <w:rPr>
          <w:rFonts w:hint="eastAsia" w:ascii="仿宋" w:hAnsi="仿宋" w:eastAsia="仿宋" w:cs="仿宋"/>
          <w:color w:val="auto"/>
          <w:kern w:val="0"/>
          <w:sz w:val="24"/>
          <w:szCs w:val="24"/>
          <w:highlight w:val="none"/>
          <w:lang w:bidi="ar"/>
        </w:rPr>
        <w:t xml:space="preserve">采购活动，提供的货物全部由符合政策要求的中小企业制造。相关企业（含联合体中的中小企业、签订分包意向协议的中小企业）的具体情况如下： </w:t>
      </w:r>
    </w:p>
    <w:p w14:paraId="3127D7C2">
      <w:pPr>
        <w:widowControl/>
        <w:spacing w:line="360" w:lineRule="auto"/>
        <w:ind w:firstLine="480" w:firstLineChars="20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w:t>
      </w:r>
      <w:r>
        <w:rPr>
          <w:rFonts w:hint="eastAsia" w:ascii="仿宋" w:hAnsi="仿宋" w:eastAsia="仿宋" w:cs="仿宋"/>
          <w:color w:val="auto"/>
          <w:kern w:val="0"/>
          <w:sz w:val="24"/>
          <w:szCs w:val="24"/>
          <w:highlight w:val="none"/>
          <w:u w:val="single"/>
          <w:lang w:bidi="ar"/>
        </w:rPr>
        <w:t>（标的名称）</w:t>
      </w:r>
      <w:r>
        <w:rPr>
          <w:rFonts w:hint="eastAsia" w:ascii="仿宋" w:hAnsi="仿宋" w:eastAsia="仿宋" w:cs="仿宋"/>
          <w:color w:val="auto"/>
          <w:kern w:val="0"/>
          <w:sz w:val="24"/>
          <w:szCs w:val="24"/>
          <w:highlight w:val="none"/>
          <w:lang w:bidi="ar"/>
        </w:rPr>
        <w:t>，属于</w:t>
      </w:r>
      <w:r>
        <w:rPr>
          <w:rFonts w:hint="eastAsia" w:ascii="仿宋" w:hAnsi="仿宋" w:eastAsia="仿宋" w:cs="仿宋"/>
          <w:color w:val="auto"/>
          <w:kern w:val="0"/>
          <w:sz w:val="24"/>
          <w:szCs w:val="24"/>
          <w:highlight w:val="none"/>
          <w:u w:val="single"/>
          <w:lang w:eastAsia="zh-CN" w:bidi="ar"/>
        </w:rPr>
        <w:t>工业</w:t>
      </w:r>
      <w:r>
        <w:rPr>
          <w:rFonts w:hint="eastAsia" w:ascii="仿宋" w:hAnsi="仿宋" w:eastAsia="仿宋" w:cs="仿宋"/>
          <w:color w:val="auto"/>
          <w:kern w:val="0"/>
          <w:sz w:val="24"/>
          <w:szCs w:val="24"/>
          <w:highlight w:val="none"/>
          <w:lang w:bidi="ar"/>
        </w:rPr>
        <w:t>；制造商为</w:t>
      </w:r>
      <w:r>
        <w:rPr>
          <w:rFonts w:hint="eastAsia" w:ascii="仿宋" w:hAnsi="仿宋" w:eastAsia="仿宋" w:cs="仿宋"/>
          <w:color w:val="auto"/>
          <w:kern w:val="0"/>
          <w:sz w:val="24"/>
          <w:szCs w:val="24"/>
          <w:highlight w:val="none"/>
          <w:u w:val="single"/>
          <w:lang w:bidi="ar"/>
        </w:rPr>
        <w:t>（企业名称）</w:t>
      </w:r>
      <w:r>
        <w:rPr>
          <w:rFonts w:hint="eastAsia" w:ascii="仿宋" w:hAnsi="仿宋" w:eastAsia="仿宋" w:cs="仿宋"/>
          <w:color w:val="auto"/>
          <w:kern w:val="0"/>
          <w:sz w:val="24"/>
          <w:szCs w:val="24"/>
          <w:highlight w:val="none"/>
          <w:lang w:bidi="ar"/>
        </w:rPr>
        <w:t>，从业人员</w:t>
      </w:r>
      <w:r>
        <w:rPr>
          <w:rFonts w:hint="eastAsia" w:ascii="仿宋" w:hAnsi="仿宋" w:eastAsia="仿宋" w:cs="仿宋"/>
          <w:color w:val="auto"/>
          <w:kern w:val="0"/>
          <w:sz w:val="24"/>
          <w:szCs w:val="24"/>
          <w:highlight w:val="none"/>
          <w:u w:val="single"/>
          <w:lang w:bidi="ar"/>
        </w:rPr>
        <w:t xml:space="preserve">   </w:t>
      </w:r>
      <w:r>
        <w:rPr>
          <w:rFonts w:hint="eastAsia" w:ascii="仿宋" w:hAnsi="仿宋" w:eastAsia="仿宋" w:cs="仿宋"/>
          <w:color w:val="auto"/>
          <w:kern w:val="0"/>
          <w:sz w:val="24"/>
          <w:szCs w:val="24"/>
          <w:highlight w:val="none"/>
          <w:lang w:bidi="ar"/>
        </w:rPr>
        <w:t>人，营业收入为</w:t>
      </w:r>
      <w:r>
        <w:rPr>
          <w:rFonts w:hint="eastAsia" w:ascii="仿宋" w:hAnsi="仿宋" w:eastAsia="仿宋" w:cs="仿宋"/>
          <w:color w:val="auto"/>
          <w:kern w:val="0"/>
          <w:sz w:val="24"/>
          <w:szCs w:val="24"/>
          <w:highlight w:val="none"/>
          <w:u w:val="single"/>
          <w:lang w:bidi="ar"/>
        </w:rPr>
        <w:t xml:space="preserve">   </w:t>
      </w:r>
      <w:r>
        <w:rPr>
          <w:rFonts w:hint="eastAsia" w:ascii="仿宋" w:hAnsi="仿宋" w:eastAsia="仿宋" w:cs="仿宋"/>
          <w:color w:val="auto"/>
          <w:kern w:val="0"/>
          <w:sz w:val="24"/>
          <w:szCs w:val="24"/>
          <w:highlight w:val="none"/>
          <w:lang w:bidi="ar"/>
        </w:rPr>
        <w:t>万元，资产总额为</w:t>
      </w:r>
      <w:r>
        <w:rPr>
          <w:rFonts w:hint="eastAsia" w:ascii="仿宋" w:hAnsi="仿宋" w:eastAsia="仿宋" w:cs="仿宋"/>
          <w:color w:val="auto"/>
          <w:kern w:val="0"/>
          <w:sz w:val="24"/>
          <w:szCs w:val="24"/>
          <w:highlight w:val="none"/>
          <w:u w:val="single"/>
          <w:lang w:bidi="ar"/>
        </w:rPr>
        <w:t xml:space="preserve">   </w:t>
      </w:r>
      <w:r>
        <w:rPr>
          <w:rFonts w:hint="eastAsia" w:ascii="仿宋" w:hAnsi="仿宋" w:eastAsia="仿宋" w:cs="仿宋"/>
          <w:color w:val="auto"/>
          <w:kern w:val="0"/>
          <w:sz w:val="24"/>
          <w:szCs w:val="24"/>
          <w:highlight w:val="none"/>
          <w:lang w:bidi="ar"/>
        </w:rPr>
        <w:t>万元，属于</w:t>
      </w:r>
      <w:r>
        <w:rPr>
          <w:rFonts w:hint="eastAsia" w:ascii="仿宋" w:hAnsi="仿宋" w:eastAsia="仿宋" w:cs="仿宋"/>
          <w:color w:val="auto"/>
          <w:kern w:val="0"/>
          <w:sz w:val="24"/>
          <w:szCs w:val="24"/>
          <w:highlight w:val="none"/>
          <w:u w:val="single"/>
          <w:lang w:bidi="ar"/>
        </w:rPr>
        <w:t>（中型企业、小型企业、微型企业）</w:t>
      </w:r>
      <w:r>
        <w:rPr>
          <w:rFonts w:hint="eastAsia" w:ascii="仿宋" w:hAnsi="仿宋" w:eastAsia="仿宋" w:cs="仿宋"/>
          <w:color w:val="auto"/>
          <w:kern w:val="0"/>
          <w:sz w:val="24"/>
          <w:szCs w:val="24"/>
          <w:highlight w:val="none"/>
          <w:lang w:bidi="ar"/>
        </w:rPr>
        <w:t xml:space="preserve">； </w:t>
      </w:r>
    </w:p>
    <w:p w14:paraId="79F5071C">
      <w:pPr>
        <w:widowControl/>
        <w:spacing w:line="360" w:lineRule="auto"/>
        <w:ind w:firstLine="480" w:firstLineChars="20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2.</w:t>
      </w:r>
      <w:r>
        <w:rPr>
          <w:rFonts w:hint="eastAsia" w:ascii="仿宋" w:hAnsi="仿宋" w:eastAsia="仿宋" w:cs="仿宋"/>
          <w:color w:val="auto"/>
          <w:kern w:val="0"/>
          <w:sz w:val="24"/>
          <w:szCs w:val="24"/>
          <w:highlight w:val="none"/>
          <w:u w:val="single"/>
          <w:lang w:bidi="ar"/>
        </w:rPr>
        <w:t>（标的名称）</w:t>
      </w:r>
      <w:r>
        <w:rPr>
          <w:rFonts w:hint="eastAsia" w:ascii="仿宋" w:hAnsi="仿宋" w:eastAsia="仿宋" w:cs="仿宋"/>
          <w:color w:val="auto"/>
          <w:kern w:val="0"/>
          <w:sz w:val="24"/>
          <w:szCs w:val="24"/>
          <w:highlight w:val="none"/>
          <w:lang w:bidi="ar"/>
        </w:rPr>
        <w:t>，属于</w:t>
      </w:r>
      <w:r>
        <w:rPr>
          <w:rFonts w:hint="eastAsia" w:ascii="仿宋" w:hAnsi="仿宋" w:eastAsia="仿宋" w:cs="仿宋"/>
          <w:color w:val="auto"/>
          <w:kern w:val="0"/>
          <w:sz w:val="24"/>
          <w:szCs w:val="24"/>
          <w:highlight w:val="none"/>
          <w:u w:val="single"/>
          <w:lang w:eastAsia="zh-CN" w:bidi="ar"/>
        </w:rPr>
        <w:t>工业</w:t>
      </w:r>
      <w:r>
        <w:rPr>
          <w:rFonts w:hint="eastAsia" w:ascii="仿宋" w:hAnsi="仿宋" w:eastAsia="仿宋" w:cs="仿宋"/>
          <w:color w:val="auto"/>
          <w:kern w:val="0"/>
          <w:sz w:val="24"/>
          <w:szCs w:val="24"/>
          <w:highlight w:val="none"/>
          <w:lang w:bidi="ar"/>
        </w:rPr>
        <w:t>；制造商为</w:t>
      </w:r>
      <w:r>
        <w:rPr>
          <w:rFonts w:hint="eastAsia" w:ascii="仿宋" w:hAnsi="仿宋" w:eastAsia="仿宋" w:cs="仿宋"/>
          <w:color w:val="auto"/>
          <w:kern w:val="0"/>
          <w:sz w:val="24"/>
          <w:szCs w:val="24"/>
          <w:highlight w:val="none"/>
          <w:u w:val="single"/>
          <w:lang w:bidi="ar"/>
        </w:rPr>
        <w:t>（企业名称）</w:t>
      </w:r>
      <w:r>
        <w:rPr>
          <w:rFonts w:hint="eastAsia" w:ascii="仿宋" w:hAnsi="仿宋" w:eastAsia="仿宋" w:cs="仿宋"/>
          <w:color w:val="auto"/>
          <w:kern w:val="0"/>
          <w:sz w:val="24"/>
          <w:szCs w:val="24"/>
          <w:highlight w:val="none"/>
          <w:lang w:bidi="ar"/>
        </w:rPr>
        <w:t>，从业人员</w:t>
      </w:r>
      <w:r>
        <w:rPr>
          <w:rFonts w:hint="eastAsia" w:ascii="仿宋" w:hAnsi="仿宋" w:eastAsia="仿宋" w:cs="仿宋"/>
          <w:color w:val="auto"/>
          <w:kern w:val="0"/>
          <w:sz w:val="24"/>
          <w:szCs w:val="24"/>
          <w:highlight w:val="none"/>
          <w:u w:val="single"/>
          <w:lang w:bidi="ar"/>
        </w:rPr>
        <w:t xml:space="preserve">   </w:t>
      </w:r>
      <w:r>
        <w:rPr>
          <w:rFonts w:hint="eastAsia" w:ascii="仿宋" w:hAnsi="仿宋" w:eastAsia="仿宋" w:cs="仿宋"/>
          <w:color w:val="auto"/>
          <w:kern w:val="0"/>
          <w:sz w:val="24"/>
          <w:szCs w:val="24"/>
          <w:highlight w:val="none"/>
          <w:lang w:bidi="ar"/>
        </w:rPr>
        <w:t>人，营业收入为</w:t>
      </w:r>
      <w:r>
        <w:rPr>
          <w:rFonts w:hint="eastAsia" w:ascii="仿宋" w:hAnsi="仿宋" w:eastAsia="仿宋" w:cs="仿宋"/>
          <w:color w:val="auto"/>
          <w:kern w:val="0"/>
          <w:sz w:val="24"/>
          <w:szCs w:val="24"/>
          <w:highlight w:val="none"/>
          <w:u w:val="single"/>
          <w:lang w:bidi="ar"/>
        </w:rPr>
        <w:t xml:space="preserve">   </w:t>
      </w:r>
      <w:r>
        <w:rPr>
          <w:rFonts w:hint="eastAsia" w:ascii="仿宋" w:hAnsi="仿宋" w:eastAsia="仿宋" w:cs="仿宋"/>
          <w:color w:val="auto"/>
          <w:kern w:val="0"/>
          <w:sz w:val="24"/>
          <w:szCs w:val="24"/>
          <w:highlight w:val="none"/>
          <w:lang w:bidi="ar"/>
        </w:rPr>
        <w:t>万元，资产总额为</w:t>
      </w:r>
      <w:r>
        <w:rPr>
          <w:rFonts w:hint="eastAsia" w:ascii="仿宋" w:hAnsi="仿宋" w:eastAsia="仿宋" w:cs="仿宋"/>
          <w:color w:val="auto"/>
          <w:kern w:val="0"/>
          <w:sz w:val="24"/>
          <w:szCs w:val="24"/>
          <w:highlight w:val="none"/>
          <w:u w:val="single"/>
          <w:lang w:bidi="ar"/>
        </w:rPr>
        <w:t xml:space="preserve">   </w:t>
      </w:r>
      <w:r>
        <w:rPr>
          <w:rFonts w:hint="eastAsia" w:ascii="仿宋" w:hAnsi="仿宋" w:eastAsia="仿宋" w:cs="仿宋"/>
          <w:color w:val="auto"/>
          <w:kern w:val="0"/>
          <w:sz w:val="24"/>
          <w:szCs w:val="24"/>
          <w:highlight w:val="none"/>
          <w:lang w:bidi="ar"/>
        </w:rPr>
        <w:t>万元，属于</w:t>
      </w:r>
      <w:r>
        <w:rPr>
          <w:rFonts w:hint="eastAsia" w:ascii="仿宋" w:hAnsi="仿宋" w:eastAsia="仿宋" w:cs="仿宋"/>
          <w:color w:val="auto"/>
          <w:kern w:val="0"/>
          <w:sz w:val="24"/>
          <w:szCs w:val="24"/>
          <w:highlight w:val="none"/>
          <w:u w:val="single"/>
          <w:lang w:bidi="ar"/>
        </w:rPr>
        <w:t>（中型企业、小型企业、微型企业）</w:t>
      </w:r>
      <w:r>
        <w:rPr>
          <w:rFonts w:hint="eastAsia" w:ascii="仿宋" w:hAnsi="仿宋" w:eastAsia="仿宋" w:cs="仿宋"/>
          <w:color w:val="auto"/>
          <w:kern w:val="0"/>
          <w:sz w:val="24"/>
          <w:szCs w:val="24"/>
          <w:highlight w:val="none"/>
          <w:lang w:bidi="ar"/>
        </w:rPr>
        <w:t xml:space="preserve">； </w:t>
      </w:r>
    </w:p>
    <w:p w14:paraId="6CA04E97">
      <w:pPr>
        <w:widowControl/>
        <w:spacing w:line="360" w:lineRule="auto"/>
        <w:ind w:firstLine="480" w:firstLineChars="20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w:t>
      </w:r>
    </w:p>
    <w:p w14:paraId="19E91763">
      <w:pPr>
        <w:widowControl/>
        <w:spacing w:line="360" w:lineRule="auto"/>
        <w:ind w:firstLine="480" w:firstLineChars="20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以上企业，不属于大企业的分支机构，不存在控股股东为大企业的情形，也不存在与大企业的负责人为同一人的情形。</w:t>
      </w:r>
    </w:p>
    <w:p w14:paraId="00B0E1F0">
      <w:pPr>
        <w:widowControl/>
        <w:spacing w:line="360" w:lineRule="auto"/>
        <w:ind w:firstLine="480" w:firstLineChars="20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 xml:space="preserve">本企业对上述声明内容的真实性负责。如有虚假，将依法承担相应责任。 </w:t>
      </w:r>
    </w:p>
    <w:p w14:paraId="31DAF40A">
      <w:pPr>
        <w:widowControl/>
        <w:spacing w:line="360" w:lineRule="auto"/>
        <w:ind w:firstLine="480" w:firstLineChars="20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企业名称（盖章）：</w:t>
      </w:r>
      <w:r>
        <w:rPr>
          <w:rFonts w:hint="eastAsia" w:ascii="仿宋" w:hAnsi="仿宋" w:eastAsia="仿宋" w:cs="仿宋"/>
          <w:color w:val="auto"/>
          <w:kern w:val="0"/>
          <w:sz w:val="24"/>
          <w:szCs w:val="24"/>
          <w:highlight w:val="none"/>
          <w:u w:val="single"/>
          <w:lang w:bidi="ar"/>
        </w:rPr>
        <w:t xml:space="preserve">            </w:t>
      </w:r>
    </w:p>
    <w:p w14:paraId="106717EF">
      <w:pPr>
        <w:widowControl/>
        <w:spacing w:line="360" w:lineRule="auto"/>
        <w:ind w:firstLine="480" w:firstLineChars="20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日 期：</w:t>
      </w:r>
      <w:r>
        <w:rPr>
          <w:rFonts w:hint="eastAsia" w:ascii="仿宋" w:hAnsi="仿宋" w:eastAsia="仿宋" w:cs="仿宋"/>
          <w:color w:val="auto"/>
          <w:kern w:val="0"/>
          <w:sz w:val="24"/>
          <w:szCs w:val="24"/>
          <w:highlight w:val="none"/>
          <w:u w:val="single"/>
          <w:lang w:bidi="ar"/>
        </w:rPr>
        <w:t xml:space="preserve">                       </w:t>
      </w:r>
    </w:p>
    <w:p w14:paraId="4588FB19">
      <w:pPr>
        <w:widowControl/>
        <w:spacing w:line="360" w:lineRule="auto"/>
        <w:jc w:val="left"/>
        <w:rPr>
          <w:rFonts w:hint="eastAsia" w:ascii="仿宋" w:hAnsi="仿宋" w:eastAsia="仿宋" w:cs="仿宋"/>
          <w:color w:val="auto"/>
          <w:kern w:val="0"/>
          <w:sz w:val="24"/>
          <w:szCs w:val="24"/>
          <w:highlight w:val="none"/>
          <w:lang w:bidi="ar"/>
        </w:rPr>
      </w:pPr>
      <w:r>
        <w:rPr>
          <w:rFonts w:hint="eastAsia" w:ascii="仿宋" w:hAnsi="仿宋" w:eastAsia="仿宋" w:cs="仿宋"/>
          <w:b/>
          <w:bCs/>
          <w:color w:val="auto"/>
          <w:kern w:val="0"/>
          <w:sz w:val="24"/>
          <w:szCs w:val="24"/>
          <w:highlight w:val="none"/>
          <w:u w:val="single"/>
          <w:lang w:bidi="ar"/>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EED2DA9">
      <w:pPr>
        <w:tabs>
          <w:tab w:val="left" w:pos="5670"/>
        </w:tabs>
        <w:spacing w:line="500" w:lineRule="exact"/>
        <w:ind w:firstLine="482" w:firstLineChars="200"/>
        <w:jc w:val="lef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备注：1、填写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[2020]46号)相关规定。</w:t>
      </w:r>
    </w:p>
    <w:p w14:paraId="56E6A37A">
      <w:pPr>
        <w:ind w:firstLine="964" w:firstLineChars="400"/>
        <w:rPr>
          <w:rFonts w:hint="eastAsia" w:ascii="仿宋" w:hAnsi="仿宋" w:eastAsia="仿宋" w:cs="仿宋"/>
          <w:color w:val="auto"/>
          <w:highlight w:val="none"/>
        </w:rPr>
      </w:pPr>
      <w:r>
        <w:rPr>
          <w:rFonts w:hint="eastAsia" w:ascii="仿宋" w:hAnsi="仿宋" w:eastAsia="仿宋" w:cs="仿宋"/>
          <w:b/>
          <w:bCs/>
          <w:color w:val="auto"/>
          <w:szCs w:val="21"/>
          <w:highlight w:val="none"/>
        </w:rPr>
        <w:t xml:space="preserve"> 2、供应商非中小企业不填写此表。</w:t>
      </w:r>
    </w:p>
    <w:p w14:paraId="4DE24CEB">
      <w:pPr>
        <w:tabs>
          <w:tab w:val="left" w:pos="5670"/>
        </w:tabs>
        <w:spacing w:line="500" w:lineRule="exact"/>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br w:type="page"/>
      </w:r>
      <w:r>
        <w:rPr>
          <w:rFonts w:hint="eastAsia" w:ascii="仿宋" w:hAnsi="仿宋" w:eastAsia="仿宋" w:cs="仿宋"/>
          <w:b/>
          <w:bCs/>
          <w:color w:val="auto"/>
          <w:sz w:val="30"/>
          <w:szCs w:val="30"/>
          <w:highlight w:val="none"/>
        </w:rPr>
        <w:t>残疾人福利性单位声明函</w:t>
      </w:r>
    </w:p>
    <w:p w14:paraId="554F8012">
      <w:pPr>
        <w:spacing w:line="360" w:lineRule="auto"/>
        <w:ind w:firstLine="480" w:firstLineChars="200"/>
        <w:jc w:val="left"/>
        <w:rPr>
          <w:rFonts w:hint="eastAsia" w:ascii="仿宋" w:hAnsi="仿宋" w:eastAsia="仿宋" w:cs="仿宋"/>
          <w:color w:val="auto"/>
          <w:sz w:val="24"/>
          <w:highlight w:val="none"/>
        </w:rPr>
      </w:pPr>
    </w:p>
    <w:p w14:paraId="093E3DD2">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auto"/>
          <w:sz w:val="24"/>
          <w:highlight w:val="none"/>
          <w:u w:val="single"/>
        </w:rPr>
        <w:t xml:space="preserve">   项目名称  </w:t>
      </w: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标段采购活动提供本单位制造的货物（由本单位承担工程/提供服务），或者提供其他残疾人福利性单位制造的货物（不包括使用非残疾人福利性单位注册商标的货物）。</w:t>
      </w:r>
    </w:p>
    <w:p w14:paraId="471C9FC6">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14:paraId="36E6E757">
      <w:pPr>
        <w:spacing w:line="360" w:lineRule="auto"/>
        <w:ind w:firstLine="480" w:firstLineChars="200"/>
        <w:jc w:val="left"/>
        <w:rPr>
          <w:rFonts w:hint="eastAsia" w:ascii="仿宋" w:hAnsi="仿宋" w:eastAsia="仿宋" w:cs="仿宋"/>
          <w:color w:val="auto"/>
          <w:sz w:val="24"/>
          <w:highlight w:val="none"/>
        </w:rPr>
      </w:pPr>
    </w:p>
    <w:p w14:paraId="65C5C91B">
      <w:pPr>
        <w:pStyle w:val="41"/>
        <w:spacing w:before="120" w:beforeLines="50" w:beforeAutospacing="0" w:after="240" w:afterLines="100" w:afterAutospacing="0"/>
        <w:jc w:val="right"/>
        <w:rPr>
          <w:rFonts w:hint="eastAsia" w:ascii="仿宋" w:hAnsi="仿宋" w:eastAsia="仿宋" w:cs="仿宋"/>
          <w:color w:val="auto"/>
          <w:highlight w:val="none"/>
          <w:u w:val="single"/>
        </w:rPr>
      </w:pPr>
      <w:r>
        <w:rPr>
          <w:rFonts w:hint="eastAsia" w:ascii="仿宋" w:hAnsi="仿宋" w:eastAsia="仿宋" w:cs="仿宋"/>
          <w:color w:val="auto"/>
          <w:highlight w:val="none"/>
        </w:rPr>
        <w:t>供应商名称：</w:t>
      </w:r>
      <w:r>
        <w:rPr>
          <w:rFonts w:hint="eastAsia" w:ascii="仿宋" w:hAnsi="仿宋" w:eastAsia="仿宋" w:cs="仿宋"/>
          <w:color w:val="auto"/>
          <w:highlight w:val="none"/>
          <w:u w:val="single"/>
        </w:rPr>
        <w:t xml:space="preserve">                           （盖章）</w:t>
      </w:r>
    </w:p>
    <w:p w14:paraId="75BFE243">
      <w:pPr>
        <w:pStyle w:val="41"/>
        <w:spacing w:before="120" w:beforeLines="50" w:beforeAutospacing="0" w:after="240" w:afterLines="100" w:afterAutospacing="0"/>
        <w:jc w:val="right"/>
        <w:rPr>
          <w:rFonts w:hint="eastAsia" w:ascii="仿宋" w:hAnsi="仿宋" w:eastAsia="仿宋" w:cs="仿宋"/>
          <w:color w:val="auto"/>
          <w:highlight w:val="none"/>
        </w:rPr>
      </w:pPr>
      <w:r>
        <w:rPr>
          <w:rFonts w:hint="eastAsia" w:ascii="仿宋" w:hAnsi="仿宋" w:eastAsia="仿宋" w:cs="仿宋"/>
          <w:color w:val="auto"/>
          <w:highlight w:val="none"/>
        </w:rPr>
        <w:t>法定代表人或授权代理人：</w:t>
      </w:r>
      <w:r>
        <w:rPr>
          <w:rFonts w:hint="eastAsia" w:ascii="仿宋" w:hAnsi="仿宋" w:eastAsia="仿宋" w:cs="仿宋"/>
          <w:color w:val="auto"/>
          <w:highlight w:val="none"/>
          <w:u w:val="single"/>
        </w:rPr>
        <w:t xml:space="preserve">         （签字或盖章）</w:t>
      </w:r>
    </w:p>
    <w:p w14:paraId="3EC99FF6">
      <w:pPr>
        <w:jc w:val="cente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日期：</w:t>
      </w:r>
      <w:r>
        <w:rPr>
          <w:rFonts w:hint="eastAsia" w:ascii="仿宋" w:hAnsi="仿宋" w:eastAsia="仿宋" w:cs="仿宋"/>
          <w:color w:val="auto"/>
          <w:sz w:val="24"/>
          <w:highlight w:val="none"/>
          <w:u w:val="single"/>
        </w:rPr>
        <w:t xml:space="preserve">      年     月     日</w:t>
      </w:r>
    </w:p>
    <w:p w14:paraId="423AEAF5">
      <w:pPr>
        <w:tabs>
          <w:tab w:val="left" w:pos="5670"/>
        </w:tabs>
        <w:spacing w:line="360" w:lineRule="auto"/>
        <w:ind w:firstLine="4560" w:firstLineChars="1900"/>
        <w:jc w:val="left"/>
        <w:rPr>
          <w:rFonts w:hint="eastAsia" w:ascii="仿宋" w:hAnsi="仿宋" w:eastAsia="仿宋" w:cs="仿宋"/>
          <w:color w:val="auto"/>
          <w:sz w:val="24"/>
          <w:highlight w:val="none"/>
        </w:rPr>
      </w:pPr>
    </w:p>
    <w:p w14:paraId="3B87A178">
      <w:pPr>
        <w:tabs>
          <w:tab w:val="left" w:pos="5670"/>
        </w:tabs>
        <w:spacing w:line="500" w:lineRule="exact"/>
        <w:ind w:firstLine="480" w:firstLineChars="200"/>
        <w:jc w:val="left"/>
        <w:rPr>
          <w:color w:val="auto"/>
          <w:highlight w:val="none"/>
        </w:rPr>
      </w:pPr>
    </w:p>
    <w:p w14:paraId="09C0D832">
      <w:pPr>
        <w:tabs>
          <w:tab w:val="left" w:pos="5670"/>
        </w:tabs>
        <w:ind w:firstLine="566"/>
        <w:jc w:val="left"/>
        <w:rPr>
          <w:rFonts w:hint="eastAsia" w:ascii="仿宋" w:hAnsi="仿宋" w:eastAsia="仿宋" w:cs="仿宋"/>
          <w:color w:val="auto"/>
          <w:szCs w:val="21"/>
          <w:highlight w:val="none"/>
        </w:rPr>
      </w:pPr>
      <w:r>
        <w:rPr>
          <w:rFonts w:hint="eastAsia" w:ascii="仿宋" w:hAnsi="仿宋" w:eastAsia="仿宋" w:cs="仿宋"/>
          <w:b/>
          <w:bCs/>
          <w:color w:val="auto"/>
          <w:szCs w:val="21"/>
          <w:highlight w:val="none"/>
        </w:rPr>
        <w:t>备注：</w:t>
      </w:r>
      <w:r>
        <w:rPr>
          <w:rFonts w:hint="eastAsia" w:ascii="仿宋" w:hAnsi="仿宋" w:eastAsia="仿宋" w:cs="仿宋"/>
          <w:color w:val="auto"/>
          <w:szCs w:val="21"/>
          <w:highlight w:val="none"/>
        </w:rPr>
        <w:t>项目不分标段的，第___标段空白处填写“/”。</w:t>
      </w:r>
    </w:p>
    <w:p w14:paraId="76AAF9AA">
      <w:pPr>
        <w:tabs>
          <w:tab w:val="left" w:pos="5670"/>
        </w:tabs>
        <w:ind w:firstLine="566"/>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根据《财政部 民政部 中国残疾人联合会关于促进残疾人就业政府采购政策的通知》（财库〔2017〕141号）的规定：</w:t>
      </w:r>
    </w:p>
    <w:p w14:paraId="69538E2A">
      <w:pPr>
        <w:tabs>
          <w:tab w:val="left" w:pos="5670"/>
        </w:tabs>
        <w:ind w:firstLine="566"/>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一、享受政府采购支持政策的残疾人福利性单位应当同时满足以下条件：</w:t>
      </w:r>
    </w:p>
    <w:p w14:paraId="6F18F2CD">
      <w:pPr>
        <w:tabs>
          <w:tab w:val="left" w:pos="5670"/>
        </w:tabs>
        <w:ind w:firstLine="566"/>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（一）安置的残疾人占本单位在职职工人数的比例不低于25%（含25%），并且安置的残疾人人数不少于10人（含10人）；</w:t>
      </w:r>
    </w:p>
    <w:p w14:paraId="5BF0CE54">
      <w:pPr>
        <w:tabs>
          <w:tab w:val="left" w:pos="5670"/>
        </w:tabs>
        <w:ind w:firstLine="566"/>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（二）依法与安置的每位残疾人签订了一年以上（含一年）的劳动合同或服务协议；</w:t>
      </w:r>
    </w:p>
    <w:p w14:paraId="065B1BEF">
      <w:pPr>
        <w:tabs>
          <w:tab w:val="left" w:pos="5670"/>
        </w:tabs>
        <w:ind w:firstLine="566"/>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（三）为安置的每位残疾人按月足额缴纳了基本养老保险、基本医疗保险、失业保险、工伤保险和生育保险等社会保险费；</w:t>
      </w:r>
    </w:p>
    <w:p w14:paraId="1EB9E4E7">
      <w:pPr>
        <w:tabs>
          <w:tab w:val="left" w:pos="5670"/>
        </w:tabs>
        <w:ind w:firstLine="566"/>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（四）通过银行等金融机构向安置的每位残疾人，按月支付了不低于单位所在区县适用的经省级人民政府批准的月最低工资标准的工资；</w:t>
      </w:r>
    </w:p>
    <w:p w14:paraId="7B1A01E4">
      <w:pPr>
        <w:tabs>
          <w:tab w:val="left" w:pos="5670"/>
        </w:tabs>
        <w:ind w:firstLine="566"/>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（五）提供本单位制造的货物、承担的工程或者服务（以下简称产品），或者提供其他残疾人福利性单位制造的货物（不包括使用非残疾人福利性单位注册商标的货物）。</w:t>
      </w:r>
    </w:p>
    <w:p w14:paraId="616D2822">
      <w:pPr>
        <w:tabs>
          <w:tab w:val="left" w:pos="5670"/>
        </w:tabs>
        <w:ind w:firstLine="566"/>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3126707">
      <w:pPr>
        <w:tabs>
          <w:tab w:val="left" w:pos="5670"/>
        </w:tabs>
        <w:ind w:firstLine="480" w:firstLineChars="200"/>
        <w:jc w:val="left"/>
        <w:rPr>
          <w:b/>
          <w:bCs/>
          <w:color w:val="auto"/>
          <w:sz w:val="30"/>
          <w:szCs w:val="30"/>
          <w:highlight w:val="none"/>
        </w:rPr>
      </w:pPr>
      <w:r>
        <w:rPr>
          <w:rFonts w:hint="eastAsia" w:ascii="仿宋" w:hAnsi="仿宋" w:eastAsia="仿宋" w:cs="仿宋"/>
          <w:color w:val="auto"/>
          <w:szCs w:val="21"/>
          <w:highlight w:val="none"/>
        </w:rPr>
        <w:t>二、中标、成交供应商为残疾人福利性单位的，采购人或者其委托的采购代理机构应当随中标、成交结果同时公告其《残疾人福利性单位声明函》，接受社会监督。</w:t>
      </w:r>
    </w:p>
    <w:p w14:paraId="6ECC6018">
      <w:pPr>
        <w:rPr>
          <w:rFonts w:hint="eastAsia" w:ascii="仿宋" w:hAnsi="仿宋" w:eastAsia="仿宋" w:cs="仿宋"/>
          <w:b/>
          <w:bCs/>
          <w:color w:val="auto"/>
          <w:sz w:val="32"/>
          <w:szCs w:val="32"/>
          <w:highlight w:val="none"/>
        </w:rPr>
      </w:pPr>
      <w:r>
        <w:rPr>
          <w:rFonts w:hint="eastAsia" w:cs="华文仿宋"/>
          <w:b/>
          <w:bCs/>
          <w:color w:val="auto"/>
          <w:sz w:val="30"/>
          <w:szCs w:val="30"/>
          <w:highlight w:val="none"/>
        </w:rPr>
        <w:br w:type="page"/>
      </w:r>
    </w:p>
    <w:p w14:paraId="76422F98">
      <w:pPr>
        <w:tabs>
          <w:tab w:val="left" w:pos="5670"/>
        </w:tabs>
        <w:spacing w:after="120" w:afterLines="50"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监狱企业证明函</w:t>
      </w:r>
    </w:p>
    <w:p w14:paraId="747BE0EB">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4A29136">
      <w:pPr>
        <w:pStyle w:val="18"/>
        <w:rPr>
          <w:rFonts w:hint="eastAsia" w:ascii="仿宋" w:hAnsi="仿宋" w:eastAsia="仿宋" w:cs="仿宋"/>
          <w:color w:val="auto"/>
          <w:sz w:val="24"/>
          <w:highlight w:val="none"/>
        </w:rPr>
      </w:pPr>
      <w:r>
        <w:rPr>
          <w:rFonts w:hint="eastAsia" w:ascii="仿宋" w:hAnsi="仿宋" w:eastAsia="仿宋" w:cs="仿宋"/>
          <w:color w:val="auto"/>
          <w:sz w:val="24"/>
          <w:highlight w:val="none"/>
        </w:rPr>
        <w:t>监狱企业参加政府采购活动时，应当提供由省级以上监狱管理局、戒毒管理局（含新疆生产建设兵团）出具的属于监狱企业的证明文件。</w:t>
      </w:r>
    </w:p>
    <w:p w14:paraId="2F1F3589">
      <w:pPr>
        <w:outlineLvl w:val="1"/>
        <w:rPr>
          <w:rFonts w:hint="default" w:ascii="仿宋" w:hAnsi="仿宋" w:eastAsia="仿宋" w:cs="仿宋"/>
          <w:b/>
          <w:bCs/>
          <w:sz w:val="28"/>
          <w:szCs w:val="28"/>
          <w:lang w:val="en-US" w:eastAsia="zh-CN"/>
        </w:rPr>
      </w:pPr>
      <w:r>
        <w:rPr>
          <w:rFonts w:hint="eastAsia" w:ascii="仿宋" w:hAnsi="仿宋" w:eastAsia="仿宋" w:cs="仿宋"/>
          <w:color w:val="auto"/>
          <w:sz w:val="24"/>
          <w:highlight w:val="none"/>
        </w:rPr>
        <w:br w:type="page"/>
      </w:r>
      <w:r>
        <w:rPr>
          <w:rFonts w:hint="eastAsia" w:ascii="仿宋" w:hAnsi="仿宋" w:eastAsia="仿宋" w:cs="仿宋"/>
          <w:b/>
          <w:bCs/>
          <w:sz w:val="28"/>
          <w:szCs w:val="28"/>
          <w:lang w:val="en-US" w:eastAsia="zh-CN"/>
        </w:rPr>
        <w:t>附件10供应商</w:t>
      </w:r>
      <w:r>
        <w:rPr>
          <w:rFonts w:hint="eastAsia" w:ascii="仿宋" w:hAnsi="仿宋" w:eastAsia="仿宋" w:cs="仿宋"/>
          <w:b/>
          <w:bCs/>
          <w:sz w:val="28"/>
          <w:szCs w:val="28"/>
        </w:rPr>
        <w:t>认为有必要提供的其他内容</w:t>
      </w:r>
    </w:p>
    <w:p w14:paraId="5A481E0C">
      <w:pPr>
        <w:pStyle w:val="2"/>
        <w:numPr>
          <w:ilvl w:val="0"/>
          <w:numId w:val="8"/>
        </w:numPr>
        <w:adjustRightInd w:val="0"/>
        <w:snapToGrid w:val="0"/>
        <w:spacing w:before="0" w:after="0"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32"/>
          <w:szCs w:val="32"/>
        </w:rPr>
        <w:t xml:space="preserve"> </w:t>
      </w:r>
      <w:bookmarkStart w:id="418" w:name="_Toc21762"/>
      <w:r>
        <w:rPr>
          <w:rFonts w:hint="eastAsia" w:ascii="仿宋" w:hAnsi="仿宋" w:eastAsia="仿宋" w:cs="仿宋"/>
          <w:sz w:val="32"/>
          <w:szCs w:val="32"/>
        </w:rPr>
        <w:t>采购内容及要</w:t>
      </w:r>
      <w:bookmarkEnd w:id="395"/>
      <w:bookmarkEnd w:id="396"/>
      <w:bookmarkEnd w:id="397"/>
      <w:r>
        <w:rPr>
          <w:rFonts w:hint="eastAsia" w:ascii="仿宋" w:hAnsi="仿宋" w:eastAsia="仿宋" w:cs="仿宋"/>
          <w:sz w:val="32"/>
          <w:szCs w:val="32"/>
        </w:rPr>
        <w:t>求</w:t>
      </w:r>
      <w:bookmarkEnd w:id="416"/>
      <w:bookmarkEnd w:id="417"/>
      <w:bookmarkEnd w:id="418"/>
    </w:p>
    <w:tbl>
      <w:tblPr>
        <w:tblStyle w:val="47"/>
        <w:tblW w:w="7658" w:type="dxa"/>
        <w:jc w:val="center"/>
        <w:tblLayout w:type="fixed"/>
        <w:tblCellMar>
          <w:top w:w="0" w:type="dxa"/>
          <w:left w:w="108" w:type="dxa"/>
          <w:bottom w:w="0" w:type="dxa"/>
          <w:right w:w="108" w:type="dxa"/>
        </w:tblCellMar>
      </w:tblPr>
      <w:tblGrid>
        <w:gridCol w:w="2069"/>
        <w:gridCol w:w="2796"/>
        <w:gridCol w:w="657"/>
        <w:gridCol w:w="2136"/>
      </w:tblGrid>
      <w:tr w14:paraId="2DC1A723">
        <w:tblPrEx>
          <w:tblCellMar>
            <w:top w:w="0" w:type="dxa"/>
            <w:left w:w="108" w:type="dxa"/>
            <w:bottom w:w="0" w:type="dxa"/>
            <w:right w:w="108" w:type="dxa"/>
          </w:tblCellMar>
        </w:tblPrEx>
        <w:trPr>
          <w:tblHeader/>
          <w:jc w:val="center"/>
        </w:trPr>
        <w:tc>
          <w:tcPr>
            <w:tcW w:w="2069" w:type="dxa"/>
            <w:tcBorders>
              <w:top w:val="single" w:color="000000" w:sz="4" w:space="0"/>
              <w:left w:val="single" w:color="000000" w:sz="4" w:space="0"/>
              <w:bottom w:val="single" w:color="000000" w:sz="4" w:space="0"/>
              <w:right w:val="single" w:color="000000" w:sz="4" w:space="0"/>
            </w:tcBorders>
            <w:noWrap w:val="0"/>
            <w:vAlign w:val="center"/>
          </w:tcPr>
          <w:p w14:paraId="7A335ED8">
            <w:pPr>
              <w:keepNext w:val="0"/>
              <w:keepLines w:val="0"/>
              <w:widowControl/>
              <w:suppressLineNumbers w:val="0"/>
              <w:snapToGrid w:val="0"/>
              <w:spacing w:before="0" w:beforeAutospacing="0" w:after="0" w:afterAutospacing="0"/>
              <w:ind w:left="0" w:right="0"/>
              <w:jc w:val="center"/>
              <w:textAlignment w:val="center"/>
              <w:rPr>
                <w:rFonts w:hint="eastAsia" w:ascii="仿宋" w:hAnsi="仿宋" w:eastAsia="仿宋" w:cs="仿宋"/>
                <w:b/>
                <w:color w:val="000000"/>
                <w:sz w:val="28"/>
                <w:szCs w:val="28"/>
                <w:lang w:eastAsia="zh-CN"/>
              </w:rPr>
            </w:pPr>
            <w:r>
              <w:rPr>
                <w:rFonts w:hint="eastAsia" w:ascii="仿宋" w:hAnsi="仿宋" w:eastAsia="仿宋" w:cs="仿宋"/>
                <w:b/>
                <w:color w:val="000000"/>
                <w:kern w:val="0"/>
                <w:sz w:val="28"/>
                <w:szCs w:val="28"/>
                <w:lang w:val="en-US" w:eastAsia="zh-CN" w:bidi="ar"/>
              </w:rPr>
              <w:t>包号</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1FF65CB1">
            <w:pPr>
              <w:keepNext w:val="0"/>
              <w:keepLines w:val="0"/>
              <w:widowControl/>
              <w:suppressLineNumbers w:val="0"/>
              <w:snapToGrid w:val="0"/>
              <w:spacing w:before="0" w:beforeAutospacing="0" w:after="0" w:afterAutospacing="0"/>
              <w:ind w:left="0" w:right="0"/>
              <w:jc w:val="center"/>
              <w:textAlignment w:val="center"/>
              <w:rPr>
                <w:rFonts w:hint="eastAsia" w:ascii="仿宋" w:hAnsi="仿宋" w:eastAsia="仿宋" w:cs="仿宋"/>
                <w:b/>
                <w:color w:val="000000"/>
                <w:sz w:val="28"/>
                <w:szCs w:val="28"/>
              </w:rPr>
            </w:pPr>
            <w:r>
              <w:rPr>
                <w:rFonts w:hint="eastAsia" w:ascii="仿宋" w:hAnsi="仿宋" w:eastAsia="仿宋" w:cs="仿宋"/>
                <w:b/>
                <w:color w:val="000000"/>
                <w:kern w:val="0"/>
                <w:sz w:val="28"/>
                <w:szCs w:val="28"/>
                <w:lang w:bidi="ar"/>
              </w:rPr>
              <w:t>设备名称</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15A0EBA9">
            <w:pPr>
              <w:keepNext w:val="0"/>
              <w:keepLines w:val="0"/>
              <w:widowControl/>
              <w:suppressLineNumbers w:val="0"/>
              <w:snapToGrid w:val="0"/>
              <w:spacing w:before="0" w:beforeAutospacing="0" w:after="0" w:afterAutospacing="0"/>
              <w:ind w:left="0" w:right="0"/>
              <w:jc w:val="center"/>
              <w:textAlignment w:val="center"/>
              <w:rPr>
                <w:rFonts w:hint="eastAsia" w:ascii="仿宋" w:hAnsi="仿宋" w:eastAsia="仿宋" w:cs="仿宋"/>
                <w:b/>
                <w:color w:val="000000"/>
                <w:sz w:val="28"/>
                <w:szCs w:val="28"/>
              </w:rPr>
            </w:pPr>
            <w:r>
              <w:rPr>
                <w:rFonts w:hint="eastAsia" w:ascii="仿宋" w:hAnsi="仿宋" w:eastAsia="仿宋" w:cs="仿宋"/>
                <w:b/>
                <w:color w:val="000000"/>
                <w:kern w:val="0"/>
                <w:sz w:val="28"/>
                <w:szCs w:val="28"/>
                <w:lang w:bidi="ar"/>
              </w:rPr>
              <w:t>数量</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295FAC55">
            <w:pPr>
              <w:keepNext w:val="0"/>
              <w:keepLines w:val="0"/>
              <w:widowControl/>
              <w:suppressLineNumbers w:val="0"/>
              <w:snapToGrid w:val="0"/>
              <w:spacing w:before="0" w:beforeAutospacing="0" w:after="0" w:afterAutospacing="0"/>
              <w:ind w:left="0" w:right="0"/>
              <w:jc w:val="center"/>
              <w:textAlignment w:val="center"/>
              <w:rPr>
                <w:rFonts w:hint="default" w:ascii="仿宋" w:hAnsi="仿宋" w:eastAsia="仿宋" w:cs="仿宋"/>
                <w:b/>
                <w:color w:val="000000"/>
                <w:kern w:val="0"/>
                <w:sz w:val="28"/>
                <w:szCs w:val="28"/>
                <w:lang w:val="en-US" w:eastAsia="zh-CN" w:bidi="ar"/>
              </w:rPr>
            </w:pPr>
            <w:r>
              <w:rPr>
                <w:rFonts w:hint="eastAsia" w:ascii="仿宋" w:hAnsi="仿宋" w:eastAsia="仿宋" w:cs="仿宋"/>
                <w:b/>
                <w:color w:val="000000"/>
                <w:kern w:val="0"/>
                <w:sz w:val="28"/>
                <w:szCs w:val="28"/>
                <w:lang w:bidi="ar"/>
              </w:rPr>
              <w:t>单台</w:t>
            </w:r>
            <w:r>
              <w:rPr>
                <w:rFonts w:hint="eastAsia" w:ascii="仿宋" w:hAnsi="仿宋" w:eastAsia="仿宋" w:cs="仿宋"/>
                <w:b/>
                <w:color w:val="000000"/>
                <w:kern w:val="0"/>
                <w:sz w:val="28"/>
                <w:szCs w:val="28"/>
                <w:lang w:val="en-US" w:eastAsia="zh-CN" w:bidi="ar"/>
              </w:rPr>
              <w:t>最高限价</w:t>
            </w:r>
          </w:p>
          <w:p w14:paraId="7FDBBAA2">
            <w:pPr>
              <w:keepNext w:val="0"/>
              <w:keepLines w:val="0"/>
              <w:widowControl/>
              <w:suppressLineNumbers w:val="0"/>
              <w:snapToGrid w:val="0"/>
              <w:spacing w:before="0" w:beforeAutospacing="0" w:after="0" w:afterAutospacing="0"/>
              <w:ind w:left="0" w:right="0"/>
              <w:jc w:val="center"/>
              <w:textAlignment w:val="center"/>
              <w:rPr>
                <w:rFonts w:hint="eastAsia" w:ascii="仿宋" w:hAnsi="仿宋" w:eastAsia="仿宋" w:cs="仿宋"/>
                <w:b/>
                <w:color w:val="000000"/>
                <w:sz w:val="28"/>
                <w:szCs w:val="28"/>
              </w:rPr>
            </w:pPr>
            <w:r>
              <w:rPr>
                <w:rFonts w:hint="eastAsia" w:ascii="仿宋" w:hAnsi="仿宋" w:eastAsia="仿宋" w:cs="仿宋"/>
                <w:b/>
                <w:color w:val="000000"/>
                <w:kern w:val="0"/>
                <w:sz w:val="28"/>
                <w:szCs w:val="28"/>
                <w:lang w:bidi="ar"/>
              </w:rPr>
              <w:t>（万元）</w:t>
            </w:r>
          </w:p>
        </w:tc>
      </w:tr>
      <w:tr w14:paraId="31E9F171">
        <w:tblPrEx>
          <w:tblCellMar>
            <w:top w:w="0" w:type="dxa"/>
            <w:left w:w="108" w:type="dxa"/>
            <w:bottom w:w="0" w:type="dxa"/>
            <w:right w:w="108" w:type="dxa"/>
          </w:tblCellMar>
        </w:tblPrEx>
        <w:trPr>
          <w:trHeight w:val="305" w:hRule="atLeast"/>
          <w:jc w:val="center"/>
        </w:trPr>
        <w:tc>
          <w:tcPr>
            <w:tcW w:w="2069" w:type="dxa"/>
            <w:vMerge w:val="restart"/>
            <w:tcBorders>
              <w:top w:val="single" w:color="000000" w:sz="4" w:space="0"/>
              <w:left w:val="single" w:color="000000" w:sz="4" w:space="0"/>
              <w:bottom w:val="single" w:color="000000" w:sz="4" w:space="0"/>
              <w:right w:val="single" w:color="000000" w:sz="4" w:space="0"/>
            </w:tcBorders>
            <w:noWrap w:val="0"/>
            <w:vAlign w:val="center"/>
          </w:tcPr>
          <w:p w14:paraId="7C13A28E">
            <w:pPr>
              <w:keepNext w:val="0"/>
              <w:keepLines w:val="0"/>
              <w:widowControl/>
              <w:suppressLineNumbers w:val="0"/>
              <w:snapToGrid w:val="0"/>
              <w:spacing w:before="0" w:beforeAutospacing="0" w:after="0" w:afterAutospacing="0"/>
              <w:ind w:left="0" w:right="0"/>
              <w:jc w:val="center"/>
              <w:textAlignment w:val="cente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1包：</w:t>
            </w:r>
          </w:p>
          <w:p w14:paraId="232BB5C0">
            <w:pPr>
              <w:keepNext w:val="0"/>
              <w:keepLines w:val="0"/>
              <w:widowControl/>
              <w:suppressLineNumbers w:val="0"/>
              <w:snapToGrid w:val="0"/>
              <w:spacing w:before="0" w:beforeAutospacing="0" w:after="0" w:afterAutospacing="0"/>
              <w:ind w:left="0" w:right="0"/>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心血管外科</w:t>
            </w:r>
          </w:p>
          <w:p w14:paraId="45A4A4E1">
            <w:pPr>
              <w:keepNext w:val="0"/>
              <w:keepLines w:val="0"/>
              <w:widowControl/>
              <w:suppressLineNumbers w:val="0"/>
              <w:snapToGrid w:val="0"/>
              <w:spacing w:before="0" w:beforeAutospacing="0" w:after="0" w:afterAutospacing="0"/>
              <w:ind w:left="0" w:right="0"/>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（心胸外科）</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61017362">
            <w:pPr>
              <w:keepNext w:val="0"/>
              <w:keepLines w:val="0"/>
              <w:widowControl/>
              <w:suppressLineNumbers w:val="0"/>
              <w:snapToGrid w:val="0"/>
              <w:spacing w:before="0" w:beforeAutospacing="0" w:after="0" w:afterAutospacing="0"/>
              <w:ind w:left="0" w:right="0"/>
              <w:jc w:val="center"/>
              <w:textAlignment w:val="top"/>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转运床</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5BDBCC84">
            <w:pPr>
              <w:keepNext w:val="0"/>
              <w:keepLines w:val="0"/>
              <w:widowControl/>
              <w:suppressLineNumbers w:val="0"/>
              <w:snapToGrid w:val="0"/>
              <w:spacing w:before="0" w:beforeAutospacing="0" w:after="0" w:afterAutospacing="0"/>
              <w:ind w:left="0" w:right="0"/>
              <w:jc w:val="center"/>
              <w:textAlignment w:val="top"/>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1</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22214E59">
            <w:pPr>
              <w:keepNext w:val="0"/>
              <w:keepLines w:val="0"/>
              <w:widowControl/>
              <w:suppressLineNumbers w:val="0"/>
              <w:snapToGrid w:val="0"/>
              <w:spacing w:before="0" w:beforeAutospacing="0" w:after="0" w:afterAutospacing="0"/>
              <w:ind w:left="0" w:right="0"/>
              <w:jc w:val="center"/>
              <w:textAlignment w:val="top"/>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1.2</w:t>
            </w:r>
          </w:p>
        </w:tc>
      </w:tr>
      <w:tr w14:paraId="7D8317AB">
        <w:tblPrEx>
          <w:tblCellMar>
            <w:top w:w="0" w:type="dxa"/>
            <w:left w:w="108" w:type="dxa"/>
            <w:bottom w:w="0" w:type="dxa"/>
            <w:right w:w="108" w:type="dxa"/>
          </w:tblCellMar>
        </w:tblPrEx>
        <w:trPr>
          <w:jc w:val="center"/>
        </w:trPr>
        <w:tc>
          <w:tcPr>
            <w:tcW w:w="2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2048FC">
            <w:pPr>
              <w:keepNext w:val="0"/>
              <w:keepLines w:val="0"/>
              <w:suppressLineNumbers w:val="0"/>
              <w:snapToGrid w:val="0"/>
              <w:spacing w:before="0" w:beforeAutospacing="0" w:after="0" w:afterAutospacing="0"/>
              <w:ind w:left="0" w:right="0"/>
              <w:jc w:val="center"/>
              <w:rPr>
                <w:rFonts w:hint="eastAsia" w:ascii="仿宋" w:hAnsi="仿宋" w:eastAsia="仿宋" w:cs="仿宋"/>
                <w:color w:val="000000"/>
                <w:sz w:val="28"/>
                <w:szCs w:val="28"/>
              </w:rPr>
            </w:pP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6DABF87B">
            <w:pPr>
              <w:keepNext w:val="0"/>
              <w:keepLines w:val="0"/>
              <w:widowControl/>
              <w:suppressLineNumbers w:val="0"/>
              <w:snapToGrid w:val="0"/>
              <w:spacing w:before="0" w:beforeAutospacing="0" w:after="0" w:afterAutospacing="0"/>
              <w:ind w:left="0" w:right="0"/>
              <w:jc w:val="center"/>
              <w:textAlignment w:val="top"/>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电动病床</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01A5E8B6">
            <w:pPr>
              <w:keepNext w:val="0"/>
              <w:keepLines w:val="0"/>
              <w:widowControl/>
              <w:suppressLineNumbers w:val="0"/>
              <w:snapToGrid w:val="0"/>
              <w:spacing w:before="0" w:beforeAutospacing="0" w:after="0" w:afterAutospacing="0"/>
              <w:ind w:left="0" w:right="0"/>
              <w:jc w:val="center"/>
              <w:textAlignment w:val="top"/>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1</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742C07E8">
            <w:pPr>
              <w:keepNext w:val="0"/>
              <w:keepLines w:val="0"/>
              <w:widowControl/>
              <w:suppressLineNumbers w:val="0"/>
              <w:snapToGrid w:val="0"/>
              <w:spacing w:before="0" w:beforeAutospacing="0" w:after="0" w:afterAutospacing="0"/>
              <w:ind w:left="0" w:right="0"/>
              <w:jc w:val="center"/>
              <w:textAlignment w:val="top"/>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2.7</w:t>
            </w:r>
          </w:p>
        </w:tc>
      </w:tr>
      <w:tr w14:paraId="1ACF7220">
        <w:tblPrEx>
          <w:tblCellMar>
            <w:top w:w="0" w:type="dxa"/>
            <w:left w:w="108" w:type="dxa"/>
            <w:bottom w:w="0" w:type="dxa"/>
            <w:right w:w="108" w:type="dxa"/>
          </w:tblCellMar>
        </w:tblPrEx>
        <w:trPr>
          <w:jc w:val="center"/>
        </w:trPr>
        <w:tc>
          <w:tcPr>
            <w:tcW w:w="2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E87C32">
            <w:pPr>
              <w:keepNext w:val="0"/>
              <w:keepLines w:val="0"/>
              <w:suppressLineNumbers w:val="0"/>
              <w:snapToGrid w:val="0"/>
              <w:spacing w:before="0" w:beforeAutospacing="0" w:after="0" w:afterAutospacing="0"/>
              <w:ind w:left="0" w:right="0"/>
              <w:jc w:val="center"/>
              <w:rPr>
                <w:rFonts w:hint="eastAsia" w:ascii="仿宋" w:hAnsi="仿宋" w:eastAsia="仿宋" w:cs="仿宋"/>
                <w:color w:val="000000"/>
                <w:sz w:val="28"/>
                <w:szCs w:val="28"/>
              </w:rPr>
            </w:pP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72FEF851">
            <w:pPr>
              <w:keepNext w:val="0"/>
              <w:keepLines w:val="0"/>
              <w:widowControl/>
              <w:suppressLineNumbers w:val="0"/>
              <w:snapToGrid w:val="0"/>
              <w:spacing w:before="0" w:beforeAutospacing="0" w:after="0" w:afterAutospacing="0"/>
              <w:ind w:left="0" w:right="0"/>
              <w:jc w:val="center"/>
              <w:textAlignment w:val="top"/>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光子治疗仪</w:t>
            </w:r>
          </w:p>
          <w:p w14:paraId="40DEDD9C">
            <w:pPr>
              <w:keepNext w:val="0"/>
              <w:keepLines w:val="0"/>
              <w:widowControl/>
              <w:suppressLineNumbers w:val="0"/>
              <w:snapToGrid w:val="0"/>
              <w:spacing w:before="0" w:beforeAutospacing="0" w:after="0" w:afterAutospacing="0"/>
              <w:ind w:left="0" w:right="0"/>
              <w:jc w:val="center"/>
              <w:textAlignment w:val="top"/>
              <w:rPr>
                <w:rFonts w:hint="eastAsia" w:ascii="仿宋" w:hAnsi="仿宋" w:eastAsia="仿宋" w:cs="仿宋"/>
                <w:color w:val="000000"/>
                <w:sz w:val="28"/>
                <w:szCs w:val="28"/>
                <w:lang w:eastAsia="zh-CN"/>
              </w:rPr>
            </w:pPr>
            <w:r>
              <w:rPr>
                <w:rFonts w:hint="eastAsia" w:ascii="仿宋" w:hAnsi="仿宋" w:eastAsia="仿宋" w:cs="仿宋"/>
                <w:b/>
                <w:bCs/>
                <w:color w:val="000000"/>
                <w:kern w:val="0"/>
                <w:sz w:val="28"/>
                <w:szCs w:val="28"/>
                <w:lang w:eastAsia="zh-CN" w:bidi="ar"/>
              </w:rPr>
              <w:t>（</w:t>
            </w:r>
            <w:r>
              <w:rPr>
                <w:rFonts w:hint="eastAsia" w:ascii="仿宋" w:hAnsi="仿宋" w:eastAsia="仿宋" w:cs="仿宋"/>
                <w:b/>
                <w:bCs/>
                <w:color w:val="000000"/>
                <w:kern w:val="0"/>
                <w:sz w:val="28"/>
                <w:szCs w:val="28"/>
                <w:lang w:val="en-US" w:eastAsia="zh-CN" w:bidi="ar"/>
              </w:rPr>
              <w:t>核心产品</w:t>
            </w:r>
            <w:r>
              <w:rPr>
                <w:rFonts w:hint="eastAsia" w:ascii="仿宋" w:hAnsi="仿宋" w:eastAsia="仿宋" w:cs="仿宋"/>
                <w:b/>
                <w:bCs/>
                <w:color w:val="000000"/>
                <w:kern w:val="0"/>
                <w:sz w:val="28"/>
                <w:szCs w:val="28"/>
                <w:lang w:eastAsia="zh-CN" w:bidi="ar"/>
              </w:rPr>
              <w:t>）</w:t>
            </w:r>
          </w:p>
        </w:tc>
        <w:tc>
          <w:tcPr>
            <w:tcW w:w="657" w:type="dxa"/>
            <w:tcBorders>
              <w:top w:val="single" w:color="000000" w:sz="4" w:space="0"/>
              <w:left w:val="single" w:color="000000" w:sz="4" w:space="0"/>
              <w:bottom w:val="single" w:color="000000" w:sz="4" w:space="0"/>
              <w:right w:val="single" w:color="000000" w:sz="4" w:space="0"/>
            </w:tcBorders>
            <w:noWrap/>
            <w:vAlign w:val="center"/>
          </w:tcPr>
          <w:p w14:paraId="5D3746D0">
            <w:pPr>
              <w:keepNext w:val="0"/>
              <w:keepLines w:val="0"/>
              <w:widowControl/>
              <w:suppressLineNumbers w:val="0"/>
              <w:snapToGrid w:val="0"/>
              <w:spacing w:before="0" w:beforeAutospacing="0" w:after="0" w:afterAutospacing="0"/>
              <w:ind w:left="0" w:right="0"/>
              <w:jc w:val="center"/>
              <w:textAlignment w:val="center"/>
              <w:rPr>
                <w:rFonts w:hint="eastAsia" w:ascii="仿宋" w:hAnsi="宋体" w:eastAsia="仿宋" w:cs="宋体"/>
                <w:color w:val="000000"/>
                <w:sz w:val="28"/>
                <w:szCs w:val="28"/>
              </w:rPr>
            </w:pPr>
            <w:r>
              <w:rPr>
                <w:rFonts w:hint="eastAsia" w:ascii="仿宋" w:hAnsi="宋体" w:eastAsia="仿宋" w:cs="宋体"/>
                <w:color w:val="000000"/>
                <w:kern w:val="0"/>
                <w:sz w:val="28"/>
                <w:szCs w:val="28"/>
                <w:lang w:bidi="ar"/>
              </w:rPr>
              <w:t>1</w:t>
            </w:r>
          </w:p>
        </w:tc>
        <w:tc>
          <w:tcPr>
            <w:tcW w:w="2136" w:type="dxa"/>
            <w:tcBorders>
              <w:top w:val="single" w:color="000000" w:sz="4" w:space="0"/>
              <w:left w:val="single" w:color="000000" w:sz="4" w:space="0"/>
              <w:bottom w:val="single" w:color="000000" w:sz="4" w:space="0"/>
              <w:right w:val="single" w:color="000000" w:sz="4" w:space="0"/>
            </w:tcBorders>
            <w:noWrap/>
            <w:vAlign w:val="center"/>
          </w:tcPr>
          <w:p w14:paraId="4C67309F">
            <w:pPr>
              <w:keepNext w:val="0"/>
              <w:keepLines w:val="0"/>
              <w:widowControl/>
              <w:suppressLineNumbers w:val="0"/>
              <w:snapToGrid w:val="0"/>
              <w:spacing w:before="0" w:beforeAutospacing="0" w:after="0" w:afterAutospacing="0"/>
              <w:ind w:left="0" w:right="0"/>
              <w:jc w:val="center"/>
              <w:textAlignment w:val="center"/>
              <w:rPr>
                <w:rFonts w:hint="eastAsia" w:ascii="仿宋" w:hAnsi="宋体" w:eastAsia="仿宋" w:cs="宋体"/>
                <w:color w:val="000000"/>
                <w:sz w:val="28"/>
                <w:szCs w:val="28"/>
              </w:rPr>
            </w:pPr>
            <w:r>
              <w:rPr>
                <w:rFonts w:hint="eastAsia" w:ascii="仿宋" w:hAnsi="宋体" w:eastAsia="仿宋" w:cs="宋体"/>
                <w:color w:val="000000"/>
                <w:kern w:val="0"/>
                <w:sz w:val="28"/>
                <w:szCs w:val="28"/>
                <w:lang w:bidi="ar"/>
              </w:rPr>
              <w:t>3.8</w:t>
            </w:r>
          </w:p>
        </w:tc>
      </w:tr>
      <w:tr w14:paraId="5ED3AA27">
        <w:tblPrEx>
          <w:tblCellMar>
            <w:top w:w="0" w:type="dxa"/>
            <w:left w:w="108" w:type="dxa"/>
            <w:bottom w:w="0" w:type="dxa"/>
            <w:right w:w="108" w:type="dxa"/>
          </w:tblCellMar>
        </w:tblPrEx>
        <w:trPr>
          <w:jc w:val="center"/>
        </w:trPr>
        <w:tc>
          <w:tcPr>
            <w:tcW w:w="2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608872">
            <w:pPr>
              <w:keepNext w:val="0"/>
              <w:keepLines w:val="0"/>
              <w:suppressLineNumbers w:val="0"/>
              <w:snapToGrid w:val="0"/>
              <w:spacing w:before="0" w:beforeAutospacing="0" w:after="0" w:afterAutospacing="0"/>
              <w:ind w:left="0" w:right="0"/>
              <w:jc w:val="center"/>
              <w:rPr>
                <w:rFonts w:hint="eastAsia" w:ascii="仿宋" w:hAnsi="仿宋" w:eastAsia="仿宋" w:cs="仿宋"/>
                <w:color w:val="000000"/>
                <w:sz w:val="28"/>
                <w:szCs w:val="28"/>
              </w:rPr>
            </w:pP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12D104F3">
            <w:pPr>
              <w:keepNext w:val="0"/>
              <w:keepLines w:val="0"/>
              <w:widowControl/>
              <w:suppressLineNumbers w:val="0"/>
              <w:snapToGrid w:val="0"/>
              <w:spacing w:before="0" w:beforeAutospacing="0" w:after="0" w:afterAutospacing="0"/>
              <w:ind w:left="0" w:right="0"/>
              <w:jc w:val="center"/>
              <w:textAlignment w:val="top"/>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多参数监护仪中央监护系统</w:t>
            </w:r>
          </w:p>
        </w:tc>
        <w:tc>
          <w:tcPr>
            <w:tcW w:w="657" w:type="dxa"/>
            <w:tcBorders>
              <w:top w:val="single" w:color="000000" w:sz="4" w:space="0"/>
              <w:left w:val="single" w:color="000000" w:sz="4" w:space="0"/>
              <w:bottom w:val="single" w:color="000000" w:sz="4" w:space="0"/>
              <w:right w:val="single" w:color="000000" w:sz="4" w:space="0"/>
            </w:tcBorders>
            <w:noWrap/>
            <w:vAlign w:val="center"/>
          </w:tcPr>
          <w:p w14:paraId="6D9080E7">
            <w:pPr>
              <w:keepNext w:val="0"/>
              <w:keepLines w:val="0"/>
              <w:widowControl/>
              <w:suppressLineNumbers w:val="0"/>
              <w:snapToGrid w:val="0"/>
              <w:spacing w:before="0" w:beforeAutospacing="0" w:after="0" w:afterAutospacing="0"/>
              <w:ind w:left="0" w:right="0"/>
              <w:jc w:val="center"/>
              <w:textAlignment w:val="center"/>
              <w:rPr>
                <w:rFonts w:hint="eastAsia" w:ascii="仿宋" w:hAnsi="宋体" w:eastAsia="仿宋" w:cs="宋体"/>
                <w:color w:val="000000"/>
                <w:sz w:val="28"/>
                <w:szCs w:val="28"/>
              </w:rPr>
            </w:pPr>
            <w:r>
              <w:rPr>
                <w:rFonts w:hint="eastAsia" w:ascii="仿宋" w:hAnsi="宋体" w:eastAsia="仿宋" w:cs="宋体"/>
                <w:color w:val="000000"/>
                <w:kern w:val="0"/>
                <w:sz w:val="28"/>
                <w:szCs w:val="28"/>
                <w:lang w:bidi="ar"/>
              </w:rPr>
              <w:t>1</w:t>
            </w:r>
          </w:p>
        </w:tc>
        <w:tc>
          <w:tcPr>
            <w:tcW w:w="2136" w:type="dxa"/>
            <w:tcBorders>
              <w:top w:val="single" w:color="000000" w:sz="4" w:space="0"/>
              <w:left w:val="single" w:color="000000" w:sz="4" w:space="0"/>
              <w:bottom w:val="single" w:color="000000" w:sz="4" w:space="0"/>
              <w:right w:val="single" w:color="000000" w:sz="4" w:space="0"/>
            </w:tcBorders>
            <w:noWrap/>
            <w:vAlign w:val="center"/>
          </w:tcPr>
          <w:p w14:paraId="29B7EA3D">
            <w:pPr>
              <w:keepNext w:val="0"/>
              <w:keepLines w:val="0"/>
              <w:widowControl/>
              <w:suppressLineNumbers w:val="0"/>
              <w:snapToGrid w:val="0"/>
              <w:spacing w:before="0" w:beforeAutospacing="0" w:after="0" w:afterAutospacing="0"/>
              <w:ind w:left="0" w:right="0"/>
              <w:jc w:val="center"/>
              <w:textAlignment w:val="center"/>
              <w:rPr>
                <w:rFonts w:hint="eastAsia" w:ascii="仿宋" w:hAnsi="宋体" w:eastAsia="仿宋" w:cs="宋体"/>
                <w:color w:val="000000"/>
                <w:sz w:val="28"/>
                <w:szCs w:val="28"/>
              </w:rPr>
            </w:pPr>
            <w:r>
              <w:rPr>
                <w:rFonts w:hint="eastAsia" w:ascii="仿宋" w:hAnsi="宋体" w:eastAsia="仿宋" w:cs="宋体"/>
                <w:color w:val="000000"/>
                <w:kern w:val="0"/>
                <w:sz w:val="28"/>
                <w:szCs w:val="28"/>
                <w:lang w:bidi="ar"/>
              </w:rPr>
              <w:t>3.35</w:t>
            </w:r>
          </w:p>
        </w:tc>
      </w:tr>
      <w:tr w14:paraId="3AF4B136">
        <w:tblPrEx>
          <w:tblCellMar>
            <w:top w:w="0" w:type="dxa"/>
            <w:left w:w="108" w:type="dxa"/>
            <w:bottom w:w="0" w:type="dxa"/>
            <w:right w:w="108" w:type="dxa"/>
          </w:tblCellMar>
        </w:tblPrEx>
        <w:trPr>
          <w:jc w:val="center"/>
        </w:trPr>
        <w:tc>
          <w:tcPr>
            <w:tcW w:w="2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2BCF5F">
            <w:pPr>
              <w:keepNext w:val="0"/>
              <w:keepLines w:val="0"/>
              <w:suppressLineNumbers w:val="0"/>
              <w:snapToGrid w:val="0"/>
              <w:spacing w:before="0" w:beforeAutospacing="0" w:after="0" w:afterAutospacing="0"/>
              <w:ind w:left="0" w:right="0"/>
              <w:jc w:val="center"/>
              <w:rPr>
                <w:rFonts w:hint="eastAsia" w:ascii="仿宋" w:hAnsi="仿宋" w:eastAsia="仿宋" w:cs="仿宋"/>
                <w:color w:val="000000"/>
                <w:sz w:val="28"/>
                <w:szCs w:val="28"/>
              </w:rPr>
            </w:pP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2BBE4093">
            <w:pPr>
              <w:keepNext w:val="0"/>
              <w:keepLines w:val="0"/>
              <w:widowControl/>
              <w:suppressLineNumbers w:val="0"/>
              <w:snapToGrid w:val="0"/>
              <w:spacing w:before="0" w:beforeAutospacing="0" w:after="0" w:afterAutospacing="0"/>
              <w:ind w:left="0" w:right="0"/>
              <w:jc w:val="center"/>
              <w:textAlignment w:val="top"/>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显微手术器械</w:t>
            </w:r>
          </w:p>
        </w:tc>
        <w:tc>
          <w:tcPr>
            <w:tcW w:w="657" w:type="dxa"/>
            <w:tcBorders>
              <w:top w:val="single" w:color="000000" w:sz="4" w:space="0"/>
              <w:left w:val="single" w:color="000000" w:sz="4" w:space="0"/>
              <w:bottom w:val="single" w:color="000000" w:sz="4" w:space="0"/>
              <w:right w:val="single" w:color="000000" w:sz="4" w:space="0"/>
            </w:tcBorders>
            <w:noWrap/>
            <w:vAlign w:val="center"/>
          </w:tcPr>
          <w:p w14:paraId="612A86A9">
            <w:pPr>
              <w:keepNext w:val="0"/>
              <w:keepLines w:val="0"/>
              <w:widowControl/>
              <w:suppressLineNumbers w:val="0"/>
              <w:snapToGrid w:val="0"/>
              <w:spacing w:before="0" w:beforeAutospacing="0" w:after="0" w:afterAutospacing="0"/>
              <w:ind w:left="0" w:right="0"/>
              <w:jc w:val="center"/>
              <w:textAlignment w:val="center"/>
              <w:rPr>
                <w:rFonts w:hint="eastAsia" w:ascii="仿宋" w:hAnsi="宋体" w:eastAsia="仿宋" w:cs="宋体"/>
                <w:color w:val="000000"/>
                <w:sz w:val="28"/>
                <w:szCs w:val="28"/>
              </w:rPr>
            </w:pPr>
            <w:r>
              <w:rPr>
                <w:rFonts w:hint="eastAsia" w:ascii="仿宋" w:hAnsi="宋体" w:eastAsia="仿宋" w:cs="宋体"/>
                <w:color w:val="000000"/>
                <w:kern w:val="0"/>
                <w:sz w:val="28"/>
                <w:szCs w:val="28"/>
                <w:lang w:bidi="ar"/>
              </w:rPr>
              <w:t>1</w:t>
            </w:r>
          </w:p>
        </w:tc>
        <w:tc>
          <w:tcPr>
            <w:tcW w:w="2136" w:type="dxa"/>
            <w:tcBorders>
              <w:top w:val="single" w:color="000000" w:sz="4" w:space="0"/>
              <w:left w:val="single" w:color="000000" w:sz="4" w:space="0"/>
              <w:bottom w:val="single" w:color="000000" w:sz="4" w:space="0"/>
              <w:right w:val="single" w:color="000000" w:sz="4" w:space="0"/>
            </w:tcBorders>
            <w:noWrap/>
            <w:vAlign w:val="center"/>
          </w:tcPr>
          <w:p w14:paraId="2B2F8CDF">
            <w:pPr>
              <w:keepNext w:val="0"/>
              <w:keepLines w:val="0"/>
              <w:widowControl/>
              <w:suppressLineNumbers w:val="0"/>
              <w:snapToGrid w:val="0"/>
              <w:spacing w:before="0" w:beforeAutospacing="0" w:after="0" w:afterAutospacing="0"/>
              <w:ind w:left="0" w:right="0"/>
              <w:jc w:val="center"/>
              <w:textAlignment w:val="center"/>
              <w:rPr>
                <w:rFonts w:hint="eastAsia" w:ascii="仿宋" w:hAnsi="宋体" w:eastAsia="仿宋" w:cs="宋体"/>
                <w:color w:val="000000"/>
                <w:sz w:val="28"/>
                <w:szCs w:val="28"/>
              </w:rPr>
            </w:pPr>
            <w:r>
              <w:rPr>
                <w:rFonts w:hint="eastAsia" w:ascii="仿宋" w:hAnsi="宋体" w:eastAsia="仿宋" w:cs="宋体"/>
                <w:color w:val="000000"/>
                <w:kern w:val="0"/>
                <w:sz w:val="28"/>
                <w:szCs w:val="28"/>
                <w:lang w:bidi="ar"/>
              </w:rPr>
              <w:t>4.9</w:t>
            </w:r>
          </w:p>
        </w:tc>
      </w:tr>
      <w:tr w14:paraId="4FCA71DC">
        <w:tblPrEx>
          <w:tblCellMar>
            <w:top w:w="0" w:type="dxa"/>
            <w:left w:w="108" w:type="dxa"/>
            <w:bottom w:w="0" w:type="dxa"/>
            <w:right w:w="108" w:type="dxa"/>
          </w:tblCellMar>
        </w:tblPrEx>
        <w:trPr>
          <w:jc w:val="center"/>
        </w:trPr>
        <w:tc>
          <w:tcPr>
            <w:tcW w:w="2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EF1D28">
            <w:pPr>
              <w:keepNext w:val="0"/>
              <w:keepLines w:val="0"/>
              <w:suppressLineNumbers w:val="0"/>
              <w:snapToGrid w:val="0"/>
              <w:spacing w:before="0" w:beforeAutospacing="0" w:after="0" w:afterAutospacing="0"/>
              <w:ind w:left="0" w:right="0"/>
              <w:jc w:val="center"/>
              <w:rPr>
                <w:rFonts w:hint="eastAsia" w:ascii="仿宋" w:hAnsi="仿宋" w:eastAsia="仿宋" w:cs="仿宋"/>
                <w:color w:val="000000"/>
                <w:sz w:val="28"/>
                <w:szCs w:val="28"/>
              </w:rPr>
            </w:pP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6A8A6E5C">
            <w:pPr>
              <w:keepNext w:val="0"/>
              <w:keepLines w:val="0"/>
              <w:widowControl/>
              <w:suppressLineNumbers w:val="0"/>
              <w:snapToGrid w:val="0"/>
              <w:spacing w:before="0" w:beforeAutospacing="0" w:after="0" w:afterAutospacing="0"/>
              <w:ind w:left="0" w:right="0"/>
              <w:jc w:val="center"/>
              <w:textAlignment w:val="top"/>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医用控温仪</w:t>
            </w:r>
          </w:p>
        </w:tc>
        <w:tc>
          <w:tcPr>
            <w:tcW w:w="657" w:type="dxa"/>
            <w:tcBorders>
              <w:top w:val="single" w:color="000000" w:sz="4" w:space="0"/>
              <w:left w:val="single" w:color="000000" w:sz="4" w:space="0"/>
              <w:bottom w:val="single" w:color="000000" w:sz="4" w:space="0"/>
              <w:right w:val="single" w:color="000000" w:sz="4" w:space="0"/>
            </w:tcBorders>
            <w:noWrap/>
            <w:vAlign w:val="center"/>
          </w:tcPr>
          <w:p w14:paraId="30A5B0A8">
            <w:pPr>
              <w:keepNext w:val="0"/>
              <w:keepLines w:val="0"/>
              <w:widowControl/>
              <w:suppressLineNumbers w:val="0"/>
              <w:snapToGrid w:val="0"/>
              <w:spacing w:before="0" w:beforeAutospacing="0" w:after="0" w:afterAutospacing="0"/>
              <w:ind w:left="0" w:right="0"/>
              <w:jc w:val="center"/>
              <w:textAlignment w:val="center"/>
              <w:rPr>
                <w:rFonts w:hint="eastAsia" w:ascii="仿宋" w:hAnsi="宋体" w:eastAsia="仿宋" w:cs="宋体"/>
                <w:color w:val="000000"/>
                <w:sz w:val="28"/>
                <w:szCs w:val="28"/>
              </w:rPr>
            </w:pPr>
            <w:r>
              <w:rPr>
                <w:rFonts w:hint="eastAsia" w:ascii="仿宋" w:hAnsi="宋体" w:eastAsia="仿宋" w:cs="宋体"/>
                <w:color w:val="000000"/>
                <w:kern w:val="0"/>
                <w:sz w:val="28"/>
                <w:szCs w:val="28"/>
                <w:lang w:bidi="ar"/>
              </w:rPr>
              <w:t>1</w:t>
            </w:r>
          </w:p>
        </w:tc>
        <w:tc>
          <w:tcPr>
            <w:tcW w:w="2136" w:type="dxa"/>
            <w:tcBorders>
              <w:top w:val="single" w:color="000000" w:sz="4" w:space="0"/>
              <w:left w:val="single" w:color="000000" w:sz="4" w:space="0"/>
              <w:bottom w:val="single" w:color="000000" w:sz="4" w:space="0"/>
              <w:right w:val="single" w:color="000000" w:sz="4" w:space="0"/>
            </w:tcBorders>
            <w:noWrap/>
            <w:vAlign w:val="center"/>
          </w:tcPr>
          <w:p w14:paraId="06904219">
            <w:pPr>
              <w:keepNext w:val="0"/>
              <w:keepLines w:val="0"/>
              <w:widowControl/>
              <w:suppressLineNumbers w:val="0"/>
              <w:snapToGrid w:val="0"/>
              <w:spacing w:before="0" w:beforeAutospacing="0" w:after="0" w:afterAutospacing="0"/>
              <w:ind w:left="0" w:right="0"/>
              <w:jc w:val="center"/>
              <w:textAlignment w:val="center"/>
              <w:rPr>
                <w:rFonts w:hint="eastAsia" w:ascii="仿宋" w:hAnsi="宋体" w:eastAsia="仿宋" w:cs="宋体"/>
                <w:color w:val="000000"/>
                <w:sz w:val="28"/>
                <w:szCs w:val="28"/>
              </w:rPr>
            </w:pPr>
            <w:r>
              <w:rPr>
                <w:rFonts w:hint="eastAsia" w:ascii="仿宋" w:hAnsi="宋体" w:eastAsia="仿宋" w:cs="宋体"/>
                <w:color w:val="000000"/>
                <w:kern w:val="0"/>
                <w:sz w:val="28"/>
                <w:szCs w:val="28"/>
                <w:lang w:bidi="ar"/>
              </w:rPr>
              <w:t>3.2</w:t>
            </w:r>
          </w:p>
        </w:tc>
      </w:tr>
      <w:tr w14:paraId="691C96C1">
        <w:tblPrEx>
          <w:tblCellMar>
            <w:top w:w="0" w:type="dxa"/>
            <w:left w:w="108" w:type="dxa"/>
            <w:bottom w:w="0" w:type="dxa"/>
            <w:right w:w="108" w:type="dxa"/>
          </w:tblCellMar>
        </w:tblPrEx>
        <w:trPr>
          <w:jc w:val="center"/>
        </w:trPr>
        <w:tc>
          <w:tcPr>
            <w:tcW w:w="2069" w:type="dxa"/>
            <w:vMerge w:val="restart"/>
            <w:tcBorders>
              <w:top w:val="single" w:color="000000" w:sz="4" w:space="0"/>
              <w:left w:val="single" w:color="000000" w:sz="4" w:space="0"/>
              <w:bottom w:val="single" w:color="000000" w:sz="4" w:space="0"/>
              <w:right w:val="single" w:color="000000" w:sz="4" w:space="0"/>
            </w:tcBorders>
            <w:noWrap w:val="0"/>
            <w:vAlign w:val="center"/>
          </w:tcPr>
          <w:p w14:paraId="7A2E7CB3">
            <w:pPr>
              <w:keepNext w:val="0"/>
              <w:keepLines w:val="0"/>
              <w:widowControl/>
              <w:suppressLineNumbers w:val="0"/>
              <w:snapToGrid w:val="0"/>
              <w:spacing w:before="0" w:beforeAutospacing="0" w:after="0" w:afterAutospacing="0"/>
              <w:ind w:left="0" w:right="0"/>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val="en-US" w:eastAsia="zh-CN" w:bidi="ar"/>
              </w:rPr>
              <w:t>2包：</w:t>
            </w:r>
            <w:r>
              <w:rPr>
                <w:rFonts w:hint="eastAsia" w:ascii="仿宋" w:hAnsi="仿宋" w:eastAsia="仿宋" w:cs="仿宋"/>
                <w:color w:val="000000"/>
                <w:kern w:val="0"/>
                <w:sz w:val="28"/>
                <w:szCs w:val="28"/>
                <w:lang w:bidi="ar"/>
              </w:rPr>
              <w:t>神经内科</w:t>
            </w: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540100AB">
            <w:pPr>
              <w:keepNext w:val="0"/>
              <w:keepLines w:val="0"/>
              <w:widowControl/>
              <w:suppressLineNumbers w:val="0"/>
              <w:snapToGrid w:val="0"/>
              <w:spacing w:before="0" w:beforeAutospacing="0" w:after="0" w:afterAutospacing="0"/>
              <w:ind w:left="0" w:right="0"/>
              <w:jc w:val="center"/>
              <w:textAlignment w:val="top"/>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经颅磁刺激治疗仪</w:t>
            </w:r>
            <w:r>
              <w:rPr>
                <w:rFonts w:hint="eastAsia" w:ascii="仿宋" w:hAnsi="仿宋" w:eastAsia="仿宋" w:cs="仿宋"/>
                <w:b/>
                <w:bCs/>
                <w:color w:val="000000"/>
                <w:kern w:val="0"/>
                <w:sz w:val="28"/>
                <w:szCs w:val="28"/>
                <w:lang w:eastAsia="zh-CN" w:bidi="ar"/>
              </w:rPr>
              <w:t>（</w:t>
            </w:r>
            <w:r>
              <w:rPr>
                <w:rFonts w:hint="eastAsia" w:ascii="仿宋" w:hAnsi="仿宋" w:eastAsia="仿宋" w:cs="仿宋"/>
                <w:b/>
                <w:bCs/>
                <w:color w:val="000000"/>
                <w:kern w:val="0"/>
                <w:sz w:val="28"/>
                <w:szCs w:val="28"/>
                <w:lang w:val="en-US" w:eastAsia="zh-CN" w:bidi="ar"/>
              </w:rPr>
              <w:t>核心产品</w:t>
            </w:r>
            <w:r>
              <w:rPr>
                <w:rFonts w:hint="eastAsia" w:ascii="仿宋" w:hAnsi="仿宋" w:eastAsia="仿宋" w:cs="仿宋"/>
                <w:b/>
                <w:bCs/>
                <w:color w:val="000000"/>
                <w:kern w:val="0"/>
                <w:sz w:val="28"/>
                <w:szCs w:val="28"/>
                <w:lang w:eastAsia="zh-CN" w:bidi="ar"/>
              </w:rPr>
              <w:t>）</w:t>
            </w:r>
          </w:p>
        </w:tc>
        <w:tc>
          <w:tcPr>
            <w:tcW w:w="657" w:type="dxa"/>
            <w:tcBorders>
              <w:top w:val="single" w:color="000000" w:sz="4" w:space="0"/>
              <w:left w:val="single" w:color="000000" w:sz="4" w:space="0"/>
              <w:bottom w:val="single" w:color="000000" w:sz="4" w:space="0"/>
              <w:right w:val="single" w:color="000000" w:sz="4" w:space="0"/>
            </w:tcBorders>
            <w:noWrap/>
            <w:vAlign w:val="center"/>
          </w:tcPr>
          <w:p w14:paraId="02DBE958">
            <w:pPr>
              <w:keepNext w:val="0"/>
              <w:keepLines w:val="0"/>
              <w:widowControl/>
              <w:suppressLineNumbers w:val="0"/>
              <w:snapToGrid w:val="0"/>
              <w:spacing w:before="0" w:beforeAutospacing="0" w:after="0" w:afterAutospacing="0"/>
              <w:ind w:left="0" w:right="0"/>
              <w:jc w:val="center"/>
              <w:textAlignment w:val="top"/>
              <w:rPr>
                <w:rFonts w:hint="eastAsia" w:ascii="仿宋" w:hAnsi="宋体" w:eastAsia="仿宋" w:cs="宋体"/>
                <w:color w:val="000000"/>
                <w:kern w:val="0"/>
                <w:sz w:val="28"/>
                <w:szCs w:val="28"/>
                <w:lang w:bidi="ar"/>
              </w:rPr>
            </w:pPr>
            <w:r>
              <w:rPr>
                <w:rFonts w:hint="eastAsia" w:ascii="仿宋" w:hAnsi="仿宋" w:eastAsia="仿宋" w:cs="仿宋"/>
                <w:color w:val="000000"/>
                <w:kern w:val="0"/>
                <w:sz w:val="28"/>
                <w:szCs w:val="28"/>
                <w:lang w:bidi="ar"/>
              </w:rPr>
              <w:t>1</w:t>
            </w:r>
          </w:p>
        </w:tc>
        <w:tc>
          <w:tcPr>
            <w:tcW w:w="2136" w:type="dxa"/>
            <w:tcBorders>
              <w:top w:val="single" w:color="000000" w:sz="4" w:space="0"/>
              <w:left w:val="single" w:color="000000" w:sz="4" w:space="0"/>
              <w:bottom w:val="single" w:color="000000" w:sz="4" w:space="0"/>
              <w:right w:val="single" w:color="000000" w:sz="4" w:space="0"/>
            </w:tcBorders>
            <w:noWrap/>
            <w:vAlign w:val="center"/>
          </w:tcPr>
          <w:p w14:paraId="4EA753F2">
            <w:pPr>
              <w:keepNext w:val="0"/>
              <w:keepLines w:val="0"/>
              <w:widowControl/>
              <w:suppressLineNumbers w:val="0"/>
              <w:snapToGrid w:val="0"/>
              <w:spacing w:before="0" w:beforeAutospacing="0" w:after="0" w:afterAutospacing="0"/>
              <w:ind w:left="0" w:right="0"/>
              <w:jc w:val="center"/>
              <w:textAlignment w:val="top"/>
              <w:rPr>
                <w:rFonts w:hint="eastAsia" w:ascii="仿宋" w:hAnsi="宋体" w:eastAsia="仿宋" w:cs="宋体"/>
                <w:color w:val="000000"/>
                <w:kern w:val="0"/>
                <w:sz w:val="28"/>
                <w:szCs w:val="28"/>
                <w:lang w:bidi="ar"/>
              </w:rPr>
            </w:pPr>
            <w:r>
              <w:rPr>
                <w:rFonts w:hint="eastAsia" w:ascii="仿宋" w:hAnsi="仿宋" w:eastAsia="仿宋" w:cs="仿宋"/>
                <w:color w:val="000000"/>
                <w:kern w:val="0"/>
                <w:sz w:val="28"/>
                <w:szCs w:val="28"/>
                <w:lang w:bidi="ar"/>
              </w:rPr>
              <w:t>15.8</w:t>
            </w:r>
          </w:p>
        </w:tc>
      </w:tr>
      <w:tr w14:paraId="72E02574">
        <w:tblPrEx>
          <w:tblCellMar>
            <w:top w:w="0" w:type="dxa"/>
            <w:left w:w="108" w:type="dxa"/>
            <w:bottom w:w="0" w:type="dxa"/>
            <w:right w:w="108" w:type="dxa"/>
          </w:tblCellMar>
        </w:tblPrEx>
        <w:trPr>
          <w:jc w:val="center"/>
        </w:trPr>
        <w:tc>
          <w:tcPr>
            <w:tcW w:w="2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6539AA">
            <w:pPr>
              <w:keepNext w:val="0"/>
              <w:keepLines w:val="0"/>
              <w:suppressLineNumbers w:val="0"/>
              <w:snapToGrid w:val="0"/>
              <w:spacing w:before="0" w:beforeAutospacing="0" w:after="0" w:afterAutospacing="0"/>
              <w:ind w:left="0" w:right="0"/>
              <w:jc w:val="center"/>
              <w:rPr>
                <w:rFonts w:hint="eastAsia" w:ascii="仿宋" w:hAnsi="仿宋" w:eastAsia="仿宋" w:cs="仿宋"/>
                <w:color w:val="000000"/>
                <w:sz w:val="28"/>
                <w:szCs w:val="28"/>
              </w:rPr>
            </w:pPr>
          </w:p>
        </w:tc>
        <w:tc>
          <w:tcPr>
            <w:tcW w:w="2796" w:type="dxa"/>
            <w:tcBorders>
              <w:top w:val="single" w:color="000000" w:sz="4" w:space="0"/>
              <w:left w:val="single" w:color="000000" w:sz="4" w:space="0"/>
              <w:bottom w:val="single" w:color="000000" w:sz="4" w:space="0"/>
              <w:right w:val="single" w:color="000000" w:sz="4" w:space="0"/>
            </w:tcBorders>
            <w:noWrap w:val="0"/>
            <w:vAlign w:val="center"/>
          </w:tcPr>
          <w:p w14:paraId="0C6EED54">
            <w:pPr>
              <w:keepNext w:val="0"/>
              <w:keepLines w:val="0"/>
              <w:widowControl/>
              <w:suppressLineNumbers w:val="0"/>
              <w:snapToGrid w:val="0"/>
              <w:spacing w:before="0" w:beforeAutospacing="0" w:after="0" w:afterAutospacing="0"/>
              <w:ind w:left="0" w:right="0"/>
              <w:jc w:val="center"/>
              <w:textAlignment w:val="top"/>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经颅超声神经肌肉刺激治疗仪</w:t>
            </w:r>
          </w:p>
        </w:tc>
        <w:tc>
          <w:tcPr>
            <w:tcW w:w="657" w:type="dxa"/>
            <w:tcBorders>
              <w:top w:val="single" w:color="000000" w:sz="4" w:space="0"/>
              <w:left w:val="single" w:color="000000" w:sz="4" w:space="0"/>
              <w:bottom w:val="single" w:color="000000" w:sz="4" w:space="0"/>
              <w:right w:val="single" w:color="000000" w:sz="4" w:space="0"/>
            </w:tcBorders>
            <w:noWrap/>
            <w:vAlign w:val="center"/>
          </w:tcPr>
          <w:p w14:paraId="7B4FB6A4">
            <w:pPr>
              <w:keepNext w:val="0"/>
              <w:keepLines w:val="0"/>
              <w:widowControl/>
              <w:suppressLineNumbers w:val="0"/>
              <w:snapToGrid w:val="0"/>
              <w:spacing w:before="0" w:beforeAutospacing="0" w:after="0" w:afterAutospacing="0"/>
              <w:ind w:left="0" w:right="0"/>
              <w:jc w:val="center"/>
              <w:textAlignment w:val="top"/>
              <w:rPr>
                <w:rFonts w:hint="eastAsia" w:ascii="仿宋" w:hAnsi="宋体" w:eastAsia="仿宋" w:cs="宋体"/>
                <w:color w:val="000000"/>
                <w:kern w:val="0"/>
                <w:sz w:val="28"/>
                <w:szCs w:val="28"/>
                <w:lang w:bidi="ar"/>
              </w:rPr>
            </w:pPr>
            <w:r>
              <w:rPr>
                <w:rFonts w:hint="eastAsia" w:ascii="仿宋" w:hAnsi="仿宋" w:eastAsia="仿宋" w:cs="仿宋"/>
                <w:color w:val="000000"/>
                <w:kern w:val="0"/>
                <w:sz w:val="28"/>
                <w:szCs w:val="28"/>
                <w:lang w:bidi="ar"/>
              </w:rPr>
              <w:t>1</w:t>
            </w:r>
          </w:p>
        </w:tc>
        <w:tc>
          <w:tcPr>
            <w:tcW w:w="2136" w:type="dxa"/>
            <w:tcBorders>
              <w:top w:val="single" w:color="000000" w:sz="4" w:space="0"/>
              <w:left w:val="single" w:color="000000" w:sz="4" w:space="0"/>
              <w:bottom w:val="single" w:color="000000" w:sz="4" w:space="0"/>
              <w:right w:val="single" w:color="000000" w:sz="4" w:space="0"/>
            </w:tcBorders>
            <w:noWrap/>
            <w:vAlign w:val="center"/>
          </w:tcPr>
          <w:p w14:paraId="6F0C0D3D">
            <w:pPr>
              <w:keepNext w:val="0"/>
              <w:keepLines w:val="0"/>
              <w:widowControl/>
              <w:suppressLineNumbers w:val="0"/>
              <w:snapToGrid w:val="0"/>
              <w:spacing w:before="0" w:beforeAutospacing="0" w:after="0" w:afterAutospacing="0"/>
              <w:ind w:left="0" w:right="0"/>
              <w:jc w:val="center"/>
              <w:textAlignment w:val="top"/>
              <w:rPr>
                <w:rFonts w:hint="eastAsia" w:ascii="仿宋" w:hAnsi="宋体" w:eastAsia="仿宋" w:cs="宋体"/>
                <w:color w:val="000000"/>
                <w:kern w:val="0"/>
                <w:sz w:val="28"/>
                <w:szCs w:val="28"/>
                <w:lang w:bidi="ar"/>
              </w:rPr>
            </w:pPr>
            <w:r>
              <w:rPr>
                <w:rFonts w:hint="eastAsia" w:ascii="仿宋" w:hAnsi="仿宋" w:eastAsia="仿宋" w:cs="仿宋"/>
                <w:color w:val="000000"/>
                <w:kern w:val="0"/>
                <w:sz w:val="28"/>
                <w:szCs w:val="28"/>
                <w:lang w:bidi="ar"/>
              </w:rPr>
              <w:t>2.5</w:t>
            </w:r>
          </w:p>
        </w:tc>
      </w:tr>
    </w:tbl>
    <w:p w14:paraId="635B240F">
      <w:pPr>
        <w:bidi w:val="0"/>
        <w:rPr>
          <w:rFonts w:hint="eastAsia"/>
          <w:b/>
          <w:bCs/>
          <w:kern w:val="2"/>
          <w:sz w:val="28"/>
          <w:szCs w:val="28"/>
          <w:lang w:val="en-US" w:eastAsia="zh-CN" w:bidi="ar-SA"/>
        </w:rPr>
      </w:pPr>
    </w:p>
    <w:p w14:paraId="0C65F7C2">
      <w:pPr>
        <w:bidi w:val="0"/>
        <w:rPr>
          <w:rFonts w:hint="eastAsia"/>
          <w:b/>
          <w:bCs/>
          <w:kern w:val="2"/>
          <w:sz w:val="28"/>
          <w:szCs w:val="28"/>
          <w:lang w:val="en-US" w:eastAsia="zh-CN" w:bidi="ar-SA"/>
        </w:rPr>
      </w:pPr>
    </w:p>
    <w:p w14:paraId="08748F7C">
      <w:pPr>
        <w:rPr>
          <w:rFonts w:hint="eastAsia"/>
          <w:b/>
          <w:bCs/>
          <w:kern w:val="2"/>
          <w:sz w:val="28"/>
          <w:szCs w:val="28"/>
          <w:lang w:val="en-US" w:eastAsia="zh-CN" w:bidi="ar-SA"/>
        </w:rPr>
      </w:pPr>
      <w:r>
        <w:rPr>
          <w:rFonts w:hint="eastAsia"/>
          <w:b/>
          <w:bCs/>
          <w:kern w:val="2"/>
          <w:sz w:val="28"/>
          <w:szCs w:val="28"/>
          <w:lang w:val="en-US" w:eastAsia="zh-CN" w:bidi="ar-SA"/>
        </w:rPr>
        <w:br w:type="page"/>
      </w:r>
    </w:p>
    <w:p w14:paraId="380D9AB1">
      <w:pPr>
        <w:bidi w:val="0"/>
        <w:rPr>
          <w:rFonts w:hint="default" w:eastAsia="仿宋_GB2312"/>
          <w:b/>
          <w:bCs/>
          <w:kern w:val="2"/>
          <w:sz w:val="28"/>
          <w:szCs w:val="28"/>
          <w:lang w:val="en-US" w:eastAsia="zh-CN" w:bidi="ar-SA"/>
        </w:rPr>
      </w:pPr>
      <w:r>
        <w:rPr>
          <w:rFonts w:hint="eastAsia"/>
          <w:b/>
          <w:bCs/>
          <w:kern w:val="2"/>
          <w:sz w:val="28"/>
          <w:szCs w:val="28"/>
          <w:lang w:val="en-US" w:eastAsia="zh-CN" w:bidi="ar-SA"/>
        </w:rPr>
        <w:t>1包</w:t>
      </w:r>
    </w:p>
    <w:p w14:paraId="24C8163B">
      <w:pPr>
        <w:pStyle w:val="41"/>
        <w:widowControl/>
        <w:adjustRightInd w:val="0"/>
        <w:snapToGrid w:val="0"/>
        <w:spacing w:beforeAutospacing="0" w:afterAutospacing="0"/>
        <w:jc w:val="center"/>
        <w:rPr>
          <w:rFonts w:hint="eastAsia" w:ascii="仿宋" w:hAnsi="仿宋" w:eastAsia="仿宋" w:cs="仿宋"/>
          <w:b/>
          <w:bCs/>
          <w:color w:val="auto"/>
          <w:sz w:val="28"/>
          <w:szCs w:val="28"/>
          <w:highlight w:val="none"/>
        </w:rPr>
      </w:pPr>
      <w:bookmarkStart w:id="419" w:name="OLE_LINK1"/>
      <w:bookmarkStart w:id="420" w:name="OLE_LINK14"/>
      <w:r>
        <w:rPr>
          <w:rFonts w:hint="eastAsia" w:ascii="仿宋" w:hAnsi="仿宋" w:eastAsia="仿宋" w:cs="仿宋"/>
          <w:b/>
          <w:bCs/>
          <w:color w:val="auto"/>
          <w:sz w:val="28"/>
          <w:szCs w:val="28"/>
          <w:highlight w:val="none"/>
          <w:lang w:bidi="ar"/>
        </w:rPr>
        <w:t>转运床</w:t>
      </w:r>
      <w:bookmarkEnd w:id="419"/>
    </w:p>
    <w:p w14:paraId="3640CAB8">
      <w:pPr>
        <w:pStyle w:val="41"/>
        <w:widowControl/>
        <w:adjustRightInd w:val="0"/>
        <w:snapToGrid w:val="0"/>
        <w:spacing w:beforeAutospacing="0" w:afterAutospacing="0" w:line="240" w:lineRule="auto"/>
        <w:rPr>
          <w:rStyle w:val="50"/>
          <w:rFonts w:hint="eastAsia" w:ascii="仿宋" w:hAnsi="仿宋" w:eastAsia="仿宋" w:cs="仿宋"/>
          <w:color w:val="auto"/>
          <w:sz w:val="24"/>
          <w:szCs w:val="24"/>
          <w:highlight w:val="none"/>
          <w:shd w:val="clear" w:color="auto" w:fill="FFFFFF"/>
        </w:rPr>
      </w:pPr>
      <w:r>
        <w:rPr>
          <w:rStyle w:val="50"/>
          <w:rFonts w:hint="eastAsia" w:ascii="仿宋" w:hAnsi="仿宋" w:eastAsia="仿宋" w:cs="仿宋"/>
          <w:color w:val="auto"/>
          <w:sz w:val="24"/>
          <w:szCs w:val="24"/>
          <w:highlight w:val="none"/>
          <w:shd w:val="clear" w:color="auto" w:fill="FFFFFF"/>
        </w:rPr>
        <w:t>一、功能描述</w:t>
      </w:r>
    </w:p>
    <w:p w14:paraId="4E89E079">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适用于急重症患者的转运。</w:t>
      </w:r>
    </w:p>
    <w:p w14:paraId="50153C87">
      <w:pPr>
        <w:pStyle w:val="41"/>
        <w:widowControl/>
        <w:numPr>
          <w:ilvl w:val="0"/>
          <w:numId w:val="9"/>
        </w:numPr>
        <w:adjustRightInd w:val="0"/>
        <w:snapToGrid w:val="0"/>
        <w:spacing w:beforeAutospacing="0" w:afterAutospacing="0" w:line="240" w:lineRule="auto"/>
        <w:rPr>
          <w:rStyle w:val="50"/>
          <w:rFonts w:hint="eastAsia" w:ascii="仿宋" w:hAnsi="仿宋" w:eastAsia="仿宋" w:cs="仿宋"/>
          <w:color w:val="auto"/>
          <w:sz w:val="24"/>
          <w:szCs w:val="24"/>
          <w:highlight w:val="none"/>
          <w:shd w:val="clear" w:color="auto" w:fill="FFFFFF"/>
        </w:rPr>
      </w:pPr>
      <w:r>
        <w:rPr>
          <w:rStyle w:val="50"/>
          <w:rFonts w:hint="eastAsia" w:ascii="仿宋" w:hAnsi="仿宋" w:eastAsia="仿宋" w:cs="仿宋"/>
          <w:color w:val="auto"/>
          <w:sz w:val="24"/>
          <w:szCs w:val="24"/>
          <w:highlight w:val="none"/>
          <w:shd w:val="clear" w:color="auto" w:fill="FFFFFF"/>
        </w:rPr>
        <w:t>硬件配置清单</w:t>
      </w:r>
    </w:p>
    <w:p w14:paraId="11BF4BB7">
      <w:pPr>
        <w:pStyle w:val="41"/>
        <w:widowControl/>
        <w:numPr>
          <w:ilvl w:val="0"/>
          <w:numId w:val="10"/>
        </w:numPr>
        <w:adjustRightInd w:val="0"/>
        <w:snapToGrid w:val="0"/>
        <w:spacing w:beforeAutospacing="0" w:afterAutospacing="0" w:line="240" w:lineRule="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转运床1张</w:t>
      </w:r>
    </w:p>
    <w:p w14:paraId="3F5044CA">
      <w:pPr>
        <w:pStyle w:val="41"/>
        <w:widowControl/>
        <w:numPr>
          <w:ilvl w:val="0"/>
          <w:numId w:val="9"/>
        </w:numPr>
        <w:adjustRightInd w:val="0"/>
        <w:snapToGrid w:val="0"/>
        <w:spacing w:beforeAutospacing="0" w:afterAutospacing="0" w:line="240" w:lineRule="auto"/>
        <w:rPr>
          <w:rStyle w:val="50"/>
          <w:rFonts w:hint="eastAsia" w:ascii="仿宋" w:hAnsi="仿宋" w:eastAsia="仿宋" w:cs="仿宋"/>
          <w:color w:val="auto"/>
          <w:sz w:val="24"/>
          <w:szCs w:val="24"/>
          <w:highlight w:val="none"/>
          <w:shd w:val="clear" w:color="auto" w:fill="FFFFFF"/>
        </w:rPr>
      </w:pPr>
      <w:r>
        <w:rPr>
          <w:rStyle w:val="50"/>
          <w:rFonts w:hint="eastAsia" w:ascii="仿宋" w:hAnsi="仿宋" w:eastAsia="仿宋" w:cs="仿宋"/>
          <w:color w:val="auto"/>
          <w:sz w:val="24"/>
          <w:szCs w:val="24"/>
          <w:highlight w:val="none"/>
          <w:shd w:val="clear" w:color="auto" w:fill="FFFFFF"/>
        </w:rPr>
        <w:t>备品备件清单</w:t>
      </w:r>
    </w:p>
    <w:p w14:paraId="7BDE3C92">
      <w:pPr>
        <w:pStyle w:val="41"/>
        <w:widowControl/>
        <w:adjustRightInd w:val="0"/>
        <w:snapToGrid w:val="0"/>
        <w:spacing w:beforeAutospacing="0" w:afterAutospacing="0" w:line="240" w:lineRule="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无</w:t>
      </w:r>
    </w:p>
    <w:p w14:paraId="357193AE">
      <w:pPr>
        <w:pStyle w:val="41"/>
        <w:widowControl/>
        <w:numPr>
          <w:ilvl w:val="0"/>
          <w:numId w:val="9"/>
        </w:numPr>
        <w:adjustRightInd w:val="0"/>
        <w:snapToGrid w:val="0"/>
        <w:spacing w:beforeAutospacing="0" w:afterAutospacing="0" w:line="240" w:lineRule="auto"/>
        <w:rPr>
          <w:rStyle w:val="50"/>
          <w:rFonts w:hint="eastAsia" w:ascii="仿宋" w:hAnsi="仿宋" w:eastAsia="仿宋" w:cs="仿宋"/>
          <w:color w:val="auto"/>
          <w:sz w:val="24"/>
          <w:szCs w:val="24"/>
          <w:highlight w:val="none"/>
          <w:shd w:val="clear" w:color="auto" w:fill="FFFFFF"/>
        </w:rPr>
      </w:pPr>
      <w:r>
        <w:rPr>
          <w:rStyle w:val="50"/>
          <w:rFonts w:hint="eastAsia" w:ascii="仿宋" w:hAnsi="仿宋" w:eastAsia="仿宋" w:cs="仿宋"/>
          <w:color w:val="auto"/>
          <w:sz w:val="24"/>
          <w:szCs w:val="24"/>
          <w:highlight w:val="none"/>
          <w:shd w:val="clear" w:color="auto" w:fill="FFFFFF"/>
        </w:rPr>
        <w:t>质量要求</w:t>
      </w:r>
    </w:p>
    <w:p w14:paraId="74CDD479">
      <w:pPr>
        <w:pStyle w:val="41"/>
        <w:widowControl/>
        <w:numPr>
          <w:ilvl w:val="0"/>
          <w:numId w:val="11"/>
        </w:numPr>
        <w:adjustRightInd w:val="0"/>
        <w:snapToGrid w:val="0"/>
        <w:spacing w:beforeAutospacing="0" w:afterAutospacing="0" w:line="240" w:lineRule="auto"/>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规格：整体尺寸≥1900*600mm，高低升降550-850mm允差：±50mm；</w:t>
      </w:r>
    </w:p>
    <w:p w14:paraId="41F3E707">
      <w:pPr>
        <w:pStyle w:val="41"/>
        <w:widowControl/>
        <w:numPr>
          <w:ilvl w:val="0"/>
          <w:numId w:val="11"/>
        </w:numPr>
        <w:adjustRightInd w:val="0"/>
        <w:snapToGrid w:val="0"/>
        <w:spacing w:beforeAutospacing="0" w:afterAutospacing="0" w:line="240" w:lineRule="auto"/>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升降范围：背部：0-70°；</w:t>
      </w:r>
    </w:p>
    <w:p w14:paraId="2AAC2ECE">
      <w:pPr>
        <w:pStyle w:val="41"/>
        <w:widowControl/>
        <w:numPr>
          <w:ilvl w:val="0"/>
          <w:numId w:val="11"/>
        </w:numPr>
        <w:adjustRightInd w:val="0"/>
        <w:snapToGrid w:val="0"/>
        <w:spacing w:beforeAutospacing="0" w:afterAutospacing="0" w:line="240" w:lineRule="auto"/>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安全工作载荷：≥180KG；</w:t>
      </w:r>
    </w:p>
    <w:p w14:paraId="45F55DC9">
      <w:pPr>
        <w:pStyle w:val="41"/>
        <w:widowControl/>
        <w:numPr>
          <w:ilvl w:val="0"/>
          <w:numId w:val="11"/>
        </w:numPr>
        <w:adjustRightInd w:val="0"/>
        <w:snapToGrid w:val="0"/>
        <w:spacing w:beforeAutospacing="0" w:afterAutospacing="0" w:line="240" w:lineRule="auto"/>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背部升降系统：采用静音气弹簧控制；</w:t>
      </w:r>
    </w:p>
    <w:p w14:paraId="0024B692">
      <w:pPr>
        <w:pStyle w:val="41"/>
        <w:widowControl/>
        <w:numPr>
          <w:ilvl w:val="0"/>
          <w:numId w:val="11"/>
        </w:numPr>
        <w:adjustRightInd w:val="0"/>
        <w:snapToGrid w:val="0"/>
        <w:spacing w:beforeAutospacing="0" w:afterAutospacing="0" w:line="240" w:lineRule="auto"/>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高低升降系统：采用进口油压缸控制</w:t>
      </w:r>
      <w:r>
        <w:rPr>
          <w:rFonts w:hint="eastAsia" w:ascii="仿宋" w:hAnsi="仿宋" w:eastAsia="仿宋" w:cs="仿宋"/>
          <w:color w:val="auto"/>
          <w:sz w:val="24"/>
          <w:szCs w:val="24"/>
          <w:highlight w:val="none"/>
          <w:lang w:val="en-US" w:eastAsia="zh-CN" w:bidi="ar"/>
        </w:rPr>
        <w:t>;</w:t>
      </w:r>
    </w:p>
    <w:p w14:paraId="2E44DFE7">
      <w:pPr>
        <w:pStyle w:val="41"/>
        <w:widowControl/>
        <w:numPr>
          <w:ilvl w:val="0"/>
          <w:numId w:val="11"/>
        </w:numPr>
        <w:adjustRightInd w:val="0"/>
        <w:snapToGrid w:val="0"/>
        <w:spacing w:beforeAutospacing="0" w:afterAutospacing="0" w:line="240" w:lineRule="auto"/>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床板：采用抗倍特材质，不变形；</w:t>
      </w:r>
    </w:p>
    <w:p w14:paraId="10E91EE9">
      <w:pPr>
        <w:pStyle w:val="41"/>
        <w:widowControl/>
        <w:numPr>
          <w:ilvl w:val="0"/>
          <w:numId w:val="11"/>
        </w:numPr>
        <w:adjustRightInd w:val="0"/>
        <w:snapToGrid w:val="0"/>
        <w:spacing w:beforeAutospacing="0" w:afterAutospacing="0" w:line="240" w:lineRule="auto"/>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框架：采用优质钢材制成；</w:t>
      </w:r>
    </w:p>
    <w:p w14:paraId="72CFB559">
      <w:pPr>
        <w:pStyle w:val="41"/>
        <w:widowControl/>
        <w:numPr>
          <w:ilvl w:val="0"/>
          <w:numId w:val="11"/>
        </w:numPr>
        <w:adjustRightInd w:val="0"/>
        <w:snapToGrid w:val="0"/>
        <w:spacing w:beforeAutospacing="0" w:afterAutospacing="0" w:line="240" w:lineRule="auto"/>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护栏板： 高度≥250mm，具有双安全锁装置；</w:t>
      </w:r>
    </w:p>
    <w:p w14:paraId="1F2890EB">
      <w:pPr>
        <w:pStyle w:val="41"/>
        <w:widowControl/>
        <w:numPr>
          <w:ilvl w:val="0"/>
          <w:numId w:val="11"/>
        </w:numPr>
        <w:adjustRightInd w:val="0"/>
        <w:snapToGrid w:val="0"/>
        <w:spacing w:beforeAutospacing="0" w:afterAutospacing="0" w:line="240" w:lineRule="auto"/>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护栏板上有具备角度显示功能</w:t>
      </w:r>
    </w:p>
    <w:p w14:paraId="05997532">
      <w:pPr>
        <w:pStyle w:val="41"/>
        <w:widowControl/>
        <w:numPr>
          <w:ilvl w:val="0"/>
          <w:numId w:val="11"/>
        </w:numPr>
        <w:adjustRightInd w:val="0"/>
        <w:snapToGrid w:val="0"/>
        <w:spacing w:beforeAutospacing="0" w:afterAutospacing="0" w:line="240" w:lineRule="auto"/>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脚轮：采用中控锁四个的脚轮，推车四角都有脚轮控制系统，一脚制动；</w:t>
      </w:r>
    </w:p>
    <w:p w14:paraId="665789BC">
      <w:pPr>
        <w:pStyle w:val="41"/>
        <w:widowControl/>
        <w:numPr>
          <w:ilvl w:val="0"/>
          <w:numId w:val="11"/>
        </w:numPr>
        <w:adjustRightInd w:val="0"/>
        <w:snapToGrid w:val="0"/>
        <w:spacing w:beforeAutospacing="0" w:afterAutospacing="0" w:line="240" w:lineRule="auto"/>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中控刹车连动杆采用一体化圆管成型；</w:t>
      </w:r>
    </w:p>
    <w:p w14:paraId="173878F0">
      <w:pPr>
        <w:pStyle w:val="41"/>
        <w:widowControl/>
        <w:numPr>
          <w:ilvl w:val="0"/>
          <w:numId w:val="11"/>
        </w:numPr>
        <w:adjustRightInd w:val="0"/>
        <w:snapToGrid w:val="0"/>
        <w:spacing w:beforeAutospacing="0" w:afterAutospacing="0" w:line="240" w:lineRule="auto"/>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独立的中心第五轮系统</w:t>
      </w:r>
      <w:r>
        <w:rPr>
          <w:rFonts w:hint="eastAsia" w:ascii="仿宋" w:hAnsi="仿宋" w:eastAsia="仿宋" w:cs="仿宋"/>
          <w:strike w:val="0"/>
          <w:color w:val="auto"/>
          <w:sz w:val="24"/>
          <w:szCs w:val="24"/>
          <w:highlight w:val="none"/>
          <w:lang w:bidi="ar"/>
        </w:rPr>
        <w:t>；</w:t>
      </w:r>
    </w:p>
    <w:p w14:paraId="79CD0943">
      <w:pPr>
        <w:pStyle w:val="41"/>
        <w:widowControl/>
        <w:numPr>
          <w:ilvl w:val="0"/>
          <w:numId w:val="11"/>
        </w:numPr>
        <w:adjustRightInd w:val="0"/>
        <w:snapToGrid w:val="0"/>
        <w:spacing w:beforeAutospacing="0" w:afterAutospacing="0" w:line="240" w:lineRule="auto"/>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床体下有一体式托盘，可放置氧气瓶，托盘能承重≥10Kg；</w:t>
      </w:r>
    </w:p>
    <w:p w14:paraId="1F2A95CA">
      <w:pPr>
        <w:pStyle w:val="41"/>
        <w:widowControl/>
        <w:numPr>
          <w:ilvl w:val="0"/>
          <w:numId w:val="11"/>
        </w:numPr>
        <w:adjustRightInd w:val="0"/>
        <w:snapToGrid w:val="0"/>
        <w:spacing w:beforeAutospacing="0" w:afterAutospacing="0" w:line="240" w:lineRule="auto"/>
        <w:rPr>
          <w:rFonts w:hint="eastAsia" w:ascii="仿宋" w:hAnsi="仿宋" w:eastAsia="仿宋" w:cs="仿宋"/>
          <w:strike w:val="0"/>
          <w:color w:val="auto"/>
          <w:sz w:val="24"/>
          <w:szCs w:val="24"/>
          <w:highlight w:val="none"/>
          <w:lang w:bidi="ar"/>
        </w:rPr>
      </w:pPr>
      <w:r>
        <w:rPr>
          <w:rFonts w:hint="eastAsia" w:ascii="仿宋" w:hAnsi="仿宋" w:eastAsia="仿宋" w:cs="仿宋"/>
          <w:color w:val="auto"/>
          <w:sz w:val="24"/>
          <w:szCs w:val="24"/>
          <w:highlight w:val="none"/>
          <w:lang w:bidi="ar"/>
        </w:rPr>
        <w:t>配有输液架收藏架</w:t>
      </w:r>
      <w:r>
        <w:rPr>
          <w:rFonts w:hint="eastAsia" w:ascii="仿宋" w:hAnsi="仿宋" w:eastAsia="仿宋" w:cs="仿宋"/>
          <w:strike w:val="0"/>
          <w:color w:val="auto"/>
          <w:sz w:val="24"/>
          <w:szCs w:val="24"/>
          <w:highlight w:val="none"/>
          <w:lang w:bidi="ar"/>
        </w:rPr>
        <w:t>；</w:t>
      </w:r>
    </w:p>
    <w:p w14:paraId="48198809">
      <w:pPr>
        <w:pStyle w:val="41"/>
        <w:widowControl/>
        <w:numPr>
          <w:ilvl w:val="0"/>
          <w:numId w:val="11"/>
        </w:numPr>
        <w:adjustRightInd w:val="0"/>
        <w:snapToGrid w:val="0"/>
        <w:spacing w:beforeAutospacing="0" w:afterAutospacing="0" w:line="240" w:lineRule="auto"/>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床垫：采用面料表面防水处理，装有拉链，外部面料可水洗</w:t>
      </w:r>
      <w:bookmarkEnd w:id="420"/>
      <w:r>
        <w:rPr>
          <w:rFonts w:hint="eastAsia" w:ascii="仿宋" w:hAnsi="仿宋" w:eastAsia="仿宋" w:cs="仿宋"/>
          <w:color w:val="auto"/>
          <w:sz w:val="24"/>
          <w:szCs w:val="24"/>
          <w:highlight w:val="none"/>
          <w:lang w:bidi="ar"/>
        </w:rPr>
        <w:t>；</w:t>
      </w:r>
    </w:p>
    <w:p w14:paraId="7485AB59">
      <w:pPr>
        <w:pStyle w:val="41"/>
        <w:widowControl/>
        <w:adjustRightInd w:val="0"/>
        <w:snapToGrid w:val="0"/>
        <w:spacing w:beforeAutospacing="0" w:afterAutospacing="0"/>
        <w:jc w:val="center"/>
        <w:rPr>
          <w:rFonts w:hint="eastAsia" w:ascii="仿宋" w:hAnsi="仿宋" w:eastAsia="仿宋" w:cs="仿宋"/>
          <w:b/>
          <w:bCs/>
          <w:color w:val="auto"/>
          <w:sz w:val="28"/>
          <w:szCs w:val="28"/>
          <w:highlight w:val="none"/>
          <w:lang w:bidi="ar"/>
        </w:rPr>
      </w:pPr>
      <w:r>
        <w:rPr>
          <w:rFonts w:hint="eastAsia" w:ascii="仿宋" w:hAnsi="仿宋" w:eastAsia="仿宋" w:cs="仿宋"/>
          <w:color w:val="auto"/>
          <w:sz w:val="24"/>
          <w:szCs w:val="24"/>
          <w:highlight w:val="none"/>
        </w:rPr>
        <w:br w:type="page"/>
      </w:r>
      <w:r>
        <w:rPr>
          <w:rFonts w:hint="eastAsia" w:ascii="仿宋" w:hAnsi="仿宋" w:eastAsia="仿宋" w:cs="仿宋"/>
          <w:b/>
          <w:bCs/>
          <w:color w:val="auto"/>
          <w:sz w:val="28"/>
          <w:szCs w:val="28"/>
          <w:highlight w:val="none"/>
          <w:lang w:bidi="ar"/>
        </w:rPr>
        <w:t>电动病床</w:t>
      </w:r>
    </w:p>
    <w:p w14:paraId="30625DC9">
      <w:pPr>
        <w:pStyle w:val="41"/>
        <w:widowControl/>
        <w:adjustRightInd w:val="0"/>
        <w:snapToGrid w:val="0"/>
        <w:spacing w:beforeAutospacing="0" w:afterAutospacing="0"/>
        <w:rPr>
          <w:rStyle w:val="50"/>
          <w:rFonts w:hint="eastAsia" w:ascii="仿宋" w:hAnsi="仿宋" w:eastAsia="仿宋" w:cs="仿宋"/>
          <w:b w:val="0"/>
          <w:bCs/>
          <w:color w:val="auto"/>
          <w:sz w:val="24"/>
          <w:szCs w:val="24"/>
          <w:highlight w:val="none"/>
          <w:shd w:val="clear" w:color="auto" w:fill="FFFFFF"/>
        </w:rPr>
      </w:pPr>
      <w:r>
        <w:rPr>
          <w:rStyle w:val="50"/>
          <w:rFonts w:hint="eastAsia" w:ascii="仿宋" w:hAnsi="仿宋" w:eastAsia="仿宋" w:cs="仿宋"/>
          <w:bCs/>
          <w:color w:val="auto"/>
          <w:sz w:val="24"/>
          <w:szCs w:val="24"/>
          <w:highlight w:val="none"/>
          <w:shd w:val="clear" w:color="auto" w:fill="FFFFFF"/>
        </w:rPr>
        <w:t>一、功能描述</w:t>
      </w:r>
    </w:p>
    <w:p w14:paraId="62E8647A">
      <w:pPr>
        <w:pStyle w:val="41"/>
        <w:widowControl/>
        <w:adjustRightInd w:val="0"/>
        <w:snapToGrid w:val="0"/>
        <w:spacing w:beforeAutospacing="0" w:afterAutospacing="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适用于医疗监护下的成年患者的诊断、治疗或监护时使用，用以支撑患者身体，形成临床所需体位；</w:t>
      </w:r>
    </w:p>
    <w:p w14:paraId="1F08CF0F">
      <w:pPr>
        <w:pStyle w:val="41"/>
        <w:widowControl/>
        <w:adjustRightInd w:val="0"/>
        <w:snapToGrid w:val="0"/>
        <w:spacing w:beforeAutospacing="0" w:afterAutospacing="0"/>
        <w:rPr>
          <w:rStyle w:val="50"/>
          <w:rFonts w:hint="eastAsia" w:ascii="仿宋" w:hAnsi="仿宋" w:eastAsia="仿宋" w:cs="仿宋"/>
          <w:b w:val="0"/>
          <w:bCs/>
          <w:color w:val="auto"/>
          <w:sz w:val="24"/>
          <w:szCs w:val="24"/>
          <w:highlight w:val="none"/>
          <w:shd w:val="clear" w:color="auto" w:fill="FFFFFF"/>
        </w:rPr>
      </w:pPr>
      <w:r>
        <w:rPr>
          <w:rStyle w:val="50"/>
          <w:rFonts w:hint="eastAsia" w:ascii="仿宋" w:hAnsi="仿宋" w:eastAsia="仿宋" w:cs="仿宋"/>
          <w:bCs/>
          <w:color w:val="auto"/>
          <w:sz w:val="24"/>
          <w:szCs w:val="24"/>
          <w:highlight w:val="none"/>
          <w:shd w:val="clear" w:color="auto" w:fill="FFFFFF"/>
        </w:rPr>
        <w:t>二、硬件配置清单</w:t>
      </w:r>
    </w:p>
    <w:p w14:paraId="5B17D569">
      <w:pPr>
        <w:pStyle w:val="41"/>
        <w:widowControl/>
        <w:numPr>
          <w:ilvl w:val="0"/>
          <w:numId w:val="12"/>
        </w:numPr>
        <w:adjustRightInd w:val="0"/>
        <w:snapToGrid w:val="0"/>
        <w:spacing w:beforeAutospacing="0" w:afterAutospacing="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护理床1张；</w:t>
      </w:r>
    </w:p>
    <w:p w14:paraId="050B3644">
      <w:pPr>
        <w:pStyle w:val="41"/>
        <w:widowControl/>
        <w:numPr>
          <w:ilvl w:val="0"/>
          <w:numId w:val="12"/>
        </w:numPr>
        <w:adjustRightInd w:val="0"/>
        <w:snapToGrid w:val="0"/>
        <w:spacing w:beforeAutospacing="0" w:afterAutospacing="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床垫1张</w:t>
      </w:r>
    </w:p>
    <w:p w14:paraId="52429D4E">
      <w:pPr>
        <w:pStyle w:val="41"/>
        <w:widowControl/>
        <w:adjustRightInd w:val="0"/>
        <w:snapToGrid w:val="0"/>
        <w:spacing w:beforeAutospacing="0" w:afterAutospacing="0"/>
        <w:rPr>
          <w:rStyle w:val="50"/>
          <w:rFonts w:hint="eastAsia" w:ascii="仿宋" w:hAnsi="仿宋" w:eastAsia="仿宋" w:cs="仿宋"/>
          <w:color w:val="auto"/>
          <w:sz w:val="24"/>
          <w:szCs w:val="24"/>
          <w:highlight w:val="none"/>
          <w:shd w:val="clear" w:color="auto" w:fill="FFFFFF"/>
        </w:rPr>
      </w:pPr>
      <w:r>
        <w:rPr>
          <w:rStyle w:val="50"/>
          <w:rFonts w:hint="eastAsia" w:ascii="仿宋" w:hAnsi="仿宋" w:eastAsia="仿宋" w:cs="仿宋"/>
          <w:color w:val="auto"/>
          <w:sz w:val="24"/>
          <w:szCs w:val="24"/>
          <w:highlight w:val="none"/>
          <w:shd w:val="clear" w:color="auto" w:fill="FFFFFF"/>
        </w:rPr>
        <w:t>三、</w:t>
      </w:r>
      <w:r>
        <w:rPr>
          <w:rStyle w:val="50"/>
          <w:rFonts w:hint="eastAsia" w:ascii="仿宋" w:hAnsi="仿宋" w:eastAsia="仿宋" w:cs="仿宋"/>
          <w:bCs/>
          <w:color w:val="auto"/>
          <w:sz w:val="24"/>
          <w:szCs w:val="24"/>
          <w:highlight w:val="none"/>
          <w:shd w:val="clear" w:color="auto" w:fill="FFFFFF"/>
        </w:rPr>
        <w:t>备品备件清单</w:t>
      </w:r>
    </w:p>
    <w:p w14:paraId="13844886">
      <w:pPr>
        <w:pStyle w:val="41"/>
        <w:widowControl/>
        <w:adjustRightInd w:val="0"/>
        <w:snapToGrid w:val="0"/>
        <w:spacing w:beforeAutospacing="0" w:afterAutospacing="0"/>
        <w:rPr>
          <w:rFonts w:hint="eastAsia" w:ascii="仿宋" w:hAnsi="仿宋" w:eastAsia="仿宋" w:cs="仿宋"/>
          <w:bCs/>
          <w:color w:val="auto"/>
          <w:sz w:val="24"/>
          <w:szCs w:val="24"/>
          <w:highlight w:val="none"/>
        </w:rPr>
      </w:pPr>
      <w:r>
        <w:rPr>
          <w:rStyle w:val="50"/>
          <w:rFonts w:hint="eastAsia" w:ascii="仿宋" w:hAnsi="仿宋" w:eastAsia="仿宋" w:cs="仿宋"/>
          <w:bCs/>
          <w:color w:val="auto"/>
          <w:sz w:val="24"/>
          <w:szCs w:val="24"/>
          <w:highlight w:val="none"/>
          <w:shd w:val="clear" w:color="auto" w:fill="FFFFFF"/>
        </w:rPr>
        <w:t>无</w:t>
      </w:r>
    </w:p>
    <w:p w14:paraId="56A0AEBF">
      <w:pPr>
        <w:pStyle w:val="41"/>
        <w:widowControl/>
        <w:adjustRightInd w:val="0"/>
        <w:snapToGrid w:val="0"/>
        <w:spacing w:beforeAutospacing="0" w:afterAutospacing="0"/>
        <w:rPr>
          <w:rStyle w:val="50"/>
          <w:rFonts w:hint="eastAsia" w:ascii="仿宋" w:hAnsi="仿宋" w:eastAsia="仿宋" w:cs="仿宋"/>
          <w:b w:val="0"/>
          <w:bCs/>
          <w:color w:val="auto"/>
          <w:sz w:val="24"/>
          <w:szCs w:val="24"/>
          <w:highlight w:val="none"/>
          <w:shd w:val="clear" w:color="auto" w:fill="FFFFFF"/>
        </w:rPr>
      </w:pPr>
      <w:r>
        <w:rPr>
          <w:rStyle w:val="50"/>
          <w:rFonts w:hint="eastAsia" w:ascii="仿宋" w:hAnsi="仿宋" w:eastAsia="仿宋" w:cs="仿宋"/>
          <w:bCs/>
          <w:color w:val="auto"/>
          <w:sz w:val="24"/>
          <w:szCs w:val="24"/>
          <w:highlight w:val="none"/>
          <w:shd w:val="clear" w:color="auto" w:fill="FFFFFF"/>
        </w:rPr>
        <w:t>四、质量要求</w:t>
      </w:r>
    </w:p>
    <w:p w14:paraId="06B1F204">
      <w:pPr>
        <w:pStyle w:val="41"/>
        <w:widowControl/>
        <w:numPr>
          <w:ilvl w:val="0"/>
          <w:numId w:val="13"/>
        </w:numPr>
        <w:adjustRightInd w:val="0"/>
        <w:snapToGrid w:val="0"/>
        <w:spacing w:beforeAutospacing="0" w:afterAutospacing="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规格尺寸：</w:t>
      </w:r>
      <w:r>
        <w:rPr>
          <w:rFonts w:hint="eastAsia" w:ascii="仿宋" w:hAnsi="仿宋" w:eastAsia="仿宋" w:cs="仿宋"/>
          <w:bCs/>
          <w:color w:val="auto"/>
          <w:sz w:val="24"/>
          <w:szCs w:val="24"/>
          <w:highlight w:val="none"/>
          <w:lang w:eastAsia="uk-UA"/>
        </w:rPr>
        <w:t>整床尺寸≥2</w:t>
      </w:r>
      <w:r>
        <w:rPr>
          <w:rFonts w:hint="eastAsia" w:ascii="仿宋" w:hAnsi="仿宋" w:eastAsia="仿宋" w:cs="仿宋"/>
          <w:bCs/>
          <w:color w:val="auto"/>
          <w:sz w:val="24"/>
          <w:szCs w:val="24"/>
          <w:highlight w:val="none"/>
        </w:rPr>
        <w:t>000</w:t>
      </w:r>
      <w:r>
        <w:rPr>
          <w:rFonts w:hint="eastAsia" w:ascii="仿宋" w:hAnsi="仿宋" w:eastAsia="仿宋" w:cs="仿宋"/>
          <w:bCs/>
          <w:color w:val="auto"/>
          <w:sz w:val="24"/>
          <w:szCs w:val="24"/>
          <w:highlight w:val="none"/>
          <w:lang w:eastAsia="uk-UA"/>
        </w:rPr>
        <w:t>mm×</w:t>
      </w:r>
      <w:r>
        <w:rPr>
          <w:rFonts w:hint="eastAsia" w:ascii="仿宋" w:hAnsi="仿宋" w:eastAsia="仿宋" w:cs="仿宋"/>
          <w:bCs/>
          <w:color w:val="auto"/>
          <w:sz w:val="24"/>
          <w:szCs w:val="24"/>
          <w:highlight w:val="none"/>
        </w:rPr>
        <w:t>950</w:t>
      </w:r>
      <w:r>
        <w:rPr>
          <w:rFonts w:hint="eastAsia" w:ascii="仿宋" w:hAnsi="仿宋" w:eastAsia="仿宋" w:cs="仿宋"/>
          <w:bCs/>
          <w:color w:val="auto"/>
          <w:sz w:val="24"/>
          <w:szCs w:val="24"/>
          <w:highlight w:val="none"/>
          <w:lang w:eastAsia="uk-UA"/>
        </w:rPr>
        <w:t>mm（含护栏），最大升降高度≥700mm，床尾带延长架，床面可伸长</w:t>
      </w:r>
      <w:r>
        <w:rPr>
          <w:rFonts w:hint="eastAsia" w:ascii="仿宋" w:hAnsi="仿宋" w:eastAsia="仿宋" w:cs="仿宋"/>
          <w:bCs/>
          <w:color w:val="auto"/>
          <w:sz w:val="24"/>
          <w:szCs w:val="24"/>
          <w:highlight w:val="none"/>
        </w:rPr>
        <w:t>；</w:t>
      </w:r>
    </w:p>
    <w:p w14:paraId="2421C2C2">
      <w:pPr>
        <w:pStyle w:val="41"/>
        <w:widowControl/>
        <w:numPr>
          <w:ilvl w:val="0"/>
          <w:numId w:val="13"/>
        </w:numPr>
        <w:adjustRightInd w:val="0"/>
        <w:snapToGrid w:val="0"/>
        <w:spacing w:beforeAutospacing="0" w:afterAutospacing="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uk-UA"/>
        </w:rPr>
        <w:t>整床安全工作载荷≥</w:t>
      </w:r>
      <w:r>
        <w:rPr>
          <w:rFonts w:hint="eastAsia" w:ascii="仿宋" w:hAnsi="仿宋" w:eastAsia="仿宋" w:cs="仿宋"/>
          <w:bCs/>
          <w:color w:val="auto"/>
          <w:sz w:val="24"/>
          <w:szCs w:val="24"/>
          <w:highlight w:val="none"/>
        </w:rPr>
        <w:t>180</w:t>
      </w:r>
      <w:r>
        <w:rPr>
          <w:rFonts w:hint="eastAsia" w:ascii="仿宋" w:hAnsi="仿宋" w:eastAsia="仿宋" w:cs="仿宋"/>
          <w:bCs/>
          <w:color w:val="auto"/>
          <w:sz w:val="24"/>
          <w:szCs w:val="24"/>
          <w:highlight w:val="none"/>
          <w:lang w:eastAsia="uk-UA"/>
        </w:rPr>
        <w:t>KG</w:t>
      </w:r>
      <w:r>
        <w:rPr>
          <w:rFonts w:hint="eastAsia" w:ascii="仿宋" w:hAnsi="仿宋" w:eastAsia="仿宋" w:cs="仿宋"/>
          <w:bCs/>
          <w:color w:val="auto"/>
          <w:sz w:val="24"/>
          <w:szCs w:val="24"/>
          <w:highlight w:val="none"/>
        </w:rPr>
        <w:t>；</w:t>
      </w:r>
    </w:p>
    <w:p w14:paraId="015610EF">
      <w:pPr>
        <w:pStyle w:val="41"/>
        <w:widowControl/>
        <w:numPr>
          <w:ilvl w:val="0"/>
          <w:numId w:val="13"/>
        </w:numPr>
        <w:adjustRightInd w:val="0"/>
        <w:snapToGrid w:val="0"/>
        <w:spacing w:beforeAutospacing="0" w:afterAutospacing="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uk-UA"/>
        </w:rPr>
        <w:t>背部升降：≥0-70°，腿部升降：≥0-</w:t>
      </w:r>
      <w:r>
        <w:rPr>
          <w:rFonts w:hint="eastAsia" w:ascii="仿宋" w:hAnsi="仿宋" w:eastAsia="仿宋" w:cs="仿宋"/>
          <w:bCs/>
          <w:color w:val="auto"/>
          <w:sz w:val="24"/>
          <w:szCs w:val="24"/>
          <w:highlight w:val="none"/>
        </w:rPr>
        <w:t>25</w:t>
      </w:r>
      <w:r>
        <w:rPr>
          <w:rFonts w:hint="eastAsia" w:ascii="仿宋" w:hAnsi="仿宋" w:eastAsia="仿宋" w:cs="仿宋"/>
          <w:bCs/>
          <w:color w:val="auto"/>
          <w:sz w:val="24"/>
          <w:szCs w:val="24"/>
          <w:highlight w:val="none"/>
          <w:lang w:eastAsia="uk-UA"/>
        </w:rPr>
        <w:t>°，床头尾倾斜≥0-10°；具备包括但不限于一键心脏椅位、一键复位、背膝联动、靠背手动CPR紧急复位、电动CPR、护栏内侧设急停开关等功能</w:t>
      </w:r>
      <w:r>
        <w:rPr>
          <w:rFonts w:hint="eastAsia" w:ascii="仿宋" w:hAnsi="仿宋" w:eastAsia="仿宋" w:cs="仿宋"/>
          <w:bCs/>
          <w:color w:val="auto"/>
          <w:sz w:val="24"/>
          <w:szCs w:val="24"/>
          <w:highlight w:val="none"/>
        </w:rPr>
        <w:t>；</w:t>
      </w:r>
    </w:p>
    <w:p w14:paraId="6C12629C">
      <w:pPr>
        <w:pStyle w:val="41"/>
        <w:widowControl/>
        <w:numPr>
          <w:ilvl w:val="0"/>
          <w:numId w:val="13"/>
        </w:numPr>
        <w:adjustRightInd w:val="0"/>
        <w:snapToGrid w:val="0"/>
        <w:spacing w:beforeAutospacing="0" w:afterAutospacing="0"/>
        <w:rPr>
          <w:rFonts w:hint="eastAsia" w:ascii="仿宋" w:hAnsi="仿宋" w:eastAsia="仿宋" w:cs="仿宋"/>
          <w:bCs/>
          <w:strike w:val="0"/>
          <w:dstrike w:val="0"/>
          <w:color w:val="auto"/>
          <w:sz w:val="24"/>
          <w:szCs w:val="24"/>
          <w:highlight w:val="none"/>
        </w:rPr>
      </w:pPr>
      <w:r>
        <w:rPr>
          <w:rFonts w:hint="eastAsia" w:ascii="仿宋" w:hAnsi="仿宋" w:eastAsia="仿宋" w:cs="仿宋"/>
          <w:bCs/>
          <w:color w:val="auto"/>
          <w:sz w:val="24"/>
          <w:szCs w:val="24"/>
          <w:highlight w:val="none"/>
          <w:lang w:eastAsia="uk-UA"/>
        </w:rPr>
        <w:t>床架与底架之间设置</w:t>
      </w:r>
      <w:r>
        <w:rPr>
          <w:rFonts w:hint="eastAsia" w:ascii="仿宋" w:hAnsi="仿宋" w:eastAsia="仿宋" w:cs="仿宋"/>
          <w:bCs/>
          <w:strike w:val="0"/>
          <w:dstrike w:val="0"/>
          <w:color w:val="auto"/>
          <w:sz w:val="24"/>
          <w:szCs w:val="24"/>
          <w:highlight w:val="none"/>
          <w:lang w:eastAsia="uk-UA"/>
        </w:rPr>
        <w:t>用于支撑床架的升降结构。</w:t>
      </w:r>
    </w:p>
    <w:p w14:paraId="7275C979">
      <w:pPr>
        <w:pStyle w:val="41"/>
        <w:widowControl/>
        <w:numPr>
          <w:ilvl w:val="0"/>
          <w:numId w:val="13"/>
        </w:numPr>
        <w:adjustRightInd w:val="0"/>
        <w:snapToGrid w:val="0"/>
        <w:spacing w:beforeAutospacing="0" w:afterAutospacing="0"/>
        <w:rPr>
          <w:rFonts w:hint="eastAsia" w:ascii="仿宋" w:hAnsi="仿宋" w:eastAsia="仿宋" w:cs="仿宋"/>
          <w:bCs/>
          <w:strike w:val="0"/>
          <w:dstrike w:val="0"/>
          <w:color w:val="auto"/>
          <w:sz w:val="24"/>
          <w:szCs w:val="24"/>
          <w:highlight w:val="none"/>
        </w:rPr>
      </w:pPr>
      <w:r>
        <w:rPr>
          <w:rFonts w:hint="eastAsia" w:ascii="仿宋" w:hAnsi="仿宋" w:eastAsia="仿宋" w:cs="仿宋"/>
          <w:bCs/>
          <w:strike w:val="0"/>
          <w:dstrike w:val="0"/>
          <w:color w:val="auto"/>
          <w:sz w:val="24"/>
          <w:szCs w:val="24"/>
          <w:highlight w:val="none"/>
          <w:lang w:eastAsia="uk-UA"/>
        </w:rPr>
        <w:t>靠背板上升时具备C型后退功能。</w:t>
      </w:r>
    </w:p>
    <w:p w14:paraId="66604E18">
      <w:pPr>
        <w:pStyle w:val="41"/>
        <w:widowControl/>
        <w:numPr>
          <w:ilvl w:val="0"/>
          <w:numId w:val="13"/>
        </w:numPr>
        <w:adjustRightInd w:val="0"/>
        <w:snapToGrid w:val="0"/>
        <w:spacing w:beforeAutospacing="0" w:afterAutospacing="0"/>
        <w:rPr>
          <w:rFonts w:hint="eastAsia" w:ascii="仿宋" w:hAnsi="仿宋" w:eastAsia="仿宋" w:cs="仿宋"/>
          <w:bCs/>
          <w:strike w:val="0"/>
          <w:dstrike w:val="0"/>
          <w:color w:val="auto"/>
          <w:sz w:val="24"/>
          <w:szCs w:val="24"/>
          <w:highlight w:val="none"/>
        </w:rPr>
      </w:pPr>
      <w:r>
        <w:rPr>
          <w:rFonts w:hint="eastAsia" w:ascii="仿宋" w:hAnsi="仿宋" w:eastAsia="仿宋" w:cs="仿宋"/>
          <w:bCs/>
          <w:strike w:val="0"/>
          <w:dstrike w:val="0"/>
          <w:color w:val="auto"/>
          <w:sz w:val="24"/>
          <w:szCs w:val="24"/>
          <w:highlight w:val="none"/>
        </w:rPr>
        <w:t>≥</w:t>
      </w:r>
      <w:r>
        <w:rPr>
          <w:rFonts w:hint="eastAsia" w:ascii="仿宋" w:hAnsi="仿宋" w:eastAsia="仿宋" w:cs="仿宋"/>
          <w:bCs/>
          <w:strike w:val="0"/>
          <w:dstrike w:val="0"/>
          <w:color w:val="auto"/>
          <w:sz w:val="24"/>
          <w:szCs w:val="24"/>
          <w:highlight w:val="none"/>
          <w:lang w:eastAsia="uk-UA"/>
        </w:rPr>
        <w:t>四组电机，整体升降电机两个、背部及膝部电机各一个，静音设计。</w:t>
      </w:r>
    </w:p>
    <w:p w14:paraId="719DDDE3">
      <w:pPr>
        <w:pStyle w:val="41"/>
        <w:widowControl/>
        <w:numPr>
          <w:ilvl w:val="0"/>
          <w:numId w:val="13"/>
        </w:numPr>
        <w:adjustRightInd w:val="0"/>
        <w:snapToGrid w:val="0"/>
        <w:spacing w:beforeAutospacing="0" w:afterAutospacing="0"/>
        <w:rPr>
          <w:rFonts w:hint="eastAsia" w:ascii="仿宋" w:hAnsi="仿宋" w:eastAsia="仿宋" w:cs="仿宋"/>
          <w:bCs/>
          <w:strike w:val="0"/>
          <w:dstrike w:val="0"/>
          <w:color w:val="auto"/>
          <w:sz w:val="24"/>
          <w:szCs w:val="24"/>
          <w:highlight w:val="none"/>
        </w:rPr>
      </w:pPr>
      <w:r>
        <w:rPr>
          <w:rFonts w:hint="eastAsia" w:ascii="仿宋" w:hAnsi="仿宋" w:eastAsia="仿宋" w:cs="仿宋"/>
          <w:bCs/>
          <w:strike w:val="0"/>
          <w:dstrike w:val="0"/>
          <w:color w:val="auto"/>
          <w:sz w:val="24"/>
          <w:szCs w:val="24"/>
          <w:highlight w:val="none"/>
          <w:lang w:eastAsia="uk-UA"/>
        </w:rPr>
        <w:t>配置备用电池，防护等级IPX4及以上。</w:t>
      </w:r>
    </w:p>
    <w:p w14:paraId="39C6FA06">
      <w:pPr>
        <w:pStyle w:val="41"/>
        <w:widowControl/>
        <w:numPr>
          <w:ilvl w:val="0"/>
          <w:numId w:val="13"/>
        </w:numPr>
        <w:adjustRightInd w:val="0"/>
        <w:snapToGrid w:val="0"/>
        <w:spacing w:beforeAutospacing="0" w:afterAutospacing="0"/>
        <w:rPr>
          <w:rFonts w:hint="eastAsia" w:ascii="仿宋" w:hAnsi="仿宋" w:eastAsia="仿宋" w:cs="仿宋"/>
          <w:bCs/>
          <w:strike w:val="0"/>
          <w:dstrike w:val="0"/>
          <w:color w:val="auto"/>
          <w:sz w:val="24"/>
          <w:szCs w:val="24"/>
          <w:highlight w:val="none"/>
        </w:rPr>
      </w:pPr>
      <w:r>
        <w:rPr>
          <w:rFonts w:hint="eastAsia" w:ascii="仿宋" w:hAnsi="仿宋" w:eastAsia="仿宋" w:cs="仿宋"/>
          <w:bCs/>
          <w:strike w:val="0"/>
          <w:dstrike w:val="0"/>
          <w:color w:val="auto"/>
          <w:sz w:val="24"/>
          <w:szCs w:val="24"/>
          <w:highlight w:val="none"/>
          <w:lang w:eastAsia="uk-UA"/>
        </w:rPr>
        <w:t>控制器：带锁定手控器和围栏内外共4片控制面板，带锁定功能，可锁定4片按制面板，。</w:t>
      </w:r>
    </w:p>
    <w:p w14:paraId="28939D62">
      <w:pPr>
        <w:pStyle w:val="41"/>
        <w:widowControl/>
        <w:numPr>
          <w:ilvl w:val="0"/>
          <w:numId w:val="13"/>
        </w:numPr>
        <w:adjustRightInd w:val="0"/>
        <w:snapToGrid w:val="0"/>
        <w:spacing w:beforeAutospacing="0" w:afterAutospacing="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uk-UA"/>
        </w:rPr>
        <w:t>床底带独立可控制开/关的床底灯。</w:t>
      </w:r>
    </w:p>
    <w:p w14:paraId="7D78E08F">
      <w:pPr>
        <w:pStyle w:val="41"/>
        <w:widowControl/>
        <w:numPr>
          <w:ilvl w:val="0"/>
          <w:numId w:val="13"/>
        </w:numPr>
        <w:adjustRightInd w:val="0"/>
        <w:snapToGrid w:val="0"/>
        <w:spacing w:beforeAutospacing="0" w:afterAutospacing="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uk-UA"/>
        </w:rPr>
        <w:t>床头床尾板采用高分子材料制造。具备抗冲击性、耐热性、耐低温性、耐化学药品性等，插孔内置自动压紧弹片，与床架连接紧密，并可实现快速拆卸。</w:t>
      </w:r>
    </w:p>
    <w:p w14:paraId="6BDCE152">
      <w:pPr>
        <w:pStyle w:val="41"/>
        <w:widowControl/>
        <w:numPr>
          <w:ilvl w:val="0"/>
          <w:numId w:val="13"/>
        </w:numPr>
        <w:adjustRightInd w:val="0"/>
        <w:snapToGrid w:val="0"/>
        <w:spacing w:beforeAutospacing="0" w:afterAutospacing="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uk-UA"/>
        </w:rPr>
        <w:t>床尾设计有延长架。</w:t>
      </w:r>
    </w:p>
    <w:p w14:paraId="3A237902">
      <w:pPr>
        <w:pStyle w:val="41"/>
        <w:widowControl/>
        <w:numPr>
          <w:ilvl w:val="0"/>
          <w:numId w:val="13"/>
        </w:numPr>
        <w:adjustRightInd w:val="0"/>
        <w:snapToGrid w:val="0"/>
        <w:spacing w:beforeAutospacing="0" w:afterAutospacing="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uk-UA"/>
        </w:rPr>
        <w:t>四片式分段护栏，符合IEC 60601-2-52安全标准；采用高分子材料制造，表面易清洁。具备抗冲击性、耐热性、耐低温性、耐化学药品性等。护栏预留离床辅助把手孔位。</w:t>
      </w:r>
    </w:p>
    <w:p w14:paraId="3743F173">
      <w:pPr>
        <w:pStyle w:val="41"/>
        <w:widowControl/>
        <w:numPr>
          <w:ilvl w:val="0"/>
          <w:numId w:val="13"/>
        </w:numPr>
        <w:adjustRightInd w:val="0"/>
        <w:snapToGrid w:val="0"/>
        <w:spacing w:beforeAutospacing="0" w:afterAutospacing="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uk-UA"/>
        </w:rPr>
        <w:t>护栏采用阻尼器升降结构。</w:t>
      </w:r>
    </w:p>
    <w:p w14:paraId="1A961256">
      <w:pPr>
        <w:pStyle w:val="41"/>
        <w:widowControl/>
        <w:numPr>
          <w:ilvl w:val="0"/>
          <w:numId w:val="13"/>
        </w:numPr>
        <w:adjustRightInd w:val="0"/>
        <w:snapToGrid w:val="0"/>
        <w:spacing w:beforeAutospacing="0" w:afterAutospacing="0"/>
        <w:rPr>
          <w:rFonts w:hint="eastAsia" w:ascii="仿宋" w:hAnsi="仿宋" w:eastAsia="仿宋" w:cs="仿宋"/>
          <w:bCs/>
          <w:strike w:val="0"/>
          <w:dstrike w:val="0"/>
          <w:color w:val="auto"/>
          <w:sz w:val="24"/>
          <w:szCs w:val="24"/>
          <w:highlight w:val="none"/>
        </w:rPr>
      </w:pPr>
      <w:r>
        <w:rPr>
          <w:rFonts w:hint="eastAsia" w:ascii="仿宋" w:hAnsi="仿宋" w:eastAsia="仿宋" w:cs="仿宋"/>
          <w:bCs/>
          <w:strike w:val="0"/>
          <w:dstrike w:val="0"/>
          <w:color w:val="auto"/>
          <w:sz w:val="24"/>
          <w:szCs w:val="24"/>
          <w:highlight w:val="none"/>
          <w:lang w:eastAsia="uk-UA"/>
        </w:rPr>
        <w:t>床头护栏配置有角度显示器</w:t>
      </w:r>
      <w:r>
        <w:rPr>
          <w:rFonts w:hint="eastAsia" w:ascii="仿宋" w:hAnsi="仿宋" w:eastAsia="仿宋" w:cs="仿宋"/>
          <w:bCs/>
          <w:strike w:val="0"/>
          <w:dstrike w:val="0"/>
          <w:color w:val="auto"/>
          <w:sz w:val="24"/>
          <w:szCs w:val="24"/>
          <w:highlight w:val="none"/>
          <w:lang w:val="en-US" w:eastAsia="zh-CN"/>
        </w:rPr>
        <w:t>.</w:t>
      </w:r>
    </w:p>
    <w:p w14:paraId="7FCE93D4">
      <w:pPr>
        <w:pStyle w:val="41"/>
        <w:widowControl/>
        <w:numPr>
          <w:ilvl w:val="0"/>
          <w:numId w:val="13"/>
        </w:numPr>
        <w:adjustRightInd w:val="0"/>
        <w:snapToGrid w:val="0"/>
        <w:spacing w:beforeAutospacing="0" w:afterAutospacing="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uk-UA"/>
        </w:rPr>
        <w:t>床架两侧各设计≥2个活动附件挂钩</w:t>
      </w:r>
      <w:r>
        <w:rPr>
          <w:rFonts w:hint="eastAsia" w:ascii="仿宋" w:hAnsi="仿宋" w:eastAsia="仿宋" w:cs="仿宋"/>
          <w:bCs/>
          <w:strike w:val="0"/>
          <w:color w:val="auto"/>
          <w:sz w:val="24"/>
          <w:szCs w:val="24"/>
          <w:highlight w:val="none"/>
          <w:lang w:val="en-US" w:eastAsia="zh-CN"/>
        </w:rPr>
        <w:t>。</w:t>
      </w:r>
    </w:p>
    <w:p w14:paraId="10913088">
      <w:pPr>
        <w:pStyle w:val="41"/>
        <w:widowControl/>
        <w:numPr>
          <w:ilvl w:val="0"/>
          <w:numId w:val="13"/>
        </w:numPr>
        <w:adjustRightInd w:val="0"/>
        <w:snapToGrid w:val="0"/>
        <w:spacing w:beforeAutospacing="0" w:afterAutospacing="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uk-UA"/>
        </w:rPr>
        <w:t>床头床尾共配置4个防撞缓冲轮。</w:t>
      </w:r>
    </w:p>
    <w:p w14:paraId="1163B8A4">
      <w:pPr>
        <w:pStyle w:val="41"/>
        <w:widowControl/>
        <w:numPr>
          <w:ilvl w:val="0"/>
          <w:numId w:val="13"/>
        </w:numPr>
        <w:adjustRightInd w:val="0"/>
        <w:snapToGrid w:val="0"/>
        <w:spacing w:beforeAutospacing="0" w:afterAutospacing="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uk-UA"/>
        </w:rPr>
        <w:t>配置四个直径≥125mm静音中控双面旋转脚轮,具有包括但不限于锁定、自由、定向中央控制锁定装置。</w:t>
      </w:r>
    </w:p>
    <w:p w14:paraId="4148C40C">
      <w:pPr>
        <w:pStyle w:val="41"/>
        <w:widowControl/>
        <w:numPr>
          <w:ilvl w:val="0"/>
          <w:numId w:val="13"/>
        </w:numPr>
        <w:adjustRightInd w:val="0"/>
        <w:snapToGrid w:val="0"/>
        <w:spacing w:beforeAutospacing="0" w:afterAutospacing="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uk-UA"/>
        </w:rPr>
        <w:t>整体床架及护栏需经防锈处理，内外防锈。</w:t>
      </w:r>
    </w:p>
    <w:p w14:paraId="06180E40">
      <w:pPr>
        <w:pStyle w:val="41"/>
        <w:widowControl/>
        <w:numPr>
          <w:ilvl w:val="0"/>
          <w:numId w:val="13"/>
        </w:numPr>
        <w:adjustRightInd w:val="0"/>
        <w:snapToGrid w:val="0"/>
        <w:spacing w:beforeAutospacing="0" w:afterAutospacing="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uk-UA"/>
        </w:rPr>
        <w:t>床垫为3折床垫或一体床垫；尺寸与病床相配（厚度100mm-125mm）</w:t>
      </w:r>
    </w:p>
    <w:p w14:paraId="53B381E4">
      <w:pPr>
        <w:pStyle w:val="41"/>
        <w:widowControl/>
        <w:numPr>
          <w:ilvl w:val="0"/>
          <w:numId w:val="13"/>
        </w:numPr>
        <w:adjustRightInd w:val="0"/>
        <w:snapToGrid w:val="0"/>
        <w:spacing w:beforeAutospacing="0" w:afterAutospacing="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uk-UA"/>
        </w:rPr>
        <w:t>床垫外套为防水帆布或医用PU涂层织物，可灵活拆卸</w:t>
      </w:r>
      <w:r>
        <w:rPr>
          <w:rFonts w:hint="eastAsia" w:ascii="仿宋" w:hAnsi="仿宋" w:eastAsia="仿宋" w:cs="仿宋"/>
          <w:bCs/>
          <w:color w:val="auto"/>
          <w:sz w:val="24"/>
          <w:szCs w:val="24"/>
          <w:highlight w:val="none"/>
        </w:rPr>
        <w:t>；</w:t>
      </w:r>
    </w:p>
    <w:p w14:paraId="1023BD72">
      <w:pPr>
        <w:pStyle w:val="41"/>
        <w:widowControl/>
        <w:numPr>
          <w:ilvl w:val="0"/>
          <w:numId w:val="13"/>
        </w:numPr>
        <w:adjustRightInd w:val="0"/>
        <w:snapToGrid w:val="0"/>
        <w:spacing w:beforeAutospacing="0" w:afterAutospacing="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uk-UA"/>
        </w:rPr>
        <w:t>床垫由椰棕丝（厚度≥30mm）和海绵（厚度≥70mm）构成，或完全由海绵构成（厚度≥100mm）。</w:t>
      </w:r>
    </w:p>
    <w:p w14:paraId="7777841A">
      <w:pPr>
        <w:rPr>
          <w:rFonts w:hint="eastAsia" w:ascii="仿宋" w:hAnsi="仿宋" w:eastAsia="仿宋" w:cs="仿宋"/>
          <w:color w:val="auto"/>
          <w:sz w:val="24"/>
          <w:szCs w:val="24"/>
          <w:highlight w:val="none"/>
        </w:rPr>
      </w:pPr>
    </w:p>
    <w:p w14:paraId="0098D13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119AF6FF">
      <w:pPr>
        <w:rPr>
          <w:rFonts w:hint="eastAsia" w:ascii="仿宋" w:hAnsi="仿宋" w:eastAsia="仿宋" w:cs="仿宋"/>
          <w:color w:val="auto"/>
          <w:sz w:val="24"/>
          <w:szCs w:val="24"/>
          <w:highlight w:val="none"/>
        </w:rPr>
      </w:pPr>
    </w:p>
    <w:p w14:paraId="1E63BF72">
      <w:pPr>
        <w:pStyle w:val="41"/>
        <w:widowControl/>
        <w:adjustRightInd w:val="0"/>
        <w:snapToGrid w:val="0"/>
        <w:spacing w:beforeAutospacing="0" w:afterAutospacing="0"/>
        <w:jc w:val="center"/>
        <w:rPr>
          <w:rStyle w:val="50"/>
          <w:rFonts w:hint="eastAsia" w:ascii="仿宋" w:hAnsi="仿宋" w:eastAsia="仿宋" w:cs="仿宋"/>
          <w:b/>
          <w:bCs/>
          <w:color w:val="auto"/>
          <w:sz w:val="28"/>
          <w:szCs w:val="28"/>
          <w:highlight w:val="none"/>
          <w:shd w:val="clear" w:color="auto" w:fill="FFFFFF"/>
        </w:rPr>
      </w:pPr>
      <w:r>
        <w:rPr>
          <w:rFonts w:hint="eastAsia" w:ascii="仿宋" w:hAnsi="仿宋" w:eastAsia="仿宋" w:cs="仿宋"/>
          <w:b/>
          <w:bCs/>
          <w:color w:val="auto"/>
          <w:sz w:val="28"/>
          <w:szCs w:val="28"/>
          <w:highlight w:val="none"/>
          <w:lang w:bidi="ar"/>
        </w:rPr>
        <w:t>光子治疗仪</w:t>
      </w:r>
    </w:p>
    <w:p w14:paraId="51121A88">
      <w:pPr>
        <w:pStyle w:val="41"/>
        <w:widowControl/>
        <w:adjustRightInd w:val="0"/>
        <w:snapToGrid w:val="0"/>
        <w:spacing w:beforeAutospacing="0" w:afterAutospacing="0"/>
        <w:rPr>
          <w:rStyle w:val="50"/>
          <w:rFonts w:hint="eastAsia" w:ascii="仿宋" w:hAnsi="仿宋" w:eastAsia="仿宋" w:cs="仿宋"/>
          <w:b w:val="0"/>
          <w:bCs/>
          <w:color w:val="auto"/>
          <w:sz w:val="24"/>
          <w:szCs w:val="24"/>
          <w:highlight w:val="none"/>
          <w:shd w:val="clear" w:color="auto" w:fill="FFFFFF"/>
        </w:rPr>
      </w:pPr>
      <w:r>
        <w:rPr>
          <w:rStyle w:val="50"/>
          <w:rFonts w:hint="eastAsia" w:ascii="仿宋" w:hAnsi="仿宋" w:eastAsia="仿宋" w:cs="仿宋"/>
          <w:bCs/>
          <w:color w:val="auto"/>
          <w:sz w:val="24"/>
          <w:szCs w:val="24"/>
          <w:highlight w:val="none"/>
          <w:shd w:val="clear" w:color="auto" w:fill="FFFFFF"/>
        </w:rPr>
        <w:t>一、功能描述</w:t>
      </w:r>
    </w:p>
    <w:p w14:paraId="07DB7A31">
      <w:pPr>
        <w:pStyle w:val="41"/>
        <w:widowControl/>
        <w:adjustRightInd w:val="0"/>
        <w:snapToGrid w:val="0"/>
        <w:spacing w:beforeAutospacing="0" w:afterAutospacing="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适用于患者</w:t>
      </w:r>
      <w:r>
        <w:rPr>
          <w:rFonts w:hint="eastAsia" w:ascii="仿宋" w:hAnsi="仿宋" w:eastAsia="仿宋" w:cs="仿宋"/>
          <w:color w:val="auto"/>
          <w:sz w:val="24"/>
          <w:szCs w:val="24"/>
          <w:highlight w:val="none"/>
          <w:lang w:bidi="ar"/>
        </w:rPr>
        <w:t>消炎、镇痛，对体表创面有止渗液、促进肉芽组织生长，加速愈合。</w:t>
      </w:r>
      <w:r>
        <w:rPr>
          <w:rFonts w:hint="eastAsia" w:ascii="仿宋" w:hAnsi="仿宋" w:eastAsia="仿宋" w:cs="仿宋"/>
          <w:bCs/>
          <w:color w:val="auto"/>
          <w:sz w:val="24"/>
          <w:szCs w:val="24"/>
          <w:highlight w:val="none"/>
        </w:rPr>
        <w:t xml:space="preserve"> </w:t>
      </w:r>
    </w:p>
    <w:p w14:paraId="190F2039">
      <w:pPr>
        <w:pStyle w:val="41"/>
        <w:widowControl/>
        <w:adjustRightInd w:val="0"/>
        <w:snapToGrid w:val="0"/>
        <w:spacing w:beforeAutospacing="0" w:afterAutospacing="0"/>
        <w:rPr>
          <w:rStyle w:val="50"/>
          <w:rFonts w:hint="eastAsia" w:ascii="仿宋" w:hAnsi="仿宋" w:eastAsia="仿宋" w:cs="仿宋"/>
          <w:b w:val="0"/>
          <w:bCs/>
          <w:color w:val="auto"/>
          <w:sz w:val="24"/>
          <w:szCs w:val="24"/>
          <w:highlight w:val="none"/>
          <w:shd w:val="clear" w:color="auto" w:fill="FFFFFF"/>
        </w:rPr>
      </w:pPr>
      <w:r>
        <w:rPr>
          <w:rStyle w:val="50"/>
          <w:rFonts w:hint="eastAsia" w:ascii="仿宋" w:hAnsi="仿宋" w:eastAsia="仿宋" w:cs="仿宋"/>
          <w:bCs/>
          <w:color w:val="auto"/>
          <w:sz w:val="24"/>
          <w:szCs w:val="24"/>
          <w:highlight w:val="none"/>
          <w:shd w:val="clear" w:color="auto" w:fill="FFFFFF"/>
        </w:rPr>
        <w:t>二、硬件配置清单</w:t>
      </w:r>
    </w:p>
    <w:p w14:paraId="4CB31C6D">
      <w:pPr>
        <w:pStyle w:val="41"/>
        <w:widowControl/>
        <w:numPr>
          <w:ilvl w:val="0"/>
          <w:numId w:val="14"/>
        </w:numPr>
        <w:adjustRightInd w:val="0"/>
        <w:snapToGrid w:val="0"/>
        <w:spacing w:beforeAutospacing="0" w:afterAutospacing="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主机1个；</w:t>
      </w:r>
    </w:p>
    <w:p w14:paraId="33A419BB">
      <w:pPr>
        <w:pStyle w:val="41"/>
        <w:widowControl/>
        <w:adjustRightInd w:val="0"/>
        <w:snapToGrid w:val="0"/>
        <w:spacing w:beforeAutospacing="0" w:afterAutospacing="0"/>
        <w:rPr>
          <w:rStyle w:val="50"/>
          <w:rFonts w:hint="eastAsia" w:ascii="仿宋" w:hAnsi="仿宋" w:eastAsia="仿宋" w:cs="仿宋"/>
          <w:color w:val="auto"/>
          <w:sz w:val="24"/>
          <w:szCs w:val="24"/>
          <w:highlight w:val="none"/>
          <w:shd w:val="clear" w:color="auto" w:fill="FFFFFF"/>
        </w:rPr>
      </w:pPr>
      <w:r>
        <w:rPr>
          <w:rStyle w:val="50"/>
          <w:rFonts w:hint="eastAsia" w:ascii="仿宋" w:hAnsi="仿宋" w:eastAsia="仿宋" w:cs="仿宋"/>
          <w:color w:val="auto"/>
          <w:sz w:val="24"/>
          <w:szCs w:val="24"/>
          <w:highlight w:val="none"/>
          <w:shd w:val="clear" w:color="auto" w:fill="FFFFFF"/>
        </w:rPr>
        <w:t>三、</w:t>
      </w:r>
      <w:r>
        <w:rPr>
          <w:rStyle w:val="50"/>
          <w:rFonts w:hint="eastAsia" w:ascii="仿宋" w:hAnsi="仿宋" w:eastAsia="仿宋" w:cs="仿宋"/>
          <w:bCs/>
          <w:color w:val="auto"/>
          <w:sz w:val="24"/>
          <w:szCs w:val="24"/>
          <w:highlight w:val="none"/>
          <w:shd w:val="clear" w:color="auto" w:fill="FFFFFF"/>
        </w:rPr>
        <w:t>备品备件清单</w:t>
      </w:r>
    </w:p>
    <w:p w14:paraId="7D4CC464">
      <w:pPr>
        <w:pStyle w:val="41"/>
        <w:widowControl/>
        <w:adjustRightInd w:val="0"/>
        <w:snapToGrid w:val="0"/>
        <w:spacing w:beforeAutospacing="0" w:afterAutospacing="0"/>
        <w:rPr>
          <w:rFonts w:hint="eastAsia" w:ascii="仿宋" w:hAnsi="仿宋" w:eastAsia="仿宋" w:cs="仿宋"/>
          <w:bCs/>
          <w:color w:val="auto"/>
          <w:sz w:val="24"/>
          <w:szCs w:val="24"/>
          <w:highlight w:val="none"/>
        </w:rPr>
      </w:pPr>
      <w:r>
        <w:rPr>
          <w:rStyle w:val="50"/>
          <w:rFonts w:hint="eastAsia" w:ascii="仿宋" w:hAnsi="仿宋" w:eastAsia="仿宋" w:cs="仿宋"/>
          <w:bCs/>
          <w:color w:val="auto"/>
          <w:sz w:val="24"/>
          <w:szCs w:val="24"/>
          <w:highlight w:val="none"/>
          <w:shd w:val="clear" w:color="auto" w:fill="FFFFFF"/>
        </w:rPr>
        <w:t>无</w:t>
      </w:r>
    </w:p>
    <w:p w14:paraId="0C69B07B">
      <w:pPr>
        <w:pStyle w:val="41"/>
        <w:widowControl/>
        <w:adjustRightInd w:val="0"/>
        <w:snapToGrid w:val="0"/>
        <w:spacing w:beforeAutospacing="0" w:afterAutospacing="0"/>
        <w:rPr>
          <w:rStyle w:val="50"/>
          <w:rFonts w:hint="eastAsia" w:ascii="仿宋" w:hAnsi="仿宋" w:eastAsia="仿宋" w:cs="仿宋"/>
          <w:b w:val="0"/>
          <w:bCs/>
          <w:color w:val="auto"/>
          <w:sz w:val="24"/>
          <w:szCs w:val="24"/>
          <w:highlight w:val="none"/>
          <w:shd w:val="clear" w:color="auto" w:fill="FFFFFF"/>
        </w:rPr>
      </w:pPr>
      <w:r>
        <w:rPr>
          <w:rStyle w:val="50"/>
          <w:rFonts w:hint="eastAsia" w:ascii="仿宋" w:hAnsi="仿宋" w:eastAsia="仿宋" w:cs="仿宋"/>
          <w:bCs/>
          <w:color w:val="auto"/>
          <w:sz w:val="24"/>
          <w:szCs w:val="24"/>
          <w:highlight w:val="none"/>
          <w:shd w:val="clear" w:color="auto" w:fill="FFFFFF"/>
        </w:rPr>
        <w:t>四、质量要求</w:t>
      </w:r>
    </w:p>
    <w:p w14:paraId="0791E980">
      <w:pPr>
        <w:pStyle w:val="41"/>
        <w:widowControl/>
        <w:numPr>
          <w:ilvl w:val="0"/>
          <w:numId w:val="15"/>
        </w:numPr>
        <w:adjustRightInd w:val="0"/>
        <w:snapToGrid w:val="0"/>
        <w:spacing w:beforeAutospacing="0" w:afterAutospacing="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光源材料：半导体固态冷光源；</w:t>
      </w:r>
    </w:p>
    <w:p w14:paraId="65FB3BAB">
      <w:pPr>
        <w:pStyle w:val="41"/>
        <w:widowControl/>
        <w:numPr>
          <w:ilvl w:val="0"/>
          <w:numId w:val="15"/>
        </w:numPr>
        <w:adjustRightInd w:val="0"/>
        <w:snapToGrid w:val="0"/>
        <w:spacing w:beforeAutospacing="0" w:afterAutospacing="0"/>
        <w:rPr>
          <w:rFonts w:hint="eastAsia" w:ascii="仿宋" w:hAnsi="仿宋" w:eastAsia="仿宋" w:cs="仿宋"/>
          <w:color w:val="auto"/>
          <w:sz w:val="24"/>
          <w:szCs w:val="24"/>
          <w:highlight w:val="none"/>
          <w:lang w:bidi="ar"/>
        </w:rPr>
      </w:pPr>
      <w:r>
        <w:rPr>
          <w:rFonts w:hint="eastAsia" w:ascii="仿宋_GB2312" w:hAnsi="Arial" w:eastAsia="仿宋_GB2312"/>
          <w:color w:val="auto"/>
          <w:kern w:val="0"/>
          <w:szCs w:val="21"/>
          <w:highlight w:val="none"/>
          <w:lang w:bidi="ar"/>
        </w:rPr>
        <w:t>★</w:t>
      </w:r>
      <w:r>
        <w:rPr>
          <w:rFonts w:hint="eastAsia" w:ascii="仿宋" w:hAnsi="仿宋" w:eastAsia="仿宋" w:cs="仿宋"/>
          <w:color w:val="auto"/>
          <w:sz w:val="24"/>
          <w:szCs w:val="24"/>
          <w:highlight w:val="none"/>
          <w:lang w:bidi="ar"/>
        </w:rPr>
        <w:t>峰值波长：红光：640±10nm 蓝光：460±10nm ；</w:t>
      </w:r>
    </w:p>
    <w:p w14:paraId="6A6F0BC1">
      <w:pPr>
        <w:pStyle w:val="41"/>
        <w:widowControl/>
        <w:numPr>
          <w:ilvl w:val="0"/>
          <w:numId w:val="15"/>
        </w:numPr>
        <w:adjustRightInd w:val="0"/>
        <w:snapToGrid w:val="0"/>
        <w:spacing w:beforeAutospacing="0" w:afterAutospacing="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具有过温保护功能</w:t>
      </w:r>
    </w:p>
    <w:p w14:paraId="1D41A2F3">
      <w:pPr>
        <w:pStyle w:val="41"/>
        <w:widowControl/>
        <w:numPr>
          <w:ilvl w:val="0"/>
          <w:numId w:val="15"/>
        </w:numPr>
        <w:adjustRightInd w:val="0"/>
        <w:snapToGrid w:val="0"/>
        <w:spacing w:beforeAutospacing="0" w:afterAutospacing="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治疗仪最大治疗深度≥10cm ；</w:t>
      </w:r>
    </w:p>
    <w:p w14:paraId="66581837">
      <w:pPr>
        <w:pStyle w:val="41"/>
        <w:widowControl/>
        <w:numPr>
          <w:ilvl w:val="0"/>
          <w:numId w:val="15"/>
        </w:numPr>
        <w:adjustRightInd w:val="0"/>
        <w:snapToGrid w:val="0"/>
        <w:spacing w:beforeAutospacing="0" w:afterAutospacing="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最大有效治疗面积≥400c㎡；</w:t>
      </w:r>
    </w:p>
    <w:p w14:paraId="7E241759">
      <w:pPr>
        <w:pStyle w:val="41"/>
        <w:widowControl/>
        <w:numPr>
          <w:ilvl w:val="0"/>
          <w:numId w:val="15"/>
        </w:numPr>
        <w:adjustRightInd w:val="0"/>
        <w:snapToGrid w:val="0"/>
        <w:spacing w:beforeAutospacing="0" w:afterAutospacing="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 xml:space="preserve">光功率密度不稳定度≤0.5mW/c㎡ </w:t>
      </w:r>
    </w:p>
    <w:p w14:paraId="078A64D7">
      <w:pPr>
        <w:pStyle w:val="41"/>
        <w:widowControl/>
        <w:numPr>
          <w:ilvl w:val="0"/>
          <w:numId w:val="15"/>
        </w:numPr>
        <w:adjustRightInd w:val="0"/>
        <w:snapToGrid w:val="0"/>
        <w:spacing w:beforeAutospacing="0" w:afterAutospacing="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治疗能量调节：≥5级能量调节；</w:t>
      </w:r>
    </w:p>
    <w:p w14:paraId="648C4233">
      <w:pPr>
        <w:pStyle w:val="41"/>
        <w:widowControl/>
        <w:numPr>
          <w:ilvl w:val="0"/>
          <w:numId w:val="15"/>
        </w:numPr>
        <w:adjustRightInd w:val="0"/>
        <w:snapToGrid w:val="0"/>
        <w:spacing w:beforeAutospacing="0" w:afterAutospacing="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照射治疗模式：持续/脉冲照射治疗可选；</w:t>
      </w:r>
    </w:p>
    <w:p w14:paraId="1D025EDD">
      <w:pPr>
        <w:pStyle w:val="41"/>
        <w:widowControl/>
        <w:numPr>
          <w:ilvl w:val="0"/>
          <w:numId w:val="15"/>
        </w:numPr>
        <w:adjustRightInd w:val="0"/>
        <w:snapToGrid w:val="0"/>
        <w:spacing w:beforeAutospacing="0" w:afterAutospacing="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定时时间：60min内任意可调 ；</w:t>
      </w:r>
    </w:p>
    <w:p w14:paraId="5332B4C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7E16C635">
      <w:pPr>
        <w:pStyle w:val="41"/>
        <w:widowControl/>
        <w:adjustRightInd w:val="0"/>
        <w:snapToGrid w:val="0"/>
        <w:spacing w:beforeAutospacing="0" w:afterAutospacing="0"/>
        <w:jc w:val="center"/>
        <w:rPr>
          <w:rFonts w:hint="eastAsia" w:ascii="仿宋" w:hAnsi="仿宋" w:eastAsia="仿宋" w:cs="仿宋"/>
          <w:b/>
          <w:bCs/>
          <w:color w:val="auto"/>
          <w:sz w:val="24"/>
          <w:szCs w:val="24"/>
          <w:highlight w:val="none"/>
          <w:lang w:bidi="ar"/>
        </w:rPr>
      </w:pPr>
      <w:r>
        <w:rPr>
          <w:rFonts w:hint="eastAsia" w:ascii="仿宋" w:hAnsi="仿宋" w:eastAsia="仿宋" w:cs="仿宋"/>
          <w:b/>
          <w:bCs/>
          <w:color w:val="auto"/>
          <w:sz w:val="24"/>
          <w:szCs w:val="24"/>
          <w:highlight w:val="none"/>
          <w:lang w:bidi="ar"/>
        </w:rPr>
        <w:t>多参数监护仪中央监护系统</w:t>
      </w:r>
    </w:p>
    <w:p w14:paraId="081066EB">
      <w:pPr>
        <w:pStyle w:val="41"/>
        <w:widowControl/>
        <w:adjustRightInd w:val="0"/>
        <w:snapToGrid w:val="0"/>
        <w:spacing w:beforeAutospacing="0" w:afterAutospacing="0"/>
        <w:rPr>
          <w:rStyle w:val="50"/>
          <w:rFonts w:hint="eastAsia" w:ascii="仿宋" w:hAnsi="仿宋" w:eastAsia="仿宋" w:cs="仿宋"/>
          <w:b w:val="0"/>
          <w:bCs/>
          <w:color w:val="auto"/>
          <w:sz w:val="24"/>
          <w:szCs w:val="24"/>
          <w:highlight w:val="none"/>
          <w:shd w:val="clear" w:color="auto" w:fill="FFFFFF"/>
        </w:rPr>
      </w:pPr>
      <w:r>
        <w:rPr>
          <w:rStyle w:val="50"/>
          <w:rFonts w:hint="eastAsia" w:ascii="仿宋" w:hAnsi="仿宋" w:eastAsia="仿宋" w:cs="仿宋"/>
          <w:bCs/>
          <w:color w:val="auto"/>
          <w:sz w:val="24"/>
          <w:szCs w:val="24"/>
          <w:highlight w:val="none"/>
          <w:shd w:val="clear" w:color="auto" w:fill="FFFFFF"/>
        </w:rPr>
        <w:t>一、功能描述</w:t>
      </w:r>
    </w:p>
    <w:p w14:paraId="4043D236">
      <w:pPr>
        <w:pStyle w:val="41"/>
        <w:widowControl/>
        <w:adjustRightInd w:val="0"/>
        <w:snapToGrid w:val="0"/>
        <w:spacing w:beforeAutospacing="0" w:afterAutospacing="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适用于患者</w:t>
      </w:r>
      <w:r>
        <w:rPr>
          <w:rFonts w:hint="eastAsia" w:ascii="仿宋" w:hAnsi="仿宋" w:eastAsia="仿宋" w:cs="仿宋"/>
          <w:color w:val="auto"/>
          <w:sz w:val="24"/>
          <w:szCs w:val="24"/>
          <w:highlight w:val="none"/>
        </w:rPr>
        <w:t>连续进行心电(ECG)、无创血压(NIBP)、血氧饱和度(SpO2)、呼吸(RESP)、体温(TEMP)生理参数的监测。</w:t>
      </w:r>
    </w:p>
    <w:p w14:paraId="4FF411D0">
      <w:pPr>
        <w:pStyle w:val="41"/>
        <w:widowControl/>
        <w:adjustRightInd w:val="0"/>
        <w:snapToGrid w:val="0"/>
        <w:spacing w:beforeAutospacing="0" w:afterAutospacing="0"/>
        <w:rPr>
          <w:rStyle w:val="50"/>
          <w:rFonts w:hint="eastAsia" w:ascii="仿宋" w:hAnsi="仿宋" w:eastAsia="仿宋" w:cs="仿宋"/>
          <w:b w:val="0"/>
          <w:bCs/>
          <w:color w:val="auto"/>
          <w:sz w:val="24"/>
          <w:szCs w:val="24"/>
          <w:highlight w:val="none"/>
          <w:shd w:val="clear" w:color="auto" w:fill="FFFFFF"/>
        </w:rPr>
      </w:pPr>
      <w:r>
        <w:rPr>
          <w:rStyle w:val="50"/>
          <w:rFonts w:hint="eastAsia" w:ascii="仿宋" w:hAnsi="仿宋" w:eastAsia="仿宋" w:cs="仿宋"/>
          <w:bCs/>
          <w:color w:val="auto"/>
          <w:sz w:val="24"/>
          <w:szCs w:val="24"/>
          <w:highlight w:val="none"/>
          <w:shd w:val="clear" w:color="auto" w:fill="FFFFFF"/>
        </w:rPr>
        <w:t>二、硬件配置清单</w:t>
      </w:r>
    </w:p>
    <w:p w14:paraId="7F973AF4">
      <w:pPr>
        <w:pStyle w:val="41"/>
        <w:widowControl/>
        <w:numPr>
          <w:ilvl w:val="0"/>
          <w:numId w:val="16"/>
        </w:numPr>
        <w:adjustRightInd w:val="0"/>
        <w:snapToGrid w:val="0"/>
        <w:spacing w:beforeAutospacing="0" w:afterAutospacing="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主机1个；</w:t>
      </w:r>
    </w:p>
    <w:p w14:paraId="586679A5">
      <w:pPr>
        <w:pStyle w:val="41"/>
        <w:widowControl/>
        <w:numPr>
          <w:ilvl w:val="0"/>
          <w:numId w:val="16"/>
        </w:numPr>
        <w:adjustRightInd w:val="0"/>
        <w:snapToGrid w:val="0"/>
        <w:spacing w:beforeAutospacing="0" w:afterAutospacing="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中央监护站1套</w:t>
      </w:r>
    </w:p>
    <w:p w14:paraId="7C7A4F46">
      <w:pPr>
        <w:pStyle w:val="41"/>
        <w:widowControl/>
        <w:adjustRightInd w:val="0"/>
        <w:snapToGrid w:val="0"/>
        <w:spacing w:beforeAutospacing="0" w:afterAutospacing="0"/>
        <w:rPr>
          <w:rStyle w:val="50"/>
          <w:rFonts w:hint="eastAsia" w:ascii="仿宋" w:hAnsi="仿宋" w:eastAsia="仿宋" w:cs="仿宋"/>
          <w:color w:val="auto"/>
          <w:sz w:val="24"/>
          <w:szCs w:val="24"/>
          <w:highlight w:val="none"/>
          <w:shd w:val="clear" w:color="auto" w:fill="FFFFFF"/>
        </w:rPr>
      </w:pPr>
      <w:r>
        <w:rPr>
          <w:rStyle w:val="50"/>
          <w:rFonts w:hint="eastAsia" w:ascii="仿宋" w:hAnsi="仿宋" w:eastAsia="仿宋" w:cs="仿宋"/>
          <w:color w:val="auto"/>
          <w:sz w:val="24"/>
          <w:szCs w:val="24"/>
          <w:highlight w:val="none"/>
          <w:shd w:val="clear" w:color="auto" w:fill="FFFFFF"/>
        </w:rPr>
        <w:t>三、</w:t>
      </w:r>
      <w:r>
        <w:rPr>
          <w:rStyle w:val="50"/>
          <w:rFonts w:hint="eastAsia" w:ascii="仿宋" w:hAnsi="仿宋" w:eastAsia="仿宋" w:cs="仿宋"/>
          <w:bCs/>
          <w:color w:val="auto"/>
          <w:sz w:val="24"/>
          <w:szCs w:val="24"/>
          <w:highlight w:val="none"/>
          <w:shd w:val="clear" w:color="auto" w:fill="FFFFFF"/>
        </w:rPr>
        <w:t>备品备件清单</w:t>
      </w:r>
    </w:p>
    <w:p w14:paraId="5359BD60">
      <w:pPr>
        <w:pStyle w:val="41"/>
        <w:widowControl/>
        <w:adjustRightInd w:val="0"/>
        <w:snapToGrid w:val="0"/>
        <w:spacing w:beforeAutospacing="0" w:afterAutospacing="0"/>
        <w:rPr>
          <w:rFonts w:hint="eastAsia" w:ascii="仿宋" w:hAnsi="仿宋" w:eastAsia="仿宋" w:cs="仿宋"/>
          <w:bCs/>
          <w:color w:val="auto"/>
          <w:sz w:val="24"/>
          <w:szCs w:val="24"/>
          <w:highlight w:val="none"/>
        </w:rPr>
      </w:pPr>
      <w:r>
        <w:rPr>
          <w:rStyle w:val="50"/>
          <w:rFonts w:hint="eastAsia" w:ascii="仿宋" w:hAnsi="仿宋" w:eastAsia="仿宋" w:cs="仿宋"/>
          <w:bCs/>
          <w:color w:val="auto"/>
          <w:sz w:val="24"/>
          <w:szCs w:val="24"/>
          <w:highlight w:val="none"/>
          <w:shd w:val="clear" w:color="auto" w:fill="FFFFFF"/>
        </w:rPr>
        <w:t>无</w:t>
      </w:r>
    </w:p>
    <w:p w14:paraId="54C8FF73">
      <w:pPr>
        <w:pStyle w:val="41"/>
        <w:widowControl/>
        <w:adjustRightInd w:val="0"/>
        <w:snapToGrid w:val="0"/>
        <w:spacing w:beforeAutospacing="0" w:afterAutospacing="0"/>
        <w:rPr>
          <w:rStyle w:val="50"/>
          <w:rFonts w:hint="eastAsia" w:ascii="仿宋" w:hAnsi="仿宋" w:eastAsia="仿宋" w:cs="仿宋"/>
          <w:b w:val="0"/>
          <w:bCs/>
          <w:color w:val="auto"/>
          <w:sz w:val="24"/>
          <w:szCs w:val="24"/>
          <w:highlight w:val="none"/>
          <w:shd w:val="clear" w:color="auto" w:fill="FFFFFF"/>
        </w:rPr>
      </w:pPr>
      <w:r>
        <w:rPr>
          <w:rStyle w:val="50"/>
          <w:rFonts w:hint="eastAsia" w:ascii="仿宋" w:hAnsi="仿宋" w:eastAsia="仿宋" w:cs="仿宋"/>
          <w:bCs/>
          <w:color w:val="auto"/>
          <w:sz w:val="24"/>
          <w:szCs w:val="24"/>
          <w:highlight w:val="none"/>
          <w:shd w:val="clear" w:color="auto" w:fill="FFFFFF"/>
        </w:rPr>
        <w:t>四、质量要求</w:t>
      </w:r>
    </w:p>
    <w:p w14:paraId="23C767D0">
      <w:pPr>
        <w:pStyle w:val="41"/>
        <w:widowControl/>
        <w:numPr>
          <w:ilvl w:val="0"/>
          <w:numId w:val="17"/>
        </w:numPr>
        <w:adjustRightInd w:val="0"/>
        <w:snapToGrid w:val="0"/>
        <w:spacing w:beforeAutospacing="0" w:afterAutospacing="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可监测心电、血氧、脉博、无创血压、呼吸、体温等基础参数；</w:t>
      </w:r>
    </w:p>
    <w:p w14:paraId="6C47577F">
      <w:pPr>
        <w:pStyle w:val="41"/>
        <w:widowControl/>
        <w:numPr>
          <w:ilvl w:val="0"/>
          <w:numId w:val="17"/>
        </w:numPr>
        <w:adjustRightInd w:val="0"/>
        <w:snapToGrid w:val="0"/>
        <w:spacing w:beforeAutospacing="0" w:afterAutospacing="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具备心电监测功能，导联标配三导联；</w:t>
      </w:r>
    </w:p>
    <w:p w14:paraId="512236F2">
      <w:pPr>
        <w:pStyle w:val="41"/>
        <w:widowControl/>
        <w:numPr>
          <w:ilvl w:val="0"/>
          <w:numId w:val="17"/>
        </w:numPr>
        <w:adjustRightInd w:val="0"/>
        <w:snapToGrid w:val="0"/>
        <w:spacing w:beforeAutospacing="0" w:afterAutospacing="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静态压力测量范围：0kpa(0mmHg)～40kpa(300mmHg)，误差应≤±0.4kpa（3mmHg）。</w:t>
      </w:r>
    </w:p>
    <w:p w14:paraId="4372FBCA">
      <w:pPr>
        <w:pStyle w:val="41"/>
        <w:widowControl/>
        <w:numPr>
          <w:ilvl w:val="0"/>
          <w:numId w:val="17"/>
        </w:numPr>
        <w:adjustRightInd w:val="0"/>
        <w:snapToGrid w:val="0"/>
        <w:spacing w:beforeAutospacing="0" w:afterAutospacing="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心电测量范围：成人30bpm~300bpm;儿童测量范围30bpm~350bpm。误差应≤±1%或±1bpm。</w:t>
      </w:r>
    </w:p>
    <w:p w14:paraId="0D38EFD0">
      <w:pPr>
        <w:pStyle w:val="41"/>
        <w:widowControl/>
        <w:numPr>
          <w:ilvl w:val="0"/>
          <w:numId w:val="17"/>
        </w:numPr>
        <w:adjustRightInd w:val="0"/>
        <w:snapToGrid w:val="0"/>
        <w:spacing w:beforeAutospacing="0" w:afterAutospacing="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血氧测量范围：70%～100%，精度70% ～100% 、±2%；</w:t>
      </w:r>
    </w:p>
    <w:p w14:paraId="5CC7BAD7">
      <w:pPr>
        <w:pStyle w:val="41"/>
        <w:widowControl/>
        <w:numPr>
          <w:ilvl w:val="0"/>
          <w:numId w:val="17"/>
        </w:numPr>
        <w:adjustRightInd w:val="0"/>
        <w:snapToGrid w:val="0"/>
        <w:spacing w:beforeAutospacing="0" w:afterAutospacing="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脉率测量范围：30bpm～200bpm，精度±1bpm或±1%；</w:t>
      </w:r>
    </w:p>
    <w:p w14:paraId="31CA4689">
      <w:pPr>
        <w:pStyle w:val="41"/>
        <w:widowControl/>
        <w:numPr>
          <w:ilvl w:val="0"/>
          <w:numId w:val="17"/>
        </w:numPr>
        <w:adjustRightInd w:val="0"/>
        <w:snapToGrid w:val="0"/>
        <w:spacing w:beforeAutospacing="0" w:afterAutospacing="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呼吸率测量范围：10rpm～120rpm，精度±2rpm或±2%；</w:t>
      </w:r>
    </w:p>
    <w:p w14:paraId="2E3D1585">
      <w:pPr>
        <w:pStyle w:val="41"/>
        <w:widowControl/>
        <w:numPr>
          <w:ilvl w:val="0"/>
          <w:numId w:val="17"/>
        </w:numPr>
        <w:adjustRightInd w:val="0"/>
        <w:snapToGrid w:val="0"/>
        <w:spacing w:beforeAutospacing="0" w:afterAutospacing="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温度测量范围：15-45℃，精度在37.0-39.0℃范围内最大允许误差±0.1℃，在其他测量范围最大允许误差±0.2℃。</w:t>
      </w:r>
    </w:p>
    <w:p w14:paraId="0B5840FC">
      <w:pPr>
        <w:pStyle w:val="41"/>
        <w:widowControl/>
        <w:numPr>
          <w:ilvl w:val="0"/>
          <w:numId w:val="17"/>
        </w:numPr>
        <w:adjustRightInd w:val="0"/>
        <w:snapToGrid w:val="0"/>
        <w:spacing w:beforeAutospacing="0" w:afterAutospacing="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可将多参数监护仪的监测数据无线传输，数据无缝匹配其它品牌监护仪实时显示。</w:t>
      </w:r>
    </w:p>
    <w:p w14:paraId="1E534696">
      <w:pPr>
        <w:pStyle w:val="41"/>
        <w:widowControl/>
        <w:numPr>
          <w:ilvl w:val="0"/>
          <w:numId w:val="17"/>
        </w:numPr>
        <w:adjustRightInd w:val="0"/>
        <w:snapToGrid w:val="0"/>
        <w:spacing w:beforeAutospacing="0" w:afterAutospacing="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采用≥ 4.0寸触摸屏，智能系统、软件可扩展性强。</w:t>
      </w:r>
    </w:p>
    <w:p w14:paraId="16F459B1">
      <w:pPr>
        <w:pStyle w:val="41"/>
        <w:widowControl/>
        <w:numPr>
          <w:ilvl w:val="0"/>
          <w:numId w:val="17"/>
        </w:numPr>
        <w:adjustRightInd w:val="0"/>
        <w:snapToGrid w:val="0"/>
        <w:spacing w:beforeAutospacing="0" w:afterAutospacing="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中央监护支持PC/手机APP端同时支持手机APP端和PC端中央监护显示功能。</w:t>
      </w:r>
    </w:p>
    <w:p w14:paraId="59CCF4BD">
      <w:pPr>
        <w:pStyle w:val="41"/>
        <w:widowControl/>
        <w:numPr>
          <w:ilvl w:val="0"/>
          <w:numId w:val="17"/>
        </w:numPr>
        <w:adjustRightInd w:val="0"/>
        <w:snapToGrid w:val="0"/>
        <w:spacing w:beforeAutospacing="0" w:afterAutospacing="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具备报警参数下发及远程操控功能，可以在中央监护端远程设置多参数监护终端的全参数报警上下限，并可远程控制多参监护仪进行血压监测。</w:t>
      </w:r>
    </w:p>
    <w:p w14:paraId="5D0FC45E">
      <w:pPr>
        <w:pStyle w:val="41"/>
        <w:widowControl/>
        <w:numPr>
          <w:ilvl w:val="0"/>
          <w:numId w:val="17"/>
        </w:numPr>
        <w:adjustRightInd w:val="0"/>
        <w:snapToGrid w:val="0"/>
        <w:spacing w:beforeAutospacing="0" w:afterAutospacing="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具备动态血压、心电、血氧饱和度、温度和呼吸率报警功能选择和消警功能。</w:t>
      </w:r>
    </w:p>
    <w:p w14:paraId="146450F9">
      <w:pPr>
        <w:pStyle w:val="41"/>
        <w:widowControl/>
        <w:numPr>
          <w:ilvl w:val="0"/>
          <w:numId w:val="17"/>
        </w:numPr>
        <w:adjustRightInd w:val="0"/>
        <w:snapToGrid w:val="0"/>
        <w:spacing w:beforeAutospacing="0" w:afterAutospacing="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具备多种无线组网方式，可以通过Mesh自组网/4G/WIFI等方式进行无线组网。并可与医院有线网络扩展对接，与医院信息系统进行单向或双向信息互通。费用由供货商承担。</w:t>
      </w:r>
    </w:p>
    <w:p w14:paraId="1DACDEFB">
      <w:pPr>
        <w:pStyle w:val="41"/>
        <w:widowControl/>
        <w:numPr>
          <w:ilvl w:val="0"/>
          <w:numId w:val="17"/>
        </w:numPr>
        <w:adjustRightInd w:val="0"/>
        <w:snapToGrid w:val="0"/>
        <w:spacing w:beforeAutospacing="0" w:afterAutospacing="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具备无线传输功能，设备具有Mesh自组网/4G/WIFI等无线网络接入功能，可实现无线传输。费用由供货商承担。</w:t>
      </w:r>
    </w:p>
    <w:p w14:paraId="581B889C">
      <w:pPr>
        <w:pStyle w:val="41"/>
        <w:widowControl/>
        <w:numPr>
          <w:ilvl w:val="0"/>
          <w:numId w:val="17"/>
        </w:numPr>
        <w:adjustRightInd w:val="0"/>
        <w:snapToGrid w:val="0"/>
        <w:spacing w:beforeAutospacing="0" w:afterAutospacing="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中央监护站：</w:t>
      </w:r>
    </w:p>
    <w:p w14:paraId="5D248047">
      <w:pPr>
        <w:pStyle w:val="41"/>
        <w:widowControl/>
        <w:numPr>
          <w:ilvl w:val="1"/>
          <w:numId w:val="17"/>
        </w:numPr>
        <w:adjustRightInd w:val="0"/>
        <w:snapToGrid w:val="0"/>
        <w:spacing w:beforeAutospacing="0" w:afterAutospacing="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中央站主机CPU：≥11 代 i5（6 核以上，主频 2.4G 以上）；内存：≥8G；硬盘：≥固态 2T；</w:t>
      </w:r>
    </w:p>
    <w:p w14:paraId="54A826C2">
      <w:pPr>
        <w:pStyle w:val="41"/>
        <w:widowControl/>
        <w:numPr>
          <w:ilvl w:val="1"/>
          <w:numId w:val="17"/>
        </w:numPr>
        <w:adjustRightInd w:val="0"/>
        <w:snapToGrid w:val="0"/>
        <w:spacing w:beforeAutospacing="0" w:afterAutospacing="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显示器≥23英寸，显示分辨率≥1920*1080，显示患者的体征和报警信息；</w:t>
      </w:r>
    </w:p>
    <w:p w14:paraId="66E8F6F2">
      <w:pPr>
        <w:pStyle w:val="41"/>
        <w:widowControl/>
        <w:adjustRightInd w:val="0"/>
        <w:snapToGrid w:val="0"/>
        <w:spacing w:beforeAutospacing="0" w:afterAutospacing="0"/>
        <w:rPr>
          <w:rFonts w:hint="eastAsia" w:ascii="仿宋" w:hAnsi="仿宋" w:eastAsia="仿宋" w:cs="仿宋"/>
          <w:color w:val="auto"/>
          <w:sz w:val="24"/>
          <w:szCs w:val="24"/>
          <w:highlight w:val="none"/>
          <w:lang w:bidi="ar"/>
        </w:rPr>
      </w:pPr>
    </w:p>
    <w:p w14:paraId="103DF230">
      <w:pP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br w:type="page"/>
      </w:r>
    </w:p>
    <w:p w14:paraId="422B43B4">
      <w:pPr>
        <w:pStyle w:val="41"/>
        <w:widowControl/>
        <w:numPr>
          <w:ilvl w:val="0"/>
          <w:numId w:val="0"/>
        </w:numPr>
        <w:adjustRightInd w:val="0"/>
        <w:snapToGrid w:val="0"/>
        <w:spacing w:beforeAutospacing="0" w:afterAutospacing="0"/>
        <w:ind w:leftChars="0"/>
        <w:rPr>
          <w:rFonts w:hint="eastAsia" w:ascii="仿宋" w:hAnsi="仿宋" w:eastAsia="仿宋" w:cs="仿宋"/>
          <w:color w:val="auto"/>
          <w:sz w:val="24"/>
          <w:szCs w:val="24"/>
          <w:highlight w:val="none"/>
          <w:lang w:bidi="ar"/>
        </w:rPr>
      </w:pPr>
    </w:p>
    <w:p w14:paraId="36872696">
      <w:pPr>
        <w:pStyle w:val="41"/>
        <w:widowControl/>
        <w:adjustRightInd w:val="0"/>
        <w:snapToGrid w:val="0"/>
        <w:spacing w:beforeAutospacing="0" w:afterAutospacing="0"/>
        <w:jc w:val="center"/>
        <w:rPr>
          <w:rStyle w:val="50"/>
          <w:rFonts w:hint="eastAsia" w:ascii="仿宋" w:hAnsi="仿宋" w:eastAsia="仿宋" w:cs="仿宋"/>
          <w:b/>
          <w:bCs/>
          <w:color w:val="auto"/>
          <w:sz w:val="24"/>
          <w:szCs w:val="24"/>
          <w:highlight w:val="none"/>
          <w:shd w:val="clear" w:color="auto" w:fill="FFFFFF"/>
        </w:rPr>
      </w:pPr>
      <w:r>
        <w:rPr>
          <w:rFonts w:hint="eastAsia" w:ascii="仿宋" w:hAnsi="仿宋" w:eastAsia="仿宋" w:cs="仿宋"/>
          <w:b/>
          <w:bCs/>
          <w:color w:val="auto"/>
          <w:sz w:val="24"/>
          <w:szCs w:val="24"/>
          <w:highlight w:val="none"/>
          <w:lang w:bidi="ar"/>
        </w:rPr>
        <w:t>显微手术器械</w:t>
      </w:r>
    </w:p>
    <w:p w14:paraId="4E3B83DA">
      <w:pPr>
        <w:pStyle w:val="41"/>
        <w:widowControl/>
        <w:adjustRightInd w:val="0"/>
        <w:snapToGrid w:val="0"/>
        <w:spacing w:beforeAutospacing="0" w:afterAutospacing="0"/>
        <w:rPr>
          <w:rStyle w:val="50"/>
          <w:rFonts w:hint="eastAsia" w:ascii="仿宋" w:hAnsi="仿宋" w:eastAsia="仿宋" w:cs="仿宋"/>
          <w:b w:val="0"/>
          <w:bCs/>
          <w:color w:val="auto"/>
          <w:sz w:val="24"/>
          <w:szCs w:val="24"/>
          <w:highlight w:val="none"/>
          <w:shd w:val="clear" w:color="auto" w:fill="FFFFFF"/>
        </w:rPr>
      </w:pPr>
      <w:r>
        <w:rPr>
          <w:rStyle w:val="50"/>
          <w:rFonts w:hint="eastAsia" w:ascii="仿宋" w:hAnsi="仿宋" w:eastAsia="仿宋" w:cs="仿宋"/>
          <w:bCs/>
          <w:color w:val="auto"/>
          <w:sz w:val="24"/>
          <w:szCs w:val="24"/>
          <w:highlight w:val="none"/>
          <w:shd w:val="clear" w:color="auto" w:fill="FFFFFF"/>
        </w:rPr>
        <w:t>一、功能描述</w:t>
      </w:r>
    </w:p>
    <w:p w14:paraId="583C981C">
      <w:pPr>
        <w:pStyle w:val="41"/>
        <w:widowControl/>
        <w:adjustRightInd w:val="0"/>
        <w:snapToGrid w:val="0"/>
        <w:spacing w:beforeAutospacing="0" w:afterAutospacing="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适用于心脏外科及ECMO手术</w:t>
      </w:r>
      <w:r>
        <w:rPr>
          <w:rFonts w:hint="eastAsia" w:ascii="仿宋" w:hAnsi="仿宋" w:eastAsia="仿宋" w:cs="仿宋"/>
          <w:color w:val="auto"/>
          <w:sz w:val="24"/>
          <w:szCs w:val="24"/>
          <w:highlight w:val="none"/>
          <w:lang w:bidi="ar"/>
        </w:rPr>
        <w:t>。</w:t>
      </w:r>
      <w:r>
        <w:rPr>
          <w:rFonts w:hint="eastAsia" w:ascii="仿宋" w:hAnsi="仿宋" w:eastAsia="仿宋" w:cs="仿宋"/>
          <w:bCs/>
          <w:color w:val="auto"/>
          <w:sz w:val="24"/>
          <w:szCs w:val="24"/>
          <w:highlight w:val="none"/>
        </w:rPr>
        <w:t xml:space="preserve"> </w:t>
      </w:r>
    </w:p>
    <w:p w14:paraId="7B0B1965">
      <w:pPr>
        <w:pStyle w:val="41"/>
        <w:widowControl/>
        <w:adjustRightInd w:val="0"/>
        <w:snapToGrid w:val="0"/>
        <w:spacing w:beforeAutospacing="0" w:afterAutospacing="0"/>
        <w:rPr>
          <w:rStyle w:val="50"/>
          <w:rFonts w:hint="eastAsia" w:ascii="仿宋" w:hAnsi="仿宋" w:eastAsia="仿宋" w:cs="仿宋"/>
          <w:b w:val="0"/>
          <w:bCs/>
          <w:color w:val="auto"/>
          <w:sz w:val="24"/>
          <w:szCs w:val="24"/>
          <w:highlight w:val="none"/>
          <w:shd w:val="clear" w:color="auto" w:fill="FFFFFF"/>
        </w:rPr>
      </w:pPr>
      <w:r>
        <w:rPr>
          <w:rStyle w:val="50"/>
          <w:rFonts w:hint="eastAsia" w:ascii="仿宋" w:hAnsi="仿宋" w:eastAsia="仿宋" w:cs="仿宋"/>
          <w:bCs/>
          <w:color w:val="auto"/>
          <w:sz w:val="24"/>
          <w:szCs w:val="24"/>
          <w:highlight w:val="none"/>
          <w:shd w:val="clear" w:color="auto" w:fill="FFFFFF"/>
        </w:rPr>
        <w:t>二、硬件配置清单</w:t>
      </w:r>
    </w:p>
    <w:p w14:paraId="7490353A">
      <w:pPr>
        <w:pStyle w:val="41"/>
        <w:widowControl/>
        <w:numPr>
          <w:ilvl w:val="0"/>
          <w:numId w:val="18"/>
        </w:numPr>
        <w:adjustRightInd w:val="0"/>
        <w:snapToGrid w:val="0"/>
        <w:spacing w:beforeAutospacing="0" w:afterAutospacing="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显微持针钳3把；</w:t>
      </w:r>
    </w:p>
    <w:p w14:paraId="4C9EC114">
      <w:pPr>
        <w:pStyle w:val="41"/>
        <w:widowControl/>
        <w:numPr>
          <w:ilvl w:val="0"/>
          <w:numId w:val="18"/>
        </w:numPr>
        <w:adjustRightInd w:val="0"/>
        <w:snapToGrid w:val="0"/>
        <w:spacing w:beforeAutospacing="0" w:afterAutospacing="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医用镊（一）4把；</w:t>
      </w:r>
    </w:p>
    <w:p w14:paraId="0FB464FC">
      <w:pPr>
        <w:pStyle w:val="41"/>
        <w:widowControl/>
        <w:numPr>
          <w:ilvl w:val="0"/>
          <w:numId w:val="18"/>
        </w:numPr>
        <w:adjustRightInd w:val="0"/>
        <w:snapToGrid w:val="0"/>
        <w:spacing w:beforeAutospacing="0" w:afterAutospacing="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医院镊（二）4把；</w:t>
      </w:r>
    </w:p>
    <w:p w14:paraId="6489AC16">
      <w:pPr>
        <w:pStyle w:val="41"/>
        <w:widowControl/>
        <w:adjustRightInd w:val="0"/>
        <w:snapToGrid w:val="0"/>
        <w:spacing w:beforeAutospacing="0" w:afterAutospacing="0"/>
        <w:rPr>
          <w:rStyle w:val="50"/>
          <w:rFonts w:hint="eastAsia" w:ascii="仿宋" w:hAnsi="仿宋" w:eastAsia="仿宋" w:cs="仿宋"/>
          <w:color w:val="auto"/>
          <w:sz w:val="24"/>
          <w:szCs w:val="24"/>
          <w:highlight w:val="none"/>
          <w:shd w:val="clear" w:color="auto" w:fill="FFFFFF"/>
        </w:rPr>
      </w:pPr>
      <w:r>
        <w:rPr>
          <w:rStyle w:val="50"/>
          <w:rFonts w:hint="eastAsia" w:ascii="仿宋" w:hAnsi="仿宋" w:eastAsia="仿宋" w:cs="仿宋"/>
          <w:color w:val="auto"/>
          <w:sz w:val="24"/>
          <w:szCs w:val="24"/>
          <w:highlight w:val="none"/>
          <w:shd w:val="clear" w:color="auto" w:fill="FFFFFF"/>
        </w:rPr>
        <w:t>三、</w:t>
      </w:r>
      <w:r>
        <w:rPr>
          <w:rStyle w:val="50"/>
          <w:rFonts w:hint="eastAsia" w:ascii="仿宋" w:hAnsi="仿宋" w:eastAsia="仿宋" w:cs="仿宋"/>
          <w:bCs/>
          <w:color w:val="auto"/>
          <w:sz w:val="24"/>
          <w:szCs w:val="24"/>
          <w:highlight w:val="none"/>
          <w:shd w:val="clear" w:color="auto" w:fill="FFFFFF"/>
        </w:rPr>
        <w:t>备品备件清单</w:t>
      </w:r>
    </w:p>
    <w:p w14:paraId="4CA34841">
      <w:pPr>
        <w:pStyle w:val="41"/>
        <w:widowControl/>
        <w:adjustRightInd w:val="0"/>
        <w:snapToGrid w:val="0"/>
        <w:spacing w:beforeAutospacing="0" w:afterAutospacing="0"/>
        <w:rPr>
          <w:rFonts w:hint="eastAsia" w:ascii="仿宋" w:hAnsi="仿宋" w:eastAsia="仿宋" w:cs="仿宋"/>
          <w:bCs/>
          <w:color w:val="auto"/>
          <w:sz w:val="24"/>
          <w:szCs w:val="24"/>
          <w:highlight w:val="none"/>
        </w:rPr>
      </w:pPr>
      <w:r>
        <w:rPr>
          <w:rStyle w:val="50"/>
          <w:rFonts w:hint="eastAsia" w:ascii="仿宋" w:hAnsi="仿宋" w:eastAsia="仿宋" w:cs="仿宋"/>
          <w:bCs/>
          <w:color w:val="auto"/>
          <w:sz w:val="24"/>
          <w:szCs w:val="24"/>
          <w:highlight w:val="none"/>
          <w:shd w:val="clear" w:color="auto" w:fill="FFFFFF"/>
        </w:rPr>
        <w:t>无</w:t>
      </w:r>
    </w:p>
    <w:p w14:paraId="76AC9C1D">
      <w:pPr>
        <w:pStyle w:val="41"/>
        <w:widowControl/>
        <w:adjustRightInd w:val="0"/>
        <w:snapToGrid w:val="0"/>
        <w:spacing w:beforeAutospacing="0" w:afterAutospacing="0"/>
        <w:rPr>
          <w:rStyle w:val="50"/>
          <w:rFonts w:hint="eastAsia" w:ascii="仿宋" w:hAnsi="仿宋" w:eastAsia="仿宋" w:cs="仿宋"/>
          <w:b w:val="0"/>
          <w:bCs/>
          <w:color w:val="auto"/>
          <w:sz w:val="24"/>
          <w:szCs w:val="24"/>
          <w:highlight w:val="none"/>
          <w:shd w:val="clear" w:color="auto" w:fill="FFFFFF"/>
        </w:rPr>
      </w:pPr>
      <w:r>
        <w:rPr>
          <w:rStyle w:val="50"/>
          <w:rFonts w:hint="eastAsia" w:ascii="仿宋" w:hAnsi="仿宋" w:eastAsia="仿宋" w:cs="仿宋"/>
          <w:bCs/>
          <w:color w:val="auto"/>
          <w:sz w:val="24"/>
          <w:szCs w:val="24"/>
          <w:highlight w:val="none"/>
          <w:shd w:val="clear" w:color="auto" w:fill="FFFFFF"/>
        </w:rPr>
        <w:t>四、质量要求</w:t>
      </w:r>
    </w:p>
    <w:p w14:paraId="3CCB1BBA">
      <w:pPr>
        <w:pStyle w:val="41"/>
        <w:widowControl/>
        <w:numPr>
          <w:ilvl w:val="0"/>
          <w:numId w:val="19"/>
        </w:numPr>
        <w:adjustRightInd w:val="0"/>
        <w:snapToGrid w:val="0"/>
        <w:spacing w:beforeAutospacing="0" w:afterAutospacing="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显微持针钳：20.0cm  直形直头，滚花圆柄，头宽0.5mm，带锁扣头镶钻石粉钛合金，数量3把；</w:t>
      </w:r>
    </w:p>
    <w:p w14:paraId="12E74310">
      <w:pPr>
        <w:pStyle w:val="41"/>
        <w:widowControl/>
        <w:numPr>
          <w:ilvl w:val="0"/>
          <w:numId w:val="19"/>
        </w:numPr>
        <w:adjustRightInd w:val="0"/>
        <w:snapToGrid w:val="0"/>
        <w:spacing w:beforeAutospacing="0" w:afterAutospacing="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医用镊（一）：18.0cm ，直头有齿，窄头，钨碳钢，数量4把；</w:t>
      </w:r>
    </w:p>
    <w:p w14:paraId="0C333091">
      <w:pPr>
        <w:pStyle w:val="41"/>
        <w:widowControl/>
        <w:numPr>
          <w:ilvl w:val="0"/>
          <w:numId w:val="19"/>
        </w:numPr>
        <w:adjustRightInd w:val="0"/>
        <w:snapToGrid w:val="0"/>
        <w:spacing w:beforeAutospacing="0" w:afterAutospacing="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医用镊（二）21.0cm ，直头有齿，精细 钨碳钢，数量4把；</w:t>
      </w:r>
    </w:p>
    <w:p w14:paraId="3CDCA39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50986EA4">
      <w:pPr>
        <w:pStyle w:val="41"/>
        <w:widowControl/>
        <w:adjustRightInd w:val="0"/>
        <w:snapToGrid w:val="0"/>
        <w:spacing w:beforeAutospacing="0" w:afterAutospacing="0"/>
        <w:jc w:val="center"/>
        <w:rPr>
          <w:rFonts w:hint="eastAsia" w:ascii="仿宋" w:hAnsi="仿宋" w:eastAsia="仿宋" w:cs="仿宋"/>
          <w:b/>
          <w:bCs/>
          <w:color w:val="auto"/>
          <w:sz w:val="28"/>
          <w:szCs w:val="28"/>
          <w:highlight w:val="none"/>
          <w:lang w:bidi="ar"/>
        </w:rPr>
      </w:pPr>
      <w:r>
        <w:rPr>
          <w:rFonts w:hint="eastAsia" w:ascii="仿宋" w:hAnsi="仿宋" w:eastAsia="仿宋" w:cs="仿宋"/>
          <w:b/>
          <w:bCs/>
          <w:color w:val="auto"/>
          <w:sz w:val="28"/>
          <w:szCs w:val="28"/>
          <w:highlight w:val="none"/>
          <w:lang w:bidi="ar"/>
        </w:rPr>
        <w:t>医用控温仪</w:t>
      </w:r>
    </w:p>
    <w:p w14:paraId="6A9AE5A0">
      <w:pPr>
        <w:pStyle w:val="41"/>
        <w:widowControl/>
        <w:adjustRightInd w:val="0"/>
        <w:snapToGrid w:val="0"/>
        <w:spacing w:beforeAutospacing="0" w:afterAutospacing="0"/>
        <w:rPr>
          <w:rStyle w:val="50"/>
          <w:rFonts w:hint="eastAsia" w:ascii="仿宋" w:hAnsi="仿宋" w:eastAsia="仿宋" w:cs="仿宋"/>
          <w:color w:val="auto"/>
          <w:sz w:val="24"/>
          <w:szCs w:val="24"/>
          <w:highlight w:val="none"/>
          <w:shd w:val="clear" w:color="auto" w:fill="FFFFFF"/>
        </w:rPr>
      </w:pPr>
      <w:r>
        <w:rPr>
          <w:rStyle w:val="50"/>
          <w:rFonts w:hint="eastAsia" w:ascii="仿宋" w:hAnsi="仿宋" w:eastAsia="仿宋" w:cs="仿宋"/>
          <w:color w:val="auto"/>
          <w:sz w:val="24"/>
          <w:szCs w:val="24"/>
          <w:highlight w:val="none"/>
          <w:shd w:val="clear" w:color="auto" w:fill="FFFFFF"/>
        </w:rPr>
        <w:t>一、功能描述</w:t>
      </w:r>
    </w:p>
    <w:p w14:paraId="5FBC9752">
      <w:pPr>
        <w:pStyle w:val="41"/>
        <w:widowControl/>
        <w:adjustRightInd w:val="0"/>
        <w:snapToGrid w:val="0"/>
        <w:spacing w:beforeAutospacing="0" w:afterAutospacing="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适用于医疗机构高热患者物理降温和低温患者物理升温以及需要保持体温的患者。</w:t>
      </w:r>
    </w:p>
    <w:p w14:paraId="284F32F2">
      <w:pPr>
        <w:pStyle w:val="41"/>
        <w:widowControl/>
        <w:adjustRightInd w:val="0"/>
        <w:snapToGrid w:val="0"/>
        <w:spacing w:beforeAutospacing="0" w:afterAutospacing="0"/>
        <w:rPr>
          <w:rStyle w:val="50"/>
          <w:rFonts w:hint="eastAsia" w:ascii="仿宋" w:hAnsi="仿宋" w:eastAsia="仿宋" w:cs="仿宋"/>
          <w:color w:val="auto"/>
          <w:sz w:val="24"/>
          <w:szCs w:val="24"/>
          <w:highlight w:val="none"/>
          <w:shd w:val="clear" w:color="auto" w:fill="FFFFFF"/>
        </w:rPr>
      </w:pPr>
      <w:r>
        <w:rPr>
          <w:rStyle w:val="50"/>
          <w:rFonts w:hint="eastAsia" w:ascii="仿宋" w:hAnsi="仿宋" w:eastAsia="仿宋" w:cs="仿宋"/>
          <w:color w:val="auto"/>
          <w:sz w:val="24"/>
          <w:szCs w:val="24"/>
          <w:highlight w:val="none"/>
          <w:shd w:val="clear" w:color="auto" w:fill="FFFFFF"/>
        </w:rPr>
        <w:t>二、硬件配置清单</w:t>
      </w:r>
    </w:p>
    <w:p w14:paraId="221E5B96">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1、主机</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1台；</w:t>
      </w:r>
    </w:p>
    <w:p w14:paraId="3142DFCC">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2、控温毯子、控温帽各2套</w:t>
      </w:r>
    </w:p>
    <w:p w14:paraId="22995327">
      <w:pPr>
        <w:pStyle w:val="41"/>
        <w:widowControl/>
        <w:numPr>
          <w:ilvl w:val="0"/>
          <w:numId w:val="20"/>
        </w:numPr>
        <w:adjustRightInd w:val="0"/>
        <w:snapToGrid w:val="0"/>
        <w:spacing w:beforeAutospacing="0" w:afterAutospacing="0"/>
        <w:rPr>
          <w:rStyle w:val="50"/>
          <w:rFonts w:hint="eastAsia" w:ascii="仿宋" w:hAnsi="仿宋" w:eastAsia="仿宋" w:cs="仿宋"/>
          <w:color w:val="auto"/>
          <w:sz w:val="24"/>
          <w:szCs w:val="24"/>
          <w:highlight w:val="none"/>
          <w:shd w:val="clear" w:color="auto" w:fill="FFFFFF"/>
        </w:rPr>
      </w:pPr>
      <w:r>
        <w:rPr>
          <w:rStyle w:val="50"/>
          <w:rFonts w:hint="eastAsia" w:ascii="仿宋" w:hAnsi="仿宋" w:eastAsia="仿宋" w:cs="仿宋"/>
          <w:color w:val="auto"/>
          <w:sz w:val="24"/>
          <w:szCs w:val="24"/>
          <w:highlight w:val="none"/>
          <w:shd w:val="clear" w:color="auto" w:fill="FFFFFF"/>
        </w:rPr>
        <w:t>备品备件清单</w:t>
      </w:r>
    </w:p>
    <w:p w14:paraId="38BEC2B0">
      <w:pPr>
        <w:pStyle w:val="41"/>
        <w:widowControl/>
        <w:adjustRightInd w:val="0"/>
        <w:snapToGrid w:val="0"/>
        <w:spacing w:beforeAutospacing="0" w:afterAutospacing="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控温毯子、控温帽</w:t>
      </w:r>
    </w:p>
    <w:p w14:paraId="56C8F8D7">
      <w:pPr>
        <w:pStyle w:val="41"/>
        <w:widowControl/>
        <w:adjustRightInd w:val="0"/>
        <w:snapToGrid w:val="0"/>
        <w:spacing w:beforeAutospacing="0" w:afterAutospacing="0"/>
        <w:rPr>
          <w:rStyle w:val="50"/>
          <w:rFonts w:hint="eastAsia" w:ascii="仿宋" w:hAnsi="仿宋" w:eastAsia="仿宋" w:cs="仿宋"/>
          <w:color w:val="auto"/>
          <w:sz w:val="24"/>
          <w:szCs w:val="24"/>
          <w:highlight w:val="none"/>
          <w:shd w:val="clear" w:color="auto" w:fill="FFFFFF"/>
        </w:rPr>
      </w:pPr>
      <w:r>
        <w:rPr>
          <w:rStyle w:val="50"/>
          <w:rFonts w:hint="eastAsia" w:ascii="仿宋" w:hAnsi="仿宋" w:eastAsia="仿宋" w:cs="仿宋"/>
          <w:color w:val="auto"/>
          <w:sz w:val="24"/>
          <w:szCs w:val="24"/>
          <w:highlight w:val="none"/>
          <w:shd w:val="clear" w:color="auto" w:fill="FFFFFF"/>
        </w:rPr>
        <w:t>四、质量要求</w:t>
      </w:r>
    </w:p>
    <w:p w14:paraId="38BFCFC5">
      <w:pPr>
        <w:pStyle w:val="41"/>
        <w:widowControl/>
        <w:numPr>
          <w:ilvl w:val="0"/>
          <w:numId w:val="21"/>
        </w:numPr>
        <w:adjustRightInd w:val="0"/>
        <w:snapToGrid w:val="0"/>
        <w:spacing w:beforeAutospacing="0" w:afterAutospacing="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水箱温度范围：4-40℃，精度：±1℃；</w:t>
      </w:r>
    </w:p>
    <w:p w14:paraId="7C0F3E93">
      <w:pPr>
        <w:pStyle w:val="41"/>
        <w:widowControl/>
        <w:numPr>
          <w:ilvl w:val="0"/>
          <w:numId w:val="21"/>
        </w:numPr>
        <w:adjustRightInd w:val="0"/>
        <w:snapToGrid w:val="0"/>
        <w:spacing w:beforeAutospacing="0" w:afterAutospacing="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升温/降温双重功能：具备升温（26-40℃）与降温（4-25℃）双重功能；</w:t>
      </w:r>
    </w:p>
    <w:p w14:paraId="6399DE99">
      <w:pPr>
        <w:pStyle w:val="41"/>
        <w:widowControl/>
        <w:numPr>
          <w:ilvl w:val="0"/>
          <w:numId w:val="21"/>
        </w:numPr>
        <w:adjustRightInd w:val="0"/>
        <w:snapToGrid w:val="0"/>
        <w:spacing w:beforeAutospacing="0" w:afterAutospacing="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空载平均降温速度与升温速度：平均降温速度≥1℃/分钟；平均升温速度≥0.5℃/分钟，负载最大平均降温速度与升温速度：平均降温速度≥2.5℃/h；平均升温速度≥1℃/h；</w:t>
      </w:r>
    </w:p>
    <w:p w14:paraId="29814E39">
      <w:pPr>
        <w:pStyle w:val="41"/>
        <w:widowControl/>
        <w:numPr>
          <w:ilvl w:val="0"/>
          <w:numId w:val="21"/>
        </w:numPr>
        <w:adjustRightInd w:val="0"/>
        <w:snapToGrid w:val="0"/>
        <w:spacing w:beforeAutospacing="0" w:afterAutospacing="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体温监测：具有≥两种体温探头，监测范围30℃～50℃，精度：±0.1℃；可单路或双路进行体温检测；</w:t>
      </w:r>
    </w:p>
    <w:p w14:paraId="6BCD09CF">
      <w:pPr>
        <w:pStyle w:val="41"/>
        <w:widowControl/>
        <w:numPr>
          <w:ilvl w:val="0"/>
          <w:numId w:val="21"/>
        </w:numPr>
        <w:adjustRightInd w:val="0"/>
        <w:snapToGrid w:val="0"/>
        <w:spacing w:beforeAutospacing="0" w:afterAutospacing="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定时范围:定时1小时，可支持长期运行，能自动计时</w:t>
      </w:r>
      <w:r>
        <w:rPr>
          <w:rFonts w:hint="eastAsia" w:ascii="仿宋" w:hAnsi="仿宋" w:eastAsia="仿宋" w:cs="仿宋"/>
          <w:color w:val="auto"/>
          <w:sz w:val="24"/>
          <w:szCs w:val="24"/>
          <w:highlight w:val="none"/>
          <w:lang w:val="en-US" w:eastAsia="zh-CN"/>
        </w:rPr>
        <w:t>;</w:t>
      </w:r>
    </w:p>
    <w:p w14:paraId="21DDA4D4">
      <w:pPr>
        <w:pStyle w:val="41"/>
        <w:widowControl/>
        <w:numPr>
          <w:ilvl w:val="0"/>
          <w:numId w:val="21"/>
        </w:numPr>
        <w:adjustRightInd w:val="0"/>
        <w:snapToGrid w:val="0"/>
        <w:spacing w:beforeAutospacing="0" w:afterAutospacing="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固化程序:内置≥10个常用固定程序，也可用户自行设置水温、体温上下限与定时时间；</w:t>
      </w:r>
    </w:p>
    <w:p w14:paraId="7F8226CC">
      <w:pPr>
        <w:pStyle w:val="41"/>
        <w:widowControl/>
        <w:numPr>
          <w:ilvl w:val="0"/>
          <w:numId w:val="21"/>
        </w:numPr>
        <w:adjustRightInd w:val="0"/>
        <w:snapToGrid w:val="0"/>
        <w:spacing w:beforeAutospacing="0" w:afterAutospacing="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双路输出，双毯或毯/帽可同时工作；</w:t>
      </w:r>
    </w:p>
    <w:p w14:paraId="769FE2E9">
      <w:pPr>
        <w:pStyle w:val="41"/>
        <w:widowControl/>
        <w:numPr>
          <w:ilvl w:val="0"/>
          <w:numId w:val="21"/>
        </w:numPr>
        <w:adjustRightInd w:val="0"/>
        <w:snapToGrid w:val="0"/>
        <w:spacing w:beforeAutospacing="0" w:afterAutospacing="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具备快速接头设计；</w:t>
      </w:r>
    </w:p>
    <w:p w14:paraId="1A3889E8">
      <w:pPr>
        <w:pStyle w:val="41"/>
        <w:widowControl/>
        <w:numPr>
          <w:ilvl w:val="0"/>
          <w:numId w:val="21"/>
        </w:numPr>
        <w:adjustRightInd w:val="0"/>
        <w:snapToGrid w:val="0"/>
        <w:spacing w:beforeAutospacing="0" w:afterAutospacing="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具备水量不足、传感器松脱等智能提示功能；</w:t>
      </w:r>
    </w:p>
    <w:p w14:paraId="21BC43A5">
      <w:pPr>
        <w:pStyle w:val="41"/>
        <w:widowControl/>
        <w:numPr>
          <w:ilvl w:val="0"/>
          <w:numId w:val="21"/>
        </w:numPr>
        <w:adjustRightInd w:val="0"/>
        <w:snapToGrid w:val="0"/>
        <w:spacing w:beforeAutospacing="0" w:afterAutospacing="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具备仪器故障智能诊断；</w:t>
      </w:r>
    </w:p>
    <w:p w14:paraId="3ACE482E">
      <w:pPr>
        <w:bidi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正常工作噪声≤60分贝；</w:t>
      </w:r>
    </w:p>
    <w:p w14:paraId="5BF510D7">
      <w:pPr>
        <w:bidi w:val="0"/>
        <w:spacing w:line="240" w:lineRule="auto"/>
        <w:rPr>
          <w:rFonts w:hint="default" w:eastAsia="仿宋"/>
          <w:b/>
          <w:bCs/>
          <w:color w:val="auto"/>
          <w:sz w:val="28"/>
          <w:szCs w:val="28"/>
          <w:highlight w:val="none"/>
          <w:lang w:val="en-US" w:eastAsia="zh-CN"/>
        </w:rPr>
      </w:pPr>
      <w:r>
        <w:rPr>
          <w:rFonts w:hint="eastAsia" w:ascii="仿宋" w:hAnsi="仿宋" w:eastAsia="仿宋" w:cs="仿宋"/>
          <w:color w:val="auto"/>
          <w:sz w:val="24"/>
          <w:szCs w:val="24"/>
          <w:highlight w:val="none"/>
        </w:rPr>
        <w:br w:type="page"/>
      </w:r>
      <w:r>
        <w:rPr>
          <w:rFonts w:hint="eastAsia" w:ascii="仿宋" w:hAnsi="仿宋" w:eastAsia="仿宋" w:cs="仿宋"/>
          <w:b/>
          <w:bCs/>
          <w:color w:val="auto"/>
          <w:sz w:val="28"/>
          <w:szCs w:val="28"/>
          <w:highlight w:val="none"/>
          <w:lang w:val="en-US" w:eastAsia="zh-CN"/>
        </w:rPr>
        <w:t>2包：</w:t>
      </w:r>
    </w:p>
    <w:p w14:paraId="3681E273">
      <w:pPr>
        <w:bidi w:val="0"/>
        <w:jc w:val="left"/>
        <w:rPr>
          <w:rFonts w:hint="eastAsia"/>
          <w:color w:val="auto"/>
          <w:highlight w:val="none"/>
          <w:lang w:val="en-US" w:eastAsia="zh-CN"/>
        </w:rPr>
      </w:pPr>
    </w:p>
    <w:p w14:paraId="1E3B1C2F">
      <w:pPr>
        <w:pStyle w:val="41"/>
        <w:widowControl/>
        <w:adjustRightInd w:val="0"/>
        <w:snapToGrid w:val="0"/>
        <w:spacing w:beforeAutospacing="0" w:afterAutospacing="0"/>
        <w:jc w:val="center"/>
        <w:rPr>
          <w:rFonts w:ascii="仿宋_GB2312" w:hAnsi="Arial" w:eastAsia="仿宋_GB2312"/>
          <w:color w:val="auto"/>
          <w:sz w:val="21"/>
          <w:szCs w:val="21"/>
          <w:highlight w:val="none"/>
        </w:rPr>
      </w:pPr>
      <w:r>
        <w:rPr>
          <w:rStyle w:val="50"/>
          <w:rFonts w:hint="eastAsia" w:ascii="Times New Roman" w:hAnsi="Times New Roman" w:eastAsia="宋体"/>
          <w:bCs/>
          <w:color w:val="auto"/>
          <w:sz w:val="28"/>
          <w:szCs w:val="28"/>
          <w:highlight w:val="none"/>
          <w:shd w:val="clear" w:color="auto" w:fill="FFFFFF"/>
        </w:rPr>
        <w:t>经颅磁刺激治疗仪</w:t>
      </w:r>
    </w:p>
    <w:p w14:paraId="42CACAEE">
      <w:pPr>
        <w:pStyle w:val="41"/>
        <w:widowControl/>
        <w:numPr>
          <w:ilvl w:val="0"/>
          <w:numId w:val="22"/>
        </w:numPr>
        <w:adjustRightInd w:val="0"/>
        <w:snapToGrid w:val="0"/>
        <w:spacing w:beforeAutospacing="0" w:afterAutospacing="0"/>
        <w:ind w:firstLine="0"/>
        <w:rPr>
          <w:rFonts w:ascii="仿宋_GB2312" w:hAnsi="Arial" w:eastAsia="仿宋_GB2312"/>
          <w:color w:val="auto"/>
          <w:sz w:val="21"/>
          <w:szCs w:val="21"/>
          <w:highlight w:val="none"/>
        </w:rPr>
      </w:pPr>
      <w:r>
        <w:rPr>
          <w:rFonts w:ascii="仿宋_GB2312" w:hAnsi="Arial" w:eastAsia="仿宋_GB2312"/>
          <w:color w:val="auto"/>
          <w:sz w:val="21"/>
          <w:szCs w:val="21"/>
          <w:highlight w:val="none"/>
        </w:rPr>
        <w:t>功能描述</w:t>
      </w:r>
    </w:p>
    <w:p w14:paraId="64B7569C">
      <w:pPr>
        <w:pStyle w:val="41"/>
        <w:widowControl/>
        <w:adjustRightInd w:val="0"/>
        <w:snapToGrid w:val="0"/>
        <w:spacing w:beforeAutospacing="0" w:afterAutospacing="0"/>
        <w:rPr>
          <w:rFonts w:ascii="仿宋_GB2312" w:hAnsi="Arial" w:eastAsia="仿宋_GB2312"/>
          <w:color w:val="auto"/>
          <w:sz w:val="21"/>
          <w:szCs w:val="21"/>
          <w:highlight w:val="none"/>
        </w:rPr>
      </w:pPr>
      <w:r>
        <w:rPr>
          <w:rFonts w:hint="eastAsia" w:ascii="仿宋_GB2312" w:hAnsi="Arial" w:eastAsia="仿宋_GB2312"/>
          <w:color w:val="auto"/>
          <w:sz w:val="21"/>
          <w:szCs w:val="21"/>
          <w:highlight w:val="none"/>
        </w:rPr>
        <w:t>适用于成人中枢神经刺激和外周神经刺激。</w:t>
      </w:r>
    </w:p>
    <w:p w14:paraId="34686034">
      <w:pPr>
        <w:pStyle w:val="41"/>
        <w:widowControl/>
        <w:numPr>
          <w:ilvl w:val="0"/>
          <w:numId w:val="22"/>
        </w:numPr>
        <w:adjustRightInd w:val="0"/>
        <w:snapToGrid w:val="0"/>
        <w:spacing w:beforeAutospacing="0" w:afterAutospacing="0"/>
        <w:ind w:firstLine="0"/>
        <w:rPr>
          <w:rFonts w:ascii="仿宋_GB2312" w:hAnsi="Arial" w:eastAsia="仿宋_GB2312"/>
          <w:color w:val="auto"/>
          <w:sz w:val="21"/>
          <w:szCs w:val="21"/>
          <w:highlight w:val="none"/>
        </w:rPr>
      </w:pPr>
      <w:r>
        <w:rPr>
          <w:rFonts w:ascii="仿宋_GB2312" w:hAnsi="Arial" w:eastAsia="仿宋_GB2312"/>
          <w:color w:val="auto"/>
          <w:sz w:val="21"/>
          <w:szCs w:val="21"/>
          <w:highlight w:val="none"/>
        </w:rPr>
        <w:t>硬件配置清单</w:t>
      </w:r>
    </w:p>
    <w:p w14:paraId="2D58163C">
      <w:pPr>
        <w:pStyle w:val="41"/>
        <w:widowControl/>
        <w:adjustRightInd w:val="0"/>
        <w:snapToGrid w:val="0"/>
        <w:spacing w:beforeAutospacing="0" w:afterAutospacing="0"/>
        <w:rPr>
          <w:rFonts w:ascii="仿宋_GB2312" w:hAnsi="Arial" w:eastAsia="仿宋_GB2312"/>
          <w:color w:val="auto"/>
          <w:sz w:val="21"/>
          <w:szCs w:val="21"/>
          <w:highlight w:val="none"/>
        </w:rPr>
      </w:pPr>
      <w:r>
        <w:rPr>
          <w:rFonts w:hint="eastAsia" w:ascii="仿宋_GB2312" w:hAnsi="Arial" w:eastAsia="仿宋_GB2312"/>
          <w:color w:val="auto"/>
          <w:sz w:val="21"/>
          <w:szCs w:val="21"/>
          <w:highlight w:val="none"/>
        </w:rPr>
        <w:t>1、主机1台；</w:t>
      </w:r>
    </w:p>
    <w:p w14:paraId="1100188A">
      <w:pPr>
        <w:pStyle w:val="41"/>
        <w:widowControl/>
        <w:adjustRightInd w:val="0"/>
        <w:snapToGrid w:val="0"/>
        <w:spacing w:beforeAutospacing="0" w:afterAutospacing="0"/>
        <w:rPr>
          <w:rFonts w:ascii="仿宋_GB2312" w:hAnsi="Arial" w:eastAsia="仿宋_GB2312"/>
          <w:color w:val="auto"/>
          <w:sz w:val="21"/>
          <w:szCs w:val="21"/>
          <w:highlight w:val="none"/>
        </w:rPr>
      </w:pPr>
      <w:r>
        <w:rPr>
          <w:rFonts w:hint="eastAsia" w:ascii="仿宋_GB2312" w:hAnsi="Arial" w:eastAsia="仿宋_GB2312"/>
          <w:color w:val="auto"/>
          <w:sz w:val="21"/>
          <w:szCs w:val="21"/>
          <w:highlight w:val="none"/>
        </w:rPr>
        <w:t>2、配备8字型线圈1套</w:t>
      </w:r>
    </w:p>
    <w:p w14:paraId="2702F12C">
      <w:pPr>
        <w:pStyle w:val="41"/>
        <w:widowControl/>
        <w:adjustRightInd w:val="0"/>
        <w:snapToGrid w:val="0"/>
        <w:spacing w:beforeAutospacing="0" w:afterAutospacing="0"/>
        <w:rPr>
          <w:rFonts w:ascii="仿宋_GB2312" w:hAnsi="Arial" w:eastAsia="仿宋_GB2312"/>
          <w:color w:val="auto"/>
          <w:sz w:val="21"/>
          <w:szCs w:val="21"/>
          <w:highlight w:val="none"/>
        </w:rPr>
      </w:pPr>
      <w:r>
        <w:rPr>
          <w:rFonts w:hint="eastAsia" w:ascii="仿宋_GB2312" w:hAnsi="Arial" w:eastAsia="仿宋_GB2312"/>
          <w:color w:val="auto"/>
          <w:sz w:val="21"/>
          <w:szCs w:val="21"/>
          <w:highlight w:val="none"/>
        </w:rPr>
        <w:t>3、台车1台</w:t>
      </w:r>
    </w:p>
    <w:p w14:paraId="2D774F8F">
      <w:pPr>
        <w:pStyle w:val="41"/>
        <w:widowControl/>
        <w:numPr>
          <w:ilvl w:val="0"/>
          <w:numId w:val="22"/>
        </w:numPr>
        <w:adjustRightInd w:val="0"/>
        <w:snapToGrid w:val="0"/>
        <w:spacing w:beforeAutospacing="0" w:afterAutospacing="0"/>
        <w:ind w:firstLine="0"/>
        <w:rPr>
          <w:rFonts w:ascii="仿宋_GB2312" w:hAnsi="Arial" w:eastAsia="仿宋_GB2312"/>
          <w:color w:val="auto"/>
          <w:sz w:val="21"/>
          <w:szCs w:val="21"/>
          <w:highlight w:val="none"/>
        </w:rPr>
      </w:pPr>
      <w:r>
        <w:rPr>
          <w:rFonts w:ascii="仿宋_GB2312" w:hAnsi="Arial" w:eastAsia="仿宋_GB2312"/>
          <w:color w:val="auto"/>
          <w:sz w:val="21"/>
          <w:szCs w:val="21"/>
          <w:highlight w:val="none"/>
        </w:rPr>
        <w:t>备品备件清单</w:t>
      </w:r>
    </w:p>
    <w:p w14:paraId="32025515">
      <w:pPr>
        <w:widowControl/>
        <w:adjustRightInd w:val="0"/>
        <w:snapToGrid w:val="0"/>
        <w:jc w:val="left"/>
        <w:rPr>
          <w:rFonts w:ascii="仿宋_GB2312" w:hAnsi="Arial" w:eastAsia="仿宋_GB2312"/>
          <w:color w:val="auto"/>
          <w:szCs w:val="21"/>
          <w:highlight w:val="none"/>
        </w:rPr>
      </w:pPr>
      <w:r>
        <w:rPr>
          <w:rFonts w:hint="eastAsia" w:ascii="仿宋_GB2312" w:hAnsi="Arial" w:eastAsia="仿宋_GB2312"/>
          <w:color w:val="auto"/>
          <w:szCs w:val="21"/>
          <w:highlight w:val="none"/>
        </w:rPr>
        <w:t>定位帽、不同种类线圈</w:t>
      </w:r>
    </w:p>
    <w:p w14:paraId="72C5EF93">
      <w:pPr>
        <w:pStyle w:val="41"/>
        <w:widowControl/>
        <w:numPr>
          <w:ilvl w:val="0"/>
          <w:numId w:val="22"/>
        </w:numPr>
        <w:adjustRightInd w:val="0"/>
        <w:snapToGrid w:val="0"/>
        <w:spacing w:beforeAutospacing="0" w:afterAutospacing="0"/>
        <w:ind w:firstLine="0"/>
        <w:rPr>
          <w:rFonts w:ascii="仿宋_GB2312" w:hAnsi="Arial" w:eastAsia="仿宋_GB2312"/>
          <w:color w:val="auto"/>
          <w:sz w:val="21"/>
          <w:szCs w:val="21"/>
          <w:highlight w:val="none"/>
        </w:rPr>
      </w:pPr>
      <w:r>
        <w:rPr>
          <w:rFonts w:ascii="仿宋_GB2312" w:hAnsi="Arial" w:eastAsia="仿宋_GB2312"/>
          <w:color w:val="auto"/>
          <w:sz w:val="21"/>
          <w:szCs w:val="21"/>
          <w:highlight w:val="none"/>
        </w:rPr>
        <w:t>质量要求</w:t>
      </w:r>
    </w:p>
    <w:p w14:paraId="2D115E78">
      <w:pPr>
        <w:widowControl/>
        <w:numPr>
          <w:ilvl w:val="0"/>
          <w:numId w:val="23"/>
        </w:numPr>
        <w:adjustRightInd w:val="0"/>
        <w:snapToGrid w:val="0"/>
        <w:jc w:val="left"/>
        <w:rPr>
          <w:rFonts w:ascii="仿宋_GB2312" w:hAnsi="Arial" w:eastAsia="仿宋_GB2312"/>
          <w:color w:val="auto"/>
          <w:kern w:val="0"/>
          <w:szCs w:val="21"/>
          <w:highlight w:val="none"/>
          <w:lang w:bidi="ar"/>
        </w:rPr>
      </w:pPr>
      <w:r>
        <w:rPr>
          <w:rFonts w:hint="eastAsia" w:ascii="仿宋_GB2312" w:hAnsi="Arial" w:eastAsia="仿宋_GB2312"/>
          <w:color w:val="auto"/>
          <w:kern w:val="0"/>
          <w:szCs w:val="21"/>
          <w:highlight w:val="none"/>
          <w:lang w:bidi="ar"/>
        </w:rPr>
        <w:t>刺激发生器（主机）：</w:t>
      </w:r>
    </w:p>
    <w:p w14:paraId="1465BAFA">
      <w:pPr>
        <w:widowControl/>
        <w:numPr>
          <w:ilvl w:val="1"/>
          <w:numId w:val="23"/>
        </w:numPr>
        <w:adjustRightInd w:val="0"/>
        <w:snapToGrid w:val="0"/>
        <w:ind w:left="567" w:hanging="567"/>
        <w:jc w:val="left"/>
        <w:rPr>
          <w:rFonts w:ascii="仿宋_GB2312" w:hAnsi="Arial" w:eastAsia="仿宋_GB2312"/>
          <w:color w:val="auto"/>
          <w:kern w:val="0"/>
          <w:szCs w:val="21"/>
          <w:highlight w:val="none"/>
          <w:lang w:bidi="ar"/>
        </w:rPr>
      </w:pPr>
      <w:r>
        <w:rPr>
          <w:rFonts w:hint="eastAsia" w:ascii="仿宋_GB2312" w:hAnsi="Arial" w:eastAsia="仿宋_GB2312"/>
          <w:color w:val="auto"/>
          <w:kern w:val="0"/>
          <w:szCs w:val="21"/>
          <w:highlight w:val="none"/>
          <w:lang w:bidi="ar"/>
        </w:rPr>
        <w:t>★最大输出脉冲频率≥40Hz，允差±5%，0～40Hz连续可调；刺激频率调节：1Hz以下时，步长为0.1Hz，1Hz以上，步长为1Hz；</w:t>
      </w:r>
    </w:p>
    <w:p w14:paraId="7868CFA8">
      <w:pPr>
        <w:widowControl/>
        <w:numPr>
          <w:ilvl w:val="1"/>
          <w:numId w:val="23"/>
        </w:numPr>
        <w:adjustRightInd w:val="0"/>
        <w:snapToGrid w:val="0"/>
        <w:ind w:left="567" w:hanging="567"/>
        <w:jc w:val="left"/>
        <w:rPr>
          <w:rFonts w:ascii="仿宋_GB2312" w:hAnsi="Arial" w:eastAsia="仿宋_GB2312"/>
          <w:color w:val="auto"/>
          <w:kern w:val="0"/>
          <w:szCs w:val="21"/>
          <w:highlight w:val="none"/>
          <w:lang w:bidi="ar"/>
        </w:rPr>
      </w:pPr>
      <w:r>
        <w:rPr>
          <w:rFonts w:hint="eastAsia" w:ascii="仿宋_GB2312" w:hAnsi="Arial" w:eastAsia="仿宋_GB2312"/>
          <w:color w:val="auto"/>
          <w:kern w:val="0"/>
          <w:szCs w:val="21"/>
          <w:highlight w:val="none"/>
          <w:lang w:bidi="ar"/>
        </w:rPr>
        <w:t>最大磁感应强度：≥6T；</w:t>
      </w:r>
    </w:p>
    <w:p w14:paraId="54A66F54">
      <w:pPr>
        <w:widowControl/>
        <w:numPr>
          <w:ilvl w:val="1"/>
          <w:numId w:val="23"/>
        </w:numPr>
        <w:adjustRightInd w:val="0"/>
        <w:snapToGrid w:val="0"/>
        <w:ind w:left="567" w:hanging="567"/>
        <w:jc w:val="left"/>
        <w:rPr>
          <w:rFonts w:ascii="仿宋_GB2312" w:hAnsi="Arial" w:eastAsia="仿宋_GB2312"/>
          <w:color w:val="auto"/>
          <w:kern w:val="0"/>
          <w:szCs w:val="21"/>
          <w:highlight w:val="none"/>
          <w:lang w:bidi="ar"/>
        </w:rPr>
      </w:pPr>
      <w:r>
        <w:rPr>
          <w:rFonts w:hint="eastAsia" w:ascii="仿宋_GB2312" w:hAnsi="Arial" w:eastAsia="仿宋_GB2312"/>
          <w:color w:val="auto"/>
          <w:kern w:val="0"/>
          <w:szCs w:val="21"/>
          <w:highlight w:val="none"/>
          <w:lang w:bidi="ar"/>
        </w:rPr>
        <w:t>脉冲上升时间：≤100μs；</w:t>
      </w:r>
    </w:p>
    <w:p w14:paraId="582C27A4">
      <w:pPr>
        <w:widowControl/>
        <w:numPr>
          <w:ilvl w:val="1"/>
          <w:numId w:val="23"/>
        </w:numPr>
        <w:adjustRightInd w:val="0"/>
        <w:snapToGrid w:val="0"/>
        <w:ind w:left="567" w:hanging="567"/>
        <w:jc w:val="left"/>
        <w:rPr>
          <w:rFonts w:ascii="仿宋_GB2312" w:hAnsi="Arial" w:eastAsia="仿宋_GB2312"/>
          <w:color w:val="auto"/>
          <w:kern w:val="0"/>
          <w:szCs w:val="21"/>
          <w:highlight w:val="none"/>
          <w:lang w:bidi="ar"/>
        </w:rPr>
      </w:pPr>
      <w:r>
        <w:rPr>
          <w:rFonts w:hint="eastAsia" w:ascii="仿宋_GB2312" w:hAnsi="Arial" w:eastAsia="仿宋_GB2312"/>
          <w:color w:val="auto"/>
          <w:kern w:val="0"/>
          <w:szCs w:val="21"/>
          <w:highlight w:val="none"/>
          <w:lang w:bidi="ar"/>
        </w:rPr>
        <w:t>脉冲宽度：320-</w:t>
      </w:r>
      <w:r>
        <w:rPr>
          <w:rFonts w:hint="eastAsia" w:ascii="仿宋" w:hAnsi="仿宋" w:eastAsia="仿宋" w:cs="仿宋"/>
          <w:color w:val="auto"/>
          <w:kern w:val="0"/>
          <w:sz w:val="24"/>
          <w:szCs w:val="24"/>
          <w:highlight w:val="none"/>
          <w:lang w:bidi="ar"/>
        </w:rPr>
        <w:t>350</w:t>
      </w:r>
      <w:r>
        <w:rPr>
          <w:rFonts w:hint="eastAsia" w:ascii="仿宋_GB2312" w:hAnsi="Arial" w:eastAsia="仿宋_GB2312"/>
          <w:color w:val="auto"/>
          <w:kern w:val="0"/>
          <w:szCs w:val="21"/>
          <w:highlight w:val="none"/>
          <w:lang w:bidi="ar"/>
        </w:rPr>
        <w:t>μs；</w:t>
      </w:r>
    </w:p>
    <w:p w14:paraId="1155E960">
      <w:pPr>
        <w:widowControl/>
        <w:numPr>
          <w:ilvl w:val="1"/>
          <w:numId w:val="23"/>
        </w:numPr>
        <w:adjustRightInd w:val="0"/>
        <w:snapToGrid w:val="0"/>
        <w:ind w:left="567" w:hanging="567"/>
        <w:jc w:val="left"/>
        <w:rPr>
          <w:rFonts w:ascii="仿宋_GB2312" w:hAnsi="Arial" w:eastAsia="仿宋_GB2312"/>
          <w:color w:val="auto"/>
          <w:kern w:val="0"/>
          <w:szCs w:val="21"/>
          <w:highlight w:val="none"/>
          <w:lang w:bidi="ar"/>
        </w:rPr>
      </w:pPr>
      <w:r>
        <w:rPr>
          <w:rFonts w:hint="eastAsia" w:ascii="仿宋_GB2312" w:hAnsi="Arial" w:eastAsia="仿宋_GB2312"/>
          <w:color w:val="auto"/>
          <w:kern w:val="0"/>
          <w:szCs w:val="21"/>
          <w:highlight w:val="none"/>
          <w:lang w:bidi="ar"/>
        </w:rPr>
        <w:t>磁感应强度最大变化率：≥50KT/s；</w:t>
      </w:r>
    </w:p>
    <w:p w14:paraId="0BEE75D8">
      <w:pPr>
        <w:widowControl/>
        <w:numPr>
          <w:ilvl w:val="1"/>
          <w:numId w:val="23"/>
        </w:numPr>
        <w:adjustRightInd w:val="0"/>
        <w:snapToGrid w:val="0"/>
        <w:ind w:left="567" w:hanging="567"/>
        <w:jc w:val="left"/>
        <w:rPr>
          <w:rFonts w:ascii="仿宋_GB2312" w:hAnsi="Arial" w:eastAsia="仿宋_GB2312"/>
          <w:color w:val="auto"/>
          <w:kern w:val="0"/>
          <w:szCs w:val="21"/>
          <w:highlight w:val="none"/>
          <w:lang w:bidi="ar"/>
        </w:rPr>
      </w:pPr>
      <w:r>
        <w:rPr>
          <w:rFonts w:hint="eastAsia" w:ascii="仿宋_GB2312" w:hAnsi="Arial" w:eastAsia="仿宋_GB2312"/>
          <w:color w:val="auto"/>
          <w:kern w:val="0"/>
          <w:szCs w:val="21"/>
          <w:highlight w:val="none"/>
          <w:lang w:bidi="ar"/>
        </w:rPr>
        <w:t>具备输入输出触发接口；开放的技术平台，可兼容脑电图EEG、肌电图EMG、、近红外脑功能成像系统NIRS等设备；</w:t>
      </w:r>
    </w:p>
    <w:p w14:paraId="243EEDA7">
      <w:pPr>
        <w:widowControl/>
        <w:numPr>
          <w:ilvl w:val="1"/>
          <w:numId w:val="23"/>
        </w:numPr>
        <w:adjustRightInd w:val="0"/>
        <w:snapToGrid w:val="0"/>
        <w:ind w:left="567" w:hanging="567"/>
        <w:jc w:val="left"/>
        <w:rPr>
          <w:rFonts w:ascii="仿宋_GB2312" w:hAnsi="Arial" w:eastAsia="仿宋_GB2312"/>
          <w:color w:val="auto"/>
          <w:szCs w:val="21"/>
          <w:highlight w:val="none"/>
        </w:rPr>
      </w:pPr>
      <w:r>
        <w:rPr>
          <w:rFonts w:hint="eastAsia" w:ascii="仿宋_GB2312" w:hAnsi="Arial" w:eastAsia="仿宋_GB2312"/>
          <w:color w:val="auto"/>
          <w:kern w:val="0"/>
          <w:szCs w:val="21"/>
          <w:highlight w:val="none"/>
          <w:lang w:bidi="ar"/>
        </w:rPr>
        <w:t>具备MEP模块，可快速检测上下肢运动诱发电位；</w:t>
      </w:r>
    </w:p>
    <w:p w14:paraId="1D4EA11D">
      <w:pPr>
        <w:widowControl/>
        <w:numPr>
          <w:ilvl w:val="2"/>
          <w:numId w:val="23"/>
        </w:numPr>
        <w:adjustRightInd w:val="0"/>
        <w:snapToGrid w:val="0"/>
        <w:jc w:val="left"/>
        <w:rPr>
          <w:rFonts w:ascii="仿宋_GB2312" w:hAnsi="Arial" w:eastAsia="仿宋_GB2312"/>
          <w:color w:val="auto"/>
          <w:kern w:val="0"/>
          <w:szCs w:val="21"/>
          <w:highlight w:val="none"/>
          <w:lang w:bidi="ar"/>
        </w:rPr>
      </w:pPr>
      <w:r>
        <w:rPr>
          <w:rFonts w:hint="eastAsia" w:ascii="仿宋_GB2312" w:hAnsi="Arial" w:eastAsia="仿宋_GB2312"/>
          <w:color w:val="auto"/>
          <w:szCs w:val="21"/>
          <w:highlight w:val="none"/>
        </w:rPr>
        <w:t>MEP通</w:t>
      </w:r>
      <w:r>
        <w:rPr>
          <w:rFonts w:hint="eastAsia" w:ascii="仿宋_GB2312" w:hAnsi="Arial" w:eastAsia="仿宋_GB2312"/>
          <w:color w:val="auto"/>
          <w:kern w:val="0"/>
          <w:szCs w:val="21"/>
          <w:highlight w:val="none"/>
          <w:lang w:bidi="ar"/>
        </w:rPr>
        <w:t>道数：≥2通道；</w:t>
      </w:r>
    </w:p>
    <w:p w14:paraId="16665EBF">
      <w:pPr>
        <w:widowControl/>
        <w:numPr>
          <w:ilvl w:val="2"/>
          <w:numId w:val="23"/>
        </w:numPr>
        <w:adjustRightInd w:val="0"/>
        <w:snapToGrid w:val="0"/>
        <w:jc w:val="left"/>
        <w:rPr>
          <w:rFonts w:ascii="仿宋_GB2312" w:hAnsi="Arial" w:eastAsia="仿宋_GB2312"/>
          <w:color w:val="auto"/>
          <w:kern w:val="0"/>
          <w:szCs w:val="21"/>
          <w:highlight w:val="none"/>
          <w:lang w:bidi="ar"/>
        </w:rPr>
      </w:pPr>
      <w:r>
        <w:rPr>
          <w:rFonts w:hint="eastAsia" w:ascii="仿宋_GB2312" w:hAnsi="Arial" w:eastAsia="仿宋_GB2312"/>
          <w:color w:val="auto"/>
          <w:szCs w:val="21"/>
          <w:highlight w:val="none"/>
        </w:rPr>
        <w:t>MEP采样率：≥100kHz；</w:t>
      </w:r>
    </w:p>
    <w:p w14:paraId="583163DE">
      <w:pPr>
        <w:widowControl/>
        <w:numPr>
          <w:ilvl w:val="0"/>
          <w:numId w:val="23"/>
        </w:numPr>
        <w:adjustRightInd w:val="0"/>
        <w:snapToGrid w:val="0"/>
        <w:jc w:val="left"/>
        <w:rPr>
          <w:rFonts w:ascii="仿宋_GB2312" w:hAnsi="Arial" w:eastAsia="仿宋_GB2312"/>
          <w:color w:val="auto"/>
          <w:kern w:val="0"/>
          <w:szCs w:val="21"/>
          <w:highlight w:val="none"/>
          <w:lang w:bidi="ar"/>
        </w:rPr>
      </w:pPr>
      <w:r>
        <w:rPr>
          <w:rFonts w:hint="eastAsia" w:ascii="仿宋_GB2312" w:hAnsi="Arial" w:eastAsia="仿宋_GB2312"/>
          <w:color w:val="auto"/>
          <w:kern w:val="0"/>
          <w:szCs w:val="21"/>
          <w:highlight w:val="none"/>
          <w:lang w:bidi="ar"/>
        </w:rPr>
        <w:t>TMS数据管理系统：</w:t>
      </w:r>
    </w:p>
    <w:p w14:paraId="7D915776">
      <w:pPr>
        <w:widowControl/>
        <w:adjustRightInd w:val="0"/>
        <w:snapToGrid w:val="0"/>
        <w:ind w:left="480" w:leftChars="200" w:firstLine="55" w:firstLineChars="23"/>
        <w:jc w:val="left"/>
        <w:rPr>
          <w:rFonts w:ascii="仿宋_GB2312" w:hAnsi="Arial" w:eastAsia="仿宋_GB2312"/>
          <w:color w:val="auto"/>
          <w:kern w:val="0"/>
          <w:szCs w:val="21"/>
          <w:highlight w:val="none"/>
          <w:lang w:bidi="ar"/>
        </w:rPr>
      </w:pPr>
      <w:r>
        <w:rPr>
          <w:rFonts w:hint="eastAsia" w:ascii="仿宋_GB2312" w:hAnsi="Arial" w:eastAsia="仿宋_GB2312"/>
          <w:color w:val="auto"/>
          <w:kern w:val="0"/>
          <w:szCs w:val="21"/>
          <w:highlight w:val="none"/>
          <w:lang w:bidi="ar"/>
        </w:rPr>
        <w:t>2.1 全中文操作系统，具备人体大脑3D解剖定位图辅助操作人员精准定位；</w:t>
      </w:r>
    </w:p>
    <w:p w14:paraId="3E49080B">
      <w:pPr>
        <w:widowControl/>
        <w:adjustRightInd w:val="0"/>
        <w:snapToGrid w:val="0"/>
        <w:ind w:firstLine="480" w:firstLineChars="200"/>
        <w:jc w:val="left"/>
        <w:rPr>
          <w:rFonts w:ascii="仿宋_GB2312" w:hAnsi="Arial" w:eastAsia="仿宋_GB2312"/>
          <w:color w:val="auto"/>
          <w:kern w:val="0"/>
          <w:szCs w:val="21"/>
          <w:highlight w:val="none"/>
          <w:lang w:bidi="ar"/>
        </w:rPr>
      </w:pPr>
      <w:r>
        <w:rPr>
          <w:rFonts w:hint="eastAsia" w:ascii="仿宋_GB2312" w:hAnsi="Arial" w:eastAsia="仿宋_GB2312"/>
          <w:color w:val="auto"/>
          <w:kern w:val="0"/>
          <w:szCs w:val="21"/>
          <w:highlight w:val="none"/>
          <w:lang w:bidi="ar"/>
        </w:rPr>
        <w:t>2.2刺激模式≥3种包括但不限于：单脉冲刺激模式，重复脉冲刺激模式、爆发刺激(TBS)模式；</w:t>
      </w:r>
    </w:p>
    <w:p w14:paraId="0A14D7BD">
      <w:pPr>
        <w:widowControl/>
        <w:adjustRightInd w:val="0"/>
        <w:snapToGrid w:val="0"/>
        <w:ind w:left="873" w:hanging="453"/>
        <w:jc w:val="left"/>
        <w:rPr>
          <w:rFonts w:ascii="仿宋_GB2312" w:hAnsi="Arial" w:eastAsia="仿宋_GB2312"/>
          <w:b/>
          <w:bCs/>
          <w:color w:val="auto"/>
          <w:kern w:val="0"/>
          <w:szCs w:val="21"/>
          <w:highlight w:val="none"/>
          <w:lang w:bidi="ar"/>
        </w:rPr>
      </w:pPr>
      <w:r>
        <w:rPr>
          <w:rFonts w:hint="eastAsia" w:ascii="仿宋_GB2312" w:hAnsi="Arial" w:eastAsia="仿宋_GB2312"/>
          <w:color w:val="auto"/>
          <w:kern w:val="0"/>
          <w:szCs w:val="21"/>
          <w:highlight w:val="none"/>
          <w:lang w:bidi="ar"/>
        </w:rPr>
        <w:t>2.3 MEP检测功能：支持运动阈值（MT）、运动诱发电位（MEP）、中枢神经传导时间（CMCT）的检查功能；</w:t>
      </w:r>
    </w:p>
    <w:p w14:paraId="4A4AA723">
      <w:pPr>
        <w:widowControl/>
        <w:adjustRightInd w:val="0"/>
        <w:snapToGrid w:val="0"/>
        <w:ind w:left="873" w:hanging="453"/>
        <w:jc w:val="left"/>
        <w:rPr>
          <w:rFonts w:ascii="仿宋_GB2312" w:hAnsi="Arial" w:eastAsia="仿宋_GB2312"/>
          <w:color w:val="auto"/>
          <w:kern w:val="0"/>
          <w:szCs w:val="21"/>
          <w:highlight w:val="none"/>
          <w:lang w:bidi="ar"/>
        </w:rPr>
      </w:pPr>
      <w:r>
        <w:rPr>
          <w:rFonts w:hint="eastAsia" w:ascii="仿宋_GB2312" w:hAnsi="Arial" w:eastAsia="仿宋_GB2312"/>
          <w:color w:val="auto"/>
          <w:kern w:val="0"/>
          <w:szCs w:val="21"/>
          <w:highlight w:val="none"/>
          <w:lang w:bidi="ar"/>
        </w:rPr>
        <w:t>2.4 数据库管理功能，包含治疗处方管理，治疗记录管理，并可快速调取历史刺激记录，直接启动刺激；</w:t>
      </w:r>
    </w:p>
    <w:p w14:paraId="3C973FED">
      <w:pPr>
        <w:widowControl/>
        <w:adjustRightInd w:val="0"/>
        <w:snapToGrid w:val="0"/>
        <w:ind w:left="873" w:hanging="453"/>
        <w:jc w:val="left"/>
        <w:rPr>
          <w:rFonts w:ascii="仿宋_GB2312" w:hAnsi="Arial" w:eastAsia="仿宋_GB2312"/>
          <w:color w:val="auto"/>
          <w:kern w:val="0"/>
          <w:szCs w:val="21"/>
          <w:highlight w:val="none"/>
          <w:lang w:bidi="ar"/>
        </w:rPr>
      </w:pPr>
      <w:r>
        <w:rPr>
          <w:rFonts w:hint="eastAsia" w:ascii="仿宋_GB2312" w:hAnsi="Arial" w:eastAsia="仿宋_GB2312"/>
          <w:color w:val="auto"/>
          <w:kern w:val="0"/>
          <w:szCs w:val="21"/>
          <w:highlight w:val="none"/>
          <w:lang w:bidi="ar"/>
        </w:rPr>
        <w:t>2.5内置多种刺激治疗方案，也可以自定义治疗方案，并支持用户根据患者差异调整刺激治疗方案；</w:t>
      </w:r>
    </w:p>
    <w:p w14:paraId="49389CD5">
      <w:pPr>
        <w:widowControl/>
        <w:adjustRightInd w:val="0"/>
        <w:snapToGrid w:val="0"/>
        <w:ind w:left="873" w:hanging="453"/>
        <w:jc w:val="left"/>
        <w:rPr>
          <w:rFonts w:ascii="仿宋_GB2312" w:hAnsi="Arial" w:eastAsia="仿宋_GB2312"/>
          <w:color w:val="auto"/>
          <w:kern w:val="0"/>
          <w:szCs w:val="21"/>
          <w:highlight w:val="none"/>
          <w:lang w:bidi="ar"/>
        </w:rPr>
      </w:pPr>
      <w:r>
        <w:rPr>
          <w:rFonts w:hint="eastAsia" w:ascii="仿宋_GB2312" w:hAnsi="Arial" w:eastAsia="仿宋_GB2312"/>
          <w:color w:val="auto"/>
          <w:kern w:val="0"/>
          <w:szCs w:val="21"/>
          <w:highlight w:val="none"/>
          <w:lang w:bidi="ar"/>
        </w:rPr>
        <w:t>2.6病例报告输出方式：可自动化输出患者单次治疗报告（Word报告）与多次治疗统计表（Excel），也可根据需求自定义编辑报告模板输出打印功能（word与excel）；</w:t>
      </w:r>
    </w:p>
    <w:p w14:paraId="70AFF471">
      <w:pPr>
        <w:widowControl/>
        <w:numPr>
          <w:ilvl w:val="0"/>
          <w:numId w:val="23"/>
        </w:numPr>
        <w:adjustRightInd w:val="0"/>
        <w:snapToGrid w:val="0"/>
        <w:jc w:val="left"/>
        <w:rPr>
          <w:rFonts w:ascii="仿宋_GB2312" w:hAnsi="Arial" w:eastAsia="仿宋_GB2312"/>
          <w:color w:val="auto"/>
          <w:kern w:val="0"/>
          <w:szCs w:val="21"/>
          <w:highlight w:val="none"/>
          <w:lang w:bidi="ar"/>
        </w:rPr>
      </w:pPr>
      <w:r>
        <w:rPr>
          <w:rFonts w:hint="eastAsia" w:ascii="仿宋_GB2312" w:hAnsi="Arial" w:eastAsia="仿宋_GB2312"/>
          <w:color w:val="auto"/>
          <w:kern w:val="0"/>
          <w:szCs w:val="21"/>
          <w:highlight w:val="none"/>
          <w:lang w:bidi="ar"/>
        </w:rPr>
        <w:t>冷却系统：</w:t>
      </w:r>
    </w:p>
    <w:p w14:paraId="6617AD7C">
      <w:pPr>
        <w:widowControl/>
        <w:numPr>
          <w:ilvl w:val="1"/>
          <w:numId w:val="23"/>
        </w:numPr>
        <w:adjustRightInd w:val="0"/>
        <w:snapToGrid w:val="0"/>
        <w:jc w:val="left"/>
        <w:rPr>
          <w:rFonts w:ascii="仿宋_GB2312" w:hAnsi="Arial" w:eastAsia="仿宋_GB2312"/>
          <w:color w:val="auto"/>
          <w:kern w:val="0"/>
          <w:szCs w:val="21"/>
          <w:highlight w:val="none"/>
          <w:lang w:bidi="ar"/>
        </w:rPr>
      </w:pPr>
      <w:r>
        <w:rPr>
          <w:rFonts w:hint="eastAsia" w:ascii="仿宋_GB2312" w:hAnsi="Arial" w:eastAsia="仿宋_GB2312"/>
          <w:color w:val="auto"/>
          <w:kern w:val="0"/>
          <w:szCs w:val="21"/>
          <w:highlight w:val="none"/>
          <w:lang w:bidi="ar"/>
        </w:rPr>
        <w:t xml:space="preserve"> 采用智能高效液体冷却系统</w:t>
      </w:r>
      <w:r>
        <w:rPr>
          <w:rFonts w:hint="eastAsia" w:ascii="仿宋_GB2312" w:hAnsi="Arial"/>
          <w:strike w:val="0"/>
          <w:color w:val="auto"/>
          <w:kern w:val="0"/>
          <w:szCs w:val="21"/>
          <w:highlight w:val="none"/>
          <w:lang w:val="en-US" w:eastAsia="zh-CN" w:bidi="ar"/>
        </w:rPr>
        <w:t>;</w:t>
      </w:r>
    </w:p>
    <w:p w14:paraId="2ECA54BC">
      <w:pPr>
        <w:widowControl/>
        <w:numPr>
          <w:ilvl w:val="1"/>
          <w:numId w:val="23"/>
        </w:numPr>
        <w:adjustRightInd w:val="0"/>
        <w:snapToGrid w:val="0"/>
        <w:jc w:val="left"/>
        <w:rPr>
          <w:rFonts w:ascii="仿宋_GB2312" w:hAnsi="Arial" w:eastAsia="仿宋_GB2312"/>
          <w:color w:val="auto"/>
          <w:kern w:val="0"/>
          <w:szCs w:val="21"/>
          <w:highlight w:val="none"/>
          <w:lang w:bidi="ar"/>
        </w:rPr>
      </w:pPr>
      <w:r>
        <w:rPr>
          <w:rFonts w:hint="eastAsia" w:ascii="仿宋_GB2312" w:hAnsi="Arial" w:eastAsia="仿宋_GB2312"/>
          <w:color w:val="auto"/>
          <w:kern w:val="0"/>
          <w:szCs w:val="21"/>
          <w:highlight w:val="none"/>
          <w:lang w:bidi="ar"/>
        </w:rPr>
        <w:t>温度保护系统：当刺激线圈温度过高，磁刺激仪自动停止刺激输出。</w:t>
      </w:r>
    </w:p>
    <w:p w14:paraId="188F7C6D">
      <w:pPr>
        <w:widowControl/>
        <w:numPr>
          <w:ilvl w:val="0"/>
          <w:numId w:val="23"/>
        </w:numPr>
        <w:adjustRightInd w:val="0"/>
        <w:snapToGrid w:val="0"/>
        <w:jc w:val="left"/>
        <w:rPr>
          <w:rFonts w:ascii="仿宋_GB2312" w:hAnsi="Arial" w:eastAsia="仿宋_GB2312"/>
          <w:color w:val="auto"/>
          <w:kern w:val="0"/>
          <w:szCs w:val="21"/>
          <w:highlight w:val="none"/>
          <w:lang w:bidi="ar"/>
        </w:rPr>
      </w:pPr>
      <w:r>
        <w:rPr>
          <w:rFonts w:hint="eastAsia" w:ascii="仿宋_GB2312" w:hAnsi="Arial" w:eastAsia="仿宋_GB2312"/>
          <w:color w:val="auto"/>
          <w:kern w:val="0"/>
          <w:szCs w:val="21"/>
          <w:highlight w:val="none"/>
          <w:lang w:bidi="ar"/>
        </w:rPr>
        <w:t>刺激线圈：</w:t>
      </w:r>
    </w:p>
    <w:p w14:paraId="5FD3EB0F">
      <w:pPr>
        <w:widowControl/>
        <w:numPr>
          <w:ilvl w:val="1"/>
          <w:numId w:val="23"/>
        </w:numPr>
        <w:adjustRightInd w:val="0"/>
        <w:snapToGrid w:val="0"/>
        <w:jc w:val="left"/>
        <w:rPr>
          <w:rFonts w:ascii="仿宋_GB2312" w:hAnsi="Arial" w:eastAsia="仿宋_GB2312"/>
          <w:color w:val="auto"/>
          <w:kern w:val="0"/>
          <w:szCs w:val="21"/>
          <w:highlight w:val="none"/>
          <w:lang w:bidi="ar"/>
        </w:rPr>
      </w:pPr>
      <w:r>
        <w:rPr>
          <w:rFonts w:hint="eastAsia" w:ascii="仿宋_GB2312" w:hAnsi="Arial" w:eastAsia="仿宋_GB2312"/>
          <w:color w:val="auto"/>
          <w:kern w:val="0"/>
          <w:szCs w:val="21"/>
          <w:highlight w:val="none"/>
          <w:lang w:bidi="ar"/>
        </w:rPr>
        <w:t>配备</w:t>
      </w:r>
      <w:r>
        <w:rPr>
          <w:rFonts w:hint="eastAsia" w:ascii="仿宋_GB2312" w:hAnsi="Arial" w:eastAsia="仿宋_GB2312"/>
          <w:color w:val="auto"/>
          <w:szCs w:val="21"/>
          <w:highlight w:val="none"/>
        </w:rPr>
        <w:t>8字型线圈</w:t>
      </w:r>
      <w:r>
        <w:rPr>
          <w:rFonts w:hint="eastAsia" w:ascii="仿宋_GB2312" w:hAnsi="Arial" w:eastAsia="仿宋_GB2312"/>
          <w:color w:val="auto"/>
          <w:kern w:val="0"/>
          <w:szCs w:val="21"/>
          <w:highlight w:val="none"/>
          <w:lang w:bidi="ar"/>
        </w:rPr>
        <w:t>1套。</w:t>
      </w:r>
    </w:p>
    <w:p w14:paraId="0405868A">
      <w:pPr>
        <w:rPr>
          <w:color w:val="auto"/>
          <w:highlight w:val="none"/>
        </w:rPr>
      </w:pPr>
      <w:r>
        <w:rPr>
          <w:color w:val="auto"/>
          <w:highlight w:val="none"/>
        </w:rPr>
        <w:br w:type="page"/>
      </w:r>
    </w:p>
    <w:p w14:paraId="3B72EF05">
      <w:pPr>
        <w:pStyle w:val="41"/>
        <w:widowControl/>
        <w:adjustRightInd w:val="0"/>
        <w:snapToGrid w:val="0"/>
        <w:spacing w:beforeAutospacing="0" w:afterAutospacing="0"/>
        <w:jc w:val="center"/>
        <w:rPr>
          <w:rStyle w:val="50"/>
          <w:b w:val="0"/>
          <w:bCs/>
          <w:color w:val="auto"/>
          <w:sz w:val="28"/>
          <w:szCs w:val="28"/>
          <w:highlight w:val="none"/>
          <w:shd w:val="clear" w:color="auto" w:fill="FFFFFF"/>
        </w:rPr>
      </w:pPr>
      <w:r>
        <w:rPr>
          <w:rStyle w:val="50"/>
          <w:rFonts w:hint="eastAsia"/>
          <w:bCs/>
          <w:color w:val="auto"/>
          <w:sz w:val="28"/>
          <w:szCs w:val="28"/>
          <w:highlight w:val="none"/>
          <w:shd w:val="clear" w:color="auto" w:fill="FFFFFF"/>
        </w:rPr>
        <w:t>经颅超声神经肌肉刺激治疗仪</w:t>
      </w:r>
    </w:p>
    <w:p w14:paraId="4FC5B3DF">
      <w:pPr>
        <w:pStyle w:val="41"/>
        <w:widowControl/>
        <w:adjustRightInd w:val="0"/>
        <w:snapToGrid w:val="0"/>
        <w:spacing w:beforeAutospacing="0" w:afterAutospacing="0"/>
        <w:rPr>
          <w:rStyle w:val="50"/>
          <w:b w:val="0"/>
          <w:bCs/>
          <w:color w:val="auto"/>
          <w:sz w:val="21"/>
          <w:szCs w:val="21"/>
          <w:highlight w:val="none"/>
          <w:shd w:val="clear" w:color="auto" w:fill="FFFFFF"/>
        </w:rPr>
      </w:pPr>
      <w:r>
        <w:rPr>
          <w:rStyle w:val="50"/>
          <w:rFonts w:hint="eastAsia"/>
          <w:bCs/>
          <w:color w:val="auto"/>
          <w:sz w:val="21"/>
          <w:szCs w:val="21"/>
          <w:highlight w:val="none"/>
          <w:shd w:val="clear" w:color="auto" w:fill="FFFFFF"/>
        </w:rPr>
        <w:t>一、</w:t>
      </w:r>
      <w:r>
        <w:rPr>
          <w:rStyle w:val="50"/>
          <w:bCs/>
          <w:color w:val="auto"/>
          <w:sz w:val="21"/>
          <w:szCs w:val="21"/>
          <w:highlight w:val="none"/>
          <w:shd w:val="clear" w:color="auto" w:fill="FFFFFF"/>
        </w:rPr>
        <w:t>功能描述</w:t>
      </w:r>
    </w:p>
    <w:p w14:paraId="0AA0B24C">
      <w:pPr>
        <w:pStyle w:val="41"/>
        <w:widowControl/>
        <w:adjustRightInd w:val="0"/>
        <w:snapToGrid w:val="0"/>
        <w:spacing w:beforeAutospacing="0" w:afterAutospacing="0"/>
        <w:rPr>
          <w:rFonts w:ascii="仿宋_GB2312" w:hAnsi="Arial" w:eastAsia="仿宋_GB2312"/>
          <w:bCs/>
          <w:color w:val="auto"/>
          <w:sz w:val="21"/>
          <w:szCs w:val="21"/>
          <w:highlight w:val="none"/>
        </w:rPr>
      </w:pPr>
      <w:r>
        <w:rPr>
          <w:rFonts w:hint="eastAsia" w:ascii="仿宋_GB2312" w:hAnsi="Arial" w:eastAsia="仿宋_GB2312"/>
          <w:bCs/>
          <w:color w:val="auto"/>
          <w:sz w:val="21"/>
          <w:szCs w:val="21"/>
          <w:highlight w:val="none"/>
        </w:rPr>
        <w:t>适用于出血性及缺血性脑卒中康复治疗；</w:t>
      </w:r>
    </w:p>
    <w:p w14:paraId="2769FF84">
      <w:pPr>
        <w:pStyle w:val="41"/>
        <w:widowControl/>
        <w:adjustRightInd w:val="0"/>
        <w:snapToGrid w:val="0"/>
        <w:spacing w:beforeAutospacing="0" w:afterAutospacing="0"/>
        <w:rPr>
          <w:rStyle w:val="50"/>
          <w:b w:val="0"/>
          <w:bCs/>
          <w:color w:val="auto"/>
          <w:sz w:val="21"/>
          <w:szCs w:val="21"/>
          <w:highlight w:val="none"/>
          <w:shd w:val="clear" w:color="auto" w:fill="FFFFFF"/>
        </w:rPr>
      </w:pPr>
      <w:r>
        <w:rPr>
          <w:rStyle w:val="50"/>
          <w:rFonts w:hint="eastAsia"/>
          <w:bCs/>
          <w:color w:val="auto"/>
          <w:sz w:val="21"/>
          <w:szCs w:val="21"/>
          <w:highlight w:val="none"/>
          <w:shd w:val="clear" w:color="auto" w:fill="FFFFFF"/>
        </w:rPr>
        <w:t>二、</w:t>
      </w:r>
      <w:r>
        <w:rPr>
          <w:rStyle w:val="50"/>
          <w:bCs/>
          <w:color w:val="auto"/>
          <w:sz w:val="21"/>
          <w:szCs w:val="21"/>
          <w:highlight w:val="none"/>
          <w:shd w:val="clear" w:color="auto" w:fill="FFFFFF"/>
        </w:rPr>
        <w:t>硬件配置清单</w:t>
      </w:r>
    </w:p>
    <w:p w14:paraId="319B11CD">
      <w:pPr>
        <w:pStyle w:val="41"/>
        <w:widowControl/>
        <w:numPr>
          <w:ilvl w:val="0"/>
          <w:numId w:val="24"/>
        </w:numPr>
        <w:adjustRightInd w:val="0"/>
        <w:snapToGrid w:val="0"/>
        <w:spacing w:beforeAutospacing="0" w:afterAutospacing="0"/>
        <w:rPr>
          <w:rFonts w:ascii="仿宋_GB2312" w:hAnsi="Arial" w:eastAsia="仿宋_GB2312"/>
          <w:bCs/>
          <w:color w:val="auto"/>
          <w:sz w:val="21"/>
          <w:szCs w:val="21"/>
          <w:highlight w:val="none"/>
        </w:rPr>
      </w:pPr>
      <w:r>
        <w:rPr>
          <w:rFonts w:hint="eastAsia" w:ascii="仿宋_GB2312" w:hAnsi="Arial" w:eastAsia="仿宋_GB2312"/>
          <w:bCs/>
          <w:color w:val="auto"/>
          <w:sz w:val="21"/>
          <w:szCs w:val="21"/>
          <w:highlight w:val="none"/>
        </w:rPr>
        <w:t>主机1台；</w:t>
      </w:r>
    </w:p>
    <w:p w14:paraId="0BB9840F">
      <w:pPr>
        <w:pStyle w:val="41"/>
        <w:widowControl/>
        <w:numPr>
          <w:ilvl w:val="0"/>
          <w:numId w:val="24"/>
        </w:numPr>
        <w:adjustRightInd w:val="0"/>
        <w:snapToGrid w:val="0"/>
        <w:spacing w:beforeAutospacing="0" w:afterAutospacing="0"/>
        <w:rPr>
          <w:rFonts w:ascii="仿宋_GB2312" w:hAnsi="Arial" w:eastAsia="仿宋_GB2312"/>
          <w:bCs/>
          <w:color w:val="auto"/>
          <w:sz w:val="21"/>
          <w:szCs w:val="21"/>
          <w:highlight w:val="none"/>
        </w:rPr>
      </w:pPr>
      <w:r>
        <w:rPr>
          <w:rFonts w:hint="eastAsia" w:ascii="仿宋_GB2312" w:hAnsi="Arial" w:eastAsia="仿宋_GB2312"/>
          <w:bCs/>
          <w:color w:val="auto"/>
          <w:sz w:val="21"/>
          <w:szCs w:val="21"/>
          <w:highlight w:val="none"/>
        </w:rPr>
        <w:t>经颅超声治疗头 2副；</w:t>
      </w:r>
    </w:p>
    <w:p w14:paraId="1124A9C3">
      <w:pPr>
        <w:pStyle w:val="41"/>
        <w:widowControl/>
        <w:numPr>
          <w:ilvl w:val="0"/>
          <w:numId w:val="24"/>
        </w:numPr>
        <w:adjustRightInd w:val="0"/>
        <w:snapToGrid w:val="0"/>
        <w:spacing w:beforeAutospacing="0" w:afterAutospacing="0"/>
        <w:rPr>
          <w:rFonts w:ascii="仿宋_GB2312" w:hAnsi="Arial" w:eastAsia="仿宋_GB2312"/>
          <w:bCs/>
          <w:color w:val="auto"/>
          <w:sz w:val="21"/>
          <w:szCs w:val="21"/>
          <w:highlight w:val="none"/>
        </w:rPr>
      </w:pPr>
      <w:r>
        <w:rPr>
          <w:rFonts w:ascii="仿宋_GB2312" w:hAnsi="Arial" w:eastAsia="仿宋_GB2312"/>
          <w:bCs/>
          <w:color w:val="auto"/>
          <w:sz w:val="21"/>
          <w:szCs w:val="21"/>
          <w:highlight w:val="none"/>
        </w:rPr>
        <w:t>电刺激导线 2 套</w:t>
      </w:r>
      <w:r>
        <w:rPr>
          <w:rFonts w:hint="eastAsia" w:ascii="仿宋_GB2312" w:hAnsi="Arial" w:eastAsia="仿宋_GB2312"/>
          <w:bCs/>
          <w:color w:val="auto"/>
          <w:sz w:val="21"/>
          <w:szCs w:val="21"/>
          <w:highlight w:val="none"/>
        </w:rPr>
        <w:t>；</w:t>
      </w:r>
    </w:p>
    <w:p w14:paraId="0618B892">
      <w:pPr>
        <w:pStyle w:val="41"/>
        <w:widowControl/>
        <w:adjustRightInd w:val="0"/>
        <w:snapToGrid w:val="0"/>
        <w:spacing w:beforeAutospacing="0" w:afterAutospacing="0"/>
        <w:rPr>
          <w:rStyle w:val="50"/>
          <w:color w:val="auto"/>
          <w:sz w:val="21"/>
          <w:szCs w:val="21"/>
          <w:highlight w:val="none"/>
          <w:shd w:val="clear" w:color="auto" w:fill="FFFFFF"/>
        </w:rPr>
      </w:pPr>
      <w:r>
        <w:rPr>
          <w:rStyle w:val="50"/>
          <w:rFonts w:hint="eastAsia"/>
          <w:color w:val="auto"/>
          <w:sz w:val="21"/>
          <w:szCs w:val="21"/>
          <w:highlight w:val="none"/>
          <w:shd w:val="clear" w:color="auto" w:fill="FFFFFF"/>
        </w:rPr>
        <w:t>三、</w:t>
      </w:r>
      <w:r>
        <w:rPr>
          <w:rStyle w:val="50"/>
          <w:rFonts w:ascii="Times New Roman" w:hAnsi="Times New Roman" w:eastAsia="宋体"/>
          <w:bCs/>
          <w:color w:val="auto"/>
          <w:sz w:val="21"/>
          <w:szCs w:val="21"/>
          <w:highlight w:val="none"/>
          <w:shd w:val="clear" w:color="auto" w:fill="FFFFFF"/>
        </w:rPr>
        <w:t>备品备件清单</w:t>
      </w:r>
    </w:p>
    <w:p w14:paraId="13469B27">
      <w:pPr>
        <w:pStyle w:val="41"/>
        <w:widowControl/>
        <w:adjustRightInd w:val="0"/>
        <w:snapToGrid w:val="0"/>
        <w:spacing w:beforeAutospacing="0" w:afterAutospacing="0"/>
        <w:rPr>
          <w:rFonts w:ascii="仿宋_GB2312" w:hAnsi="Arial" w:eastAsia="仿宋_GB2312"/>
          <w:bCs/>
          <w:color w:val="auto"/>
          <w:sz w:val="21"/>
          <w:szCs w:val="21"/>
          <w:highlight w:val="none"/>
        </w:rPr>
      </w:pPr>
      <w:r>
        <w:rPr>
          <w:rStyle w:val="50"/>
          <w:rFonts w:hint="eastAsia"/>
          <w:bCs/>
          <w:color w:val="auto"/>
          <w:sz w:val="21"/>
          <w:szCs w:val="21"/>
          <w:highlight w:val="none"/>
          <w:shd w:val="clear" w:color="auto" w:fill="FFFFFF"/>
        </w:rPr>
        <w:t>无</w:t>
      </w:r>
    </w:p>
    <w:p w14:paraId="696B59AC">
      <w:pPr>
        <w:pStyle w:val="41"/>
        <w:widowControl/>
        <w:adjustRightInd w:val="0"/>
        <w:snapToGrid w:val="0"/>
        <w:spacing w:beforeAutospacing="0" w:afterAutospacing="0"/>
        <w:rPr>
          <w:rStyle w:val="50"/>
          <w:b w:val="0"/>
          <w:bCs/>
          <w:color w:val="auto"/>
          <w:sz w:val="21"/>
          <w:szCs w:val="21"/>
          <w:highlight w:val="none"/>
          <w:shd w:val="clear" w:color="auto" w:fill="FFFFFF"/>
        </w:rPr>
      </w:pPr>
      <w:r>
        <w:rPr>
          <w:rStyle w:val="50"/>
          <w:rFonts w:hint="eastAsia"/>
          <w:bCs/>
          <w:color w:val="auto"/>
          <w:sz w:val="21"/>
          <w:szCs w:val="21"/>
          <w:highlight w:val="none"/>
          <w:shd w:val="clear" w:color="auto" w:fill="FFFFFF"/>
        </w:rPr>
        <w:t>四、</w:t>
      </w:r>
      <w:r>
        <w:rPr>
          <w:rStyle w:val="50"/>
          <w:bCs/>
          <w:color w:val="auto"/>
          <w:sz w:val="21"/>
          <w:szCs w:val="21"/>
          <w:highlight w:val="none"/>
          <w:shd w:val="clear" w:color="auto" w:fill="FFFFFF"/>
        </w:rPr>
        <w:t>质量要求</w:t>
      </w:r>
    </w:p>
    <w:p w14:paraId="50C0152F">
      <w:pPr>
        <w:pStyle w:val="41"/>
        <w:widowControl/>
        <w:numPr>
          <w:ilvl w:val="0"/>
          <w:numId w:val="25"/>
        </w:numPr>
        <w:adjustRightInd w:val="0"/>
        <w:snapToGrid w:val="0"/>
        <w:spacing w:beforeAutospacing="0" w:afterAutospacing="0"/>
        <w:rPr>
          <w:rFonts w:ascii="仿宋_GB2312" w:hAnsi="Arial" w:eastAsia="仿宋_GB2312"/>
          <w:color w:val="auto"/>
          <w:sz w:val="21"/>
          <w:szCs w:val="21"/>
          <w:highlight w:val="none"/>
          <w:lang w:bidi="ar"/>
        </w:rPr>
      </w:pPr>
      <w:r>
        <w:rPr>
          <w:rFonts w:ascii="仿宋_GB2312" w:hAnsi="Arial" w:eastAsia="仿宋_GB2312"/>
          <w:color w:val="auto"/>
          <w:sz w:val="21"/>
          <w:szCs w:val="21"/>
          <w:highlight w:val="none"/>
          <w:lang w:bidi="ar"/>
        </w:rPr>
        <w:t>超声频率：</w:t>
      </w:r>
      <w:r>
        <w:rPr>
          <w:rFonts w:hint="eastAsia" w:ascii="仿宋" w:hAnsi="仿宋" w:eastAsia="仿宋" w:cs="仿宋"/>
          <w:color w:val="auto"/>
          <w:szCs w:val="24"/>
          <w:highlight w:val="none"/>
          <w:lang w:bidi="ar"/>
        </w:rPr>
        <w:t>≥</w:t>
      </w:r>
      <w:r>
        <w:rPr>
          <w:rFonts w:ascii="仿宋_GB2312" w:hAnsi="Arial" w:eastAsia="仿宋_GB2312"/>
          <w:color w:val="auto"/>
          <w:sz w:val="21"/>
          <w:szCs w:val="21"/>
          <w:highlight w:val="none"/>
          <w:lang w:bidi="ar"/>
        </w:rPr>
        <w:t>800KHz</w:t>
      </w:r>
      <w:r>
        <w:rPr>
          <w:rFonts w:hint="eastAsia" w:ascii="仿宋_GB2312" w:hAnsi="Arial" w:eastAsia="仿宋_GB2312"/>
          <w:color w:val="auto"/>
          <w:sz w:val="21"/>
          <w:szCs w:val="21"/>
          <w:highlight w:val="none"/>
          <w:lang w:bidi="ar"/>
        </w:rPr>
        <w:t>；</w:t>
      </w:r>
    </w:p>
    <w:p w14:paraId="43BD2F11">
      <w:pPr>
        <w:pStyle w:val="41"/>
        <w:widowControl/>
        <w:numPr>
          <w:ilvl w:val="0"/>
          <w:numId w:val="25"/>
        </w:numPr>
        <w:adjustRightInd w:val="0"/>
        <w:snapToGrid w:val="0"/>
        <w:spacing w:beforeAutospacing="0" w:afterAutospacing="0"/>
        <w:rPr>
          <w:rFonts w:ascii="仿宋_GB2312" w:hAnsi="Arial" w:eastAsia="仿宋_GB2312"/>
          <w:color w:val="auto"/>
          <w:sz w:val="21"/>
          <w:szCs w:val="21"/>
          <w:highlight w:val="none"/>
          <w:lang w:bidi="ar"/>
        </w:rPr>
      </w:pPr>
      <w:r>
        <w:rPr>
          <w:rFonts w:ascii="仿宋_GB2312" w:hAnsi="Arial" w:eastAsia="仿宋_GB2312"/>
          <w:color w:val="auto"/>
          <w:sz w:val="21"/>
          <w:szCs w:val="21"/>
          <w:highlight w:val="none"/>
          <w:lang w:bidi="ar"/>
        </w:rPr>
        <w:t>超声输出功率：</w:t>
      </w:r>
      <w:r>
        <w:rPr>
          <w:rFonts w:hint="eastAsia" w:ascii="仿宋_GB2312" w:hAnsi="Arial" w:eastAsia="仿宋_GB2312"/>
          <w:color w:val="auto"/>
          <w:sz w:val="21"/>
          <w:szCs w:val="21"/>
          <w:highlight w:val="none"/>
          <w:lang w:bidi="ar"/>
        </w:rPr>
        <w:t>≥</w:t>
      </w:r>
      <w:r>
        <w:rPr>
          <w:rFonts w:ascii="仿宋_GB2312" w:hAnsi="Arial" w:eastAsia="仿宋_GB2312"/>
          <w:color w:val="auto"/>
          <w:sz w:val="21"/>
          <w:szCs w:val="21"/>
          <w:highlight w:val="none"/>
          <w:lang w:bidi="ar"/>
        </w:rPr>
        <w:t>1.2W</w:t>
      </w:r>
      <w:r>
        <w:rPr>
          <w:rFonts w:hint="eastAsia" w:ascii="仿宋_GB2312" w:hAnsi="Arial" w:eastAsia="仿宋_GB2312"/>
          <w:color w:val="auto"/>
          <w:sz w:val="21"/>
          <w:szCs w:val="21"/>
          <w:highlight w:val="none"/>
          <w:lang w:bidi="ar"/>
        </w:rPr>
        <w:t>；</w:t>
      </w:r>
    </w:p>
    <w:p w14:paraId="02C3E83C">
      <w:pPr>
        <w:pStyle w:val="41"/>
        <w:widowControl/>
        <w:numPr>
          <w:ilvl w:val="0"/>
          <w:numId w:val="25"/>
        </w:numPr>
        <w:adjustRightInd w:val="0"/>
        <w:snapToGrid w:val="0"/>
        <w:spacing w:beforeAutospacing="0" w:afterAutospacing="0"/>
        <w:rPr>
          <w:rFonts w:ascii="仿宋_GB2312" w:hAnsi="Arial" w:eastAsia="仿宋_GB2312"/>
          <w:color w:val="auto"/>
          <w:sz w:val="21"/>
          <w:szCs w:val="21"/>
          <w:highlight w:val="none"/>
          <w:lang w:bidi="ar"/>
        </w:rPr>
      </w:pPr>
      <w:r>
        <w:rPr>
          <w:rFonts w:ascii="仿宋_GB2312" w:hAnsi="Arial" w:eastAsia="仿宋_GB2312"/>
          <w:color w:val="auto"/>
          <w:sz w:val="21"/>
          <w:szCs w:val="21"/>
          <w:highlight w:val="none"/>
          <w:lang w:bidi="ar"/>
        </w:rPr>
        <w:t>超声治疗头有效辐射面积</w:t>
      </w:r>
      <w:r>
        <w:rPr>
          <w:rFonts w:hint="eastAsia" w:ascii="仿宋_GB2312" w:hAnsi="Arial" w:eastAsia="仿宋_GB2312"/>
          <w:color w:val="auto"/>
          <w:sz w:val="21"/>
          <w:szCs w:val="21"/>
          <w:highlight w:val="none"/>
          <w:lang w:bidi="ar"/>
        </w:rPr>
        <w:t>：</w:t>
      </w:r>
      <w:r>
        <w:rPr>
          <w:rFonts w:hint="eastAsia" w:ascii="仿宋_GB2312" w:hAnsi="Arial" w:eastAsia="仿宋_GB2312"/>
          <w:color w:val="auto"/>
          <w:szCs w:val="21"/>
          <w:highlight w:val="none"/>
          <w:lang w:bidi="ar"/>
        </w:rPr>
        <w:t>≥</w:t>
      </w:r>
      <w:r>
        <w:rPr>
          <w:rFonts w:ascii="仿宋_GB2312" w:hAnsi="Arial" w:eastAsia="仿宋_GB2312"/>
          <w:color w:val="auto"/>
          <w:sz w:val="21"/>
          <w:szCs w:val="21"/>
          <w:highlight w:val="none"/>
          <w:lang w:bidi="ar"/>
        </w:rPr>
        <w:t>2.0cm²</w:t>
      </w:r>
      <w:r>
        <w:rPr>
          <w:rFonts w:hint="eastAsia" w:ascii="仿宋_GB2312" w:hAnsi="Arial" w:eastAsia="仿宋_GB2312"/>
          <w:color w:val="auto"/>
          <w:sz w:val="21"/>
          <w:szCs w:val="21"/>
          <w:highlight w:val="none"/>
          <w:lang w:bidi="ar"/>
        </w:rPr>
        <w:t>；</w:t>
      </w:r>
    </w:p>
    <w:p w14:paraId="4AC4613F">
      <w:pPr>
        <w:pStyle w:val="41"/>
        <w:widowControl/>
        <w:numPr>
          <w:ilvl w:val="0"/>
          <w:numId w:val="25"/>
        </w:numPr>
        <w:adjustRightInd w:val="0"/>
        <w:snapToGrid w:val="0"/>
        <w:spacing w:beforeAutospacing="0" w:afterAutospacing="0"/>
        <w:rPr>
          <w:rFonts w:ascii="仿宋_GB2312" w:hAnsi="Arial" w:eastAsia="仿宋_GB2312"/>
          <w:color w:val="auto"/>
          <w:sz w:val="21"/>
          <w:szCs w:val="21"/>
          <w:highlight w:val="none"/>
          <w:lang w:bidi="ar"/>
        </w:rPr>
      </w:pPr>
      <w:r>
        <w:rPr>
          <w:rFonts w:ascii="仿宋_GB2312" w:hAnsi="Arial" w:eastAsia="仿宋_GB2312"/>
          <w:color w:val="auto"/>
          <w:sz w:val="21"/>
          <w:szCs w:val="21"/>
          <w:highlight w:val="none"/>
          <w:lang w:bidi="ar"/>
        </w:rPr>
        <w:t>超声输出模式：连续模式，脉冲模式</w:t>
      </w:r>
      <w:r>
        <w:rPr>
          <w:rFonts w:hint="eastAsia" w:ascii="仿宋_GB2312" w:hAnsi="Arial" w:eastAsia="仿宋_GB2312"/>
          <w:color w:val="auto"/>
          <w:sz w:val="21"/>
          <w:szCs w:val="21"/>
          <w:highlight w:val="none"/>
          <w:lang w:bidi="ar"/>
        </w:rPr>
        <w:t>；</w:t>
      </w:r>
    </w:p>
    <w:p w14:paraId="3201B7D5">
      <w:pPr>
        <w:pStyle w:val="41"/>
        <w:widowControl/>
        <w:numPr>
          <w:ilvl w:val="0"/>
          <w:numId w:val="25"/>
        </w:numPr>
        <w:adjustRightInd w:val="0"/>
        <w:snapToGrid w:val="0"/>
        <w:spacing w:beforeAutospacing="0" w:afterAutospacing="0"/>
        <w:rPr>
          <w:rFonts w:ascii="仿宋_GB2312" w:hAnsi="Arial" w:eastAsia="仿宋_GB2312"/>
          <w:color w:val="auto"/>
          <w:sz w:val="21"/>
          <w:szCs w:val="21"/>
          <w:highlight w:val="none"/>
          <w:lang w:bidi="ar"/>
        </w:rPr>
      </w:pPr>
      <w:r>
        <w:rPr>
          <w:rFonts w:ascii="仿宋_GB2312" w:hAnsi="Arial" w:eastAsia="仿宋_GB2312"/>
          <w:color w:val="auto"/>
          <w:sz w:val="21"/>
          <w:szCs w:val="21"/>
          <w:highlight w:val="none"/>
          <w:lang w:bidi="ar"/>
        </w:rPr>
        <w:t>占空比：10%～100%</w:t>
      </w:r>
      <w:r>
        <w:rPr>
          <w:rFonts w:hint="eastAsia" w:ascii="仿宋_GB2312" w:hAnsi="Arial" w:eastAsia="仿宋_GB2312"/>
          <w:color w:val="auto"/>
          <w:sz w:val="21"/>
          <w:szCs w:val="21"/>
          <w:highlight w:val="none"/>
          <w:lang w:bidi="ar"/>
        </w:rPr>
        <w:t>；</w:t>
      </w:r>
    </w:p>
    <w:p w14:paraId="3ABEED8E">
      <w:pPr>
        <w:pStyle w:val="41"/>
        <w:widowControl/>
        <w:numPr>
          <w:ilvl w:val="0"/>
          <w:numId w:val="25"/>
        </w:numPr>
        <w:adjustRightInd w:val="0"/>
        <w:snapToGrid w:val="0"/>
        <w:spacing w:beforeAutospacing="0" w:afterAutospacing="0"/>
        <w:rPr>
          <w:rFonts w:ascii="仿宋_GB2312" w:hAnsi="Arial" w:eastAsia="仿宋_GB2312"/>
          <w:color w:val="auto"/>
          <w:sz w:val="21"/>
          <w:szCs w:val="21"/>
          <w:highlight w:val="none"/>
          <w:lang w:bidi="ar"/>
        </w:rPr>
      </w:pPr>
      <w:r>
        <w:rPr>
          <w:rFonts w:ascii="仿宋_GB2312" w:hAnsi="Arial" w:eastAsia="仿宋_GB2312"/>
          <w:color w:val="auto"/>
          <w:sz w:val="21"/>
          <w:szCs w:val="21"/>
          <w:highlight w:val="none"/>
          <w:lang w:bidi="ar"/>
        </w:rPr>
        <w:t>电刺激频率：20～1000Hz；电脉冲宽度</w:t>
      </w:r>
      <w:r>
        <w:rPr>
          <w:rFonts w:hint="eastAsia" w:ascii="仿宋_GB2312" w:hAnsi="Arial" w:eastAsia="仿宋_GB2312"/>
          <w:color w:val="auto"/>
          <w:sz w:val="21"/>
          <w:szCs w:val="21"/>
          <w:highlight w:val="none"/>
          <w:lang w:bidi="ar"/>
        </w:rPr>
        <w:t>：</w:t>
      </w:r>
      <w:r>
        <w:rPr>
          <w:rFonts w:ascii="仿宋_GB2312" w:hAnsi="Arial" w:eastAsia="仿宋_GB2312"/>
          <w:color w:val="auto"/>
          <w:sz w:val="21"/>
          <w:szCs w:val="21"/>
          <w:highlight w:val="none"/>
          <w:lang w:bidi="ar"/>
        </w:rPr>
        <w:t>100μs</w:t>
      </w:r>
      <w:r>
        <w:rPr>
          <w:rFonts w:hint="eastAsia" w:ascii="仿宋_GB2312" w:hAnsi="Arial" w:eastAsia="仿宋_GB2312"/>
          <w:color w:val="auto"/>
          <w:sz w:val="21"/>
          <w:szCs w:val="21"/>
          <w:highlight w:val="none"/>
          <w:lang w:bidi="ar"/>
        </w:rPr>
        <w:t>；</w:t>
      </w:r>
    </w:p>
    <w:p w14:paraId="3A84CD0A">
      <w:pPr>
        <w:pStyle w:val="41"/>
        <w:widowControl/>
        <w:numPr>
          <w:ilvl w:val="0"/>
          <w:numId w:val="25"/>
        </w:numPr>
        <w:adjustRightInd w:val="0"/>
        <w:snapToGrid w:val="0"/>
        <w:spacing w:beforeAutospacing="0" w:afterAutospacing="0"/>
        <w:rPr>
          <w:rFonts w:ascii="仿宋_GB2312" w:hAnsi="Arial" w:eastAsia="仿宋_GB2312"/>
          <w:color w:val="auto"/>
          <w:sz w:val="21"/>
          <w:szCs w:val="21"/>
          <w:highlight w:val="none"/>
          <w:lang w:bidi="ar"/>
        </w:rPr>
      </w:pPr>
      <w:r>
        <w:rPr>
          <w:rFonts w:ascii="仿宋_GB2312" w:hAnsi="Arial" w:eastAsia="仿宋_GB2312"/>
          <w:color w:val="auto"/>
          <w:sz w:val="21"/>
          <w:szCs w:val="21"/>
          <w:highlight w:val="none"/>
          <w:lang w:bidi="ar"/>
        </w:rPr>
        <w:t>脉冲幅值：可调</w:t>
      </w:r>
      <w:r>
        <w:rPr>
          <w:rFonts w:hint="eastAsia" w:ascii="仿宋_GB2312" w:hAnsi="Arial" w:eastAsia="仿宋_GB2312"/>
          <w:color w:val="auto"/>
          <w:sz w:val="21"/>
          <w:szCs w:val="21"/>
          <w:highlight w:val="none"/>
          <w:lang w:bidi="ar"/>
        </w:rPr>
        <w:t>；</w:t>
      </w:r>
    </w:p>
    <w:p w14:paraId="2E3D76D8">
      <w:pPr>
        <w:pStyle w:val="41"/>
        <w:widowControl/>
        <w:numPr>
          <w:ilvl w:val="0"/>
          <w:numId w:val="25"/>
        </w:numPr>
        <w:adjustRightInd w:val="0"/>
        <w:snapToGrid w:val="0"/>
        <w:spacing w:beforeAutospacing="0" w:afterAutospacing="0"/>
        <w:rPr>
          <w:rFonts w:ascii="仿宋_GB2312" w:hAnsi="Arial" w:eastAsia="仿宋_GB2312"/>
          <w:color w:val="auto"/>
          <w:sz w:val="21"/>
          <w:szCs w:val="21"/>
          <w:highlight w:val="none"/>
          <w:lang w:bidi="ar"/>
        </w:rPr>
      </w:pPr>
      <w:r>
        <w:rPr>
          <w:rFonts w:ascii="仿宋_GB2312" w:hAnsi="Arial" w:eastAsia="仿宋_GB2312"/>
          <w:color w:val="auto"/>
          <w:sz w:val="21"/>
          <w:szCs w:val="21"/>
          <w:highlight w:val="none"/>
          <w:lang w:bidi="ar"/>
        </w:rPr>
        <w:t>电刺激输出模式：动力性（间歇输出），静力性（连续输出）</w:t>
      </w:r>
      <w:r>
        <w:rPr>
          <w:rFonts w:hint="eastAsia" w:ascii="仿宋_GB2312" w:hAnsi="Arial" w:eastAsia="仿宋_GB2312"/>
          <w:color w:val="auto"/>
          <w:sz w:val="21"/>
          <w:szCs w:val="21"/>
          <w:highlight w:val="none"/>
          <w:lang w:bidi="ar"/>
        </w:rPr>
        <w:t>；</w:t>
      </w:r>
    </w:p>
    <w:p w14:paraId="25D14D4B">
      <w:pPr>
        <w:pStyle w:val="41"/>
        <w:widowControl/>
        <w:numPr>
          <w:ilvl w:val="0"/>
          <w:numId w:val="25"/>
        </w:numPr>
        <w:adjustRightInd w:val="0"/>
        <w:snapToGrid w:val="0"/>
        <w:spacing w:beforeAutospacing="0" w:afterAutospacing="0"/>
        <w:rPr>
          <w:rFonts w:ascii="仿宋_GB2312" w:hAnsi="Arial" w:eastAsia="仿宋_GB2312"/>
          <w:color w:val="auto"/>
          <w:sz w:val="21"/>
          <w:szCs w:val="21"/>
          <w:highlight w:val="none"/>
          <w:lang w:bidi="ar"/>
        </w:rPr>
      </w:pPr>
      <w:r>
        <w:rPr>
          <w:rFonts w:ascii="仿宋_GB2312" w:hAnsi="Arial" w:eastAsia="仿宋_GB2312"/>
          <w:color w:val="auto"/>
          <w:sz w:val="21"/>
          <w:szCs w:val="21"/>
          <w:highlight w:val="none"/>
          <w:lang w:bidi="ar"/>
        </w:rPr>
        <w:t>具有固化模式和自设模式两套治疗方案设置；自设模式下设置的各项参数可以储存</w:t>
      </w:r>
      <w:r>
        <w:rPr>
          <w:rFonts w:hint="eastAsia" w:ascii="仿宋_GB2312" w:hAnsi="Arial" w:eastAsia="仿宋_GB2312"/>
          <w:color w:val="auto"/>
          <w:sz w:val="21"/>
          <w:szCs w:val="21"/>
          <w:highlight w:val="none"/>
          <w:lang w:bidi="ar"/>
        </w:rPr>
        <w:t>；</w:t>
      </w:r>
    </w:p>
    <w:p w14:paraId="23F07C02">
      <w:pPr>
        <w:pStyle w:val="41"/>
        <w:widowControl/>
        <w:numPr>
          <w:ilvl w:val="0"/>
          <w:numId w:val="25"/>
        </w:numPr>
        <w:adjustRightInd w:val="0"/>
        <w:snapToGrid w:val="0"/>
        <w:spacing w:beforeAutospacing="0" w:afterAutospacing="0"/>
        <w:rPr>
          <w:rFonts w:ascii="仿宋_GB2312" w:hAnsi="Arial" w:eastAsia="仿宋_GB2312"/>
          <w:color w:val="auto"/>
          <w:sz w:val="21"/>
          <w:szCs w:val="21"/>
          <w:highlight w:val="none"/>
          <w:lang w:bidi="ar"/>
        </w:rPr>
      </w:pPr>
      <w:r>
        <w:rPr>
          <w:rFonts w:ascii="仿宋_GB2312" w:hAnsi="Arial" w:eastAsia="仿宋_GB2312"/>
          <w:color w:val="auto"/>
          <w:sz w:val="21"/>
          <w:szCs w:val="21"/>
          <w:highlight w:val="none"/>
          <w:lang w:bidi="ar"/>
        </w:rPr>
        <w:t>触摸液晶显示屏≥7</w:t>
      </w:r>
      <w:r>
        <w:rPr>
          <w:rFonts w:hint="eastAsia" w:ascii="仿宋" w:hAnsi="仿宋" w:eastAsia="仿宋" w:cs="仿宋"/>
          <w:color w:val="auto"/>
          <w:szCs w:val="24"/>
          <w:highlight w:val="none"/>
          <w:lang w:bidi="ar"/>
        </w:rPr>
        <w:t>英</w:t>
      </w:r>
      <w:r>
        <w:rPr>
          <w:rFonts w:ascii="仿宋_GB2312" w:hAnsi="Arial" w:eastAsia="仿宋_GB2312"/>
          <w:color w:val="auto"/>
          <w:sz w:val="21"/>
          <w:szCs w:val="21"/>
          <w:highlight w:val="none"/>
          <w:lang w:bidi="ar"/>
        </w:rPr>
        <w:t>寸</w:t>
      </w:r>
      <w:r>
        <w:rPr>
          <w:rFonts w:hint="eastAsia" w:ascii="仿宋_GB2312" w:hAnsi="Arial" w:eastAsia="仿宋_GB2312"/>
          <w:color w:val="auto"/>
          <w:sz w:val="21"/>
          <w:szCs w:val="21"/>
          <w:highlight w:val="none"/>
          <w:lang w:bidi="ar"/>
        </w:rPr>
        <w:t>；</w:t>
      </w:r>
    </w:p>
    <w:p w14:paraId="40F3BC3D">
      <w:pPr>
        <w:spacing w:after="120"/>
        <w:rPr>
          <w:rFonts w:hint="eastAsia" w:ascii="仿宋" w:hAnsi="仿宋" w:eastAsia="仿宋_GB2312" w:cs="仿宋"/>
          <w:b/>
          <w:bCs/>
          <w:color w:val="auto"/>
          <w:highlight w:val="none"/>
          <w:lang w:eastAsia="zh-CN"/>
        </w:rPr>
      </w:pPr>
      <w:r>
        <w:rPr>
          <w:rFonts w:ascii="仿宋_GB2312" w:hAnsi="Arial" w:eastAsia="仿宋_GB2312"/>
          <w:color w:val="auto"/>
          <w:sz w:val="21"/>
          <w:szCs w:val="21"/>
          <w:highlight w:val="none"/>
          <w:lang w:bidi="ar"/>
        </w:rPr>
        <w:t>治疗开始前有自检功能</w:t>
      </w:r>
      <w:r>
        <w:rPr>
          <w:rFonts w:hint="eastAsia" w:ascii="仿宋_GB2312" w:hAnsi="Arial"/>
          <w:strike w:val="0"/>
          <w:color w:val="auto"/>
          <w:sz w:val="21"/>
          <w:szCs w:val="21"/>
          <w:highlight w:val="none"/>
          <w:lang w:val="en-US" w:eastAsia="zh-CN" w:bidi="ar"/>
        </w:rPr>
        <w:t>。</w:t>
      </w:r>
    </w:p>
    <w:sectPr>
      <w:footerReference r:id="rId9" w:type="default"/>
      <w:pgSz w:w="11906" w:h="16838"/>
      <w:pgMar w:top="1418" w:right="1423" w:bottom="1418" w:left="1898" w:header="1134" w:footer="851"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仿宋_GBK">
    <w:altName w:val="黑体"/>
    <w:panose1 w:val="02000000000000000000"/>
    <w:charset w:val="86"/>
    <w:family w:val="auto"/>
    <w:pitch w:val="default"/>
    <w:sig w:usb0="00000000" w:usb1="00000000" w:usb2="00000000" w:usb3="00000000" w:csb0="00160000" w:csb1="00000000"/>
  </w:font>
  <w:font w:name="Tahoma">
    <w:panose1 w:val="020B0604030504040204"/>
    <w:charset w:val="00"/>
    <w:family w:val="swiss"/>
    <w:pitch w:val="default"/>
    <w:sig w:usb0="E1002EFF" w:usb1="C000605B" w:usb2="00000029" w:usb3="00000000" w:csb0="200101FF" w:csb1="20280000"/>
  </w:font>
  <w:font w:name="汉仪中黑简">
    <w:altName w:val="宋体"/>
    <w:panose1 w:val="02010609000001010101"/>
    <w:charset w:val="86"/>
    <w:family w:val="modern"/>
    <w:pitch w:val="default"/>
    <w:sig w:usb0="00000000" w:usb1="00000000" w:usb2="00000012" w:usb3="00000000" w:csb0="00040000" w:csb1="0000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Microsoft YaHei UI">
    <w:panose1 w:val="020B0503020204020204"/>
    <w:charset w:val="86"/>
    <w:family w:val="swiss"/>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92345">
    <w:pPr>
      <w:pStyle w:val="29"/>
      <w:pBdr>
        <w:top w:val="single" w:color="auto" w:sz="4" w:space="1"/>
      </w:pBdr>
      <w:tabs>
        <w:tab w:val="right" w:pos="8768"/>
        <w:tab w:val="clear" w:pos="8306"/>
      </w:tabs>
      <w:ind w:right="-25"/>
      <w:jc w:val="center"/>
      <w:rPr>
        <w:rFonts w:hint="eastAsia" w:ascii="仿宋" w:hAnsi="仿宋" w:eastAsia="仿宋" w:cs="仿宋"/>
        <w:kern w:val="0"/>
      </w:rPr>
    </w:pPr>
    <w:r>
      <w:rPr>
        <w:rFonts w:hint="eastAsia" w:ascii="仿宋" w:hAnsi="仿宋" w:eastAsia="仿宋" w:cs="仿宋"/>
        <w:kern w:val="0"/>
      </w:rPr>
      <w:t>陕西中技招标有限公司（</w:t>
    </w:r>
    <w:r>
      <w:rPr>
        <w:rFonts w:hint="eastAsia" w:ascii="仿宋" w:hAnsi="仿宋" w:eastAsia="仿宋" w:cs="仿宋"/>
      </w:rPr>
      <w:fldChar w:fldCharType="begin"/>
    </w:r>
    <w:r>
      <w:rPr>
        <w:rFonts w:hint="eastAsia" w:ascii="仿宋" w:hAnsi="仿宋" w:eastAsia="仿宋" w:cs="仿宋"/>
      </w:rPr>
      <w:instrText xml:space="preserve">HYPERLINK "http://www.sxzjtc.com/"</w:instrText>
    </w:r>
    <w:r>
      <w:rPr>
        <w:rFonts w:hint="eastAsia" w:ascii="仿宋" w:hAnsi="仿宋" w:eastAsia="仿宋" w:cs="仿宋"/>
      </w:rPr>
      <w:fldChar w:fldCharType="separate"/>
    </w:r>
    <w:r>
      <w:rPr>
        <w:rStyle w:val="56"/>
        <w:rFonts w:hint="eastAsia" w:ascii="仿宋" w:hAnsi="仿宋" w:eastAsia="仿宋" w:cs="仿宋"/>
        <w:kern w:val="0"/>
      </w:rPr>
      <w:t>http://www.sxzjtc.com/</w:t>
    </w:r>
    <w:r>
      <w:rPr>
        <w:rFonts w:hint="eastAsia" w:ascii="仿宋" w:hAnsi="仿宋" w:eastAsia="仿宋" w:cs="仿宋"/>
      </w:rPr>
      <w:fldChar w:fldCharType="end"/>
    </w:r>
    <w:r>
      <w:rPr>
        <w:rFonts w:hint="eastAsia" w:ascii="仿宋" w:hAnsi="仿宋" w:eastAsia="仿宋" w:cs="仿宋"/>
        <w:kern w:val="0"/>
      </w:rPr>
      <w:t>）西安市高新区高新四路1号高科广场A1001室</w:t>
    </w:r>
  </w:p>
  <w:p w14:paraId="172BD442">
    <w:pPr>
      <w:pStyle w:val="29"/>
      <w:ind w:right="360"/>
      <w:jc w:val="center"/>
    </w:pPr>
    <w:r>
      <w:rPr>
        <w:rFonts w:hint="eastAsia" w:ascii="仿宋" w:hAnsi="仿宋" w:eastAsia="仿宋" w:cs="仿宋"/>
        <w:kern w:val="0"/>
        <w:szCs w:val="21"/>
      </w:rPr>
      <w:t xml:space="preserve">第 </w:t>
    </w: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PAGE </w:instrText>
    </w:r>
    <w:r>
      <w:rPr>
        <w:rFonts w:hint="eastAsia" w:ascii="仿宋" w:hAnsi="仿宋" w:eastAsia="仿宋" w:cs="仿宋"/>
        <w:kern w:val="0"/>
        <w:szCs w:val="21"/>
      </w:rPr>
      <w:fldChar w:fldCharType="separate"/>
    </w:r>
    <w:r>
      <w:rPr>
        <w:rFonts w:ascii="仿宋" w:hAnsi="仿宋" w:eastAsia="仿宋" w:cs="仿宋"/>
        <w:kern w:val="0"/>
        <w:szCs w:val="21"/>
      </w:rPr>
      <w:t>20</w:t>
    </w:r>
    <w:r>
      <w:rPr>
        <w:rFonts w:hint="eastAsia" w:ascii="仿宋" w:hAnsi="仿宋" w:eastAsia="仿宋" w:cs="仿宋"/>
        <w:kern w:val="0"/>
        <w:szCs w:val="21"/>
      </w:rPr>
      <w:fldChar w:fldCharType="end"/>
    </w:r>
    <w:r>
      <w:rPr>
        <w:rFonts w:hint="eastAsia" w:ascii="仿宋" w:hAnsi="仿宋" w:eastAsia="仿宋" w:cs="仿宋"/>
        <w:kern w:val="0"/>
        <w:szCs w:val="21"/>
      </w:rPr>
      <w:t xml:space="preserve"> 页 共 </w:t>
    </w: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NUMPAGES </w:instrText>
    </w:r>
    <w:r>
      <w:rPr>
        <w:rFonts w:hint="eastAsia" w:ascii="仿宋" w:hAnsi="仿宋" w:eastAsia="仿宋" w:cs="仿宋"/>
        <w:kern w:val="0"/>
        <w:szCs w:val="21"/>
      </w:rPr>
      <w:fldChar w:fldCharType="separate"/>
    </w:r>
    <w:r>
      <w:rPr>
        <w:rFonts w:ascii="仿宋" w:hAnsi="仿宋" w:eastAsia="仿宋" w:cs="仿宋"/>
        <w:kern w:val="0"/>
        <w:szCs w:val="21"/>
      </w:rPr>
      <w:t>46</w:t>
    </w:r>
    <w:r>
      <w:rPr>
        <w:rFonts w:hint="eastAsia" w:ascii="仿宋" w:hAnsi="仿宋" w:eastAsia="仿宋" w:cs="仿宋"/>
        <w:kern w:val="0"/>
        <w:szCs w:val="21"/>
      </w:rPr>
      <w:fldChar w:fldCharType="end"/>
    </w:r>
    <w:r>
      <w:rPr>
        <w:rFonts w:hint="eastAsia" w:ascii="仿宋" w:hAnsi="仿宋" w:eastAsia="仿宋" w:cs="仿宋"/>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1ACF7">
    <w:pPr>
      <w:pStyle w:val="29"/>
      <w:jc w:val="center"/>
      <w:rPr>
        <w:rFonts w:hint="eastAsia" w:ascii="仿宋_GB2312" w:hAnsi="仿宋_GB2312" w:eastAsia="仿宋_GB2312" w:cs="仿宋_GB23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AA3CE">
    <w:pPr>
      <w:pStyle w:val="29"/>
      <w:pBdr>
        <w:top w:val="single" w:color="auto" w:sz="4" w:space="1"/>
      </w:pBdr>
      <w:tabs>
        <w:tab w:val="right" w:pos="8768"/>
        <w:tab w:val="clear" w:pos="8306"/>
      </w:tabs>
      <w:ind w:right="-25"/>
      <w:jc w:val="center"/>
      <w:rPr>
        <w:rFonts w:hint="eastAsia" w:ascii="仿宋" w:hAnsi="仿宋" w:eastAsia="仿宋" w:cs="仿宋"/>
        <w:kern w:val="0"/>
      </w:rPr>
    </w:pPr>
    <w:r>
      <mc:AlternateContent>
        <mc:Choice Requires="wps">
          <w:drawing>
            <wp:anchor distT="0" distB="0" distL="114300" distR="114300" simplePos="0" relativeHeight="251659264" behindDoc="0" locked="0" layoutInCell="1" allowOverlap="1">
              <wp:simplePos x="0" y="0"/>
              <wp:positionH relativeFrom="margin">
                <wp:posOffset>2205990</wp:posOffset>
              </wp:positionH>
              <wp:positionV relativeFrom="paragraph">
                <wp:posOffset>155575</wp:posOffset>
              </wp:positionV>
              <wp:extent cx="1031240" cy="248285"/>
              <wp:effectExtent l="0" t="0" r="0" b="0"/>
              <wp:wrapNone/>
              <wp:docPr id="2" name="文本框 4"/>
              <wp:cNvGraphicFramePr/>
              <a:graphic xmlns:a="http://schemas.openxmlformats.org/drawingml/2006/main">
                <a:graphicData uri="http://schemas.microsoft.com/office/word/2010/wordprocessingShape">
                  <wps:wsp>
                    <wps:cNvSpPr txBox="1"/>
                    <wps:spPr>
                      <a:xfrm>
                        <a:off x="0" y="0"/>
                        <a:ext cx="1031240" cy="248285"/>
                      </a:xfrm>
                      <a:prstGeom prst="rect">
                        <a:avLst/>
                      </a:prstGeom>
                      <a:noFill/>
                      <a:ln w="15875">
                        <a:noFill/>
                      </a:ln>
                    </wps:spPr>
                    <wps:txbx>
                      <w:txbxContent>
                        <w:p w14:paraId="61CF14A7">
                          <w:pPr>
                            <w:pStyle w:val="29"/>
                          </w:pPr>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wps:txbx>
                    <wps:bodyPr wrap="square" lIns="0" tIns="0" rIns="0" bIns="0" upright="0"/>
                  </wps:wsp>
                </a:graphicData>
              </a:graphic>
            </wp:anchor>
          </w:drawing>
        </mc:Choice>
        <mc:Fallback>
          <w:pict>
            <v:shape id="文本框 4" o:spid="_x0000_s1026" o:spt="202" type="#_x0000_t202" style="position:absolute;left:0pt;margin-left:173.7pt;margin-top:12.25pt;height:19.55pt;width:81.2pt;mso-position-horizontal-relative:margin;z-index:251659264;mso-width-relative:page;mso-height-relative:page;" filled="f" stroked="f" coordsize="21600,21600" o:gfxdata="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uGC3v2QAAAAkBAAAPAAAAAAAAAAEAIAAAACIAAABk&#10;cnMvZG93bnJldi54bWxQSwECFAAUAAAACACHTuJA+wORkswBAACKAwAADgAAAAAAAAABACAAAAAo&#10;AQAAZHJzL2Uyb0RvYy54bWxQSwUGAAAAAAYABgBZAQAAZgUAAAAA&#10;">
              <v:fill on="f" focussize="0,0"/>
              <v:stroke on="f" weight="1.25pt"/>
              <v:imagedata o:title=""/>
              <o:lock v:ext="edit" aspectratio="f"/>
              <v:textbox inset="0mm,0mm,0mm,0mm">
                <w:txbxContent>
                  <w:p w14:paraId="61CF14A7">
                    <w:pPr>
                      <w:pStyle w:val="29"/>
                    </w:pPr>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r>
      <w:rPr>
        <w:rFonts w:hint="eastAsia" w:ascii="仿宋" w:hAnsi="仿宋" w:eastAsia="仿宋" w:cs="仿宋"/>
        <w:kern w:val="0"/>
      </w:rPr>
      <w:t>陕西中技招标有限公司（</w:t>
    </w:r>
    <w:r>
      <w:rPr>
        <w:rFonts w:hint="eastAsia" w:ascii="仿宋" w:hAnsi="仿宋" w:eastAsia="仿宋" w:cs="仿宋"/>
      </w:rPr>
      <w:fldChar w:fldCharType="begin"/>
    </w:r>
    <w:r>
      <w:rPr>
        <w:rFonts w:hint="eastAsia" w:ascii="仿宋" w:hAnsi="仿宋" w:eastAsia="仿宋" w:cs="仿宋"/>
      </w:rPr>
      <w:instrText xml:space="preserve">HYPERLINK "http://www.sxzjtc.com/"</w:instrText>
    </w:r>
    <w:r>
      <w:rPr>
        <w:rFonts w:hint="eastAsia" w:ascii="仿宋" w:hAnsi="仿宋" w:eastAsia="仿宋" w:cs="仿宋"/>
      </w:rPr>
      <w:fldChar w:fldCharType="separate"/>
    </w:r>
    <w:r>
      <w:rPr>
        <w:rStyle w:val="56"/>
        <w:rFonts w:hint="eastAsia" w:ascii="仿宋" w:hAnsi="仿宋" w:eastAsia="仿宋" w:cs="仿宋"/>
        <w:kern w:val="0"/>
      </w:rPr>
      <w:t>http://www.sxzjtc.com/</w:t>
    </w:r>
    <w:r>
      <w:rPr>
        <w:rFonts w:hint="eastAsia" w:ascii="仿宋" w:hAnsi="仿宋" w:eastAsia="仿宋" w:cs="仿宋"/>
      </w:rPr>
      <w:fldChar w:fldCharType="end"/>
    </w:r>
    <w:r>
      <w:rPr>
        <w:rFonts w:hint="eastAsia" w:ascii="仿宋" w:hAnsi="仿宋" w:eastAsia="仿宋" w:cs="仿宋"/>
        <w:kern w:val="0"/>
      </w:rPr>
      <w:t>）西安市高新区高新四路1号高科广场A1001室</w:t>
    </w:r>
  </w:p>
  <w:p w14:paraId="4F4D20E5">
    <w:pPr>
      <w:pStyle w:val="29"/>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3B415">
    <w:pPr>
      <w:widowControl/>
      <w:jc w:val="left"/>
      <w:rPr>
        <w:rFonts w:hint="default" w:ascii="仿宋" w:hAnsi="仿宋" w:eastAsia="仿宋" w:cs="仿宋"/>
        <w:u w:val="single"/>
        <w:lang w:val="en-US"/>
      </w:rPr>
    </w:pPr>
    <w:r>
      <w:rPr>
        <w:rFonts w:hint="eastAsia" w:ascii="仿宋" w:hAnsi="仿宋" w:eastAsia="仿宋" w:cs="仿宋"/>
        <w:sz w:val="18"/>
        <w:szCs w:val="18"/>
        <w:u w:val="single"/>
      </w:rPr>
      <w:t>项目名称：</w:t>
    </w:r>
    <w:r>
      <w:rPr>
        <w:rFonts w:hint="eastAsia" w:ascii="仿宋" w:hAnsi="仿宋" w:eastAsia="仿宋" w:cs="仿宋"/>
        <w:sz w:val="18"/>
        <w:szCs w:val="18"/>
        <w:u w:val="single"/>
        <w:lang w:eastAsia="zh-CN"/>
      </w:rPr>
      <w:t>西安医学院第一附属医院经颅磁刺激治疗仪、光子治疗仪等一批设备购置安装及售后服务项目</w:t>
    </w:r>
    <w:r>
      <w:rPr>
        <w:rFonts w:hint="eastAsia" w:ascii="仿宋" w:hAnsi="仿宋" w:eastAsia="仿宋" w:cs="仿宋"/>
        <w:sz w:val="18"/>
        <w:szCs w:val="18"/>
        <w:u w:val="single"/>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E2234">
    <w:pPr>
      <w:pStyle w:val="30"/>
      <w:pBdr>
        <w:bottom w:val="none" w:color="auto" w:sz="0" w:space="1"/>
      </w:pBdr>
      <w:jc w:val="both"/>
      <w:rPr>
        <w:rFonts w:hint="eastAsia" w:eastAsia="仿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E3B04"/>
    <w:multiLevelType w:val="singleLevel"/>
    <w:tmpl w:val="813E3B04"/>
    <w:lvl w:ilvl="0" w:tentative="0">
      <w:start w:val="1"/>
      <w:numFmt w:val="decimal"/>
      <w:suff w:val="nothing"/>
      <w:lvlText w:val="%1）"/>
      <w:lvlJc w:val="left"/>
    </w:lvl>
  </w:abstractNum>
  <w:abstractNum w:abstractNumId="1">
    <w:nsid w:val="9E8E3AFB"/>
    <w:multiLevelType w:val="multilevel"/>
    <w:tmpl w:val="9E8E3AFB"/>
    <w:lvl w:ilvl="0" w:tentative="0">
      <w:start w:val="1"/>
      <w:numFmt w:val="decimal"/>
      <w:lvlText w:val="%1."/>
      <w:lvlJc w:val="left"/>
      <w:pPr>
        <w:ind w:left="425" w:hanging="425"/>
      </w:pPr>
      <w:rPr>
        <w:rFonts w:hint="default"/>
        <w:b w:val="0"/>
        <w:bCs w:val="0"/>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A04C19E5"/>
    <w:multiLevelType w:val="multilevel"/>
    <w:tmpl w:val="A04C19E5"/>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3">
    <w:nsid w:val="AB95AEEE"/>
    <w:multiLevelType w:val="singleLevel"/>
    <w:tmpl w:val="AB95AEEE"/>
    <w:lvl w:ilvl="0" w:tentative="0">
      <w:start w:val="1"/>
      <w:numFmt w:val="decimal"/>
      <w:suff w:val="nothing"/>
      <w:lvlText w:val="%1、"/>
      <w:lvlJc w:val="left"/>
    </w:lvl>
  </w:abstractNum>
  <w:abstractNum w:abstractNumId="4">
    <w:nsid w:val="D5CA967C"/>
    <w:multiLevelType w:val="multilevel"/>
    <w:tmpl w:val="D5CA967C"/>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5">
    <w:nsid w:val="D910364C"/>
    <w:multiLevelType w:val="multilevel"/>
    <w:tmpl w:val="D910364C"/>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6">
    <w:nsid w:val="DDF23BCF"/>
    <w:multiLevelType w:val="multilevel"/>
    <w:tmpl w:val="DDF23BCF"/>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7">
    <w:nsid w:val="00000012"/>
    <w:multiLevelType w:val="multilevel"/>
    <w:tmpl w:val="00000012"/>
    <w:lvl w:ilvl="0" w:tentative="0">
      <w:start w:val="1"/>
      <w:numFmt w:val="bullet"/>
      <w:pStyle w:val="180"/>
      <w:lvlText w:val=""/>
      <w:lvlJc w:val="left"/>
      <w:pPr>
        <w:tabs>
          <w:tab w:val="left" w:pos="1000"/>
        </w:tabs>
        <w:ind w:left="1000" w:hanging="370"/>
      </w:pPr>
      <w:rPr>
        <w:rFonts w:hint="default" w:ascii="Wingdings" w:hAnsi="Wingdings"/>
        <w:color w:val="auto"/>
      </w:rPr>
    </w:lvl>
    <w:lvl w:ilvl="1" w:tentative="0">
      <w:start w:val="1"/>
      <w:numFmt w:val="decimal"/>
      <w:suff w:val="nothing"/>
      <w:lvlText w:val="%2.%1 "/>
      <w:lvlJc w:val="left"/>
      <w:pPr>
        <w:ind w:left="420" w:firstLine="0"/>
      </w:pPr>
      <w:rPr>
        <w:rFonts w:hint="eastAsia"/>
      </w:rPr>
    </w:lvl>
    <w:lvl w:ilvl="2" w:tentative="0">
      <w:start w:val="1"/>
      <w:numFmt w:val="decimal"/>
      <w:suff w:val="nothing"/>
      <w:lvlText w:val="%1.%2.%3 "/>
      <w:lvlJc w:val="left"/>
      <w:pPr>
        <w:ind w:left="420" w:firstLine="0"/>
      </w:pPr>
      <w:rPr>
        <w:rFonts w:hint="eastAsia"/>
      </w:rPr>
    </w:lvl>
    <w:lvl w:ilvl="3" w:tentative="0">
      <w:start w:val="1"/>
      <w:numFmt w:val="bullet"/>
      <w:lvlText w:val=""/>
      <w:lvlJc w:val="left"/>
      <w:pPr>
        <w:ind w:left="420" w:firstLine="0"/>
      </w:pPr>
      <w:rPr>
        <w:rFonts w:hint="default" w:ascii="Wingdings" w:hAnsi="Wingdings"/>
      </w:rPr>
    </w:lvl>
    <w:lvl w:ilvl="4" w:tentative="0">
      <w:start w:val="1"/>
      <w:numFmt w:val="decimal"/>
      <w:suff w:val="nothing"/>
      <w:lvlText w:val="%1.%2.%3.%4.%5 "/>
      <w:lvlJc w:val="left"/>
      <w:pPr>
        <w:ind w:left="420" w:firstLine="0"/>
      </w:pPr>
      <w:rPr>
        <w:rFonts w:hint="eastAsia"/>
      </w:rPr>
    </w:lvl>
    <w:lvl w:ilvl="5" w:tentative="0">
      <w:start w:val="1"/>
      <w:numFmt w:val="decimal"/>
      <w:suff w:val="nothing"/>
      <w:lvlText w:val="%1.%2.%3.%4.%5.%6 "/>
      <w:lvlJc w:val="left"/>
      <w:pPr>
        <w:ind w:left="420" w:firstLine="0"/>
      </w:pPr>
      <w:rPr>
        <w:rFonts w:hint="eastAsia"/>
      </w:rPr>
    </w:lvl>
    <w:lvl w:ilvl="6" w:tentative="0">
      <w:start w:val="1"/>
      <w:numFmt w:val="decimal"/>
      <w:suff w:val="nothing"/>
      <w:lvlText w:val="%7."/>
      <w:lvlJc w:val="left"/>
      <w:pPr>
        <w:ind w:left="420" w:firstLine="0"/>
      </w:pPr>
      <w:rPr>
        <w:rFonts w:hint="eastAsia"/>
      </w:rPr>
    </w:lvl>
    <w:lvl w:ilvl="7" w:tentative="0">
      <w:start w:val="1"/>
      <w:numFmt w:val="none"/>
      <w:suff w:val="nothing"/>
      <w:lvlText w:val=""/>
      <w:lvlJc w:val="left"/>
      <w:pPr>
        <w:ind w:left="420" w:firstLine="0"/>
      </w:pPr>
      <w:rPr>
        <w:rFonts w:hint="eastAsia"/>
      </w:rPr>
    </w:lvl>
    <w:lvl w:ilvl="8" w:tentative="0">
      <w:start w:val="1"/>
      <w:numFmt w:val="none"/>
      <w:suff w:val="nothing"/>
      <w:lvlText w:val=""/>
      <w:lvlJc w:val="left"/>
      <w:pPr>
        <w:ind w:left="420" w:firstLine="0"/>
      </w:pPr>
      <w:rPr>
        <w:rFonts w:hint="eastAsia"/>
      </w:rPr>
    </w:lvl>
  </w:abstractNum>
  <w:abstractNum w:abstractNumId="8">
    <w:nsid w:val="081E899C"/>
    <w:multiLevelType w:val="singleLevel"/>
    <w:tmpl w:val="081E899C"/>
    <w:lvl w:ilvl="0" w:tentative="0">
      <w:start w:val="2"/>
      <w:numFmt w:val="chineseCounting"/>
      <w:suff w:val="nothing"/>
      <w:lvlText w:val="%1、"/>
      <w:lvlJc w:val="left"/>
      <w:rPr>
        <w:rFonts w:hint="eastAsia"/>
      </w:rPr>
    </w:lvl>
  </w:abstractNum>
  <w:abstractNum w:abstractNumId="9">
    <w:nsid w:val="2A63A99A"/>
    <w:multiLevelType w:val="multilevel"/>
    <w:tmpl w:val="2A63A99A"/>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0">
    <w:nsid w:val="35F6CA29"/>
    <w:multiLevelType w:val="multilevel"/>
    <w:tmpl w:val="35F6CA29"/>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1">
    <w:nsid w:val="39BB5D3B"/>
    <w:multiLevelType w:val="multilevel"/>
    <w:tmpl w:val="39BB5D3B"/>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2">
    <w:nsid w:val="3F7045E9"/>
    <w:multiLevelType w:val="singleLevel"/>
    <w:tmpl w:val="3F7045E9"/>
    <w:lvl w:ilvl="0" w:tentative="0">
      <w:start w:val="2"/>
      <w:numFmt w:val="decimal"/>
      <w:suff w:val="nothing"/>
      <w:lvlText w:val="%1、"/>
      <w:lvlJc w:val="left"/>
    </w:lvl>
  </w:abstractNum>
  <w:abstractNum w:abstractNumId="13">
    <w:nsid w:val="42B0146A"/>
    <w:multiLevelType w:val="multilevel"/>
    <w:tmpl w:val="42B0146A"/>
    <w:lvl w:ilvl="0" w:tentative="0">
      <w:start w:val="1"/>
      <w:numFmt w:val="japaneseCounting"/>
      <w:lvlText w:val="%1、"/>
      <w:lvlJc w:val="left"/>
      <w:pPr>
        <w:tabs>
          <w:tab w:val="left" w:pos="1280"/>
        </w:tabs>
        <w:ind w:left="1280" w:hanging="720"/>
      </w:pPr>
      <w:rPr>
        <w:rFonts w:hint="eastAsia"/>
      </w:rPr>
    </w:lvl>
    <w:lvl w:ilvl="1" w:tentative="0">
      <w:start w:val="1"/>
      <w:numFmt w:val="japaneseCounting"/>
      <w:lvlText w:val="（%2）"/>
      <w:lvlJc w:val="left"/>
      <w:pPr>
        <w:tabs>
          <w:tab w:val="left" w:pos="1700"/>
        </w:tabs>
        <w:ind w:left="1700" w:hanging="720"/>
      </w:pPr>
      <w:rPr>
        <w:rFonts w:hint="eastAsia"/>
      </w:r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4">
    <w:nsid w:val="48765ADA"/>
    <w:multiLevelType w:val="singleLevel"/>
    <w:tmpl w:val="48765ADA"/>
    <w:lvl w:ilvl="0" w:tentative="0">
      <w:start w:val="3"/>
      <w:numFmt w:val="chineseCounting"/>
      <w:suff w:val="nothing"/>
      <w:lvlText w:val="%1、"/>
      <w:lvlJc w:val="left"/>
      <w:rPr>
        <w:rFonts w:hint="eastAsia"/>
      </w:rPr>
    </w:lvl>
  </w:abstractNum>
  <w:abstractNum w:abstractNumId="15">
    <w:nsid w:val="48BC1B9B"/>
    <w:multiLevelType w:val="singleLevel"/>
    <w:tmpl w:val="48BC1B9B"/>
    <w:lvl w:ilvl="0" w:tentative="0">
      <w:start w:val="6"/>
      <w:numFmt w:val="chineseCounting"/>
      <w:suff w:val="space"/>
      <w:lvlText w:val="第%1部分"/>
      <w:lvlJc w:val="left"/>
      <w:rPr>
        <w:rFonts w:hint="eastAsia"/>
      </w:rPr>
    </w:lvl>
  </w:abstractNum>
  <w:abstractNum w:abstractNumId="16">
    <w:nsid w:val="4DF5B4B2"/>
    <w:multiLevelType w:val="multilevel"/>
    <w:tmpl w:val="4DF5B4B2"/>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7">
    <w:nsid w:val="4E10CA6D"/>
    <w:multiLevelType w:val="multilevel"/>
    <w:tmpl w:val="4E10CA6D"/>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8">
    <w:nsid w:val="564E5A85"/>
    <w:multiLevelType w:val="multilevel"/>
    <w:tmpl w:val="564E5A85"/>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9">
    <w:nsid w:val="67CD6CBD"/>
    <w:multiLevelType w:val="multilevel"/>
    <w:tmpl w:val="67CD6CBD"/>
    <w:lvl w:ilvl="0" w:tentative="0">
      <w:start w:val="8"/>
      <w:numFmt w:val="japaneseCounting"/>
      <w:lvlText w:val="%1、"/>
      <w:lvlJc w:val="left"/>
      <w:pPr>
        <w:ind w:left="1129" w:hanging="720"/>
      </w:pPr>
      <w:rPr>
        <w:rFonts w:hint="default"/>
      </w:rPr>
    </w:lvl>
    <w:lvl w:ilvl="1" w:tentative="0">
      <w:start w:val="1"/>
      <w:numFmt w:val="lowerLetter"/>
      <w:lvlText w:val="%2)"/>
      <w:lvlJc w:val="left"/>
      <w:pPr>
        <w:ind w:left="1249" w:hanging="420"/>
      </w:pPr>
    </w:lvl>
    <w:lvl w:ilvl="2" w:tentative="0">
      <w:start w:val="1"/>
      <w:numFmt w:val="lowerRoman"/>
      <w:lvlText w:val="%3."/>
      <w:lvlJc w:val="right"/>
      <w:pPr>
        <w:ind w:left="1669" w:hanging="420"/>
      </w:pPr>
    </w:lvl>
    <w:lvl w:ilvl="3" w:tentative="0">
      <w:start w:val="1"/>
      <w:numFmt w:val="decimal"/>
      <w:lvlText w:val="%4."/>
      <w:lvlJc w:val="left"/>
      <w:pPr>
        <w:ind w:left="2089" w:hanging="420"/>
      </w:pPr>
    </w:lvl>
    <w:lvl w:ilvl="4" w:tentative="0">
      <w:start w:val="1"/>
      <w:numFmt w:val="lowerLetter"/>
      <w:lvlText w:val="%5)"/>
      <w:lvlJc w:val="left"/>
      <w:pPr>
        <w:ind w:left="2509" w:hanging="420"/>
      </w:pPr>
    </w:lvl>
    <w:lvl w:ilvl="5" w:tentative="0">
      <w:start w:val="1"/>
      <w:numFmt w:val="lowerRoman"/>
      <w:lvlText w:val="%6."/>
      <w:lvlJc w:val="right"/>
      <w:pPr>
        <w:ind w:left="2929" w:hanging="420"/>
      </w:pPr>
    </w:lvl>
    <w:lvl w:ilvl="6" w:tentative="0">
      <w:start w:val="1"/>
      <w:numFmt w:val="decimal"/>
      <w:lvlText w:val="%7."/>
      <w:lvlJc w:val="left"/>
      <w:pPr>
        <w:ind w:left="3349" w:hanging="420"/>
      </w:pPr>
    </w:lvl>
    <w:lvl w:ilvl="7" w:tentative="0">
      <w:start w:val="1"/>
      <w:numFmt w:val="lowerLetter"/>
      <w:lvlText w:val="%8)"/>
      <w:lvlJc w:val="left"/>
      <w:pPr>
        <w:ind w:left="3769" w:hanging="420"/>
      </w:pPr>
    </w:lvl>
    <w:lvl w:ilvl="8" w:tentative="0">
      <w:start w:val="1"/>
      <w:numFmt w:val="lowerRoman"/>
      <w:lvlText w:val="%9."/>
      <w:lvlJc w:val="right"/>
      <w:pPr>
        <w:ind w:left="4189" w:hanging="420"/>
      </w:pPr>
    </w:lvl>
  </w:abstractNum>
  <w:abstractNum w:abstractNumId="20">
    <w:nsid w:val="682A21FA"/>
    <w:multiLevelType w:val="multilevel"/>
    <w:tmpl w:val="682A21FA"/>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1">
    <w:nsid w:val="6DAF2517"/>
    <w:multiLevelType w:val="multilevel"/>
    <w:tmpl w:val="6DAF2517"/>
    <w:lvl w:ilvl="0" w:tentative="0">
      <w:start w:val="4"/>
      <w:numFmt w:val="japaneseCounting"/>
      <w:lvlText w:val="%1、"/>
      <w:lvlJc w:val="left"/>
      <w:pPr>
        <w:ind w:left="1146" w:hanging="720"/>
      </w:pPr>
      <w:rPr>
        <w:rFonts w:hint="default" w:hAnsi="Times New Roman"/>
        <w:lang w:val="en-US"/>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2">
    <w:nsid w:val="73E3F599"/>
    <w:multiLevelType w:val="multilevel"/>
    <w:tmpl w:val="73E3F599"/>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3">
    <w:nsid w:val="7F87C140"/>
    <w:multiLevelType w:val="multilevel"/>
    <w:tmpl w:val="7F87C140"/>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color w:val="auto"/>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4">
    <w:nsid w:val="7FA0F752"/>
    <w:multiLevelType w:val="singleLevel"/>
    <w:tmpl w:val="7FA0F752"/>
    <w:lvl w:ilvl="0" w:tentative="0">
      <w:start w:val="1"/>
      <w:numFmt w:val="decimal"/>
      <w:lvlText w:val="%1."/>
      <w:lvlJc w:val="left"/>
      <w:pPr>
        <w:ind w:left="425" w:hanging="425"/>
      </w:pPr>
      <w:rPr>
        <w:rFonts w:hint="default"/>
      </w:rPr>
    </w:lvl>
  </w:abstractNum>
  <w:num w:numId="1">
    <w:abstractNumId w:val="7"/>
  </w:num>
  <w:num w:numId="2">
    <w:abstractNumId w:val="24"/>
  </w:num>
  <w:num w:numId="3">
    <w:abstractNumId w:val="0"/>
  </w:num>
  <w:num w:numId="4">
    <w:abstractNumId w:val="13"/>
  </w:num>
  <w:num w:numId="5">
    <w:abstractNumId w:val="21"/>
  </w:num>
  <w:num w:numId="6">
    <w:abstractNumId w:val="19"/>
  </w:num>
  <w:num w:numId="7">
    <w:abstractNumId w:val="12"/>
  </w:num>
  <w:num w:numId="8">
    <w:abstractNumId w:val="15"/>
  </w:num>
  <w:num w:numId="9">
    <w:abstractNumId w:val="8"/>
  </w:num>
  <w:num w:numId="10">
    <w:abstractNumId w:val="3"/>
  </w:num>
  <w:num w:numId="11">
    <w:abstractNumId w:val="2"/>
  </w:num>
  <w:num w:numId="12">
    <w:abstractNumId w:val="22"/>
  </w:num>
  <w:num w:numId="13">
    <w:abstractNumId w:val="5"/>
  </w:num>
  <w:num w:numId="14">
    <w:abstractNumId w:val="10"/>
  </w:num>
  <w:num w:numId="15">
    <w:abstractNumId w:val="17"/>
  </w:num>
  <w:num w:numId="16">
    <w:abstractNumId w:val="9"/>
  </w:num>
  <w:num w:numId="17">
    <w:abstractNumId w:val="16"/>
  </w:num>
  <w:num w:numId="18">
    <w:abstractNumId w:val="20"/>
  </w:num>
  <w:num w:numId="19">
    <w:abstractNumId w:val="6"/>
  </w:num>
  <w:num w:numId="20">
    <w:abstractNumId w:val="14"/>
  </w:num>
  <w:num w:numId="21">
    <w:abstractNumId w:val="1"/>
  </w:num>
  <w:num w:numId="22">
    <w:abstractNumId w:val="4"/>
  </w:num>
  <w:num w:numId="23">
    <w:abstractNumId w:val="23"/>
  </w:num>
  <w:num w:numId="24">
    <w:abstractNumId w:val="18"/>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hyphenationZone w:val="360"/>
  <w:drawingGridHorizontalSpacing w:val="2"/>
  <w:drawingGridVerticalSpacing w:val="2"/>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xZjA3ZGQxMjdjM2NjNzljMzA5NjQ1NzI0N2U0NzYifQ=="/>
  </w:docVars>
  <w:rsids>
    <w:rsidRoot w:val="00172A27"/>
    <w:rsid w:val="00000077"/>
    <w:rsid w:val="000011EA"/>
    <w:rsid w:val="00001485"/>
    <w:rsid w:val="000014BF"/>
    <w:rsid w:val="0000175A"/>
    <w:rsid w:val="00001D16"/>
    <w:rsid w:val="00005D6E"/>
    <w:rsid w:val="00005F4C"/>
    <w:rsid w:val="00006957"/>
    <w:rsid w:val="00006F3A"/>
    <w:rsid w:val="000078E5"/>
    <w:rsid w:val="00011B6D"/>
    <w:rsid w:val="00013980"/>
    <w:rsid w:val="000159A9"/>
    <w:rsid w:val="000161D7"/>
    <w:rsid w:val="00016690"/>
    <w:rsid w:val="00017099"/>
    <w:rsid w:val="0001716C"/>
    <w:rsid w:val="00020F48"/>
    <w:rsid w:val="000216AE"/>
    <w:rsid w:val="00022012"/>
    <w:rsid w:val="00023EE3"/>
    <w:rsid w:val="00024091"/>
    <w:rsid w:val="000262CF"/>
    <w:rsid w:val="00026348"/>
    <w:rsid w:val="00026BEE"/>
    <w:rsid w:val="00032087"/>
    <w:rsid w:val="00032E05"/>
    <w:rsid w:val="00033936"/>
    <w:rsid w:val="00034B4A"/>
    <w:rsid w:val="00035711"/>
    <w:rsid w:val="00036C63"/>
    <w:rsid w:val="0003788B"/>
    <w:rsid w:val="00037EA8"/>
    <w:rsid w:val="00041A7D"/>
    <w:rsid w:val="00042D6F"/>
    <w:rsid w:val="00043685"/>
    <w:rsid w:val="0004463E"/>
    <w:rsid w:val="00044AC2"/>
    <w:rsid w:val="000466F7"/>
    <w:rsid w:val="00046F4C"/>
    <w:rsid w:val="0004773A"/>
    <w:rsid w:val="000503F0"/>
    <w:rsid w:val="000507B6"/>
    <w:rsid w:val="000507F3"/>
    <w:rsid w:val="00050B8E"/>
    <w:rsid w:val="00051D8C"/>
    <w:rsid w:val="00051E0D"/>
    <w:rsid w:val="00051FEF"/>
    <w:rsid w:val="000525DB"/>
    <w:rsid w:val="000527C7"/>
    <w:rsid w:val="000529B8"/>
    <w:rsid w:val="00053550"/>
    <w:rsid w:val="00054CC8"/>
    <w:rsid w:val="0005548A"/>
    <w:rsid w:val="0005688F"/>
    <w:rsid w:val="00056AB2"/>
    <w:rsid w:val="000600A8"/>
    <w:rsid w:val="00060454"/>
    <w:rsid w:val="00061E3D"/>
    <w:rsid w:val="0006287C"/>
    <w:rsid w:val="00064AF4"/>
    <w:rsid w:val="00065D43"/>
    <w:rsid w:val="00065ECA"/>
    <w:rsid w:val="00066119"/>
    <w:rsid w:val="00066156"/>
    <w:rsid w:val="00067065"/>
    <w:rsid w:val="00067917"/>
    <w:rsid w:val="00070482"/>
    <w:rsid w:val="00071176"/>
    <w:rsid w:val="00071836"/>
    <w:rsid w:val="00071B3E"/>
    <w:rsid w:val="000736AA"/>
    <w:rsid w:val="00073B96"/>
    <w:rsid w:val="00075E32"/>
    <w:rsid w:val="00076B12"/>
    <w:rsid w:val="00076EB3"/>
    <w:rsid w:val="00076F3C"/>
    <w:rsid w:val="00077792"/>
    <w:rsid w:val="00077EAF"/>
    <w:rsid w:val="00080F25"/>
    <w:rsid w:val="00081096"/>
    <w:rsid w:val="00081737"/>
    <w:rsid w:val="00082D35"/>
    <w:rsid w:val="00083D18"/>
    <w:rsid w:val="000849BE"/>
    <w:rsid w:val="00085585"/>
    <w:rsid w:val="00085A66"/>
    <w:rsid w:val="000865B7"/>
    <w:rsid w:val="0008695F"/>
    <w:rsid w:val="00087B3B"/>
    <w:rsid w:val="00090055"/>
    <w:rsid w:val="0009032C"/>
    <w:rsid w:val="0009111A"/>
    <w:rsid w:val="000919CA"/>
    <w:rsid w:val="00093FBE"/>
    <w:rsid w:val="00094FE1"/>
    <w:rsid w:val="000955C0"/>
    <w:rsid w:val="00095DD7"/>
    <w:rsid w:val="00097C1F"/>
    <w:rsid w:val="000A0402"/>
    <w:rsid w:val="000A0C13"/>
    <w:rsid w:val="000A11AA"/>
    <w:rsid w:val="000A1A66"/>
    <w:rsid w:val="000A1A6F"/>
    <w:rsid w:val="000A1CAE"/>
    <w:rsid w:val="000A3F2E"/>
    <w:rsid w:val="000A4234"/>
    <w:rsid w:val="000A4916"/>
    <w:rsid w:val="000A4B26"/>
    <w:rsid w:val="000A5494"/>
    <w:rsid w:val="000A56F4"/>
    <w:rsid w:val="000A5B74"/>
    <w:rsid w:val="000A6302"/>
    <w:rsid w:val="000A6DEF"/>
    <w:rsid w:val="000B06CB"/>
    <w:rsid w:val="000B0D98"/>
    <w:rsid w:val="000B20A7"/>
    <w:rsid w:val="000B3EC4"/>
    <w:rsid w:val="000B4C1C"/>
    <w:rsid w:val="000B51F5"/>
    <w:rsid w:val="000B6420"/>
    <w:rsid w:val="000B737F"/>
    <w:rsid w:val="000B79C5"/>
    <w:rsid w:val="000C00CD"/>
    <w:rsid w:val="000C03F4"/>
    <w:rsid w:val="000C08D3"/>
    <w:rsid w:val="000C0F0F"/>
    <w:rsid w:val="000C1675"/>
    <w:rsid w:val="000C18E5"/>
    <w:rsid w:val="000C1A43"/>
    <w:rsid w:val="000C1C86"/>
    <w:rsid w:val="000C22A9"/>
    <w:rsid w:val="000C24B8"/>
    <w:rsid w:val="000C26BA"/>
    <w:rsid w:val="000C3BA5"/>
    <w:rsid w:val="000C3D40"/>
    <w:rsid w:val="000C3EAA"/>
    <w:rsid w:val="000C43DD"/>
    <w:rsid w:val="000C44AC"/>
    <w:rsid w:val="000C45CA"/>
    <w:rsid w:val="000C4D56"/>
    <w:rsid w:val="000C5042"/>
    <w:rsid w:val="000C5225"/>
    <w:rsid w:val="000C7436"/>
    <w:rsid w:val="000D1B24"/>
    <w:rsid w:val="000D2961"/>
    <w:rsid w:val="000D437F"/>
    <w:rsid w:val="000D7147"/>
    <w:rsid w:val="000E1399"/>
    <w:rsid w:val="000E1D67"/>
    <w:rsid w:val="000E1F2D"/>
    <w:rsid w:val="000E225C"/>
    <w:rsid w:val="000E25A4"/>
    <w:rsid w:val="000E29FD"/>
    <w:rsid w:val="000E4958"/>
    <w:rsid w:val="000E4A2F"/>
    <w:rsid w:val="000E6B9B"/>
    <w:rsid w:val="000E6DD6"/>
    <w:rsid w:val="000E709A"/>
    <w:rsid w:val="000E7E20"/>
    <w:rsid w:val="000F0CA9"/>
    <w:rsid w:val="000F1932"/>
    <w:rsid w:val="000F3048"/>
    <w:rsid w:val="000F3D08"/>
    <w:rsid w:val="000F3DA1"/>
    <w:rsid w:val="000F4245"/>
    <w:rsid w:val="000F452E"/>
    <w:rsid w:val="000F4612"/>
    <w:rsid w:val="000F4EDA"/>
    <w:rsid w:val="000F5003"/>
    <w:rsid w:val="000F570E"/>
    <w:rsid w:val="000F5DDE"/>
    <w:rsid w:val="000F6C12"/>
    <w:rsid w:val="000F79E0"/>
    <w:rsid w:val="000F7A2D"/>
    <w:rsid w:val="000F7E84"/>
    <w:rsid w:val="001013C8"/>
    <w:rsid w:val="00101DB4"/>
    <w:rsid w:val="00102F34"/>
    <w:rsid w:val="001043BD"/>
    <w:rsid w:val="00104EB4"/>
    <w:rsid w:val="00106A56"/>
    <w:rsid w:val="00106E04"/>
    <w:rsid w:val="00106E2B"/>
    <w:rsid w:val="001117E9"/>
    <w:rsid w:val="0011185D"/>
    <w:rsid w:val="00111DEE"/>
    <w:rsid w:val="00112776"/>
    <w:rsid w:val="00112C14"/>
    <w:rsid w:val="00112DCE"/>
    <w:rsid w:val="00112E37"/>
    <w:rsid w:val="00112F7B"/>
    <w:rsid w:val="00113688"/>
    <w:rsid w:val="0011374C"/>
    <w:rsid w:val="0011383F"/>
    <w:rsid w:val="00113BE0"/>
    <w:rsid w:val="001140C7"/>
    <w:rsid w:val="00114922"/>
    <w:rsid w:val="001162D1"/>
    <w:rsid w:val="001164BF"/>
    <w:rsid w:val="001168A6"/>
    <w:rsid w:val="00116FD0"/>
    <w:rsid w:val="00117D19"/>
    <w:rsid w:val="00117DDB"/>
    <w:rsid w:val="00120073"/>
    <w:rsid w:val="001205EF"/>
    <w:rsid w:val="0012168A"/>
    <w:rsid w:val="00121C2C"/>
    <w:rsid w:val="00122EDA"/>
    <w:rsid w:val="0012387C"/>
    <w:rsid w:val="00123A03"/>
    <w:rsid w:val="00123C3C"/>
    <w:rsid w:val="0012423D"/>
    <w:rsid w:val="00125DDC"/>
    <w:rsid w:val="001265B8"/>
    <w:rsid w:val="00126AD0"/>
    <w:rsid w:val="00127616"/>
    <w:rsid w:val="00130885"/>
    <w:rsid w:val="00130A07"/>
    <w:rsid w:val="00130E95"/>
    <w:rsid w:val="001310FD"/>
    <w:rsid w:val="001320E2"/>
    <w:rsid w:val="00133099"/>
    <w:rsid w:val="00133155"/>
    <w:rsid w:val="00134159"/>
    <w:rsid w:val="00135654"/>
    <w:rsid w:val="00136887"/>
    <w:rsid w:val="0013729C"/>
    <w:rsid w:val="0013765E"/>
    <w:rsid w:val="00140585"/>
    <w:rsid w:val="00140798"/>
    <w:rsid w:val="00142518"/>
    <w:rsid w:val="00142893"/>
    <w:rsid w:val="00142AE2"/>
    <w:rsid w:val="0014421A"/>
    <w:rsid w:val="001448CF"/>
    <w:rsid w:val="0014580F"/>
    <w:rsid w:val="001458DA"/>
    <w:rsid w:val="00146A49"/>
    <w:rsid w:val="00147E1D"/>
    <w:rsid w:val="0015038F"/>
    <w:rsid w:val="001506B3"/>
    <w:rsid w:val="001514D7"/>
    <w:rsid w:val="00151BAA"/>
    <w:rsid w:val="00151E6B"/>
    <w:rsid w:val="00152CA3"/>
    <w:rsid w:val="0015333F"/>
    <w:rsid w:val="00153BBB"/>
    <w:rsid w:val="001541DD"/>
    <w:rsid w:val="0015437B"/>
    <w:rsid w:val="0015456F"/>
    <w:rsid w:val="0015575E"/>
    <w:rsid w:val="00155A90"/>
    <w:rsid w:val="00155B77"/>
    <w:rsid w:val="00155F0F"/>
    <w:rsid w:val="0015655A"/>
    <w:rsid w:val="00156CA6"/>
    <w:rsid w:val="00160091"/>
    <w:rsid w:val="00160A0F"/>
    <w:rsid w:val="00160CC0"/>
    <w:rsid w:val="0016299F"/>
    <w:rsid w:val="00162A8D"/>
    <w:rsid w:val="0016325D"/>
    <w:rsid w:val="001669FB"/>
    <w:rsid w:val="00167F5F"/>
    <w:rsid w:val="00170DC2"/>
    <w:rsid w:val="001720E3"/>
    <w:rsid w:val="00173022"/>
    <w:rsid w:val="001739FB"/>
    <w:rsid w:val="00174499"/>
    <w:rsid w:val="00174E09"/>
    <w:rsid w:val="001752BF"/>
    <w:rsid w:val="001768F5"/>
    <w:rsid w:val="00176C36"/>
    <w:rsid w:val="00177522"/>
    <w:rsid w:val="0017789A"/>
    <w:rsid w:val="00177DFD"/>
    <w:rsid w:val="0018008D"/>
    <w:rsid w:val="00180836"/>
    <w:rsid w:val="001808C1"/>
    <w:rsid w:val="00181163"/>
    <w:rsid w:val="00182189"/>
    <w:rsid w:val="0018242C"/>
    <w:rsid w:val="001845F7"/>
    <w:rsid w:val="00184AD7"/>
    <w:rsid w:val="00184B6A"/>
    <w:rsid w:val="0018662B"/>
    <w:rsid w:val="0018682C"/>
    <w:rsid w:val="00187BB9"/>
    <w:rsid w:val="0019073E"/>
    <w:rsid w:val="00191337"/>
    <w:rsid w:val="001913FB"/>
    <w:rsid w:val="0019186A"/>
    <w:rsid w:val="00191E81"/>
    <w:rsid w:val="001925A7"/>
    <w:rsid w:val="0019267B"/>
    <w:rsid w:val="00192726"/>
    <w:rsid w:val="00193065"/>
    <w:rsid w:val="00193484"/>
    <w:rsid w:val="00194E58"/>
    <w:rsid w:val="001956EF"/>
    <w:rsid w:val="00195EF0"/>
    <w:rsid w:val="00196C2C"/>
    <w:rsid w:val="00196E46"/>
    <w:rsid w:val="001A091F"/>
    <w:rsid w:val="001A0AD2"/>
    <w:rsid w:val="001A12F9"/>
    <w:rsid w:val="001A1717"/>
    <w:rsid w:val="001A3A13"/>
    <w:rsid w:val="001A3F3C"/>
    <w:rsid w:val="001A4037"/>
    <w:rsid w:val="001A4B44"/>
    <w:rsid w:val="001A4CA6"/>
    <w:rsid w:val="001A5644"/>
    <w:rsid w:val="001A56F9"/>
    <w:rsid w:val="001A64F9"/>
    <w:rsid w:val="001B140B"/>
    <w:rsid w:val="001B1A8E"/>
    <w:rsid w:val="001B2011"/>
    <w:rsid w:val="001B48B5"/>
    <w:rsid w:val="001B56DA"/>
    <w:rsid w:val="001B6A1C"/>
    <w:rsid w:val="001C001E"/>
    <w:rsid w:val="001C0201"/>
    <w:rsid w:val="001C181B"/>
    <w:rsid w:val="001C353D"/>
    <w:rsid w:val="001C42A0"/>
    <w:rsid w:val="001C5468"/>
    <w:rsid w:val="001C54EB"/>
    <w:rsid w:val="001C6046"/>
    <w:rsid w:val="001C7FD9"/>
    <w:rsid w:val="001D1EB5"/>
    <w:rsid w:val="001D26EF"/>
    <w:rsid w:val="001D56AF"/>
    <w:rsid w:val="001D5F5B"/>
    <w:rsid w:val="001D6CE7"/>
    <w:rsid w:val="001D6D7C"/>
    <w:rsid w:val="001D72C5"/>
    <w:rsid w:val="001D7EFB"/>
    <w:rsid w:val="001E09C6"/>
    <w:rsid w:val="001E0EB1"/>
    <w:rsid w:val="001E1457"/>
    <w:rsid w:val="001E19F4"/>
    <w:rsid w:val="001E1A2E"/>
    <w:rsid w:val="001E1A69"/>
    <w:rsid w:val="001E36EE"/>
    <w:rsid w:val="001E50F6"/>
    <w:rsid w:val="001E5EBC"/>
    <w:rsid w:val="001E600C"/>
    <w:rsid w:val="001E6392"/>
    <w:rsid w:val="001E6560"/>
    <w:rsid w:val="001E7A5C"/>
    <w:rsid w:val="001F14FB"/>
    <w:rsid w:val="001F1AE6"/>
    <w:rsid w:val="001F203A"/>
    <w:rsid w:val="001F2B8D"/>
    <w:rsid w:val="001F2D3C"/>
    <w:rsid w:val="001F3C87"/>
    <w:rsid w:val="001F46E1"/>
    <w:rsid w:val="001F61DA"/>
    <w:rsid w:val="001F71BC"/>
    <w:rsid w:val="00201290"/>
    <w:rsid w:val="002013F4"/>
    <w:rsid w:val="00202B60"/>
    <w:rsid w:val="002036A7"/>
    <w:rsid w:val="002061AF"/>
    <w:rsid w:val="00207187"/>
    <w:rsid w:val="002107EE"/>
    <w:rsid w:val="00210E80"/>
    <w:rsid w:val="002111BA"/>
    <w:rsid w:val="002118E6"/>
    <w:rsid w:val="00212DE1"/>
    <w:rsid w:val="00212F52"/>
    <w:rsid w:val="00215660"/>
    <w:rsid w:val="00215A04"/>
    <w:rsid w:val="00217609"/>
    <w:rsid w:val="002179DE"/>
    <w:rsid w:val="00221804"/>
    <w:rsid w:val="002234F3"/>
    <w:rsid w:val="00223809"/>
    <w:rsid w:val="00225336"/>
    <w:rsid w:val="0022554A"/>
    <w:rsid w:val="00225670"/>
    <w:rsid w:val="0022695D"/>
    <w:rsid w:val="00226E7B"/>
    <w:rsid w:val="00227182"/>
    <w:rsid w:val="00227E9F"/>
    <w:rsid w:val="0023259E"/>
    <w:rsid w:val="00232693"/>
    <w:rsid w:val="002330EE"/>
    <w:rsid w:val="00234A19"/>
    <w:rsid w:val="00234C1B"/>
    <w:rsid w:val="002355A0"/>
    <w:rsid w:val="00235C6D"/>
    <w:rsid w:val="00235C7D"/>
    <w:rsid w:val="00235E9E"/>
    <w:rsid w:val="002364B9"/>
    <w:rsid w:val="0023726E"/>
    <w:rsid w:val="00237707"/>
    <w:rsid w:val="00237C1A"/>
    <w:rsid w:val="00237D11"/>
    <w:rsid w:val="00237E41"/>
    <w:rsid w:val="002417C3"/>
    <w:rsid w:val="00241D63"/>
    <w:rsid w:val="00241E7F"/>
    <w:rsid w:val="00242544"/>
    <w:rsid w:val="0024261F"/>
    <w:rsid w:val="002433C2"/>
    <w:rsid w:val="00243F3F"/>
    <w:rsid w:val="002448FE"/>
    <w:rsid w:val="00245E97"/>
    <w:rsid w:val="0024607A"/>
    <w:rsid w:val="002467E4"/>
    <w:rsid w:val="00247023"/>
    <w:rsid w:val="00247D66"/>
    <w:rsid w:val="002500A1"/>
    <w:rsid w:val="0025025A"/>
    <w:rsid w:val="0025045B"/>
    <w:rsid w:val="00250791"/>
    <w:rsid w:val="00251C8F"/>
    <w:rsid w:val="00252014"/>
    <w:rsid w:val="002520F3"/>
    <w:rsid w:val="0025291D"/>
    <w:rsid w:val="00253238"/>
    <w:rsid w:val="0025599D"/>
    <w:rsid w:val="00255EA5"/>
    <w:rsid w:val="0025602C"/>
    <w:rsid w:val="00256613"/>
    <w:rsid w:val="00256751"/>
    <w:rsid w:val="002567B7"/>
    <w:rsid w:val="00257B52"/>
    <w:rsid w:val="00260282"/>
    <w:rsid w:val="002606E1"/>
    <w:rsid w:val="00260E93"/>
    <w:rsid w:val="002615F6"/>
    <w:rsid w:val="00261763"/>
    <w:rsid w:val="00261CD9"/>
    <w:rsid w:val="0026295E"/>
    <w:rsid w:val="002632FF"/>
    <w:rsid w:val="0026466D"/>
    <w:rsid w:val="00264797"/>
    <w:rsid w:val="0026531B"/>
    <w:rsid w:val="00266C47"/>
    <w:rsid w:val="00266F81"/>
    <w:rsid w:val="002676BB"/>
    <w:rsid w:val="002677B9"/>
    <w:rsid w:val="0027111B"/>
    <w:rsid w:val="00271C4A"/>
    <w:rsid w:val="00272423"/>
    <w:rsid w:val="002742E2"/>
    <w:rsid w:val="00274712"/>
    <w:rsid w:val="00275FDA"/>
    <w:rsid w:val="00277ADD"/>
    <w:rsid w:val="00280E5C"/>
    <w:rsid w:val="002810B6"/>
    <w:rsid w:val="00282643"/>
    <w:rsid w:val="00283E03"/>
    <w:rsid w:val="00283E11"/>
    <w:rsid w:val="00286DDD"/>
    <w:rsid w:val="0028747E"/>
    <w:rsid w:val="002879EA"/>
    <w:rsid w:val="00287EA6"/>
    <w:rsid w:val="00290067"/>
    <w:rsid w:val="002919F3"/>
    <w:rsid w:val="002932AA"/>
    <w:rsid w:val="0029459B"/>
    <w:rsid w:val="00295376"/>
    <w:rsid w:val="002964CB"/>
    <w:rsid w:val="002966C1"/>
    <w:rsid w:val="00296EF0"/>
    <w:rsid w:val="002A1244"/>
    <w:rsid w:val="002A23BE"/>
    <w:rsid w:val="002A2736"/>
    <w:rsid w:val="002A2DE8"/>
    <w:rsid w:val="002A33D5"/>
    <w:rsid w:val="002A674E"/>
    <w:rsid w:val="002A73B3"/>
    <w:rsid w:val="002B02E3"/>
    <w:rsid w:val="002B256E"/>
    <w:rsid w:val="002B318B"/>
    <w:rsid w:val="002B3190"/>
    <w:rsid w:val="002B32E7"/>
    <w:rsid w:val="002B34D2"/>
    <w:rsid w:val="002B35C2"/>
    <w:rsid w:val="002B482C"/>
    <w:rsid w:val="002B7863"/>
    <w:rsid w:val="002C0D01"/>
    <w:rsid w:val="002C1E38"/>
    <w:rsid w:val="002C2B90"/>
    <w:rsid w:val="002C2BF2"/>
    <w:rsid w:val="002C30B1"/>
    <w:rsid w:val="002C6722"/>
    <w:rsid w:val="002C6797"/>
    <w:rsid w:val="002C71B9"/>
    <w:rsid w:val="002C7376"/>
    <w:rsid w:val="002C73FA"/>
    <w:rsid w:val="002D36DC"/>
    <w:rsid w:val="002D4A7D"/>
    <w:rsid w:val="002D5A98"/>
    <w:rsid w:val="002D6079"/>
    <w:rsid w:val="002D66AA"/>
    <w:rsid w:val="002D6CBC"/>
    <w:rsid w:val="002D72F9"/>
    <w:rsid w:val="002E1044"/>
    <w:rsid w:val="002E10B0"/>
    <w:rsid w:val="002E1BAF"/>
    <w:rsid w:val="002E1F27"/>
    <w:rsid w:val="002E27CB"/>
    <w:rsid w:val="002E3C54"/>
    <w:rsid w:val="002E3D16"/>
    <w:rsid w:val="002E4ECB"/>
    <w:rsid w:val="002E5BF9"/>
    <w:rsid w:val="002E5CDC"/>
    <w:rsid w:val="002E72BF"/>
    <w:rsid w:val="002E7D96"/>
    <w:rsid w:val="002F01FB"/>
    <w:rsid w:val="002F0544"/>
    <w:rsid w:val="002F0A91"/>
    <w:rsid w:val="002F1397"/>
    <w:rsid w:val="002F207C"/>
    <w:rsid w:val="002F27C5"/>
    <w:rsid w:val="002F2F09"/>
    <w:rsid w:val="002F34F7"/>
    <w:rsid w:val="002F3909"/>
    <w:rsid w:val="002F40B4"/>
    <w:rsid w:val="002F4343"/>
    <w:rsid w:val="002F4C88"/>
    <w:rsid w:val="002F5297"/>
    <w:rsid w:val="002F64CB"/>
    <w:rsid w:val="002F66F4"/>
    <w:rsid w:val="002F6D0E"/>
    <w:rsid w:val="002F70EA"/>
    <w:rsid w:val="002F7F9F"/>
    <w:rsid w:val="0030000A"/>
    <w:rsid w:val="00301805"/>
    <w:rsid w:val="0030188E"/>
    <w:rsid w:val="00302602"/>
    <w:rsid w:val="003031F5"/>
    <w:rsid w:val="0030363E"/>
    <w:rsid w:val="00304046"/>
    <w:rsid w:val="00304BC5"/>
    <w:rsid w:val="003078B5"/>
    <w:rsid w:val="00307C40"/>
    <w:rsid w:val="00310685"/>
    <w:rsid w:val="00311248"/>
    <w:rsid w:val="00312CEA"/>
    <w:rsid w:val="003143C3"/>
    <w:rsid w:val="00314482"/>
    <w:rsid w:val="00314B6B"/>
    <w:rsid w:val="00314C1D"/>
    <w:rsid w:val="0031724C"/>
    <w:rsid w:val="00317448"/>
    <w:rsid w:val="00317D76"/>
    <w:rsid w:val="00320AF3"/>
    <w:rsid w:val="00321676"/>
    <w:rsid w:val="00321D76"/>
    <w:rsid w:val="00321DE0"/>
    <w:rsid w:val="00322011"/>
    <w:rsid w:val="00323741"/>
    <w:rsid w:val="00324AAE"/>
    <w:rsid w:val="00325B8C"/>
    <w:rsid w:val="00327929"/>
    <w:rsid w:val="00327A2E"/>
    <w:rsid w:val="00330658"/>
    <w:rsid w:val="003313A2"/>
    <w:rsid w:val="00332529"/>
    <w:rsid w:val="003328A1"/>
    <w:rsid w:val="00332AD5"/>
    <w:rsid w:val="0033326D"/>
    <w:rsid w:val="003333C6"/>
    <w:rsid w:val="0033436A"/>
    <w:rsid w:val="00335309"/>
    <w:rsid w:val="00335E89"/>
    <w:rsid w:val="0033611B"/>
    <w:rsid w:val="00336652"/>
    <w:rsid w:val="003379F9"/>
    <w:rsid w:val="00340826"/>
    <w:rsid w:val="0034155E"/>
    <w:rsid w:val="0034172A"/>
    <w:rsid w:val="003418EE"/>
    <w:rsid w:val="00341BAF"/>
    <w:rsid w:val="0034217E"/>
    <w:rsid w:val="0034249F"/>
    <w:rsid w:val="0034288B"/>
    <w:rsid w:val="003428EE"/>
    <w:rsid w:val="00345738"/>
    <w:rsid w:val="00345ED4"/>
    <w:rsid w:val="003471AC"/>
    <w:rsid w:val="00347428"/>
    <w:rsid w:val="00350AF9"/>
    <w:rsid w:val="00351BE8"/>
    <w:rsid w:val="003540DC"/>
    <w:rsid w:val="003546BF"/>
    <w:rsid w:val="00354929"/>
    <w:rsid w:val="00354EFE"/>
    <w:rsid w:val="00355BE6"/>
    <w:rsid w:val="003566BC"/>
    <w:rsid w:val="00356D0A"/>
    <w:rsid w:val="003570F2"/>
    <w:rsid w:val="003571EE"/>
    <w:rsid w:val="00357776"/>
    <w:rsid w:val="0035783B"/>
    <w:rsid w:val="00357D5E"/>
    <w:rsid w:val="003605B7"/>
    <w:rsid w:val="00360F09"/>
    <w:rsid w:val="00361C48"/>
    <w:rsid w:val="00362284"/>
    <w:rsid w:val="0036484F"/>
    <w:rsid w:val="00364989"/>
    <w:rsid w:val="003653C3"/>
    <w:rsid w:val="0036646E"/>
    <w:rsid w:val="00366CED"/>
    <w:rsid w:val="00367ACF"/>
    <w:rsid w:val="0037014B"/>
    <w:rsid w:val="003709A5"/>
    <w:rsid w:val="00370D6D"/>
    <w:rsid w:val="0037259B"/>
    <w:rsid w:val="00372648"/>
    <w:rsid w:val="00373D86"/>
    <w:rsid w:val="003750D5"/>
    <w:rsid w:val="00375428"/>
    <w:rsid w:val="003756CE"/>
    <w:rsid w:val="00375994"/>
    <w:rsid w:val="00376509"/>
    <w:rsid w:val="00376957"/>
    <w:rsid w:val="00376A2A"/>
    <w:rsid w:val="003803E3"/>
    <w:rsid w:val="00381548"/>
    <w:rsid w:val="0038227B"/>
    <w:rsid w:val="00382A13"/>
    <w:rsid w:val="0038341C"/>
    <w:rsid w:val="003839B3"/>
    <w:rsid w:val="00383D95"/>
    <w:rsid w:val="00383E79"/>
    <w:rsid w:val="00384C5F"/>
    <w:rsid w:val="00384D4B"/>
    <w:rsid w:val="00385751"/>
    <w:rsid w:val="00385758"/>
    <w:rsid w:val="00386C17"/>
    <w:rsid w:val="003878CF"/>
    <w:rsid w:val="00387C0A"/>
    <w:rsid w:val="003914F1"/>
    <w:rsid w:val="00391AE3"/>
    <w:rsid w:val="00392A7E"/>
    <w:rsid w:val="00392ECD"/>
    <w:rsid w:val="003931D3"/>
    <w:rsid w:val="003935F5"/>
    <w:rsid w:val="003937B6"/>
    <w:rsid w:val="0039482C"/>
    <w:rsid w:val="003949E2"/>
    <w:rsid w:val="00394C10"/>
    <w:rsid w:val="003971E2"/>
    <w:rsid w:val="00397E2A"/>
    <w:rsid w:val="003A0176"/>
    <w:rsid w:val="003A06FF"/>
    <w:rsid w:val="003A0725"/>
    <w:rsid w:val="003A3176"/>
    <w:rsid w:val="003A3717"/>
    <w:rsid w:val="003A3A62"/>
    <w:rsid w:val="003A3C98"/>
    <w:rsid w:val="003A6892"/>
    <w:rsid w:val="003A6FFF"/>
    <w:rsid w:val="003B132A"/>
    <w:rsid w:val="003B1387"/>
    <w:rsid w:val="003B1F52"/>
    <w:rsid w:val="003B2EFE"/>
    <w:rsid w:val="003B3F92"/>
    <w:rsid w:val="003B4D49"/>
    <w:rsid w:val="003B5789"/>
    <w:rsid w:val="003B5DDE"/>
    <w:rsid w:val="003B64E8"/>
    <w:rsid w:val="003C057C"/>
    <w:rsid w:val="003C1027"/>
    <w:rsid w:val="003C1A9D"/>
    <w:rsid w:val="003C1FE3"/>
    <w:rsid w:val="003C219F"/>
    <w:rsid w:val="003C23E0"/>
    <w:rsid w:val="003C26C6"/>
    <w:rsid w:val="003C2843"/>
    <w:rsid w:val="003C3221"/>
    <w:rsid w:val="003C3787"/>
    <w:rsid w:val="003C5955"/>
    <w:rsid w:val="003C5C58"/>
    <w:rsid w:val="003C600A"/>
    <w:rsid w:val="003C64F0"/>
    <w:rsid w:val="003C6C4A"/>
    <w:rsid w:val="003C6EBB"/>
    <w:rsid w:val="003C70D9"/>
    <w:rsid w:val="003C7B74"/>
    <w:rsid w:val="003D0D58"/>
    <w:rsid w:val="003D1C1A"/>
    <w:rsid w:val="003D22A2"/>
    <w:rsid w:val="003D27F5"/>
    <w:rsid w:val="003D2E5B"/>
    <w:rsid w:val="003D3488"/>
    <w:rsid w:val="003D4932"/>
    <w:rsid w:val="003D4BFA"/>
    <w:rsid w:val="003D7F06"/>
    <w:rsid w:val="003E03C9"/>
    <w:rsid w:val="003E118D"/>
    <w:rsid w:val="003E165F"/>
    <w:rsid w:val="003E5AE1"/>
    <w:rsid w:val="003E5B44"/>
    <w:rsid w:val="003E5B73"/>
    <w:rsid w:val="003E6B30"/>
    <w:rsid w:val="003E6DC3"/>
    <w:rsid w:val="003E7D6D"/>
    <w:rsid w:val="003F0E19"/>
    <w:rsid w:val="003F0FC0"/>
    <w:rsid w:val="003F1A04"/>
    <w:rsid w:val="003F3741"/>
    <w:rsid w:val="003F4333"/>
    <w:rsid w:val="003F4B1F"/>
    <w:rsid w:val="003F560C"/>
    <w:rsid w:val="003F6221"/>
    <w:rsid w:val="003F62E9"/>
    <w:rsid w:val="003F778B"/>
    <w:rsid w:val="00400458"/>
    <w:rsid w:val="0040055D"/>
    <w:rsid w:val="00400901"/>
    <w:rsid w:val="00400CBC"/>
    <w:rsid w:val="004014DE"/>
    <w:rsid w:val="00403D85"/>
    <w:rsid w:val="004050D4"/>
    <w:rsid w:val="0040553E"/>
    <w:rsid w:val="00406234"/>
    <w:rsid w:val="004066EE"/>
    <w:rsid w:val="004069D1"/>
    <w:rsid w:val="00406D87"/>
    <w:rsid w:val="00407103"/>
    <w:rsid w:val="00410658"/>
    <w:rsid w:val="00410ACE"/>
    <w:rsid w:val="00410E49"/>
    <w:rsid w:val="00412268"/>
    <w:rsid w:val="00414107"/>
    <w:rsid w:val="004168D4"/>
    <w:rsid w:val="00421B6E"/>
    <w:rsid w:val="00422A13"/>
    <w:rsid w:val="00422EBA"/>
    <w:rsid w:val="004234D7"/>
    <w:rsid w:val="00423A71"/>
    <w:rsid w:val="00424633"/>
    <w:rsid w:val="00425246"/>
    <w:rsid w:val="00426454"/>
    <w:rsid w:val="004266D2"/>
    <w:rsid w:val="00427F52"/>
    <w:rsid w:val="00430AF3"/>
    <w:rsid w:val="0043254F"/>
    <w:rsid w:val="00432970"/>
    <w:rsid w:val="0043325C"/>
    <w:rsid w:val="00433330"/>
    <w:rsid w:val="00433901"/>
    <w:rsid w:val="00433954"/>
    <w:rsid w:val="00434EAA"/>
    <w:rsid w:val="00435187"/>
    <w:rsid w:val="00435AF4"/>
    <w:rsid w:val="004363E0"/>
    <w:rsid w:val="00436D8C"/>
    <w:rsid w:val="00437667"/>
    <w:rsid w:val="004406E7"/>
    <w:rsid w:val="0044083B"/>
    <w:rsid w:val="004410C1"/>
    <w:rsid w:val="00441172"/>
    <w:rsid w:val="00441DF1"/>
    <w:rsid w:val="00443008"/>
    <w:rsid w:val="00444116"/>
    <w:rsid w:val="004443FC"/>
    <w:rsid w:val="0044571F"/>
    <w:rsid w:val="0044697B"/>
    <w:rsid w:val="00447DEF"/>
    <w:rsid w:val="004502B5"/>
    <w:rsid w:val="0045040F"/>
    <w:rsid w:val="0045160E"/>
    <w:rsid w:val="00452A1F"/>
    <w:rsid w:val="00452A2F"/>
    <w:rsid w:val="00452D8E"/>
    <w:rsid w:val="00453DD5"/>
    <w:rsid w:val="00453EE0"/>
    <w:rsid w:val="004570DA"/>
    <w:rsid w:val="004572DD"/>
    <w:rsid w:val="00457640"/>
    <w:rsid w:val="00457FDD"/>
    <w:rsid w:val="00460115"/>
    <w:rsid w:val="004614B9"/>
    <w:rsid w:val="00461C11"/>
    <w:rsid w:val="004623CD"/>
    <w:rsid w:val="004624BF"/>
    <w:rsid w:val="00462A94"/>
    <w:rsid w:val="00464175"/>
    <w:rsid w:val="0046587B"/>
    <w:rsid w:val="004661AE"/>
    <w:rsid w:val="00466CF6"/>
    <w:rsid w:val="00467293"/>
    <w:rsid w:val="00467BFF"/>
    <w:rsid w:val="004703E7"/>
    <w:rsid w:val="00470B54"/>
    <w:rsid w:val="00470EA4"/>
    <w:rsid w:val="0047109C"/>
    <w:rsid w:val="00471538"/>
    <w:rsid w:val="00471BAB"/>
    <w:rsid w:val="00471DF0"/>
    <w:rsid w:val="00472E06"/>
    <w:rsid w:val="00474B4C"/>
    <w:rsid w:val="0047564C"/>
    <w:rsid w:val="00475C21"/>
    <w:rsid w:val="004762E4"/>
    <w:rsid w:val="0047690A"/>
    <w:rsid w:val="004806AC"/>
    <w:rsid w:val="0048465E"/>
    <w:rsid w:val="004848ED"/>
    <w:rsid w:val="00484B5D"/>
    <w:rsid w:val="004861F4"/>
    <w:rsid w:val="00486901"/>
    <w:rsid w:val="004871BA"/>
    <w:rsid w:val="004900CF"/>
    <w:rsid w:val="0049019C"/>
    <w:rsid w:val="00490F91"/>
    <w:rsid w:val="0049167C"/>
    <w:rsid w:val="004932BD"/>
    <w:rsid w:val="00494900"/>
    <w:rsid w:val="00494FA2"/>
    <w:rsid w:val="0049598F"/>
    <w:rsid w:val="00496636"/>
    <w:rsid w:val="00496CDB"/>
    <w:rsid w:val="00497244"/>
    <w:rsid w:val="004A0B95"/>
    <w:rsid w:val="004A1391"/>
    <w:rsid w:val="004A23DA"/>
    <w:rsid w:val="004A2922"/>
    <w:rsid w:val="004A2E22"/>
    <w:rsid w:val="004A332B"/>
    <w:rsid w:val="004A55B7"/>
    <w:rsid w:val="004A597C"/>
    <w:rsid w:val="004A62B3"/>
    <w:rsid w:val="004A70B2"/>
    <w:rsid w:val="004A7BE8"/>
    <w:rsid w:val="004A7C00"/>
    <w:rsid w:val="004B1817"/>
    <w:rsid w:val="004B1AEA"/>
    <w:rsid w:val="004B1F80"/>
    <w:rsid w:val="004B219A"/>
    <w:rsid w:val="004B28C9"/>
    <w:rsid w:val="004B2BB6"/>
    <w:rsid w:val="004B3BC8"/>
    <w:rsid w:val="004B47A0"/>
    <w:rsid w:val="004B47A6"/>
    <w:rsid w:val="004B576A"/>
    <w:rsid w:val="004B5940"/>
    <w:rsid w:val="004B6A32"/>
    <w:rsid w:val="004B6AB2"/>
    <w:rsid w:val="004B6B6B"/>
    <w:rsid w:val="004B71CD"/>
    <w:rsid w:val="004B721A"/>
    <w:rsid w:val="004C138D"/>
    <w:rsid w:val="004C2250"/>
    <w:rsid w:val="004C2C9B"/>
    <w:rsid w:val="004C3BBA"/>
    <w:rsid w:val="004C3CE3"/>
    <w:rsid w:val="004C40BA"/>
    <w:rsid w:val="004C4741"/>
    <w:rsid w:val="004C4E10"/>
    <w:rsid w:val="004C61EE"/>
    <w:rsid w:val="004C7AC2"/>
    <w:rsid w:val="004C7DAC"/>
    <w:rsid w:val="004D1215"/>
    <w:rsid w:val="004D1A5B"/>
    <w:rsid w:val="004D35BB"/>
    <w:rsid w:val="004D5926"/>
    <w:rsid w:val="004D62C5"/>
    <w:rsid w:val="004D632C"/>
    <w:rsid w:val="004D6488"/>
    <w:rsid w:val="004D6B4C"/>
    <w:rsid w:val="004D7263"/>
    <w:rsid w:val="004D7477"/>
    <w:rsid w:val="004D781A"/>
    <w:rsid w:val="004D7FF5"/>
    <w:rsid w:val="004E0091"/>
    <w:rsid w:val="004E030D"/>
    <w:rsid w:val="004E19EC"/>
    <w:rsid w:val="004E2183"/>
    <w:rsid w:val="004E415C"/>
    <w:rsid w:val="004E47E9"/>
    <w:rsid w:val="004E5EA4"/>
    <w:rsid w:val="004E6D4B"/>
    <w:rsid w:val="004E7037"/>
    <w:rsid w:val="004E7CBF"/>
    <w:rsid w:val="004F1A5A"/>
    <w:rsid w:val="004F2A06"/>
    <w:rsid w:val="004F32C2"/>
    <w:rsid w:val="004F3968"/>
    <w:rsid w:val="004F3FE0"/>
    <w:rsid w:val="004F41A4"/>
    <w:rsid w:val="004F6B89"/>
    <w:rsid w:val="00501F01"/>
    <w:rsid w:val="00504234"/>
    <w:rsid w:val="00504F0E"/>
    <w:rsid w:val="0050712B"/>
    <w:rsid w:val="00507442"/>
    <w:rsid w:val="00507D2C"/>
    <w:rsid w:val="005116C8"/>
    <w:rsid w:val="005124C4"/>
    <w:rsid w:val="0051272D"/>
    <w:rsid w:val="00513424"/>
    <w:rsid w:val="00515949"/>
    <w:rsid w:val="00516B3E"/>
    <w:rsid w:val="00516FE4"/>
    <w:rsid w:val="0051761A"/>
    <w:rsid w:val="00521163"/>
    <w:rsid w:val="00521186"/>
    <w:rsid w:val="0052285E"/>
    <w:rsid w:val="00522AFC"/>
    <w:rsid w:val="0052386F"/>
    <w:rsid w:val="005247EC"/>
    <w:rsid w:val="005258ED"/>
    <w:rsid w:val="00526272"/>
    <w:rsid w:val="00526FB9"/>
    <w:rsid w:val="005276FB"/>
    <w:rsid w:val="005279B5"/>
    <w:rsid w:val="005302CD"/>
    <w:rsid w:val="0053091C"/>
    <w:rsid w:val="00532F17"/>
    <w:rsid w:val="00533721"/>
    <w:rsid w:val="005340F6"/>
    <w:rsid w:val="0054076D"/>
    <w:rsid w:val="0054231C"/>
    <w:rsid w:val="00543774"/>
    <w:rsid w:val="0054384F"/>
    <w:rsid w:val="00545EAB"/>
    <w:rsid w:val="005462FE"/>
    <w:rsid w:val="005466B0"/>
    <w:rsid w:val="00546CEE"/>
    <w:rsid w:val="00546D1B"/>
    <w:rsid w:val="00547876"/>
    <w:rsid w:val="00551C2A"/>
    <w:rsid w:val="0055372F"/>
    <w:rsid w:val="00554808"/>
    <w:rsid w:val="0055519E"/>
    <w:rsid w:val="00555ADA"/>
    <w:rsid w:val="00555E2E"/>
    <w:rsid w:val="0055652B"/>
    <w:rsid w:val="00556F27"/>
    <w:rsid w:val="00557C1F"/>
    <w:rsid w:val="00557DFB"/>
    <w:rsid w:val="00557E1F"/>
    <w:rsid w:val="00560F75"/>
    <w:rsid w:val="0056361C"/>
    <w:rsid w:val="00564279"/>
    <w:rsid w:val="005647B1"/>
    <w:rsid w:val="00567101"/>
    <w:rsid w:val="005700E9"/>
    <w:rsid w:val="00570821"/>
    <w:rsid w:val="0057093A"/>
    <w:rsid w:val="005709C2"/>
    <w:rsid w:val="00570E26"/>
    <w:rsid w:val="00571073"/>
    <w:rsid w:val="0057194C"/>
    <w:rsid w:val="00571FBE"/>
    <w:rsid w:val="005726A4"/>
    <w:rsid w:val="00573F36"/>
    <w:rsid w:val="00574C62"/>
    <w:rsid w:val="00575328"/>
    <w:rsid w:val="005757DA"/>
    <w:rsid w:val="005758D5"/>
    <w:rsid w:val="00576CD0"/>
    <w:rsid w:val="00576FBE"/>
    <w:rsid w:val="00577376"/>
    <w:rsid w:val="00582FF1"/>
    <w:rsid w:val="005838F8"/>
    <w:rsid w:val="00584BB2"/>
    <w:rsid w:val="005858CD"/>
    <w:rsid w:val="00585C61"/>
    <w:rsid w:val="005860C1"/>
    <w:rsid w:val="00586553"/>
    <w:rsid w:val="00586A31"/>
    <w:rsid w:val="00586FC5"/>
    <w:rsid w:val="00587448"/>
    <w:rsid w:val="00587E53"/>
    <w:rsid w:val="00590C14"/>
    <w:rsid w:val="00594BF0"/>
    <w:rsid w:val="00596386"/>
    <w:rsid w:val="0059676D"/>
    <w:rsid w:val="005974C1"/>
    <w:rsid w:val="005A0CB8"/>
    <w:rsid w:val="005A2188"/>
    <w:rsid w:val="005A2210"/>
    <w:rsid w:val="005A2502"/>
    <w:rsid w:val="005A3732"/>
    <w:rsid w:val="005A378F"/>
    <w:rsid w:val="005A3F99"/>
    <w:rsid w:val="005A413E"/>
    <w:rsid w:val="005A457D"/>
    <w:rsid w:val="005A6561"/>
    <w:rsid w:val="005A675D"/>
    <w:rsid w:val="005A6923"/>
    <w:rsid w:val="005A6973"/>
    <w:rsid w:val="005A6DAD"/>
    <w:rsid w:val="005A7C8A"/>
    <w:rsid w:val="005B0071"/>
    <w:rsid w:val="005B1488"/>
    <w:rsid w:val="005B1BE1"/>
    <w:rsid w:val="005B1CDA"/>
    <w:rsid w:val="005B2F35"/>
    <w:rsid w:val="005B32BD"/>
    <w:rsid w:val="005B4B7E"/>
    <w:rsid w:val="005B5688"/>
    <w:rsid w:val="005B5A62"/>
    <w:rsid w:val="005B607E"/>
    <w:rsid w:val="005B61D4"/>
    <w:rsid w:val="005C30E8"/>
    <w:rsid w:val="005C319A"/>
    <w:rsid w:val="005C324B"/>
    <w:rsid w:val="005C3A05"/>
    <w:rsid w:val="005C41E7"/>
    <w:rsid w:val="005C42D0"/>
    <w:rsid w:val="005C44C1"/>
    <w:rsid w:val="005C55E5"/>
    <w:rsid w:val="005C730D"/>
    <w:rsid w:val="005C7390"/>
    <w:rsid w:val="005C74F0"/>
    <w:rsid w:val="005C75AD"/>
    <w:rsid w:val="005C7D9C"/>
    <w:rsid w:val="005D0608"/>
    <w:rsid w:val="005D164D"/>
    <w:rsid w:val="005D17EC"/>
    <w:rsid w:val="005D2D95"/>
    <w:rsid w:val="005D5530"/>
    <w:rsid w:val="005D595B"/>
    <w:rsid w:val="005D6847"/>
    <w:rsid w:val="005D6DCB"/>
    <w:rsid w:val="005D71DE"/>
    <w:rsid w:val="005E1A7D"/>
    <w:rsid w:val="005E23A4"/>
    <w:rsid w:val="005E27B4"/>
    <w:rsid w:val="005E29F2"/>
    <w:rsid w:val="005E41EC"/>
    <w:rsid w:val="005E6414"/>
    <w:rsid w:val="005F070D"/>
    <w:rsid w:val="005F0EB6"/>
    <w:rsid w:val="005F2996"/>
    <w:rsid w:val="005F30EC"/>
    <w:rsid w:val="005F3462"/>
    <w:rsid w:val="005F4D90"/>
    <w:rsid w:val="005F5E11"/>
    <w:rsid w:val="005F6420"/>
    <w:rsid w:val="006006A7"/>
    <w:rsid w:val="00600CE2"/>
    <w:rsid w:val="006012E2"/>
    <w:rsid w:val="0060168F"/>
    <w:rsid w:val="006026B2"/>
    <w:rsid w:val="006038B8"/>
    <w:rsid w:val="006052BD"/>
    <w:rsid w:val="00606199"/>
    <w:rsid w:val="0061065F"/>
    <w:rsid w:val="00611ECD"/>
    <w:rsid w:val="00612808"/>
    <w:rsid w:val="0061319F"/>
    <w:rsid w:val="00613416"/>
    <w:rsid w:val="006135CD"/>
    <w:rsid w:val="00613C11"/>
    <w:rsid w:val="0061499F"/>
    <w:rsid w:val="00614D3D"/>
    <w:rsid w:val="00614E22"/>
    <w:rsid w:val="006157AA"/>
    <w:rsid w:val="00615C48"/>
    <w:rsid w:val="00616EB1"/>
    <w:rsid w:val="006170F3"/>
    <w:rsid w:val="0061732D"/>
    <w:rsid w:val="00617F89"/>
    <w:rsid w:val="00620A96"/>
    <w:rsid w:val="00620D8F"/>
    <w:rsid w:val="00622A9D"/>
    <w:rsid w:val="00622CB2"/>
    <w:rsid w:val="006236D3"/>
    <w:rsid w:val="00623F80"/>
    <w:rsid w:val="00624C30"/>
    <w:rsid w:val="006250E1"/>
    <w:rsid w:val="006257AB"/>
    <w:rsid w:val="006262C8"/>
    <w:rsid w:val="00626847"/>
    <w:rsid w:val="006269D5"/>
    <w:rsid w:val="00627F30"/>
    <w:rsid w:val="00630204"/>
    <w:rsid w:val="00633C59"/>
    <w:rsid w:val="006342CD"/>
    <w:rsid w:val="00634E09"/>
    <w:rsid w:val="006352EB"/>
    <w:rsid w:val="00635E09"/>
    <w:rsid w:val="00636190"/>
    <w:rsid w:val="0063647C"/>
    <w:rsid w:val="00636569"/>
    <w:rsid w:val="00637456"/>
    <w:rsid w:val="00637E0C"/>
    <w:rsid w:val="0064026F"/>
    <w:rsid w:val="006406B8"/>
    <w:rsid w:val="00640C31"/>
    <w:rsid w:val="006413FA"/>
    <w:rsid w:val="00641FAE"/>
    <w:rsid w:val="0064250D"/>
    <w:rsid w:val="0064305D"/>
    <w:rsid w:val="00643E47"/>
    <w:rsid w:val="00644095"/>
    <w:rsid w:val="0064555F"/>
    <w:rsid w:val="006460C9"/>
    <w:rsid w:val="006463EB"/>
    <w:rsid w:val="00647359"/>
    <w:rsid w:val="006505C7"/>
    <w:rsid w:val="006505CB"/>
    <w:rsid w:val="00650CB5"/>
    <w:rsid w:val="00651157"/>
    <w:rsid w:val="00651696"/>
    <w:rsid w:val="006520B4"/>
    <w:rsid w:val="006543EB"/>
    <w:rsid w:val="00654B7D"/>
    <w:rsid w:val="00654D97"/>
    <w:rsid w:val="00655084"/>
    <w:rsid w:val="00656391"/>
    <w:rsid w:val="0065737C"/>
    <w:rsid w:val="00660194"/>
    <w:rsid w:val="006603E7"/>
    <w:rsid w:val="00660F4E"/>
    <w:rsid w:val="0066230B"/>
    <w:rsid w:val="00663D4F"/>
    <w:rsid w:val="00664814"/>
    <w:rsid w:val="00665BAC"/>
    <w:rsid w:val="0066641D"/>
    <w:rsid w:val="00666980"/>
    <w:rsid w:val="00666B80"/>
    <w:rsid w:val="00666DF1"/>
    <w:rsid w:val="00670056"/>
    <w:rsid w:val="00671391"/>
    <w:rsid w:val="006714FD"/>
    <w:rsid w:val="00672EF7"/>
    <w:rsid w:val="006756C7"/>
    <w:rsid w:val="006757DB"/>
    <w:rsid w:val="0067583D"/>
    <w:rsid w:val="006761E5"/>
    <w:rsid w:val="00681926"/>
    <w:rsid w:val="00681A5D"/>
    <w:rsid w:val="00681D02"/>
    <w:rsid w:val="00681E31"/>
    <w:rsid w:val="0068306D"/>
    <w:rsid w:val="00683101"/>
    <w:rsid w:val="006848BD"/>
    <w:rsid w:val="00684904"/>
    <w:rsid w:val="00686150"/>
    <w:rsid w:val="006862BC"/>
    <w:rsid w:val="00690F5D"/>
    <w:rsid w:val="0069179C"/>
    <w:rsid w:val="00691C24"/>
    <w:rsid w:val="00692CAB"/>
    <w:rsid w:val="00694643"/>
    <w:rsid w:val="00694AE5"/>
    <w:rsid w:val="00694EB0"/>
    <w:rsid w:val="00695E17"/>
    <w:rsid w:val="00696B5C"/>
    <w:rsid w:val="006975B2"/>
    <w:rsid w:val="00697BAB"/>
    <w:rsid w:val="006A1271"/>
    <w:rsid w:val="006A14C2"/>
    <w:rsid w:val="006A2938"/>
    <w:rsid w:val="006A2B57"/>
    <w:rsid w:val="006A3014"/>
    <w:rsid w:val="006A30B4"/>
    <w:rsid w:val="006A3F76"/>
    <w:rsid w:val="006A432F"/>
    <w:rsid w:val="006A4456"/>
    <w:rsid w:val="006A53BE"/>
    <w:rsid w:val="006A5750"/>
    <w:rsid w:val="006A5BCD"/>
    <w:rsid w:val="006A5CB6"/>
    <w:rsid w:val="006A60A4"/>
    <w:rsid w:val="006A6416"/>
    <w:rsid w:val="006A6D6C"/>
    <w:rsid w:val="006A7A23"/>
    <w:rsid w:val="006B06AD"/>
    <w:rsid w:val="006B101D"/>
    <w:rsid w:val="006B1206"/>
    <w:rsid w:val="006B13EF"/>
    <w:rsid w:val="006B143B"/>
    <w:rsid w:val="006B14CB"/>
    <w:rsid w:val="006B18E8"/>
    <w:rsid w:val="006B200C"/>
    <w:rsid w:val="006B421A"/>
    <w:rsid w:val="006B5E0C"/>
    <w:rsid w:val="006B6980"/>
    <w:rsid w:val="006B76F2"/>
    <w:rsid w:val="006B7C0A"/>
    <w:rsid w:val="006C0362"/>
    <w:rsid w:val="006C28C3"/>
    <w:rsid w:val="006C2D82"/>
    <w:rsid w:val="006C4592"/>
    <w:rsid w:val="006C46BA"/>
    <w:rsid w:val="006C5381"/>
    <w:rsid w:val="006C543B"/>
    <w:rsid w:val="006C54A7"/>
    <w:rsid w:val="006C5DCD"/>
    <w:rsid w:val="006C7B2B"/>
    <w:rsid w:val="006D0DA9"/>
    <w:rsid w:val="006D11BE"/>
    <w:rsid w:val="006D150C"/>
    <w:rsid w:val="006D15B1"/>
    <w:rsid w:val="006D2907"/>
    <w:rsid w:val="006D35E9"/>
    <w:rsid w:val="006D4312"/>
    <w:rsid w:val="006D4AB0"/>
    <w:rsid w:val="006D4F00"/>
    <w:rsid w:val="006D5EC1"/>
    <w:rsid w:val="006D6A7A"/>
    <w:rsid w:val="006E0C5B"/>
    <w:rsid w:val="006E0E48"/>
    <w:rsid w:val="006E136B"/>
    <w:rsid w:val="006E19D2"/>
    <w:rsid w:val="006E20BA"/>
    <w:rsid w:val="006E3042"/>
    <w:rsid w:val="006E3919"/>
    <w:rsid w:val="006E3A40"/>
    <w:rsid w:val="006E3EAF"/>
    <w:rsid w:val="006E4592"/>
    <w:rsid w:val="006E4B30"/>
    <w:rsid w:val="006E5B5E"/>
    <w:rsid w:val="006E7532"/>
    <w:rsid w:val="006E7761"/>
    <w:rsid w:val="006E795D"/>
    <w:rsid w:val="006E7EB3"/>
    <w:rsid w:val="006F27AF"/>
    <w:rsid w:val="006F29E4"/>
    <w:rsid w:val="006F2A4B"/>
    <w:rsid w:val="006F3483"/>
    <w:rsid w:val="006F4791"/>
    <w:rsid w:val="006F4A7F"/>
    <w:rsid w:val="006F5134"/>
    <w:rsid w:val="006F52F6"/>
    <w:rsid w:val="006F59AF"/>
    <w:rsid w:val="006F63D3"/>
    <w:rsid w:val="006F6582"/>
    <w:rsid w:val="006F6954"/>
    <w:rsid w:val="006F7194"/>
    <w:rsid w:val="007005C2"/>
    <w:rsid w:val="00700926"/>
    <w:rsid w:val="00700CE4"/>
    <w:rsid w:val="00701B05"/>
    <w:rsid w:val="00701CC4"/>
    <w:rsid w:val="007028A1"/>
    <w:rsid w:val="00702AA1"/>
    <w:rsid w:val="00703200"/>
    <w:rsid w:val="00703BD5"/>
    <w:rsid w:val="0070411E"/>
    <w:rsid w:val="007045AB"/>
    <w:rsid w:val="00704DD5"/>
    <w:rsid w:val="007056DD"/>
    <w:rsid w:val="00706200"/>
    <w:rsid w:val="007070D2"/>
    <w:rsid w:val="007072CB"/>
    <w:rsid w:val="007078FD"/>
    <w:rsid w:val="007106F0"/>
    <w:rsid w:val="0071073A"/>
    <w:rsid w:val="0071198D"/>
    <w:rsid w:val="00711B18"/>
    <w:rsid w:val="00711B7D"/>
    <w:rsid w:val="0071241A"/>
    <w:rsid w:val="007141BB"/>
    <w:rsid w:val="0071431B"/>
    <w:rsid w:val="00714A2F"/>
    <w:rsid w:val="00715FF6"/>
    <w:rsid w:val="00721874"/>
    <w:rsid w:val="00721A73"/>
    <w:rsid w:val="00721C90"/>
    <w:rsid w:val="00723212"/>
    <w:rsid w:val="0072349B"/>
    <w:rsid w:val="00723895"/>
    <w:rsid w:val="00724152"/>
    <w:rsid w:val="007246EF"/>
    <w:rsid w:val="0072487B"/>
    <w:rsid w:val="00725429"/>
    <w:rsid w:val="00726CD0"/>
    <w:rsid w:val="00726D2E"/>
    <w:rsid w:val="00726EA2"/>
    <w:rsid w:val="007276F7"/>
    <w:rsid w:val="0073059A"/>
    <w:rsid w:val="00731EE6"/>
    <w:rsid w:val="007320E6"/>
    <w:rsid w:val="0073329A"/>
    <w:rsid w:val="00734164"/>
    <w:rsid w:val="00734F42"/>
    <w:rsid w:val="00735CF1"/>
    <w:rsid w:val="007368E3"/>
    <w:rsid w:val="00736D6F"/>
    <w:rsid w:val="00737C8F"/>
    <w:rsid w:val="0074375F"/>
    <w:rsid w:val="007438C0"/>
    <w:rsid w:val="007445CE"/>
    <w:rsid w:val="00745909"/>
    <w:rsid w:val="0074598D"/>
    <w:rsid w:val="00745C15"/>
    <w:rsid w:val="00745CE4"/>
    <w:rsid w:val="007467A8"/>
    <w:rsid w:val="00746E78"/>
    <w:rsid w:val="00747FBA"/>
    <w:rsid w:val="007505C8"/>
    <w:rsid w:val="00750B97"/>
    <w:rsid w:val="00752BFF"/>
    <w:rsid w:val="00754109"/>
    <w:rsid w:val="00754603"/>
    <w:rsid w:val="0075500B"/>
    <w:rsid w:val="007572D0"/>
    <w:rsid w:val="007577AF"/>
    <w:rsid w:val="00757CC4"/>
    <w:rsid w:val="0076090A"/>
    <w:rsid w:val="00760C69"/>
    <w:rsid w:val="00760DC1"/>
    <w:rsid w:val="00760F1E"/>
    <w:rsid w:val="007610F3"/>
    <w:rsid w:val="007621E5"/>
    <w:rsid w:val="00762CF8"/>
    <w:rsid w:val="00763352"/>
    <w:rsid w:val="00763B24"/>
    <w:rsid w:val="00763B49"/>
    <w:rsid w:val="00763B68"/>
    <w:rsid w:val="00764BCD"/>
    <w:rsid w:val="00765DE8"/>
    <w:rsid w:val="007665A2"/>
    <w:rsid w:val="007669C5"/>
    <w:rsid w:val="00766A3B"/>
    <w:rsid w:val="00766C4A"/>
    <w:rsid w:val="00767C21"/>
    <w:rsid w:val="00767CA8"/>
    <w:rsid w:val="00770091"/>
    <w:rsid w:val="007706FC"/>
    <w:rsid w:val="00771C0E"/>
    <w:rsid w:val="0077206C"/>
    <w:rsid w:val="007721F9"/>
    <w:rsid w:val="00772B2F"/>
    <w:rsid w:val="0077319E"/>
    <w:rsid w:val="0077386E"/>
    <w:rsid w:val="00773D90"/>
    <w:rsid w:val="00775DD9"/>
    <w:rsid w:val="007766F7"/>
    <w:rsid w:val="00781E65"/>
    <w:rsid w:val="00782577"/>
    <w:rsid w:val="00782909"/>
    <w:rsid w:val="00783D10"/>
    <w:rsid w:val="00785456"/>
    <w:rsid w:val="007857BA"/>
    <w:rsid w:val="00785932"/>
    <w:rsid w:val="0078600F"/>
    <w:rsid w:val="00786897"/>
    <w:rsid w:val="00787BD6"/>
    <w:rsid w:val="0079058D"/>
    <w:rsid w:val="00790A83"/>
    <w:rsid w:val="00790AC9"/>
    <w:rsid w:val="007911CA"/>
    <w:rsid w:val="00792B6D"/>
    <w:rsid w:val="00792DFC"/>
    <w:rsid w:val="007934D4"/>
    <w:rsid w:val="007934EE"/>
    <w:rsid w:val="00793A8C"/>
    <w:rsid w:val="00793CC6"/>
    <w:rsid w:val="007957C9"/>
    <w:rsid w:val="00795DA3"/>
    <w:rsid w:val="00796EB8"/>
    <w:rsid w:val="007975C6"/>
    <w:rsid w:val="007A146F"/>
    <w:rsid w:val="007A22AA"/>
    <w:rsid w:val="007A2305"/>
    <w:rsid w:val="007A25E2"/>
    <w:rsid w:val="007A2BA0"/>
    <w:rsid w:val="007A2C92"/>
    <w:rsid w:val="007A4498"/>
    <w:rsid w:val="007A55D2"/>
    <w:rsid w:val="007A5F17"/>
    <w:rsid w:val="007A61DB"/>
    <w:rsid w:val="007A73CA"/>
    <w:rsid w:val="007A7C3D"/>
    <w:rsid w:val="007B0DBF"/>
    <w:rsid w:val="007B1998"/>
    <w:rsid w:val="007B2ED5"/>
    <w:rsid w:val="007B347E"/>
    <w:rsid w:val="007B37D5"/>
    <w:rsid w:val="007B449D"/>
    <w:rsid w:val="007B54EB"/>
    <w:rsid w:val="007B5909"/>
    <w:rsid w:val="007B5ED9"/>
    <w:rsid w:val="007C0D6C"/>
    <w:rsid w:val="007C0FBB"/>
    <w:rsid w:val="007C1269"/>
    <w:rsid w:val="007C17BB"/>
    <w:rsid w:val="007C2DC8"/>
    <w:rsid w:val="007C2F31"/>
    <w:rsid w:val="007C3DF4"/>
    <w:rsid w:val="007C616C"/>
    <w:rsid w:val="007C6C20"/>
    <w:rsid w:val="007C7547"/>
    <w:rsid w:val="007C77B9"/>
    <w:rsid w:val="007C7C36"/>
    <w:rsid w:val="007D0EC2"/>
    <w:rsid w:val="007D2A04"/>
    <w:rsid w:val="007D3A06"/>
    <w:rsid w:val="007D3D57"/>
    <w:rsid w:val="007D4C05"/>
    <w:rsid w:val="007D525F"/>
    <w:rsid w:val="007D5B72"/>
    <w:rsid w:val="007D6A10"/>
    <w:rsid w:val="007D7DFD"/>
    <w:rsid w:val="007D7E72"/>
    <w:rsid w:val="007E2037"/>
    <w:rsid w:val="007E2AD9"/>
    <w:rsid w:val="007E2B11"/>
    <w:rsid w:val="007E54D2"/>
    <w:rsid w:val="007E60AE"/>
    <w:rsid w:val="007E66A1"/>
    <w:rsid w:val="007E7346"/>
    <w:rsid w:val="007E7C53"/>
    <w:rsid w:val="007F0850"/>
    <w:rsid w:val="007F1453"/>
    <w:rsid w:val="007F192C"/>
    <w:rsid w:val="007F34BE"/>
    <w:rsid w:val="007F34C7"/>
    <w:rsid w:val="007F377A"/>
    <w:rsid w:val="007F3956"/>
    <w:rsid w:val="007F3B9A"/>
    <w:rsid w:val="007F3D90"/>
    <w:rsid w:val="007F45E8"/>
    <w:rsid w:val="007F493D"/>
    <w:rsid w:val="007F49A0"/>
    <w:rsid w:val="007F607D"/>
    <w:rsid w:val="008003F3"/>
    <w:rsid w:val="0080070C"/>
    <w:rsid w:val="008009A7"/>
    <w:rsid w:val="0080228D"/>
    <w:rsid w:val="008025DB"/>
    <w:rsid w:val="00802B08"/>
    <w:rsid w:val="00802CEF"/>
    <w:rsid w:val="00804A76"/>
    <w:rsid w:val="008064C5"/>
    <w:rsid w:val="0080723A"/>
    <w:rsid w:val="00807351"/>
    <w:rsid w:val="00807CA2"/>
    <w:rsid w:val="008101FD"/>
    <w:rsid w:val="00810818"/>
    <w:rsid w:val="00810F26"/>
    <w:rsid w:val="0081148C"/>
    <w:rsid w:val="00811F1F"/>
    <w:rsid w:val="00813137"/>
    <w:rsid w:val="008140B0"/>
    <w:rsid w:val="008153BB"/>
    <w:rsid w:val="00815865"/>
    <w:rsid w:val="00815CB0"/>
    <w:rsid w:val="00816B0D"/>
    <w:rsid w:val="00816F3F"/>
    <w:rsid w:val="00817189"/>
    <w:rsid w:val="008200EB"/>
    <w:rsid w:val="00820BD9"/>
    <w:rsid w:val="0082182E"/>
    <w:rsid w:val="00822666"/>
    <w:rsid w:val="00822863"/>
    <w:rsid w:val="00822AEF"/>
    <w:rsid w:val="00823938"/>
    <w:rsid w:val="0082393F"/>
    <w:rsid w:val="0082498F"/>
    <w:rsid w:val="00824FDA"/>
    <w:rsid w:val="00826395"/>
    <w:rsid w:val="00830771"/>
    <w:rsid w:val="0083146F"/>
    <w:rsid w:val="008316E8"/>
    <w:rsid w:val="00831B18"/>
    <w:rsid w:val="00833BA5"/>
    <w:rsid w:val="008371C5"/>
    <w:rsid w:val="0083731F"/>
    <w:rsid w:val="00837C1E"/>
    <w:rsid w:val="00840D89"/>
    <w:rsid w:val="00841716"/>
    <w:rsid w:val="00841ED1"/>
    <w:rsid w:val="0084364E"/>
    <w:rsid w:val="0084469F"/>
    <w:rsid w:val="0084477D"/>
    <w:rsid w:val="00844A53"/>
    <w:rsid w:val="00844AFC"/>
    <w:rsid w:val="00844E01"/>
    <w:rsid w:val="00845086"/>
    <w:rsid w:val="0084708F"/>
    <w:rsid w:val="00847187"/>
    <w:rsid w:val="008478F4"/>
    <w:rsid w:val="008504D0"/>
    <w:rsid w:val="0085149C"/>
    <w:rsid w:val="00854004"/>
    <w:rsid w:val="00854623"/>
    <w:rsid w:val="00854E26"/>
    <w:rsid w:val="00855709"/>
    <w:rsid w:val="00855933"/>
    <w:rsid w:val="008560CA"/>
    <w:rsid w:val="00856F7B"/>
    <w:rsid w:val="00856FC8"/>
    <w:rsid w:val="00857A5A"/>
    <w:rsid w:val="00857EE5"/>
    <w:rsid w:val="0086018E"/>
    <w:rsid w:val="0086159E"/>
    <w:rsid w:val="00861CA2"/>
    <w:rsid w:val="00862894"/>
    <w:rsid w:val="008633EA"/>
    <w:rsid w:val="00863921"/>
    <w:rsid w:val="00863CB1"/>
    <w:rsid w:val="00867C95"/>
    <w:rsid w:val="00870187"/>
    <w:rsid w:val="00870EB8"/>
    <w:rsid w:val="00871708"/>
    <w:rsid w:val="00871E76"/>
    <w:rsid w:val="0087228A"/>
    <w:rsid w:val="00872711"/>
    <w:rsid w:val="00872D09"/>
    <w:rsid w:val="00873780"/>
    <w:rsid w:val="00873B6A"/>
    <w:rsid w:val="00875841"/>
    <w:rsid w:val="00875A3A"/>
    <w:rsid w:val="008761D9"/>
    <w:rsid w:val="0087702F"/>
    <w:rsid w:val="00877238"/>
    <w:rsid w:val="00877863"/>
    <w:rsid w:val="00881A3C"/>
    <w:rsid w:val="00881F43"/>
    <w:rsid w:val="00883361"/>
    <w:rsid w:val="00883A29"/>
    <w:rsid w:val="00884682"/>
    <w:rsid w:val="0088537E"/>
    <w:rsid w:val="008860DE"/>
    <w:rsid w:val="00890F63"/>
    <w:rsid w:val="008929CF"/>
    <w:rsid w:val="0089315A"/>
    <w:rsid w:val="0089327E"/>
    <w:rsid w:val="0089691A"/>
    <w:rsid w:val="0089759B"/>
    <w:rsid w:val="00897B4E"/>
    <w:rsid w:val="008A0F2E"/>
    <w:rsid w:val="008A17AB"/>
    <w:rsid w:val="008A1EDC"/>
    <w:rsid w:val="008A35F9"/>
    <w:rsid w:val="008A6BE6"/>
    <w:rsid w:val="008A6FB6"/>
    <w:rsid w:val="008B0391"/>
    <w:rsid w:val="008B0B4C"/>
    <w:rsid w:val="008B113C"/>
    <w:rsid w:val="008B1B5F"/>
    <w:rsid w:val="008B1B74"/>
    <w:rsid w:val="008B1BF2"/>
    <w:rsid w:val="008B2A7B"/>
    <w:rsid w:val="008B2DC3"/>
    <w:rsid w:val="008B2EFE"/>
    <w:rsid w:val="008B2F13"/>
    <w:rsid w:val="008B3755"/>
    <w:rsid w:val="008B3B54"/>
    <w:rsid w:val="008B58B7"/>
    <w:rsid w:val="008B6E04"/>
    <w:rsid w:val="008B788A"/>
    <w:rsid w:val="008B7B31"/>
    <w:rsid w:val="008B7F8B"/>
    <w:rsid w:val="008C0B1F"/>
    <w:rsid w:val="008C30E5"/>
    <w:rsid w:val="008C32A2"/>
    <w:rsid w:val="008C3318"/>
    <w:rsid w:val="008C3D48"/>
    <w:rsid w:val="008C3EB0"/>
    <w:rsid w:val="008C3ED9"/>
    <w:rsid w:val="008C525E"/>
    <w:rsid w:val="008C63BD"/>
    <w:rsid w:val="008C656A"/>
    <w:rsid w:val="008C6A87"/>
    <w:rsid w:val="008C6C93"/>
    <w:rsid w:val="008C72E9"/>
    <w:rsid w:val="008C763B"/>
    <w:rsid w:val="008C7960"/>
    <w:rsid w:val="008C7F39"/>
    <w:rsid w:val="008D05E8"/>
    <w:rsid w:val="008D0766"/>
    <w:rsid w:val="008D07CB"/>
    <w:rsid w:val="008D0FA6"/>
    <w:rsid w:val="008D1BE6"/>
    <w:rsid w:val="008D3CA0"/>
    <w:rsid w:val="008D750A"/>
    <w:rsid w:val="008D7757"/>
    <w:rsid w:val="008E2331"/>
    <w:rsid w:val="008E299C"/>
    <w:rsid w:val="008E39A3"/>
    <w:rsid w:val="008E422E"/>
    <w:rsid w:val="008E4A1A"/>
    <w:rsid w:val="008E5152"/>
    <w:rsid w:val="008E6787"/>
    <w:rsid w:val="008E6814"/>
    <w:rsid w:val="008E7354"/>
    <w:rsid w:val="008E7F55"/>
    <w:rsid w:val="008F09B6"/>
    <w:rsid w:val="008F0AF2"/>
    <w:rsid w:val="008F14FC"/>
    <w:rsid w:val="008F222C"/>
    <w:rsid w:val="008F2E85"/>
    <w:rsid w:val="008F31E3"/>
    <w:rsid w:val="008F40B9"/>
    <w:rsid w:val="008F4327"/>
    <w:rsid w:val="008F57C2"/>
    <w:rsid w:val="008F5846"/>
    <w:rsid w:val="008F613A"/>
    <w:rsid w:val="009006F7"/>
    <w:rsid w:val="00901FBA"/>
    <w:rsid w:val="00902F52"/>
    <w:rsid w:val="0090309E"/>
    <w:rsid w:val="009032DB"/>
    <w:rsid w:val="009041C2"/>
    <w:rsid w:val="009043B3"/>
    <w:rsid w:val="00904A65"/>
    <w:rsid w:val="009058B4"/>
    <w:rsid w:val="00905EDB"/>
    <w:rsid w:val="0090626D"/>
    <w:rsid w:val="00906DD8"/>
    <w:rsid w:val="00912927"/>
    <w:rsid w:val="00912F5C"/>
    <w:rsid w:val="00913522"/>
    <w:rsid w:val="00913B1A"/>
    <w:rsid w:val="0091620A"/>
    <w:rsid w:val="00917332"/>
    <w:rsid w:val="0092170D"/>
    <w:rsid w:val="00921C43"/>
    <w:rsid w:val="00922A86"/>
    <w:rsid w:val="00923408"/>
    <w:rsid w:val="00924516"/>
    <w:rsid w:val="00924A02"/>
    <w:rsid w:val="009311F7"/>
    <w:rsid w:val="00931347"/>
    <w:rsid w:val="00931539"/>
    <w:rsid w:val="009337F4"/>
    <w:rsid w:val="00933A45"/>
    <w:rsid w:val="009351A5"/>
    <w:rsid w:val="009352F1"/>
    <w:rsid w:val="00937106"/>
    <w:rsid w:val="00937996"/>
    <w:rsid w:val="00937ECC"/>
    <w:rsid w:val="00937FA5"/>
    <w:rsid w:val="00940482"/>
    <w:rsid w:val="009405CD"/>
    <w:rsid w:val="009414CB"/>
    <w:rsid w:val="009415F6"/>
    <w:rsid w:val="00942224"/>
    <w:rsid w:val="009424EB"/>
    <w:rsid w:val="0094267B"/>
    <w:rsid w:val="00942681"/>
    <w:rsid w:val="00943AE3"/>
    <w:rsid w:val="0094590C"/>
    <w:rsid w:val="00950541"/>
    <w:rsid w:val="009508FC"/>
    <w:rsid w:val="00951CC6"/>
    <w:rsid w:val="00952146"/>
    <w:rsid w:val="009524EC"/>
    <w:rsid w:val="009543E6"/>
    <w:rsid w:val="00960350"/>
    <w:rsid w:val="00960A03"/>
    <w:rsid w:val="00960C76"/>
    <w:rsid w:val="009620CF"/>
    <w:rsid w:val="00962FBA"/>
    <w:rsid w:val="00963057"/>
    <w:rsid w:val="0096308E"/>
    <w:rsid w:val="00963B9B"/>
    <w:rsid w:val="00964163"/>
    <w:rsid w:val="00964395"/>
    <w:rsid w:val="009643A0"/>
    <w:rsid w:val="00964DFE"/>
    <w:rsid w:val="009653C9"/>
    <w:rsid w:val="00966B00"/>
    <w:rsid w:val="0096753D"/>
    <w:rsid w:val="00967CE9"/>
    <w:rsid w:val="00967E4E"/>
    <w:rsid w:val="00970500"/>
    <w:rsid w:val="00970F80"/>
    <w:rsid w:val="00971693"/>
    <w:rsid w:val="009718C2"/>
    <w:rsid w:val="00971D4F"/>
    <w:rsid w:val="0097272A"/>
    <w:rsid w:val="00972788"/>
    <w:rsid w:val="009734D7"/>
    <w:rsid w:val="00974245"/>
    <w:rsid w:val="00974AD4"/>
    <w:rsid w:val="00975CB3"/>
    <w:rsid w:val="00975D42"/>
    <w:rsid w:val="009762B7"/>
    <w:rsid w:val="00976DCB"/>
    <w:rsid w:val="00977C16"/>
    <w:rsid w:val="00977D10"/>
    <w:rsid w:val="009816DB"/>
    <w:rsid w:val="00982AE8"/>
    <w:rsid w:val="00982E6A"/>
    <w:rsid w:val="009831D0"/>
    <w:rsid w:val="0098320D"/>
    <w:rsid w:val="009841B8"/>
    <w:rsid w:val="009854D3"/>
    <w:rsid w:val="009863D5"/>
    <w:rsid w:val="00986E03"/>
    <w:rsid w:val="00987044"/>
    <w:rsid w:val="00987172"/>
    <w:rsid w:val="00987F24"/>
    <w:rsid w:val="00990E0B"/>
    <w:rsid w:val="00991336"/>
    <w:rsid w:val="00991926"/>
    <w:rsid w:val="00994004"/>
    <w:rsid w:val="00994379"/>
    <w:rsid w:val="009949EB"/>
    <w:rsid w:val="00995C69"/>
    <w:rsid w:val="00996FEA"/>
    <w:rsid w:val="00997BA2"/>
    <w:rsid w:val="009A0942"/>
    <w:rsid w:val="009A0F3F"/>
    <w:rsid w:val="009A1F6E"/>
    <w:rsid w:val="009A29ED"/>
    <w:rsid w:val="009A3A07"/>
    <w:rsid w:val="009A3C51"/>
    <w:rsid w:val="009A4834"/>
    <w:rsid w:val="009A4A19"/>
    <w:rsid w:val="009A4ACE"/>
    <w:rsid w:val="009A4B2B"/>
    <w:rsid w:val="009A59BE"/>
    <w:rsid w:val="009A5C3D"/>
    <w:rsid w:val="009A5F89"/>
    <w:rsid w:val="009A6582"/>
    <w:rsid w:val="009A6D5F"/>
    <w:rsid w:val="009A7F96"/>
    <w:rsid w:val="009B0390"/>
    <w:rsid w:val="009B0BE6"/>
    <w:rsid w:val="009B2461"/>
    <w:rsid w:val="009B2B12"/>
    <w:rsid w:val="009B4975"/>
    <w:rsid w:val="009B646E"/>
    <w:rsid w:val="009B6F9B"/>
    <w:rsid w:val="009B6FC3"/>
    <w:rsid w:val="009B734D"/>
    <w:rsid w:val="009B7377"/>
    <w:rsid w:val="009B741D"/>
    <w:rsid w:val="009B79EC"/>
    <w:rsid w:val="009C20CD"/>
    <w:rsid w:val="009C3B2F"/>
    <w:rsid w:val="009C3E29"/>
    <w:rsid w:val="009C5393"/>
    <w:rsid w:val="009C7C20"/>
    <w:rsid w:val="009D068A"/>
    <w:rsid w:val="009D0D75"/>
    <w:rsid w:val="009D13D6"/>
    <w:rsid w:val="009D28E6"/>
    <w:rsid w:val="009D3FBC"/>
    <w:rsid w:val="009D4B43"/>
    <w:rsid w:val="009D4D94"/>
    <w:rsid w:val="009D519F"/>
    <w:rsid w:val="009D6B84"/>
    <w:rsid w:val="009D6D6E"/>
    <w:rsid w:val="009D7098"/>
    <w:rsid w:val="009D72CF"/>
    <w:rsid w:val="009D7428"/>
    <w:rsid w:val="009E0E17"/>
    <w:rsid w:val="009E1881"/>
    <w:rsid w:val="009E1AE1"/>
    <w:rsid w:val="009E1B58"/>
    <w:rsid w:val="009E3166"/>
    <w:rsid w:val="009E4A4D"/>
    <w:rsid w:val="009E4FF5"/>
    <w:rsid w:val="009E509A"/>
    <w:rsid w:val="009E5AD5"/>
    <w:rsid w:val="009E5BB7"/>
    <w:rsid w:val="009E6A62"/>
    <w:rsid w:val="009E7FC1"/>
    <w:rsid w:val="009F0184"/>
    <w:rsid w:val="009F0B73"/>
    <w:rsid w:val="009F0E95"/>
    <w:rsid w:val="009F10F8"/>
    <w:rsid w:val="009F18AF"/>
    <w:rsid w:val="009F2113"/>
    <w:rsid w:val="009F2BF6"/>
    <w:rsid w:val="009F3E67"/>
    <w:rsid w:val="009F462E"/>
    <w:rsid w:val="009F4C50"/>
    <w:rsid w:val="009F54B1"/>
    <w:rsid w:val="009F6371"/>
    <w:rsid w:val="009F64FF"/>
    <w:rsid w:val="009F66BC"/>
    <w:rsid w:val="009F67B7"/>
    <w:rsid w:val="009F75D7"/>
    <w:rsid w:val="00A00B1A"/>
    <w:rsid w:val="00A00CA8"/>
    <w:rsid w:val="00A018EF"/>
    <w:rsid w:val="00A03262"/>
    <w:rsid w:val="00A06DEE"/>
    <w:rsid w:val="00A079DF"/>
    <w:rsid w:val="00A1166F"/>
    <w:rsid w:val="00A11A56"/>
    <w:rsid w:val="00A12533"/>
    <w:rsid w:val="00A12EFB"/>
    <w:rsid w:val="00A12FED"/>
    <w:rsid w:val="00A13B7A"/>
    <w:rsid w:val="00A13CC3"/>
    <w:rsid w:val="00A147CF"/>
    <w:rsid w:val="00A14BBF"/>
    <w:rsid w:val="00A230E1"/>
    <w:rsid w:val="00A2320F"/>
    <w:rsid w:val="00A235AF"/>
    <w:rsid w:val="00A2400A"/>
    <w:rsid w:val="00A2414A"/>
    <w:rsid w:val="00A242F6"/>
    <w:rsid w:val="00A24974"/>
    <w:rsid w:val="00A24BEB"/>
    <w:rsid w:val="00A257FC"/>
    <w:rsid w:val="00A26D46"/>
    <w:rsid w:val="00A33021"/>
    <w:rsid w:val="00A34033"/>
    <w:rsid w:val="00A34520"/>
    <w:rsid w:val="00A34CCB"/>
    <w:rsid w:val="00A34DC3"/>
    <w:rsid w:val="00A35424"/>
    <w:rsid w:val="00A35786"/>
    <w:rsid w:val="00A362B8"/>
    <w:rsid w:val="00A36FFE"/>
    <w:rsid w:val="00A37BBB"/>
    <w:rsid w:val="00A37CA1"/>
    <w:rsid w:val="00A40543"/>
    <w:rsid w:val="00A41449"/>
    <w:rsid w:val="00A4220A"/>
    <w:rsid w:val="00A43AB8"/>
    <w:rsid w:val="00A441FF"/>
    <w:rsid w:val="00A44383"/>
    <w:rsid w:val="00A44DBE"/>
    <w:rsid w:val="00A456F6"/>
    <w:rsid w:val="00A46B04"/>
    <w:rsid w:val="00A46B21"/>
    <w:rsid w:val="00A472F1"/>
    <w:rsid w:val="00A4761A"/>
    <w:rsid w:val="00A5095C"/>
    <w:rsid w:val="00A50C42"/>
    <w:rsid w:val="00A513BE"/>
    <w:rsid w:val="00A52F12"/>
    <w:rsid w:val="00A54641"/>
    <w:rsid w:val="00A558E9"/>
    <w:rsid w:val="00A609BD"/>
    <w:rsid w:val="00A60E79"/>
    <w:rsid w:val="00A61AAB"/>
    <w:rsid w:val="00A625E9"/>
    <w:rsid w:val="00A62652"/>
    <w:rsid w:val="00A6421C"/>
    <w:rsid w:val="00A6456A"/>
    <w:rsid w:val="00A65E41"/>
    <w:rsid w:val="00A66131"/>
    <w:rsid w:val="00A6628B"/>
    <w:rsid w:val="00A66574"/>
    <w:rsid w:val="00A66FCF"/>
    <w:rsid w:val="00A7196D"/>
    <w:rsid w:val="00A71F52"/>
    <w:rsid w:val="00A73F34"/>
    <w:rsid w:val="00A74C7C"/>
    <w:rsid w:val="00A75DDD"/>
    <w:rsid w:val="00A767E5"/>
    <w:rsid w:val="00A768A1"/>
    <w:rsid w:val="00A77336"/>
    <w:rsid w:val="00A80BE0"/>
    <w:rsid w:val="00A8202D"/>
    <w:rsid w:val="00A828DD"/>
    <w:rsid w:val="00A8290B"/>
    <w:rsid w:val="00A82F23"/>
    <w:rsid w:val="00A82F9E"/>
    <w:rsid w:val="00A83840"/>
    <w:rsid w:val="00A84767"/>
    <w:rsid w:val="00A84FCA"/>
    <w:rsid w:val="00A85F8D"/>
    <w:rsid w:val="00A90B23"/>
    <w:rsid w:val="00A910A3"/>
    <w:rsid w:val="00A926CD"/>
    <w:rsid w:val="00A9364A"/>
    <w:rsid w:val="00A944D5"/>
    <w:rsid w:val="00A950E1"/>
    <w:rsid w:val="00A950FC"/>
    <w:rsid w:val="00A9531E"/>
    <w:rsid w:val="00A95A13"/>
    <w:rsid w:val="00A9605F"/>
    <w:rsid w:val="00A969B1"/>
    <w:rsid w:val="00A97D05"/>
    <w:rsid w:val="00A97FEF"/>
    <w:rsid w:val="00AA1674"/>
    <w:rsid w:val="00AA1745"/>
    <w:rsid w:val="00AA2EB1"/>
    <w:rsid w:val="00AA45CE"/>
    <w:rsid w:val="00AA580A"/>
    <w:rsid w:val="00AA639D"/>
    <w:rsid w:val="00AA70D3"/>
    <w:rsid w:val="00AA7C64"/>
    <w:rsid w:val="00AB03A6"/>
    <w:rsid w:val="00AB1E5C"/>
    <w:rsid w:val="00AB201B"/>
    <w:rsid w:val="00AB242A"/>
    <w:rsid w:val="00AB2482"/>
    <w:rsid w:val="00AB303F"/>
    <w:rsid w:val="00AB44B7"/>
    <w:rsid w:val="00AB5502"/>
    <w:rsid w:val="00AB723B"/>
    <w:rsid w:val="00AB7F19"/>
    <w:rsid w:val="00AC08FA"/>
    <w:rsid w:val="00AC1388"/>
    <w:rsid w:val="00AC2CD5"/>
    <w:rsid w:val="00AC3165"/>
    <w:rsid w:val="00AC3563"/>
    <w:rsid w:val="00AC6B96"/>
    <w:rsid w:val="00AD01EC"/>
    <w:rsid w:val="00AD0D85"/>
    <w:rsid w:val="00AD232A"/>
    <w:rsid w:val="00AD2583"/>
    <w:rsid w:val="00AD432B"/>
    <w:rsid w:val="00AD49A3"/>
    <w:rsid w:val="00AD4A3D"/>
    <w:rsid w:val="00AD5118"/>
    <w:rsid w:val="00AD628C"/>
    <w:rsid w:val="00AD66DC"/>
    <w:rsid w:val="00AD67F2"/>
    <w:rsid w:val="00AD7595"/>
    <w:rsid w:val="00AE0196"/>
    <w:rsid w:val="00AE021D"/>
    <w:rsid w:val="00AE09C6"/>
    <w:rsid w:val="00AE2293"/>
    <w:rsid w:val="00AE3269"/>
    <w:rsid w:val="00AE3BA9"/>
    <w:rsid w:val="00AE3C94"/>
    <w:rsid w:val="00AE641D"/>
    <w:rsid w:val="00AE7400"/>
    <w:rsid w:val="00AE74C9"/>
    <w:rsid w:val="00AE758D"/>
    <w:rsid w:val="00AF00AB"/>
    <w:rsid w:val="00AF00C2"/>
    <w:rsid w:val="00AF07C3"/>
    <w:rsid w:val="00AF126A"/>
    <w:rsid w:val="00AF2A2B"/>
    <w:rsid w:val="00AF2DB8"/>
    <w:rsid w:val="00AF43A0"/>
    <w:rsid w:val="00AF4871"/>
    <w:rsid w:val="00AF51BE"/>
    <w:rsid w:val="00AF55AB"/>
    <w:rsid w:val="00AF5905"/>
    <w:rsid w:val="00AF5D74"/>
    <w:rsid w:val="00AF5FA5"/>
    <w:rsid w:val="00AF7011"/>
    <w:rsid w:val="00AF7632"/>
    <w:rsid w:val="00AF7AFC"/>
    <w:rsid w:val="00B01814"/>
    <w:rsid w:val="00B037A9"/>
    <w:rsid w:val="00B04942"/>
    <w:rsid w:val="00B04950"/>
    <w:rsid w:val="00B04E54"/>
    <w:rsid w:val="00B0618B"/>
    <w:rsid w:val="00B11218"/>
    <w:rsid w:val="00B11AAC"/>
    <w:rsid w:val="00B11ABB"/>
    <w:rsid w:val="00B13DE8"/>
    <w:rsid w:val="00B13E9D"/>
    <w:rsid w:val="00B15A3F"/>
    <w:rsid w:val="00B15C93"/>
    <w:rsid w:val="00B16424"/>
    <w:rsid w:val="00B164E1"/>
    <w:rsid w:val="00B1726F"/>
    <w:rsid w:val="00B177C5"/>
    <w:rsid w:val="00B205CF"/>
    <w:rsid w:val="00B20687"/>
    <w:rsid w:val="00B20F6D"/>
    <w:rsid w:val="00B21658"/>
    <w:rsid w:val="00B23E75"/>
    <w:rsid w:val="00B244D3"/>
    <w:rsid w:val="00B244F9"/>
    <w:rsid w:val="00B25E64"/>
    <w:rsid w:val="00B27D0C"/>
    <w:rsid w:val="00B31E8C"/>
    <w:rsid w:val="00B32103"/>
    <w:rsid w:val="00B32474"/>
    <w:rsid w:val="00B32E3D"/>
    <w:rsid w:val="00B37088"/>
    <w:rsid w:val="00B37695"/>
    <w:rsid w:val="00B40A01"/>
    <w:rsid w:val="00B437F0"/>
    <w:rsid w:val="00B43BFF"/>
    <w:rsid w:val="00B44E5E"/>
    <w:rsid w:val="00B46754"/>
    <w:rsid w:val="00B47BA7"/>
    <w:rsid w:val="00B50016"/>
    <w:rsid w:val="00B51DE5"/>
    <w:rsid w:val="00B52158"/>
    <w:rsid w:val="00B521BC"/>
    <w:rsid w:val="00B5370A"/>
    <w:rsid w:val="00B53814"/>
    <w:rsid w:val="00B5485A"/>
    <w:rsid w:val="00B54F03"/>
    <w:rsid w:val="00B5511A"/>
    <w:rsid w:val="00B55ED0"/>
    <w:rsid w:val="00B5604A"/>
    <w:rsid w:val="00B56D89"/>
    <w:rsid w:val="00B57F5A"/>
    <w:rsid w:val="00B6061B"/>
    <w:rsid w:val="00B6072F"/>
    <w:rsid w:val="00B61290"/>
    <w:rsid w:val="00B61AC8"/>
    <w:rsid w:val="00B64BCE"/>
    <w:rsid w:val="00B6517F"/>
    <w:rsid w:val="00B6522F"/>
    <w:rsid w:val="00B655CA"/>
    <w:rsid w:val="00B66988"/>
    <w:rsid w:val="00B66A4E"/>
    <w:rsid w:val="00B675FF"/>
    <w:rsid w:val="00B70783"/>
    <w:rsid w:val="00B71034"/>
    <w:rsid w:val="00B71C00"/>
    <w:rsid w:val="00B72088"/>
    <w:rsid w:val="00B720EB"/>
    <w:rsid w:val="00B724E8"/>
    <w:rsid w:val="00B72D36"/>
    <w:rsid w:val="00B74609"/>
    <w:rsid w:val="00B74F94"/>
    <w:rsid w:val="00B75A3F"/>
    <w:rsid w:val="00B76087"/>
    <w:rsid w:val="00B76207"/>
    <w:rsid w:val="00B76992"/>
    <w:rsid w:val="00B81EF5"/>
    <w:rsid w:val="00B82299"/>
    <w:rsid w:val="00B8370E"/>
    <w:rsid w:val="00B8405F"/>
    <w:rsid w:val="00B861BD"/>
    <w:rsid w:val="00B86EC9"/>
    <w:rsid w:val="00B87688"/>
    <w:rsid w:val="00B87CC0"/>
    <w:rsid w:val="00B905CE"/>
    <w:rsid w:val="00B90723"/>
    <w:rsid w:val="00B91457"/>
    <w:rsid w:val="00B91C5D"/>
    <w:rsid w:val="00B920DA"/>
    <w:rsid w:val="00B92ED9"/>
    <w:rsid w:val="00B931F5"/>
    <w:rsid w:val="00B93657"/>
    <w:rsid w:val="00B9394A"/>
    <w:rsid w:val="00B9496D"/>
    <w:rsid w:val="00B94B24"/>
    <w:rsid w:val="00B95769"/>
    <w:rsid w:val="00BA1F95"/>
    <w:rsid w:val="00BA248D"/>
    <w:rsid w:val="00BA29D5"/>
    <w:rsid w:val="00BA31CE"/>
    <w:rsid w:val="00BA4521"/>
    <w:rsid w:val="00BA45ED"/>
    <w:rsid w:val="00BA471A"/>
    <w:rsid w:val="00BA5448"/>
    <w:rsid w:val="00BA618A"/>
    <w:rsid w:val="00BA72C8"/>
    <w:rsid w:val="00BA7592"/>
    <w:rsid w:val="00BB07BF"/>
    <w:rsid w:val="00BB0C2C"/>
    <w:rsid w:val="00BB0EC7"/>
    <w:rsid w:val="00BB1573"/>
    <w:rsid w:val="00BB248B"/>
    <w:rsid w:val="00BB3125"/>
    <w:rsid w:val="00BB3FC4"/>
    <w:rsid w:val="00BB4979"/>
    <w:rsid w:val="00BB58B4"/>
    <w:rsid w:val="00BB59F1"/>
    <w:rsid w:val="00BB61C4"/>
    <w:rsid w:val="00BB77A9"/>
    <w:rsid w:val="00BB7B2F"/>
    <w:rsid w:val="00BB7BA1"/>
    <w:rsid w:val="00BB7EE2"/>
    <w:rsid w:val="00BC0827"/>
    <w:rsid w:val="00BC13E6"/>
    <w:rsid w:val="00BC1995"/>
    <w:rsid w:val="00BC20A6"/>
    <w:rsid w:val="00BC3728"/>
    <w:rsid w:val="00BC383F"/>
    <w:rsid w:val="00BC455D"/>
    <w:rsid w:val="00BC568D"/>
    <w:rsid w:val="00BC73E1"/>
    <w:rsid w:val="00BD02E0"/>
    <w:rsid w:val="00BD1488"/>
    <w:rsid w:val="00BD16B9"/>
    <w:rsid w:val="00BD1FAA"/>
    <w:rsid w:val="00BD32AE"/>
    <w:rsid w:val="00BD3DA0"/>
    <w:rsid w:val="00BD54EA"/>
    <w:rsid w:val="00BD69E4"/>
    <w:rsid w:val="00BD7217"/>
    <w:rsid w:val="00BD75BB"/>
    <w:rsid w:val="00BE13B2"/>
    <w:rsid w:val="00BE2556"/>
    <w:rsid w:val="00BE2BA5"/>
    <w:rsid w:val="00BE30BA"/>
    <w:rsid w:val="00BE3136"/>
    <w:rsid w:val="00BE32B5"/>
    <w:rsid w:val="00BE357C"/>
    <w:rsid w:val="00BE4427"/>
    <w:rsid w:val="00BE45C1"/>
    <w:rsid w:val="00BE5D80"/>
    <w:rsid w:val="00BE6A9C"/>
    <w:rsid w:val="00BE727A"/>
    <w:rsid w:val="00BE7281"/>
    <w:rsid w:val="00BE7668"/>
    <w:rsid w:val="00BE7F88"/>
    <w:rsid w:val="00BF0118"/>
    <w:rsid w:val="00BF13DE"/>
    <w:rsid w:val="00BF17CF"/>
    <w:rsid w:val="00BF1E18"/>
    <w:rsid w:val="00BF1E42"/>
    <w:rsid w:val="00BF2C57"/>
    <w:rsid w:val="00BF2CCC"/>
    <w:rsid w:val="00BF3FF3"/>
    <w:rsid w:val="00BF5558"/>
    <w:rsid w:val="00BF65C3"/>
    <w:rsid w:val="00C00863"/>
    <w:rsid w:val="00C00AE0"/>
    <w:rsid w:val="00C01082"/>
    <w:rsid w:val="00C022D2"/>
    <w:rsid w:val="00C02439"/>
    <w:rsid w:val="00C02F60"/>
    <w:rsid w:val="00C032FF"/>
    <w:rsid w:val="00C039EA"/>
    <w:rsid w:val="00C06497"/>
    <w:rsid w:val="00C06EFC"/>
    <w:rsid w:val="00C07123"/>
    <w:rsid w:val="00C10016"/>
    <w:rsid w:val="00C10377"/>
    <w:rsid w:val="00C13A59"/>
    <w:rsid w:val="00C13EE5"/>
    <w:rsid w:val="00C1526F"/>
    <w:rsid w:val="00C17068"/>
    <w:rsid w:val="00C173F7"/>
    <w:rsid w:val="00C174F3"/>
    <w:rsid w:val="00C17522"/>
    <w:rsid w:val="00C17F47"/>
    <w:rsid w:val="00C2096C"/>
    <w:rsid w:val="00C20FDE"/>
    <w:rsid w:val="00C210F4"/>
    <w:rsid w:val="00C22495"/>
    <w:rsid w:val="00C226A3"/>
    <w:rsid w:val="00C22ACE"/>
    <w:rsid w:val="00C231E7"/>
    <w:rsid w:val="00C23A94"/>
    <w:rsid w:val="00C24633"/>
    <w:rsid w:val="00C25883"/>
    <w:rsid w:val="00C260FE"/>
    <w:rsid w:val="00C30CB2"/>
    <w:rsid w:val="00C30CEB"/>
    <w:rsid w:val="00C313D0"/>
    <w:rsid w:val="00C31FF5"/>
    <w:rsid w:val="00C33C16"/>
    <w:rsid w:val="00C33DF2"/>
    <w:rsid w:val="00C346E2"/>
    <w:rsid w:val="00C350A1"/>
    <w:rsid w:val="00C37E8D"/>
    <w:rsid w:val="00C41B98"/>
    <w:rsid w:val="00C42F6B"/>
    <w:rsid w:val="00C4422E"/>
    <w:rsid w:val="00C4555E"/>
    <w:rsid w:val="00C459FE"/>
    <w:rsid w:val="00C47185"/>
    <w:rsid w:val="00C478FE"/>
    <w:rsid w:val="00C505BC"/>
    <w:rsid w:val="00C50FC8"/>
    <w:rsid w:val="00C525C5"/>
    <w:rsid w:val="00C52EC8"/>
    <w:rsid w:val="00C5332B"/>
    <w:rsid w:val="00C542A0"/>
    <w:rsid w:val="00C54B6F"/>
    <w:rsid w:val="00C56D70"/>
    <w:rsid w:val="00C5752F"/>
    <w:rsid w:val="00C622A6"/>
    <w:rsid w:val="00C62D2B"/>
    <w:rsid w:val="00C63590"/>
    <w:rsid w:val="00C64C11"/>
    <w:rsid w:val="00C65105"/>
    <w:rsid w:val="00C65382"/>
    <w:rsid w:val="00C65D65"/>
    <w:rsid w:val="00C670A9"/>
    <w:rsid w:val="00C6733C"/>
    <w:rsid w:val="00C67EC5"/>
    <w:rsid w:val="00C70716"/>
    <w:rsid w:val="00C71052"/>
    <w:rsid w:val="00C726FE"/>
    <w:rsid w:val="00C73AE7"/>
    <w:rsid w:val="00C740C1"/>
    <w:rsid w:val="00C743DE"/>
    <w:rsid w:val="00C75D1D"/>
    <w:rsid w:val="00C75D26"/>
    <w:rsid w:val="00C76AC8"/>
    <w:rsid w:val="00C77359"/>
    <w:rsid w:val="00C7758F"/>
    <w:rsid w:val="00C776AA"/>
    <w:rsid w:val="00C778FD"/>
    <w:rsid w:val="00C77E15"/>
    <w:rsid w:val="00C80571"/>
    <w:rsid w:val="00C80760"/>
    <w:rsid w:val="00C81750"/>
    <w:rsid w:val="00C82189"/>
    <w:rsid w:val="00C830F1"/>
    <w:rsid w:val="00C846BF"/>
    <w:rsid w:val="00C84CB5"/>
    <w:rsid w:val="00C84CBB"/>
    <w:rsid w:val="00C87FEA"/>
    <w:rsid w:val="00C90935"/>
    <w:rsid w:val="00C91E7E"/>
    <w:rsid w:val="00C9217C"/>
    <w:rsid w:val="00C92F90"/>
    <w:rsid w:val="00C93148"/>
    <w:rsid w:val="00C9331E"/>
    <w:rsid w:val="00C9392C"/>
    <w:rsid w:val="00C9477C"/>
    <w:rsid w:val="00C95B32"/>
    <w:rsid w:val="00C95FF3"/>
    <w:rsid w:val="00C968C5"/>
    <w:rsid w:val="00C96C4B"/>
    <w:rsid w:val="00C9756D"/>
    <w:rsid w:val="00C977D6"/>
    <w:rsid w:val="00CA0BF0"/>
    <w:rsid w:val="00CA1D5F"/>
    <w:rsid w:val="00CA22DC"/>
    <w:rsid w:val="00CA24BD"/>
    <w:rsid w:val="00CA31F2"/>
    <w:rsid w:val="00CA353A"/>
    <w:rsid w:val="00CA3837"/>
    <w:rsid w:val="00CA4327"/>
    <w:rsid w:val="00CA5C2F"/>
    <w:rsid w:val="00CA6A43"/>
    <w:rsid w:val="00CA70A6"/>
    <w:rsid w:val="00CA7C24"/>
    <w:rsid w:val="00CB2124"/>
    <w:rsid w:val="00CB2692"/>
    <w:rsid w:val="00CB29F4"/>
    <w:rsid w:val="00CB2D06"/>
    <w:rsid w:val="00CB2DC2"/>
    <w:rsid w:val="00CB3117"/>
    <w:rsid w:val="00CB3386"/>
    <w:rsid w:val="00CB6390"/>
    <w:rsid w:val="00CB73A5"/>
    <w:rsid w:val="00CB7710"/>
    <w:rsid w:val="00CB7F0D"/>
    <w:rsid w:val="00CB7F21"/>
    <w:rsid w:val="00CC139F"/>
    <w:rsid w:val="00CC145F"/>
    <w:rsid w:val="00CC20E4"/>
    <w:rsid w:val="00CC2102"/>
    <w:rsid w:val="00CC2AD2"/>
    <w:rsid w:val="00CC2E7F"/>
    <w:rsid w:val="00CC34F8"/>
    <w:rsid w:val="00CC41FF"/>
    <w:rsid w:val="00CC4B4A"/>
    <w:rsid w:val="00CC4B77"/>
    <w:rsid w:val="00CC5F0F"/>
    <w:rsid w:val="00CC6039"/>
    <w:rsid w:val="00CC6097"/>
    <w:rsid w:val="00CC612E"/>
    <w:rsid w:val="00CC73E5"/>
    <w:rsid w:val="00CD0302"/>
    <w:rsid w:val="00CD1585"/>
    <w:rsid w:val="00CD1D34"/>
    <w:rsid w:val="00CD26EB"/>
    <w:rsid w:val="00CD36CB"/>
    <w:rsid w:val="00CD52A1"/>
    <w:rsid w:val="00CD5B33"/>
    <w:rsid w:val="00CD5F19"/>
    <w:rsid w:val="00CD7BDD"/>
    <w:rsid w:val="00CE00BF"/>
    <w:rsid w:val="00CE169B"/>
    <w:rsid w:val="00CE17B6"/>
    <w:rsid w:val="00CE1F9D"/>
    <w:rsid w:val="00CE2230"/>
    <w:rsid w:val="00CE2E2C"/>
    <w:rsid w:val="00CE4856"/>
    <w:rsid w:val="00CE5903"/>
    <w:rsid w:val="00CE692A"/>
    <w:rsid w:val="00CE727C"/>
    <w:rsid w:val="00CE7C05"/>
    <w:rsid w:val="00CF15E2"/>
    <w:rsid w:val="00CF23A9"/>
    <w:rsid w:val="00CF31E7"/>
    <w:rsid w:val="00CF362C"/>
    <w:rsid w:val="00CF3B31"/>
    <w:rsid w:val="00CF6033"/>
    <w:rsid w:val="00CF660B"/>
    <w:rsid w:val="00CF70CC"/>
    <w:rsid w:val="00CF77D0"/>
    <w:rsid w:val="00CF7E8D"/>
    <w:rsid w:val="00D0002E"/>
    <w:rsid w:val="00D00578"/>
    <w:rsid w:val="00D0092D"/>
    <w:rsid w:val="00D00AE9"/>
    <w:rsid w:val="00D00F5B"/>
    <w:rsid w:val="00D011F9"/>
    <w:rsid w:val="00D01276"/>
    <w:rsid w:val="00D015A2"/>
    <w:rsid w:val="00D01CB0"/>
    <w:rsid w:val="00D0233D"/>
    <w:rsid w:val="00D0248D"/>
    <w:rsid w:val="00D02D70"/>
    <w:rsid w:val="00D03407"/>
    <w:rsid w:val="00D05B46"/>
    <w:rsid w:val="00D05F9F"/>
    <w:rsid w:val="00D069F1"/>
    <w:rsid w:val="00D06B0E"/>
    <w:rsid w:val="00D0761A"/>
    <w:rsid w:val="00D0769F"/>
    <w:rsid w:val="00D07728"/>
    <w:rsid w:val="00D100A8"/>
    <w:rsid w:val="00D11280"/>
    <w:rsid w:val="00D121AB"/>
    <w:rsid w:val="00D121DE"/>
    <w:rsid w:val="00D12297"/>
    <w:rsid w:val="00D12DB7"/>
    <w:rsid w:val="00D13DBE"/>
    <w:rsid w:val="00D159C6"/>
    <w:rsid w:val="00D17FD0"/>
    <w:rsid w:val="00D21093"/>
    <w:rsid w:val="00D21831"/>
    <w:rsid w:val="00D21901"/>
    <w:rsid w:val="00D22237"/>
    <w:rsid w:val="00D224F2"/>
    <w:rsid w:val="00D23164"/>
    <w:rsid w:val="00D2366F"/>
    <w:rsid w:val="00D237D6"/>
    <w:rsid w:val="00D24235"/>
    <w:rsid w:val="00D243B7"/>
    <w:rsid w:val="00D2578E"/>
    <w:rsid w:val="00D2595D"/>
    <w:rsid w:val="00D25DE8"/>
    <w:rsid w:val="00D26CFD"/>
    <w:rsid w:val="00D27735"/>
    <w:rsid w:val="00D279BF"/>
    <w:rsid w:val="00D307B8"/>
    <w:rsid w:val="00D31B68"/>
    <w:rsid w:val="00D338C7"/>
    <w:rsid w:val="00D33AF3"/>
    <w:rsid w:val="00D3404C"/>
    <w:rsid w:val="00D34377"/>
    <w:rsid w:val="00D348E4"/>
    <w:rsid w:val="00D3494D"/>
    <w:rsid w:val="00D34FA2"/>
    <w:rsid w:val="00D41804"/>
    <w:rsid w:val="00D429E4"/>
    <w:rsid w:val="00D42AF2"/>
    <w:rsid w:val="00D43818"/>
    <w:rsid w:val="00D43943"/>
    <w:rsid w:val="00D455F5"/>
    <w:rsid w:val="00D473D8"/>
    <w:rsid w:val="00D5071C"/>
    <w:rsid w:val="00D50DF9"/>
    <w:rsid w:val="00D5217B"/>
    <w:rsid w:val="00D5243C"/>
    <w:rsid w:val="00D52833"/>
    <w:rsid w:val="00D52E9A"/>
    <w:rsid w:val="00D54799"/>
    <w:rsid w:val="00D54B7D"/>
    <w:rsid w:val="00D554C7"/>
    <w:rsid w:val="00D55DBB"/>
    <w:rsid w:val="00D57155"/>
    <w:rsid w:val="00D572D4"/>
    <w:rsid w:val="00D57342"/>
    <w:rsid w:val="00D615AF"/>
    <w:rsid w:val="00D629C4"/>
    <w:rsid w:val="00D638E7"/>
    <w:rsid w:val="00D64821"/>
    <w:rsid w:val="00D65958"/>
    <w:rsid w:val="00D66068"/>
    <w:rsid w:val="00D661A6"/>
    <w:rsid w:val="00D679C7"/>
    <w:rsid w:val="00D7166C"/>
    <w:rsid w:val="00D719F9"/>
    <w:rsid w:val="00D71CBA"/>
    <w:rsid w:val="00D7236D"/>
    <w:rsid w:val="00D72EC3"/>
    <w:rsid w:val="00D741C1"/>
    <w:rsid w:val="00D75109"/>
    <w:rsid w:val="00D7554F"/>
    <w:rsid w:val="00D773EF"/>
    <w:rsid w:val="00D777A1"/>
    <w:rsid w:val="00D777BE"/>
    <w:rsid w:val="00D77B25"/>
    <w:rsid w:val="00D77CD8"/>
    <w:rsid w:val="00D8173D"/>
    <w:rsid w:val="00D81CAF"/>
    <w:rsid w:val="00D8468E"/>
    <w:rsid w:val="00D86939"/>
    <w:rsid w:val="00D90141"/>
    <w:rsid w:val="00D92B6B"/>
    <w:rsid w:val="00D9454D"/>
    <w:rsid w:val="00D95395"/>
    <w:rsid w:val="00D95AFB"/>
    <w:rsid w:val="00D964E2"/>
    <w:rsid w:val="00D975D0"/>
    <w:rsid w:val="00DA08A5"/>
    <w:rsid w:val="00DA0EC0"/>
    <w:rsid w:val="00DA13D8"/>
    <w:rsid w:val="00DA183A"/>
    <w:rsid w:val="00DA1989"/>
    <w:rsid w:val="00DA2F3C"/>
    <w:rsid w:val="00DA2F47"/>
    <w:rsid w:val="00DA325D"/>
    <w:rsid w:val="00DA479D"/>
    <w:rsid w:val="00DA4E3F"/>
    <w:rsid w:val="00DA5734"/>
    <w:rsid w:val="00DA6ADC"/>
    <w:rsid w:val="00DA6C33"/>
    <w:rsid w:val="00DB1847"/>
    <w:rsid w:val="00DB26B6"/>
    <w:rsid w:val="00DB31EE"/>
    <w:rsid w:val="00DB357E"/>
    <w:rsid w:val="00DB3A83"/>
    <w:rsid w:val="00DB52AC"/>
    <w:rsid w:val="00DB5B9B"/>
    <w:rsid w:val="00DB75CE"/>
    <w:rsid w:val="00DB7CFA"/>
    <w:rsid w:val="00DC1036"/>
    <w:rsid w:val="00DC1397"/>
    <w:rsid w:val="00DC168F"/>
    <w:rsid w:val="00DC169F"/>
    <w:rsid w:val="00DC2E91"/>
    <w:rsid w:val="00DC45D0"/>
    <w:rsid w:val="00DC52F4"/>
    <w:rsid w:val="00DC5343"/>
    <w:rsid w:val="00DC754C"/>
    <w:rsid w:val="00DC7612"/>
    <w:rsid w:val="00DC770C"/>
    <w:rsid w:val="00DC7981"/>
    <w:rsid w:val="00DC7B4A"/>
    <w:rsid w:val="00DC7C8D"/>
    <w:rsid w:val="00DD13B0"/>
    <w:rsid w:val="00DD1FB2"/>
    <w:rsid w:val="00DD22C0"/>
    <w:rsid w:val="00DD2F1E"/>
    <w:rsid w:val="00DD443E"/>
    <w:rsid w:val="00DD53CA"/>
    <w:rsid w:val="00DD7AEA"/>
    <w:rsid w:val="00DE053A"/>
    <w:rsid w:val="00DE189C"/>
    <w:rsid w:val="00DE1E38"/>
    <w:rsid w:val="00DE2547"/>
    <w:rsid w:val="00DE2D63"/>
    <w:rsid w:val="00DE3D0B"/>
    <w:rsid w:val="00DE4D90"/>
    <w:rsid w:val="00DE54EE"/>
    <w:rsid w:val="00DE6053"/>
    <w:rsid w:val="00DE60D4"/>
    <w:rsid w:val="00DE6CE2"/>
    <w:rsid w:val="00DF10AC"/>
    <w:rsid w:val="00DF19AE"/>
    <w:rsid w:val="00DF30A1"/>
    <w:rsid w:val="00DF4659"/>
    <w:rsid w:val="00DF4841"/>
    <w:rsid w:val="00DF685B"/>
    <w:rsid w:val="00DF7958"/>
    <w:rsid w:val="00DF7E4C"/>
    <w:rsid w:val="00E00193"/>
    <w:rsid w:val="00E0045D"/>
    <w:rsid w:val="00E0181C"/>
    <w:rsid w:val="00E018E7"/>
    <w:rsid w:val="00E02EFB"/>
    <w:rsid w:val="00E05141"/>
    <w:rsid w:val="00E11864"/>
    <w:rsid w:val="00E1216A"/>
    <w:rsid w:val="00E13D3C"/>
    <w:rsid w:val="00E14BDF"/>
    <w:rsid w:val="00E15B77"/>
    <w:rsid w:val="00E1601B"/>
    <w:rsid w:val="00E16F3D"/>
    <w:rsid w:val="00E17656"/>
    <w:rsid w:val="00E2168D"/>
    <w:rsid w:val="00E227BC"/>
    <w:rsid w:val="00E228C2"/>
    <w:rsid w:val="00E22C3B"/>
    <w:rsid w:val="00E260A9"/>
    <w:rsid w:val="00E26200"/>
    <w:rsid w:val="00E26770"/>
    <w:rsid w:val="00E303FA"/>
    <w:rsid w:val="00E30845"/>
    <w:rsid w:val="00E3235C"/>
    <w:rsid w:val="00E33787"/>
    <w:rsid w:val="00E337DD"/>
    <w:rsid w:val="00E33A48"/>
    <w:rsid w:val="00E34F41"/>
    <w:rsid w:val="00E356E5"/>
    <w:rsid w:val="00E35938"/>
    <w:rsid w:val="00E36299"/>
    <w:rsid w:val="00E3699D"/>
    <w:rsid w:val="00E36B3B"/>
    <w:rsid w:val="00E37939"/>
    <w:rsid w:val="00E405A6"/>
    <w:rsid w:val="00E40E98"/>
    <w:rsid w:val="00E41C87"/>
    <w:rsid w:val="00E42C44"/>
    <w:rsid w:val="00E42EDA"/>
    <w:rsid w:val="00E45220"/>
    <w:rsid w:val="00E47CF5"/>
    <w:rsid w:val="00E503BD"/>
    <w:rsid w:val="00E51751"/>
    <w:rsid w:val="00E51DB5"/>
    <w:rsid w:val="00E5280A"/>
    <w:rsid w:val="00E530B4"/>
    <w:rsid w:val="00E53E8A"/>
    <w:rsid w:val="00E553B5"/>
    <w:rsid w:val="00E55CC9"/>
    <w:rsid w:val="00E563E4"/>
    <w:rsid w:val="00E568AF"/>
    <w:rsid w:val="00E56D27"/>
    <w:rsid w:val="00E61021"/>
    <w:rsid w:val="00E61347"/>
    <w:rsid w:val="00E6241B"/>
    <w:rsid w:val="00E62A4D"/>
    <w:rsid w:val="00E62D91"/>
    <w:rsid w:val="00E637BD"/>
    <w:rsid w:val="00E64FFF"/>
    <w:rsid w:val="00E6566C"/>
    <w:rsid w:val="00E657BB"/>
    <w:rsid w:val="00E659E2"/>
    <w:rsid w:val="00E65F06"/>
    <w:rsid w:val="00E663A3"/>
    <w:rsid w:val="00E663F5"/>
    <w:rsid w:val="00E666FE"/>
    <w:rsid w:val="00E66A3B"/>
    <w:rsid w:val="00E66F86"/>
    <w:rsid w:val="00E672A7"/>
    <w:rsid w:val="00E67DF0"/>
    <w:rsid w:val="00E70EC2"/>
    <w:rsid w:val="00E71588"/>
    <w:rsid w:val="00E71723"/>
    <w:rsid w:val="00E71C60"/>
    <w:rsid w:val="00E720CC"/>
    <w:rsid w:val="00E7312B"/>
    <w:rsid w:val="00E7453B"/>
    <w:rsid w:val="00E748DD"/>
    <w:rsid w:val="00E752CF"/>
    <w:rsid w:val="00E76648"/>
    <w:rsid w:val="00E775C6"/>
    <w:rsid w:val="00E802FF"/>
    <w:rsid w:val="00E83419"/>
    <w:rsid w:val="00E83ADF"/>
    <w:rsid w:val="00E840B0"/>
    <w:rsid w:val="00E84A5B"/>
    <w:rsid w:val="00E8540C"/>
    <w:rsid w:val="00E86270"/>
    <w:rsid w:val="00E86350"/>
    <w:rsid w:val="00E86D8F"/>
    <w:rsid w:val="00E86E2C"/>
    <w:rsid w:val="00E87402"/>
    <w:rsid w:val="00E903FC"/>
    <w:rsid w:val="00E90BCB"/>
    <w:rsid w:val="00E915FB"/>
    <w:rsid w:val="00E92E52"/>
    <w:rsid w:val="00E930E7"/>
    <w:rsid w:val="00E93D9B"/>
    <w:rsid w:val="00E93F78"/>
    <w:rsid w:val="00E94564"/>
    <w:rsid w:val="00E94DD1"/>
    <w:rsid w:val="00E96EE1"/>
    <w:rsid w:val="00EA0469"/>
    <w:rsid w:val="00EA0F42"/>
    <w:rsid w:val="00EA19B7"/>
    <w:rsid w:val="00EA1C5F"/>
    <w:rsid w:val="00EA1E9D"/>
    <w:rsid w:val="00EA2265"/>
    <w:rsid w:val="00EA261C"/>
    <w:rsid w:val="00EA28C5"/>
    <w:rsid w:val="00EA33CD"/>
    <w:rsid w:val="00EA491B"/>
    <w:rsid w:val="00EA4A2D"/>
    <w:rsid w:val="00EA5A8D"/>
    <w:rsid w:val="00EA651B"/>
    <w:rsid w:val="00EA7125"/>
    <w:rsid w:val="00EA72D3"/>
    <w:rsid w:val="00EB0B1F"/>
    <w:rsid w:val="00EB0D7B"/>
    <w:rsid w:val="00EB1D7C"/>
    <w:rsid w:val="00EB23DC"/>
    <w:rsid w:val="00EB4EC2"/>
    <w:rsid w:val="00EB4FD3"/>
    <w:rsid w:val="00EB5ABA"/>
    <w:rsid w:val="00EB7581"/>
    <w:rsid w:val="00EC0EFE"/>
    <w:rsid w:val="00EC1A0B"/>
    <w:rsid w:val="00EC21D2"/>
    <w:rsid w:val="00EC2746"/>
    <w:rsid w:val="00EC278C"/>
    <w:rsid w:val="00EC3AF0"/>
    <w:rsid w:val="00EC6AC8"/>
    <w:rsid w:val="00EC6E99"/>
    <w:rsid w:val="00EC7870"/>
    <w:rsid w:val="00EC7D9A"/>
    <w:rsid w:val="00ED022B"/>
    <w:rsid w:val="00ED0E43"/>
    <w:rsid w:val="00ED2224"/>
    <w:rsid w:val="00ED2835"/>
    <w:rsid w:val="00ED3269"/>
    <w:rsid w:val="00ED3C1B"/>
    <w:rsid w:val="00ED4436"/>
    <w:rsid w:val="00ED4622"/>
    <w:rsid w:val="00ED5B61"/>
    <w:rsid w:val="00ED5CBE"/>
    <w:rsid w:val="00ED63CE"/>
    <w:rsid w:val="00ED679D"/>
    <w:rsid w:val="00ED72B8"/>
    <w:rsid w:val="00EE00C0"/>
    <w:rsid w:val="00EE1711"/>
    <w:rsid w:val="00EE18D6"/>
    <w:rsid w:val="00EE3678"/>
    <w:rsid w:val="00EE3889"/>
    <w:rsid w:val="00EE5A90"/>
    <w:rsid w:val="00EE7945"/>
    <w:rsid w:val="00EF01CB"/>
    <w:rsid w:val="00EF0277"/>
    <w:rsid w:val="00EF02B9"/>
    <w:rsid w:val="00EF0425"/>
    <w:rsid w:val="00EF1F0B"/>
    <w:rsid w:val="00EF2D6E"/>
    <w:rsid w:val="00EF390E"/>
    <w:rsid w:val="00EF3B1A"/>
    <w:rsid w:val="00EF4818"/>
    <w:rsid w:val="00EF5F43"/>
    <w:rsid w:val="00EF7BB5"/>
    <w:rsid w:val="00F005F2"/>
    <w:rsid w:val="00F00760"/>
    <w:rsid w:val="00F00E48"/>
    <w:rsid w:val="00F017B8"/>
    <w:rsid w:val="00F038CE"/>
    <w:rsid w:val="00F03DDF"/>
    <w:rsid w:val="00F041B1"/>
    <w:rsid w:val="00F04D05"/>
    <w:rsid w:val="00F0556A"/>
    <w:rsid w:val="00F0645D"/>
    <w:rsid w:val="00F075FD"/>
    <w:rsid w:val="00F07DBC"/>
    <w:rsid w:val="00F103A7"/>
    <w:rsid w:val="00F10DB3"/>
    <w:rsid w:val="00F11162"/>
    <w:rsid w:val="00F1271D"/>
    <w:rsid w:val="00F12A91"/>
    <w:rsid w:val="00F12AD6"/>
    <w:rsid w:val="00F13A3C"/>
    <w:rsid w:val="00F13DA7"/>
    <w:rsid w:val="00F14EC7"/>
    <w:rsid w:val="00F16622"/>
    <w:rsid w:val="00F16C7A"/>
    <w:rsid w:val="00F16E56"/>
    <w:rsid w:val="00F17217"/>
    <w:rsid w:val="00F1740A"/>
    <w:rsid w:val="00F2017B"/>
    <w:rsid w:val="00F20180"/>
    <w:rsid w:val="00F20416"/>
    <w:rsid w:val="00F21330"/>
    <w:rsid w:val="00F2176F"/>
    <w:rsid w:val="00F22088"/>
    <w:rsid w:val="00F2358E"/>
    <w:rsid w:val="00F24F80"/>
    <w:rsid w:val="00F27414"/>
    <w:rsid w:val="00F27F69"/>
    <w:rsid w:val="00F30824"/>
    <w:rsid w:val="00F30897"/>
    <w:rsid w:val="00F311F9"/>
    <w:rsid w:val="00F320A5"/>
    <w:rsid w:val="00F320E2"/>
    <w:rsid w:val="00F323DF"/>
    <w:rsid w:val="00F325A4"/>
    <w:rsid w:val="00F33069"/>
    <w:rsid w:val="00F331A6"/>
    <w:rsid w:val="00F35110"/>
    <w:rsid w:val="00F3544B"/>
    <w:rsid w:val="00F35782"/>
    <w:rsid w:val="00F36B72"/>
    <w:rsid w:val="00F36CC1"/>
    <w:rsid w:val="00F406E2"/>
    <w:rsid w:val="00F42C3D"/>
    <w:rsid w:val="00F43968"/>
    <w:rsid w:val="00F43DC5"/>
    <w:rsid w:val="00F4532D"/>
    <w:rsid w:val="00F45802"/>
    <w:rsid w:val="00F458ED"/>
    <w:rsid w:val="00F458FD"/>
    <w:rsid w:val="00F47BB9"/>
    <w:rsid w:val="00F50D8F"/>
    <w:rsid w:val="00F516C3"/>
    <w:rsid w:val="00F52CF2"/>
    <w:rsid w:val="00F53469"/>
    <w:rsid w:val="00F53590"/>
    <w:rsid w:val="00F538DF"/>
    <w:rsid w:val="00F53AFF"/>
    <w:rsid w:val="00F54E4B"/>
    <w:rsid w:val="00F55084"/>
    <w:rsid w:val="00F558E8"/>
    <w:rsid w:val="00F55E8C"/>
    <w:rsid w:val="00F56347"/>
    <w:rsid w:val="00F564FA"/>
    <w:rsid w:val="00F607F9"/>
    <w:rsid w:val="00F60D15"/>
    <w:rsid w:val="00F61562"/>
    <w:rsid w:val="00F61811"/>
    <w:rsid w:val="00F648F7"/>
    <w:rsid w:val="00F64E43"/>
    <w:rsid w:val="00F64EC0"/>
    <w:rsid w:val="00F65A59"/>
    <w:rsid w:val="00F66F04"/>
    <w:rsid w:val="00F729E0"/>
    <w:rsid w:val="00F75188"/>
    <w:rsid w:val="00F76DA5"/>
    <w:rsid w:val="00F77D25"/>
    <w:rsid w:val="00F77F61"/>
    <w:rsid w:val="00F77FA1"/>
    <w:rsid w:val="00F804B8"/>
    <w:rsid w:val="00F80B49"/>
    <w:rsid w:val="00F82101"/>
    <w:rsid w:val="00F835BB"/>
    <w:rsid w:val="00F83634"/>
    <w:rsid w:val="00F8458B"/>
    <w:rsid w:val="00F84710"/>
    <w:rsid w:val="00F86B66"/>
    <w:rsid w:val="00F87810"/>
    <w:rsid w:val="00F879CD"/>
    <w:rsid w:val="00F87C4B"/>
    <w:rsid w:val="00F9008E"/>
    <w:rsid w:val="00F90229"/>
    <w:rsid w:val="00F90A79"/>
    <w:rsid w:val="00F91562"/>
    <w:rsid w:val="00F91B0F"/>
    <w:rsid w:val="00F92AFC"/>
    <w:rsid w:val="00F936DC"/>
    <w:rsid w:val="00F939BD"/>
    <w:rsid w:val="00F94466"/>
    <w:rsid w:val="00F953C3"/>
    <w:rsid w:val="00F958B9"/>
    <w:rsid w:val="00F95C4D"/>
    <w:rsid w:val="00F9607D"/>
    <w:rsid w:val="00FA0562"/>
    <w:rsid w:val="00FA08E7"/>
    <w:rsid w:val="00FA18CD"/>
    <w:rsid w:val="00FA42AC"/>
    <w:rsid w:val="00FA4709"/>
    <w:rsid w:val="00FA474E"/>
    <w:rsid w:val="00FA4EB0"/>
    <w:rsid w:val="00FA7B03"/>
    <w:rsid w:val="00FA7C46"/>
    <w:rsid w:val="00FB0D57"/>
    <w:rsid w:val="00FB0F47"/>
    <w:rsid w:val="00FB0FE5"/>
    <w:rsid w:val="00FB15C3"/>
    <w:rsid w:val="00FB40F0"/>
    <w:rsid w:val="00FB4417"/>
    <w:rsid w:val="00FB466F"/>
    <w:rsid w:val="00FB4A83"/>
    <w:rsid w:val="00FB6B9D"/>
    <w:rsid w:val="00FB71ED"/>
    <w:rsid w:val="00FB7355"/>
    <w:rsid w:val="00FB74EA"/>
    <w:rsid w:val="00FB7A47"/>
    <w:rsid w:val="00FB7B99"/>
    <w:rsid w:val="00FC03A0"/>
    <w:rsid w:val="00FC0AAC"/>
    <w:rsid w:val="00FC1A05"/>
    <w:rsid w:val="00FC1E85"/>
    <w:rsid w:val="00FC461A"/>
    <w:rsid w:val="00FC463F"/>
    <w:rsid w:val="00FC4A1C"/>
    <w:rsid w:val="00FC5253"/>
    <w:rsid w:val="00FC5C68"/>
    <w:rsid w:val="00FC6372"/>
    <w:rsid w:val="00FC661C"/>
    <w:rsid w:val="00FC6B7A"/>
    <w:rsid w:val="00FC7D21"/>
    <w:rsid w:val="00FD04EB"/>
    <w:rsid w:val="00FD1FEB"/>
    <w:rsid w:val="00FD25B6"/>
    <w:rsid w:val="00FD3440"/>
    <w:rsid w:val="00FD3FCB"/>
    <w:rsid w:val="00FD564F"/>
    <w:rsid w:val="00FD6291"/>
    <w:rsid w:val="00FE1901"/>
    <w:rsid w:val="00FE2416"/>
    <w:rsid w:val="00FE2CE0"/>
    <w:rsid w:val="00FE2F02"/>
    <w:rsid w:val="00FE3415"/>
    <w:rsid w:val="00FE385F"/>
    <w:rsid w:val="00FE3B85"/>
    <w:rsid w:val="00FE3BDF"/>
    <w:rsid w:val="00FE68A1"/>
    <w:rsid w:val="00FE7483"/>
    <w:rsid w:val="00FF021A"/>
    <w:rsid w:val="00FF0CAB"/>
    <w:rsid w:val="00FF0DA3"/>
    <w:rsid w:val="00FF11BC"/>
    <w:rsid w:val="00FF15A3"/>
    <w:rsid w:val="00FF1785"/>
    <w:rsid w:val="00FF22B8"/>
    <w:rsid w:val="00FF2B37"/>
    <w:rsid w:val="00FF3FC1"/>
    <w:rsid w:val="00FF45E4"/>
    <w:rsid w:val="00FF4615"/>
    <w:rsid w:val="00FF4853"/>
    <w:rsid w:val="00FF4B62"/>
    <w:rsid w:val="00FF52DA"/>
    <w:rsid w:val="00FF54AB"/>
    <w:rsid w:val="00FF59EB"/>
    <w:rsid w:val="00FF6C32"/>
    <w:rsid w:val="00FF76AC"/>
    <w:rsid w:val="00FF7BF1"/>
    <w:rsid w:val="010F0B9C"/>
    <w:rsid w:val="0136732D"/>
    <w:rsid w:val="01A549EC"/>
    <w:rsid w:val="01AF4E03"/>
    <w:rsid w:val="01E756E0"/>
    <w:rsid w:val="024F294F"/>
    <w:rsid w:val="02C87B8C"/>
    <w:rsid w:val="02DF57A3"/>
    <w:rsid w:val="02E1776D"/>
    <w:rsid w:val="03B70FA8"/>
    <w:rsid w:val="03CB6061"/>
    <w:rsid w:val="03FE1039"/>
    <w:rsid w:val="042C4A18"/>
    <w:rsid w:val="043378BA"/>
    <w:rsid w:val="04374E9D"/>
    <w:rsid w:val="04416509"/>
    <w:rsid w:val="047B4077"/>
    <w:rsid w:val="049B394B"/>
    <w:rsid w:val="05E67351"/>
    <w:rsid w:val="0613005A"/>
    <w:rsid w:val="06680F78"/>
    <w:rsid w:val="067E7D72"/>
    <w:rsid w:val="06971026"/>
    <w:rsid w:val="06A376D0"/>
    <w:rsid w:val="06AF4634"/>
    <w:rsid w:val="06C73FA5"/>
    <w:rsid w:val="074326FE"/>
    <w:rsid w:val="07567044"/>
    <w:rsid w:val="079F5284"/>
    <w:rsid w:val="081A3456"/>
    <w:rsid w:val="082D5520"/>
    <w:rsid w:val="086474F2"/>
    <w:rsid w:val="088101F2"/>
    <w:rsid w:val="08852FCC"/>
    <w:rsid w:val="089619D2"/>
    <w:rsid w:val="08AB0AB5"/>
    <w:rsid w:val="08C554C9"/>
    <w:rsid w:val="08CF4E72"/>
    <w:rsid w:val="08ED4DCA"/>
    <w:rsid w:val="08F218EF"/>
    <w:rsid w:val="093E1DE2"/>
    <w:rsid w:val="09566BCA"/>
    <w:rsid w:val="096505D9"/>
    <w:rsid w:val="09DF42DA"/>
    <w:rsid w:val="0AC166A9"/>
    <w:rsid w:val="0B2542B0"/>
    <w:rsid w:val="0B6B0E04"/>
    <w:rsid w:val="0B9A1CAB"/>
    <w:rsid w:val="0B9D648B"/>
    <w:rsid w:val="0BD716A8"/>
    <w:rsid w:val="0BD87233"/>
    <w:rsid w:val="0BDC3C1A"/>
    <w:rsid w:val="0C756DEB"/>
    <w:rsid w:val="0C8F4BA9"/>
    <w:rsid w:val="0CDA7DF1"/>
    <w:rsid w:val="0D8A5736"/>
    <w:rsid w:val="0E34326E"/>
    <w:rsid w:val="0EB442B3"/>
    <w:rsid w:val="0EC204DC"/>
    <w:rsid w:val="0F1F3AF7"/>
    <w:rsid w:val="0F221857"/>
    <w:rsid w:val="0F357E7F"/>
    <w:rsid w:val="0F8F7909"/>
    <w:rsid w:val="0FE37E68"/>
    <w:rsid w:val="100276E3"/>
    <w:rsid w:val="104E0C63"/>
    <w:rsid w:val="10576AFF"/>
    <w:rsid w:val="10991687"/>
    <w:rsid w:val="10A02E54"/>
    <w:rsid w:val="10CE6C50"/>
    <w:rsid w:val="111E25C0"/>
    <w:rsid w:val="115E01DA"/>
    <w:rsid w:val="117B2B3A"/>
    <w:rsid w:val="118F08B5"/>
    <w:rsid w:val="11A93204"/>
    <w:rsid w:val="11F76665"/>
    <w:rsid w:val="12384502"/>
    <w:rsid w:val="12651D7D"/>
    <w:rsid w:val="13225579"/>
    <w:rsid w:val="133A3649"/>
    <w:rsid w:val="1347361C"/>
    <w:rsid w:val="134D7F02"/>
    <w:rsid w:val="15007661"/>
    <w:rsid w:val="151D16BE"/>
    <w:rsid w:val="154B2471"/>
    <w:rsid w:val="16422FCB"/>
    <w:rsid w:val="165C497F"/>
    <w:rsid w:val="16902854"/>
    <w:rsid w:val="16CF0391"/>
    <w:rsid w:val="16EB2510"/>
    <w:rsid w:val="170B2B80"/>
    <w:rsid w:val="174474F5"/>
    <w:rsid w:val="1758641F"/>
    <w:rsid w:val="178A1C8A"/>
    <w:rsid w:val="17B87FD1"/>
    <w:rsid w:val="17D27C88"/>
    <w:rsid w:val="17F77021"/>
    <w:rsid w:val="17FB6210"/>
    <w:rsid w:val="1847047D"/>
    <w:rsid w:val="188005C2"/>
    <w:rsid w:val="18AB3315"/>
    <w:rsid w:val="18B057C0"/>
    <w:rsid w:val="18D9015A"/>
    <w:rsid w:val="18F83638"/>
    <w:rsid w:val="19C31460"/>
    <w:rsid w:val="1A107A90"/>
    <w:rsid w:val="1A1F69B1"/>
    <w:rsid w:val="1A4810A7"/>
    <w:rsid w:val="1A851F3C"/>
    <w:rsid w:val="1AF07935"/>
    <w:rsid w:val="1AF274E7"/>
    <w:rsid w:val="1B346F98"/>
    <w:rsid w:val="1B9B4B82"/>
    <w:rsid w:val="1C1C6E28"/>
    <w:rsid w:val="1C2F2080"/>
    <w:rsid w:val="1C427C25"/>
    <w:rsid w:val="1C534DE0"/>
    <w:rsid w:val="1CA248C7"/>
    <w:rsid w:val="1D07760D"/>
    <w:rsid w:val="1D110334"/>
    <w:rsid w:val="1D424547"/>
    <w:rsid w:val="1D42763C"/>
    <w:rsid w:val="1D566525"/>
    <w:rsid w:val="1D6A107C"/>
    <w:rsid w:val="1DBB5CDE"/>
    <w:rsid w:val="1DBD09C4"/>
    <w:rsid w:val="1E1D5C32"/>
    <w:rsid w:val="1E436218"/>
    <w:rsid w:val="1EAB2928"/>
    <w:rsid w:val="1ECA1B98"/>
    <w:rsid w:val="1ECB1914"/>
    <w:rsid w:val="1EDB0E4C"/>
    <w:rsid w:val="1EFC08B9"/>
    <w:rsid w:val="1F002D4C"/>
    <w:rsid w:val="1F3415A0"/>
    <w:rsid w:val="1F516372"/>
    <w:rsid w:val="1F813D73"/>
    <w:rsid w:val="1F8D6597"/>
    <w:rsid w:val="1FBF3E08"/>
    <w:rsid w:val="1FDD5D10"/>
    <w:rsid w:val="204F1D62"/>
    <w:rsid w:val="214614DC"/>
    <w:rsid w:val="21560701"/>
    <w:rsid w:val="219226BE"/>
    <w:rsid w:val="2214319D"/>
    <w:rsid w:val="221C4286"/>
    <w:rsid w:val="22385A25"/>
    <w:rsid w:val="223E2B84"/>
    <w:rsid w:val="22D75955"/>
    <w:rsid w:val="2406327B"/>
    <w:rsid w:val="24477DF8"/>
    <w:rsid w:val="25467251"/>
    <w:rsid w:val="25822F57"/>
    <w:rsid w:val="25BD1FE8"/>
    <w:rsid w:val="25E21BED"/>
    <w:rsid w:val="25F767DC"/>
    <w:rsid w:val="262F2567"/>
    <w:rsid w:val="263B079F"/>
    <w:rsid w:val="26D45062"/>
    <w:rsid w:val="27304395"/>
    <w:rsid w:val="275D6138"/>
    <w:rsid w:val="276E6F72"/>
    <w:rsid w:val="279C74DE"/>
    <w:rsid w:val="27E8663B"/>
    <w:rsid w:val="28532BCB"/>
    <w:rsid w:val="28B05368"/>
    <w:rsid w:val="28FE1D93"/>
    <w:rsid w:val="291D2F77"/>
    <w:rsid w:val="292653F6"/>
    <w:rsid w:val="2959575D"/>
    <w:rsid w:val="29747296"/>
    <w:rsid w:val="29CC18C2"/>
    <w:rsid w:val="29DB0C34"/>
    <w:rsid w:val="29E775F2"/>
    <w:rsid w:val="2A0A6A1F"/>
    <w:rsid w:val="2A0A769C"/>
    <w:rsid w:val="2A3C5105"/>
    <w:rsid w:val="2A685A11"/>
    <w:rsid w:val="2A6B2400"/>
    <w:rsid w:val="2A97583D"/>
    <w:rsid w:val="2B377073"/>
    <w:rsid w:val="2BDF6B05"/>
    <w:rsid w:val="2C697D08"/>
    <w:rsid w:val="2CA62D2A"/>
    <w:rsid w:val="2CAB4636"/>
    <w:rsid w:val="2CBD0633"/>
    <w:rsid w:val="2CC65EF6"/>
    <w:rsid w:val="2D9E5300"/>
    <w:rsid w:val="2DBE0B8A"/>
    <w:rsid w:val="2DF22B48"/>
    <w:rsid w:val="2E0735A4"/>
    <w:rsid w:val="2E0D38A8"/>
    <w:rsid w:val="2E861C57"/>
    <w:rsid w:val="2ECE3B59"/>
    <w:rsid w:val="2EEB33D3"/>
    <w:rsid w:val="2EF34B72"/>
    <w:rsid w:val="2F0D16F6"/>
    <w:rsid w:val="2F214517"/>
    <w:rsid w:val="2F3D7961"/>
    <w:rsid w:val="2F5D39B9"/>
    <w:rsid w:val="2FA51F30"/>
    <w:rsid w:val="30004E27"/>
    <w:rsid w:val="304A524D"/>
    <w:rsid w:val="30703D5A"/>
    <w:rsid w:val="308819A8"/>
    <w:rsid w:val="309B7EC0"/>
    <w:rsid w:val="30ED4D1A"/>
    <w:rsid w:val="31304EA9"/>
    <w:rsid w:val="31372A42"/>
    <w:rsid w:val="31805B4B"/>
    <w:rsid w:val="318E12DA"/>
    <w:rsid w:val="31CF1D9A"/>
    <w:rsid w:val="31D21E09"/>
    <w:rsid w:val="32144BB9"/>
    <w:rsid w:val="323362CF"/>
    <w:rsid w:val="323A2697"/>
    <w:rsid w:val="3289257C"/>
    <w:rsid w:val="32C957DF"/>
    <w:rsid w:val="331A7FAD"/>
    <w:rsid w:val="3381734B"/>
    <w:rsid w:val="33B55FCA"/>
    <w:rsid w:val="33E85463"/>
    <w:rsid w:val="33EA34C3"/>
    <w:rsid w:val="33EF30D1"/>
    <w:rsid w:val="33F77E8B"/>
    <w:rsid w:val="34310EDD"/>
    <w:rsid w:val="34721078"/>
    <w:rsid w:val="35185C12"/>
    <w:rsid w:val="351F71A7"/>
    <w:rsid w:val="353D7F83"/>
    <w:rsid w:val="356625B1"/>
    <w:rsid w:val="357C517C"/>
    <w:rsid w:val="35D7201B"/>
    <w:rsid w:val="361B1B46"/>
    <w:rsid w:val="361C0590"/>
    <w:rsid w:val="36374C42"/>
    <w:rsid w:val="36376250"/>
    <w:rsid w:val="370522D0"/>
    <w:rsid w:val="37300DB9"/>
    <w:rsid w:val="374D66ED"/>
    <w:rsid w:val="375F3089"/>
    <w:rsid w:val="383C4CB8"/>
    <w:rsid w:val="38B759D4"/>
    <w:rsid w:val="390B4DB2"/>
    <w:rsid w:val="390C0398"/>
    <w:rsid w:val="395D5FCD"/>
    <w:rsid w:val="39724AB9"/>
    <w:rsid w:val="397F6DBC"/>
    <w:rsid w:val="39886ED2"/>
    <w:rsid w:val="39B97D1E"/>
    <w:rsid w:val="3A4805D2"/>
    <w:rsid w:val="3A517123"/>
    <w:rsid w:val="3A9C2ADC"/>
    <w:rsid w:val="3A9D0FCC"/>
    <w:rsid w:val="3B615B6B"/>
    <w:rsid w:val="3B6B4490"/>
    <w:rsid w:val="3B6E7BD9"/>
    <w:rsid w:val="3B8C756F"/>
    <w:rsid w:val="3BEF33EF"/>
    <w:rsid w:val="3C025257"/>
    <w:rsid w:val="3C8B4B15"/>
    <w:rsid w:val="3C9547BD"/>
    <w:rsid w:val="3CC16BD6"/>
    <w:rsid w:val="3D2349C3"/>
    <w:rsid w:val="3D613B28"/>
    <w:rsid w:val="3D742439"/>
    <w:rsid w:val="3DA64B26"/>
    <w:rsid w:val="3DE07F1A"/>
    <w:rsid w:val="3E5018F0"/>
    <w:rsid w:val="3F756801"/>
    <w:rsid w:val="3FDE2F82"/>
    <w:rsid w:val="3FE95753"/>
    <w:rsid w:val="3FEE3CEC"/>
    <w:rsid w:val="403B0335"/>
    <w:rsid w:val="40DA28C4"/>
    <w:rsid w:val="40E2098F"/>
    <w:rsid w:val="410B06AE"/>
    <w:rsid w:val="418216A5"/>
    <w:rsid w:val="41947EA6"/>
    <w:rsid w:val="42056336"/>
    <w:rsid w:val="42935686"/>
    <w:rsid w:val="42A24679"/>
    <w:rsid w:val="42CC0107"/>
    <w:rsid w:val="42E07A0E"/>
    <w:rsid w:val="430E16FD"/>
    <w:rsid w:val="43170066"/>
    <w:rsid w:val="43503294"/>
    <w:rsid w:val="438F0EED"/>
    <w:rsid w:val="4397416B"/>
    <w:rsid w:val="43BE5A74"/>
    <w:rsid w:val="43D27A96"/>
    <w:rsid w:val="440A3C8E"/>
    <w:rsid w:val="4448307F"/>
    <w:rsid w:val="445751CE"/>
    <w:rsid w:val="44984C1A"/>
    <w:rsid w:val="44D51F86"/>
    <w:rsid w:val="45070AD0"/>
    <w:rsid w:val="452F3390"/>
    <w:rsid w:val="4548693B"/>
    <w:rsid w:val="457D1804"/>
    <w:rsid w:val="45B36572"/>
    <w:rsid w:val="45FE5873"/>
    <w:rsid w:val="4602451E"/>
    <w:rsid w:val="462630AF"/>
    <w:rsid w:val="4671641F"/>
    <w:rsid w:val="47170634"/>
    <w:rsid w:val="475C06F7"/>
    <w:rsid w:val="47804AD5"/>
    <w:rsid w:val="47C55D76"/>
    <w:rsid w:val="47D8306F"/>
    <w:rsid w:val="47DC0C74"/>
    <w:rsid w:val="481E3365"/>
    <w:rsid w:val="4840304F"/>
    <w:rsid w:val="48A967FD"/>
    <w:rsid w:val="48D64A89"/>
    <w:rsid w:val="492A7223"/>
    <w:rsid w:val="49730054"/>
    <w:rsid w:val="49B50C52"/>
    <w:rsid w:val="49C57D4C"/>
    <w:rsid w:val="49DA4DB9"/>
    <w:rsid w:val="4A4230AF"/>
    <w:rsid w:val="4A425141"/>
    <w:rsid w:val="4A651026"/>
    <w:rsid w:val="4A715C5E"/>
    <w:rsid w:val="4AA523FB"/>
    <w:rsid w:val="4ABB1C1E"/>
    <w:rsid w:val="4AE22C1F"/>
    <w:rsid w:val="4AFE6001"/>
    <w:rsid w:val="4B1F61BC"/>
    <w:rsid w:val="4B5E7994"/>
    <w:rsid w:val="4BB46AA4"/>
    <w:rsid w:val="4C2E247C"/>
    <w:rsid w:val="4CA6275C"/>
    <w:rsid w:val="4CB74B17"/>
    <w:rsid w:val="4D20220D"/>
    <w:rsid w:val="4D885568"/>
    <w:rsid w:val="4DCD7C9F"/>
    <w:rsid w:val="4DDB3389"/>
    <w:rsid w:val="4E077C90"/>
    <w:rsid w:val="4E34414B"/>
    <w:rsid w:val="4E424731"/>
    <w:rsid w:val="4ECE039F"/>
    <w:rsid w:val="4F2B0521"/>
    <w:rsid w:val="4FD9460C"/>
    <w:rsid w:val="4FF57980"/>
    <w:rsid w:val="500A35E5"/>
    <w:rsid w:val="501B1B4A"/>
    <w:rsid w:val="503E285E"/>
    <w:rsid w:val="504767A7"/>
    <w:rsid w:val="505536DA"/>
    <w:rsid w:val="506F7F52"/>
    <w:rsid w:val="507C013F"/>
    <w:rsid w:val="50A3118B"/>
    <w:rsid w:val="50CD6A4A"/>
    <w:rsid w:val="513B1D8E"/>
    <w:rsid w:val="51F954BD"/>
    <w:rsid w:val="52345A2E"/>
    <w:rsid w:val="52971D43"/>
    <w:rsid w:val="52D41C93"/>
    <w:rsid w:val="530B700E"/>
    <w:rsid w:val="53DE5962"/>
    <w:rsid w:val="540B4B0C"/>
    <w:rsid w:val="54534C76"/>
    <w:rsid w:val="54B716A8"/>
    <w:rsid w:val="54CC2AC8"/>
    <w:rsid w:val="54EE5674"/>
    <w:rsid w:val="55063D5C"/>
    <w:rsid w:val="5516206D"/>
    <w:rsid w:val="55AC0AE1"/>
    <w:rsid w:val="55C973E9"/>
    <w:rsid w:val="56030EFF"/>
    <w:rsid w:val="562A259F"/>
    <w:rsid w:val="571B1FF1"/>
    <w:rsid w:val="5757179C"/>
    <w:rsid w:val="576C6B1D"/>
    <w:rsid w:val="57A21619"/>
    <w:rsid w:val="58097DD2"/>
    <w:rsid w:val="583D5903"/>
    <w:rsid w:val="588E5BCE"/>
    <w:rsid w:val="58C358EE"/>
    <w:rsid w:val="58CB4F8F"/>
    <w:rsid w:val="58F36A8D"/>
    <w:rsid w:val="58F87FD4"/>
    <w:rsid w:val="592A64E5"/>
    <w:rsid w:val="593A5A45"/>
    <w:rsid w:val="593B5464"/>
    <w:rsid w:val="5943535E"/>
    <w:rsid w:val="597718EC"/>
    <w:rsid w:val="59892337"/>
    <w:rsid w:val="59E02B5C"/>
    <w:rsid w:val="59F40CA9"/>
    <w:rsid w:val="5A2019AF"/>
    <w:rsid w:val="5A2A0227"/>
    <w:rsid w:val="5B073454"/>
    <w:rsid w:val="5B325639"/>
    <w:rsid w:val="5B353327"/>
    <w:rsid w:val="5B677FE0"/>
    <w:rsid w:val="5BA43012"/>
    <w:rsid w:val="5C413FCB"/>
    <w:rsid w:val="5C7066DE"/>
    <w:rsid w:val="5CD10E2D"/>
    <w:rsid w:val="5D191F8C"/>
    <w:rsid w:val="5D7015CC"/>
    <w:rsid w:val="5DDE2E85"/>
    <w:rsid w:val="5DEE031F"/>
    <w:rsid w:val="5DEF5A0F"/>
    <w:rsid w:val="5E317DD6"/>
    <w:rsid w:val="5E990E73"/>
    <w:rsid w:val="5F0E45BB"/>
    <w:rsid w:val="5F18501B"/>
    <w:rsid w:val="5FAF2865"/>
    <w:rsid w:val="5FD953C6"/>
    <w:rsid w:val="5FDA200F"/>
    <w:rsid w:val="60502D5C"/>
    <w:rsid w:val="6067159D"/>
    <w:rsid w:val="60AF773D"/>
    <w:rsid w:val="60C90B80"/>
    <w:rsid w:val="60CB27CE"/>
    <w:rsid w:val="61023CAB"/>
    <w:rsid w:val="61585D43"/>
    <w:rsid w:val="616B01D7"/>
    <w:rsid w:val="61851DA9"/>
    <w:rsid w:val="61AD3C8B"/>
    <w:rsid w:val="61C00554"/>
    <w:rsid w:val="61F03974"/>
    <w:rsid w:val="61F760DA"/>
    <w:rsid w:val="621054E2"/>
    <w:rsid w:val="621306AF"/>
    <w:rsid w:val="62F5120E"/>
    <w:rsid w:val="63344891"/>
    <w:rsid w:val="633506D4"/>
    <w:rsid w:val="63B55D20"/>
    <w:rsid w:val="63DE5A8F"/>
    <w:rsid w:val="6400080B"/>
    <w:rsid w:val="6421466B"/>
    <w:rsid w:val="644C4E9D"/>
    <w:rsid w:val="64DF4156"/>
    <w:rsid w:val="64FA523F"/>
    <w:rsid w:val="65245FFC"/>
    <w:rsid w:val="65341F1A"/>
    <w:rsid w:val="653D1A35"/>
    <w:rsid w:val="65A5512A"/>
    <w:rsid w:val="66486ECB"/>
    <w:rsid w:val="668B42FE"/>
    <w:rsid w:val="66ED0F5A"/>
    <w:rsid w:val="676E1D47"/>
    <w:rsid w:val="67A264A7"/>
    <w:rsid w:val="67F66050"/>
    <w:rsid w:val="683C0A1E"/>
    <w:rsid w:val="68517027"/>
    <w:rsid w:val="68AC0227"/>
    <w:rsid w:val="68D777CC"/>
    <w:rsid w:val="68D850F3"/>
    <w:rsid w:val="69056194"/>
    <w:rsid w:val="6929211E"/>
    <w:rsid w:val="693B3383"/>
    <w:rsid w:val="696F20FA"/>
    <w:rsid w:val="697C5387"/>
    <w:rsid w:val="6AAA527E"/>
    <w:rsid w:val="6AAE758A"/>
    <w:rsid w:val="6B2F15C3"/>
    <w:rsid w:val="6B4018BC"/>
    <w:rsid w:val="6B44535D"/>
    <w:rsid w:val="6B6A4D2D"/>
    <w:rsid w:val="6B74498E"/>
    <w:rsid w:val="6BB13440"/>
    <w:rsid w:val="6C42298A"/>
    <w:rsid w:val="6D4D4500"/>
    <w:rsid w:val="6DE248D1"/>
    <w:rsid w:val="6E1200B6"/>
    <w:rsid w:val="6E152939"/>
    <w:rsid w:val="6E346D35"/>
    <w:rsid w:val="6E377D7E"/>
    <w:rsid w:val="6E6C3AEA"/>
    <w:rsid w:val="6EC16B66"/>
    <w:rsid w:val="6ECD3665"/>
    <w:rsid w:val="6F332935"/>
    <w:rsid w:val="6F3E2352"/>
    <w:rsid w:val="6F526DE0"/>
    <w:rsid w:val="6F580086"/>
    <w:rsid w:val="6F9D468B"/>
    <w:rsid w:val="702E0619"/>
    <w:rsid w:val="70396551"/>
    <w:rsid w:val="706B0F62"/>
    <w:rsid w:val="706E651A"/>
    <w:rsid w:val="70B01DD7"/>
    <w:rsid w:val="70B86733"/>
    <w:rsid w:val="70FA2E93"/>
    <w:rsid w:val="710D06FF"/>
    <w:rsid w:val="7141612A"/>
    <w:rsid w:val="717224F6"/>
    <w:rsid w:val="719942C8"/>
    <w:rsid w:val="719A04C0"/>
    <w:rsid w:val="719D4981"/>
    <w:rsid w:val="71A67B35"/>
    <w:rsid w:val="71AE2B3E"/>
    <w:rsid w:val="71D23483"/>
    <w:rsid w:val="72211E5A"/>
    <w:rsid w:val="722D097A"/>
    <w:rsid w:val="72741864"/>
    <w:rsid w:val="72B10632"/>
    <w:rsid w:val="72BA43E6"/>
    <w:rsid w:val="72D6671B"/>
    <w:rsid w:val="72E60994"/>
    <w:rsid w:val="73037653"/>
    <w:rsid w:val="73247A5D"/>
    <w:rsid w:val="73556A37"/>
    <w:rsid w:val="737E4A8A"/>
    <w:rsid w:val="738755A9"/>
    <w:rsid w:val="739562D6"/>
    <w:rsid w:val="73C52785"/>
    <w:rsid w:val="7400051E"/>
    <w:rsid w:val="74193021"/>
    <w:rsid w:val="742E508B"/>
    <w:rsid w:val="746D00E9"/>
    <w:rsid w:val="749B1FF5"/>
    <w:rsid w:val="749E7491"/>
    <w:rsid w:val="74B92683"/>
    <w:rsid w:val="74EB7245"/>
    <w:rsid w:val="7570269D"/>
    <w:rsid w:val="75F354FE"/>
    <w:rsid w:val="76072D30"/>
    <w:rsid w:val="765871C4"/>
    <w:rsid w:val="767F595A"/>
    <w:rsid w:val="773402C7"/>
    <w:rsid w:val="77504A19"/>
    <w:rsid w:val="77825467"/>
    <w:rsid w:val="7794174A"/>
    <w:rsid w:val="77A4151A"/>
    <w:rsid w:val="77A66930"/>
    <w:rsid w:val="77AE7270"/>
    <w:rsid w:val="77B35E41"/>
    <w:rsid w:val="78215366"/>
    <w:rsid w:val="783A7923"/>
    <w:rsid w:val="78626D42"/>
    <w:rsid w:val="78B31017"/>
    <w:rsid w:val="793E1C97"/>
    <w:rsid w:val="7982471D"/>
    <w:rsid w:val="79990618"/>
    <w:rsid w:val="79DA189B"/>
    <w:rsid w:val="7A1935AB"/>
    <w:rsid w:val="7A2D7C6E"/>
    <w:rsid w:val="7A4A7A49"/>
    <w:rsid w:val="7AFE508C"/>
    <w:rsid w:val="7B7F6590"/>
    <w:rsid w:val="7C4D7213"/>
    <w:rsid w:val="7CDF1F88"/>
    <w:rsid w:val="7CE77A3F"/>
    <w:rsid w:val="7D251718"/>
    <w:rsid w:val="7D257B60"/>
    <w:rsid w:val="7D277594"/>
    <w:rsid w:val="7D7B6AD9"/>
    <w:rsid w:val="7D9C74DB"/>
    <w:rsid w:val="7DCF047D"/>
    <w:rsid w:val="7E473A3D"/>
    <w:rsid w:val="7E6E5FE0"/>
    <w:rsid w:val="7E8E3824"/>
    <w:rsid w:val="7EB268B9"/>
    <w:rsid w:val="7F18027A"/>
    <w:rsid w:val="7F6111E0"/>
    <w:rsid w:val="7F736048"/>
    <w:rsid w:val="7FB6782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仿宋_GB2312" w:cs="Times New Roman"/>
      <w:kern w:val="2"/>
      <w:sz w:val="24"/>
      <w:szCs w:val="24"/>
      <w:lang w:val="en-US" w:eastAsia="zh-CN" w:bidi="ar-SA"/>
    </w:rPr>
  </w:style>
  <w:style w:type="paragraph" w:styleId="2">
    <w:name w:val="heading 1"/>
    <w:basedOn w:val="1"/>
    <w:next w:val="1"/>
    <w:link w:val="62"/>
    <w:qFormat/>
    <w:uiPriority w:val="0"/>
    <w:pPr>
      <w:keepNext/>
      <w:keepLines/>
      <w:spacing w:before="340" w:beforeLines="0" w:after="330" w:afterLines="0" w:line="578" w:lineRule="auto"/>
      <w:outlineLvl w:val="0"/>
    </w:pPr>
    <w:rPr>
      <w:rFonts w:ascii="Times New Roman" w:hAnsi="Times New Roman" w:eastAsia="宋体"/>
      <w:b/>
      <w:bCs/>
      <w:kern w:val="44"/>
      <w:sz w:val="44"/>
      <w:szCs w:val="44"/>
    </w:rPr>
  </w:style>
  <w:style w:type="paragraph" w:styleId="3">
    <w:name w:val="heading 2"/>
    <w:basedOn w:val="1"/>
    <w:next w:val="1"/>
    <w:link w:val="63"/>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1"/>
    <w:link w:val="64"/>
    <w:qFormat/>
    <w:uiPriority w:val="0"/>
    <w:pPr>
      <w:keepNext/>
      <w:keepLines/>
      <w:spacing w:before="260" w:beforeLines="0" w:after="260" w:afterLines="0" w:line="416" w:lineRule="auto"/>
      <w:outlineLvl w:val="2"/>
    </w:pPr>
    <w:rPr>
      <w:rFonts w:ascii="Times New Roman" w:hAnsi="Times New Roman" w:eastAsia="宋体"/>
      <w:b/>
      <w:bCs/>
      <w:sz w:val="32"/>
      <w:szCs w:val="32"/>
    </w:rPr>
  </w:style>
  <w:style w:type="paragraph" w:styleId="5">
    <w:name w:val="heading 4"/>
    <w:basedOn w:val="1"/>
    <w:next w:val="1"/>
    <w:link w:val="65"/>
    <w:qFormat/>
    <w:uiPriority w:val="0"/>
    <w:pPr>
      <w:keepNext/>
      <w:keepLines/>
      <w:spacing w:before="280" w:beforeLines="0" w:after="290" w:afterLines="0" w:line="372" w:lineRule="auto"/>
      <w:outlineLvl w:val="3"/>
    </w:pPr>
    <w:rPr>
      <w:rFonts w:ascii="Arial" w:hAnsi="Arial" w:eastAsia="黑体"/>
      <w:b/>
      <w:bCs/>
      <w:sz w:val="28"/>
      <w:szCs w:val="28"/>
    </w:rPr>
  </w:style>
  <w:style w:type="paragraph" w:styleId="6">
    <w:name w:val="heading 5"/>
    <w:basedOn w:val="1"/>
    <w:next w:val="1"/>
    <w:link w:val="66"/>
    <w:qFormat/>
    <w:uiPriority w:val="0"/>
    <w:pPr>
      <w:keepNext/>
      <w:keepLines/>
      <w:tabs>
        <w:tab w:val="left" w:pos="218"/>
        <w:tab w:val="left" w:pos="2268"/>
      </w:tabs>
      <w:spacing w:before="280" w:after="290" w:line="374" w:lineRule="auto"/>
      <w:ind w:left="-142"/>
      <w:outlineLvl w:val="4"/>
    </w:pPr>
    <w:rPr>
      <w:rFonts w:ascii="Times New Roman" w:hAnsi="Times New Roman" w:eastAsia="宋体"/>
      <w:b/>
      <w:bCs/>
      <w:sz w:val="28"/>
      <w:szCs w:val="28"/>
    </w:rPr>
  </w:style>
  <w:style w:type="paragraph" w:styleId="7">
    <w:name w:val="heading 6"/>
    <w:basedOn w:val="1"/>
    <w:next w:val="1"/>
    <w:link w:val="67"/>
    <w:qFormat/>
    <w:uiPriority w:val="0"/>
    <w:pPr>
      <w:keepNext/>
      <w:keepLines/>
      <w:tabs>
        <w:tab w:val="left" w:pos="938"/>
        <w:tab w:val="left" w:pos="2268"/>
      </w:tabs>
      <w:spacing w:before="240" w:after="64" w:line="319" w:lineRule="auto"/>
      <w:ind w:left="-142"/>
      <w:outlineLvl w:val="5"/>
    </w:pPr>
    <w:rPr>
      <w:rFonts w:ascii="Arial" w:hAnsi="Arial" w:eastAsia="黑体"/>
      <w:b/>
      <w:bCs/>
    </w:rPr>
  </w:style>
  <w:style w:type="paragraph" w:styleId="8">
    <w:name w:val="heading 7"/>
    <w:basedOn w:val="1"/>
    <w:next w:val="1"/>
    <w:link w:val="68"/>
    <w:qFormat/>
    <w:uiPriority w:val="0"/>
    <w:pPr>
      <w:keepNext/>
      <w:keepLines/>
      <w:tabs>
        <w:tab w:val="left" w:pos="578"/>
        <w:tab w:val="left" w:pos="2268"/>
      </w:tabs>
      <w:spacing w:before="240" w:after="64" w:line="319" w:lineRule="auto"/>
      <w:ind w:left="-142"/>
      <w:outlineLvl w:val="6"/>
    </w:pPr>
    <w:rPr>
      <w:rFonts w:ascii="Times New Roman" w:hAnsi="Times New Roman" w:eastAsia="宋体"/>
      <w:b/>
      <w:bCs/>
    </w:rPr>
  </w:style>
  <w:style w:type="paragraph" w:styleId="9">
    <w:name w:val="heading 8"/>
    <w:basedOn w:val="1"/>
    <w:next w:val="1"/>
    <w:link w:val="69"/>
    <w:qFormat/>
    <w:uiPriority w:val="0"/>
    <w:pPr>
      <w:keepNext/>
      <w:keepLines/>
      <w:tabs>
        <w:tab w:val="left" w:pos="938"/>
        <w:tab w:val="left" w:pos="2268"/>
      </w:tabs>
      <w:spacing w:before="240" w:after="64" w:line="319" w:lineRule="auto"/>
      <w:ind w:left="-142"/>
      <w:outlineLvl w:val="7"/>
    </w:pPr>
    <w:rPr>
      <w:rFonts w:ascii="Arial" w:hAnsi="Arial" w:eastAsia="黑体"/>
    </w:rPr>
  </w:style>
  <w:style w:type="paragraph" w:styleId="10">
    <w:name w:val="heading 9"/>
    <w:basedOn w:val="1"/>
    <w:next w:val="1"/>
    <w:link w:val="70"/>
    <w:qFormat/>
    <w:uiPriority w:val="0"/>
    <w:pPr>
      <w:keepNext/>
      <w:keepLines/>
      <w:tabs>
        <w:tab w:val="left" w:pos="578"/>
        <w:tab w:val="left" w:pos="2268"/>
      </w:tabs>
      <w:spacing w:before="240" w:after="64" w:line="319" w:lineRule="auto"/>
      <w:ind w:left="-142"/>
      <w:outlineLvl w:val="8"/>
    </w:pPr>
    <w:rPr>
      <w:rFonts w:ascii="Arial" w:hAnsi="Arial" w:eastAsia="黑体"/>
      <w:sz w:val="21"/>
      <w:szCs w:val="21"/>
    </w:rPr>
  </w:style>
  <w:style w:type="character" w:default="1" w:styleId="49">
    <w:name w:val="Default Paragraph Font"/>
    <w:qFormat/>
    <w:uiPriority w:val="0"/>
  </w:style>
  <w:style w:type="table" w:default="1" w:styleId="4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List 3"/>
    <w:basedOn w:val="1"/>
    <w:qFormat/>
    <w:uiPriority w:val="0"/>
    <w:pPr>
      <w:spacing w:before="100" w:beforeAutospacing="1" w:after="100" w:afterAutospacing="1"/>
      <w:ind w:left="1260" w:hanging="420"/>
    </w:pPr>
    <w:rPr>
      <w:szCs w:val="21"/>
    </w:rPr>
  </w:style>
  <w:style w:type="paragraph" w:styleId="12">
    <w:name w:val="toc 7"/>
    <w:basedOn w:val="1"/>
    <w:next w:val="1"/>
    <w:qFormat/>
    <w:uiPriority w:val="0"/>
    <w:pPr>
      <w:ind w:left="1260"/>
      <w:jc w:val="left"/>
    </w:pPr>
    <w:rPr>
      <w:sz w:val="18"/>
      <w:szCs w:val="18"/>
    </w:rPr>
  </w:style>
  <w:style w:type="paragraph" w:styleId="13">
    <w:name w:val="Normal Indent"/>
    <w:basedOn w:val="1"/>
    <w:qFormat/>
    <w:uiPriority w:val="0"/>
    <w:pPr>
      <w:ind w:firstLine="420"/>
    </w:pPr>
    <w:rPr>
      <w:szCs w:val="20"/>
    </w:rPr>
  </w:style>
  <w:style w:type="paragraph" w:styleId="14">
    <w:name w:val="caption"/>
    <w:basedOn w:val="1"/>
    <w:next w:val="1"/>
    <w:qFormat/>
    <w:uiPriority w:val="0"/>
    <w:rPr>
      <w:rFonts w:ascii="Arial" w:hAnsi="Arial" w:eastAsia="黑体" w:cs="Arial"/>
      <w:sz w:val="20"/>
      <w:szCs w:val="20"/>
    </w:rPr>
  </w:style>
  <w:style w:type="paragraph" w:styleId="15">
    <w:name w:val="Document Map"/>
    <w:basedOn w:val="1"/>
    <w:link w:val="71"/>
    <w:qFormat/>
    <w:uiPriority w:val="0"/>
    <w:pPr>
      <w:shd w:val="clear" w:color="auto" w:fill="000080"/>
    </w:pPr>
    <w:rPr>
      <w:rFonts w:ascii="Times New Roman" w:hAnsi="Times New Roman" w:eastAsia="宋体"/>
      <w:sz w:val="21"/>
    </w:rPr>
  </w:style>
  <w:style w:type="paragraph" w:styleId="16">
    <w:name w:val="annotation text"/>
    <w:basedOn w:val="1"/>
    <w:link w:val="72"/>
    <w:qFormat/>
    <w:uiPriority w:val="0"/>
    <w:pPr>
      <w:widowControl/>
      <w:jc w:val="left"/>
    </w:pPr>
    <w:rPr>
      <w:rFonts w:eastAsia="宋体"/>
      <w:kern w:val="0"/>
      <w:lang w:eastAsia="en-US" w:bidi="en-US"/>
    </w:rPr>
  </w:style>
  <w:style w:type="paragraph" w:styleId="17">
    <w:name w:val="Body Text 3"/>
    <w:basedOn w:val="1"/>
    <w:link w:val="73"/>
    <w:qFormat/>
    <w:uiPriority w:val="0"/>
    <w:rPr>
      <w:rFonts w:ascii="Times New Roman" w:hAnsi="Times New Roman" w:eastAsia="楷体_GB2312"/>
      <w:sz w:val="15"/>
      <w:szCs w:val="16"/>
    </w:rPr>
  </w:style>
  <w:style w:type="paragraph" w:styleId="18">
    <w:name w:val="Body Text"/>
    <w:basedOn w:val="1"/>
    <w:link w:val="74"/>
    <w:qFormat/>
    <w:uiPriority w:val="0"/>
    <w:pPr>
      <w:spacing w:after="120"/>
    </w:pPr>
    <w:rPr>
      <w:rFonts w:ascii="Times New Roman" w:hAnsi="Times New Roman" w:eastAsia="宋体"/>
    </w:rPr>
  </w:style>
  <w:style w:type="paragraph" w:styleId="19">
    <w:name w:val="Body Text Indent"/>
    <w:basedOn w:val="1"/>
    <w:qFormat/>
    <w:uiPriority w:val="0"/>
    <w:pPr>
      <w:spacing w:after="120"/>
      <w:ind w:left="420" w:leftChars="200"/>
    </w:pPr>
  </w:style>
  <w:style w:type="paragraph" w:styleId="20">
    <w:name w:val="List 2"/>
    <w:basedOn w:val="1"/>
    <w:qFormat/>
    <w:uiPriority w:val="0"/>
    <w:pPr>
      <w:spacing w:before="100" w:beforeAutospacing="1" w:after="100" w:afterAutospacing="1"/>
      <w:ind w:left="840" w:hanging="420"/>
    </w:pPr>
    <w:rPr>
      <w:szCs w:val="21"/>
    </w:rPr>
  </w:style>
  <w:style w:type="paragraph" w:styleId="21">
    <w:name w:val="Block Text"/>
    <w:basedOn w:val="1"/>
    <w:qFormat/>
    <w:uiPriority w:val="0"/>
    <w:pPr>
      <w:spacing w:after="120" w:afterLines="0"/>
      <w:ind w:left="1440" w:leftChars="700" w:right="1440" w:rightChars="7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39"/>
    <w:pPr>
      <w:ind w:left="420"/>
      <w:jc w:val="left"/>
    </w:pPr>
    <w:rPr>
      <w:i/>
      <w:iCs/>
      <w:sz w:val="20"/>
      <w:szCs w:val="20"/>
    </w:rPr>
  </w:style>
  <w:style w:type="paragraph" w:styleId="24">
    <w:name w:val="Plain Text"/>
    <w:basedOn w:val="1"/>
    <w:link w:val="75"/>
    <w:qFormat/>
    <w:uiPriority w:val="0"/>
    <w:rPr>
      <w:rFonts w:ascii="宋体" w:hAnsi="Courier New" w:eastAsia="宋体"/>
      <w:sz w:val="21"/>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link w:val="76"/>
    <w:qFormat/>
    <w:uiPriority w:val="0"/>
    <w:pPr>
      <w:ind w:left="100" w:leftChars="2500"/>
    </w:pPr>
    <w:rPr>
      <w:rFonts w:ascii="Times New Roman" w:hAnsi="Times New Roman" w:eastAsia="宋体"/>
      <w:sz w:val="21"/>
    </w:rPr>
  </w:style>
  <w:style w:type="paragraph" w:styleId="27">
    <w:name w:val="Body Text Indent 2"/>
    <w:basedOn w:val="1"/>
    <w:qFormat/>
    <w:uiPriority w:val="0"/>
    <w:pPr>
      <w:spacing w:after="120" w:line="480" w:lineRule="auto"/>
      <w:ind w:left="420" w:leftChars="200"/>
    </w:pPr>
  </w:style>
  <w:style w:type="paragraph" w:styleId="28">
    <w:name w:val="Balloon Text"/>
    <w:basedOn w:val="1"/>
    <w:link w:val="77"/>
    <w:qFormat/>
    <w:uiPriority w:val="0"/>
    <w:rPr>
      <w:rFonts w:ascii="Times New Roman" w:hAnsi="Times New Roman" w:eastAsia="宋体"/>
      <w:sz w:val="18"/>
      <w:szCs w:val="18"/>
    </w:rPr>
  </w:style>
  <w:style w:type="paragraph" w:styleId="29">
    <w:name w:val="footer"/>
    <w:basedOn w:val="1"/>
    <w:next w:val="18"/>
    <w:link w:val="78"/>
    <w:qFormat/>
    <w:uiPriority w:val="0"/>
    <w:pPr>
      <w:tabs>
        <w:tab w:val="center" w:pos="4153"/>
        <w:tab w:val="right" w:pos="8306"/>
      </w:tabs>
      <w:snapToGrid w:val="0"/>
      <w:jc w:val="left"/>
    </w:pPr>
    <w:rPr>
      <w:rFonts w:ascii="Times New Roman" w:hAnsi="Times New Roman" w:eastAsia="宋体"/>
      <w:sz w:val="18"/>
      <w:szCs w:val="18"/>
    </w:rPr>
  </w:style>
  <w:style w:type="paragraph" w:styleId="30">
    <w:name w:val="header"/>
    <w:basedOn w:val="1"/>
    <w:link w:val="79"/>
    <w:qFormat/>
    <w:uiPriority w:val="0"/>
    <w:pPr>
      <w:pBdr>
        <w:bottom w:val="single" w:color="auto" w:sz="6" w:space="1"/>
      </w:pBdr>
      <w:tabs>
        <w:tab w:val="center" w:pos="4153"/>
        <w:tab w:val="right" w:pos="8306"/>
      </w:tabs>
      <w:snapToGrid w:val="0"/>
      <w:jc w:val="center"/>
    </w:pPr>
    <w:rPr>
      <w:rFonts w:ascii="Times New Roman" w:hAnsi="Times New Roman" w:eastAsia="宋体"/>
      <w:sz w:val="18"/>
      <w:szCs w:val="18"/>
    </w:rPr>
  </w:style>
  <w:style w:type="paragraph" w:styleId="31">
    <w:name w:val="toc 1"/>
    <w:basedOn w:val="1"/>
    <w:next w:val="1"/>
    <w:qFormat/>
    <w:uiPriority w:val="39"/>
    <w:pPr>
      <w:spacing w:before="120" w:beforeLines="0" w:after="120" w:afterLines="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List"/>
    <w:basedOn w:val="1"/>
    <w:qFormat/>
    <w:uiPriority w:val="0"/>
    <w:pPr>
      <w:spacing w:before="100" w:beforeAutospacing="1" w:after="100" w:afterAutospacing="1"/>
      <w:ind w:left="420" w:hanging="420"/>
    </w:pPr>
    <w:rPr>
      <w:szCs w:val="21"/>
    </w:rPr>
  </w:style>
  <w:style w:type="paragraph" w:styleId="34">
    <w:name w:val="toc 6"/>
    <w:basedOn w:val="1"/>
    <w:next w:val="1"/>
    <w:qFormat/>
    <w:uiPriority w:val="0"/>
    <w:pPr>
      <w:ind w:left="1050"/>
      <w:jc w:val="left"/>
    </w:pPr>
    <w:rPr>
      <w:sz w:val="18"/>
      <w:szCs w:val="18"/>
    </w:rPr>
  </w:style>
  <w:style w:type="paragraph" w:styleId="35">
    <w:name w:val="Body Text Indent 3"/>
    <w:basedOn w:val="1"/>
    <w:qFormat/>
    <w:uiPriority w:val="0"/>
    <w:pPr>
      <w:ind w:left="420" w:leftChars="200"/>
    </w:pPr>
    <w:rPr>
      <w:sz w:val="16"/>
    </w:rPr>
  </w:style>
  <w:style w:type="paragraph" w:styleId="36">
    <w:name w:val="toc 2"/>
    <w:basedOn w:val="3"/>
    <w:qFormat/>
    <w:uiPriority w:val="39"/>
    <w:pPr>
      <w:keepNext w:val="0"/>
      <w:keepLines w:val="0"/>
      <w:spacing w:before="0" w:beforeLines="0" w:after="0" w:afterLines="0" w:line="240" w:lineRule="auto"/>
      <w:ind w:left="210"/>
      <w:jc w:val="left"/>
      <w:outlineLvl w:val="9"/>
    </w:pPr>
    <w:rPr>
      <w:rFonts w:ascii="Times New Roman" w:hAnsi="Times New Roman" w:eastAsia="宋体"/>
      <w:b w:val="0"/>
      <w:bCs w:val="0"/>
      <w:smallCaps/>
      <w:sz w:val="20"/>
      <w:szCs w:val="20"/>
    </w:rPr>
  </w:style>
  <w:style w:type="paragraph" w:styleId="37">
    <w:name w:val="toc 9"/>
    <w:basedOn w:val="1"/>
    <w:next w:val="1"/>
    <w:qFormat/>
    <w:uiPriority w:val="0"/>
    <w:pPr>
      <w:ind w:left="1680"/>
      <w:jc w:val="left"/>
    </w:pPr>
    <w:rPr>
      <w:sz w:val="18"/>
      <w:szCs w:val="18"/>
    </w:rPr>
  </w:style>
  <w:style w:type="paragraph" w:styleId="38">
    <w:name w:val="Body Text 2"/>
    <w:basedOn w:val="1"/>
    <w:qFormat/>
    <w:uiPriority w:val="0"/>
    <w:pPr>
      <w:spacing w:line="360" w:lineRule="auto"/>
    </w:pPr>
    <w:rPr>
      <w:rFonts w:ascii="幼圆" w:eastAsia="幼圆"/>
      <w:sz w:val="24"/>
      <w:u w:val="single"/>
    </w:rPr>
  </w:style>
  <w:style w:type="paragraph" w:styleId="3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40">
    <w:name w:val="HTML Preformatted"/>
    <w:basedOn w:val="1"/>
    <w:qFormat/>
    <w:uiPriority w:val="0"/>
    <w:pPr>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default" w:ascii="Arial" w:hAnsi="Arial" w:eastAsia="宋体" w:cs="Arial"/>
      <w:color w:val="D55111"/>
      <w:kern w:val="0"/>
      <w:sz w:val="24"/>
      <w:szCs w:val="24"/>
      <w:lang w:val="en-US" w:eastAsia="zh-CN" w:bidi="ar"/>
    </w:rPr>
  </w:style>
  <w:style w:type="paragraph" w:styleId="41">
    <w:name w:val="Normal (Web)"/>
    <w:basedOn w:val="1"/>
    <w:link w:val="80"/>
    <w:qFormat/>
    <w:uiPriority w:val="0"/>
    <w:pPr>
      <w:widowControl/>
      <w:spacing w:before="100" w:beforeLines="0" w:beforeAutospacing="1" w:after="100" w:afterLines="0" w:afterAutospacing="1"/>
      <w:jc w:val="left"/>
    </w:pPr>
    <w:rPr>
      <w:rFonts w:ascii="宋体" w:hAnsi="宋体" w:eastAsia="宋体" w:cs="宋体"/>
      <w:kern w:val="0"/>
    </w:rPr>
  </w:style>
  <w:style w:type="paragraph" w:styleId="42">
    <w:name w:val="index 1"/>
    <w:basedOn w:val="1"/>
    <w:next w:val="1"/>
    <w:qFormat/>
    <w:uiPriority w:val="0"/>
  </w:style>
  <w:style w:type="paragraph" w:styleId="43">
    <w:name w:val="Title"/>
    <w:basedOn w:val="1"/>
    <w:link w:val="81"/>
    <w:qFormat/>
    <w:uiPriority w:val="0"/>
    <w:pPr>
      <w:adjustRightInd w:val="0"/>
      <w:spacing w:before="240" w:after="60" w:line="312" w:lineRule="atLeast"/>
      <w:textAlignment w:val="baseline"/>
      <w:outlineLvl w:val="0"/>
    </w:pPr>
    <w:rPr>
      <w:rFonts w:ascii="Arial" w:hAnsi="Arial" w:eastAsia="宋体"/>
      <w:b/>
      <w:kern w:val="0"/>
      <w:sz w:val="32"/>
      <w:szCs w:val="20"/>
    </w:rPr>
  </w:style>
  <w:style w:type="paragraph" w:styleId="44">
    <w:name w:val="annotation subject"/>
    <w:basedOn w:val="16"/>
    <w:next w:val="16"/>
    <w:qFormat/>
    <w:uiPriority w:val="0"/>
    <w:pPr>
      <w:widowControl w:val="0"/>
    </w:pPr>
    <w:rPr>
      <w:rFonts w:ascii="Times New Roman" w:hAnsi="Times New Roman"/>
      <w:b/>
      <w:bCs/>
      <w:kern w:val="2"/>
      <w:sz w:val="21"/>
      <w:lang w:bidi="ar-SA"/>
    </w:rPr>
  </w:style>
  <w:style w:type="paragraph" w:styleId="45">
    <w:name w:val="Body Text First Indent"/>
    <w:basedOn w:val="18"/>
    <w:next w:val="1"/>
    <w:link w:val="82"/>
    <w:qFormat/>
    <w:uiPriority w:val="0"/>
    <w:rPr>
      <w:rFonts w:ascii="Times New Roman" w:hAnsi="宋体" w:eastAsia="宋体"/>
      <w:sz w:val="18"/>
      <w:szCs w:val="18"/>
    </w:rPr>
  </w:style>
  <w:style w:type="paragraph" w:styleId="46">
    <w:name w:val="Body Text First Indent 2"/>
    <w:basedOn w:val="19"/>
    <w:qFormat/>
    <w:uiPriority w:val="0"/>
    <w:pPr>
      <w:spacing w:after="120"/>
      <w:ind w:left="420" w:leftChars="200" w:firstLine="420" w:firstLineChars="200"/>
    </w:pPr>
    <w:rPr>
      <w:rFonts w:ascii="Times New Roman" w:hAnsi="Times New Roman"/>
      <w:sz w:val="21"/>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22"/>
    <w:rPr>
      <w:b/>
    </w:rPr>
  </w:style>
  <w:style w:type="character" w:styleId="51">
    <w:name w:val="page number"/>
    <w:qFormat/>
    <w:uiPriority w:val="0"/>
  </w:style>
  <w:style w:type="character" w:styleId="52">
    <w:name w:val="FollowedHyperlink"/>
    <w:qFormat/>
    <w:uiPriority w:val="0"/>
    <w:rPr>
      <w:color w:val="2D64B3"/>
      <w:u w:val="none"/>
    </w:rPr>
  </w:style>
  <w:style w:type="character" w:styleId="53">
    <w:name w:val="Emphasis"/>
    <w:qFormat/>
    <w:uiPriority w:val="0"/>
  </w:style>
  <w:style w:type="character" w:styleId="54">
    <w:name w:val="HTML Definition"/>
    <w:qFormat/>
    <w:uiPriority w:val="0"/>
  </w:style>
  <w:style w:type="character" w:styleId="55">
    <w:name w:val="HTML Variable"/>
    <w:qFormat/>
    <w:uiPriority w:val="0"/>
  </w:style>
  <w:style w:type="character" w:styleId="56">
    <w:name w:val="Hyperlink"/>
    <w:qFormat/>
    <w:uiPriority w:val="99"/>
    <w:rPr>
      <w:color w:val="2D64B3"/>
      <w:u w:val="none"/>
    </w:rPr>
  </w:style>
  <w:style w:type="character" w:styleId="57">
    <w:name w:val="HTML Code"/>
    <w:qFormat/>
    <w:uiPriority w:val="0"/>
    <w:rPr>
      <w:rFonts w:hint="default" w:ascii="Arial" w:hAnsi="Arial" w:cs="Arial"/>
      <w:sz w:val="20"/>
    </w:rPr>
  </w:style>
  <w:style w:type="character" w:styleId="58">
    <w:name w:val="annotation reference"/>
    <w:qFormat/>
    <w:uiPriority w:val="0"/>
    <w:rPr>
      <w:sz w:val="21"/>
      <w:szCs w:val="21"/>
    </w:rPr>
  </w:style>
  <w:style w:type="character" w:styleId="59">
    <w:name w:val="HTML Cite"/>
    <w:qFormat/>
    <w:uiPriority w:val="0"/>
  </w:style>
  <w:style w:type="character" w:styleId="60">
    <w:name w:val="HTML Keyboard"/>
    <w:qFormat/>
    <w:uiPriority w:val="0"/>
    <w:rPr>
      <w:rFonts w:hint="eastAsia" w:ascii="Arial" w:hAnsi="Arial" w:cs="Arial"/>
      <w:sz w:val="20"/>
    </w:rPr>
  </w:style>
  <w:style w:type="character" w:styleId="61">
    <w:name w:val="HTML Sample"/>
    <w:qFormat/>
    <w:uiPriority w:val="0"/>
    <w:rPr>
      <w:rFonts w:hint="default" w:ascii="Arial" w:hAnsi="Arial" w:cs="Arial"/>
    </w:rPr>
  </w:style>
  <w:style w:type="character" w:customStyle="1" w:styleId="62">
    <w:name w:val="标题 1 字符"/>
    <w:link w:val="2"/>
    <w:qFormat/>
    <w:uiPriority w:val="0"/>
    <w:rPr>
      <w:rFonts w:eastAsia="宋体"/>
      <w:b/>
      <w:bCs/>
      <w:kern w:val="44"/>
      <w:sz w:val="44"/>
      <w:szCs w:val="44"/>
      <w:lang w:val="en-US" w:eastAsia="zh-CN" w:bidi="ar-SA"/>
    </w:rPr>
  </w:style>
  <w:style w:type="character" w:customStyle="1" w:styleId="63">
    <w:name w:val="标题 2 字符"/>
    <w:link w:val="3"/>
    <w:qFormat/>
    <w:uiPriority w:val="0"/>
    <w:rPr>
      <w:rFonts w:ascii="Arial" w:hAnsi="Arial" w:eastAsia="黑体"/>
      <w:b/>
      <w:bCs/>
      <w:kern w:val="2"/>
      <w:sz w:val="32"/>
      <w:szCs w:val="32"/>
      <w:lang w:val="en-US" w:eastAsia="zh-CN" w:bidi="ar-SA"/>
    </w:rPr>
  </w:style>
  <w:style w:type="character" w:customStyle="1" w:styleId="64">
    <w:name w:val="标题 3 字符"/>
    <w:link w:val="4"/>
    <w:qFormat/>
    <w:uiPriority w:val="0"/>
    <w:rPr>
      <w:rFonts w:eastAsia="宋体"/>
      <w:b/>
      <w:bCs/>
      <w:kern w:val="2"/>
      <w:sz w:val="32"/>
      <w:szCs w:val="32"/>
      <w:lang w:val="en-US" w:eastAsia="zh-CN" w:bidi="ar-SA"/>
    </w:rPr>
  </w:style>
  <w:style w:type="character" w:customStyle="1" w:styleId="65">
    <w:name w:val="标题 4 字符"/>
    <w:link w:val="5"/>
    <w:qFormat/>
    <w:uiPriority w:val="0"/>
    <w:rPr>
      <w:rFonts w:ascii="Arial" w:hAnsi="Arial" w:eastAsia="黑体"/>
      <w:b/>
      <w:bCs/>
      <w:kern w:val="2"/>
      <w:sz w:val="28"/>
      <w:szCs w:val="28"/>
      <w:lang w:val="en-US" w:eastAsia="zh-CN" w:bidi="ar-SA"/>
    </w:rPr>
  </w:style>
  <w:style w:type="character" w:customStyle="1" w:styleId="66">
    <w:name w:val="标题 5 字符"/>
    <w:link w:val="6"/>
    <w:qFormat/>
    <w:uiPriority w:val="0"/>
    <w:rPr>
      <w:rFonts w:eastAsia="宋体"/>
      <w:b/>
      <w:bCs/>
      <w:kern w:val="2"/>
      <w:sz w:val="28"/>
      <w:szCs w:val="28"/>
      <w:lang w:val="en-US" w:eastAsia="zh-CN" w:bidi="ar-SA"/>
    </w:rPr>
  </w:style>
  <w:style w:type="character" w:customStyle="1" w:styleId="67">
    <w:name w:val="标题 6 字符"/>
    <w:link w:val="7"/>
    <w:qFormat/>
    <w:uiPriority w:val="0"/>
    <w:rPr>
      <w:rFonts w:ascii="Arial" w:hAnsi="Arial" w:eastAsia="黑体"/>
      <w:b/>
      <w:bCs/>
      <w:kern w:val="2"/>
      <w:sz w:val="24"/>
      <w:szCs w:val="24"/>
      <w:lang w:val="en-US" w:eastAsia="zh-CN" w:bidi="ar-SA"/>
    </w:rPr>
  </w:style>
  <w:style w:type="character" w:customStyle="1" w:styleId="68">
    <w:name w:val="标题 7 字符"/>
    <w:link w:val="8"/>
    <w:qFormat/>
    <w:uiPriority w:val="0"/>
    <w:rPr>
      <w:rFonts w:eastAsia="宋体"/>
      <w:b/>
      <w:bCs/>
      <w:kern w:val="2"/>
      <w:sz w:val="24"/>
      <w:szCs w:val="24"/>
      <w:lang w:val="en-US" w:eastAsia="zh-CN" w:bidi="ar-SA"/>
    </w:rPr>
  </w:style>
  <w:style w:type="character" w:customStyle="1" w:styleId="69">
    <w:name w:val="标题 8 字符"/>
    <w:link w:val="9"/>
    <w:qFormat/>
    <w:uiPriority w:val="0"/>
    <w:rPr>
      <w:rFonts w:ascii="Arial" w:hAnsi="Arial" w:eastAsia="黑体"/>
      <w:kern w:val="2"/>
      <w:sz w:val="24"/>
      <w:szCs w:val="24"/>
      <w:lang w:val="en-US" w:eastAsia="zh-CN" w:bidi="ar-SA"/>
    </w:rPr>
  </w:style>
  <w:style w:type="character" w:customStyle="1" w:styleId="70">
    <w:name w:val="标题 9 字符"/>
    <w:link w:val="10"/>
    <w:qFormat/>
    <w:uiPriority w:val="0"/>
    <w:rPr>
      <w:rFonts w:ascii="Arial" w:hAnsi="Arial" w:eastAsia="黑体"/>
      <w:kern w:val="2"/>
      <w:sz w:val="21"/>
      <w:szCs w:val="21"/>
      <w:lang w:val="en-US" w:eastAsia="zh-CN" w:bidi="ar-SA"/>
    </w:rPr>
  </w:style>
  <w:style w:type="character" w:customStyle="1" w:styleId="71">
    <w:name w:val="文档结构图 字符"/>
    <w:link w:val="15"/>
    <w:qFormat/>
    <w:uiPriority w:val="0"/>
    <w:rPr>
      <w:rFonts w:eastAsia="宋体"/>
      <w:kern w:val="2"/>
      <w:sz w:val="21"/>
      <w:szCs w:val="24"/>
      <w:lang w:val="en-US" w:eastAsia="zh-CN" w:bidi="ar-SA"/>
    </w:rPr>
  </w:style>
  <w:style w:type="character" w:customStyle="1" w:styleId="72">
    <w:name w:val="批注文字 字符"/>
    <w:link w:val="16"/>
    <w:qFormat/>
    <w:uiPriority w:val="0"/>
    <w:rPr>
      <w:rFonts w:ascii="Calibri" w:hAnsi="Calibri" w:eastAsia="宋体"/>
      <w:sz w:val="24"/>
      <w:szCs w:val="24"/>
      <w:lang w:val="en-US" w:eastAsia="en-US" w:bidi="en-US"/>
    </w:rPr>
  </w:style>
  <w:style w:type="character" w:customStyle="1" w:styleId="73">
    <w:name w:val="正文文本 3 字符"/>
    <w:link w:val="17"/>
    <w:qFormat/>
    <w:uiPriority w:val="0"/>
    <w:rPr>
      <w:rFonts w:eastAsia="楷体_GB2312"/>
      <w:kern w:val="2"/>
      <w:sz w:val="15"/>
      <w:szCs w:val="16"/>
      <w:lang w:bidi="ar-SA"/>
    </w:rPr>
  </w:style>
  <w:style w:type="character" w:customStyle="1" w:styleId="74">
    <w:name w:val="正文文本 字符"/>
    <w:link w:val="18"/>
    <w:qFormat/>
    <w:uiPriority w:val="0"/>
    <w:rPr>
      <w:rFonts w:eastAsia="宋体"/>
      <w:kern w:val="2"/>
      <w:sz w:val="24"/>
      <w:szCs w:val="24"/>
      <w:lang w:val="en-US" w:eastAsia="zh-CN" w:bidi="ar-SA"/>
    </w:rPr>
  </w:style>
  <w:style w:type="character" w:customStyle="1" w:styleId="75">
    <w:name w:val="纯文本 字符"/>
    <w:link w:val="24"/>
    <w:qFormat/>
    <w:uiPriority w:val="0"/>
    <w:rPr>
      <w:rFonts w:ascii="宋体" w:hAnsi="Courier New" w:eastAsia="宋体"/>
      <w:kern w:val="2"/>
      <w:sz w:val="21"/>
      <w:lang w:bidi="ar-SA"/>
    </w:rPr>
  </w:style>
  <w:style w:type="character" w:customStyle="1" w:styleId="76">
    <w:name w:val="日期 字符"/>
    <w:link w:val="26"/>
    <w:semiHidden/>
    <w:qFormat/>
    <w:uiPriority w:val="0"/>
    <w:rPr>
      <w:rFonts w:eastAsia="宋体"/>
      <w:kern w:val="2"/>
      <w:sz w:val="21"/>
      <w:szCs w:val="24"/>
      <w:lang w:val="en-US" w:eastAsia="zh-CN" w:bidi="ar-SA"/>
    </w:rPr>
  </w:style>
  <w:style w:type="character" w:customStyle="1" w:styleId="77">
    <w:name w:val="批注框文本 字符"/>
    <w:link w:val="28"/>
    <w:qFormat/>
    <w:uiPriority w:val="0"/>
    <w:rPr>
      <w:rFonts w:eastAsia="宋体"/>
      <w:kern w:val="2"/>
      <w:sz w:val="18"/>
      <w:szCs w:val="18"/>
      <w:lang w:val="en-US" w:eastAsia="zh-CN" w:bidi="ar-SA"/>
    </w:rPr>
  </w:style>
  <w:style w:type="character" w:customStyle="1" w:styleId="78">
    <w:name w:val="页脚 字符"/>
    <w:link w:val="29"/>
    <w:qFormat/>
    <w:uiPriority w:val="0"/>
    <w:rPr>
      <w:rFonts w:eastAsia="宋体"/>
      <w:kern w:val="2"/>
      <w:sz w:val="18"/>
      <w:szCs w:val="18"/>
      <w:lang w:val="en-US" w:eastAsia="zh-CN" w:bidi="ar-SA"/>
    </w:rPr>
  </w:style>
  <w:style w:type="character" w:customStyle="1" w:styleId="79">
    <w:name w:val="页眉 字符"/>
    <w:link w:val="30"/>
    <w:qFormat/>
    <w:uiPriority w:val="0"/>
    <w:rPr>
      <w:rFonts w:eastAsia="宋体"/>
      <w:kern w:val="2"/>
      <w:sz w:val="18"/>
      <w:szCs w:val="18"/>
      <w:lang w:val="en-US" w:eastAsia="zh-CN" w:bidi="ar-SA"/>
    </w:rPr>
  </w:style>
  <w:style w:type="character" w:customStyle="1" w:styleId="80">
    <w:name w:val="普通(网站) 字符"/>
    <w:link w:val="41"/>
    <w:qFormat/>
    <w:locked/>
    <w:uiPriority w:val="0"/>
    <w:rPr>
      <w:rFonts w:ascii="宋体" w:hAnsi="宋体" w:eastAsia="宋体" w:cs="宋体"/>
      <w:sz w:val="24"/>
      <w:szCs w:val="24"/>
      <w:lang w:val="en-US" w:eastAsia="zh-CN" w:bidi="ar-SA"/>
    </w:rPr>
  </w:style>
  <w:style w:type="character" w:customStyle="1" w:styleId="81">
    <w:name w:val="标题 字符"/>
    <w:link w:val="43"/>
    <w:qFormat/>
    <w:uiPriority w:val="0"/>
    <w:rPr>
      <w:rFonts w:ascii="Arial" w:hAnsi="Arial"/>
      <w:b/>
      <w:sz w:val="32"/>
      <w:lang w:bidi="ar-SA"/>
    </w:rPr>
  </w:style>
  <w:style w:type="character" w:customStyle="1" w:styleId="82">
    <w:name w:val="正文首行缩进 字符"/>
    <w:link w:val="45"/>
    <w:qFormat/>
    <w:uiPriority w:val="0"/>
    <w:rPr>
      <w:rFonts w:hAnsi="宋体" w:eastAsia="宋体"/>
      <w:kern w:val="2"/>
      <w:sz w:val="18"/>
      <w:szCs w:val="18"/>
      <w:lang w:bidi="ar-SA"/>
    </w:rPr>
  </w:style>
  <w:style w:type="character" w:customStyle="1" w:styleId="83">
    <w:name w:val="文档结构图 Char Char"/>
    <w:link w:val="84"/>
    <w:qFormat/>
    <w:uiPriority w:val="0"/>
    <w:rPr>
      <w:szCs w:val="24"/>
      <w:shd w:val="clear" w:color="auto" w:fill="000080"/>
      <w:lang w:bidi="ar-SA"/>
    </w:rPr>
  </w:style>
  <w:style w:type="paragraph" w:customStyle="1" w:styleId="84">
    <w:name w:val="文档结构图1"/>
    <w:basedOn w:val="1"/>
    <w:link w:val="83"/>
    <w:qFormat/>
    <w:uiPriority w:val="0"/>
    <w:pPr>
      <w:shd w:val="clear" w:color="auto" w:fill="000080"/>
    </w:pPr>
    <w:rPr>
      <w:rFonts w:ascii="Times New Roman" w:hAnsi="Times New Roman" w:eastAsia="宋体"/>
      <w:kern w:val="0"/>
      <w:sz w:val="20"/>
      <w:shd w:val="clear" w:color="auto" w:fill="000080"/>
    </w:rPr>
  </w:style>
  <w:style w:type="character" w:customStyle="1" w:styleId="85">
    <w:name w:val="批注引用1"/>
    <w:qFormat/>
    <w:uiPriority w:val="0"/>
    <w:rPr>
      <w:sz w:val="21"/>
      <w:szCs w:val="21"/>
    </w:rPr>
  </w:style>
  <w:style w:type="character" w:customStyle="1" w:styleId="86">
    <w:name w:val="列出段落 字符"/>
    <w:link w:val="87"/>
    <w:qFormat/>
    <w:uiPriority w:val="0"/>
    <w:rPr>
      <w:rFonts w:ascii="Calibri" w:hAnsi="Calibri" w:eastAsia="宋体"/>
      <w:lang w:bidi="ar-SA"/>
    </w:rPr>
  </w:style>
  <w:style w:type="paragraph" w:styleId="87">
    <w:name w:val="List Paragraph"/>
    <w:basedOn w:val="1"/>
    <w:link w:val="86"/>
    <w:qFormat/>
    <w:uiPriority w:val="0"/>
    <w:pPr>
      <w:ind w:firstLine="420" w:firstLineChars="200"/>
    </w:pPr>
    <w:rPr>
      <w:rFonts w:eastAsia="宋体"/>
      <w:kern w:val="0"/>
      <w:sz w:val="20"/>
      <w:szCs w:val="20"/>
    </w:rPr>
  </w:style>
  <w:style w:type="character" w:customStyle="1" w:styleId="88">
    <w:name w:val="H2 Char"/>
    <w:qFormat/>
    <w:uiPriority w:val="0"/>
    <w:rPr>
      <w:rFonts w:ascii="Arial" w:hAnsi="Arial" w:eastAsia="黑体"/>
      <w:b/>
      <w:bCs/>
      <w:kern w:val="2"/>
      <w:sz w:val="32"/>
      <w:szCs w:val="32"/>
    </w:rPr>
  </w:style>
  <w:style w:type="character" w:customStyle="1" w:styleId="89">
    <w:name w:val="font41"/>
    <w:qFormat/>
    <w:uiPriority w:val="0"/>
    <w:rPr>
      <w:rFonts w:hint="eastAsia" w:ascii="宋体" w:hAnsi="宋体" w:eastAsia="宋体" w:cs="宋体"/>
      <w:color w:val="000000"/>
      <w:sz w:val="21"/>
      <w:szCs w:val="21"/>
      <w:u w:val="none"/>
    </w:rPr>
  </w:style>
  <w:style w:type="character" w:customStyle="1" w:styleId="90">
    <w:name w:val="font161"/>
    <w:qFormat/>
    <w:uiPriority w:val="0"/>
    <w:rPr>
      <w:rFonts w:hint="eastAsia" w:ascii="黑体" w:eastAsia="黑体" w:cs="黑体"/>
      <w:color w:val="000000"/>
      <w:sz w:val="24"/>
      <w:szCs w:val="24"/>
      <w:u w:val="none"/>
    </w:rPr>
  </w:style>
  <w:style w:type="character" w:customStyle="1" w:styleId="91">
    <w:name w:val="日期 Char"/>
    <w:link w:val="92"/>
    <w:qFormat/>
    <w:uiPriority w:val="0"/>
    <w:rPr>
      <w:szCs w:val="24"/>
      <w:lang w:bidi="ar-SA"/>
    </w:rPr>
  </w:style>
  <w:style w:type="paragraph" w:customStyle="1" w:styleId="92">
    <w:name w:val="日期1"/>
    <w:basedOn w:val="1"/>
    <w:next w:val="1"/>
    <w:link w:val="91"/>
    <w:qFormat/>
    <w:uiPriority w:val="0"/>
    <w:pPr>
      <w:ind w:left="100" w:leftChars="2500"/>
    </w:pPr>
    <w:rPr>
      <w:rFonts w:ascii="Times New Roman" w:hAnsi="Times New Roman" w:eastAsia="宋体"/>
      <w:kern w:val="0"/>
      <w:sz w:val="20"/>
    </w:rPr>
  </w:style>
  <w:style w:type="character" w:customStyle="1" w:styleId="93">
    <w:name w:val="样式 标题 1H1Heading 0R1H11H12H13H14H15H16H17H18H19H110... Char"/>
    <w:qFormat/>
    <w:uiPriority w:val="0"/>
    <w:rPr>
      <w:rFonts w:ascii="宋体" w:hAnsi="宋体" w:eastAsia="方正仿宋_GBK"/>
      <w:b/>
      <w:bCs/>
      <w:kern w:val="2"/>
      <w:sz w:val="32"/>
      <w:szCs w:val="32"/>
    </w:rPr>
  </w:style>
  <w:style w:type="character" w:customStyle="1" w:styleId="94">
    <w:name w:val="正文文本缩进 Char"/>
    <w:link w:val="95"/>
    <w:qFormat/>
    <w:uiPriority w:val="0"/>
    <w:rPr>
      <w:szCs w:val="24"/>
      <w:lang w:bidi="ar-SA"/>
    </w:rPr>
  </w:style>
  <w:style w:type="paragraph" w:customStyle="1" w:styleId="95">
    <w:name w:val="正文文本缩进1"/>
    <w:basedOn w:val="1"/>
    <w:link w:val="94"/>
    <w:qFormat/>
    <w:uiPriority w:val="0"/>
    <w:pPr>
      <w:spacing w:after="120"/>
      <w:ind w:left="420" w:leftChars="200"/>
    </w:pPr>
    <w:rPr>
      <w:rFonts w:ascii="Times New Roman" w:hAnsi="Times New Roman" w:eastAsia="宋体"/>
      <w:kern w:val="0"/>
      <w:sz w:val="20"/>
    </w:rPr>
  </w:style>
  <w:style w:type="character" w:customStyle="1" w:styleId="96">
    <w:name w:val="font141"/>
    <w:qFormat/>
    <w:uiPriority w:val="0"/>
    <w:rPr>
      <w:rFonts w:hint="eastAsia" w:ascii="黑体" w:eastAsia="黑体" w:cs="黑体"/>
      <w:color w:val="000000"/>
      <w:sz w:val="24"/>
      <w:szCs w:val="24"/>
      <w:u w:val="none"/>
      <w:vertAlign w:val="superscript"/>
    </w:rPr>
  </w:style>
  <w:style w:type="character" w:customStyle="1" w:styleId="97">
    <w:name w:val="正文文本缩进 2 Char"/>
    <w:link w:val="98"/>
    <w:qFormat/>
    <w:uiPriority w:val="0"/>
    <w:rPr>
      <w:szCs w:val="24"/>
      <w:lang w:bidi="ar-SA"/>
    </w:rPr>
  </w:style>
  <w:style w:type="paragraph" w:customStyle="1" w:styleId="98">
    <w:name w:val="正文文本缩进 21"/>
    <w:basedOn w:val="1"/>
    <w:link w:val="97"/>
    <w:qFormat/>
    <w:uiPriority w:val="0"/>
    <w:pPr>
      <w:spacing w:after="120" w:line="480" w:lineRule="auto"/>
      <w:ind w:left="420" w:leftChars="200"/>
    </w:pPr>
    <w:rPr>
      <w:rFonts w:ascii="Times New Roman" w:hAnsi="Times New Roman" w:eastAsia="宋体"/>
      <w:kern w:val="0"/>
      <w:sz w:val="20"/>
    </w:rPr>
  </w:style>
  <w:style w:type="character" w:customStyle="1" w:styleId="99">
    <w:name w:val="font131"/>
    <w:qFormat/>
    <w:uiPriority w:val="0"/>
    <w:rPr>
      <w:rFonts w:ascii="Arial" w:hAnsi="Arial" w:cs="Arial"/>
      <w:color w:val="333333"/>
      <w:sz w:val="24"/>
      <w:szCs w:val="24"/>
      <w:u w:val="none"/>
    </w:rPr>
  </w:style>
  <w:style w:type="character" w:customStyle="1" w:styleId="100">
    <w:name w:val="num10"/>
    <w:qFormat/>
    <w:uiPriority w:val="0"/>
    <w:rPr>
      <w:b/>
      <w:color w:val="FF7800"/>
    </w:rPr>
  </w:style>
  <w:style w:type="character" w:customStyle="1" w:styleId="101">
    <w:name w:val="announ-title1"/>
    <w:qFormat/>
    <w:uiPriority w:val="0"/>
  </w:style>
  <w:style w:type="character" w:customStyle="1" w:styleId="102">
    <w:name w:val="正文缩进 Char"/>
    <w:link w:val="103"/>
    <w:qFormat/>
    <w:uiPriority w:val="0"/>
    <w:rPr>
      <w:szCs w:val="21"/>
      <w:lang w:bidi="ar-SA"/>
    </w:rPr>
  </w:style>
  <w:style w:type="paragraph" w:customStyle="1" w:styleId="103">
    <w:name w:val="正文缩进2"/>
    <w:basedOn w:val="1"/>
    <w:link w:val="102"/>
    <w:qFormat/>
    <w:uiPriority w:val="0"/>
    <w:pPr>
      <w:tabs>
        <w:tab w:val="left" w:pos="284"/>
        <w:tab w:val="left" w:pos="7080"/>
      </w:tabs>
      <w:spacing w:line="360" w:lineRule="auto"/>
      <w:jc w:val="left"/>
    </w:pPr>
    <w:rPr>
      <w:rFonts w:ascii="Times New Roman" w:hAnsi="Times New Roman" w:eastAsia="宋体"/>
      <w:kern w:val="0"/>
      <w:sz w:val="20"/>
      <w:szCs w:val="21"/>
    </w:rPr>
  </w:style>
  <w:style w:type="character" w:customStyle="1" w:styleId="104">
    <w:name w:val="release-day"/>
    <w:qFormat/>
    <w:uiPriority w:val="0"/>
    <w:rPr>
      <w:bdr w:val="single" w:color="BDEBB0" w:sz="6" w:space="0"/>
      <w:shd w:val="clear" w:color="auto" w:fill="F5FFF1"/>
    </w:rPr>
  </w:style>
  <w:style w:type="character" w:customStyle="1" w:styleId="105">
    <w:name w:val="phone"/>
    <w:qFormat/>
    <w:uiPriority w:val="0"/>
    <w:rPr>
      <w:color w:val="FF8833"/>
      <w:sz w:val="18"/>
      <w:szCs w:val="18"/>
    </w:rPr>
  </w:style>
  <w:style w:type="character" w:customStyle="1" w:styleId="106">
    <w:name w:val="number"/>
    <w:qFormat/>
    <w:uiPriority w:val="0"/>
    <w:rPr>
      <w:color w:val="FF8833"/>
      <w:sz w:val="18"/>
      <w:szCs w:val="18"/>
    </w:rPr>
  </w:style>
  <w:style w:type="character" w:customStyle="1" w:styleId="107">
    <w:name w:val="批注主题 Char"/>
    <w:link w:val="108"/>
    <w:qFormat/>
    <w:uiPriority w:val="0"/>
    <w:rPr>
      <w:b/>
      <w:bCs/>
      <w:szCs w:val="24"/>
      <w:lang w:bidi="ar-SA"/>
    </w:rPr>
  </w:style>
  <w:style w:type="paragraph" w:customStyle="1" w:styleId="108">
    <w:name w:val="批注主题1"/>
    <w:basedOn w:val="16"/>
    <w:next w:val="16"/>
    <w:link w:val="107"/>
    <w:qFormat/>
    <w:uiPriority w:val="0"/>
    <w:pPr>
      <w:widowControl w:val="0"/>
    </w:pPr>
    <w:rPr>
      <w:rFonts w:ascii="Times New Roman" w:hAnsi="Times New Roman"/>
      <w:b/>
      <w:bCs/>
      <w:sz w:val="20"/>
      <w:lang w:bidi="ar-SA"/>
    </w:rPr>
  </w:style>
  <w:style w:type="character" w:customStyle="1" w:styleId="109">
    <w:name w:val="标题 2(不分页) Char Char"/>
    <w:qFormat/>
    <w:uiPriority w:val="0"/>
    <w:rPr>
      <w:rFonts w:hint="eastAsia" w:ascii="黑体" w:eastAsia="黑体"/>
      <w:b/>
      <w:sz w:val="36"/>
    </w:rPr>
  </w:style>
  <w:style w:type="character" w:customStyle="1" w:styleId="110">
    <w:name w:val="stclosebtn"/>
    <w:qFormat/>
    <w:uiPriority w:val="0"/>
  </w:style>
  <w:style w:type="character" w:customStyle="1" w:styleId="111">
    <w:name w:val="legend"/>
    <w:qFormat/>
    <w:uiPriority w:val="0"/>
    <w:rPr>
      <w:rFonts w:hint="default" w:ascii="Arial" w:hAnsi="Arial" w:cs="Arial"/>
      <w:b/>
      <w:color w:val="73B304"/>
      <w:sz w:val="21"/>
      <w:szCs w:val="21"/>
      <w:shd w:val="clear" w:color="auto" w:fill="FFFFFF"/>
    </w:rPr>
  </w:style>
  <w:style w:type="character" w:customStyle="1" w:styleId="112">
    <w:name w:val="纯文本 Char"/>
    <w:link w:val="113"/>
    <w:qFormat/>
    <w:uiPriority w:val="0"/>
    <w:rPr>
      <w:rFonts w:ascii="宋体" w:hAnsi="Courier New" w:eastAsia="宋体"/>
      <w:lang w:bidi="ar-SA"/>
    </w:rPr>
  </w:style>
  <w:style w:type="paragraph" w:customStyle="1" w:styleId="113">
    <w:name w:val="纯文本1"/>
    <w:basedOn w:val="1"/>
    <w:link w:val="112"/>
    <w:qFormat/>
    <w:uiPriority w:val="0"/>
    <w:pPr>
      <w:widowControl/>
      <w:topLinePunct/>
      <w:ind w:right="-79"/>
    </w:pPr>
    <w:rPr>
      <w:rFonts w:ascii="宋体" w:hAnsi="Courier New" w:eastAsia="宋体"/>
      <w:kern w:val="0"/>
      <w:sz w:val="20"/>
      <w:szCs w:val="20"/>
    </w:rPr>
  </w:style>
  <w:style w:type="character" w:customStyle="1" w:styleId="114">
    <w:name w:val="font171"/>
    <w:qFormat/>
    <w:uiPriority w:val="0"/>
    <w:rPr>
      <w:rFonts w:hint="default" w:ascii="Calibri" w:hAnsi="Calibri" w:cs="Calibri"/>
      <w:color w:val="000000"/>
      <w:sz w:val="21"/>
      <w:szCs w:val="21"/>
      <w:u w:val="none"/>
    </w:rPr>
  </w:style>
  <w:style w:type="character" w:customStyle="1" w:styleId="115">
    <w:name w:val="font31"/>
    <w:qFormat/>
    <w:uiPriority w:val="0"/>
    <w:rPr>
      <w:rFonts w:hint="eastAsia" w:ascii="黑体" w:eastAsia="黑体" w:cs="黑体"/>
      <w:color w:val="000000"/>
      <w:sz w:val="21"/>
      <w:szCs w:val="21"/>
      <w:u w:val="none"/>
    </w:rPr>
  </w:style>
  <w:style w:type="character" w:customStyle="1" w:styleId="116">
    <w:name w:val="样式 标题 1H1Heading 0R1H11H12H13H14H15H16H17H18H19H110... Char Char"/>
    <w:link w:val="117"/>
    <w:qFormat/>
    <w:uiPriority w:val="0"/>
    <w:rPr>
      <w:rFonts w:ascii="宋体" w:hAnsi="宋体" w:eastAsia="方正仿宋_GBK"/>
      <w:b/>
      <w:bCs/>
      <w:kern w:val="2"/>
      <w:sz w:val="32"/>
      <w:szCs w:val="32"/>
      <w:lang w:bidi="ar-SA"/>
    </w:rPr>
  </w:style>
  <w:style w:type="paragraph" w:customStyle="1" w:styleId="117">
    <w:name w:val="样式 标题 1H1Heading 0R1H11H12H13H14H15H16H17H18H19H110..."/>
    <w:basedOn w:val="2"/>
    <w:link w:val="116"/>
    <w:qFormat/>
    <w:uiPriority w:val="0"/>
    <w:pPr>
      <w:tabs>
        <w:tab w:val="left" w:pos="2410"/>
      </w:tabs>
      <w:spacing w:before="260" w:after="260" w:line="360" w:lineRule="auto"/>
      <w:jc w:val="left"/>
    </w:pPr>
    <w:rPr>
      <w:rFonts w:ascii="宋体" w:hAnsi="宋体" w:eastAsia="方正仿宋_GBK"/>
      <w:kern w:val="2"/>
      <w:sz w:val="32"/>
      <w:szCs w:val="32"/>
    </w:rPr>
  </w:style>
  <w:style w:type="character" w:customStyle="1" w:styleId="118">
    <w:name w:val="proollist"/>
    <w:qFormat/>
    <w:uiPriority w:val="0"/>
  </w:style>
  <w:style w:type="character" w:customStyle="1" w:styleId="119">
    <w:name w:val="标题 Char1"/>
    <w:qFormat/>
    <w:uiPriority w:val="0"/>
    <w:rPr>
      <w:rFonts w:ascii="Cambria" w:hAnsi="Cambria" w:eastAsia="宋体" w:cs="Times New Roman"/>
      <w:b/>
      <w:bCs/>
      <w:sz w:val="32"/>
      <w:szCs w:val="32"/>
    </w:rPr>
  </w:style>
  <w:style w:type="character" w:customStyle="1" w:styleId="120">
    <w:name w:val="列出段落 Char"/>
    <w:link w:val="121"/>
    <w:qFormat/>
    <w:uiPriority w:val="0"/>
    <w:rPr>
      <w:rFonts w:ascii="Calibri" w:hAnsi="Calibri"/>
      <w:lang w:bidi="ar-SA"/>
    </w:rPr>
  </w:style>
  <w:style w:type="paragraph" w:customStyle="1" w:styleId="121">
    <w:name w:val="列出段落1"/>
    <w:basedOn w:val="1"/>
    <w:link w:val="120"/>
    <w:qFormat/>
    <w:uiPriority w:val="0"/>
    <w:pPr>
      <w:ind w:firstLine="420" w:firstLineChars="200"/>
    </w:pPr>
    <w:rPr>
      <w:rFonts w:eastAsia="宋体"/>
      <w:kern w:val="0"/>
      <w:sz w:val="20"/>
      <w:szCs w:val="20"/>
    </w:rPr>
  </w:style>
  <w:style w:type="character" w:customStyle="1" w:styleId="122">
    <w:name w:val="font121"/>
    <w:qFormat/>
    <w:uiPriority w:val="0"/>
    <w:rPr>
      <w:rFonts w:hint="eastAsia" w:ascii="宋体" w:hAnsi="宋体" w:eastAsia="宋体" w:cs="宋体"/>
      <w:color w:val="333333"/>
      <w:sz w:val="24"/>
      <w:szCs w:val="24"/>
      <w:u w:val="none"/>
    </w:rPr>
  </w:style>
  <w:style w:type="character" w:customStyle="1" w:styleId="123">
    <w:name w:val="font11"/>
    <w:qFormat/>
    <w:uiPriority w:val="0"/>
    <w:rPr>
      <w:rFonts w:hint="default" w:ascii="Arial" w:hAnsi="Arial" w:cs="Arial"/>
      <w:color w:val="000000"/>
      <w:sz w:val="20"/>
      <w:szCs w:val="20"/>
      <w:u w:val="none"/>
    </w:rPr>
  </w:style>
  <w:style w:type="character" w:customStyle="1" w:styleId="124">
    <w:name w:val="Plain Text Char"/>
    <w:qFormat/>
    <w:locked/>
    <w:uiPriority w:val="0"/>
    <w:rPr>
      <w:rFonts w:ascii="宋体" w:hAnsi="Courier New" w:eastAsia="宋体" w:cs="Times New Roman"/>
      <w:kern w:val="0"/>
      <w:sz w:val="20"/>
      <w:szCs w:val="20"/>
    </w:rPr>
  </w:style>
  <w:style w:type="character" w:customStyle="1" w:styleId="125">
    <w:name w:val="font71"/>
    <w:qFormat/>
    <w:uiPriority w:val="0"/>
    <w:rPr>
      <w:rFonts w:hint="eastAsia" w:ascii="宋体" w:hAnsi="宋体" w:eastAsia="宋体" w:cs="宋体"/>
      <w:color w:val="000000"/>
      <w:sz w:val="21"/>
      <w:szCs w:val="21"/>
      <w:u w:val="none"/>
    </w:rPr>
  </w:style>
  <w:style w:type="character" w:customStyle="1" w:styleId="126">
    <w:name w:val="apple-style-span"/>
    <w:qFormat/>
    <w:uiPriority w:val="0"/>
  </w:style>
  <w:style w:type="character" w:customStyle="1" w:styleId="127">
    <w:name w:val="文本正文 Char Char Char"/>
    <w:link w:val="128"/>
    <w:qFormat/>
    <w:uiPriority w:val="0"/>
    <w:rPr>
      <w:rFonts w:eastAsia="宋体" w:cs="宋体"/>
      <w:kern w:val="2"/>
      <w:sz w:val="24"/>
      <w:szCs w:val="24"/>
      <w:lang w:val="en-US" w:eastAsia="zh-CN" w:bidi="ar-SA"/>
    </w:rPr>
  </w:style>
  <w:style w:type="paragraph" w:customStyle="1" w:styleId="128">
    <w:name w:val="文本正文 Char"/>
    <w:basedOn w:val="1"/>
    <w:link w:val="127"/>
    <w:qFormat/>
    <w:uiPriority w:val="0"/>
    <w:pPr>
      <w:spacing w:line="360" w:lineRule="auto"/>
      <w:ind w:firstLine="200" w:firstLineChars="200"/>
    </w:pPr>
    <w:rPr>
      <w:rFonts w:ascii="Times New Roman" w:hAnsi="Times New Roman" w:eastAsia="宋体" w:cs="宋体"/>
    </w:rPr>
  </w:style>
  <w:style w:type="character" w:customStyle="1" w:styleId="129">
    <w:name w:val="font91"/>
    <w:qFormat/>
    <w:uiPriority w:val="0"/>
    <w:rPr>
      <w:rFonts w:hint="default" w:ascii="Times New Roman" w:hAnsi="Times New Roman" w:cs="Times New Roman"/>
      <w:color w:val="000000"/>
      <w:sz w:val="20"/>
      <w:szCs w:val="20"/>
      <w:u w:val="none"/>
    </w:rPr>
  </w:style>
  <w:style w:type="character" w:customStyle="1" w:styleId="130">
    <w:name w:val="font112"/>
    <w:qFormat/>
    <w:uiPriority w:val="0"/>
    <w:rPr>
      <w:rFonts w:hint="eastAsia" w:ascii="宋体" w:hAnsi="宋体" w:eastAsia="宋体" w:cs="宋体"/>
      <w:color w:val="000000"/>
      <w:sz w:val="21"/>
      <w:szCs w:val="21"/>
      <w:u w:val="none"/>
    </w:rPr>
  </w:style>
  <w:style w:type="character" w:customStyle="1" w:styleId="131">
    <w:name w:val="font151"/>
    <w:qFormat/>
    <w:uiPriority w:val="0"/>
    <w:rPr>
      <w:rFonts w:hint="default" w:ascii="Times New Roman" w:hAnsi="Times New Roman" w:cs="Times New Roman"/>
      <w:color w:val="000000"/>
      <w:sz w:val="24"/>
      <w:szCs w:val="24"/>
      <w:u w:val="none"/>
    </w:rPr>
  </w:style>
  <w:style w:type="character" w:customStyle="1" w:styleId="132">
    <w:name w:val="font01"/>
    <w:qFormat/>
    <w:uiPriority w:val="0"/>
    <w:rPr>
      <w:rFonts w:hint="eastAsia" w:ascii="宋体" w:hAnsi="宋体" w:eastAsia="宋体"/>
      <w:color w:val="000000"/>
      <w:sz w:val="22"/>
      <w:szCs w:val="22"/>
      <w:u w:val="none"/>
    </w:rPr>
  </w:style>
  <w:style w:type="character" w:customStyle="1" w:styleId="133">
    <w:name w:val="font61"/>
    <w:qFormat/>
    <w:uiPriority w:val="0"/>
    <w:rPr>
      <w:rFonts w:hint="eastAsia" w:ascii="宋体" w:hAnsi="宋体" w:eastAsia="宋体" w:cs="宋体"/>
      <w:color w:val="000000"/>
      <w:sz w:val="20"/>
      <w:szCs w:val="20"/>
      <w:u w:val="none"/>
    </w:rPr>
  </w:style>
  <w:style w:type="character" w:customStyle="1" w:styleId="134">
    <w:name w:val="font51"/>
    <w:qFormat/>
    <w:uiPriority w:val="0"/>
    <w:rPr>
      <w:rFonts w:hint="default" w:ascii="Times New Roman" w:hAnsi="Times New Roman" w:cs="Times New Roman"/>
      <w:color w:val="000000"/>
      <w:sz w:val="20"/>
      <w:szCs w:val="20"/>
      <w:u w:val="none"/>
    </w:rPr>
  </w:style>
  <w:style w:type="character" w:customStyle="1" w:styleId="135">
    <w:name w:val="font81"/>
    <w:qFormat/>
    <w:uiPriority w:val="0"/>
    <w:rPr>
      <w:rFonts w:hint="eastAsia" w:ascii="黑体" w:eastAsia="黑体" w:cs="黑体"/>
      <w:color w:val="000000"/>
      <w:sz w:val="21"/>
      <w:szCs w:val="21"/>
      <w:u w:val="none"/>
    </w:rPr>
  </w:style>
  <w:style w:type="character" w:customStyle="1" w:styleId="136">
    <w:name w:val="font101"/>
    <w:qFormat/>
    <w:uiPriority w:val="0"/>
    <w:rPr>
      <w:rFonts w:hint="eastAsia" w:ascii="黑体" w:eastAsia="黑体" w:cs="黑体"/>
      <w:color w:val="333333"/>
      <w:sz w:val="24"/>
      <w:szCs w:val="24"/>
      <w:u w:val="none"/>
    </w:rPr>
  </w:style>
  <w:style w:type="character" w:customStyle="1" w:styleId="137">
    <w:name w:val="H3 Char"/>
    <w:qFormat/>
    <w:uiPriority w:val="0"/>
    <w:rPr>
      <w:rFonts w:ascii="Times New Roman" w:hAnsi="Times New Roman"/>
      <w:b/>
      <w:bCs/>
      <w:kern w:val="2"/>
      <w:sz w:val="32"/>
      <w:szCs w:val="32"/>
    </w:rPr>
  </w:style>
  <w:style w:type="character" w:customStyle="1" w:styleId="138">
    <w:name w:val="font21"/>
    <w:qFormat/>
    <w:uiPriority w:val="0"/>
    <w:rPr>
      <w:rFonts w:ascii="宋体" w:hAnsi="宋体" w:eastAsia="宋体" w:cs="宋体"/>
      <w:color w:val="000000"/>
      <w:sz w:val="20"/>
      <w:szCs w:val="20"/>
      <w:u w:val="none"/>
    </w:rPr>
  </w:style>
  <w:style w:type="character" w:customStyle="1" w:styleId="139">
    <w:name w:val="font111"/>
    <w:qFormat/>
    <w:uiPriority w:val="0"/>
    <w:rPr>
      <w:rFonts w:hint="eastAsia" w:ascii="宋体" w:hAnsi="宋体" w:eastAsia="宋体" w:cs="宋体"/>
      <w:color w:val="000000"/>
      <w:sz w:val="24"/>
      <w:szCs w:val="24"/>
      <w:u w:val="none"/>
    </w:rPr>
  </w:style>
  <w:style w:type="character" w:customStyle="1" w:styleId="140">
    <w:name w:val="beforeinfotext"/>
    <w:qFormat/>
    <w:uiPriority w:val="0"/>
    <w:rPr>
      <w:color w:val="666666"/>
    </w:rPr>
  </w:style>
  <w:style w:type="character" w:customStyle="1" w:styleId="141">
    <w:name w:val="paragraph1 Char Char"/>
    <w:link w:val="142"/>
    <w:qFormat/>
    <w:uiPriority w:val="0"/>
    <w:rPr>
      <w:rFonts w:ascii="Arial" w:hAnsi="Arial" w:eastAsia="宋体"/>
      <w:kern w:val="2"/>
      <w:sz w:val="24"/>
      <w:szCs w:val="24"/>
      <w:lang w:bidi="ar-SA"/>
    </w:rPr>
  </w:style>
  <w:style w:type="paragraph" w:customStyle="1" w:styleId="142">
    <w:name w:val="paragraph1"/>
    <w:basedOn w:val="1"/>
    <w:link w:val="141"/>
    <w:qFormat/>
    <w:uiPriority w:val="0"/>
    <w:pPr>
      <w:spacing w:after="93" w:afterLines="30" w:line="360" w:lineRule="auto"/>
      <w:ind w:firstLine="480" w:firstLineChars="200"/>
    </w:pPr>
    <w:rPr>
      <w:rFonts w:ascii="Arial" w:hAnsi="Arial" w:eastAsia="宋体"/>
    </w:rPr>
  </w:style>
  <w:style w:type="paragraph" w:customStyle="1" w:styleId="143">
    <w:name w:val="È±Ê¡ÎÄ±¾"/>
    <w:basedOn w:val="1"/>
    <w:qFormat/>
    <w:uiPriority w:val="0"/>
    <w:pPr>
      <w:widowControl/>
      <w:overflowPunct w:val="0"/>
      <w:autoSpaceDE w:val="0"/>
      <w:autoSpaceDN w:val="0"/>
      <w:adjustRightInd w:val="0"/>
      <w:spacing w:line="360" w:lineRule="auto"/>
      <w:textAlignment w:val="baseline"/>
    </w:pPr>
    <w:rPr>
      <w:kern w:val="0"/>
      <w:szCs w:val="20"/>
    </w:rPr>
  </w:style>
  <w:style w:type="paragraph" w:customStyle="1" w:styleId="144">
    <w:name w:val="±íÉí"/>
    <w:basedOn w:val="1"/>
    <w:qFormat/>
    <w:uiPriority w:val="0"/>
    <w:pPr>
      <w:widowControl/>
      <w:overflowPunct w:val="0"/>
      <w:autoSpaceDE w:val="0"/>
      <w:autoSpaceDN w:val="0"/>
      <w:adjustRightInd w:val="0"/>
      <w:spacing w:line="300" w:lineRule="auto"/>
      <w:jc w:val="left"/>
      <w:textAlignment w:val="baseline"/>
    </w:pPr>
    <w:rPr>
      <w:kern w:val="0"/>
      <w:sz w:val="18"/>
      <w:szCs w:val="20"/>
    </w:rPr>
  </w:style>
  <w:style w:type="paragraph" w:customStyle="1" w:styleId="145">
    <w:name w:val="xl67"/>
    <w:basedOn w:val="1"/>
    <w:qFormat/>
    <w:uiPriority w:val="0"/>
    <w:pPr>
      <w:widowControl/>
      <w:pBdr>
        <w:bottom w:val="single" w:color="auto" w:sz="4" w:space="0"/>
      </w:pBdr>
      <w:spacing w:before="100" w:beforeAutospacing="1" w:after="100" w:afterAutospacing="1"/>
      <w:jc w:val="left"/>
    </w:pPr>
    <w:rPr>
      <w:rFonts w:ascii="宋体" w:hAnsi="宋体" w:cs="宋体"/>
      <w:kern w:val="0"/>
      <w:sz w:val="24"/>
    </w:rPr>
  </w:style>
  <w:style w:type="paragraph" w:customStyle="1" w:styleId="14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47">
    <w:name w:val=" Char Char1 Char Char Char Char Char Char"/>
    <w:basedOn w:val="1"/>
    <w:qFormat/>
    <w:uiPriority w:val="0"/>
    <w:pPr>
      <w:widowControl/>
      <w:spacing w:after="160" w:afterLines="0" w:line="240" w:lineRule="exact"/>
      <w:jc w:val="left"/>
    </w:pPr>
  </w:style>
  <w:style w:type="paragraph" w:customStyle="1" w:styleId="148">
    <w:name w:val="xl68"/>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4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0">
    <w:name w:val="_Style 99"/>
    <w:basedOn w:val="15"/>
    <w:qFormat/>
    <w:uiPriority w:val="0"/>
    <w:rPr>
      <w:rFonts w:ascii="Tahoma" w:hAnsi="Tahoma"/>
      <w:sz w:val="24"/>
    </w:rPr>
  </w:style>
  <w:style w:type="paragraph" w:customStyle="1" w:styleId="151">
    <w:name w:val=" Char Char1 Char"/>
    <w:basedOn w:val="1"/>
    <w:qFormat/>
    <w:uiPriority w:val="0"/>
    <w:rPr>
      <w:szCs w:val="20"/>
    </w:rPr>
  </w:style>
  <w:style w:type="paragraph" w:customStyle="1" w:styleId="152">
    <w:name w:val="正文首行缩进1"/>
    <w:basedOn w:val="18"/>
    <w:qFormat/>
    <w:uiPriority w:val="0"/>
    <w:rPr>
      <w:rFonts w:hAnsi="宋体"/>
      <w:sz w:val="18"/>
      <w:szCs w:val="18"/>
    </w:rPr>
  </w:style>
  <w:style w:type="paragraph" w:customStyle="1" w:styleId="153">
    <w:name w:val="正文缩进1"/>
    <w:basedOn w:val="1"/>
    <w:qFormat/>
    <w:uiPriority w:val="0"/>
    <w:pPr>
      <w:tabs>
        <w:tab w:val="left" w:pos="7080"/>
      </w:tabs>
      <w:spacing w:line="360" w:lineRule="auto"/>
    </w:pPr>
    <w:rPr>
      <w:sz w:val="24"/>
      <w:szCs w:val="21"/>
    </w:rPr>
  </w:style>
  <w:style w:type="paragraph" w:customStyle="1" w:styleId="15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55">
    <w:name w:val="xl7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56">
    <w:name w:val="title11"/>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157">
    <w:name w:val="title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8">
    <w:name w:val="表格正文"/>
    <w:basedOn w:val="1"/>
    <w:qFormat/>
    <w:uiPriority w:val="0"/>
    <w:pPr>
      <w:widowControl/>
      <w:overflowPunct w:val="0"/>
      <w:adjustRightInd w:val="0"/>
      <w:spacing w:before="60" w:after="60" w:line="240" w:lineRule="exact"/>
      <w:textAlignment w:val="baseline"/>
    </w:pPr>
    <w:rPr>
      <w:kern w:val="0"/>
      <w:sz w:val="24"/>
      <w:szCs w:val="20"/>
    </w:rPr>
  </w:style>
  <w:style w:type="paragraph" w:customStyle="1" w:styleId="159">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_Style 10"/>
    <w:basedOn w:val="1"/>
    <w:qFormat/>
    <w:uiPriority w:val="0"/>
    <w:rPr>
      <w:szCs w:val="20"/>
    </w:rPr>
  </w:style>
  <w:style w:type="paragraph" w:customStyle="1" w:styleId="161">
    <w:name w:val="List Paragraph1"/>
    <w:basedOn w:val="1"/>
    <w:qFormat/>
    <w:uiPriority w:val="0"/>
    <w:pPr>
      <w:ind w:firstLine="420" w:firstLineChars="200"/>
    </w:pPr>
  </w:style>
  <w:style w:type="paragraph" w:customStyle="1" w:styleId="162">
    <w:name w:val="正文（绿盟科技）"/>
    <w:qFormat/>
    <w:uiPriority w:val="0"/>
    <w:pPr>
      <w:spacing w:line="300" w:lineRule="auto"/>
    </w:pPr>
    <w:rPr>
      <w:rFonts w:ascii="仿宋_GB2312" w:hAnsi="仿宋_GB2312" w:eastAsia="仿宋_GB2312" w:cs="Times New Roman"/>
      <w:kern w:val="2"/>
      <w:sz w:val="21"/>
      <w:szCs w:val="21"/>
      <w:lang w:val="en-US" w:eastAsia="zh-CN" w:bidi="ar-SA"/>
    </w:rPr>
  </w:style>
  <w:style w:type="paragraph" w:customStyle="1" w:styleId="163">
    <w:name w:val="xl7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64">
    <w:name w:val="列出段落2"/>
    <w:basedOn w:val="1"/>
    <w:qFormat/>
    <w:uiPriority w:val="99"/>
    <w:pPr>
      <w:ind w:firstLine="420" w:firstLineChars="200"/>
    </w:pPr>
    <w:rPr>
      <w:rFonts w:ascii="Calibri" w:hAnsi="Calibri"/>
      <w:szCs w:val="22"/>
    </w:rPr>
  </w:style>
  <w:style w:type="paragraph" w:customStyle="1" w:styleId="165">
    <w:name w:val="xl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66">
    <w:name w:val="表格文字"/>
    <w:basedOn w:val="1"/>
    <w:qFormat/>
    <w:uiPriority w:val="99"/>
    <w:pPr>
      <w:snapToGrid w:val="0"/>
      <w:jc w:val="center"/>
    </w:pPr>
    <w:rPr>
      <w:rFonts w:eastAsia="仿宋_GB2312"/>
      <w:spacing w:val="-20"/>
      <w:szCs w:val="21"/>
    </w:rPr>
  </w:style>
  <w:style w:type="paragraph" w:customStyle="1" w:styleId="167">
    <w:name w:val=" Char1"/>
    <w:basedOn w:val="1"/>
    <w:qFormat/>
    <w:uiPriority w:val="0"/>
    <w:rPr>
      <w:rFonts w:ascii="仿宋_GB2312" w:eastAsia="仿宋_GB2312"/>
      <w:b/>
      <w:sz w:val="32"/>
      <w:szCs w:val="32"/>
    </w:rPr>
  </w:style>
  <w:style w:type="paragraph" w:customStyle="1" w:styleId="168">
    <w:name w:val="Normal0"/>
    <w:qFormat/>
    <w:uiPriority w:val="0"/>
    <w:rPr>
      <w:rFonts w:ascii="Times New Roman" w:hAnsi="Times New Roman" w:eastAsia="宋体" w:cs="Times New Roman"/>
      <w:lang w:val="en-US" w:eastAsia="en-US" w:bidi="ar-SA"/>
    </w:rPr>
  </w:style>
  <w:style w:type="paragraph" w:customStyle="1" w:styleId="169">
    <w:name w:val=" Char Char Char Char Char Char1 Char"/>
    <w:basedOn w:val="15"/>
    <w:qFormat/>
    <w:uiPriority w:val="0"/>
    <w:rPr>
      <w:rFonts w:ascii="Tahoma" w:hAnsi="Tahoma"/>
      <w:sz w:val="24"/>
    </w:rPr>
  </w:style>
  <w:style w:type="paragraph" w:customStyle="1" w:styleId="170">
    <w:name w:val="TOC 标题1"/>
    <w:basedOn w:val="2"/>
    <w:next w:val="1"/>
    <w:qFormat/>
    <w:uiPriority w:val="0"/>
    <w:pPr>
      <w:tabs>
        <w:tab w:val="left" w:pos="2268"/>
      </w:tabs>
      <w:spacing w:line="576" w:lineRule="auto"/>
      <w:outlineLvl w:val="9"/>
    </w:pPr>
  </w:style>
  <w:style w:type="paragraph" w:customStyle="1" w:styleId="17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72">
    <w:name w:val="_Style 17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73">
    <w:name w:val="xl66"/>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174">
    <w:name w:val="_Style 50"/>
    <w:qFormat/>
    <w:uiPriority w:val="0"/>
    <w:rPr>
      <w:rFonts w:ascii="Times New Roman" w:hAnsi="Times New Roman" w:eastAsia="宋体" w:cs="Times New Roman"/>
      <w:lang w:val="en-US" w:eastAsia="zh-CN" w:bidi="ar-SA"/>
    </w:rPr>
  </w:style>
  <w:style w:type="paragraph" w:customStyle="1" w:styleId="175">
    <w:name w:val="样式3"/>
    <w:basedOn w:val="24"/>
    <w:qFormat/>
    <w:uiPriority w:val="0"/>
    <w:pPr>
      <w:spacing w:line="240" w:lineRule="atLeast"/>
      <w:outlineLvl w:val="0"/>
    </w:pPr>
    <w:rPr>
      <w:sz w:val="28"/>
    </w:rPr>
  </w:style>
  <w:style w:type="paragraph" w:customStyle="1" w:styleId="176">
    <w:name w:val="例文标题"/>
    <w:qFormat/>
    <w:uiPriority w:val="0"/>
    <w:pPr>
      <w:widowControl w:val="0"/>
      <w:autoSpaceDE w:val="0"/>
      <w:autoSpaceDN w:val="0"/>
      <w:adjustRightInd w:val="0"/>
      <w:spacing w:line="680" w:lineRule="atLeast"/>
      <w:jc w:val="center"/>
    </w:pPr>
    <w:rPr>
      <w:rFonts w:ascii="汉仪中黑简" w:hAnsi="Times New Roman" w:eastAsia="汉仪中黑简" w:cs="汉仪中黑简"/>
      <w:sz w:val="21"/>
      <w:szCs w:val="21"/>
      <w:lang w:val="en-US" w:eastAsia="zh-CN" w:bidi="ar-SA"/>
    </w:rPr>
  </w:style>
  <w:style w:type="paragraph" w:customStyle="1" w:styleId="177">
    <w:name w:val="CM33"/>
    <w:basedOn w:val="171"/>
    <w:next w:val="171"/>
    <w:qFormat/>
    <w:uiPriority w:val="0"/>
    <w:pPr>
      <w:spacing w:after="68"/>
    </w:pPr>
    <w:rPr>
      <w:rFonts w:ascii="黑体" w:hAnsi="Times New Roman" w:eastAsia="黑体" w:cs="黑体"/>
      <w:color w:val="auto"/>
    </w:rPr>
  </w:style>
  <w:style w:type="paragraph" w:customStyle="1" w:styleId="178">
    <w:name w:val="正文2"/>
    <w:qFormat/>
    <w:uiPriority w:val="0"/>
    <w:pPr>
      <w:jc w:val="both"/>
    </w:pPr>
    <w:rPr>
      <w:rFonts w:ascii="Times New Roman" w:hAnsi="Times New Roman" w:eastAsia="宋体" w:cs="Times New Roman"/>
      <w:kern w:val="2"/>
      <w:sz w:val="21"/>
      <w:lang w:val="en-US" w:eastAsia="zh-CN" w:bidi="ar-SA"/>
    </w:rPr>
  </w:style>
  <w:style w:type="paragraph" w:customStyle="1" w:styleId="179">
    <w:name w:val="xl65"/>
    <w:basedOn w:val="1"/>
    <w:qFormat/>
    <w:uiPriority w:val="0"/>
    <w:pPr>
      <w:widowControl/>
      <w:spacing w:before="100" w:beforeAutospacing="1" w:after="100" w:afterAutospacing="1"/>
      <w:jc w:val="left"/>
    </w:pPr>
    <w:rPr>
      <w:rFonts w:ascii="宋体" w:hAnsi="宋体" w:cs="宋体"/>
      <w:kern w:val="0"/>
      <w:sz w:val="24"/>
    </w:rPr>
  </w:style>
  <w:style w:type="paragraph" w:customStyle="1" w:styleId="180">
    <w:name w:val="正文4"/>
    <w:basedOn w:val="1"/>
    <w:qFormat/>
    <w:uiPriority w:val="0"/>
    <w:pPr>
      <w:numPr>
        <w:ilvl w:val="0"/>
        <w:numId w:val="1"/>
      </w:numPr>
      <w:spacing w:before="156" w:beforeLines="50" w:after="156" w:afterLines="50" w:line="360" w:lineRule="auto"/>
      <w:jc w:val="center"/>
    </w:pPr>
    <w:rPr>
      <w:rFonts w:ascii="Book Antiqua" w:hAnsi="Book Antiqua"/>
      <w:sz w:val="24"/>
      <w:szCs w:val="21"/>
    </w:rPr>
  </w:style>
  <w:style w:type="paragraph" w:styleId="181">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2">
    <w:name w:val="样式2"/>
    <w:basedOn w:val="1"/>
    <w:qFormat/>
    <w:uiPriority w:val="0"/>
    <w:pPr>
      <w:shd w:val="clear" w:color="auto" w:fill="000080"/>
    </w:pPr>
    <w:rPr>
      <w:rFonts w:ascii="Tahoma" w:hAnsi="Tahoma"/>
      <w:sz w:val="24"/>
    </w:rPr>
  </w:style>
  <w:style w:type="paragraph" w:customStyle="1" w:styleId="183">
    <w:name w:val="样式1"/>
    <w:basedOn w:val="1"/>
    <w:qFormat/>
    <w:uiPriority w:val="0"/>
    <w:pPr>
      <w:shd w:val="clear" w:color="auto" w:fill="000080"/>
    </w:pPr>
    <w:rPr>
      <w:rFonts w:ascii="Tahoma" w:hAnsi="Tahoma"/>
      <w:sz w:val="24"/>
    </w:rPr>
  </w:style>
  <w:style w:type="paragraph" w:customStyle="1" w:styleId="184">
    <w:name w:val="_Style 43"/>
    <w:basedOn w:val="15"/>
    <w:qFormat/>
    <w:uiPriority w:val="0"/>
    <w:rPr>
      <w:rFonts w:ascii="Tahoma" w:hAnsi="Tahoma"/>
      <w:sz w:val="24"/>
    </w:rPr>
  </w:style>
  <w:style w:type="paragraph" w:customStyle="1" w:styleId="185">
    <w:name w:val="正文文本 31"/>
    <w:basedOn w:val="1"/>
    <w:qFormat/>
    <w:uiPriority w:val="0"/>
    <w:rPr>
      <w:rFonts w:eastAsia="楷体_GB2312"/>
      <w:sz w:val="15"/>
      <w:szCs w:val="16"/>
    </w:rPr>
  </w:style>
  <w:style w:type="paragraph" w:customStyle="1" w:styleId="186">
    <w:name w:val="正文编号3"/>
    <w:basedOn w:val="1"/>
    <w:qFormat/>
    <w:uiPriority w:val="0"/>
    <w:pPr>
      <w:tabs>
        <w:tab w:val="left" w:pos="1177"/>
      </w:tabs>
      <w:adjustRightInd w:val="0"/>
      <w:spacing w:line="360" w:lineRule="auto"/>
      <w:ind w:left="1044" w:firstLine="36"/>
      <w:textAlignment w:val="baseline"/>
    </w:pPr>
    <w:rPr>
      <w:kern w:val="0"/>
      <w:sz w:val="24"/>
      <w:szCs w:val="20"/>
    </w:rPr>
  </w:style>
  <w:style w:type="paragraph" w:customStyle="1" w:styleId="187">
    <w:name w:val="正文1"/>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188">
    <w:name w:val="样式 标题 2sect 1.2H2H21R2Heading 2 HiddenHeading 2 CCBSheadi..."/>
    <w:basedOn w:val="3"/>
    <w:qFormat/>
    <w:uiPriority w:val="0"/>
    <w:pPr>
      <w:numPr>
        <w:ilvl w:val="1"/>
        <w:numId w:val="0"/>
      </w:numPr>
      <w:tabs>
        <w:tab w:val="left" w:pos="578"/>
        <w:tab w:val="left" w:pos="720"/>
        <w:tab w:val="left" w:pos="2268"/>
      </w:tabs>
      <w:spacing w:line="360" w:lineRule="auto"/>
      <w:ind w:left="-142"/>
      <w:jc w:val="left"/>
    </w:pPr>
    <w:rPr>
      <w:rFonts w:hint="eastAsia" w:ascii="宋体" w:hAnsi="宋体" w:eastAsia="方正仿宋_GBK"/>
    </w:rPr>
  </w:style>
  <w:style w:type="paragraph" w:customStyle="1" w:styleId="189">
    <w:name w:val="title12"/>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190">
    <w:name w:val="样式"/>
    <w:basedOn w:val="1"/>
    <w:qFormat/>
    <w:uiPriority w:val="0"/>
    <w:pPr>
      <w:widowControl/>
      <w:autoSpaceDE w:val="0"/>
      <w:autoSpaceDN w:val="0"/>
      <w:snapToGrid w:val="0"/>
      <w:spacing w:before="120" w:beforeLines="0" w:after="120" w:afterLines="0" w:line="360" w:lineRule="auto"/>
      <w:jc w:val="left"/>
    </w:pPr>
    <w:rPr>
      <w:rFonts w:ascii="宋体" w:hAnsi="Calibri"/>
      <w:kern w:val="0"/>
      <w:sz w:val="24"/>
      <w:lang w:eastAsia="en-US" w:bidi="en-US"/>
    </w:rPr>
  </w:style>
  <w:style w:type="paragraph" w:customStyle="1" w:styleId="19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192">
    <w:name w:val="_Style 191"/>
    <w:unhideWhenUsed/>
    <w:qFormat/>
    <w:uiPriority w:val="99"/>
    <w:rPr>
      <w:rFonts w:ascii="Times New Roman" w:hAnsi="Times New Roman" w:eastAsia="仿宋_GB2312" w:cs="Times New Roman"/>
      <w:kern w:val="2"/>
      <w:sz w:val="24"/>
      <w:szCs w:val="24"/>
      <w:lang w:val="en-US" w:eastAsia="zh-CN" w:bidi="ar-SA"/>
    </w:rPr>
  </w:style>
  <w:style w:type="paragraph" w:customStyle="1" w:styleId="193">
    <w:name w:val="默认段落字体 Para Char"/>
    <w:basedOn w:val="1"/>
    <w:qFormat/>
    <w:uiPriority w:val="0"/>
    <w:pPr>
      <w:adjustRightInd w:val="0"/>
      <w:spacing w:line="360" w:lineRule="auto"/>
    </w:pPr>
    <w:rPr>
      <w:kern w:val="0"/>
      <w:sz w:val="24"/>
      <w:szCs w:val="20"/>
    </w:rPr>
  </w:style>
  <w:style w:type="paragraph" w:customStyle="1" w:styleId="19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95">
    <w:name w:val="xl36"/>
    <w:basedOn w:val="1"/>
    <w:qFormat/>
    <w:uiPriority w:val="0"/>
    <w:pPr>
      <w:widowControl/>
      <w:spacing w:before="100" w:beforeLines="0" w:after="100" w:afterLines="0"/>
      <w:jc w:val="center"/>
    </w:pPr>
    <w:rPr>
      <w:rFonts w:hint="eastAsia" w:ascii="宋体" w:hAnsi="宋体"/>
      <w:kern w:val="0"/>
      <w:sz w:val="24"/>
      <w:szCs w:val="20"/>
    </w:rPr>
  </w:style>
  <w:style w:type="paragraph" w:customStyle="1" w:styleId="196">
    <w:name w:val="图表目录1"/>
    <w:basedOn w:val="1"/>
    <w:next w:val="1"/>
    <w:qFormat/>
    <w:uiPriority w:val="0"/>
    <w:pPr>
      <w:ind w:left="200" w:leftChars="200" w:hanging="200" w:hangingChars="200"/>
    </w:pPr>
    <w:rPr>
      <w:sz w:val="24"/>
    </w:rPr>
  </w:style>
  <w:style w:type="paragraph" w:customStyle="1" w:styleId="197">
    <w:name w:val=" Char Char Char"/>
    <w:basedOn w:val="1"/>
    <w:qFormat/>
    <w:uiPriority w:val="0"/>
    <w:rPr>
      <w:rFonts w:ascii="Tahoma" w:hAnsi="Tahoma"/>
      <w:sz w:val="24"/>
      <w:szCs w:val="20"/>
    </w:rPr>
  </w:style>
  <w:style w:type="paragraph" w:customStyle="1" w:styleId="198">
    <w:name w:val="xl75"/>
    <w:basedOn w:val="1"/>
    <w:qFormat/>
    <w:uiPriority w:val="0"/>
    <w:pPr>
      <w:widowControl/>
      <w:pBdr>
        <w:top w:val="single" w:color="auto" w:sz="4" w:space="0"/>
      </w:pBdr>
      <w:spacing w:before="100" w:beforeAutospacing="1" w:after="100" w:afterAutospacing="1"/>
      <w:jc w:val="left"/>
    </w:pPr>
    <w:rPr>
      <w:rFonts w:ascii="宋体" w:hAnsi="宋体" w:cs="宋体"/>
      <w:kern w:val="0"/>
      <w:sz w:val="24"/>
    </w:rPr>
  </w:style>
  <w:style w:type="paragraph" w:customStyle="1" w:styleId="199">
    <w:name w:val="正文 2"/>
    <w:basedOn w:val="1"/>
    <w:next w:val="21"/>
    <w:qFormat/>
    <w:uiPriority w:val="0"/>
    <w:pPr>
      <w:ind w:left="-359" w:leftChars="-171" w:right="-178" w:rightChars="-85" w:firstLine="570"/>
    </w:pPr>
    <w:rPr>
      <w:sz w:val="28"/>
    </w:rPr>
  </w:style>
  <w:style w:type="paragraph" w:customStyle="1" w:styleId="200">
    <w:name w:val="xl74"/>
    <w:basedOn w:val="1"/>
    <w:qFormat/>
    <w:uiPriority w:val="0"/>
    <w:pPr>
      <w:widowControl/>
      <w:pBdr>
        <w:top w:val="single" w:color="auto" w:sz="4" w:space="0"/>
      </w:pBdr>
      <w:spacing w:before="100" w:beforeAutospacing="1" w:after="100" w:afterAutospacing="1"/>
      <w:jc w:val="center"/>
    </w:pPr>
    <w:rPr>
      <w:rFonts w:ascii="宋体" w:hAnsi="宋体" w:cs="宋体"/>
      <w:kern w:val="0"/>
      <w:sz w:val="24"/>
    </w:rPr>
  </w:style>
  <w:style w:type="paragraph" w:customStyle="1" w:styleId="201">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customStyle="1" w:styleId="202">
    <w:name w:val="cf01"/>
    <w:qFormat/>
    <w:uiPriority w:val="0"/>
    <w:rPr>
      <w:rFonts w:hint="eastAsia" w:ascii="Microsoft YaHei UI" w:hAnsi="Microsoft YaHei UI" w:eastAsia="Microsoft YaHei UI"/>
      <w:sz w:val="18"/>
      <w:szCs w:val="18"/>
    </w:rPr>
  </w:style>
  <w:style w:type="character" w:customStyle="1" w:styleId="203">
    <w:name w:val="cf11"/>
    <w:qFormat/>
    <w:uiPriority w:val="0"/>
    <w:rPr>
      <w:rFonts w:hint="eastAsia" w:ascii="Microsoft YaHei UI" w:hAnsi="Microsoft YaHei UI" w:eastAsia="Microsoft YaHei UI"/>
      <w:sz w:val="18"/>
      <w:szCs w:val="18"/>
    </w:rPr>
  </w:style>
  <w:style w:type="character" w:customStyle="1" w:styleId="204">
    <w:name w:val="NormalCharacter"/>
    <w:link w:val="205"/>
    <w:qFormat/>
    <w:uiPriority w:val="0"/>
    <w:rPr>
      <w:rFonts w:ascii="宋体" w:hAnsi="宋体"/>
    </w:rPr>
  </w:style>
  <w:style w:type="paragraph" w:customStyle="1" w:styleId="205">
    <w:name w:val="UserStyle_64"/>
    <w:basedOn w:val="1"/>
    <w:link w:val="204"/>
    <w:qFormat/>
    <w:uiPriority w:val="0"/>
    <w:pPr>
      <w:spacing w:line="240" w:lineRule="auto"/>
      <w:textAlignment w:val="baseline"/>
    </w:pPr>
    <w:rPr>
      <w:rFonts w:ascii="宋体" w:hAnsi="宋体"/>
    </w:rPr>
  </w:style>
  <w:style w:type="paragraph" w:customStyle="1" w:styleId="206">
    <w:name w:val="SMS Normal1"/>
    <w:basedOn w:val="1"/>
    <w:qFormat/>
    <w:uiPriority w:val="0"/>
    <w:pPr>
      <w:widowControl/>
      <w:spacing w:before="80" w:after="80"/>
      <w:ind w:left="539"/>
    </w:pPr>
    <w:rPr>
      <w:rFonts w:ascii="Calibri" w:hAnsi="Calibri"/>
      <w:sz w:val="24"/>
      <w:szCs w:val="24"/>
    </w:rPr>
  </w:style>
  <w:style w:type="paragraph" w:customStyle="1" w:styleId="207">
    <w:name w:val="正文文本首行缩进1"/>
    <w:basedOn w:val="18"/>
    <w:qFormat/>
    <w:uiPriority w:val="0"/>
    <w:pPr>
      <w:adjustRightInd w:val="0"/>
      <w:ind w:firstLine="420"/>
      <w:jc w:val="left"/>
      <w:textAlignment w:val="baseline"/>
    </w:pPr>
    <w:rPr>
      <w:kern w:val="0"/>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67</Pages>
  <Words>4250</Words>
  <Characters>4798</Characters>
  <Lines>185</Lines>
  <Paragraphs>52</Paragraphs>
  <TotalTime>3</TotalTime>
  <ScaleCrop>false</ScaleCrop>
  <LinksUpToDate>false</LinksUpToDate>
  <CharactersWithSpaces>4930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2025-09-11T06:31:00Z</dcterms:created>
  <dc:creator>微软用户</dc:creator>
  <cp:lastModifiedBy>夏日微凉</cp:lastModifiedBy>
  <cp:lastPrinted>2025-04-23T07:17:00Z</cp:lastPrinted>
  <dcterms:modified xsi:type="dcterms:W3CDTF">2025-12-12T10:42:38Z</dcterms:modified>
  <dc:title> </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544BF5935D974F65963EF1179030AFB0_13</vt:lpwstr>
  </property>
  <property fmtid="{D5CDD505-2E9C-101B-9397-08002B2CF9AE}" pid="4" name="KSOTemplateDocerSaveRecord">
    <vt:lpwstr>eyJoZGlkIjoiZTQ5ZWY0NzI1YzM2ZGRkNzQ5Zjg2YjFkZTNiNDRiZDgiLCJ1c2VySWQiOiIyNTE3NDAxMDAifQ==</vt:lpwstr>
  </property>
</Properties>
</file>