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i w:val="0"/>
          <w:iCs w:val="0"/>
          <w:color w:val="auto"/>
          <w:sz w:val="44"/>
          <w:szCs w:val="44"/>
          <w:highlight w:val="none"/>
          <w:lang w:val="en-US" w:eastAsia="zh-CN"/>
        </w:rPr>
      </w:pPr>
      <w:r>
        <w:rPr>
          <w:rFonts w:hint="eastAsia" w:ascii="宋体" w:hAnsi="宋体" w:eastAsia="宋体" w:cs="宋体"/>
          <w:b/>
          <w:bCs/>
          <w:color w:val="auto"/>
          <w:sz w:val="32"/>
          <w:szCs w:val="40"/>
          <w:highlight w:val="none"/>
          <w:lang w:val="en-US" w:eastAsia="zh-CN"/>
        </w:rPr>
        <w:t>项目编号：CY2025-016</w:t>
      </w:r>
    </w:p>
    <w:p>
      <w:pPr>
        <w:jc w:val="center"/>
        <w:rPr>
          <w:rFonts w:hint="eastAsia" w:ascii="宋体" w:hAnsi="宋体" w:eastAsia="宋体" w:cs="宋体"/>
          <w:b/>
          <w:bCs/>
          <w:i w:val="0"/>
          <w:iCs w:val="0"/>
          <w:color w:val="auto"/>
          <w:sz w:val="44"/>
          <w:szCs w:val="44"/>
          <w:highlight w:val="none"/>
          <w:lang w:val="en-US" w:eastAsia="zh-CN"/>
        </w:rPr>
      </w:pPr>
    </w:p>
    <w:p>
      <w:pPr>
        <w:jc w:val="center"/>
        <w:rPr>
          <w:rFonts w:hint="eastAsia" w:ascii="宋体" w:hAnsi="宋体" w:eastAsia="宋体" w:cs="宋体"/>
          <w:b/>
          <w:bCs/>
          <w:i w:val="0"/>
          <w:iCs w:val="0"/>
          <w:color w:val="auto"/>
          <w:sz w:val="44"/>
          <w:szCs w:val="44"/>
          <w:highlight w:val="none"/>
          <w:lang w:val="en-US" w:eastAsia="zh-CN"/>
        </w:rPr>
      </w:pPr>
    </w:p>
    <w:p>
      <w:pPr>
        <w:jc w:val="center"/>
        <w:rPr>
          <w:rFonts w:hint="eastAsia" w:ascii="宋体" w:hAnsi="宋体" w:eastAsia="宋体" w:cs="宋体"/>
          <w:b/>
          <w:bCs/>
          <w:i w:val="0"/>
          <w:iCs w:val="0"/>
          <w:color w:val="auto"/>
          <w:sz w:val="44"/>
          <w:szCs w:val="44"/>
          <w:highlight w:val="none"/>
          <w:lang w:val="en-US" w:eastAsia="zh-CN"/>
        </w:rPr>
      </w:pPr>
      <w:r>
        <w:rPr>
          <w:rFonts w:hint="eastAsia" w:ascii="宋体" w:hAnsi="宋体" w:eastAsia="宋体" w:cs="宋体"/>
          <w:b/>
          <w:bCs/>
          <w:i w:val="0"/>
          <w:iCs w:val="0"/>
          <w:color w:val="auto"/>
          <w:sz w:val="44"/>
          <w:szCs w:val="44"/>
          <w:highlight w:val="none"/>
          <w:lang w:val="en-US" w:eastAsia="zh-CN"/>
        </w:rPr>
        <w:t>延安市人民医院高质量发展示范项目</w:t>
      </w:r>
    </w:p>
    <w:p>
      <w:pPr>
        <w:jc w:val="center"/>
        <w:rPr>
          <w:rFonts w:hint="eastAsia" w:ascii="宋体" w:hAnsi="宋体" w:eastAsia="宋体" w:cs="宋体"/>
          <w:b/>
          <w:bCs/>
          <w:color w:val="auto"/>
          <w:sz w:val="72"/>
          <w:szCs w:val="144"/>
          <w:highlight w:val="none"/>
          <w:lang w:val="en-US" w:eastAsia="zh-CN"/>
        </w:rPr>
      </w:pPr>
      <w:r>
        <w:rPr>
          <w:rFonts w:hint="eastAsia" w:ascii="宋体" w:hAnsi="宋体" w:eastAsia="宋体" w:cs="宋体"/>
          <w:b/>
          <w:bCs/>
          <w:i w:val="0"/>
          <w:iCs w:val="0"/>
          <w:color w:val="auto"/>
          <w:sz w:val="44"/>
          <w:szCs w:val="44"/>
          <w:highlight w:val="none"/>
          <w:lang w:val="en-US" w:eastAsia="zh-CN"/>
        </w:rPr>
        <w:t>人力资源系统集成服务项目</w:t>
      </w: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96"/>
          <w:szCs w:val="160"/>
          <w:highlight w:val="none"/>
          <w:lang w:val="en-US" w:eastAsia="zh-CN"/>
        </w:rPr>
      </w:pPr>
      <w:r>
        <w:rPr>
          <w:rFonts w:hint="eastAsia" w:ascii="宋体" w:hAnsi="宋体" w:eastAsia="宋体" w:cs="宋体"/>
          <w:b/>
          <w:bCs/>
          <w:color w:val="auto"/>
          <w:sz w:val="44"/>
          <w:szCs w:val="44"/>
          <w:highlight w:val="none"/>
          <w:lang w:val="en-US" w:eastAsia="zh-CN"/>
        </w:rPr>
        <w:t>竞争性磋商文件</w:t>
      </w: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   购   人：延安市人民医院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采购代理机构：陕西楚元项目管理有限公司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color w:val="auto"/>
          <w:u w:val="single"/>
          <w:lang w:val="en-US" w:eastAsia="zh-CN"/>
        </w:rPr>
        <w:sectPr>
          <w:footerReference r:id="rId3" w:type="first"/>
          <w:pgSz w:w="11906" w:h="16838"/>
          <w:pgMar w:top="1417" w:right="1417" w:bottom="1417" w:left="1417" w:header="851" w:footer="850"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auto"/>
          <w:sz w:val="32"/>
          <w:szCs w:val="32"/>
          <w:highlight w:val="none"/>
          <w:u w:val="none"/>
          <w:lang w:val="en-US" w:eastAsia="zh-CN"/>
        </w:rPr>
        <w:t xml:space="preserve">日        期：二〇二五年十一月       </w:t>
      </w:r>
      <w:r>
        <w:rPr>
          <w:rFonts w:hint="eastAsia" w:ascii="宋体" w:hAnsi="宋体" w:eastAsia="宋体" w:cs="宋体"/>
          <w:b/>
          <w:bCs/>
          <w:color w:val="auto"/>
          <w:sz w:val="32"/>
          <w:szCs w:val="40"/>
          <w:u w:val="none"/>
          <w:lang w:val="en-US" w:eastAsia="zh-CN"/>
        </w:rPr>
        <w:t xml:space="preserve">        </w:t>
      </w:r>
    </w:p>
    <w:sdt>
      <w:sdtPr>
        <w:rPr>
          <w:rFonts w:hint="eastAsia" w:ascii="宋体" w:hAnsi="宋体" w:eastAsia="宋体" w:cs="宋体"/>
          <w:color w:val="auto"/>
          <w:kern w:val="2"/>
          <w:sz w:val="21"/>
          <w:szCs w:val="24"/>
          <w:lang w:val="en-US" w:eastAsia="zh-CN" w:bidi="ar-SA"/>
        </w:rPr>
        <w:id w:val="147475210"/>
        <w15:color w:val="DBDBDB"/>
        <w:docPartObj>
          <w:docPartGallery w:val="Table of Contents"/>
          <w:docPartUnique/>
        </w:docPartObj>
      </w:sdtPr>
      <w:sdtEndPr>
        <w:rPr>
          <w:rFonts w:hint="eastAsia" w:ascii="宋体" w:hAnsi="宋体" w:eastAsia="宋体" w:cs="宋体"/>
          <w:bCs/>
          <w:color w:val="auto"/>
          <w:kern w:val="2"/>
          <w:sz w:val="21"/>
          <w:szCs w:val="32"/>
          <w:highlight w:val="none"/>
          <w:u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sz w:val="28"/>
              <w:szCs w:val="36"/>
            </w:rPr>
            <w:t>目录</w:t>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TOC \o "1-3" \h \u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_Toc15059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第一部分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竞争性磋商公告</w:t>
          </w:r>
          <w:r>
            <w:tab/>
          </w:r>
          <w:r>
            <w:fldChar w:fldCharType="begin"/>
          </w:r>
          <w:r>
            <w:instrText xml:space="preserve"> PAGEREF _Toc15059 \h </w:instrText>
          </w:r>
          <w:r>
            <w:fldChar w:fldCharType="separate"/>
          </w:r>
          <w:r>
            <w:t>1</w:t>
          </w:r>
          <w:r>
            <w:fldChar w:fldCharType="end"/>
          </w:r>
          <w:r>
            <w:rPr>
              <w:rFonts w:hint="eastAsia" w:ascii="宋体" w:hAnsi="宋体" w:eastAsia="宋体" w:cs="宋体"/>
              <w:bCs/>
              <w:color w:val="auto"/>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_Toc3097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二</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磋商须知</w:t>
          </w:r>
          <w:r>
            <w:rPr>
              <w:rFonts w:hint="eastAsia" w:ascii="宋体" w:hAnsi="宋体" w:eastAsia="宋体" w:cs="宋体"/>
              <w:szCs w:val="32"/>
              <w:highlight w:val="none"/>
              <w:lang w:val="en-US" w:eastAsia="zh-CN"/>
            </w:rPr>
            <w:t>前附表</w:t>
          </w:r>
          <w:r>
            <w:tab/>
          </w:r>
          <w:r>
            <w:fldChar w:fldCharType="begin"/>
          </w:r>
          <w:r>
            <w:instrText xml:space="preserve"> PAGEREF _Toc3097 \h </w:instrText>
          </w:r>
          <w:r>
            <w:fldChar w:fldCharType="separate"/>
          </w:r>
          <w:r>
            <w:t>1</w:t>
          </w:r>
          <w:r>
            <w:fldChar w:fldCharType="end"/>
          </w:r>
          <w:r>
            <w:rPr>
              <w:rFonts w:hint="eastAsia" w:ascii="宋体" w:hAnsi="宋体" w:eastAsia="宋体" w:cs="宋体"/>
              <w:bCs/>
              <w:color w:val="auto"/>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_Toc14628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三</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磋商须知</w:t>
          </w:r>
          <w:r>
            <w:tab/>
          </w:r>
          <w:r>
            <w:fldChar w:fldCharType="begin"/>
          </w:r>
          <w:r>
            <w:instrText xml:space="preserve"> PAGEREF _Toc14628 \h </w:instrText>
          </w:r>
          <w:r>
            <w:fldChar w:fldCharType="separate"/>
          </w:r>
          <w:r>
            <w:t>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_Toc26915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1．适用范围</w:t>
          </w:r>
          <w:r>
            <w:tab/>
          </w:r>
          <w:r>
            <w:fldChar w:fldCharType="begin"/>
          </w:r>
          <w:r>
            <w:instrText xml:space="preserve"> PAGEREF _Toc26915 \h </w:instrText>
          </w:r>
          <w:r>
            <w:fldChar w:fldCharType="separate"/>
          </w:r>
          <w:r>
            <w:t>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_Toc9909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2．定义</w:t>
          </w:r>
          <w:r>
            <w:tab/>
          </w:r>
          <w:r>
            <w:fldChar w:fldCharType="begin"/>
          </w:r>
          <w:r>
            <w:instrText xml:space="preserve"> PAGEREF _Toc9909 \h </w:instrText>
          </w:r>
          <w:r>
            <w:fldChar w:fldCharType="separate"/>
          </w:r>
          <w:r>
            <w:t>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_Toc27774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3．合格供应商的范围</w:t>
          </w:r>
          <w:r>
            <w:tab/>
          </w:r>
          <w:r>
            <w:fldChar w:fldCharType="begin"/>
          </w:r>
          <w:r>
            <w:instrText xml:space="preserve"> PAGEREF _Toc27774 \h </w:instrText>
          </w:r>
          <w:r>
            <w:fldChar w:fldCharType="separate"/>
          </w:r>
          <w:r>
            <w:t>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_Toc10773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4</w:t>
          </w:r>
          <w:r>
            <w:rPr>
              <w:rFonts w:hint="eastAsia" w:ascii="宋体" w:hAnsi="宋体" w:eastAsia="宋体" w:cs="宋体"/>
              <w:szCs w:val="21"/>
              <w:highlight w:val="none"/>
            </w:rPr>
            <w:t>．</w:t>
          </w:r>
          <w:r>
            <w:rPr>
              <w:rFonts w:hint="eastAsia" w:ascii="宋体" w:hAnsi="宋体" w:eastAsia="宋体" w:cs="宋体"/>
              <w:szCs w:val="24"/>
              <w:highlight w:val="none"/>
            </w:rPr>
            <w:t>磋商代表</w:t>
          </w:r>
          <w:r>
            <w:tab/>
          </w:r>
          <w:r>
            <w:fldChar w:fldCharType="begin"/>
          </w:r>
          <w:r>
            <w:instrText xml:space="preserve"> PAGEREF _Toc10773 \h </w:instrText>
          </w:r>
          <w:r>
            <w:fldChar w:fldCharType="separate"/>
          </w:r>
          <w:r>
            <w:t>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_Toc25901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5</w:t>
          </w:r>
          <w:r>
            <w:rPr>
              <w:rFonts w:hint="eastAsia" w:ascii="宋体" w:hAnsi="宋体" w:eastAsia="宋体" w:cs="宋体"/>
              <w:szCs w:val="21"/>
              <w:highlight w:val="none"/>
            </w:rPr>
            <w:t>．</w:t>
          </w:r>
          <w:r>
            <w:rPr>
              <w:rFonts w:hint="eastAsia" w:ascii="宋体" w:hAnsi="宋体" w:eastAsia="宋体" w:cs="宋体"/>
              <w:szCs w:val="24"/>
              <w:highlight w:val="none"/>
            </w:rPr>
            <w:t>费用</w:t>
          </w:r>
          <w:r>
            <w:tab/>
          </w:r>
          <w:r>
            <w:fldChar w:fldCharType="begin"/>
          </w:r>
          <w:r>
            <w:instrText xml:space="preserve"> PAGEREF _Toc25901 \h </w:instrText>
          </w:r>
          <w:r>
            <w:fldChar w:fldCharType="separate"/>
          </w:r>
          <w:r>
            <w:t>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_Toc13881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6</w:t>
          </w:r>
          <w:r>
            <w:rPr>
              <w:rFonts w:hint="eastAsia" w:ascii="宋体" w:hAnsi="宋体" w:eastAsia="宋体" w:cs="宋体"/>
              <w:szCs w:val="21"/>
              <w:highlight w:val="none"/>
            </w:rPr>
            <w:t>．</w:t>
          </w:r>
          <w:r>
            <w:rPr>
              <w:rFonts w:hint="eastAsia" w:ascii="宋体" w:hAnsi="宋体" w:eastAsia="宋体" w:cs="宋体"/>
              <w:szCs w:val="24"/>
              <w:highlight w:val="none"/>
            </w:rPr>
            <w:t>响应文件</w:t>
          </w:r>
          <w:r>
            <w:tab/>
          </w:r>
          <w:r>
            <w:fldChar w:fldCharType="begin"/>
          </w:r>
          <w:r>
            <w:instrText xml:space="preserve"> PAGEREF _Toc13881 \h </w:instrText>
          </w:r>
          <w:r>
            <w:fldChar w:fldCharType="separate"/>
          </w:r>
          <w:r>
            <w:t>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_Toc25163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7</w:t>
          </w:r>
          <w:r>
            <w:rPr>
              <w:rFonts w:hint="eastAsia" w:ascii="宋体" w:hAnsi="宋体" w:eastAsia="宋体" w:cs="宋体"/>
              <w:szCs w:val="21"/>
              <w:highlight w:val="none"/>
            </w:rPr>
            <w:t>．</w:t>
          </w:r>
          <w:r>
            <w:rPr>
              <w:rFonts w:hint="eastAsia" w:ascii="宋体" w:hAnsi="宋体" w:eastAsia="宋体" w:cs="宋体"/>
              <w:szCs w:val="24"/>
              <w:highlight w:val="none"/>
            </w:rPr>
            <w:t>磋商保证金</w:t>
          </w:r>
          <w:r>
            <w:tab/>
          </w:r>
          <w:r>
            <w:fldChar w:fldCharType="begin"/>
          </w:r>
          <w:r>
            <w:instrText xml:space="preserve"> PAGEREF _Toc25163 \h </w:instrText>
          </w:r>
          <w:r>
            <w:fldChar w:fldCharType="separate"/>
          </w:r>
          <w:r>
            <w:t>9</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_Toc19944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4"/>
              <w:highlight w:val="none"/>
            </w:rPr>
            <w:t>磋商内容</w:t>
          </w:r>
          <w:r>
            <w:tab/>
          </w:r>
          <w:r>
            <w:fldChar w:fldCharType="begin"/>
          </w:r>
          <w:r>
            <w:instrText xml:space="preserve"> PAGEREF _Toc19944 \h </w:instrText>
          </w:r>
          <w:r>
            <w:fldChar w:fldCharType="separate"/>
          </w:r>
          <w:r>
            <w:t>10</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_Toc4937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4"/>
              <w:highlight w:val="none"/>
            </w:rPr>
            <w:t>评审工作程序</w:t>
          </w:r>
          <w:r>
            <w:tab/>
          </w:r>
          <w:r>
            <w:fldChar w:fldCharType="begin"/>
          </w:r>
          <w:r>
            <w:instrText xml:space="preserve"> PAGEREF _Toc4937 \h </w:instrText>
          </w:r>
          <w:r>
            <w:fldChar w:fldCharType="separate"/>
          </w:r>
          <w:r>
            <w:t>10</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_Toc25449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10</w:t>
          </w:r>
          <w:r>
            <w:rPr>
              <w:rFonts w:hint="eastAsia" w:ascii="宋体" w:hAnsi="宋体" w:eastAsia="宋体" w:cs="宋体"/>
              <w:szCs w:val="21"/>
              <w:highlight w:val="none"/>
            </w:rPr>
            <w:t>．</w:t>
          </w:r>
          <w:r>
            <w:rPr>
              <w:rFonts w:hint="eastAsia" w:ascii="宋体" w:hAnsi="宋体" w:eastAsia="宋体" w:cs="宋体"/>
              <w:szCs w:val="24"/>
              <w:highlight w:val="none"/>
            </w:rPr>
            <w:t>评审原则</w:t>
          </w:r>
          <w:r>
            <w:tab/>
          </w:r>
          <w:r>
            <w:fldChar w:fldCharType="begin"/>
          </w:r>
          <w:r>
            <w:instrText xml:space="preserve"> PAGEREF _Toc25449 \h </w:instrText>
          </w:r>
          <w:r>
            <w:fldChar w:fldCharType="separate"/>
          </w:r>
          <w:r>
            <w:t>11</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_Toc10095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11</w:t>
          </w:r>
          <w:r>
            <w:rPr>
              <w:rFonts w:hint="eastAsia" w:ascii="宋体" w:hAnsi="宋体" w:eastAsia="宋体" w:cs="宋体"/>
              <w:szCs w:val="21"/>
              <w:highlight w:val="none"/>
            </w:rPr>
            <w:t>．</w:t>
          </w:r>
          <w:r>
            <w:rPr>
              <w:rFonts w:hint="eastAsia" w:ascii="宋体" w:hAnsi="宋体" w:eastAsia="宋体" w:cs="宋体"/>
              <w:szCs w:val="24"/>
              <w:highlight w:val="none"/>
            </w:rPr>
            <w:t>评审标准</w:t>
          </w:r>
          <w:r>
            <w:tab/>
          </w:r>
          <w:r>
            <w:fldChar w:fldCharType="begin"/>
          </w:r>
          <w:r>
            <w:instrText xml:space="preserve"> PAGEREF _Toc10095 \h </w:instrText>
          </w:r>
          <w:r>
            <w:fldChar w:fldCharType="separate"/>
          </w:r>
          <w:r>
            <w:t>11</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_Toc16029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12．磋商小组</w:t>
          </w:r>
          <w:r>
            <w:tab/>
          </w:r>
          <w:r>
            <w:fldChar w:fldCharType="begin"/>
          </w:r>
          <w:r>
            <w:instrText xml:space="preserve"> PAGEREF _Toc16029 \h </w:instrText>
          </w:r>
          <w:r>
            <w:fldChar w:fldCharType="separate"/>
          </w:r>
          <w:r>
            <w:t>16</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_Toc3588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13．磋商评审纪律</w:t>
          </w:r>
          <w:r>
            <w:tab/>
          </w:r>
          <w:r>
            <w:fldChar w:fldCharType="begin"/>
          </w:r>
          <w:r>
            <w:instrText xml:space="preserve"> PAGEREF _Toc3588 \h </w:instrText>
          </w:r>
          <w:r>
            <w:fldChar w:fldCharType="separate"/>
          </w:r>
          <w:r>
            <w:t>16</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_Toc25837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14．无效响应文件情况说明</w:t>
          </w:r>
          <w:r>
            <w:tab/>
          </w:r>
          <w:r>
            <w:fldChar w:fldCharType="begin"/>
          </w:r>
          <w:r>
            <w:instrText xml:space="preserve"> PAGEREF _Toc25837 \h </w:instrText>
          </w:r>
          <w:r>
            <w:fldChar w:fldCharType="separate"/>
          </w:r>
          <w:r>
            <w:t>16</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_Toc17667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15．对响应文件的修正</w:t>
          </w:r>
          <w:r>
            <w:tab/>
          </w:r>
          <w:r>
            <w:fldChar w:fldCharType="begin"/>
          </w:r>
          <w:r>
            <w:instrText xml:space="preserve"> PAGEREF _Toc17667 \h </w:instrText>
          </w:r>
          <w:r>
            <w:fldChar w:fldCharType="separate"/>
          </w:r>
          <w:r>
            <w:t>17</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_Toc6588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16．</w:t>
          </w:r>
          <w:r>
            <w:rPr>
              <w:rFonts w:hint="eastAsia" w:ascii="宋体" w:hAnsi="宋体" w:eastAsia="宋体" w:cs="宋体"/>
              <w:szCs w:val="21"/>
              <w:highlight w:val="none"/>
              <w:lang w:val="en-US" w:eastAsia="zh-CN"/>
            </w:rPr>
            <w:t>确定成交供应商</w:t>
          </w:r>
          <w:r>
            <w:tab/>
          </w:r>
          <w:r>
            <w:fldChar w:fldCharType="begin"/>
          </w:r>
          <w:r>
            <w:instrText xml:space="preserve"> PAGEREF _Toc6588 \h </w:instrText>
          </w:r>
          <w:r>
            <w:fldChar w:fldCharType="separate"/>
          </w:r>
          <w:r>
            <w:t>17</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_Toc4693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17．成交通知</w:t>
          </w:r>
          <w:r>
            <w:rPr>
              <w:rFonts w:hint="eastAsia" w:ascii="宋体" w:hAnsi="宋体" w:eastAsia="宋体" w:cs="宋体"/>
              <w:szCs w:val="21"/>
              <w:highlight w:val="none"/>
              <w:lang w:val="en-US" w:eastAsia="zh-CN"/>
            </w:rPr>
            <w:t>书</w:t>
          </w:r>
          <w:r>
            <w:tab/>
          </w:r>
          <w:r>
            <w:fldChar w:fldCharType="begin"/>
          </w:r>
          <w:r>
            <w:instrText xml:space="preserve"> PAGEREF _Toc4693 \h </w:instrText>
          </w:r>
          <w:r>
            <w:fldChar w:fldCharType="separate"/>
          </w:r>
          <w:r>
            <w:t>17</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_Toc816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18．合同授予</w:t>
          </w:r>
          <w:r>
            <w:tab/>
          </w:r>
          <w:r>
            <w:fldChar w:fldCharType="begin"/>
          </w:r>
          <w:r>
            <w:instrText xml:space="preserve"> PAGEREF _Toc816 \h </w:instrText>
          </w:r>
          <w:r>
            <w:fldChar w:fldCharType="separate"/>
          </w:r>
          <w:r>
            <w:t>17</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_Toc9179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19．磋商有效期</w:t>
          </w:r>
          <w:r>
            <w:tab/>
          </w:r>
          <w:r>
            <w:fldChar w:fldCharType="begin"/>
          </w:r>
          <w:r>
            <w:instrText xml:space="preserve"> PAGEREF _Toc9179 \h </w:instrText>
          </w:r>
          <w:r>
            <w:fldChar w:fldCharType="separate"/>
          </w:r>
          <w:r>
            <w:t>17</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_Toc7832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20．签订合同</w:t>
          </w:r>
          <w:r>
            <w:tab/>
          </w:r>
          <w:r>
            <w:fldChar w:fldCharType="begin"/>
          </w:r>
          <w:r>
            <w:instrText xml:space="preserve"> PAGEREF _Toc7832 \h </w:instrText>
          </w:r>
          <w:r>
            <w:fldChar w:fldCharType="separate"/>
          </w:r>
          <w:r>
            <w:t>17</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_Toc13523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代理服务费</w:t>
          </w:r>
          <w:r>
            <w:tab/>
          </w:r>
          <w:r>
            <w:fldChar w:fldCharType="begin"/>
          </w:r>
          <w:r>
            <w:instrText xml:space="preserve"> PAGEREF _Toc13523 \h </w:instrText>
          </w:r>
          <w:r>
            <w:fldChar w:fldCharType="separate"/>
          </w:r>
          <w:r>
            <w:t>18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_Toc18622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22．质疑</w:t>
          </w:r>
          <w:r>
            <w:tab/>
          </w:r>
          <w:r>
            <w:fldChar w:fldCharType="begin"/>
          </w:r>
          <w:r>
            <w:instrText xml:space="preserve"> PAGEREF _Toc18622 \h </w:instrText>
          </w:r>
          <w:r>
            <w:fldChar w:fldCharType="separate"/>
          </w:r>
          <w:r>
            <w:t>18</w:t>
          </w:r>
          <w:r>
            <w:fldChar w:fldCharType="end"/>
          </w:r>
          <w:r>
            <w:rPr>
              <w:rFonts w:hint="eastAsia" w:ascii="宋体" w:hAnsi="宋体" w:eastAsia="宋体" w:cs="宋体"/>
              <w:bCs/>
              <w:color w:val="auto"/>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_Toc2907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23．需要落实的政府采购政策</w:t>
          </w:r>
          <w:r>
            <w:tab/>
          </w:r>
          <w:r>
            <w:fldChar w:fldCharType="begin"/>
          </w:r>
          <w:r>
            <w:instrText xml:space="preserve"> PAGEREF _Toc2907 \h </w:instrText>
          </w:r>
          <w:r>
            <w:fldChar w:fldCharType="separate"/>
          </w:r>
          <w:r>
            <w:t>18</w:t>
          </w:r>
          <w:r>
            <w:fldChar w:fldCharType="end"/>
          </w:r>
          <w:r>
            <w:rPr>
              <w:rFonts w:hint="eastAsia" w:ascii="宋体" w:hAnsi="宋体" w:eastAsia="宋体" w:cs="宋体"/>
              <w:bCs/>
              <w:color w:val="auto"/>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_Toc469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6"/>
              <w:highlight w:val="none"/>
            </w:rPr>
            <w:t>第</w:t>
          </w:r>
          <w:r>
            <w:rPr>
              <w:rFonts w:hint="eastAsia" w:ascii="宋体" w:hAnsi="宋体" w:eastAsia="宋体" w:cs="宋体"/>
              <w:szCs w:val="36"/>
              <w:highlight w:val="none"/>
              <w:lang w:val="en-US" w:eastAsia="zh-CN"/>
            </w:rPr>
            <w:t>四</w:t>
          </w:r>
          <w:r>
            <w:rPr>
              <w:rFonts w:hint="eastAsia" w:ascii="宋体" w:hAnsi="宋体" w:eastAsia="宋体" w:cs="宋体"/>
              <w:szCs w:val="36"/>
              <w:highlight w:val="none"/>
            </w:rPr>
            <w:t>部分</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rPr>
            <w:t>采购</w:t>
          </w:r>
          <w:r>
            <w:rPr>
              <w:rFonts w:hint="eastAsia" w:ascii="宋体" w:hAnsi="宋体" w:eastAsia="宋体" w:cs="宋体"/>
              <w:szCs w:val="36"/>
              <w:highlight w:val="none"/>
              <w:lang w:val="en-US" w:eastAsia="zh-CN"/>
            </w:rPr>
            <w:t>需求</w:t>
          </w:r>
          <w:r>
            <w:tab/>
          </w:r>
          <w:r>
            <w:fldChar w:fldCharType="begin"/>
          </w:r>
          <w:r>
            <w:instrText xml:space="preserve"> PAGEREF _Toc469 \h </w:instrText>
          </w:r>
          <w:r>
            <w:fldChar w:fldCharType="separate"/>
          </w:r>
          <w:r>
            <w:t>21</w:t>
          </w:r>
          <w:r>
            <w:fldChar w:fldCharType="end"/>
          </w:r>
          <w:r>
            <w:rPr>
              <w:rFonts w:hint="eastAsia" w:ascii="宋体" w:hAnsi="宋体" w:eastAsia="宋体" w:cs="宋体"/>
              <w:bCs/>
              <w:color w:val="auto"/>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_Toc21949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第五部分 拟签订合同文本</w:t>
          </w:r>
          <w:r>
            <w:tab/>
          </w:r>
          <w:r>
            <w:fldChar w:fldCharType="begin"/>
          </w:r>
          <w:r>
            <w:instrText xml:space="preserve"> PAGEREF _Toc21949 \h </w:instrText>
          </w:r>
          <w:r>
            <w:fldChar w:fldCharType="separate"/>
          </w:r>
          <w:r>
            <w:t>34</w:t>
          </w:r>
          <w:r>
            <w:fldChar w:fldCharType="end"/>
          </w:r>
          <w:r>
            <w:rPr>
              <w:rFonts w:hint="eastAsia" w:ascii="宋体" w:hAnsi="宋体" w:eastAsia="宋体" w:cs="宋体"/>
              <w:bCs/>
              <w:color w:val="auto"/>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_Toc12552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lang w:val="en-US" w:eastAsia="zh-CN"/>
            </w:rPr>
            <w:t xml:space="preserve">第六部分 </w:t>
          </w:r>
          <w:r>
            <w:rPr>
              <w:rFonts w:hint="eastAsia" w:ascii="宋体" w:hAnsi="宋体" w:eastAsia="宋体" w:cs="宋体"/>
              <w:bCs/>
              <w:szCs w:val="32"/>
              <w:highlight w:val="none"/>
              <w:lang w:val="en-US" w:eastAsia="zh-CN"/>
            </w:rPr>
            <w:t>磋商响应文件格式</w:t>
          </w:r>
          <w:r>
            <w:tab/>
          </w:r>
          <w:r>
            <w:fldChar w:fldCharType="begin"/>
          </w:r>
          <w:r>
            <w:instrText xml:space="preserve"> PAGEREF _Toc12552 \h </w:instrText>
          </w:r>
          <w:r>
            <w:fldChar w:fldCharType="separate"/>
          </w:r>
          <w:r>
            <w:t>38</w:t>
          </w:r>
          <w:r>
            <w:fldChar w:fldCharType="end"/>
          </w:r>
          <w:r>
            <w:rPr>
              <w:rFonts w:hint="eastAsia" w:ascii="宋体" w:hAnsi="宋体" w:eastAsia="宋体" w:cs="宋体"/>
              <w:bCs/>
              <w:color w:val="auto"/>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宋体" w:hAnsi="宋体" w:eastAsia="宋体" w:cs="宋体"/>
              <w:color w:val="auto"/>
              <w:sz w:val="24"/>
              <w:szCs w:val="22"/>
              <w:lang w:val="en-US" w:eastAsia="zh-CN"/>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Cs/>
              <w:color w:val="auto"/>
              <w:szCs w:val="21"/>
              <w:highlight w:val="none"/>
              <w:u w:val="none"/>
              <w:lang w:val="en-US" w:eastAsia="zh-CN"/>
            </w:rPr>
            <w:fldChar w:fldCharType="end"/>
          </w:r>
        </w:p>
      </w:sdtContent>
    </w:sdt>
    <w:p>
      <w:pPr>
        <w:keepNext w:val="0"/>
        <w:keepLines w:val="0"/>
        <w:pageBreakBefore w:val="0"/>
        <w:kinsoku/>
        <w:overflowPunct/>
        <w:topLinePunct w:val="0"/>
        <w:autoSpaceDE/>
        <w:autoSpaceDN/>
        <w:bidi w:val="0"/>
        <w:adjustRightInd/>
        <w:snapToGrid/>
        <w:spacing w:line="500" w:lineRule="exact"/>
        <w:ind w:firstLine="0" w:firstLineChars="0"/>
        <w:jc w:val="center"/>
        <w:textAlignment w:val="auto"/>
        <w:outlineLvl w:val="0"/>
        <w:rPr>
          <w:rFonts w:hint="eastAsia" w:ascii="宋体" w:hAnsi="宋体" w:eastAsia="宋体" w:cs="宋体"/>
          <w:b/>
          <w:bCs/>
          <w:i w:val="0"/>
          <w:iCs w:val="0"/>
          <w:caps w:val="0"/>
          <w:color w:val="0A82E5"/>
          <w:spacing w:val="0"/>
          <w:sz w:val="36"/>
          <w:szCs w:val="36"/>
        </w:rPr>
      </w:pPr>
      <w:bookmarkStart w:id="0" w:name="_Toc15059"/>
      <w:bookmarkStart w:id="1" w:name="_Toc75259334"/>
      <w:r>
        <w:rPr>
          <w:rFonts w:hint="eastAsia" w:ascii="宋体" w:hAnsi="宋体" w:eastAsia="宋体" w:cs="宋体"/>
          <w:b/>
          <w:color w:val="auto"/>
          <w:sz w:val="32"/>
          <w:szCs w:val="32"/>
          <w:highlight w:val="none"/>
        </w:rPr>
        <w:t>第一部分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竞争性磋商公告</w:t>
      </w:r>
      <w:bookmarkEnd w:id="0"/>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rFonts w:hint="eastAsia" w:ascii="宋体" w:hAnsi="宋体" w:eastAsia="宋体" w:cs="宋体"/>
          <w:b w:val="0"/>
          <w:bCs w:val="0"/>
          <w:color w:val="000000"/>
          <w:sz w:val="21"/>
          <w:szCs w:val="21"/>
        </w:rPr>
      </w:pPr>
      <w:bookmarkStart w:id="2" w:name="_Toc3097"/>
      <w:bookmarkStart w:id="3" w:name="_Toc75259335"/>
      <w:r>
        <w:rPr>
          <w:rStyle w:val="27"/>
          <w:rFonts w:hint="eastAsia" w:ascii="宋体" w:hAnsi="宋体" w:eastAsia="宋体" w:cs="宋体"/>
          <w:b/>
          <w:bCs/>
          <w:i w:val="0"/>
          <w:iCs w:val="0"/>
          <w:caps w:val="0"/>
          <w:color w:val="000000"/>
          <w:spacing w:val="0"/>
          <w:sz w:val="21"/>
          <w:szCs w:val="21"/>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高质量发展示范项目人力资源系统集成服务项目采购项目的潜在供应商应在全国公共资源交易平台（陕西省·延安市）下载获取采购文件，并于2025年12月12日 09时00分（北京时间）前提交响应文件。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27"/>
          <w:rFonts w:hint="eastAsia" w:ascii="宋体" w:hAnsi="宋体" w:eastAsia="宋体" w:cs="宋体"/>
          <w:b/>
          <w:bCs/>
          <w:i w:val="0"/>
          <w:iCs w:val="0"/>
          <w:caps w:val="0"/>
          <w:color w:val="000000"/>
          <w:spacing w:val="0"/>
          <w:sz w:val="21"/>
          <w:szCs w:val="21"/>
          <w:shd w:val="clear" w:fill="FFFFFF"/>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项目编号：CY2025-016</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项目名称：高质量发展示范项目人力资源系统集成服务项目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采购方式：竞争性磋商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预算金额：302,700.00元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合同包1(延安市人民医院高质量发展示范项目人力资源系统集成服务项目):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合同包预算金额：302,700.00元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合同包最高限价：302,700.00元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3"/>
        <w:gridCol w:w="1644"/>
        <w:gridCol w:w="1985"/>
        <w:gridCol w:w="1347"/>
        <w:gridCol w:w="2032"/>
        <w:gridCol w:w="14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软件集成实施服务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人力资源系统集成服务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302,700.00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合同履行期限：合同签订后180日历日内完成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27"/>
          <w:rFonts w:hint="eastAsia" w:ascii="宋体" w:hAnsi="宋体" w:eastAsia="宋体" w:cs="宋体"/>
          <w:b/>
          <w:bCs/>
          <w:i w:val="0"/>
          <w:iCs w:val="0"/>
          <w:caps w:val="0"/>
          <w:color w:val="000000"/>
          <w:spacing w:val="0"/>
          <w:sz w:val="21"/>
          <w:szCs w:val="21"/>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合同包1(延安市人民医院高质量发展示范项目人力资源系统集成服务项目)落实政府采购政策需满足的资格要求如下: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（1）《财政部、司法部关于政府采购支持监狱企业发展有关问题的通知》（财库〔2014〕68号）；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（2）《财政部、民政部、中国残疾人联合会关于促进残疾人就业政府采购政策的通知》（财库〔2017〕141号）；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（3）《财政部发展改革委生态环境部市场监管总局关于调整优化节能产品、环境标志产品政府采购执行机制的通知》（财库〔2019〕9号）；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（4）《关于运用政府采购政策支持乡村产业振兴的通知》（财库〔2021〕19号）；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（5）《政府采购促进中小企业发展管理办法》（财库〔2020〕46号）；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（6）陕西省财政厅关于印发《陕西省中小企业政府采购信用融资办法》（陕财办采〔2018〕23号）；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（7）陕西省财政厅《关于进一步加强政府绿色采购有关问题的通知》（陕财办采〔2021〕29号）；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（8）《关于进一步加大政府采购支持中小企业力度的通知》（财库〔2022〕19号）；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（9）《财政部 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（10）其他需要落实的政府采购政策，或如有最新颁布的政府采购政策，按最新的文件执行。</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合同包1(延安市人民医院高质量发展示范项目人力资源系统集成服务项目)特定资格要求如下: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（1）具有独立承担民事责任能力的法人或其他组织，提供合法有效的统一社会信用代码的营业执照（含年度报告）或事业单位法人证书等国家规定的相关证明，自然人参与的提供其身份证明；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（2）银行开户许可证或开户行基本信息；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（3）法定代表人授权书（委托代理人参加须提供法定代表人授权书、法定代表人身份证复印件及被授权人身份证）或法定代表人身份证（法定代表人直接参加只须提供本人身份证）；</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（4）供应商应出具参加政府采购活动前3年内在经营活动中没有重大违法记录的书面声明；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（5）税收缴纳证明：提供2025年5月至今已缴存的至少一个月的纳税证明或完税证明，纳税证明或完税证明上应有代收机构或税务机关的公章。依法免税的供应商应提供相关文件证明；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（6）社会保障资金缴纳证明：提供2025年5月至今已缴存的至少一个月的社会保障资金缴存单据或社保机构开具的社会保险参保缴费情况证明，依法不需要缴纳社会保障资金的供应商应提供相关文件证明；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7）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（8）供应商未被列入“信用中国”网站严重失信主体名单和重大税收违法失信主体；中国政府采购网政府采购严重违法失信行为记录名单中被财政部门禁止参加政府采购活动的供应商；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（9）中小企业执行情况：本项目专门面向中小企业采购。</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注：单位负责人为同一人或者存在直接控股、管理关系的不同供应商，不得参加同一合同项下的政府采购活动。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27"/>
          <w:rFonts w:hint="eastAsia" w:ascii="宋体" w:hAnsi="宋体" w:eastAsia="宋体" w:cs="宋体"/>
          <w:b/>
          <w:bCs/>
          <w:i w:val="0"/>
          <w:iCs w:val="0"/>
          <w:caps w:val="0"/>
          <w:color w:val="000000"/>
          <w:spacing w:val="0"/>
          <w:sz w:val="21"/>
          <w:szCs w:val="21"/>
          <w:shd w:val="clear" w:fill="FFFFFF"/>
        </w:rPr>
        <w:t>三、获取采购文件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时间：2025年12月01日至2025年12月05日，每天上午09:00:00至12:00:00 ，下午14:00:00至17:30:00（北京时间）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途径：全国公共资源交易平台（陕西省·延安市）下载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方式：在线获取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售价：0元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27"/>
          <w:rFonts w:hint="eastAsia" w:ascii="宋体" w:hAnsi="宋体" w:eastAsia="宋体" w:cs="宋体"/>
          <w:b/>
          <w:bCs/>
          <w:i w:val="0"/>
          <w:iCs w:val="0"/>
          <w:caps w:val="0"/>
          <w:color w:val="000000"/>
          <w:spacing w:val="0"/>
          <w:sz w:val="21"/>
          <w:szCs w:val="21"/>
          <w:shd w:val="clear" w:fill="FFFFFF"/>
        </w:rPr>
        <w:t>四、响应文件提交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截止时间：2025年12月12日 09时00分00秒（北京时间）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地点：全国公共资源交易平台（陕西省·延安市）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27"/>
          <w:rFonts w:hint="eastAsia" w:ascii="宋体" w:hAnsi="宋体" w:eastAsia="宋体" w:cs="宋体"/>
          <w:b/>
          <w:bCs/>
          <w:i w:val="0"/>
          <w:iCs w:val="0"/>
          <w:caps w:val="0"/>
          <w:color w:val="000000"/>
          <w:spacing w:val="0"/>
          <w:sz w:val="21"/>
          <w:szCs w:val="21"/>
          <w:shd w:val="clear" w:fill="FFFFFF"/>
        </w:rPr>
        <w:t>五、开启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时间：2025年12月12日 09时00分00秒（北京时间）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地点：延安市公共资源交易中心交易一厅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27"/>
          <w:rFonts w:hint="eastAsia" w:ascii="宋体" w:hAnsi="宋体" w:eastAsia="宋体" w:cs="宋体"/>
          <w:b/>
          <w:bCs/>
          <w:i w:val="0"/>
          <w:iCs w:val="0"/>
          <w:caps w:val="0"/>
          <w:color w:val="000000"/>
          <w:spacing w:val="0"/>
          <w:sz w:val="21"/>
          <w:szCs w:val="21"/>
          <w:shd w:val="clear" w:fill="FFFFFF"/>
        </w:rPr>
        <w:t>六、公告期限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27"/>
          <w:rFonts w:hint="eastAsia" w:ascii="宋体" w:hAnsi="宋体" w:eastAsia="宋体" w:cs="宋体"/>
          <w:b/>
          <w:bCs/>
          <w:i w:val="0"/>
          <w:iCs w:val="0"/>
          <w:caps w:val="0"/>
          <w:color w:val="000000"/>
          <w:spacing w:val="0"/>
          <w:sz w:val="21"/>
          <w:szCs w:val="21"/>
          <w:shd w:val="clear" w:fill="FFFFFF"/>
        </w:rPr>
        <w:t>七、其他补充事宜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2、请供应商按照陕西省财政厅关于政府采购供应商注册登记有关事项的通知中的要求，通过陕西省政府采购网注册登记加入陕西省政府采购供应商库。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3、本项目专门面向中小企业采购；本次开标采用线上不见面开标模式，电子文件上传递交；供应商需在开标前登录政府采购不见面开标大厅进行签到、解密。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4、本次招标公告在《陕西省政府采购网》、《全国公共资源交易平台（陕西省·延安市）》媒介上发布。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27"/>
          <w:rFonts w:hint="eastAsia" w:ascii="宋体" w:hAnsi="宋体" w:eastAsia="宋体" w:cs="宋体"/>
          <w:b/>
          <w:bCs/>
          <w:i w:val="0"/>
          <w:iCs w:val="0"/>
          <w:caps w:val="0"/>
          <w:color w:val="000000"/>
          <w:spacing w:val="0"/>
          <w:sz w:val="21"/>
          <w:szCs w:val="21"/>
          <w:shd w:val="clear" w:fill="FFFFFF"/>
        </w:rPr>
        <w:t>八、对本次招标提出询问，请按以下方式联系。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fill="FFFFFF"/>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名称：延安市人民医院</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地址：延安市七里铺</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联系方式：0911-2888450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fill="FFFFFF"/>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名称：陕西楚元项目管理有限公司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地址：延安市新区鼎盛豪庭公寓4号楼201室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联系方式：0911-8899222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fill="FFFFFF"/>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项目联系人：姚方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电话：17809112100</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磋商须知</w:t>
      </w:r>
      <w:r>
        <w:rPr>
          <w:rFonts w:hint="eastAsia" w:ascii="宋体" w:hAnsi="宋体" w:eastAsia="宋体" w:cs="宋体"/>
          <w:b/>
          <w:color w:val="auto"/>
          <w:sz w:val="32"/>
          <w:szCs w:val="32"/>
          <w:highlight w:val="none"/>
          <w:lang w:val="en-US" w:eastAsia="zh-CN"/>
        </w:rPr>
        <w:t>前附表</w:t>
      </w:r>
      <w:bookmarkEnd w:id="2"/>
    </w:p>
    <w:tbl>
      <w:tblPr>
        <w:tblStyle w:val="24"/>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64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tblPrEx>
          <w:tblCellMar>
            <w:top w:w="0" w:type="dxa"/>
            <w:left w:w="28" w:type="dxa"/>
            <w:bottom w:w="0" w:type="dxa"/>
            <w:right w:w="28" w:type="dxa"/>
          </w:tblCellMar>
        </w:tblPrEx>
        <w:trPr>
          <w:trHeight w:val="70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333333"/>
                <w:spacing w:val="0"/>
                <w:sz w:val="21"/>
                <w:szCs w:val="21"/>
                <w:shd w:val="clear" w:color="auto" w:fill="FFFFFF"/>
                <w:vertAlign w:val="baseline"/>
                <w:lang w:val="en-US" w:eastAsia="zh-CN"/>
              </w:rPr>
              <w:t>延安市人民医院高质量发展示范项目人力资源系统集成服务项目</w:t>
            </w:r>
          </w:p>
        </w:tc>
      </w:tr>
      <w:tr>
        <w:tblPrEx>
          <w:tblCellMar>
            <w:top w:w="0" w:type="dxa"/>
            <w:left w:w="28" w:type="dxa"/>
            <w:bottom w:w="0" w:type="dxa"/>
            <w:right w:w="28" w:type="dxa"/>
          </w:tblCellMar>
        </w:tblPrEx>
        <w:trPr>
          <w:trHeight w:val="15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lang w:eastAsia="zh-CN"/>
              </w:rPr>
              <w:t>延安市人民医院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址：延安市七里铺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联系人：刘工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电</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zh-CN" w:eastAsia="zh-CN"/>
              </w:rPr>
              <w:t>话：</w:t>
            </w:r>
            <w:r>
              <w:rPr>
                <w:rFonts w:hint="eastAsia" w:ascii="宋体" w:hAnsi="宋体" w:eastAsia="宋体" w:cs="宋体"/>
                <w:color w:val="auto"/>
                <w:sz w:val="21"/>
                <w:szCs w:val="21"/>
                <w:highlight w:val="none"/>
                <w:lang w:val="en-US" w:eastAsia="zh-CN"/>
              </w:rPr>
              <w:t>0911-2888450</w:t>
            </w:r>
          </w:p>
        </w:tc>
      </w:tr>
      <w:tr>
        <w:tblPrEx>
          <w:tblCellMar>
            <w:top w:w="0" w:type="dxa"/>
            <w:left w:w="28" w:type="dxa"/>
            <w:bottom w:w="0" w:type="dxa"/>
            <w:right w:w="28" w:type="dxa"/>
          </w:tblCellMar>
        </w:tblPrEx>
        <w:trPr>
          <w:trHeight w:val="158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i w:val="0"/>
                <w:iCs w:val="0"/>
                <w:caps w:val="0"/>
                <w:color w:val="333333"/>
                <w:spacing w:val="0"/>
                <w:sz w:val="21"/>
                <w:szCs w:val="21"/>
                <w:shd w:val="clear" w:fill="FFFFFF"/>
                <w:lang w:eastAsia="zh-CN"/>
              </w:rPr>
              <w:t>延安市新区鼎盛豪庭公寓</w:t>
            </w:r>
            <w:r>
              <w:rPr>
                <w:rFonts w:hint="eastAsia" w:ascii="宋体" w:hAnsi="宋体" w:eastAsia="宋体" w:cs="宋体"/>
                <w:i w:val="0"/>
                <w:iCs w:val="0"/>
                <w:caps w:val="0"/>
                <w:color w:val="333333"/>
                <w:spacing w:val="0"/>
                <w:sz w:val="21"/>
                <w:szCs w:val="21"/>
                <w:shd w:val="clear" w:fill="FFFFFF"/>
                <w:lang w:val="en-US" w:eastAsia="zh-CN"/>
              </w:rPr>
              <w:t>4号楼201室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姚方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17809112100</w:t>
            </w:r>
          </w:p>
        </w:tc>
      </w:tr>
      <w:tr>
        <w:tblPrEx>
          <w:tblCellMar>
            <w:top w:w="0" w:type="dxa"/>
            <w:left w:w="28" w:type="dxa"/>
            <w:bottom w:w="0" w:type="dxa"/>
            <w:right w:w="28" w:type="dxa"/>
          </w:tblCellMar>
        </w:tblPrEx>
        <w:trPr>
          <w:trHeight w:val="101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tr>
        <w:tblPrEx>
          <w:tblCellMar>
            <w:top w:w="0" w:type="dxa"/>
            <w:left w:w="28" w:type="dxa"/>
            <w:bottom w:w="0" w:type="dxa"/>
            <w:right w:w="28" w:type="dxa"/>
          </w:tblCellMar>
        </w:tblPrEx>
        <w:trPr>
          <w:trHeight w:val="102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落实政府采购支持中小企业政策</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面向中小企业采购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面向小微企业采购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不专门面向</w:t>
            </w:r>
          </w:p>
        </w:tc>
      </w:tr>
      <w:tr>
        <w:tblPrEx>
          <w:tblCellMar>
            <w:top w:w="0" w:type="dxa"/>
            <w:left w:w="28" w:type="dxa"/>
            <w:bottom w:w="0" w:type="dxa"/>
            <w:right w:w="28" w:type="dxa"/>
          </w:tblCellMar>
        </w:tblPrEx>
        <w:trPr>
          <w:trHeight w:val="87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91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83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87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不允许提供</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供应商特定资格要求</w:t>
            </w:r>
          </w:p>
        </w:tc>
        <w:tc>
          <w:tcPr>
            <w:tcW w:w="6771" w:type="dxa"/>
            <w:tcBorders>
              <w:top w:val="single" w:color="auto" w:sz="4" w:space="0"/>
              <w:left w:val="nil"/>
              <w:bottom w:val="single" w:color="auto" w:sz="4" w:space="0"/>
              <w:right w:val="single" w:color="auto" w:sz="4" w:space="0"/>
            </w:tcBorders>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（1）具有独立承担民事责任能力的法人或其他组织，提供合法有效的统一社会信用代码的营业执照（含年度报告）或事业单位法人证书等国家规定的相关证明，自然人参与的提供其身份证明；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（2）银行开户许可证或开户行基本信息；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（3）法定代表人授权书（委托代理人参加须提供法定代表人授权书、法定代表人身份证复印件及被授权人身份证）或法定代表人身份证（法定代表人直接参加只须提供本人身份证）；</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（4）供应商应出具参加政府采购活动前3年内在经营活动中没有重大违法记录的书面声明；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（5）税收缴纳证明：提供</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202</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月至今已缴存的至少一个月</w:t>
            </w:r>
            <w:r>
              <w:rPr>
                <w:rFonts w:hint="eastAsia" w:ascii="宋体" w:hAnsi="宋体" w:eastAsia="宋体" w:cs="宋体"/>
                <w:b w:val="0"/>
                <w:color w:val="auto"/>
                <w:sz w:val="21"/>
                <w:szCs w:val="21"/>
                <w:highlight w:val="none"/>
                <w:lang w:val="en-US" w:eastAsia="zh-CN"/>
              </w:rPr>
              <w:t>的纳税证明或完税证明，纳税证明或完税证明上应有代收机构或税务机关的公章。依法免税的供应商应提供相关文件证明；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（6）社会保障资金缴纳证明：提供</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202</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月至今已缴存的至少一个月</w:t>
            </w:r>
            <w:r>
              <w:rPr>
                <w:rFonts w:hint="eastAsia" w:ascii="宋体" w:hAnsi="宋体" w:eastAsia="宋体" w:cs="宋体"/>
                <w:b w:val="0"/>
                <w:color w:val="auto"/>
                <w:sz w:val="21"/>
                <w:szCs w:val="21"/>
                <w:highlight w:val="none"/>
                <w:lang w:val="en-US" w:eastAsia="zh-CN"/>
              </w:rPr>
              <w:t>的社会保障资金缴存单据或社保机构开具的社会保险参保缴费情况证明，依法不需要缴纳社会保障资金的供应商应提供相关文件证明；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（8）供应商未被列入“信用中国”网站严重失信主体名单和重大税收违法失信主体；中国政府采购网政府采购严重违法失信行为记录名单中被财政部门禁止参加政府采购活动的供应商；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（9）中小企业执行情况：本项目专门面向中小企业采购；</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磋商保证金金额：</w:t>
            </w:r>
            <w:r>
              <w:rPr>
                <w:rFonts w:hint="eastAsia" w:ascii="宋体" w:hAnsi="宋体" w:eastAsia="宋体" w:cs="宋体"/>
                <w:b/>
                <w:color w:val="auto"/>
                <w:sz w:val="21"/>
                <w:szCs w:val="21"/>
                <w:highlight w:val="none"/>
              </w:rPr>
              <w:t>人民币</w:t>
            </w:r>
            <w:r>
              <w:rPr>
                <w:rFonts w:hint="eastAsia" w:ascii="宋体" w:hAnsi="宋体" w:eastAsia="宋体" w:cs="宋体"/>
                <w:b/>
                <w:color w:val="auto"/>
                <w:sz w:val="21"/>
                <w:szCs w:val="21"/>
                <w:highlight w:val="none"/>
                <w:lang w:eastAsia="zh-CN"/>
              </w:rPr>
              <w:t>伍仟元整（￥</w:t>
            </w:r>
            <w:r>
              <w:rPr>
                <w:rFonts w:hint="eastAsia" w:ascii="宋体" w:hAnsi="宋体" w:eastAsia="宋体" w:cs="宋体"/>
                <w:b/>
                <w:color w:val="auto"/>
                <w:sz w:val="21"/>
                <w:szCs w:val="21"/>
                <w:highlight w:val="none"/>
                <w:lang w:val="en-US" w:eastAsia="zh-CN"/>
              </w:rPr>
              <w:t>5000.00元</w:t>
            </w:r>
            <w:r>
              <w:rPr>
                <w:rFonts w:hint="eastAsia" w:ascii="宋体" w:hAnsi="宋体" w:eastAsia="宋体" w:cs="宋体"/>
                <w:b/>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磋商保证金缴纳账户信息：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开户单位：陕西楚元项目管理有限公司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开户行名称：</w:t>
            </w:r>
            <w:r>
              <w:rPr>
                <w:rFonts w:hint="eastAsia" w:ascii="宋体" w:hAnsi="宋体" w:eastAsia="宋体" w:cs="宋体"/>
                <w:color w:val="auto"/>
                <w:kern w:val="0"/>
                <w:highlight w:val="none"/>
                <w:lang w:val="en-US" w:eastAsia="zh-CN"/>
              </w:rPr>
              <w:t>西安银行股份有限公司延安分行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eastAsia="zh-CN"/>
              </w:rPr>
              <w:t>账      号：</w:t>
            </w:r>
            <w:r>
              <w:rPr>
                <w:rFonts w:hint="eastAsia" w:ascii="宋体" w:hAnsi="宋体" w:eastAsia="宋体" w:cs="宋体"/>
                <w:color w:val="auto"/>
                <w:kern w:val="0"/>
                <w:highlight w:val="none"/>
                <w:lang w:val="en-US" w:eastAsia="zh-CN"/>
              </w:rPr>
              <w:t>371011510000019626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highlight w:val="none"/>
                <w:lang w:val="en-US" w:eastAsia="zh-CN"/>
              </w:rPr>
              <w:t>注：</w:t>
            </w:r>
            <w:r>
              <w:rPr>
                <w:rFonts w:hint="eastAsia" w:ascii="宋体" w:hAnsi="宋体" w:eastAsia="宋体" w:cs="宋体"/>
                <w:color w:val="auto"/>
                <w:kern w:val="0"/>
                <w:highlight w:val="none"/>
              </w:rPr>
              <w:t>第</w:t>
            </w:r>
            <w:r>
              <w:rPr>
                <w:rFonts w:hint="eastAsia" w:ascii="宋体" w:hAnsi="宋体" w:eastAsia="宋体" w:cs="宋体"/>
                <w:color w:val="auto"/>
                <w:kern w:val="0"/>
                <w:highlight w:val="none"/>
                <w:lang w:val="en-US" w:eastAsia="zh-CN"/>
              </w:rPr>
              <w:t>三</w:t>
            </w:r>
            <w:r>
              <w:rPr>
                <w:rFonts w:hint="eastAsia" w:ascii="宋体" w:hAnsi="宋体" w:eastAsia="宋体" w:cs="宋体"/>
                <w:color w:val="auto"/>
                <w:kern w:val="0"/>
                <w:highlight w:val="none"/>
              </w:rPr>
              <w:t>部分</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磋商须知</w:t>
            </w:r>
            <w:r>
              <w:rPr>
                <w:rFonts w:hint="eastAsia" w:ascii="宋体" w:hAnsi="宋体" w:eastAsia="宋体" w:cs="宋体"/>
                <w:color w:val="auto"/>
                <w:kern w:val="0"/>
                <w:highlight w:val="none"/>
                <w:lang w:val="en-US" w:eastAsia="zh-CN"/>
              </w:rPr>
              <w:t>7.2保证金缴纳方式</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应注明“项目编号”</w:t>
            </w:r>
          </w:p>
        </w:tc>
      </w:tr>
      <w:tr>
        <w:tblPrEx>
          <w:tblCellMar>
            <w:top w:w="0" w:type="dxa"/>
            <w:left w:w="28" w:type="dxa"/>
            <w:bottom w:w="0" w:type="dxa"/>
            <w:right w:w="28" w:type="dxa"/>
          </w:tblCellMar>
        </w:tblPrEx>
        <w:trPr>
          <w:trHeight w:val="76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之日起，有效期为90日历天。</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响应文件递交</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1、本次招标采用不见面开标模式，远程解密，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2、加密电子版（SXSTF格式）需在提交投标文件截止时间前上传至全国公共资源交易平台（陕西省.延安市）。</w:t>
            </w:r>
          </w:p>
        </w:tc>
      </w:tr>
      <w:tr>
        <w:tblPrEx>
          <w:tblCellMar>
            <w:top w:w="0" w:type="dxa"/>
            <w:left w:w="28" w:type="dxa"/>
            <w:bottom w:w="0" w:type="dxa"/>
            <w:right w:w="28" w:type="dxa"/>
          </w:tblCellMar>
        </w:tblPrEx>
        <w:trPr>
          <w:trHeight w:val="42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响应文件</w:t>
            </w:r>
            <w:r>
              <w:rPr>
                <w:rFonts w:hint="eastAsia" w:ascii="宋体" w:hAnsi="宋体" w:eastAsia="宋体" w:cs="宋体"/>
                <w:bCs/>
                <w:color w:val="auto"/>
                <w:sz w:val="21"/>
                <w:szCs w:val="21"/>
                <w:highlight w:val="none"/>
                <w:lang w:val="en-US" w:eastAsia="zh-CN"/>
              </w:rPr>
              <w:t>数量</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数量：</w:t>
            </w:r>
            <w:r>
              <w:rPr>
                <w:rFonts w:hint="eastAsia" w:ascii="宋体" w:hAnsi="宋体" w:eastAsia="宋体" w:cs="宋体"/>
                <w:sz w:val="21"/>
                <w:szCs w:val="21"/>
                <w:highlight w:val="none"/>
              </w:rPr>
              <w:t>正本一份、副本</w:t>
            </w: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分别胶装装订成册，且封面须清楚地标明“正本”、“副本”；若正本和副本不符，以正本书面</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文件为准；</w:t>
            </w:r>
            <w:r>
              <w:rPr>
                <w:rFonts w:hint="eastAsia" w:ascii="宋体" w:hAnsi="宋体" w:eastAsia="宋体" w:cs="宋体"/>
                <w:sz w:val="21"/>
                <w:szCs w:val="21"/>
                <w:highlight w:val="none"/>
                <w:lang w:eastAsia="zh-CN"/>
              </w:rPr>
              <w:t>（开标当天寄顺丰快递至代理公司）</w:t>
            </w:r>
          </w:p>
        </w:tc>
      </w:tr>
      <w:tr>
        <w:tblPrEx>
          <w:tblCellMar>
            <w:top w:w="0" w:type="dxa"/>
            <w:left w:w="28" w:type="dxa"/>
            <w:bottom w:w="0" w:type="dxa"/>
            <w:right w:w="28" w:type="dxa"/>
          </w:tblCellMar>
        </w:tblPrEx>
        <w:trPr>
          <w:trHeight w:val="75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综合评分法（详见第三部分）</w:t>
            </w:r>
          </w:p>
        </w:tc>
      </w:tr>
      <w:tr>
        <w:tblPrEx>
          <w:tblCellMar>
            <w:top w:w="0" w:type="dxa"/>
            <w:left w:w="28" w:type="dxa"/>
            <w:bottom w:w="0" w:type="dxa"/>
            <w:right w:w="28" w:type="dxa"/>
          </w:tblCellMar>
        </w:tblPrEx>
        <w:trPr>
          <w:trHeight w:val="109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在与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签订合同之前，</w:t>
            </w:r>
            <w:r>
              <w:rPr>
                <w:rFonts w:hint="eastAsia" w:ascii="宋体" w:hAnsi="宋体" w:eastAsia="宋体" w:cs="宋体"/>
                <w:sz w:val="21"/>
                <w:szCs w:val="21"/>
                <w:highlight w:val="none"/>
                <w:lang w:val="en-US" w:eastAsia="zh-CN"/>
              </w:rPr>
              <w:t>采购人有权要求中标人</w:t>
            </w:r>
            <w:r>
              <w:rPr>
                <w:rFonts w:hint="eastAsia" w:ascii="宋体" w:hAnsi="宋体" w:eastAsia="宋体" w:cs="宋体"/>
                <w:sz w:val="21"/>
                <w:szCs w:val="21"/>
                <w:highlight w:val="none"/>
              </w:rPr>
              <w:t>缴纳</w:t>
            </w:r>
            <w:r>
              <w:rPr>
                <w:rFonts w:hint="eastAsia" w:ascii="宋体" w:hAnsi="宋体" w:eastAsia="宋体" w:cs="宋体"/>
                <w:sz w:val="21"/>
                <w:szCs w:val="21"/>
                <w:highlight w:val="none"/>
                <w:lang w:val="en-US" w:eastAsia="zh-CN"/>
              </w:rPr>
              <w:t>合同</w:t>
            </w:r>
            <w:r>
              <w:rPr>
                <w:rFonts w:hint="eastAsia" w:ascii="宋体" w:hAnsi="宋体" w:eastAsia="宋体" w:cs="宋体"/>
                <w:sz w:val="21"/>
                <w:szCs w:val="21"/>
                <w:highlight w:val="none"/>
              </w:rPr>
              <w:t>价的</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%作为履约保证金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履约保证金在政府采购合同履行完毕，且采购人验收通过后，以银行转账的方式无息退还给中标人。</w:t>
            </w:r>
          </w:p>
        </w:tc>
      </w:tr>
      <w:tr>
        <w:tblPrEx>
          <w:tblCellMar>
            <w:top w:w="0" w:type="dxa"/>
            <w:left w:w="28" w:type="dxa"/>
            <w:bottom w:w="0" w:type="dxa"/>
            <w:right w:w="28" w:type="dxa"/>
          </w:tblCellMar>
        </w:tblPrEx>
        <w:trPr>
          <w:trHeight w:val="215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重新采购或转变采购方式情形须按照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中华人民共和国政府采购法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及其实施条例、</w:t>
            </w:r>
            <w:r>
              <w:rPr>
                <w:rFonts w:hint="eastAsia" w:ascii="宋体" w:hAnsi="宋体" w:eastAsia="宋体" w:cs="宋体"/>
                <w:sz w:val="21"/>
                <w:szCs w:val="21"/>
                <w:highlight w:val="none"/>
              </w:rPr>
              <w:t>《政府采购竞争性磋商采购方式管理暂行办法》（财库[2014]214号）第二十一条、《财政部关于政府采购竞争性磋商采购方式管理暂行办法有关问题的补充通知》（财库[2015]124号）规定的相关原则处理。</w:t>
            </w:r>
          </w:p>
        </w:tc>
      </w:tr>
    </w:tbl>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auto"/>
          <w:sz w:val="32"/>
          <w:szCs w:val="32"/>
          <w:highlight w:val="none"/>
        </w:rPr>
      </w:pPr>
      <w:bookmarkStart w:id="4" w:name="_Toc14628"/>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磋商须知</w:t>
      </w:r>
      <w:bookmarkEnd w:id="3"/>
      <w:bookmarkEnd w:id="4"/>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 w:name="_Toc26915"/>
      <w:bookmarkStart w:id="6" w:name="_Toc75259336"/>
      <w:r>
        <w:rPr>
          <w:rFonts w:hint="eastAsia" w:ascii="宋体" w:hAnsi="宋体" w:eastAsia="宋体" w:cs="宋体"/>
          <w:b/>
          <w:color w:val="auto"/>
          <w:sz w:val="21"/>
          <w:szCs w:val="21"/>
          <w:highlight w:val="none"/>
        </w:rPr>
        <w:t>1．适用范围</w:t>
      </w:r>
      <w:bookmarkEnd w:id="5"/>
      <w:bookmarkEnd w:id="6"/>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1本磋商文件仅适用于本次磋商所叙述的</w:t>
      </w:r>
      <w:r>
        <w:rPr>
          <w:rFonts w:hint="eastAsia" w:eastAsia="宋体" w:cs="宋体"/>
          <w:color w:val="auto"/>
          <w:sz w:val="21"/>
          <w:szCs w:val="21"/>
          <w:highlight w:val="none"/>
          <w:lang w:val="en-US" w:eastAsia="zh-CN"/>
        </w:rPr>
        <w:t>延安市人民医院高质量发展示范项目人力资源系统集成服务项目</w:t>
      </w:r>
      <w:r>
        <w:rPr>
          <w:rFonts w:hint="eastAsia" w:ascii="宋体" w:hAnsi="宋体" w:eastAsia="宋体" w:cs="宋体"/>
          <w:color w:val="auto"/>
          <w:sz w:val="21"/>
          <w:szCs w:val="21"/>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 w:name="_Toc75259337"/>
      <w:bookmarkStart w:id="8" w:name="_Toc9909"/>
      <w:r>
        <w:rPr>
          <w:rFonts w:hint="eastAsia" w:ascii="宋体" w:hAnsi="宋体" w:eastAsia="宋体" w:cs="宋体"/>
          <w:b/>
          <w:color w:val="auto"/>
          <w:sz w:val="21"/>
          <w:szCs w:val="21"/>
          <w:highlight w:val="none"/>
        </w:rPr>
        <w:t>2．定义</w:t>
      </w:r>
      <w:bookmarkEnd w:id="7"/>
      <w:bookmarkEnd w:id="8"/>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1“采购人”系指</w:t>
      </w:r>
      <w:r>
        <w:rPr>
          <w:rFonts w:hint="eastAsia" w:ascii="宋体" w:hAnsi="宋体" w:eastAsia="宋体" w:cs="宋体"/>
          <w:color w:val="auto"/>
          <w:sz w:val="21"/>
          <w:szCs w:val="21"/>
          <w:highlight w:val="none"/>
          <w:lang w:val="en-US" w:eastAsia="zh-CN"/>
        </w:rPr>
        <w:t>延安市人民医院</w:t>
      </w:r>
      <w:r>
        <w:rPr>
          <w:rFonts w:hint="eastAsia" w:ascii="宋体" w:hAnsi="宋体" w:eastAsia="宋体" w:cs="宋体"/>
          <w:color w:val="auto"/>
          <w:sz w:val="21"/>
          <w:szCs w:val="21"/>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2“采购代理机构”系指组织本次磋商活动的</w:t>
      </w:r>
      <w:r>
        <w:rPr>
          <w:rFonts w:hint="eastAsia" w:ascii="宋体" w:hAnsi="宋体" w:eastAsia="宋体" w:cs="宋体"/>
          <w:color w:val="auto"/>
          <w:sz w:val="21"/>
          <w:szCs w:val="21"/>
          <w:highlight w:val="none"/>
          <w:lang w:val="en-US" w:eastAsia="zh-CN"/>
        </w:rPr>
        <w:t>陕西楚元项目管理有限公司</w:t>
      </w:r>
      <w:r>
        <w:rPr>
          <w:rFonts w:hint="eastAsia" w:ascii="宋体" w:hAnsi="宋体" w:eastAsia="宋体" w:cs="宋体"/>
          <w:color w:val="auto"/>
          <w:sz w:val="21"/>
          <w:szCs w:val="21"/>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3“供应商”系指无条件接受磋商文件的各项要求，具备相应履约能力、具有《中华人民共和国政府采购法》第</w:t>
      </w:r>
      <w:r>
        <w:rPr>
          <w:rFonts w:hint="eastAsia" w:ascii="宋体" w:hAnsi="宋体" w:eastAsia="宋体" w:cs="宋体"/>
          <w:color w:val="auto"/>
          <w:sz w:val="21"/>
          <w:szCs w:val="21"/>
          <w:highlight w:val="none"/>
          <w:lang w:val="en-US" w:eastAsia="zh-CN"/>
        </w:rPr>
        <w:t>二十二条</w:t>
      </w:r>
      <w:r>
        <w:rPr>
          <w:rFonts w:hint="eastAsia" w:ascii="宋体" w:hAnsi="宋体" w:eastAsia="宋体" w:cs="宋体"/>
          <w:color w:val="auto"/>
          <w:sz w:val="21"/>
          <w:szCs w:val="21"/>
          <w:highlight w:val="none"/>
        </w:rPr>
        <w:t>规定的相关条件并向磋商小组提交响应文件的供应商。</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供应商在“中国执行信息公开网</w:t>
      </w:r>
      <w:r>
        <w:rPr>
          <w:rFonts w:hint="eastAsia" w:ascii="宋体" w:hAnsi="宋体" w:eastAsia="宋体" w:cs="宋体"/>
          <w:bCs/>
          <w:color w:val="auto"/>
          <w:sz w:val="21"/>
          <w:szCs w:val="21"/>
          <w:highlight w:val="none"/>
          <w:lang w:eastAsia="zh-CN"/>
        </w:rPr>
        <w:t>（http://zxgk.court.gov.cn/）</w:t>
      </w:r>
      <w:r>
        <w:rPr>
          <w:rFonts w:hint="eastAsia" w:ascii="宋体" w:hAnsi="宋体" w:eastAsia="宋体" w:cs="宋体"/>
          <w:bCs/>
          <w:color w:val="auto"/>
          <w:sz w:val="21"/>
          <w:szCs w:val="21"/>
          <w:highlight w:val="none"/>
        </w:rPr>
        <w:t>”未列入失信被执行人，在“信用中国</w:t>
      </w:r>
      <w:r>
        <w:rPr>
          <w:rFonts w:hint="eastAsia" w:ascii="宋体" w:hAnsi="宋体" w:eastAsia="宋体" w:cs="宋体"/>
          <w:bCs/>
          <w:color w:val="auto"/>
          <w:sz w:val="21"/>
          <w:szCs w:val="21"/>
          <w:highlight w:val="none"/>
          <w:lang w:eastAsia="zh-CN"/>
        </w:rPr>
        <w:t>（https://www.creditchina.gov.cn/）</w:t>
      </w:r>
      <w:r>
        <w:rPr>
          <w:rFonts w:hint="eastAsia" w:ascii="宋体" w:hAnsi="宋体" w:eastAsia="宋体" w:cs="宋体"/>
          <w:bCs/>
          <w:color w:val="auto"/>
          <w:sz w:val="21"/>
          <w:szCs w:val="21"/>
          <w:highlight w:val="none"/>
        </w:rPr>
        <w:t>”未列入重大税收违法失信主体，</w:t>
      </w:r>
      <w:r>
        <w:rPr>
          <w:rFonts w:hint="eastAsia" w:ascii="宋体" w:hAnsi="宋体" w:eastAsia="宋体" w:cs="宋体"/>
          <w:bCs/>
          <w:color w:val="auto"/>
          <w:sz w:val="21"/>
          <w:szCs w:val="21"/>
          <w:highlight w:val="none"/>
          <w:lang w:val="en-US" w:eastAsia="zh-CN"/>
        </w:rPr>
        <w:t>在</w:t>
      </w:r>
      <w:r>
        <w:rPr>
          <w:rFonts w:hint="eastAsia" w:ascii="宋体" w:hAnsi="宋体" w:eastAsia="宋体" w:cs="宋体"/>
          <w:bCs/>
          <w:color w:val="auto"/>
          <w:sz w:val="21"/>
          <w:szCs w:val="21"/>
          <w:highlight w:val="none"/>
        </w:rPr>
        <w:t>中国政府采购网</w:t>
      </w:r>
      <w:r>
        <w:rPr>
          <w:rFonts w:hint="eastAsia" w:ascii="宋体" w:hAnsi="宋体" w:eastAsia="宋体" w:cs="宋体"/>
          <w:bCs/>
          <w:color w:val="auto"/>
          <w:sz w:val="21"/>
          <w:szCs w:val="21"/>
          <w:highlight w:val="none"/>
          <w:lang w:eastAsia="zh-CN"/>
        </w:rPr>
        <w:t>（http://www.ccgp.gov.cn/）</w:t>
      </w:r>
      <w:r>
        <w:rPr>
          <w:rFonts w:hint="eastAsia" w:ascii="宋体" w:hAnsi="宋体" w:eastAsia="宋体" w:cs="宋体"/>
          <w:bCs/>
          <w:color w:val="auto"/>
          <w:sz w:val="21"/>
          <w:szCs w:val="21"/>
          <w:highlight w:val="none"/>
          <w:lang w:val="en-US" w:eastAsia="zh-CN"/>
        </w:rPr>
        <w:t>未列入</w:t>
      </w:r>
      <w:r>
        <w:rPr>
          <w:rFonts w:hint="eastAsia" w:ascii="宋体" w:hAnsi="宋体" w:eastAsia="宋体" w:cs="宋体"/>
          <w:bCs/>
          <w:color w:val="auto"/>
          <w:sz w:val="21"/>
          <w:szCs w:val="21"/>
          <w:highlight w:val="none"/>
        </w:rPr>
        <w:t>政府采购严重违法失信行为记录名单</w:t>
      </w:r>
      <w:r>
        <w:rPr>
          <w:rFonts w:hint="eastAsia" w:ascii="宋体" w:hAnsi="宋体" w:eastAsia="宋体" w:cs="宋体"/>
          <w:bCs/>
          <w:color w:val="auto"/>
          <w:sz w:val="21"/>
          <w:szCs w:val="21"/>
          <w:highlight w:val="none"/>
          <w:lang w:val="en-US" w:eastAsia="zh-CN"/>
        </w:rPr>
        <w:t>且未</w:t>
      </w:r>
      <w:r>
        <w:rPr>
          <w:rFonts w:hint="eastAsia" w:ascii="宋体" w:hAnsi="宋体" w:eastAsia="宋体" w:cs="宋体"/>
          <w:bCs/>
          <w:color w:val="auto"/>
          <w:sz w:val="21"/>
          <w:szCs w:val="21"/>
          <w:highlight w:val="none"/>
        </w:rPr>
        <w:t>被财政部门禁止参加政府采购活动（处罚期限届满的除外</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2.5政府采购应当采购本国货物、工程和服务。有特殊情形的除外，情形详见《中华人民共和国政府采购法》第十条规定。 </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9" w:name="_Toc75259338"/>
      <w:bookmarkStart w:id="10" w:name="_Toc27774"/>
      <w:r>
        <w:rPr>
          <w:rFonts w:hint="eastAsia" w:ascii="宋体" w:hAnsi="宋体" w:eastAsia="宋体" w:cs="宋体"/>
          <w:b/>
          <w:color w:val="auto"/>
          <w:sz w:val="21"/>
          <w:szCs w:val="21"/>
          <w:highlight w:val="none"/>
        </w:rPr>
        <w:t>3．合格供应商的范围</w:t>
      </w:r>
      <w:bookmarkEnd w:id="9"/>
      <w:bookmarkEnd w:id="10"/>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3.1具有独立承担民事责任的能力；</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3.2具有良好的商业信誉和健全的财务会计制度；</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3.3具有履行合同所必需的设备和专业技术能力；</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3.4有依法缴纳税收和社会保障资金的良好记录；</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3.5参加政府采购活动前三年内，在经营活动中没有重大违法记录；</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3.6 具备法律行政法规规定的其他条件；</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3.7完全满足磋商文件的实质性要求；</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3.8凡具备磋商文件要求资格，有服务能力的供应商均可参加。</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1" w:name="_Toc75259339"/>
      <w:bookmarkStart w:id="12" w:name="_Toc10773"/>
      <w:r>
        <w:rPr>
          <w:rFonts w:hint="eastAsia" w:ascii="宋体" w:hAnsi="宋体" w:eastAsia="宋体" w:cs="宋体"/>
          <w:b/>
          <w:color w:val="auto"/>
          <w:sz w:val="21"/>
          <w:szCs w:val="24"/>
          <w:highlight w:val="none"/>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磋商代表</w:t>
      </w:r>
      <w:bookmarkEnd w:id="11"/>
      <w:bookmarkEnd w:id="12"/>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rPr>
        <w:t>磋商代表必须是法定代表人或持有《法定代表人授权委托书》的被授权代表人。</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3" w:name="_Toc75259340"/>
      <w:bookmarkStart w:id="14" w:name="_Toc25901"/>
      <w:r>
        <w:rPr>
          <w:rFonts w:hint="eastAsia" w:ascii="宋体" w:hAnsi="宋体" w:eastAsia="宋体" w:cs="宋体"/>
          <w:b/>
          <w:color w:val="auto"/>
          <w:sz w:val="21"/>
          <w:szCs w:val="24"/>
          <w:highlight w:val="none"/>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费用</w:t>
      </w:r>
      <w:bookmarkEnd w:id="13"/>
      <w:bookmarkEnd w:id="14"/>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rPr>
        <w:t>无论磋商结果如何，供应商自行承担所有与参加磋商有关的全部费用。</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5" w:name="_Toc75259341"/>
      <w:bookmarkStart w:id="16" w:name="_Toc13881"/>
      <w:r>
        <w:rPr>
          <w:rFonts w:hint="eastAsia" w:ascii="宋体" w:hAnsi="宋体" w:eastAsia="宋体" w:cs="宋体"/>
          <w:b/>
          <w:color w:val="auto"/>
          <w:sz w:val="21"/>
          <w:szCs w:val="24"/>
          <w:highlight w:val="none"/>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响应文件</w:t>
      </w:r>
      <w:bookmarkEnd w:id="15"/>
      <w:bookmarkEnd w:id="16"/>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6.1响应文件的组成</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bookmarkStart w:id="17" w:name="_Hlk63272456"/>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函；</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（2）磋商一览表（首次）</w:t>
      </w:r>
      <w:r>
        <w:rPr>
          <w:rFonts w:hint="eastAsia" w:ascii="宋体" w:hAnsi="宋体" w:eastAsia="宋体" w:cs="宋体"/>
          <w:color w:val="auto"/>
          <w:sz w:val="21"/>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（3）法定代表人身份证明；</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（4）法定代表人授权委托书；</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（5）技术部分；</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（6）商务部分；</w:t>
      </w:r>
    </w:p>
    <w:p>
      <w:pPr>
        <w:spacing w:line="360" w:lineRule="auto"/>
        <w:ind w:firstLine="420" w:firstLineChars="200"/>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color w:val="auto"/>
          <w:kern w:val="2"/>
          <w:sz w:val="21"/>
          <w:szCs w:val="24"/>
          <w:highlight w:val="none"/>
          <w:lang w:val="en-US" w:eastAsia="zh-CN" w:bidi="ar-SA"/>
        </w:rPr>
        <w:t>7）供应商承诺书；</w:t>
      </w:r>
    </w:p>
    <w:p>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Cs/>
          <w:color w:val="auto"/>
          <w:sz w:val="21"/>
          <w:szCs w:val="24"/>
          <w:highlight w:val="none"/>
          <w:lang w:eastAsia="zh-CN"/>
        </w:rPr>
        <w:t>（</w:t>
      </w:r>
      <w:r>
        <w:rPr>
          <w:rFonts w:hint="eastAsia" w:ascii="宋体" w:hAnsi="宋体" w:eastAsia="宋体" w:cs="宋体"/>
          <w:bCs/>
          <w:color w:val="auto"/>
          <w:sz w:val="21"/>
          <w:szCs w:val="24"/>
          <w:highlight w:val="none"/>
          <w:lang w:val="en-US" w:eastAsia="zh-CN"/>
        </w:rPr>
        <w:t>8</w:t>
      </w:r>
      <w:r>
        <w:rPr>
          <w:rFonts w:hint="eastAsia" w:ascii="宋体" w:hAnsi="宋体" w:eastAsia="宋体" w:cs="宋体"/>
          <w:color w:val="auto"/>
          <w:kern w:val="2"/>
          <w:sz w:val="21"/>
          <w:szCs w:val="24"/>
          <w:highlight w:val="none"/>
          <w:lang w:val="en-US" w:eastAsia="zh-CN" w:bidi="ar-SA"/>
        </w:rPr>
        <w:t>）陕西省政府采购供应商拒绝政府采购领域商业贿赂承诺书；</w:t>
      </w:r>
    </w:p>
    <w:p>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Cs/>
          <w:color w:val="auto"/>
          <w:sz w:val="21"/>
          <w:szCs w:val="24"/>
          <w:highlight w:val="none"/>
          <w:lang w:eastAsia="zh-CN"/>
        </w:rPr>
        <w:t>（</w:t>
      </w:r>
      <w:r>
        <w:rPr>
          <w:rFonts w:hint="eastAsia" w:ascii="宋体" w:hAnsi="宋体" w:eastAsia="宋体" w:cs="宋体"/>
          <w:bCs/>
          <w:color w:val="auto"/>
          <w:sz w:val="21"/>
          <w:szCs w:val="24"/>
          <w:highlight w:val="none"/>
          <w:lang w:val="en-US" w:eastAsia="zh-CN"/>
        </w:rPr>
        <w:t>9</w:t>
      </w:r>
      <w:r>
        <w:rPr>
          <w:rFonts w:hint="eastAsia" w:ascii="宋体" w:hAnsi="宋体" w:eastAsia="宋体" w:cs="宋体"/>
          <w:color w:val="auto"/>
          <w:kern w:val="2"/>
          <w:sz w:val="21"/>
          <w:szCs w:val="24"/>
          <w:highlight w:val="none"/>
          <w:lang w:val="en-US" w:eastAsia="zh-CN" w:bidi="ar-SA"/>
        </w:rPr>
        <w:t>）资格审查资料</w:t>
      </w:r>
    </w:p>
    <w:p>
      <w:pPr>
        <w:spacing w:line="360" w:lineRule="auto"/>
        <w:ind w:firstLine="420" w:firstLineChars="200"/>
        <w:rPr>
          <w:rFonts w:hint="eastAsia" w:ascii="宋体" w:hAnsi="宋体" w:eastAsia="宋体" w:cs="宋体"/>
          <w:bCs/>
          <w:color w:val="auto"/>
          <w:sz w:val="21"/>
          <w:szCs w:val="24"/>
          <w:highlight w:val="none"/>
        </w:rPr>
      </w:pPr>
      <w:r>
        <w:rPr>
          <w:rFonts w:hint="eastAsia" w:ascii="宋体" w:hAnsi="宋体" w:eastAsia="宋体" w:cs="宋体"/>
          <w:color w:val="auto"/>
          <w:kern w:val="2"/>
          <w:sz w:val="21"/>
          <w:szCs w:val="24"/>
          <w:highlight w:val="none"/>
          <w:lang w:val="en-US" w:eastAsia="zh-CN" w:bidi="ar-SA"/>
        </w:rPr>
        <w:t>（10）</w:t>
      </w:r>
      <w:r>
        <w:rPr>
          <w:rFonts w:hint="eastAsia" w:ascii="宋体" w:hAnsi="宋体" w:eastAsia="宋体" w:cs="宋体"/>
          <w:bCs/>
          <w:color w:val="auto"/>
          <w:sz w:val="21"/>
          <w:szCs w:val="24"/>
          <w:highlight w:val="none"/>
        </w:rPr>
        <w:t>其</w:t>
      </w:r>
      <w:r>
        <w:rPr>
          <w:rFonts w:hint="eastAsia" w:ascii="宋体" w:hAnsi="宋体" w:eastAsia="宋体" w:cs="宋体"/>
          <w:bCs/>
          <w:color w:val="auto"/>
          <w:sz w:val="21"/>
          <w:szCs w:val="24"/>
          <w:highlight w:val="none"/>
          <w:lang w:eastAsia="zh-CN"/>
        </w:rPr>
        <w:t>它</w:t>
      </w:r>
      <w:r>
        <w:rPr>
          <w:rFonts w:hint="eastAsia" w:ascii="宋体" w:hAnsi="宋体" w:eastAsia="宋体" w:cs="宋体"/>
          <w:bCs/>
          <w:color w:val="auto"/>
          <w:sz w:val="21"/>
          <w:szCs w:val="24"/>
          <w:highlight w:val="none"/>
        </w:rPr>
        <w:t>材料</w:t>
      </w:r>
    </w:p>
    <w:bookmarkEnd w:id="17"/>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 6.2响应文件编制要求</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（1）响应文件按6.1顺序组成，装订成册，</w:t>
      </w:r>
      <w:r>
        <w:rPr>
          <w:rFonts w:hint="eastAsia" w:ascii="宋体" w:hAnsi="宋体" w:eastAsia="宋体" w:cs="宋体"/>
          <w:b/>
          <w:color w:val="auto"/>
          <w:sz w:val="21"/>
          <w:szCs w:val="24"/>
          <w:highlight w:val="none"/>
        </w:rPr>
        <w:t>供应商应</w:t>
      </w:r>
      <w:bookmarkStart w:id="18" w:name="_Hlk74733354"/>
      <w:r>
        <w:rPr>
          <w:rFonts w:hint="eastAsia" w:ascii="宋体" w:hAnsi="宋体" w:eastAsia="宋体" w:cs="宋体"/>
          <w:b/>
          <w:color w:val="auto"/>
          <w:sz w:val="21"/>
          <w:szCs w:val="24"/>
          <w:highlight w:val="none"/>
        </w:rPr>
        <w:t>按标包分别制作响应文件</w:t>
      </w:r>
      <w:bookmarkEnd w:id="18"/>
      <w:r>
        <w:rPr>
          <w:rFonts w:hint="eastAsia" w:ascii="宋体" w:hAnsi="宋体" w:eastAsia="宋体" w:cs="宋体"/>
          <w:color w:val="auto"/>
          <w:sz w:val="21"/>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（2）响应文件</w:t>
      </w:r>
      <w:r>
        <w:rPr>
          <w:rFonts w:hint="eastAsia" w:ascii="宋体" w:hAnsi="宋体" w:eastAsia="宋体" w:cs="宋体"/>
          <w:b/>
          <w:bCs/>
          <w:color w:val="auto"/>
          <w:sz w:val="21"/>
          <w:szCs w:val="24"/>
          <w:highlight w:val="none"/>
        </w:rPr>
        <w:t>正本一份，副本</w:t>
      </w:r>
      <w:r>
        <w:rPr>
          <w:rFonts w:hint="eastAsia" w:eastAsia="宋体" w:cs="宋体"/>
          <w:b/>
          <w:bCs/>
          <w:color w:val="auto"/>
          <w:sz w:val="21"/>
          <w:szCs w:val="24"/>
          <w:highlight w:val="none"/>
          <w:lang w:eastAsia="zh-CN"/>
        </w:rPr>
        <w:t>一</w:t>
      </w:r>
      <w:r>
        <w:rPr>
          <w:rFonts w:hint="eastAsia" w:ascii="宋体" w:hAnsi="宋体" w:eastAsia="宋体" w:cs="宋体"/>
          <w:b/>
          <w:bCs/>
          <w:color w:val="auto"/>
          <w:sz w:val="21"/>
          <w:szCs w:val="24"/>
          <w:highlight w:val="none"/>
        </w:rPr>
        <w:t>份,</w:t>
      </w:r>
      <w:r>
        <w:rPr>
          <w:rFonts w:hint="eastAsia" w:ascii="宋体" w:hAnsi="宋体" w:eastAsia="宋体" w:cs="宋体"/>
          <w:color w:val="auto"/>
          <w:sz w:val="21"/>
          <w:szCs w:val="24"/>
          <w:highlight w:val="none"/>
        </w:rPr>
        <w:t>如果正本与副本不符，以正本为准。响应文件应字迹清楚、内容齐全、数字准确、不应有涂改增删处。</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（3）响应文件必须用不褪色的墨水</w:t>
      </w:r>
      <w:r>
        <w:rPr>
          <w:rFonts w:hint="eastAsia" w:ascii="宋体" w:hAnsi="宋体" w:eastAsia="宋体" w:cs="宋体"/>
          <w:color w:val="auto"/>
          <w:sz w:val="21"/>
          <w:szCs w:val="24"/>
          <w:highlight w:val="none"/>
          <w:lang w:val="en-US" w:eastAsia="zh-CN"/>
        </w:rPr>
        <w:t>书</w:t>
      </w:r>
      <w:r>
        <w:rPr>
          <w:rFonts w:hint="eastAsia" w:ascii="宋体" w:hAnsi="宋体" w:eastAsia="宋体" w:cs="宋体"/>
          <w:color w:val="auto"/>
          <w:sz w:val="21"/>
          <w:szCs w:val="24"/>
          <w:highlight w:val="none"/>
        </w:rPr>
        <w:t>写或打印，并注明“正本”、“副本”字样。响应文件正</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副本均须采用A4纸装订成册，不得出现散页、重页、掉页现象。</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（4）响应文件的正本和副本必须</w:t>
      </w:r>
      <w:r>
        <w:rPr>
          <w:rFonts w:hint="eastAsia" w:ascii="宋体" w:hAnsi="宋体" w:eastAsia="宋体" w:cs="宋体"/>
          <w:color w:val="auto"/>
          <w:sz w:val="21"/>
          <w:szCs w:val="24"/>
          <w:highlight w:val="none"/>
          <w:lang w:eastAsia="zh-CN"/>
        </w:rPr>
        <w:t>逐页加盖</w:t>
      </w:r>
      <w:r>
        <w:rPr>
          <w:rFonts w:hint="eastAsia" w:ascii="宋体" w:hAnsi="宋体" w:eastAsia="宋体" w:cs="宋体"/>
          <w:color w:val="auto"/>
          <w:sz w:val="21"/>
          <w:szCs w:val="24"/>
          <w:highlight w:val="none"/>
        </w:rPr>
        <w:t>供应商</w:t>
      </w:r>
      <w:r>
        <w:rPr>
          <w:rFonts w:hint="eastAsia" w:ascii="宋体" w:hAnsi="宋体" w:eastAsia="宋体" w:cs="宋体"/>
          <w:color w:val="auto"/>
          <w:sz w:val="21"/>
          <w:szCs w:val="24"/>
          <w:highlight w:val="none"/>
          <w:lang w:eastAsia="zh-CN"/>
        </w:rPr>
        <w:t>鲜</w:t>
      </w:r>
      <w:r>
        <w:rPr>
          <w:rFonts w:hint="eastAsia" w:ascii="宋体" w:hAnsi="宋体" w:eastAsia="宋体" w:cs="宋体"/>
          <w:color w:val="auto"/>
          <w:sz w:val="21"/>
          <w:szCs w:val="24"/>
          <w:highlight w:val="none"/>
        </w:rPr>
        <w:t>章</w:t>
      </w:r>
      <w:r>
        <w:rPr>
          <w:rFonts w:hint="eastAsia" w:ascii="宋体" w:hAnsi="宋体" w:eastAsia="宋体" w:cs="宋体"/>
          <w:color w:val="auto"/>
          <w:sz w:val="21"/>
          <w:szCs w:val="24"/>
          <w:highlight w:val="none"/>
          <w:lang w:eastAsia="zh-CN"/>
        </w:rPr>
        <w:t>，并</w:t>
      </w:r>
      <w:r>
        <w:rPr>
          <w:rFonts w:hint="eastAsia" w:ascii="宋体" w:hAnsi="宋体" w:eastAsia="宋体" w:cs="宋体"/>
          <w:color w:val="auto"/>
          <w:sz w:val="21"/>
          <w:szCs w:val="24"/>
          <w:highlight w:val="none"/>
        </w:rPr>
        <w:t>在需要签字处签字及加盖公章处加盖供应商</w:t>
      </w:r>
      <w:r>
        <w:rPr>
          <w:rFonts w:hint="eastAsia" w:ascii="宋体" w:hAnsi="宋体" w:eastAsia="宋体" w:cs="宋体"/>
          <w:color w:val="auto"/>
          <w:sz w:val="21"/>
          <w:szCs w:val="24"/>
          <w:highlight w:val="none"/>
          <w:lang w:eastAsia="zh-CN"/>
        </w:rPr>
        <w:t>鲜</w:t>
      </w:r>
      <w:r>
        <w:rPr>
          <w:rFonts w:hint="eastAsia" w:ascii="宋体" w:hAnsi="宋体" w:eastAsia="宋体" w:cs="宋体"/>
          <w:color w:val="auto"/>
          <w:sz w:val="21"/>
          <w:szCs w:val="24"/>
          <w:highlight w:val="none"/>
        </w:rPr>
        <w:t>章。</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6.3响应文件必须在磋商文件规定的时间内送达磋商地点，逾期送达的文件将不被接收。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6.4供应商应按竞争性磋商文件要求制作响应文件，响应文件</w:t>
      </w:r>
      <w:bookmarkStart w:id="19" w:name="_Hlk63417551"/>
      <w:r>
        <w:rPr>
          <w:rFonts w:hint="eastAsia" w:ascii="宋体" w:hAnsi="宋体" w:eastAsia="宋体" w:cs="宋体"/>
          <w:color w:val="auto"/>
          <w:szCs w:val="24"/>
          <w:highlight w:val="none"/>
          <w:lang w:val="en-US" w:eastAsia="zh-CN"/>
        </w:rPr>
        <w:t>包括</w:t>
      </w:r>
      <w:r>
        <w:rPr>
          <w:rFonts w:hint="eastAsia" w:ascii="宋体" w:hAnsi="宋体" w:eastAsia="宋体" w:cs="宋体"/>
          <w:color w:val="auto"/>
          <w:szCs w:val="24"/>
          <w:highlight w:val="none"/>
        </w:rPr>
        <w:t>正本一份</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副本</w:t>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rPr>
        <w:t>份</w:t>
      </w:r>
      <w:bookmarkEnd w:id="19"/>
      <w:r>
        <w:rPr>
          <w:rFonts w:hint="eastAsia" w:ascii="宋体" w:hAnsi="宋体" w:eastAsia="宋体" w:cs="宋体"/>
          <w:color w:val="auto"/>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6.5磋商时提供的资格证明文件应包括：</w:t>
      </w:r>
    </w:p>
    <w:p>
      <w:pPr>
        <w:keepLines w:val="0"/>
        <w:pageBreakBefore w:val="0"/>
        <w:widowControl w:val="0"/>
        <w:kinsoku/>
        <w:overflowPunct/>
        <w:topLinePunct w:val="0"/>
        <w:bidi w:val="0"/>
        <w:adjustRightInd/>
        <w:snapToGrid/>
        <w:spacing w:line="360" w:lineRule="auto"/>
        <w:ind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 xml:space="preserve">第一部分 竞争性磋商公告 </w:t>
      </w:r>
      <w:r>
        <w:rPr>
          <w:rFonts w:hint="eastAsia" w:ascii="宋体" w:hAnsi="宋体" w:eastAsia="宋体" w:cs="宋体"/>
          <w:i w:val="0"/>
          <w:iCs w:val="0"/>
          <w:caps w:val="0"/>
          <w:color w:val="auto"/>
          <w:spacing w:val="0"/>
          <w:sz w:val="21"/>
          <w:szCs w:val="21"/>
          <w:shd w:val="clear" w:fill="FFFFFF"/>
        </w:rPr>
        <w:t>本项目的特定资格要求</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b w:val="0"/>
          <w:color w:val="auto"/>
          <w:sz w:val="21"/>
          <w:szCs w:val="21"/>
          <w:highlight w:val="none"/>
          <w:lang w:val="en-US" w:eastAsia="zh-CN"/>
        </w:rPr>
        <w:t>第</w:t>
      </w:r>
      <w:r>
        <w:rPr>
          <w:rFonts w:hint="eastAsia" w:ascii="宋体" w:hAnsi="宋体" w:eastAsia="宋体" w:cs="宋体"/>
          <w:b w:val="0"/>
          <w:color w:val="auto"/>
          <w:sz w:val="21"/>
          <w:szCs w:val="21"/>
          <w:highlight w:val="none"/>
        </w:rPr>
        <w:t>二</w:t>
      </w:r>
      <w:r>
        <w:rPr>
          <w:rFonts w:hint="eastAsia" w:ascii="宋体" w:hAnsi="宋体" w:eastAsia="宋体" w:cs="宋体"/>
          <w:b w:val="0"/>
          <w:color w:val="auto"/>
          <w:sz w:val="21"/>
          <w:szCs w:val="21"/>
          <w:highlight w:val="none"/>
          <w:lang w:val="en-US" w:eastAsia="zh-CN"/>
        </w:rPr>
        <w:t>部分 供应商特定资格要求。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以上资格证明材料需在</w:t>
      </w:r>
      <w:r>
        <w:rPr>
          <w:rFonts w:hint="eastAsia" w:ascii="宋体" w:hAnsi="宋体" w:eastAsia="宋体" w:cs="宋体"/>
          <w:color w:val="auto"/>
          <w:szCs w:val="24"/>
          <w:highlight w:val="none"/>
          <w:lang w:val="en-US" w:eastAsia="zh-CN"/>
        </w:rPr>
        <w:t>开标时提供</w:t>
      </w:r>
      <w:r>
        <w:rPr>
          <w:rFonts w:hint="eastAsia" w:ascii="宋体" w:hAnsi="宋体" w:eastAsia="宋体" w:cs="宋体"/>
          <w:b/>
          <w:color w:val="auto"/>
          <w:szCs w:val="24"/>
          <w:highlight w:val="none"/>
        </w:rPr>
        <w:t>清晰、可见</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加盖公章的复印件</w:t>
      </w:r>
      <w:r>
        <w:rPr>
          <w:rFonts w:hint="eastAsia" w:ascii="宋体" w:hAnsi="宋体" w:eastAsia="宋体" w:cs="宋体"/>
          <w:b/>
          <w:color w:val="auto"/>
          <w:szCs w:val="24"/>
          <w:highlight w:val="none"/>
          <w:lang w:val="en-US" w:eastAsia="zh-CN"/>
        </w:rPr>
        <w:t>并胶装以便采购人或评标专家进行资格审查</w:t>
      </w:r>
      <w:r>
        <w:rPr>
          <w:rFonts w:hint="eastAsia" w:ascii="宋体" w:hAnsi="宋体" w:eastAsia="宋体" w:cs="宋体"/>
          <w:color w:val="auto"/>
          <w:szCs w:val="24"/>
          <w:highlight w:val="none"/>
        </w:rPr>
        <w:t>，</w:t>
      </w:r>
      <w:r>
        <w:rPr>
          <w:rFonts w:hint="eastAsia" w:ascii="宋体" w:hAnsi="宋体" w:eastAsia="宋体" w:cs="宋体"/>
          <w:b/>
          <w:color w:val="auto"/>
          <w:szCs w:val="24"/>
          <w:highlight w:val="none"/>
          <w:lang w:val="en-US" w:eastAsia="zh-CN"/>
        </w:rPr>
        <w:t>若</w:t>
      </w:r>
      <w:r>
        <w:rPr>
          <w:rFonts w:hint="eastAsia" w:ascii="宋体" w:hAnsi="宋体" w:eastAsia="宋体" w:cs="宋体"/>
          <w:b/>
          <w:color w:val="auto"/>
          <w:szCs w:val="24"/>
          <w:highlight w:val="none"/>
        </w:rPr>
        <w:t>资料内容模糊不清造成对供应商不利的</w:t>
      </w:r>
      <w:r>
        <w:rPr>
          <w:rFonts w:hint="eastAsia" w:ascii="宋体" w:hAnsi="宋体" w:eastAsia="宋体" w:cs="宋体"/>
          <w:b/>
          <w:color w:val="auto"/>
          <w:szCs w:val="24"/>
          <w:highlight w:val="none"/>
          <w:lang w:val="en-US" w:eastAsia="zh-CN"/>
        </w:rPr>
        <w:t>后果</w:t>
      </w:r>
      <w:r>
        <w:rPr>
          <w:rFonts w:hint="eastAsia" w:ascii="宋体" w:hAnsi="宋体" w:eastAsia="宋体" w:cs="宋体"/>
          <w:b/>
          <w:color w:val="auto"/>
          <w:szCs w:val="24"/>
          <w:highlight w:val="none"/>
        </w:rPr>
        <w:t>由供应商自负</w:t>
      </w:r>
      <w:r>
        <w:rPr>
          <w:rFonts w:hint="eastAsia" w:ascii="宋体" w:hAnsi="宋体" w:eastAsia="宋体" w:cs="宋体"/>
          <w:color w:val="auto"/>
          <w:szCs w:val="24"/>
          <w:highlight w:val="none"/>
        </w:rPr>
        <w:t>，若供应商资格证明材料不符合要求，将按无效响应处理，不进入下一评审环节。</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0" w:name="_Toc75259342"/>
      <w:bookmarkStart w:id="21" w:name="_Toc25163"/>
      <w:r>
        <w:rPr>
          <w:rFonts w:hint="eastAsia" w:ascii="宋体" w:hAnsi="宋体" w:eastAsia="宋体" w:cs="宋体"/>
          <w:b/>
          <w:color w:val="auto"/>
          <w:sz w:val="21"/>
          <w:szCs w:val="24"/>
          <w:highlight w:val="none"/>
        </w:rPr>
        <w:t>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磋商保证金</w:t>
      </w:r>
      <w:bookmarkEnd w:id="20"/>
      <w:bookmarkEnd w:id="21"/>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7.1 </w:t>
      </w:r>
      <w:r>
        <w:rPr>
          <w:rFonts w:hint="eastAsia" w:ascii="宋体" w:hAnsi="宋体" w:eastAsia="宋体" w:cs="宋体"/>
          <w:color w:val="auto"/>
          <w:highlight w:val="none"/>
        </w:rPr>
        <w:t>磋商保证金金额：</w:t>
      </w:r>
      <w:r>
        <w:rPr>
          <w:rFonts w:hint="eastAsia" w:ascii="宋体" w:hAnsi="宋体" w:eastAsia="宋体" w:cs="宋体"/>
          <w:b/>
          <w:color w:val="auto"/>
          <w:highlight w:val="none"/>
        </w:rPr>
        <w:t>人民币</w:t>
      </w:r>
      <w:r>
        <w:rPr>
          <w:rFonts w:hint="eastAsia" w:ascii="宋体" w:hAnsi="宋体" w:eastAsia="宋体" w:cs="宋体"/>
          <w:b/>
          <w:color w:val="auto"/>
          <w:highlight w:val="none"/>
          <w:lang w:val="en-US" w:eastAsia="zh-CN"/>
        </w:rPr>
        <w:t>五千元整</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5000.00元</w:t>
      </w:r>
      <w:r>
        <w:rPr>
          <w:rFonts w:hint="eastAsia" w:ascii="宋体" w:hAnsi="宋体" w:eastAsia="宋体" w:cs="宋体"/>
          <w:b/>
          <w:color w:val="auto"/>
          <w:highlight w:val="none"/>
          <w:lang w:eastAsia="zh-CN"/>
        </w:rPr>
        <w:t>）</w:t>
      </w:r>
      <w:r>
        <w:rPr>
          <w:rFonts w:hint="eastAsia" w:ascii="宋体" w:hAnsi="宋体" w:eastAsia="宋体" w:cs="宋体"/>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7.2 磋商保证金</w:t>
      </w:r>
      <w:r>
        <w:rPr>
          <w:rFonts w:hint="eastAsia" w:ascii="宋体" w:hAnsi="宋体" w:eastAsia="宋体" w:cs="宋体"/>
          <w:color w:val="auto"/>
          <w:kern w:val="0"/>
          <w:highlight w:val="none"/>
          <w:lang w:val="en-US" w:eastAsia="zh-CN"/>
        </w:rPr>
        <w:t>缴纳方式</w:t>
      </w:r>
      <w:r>
        <w:rPr>
          <w:rFonts w:hint="eastAsia" w:ascii="宋体" w:hAnsi="宋体" w:eastAsia="宋体" w:cs="宋体"/>
          <w:color w:val="auto"/>
          <w:kern w:val="0"/>
          <w:highlight w:val="none"/>
        </w:rPr>
        <w:t>：支票、汇票、本票或者金融机构、担保机构出具的保函等非现金形式提交。除保函外，其他形式提交的磋商保证金应从供应商</w:t>
      </w:r>
      <w:r>
        <w:rPr>
          <w:rFonts w:hint="eastAsia" w:ascii="宋体" w:hAnsi="宋体" w:eastAsia="宋体" w:cs="宋体"/>
          <w:color w:val="auto"/>
          <w:kern w:val="0"/>
          <w:highlight w:val="none"/>
          <w:lang w:eastAsia="zh-CN"/>
        </w:rPr>
        <w:t>账户</w:t>
      </w:r>
      <w:r>
        <w:rPr>
          <w:rFonts w:hint="eastAsia" w:ascii="宋体" w:hAnsi="宋体" w:eastAsia="宋体" w:cs="宋体"/>
          <w:color w:val="auto"/>
          <w:kern w:val="0"/>
          <w:highlight w:val="none"/>
        </w:rPr>
        <w:t>转出，供应商须将</w:t>
      </w:r>
      <w:r>
        <w:rPr>
          <w:rFonts w:hint="eastAsia" w:ascii="宋体" w:hAnsi="宋体" w:eastAsia="宋体" w:cs="宋体"/>
          <w:color w:val="auto"/>
          <w:kern w:val="0"/>
          <w:highlight w:val="none"/>
          <w:lang w:val="en-US" w:eastAsia="zh-CN"/>
        </w:rPr>
        <w:t>缴</w:t>
      </w:r>
      <w:r>
        <w:rPr>
          <w:rFonts w:hint="eastAsia" w:ascii="宋体" w:hAnsi="宋体" w:eastAsia="宋体" w:cs="宋体"/>
          <w:color w:val="auto"/>
          <w:kern w:val="0"/>
          <w:highlight w:val="none"/>
        </w:rPr>
        <w:t>款凭证复印件（电汇或转账回单）装订在响应文件中，以银行保函方式递交保证金的，出具保函的银行须为其账户开户银行（若其账户开户银行没有出具保函的权限，可由该银行的上一级银行出具保函，并做出相应说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7.3 磋商保证金缴纳账户信息：</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bCs/>
          <w:color w:val="auto"/>
          <w:kern w:val="0"/>
          <w:highlight w:val="none"/>
        </w:rPr>
        <w:t>收款单位：</w:t>
      </w:r>
      <w:r>
        <w:rPr>
          <w:rFonts w:hint="eastAsia" w:ascii="宋体" w:hAnsi="宋体" w:eastAsia="宋体" w:cs="宋体"/>
          <w:b/>
          <w:bCs/>
          <w:color w:val="auto"/>
          <w:kern w:val="0"/>
          <w:highlight w:val="none"/>
          <w:lang w:val="en-US" w:eastAsia="zh-CN"/>
        </w:rPr>
        <w:t>陕西楚元项目管理有限公司</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lang w:val="en-US" w:eastAsia="zh-CN"/>
        </w:rPr>
        <w:t>开户行名称：西安银行股份有限公司延安分行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lang w:val="en-US" w:eastAsia="zh-CN"/>
        </w:rPr>
        <w:t>账      号：371011510000019626</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 供应商不按要求提交磋商保证金的，按无效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处理。</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7.5 自成交通知书发出之日起5个工作日内退还未成交供应商的磋商保证金，自政府采购合同签订之日起5个工作日内退还成交供应商的磋商保证金。</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 有下列情形之一的，磋商保证金将不予退还：</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（1）供应商在提交响应文件截止时间后撤回响应文件的；</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（2）供应商在响应文件中提供虚假材料的；</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lang w:eastAsia="zh-CN"/>
        </w:rPr>
        <w:t>）成交供应商不与采购人签订合同的，除因不可抗力或</w:t>
      </w:r>
      <w:r>
        <w:rPr>
          <w:rFonts w:hint="eastAsia" w:ascii="宋体" w:hAnsi="宋体" w:eastAsia="宋体" w:cs="宋体"/>
          <w:color w:val="auto"/>
          <w:sz w:val="21"/>
          <w:szCs w:val="24"/>
          <w:highlight w:val="none"/>
          <w:lang w:val="en-US" w:eastAsia="zh-CN"/>
        </w:rPr>
        <w:t>磋商文件</w:t>
      </w:r>
      <w:r>
        <w:rPr>
          <w:rFonts w:hint="eastAsia" w:ascii="宋体" w:hAnsi="宋体" w:eastAsia="宋体" w:cs="宋体"/>
          <w:color w:val="auto"/>
          <w:sz w:val="21"/>
          <w:szCs w:val="24"/>
          <w:highlight w:val="none"/>
          <w:lang w:eastAsia="zh-CN"/>
        </w:rPr>
        <w:t>认可的情形以外；</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lang w:eastAsia="zh-CN"/>
        </w:rPr>
        <w:t>）供应商与采购人、其他供应商或者采购代理机构恶意串通的；</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5</w:t>
      </w:r>
      <w:r>
        <w:rPr>
          <w:rFonts w:hint="eastAsia" w:ascii="宋体" w:hAnsi="宋体" w:eastAsia="宋体" w:cs="宋体"/>
          <w:color w:val="auto"/>
          <w:sz w:val="21"/>
          <w:szCs w:val="24"/>
          <w:highlight w:val="none"/>
        </w:rPr>
        <w:t>）未按竞争性磋商文件规定缴纳</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代理服务费。</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2" w:name="_Toc75259344"/>
      <w:bookmarkStart w:id="23" w:name="_Toc19944"/>
      <w:bookmarkStart w:id="24" w:name="_Toc75259343"/>
      <w:r>
        <w:rPr>
          <w:rFonts w:hint="eastAsia" w:ascii="宋体" w:hAnsi="宋体" w:eastAsia="宋体" w:cs="宋体"/>
          <w:b/>
          <w:color w:val="auto"/>
          <w:sz w:val="21"/>
          <w:szCs w:val="24"/>
          <w:highlight w:val="none"/>
          <w:lang w:val="en-US" w:eastAsia="zh-CN"/>
        </w:rPr>
        <w:t>8</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磋商内容</w:t>
      </w:r>
      <w:bookmarkEnd w:id="22"/>
      <w:bookmarkEnd w:id="23"/>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.1采购项目的磋商报价、商务部分、技术部分、服务承诺等内容。</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5" w:name="_Toc4937"/>
      <w:r>
        <w:rPr>
          <w:rFonts w:hint="eastAsia" w:ascii="宋体" w:hAnsi="宋体" w:eastAsia="宋体" w:cs="宋体"/>
          <w:b/>
          <w:color w:val="auto"/>
          <w:sz w:val="21"/>
          <w:szCs w:val="24"/>
          <w:highlight w:val="none"/>
          <w:lang w:val="en-US" w:eastAsia="zh-CN"/>
        </w:rPr>
        <w:t>9</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评审工作程序</w:t>
      </w:r>
      <w:bookmarkEnd w:id="24"/>
      <w:bookmarkEnd w:id="25"/>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.1主持人按下列程序进行磋商：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（1）采购代理机构按磋商文件规定的时间、地点组织磋商；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（2）磋商</w:t>
      </w:r>
      <w:r>
        <w:rPr>
          <w:rFonts w:hint="eastAsia" w:ascii="宋体" w:hAnsi="宋体" w:eastAsia="宋体" w:cs="宋体"/>
          <w:color w:val="auto"/>
          <w:szCs w:val="24"/>
          <w:highlight w:val="none"/>
          <w:lang w:val="en-US" w:eastAsia="zh-CN"/>
        </w:rPr>
        <w:t>会议</w:t>
      </w:r>
      <w:r>
        <w:rPr>
          <w:rFonts w:hint="eastAsia" w:ascii="宋体" w:hAnsi="宋体" w:eastAsia="宋体" w:cs="宋体"/>
          <w:color w:val="auto"/>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（3）供应商应派法定代表人或其授权代表参加磋商，</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应签名报到，以证明其出席；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（4）磋商时</w:t>
      </w:r>
      <w:r>
        <w:rPr>
          <w:rFonts w:hint="eastAsia" w:ascii="宋体" w:hAnsi="宋体" w:eastAsia="宋体" w:cs="宋体"/>
          <w:color w:val="auto"/>
          <w:szCs w:val="24"/>
          <w:highlight w:val="none"/>
          <w:lang w:val="en-US" w:eastAsia="zh-CN"/>
        </w:rPr>
        <w:t>采购代理机构</w:t>
      </w:r>
      <w:r>
        <w:rPr>
          <w:rFonts w:hint="eastAsia" w:ascii="宋体" w:hAnsi="宋体" w:eastAsia="宋体" w:cs="宋体"/>
          <w:color w:val="auto"/>
          <w:szCs w:val="24"/>
          <w:highlight w:val="none"/>
        </w:rPr>
        <w:t>公布供应商的名称；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（5）按本部分第6.5条的内容对供应商进行资格审查，不符合磋商文件规定</w:t>
      </w:r>
      <w:r>
        <w:rPr>
          <w:rFonts w:hint="eastAsia" w:ascii="宋体" w:hAnsi="宋体" w:eastAsia="宋体" w:cs="宋体"/>
          <w:color w:val="auto"/>
          <w:szCs w:val="24"/>
          <w:highlight w:val="none"/>
          <w:lang w:val="en-US" w:eastAsia="zh-CN"/>
        </w:rPr>
        <w:t>资格</w:t>
      </w:r>
      <w:r>
        <w:rPr>
          <w:rFonts w:hint="eastAsia" w:ascii="宋体" w:hAnsi="宋体" w:eastAsia="宋体" w:cs="宋体"/>
          <w:color w:val="auto"/>
          <w:szCs w:val="24"/>
          <w:highlight w:val="none"/>
        </w:rPr>
        <w:t>要求的供应商将不再进入后续评审环节（在评审结束前发现供应商资格不符合要求的作无效响应处理）；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（6）检查响应文件密封情况，并签字确认；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（7）开启响应文件，宣读响应文件递交情况；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（10）会议结束。</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磋商小组依据磋商文件的规定，对响应文件的</w:t>
      </w:r>
      <w:r>
        <w:rPr>
          <w:rFonts w:hint="eastAsia" w:ascii="宋体" w:hAnsi="宋体" w:eastAsia="宋体" w:cs="宋体"/>
          <w:color w:val="auto"/>
          <w:sz w:val="21"/>
          <w:szCs w:val="24"/>
          <w:highlight w:val="none"/>
          <w:lang w:val="en-US" w:eastAsia="zh-CN"/>
        </w:rPr>
        <w:t>符合性</w:t>
      </w:r>
      <w:r>
        <w:rPr>
          <w:rFonts w:hint="eastAsia" w:ascii="宋体" w:hAnsi="宋体" w:eastAsia="宋体" w:cs="宋体"/>
          <w:color w:val="auto"/>
          <w:sz w:val="21"/>
          <w:szCs w:val="24"/>
          <w:highlight w:val="none"/>
          <w:lang w:val="zh-CN"/>
        </w:rPr>
        <w:t>进行审查，以确定是否对磋商文件的要求做出实质性响应。未对磋商文件做实质性响应的供应商，不得进入具体磋商程序。</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.2磋商开始，与供应商磋商各项内容：</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磋商小组所有成员集中与单一供应商按照</w:t>
      </w:r>
      <w:r>
        <w:rPr>
          <w:rFonts w:hint="eastAsia" w:ascii="宋体" w:hAnsi="宋体" w:eastAsia="宋体" w:cs="宋体"/>
          <w:color w:val="auto"/>
          <w:sz w:val="21"/>
          <w:szCs w:val="24"/>
          <w:highlight w:val="none"/>
        </w:rPr>
        <w:t>顺序</w:t>
      </w:r>
      <w:r>
        <w:rPr>
          <w:rFonts w:hint="eastAsia" w:ascii="宋体" w:hAnsi="宋体" w:eastAsia="宋体" w:cs="宋体"/>
          <w:color w:val="auto"/>
          <w:sz w:val="21"/>
          <w:szCs w:val="24"/>
          <w:highlight w:val="none"/>
          <w:lang w:val="zh-CN"/>
        </w:rPr>
        <w:t>分别进行磋商。磋商小组可根据供应商的报价，响应内容及磋商的情况，给予每个正在参加磋商的供应商相同的机会。</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zh-CN"/>
        </w:rPr>
        <w:t>（1）</w:t>
      </w:r>
      <w:r>
        <w:rPr>
          <w:rFonts w:hint="eastAsia" w:ascii="宋体" w:hAnsi="宋体" w:eastAsia="宋体" w:cs="宋体"/>
          <w:color w:val="auto"/>
          <w:sz w:val="21"/>
          <w:szCs w:val="24"/>
          <w:highlight w:val="none"/>
        </w:rPr>
        <w:t xml:space="preserve">在磋商过程中，磋商小组可以根据磋商文件和磋商情况实质性变动采购需求中的技术、采购要求以及合同草案条款，但不得变动磋商文件中的其他内容。实质性变动的内容，须经采购人代表确认。 </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（2）对磋商文件作出的实质性变动是磋商文件的有效组成部分，磋商小组应当及时以书面形式同时通知所有参加磋商的供应商。 </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（3）供应商应当按照磋商文件的变动情况和磋商小组的要求重新提交响应文件，并由其</w:t>
      </w:r>
      <w:r>
        <w:rPr>
          <w:rFonts w:hint="eastAsia" w:ascii="宋体" w:hAnsi="宋体" w:eastAsia="宋体" w:cs="宋体"/>
          <w:color w:val="auto"/>
          <w:sz w:val="21"/>
          <w:szCs w:val="24"/>
          <w:highlight w:val="none"/>
          <w:lang w:val="en-US" w:eastAsia="zh-CN"/>
        </w:rPr>
        <w:t>法定代表人或</w:t>
      </w:r>
      <w:r>
        <w:rPr>
          <w:rFonts w:hint="eastAsia" w:ascii="宋体" w:hAnsi="宋体" w:eastAsia="宋体" w:cs="宋体"/>
          <w:color w:val="auto"/>
          <w:sz w:val="21"/>
          <w:szCs w:val="24"/>
          <w:highlight w:val="none"/>
        </w:rPr>
        <w:t>授权代表签字、盖章。</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.3各供应商进行二次报价：</w:t>
      </w:r>
    </w:p>
    <w:p>
      <w:pPr>
        <w:spacing w:line="360" w:lineRule="auto"/>
        <w:ind w:firstLine="420" w:firstLineChars="200"/>
        <w:rPr>
          <w:rFonts w:hint="eastAsia" w:ascii="宋体" w:hAnsi="宋体" w:eastAsia="宋体" w:cs="宋体"/>
          <w:color w:val="000000"/>
          <w:sz w:val="28"/>
          <w:szCs w:val="28"/>
        </w:rPr>
      </w:pPr>
      <w:r>
        <w:rPr>
          <w:rFonts w:hint="eastAsia" w:ascii="宋体" w:hAnsi="宋体" w:eastAsia="宋体" w:cs="宋体"/>
          <w:color w:val="auto"/>
          <w:kern w:val="2"/>
          <w:sz w:val="21"/>
          <w:szCs w:val="24"/>
          <w:highlight w:val="none"/>
          <w:lang w:val="en-US" w:eastAsia="zh-CN" w:bidi="ar-SA"/>
        </w:rPr>
        <w:t xml:space="preserve">进入评审阶段，磋商小组与供应商磋商后，各有效供应商进行第二次报价。此报价作为最终报价评定的依据。以二次报价为最终成交价（二次报价由网上报价或代理公司提供）。 </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lang w:val="zh-CN"/>
        </w:rPr>
        <w:t>.4</w:t>
      </w:r>
      <w:r>
        <w:rPr>
          <w:rFonts w:hint="eastAsia" w:ascii="宋体" w:hAnsi="宋体" w:eastAsia="宋体" w:cs="宋体"/>
          <w:color w:val="auto"/>
          <w:sz w:val="21"/>
          <w:szCs w:val="24"/>
          <w:highlight w:val="none"/>
        </w:rPr>
        <w:t>由磋商小组采用综合评分法对提交最后报价的供应商的响应文件和最后报价进行综合评分。</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.5确定成交供应商。</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.6磋商响应报价说明：</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4"/>
          <w:highlight w:val="none"/>
          <w:lang w:val="zh-CN"/>
        </w:rPr>
      </w:pPr>
      <w:r>
        <w:rPr>
          <w:rFonts w:hint="eastAsia" w:ascii="宋体" w:hAnsi="宋体" w:eastAsia="宋体" w:cs="宋体"/>
          <w:b/>
          <w:color w:val="auto"/>
          <w:sz w:val="21"/>
          <w:szCs w:val="24"/>
          <w:highlight w:val="none"/>
          <w:lang w:val="zh-CN"/>
        </w:rPr>
        <w:t>（1）本次磋商第二轮报价为最终报价；</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4"/>
          <w:highlight w:val="none"/>
          <w:lang w:val="zh-CN"/>
        </w:rPr>
      </w:pPr>
      <w:r>
        <w:rPr>
          <w:rFonts w:hint="eastAsia" w:ascii="宋体" w:hAnsi="宋体" w:eastAsia="宋体" w:cs="宋体"/>
          <w:b/>
          <w:color w:val="auto"/>
          <w:sz w:val="21"/>
          <w:szCs w:val="24"/>
          <w:highlight w:val="none"/>
          <w:lang w:val="zh-CN"/>
        </w:rPr>
        <w:t>（2）磋商过程中，均不公开各供应商的报价。</w:t>
      </w:r>
    </w:p>
    <w:p>
      <w:pPr>
        <w:pStyle w:val="19"/>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6" w:name="_Toc75259345"/>
      <w:bookmarkStart w:id="27" w:name="_Toc25449"/>
      <w:r>
        <w:rPr>
          <w:rFonts w:hint="eastAsia" w:ascii="宋体" w:hAnsi="宋体" w:eastAsia="宋体" w:cs="宋体"/>
          <w:b/>
          <w:color w:val="auto"/>
          <w:sz w:val="21"/>
          <w:szCs w:val="24"/>
          <w:highlight w:val="none"/>
        </w:rPr>
        <w:t>10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评审原则</w:t>
      </w:r>
      <w:bookmarkEnd w:id="26"/>
      <w:bookmarkEnd w:id="27"/>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w:t>
      </w:r>
    </w:p>
    <w:p>
      <w:pPr>
        <w:pStyle w:val="1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2）磋商小组应当根据综合评分情况，按照评审得分由高到低顺序推荐3名成交候选供应商，并出评审报告或编写评审报告。评审得分相同的，按照最后报价由低到高的顺序推荐。评审得分且最后报价相同的，按照</w:t>
      </w:r>
      <w:r>
        <w:rPr>
          <w:rFonts w:hint="eastAsia" w:ascii="宋体" w:hAnsi="宋体" w:eastAsia="宋体" w:cs="宋体"/>
          <w:color w:val="auto"/>
          <w:sz w:val="21"/>
          <w:szCs w:val="24"/>
          <w:highlight w:val="none"/>
          <w:lang w:val="en-US" w:eastAsia="zh-CN"/>
        </w:rPr>
        <w:t>技术</w:t>
      </w:r>
      <w:r>
        <w:rPr>
          <w:rFonts w:hint="eastAsia" w:ascii="宋体" w:hAnsi="宋体" w:eastAsia="宋体" w:cs="宋体"/>
          <w:color w:val="auto"/>
          <w:sz w:val="21"/>
          <w:szCs w:val="24"/>
          <w:highlight w:val="none"/>
          <w:lang w:val="zh-CN"/>
        </w:rPr>
        <w:t>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bCs/>
          <w:color w:val="auto"/>
          <w:szCs w:val="24"/>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（4）本次综合评分的主要因素是：</w:t>
      </w:r>
      <w:bookmarkStart w:id="28" w:name="_Hlk74319622"/>
      <w:r>
        <w:rPr>
          <w:rFonts w:hint="eastAsia" w:ascii="宋体" w:hAnsi="宋体" w:eastAsia="宋体" w:cs="宋体"/>
          <w:color w:val="auto"/>
          <w:szCs w:val="24"/>
          <w:highlight w:val="none"/>
        </w:rPr>
        <w:t>磋商报价、商务部分、技术部分、服务承诺</w:t>
      </w:r>
      <w:bookmarkEnd w:id="28"/>
      <w:r>
        <w:rPr>
          <w:rFonts w:hint="eastAsia" w:ascii="宋体" w:hAnsi="宋体" w:eastAsia="宋体" w:cs="宋体"/>
          <w:color w:val="auto"/>
          <w:szCs w:val="24"/>
          <w:highlight w:val="none"/>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Cs w:val="24"/>
          <w:highlight w:val="none"/>
        </w:rPr>
      </w:pPr>
      <w:r>
        <w:rPr>
          <w:rFonts w:hint="eastAsia" w:ascii="宋体" w:hAnsi="宋体" w:eastAsia="宋体" w:cs="宋体"/>
          <w:b/>
          <w:bCs/>
          <w:color w:val="auto"/>
          <w:highlight w:val="none"/>
        </w:rPr>
        <w:t>（5）</w:t>
      </w:r>
      <w:r>
        <w:rPr>
          <w:rFonts w:hint="eastAsia" w:ascii="宋体" w:hAnsi="宋体" w:eastAsia="宋体" w:cs="宋体"/>
          <w:b/>
          <w:bCs/>
          <w:color w:val="auto"/>
          <w:szCs w:val="24"/>
          <w:highlight w:val="none"/>
        </w:rPr>
        <w:t>各</w:t>
      </w:r>
      <w:r>
        <w:rPr>
          <w:rFonts w:hint="eastAsia" w:ascii="宋体" w:hAnsi="宋体" w:eastAsia="宋体" w:cs="宋体"/>
          <w:b/>
          <w:color w:val="auto"/>
          <w:szCs w:val="24"/>
          <w:highlight w:val="none"/>
        </w:rPr>
        <w:t>供应</w:t>
      </w:r>
      <w:r>
        <w:rPr>
          <w:rFonts w:hint="eastAsia" w:ascii="宋体" w:hAnsi="宋体" w:eastAsia="宋体" w:cs="宋体"/>
          <w:b/>
          <w:bCs/>
          <w:color w:val="auto"/>
          <w:szCs w:val="24"/>
          <w:highlight w:val="none"/>
        </w:rPr>
        <w:t>商应按照竞争性磋商文件要求报出磋商总报价，磋商总报价不得超过项目预算和相应的最高限价</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如有</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9" w:name="_Toc75259346"/>
      <w:bookmarkStart w:id="30" w:name="_Toc10095"/>
      <w:r>
        <w:rPr>
          <w:rFonts w:hint="eastAsia" w:ascii="宋体" w:hAnsi="宋体" w:eastAsia="宋体" w:cs="宋体"/>
          <w:b/>
          <w:color w:val="auto"/>
          <w:sz w:val="21"/>
          <w:szCs w:val="24"/>
          <w:highlight w:val="none"/>
        </w:rPr>
        <w:t>11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评审标准</w:t>
      </w:r>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中华人民共和国政府采购法实施条例》、《政府采购竞争性磋商采购方式暂行办法》及省、市有关规定，磋商小组成员按照客观、公正、谨慎的原则，根据磋商文件规定的评审程序、评审方法和评审标准进行独立评审。根据排名先后确定成交候选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在磋商文件规定的响应文件递交截止时间后，供应商不足三家或在评</w:t>
      </w:r>
      <w:r>
        <w:rPr>
          <w:rFonts w:hint="eastAsia" w:ascii="宋体" w:hAnsi="宋体" w:eastAsia="宋体" w:cs="宋体"/>
          <w:color w:val="auto"/>
          <w:szCs w:val="24"/>
          <w:highlight w:val="none"/>
          <w:lang w:val="en-US" w:eastAsia="zh-CN"/>
        </w:rPr>
        <w:t>审</w:t>
      </w:r>
      <w:r>
        <w:rPr>
          <w:rFonts w:hint="eastAsia" w:ascii="宋体" w:hAnsi="宋体" w:eastAsia="宋体" w:cs="宋体"/>
          <w:color w:val="auto"/>
          <w:szCs w:val="24"/>
          <w:highlight w:val="none"/>
        </w:rPr>
        <w:t>期间，出现符合条件的供应商不足三家的情形时，按财库〔2015〕124号文及相关制度规定执行。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11.1</w:t>
      </w:r>
      <w:r>
        <w:rPr>
          <w:rFonts w:hint="eastAsia" w:ascii="宋体" w:hAnsi="宋体" w:eastAsia="宋体" w:cs="宋体"/>
          <w:b/>
          <w:color w:val="auto"/>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磋商供应商</w:t>
      </w:r>
      <w:r>
        <w:rPr>
          <w:rFonts w:hint="eastAsia" w:ascii="宋体" w:hAnsi="宋体" w:eastAsia="宋体" w:cs="宋体"/>
          <w:color w:val="auto"/>
          <w:szCs w:val="24"/>
          <w:highlight w:val="none"/>
        </w:rPr>
        <w:t>需在</w:t>
      </w:r>
      <w:r>
        <w:rPr>
          <w:rFonts w:hint="eastAsia" w:ascii="宋体" w:hAnsi="宋体" w:eastAsia="宋体" w:cs="宋体"/>
          <w:color w:val="auto"/>
          <w:szCs w:val="24"/>
          <w:highlight w:val="none"/>
          <w:lang w:val="en-US" w:eastAsia="zh-CN"/>
        </w:rPr>
        <w:t>磋商</w:t>
      </w:r>
      <w:r>
        <w:rPr>
          <w:rFonts w:hint="eastAsia" w:ascii="宋体" w:hAnsi="宋体" w:eastAsia="宋体" w:cs="宋体"/>
          <w:color w:val="auto"/>
          <w:szCs w:val="24"/>
          <w:highlight w:val="none"/>
        </w:rPr>
        <w:t>文件中提供清晰、可见的资格证明材料，以便</w:t>
      </w:r>
      <w:r>
        <w:rPr>
          <w:rFonts w:hint="eastAsia" w:ascii="宋体" w:hAnsi="宋体" w:eastAsia="宋体" w:cs="宋体"/>
          <w:color w:val="auto"/>
          <w:szCs w:val="24"/>
          <w:highlight w:val="none"/>
          <w:lang w:val="en-US" w:eastAsia="zh-CN"/>
        </w:rPr>
        <w:t>磋商小组</w:t>
      </w:r>
      <w:r>
        <w:rPr>
          <w:rFonts w:hint="eastAsia" w:ascii="宋体" w:hAnsi="宋体" w:eastAsia="宋体" w:cs="宋体"/>
          <w:color w:val="auto"/>
          <w:szCs w:val="24"/>
          <w:highlight w:val="none"/>
        </w:rPr>
        <w:t>进行资格审查，若材料内容模糊不清造成对</w:t>
      </w:r>
      <w:r>
        <w:rPr>
          <w:rFonts w:hint="eastAsia" w:ascii="宋体" w:hAnsi="宋体" w:eastAsia="宋体" w:cs="宋体"/>
          <w:color w:val="auto"/>
          <w:szCs w:val="24"/>
          <w:highlight w:val="none"/>
          <w:lang w:val="en-US" w:eastAsia="zh-CN"/>
        </w:rPr>
        <w:t>磋商供应商</w:t>
      </w:r>
      <w:r>
        <w:rPr>
          <w:rFonts w:hint="eastAsia" w:ascii="宋体" w:hAnsi="宋体" w:eastAsia="宋体" w:cs="宋体"/>
          <w:color w:val="auto"/>
          <w:szCs w:val="24"/>
          <w:highlight w:val="none"/>
        </w:rPr>
        <w:t>不利的后果由</w:t>
      </w:r>
      <w:r>
        <w:rPr>
          <w:rFonts w:hint="eastAsia" w:ascii="宋体" w:hAnsi="宋体" w:eastAsia="宋体" w:cs="宋体"/>
          <w:color w:val="auto"/>
          <w:szCs w:val="24"/>
          <w:highlight w:val="none"/>
          <w:lang w:val="en-US" w:eastAsia="zh-CN"/>
        </w:rPr>
        <w:t>磋商供应商</w:t>
      </w:r>
      <w:r>
        <w:rPr>
          <w:rFonts w:hint="eastAsia" w:ascii="宋体" w:hAnsi="宋体" w:eastAsia="宋体" w:cs="宋体"/>
          <w:color w:val="auto"/>
          <w:szCs w:val="24"/>
          <w:highlight w:val="none"/>
        </w:rPr>
        <w:t>自负，若</w:t>
      </w:r>
      <w:r>
        <w:rPr>
          <w:rFonts w:hint="eastAsia" w:ascii="宋体" w:hAnsi="宋体" w:eastAsia="宋体" w:cs="宋体"/>
          <w:color w:val="auto"/>
          <w:szCs w:val="24"/>
          <w:highlight w:val="none"/>
          <w:lang w:val="en-US" w:eastAsia="zh-CN"/>
        </w:rPr>
        <w:t>磋商供应商</w:t>
      </w:r>
      <w:r>
        <w:rPr>
          <w:rFonts w:hint="eastAsia" w:ascii="宋体" w:hAnsi="宋体" w:eastAsia="宋体" w:cs="宋体"/>
          <w:color w:val="auto"/>
          <w:szCs w:val="24"/>
          <w:highlight w:val="none"/>
        </w:rPr>
        <w:t>资格证明材料不符合要求，将按无效</w:t>
      </w:r>
      <w:r>
        <w:rPr>
          <w:rFonts w:hint="eastAsia" w:ascii="宋体" w:hAnsi="宋体" w:eastAsia="宋体" w:cs="宋体"/>
          <w:color w:val="auto"/>
          <w:szCs w:val="24"/>
          <w:highlight w:val="none"/>
          <w:lang w:val="en-US" w:eastAsia="zh-CN"/>
        </w:rPr>
        <w:t>投标</w:t>
      </w:r>
      <w:r>
        <w:rPr>
          <w:rFonts w:hint="eastAsia" w:ascii="宋体" w:hAnsi="宋体" w:eastAsia="宋体" w:cs="宋体"/>
          <w:color w:val="auto"/>
          <w:szCs w:val="24"/>
          <w:highlight w:val="none"/>
        </w:rPr>
        <w:t>处理，不进入下一评审环节。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2符合性</w:t>
      </w:r>
      <w:r>
        <w:rPr>
          <w:rFonts w:hint="eastAsia" w:ascii="宋体" w:hAnsi="宋体" w:eastAsia="宋体" w:cs="宋体"/>
          <w:b/>
          <w:color w:val="auto"/>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下述内容凡有一项不合格的响应即作为无效响应处理，不再进入详细评审：</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序号</w:t>
            </w:r>
          </w:p>
        </w:tc>
        <w:tc>
          <w:tcPr>
            <w:tcW w:w="8072" w:type="dxa"/>
            <w:gridSpan w:val="2"/>
            <w:vAlign w:val="center"/>
          </w:tcPr>
          <w:p>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bCs/>
                <w:sz w:val="21"/>
                <w:szCs w:val="21"/>
                <w:highlight w:val="none"/>
                <w:lang w:val="en-US" w:eastAsia="zh-CN"/>
              </w:rPr>
              <w:t>审查</w:t>
            </w:r>
            <w:r>
              <w:rPr>
                <w:rFonts w:hint="eastAsia" w:ascii="宋体" w:hAnsi="宋体" w:eastAsia="宋体" w:cs="宋体"/>
                <w:bCs/>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806" w:type="dxa"/>
            <w:vAlign w:val="center"/>
          </w:tcPr>
          <w:p>
            <w:pPr>
              <w:widowControl/>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报价</w:t>
            </w:r>
          </w:p>
        </w:tc>
        <w:tc>
          <w:tcPr>
            <w:tcW w:w="6266" w:type="dxa"/>
            <w:vAlign w:val="center"/>
          </w:tcPr>
          <w:p>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内容无缺漏项，报价唯一，且没有超过采购预算和相应的最高限价</w:t>
            </w:r>
            <w:r>
              <w:rPr>
                <w:rFonts w:hint="eastAsia" w:ascii="宋体" w:hAnsi="宋体" w:eastAsia="宋体" w:cs="宋体"/>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806" w:type="dxa"/>
            <w:vAlign w:val="center"/>
          </w:tcPr>
          <w:p>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技术标准和商务要求</w:t>
            </w:r>
          </w:p>
        </w:tc>
        <w:tc>
          <w:tcPr>
            <w:tcW w:w="6266" w:type="dxa"/>
            <w:vAlign w:val="center"/>
          </w:tcPr>
          <w:p>
            <w:pPr>
              <w:widowControl/>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磋商文件满足招标文件要求的技术标准和商务要求；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806" w:type="dxa"/>
            <w:vAlign w:val="center"/>
          </w:tcPr>
          <w:p>
            <w:pPr>
              <w:widowControl/>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文件有效性</w:t>
            </w:r>
          </w:p>
        </w:tc>
        <w:tc>
          <w:tcPr>
            <w:tcW w:w="6266" w:type="dxa"/>
            <w:vAlign w:val="center"/>
          </w:tcPr>
          <w:p>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法定代表人或授权代表签字和投标人公章</w:t>
            </w:r>
            <w:r>
              <w:rPr>
                <w:rFonts w:hint="eastAsia" w:ascii="宋体" w:hAnsi="宋体" w:eastAsia="宋体" w:cs="宋体"/>
                <w:kern w:val="0"/>
                <w:sz w:val="21"/>
                <w:szCs w:val="21"/>
                <w:highlight w:val="none"/>
              </w:rPr>
              <w:t>是否齐全、有效</w:t>
            </w:r>
            <w:r>
              <w:rPr>
                <w:rFonts w:hint="eastAsia" w:ascii="宋体" w:hAnsi="宋体" w:eastAsia="宋体" w:cs="宋体"/>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806" w:type="dxa"/>
            <w:vAlign w:val="center"/>
          </w:tcPr>
          <w:p>
            <w:pPr>
              <w:widowControl/>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有效期</w:t>
            </w:r>
          </w:p>
        </w:tc>
        <w:tc>
          <w:tcPr>
            <w:tcW w:w="6266" w:type="dxa"/>
            <w:vAlign w:val="center"/>
          </w:tcPr>
          <w:p>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自磋商</w:t>
            </w:r>
            <w:r>
              <w:rPr>
                <w:rFonts w:hint="eastAsia" w:ascii="宋体" w:hAnsi="宋体" w:eastAsia="宋体" w:cs="宋体"/>
                <w:kern w:val="0"/>
                <w:sz w:val="21"/>
                <w:szCs w:val="21"/>
                <w:highlight w:val="none"/>
              </w:rPr>
              <w:t>文件递交截止之日</w:t>
            </w:r>
            <w:r>
              <w:rPr>
                <w:rFonts w:hint="eastAsia" w:ascii="宋体" w:hAnsi="宋体" w:eastAsia="宋体" w:cs="宋体"/>
                <w:kern w:val="0"/>
                <w:sz w:val="21"/>
                <w:szCs w:val="21"/>
                <w:highlight w:val="none"/>
                <w:lang w:val="en-US" w:eastAsia="zh-CN"/>
              </w:rPr>
              <w:t>起不少于</w:t>
            </w:r>
            <w:r>
              <w:rPr>
                <w:rFonts w:hint="eastAsia" w:ascii="宋体" w:hAnsi="宋体" w:eastAsia="宋体" w:cs="宋体"/>
                <w:kern w:val="0"/>
                <w:sz w:val="21"/>
                <w:szCs w:val="21"/>
                <w:highlight w:val="none"/>
              </w:rPr>
              <w:t>90日历日</w:t>
            </w:r>
            <w:r>
              <w:rPr>
                <w:rFonts w:hint="eastAsia" w:ascii="宋体" w:hAnsi="宋体" w:eastAsia="宋体" w:cs="宋体"/>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1806" w:type="dxa"/>
            <w:vAlign w:val="center"/>
          </w:tcPr>
          <w:p>
            <w:pPr>
              <w:widowControl/>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保证金</w:t>
            </w:r>
          </w:p>
        </w:tc>
        <w:tc>
          <w:tcPr>
            <w:tcW w:w="6266" w:type="dxa"/>
            <w:vAlign w:val="center"/>
          </w:tcPr>
          <w:p>
            <w:pPr>
              <w:widowControl/>
              <w:spacing w:line="360" w:lineRule="auto"/>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缴纳保证金的银行转账或电汇凭证；</w:t>
            </w:r>
          </w:p>
        </w:tc>
      </w:tr>
    </w:tbl>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11.3详细评审标准</w:t>
      </w:r>
    </w:p>
    <w:tbl>
      <w:tblPr>
        <w:tblStyle w:val="24"/>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066"/>
        <w:gridCol w:w="592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89" w:type="dxa"/>
            <w:noWrap w:val="0"/>
            <w:vAlign w:val="center"/>
          </w:tcPr>
          <w:p>
            <w:pPr>
              <w:pStyle w:val="13"/>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类别</w:t>
            </w:r>
          </w:p>
        </w:tc>
        <w:tc>
          <w:tcPr>
            <w:tcW w:w="1066"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评审项</w:t>
            </w:r>
          </w:p>
        </w:tc>
        <w:tc>
          <w:tcPr>
            <w:tcW w:w="5922"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w:t>
            </w:r>
            <w:r>
              <w:rPr>
                <w:rFonts w:hint="eastAsia" w:ascii="宋体" w:hAnsi="宋体" w:eastAsia="宋体" w:cs="宋体"/>
                <w:b/>
                <w:bCs/>
                <w:sz w:val="21"/>
                <w:szCs w:val="21"/>
                <w:highlight w:val="none"/>
                <w:lang w:val="en-US" w:eastAsia="zh-CN"/>
              </w:rPr>
              <w:t>审</w:t>
            </w:r>
            <w:r>
              <w:rPr>
                <w:rFonts w:hint="eastAsia" w:ascii="宋体" w:hAnsi="宋体" w:eastAsia="宋体" w:cs="宋体"/>
                <w:b/>
                <w:bCs/>
                <w:sz w:val="21"/>
                <w:szCs w:val="21"/>
                <w:highlight w:val="none"/>
              </w:rPr>
              <w:t>因素</w:t>
            </w:r>
          </w:p>
        </w:tc>
        <w:tc>
          <w:tcPr>
            <w:tcW w:w="962"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最高</w:t>
            </w:r>
          </w:p>
          <w:p>
            <w:pPr>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989"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价格</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评审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最终报价</w:t>
            </w: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000000"/>
                <w:sz w:val="21"/>
                <w:szCs w:val="21"/>
              </w:rPr>
            </w:pPr>
            <w:bookmarkStart w:id="31" w:name="OLE_LINK1"/>
            <w:r>
              <w:rPr>
                <w:rFonts w:hint="eastAsia" w:ascii="宋体" w:hAnsi="宋体" w:eastAsia="宋体" w:cs="宋体"/>
                <w:color w:val="000000"/>
                <w:sz w:val="21"/>
                <w:szCs w:val="21"/>
              </w:rPr>
              <w:t>1、本次磋商设最高</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限价（采购预算）。供应商的磋商报价超过最高</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限价的视为废标，不再参与下一步评审。</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000000"/>
                <w:sz w:val="21"/>
                <w:szCs w:val="21"/>
              </w:rPr>
              <w:t>2、未超出财政预算，实质性满足</w:t>
            </w:r>
            <w:r>
              <w:rPr>
                <w:rFonts w:hint="eastAsia" w:ascii="宋体" w:hAnsi="宋体" w:eastAsia="宋体" w:cs="宋体"/>
                <w:color w:val="000000"/>
                <w:sz w:val="21"/>
                <w:szCs w:val="21"/>
                <w:lang w:eastAsia="zh-CN"/>
              </w:rPr>
              <w:t>竞争性</w:t>
            </w:r>
            <w:r>
              <w:rPr>
                <w:rFonts w:hint="eastAsia" w:ascii="宋体" w:hAnsi="宋体" w:eastAsia="宋体" w:cs="宋体"/>
                <w:color w:val="000000"/>
                <w:sz w:val="21"/>
                <w:szCs w:val="21"/>
              </w:rPr>
              <w:t>磋商文件要求且最后报价最低的报价为磋商基准价，其价格分为满分</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0分。其它供应商的价格分统一按照下列公式计算：磋商报价得分=（磋商基准价/最后磋商报价）×价格分值×100%</w:t>
            </w:r>
            <w:r>
              <w:rPr>
                <w:rFonts w:hint="eastAsia" w:ascii="宋体" w:hAnsi="宋体" w:eastAsia="宋体" w:cs="宋体"/>
                <w:color w:val="000000"/>
                <w:sz w:val="21"/>
                <w:szCs w:val="21"/>
                <w:lang w:eastAsia="zh-CN"/>
              </w:rPr>
              <w:t>。</w:t>
            </w:r>
            <w:bookmarkEnd w:id="31"/>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部分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类似项目业绩</w:t>
            </w: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投标人从202</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月至今（以合同签订时间为准）具有类似项目业绩，每</w:t>
            </w:r>
            <w:r>
              <w:rPr>
                <w:rFonts w:hint="eastAsia" w:ascii="宋体" w:hAnsi="宋体" w:eastAsia="宋体" w:cs="宋体"/>
                <w:color w:val="000000"/>
                <w:sz w:val="21"/>
                <w:szCs w:val="21"/>
                <w:lang w:eastAsia="zh-CN"/>
              </w:rPr>
              <w:t>提供</w:t>
            </w:r>
            <w:r>
              <w:rPr>
                <w:rFonts w:hint="eastAsia" w:ascii="宋体" w:hAnsi="宋体" w:eastAsia="宋体" w:cs="宋体"/>
                <w:color w:val="000000"/>
                <w:sz w:val="21"/>
                <w:szCs w:val="21"/>
              </w:rPr>
              <w:t>一个</w:t>
            </w:r>
            <w:r>
              <w:rPr>
                <w:rFonts w:hint="eastAsia" w:ascii="宋体" w:hAnsi="宋体" w:eastAsia="宋体" w:cs="宋体"/>
                <w:color w:val="000000"/>
                <w:sz w:val="21"/>
                <w:szCs w:val="21"/>
                <w:lang w:eastAsia="zh-CN"/>
              </w:rPr>
              <w:t>得</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共</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分。（提供中标通知书或合同等有效证明材料复印件并加盖公章）</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rPr>
            </w:pP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项目人员配置及人员管理制度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供应商针对本项目应提供的项目团队人员配备方案进行评审，需包含以下2个方面：</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1、人员配置及岗位职责</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2、人员管理制度</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每条需从以下维度进行综合评价：</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①合理性：方案提出的方法和标准应该是合理的、恰当的。</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②完备性：方案完整，能实现招标件所需的所有要求。</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③针对性：方案必须切合实际情况，根据招标文件的要求提出个性化的解决方案。</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每个方案每满足一个考核点得2分，完全满足上述3个考核要求的得6分；方案</w:t>
            </w:r>
            <w:r>
              <w:rPr>
                <w:rFonts w:hint="eastAsia" w:ascii="宋体" w:hAnsi="宋体" w:eastAsia="宋体" w:cs="宋体"/>
                <w:color w:val="auto"/>
                <w:sz w:val="21"/>
                <w:szCs w:val="21"/>
                <w:highlight w:val="none"/>
                <w:lang w:eastAsia="zh-CN"/>
              </w:rPr>
              <w:t>不缺项，描述内容齐全、逻辑合理的得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以上方案内容每缺少一个考核项扣2分；（3）每个方案中考核点有一处存在缺陷或不足、内容不完整或不符合项目实际情况的扣2分，每个方案内容最多扣6分，扣完为止。</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000000"/>
                <w:sz w:val="21"/>
                <w:szCs w:val="21"/>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技术</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4"/>
                <w:highlight w:val="none"/>
              </w:rPr>
              <w:t>部分</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72分</w:t>
            </w:r>
            <w:r>
              <w:rPr>
                <w:rFonts w:hint="eastAsia" w:ascii="宋体" w:hAnsi="宋体" w:eastAsia="宋体" w:cs="宋体"/>
                <w:color w:val="auto"/>
                <w:sz w:val="21"/>
                <w:szCs w:val="24"/>
                <w:highlight w:val="none"/>
                <w:lang w:eastAsia="zh-CN"/>
              </w:rPr>
              <w:t>）</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总体技术方案</w:t>
            </w: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评委根据供项目总体设计方案综合评分(每项内容逐条阐述)包括:</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1.总体设计、应用框架图；</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2.网络拓扑图、性能设计；</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3.开放性设计、安全性设计；</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4.系统建设执行标准、基础信息库建设。</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项要素要求不缺项，且每一项</w:t>
            </w:r>
            <w:r>
              <w:rPr>
                <w:rFonts w:hint="eastAsia" w:ascii="宋体" w:hAnsi="宋体" w:eastAsia="宋体" w:cs="宋体"/>
                <w:color w:val="auto"/>
                <w:kern w:val="0"/>
                <w:sz w:val="21"/>
                <w:szCs w:val="21"/>
                <w:highlight w:val="none"/>
                <w:lang w:val="en-US" w:eastAsia="zh-CN" w:bidi="ar"/>
              </w:rPr>
              <w:t>设计方案具有科学性和前瞻性，系统架构设计科学合理，性能设计方案针对性强，安全性设计全面科学，关键性技术问题认识清晰，应对措施合理、可行性强，采用面向对象分析、设计、编程的，有很强的可维护性和可扩展性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重点难点分析</w:t>
            </w: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评委根据投标人提供的重点难点分析综合评分(每项内容逐条阐述):包括:</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1.建设目标；</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2.重点难点。</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项要素要求不缺项，且每一项要素</w:t>
            </w:r>
            <w:r>
              <w:rPr>
                <w:rFonts w:hint="eastAsia" w:ascii="宋体" w:hAnsi="宋体" w:eastAsia="宋体" w:cs="宋体"/>
                <w:color w:val="auto"/>
                <w:kern w:val="0"/>
                <w:sz w:val="21"/>
                <w:szCs w:val="21"/>
                <w:highlight w:val="none"/>
                <w:lang w:val="en-US" w:eastAsia="zh-CN" w:bidi="ar"/>
              </w:rPr>
              <w:t>分析完整深刻、</w:t>
            </w:r>
            <w:r>
              <w:rPr>
                <w:rFonts w:hint="eastAsia" w:ascii="宋体" w:hAnsi="宋体" w:eastAsia="宋体" w:cs="宋体"/>
                <w:color w:val="auto"/>
                <w:sz w:val="21"/>
                <w:szCs w:val="21"/>
                <w:highlight w:val="none"/>
                <w:lang w:eastAsia="zh-CN"/>
              </w:rPr>
              <w:t>描述内容齐全、</w:t>
            </w:r>
            <w:r>
              <w:rPr>
                <w:rFonts w:hint="eastAsia" w:ascii="宋体" w:hAnsi="宋体" w:eastAsia="宋体" w:cs="宋体"/>
                <w:color w:val="auto"/>
                <w:kern w:val="0"/>
                <w:sz w:val="21"/>
                <w:szCs w:val="21"/>
                <w:highlight w:val="none"/>
                <w:lang w:val="en-US" w:eastAsia="zh-CN" w:bidi="ar"/>
              </w:rPr>
              <w:t>紧贴采购需求、详尽合理、针对性强、</w:t>
            </w:r>
            <w:r>
              <w:rPr>
                <w:rFonts w:hint="eastAsia" w:ascii="宋体" w:hAnsi="宋体" w:eastAsia="宋体" w:cs="宋体"/>
                <w:color w:val="auto"/>
                <w:sz w:val="21"/>
                <w:szCs w:val="21"/>
                <w:highlight w:val="none"/>
                <w:lang w:eastAsia="zh-CN"/>
              </w:rPr>
              <w:t>逻辑合理得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color w:val="auto"/>
                <w:sz w:val="21"/>
                <w:szCs w:val="21"/>
                <w:lang w:val="en-US" w:eastAsia="zh-CN"/>
              </w:rPr>
              <w:t>项目实施方案</w:t>
            </w: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评委根据供项目实施方案综合评分(每项内容逐条阐述):包括:</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(1)计划安排、项目团队人员安排；</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(2)风险控制管理；</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(3)安全管理。</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w:t>
            </w:r>
            <w:r>
              <w:rPr>
                <w:rFonts w:hint="eastAsia" w:ascii="宋体" w:hAnsi="宋体" w:eastAsia="宋体" w:cs="宋体"/>
                <w:color w:val="auto"/>
                <w:kern w:val="0"/>
                <w:sz w:val="21"/>
                <w:szCs w:val="21"/>
                <w:highlight w:val="none"/>
                <w:lang w:val="en-US" w:eastAsia="zh-CN" w:bidi="ar"/>
              </w:rPr>
              <w:t>紧贴采购需求、详尽合理、针对性强、</w:t>
            </w:r>
            <w:r>
              <w:rPr>
                <w:rFonts w:hint="eastAsia" w:ascii="宋体" w:hAnsi="宋体" w:eastAsia="宋体" w:cs="宋体"/>
                <w:color w:val="auto"/>
                <w:sz w:val="21"/>
                <w:szCs w:val="21"/>
                <w:highlight w:val="none"/>
                <w:lang w:eastAsia="zh-CN"/>
              </w:rPr>
              <w:t>逻辑合理得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以上要素内容每缺少一项扣4分；（3）每项中每有一处存在缺陷或不足、内容不完整或不符合项目实际情况的扣1分，每一项要素内容最多扣4分，扣完为止。</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系统对接方案</w:t>
            </w: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评委根据提供的项目</w:t>
            </w:r>
            <w:r>
              <w:rPr>
                <w:rFonts w:hint="eastAsia" w:ascii="宋体" w:hAnsi="宋体" w:eastAsia="宋体" w:cs="宋体"/>
                <w:b w:val="0"/>
                <w:bCs/>
                <w:color w:val="auto"/>
                <w:sz w:val="21"/>
                <w:szCs w:val="21"/>
                <w:lang w:val="en-US" w:eastAsia="zh-CN"/>
              </w:rPr>
              <w:t>系统对接</w:t>
            </w:r>
            <w:r>
              <w:rPr>
                <w:rFonts w:hint="eastAsia" w:ascii="宋体" w:hAnsi="宋体" w:eastAsia="宋体" w:cs="宋体"/>
                <w:color w:val="auto"/>
                <w:kern w:val="0"/>
                <w:sz w:val="21"/>
                <w:szCs w:val="21"/>
                <w:highlight w:val="none"/>
                <w:lang w:val="en-US" w:eastAsia="zh-CN" w:bidi="ar"/>
              </w:rPr>
              <w:t>方案综合评分(每项内容逐条阐述):包括:</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(1)跨平台兼容性；</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(2)可扩展功能；</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(3)安全性。</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w:t>
            </w:r>
            <w:r>
              <w:rPr>
                <w:rFonts w:hint="eastAsia" w:ascii="宋体" w:hAnsi="宋体" w:eastAsia="宋体" w:cs="宋体"/>
                <w:color w:val="auto"/>
                <w:kern w:val="0"/>
                <w:sz w:val="21"/>
                <w:szCs w:val="21"/>
                <w:highlight w:val="none"/>
                <w:lang w:val="en-US" w:eastAsia="zh-CN" w:bidi="ar"/>
              </w:rPr>
              <w:t>紧贴采购需求、详尽合理、针对性强、技术先进系统对接方可行的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以上要素内容每缺少一项扣4分；（3）每项中每有一处存在缺陷或不足、内容不完整或不符合项目实际情况的扣1分，每一项要素内容最多扣4分，扣完为止。</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3" w:hRule="atLeast"/>
          <w:jc w:val="center"/>
        </w:trPr>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应急保障方案</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根据供应商提供的应急保障方案进行评审，包括以下3个方面：</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(1）应急质量保障。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(2）应急安全管理。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(3）应急维修预案。</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以上要素内容每缺少一项扣4分；（3）每项中每有一处存在缺陷或不足、内容不完整或不符合项目实际情况的扣1分，每一项要素内容最多扣4分，扣完为止。</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服务质量承诺</w:t>
            </w:r>
          </w:p>
        </w:tc>
        <w:tc>
          <w:tcPr>
            <w:tcW w:w="5922"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根据供应商提供的服务质量承诺进行评审，包括以下3个方面：</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(1）服务质量承诺；</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(2）服务质量保障措施；</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(3）违约处罚措施。</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以上要素内容每缺少一项扣4分；（3）每项中每有一处存在缺陷或不足、内容不完整或不符合项目实际情况的扣1分，每一项要素内容最多扣4分，扣完为止。</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lang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1" w:hRule="atLeast"/>
          <w:jc w:val="center"/>
        </w:trPr>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rPr>
            </w:pP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培训方案</w:t>
            </w:r>
          </w:p>
        </w:tc>
        <w:tc>
          <w:tcPr>
            <w:tcW w:w="5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根据投标人提供的培训方案进行评审，</w:t>
            </w:r>
            <w:r>
              <w:rPr>
                <w:rFonts w:hint="eastAsia" w:ascii="宋体" w:hAnsi="宋体" w:eastAsia="宋体" w:cs="宋体"/>
                <w:color w:val="auto"/>
                <w:kern w:val="0"/>
                <w:sz w:val="21"/>
                <w:szCs w:val="21"/>
                <w:highlight w:val="none"/>
                <w:lang w:val="en-US" w:eastAsia="zh-CN" w:bidi="ar"/>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105"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培训时间及方式</w:t>
            </w:r>
          </w:p>
          <w:p>
            <w:pPr>
              <w:keepNext w:val="0"/>
              <w:keepLines w:val="0"/>
              <w:pageBreakBefore w:val="0"/>
              <w:widowControl w:val="0"/>
              <w:kinsoku/>
              <w:wordWrap/>
              <w:overflowPunct/>
              <w:topLinePunct w:val="0"/>
              <w:autoSpaceDE/>
              <w:autoSpaceDN/>
              <w:bidi w:val="0"/>
              <w:adjustRightInd/>
              <w:snapToGrid/>
              <w:spacing w:line="360" w:lineRule="auto"/>
              <w:ind w:left="105"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培训内容</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r>
    </w:tbl>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各评审专家在充分审阅供应商响应文件的基础上，按照评审标准对每个供应商进行打分，评委评议得分算术平均值为各供应商的评审得分（小数点后保留2位有效数字），按评审得分由高到低顺序，推荐前三名为本项目成交候选供应商。</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2" w:name="_Toc75259347"/>
      <w:bookmarkStart w:id="33" w:name="_Toc16029"/>
      <w:r>
        <w:rPr>
          <w:rFonts w:hint="eastAsia" w:ascii="宋体" w:hAnsi="宋体" w:eastAsia="宋体" w:cs="宋体"/>
          <w:b/>
          <w:color w:val="auto"/>
          <w:sz w:val="21"/>
          <w:szCs w:val="21"/>
          <w:highlight w:val="none"/>
        </w:rPr>
        <w:t>12．磋商小组</w:t>
      </w:r>
      <w:bookmarkEnd w:id="32"/>
      <w:bookmarkEnd w:id="33"/>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磋商小组由采购人代表和评审专家共同组成。评审专家应当从政府采购评审专家库内相关专业的专家名单中随机抽取。</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4" w:name="_Toc75259348"/>
      <w:bookmarkStart w:id="35" w:name="_Toc3588"/>
      <w:r>
        <w:rPr>
          <w:rFonts w:hint="eastAsia" w:ascii="宋体" w:hAnsi="宋体" w:eastAsia="宋体" w:cs="宋体"/>
          <w:b/>
          <w:color w:val="auto"/>
          <w:sz w:val="21"/>
          <w:szCs w:val="21"/>
          <w:highlight w:val="none"/>
        </w:rPr>
        <w:t>13．磋商评审纪律</w:t>
      </w:r>
      <w:bookmarkEnd w:id="34"/>
      <w:bookmarkEnd w:id="35"/>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13.1磋商小组成员</w:t>
      </w:r>
      <w:r>
        <w:rPr>
          <w:rFonts w:hint="eastAsia" w:ascii="宋体" w:hAnsi="宋体" w:eastAsia="宋体" w:cs="宋体"/>
          <w:color w:val="auto"/>
          <w:sz w:val="21"/>
          <w:szCs w:val="21"/>
          <w:highlight w:val="none"/>
          <w:lang w:val="zh-CN"/>
        </w:rPr>
        <w:t>内部讨论的情况和意见必须保密，任何人不得以任何形式透露给供应商或与供应商有关的单位或个人；</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13.2</w:t>
      </w:r>
      <w:r>
        <w:rPr>
          <w:rFonts w:hint="eastAsia" w:ascii="宋体" w:hAnsi="宋体" w:eastAsia="宋体" w:cs="宋体"/>
          <w:color w:val="auto"/>
          <w:sz w:val="21"/>
          <w:szCs w:val="21"/>
          <w:highlight w:val="none"/>
          <w:lang w:val="zh-CN"/>
        </w:rPr>
        <w:t>在磋商过程中，供应商不得以任何形式对磋商小组成员进行旨在影响磋商结果的私下接触，否则取消其磋商资格；</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13.3</w:t>
      </w:r>
      <w:r>
        <w:rPr>
          <w:rFonts w:hint="eastAsia" w:ascii="宋体" w:hAnsi="宋体" w:eastAsia="宋体" w:cs="宋体"/>
          <w:color w:val="auto"/>
          <w:sz w:val="21"/>
          <w:szCs w:val="21"/>
          <w:highlight w:val="none"/>
          <w:lang w:val="zh-CN"/>
        </w:rPr>
        <w:t>磋商小组以及与磋商有关的人员应当对评审情况和评审过程中获悉的国家秘密、商业秘密予以保密。</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6" w:name="_Toc75259349"/>
      <w:bookmarkStart w:id="37" w:name="_Toc25837"/>
      <w:r>
        <w:rPr>
          <w:rFonts w:hint="eastAsia" w:ascii="宋体" w:hAnsi="宋体" w:eastAsia="宋体" w:cs="宋体"/>
          <w:b/>
          <w:color w:val="auto"/>
          <w:sz w:val="21"/>
          <w:szCs w:val="21"/>
          <w:highlight w:val="none"/>
        </w:rPr>
        <w:t>14．无效响应文件情况说明</w:t>
      </w:r>
      <w:bookmarkEnd w:id="36"/>
      <w:bookmarkEnd w:id="37"/>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响应文件有下列情形之一的，应当按照无效响应文件处理： </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color w:val="auto"/>
          <w:sz w:val="21"/>
          <w:szCs w:val="21"/>
          <w:highlight w:val="none"/>
        </w:rPr>
        <w:t>未按磋商文件规定要求签署、盖章的；</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14.2不具备磋商文件中规定的资格要求的；</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14.3报价超过采购预算的；</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14.4未完全响应磋商文件规定的实质性要求的；</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14.5不符合法律、法规规定的其他情形。</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14.6供应商没有经过正常渠道购买磋商文件或供应商的名称与登记领取磋商人的名称不符；</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14.7响应文件</w:t>
      </w:r>
      <w:r>
        <w:rPr>
          <w:rFonts w:hint="eastAsia" w:ascii="宋体" w:hAnsi="宋体" w:eastAsia="宋体" w:cs="宋体"/>
          <w:bCs/>
          <w:color w:val="auto"/>
          <w:sz w:val="21"/>
          <w:szCs w:val="21"/>
          <w:highlight w:val="none"/>
        </w:rPr>
        <w:t>没有盖单位公章</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，无有效期或有效期达不到磋商文件的要求；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14.8供应商针对同一项目递交两份或多份内容不同的响应文件，未书面声明哪一份是有效的；出现选择性报价的；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14.9提供虚假资质证明，除按无效响应文件处理外，并进行相应的处罚；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14.10</w:t>
      </w:r>
      <w:r>
        <w:rPr>
          <w:rFonts w:hint="eastAsia" w:ascii="宋体" w:hAnsi="宋体" w:eastAsia="宋体" w:cs="宋体"/>
          <w:bCs/>
          <w:color w:val="auto"/>
          <w:kern w:val="0"/>
          <w:sz w:val="21"/>
          <w:szCs w:val="21"/>
          <w:highlight w:val="none"/>
        </w:rPr>
        <w:t>单位负责人为同一人或者存在直接控股、管理关系的不同单位不得同时磋商。</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8" w:name="_Toc75259350"/>
      <w:bookmarkStart w:id="39" w:name="_Toc17667"/>
      <w:r>
        <w:rPr>
          <w:rFonts w:hint="eastAsia" w:ascii="宋体" w:hAnsi="宋体" w:eastAsia="宋体" w:cs="宋体"/>
          <w:b/>
          <w:color w:val="auto"/>
          <w:sz w:val="21"/>
          <w:szCs w:val="21"/>
          <w:highlight w:val="none"/>
        </w:rPr>
        <w:t>15．对响应文件的修正</w:t>
      </w:r>
      <w:bookmarkEnd w:id="38"/>
      <w:bookmarkEnd w:id="39"/>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15．1磋商中，对价格的计算错误按下述原则修正：</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（1）磋商时，响应文件正本与副本不一致的，以正本为准。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（2）响应文件的大写金额和小写金额不一致的，以大写金额为准； </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（3）总价金额与按单价汇总金额不一致的，以单价金额计算结果为准；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（4）单价金额小数点有明显错位的，应以总价为准，并修改单价；</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（5）对不同文字文本响应文件的解释发生异议的，以中文文本为准；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（6）供应商不同意以上修正，则其响应文件将被拒绝。</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40" w:name="_Toc75259351"/>
      <w:bookmarkStart w:id="41" w:name="_Toc6588"/>
      <w:r>
        <w:rPr>
          <w:rFonts w:hint="eastAsia" w:ascii="宋体" w:hAnsi="宋体" w:eastAsia="宋体" w:cs="宋体"/>
          <w:b/>
          <w:color w:val="auto"/>
          <w:sz w:val="21"/>
          <w:szCs w:val="21"/>
          <w:highlight w:val="none"/>
        </w:rPr>
        <w:t>16</w:t>
      </w:r>
      <w:bookmarkEnd w:id="40"/>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确定成交供应商</w:t>
      </w:r>
      <w:bookmarkEnd w:id="41"/>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2" w:name="_Toc75259352"/>
      <w:bookmarkStart w:id="43" w:name="_Toc4693"/>
      <w:r>
        <w:rPr>
          <w:rFonts w:hint="eastAsia" w:ascii="宋体" w:hAnsi="宋体" w:eastAsia="宋体" w:cs="宋体"/>
          <w:b/>
          <w:color w:val="auto"/>
          <w:sz w:val="21"/>
          <w:szCs w:val="21"/>
          <w:highlight w:val="none"/>
        </w:rPr>
        <w:t>17．成交通知</w:t>
      </w:r>
      <w:bookmarkEnd w:id="42"/>
      <w:r>
        <w:rPr>
          <w:rFonts w:hint="eastAsia" w:ascii="宋体" w:hAnsi="宋体" w:eastAsia="宋体" w:cs="宋体"/>
          <w:b/>
          <w:color w:val="auto"/>
          <w:sz w:val="21"/>
          <w:szCs w:val="21"/>
          <w:highlight w:val="none"/>
          <w:lang w:val="en-US" w:eastAsia="zh-CN"/>
        </w:rPr>
        <w:t>书</w:t>
      </w:r>
      <w:bookmarkEnd w:id="43"/>
      <w:r>
        <w:rPr>
          <w:rFonts w:hint="eastAsia" w:ascii="宋体" w:hAnsi="宋体" w:eastAsia="宋体" w:cs="宋体"/>
          <w:b/>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17.2成交通知书将是合同的一个组成部分。</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4" w:name="_Toc75259353"/>
      <w:bookmarkStart w:id="45" w:name="_Toc816"/>
      <w:r>
        <w:rPr>
          <w:rFonts w:hint="eastAsia" w:ascii="宋体" w:hAnsi="宋体" w:eastAsia="宋体" w:cs="宋体"/>
          <w:b/>
          <w:color w:val="auto"/>
          <w:sz w:val="21"/>
          <w:szCs w:val="21"/>
          <w:highlight w:val="none"/>
        </w:rPr>
        <w:t>18．合同授予</w:t>
      </w:r>
      <w:bookmarkEnd w:id="44"/>
      <w:bookmarkEnd w:id="4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磋商文件、响应文件及磋商过程中有关补充文件均作为合同附件，并与合同具有相同的法律效力。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18.2当按照合同履行义务，完成磋商项目。未经采购人同意，成交供应商不得向他人转让成交项目。</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6" w:name="_Toc75259354"/>
      <w:bookmarkStart w:id="47" w:name="_Toc9179"/>
      <w:r>
        <w:rPr>
          <w:rFonts w:hint="eastAsia" w:ascii="宋体" w:hAnsi="宋体" w:eastAsia="宋体" w:cs="宋体"/>
          <w:b/>
          <w:color w:val="auto"/>
          <w:sz w:val="21"/>
          <w:szCs w:val="21"/>
          <w:highlight w:val="none"/>
        </w:rPr>
        <w:t>19．磋商有效期</w:t>
      </w:r>
      <w:bookmarkEnd w:id="46"/>
      <w:bookmarkEnd w:id="47"/>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w:t>
      </w:r>
      <w:r>
        <w:rPr>
          <w:rFonts w:hint="eastAsia" w:ascii="宋体" w:hAnsi="宋体" w:eastAsia="宋体" w:cs="宋体"/>
          <w:b/>
          <w:bCs/>
          <w:color w:val="auto"/>
          <w:sz w:val="21"/>
          <w:szCs w:val="21"/>
          <w:highlight w:val="none"/>
        </w:rPr>
        <w:t>磋商</w:t>
      </w:r>
      <w:r>
        <w:rPr>
          <w:rFonts w:hint="eastAsia" w:ascii="宋体" w:hAnsi="宋体" w:eastAsia="宋体" w:cs="宋体"/>
          <w:b/>
          <w:color w:val="auto"/>
          <w:sz w:val="21"/>
          <w:szCs w:val="21"/>
          <w:highlight w:val="none"/>
        </w:rPr>
        <w:t>有效期为</w:t>
      </w:r>
      <w:r>
        <w:rPr>
          <w:rFonts w:hint="eastAsia" w:ascii="宋体" w:hAnsi="宋体" w:eastAsia="宋体" w:cs="宋体"/>
          <w:b/>
          <w:color w:val="auto"/>
          <w:sz w:val="21"/>
          <w:szCs w:val="21"/>
          <w:highlight w:val="none"/>
          <w:u w:val="none"/>
        </w:rPr>
        <w:t>响应文件递交截止之日后90日历日</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在此期限内，凡符合本磋商文件要求的响应文件均保持有效。</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8" w:name="_Toc75259355"/>
      <w:bookmarkStart w:id="49" w:name="_Toc7832"/>
      <w:r>
        <w:rPr>
          <w:rFonts w:hint="eastAsia" w:ascii="宋体" w:hAnsi="宋体" w:eastAsia="宋体" w:cs="宋体"/>
          <w:b/>
          <w:color w:val="auto"/>
          <w:sz w:val="21"/>
          <w:szCs w:val="21"/>
          <w:highlight w:val="none"/>
        </w:rPr>
        <w:t>20．签订合同</w:t>
      </w:r>
      <w:bookmarkEnd w:id="48"/>
      <w:bookmarkEnd w:id="49"/>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20.1成交</w:t>
      </w:r>
      <w:r>
        <w:rPr>
          <w:rFonts w:hint="eastAsia" w:ascii="宋体" w:hAnsi="宋体" w:eastAsia="宋体" w:cs="宋体"/>
          <w:color w:val="auto"/>
          <w:sz w:val="21"/>
          <w:szCs w:val="21"/>
          <w:highlight w:val="none"/>
          <w:lang w:val="en-US" w:eastAsia="zh-CN"/>
        </w:rPr>
        <w:t>供应商应自收到成交通知书之日起15日内</w:t>
      </w:r>
      <w:r>
        <w:rPr>
          <w:rFonts w:hint="eastAsia" w:ascii="宋体" w:hAnsi="宋体" w:eastAsia="宋体" w:cs="宋体"/>
          <w:color w:val="auto"/>
          <w:sz w:val="21"/>
          <w:szCs w:val="21"/>
          <w:highlight w:val="none"/>
        </w:rPr>
        <w:t>与采购人签订合同。</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20.2成交供应商应按成交通知书中规定的时间与采购人签订合同，否则按违约处理，并赔偿本次及再次采购所发生的费用。</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20.3磋商文件、成交供应商的响应报价文件及评审过程中有关澄清文件均应作为合同附件，并与合同具有相同的法律效力。</w:t>
      </w:r>
      <w:bookmarkStart w:id="225" w:name="_GoBack"/>
      <w:bookmarkEnd w:id="225"/>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0" w:name="_Toc75259356"/>
      <w:bookmarkStart w:id="51" w:name="_Toc13523"/>
      <w:r>
        <w:rPr>
          <w:rFonts w:hint="eastAsia" w:ascii="宋体" w:hAnsi="宋体" w:eastAsia="宋体" w:cs="宋体"/>
          <w:b/>
          <w:color w:val="auto"/>
          <w:sz w:val="21"/>
          <w:szCs w:val="21"/>
          <w:highlight w:val="none"/>
        </w:rPr>
        <w:t>21．</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代理服务费</w:t>
      </w:r>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bookmarkStart w:id="52" w:name="_Hlk63417944"/>
      <w:r>
        <w:rPr>
          <w:rFonts w:hint="eastAsia" w:ascii="宋体" w:hAnsi="宋体" w:eastAsia="宋体" w:cs="宋体"/>
          <w:color w:val="auto"/>
          <w:sz w:val="21"/>
          <w:szCs w:val="21"/>
          <w:highlight w:val="none"/>
        </w:rPr>
        <w:t>21.1</w:t>
      </w:r>
      <w:bookmarkStart w:id="53" w:name="OLE_LINK3"/>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代理服务费参照《国家计委关于印发&lt;招标代理服务收费管理暂行办法&gt;的通知》（计价格[2002]1980号）中规定的差额定律累进法计取。</w:t>
      </w:r>
      <w:bookmarkEnd w:id="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21.2成交</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供应商在取得成交通知书时，向采购代理机构缴付</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代理服务费以转账或现金形式缴纳。</w:t>
      </w:r>
    </w:p>
    <w:bookmarkEnd w:id="52"/>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4" w:name="_Toc75259357"/>
      <w:bookmarkStart w:id="55" w:name="_Toc18622"/>
      <w:r>
        <w:rPr>
          <w:rFonts w:hint="eastAsia" w:ascii="宋体" w:hAnsi="宋体" w:eastAsia="宋体" w:cs="宋体"/>
          <w:b/>
          <w:color w:val="auto"/>
          <w:sz w:val="21"/>
          <w:szCs w:val="21"/>
          <w:highlight w:val="none"/>
        </w:rPr>
        <w:t>22．质疑</w:t>
      </w:r>
      <w:bookmarkEnd w:id="54"/>
      <w:bookmarkEnd w:id="5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供应商可以在知道或者应知其权益受到损害之日起7个工作日内，以书面形式向采购人、采购代理机构提出质疑。供应商提出质疑应当提交质疑函和必要的证明材料。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项目联系人：</w:t>
      </w:r>
      <w:r>
        <w:rPr>
          <w:rFonts w:hint="eastAsia" w:ascii="宋体" w:hAnsi="宋体" w:eastAsia="宋体" w:cs="宋体"/>
          <w:color w:val="auto"/>
          <w:sz w:val="21"/>
          <w:szCs w:val="21"/>
          <w:highlight w:val="none"/>
          <w:lang w:val="en-US" w:eastAsia="zh-CN"/>
        </w:rPr>
        <w:t>姚方</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17809112100</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延安市新区鼎盛豪庭公寓</w:t>
      </w:r>
      <w:r>
        <w:rPr>
          <w:rFonts w:hint="eastAsia" w:ascii="宋体" w:hAnsi="宋体" w:eastAsia="宋体" w:cs="宋体"/>
          <w:color w:val="auto"/>
          <w:sz w:val="21"/>
          <w:szCs w:val="21"/>
          <w:highlight w:val="none"/>
          <w:lang w:val="en-US" w:eastAsia="zh-CN"/>
        </w:rPr>
        <w:t>4号楼201室</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供应商为自然人的应当由本人签字；供应商为法人或者其他组织的，应当由法定代表人或其授权代表签字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盖章，并加盖公章。</w:t>
      </w:r>
      <w:r>
        <w:rPr>
          <w:rFonts w:hint="eastAsia" w:ascii="宋体" w:hAnsi="宋体" w:eastAsia="宋体" w:cs="宋体"/>
          <w:b/>
          <w:bCs/>
          <w:color w:val="auto"/>
          <w:sz w:val="21"/>
          <w:szCs w:val="21"/>
          <w:highlight w:val="none"/>
        </w:rPr>
        <w:t>采购文件要求供应商在法定质疑</w:t>
      </w:r>
      <w:r>
        <w:rPr>
          <w:rFonts w:hint="eastAsia" w:ascii="宋体" w:hAnsi="宋体" w:eastAsia="宋体" w:cs="宋体"/>
          <w:b/>
          <w:bCs/>
          <w:color w:val="auto"/>
          <w:sz w:val="21"/>
          <w:szCs w:val="21"/>
          <w:highlight w:val="none"/>
          <w:lang w:val="en-US" w:eastAsia="zh-CN"/>
        </w:rPr>
        <w:t>期</w:t>
      </w:r>
      <w:r>
        <w:rPr>
          <w:rFonts w:hint="eastAsia" w:ascii="宋体" w:hAnsi="宋体" w:eastAsia="宋体" w:cs="宋体"/>
          <w:b/>
          <w:bCs/>
          <w:color w:val="auto"/>
          <w:sz w:val="21"/>
          <w:szCs w:val="21"/>
          <w:highlight w:val="none"/>
        </w:rPr>
        <w:t>内一次性提出针对同一采购程序环节的质疑。</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6" w:name="_Toc75259358"/>
      <w:bookmarkStart w:id="57" w:name="_Toc2907"/>
      <w:r>
        <w:rPr>
          <w:rFonts w:hint="eastAsia" w:ascii="宋体" w:hAnsi="宋体" w:eastAsia="宋体" w:cs="宋体"/>
          <w:b/>
          <w:color w:val="auto"/>
          <w:sz w:val="21"/>
          <w:szCs w:val="21"/>
          <w:highlight w:val="none"/>
        </w:rPr>
        <w:t>23</w:t>
      </w:r>
      <w:bookmarkStart w:id="58" w:name="_Toc44581001"/>
      <w:bookmarkStart w:id="59" w:name="_Toc44581543"/>
      <w:r>
        <w:rPr>
          <w:rFonts w:hint="eastAsia" w:ascii="宋体" w:hAnsi="宋体" w:eastAsia="宋体" w:cs="宋体"/>
          <w:b/>
          <w:color w:val="auto"/>
          <w:sz w:val="21"/>
          <w:szCs w:val="21"/>
          <w:highlight w:val="none"/>
        </w:rPr>
        <w:t>．需要落实的政府采购政策</w:t>
      </w:r>
      <w:bookmarkEnd w:id="56"/>
      <w:bookmarkEnd w:id="57"/>
      <w:bookmarkEnd w:id="58"/>
      <w:bookmarkEnd w:id="59"/>
      <w:bookmarkStart w:id="60" w:name="_Hlk63418170"/>
    </w:p>
    <w:bookmarkEnd w:id="60"/>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23.1、落实促进支持中小企业、监狱企业、残疾人福利性单位发展、脱贫攻坚工作的政策(如专门面向中小企业的采购项目（或采购包），不执行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23.1.1/23.1.2/23.1.3</w:t>
      </w:r>
      <w:r>
        <w:rPr>
          <w:rFonts w:hint="eastAsia" w:ascii="宋体" w:hAnsi="宋体" w:eastAsia="宋体" w:cs="宋体"/>
          <w:color w:val="000000" w:themeColor="text1"/>
          <w:sz w:val="21"/>
          <w:szCs w:val="21"/>
          <w:highlight w:val="none"/>
          <w14:textFill>
            <w14:solidFill>
              <w14:schemeClr w14:val="tx1"/>
            </w14:solidFill>
          </w14:textFill>
        </w:rPr>
        <w:t>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23.1.1 《政府采购促进中小企业发展管理办法》（财库〔2020〕46号）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在政府采购活动中，供应商提供的货物、工程或者服务符合下列情形的，享受《办法》规定的中小企业扶持政策: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陕西省财政厅关于落实政府采购支持中小企业政策有关事项的通知</w:t>
      </w:r>
      <w:r>
        <w:rPr>
          <w:rFonts w:hint="eastAsia" w:ascii="宋体" w:hAnsi="宋体" w:eastAsia="宋体" w:cs="宋体"/>
          <w:color w:val="auto"/>
          <w:sz w:val="21"/>
          <w:szCs w:val="21"/>
          <w:highlight w:val="none"/>
          <w:lang w:eastAsia="zh-CN"/>
        </w:rPr>
        <w:t>》（陕财办采函〔2022〕10号）</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，对符合规定的小微企业报价给予10%的扣除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23.1.2 《财政部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23.1.3 《三部门联合发布关于促进残疾人就业政府采购政策的通知》（财库〔2017〕141号）；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 “节能产品政府采购品目清单”的，应提供相关证书复印件，相关证书的颁发机构应来自《参与实施政府采购节能产品认证机构名录》。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rPr>
          <w:rFonts w:hint="eastAsia" w:ascii="宋体" w:hAnsi="宋体" w:eastAsia="宋体" w:cs="宋体"/>
          <w:b/>
          <w:color w:val="auto"/>
          <w:sz w:val="32"/>
          <w:szCs w:val="36"/>
          <w:highlight w:val="none"/>
        </w:rPr>
      </w:pPr>
      <w:bookmarkStart w:id="61" w:name="__RefHeading___Toc413314952"/>
      <w:bookmarkEnd w:id="61"/>
      <w:bookmarkStart w:id="62" w:name="_Toc75259359"/>
      <w:r>
        <w:rPr>
          <w:rFonts w:hint="eastAsia" w:ascii="宋体" w:hAnsi="宋体" w:eastAsia="宋体" w:cs="宋体"/>
          <w:b/>
          <w:color w:val="auto"/>
          <w:sz w:val="32"/>
          <w:szCs w:val="36"/>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color w:val="auto"/>
          <w:sz w:val="32"/>
          <w:szCs w:val="36"/>
          <w:highlight w:val="none"/>
          <w:lang w:val="en-US" w:eastAsia="zh-CN"/>
        </w:rPr>
      </w:pPr>
      <w:bookmarkStart w:id="63" w:name="_Toc469"/>
      <w:r>
        <w:rPr>
          <w:rFonts w:hint="eastAsia" w:ascii="宋体" w:hAnsi="宋体" w:eastAsia="宋体" w:cs="宋体"/>
          <w:b/>
          <w:color w:val="auto"/>
          <w:sz w:val="32"/>
          <w:szCs w:val="36"/>
          <w:highlight w:val="none"/>
        </w:rPr>
        <w:t>第</w:t>
      </w:r>
      <w:r>
        <w:rPr>
          <w:rFonts w:hint="eastAsia" w:ascii="宋体" w:hAnsi="宋体" w:eastAsia="宋体" w:cs="宋体"/>
          <w:b/>
          <w:color w:val="auto"/>
          <w:sz w:val="32"/>
          <w:szCs w:val="36"/>
          <w:highlight w:val="none"/>
          <w:lang w:val="en-US" w:eastAsia="zh-CN"/>
        </w:rPr>
        <w:t>四</w:t>
      </w:r>
      <w:r>
        <w:rPr>
          <w:rFonts w:hint="eastAsia" w:ascii="宋体" w:hAnsi="宋体" w:eastAsia="宋体" w:cs="宋体"/>
          <w:b/>
          <w:color w:val="auto"/>
          <w:sz w:val="32"/>
          <w:szCs w:val="36"/>
          <w:highlight w:val="none"/>
        </w:rPr>
        <w:t>部分</w:t>
      </w:r>
      <w:bookmarkEnd w:id="62"/>
      <w:r>
        <w:rPr>
          <w:rFonts w:hint="eastAsia" w:ascii="宋体" w:hAnsi="宋体" w:eastAsia="宋体" w:cs="宋体"/>
          <w:b/>
          <w:color w:val="auto"/>
          <w:sz w:val="32"/>
          <w:szCs w:val="36"/>
          <w:highlight w:val="none"/>
          <w:lang w:val="en-US" w:eastAsia="zh-CN"/>
        </w:rPr>
        <w:t xml:space="preserve"> </w:t>
      </w:r>
      <w:r>
        <w:rPr>
          <w:rFonts w:hint="eastAsia" w:ascii="宋体" w:hAnsi="宋体" w:eastAsia="宋体" w:cs="宋体"/>
          <w:b/>
          <w:color w:val="auto"/>
          <w:sz w:val="32"/>
          <w:szCs w:val="36"/>
          <w:highlight w:val="none"/>
        </w:rPr>
        <w:t>采购</w:t>
      </w:r>
      <w:r>
        <w:rPr>
          <w:rFonts w:hint="eastAsia" w:ascii="宋体" w:hAnsi="宋体" w:eastAsia="宋体" w:cs="宋体"/>
          <w:b/>
          <w:color w:val="auto"/>
          <w:sz w:val="32"/>
          <w:szCs w:val="36"/>
          <w:highlight w:val="none"/>
          <w:lang w:val="en-US" w:eastAsia="zh-CN"/>
        </w:rPr>
        <w:t>需求</w:t>
      </w:r>
      <w:bookmarkEnd w:id="63"/>
    </w:p>
    <w:p>
      <w:pPr>
        <w:keepLines w:val="0"/>
        <w:pageBreakBefore w:val="0"/>
        <w:widowControl w:val="0"/>
        <w:kinsoku/>
        <w:wordWrap/>
        <w:overflowPunct/>
        <w:topLinePunct w:val="0"/>
        <w:autoSpaceDE/>
        <w:autoSpaceDN/>
        <w:bidi w:val="0"/>
        <w:adjustRightInd/>
        <w:snapToGrid/>
        <w:spacing w:line="480" w:lineRule="auto"/>
        <w:ind w:right="0" w:rightChars="0" w:firstLine="422" w:firstLineChars="200"/>
        <w:textAlignment w:val="auto"/>
        <w:outlineLvl w:val="9"/>
        <w:rPr>
          <w:rFonts w:hint="eastAsia" w:ascii="宋体" w:hAnsi="宋体" w:eastAsia="宋体" w:cs="宋体"/>
          <w:b/>
          <w:bCs/>
          <w:color w:val="auto"/>
          <w:sz w:val="21"/>
          <w:szCs w:val="21"/>
          <w:highlight w:val="none"/>
        </w:rPr>
      </w:pPr>
      <w:bookmarkStart w:id="64" w:name="_Toc15647"/>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eastAsia="zh-CN"/>
        </w:rPr>
        <w:t>要求</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1.1项目编号：CY2025-016</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1.2项目名称:延安市人民医院高质量发展示范项目人力资源系统集成服务项目</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1.3预算金额：302700.00元；财政资金</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1.4服务期：合同签订后180日历日内</w:t>
      </w:r>
      <w:r>
        <w:rPr>
          <w:rFonts w:hint="default" w:ascii="宋体" w:hAnsi="宋体" w:eastAsia="宋体" w:cs="宋体"/>
          <w:b w:val="0"/>
          <w:bCs/>
          <w:sz w:val="21"/>
          <w:szCs w:val="21"/>
          <w:lang w:val="en-US" w:eastAsia="zh-CN"/>
        </w:rPr>
        <w:t>完成</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1.5服务地点：采购人指定地点</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1.6质量要求：符合国家相关合格标准</w:t>
      </w:r>
      <w:bookmarkEnd w:id="64"/>
    </w:p>
    <w:p>
      <w:pPr>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2" w:firstLineChars="20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采购内容</w:t>
      </w:r>
    </w:p>
    <w:p>
      <w:pPr>
        <w:keepNext w:val="0"/>
        <w:keepLines w:val="0"/>
        <w:pageBreakBefore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商务要求</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pPr>
      <w:bookmarkStart w:id="65" w:name="_Toc30500"/>
      <w:r>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t>项目概况</w:t>
      </w:r>
      <w:bookmarkEnd w:id="65"/>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本项目为延安市人民医院及其同一法人下各院区（包括马家湾院区、河庄坪院区、新区门诊部等）信息化系统建设项目，涵盖软件系统实施、接口对接、系统培训、运维保障等全流程服务。预算30.27万元。</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pPr>
      <w:bookmarkStart w:id="66" w:name="_Toc4593"/>
      <w:r>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t>建设内容与范围</w:t>
      </w:r>
      <w:bookmarkEnd w:id="66"/>
    </w:p>
    <w:p>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1.系统对接与集成：</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1）乙方必须严格按照国家现行标准、规范、国家相关法律法规对本项目组织实施，确保本项目施工质量、工期及安全，并在保修期内承担相应的维保责任。</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2）乙方提供的产品，应满足国家有关标准及合同功能要求，并对产品质量负责。</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4）乙方提供的产品须达到《国家电子病历系统功能应用水平分级评价标准五级》和《国家医疗健康信息互联互通标准化成熟度测评四级甲等》标准要求，在维保期内免费配合医院完成评级工作。</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5）乙方提供的产品必须符合陕西省卫生健康委员会办公室《</w:t>
      </w:r>
      <w:bookmarkStart w:id="67" w:name="OLE_LINK2"/>
      <w:r>
        <w:rPr>
          <w:rFonts w:hint="eastAsia" w:ascii="宋体" w:hAnsi="宋体" w:eastAsia="宋体" w:cs="宋体"/>
          <w:color w:val="auto"/>
          <w:sz w:val="21"/>
          <w:szCs w:val="21"/>
          <w:highlight w:val="none"/>
          <w:lang w:val="en-US" w:eastAsia="zh-CN"/>
        </w:rPr>
        <w:t>关于进一步加强卫生健康信息标准化工作的通知</w:t>
      </w:r>
      <w:bookmarkEnd w:id="67"/>
      <w:r>
        <w:rPr>
          <w:rFonts w:hint="eastAsia" w:ascii="宋体" w:hAnsi="宋体" w:eastAsia="宋体" w:cs="宋体"/>
          <w:color w:val="auto"/>
          <w:sz w:val="21"/>
          <w:szCs w:val="21"/>
          <w:highlight w:val="none"/>
          <w:lang w:val="en-US" w:eastAsia="zh-CN"/>
        </w:rPr>
        <w:t>》（2024年5月25），延安市卫生健康委员会办公室关于转发《关于进一步加强卫生健康信息标准化工作的通知》的通知（2024年10月24日）要求，及附件中卫生健康领域信息化有关文件和现行有效卫生健康领域信息化标准要求。</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6）乙方对接院方现有系统。</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7）乙方提供的产品须支持集团化医院建设、分院区医院建设。</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8）乙方须提供软件定制开发部分源代码、数据库结构、API接口文档交付。</w:t>
      </w:r>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2" w:firstLineChars="200"/>
        <w:textAlignment w:val="auto"/>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pPr>
      <w:bookmarkStart w:id="68" w:name="_Toc652"/>
      <w:r>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t>三．实施工期</w:t>
      </w:r>
      <w:bookmarkEnd w:id="68"/>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1.项目须于合同签订后180日历日内完成整体建设并达到验收标准，具体时间以院方确认为准。</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2.必须完成系统上线试运行、接口对接、升级改造等全部内容。</w:t>
      </w:r>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2" w:firstLineChars="200"/>
        <w:textAlignment w:val="auto"/>
        <w:rPr>
          <w:rFonts w:hint="eastAsia" w:ascii="宋体" w:hAnsi="宋体" w:eastAsia="宋体" w:cs="宋体"/>
          <w:b/>
          <w:bCs/>
          <w:i w:val="0"/>
          <w:iCs w:val="0"/>
          <w:caps w:val="0"/>
          <w:color w:val="auto"/>
          <w:spacing w:val="0"/>
          <w:sz w:val="21"/>
          <w:szCs w:val="21"/>
          <w:u w:val="none"/>
          <w:lang w:val="en-US" w:eastAsia="zh-CN"/>
        </w:rPr>
      </w:pPr>
      <w:bookmarkStart w:id="69" w:name="_Toc6696"/>
      <w:r>
        <w:rPr>
          <w:rFonts w:hint="eastAsia" w:ascii="宋体" w:hAnsi="宋体" w:eastAsia="宋体" w:cs="宋体"/>
          <w:b/>
          <w:bCs/>
          <w:i w:val="0"/>
          <w:iCs w:val="0"/>
          <w:caps w:val="0"/>
          <w:color w:val="auto"/>
          <w:spacing w:val="0"/>
          <w:sz w:val="21"/>
          <w:szCs w:val="21"/>
          <w:u w:val="none"/>
          <w:lang w:val="en-US" w:eastAsia="zh-CN"/>
        </w:rPr>
        <w:t>四．技术与管理要求</w:t>
      </w:r>
      <w:bookmarkEnd w:id="69"/>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1.系统功能：满足附件所有描述，支持集团化医院管理模式、多院区等。</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标准化符合性：符合国家及陕西省、延安市卫健委最新信息化标准与政策文件。所有软件系统须达到《国家电子病历系统功能应用水平分级评价标准五级》和《国家医疗健康信息互联互通标准化成熟度测评四级甲等》标准要求。</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3.数据与接口：完成所有指定系统对接。</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4.文档交付：包括软件定制开发部分源代码、数据库结构、API接口文档、系统手册、测试报告等。</w:t>
      </w:r>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2" w:firstLineChars="200"/>
        <w:textAlignment w:val="auto"/>
        <w:rPr>
          <w:rFonts w:hint="eastAsia" w:ascii="宋体" w:hAnsi="宋体" w:eastAsia="宋体" w:cs="宋体"/>
          <w:b/>
          <w:bCs/>
          <w:i w:val="0"/>
          <w:iCs w:val="0"/>
          <w:caps w:val="0"/>
          <w:color w:val="auto"/>
          <w:spacing w:val="0"/>
          <w:sz w:val="21"/>
          <w:szCs w:val="21"/>
          <w:u w:val="none"/>
          <w:lang w:val="en-US" w:eastAsia="zh-CN"/>
        </w:rPr>
      </w:pPr>
      <w:bookmarkStart w:id="70" w:name="_Toc20921"/>
      <w:r>
        <w:rPr>
          <w:rFonts w:hint="eastAsia" w:ascii="宋体" w:hAnsi="宋体" w:eastAsia="宋体" w:cs="宋体"/>
          <w:b/>
          <w:bCs/>
          <w:i w:val="0"/>
          <w:iCs w:val="0"/>
          <w:caps w:val="0"/>
          <w:color w:val="auto"/>
          <w:spacing w:val="0"/>
          <w:sz w:val="21"/>
          <w:szCs w:val="21"/>
          <w:u w:val="none"/>
          <w:lang w:val="en-US" w:eastAsia="zh-CN"/>
        </w:rPr>
        <w:t>五．培训与售后维保服务</w:t>
      </w:r>
      <w:bookmarkEnd w:id="70"/>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1.制定详细培训计划，确保各系统操作人员熟练使用，培训效果由使用科室签字确认。</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2.项目验收通过后1年免费维保，期间提供原厂工程师维保服务；免费系统升级、接口对接、功能优化、政策适应性改造。</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切实可行的售后服务方案，提供原厂技术服务，提供7×24小时热线电话、远程网络、现场等服务方式。维保工程师在10分钟内给于响应；不能解决的重大故障，原厂服务团队应在接到医院服务请求后24小时内到达现场。</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4.维保服务内容包括：</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1）为本项目所有系统提供日常维护、保障服务、故障定位和排错、根据科室需求定制化修改、软件提供免费接口对接服务。并根据院方要求提供报表定制服务。</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2）软件版本及相关知识库免费升级。</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3）出具应急保障方案（综合分析系统的软硬件配置，应用情况，在月度第一次巡检后向项目部提供安全、可靠、切实可行的应急方案）</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4）签订网络安全保密承诺书（医院相关数据保密）</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5）提交相应项目资料（按照项目部管理办法提交相关项目资料备审）</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6）服务期内维保工程师对乙方提供系统进行维保服务。并明确人员职责，组建服务团队统一管理。</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7）服务期内确保至少一季度巡检一次软硬件及数据库（配置状态检测、系统使用状态检测、系统日志分析和监控、硬件使用情况、数据库内存及存储情况等）</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8）定期报送维保记录。</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5.相关软硬件接口维保:服务期内本合同提供免费接口对接服务。</w:t>
      </w:r>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2" w:firstLineChars="200"/>
        <w:textAlignment w:val="auto"/>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pPr>
      <w:bookmarkStart w:id="71" w:name="_Toc16332"/>
      <w:r>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t>六．验收标准</w:t>
      </w:r>
      <w:bookmarkEnd w:id="71"/>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1.项目验收</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软件系统按合同功能要求完成部署、配置、调试，并完成系统集成，上线稳定运行1个月。</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具体要求如下：</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1)系统已按附件要求完成全部功能的开发与部署。与院方根据合同约定进行功能确认。</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2)系统已完成内部测试，并提交《系统测试报告》。</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3)系统与医院硬件环境安装部署完成。</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4)该系统与院内需对接系统接口对接完成，并可稳定传输数据。</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5)已提交该系统相关的用户操作手册、技术维护手册等项目文档。</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6)培训确认：检查该系统的用户培训是否已完成，并核查《培训签到表》。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lang w:val="en-US" w:eastAsia="zh-CN"/>
        </w:rPr>
        <w:t>7)项目移交：验收通过后，项目正式进入质保期。乙方向甲方移交项目及系统资料。</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5.交付物清单</w:t>
      </w:r>
    </w:p>
    <w:p>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《系统测试报告》、《培训签到表》、《项目验收申请表》、《功能确认表》、《项目验收报告》、项目其他相关资料等。</w:t>
      </w:r>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2" w:firstLineChars="200"/>
        <w:textAlignment w:val="auto"/>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pPr>
      <w:bookmarkStart w:id="72" w:name="_Toc18287"/>
      <w:r>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t>七．违约责任</w:t>
      </w:r>
      <w:bookmarkEnd w:id="72"/>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73" w:name="_Toc19038"/>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1.甲方无正当理由拒收产品或拖延验收，则需向乙方支付合同总额10%（百分之十）的违约金。</w:t>
      </w:r>
      <w:bookmarkEnd w:id="73"/>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74" w:name="_Toc1464"/>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2.甲方逾期付款，每逾期一日，应支付乙方合同价的2‰（千分之二）的违约金，违约金总额不超过合同价的5%（百分之五）。</w:t>
      </w:r>
      <w:bookmarkEnd w:id="74"/>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75" w:name="_Toc4647"/>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3.乙方逾期交付产品，每逾期一日，应支付甲方逾期交付产品合同价的2‰（千分之二）的违约金，违约金总额不超过合同价的5%（百分之五）。</w:t>
      </w:r>
      <w:bookmarkEnd w:id="75"/>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76" w:name="_Toc20626"/>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4.因甲方违约导致合同终止的，乙方有权向甲方收取已交付产品所对应的合同价款及其他已履约部分所对应的合同价款。</w:t>
      </w:r>
      <w:bookmarkEnd w:id="76"/>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77" w:name="_Toc19616"/>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5.甲、乙双方因未尽义务造成对方的损失，由责任方承担相关责任；</w:t>
      </w:r>
      <w:bookmarkEnd w:id="77"/>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2" w:firstLineChars="200"/>
        <w:textAlignment w:val="auto"/>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pPr>
      <w:bookmarkStart w:id="78" w:name="_Toc19258"/>
      <w:r>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t>八．不可抗力</w:t>
      </w:r>
      <w:bookmarkEnd w:id="78"/>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79" w:name="_Toc27916"/>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1.如发生不可抗力事件，受不可抗力事件影响的一方应在不可抗力发生后不迟于十四个工作日内，将不可抗力事件的发生、预计延续的时间和终止情况书面通知给另一方。双方同意，可据此免除全部或部分责任。</w:t>
      </w:r>
      <w:bookmarkEnd w:id="79"/>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80" w:name="_Toc3296"/>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2.不可抗力事件包括火灾、水灾、地震、台风、自然灾害、战争、交通瘫痪、突发疫情等。</w:t>
      </w:r>
      <w:bookmarkEnd w:id="80"/>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81" w:name="_Toc17141"/>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3.主张不可抗力的一方有责任在发生不可抗力事件时采取适当的补救措施，尽量减少不可抗力事件给合同双方带来的损失，由此支付的费用由合同双方依据受益比例合理分担。</w:t>
      </w:r>
      <w:bookmarkEnd w:id="81"/>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2"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82" w:name="_Toc12215"/>
      <w:r>
        <w:rPr>
          <w:rFonts w:hint="eastAsia" w:ascii="宋体" w:hAnsi="宋体" w:eastAsia="宋体" w:cs="宋体"/>
          <w:b/>
          <w:bCs/>
          <w:i w:val="0"/>
          <w:iCs w:val="0"/>
          <w:caps w:val="0"/>
          <w:color w:val="000000" w:themeColor="text1"/>
          <w:spacing w:val="0"/>
          <w:sz w:val="21"/>
          <w:szCs w:val="21"/>
          <w:u w:val="none"/>
          <w:lang w:val="en-US" w:eastAsia="zh-CN"/>
          <w14:textFill>
            <w14:solidFill>
              <w14:schemeClr w14:val="tx1"/>
            </w14:solidFill>
          </w14:textFill>
        </w:rPr>
        <w:t>九．合同变更</w:t>
      </w:r>
      <w:bookmarkEnd w:id="82"/>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ab/>
      </w:r>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ab/>
      </w:r>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ab/>
      </w:r>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ab/>
      </w:r>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ab/>
      </w:r>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ab/>
      </w:r>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ab/>
      </w:r>
    </w:p>
    <w:p>
      <w:pPr>
        <w:pStyle w:val="3"/>
        <w:keepNext w:val="0"/>
        <w:keepLines w:val="0"/>
        <w:pageBreakBefore w:val="0"/>
        <w:widowControl/>
        <w:suppressLineNumbers w:val="0"/>
        <w:kinsoku/>
        <w:wordWrap/>
        <w:overflowPunct/>
        <w:topLinePunct w:val="0"/>
        <w:autoSpaceDE/>
        <w:autoSpaceDN/>
        <w:bidi w:val="0"/>
        <w:adjustRightInd/>
        <w:snapToGrid/>
        <w:spacing w:before="28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pPr>
      <w:bookmarkStart w:id="83" w:name="_Toc3426"/>
      <w:r>
        <w:rPr>
          <w:rFonts w:hint="eastAsia" w:ascii="宋体" w:hAnsi="宋体" w:eastAsia="宋体" w:cs="宋体"/>
          <w:b w:val="0"/>
          <w:bCs w:val="0"/>
          <w:i w:val="0"/>
          <w:iCs w:val="0"/>
          <w:caps w:val="0"/>
          <w:color w:val="000000" w:themeColor="text1"/>
          <w:spacing w:val="0"/>
          <w:sz w:val="21"/>
          <w:szCs w:val="21"/>
          <w:u w:val="none"/>
          <w:lang w:val="en-US" w:eastAsia="zh-CN"/>
          <w14:textFill>
            <w14:solidFill>
              <w14:schemeClr w14:val="tx1"/>
            </w14:solidFill>
          </w14:textFill>
        </w:rPr>
        <w:t>所有未尽事宜，双方协商解决；合同的变更及修改须经双方同意并签订补充协议，补充协议与本合同具有同等法律效力。</w:t>
      </w:r>
      <w:bookmarkEnd w:id="83"/>
    </w:p>
    <w:p>
      <w:pP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技术标准</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738"/>
        <w:gridCol w:w="695"/>
        <w:gridCol w:w="6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系统名称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人力资源管理平台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工作桌面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自定义工作桌面：根据不同角色自定义各种工作桌面，桌面内容可包括：各种人事统计分析图标、各种人事预警、代办任务、办事大厅和各种通告等等，满足用户“千人千面”的桌面配置。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1、能建立与医院实际一致的组织机构（包括总院、分院、一级科室、二级科室等）；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2、每级机构都能记录本机构的基本信息、考核记录、奖励记录、编制人员记录等信息；3、可对各级组织单元的基本信息、工作职责等相关信息进行维护；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多套组织架构的创建和维护，包括行政机构、考勤单元、党团机构、年度考核等，并且能够兼容OA行政办公组织架构、财务成本架构、HIS等临床系统组织架构，实现人员数据信息在不同组织架构的统一维护功能。                                                                 4、支持灵活定义单位和部门的信息项。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虚拟组织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支持虚拟组织（长期或临时性团队）的组建、变更、撤消、查询的功能。并且全院人员统计时，虚拟机构人员不重复统计；虚拟机构人员统计时，可以单独统计；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1、可通过直观的界面操作，进行机构新增、撤销、合并、划转、查询、修改、调整组织单元的顺序以及删除等；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2、组织机构调整时，支持对机构下的人员批量进行划转，人员信息不受影响，历史记录不会丢失；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3、支持最终用户级输出各类组织单元名册以及统计分析图表。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1、能够生成组织机构图，点击结构图可以穿透查询到相关部门的岗位及职工信息，如岗位设置、部门职责、职工人数等；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2、可以更改全院的组织机构图、并要求可以细到任意层次。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3、提供统计分析功能，能够从不同侧面对机构信息进行分析，以图表的方式显示和输出。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可清晰的定义组织机构，可以保存全部调整过的组织机构及相关信息，可以回溯</w:t>
            </w:r>
            <w:r>
              <w:rPr>
                <w:rStyle w:val="39"/>
                <w:lang w:val="en-US" w:eastAsia="zh-CN" w:bidi="ar"/>
              </w:rPr>
              <w:t>到任何时间点查看。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岗位体系建立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1、支持岗位体系、职务体系的建立和分解，由职类分解成职种、职级、职务（支持一人兼有若干职务和岗位），支持建立岗位序列和岗位等级；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2、按照不同岗位类别可建立基准岗位体系，新建岗位时可以调用基准岗位体系信息，便于快速复制到新的岗位，快速搭建新组织架构。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3、支持岗位汇报关系的建立，支持岗位汇报关系图形化配置，方便了解组织机构内岗位之间的工作联系和工作成果传递路径。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岗位说明书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依据维护的岗位信息自动生成岗位说明书，最终用户可以灵活绘制岗位说明书模板，同时也支持上传电子版的岗位说明书。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1、可以根据不同的管理权限进行相应的授权，满足不同部门的应用要求，实现分头维护，信息共享。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2、系统需要对组织机构、岗位等信息的历次变动情况进行保存和管理，满足用户对当前及历史状态的信息查询。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3、能灵活实现岗位、职位的复制、合并、划转、撤销操作。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4、记录全面的岗位、职位的变更情况。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1、提供编制信息维护，能够根据人员情况自动生成单位、科室的实有人数，直接反映医院发展动态。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2、支持对医院、科室、岗位的编制管理，支持编制层层分解。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3、能够生成科室编制表，方便监控部门编制余缺情况，并能保留历史编制信息，为编制及人员调整提供参考。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编制设置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1、支持医院内组织编制的管理，分别提供单位编制与科室编制的管理；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2、能完成岗位编制与现有人数的比较，形成职位人员配置表。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3、支持历史编制的查询、浏览。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4、医护人数与床位数比。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5、支持医院编制的多版本管理，支持对相应版本的医院编制下的科室编制管理。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1、能对员工进行分类管理，如：在职人员、离退休人员、返聘人员、劳务派遣人员等，并能够根据需要进行修改与调整；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2、要具有国标及国家部委下发的行业标准的相关指标代码，并能够由单位自行修改、增加，以便在系统应用过程中调用、查询统计等；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够灵活定义人员信息集、信息项，记录员工从入职到离职全生命周期的信息，包括学历及学位、履历情况、任职情况、奖惩情况、教育培训、考核考察、专业技术职务、合同信息、薪资变动、薪资发放等，可以对历史数据进行查询、统计分析，实现对人员信息全面、准确的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4、能够根据单位的需要对员工信息项目进行灵活的增加、修改；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5、信息内容支持自定义，可定义为代码、日期、文本、数字、多媒体等各种类型。还可以附加Word、Excel、多媒体等文件；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6、建立多媒体信息体系管理，通过导入直接查看和浏览，如学历信息点击查看学历证书并能下载打印；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7、具有黑名单管理功能，如被解聘人员，再次应聘时能够发出提醒，规避用人风险；                                                                8、员工管理界面集成信息浏览、编辑、审核、分类查询同一个界面；支持员工管理一页式操作，医院人事管理专员能够直接在一个页面查看到人员的所有信息资料，并且实现人员信息浏览、信息录入、查询、统计、输出等功能在一个界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灵活定义人员信息指标项，记录员工从入职到离职全生命周期的信息，包括学历及学位、履历情况、任职情况、奖惩情况、教育培训、考核考察、专业技术职务、合同信息、薪资变动、薪资发放、出国信息、职称信息、医师护理人员执业证、护理学分记录、考核记录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2、可以对历史数据进行查询、统计分析，实现对人员信息全面、准确的管理。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分权维护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支持借调、兼职、挂职等特殊人员的管理，多个科室可以分权维护同一个员工的不同信息支持。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支持多媒体信息以及其他文本格式文件的导入或关联，支持照片、录像、声音、考核材料、证书复印件等以附件上传到系统中，实现人员信息的立体化管理。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信息采集方案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人员信息的收集和处理，依据业务需要可以发布多个自定义采集方案，相关填报人基于采集任务维护方案里设定的各类信息项，提高信息录入速度和信息采集的准确度，同时也支持多级审核及变动信息比对便于后期纠错，适合大批量人员照片和文本信息采集场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2、可通过扫码进行入职信息的采集；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3、可实现与excel互相导入、导出，员工信息的动态更新、历史记录查询、支持扫描件信息上传。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历史时点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可对人员关键指标进行历史时点数据记录；定时（手动或自动）对这些指标数据进行快照留存；按时点可以查询人员信息、输出人员名册以及统计分析。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1、支持手工维护合同相关信息，以及到期提前预警；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2、支持劳动合同、培训协议的分类信息管理；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3、对合同类型、合同时间、合同签订次数进行统计管理。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1、人员浏览时可以直接查看到该人员所属单位、部门及照片等全维度信息；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2、能够灵活设置不同的信息查询权限，实现不同层级权限人员，查看不同范围的人员信息；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帮助用户由浅入深的应用，提供智能查询、快速查询、通用查询以及复杂查询等多种查询方式；并可实现模糊查询、子集历史记录查询功能；查询条件可以保存为常用查询，方便下次直接使用；查询结果支持按照片卡片、小资料卡、列表方式显示，方便直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4、支持多条件的组合查询和二次查询（对上一次查询结果再次查询）；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5、当需要查询多个无规则的人员时，支持直接输入，或从Excel模板复制多个姓名数据、粘贴到查询框中进行批量查询。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人才画像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1、可以对具备多个属性的人员打标签，并对标签自动识别。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2、可以进行多个标签查询，例如：80后、985、有海外工作经历等，并可展示人才画像。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3、展现多维度的人才画像，可点开某项内容，如工作经历，可以时间轴方式展现全部的工作履历。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花名册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1、可灵活定义各种员工花名册，可根据现有花名册导入的形式建立花名册格式；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2、实现输出形式的个性化和多样化；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3、可直接打印，或输出Word、Excel等 OFFICE文档。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登记表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1、可自定义各类登录表，可定义员工在职证明、收入证明、员工基本情况信息表等；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2、提供人员附件统一预览页面和导出功能。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1、对编制情况进行预警；劳动合同签订、到期、续签进行预警提醒；可利用预警功能实现员工生日、转正、培训、退休、职称等自动提醒。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2、预警的内容、条件、时间等能由业务人员自行定义，不需要厂家二次开发。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3、对预警出来的人员系统能够自动关联相关业务表单，进行相关的业务办理。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1、支持常用统计、二维统计、多维统计、单项统计求和、平均、中位值、最大值、最小值多种方式。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2、统计项目通过图形化展现，支持柱状图、饼状图、拆线图、雷达图展现，分析图可直接下载。图表相结合的方式展现。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3、通过分析图、表可穿透查询，数据层层下挖，清晰直观。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4、可保存常用的统计条件，报表制作时可调用保存下来的统计条件，提高效率。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5、用户可自定义分析条件，简单易用。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6、系统需预制职称分布、岗位分类、民族分布、连续工龄、院齡分布、博士职称年龄、高层次人才、学历分布、考核等各类统计分析项目。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7、可按组织机构、人员类别进行筛选符合条件的信息进行统计分析。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业务规则定义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根据业务办理内容，可灵活设置计算公式、校验公式、临时变量等，业务处理更加自动化。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支持手工或条件筛选等方式进行人员选择；支持批量计算、批量替换、打印、输出为word、pdf格式等操作处理。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1、拟入职职工信息登记：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①对新入职人员信息采集和审核，将采集的信息导入待入职人员库。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②在招聘环节中经过简历初筛、笔试、面试等一系列环节后，确定的拟录用人员直接进入待入职人员库，无需二次录入。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2、职工入职报到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①职工正式报到时，由本人到人事处提供各类正式原件，负责职工报到的老师在系统内录入报到信息并生成职工工号。其中，报到日期以来人事处当场签字确认日期为准。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②报到信息登记表审核后归档，新入职的职工从待入职人员库转入在职人员库。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3、转正定级：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①见习期满，待转正定级人员填写转正定级审批表。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②经所在单位、人事处和主管院领导审批后予以转正。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4、岗位轮转：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①医务人员轮转信息由医务处维护；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②护理人员轮转信息由护理部维护；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③其他人员轮转信息由人事处维护。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5、内部调动：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①由拟调任职工所在单位提交调动申请，所在单位进行调出审核。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②经调入单位审核后，提交人事处审核。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③相关院领导审核后，由人事处调配岗确认调动。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6、人员调出：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①个人申请辞职或调动，填写《职工调离申请表》，由所在单位审批。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②医生由医务处审批并签署意见，护士由护理部审批并签署意见。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③其他人员由人事处请示分管领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7、退休业务：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①按照退休政策，符合退休条件的职工提交退休审批表到本单位和人事处进行审核。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②由于临床、科研等原因需要办理延迟退休的职工，由本人提出申请，科室审批，医院审批延退，人事调配可登记延迟退休信息。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③退休返聘人员由聘用单位提出申请，经主管领导同意后报院人事处审核，审核通过后提交院党委常委会讨论审批。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薪资管理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薪资变动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1、支持当员工入职、转正、转岗、升职时，系统可自动完成工资调整业务。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2、调整业务支持流程审批功能，并自动记录员工的工资变动情况。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3、提供工资补发补扣自动处理机制，历次变动情况可以归档备查。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4、可以按需分类薪酬变动业务：预置五种常见业务分类（入职、转正、变岗、离职、其他变动），可以按需在上述分类下增设薪酬变动业务单据，也可以增加新的业务分类扩展应用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5、支持薪酬变动业务与人事异动业务无缝衔接，以待办形式触发下一任务，并且自动带入相关数据，提高业务处理效率                                   6、薪资变动界面提供流程表单版本和分组版本，业务用户能够根据医院薪资变动业务处理的需要自由选择显示的版本。薪资变动分组版本提供薪资变动预警提醒；提供功能导航图，功能导航图直接可以穿透进入薪资业务；支持自行选择时间，查询入职定薪、职工变动调薪、离退休停薪等各类业务已办理和未办理的数据，可选择人员进行业务办理，支持导出EXC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薪酬体系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1、满足不同地域、不同员工类别的管理要求，其中包括不同薪酬体系的自定义，薪酬项目的自定义，薪酬级别的自定义，薪酬项目计算公式的自定义等。根据医院的需要对薪酬进行有效的定制和管理。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多种薪酬分配方案，并且能够对不同类型员工实现不同的薪酬分配方案；薪资结构可以允许用户增加新的收入项，或者是在公司政策变动时，可以方便的变更收入计算公式；薪资发放支持多种形式，满足年薪制、月薪制及一月多次发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3、支持薪资项目导入公式、累计公式的灵活定义，提供薪资项目批处理功能（批量修改、计算）等，以及批量导入导出功能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4、薪资公式定义采用汉化公式，提供中、英文函数；薪酬界面支持锁行锁列功能；易学易用，业务人员经过简短培训就可以掌握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5、支持薪酬标准灵活授权，如对同时负责多个组织的用户授权，并且允许用户查阅、使用下级组织的薪酬标准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薪资模块支持与保险管理、考勤管理、人事管理等业务模块的数据进行无缝联接。在计算薪酬时，要能根据引入的绩效考核结果、员工考勤信息等作为工资项目进行计算。薪酬标准设计方面，可与人力资源系统中的岗位、职务、职位、职级体系相结合，制订并执行不同的薪酬标准和福利标准                                                                                                                 7、提供共享账套功能，一个主账套可以共享多个子账套，业务人员可以在子账套维护数据，核算人员能够自动将各个子账套数据汇总到到主账套里面。支持共享账套审批功能。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薪资发放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1、工资发放过程要基于上月的工资数据进行本月的工资计算，只需对当月发生变化的人员信息进行比对，并对变化人员的工资项目进行调整、审核后进行工资核算；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2、工资核算时可直接引用其他业务模块数据，如考勤、绩效、奖惩等各项数据，自动核算绩效工资、考勤扣款、保险扣款、应发额等项目；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3、能够通过导入excel、手工调整等方式引入外部数据（如考勤、保险、考核结果等），参与工资计算；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4、所有涉及人员变动或工资调整带来的工资变化要能够自动汇总，便于在工资核算过程中对工资变动信息自动比对，避免二次核对带来的工作量大、数据不准确等问题；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5、人事部门将发放工资的数据材料交给财务部门后，财务部门进行工资核算与发放，人事部门负责对其录入数据库的信息正确性和完整性进行审核；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6、财务将发放明细返回给人事，人事基于相关工资数据进行各种工资调整和数据分析；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7、各种工资项目能够自动计算，同时支持手工修正；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8、能够进行工资的周期性发放与每月多次发放；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9、提供职工工资自助查询功能，应含本月已发，本年已发工资的合计和明细数据；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10、要能够输出不同格式的工资明细报表和统计报表，例如工资发放花名册等，并能够对各种表格进行灵活的新增、调整和删除等；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12、能够自动输出收入证明等与工资数据相关的各种证明，且证明的格式能根据医院要求自行修改。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薪资审批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薪资发放支持审批流程，审核规则可自定义，保证发放的数据准确。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薪资分析表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1、支持各种工资条、银行报盘和薪资报表的自动生成与输出；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对数据根据不同条件进行分类查询、组合查询、筛选及表格输出，如工资台账、各层级月度平均工资、年度平均工资、各层级月度收入水平对比、各层级年度收入水平对比、薪资结构分析：每月的基本工资、月奖、津贴补贴、年终奖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3、支持薪资历史数据分析统计功能，可以得到不同时期的不同汇总数据。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保险核算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1、保险数据可导入系统，记录员工社保帐户的基本信息以及各险种的缴纳、变更信息；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2、可满足机构多地区域下，社保缴纳规则和标准的差异需求以及所属地区要求的社保管理规定，支持各地区机构的社会保险管理。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保险报表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按年、月、按单位生成缴纳社会统筹保险、住房公积金情况汇总表；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支持异地缴纳社会保险、公积金等费用，并能自动生成相应的报表，提供给财务部门用于费用分摊和内部划款使用。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考勤规则定义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1、可以根据医院实际情况灵活设定请假、加班、公出、调休、迟到、早退等考勤项目和规则，可设置企业自然年度的节日日期和公休假日，并可以进行倒休设置。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2、针对每一个考勤项目，系统提供汉化公式与函数，帮助考勤管理员轻松掌握公式与函数的应用，快速响应考勤业务要求。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3、系统提供工作日历的管理，包括公休日、节假日、公休日倒休的设置，节假日和公休日倒休设置不仅支持直接设置，还支持下载excel模板一键导入。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1、根据医院的请休假管理规则，年假应该进行假期管理。根据规则，自定义假期天数计算公式，并一键计算生成假期数据。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2、根据医院管理制度，灵活定义请假表单及请假流程；职工可进行各种假别的申请，也可以委托单位考勤员代填，根据考勤项目中定义的考勤规则，自动计算申请时长，同时支持上传请假的证明材料。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3、支持销假表单、销假流程的定义，职工职工请假后如提前返岗，可进行销假申请单填报，也可以委托单位考勤员代填。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4、灵活定义岗位轮转业务表单；人事处相关负责人员负责录入轮转人员的轮转信息，数据归档后，各轮转科室可以分别给轮转人员上报相应时间段的考勤数据。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5、支持各种假期管理，用户可以定义假别种类，能够自动计算应休假天数、已休假天数、剩余天数等；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6、支持调休假、育儿假管理；                                                                                                </w:t>
            </w:r>
            <w:r>
              <w:rPr>
                <w:rStyle w:val="39"/>
                <w:lang w:val="en-US" w:eastAsia="zh-CN" w:bidi="ar"/>
              </w:rPr>
              <w:t>7、提供储假功能。在排班过程中支持多种排班方式，如周期排班、智能排班、按班排班、总值排班、快速排班、按月新增、轮班排班、也支持复制粘贴等快速排班模式。</w:t>
            </w:r>
            <w:r>
              <w:rPr>
                <w:rStyle w:val="39"/>
                <w:lang w:val="en-US" w:eastAsia="zh-CN" w:bidi="ar"/>
              </w:rPr>
              <w:br w:type="textWrapping"/>
            </w:r>
            <w:r>
              <w:rPr>
                <w:rStyle w:val="39"/>
                <w:lang w:val="en-US" w:eastAsia="zh-CN" w:bidi="ar"/>
              </w:rPr>
              <w:t>8、系统支持拼假申请，发起请假申请时能够多个请假类型一起拼单。比如，张三请假3天，其中休2天年假，1天事假，可在一张请假单上完成这个申请。支持拼假按照请假总天数设置流程审批。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1、可以根据不同人员类别、不同考勤表样式、不同审批流程等要求，定义不同的考勤方案，满足多样化的考勤需求。根据医院考勤制度以及管理特点，规划行政、临床和医技三个考勤方案。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考勤数据正常情况下采用三级审批，上报审批流程如下：各机构考勤员—各机构审核人—考勤方案考勤员—考勤方案审核人。为了满足不同用户对于考勤上报审批流程的不同需求，系统还支持自定义审批流程，审批层级不受限制，用户根据实际业务情况自行绘制流程图。同时支持本人确认考勤数据功能，让考勤数据更加准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3、支持对不同人员库、不同机构、满足不同条件限制的人员进行考勤，对于多样化的考勤要求都能轻松满足。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4、考勤数据审批结束后，系统支持将考勤表中的数据一键归档到职工档案信息，供薪资核算调用。                                                </w:t>
            </w:r>
            <w:r>
              <w:rPr>
                <w:rStyle w:val="39"/>
                <w:lang w:val="en-US" w:eastAsia="zh-CN" w:bidi="ar"/>
              </w:rPr>
              <w:t>5、支持不同的班次显示方案，能够实现对考勤界面的班次进行不同方案显示。                                               6、考虑到护理人员排班的复杂性与灵活性，系统需支持图形化排班，可按月或按周排班，支持快速排班，如工作日全勤、产假等，也提供周期排班、智能排班、按班排班、总值排班、按月/周新增、复制粘贴等多样化排班模式；可设置时间段，默认一键全勤。                       7、系统支持总值管理。总值一般都是办公室安排。系统支持针对带班领导、行政总值班、医疗总值班、护理总值班设置不同的总值，总值排班可以通过PC端呈现给所有人员查阅。</w:t>
            </w:r>
            <w:r>
              <w:rPr>
                <w:rStyle w:val="39"/>
                <w:lang w:val="en-US" w:eastAsia="zh-CN" w:bidi="ar"/>
              </w:rPr>
              <w:br w:type="textWrapping"/>
            </w:r>
            <w:r>
              <w:rPr>
                <w:rStyle w:val="39"/>
                <w:lang w:val="en-US" w:eastAsia="zh-CN" w:bidi="ar"/>
              </w:rPr>
              <w:t>8、系统支持轮班排班，开启轮班排班模式后考勤员可自由拉动人员，实现排班及班次顺序不变，上班的人发生变化。</w:t>
            </w:r>
            <w:r>
              <w:rPr>
                <w:rStyle w:val="40"/>
                <w:lang w:val="en-US" w:eastAsia="zh-CN" w:bidi="ar"/>
              </w:rPr>
              <w:br w:type="textWrapping"/>
            </w:r>
            <w:r>
              <w:rPr>
                <w:rStyle w:val="39"/>
                <w:lang w:val="en-US" w:eastAsia="zh-CN" w:bidi="ar"/>
              </w:rPr>
              <w:t>9、系统提供学生跟班功能，支持设置老师及跟班学生，设置后排班界面自动显示跟班老师、学生自动跟老师排班。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1、考勤负责人在数据审批页面选择考勤方案和考勤月份，一键创建所有下级单位的考勤表。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2、若月初新建了考勤表，月中发生人员变化，那么月末进入考勤表时系统会自动比对出考勤表中新增或减少人员，也可以直接点击“人员增减”按钮进行比对。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3、各单位考勤员可以通过计算核算出实出勤以及各种月汇总考勤项目数据。                                                                     4、在考勤排班管理模块，在进入模块首页时提供考勤管理运营窗口，考勤运营窗口一是提供医院考勤政策查看、功能导航图、管理范围内的消息通知及代办、流程审批等功能全景；二是提供对于自己管理范围内的考勤运营分析图，清晰展示全院、科室考勤报表，当天、周、月请假情况，轻松掌握全院考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1、各科室领导从“待办任务”或者“数据审批”功能进入审批页面进行考勤数据审批。经人事处领导审核后，单位考勤员可进行数据归档。点击“退回”返回各机构考勤员进行修改。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2、考勤数据审核完成后，可以将考勤表数据导出到excel，也可导出考勤数据日明细及月汇总等详细数据，进行线下存档。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3、各考勤方案的考勤员可以随时在数据审批中监控各机构上报情况，并适时进行催办。也可查看各机构考勤数据上报情况以及上报明细数据，并导出考勤上报情况统计表，作为考勤工作量核算依据。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4、考勤上报数据批准后，可将数据归档到考勤子集中，实现数据增量积累，并与薪资核算无缝对接。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员工共享服务中心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1、能够为全体职工开通帐号及对不同人员进行相应的授权；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2、能够查看医院发布的各种公告和公示信息，及时掌握人事管理信息；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3、职工通过共享服务中心对个人信息、工资数据、考核信息等内容进行查询。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4、职工能够查看自己的档案信息，如工资、福利、学历信息、考核信息、职称信息等，发现错误记录能够申请修改，经相关部门审核后方可入库；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5、能够在线查看个人的考勤假期信息，合理安排假期；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6、职工通过共享服务中心在线完成各种考核申请、转正定级、人事业务申请等，提高了职工的满意度。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科室自助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1、领导能够查看管辖范围内人员的相关信息，并能够进行统计分析；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2、领导在线完成业务审批，动态掌握各项业务的办理进度，大幅降低了人力资源管理者事务性工作时长，提高了人事工作效率。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3、各科室可在线进行考勤数据上报。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4、各科室领导可在管理范围内了解本部门职工的详细情况。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领导门户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1、提供领导门户，方便医院领导全局掌握医院整体人员分布情况，对关键人才信息实时查询，为决策提供数据依据；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2、提供多种人才分析功能，领导可以从学历、年龄、职称、专业、岗位序列、性别等不同侧面了解人力资源状况；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3、能提供层层钻取功能，从图表穿透查看相关的人员信息；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4、提供各类人员变动分析模型（如员工离职率、关键人才离职率、核心人员比例、人员结构等），实时监控人才流动情况；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表格工具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1、支持灵活绘制登记表，可插入文字、照片、指标、计算公式、子集等显示内容；子集数据可灵活配置显示项、显示条数。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灵活绘制高级花名册，可绘制多层表头；支持分组分页或分组不分页打印；支持行融合（相同内容在同一单元格中显示）；支持页合计和页累计；支持计算公式，实现对库中数据的提取；名册中可显示照片；支持分栏功能，如在一页上实现多张登记表形式的花名册；支持分组汇总，实现自动生成行条件的统计表形式花名册；支持对子集历史记录取值的功能，实现工资、保险、档案查借阅等台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配置表单中指标、子集的读、写权限；支持检索规则，打开表单即自动取出常用人员，如调薪表自动取出所有符合调薪条件的人员；支持设置计算和校验公式，自动计算出相关信息，比如填入身份证号后自动计算出性别、出生日期、年龄，填入调动信息后自动计算并增加一条新工作经历；支持业务模板的关联，如入职表单填完后自动触发薪酬定薪表的待办，实现业务处理的横向协同。                                     4、提供模板，在系统中预装流程表单、套表、台账、数据报表等丰富多样的模板，供医院参考和借鉴，支持业务用户快速复用各类模板，减少设计时间，简化操作。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1、提供多种类型的流程节点，兼顾灵活运用和高效配置：</w:t>
            </w:r>
            <w:r>
              <w:rPr>
                <w:rStyle w:val="39"/>
                <w:lang w:val="en-US" w:eastAsia="zh-CN" w:bidi="ar"/>
              </w:rPr>
              <w:br w:type="textWrapping"/>
            </w:r>
            <w:r>
              <w:rPr>
                <w:rStyle w:val="39"/>
                <w:lang w:val="en-US" w:eastAsia="zh-CN" w:bidi="ar"/>
              </w:rPr>
              <w:t>2、支持灵活指派审批人或岗位；支持业务场景下按发起人或审批对象的汇报关系、组织和岗位关系查找审批人；</w:t>
            </w:r>
            <w:r>
              <w:rPr>
                <w:rStyle w:val="39"/>
                <w:lang w:val="en-US" w:eastAsia="zh-CN" w:bidi="ar"/>
              </w:rPr>
              <w:br w:type="textWrapping"/>
            </w:r>
            <w:r>
              <w:rPr>
                <w:rStyle w:val="39"/>
                <w:lang w:val="en-US" w:eastAsia="zh-CN" w:bidi="ar"/>
              </w:rPr>
              <w:t>3、支持动态指定审批人，如按表单中临时指定的人员/机构的汇报关系确定审批人（如表单中某部门的分管领导）。</w:t>
            </w:r>
            <w:r>
              <w:rPr>
                <w:rStyle w:val="39"/>
                <w:lang w:val="en-US" w:eastAsia="zh-CN" w:bidi="ar"/>
              </w:rPr>
              <w:br w:type="textWrapping"/>
            </w:r>
            <w:r>
              <w:rPr>
                <w:rStyle w:val="39"/>
                <w:lang w:val="en-US" w:eastAsia="zh-CN" w:bidi="ar"/>
              </w:rPr>
              <w:t>4、提供业务流程监控、管理功能，查询浏览业务进展情况，包括待批业务、已批业务等信息，同时也可以提前终止业务，或待办任务重新指派；</w:t>
            </w:r>
            <w:r>
              <w:rPr>
                <w:rStyle w:val="39"/>
                <w:lang w:val="en-US" w:eastAsia="zh-CN" w:bidi="ar"/>
              </w:rPr>
              <w:br w:type="textWrapping"/>
            </w:r>
            <w:r>
              <w:rPr>
                <w:rStyle w:val="39"/>
                <w:lang w:val="en-US" w:eastAsia="zh-CN" w:bidi="ar"/>
              </w:rPr>
              <w:t>5、提供流程图形化监控，实时查看业务流程执行进度，了解各节点审批情况。</w:t>
            </w:r>
            <w:r>
              <w:rPr>
                <w:rStyle w:val="39"/>
                <w:lang w:val="en-US" w:eastAsia="zh-CN" w:bidi="ar"/>
              </w:rPr>
              <w:br w:type="textWrapping"/>
            </w:r>
            <w:r>
              <w:rPr>
                <w:rStyle w:val="39"/>
                <w:lang w:val="en-US" w:eastAsia="zh-CN" w:bidi="ar"/>
              </w:rPr>
              <w:t>6、定义流程中的审批层级，自动判断审批人，系统可设定多套审批关系。</w:t>
            </w:r>
            <w:r>
              <w:rPr>
                <w:rStyle w:val="39"/>
                <w:lang w:val="en-US" w:eastAsia="zh-CN" w:bidi="ar"/>
              </w:rPr>
              <w:br w:type="textWrapping"/>
            </w:r>
            <w:r>
              <w:rPr>
                <w:rStyle w:val="39"/>
                <w:lang w:val="en-US" w:eastAsia="zh-CN" w:bidi="ar"/>
              </w:rPr>
              <w:t>7、提供纯B/S端可视化业务流程设计；</w:t>
            </w:r>
            <w:r>
              <w:rPr>
                <w:rStyle w:val="39"/>
                <w:lang w:val="en-US" w:eastAsia="zh-CN" w:bidi="ar"/>
              </w:rPr>
              <w:br w:type="textWrapping"/>
            </w:r>
            <w:r>
              <w:rPr>
                <w:rStyle w:val="39"/>
                <w:lang w:val="en-US" w:eastAsia="zh-CN" w:bidi="ar"/>
              </w:rPr>
              <w:t>8、支持多版本管理，便捷实现流程的调整；</w:t>
            </w:r>
            <w:r>
              <w:rPr>
                <w:rStyle w:val="39"/>
                <w:lang w:val="en-US" w:eastAsia="zh-CN" w:bidi="ar"/>
              </w:rPr>
              <w:br w:type="textWrapping"/>
            </w:r>
            <w:r>
              <w:rPr>
                <w:rStyle w:val="39"/>
                <w:lang w:val="en-US" w:eastAsia="zh-CN" w:bidi="ar"/>
              </w:rPr>
              <w:t>9、每一项数据和功能都能按流程节点控制，审批人各司其职，专注呈现内容。                                                              10、流程管理：支持从表单绘制、审批流程绘制、流程审批人权限控制、流程正确性校验、发布流程到流程版本的全过程向导管理，快捷、准确的实现人事流程制作。</w:t>
            </w:r>
            <w:r>
              <w:rPr>
                <w:rStyle w:val="40"/>
                <w:lang w:val="en-US" w:eastAsia="zh-CN" w:bidi="ar"/>
              </w:rPr>
              <w:br w:type="textWrapping"/>
            </w:r>
            <w:r>
              <w:rPr>
                <w:rStyle w:val="39"/>
                <w:lang w:val="en-US" w:eastAsia="zh-CN" w:bidi="ar"/>
              </w:rPr>
              <w:t xml:space="preserve">11、系统支持主、子表设计，支持独立设置主、子流程，实现业务申请一张表，审批人按照字段权限、管辖范围审批流程。例如，员工信息完善登记表，利用主、子表和主、子流程功能，实现不同的信息由不同的科室审核确认，首先设计员工信息完善登记表主表，然后再设计子表，子表主要是将主表拆分出来单独成一个表单，主表和各个子表走对应的流程，医务部负责审核“医疗执业资格证书信息、医疗资质信息、医疗权限信息”子表；护理部负责审核“护理执业证书信息、护士层级信息、护士教育信息”子表。科教部负责审核“继续教育信息”子表。 </w:t>
            </w:r>
            <w:r>
              <w:rPr>
                <w:rStyle w:val="40"/>
                <w:lang w:val="en-US" w:eastAsia="zh-CN" w:bidi="ar"/>
              </w:rPr>
              <w:t xml:space="preserve">                                                                                                                                  </w:t>
            </w:r>
            <w:r>
              <w:rPr>
                <w:rStyle w:val="39"/>
                <w:lang w:val="en-US" w:eastAsia="zh-CN" w:bidi="ar"/>
              </w:rPr>
              <w:t>12、系统支持灵活流程和固定节点流程等多种流程规则，可以根据需要进行配置。灵活流程：发起人、审批人可以自由选择节点，自由配置生成流程。固定节点流程：根据相关条件识别出匹配流程后不允许增减节点。                                                                      13、支持在一张表单内发起多人流程，例如外出学习业务办理，一人填写基础信息，在表单内能够增加同行人员信息，并且两者信息内容需要显示在一张申请单内。                                                                                                                  14、对同一流程审批，审批界面可实现单人流程审批，也能实现多人流程审批。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应用设置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1、维护系统的公告信息，支持设置公告日期、公告所属机构、公告对象，实现精准化的公告管理。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2、通过预警配置可以实现系统业务预警，灵活的预警规则配置和基于公式的预警条件可以满足企业复杂的业务预警需求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3、提供系统后台作业配置，支持系统定时运行自动计算、数据同步等业务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4、支持动态调整系统业务参数和系统运行参数                                                                                                5、系统支持自定义各个功能模块业务首页，包括但不限于人员管理业务首页、考勤管理业务首页、薪资管理业务首页、合同管理业务首页等。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库结构维护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1、通过指标体系维护和业务字典维护可以动态维护系统数据结构，通过动态添加、修改、删除业务指标，实现业务的动态调整；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2、提供全局的代码体系配置功能，构建统一的代码数据标准，并内置大量人力资源相关的国标代码；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3、系统提供库维护功能，用于对系统的库表结构、触发器、存储过程进行升级和修复。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1、系统提供角色化授权管理，并支持三员角色控制，并内置符合人事业务的特征角色实现特定业务下的权限控制；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2、系统支持对用户直接进行全方位的权限配置，满足用户精细化、差异化的权限控制需求；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3、通过角色快速分配可实现直接为机构配置角色，实现权限与人员分离、人员调整变动权限自动调整。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安全策略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1、系统支持在线用户进行管理，可以查看在线用户登录时间、登录地址、用户身份等信息，并支持手动注销在线用户；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2、支持查看用户操作日志，包括操作用户、操作功能、时间、地址等信息，并支持三员管理模式下的日志控制，满足企业的安全设计需求；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3、系统提供IP地址管理功能，支持个性化的网段控制，支持设置IP网段白名单、黑名单，保证系统的访问安全。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用户数要求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1.系统用户数（含业务用户和自助用户）并发用户数不限制。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2.系统可容纳的人员数量不限制，用户数（账号）不限制。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与平台集成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1、统一全院的机构编码及人员编码；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2、提供机构、人员信息数据、职称数据给集成平台；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与财务系统集成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1、通过与财务系统集成将HCM中组织机构、人员基本信息、薪资数据同步到财务系统的中间库中，财务系统根据系统规则从中间数据库获取数据进行工资和保险核算；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2、工资发放完成后将工资和保险发放数据写入中间库，HCM系统定时从中间库中取工资发放数据到对应子集。</w:t>
            </w:r>
          </w:p>
        </w:tc>
      </w:tr>
    </w:tbl>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bCs/>
          <w:color w:val="auto"/>
          <w:sz w:val="21"/>
          <w:szCs w:val="21"/>
          <w:lang w:val="en-US" w:eastAsia="zh-CN"/>
        </w:rPr>
      </w:pPr>
    </w:p>
    <w:p>
      <w:pPr>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en-US" w:eastAsia="zh-CN"/>
        </w:rPr>
      </w:pPr>
    </w:p>
    <w:p>
      <w:pPr>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en-US" w:eastAsia="zh-CN"/>
        </w:rPr>
      </w:pPr>
      <w:bookmarkStart w:id="84" w:name="_Toc21949"/>
      <w:r>
        <w:rPr>
          <w:rFonts w:hint="eastAsia" w:ascii="宋体" w:hAnsi="宋体" w:eastAsia="宋体" w:cs="宋体"/>
          <w:b/>
          <w:bCs/>
          <w:color w:val="auto"/>
          <w:sz w:val="32"/>
          <w:szCs w:val="32"/>
          <w:highlight w:val="none"/>
          <w:lang w:val="en-US" w:eastAsia="zh-CN"/>
        </w:rPr>
        <w:t>第五部分 拟签订合同文本</w:t>
      </w:r>
      <w:bookmarkEnd w:id="84"/>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 xml:space="preserve">甲方：延安市人民医院 </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eastAsia="zh-CN"/>
        </w:rPr>
        <w:t>乙方：</w:t>
      </w:r>
      <w:r>
        <w:rPr>
          <w:rFonts w:hint="eastAsia" w:ascii="宋体" w:hAnsi="宋体" w:eastAsia="宋体" w:cs="宋体"/>
          <w:color w:val="000000"/>
          <w:spacing w:val="4"/>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延安市人民医院（以下简称甲方）关于延安市人民医院高质量发展示范项目人力资源系统集成服务项目，按照政府采购程序，采用</w:t>
      </w:r>
      <w:r>
        <w:rPr>
          <w:rFonts w:hint="eastAsia" w:ascii="宋体" w:hAnsi="宋体" w:eastAsia="宋体" w:cs="宋体"/>
          <w:color w:val="000000"/>
          <w:spacing w:val="4"/>
          <w:sz w:val="21"/>
          <w:szCs w:val="21"/>
          <w:lang w:val="en-US" w:eastAsia="zh-CN"/>
        </w:rPr>
        <w:t>竞争性磋商</w:t>
      </w:r>
      <w:r>
        <w:rPr>
          <w:rFonts w:hint="eastAsia" w:ascii="宋体" w:hAnsi="宋体" w:eastAsia="宋体" w:cs="宋体"/>
          <w:color w:val="000000"/>
          <w:spacing w:val="4"/>
          <w:sz w:val="21"/>
          <w:szCs w:val="21"/>
          <w:lang w:eastAsia="zh-CN"/>
        </w:rPr>
        <w:t>采购的方式，选定</w:t>
      </w:r>
      <w:r>
        <w:rPr>
          <w:rFonts w:hint="eastAsia" w:ascii="宋体" w:hAnsi="宋体" w:eastAsia="宋体" w:cs="宋体"/>
          <w:color w:val="000000"/>
          <w:spacing w:val="4"/>
          <w:sz w:val="21"/>
          <w:szCs w:val="21"/>
          <w:u w:val="single"/>
          <w:lang w:eastAsia="zh-CN"/>
        </w:rPr>
        <w:t xml:space="preserve">        </w:t>
      </w:r>
      <w:r>
        <w:rPr>
          <w:rFonts w:hint="eastAsia" w:ascii="宋体" w:hAnsi="宋体" w:eastAsia="宋体" w:cs="宋体"/>
          <w:color w:val="000000"/>
          <w:spacing w:val="4"/>
          <w:sz w:val="21"/>
          <w:szCs w:val="21"/>
          <w:lang w:eastAsia="zh-CN"/>
        </w:rPr>
        <w:t>公司（以下简称乙方）为</w:t>
      </w:r>
      <w:r>
        <w:rPr>
          <w:rFonts w:hint="eastAsia" w:ascii="宋体" w:hAnsi="宋体" w:eastAsia="宋体" w:cs="宋体"/>
          <w:color w:val="000000"/>
          <w:spacing w:val="4"/>
          <w:sz w:val="21"/>
          <w:szCs w:val="21"/>
          <w:lang w:val="en-US" w:eastAsia="zh-CN"/>
        </w:rPr>
        <w:t>成交</w:t>
      </w:r>
      <w:r>
        <w:rPr>
          <w:rFonts w:hint="eastAsia" w:ascii="宋体" w:hAnsi="宋体" w:eastAsia="宋体" w:cs="宋体"/>
          <w:color w:val="000000"/>
          <w:spacing w:val="4"/>
          <w:sz w:val="21"/>
          <w:szCs w:val="21"/>
          <w:lang w:eastAsia="zh-CN"/>
        </w:rPr>
        <w:t>供应商。依据国家《民法典》、《政府采购法》及</w:t>
      </w:r>
      <w:r>
        <w:rPr>
          <w:rFonts w:hint="eastAsia" w:ascii="宋体" w:hAnsi="宋体" w:eastAsia="宋体" w:cs="宋体"/>
          <w:color w:val="000000"/>
          <w:spacing w:val="4"/>
          <w:sz w:val="21"/>
          <w:szCs w:val="21"/>
          <w:lang w:val="en-US" w:eastAsia="zh-CN"/>
        </w:rPr>
        <w:t>磋商</w:t>
      </w:r>
      <w:r>
        <w:rPr>
          <w:rFonts w:hint="eastAsia" w:ascii="宋体" w:hAnsi="宋体" w:eastAsia="宋体" w:cs="宋体"/>
          <w:color w:val="000000"/>
          <w:spacing w:val="4"/>
          <w:sz w:val="21"/>
          <w:szCs w:val="21"/>
          <w:lang w:eastAsia="zh-CN"/>
        </w:rPr>
        <w:t xml:space="preserve">文件和乙方的响应文件，经甲、乙双方协商，达成如下合同条款。经协商，于  </w:t>
      </w:r>
      <w:r>
        <w:rPr>
          <w:rFonts w:hint="eastAsia" w:ascii="宋体" w:hAnsi="宋体" w:eastAsia="宋体" w:cs="宋体"/>
          <w:color w:val="000000"/>
          <w:spacing w:val="4"/>
          <w:sz w:val="21"/>
          <w:szCs w:val="21"/>
          <w:lang w:val="en-US" w:eastAsia="zh-CN"/>
        </w:rPr>
        <w:t xml:space="preserve"> </w:t>
      </w:r>
      <w:r>
        <w:rPr>
          <w:rFonts w:hint="eastAsia" w:ascii="宋体" w:hAnsi="宋体" w:eastAsia="宋体" w:cs="宋体"/>
          <w:color w:val="000000"/>
          <w:spacing w:val="4"/>
          <w:sz w:val="21"/>
          <w:szCs w:val="21"/>
          <w:lang w:eastAsia="zh-CN"/>
        </w:rPr>
        <w:t xml:space="preserve">  年    月    日按下述条款和条件签署本合同。</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bookmarkStart w:id="85" w:name="_Toc26912"/>
      <w:bookmarkStart w:id="86" w:name="_Toc16416"/>
      <w:r>
        <w:rPr>
          <w:rFonts w:hint="eastAsia" w:ascii="宋体" w:hAnsi="宋体" w:eastAsia="宋体" w:cs="宋体"/>
          <w:color w:val="000000"/>
          <w:spacing w:val="4"/>
          <w:sz w:val="21"/>
          <w:szCs w:val="21"/>
          <w:lang w:val="en-US" w:eastAsia="zh-CN"/>
        </w:rPr>
        <w:t>第一条 项目概况</w:t>
      </w:r>
      <w:bookmarkEnd w:id="85"/>
      <w:bookmarkEnd w:id="86"/>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eastAsia="zh-CN"/>
        </w:rPr>
        <w:t>1、项目名称：</w:t>
      </w:r>
      <w:r>
        <w:rPr>
          <w:rFonts w:hint="eastAsia" w:ascii="宋体" w:hAnsi="宋体" w:eastAsia="宋体" w:cs="宋体"/>
          <w:color w:val="000000"/>
          <w:spacing w:val="4"/>
          <w:sz w:val="21"/>
          <w:szCs w:val="21"/>
          <w:u w:val="single"/>
          <w:lang w:val="en-US" w:eastAsia="zh-CN"/>
        </w:rPr>
        <w:t xml:space="preserve">                 </w:t>
      </w:r>
      <w:r>
        <w:rPr>
          <w:rFonts w:hint="eastAsia" w:ascii="宋体" w:hAnsi="宋体" w:eastAsia="宋体" w:cs="宋体"/>
          <w:color w:val="000000"/>
          <w:spacing w:val="4"/>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eastAsia="zh-CN"/>
        </w:rPr>
        <w:t>2、项目地点：</w:t>
      </w:r>
      <w:r>
        <w:rPr>
          <w:rFonts w:hint="eastAsia" w:ascii="宋体" w:hAnsi="宋体" w:eastAsia="宋体" w:cs="宋体"/>
          <w:color w:val="000000"/>
          <w:spacing w:val="4"/>
          <w:sz w:val="21"/>
          <w:szCs w:val="21"/>
          <w:u w:val="single"/>
          <w:lang w:val="en-US" w:eastAsia="zh-CN"/>
        </w:rPr>
        <w:t xml:space="preserve">                 </w:t>
      </w:r>
      <w:r>
        <w:rPr>
          <w:rFonts w:hint="eastAsia" w:ascii="宋体" w:hAnsi="宋体" w:eastAsia="宋体" w:cs="宋体"/>
          <w:color w:val="000000"/>
          <w:spacing w:val="4"/>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 xml:space="preserve">3、采购内容：详见分部分项报价表                            </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87" w:name="_Toc3288"/>
      <w:bookmarkStart w:id="88" w:name="_Toc10827"/>
      <w:r>
        <w:rPr>
          <w:rFonts w:hint="eastAsia" w:ascii="宋体" w:hAnsi="宋体" w:eastAsia="宋体" w:cs="宋体"/>
          <w:color w:val="000000"/>
          <w:spacing w:val="4"/>
          <w:sz w:val="21"/>
          <w:szCs w:val="21"/>
          <w:lang w:eastAsia="zh-CN"/>
        </w:rPr>
        <w:t>第二条 合同价款</w:t>
      </w:r>
      <w:bookmarkEnd w:id="87"/>
      <w:bookmarkEnd w:id="88"/>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89" w:name="_Toc30108"/>
      <w:r>
        <w:rPr>
          <w:rFonts w:hint="eastAsia" w:ascii="宋体" w:hAnsi="宋体" w:eastAsia="宋体" w:cs="宋体"/>
          <w:color w:val="000000"/>
          <w:spacing w:val="4"/>
          <w:sz w:val="21"/>
          <w:szCs w:val="21"/>
          <w:lang w:eastAsia="zh-CN"/>
        </w:rPr>
        <w:t>1、合同总价为人民币大写：          元，RMB￥        元。</w:t>
      </w:r>
      <w:bookmarkEnd w:id="89"/>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90" w:name="_Toc9658"/>
      <w:r>
        <w:rPr>
          <w:rFonts w:hint="eastAsia" w:ascii="宋体" w:hAnsi="宋体" w:eastAsia="宋体" w:cs="宋体"/>
          <w:color w:val="000000"/>
          <w:spacing w:val="4"/>
          <w:sz w:val="21"/>
          <w:szCs w:val="21"/>
          <w:lang w:eastAsia="zh-CN"/>
        </w:rPr>
        <w:t>2、本合同总价是总报价即乙方的磋商具体内容及其成交总金额。</w:t>
      </w:r>
      <w:bookmarkEnd w:id="90"/>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91" w:name="_Toc4236"/>
      <w:r>
        <w:rPr>
          <w:rFonts w:hint="eastAsia" w:ascii="宋体" w:hAnsi="宋体" w:eastAsia="宋体" w:cs="宋体"/>
          <w:color w:val="000000"/>
          <w:spacing w:val="4"/>
          <w:sz w:val="21"/>
          <w:szCs w:val="21"/>
          <w:lang w:eastAsia="zh-CN"/>
        </w:rPr>
        <w:t>3、总报价包括</w:t>
      </w:r>
      <w:r>
        <w:rPr>
          <w:rFonts w:hint="eastAsia" w:ascii="宋体" w:hAnsi="宋体" w:eastAsia="宋体" w:cs="宋体"/>
          <w:color w:val="000000"/>
          <w:spacing w:val="4"/>
          <w:sz w:val="21"/>
          <w:szCs w:val="21"/>
          <w:u w:val="single"/>
          <w:lang w:val="en-US" w:eastAsia="zh-CN"/>
        </w:rPr>
        <w:t xml:space="preserve">                         </w:t>
      </w:r>
      <w:r>
        <w:rPr>
          <w:rFonts w:hint="eastAsia" w:ascii="宋体" w:hAnsi="宋体" w:eastAsia="宋体" w:cs="宋体"/>
          <w:color w:val="000000"/>
          <w:spacing w:val="4"/>
          <w:sz w:val="21"/>
          <w:szCs w:val="21"/>
          <w:lang w:eastAsia="zh-CN"/>
        </w:rPr>
        <w:t>。</w:t>
      </w:r>
      <w:bookmarkEnd w:id="91"/>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92" w:name="_Toc28481"/>
      <w:r>
        <w:rPr>
          <w:rFonts w:hint="eastAsia" w:ascii="宋体" w:hAnsi="宋体" w:eastAsia="宋体" w:cs="宋体"/>
          <w:color w:val="000000"/>
          <w:spacing w:val="4"/>
          <w:sz w:val="21"/>
          <w:szCs w:val="21"/>
          <w:lang w:eastAsia="zh-CN"/>
        </w:rPr>
        <w:t>4、</w:t>
      </w:r>
      <w:bookmarkEnd w:id="92"/>
      <w:r>
        <w:rPr>
          <w:rFonts w:hint="eastAsia" w:ascii="宋体" w:hAnsi="宋体" w:eastAsia="宋体" w:cs="宋体"/>
          <w:color w:val="000000"/>
          <w:spacing w:val="4"/>
          <w:sz w:val="21"/>
          <w:szCs w:val="21"/>
          <w:lang w:eastAsia="zh-CN"/>
        </w:rPr>
        <w:t>合同总价一次包死，不受市场价变化的影响。</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5、付款方式：</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val="en-US" w:eastAsia="zh-CN"/>
        </w:rPr>
        <w:t>（1）合同签订后甲方向乙方支付合同总额的40%作为预付款。</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val="en-US" w:eastAsia="zh-CN"/>
        </w:rPr>
        <w:t>（2）验收合格并出具验收报告后10个工作日内，乙方向甲方提供付款申请，甲方向乙方支付合同总额的60%。</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w:t>
      </w:r>
      <w:r>
        <w:rPr>
          <w:rFonts w:hint="eastAsia" w:ascii="宋体" w:hAnsi="宋体" w:eastAsia="宋体" w:cs="宋体"/>
          <w:color w:val="000000"/>
          <w:spacing w:val="4"/>
          <w:sz w:val="21"/>
          <w:szCs w:val="21"/>
          <w:lang w:val="en-US" w:eastAsia="zh-CN"/>
        </w:rPr>
        <w:t>3</w:t>
      </w:r>
      <w:r>
        <w:rPr>
          <w:rFonts w:hint="eastAsia" w:ascii="宋体" w:hAnsi="宋体" w:eastAsia="宋体" w:cs="宋体"/>
          <w:color w:val="000000"/>
          <w:spacing w:val="4"/>
          <w:sz w:val="21"/>
          <w:szCs w:val="21"/>
          <w:lang w:eastAsia="zh-CN"/>
        </w:rPr>
        <w:t>）、付款时中标</w:t>
      </w:r>
      <w:r>
        <w:rPr>
          <w:rFonts w:hint="eastAsia" w:ascii="宋体" w:hAnsi="宋体" w:eastAsia="宋体" w:cs="宋体"/>
          <w:color w:val="000000"/>
          <w:spacing w:val="4"/>
          <w:sz w:val="21"/>
          <w:szCs w:val="21"/>
          <w:lang w:val="en-US" w:eastAsia="zh-CN"/>
        </w:rPr>
        <w:t>(</w:t>
      </w:r>
      <w:r>
        <w:rPr>
          <w:rFonts w:hint="eastAsia" w:ascii="宋体" w:hAnsi="宋体" w:eastAsia="宋体" w:cs="宋体"/>
          <w:color w:val="000000"/>
          <w:spacing w:val="4"/>
          <w:sz w:val="21"/>
          <w:szCs w:val="21"/>
          <w:lang w:eastAsia="zh-CN"/>
        </w:rPr>
        <w:t>成交</w:t>
      </w:r>
      <w:r>
        <w:rPr>
          <w:rFonts w:hint="eastAsia" w:ascii="宋体" w:hAnsi="宋体" w:eastAsia="宋体" w:cs="宋体"/>
          <w:color w:val="000000"/>
          <w:spacing w:val="4"/>
          <w:sz w:val="21"/>
          <w:szCs w:val="21"/>
          <w:lang w:val="en-US" w:eastAsia="zh-CN"/>
        </w:rPr>
        <w:t>)单位需</w:t>
      </w:r>
      <w:r>
        <w:rPr>
          <w:rFonts w:hint="eastAsia" w:ascii="宋体" w:hAnsi="宋体" w:eastAsia="宋体" w:cs="宋体"/>
          <w:color w:val="000000"/>
          <w:spacing w:val="4"/>
          <w:sz w:val="21"/>
          <w:szCs w:val="21"/>
          <w:lang w:eastAsia="zh-CN"/>
        </w:rPr>
        <w:t>开具合同金额相应的服务发票给甲方。</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w:t>
      </w:r>
      <w:r>
        <w:rPr>
          <w:rFonts w:hint="eastAsia" w:ascii="宋体" w:hAnsi="宋体" w:eastAsia="宋体" w:cs="宋体"/>
          <w:color w:val="000000"/>
          <w:spacing w:val="4"/>
          <w:sz w:val="21"/>
          <w:szCs w:val="21"/>
          <w:lang w:val="en-US" w:eastAsia="zh-CN"/>
        </w:rPr>
        <w:t>4</w:t>
      </w:r>
      <w:r>
        <w:rPr>
          <w:rFonts w:hint="eastAsia" w:ascii="宋体" w:hAnsi="宋体" w:eastAsia="宋体" w:cs="宋体"/>
          <w:color w:val="000000"/>
          <w:spacing w:val="4"/>
          <w:sz w:val="21"/>
          <w:szCs w:val="21"/>
          <w:lang w:eastAsia="zh-CN"/>
        </w:rPr>
        <w:t>）、支付方式：银行转账。</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w:t>
      </w:r>
      <w:r>
        <w:rPr>
          <w:rFonts w:hint="eastAsia" w:ascii="宋体" w:hAnsi="宋体" w:eastAsia="宋体" w:cs="宋体"/>
          <w:color w:val="000000"/>
          <w:spacing w:val="4"/>
          <w:sz w:val="21"/>
          <w:szCs w:val="21"/>
          <w:lang w:val="en-US" w:eastAsia="zh-CN"/>
        </w:rPr>
        <w:t>5</w:t>
      </w:r>
      <w:r>
        <w:rPr>
          <w:rFonts w:hint="eastAsia" w:ascii="宋体" w:hAnsi="宋体" w:eastAsia="宋体" w:cs="宋体"/>
          <w:color w:val="000000"/>
          <w:spacing w:val="4"/>
          <w:sz w:val="21"/>
          <w:szCs w:val="21"/>
          <w:lang w:eastAsia="zh-CN"/>
        </w:rPr>
        <w:t>）、对于买卖双方交接发票、结算票据事宜，双方一致认同：甲方取得发票并不代表甲方服务款已付清，服务款已付清是以甲方合同款全部到乙方指定账户为准。</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eastAsia="zh-CN"/>
        </w:rPr>
        <w:t>第三条、</w:t>
      </w:r>
      <w:r>
        <w:rPr>
          <w:rFonts w:hint="eastAsia" w:ascii="宋体" w:hAnsi="宋体" w:eastAsia="宋体" w:cs="宋体"/>
          <w:color w:val="000000"/>
          <w:spacing w:val="4"/>
          <w:sz w:val="21"/>
          <w:szCs w:val="21"/>
          <w:lang w:val="en-US" w:eastAsia="zh-CN"/>
        </w:rPr>
        <w:t>服务期</w:t>
      </w:r>
      <w:r>
        <w:rPr>
          <w:rFonts w:hint="eastAsia" w:ascii="宋体" w:hAnsi="宋体" w:eastAsia="宋体" w:cs="宋体"/>
          <w:color w:val="000000"/>
          <w:spacing w:val="4"/>
          <w:sz w:val="21"/>
          <w:szCs w:val="21"/>
          <w:lang w:eastAsia="zh-CN"/>
        </w:rPr>
        <w:t>：</w:t>
      </w:r>
      <w:r>
        <w:rPr>
          <w:rFonts w:hint="eastAsia" w:ascii="宋体" w:hAnsi="宋体" w:eastAsia="宋体" w:cs="宋体"/>
          <w:b w:val="0"/>
          <w:bCs/>
          <w:sz w:val="21"/>
          <w:szCs w:val="21"/>
          <w:lang w:val="en-US" w:eastAsia="zh-CN"/>
        </w:rPr>
        <w:t>合同签订后180日历日内</w:t>
      </w:r>
      <w:r>
        <w:rPr>
          <w:rFonts w:hint="default" w:ascii="宋体" w:hAnsi="宋体" w:eastAsia="宋体" w:cs="宋体"/>
          <w:b w:val="0"/>
          <w:bCs/>
          <w:sz w:val="21"/>
          <w:szCs w:val="21"/>
          <w:lang w:val="en-US" w:eastAsia="zh-CN"/>
        </w:rPr>
        <w:t>完成</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（一）保证所供的服务按国内外通行的现行标准相应的技术规范，以及质量、安全、环保标准和要求执行，这些标准和技术规范应为合同签订日为止最新公布发行的标准和技术规范。</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（二）成交供应商所供服务因侵权而产生的一切后果由成交供应商负责，采购人保留索赔权力。</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（三）服务商向采购人提供服务过程中的所有资料，未经采购人同意不得向第三方提供。</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93" w:name="_Toc11139"/>
      <w:r>
        <w:rPr>
          <w:rFonts w:hint="eastAsia" w:ascii="宋体" w:hAnsi="宋体" w:eastAsia="宋体" w:cs="宋体"/>
          <w:color w:val="000000"/>
          <w:spacing w:val="4"/>
          <w:sz w:val="21"/>
          <w:szCs w:val="21"/>
          <w:lang w:eastAsia="zh-CN"/>
        </w:rPr>
        <w:t>第四条、成果交付及验收</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val="en-US" w:eastAsia="zh-CN"/>
        </w:rPr>
        <w:t>1、成果交付地点：甲方指定地点</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val="en-US" w:eastAsia="zh-CN"/>
        </w:rPr>
        <w:t>2、验收</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eastAsia="zh-CN"/>
        </w:rPr>
        <w:t>（一）验收：服务结束后，由成交供应商向采购人递交验收通知书，经采购人确认后，组织成交供应商进行验收。验收合格后，</w:t>
      </w:r>
      <w:r>
        <w:rPr>
          <w:rFonts w:hint="eastAsia" w:ascii="宋体" w:hAnsi="宋体" w:eastAsia="宋体" w:cs="宋体"/>
          <w:color w:val="000000"/>
          <w:spacing w:val="4"/>
          <w:sz w:val="21"/>
          <w:szCs w:val="21"/>
          <w:lang w:val="en-US" w:eastAsia="zh-CN"/>
        </w:rPr>
        <w:t>填写项目验收单作为对项目的最终认可。</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（二）验收依据</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1、</w:t>
      </w:r>
      <w:r>
        <w:rPr>
          <w:rFonts w:hint="eastAsia" w:ascii="宋体" w:hAnsi="宋体" w:eastAsia="宋体" w:cs="宋体"/>
          <w:color w:val="000000"/>
          <w:spacing w:val="4"/>
          <w:sz w:val="21"/>
          <w:szCs w:val="21"/>
          <w:lang w:val="en-US" w:eastAsia="zh-CN"/>
        </w:rPr>
        <w:t>磋商</w:t>
      </w:r>
      <w:r>
        <w:rPr>
          <w:rFonts w:hint="eastAsia" w:ascii="宋体" w:hAnsi="宋体" w:eastAsia="宋体" w:cs="宋体"/>
          <w:color w:val="000000"/>
          <w:spacing w:val="4"/>
          <w:sz w:val="21"/>
          <w:szCs w:val="21"/>
          <w:lang w:eastAsia="zh-CN"/>
        </w:rPr>
        <w:t>文件、</w:t>
      </w:r>
      <w:r>
        <w:rPr>
          <w:rFonts w:hint="eastAsia" w:ascii="宋体" w:hAnsi="宋体" w:eastAsia="宋体" w:cs="宋体"/>
          <w:color w:val="000000"/>
          <w:spacing w:val="4"/>
          <w:sz w:val="21"/>
          <w:szCs w:val="21"/>
          <w:lang w:val="en-US" w:eastAsia="zh-CN"/>
        </w:rPr>
        <w:t>响应</w:t>
      </w:r>
      <w:r>
        <w:rPr>
          <w:rFonts w:hint="eastAsia" w:ascii="宋体" w:hAnsi="宋体" w:eastAsia="宋体" w:cs="宋体"/>
          <w:color w:val="000000"/>
          <w:spacing w:val="4"/>
          <w:sz w:val="21"/>
          <w:szCs w:val="21"/>
          <w:lang w:eastAsia="zh-CN"/>
        </w:rPr>
        <w:t>文件、澄清表（函）；</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2、本合同及附件文本；</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3、合同签订时国家及行业现行的标准和技术规范。</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（三）成交供应商应向采购人提交项目实施过程中的所有资料，以便采购人日后管理和维护。</w:t>
      </w:r>
    </w:p>
    <w:bookmarkEnd w:id="93"/>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94" w:name="_Toc16919"/>
      <w:r>
        <w:rPr>
          <w:rFonts w:hint="eastAsia" w:ascii="宋体" w:hAnsi="宋体" w:eastAsia="宋体" w:cs="宋体"/>
          <w:color w:val="000000"/>
          <w:spacing w:val="4"/>
          <w:sz w:val="21"/>
          <w:szCs w:val="21"/>
          <w:lang w:eastAsia="zh-CN"/>
        </w:rPr>
        <w:t>第五条、保密条款</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成交供应商应严格遵守采购单位有关保密规定，不得泄漏一切机密；</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在技术建设期间，成交供应商对接触到的有关采购单位商业活动、技术情报和技术资料等文件进行保密。</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第六条 服务</w:t>
      </w:r>
      <w:bookmarkEnd w:id="94"/>
      <w:r>
        <w:rPr>
          <w:rFonts w:hint="eastAsia" w:ascii="宋体" w:hAnsi="宋体" w:eastAsia="宋体" w:cs="宋体"/>
          <w:color w:val="000000"/>
          <w:spacing w:val="4"/>
          <w:sz w:val="21"/>
          <w:szCs w:val="21"/>
          <w:lang w:eastAsia="zh-CN"/>
        </w:rPr>
        <w:t>承诺</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95" w:name="_Toc22622"/>
      <w:r>
        <w:rPr>
          <w:rFonts w:hint="eastAsia" w:ascii="宋体" w:hAnsi="宋体" w:eastAsia="宋体" w:cs="宋体"/>
          <w:color w:val="000000"/>
          <w:spacing w:val="4"/>
          <w:sz w:val="21"/>
          <w:szCs w:val="21"/>
          <w:lang w:eastAsia="zh-CN"/>
        </w:rPr>
        <w:t>以</w:t>
      </w:r>
      <w:r>
        <w:rPr>
          <w:rFonts w:hint="eastAsia" w:ascii="宋体" w:hAnsi="宋体" w:eastAsia="宋体" w:cs="宋体"/>
          <w:color w:val="000000"/>
          <w:spacing w:val="4"/>
          <w:sz w:val="21"/>
          <w:szCs w:val="21"/>
          <w:lang w:val="en-US" w:eastAsia="zh-CN"/>
        </w:rPr>
        <w:t>磋商</w:t>
      </w:r>
      <w:r>
        <w:rPr>
          <w:rFonts w:hint="eastAsia" w:ascii="宋体" w:hAnsi="宋体" w:eastAsia="宋体" w:cs="宋体"/>
          <w:color w:val="000000"/>
          <w:spacing w:val="4"/>
          <w:sz w:val="21"/>
          <w:szCs w:val="21"/>
          <w:lang w:eastAsia="zh-CN"/>
        </w:rPr>
        <w:t>文件、澄清表（函）、合同和随服务的相关文件为准。</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第七条 违约责任</w:t>
      </w:r>
      <w:bookmarkEnd w:id="95"/>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bookmarkStart w:id="96" w:name="_Toc25511"/>
      <w:r>
        <w:rPr>
          <w:rFonts w:hint="eastAsia" w:ascii="宋体" w:hAnsi="宋体" w:eastAsia="宋体" w:cs="宋体"/>
          <w:color w:val="000000"/>
          <w:spacing w:val="4"/>
          <w:sz w:val="21"/>
          <w:szCs w:val="21"/>
          <w:lang w:eastAsia="zh-CN"/>
        </w:rPr>
        <w:t>如乙方未按合同约定交付甲方采购内容或未达到甲方的采购要求，甲方有权解除合同，乙方应在甲方解除合同之日起</w:t>
      </w:r>
      <w:r>
        <w:rPr>
          <w:rFonts w:hint="eastAsia" w:ascii="宋体" w:hAnsi="宋体" w:eastAsia="宋体" w:cs="宋体"/>
          <w:color w:val="000000"/>
          <w:spacing w:val="4"/>
          <w:sz w:val="21"/>
          <w:szCs w:val="21"/>
          <w:lang w:val="en-US" w:eastAsia="zh-CN"/>
        </w:rPr>
        <w:t>7个工作日内返还甲方所支付全部款项并向甲方支付合同总额20%的违约金。</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第八条 合同的变更和终止</w:t>
      </w:r>
      <w:bookmarkEnd w:id="96"/>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除《中华人民共和国政府采购法》第49条、第50条第二款规定的情形外，本合同一经签订，甲乙双方不得擅自变更、中止或终止合同。</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97" w:name="_Toc6948"/>
      <w:r>
        <w:rPr>
          <w:rFonts w:hint="eastAsia" w:ascii="宋体" w:hAnsi="宋体" w:eastAsia="宋体" w:cs="宋体"/>
          <w:color w:val="000000"/>
          <w:spacing w:val="4"/>
          <w:sz w:val="21"/>
          <w:szCs w:val="21"/>
          <w:lang w:eastAsia="zh-CN"/>
        </w:rPr>
        <w:t>第九条 争议的解决</w:t>
      </w:r>
      <w:bookmarkEnd w:id="97"/>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因违反或终止合同而引起的对对方损失和损害的赔偿，双方应当协商解决，如未能达成一致，可提交主管部门协调，如仍未能达成一致时，如果协商不成，则采取以下第____种方式解决争议：</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（1）向甲方所在地有管辖权的人民法院提起诉讼；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（2）向____________仲裁委员会按其仲裁规则申请仲裁。</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3．在仲裁期间，本合同应继续履行。</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bookmarkStart w:id="98" w:name="_Toc10583"/>
      <w:r>
        <w:rPr>
          <w:rFonts w:hint="eastAsia" w:ascii="宋体" w:hAnsi="宋体" w:eastAsia="宋体" w:cs="宋体"/>
          <w:color w:val="000000"/>
          <w:spacing w:val="4"/>
          <w:sz w:val="21"/>
          <w:szCs w:val="21"/>
          <w:lang w:eastAsia="zh-CN"/>
        </w:rPr>
        <w:t>第十条 合同生效及其他</w:t>
      </w:r>
      <w:bookmarkEnd w:id="98"/>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1、如有未尽事宜，由双方依法订立补充合同。</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eastAsia="zh-CN"/>
        </w:rPr>
      </w:pPr>
      <w:r>
        <w:rPr>
          <w:rFonts w:hint="eastAsia" w:ascii="宋体" w:hAnsi="宋体" w:eastAsia="宋体" w:cs="宋体"/>
          <w:color w:val="000000"/>
          <w:spacing w:val="4"/>
          <w:sz w:val="21"/>
          <w:szCs w:val="21"/>
          <w:lang w:eastAsia="zh-CN"/>
        </w:rPr>
        <w:t>2、本合同自签订之日起生效。</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lang w:eastAsia="zh-CN"/>
        </w:rPr>
        <w:t>3、本合同一式</w:t>
      </w:r>
      <w:r>
        <w:rPr>
          <w:rFonts w:hint="eastAsia" w:ascii="宋体" w:hAnsi="宋体" w:eastAsia="宋体" w:cs="宋体"/>
          <w:color w:val="000000"/>
          <w:spacing w:val="4"/>
          <w:sz w:val="21"/>
          <w:szCs w:val="21"/>
          <w:lang w:val="en-US" w:eastAsia="zh-CN"/>
        </w:rPr>
        <w:t xml:space="preserve"> 肆 </w:t>
      </w:r>
      <w:r>
        <w:rPr>
          <w:rFonts w:hint="eastAsia" w:ascii="宋体" w:hAnsi="宋体" w:eastAsia="宋体" w:cs="宋体"/>
          <w:color w:val="000000"/>
          <w:spacing w:val="4"/>
          <w:sz w:val="21"/>
          <w:szCs w:val="21"/>
          <w:lang w:eastAsia="zh-CN"/>
        </w:rPr>
        <w:t>份，具有同等法律效力，</w:t>
      </w:r>
      <w:r>
        <w:rPr>
          <w:rFonts w:hint="eastAsia" w:ascii="宋体" w:hAnsi="宋体" w:eastAsia="宋体" w:cs="宋体"/>
          <w:color w:val="000000"/>
          <w:spacing w:val="4"/>
          <w:sz w:val="21"/>
          <w:szCs w:val="21"/>
          <w:lang w:val="en-US" w:eastAsia="zh-CN"/>
        </w:rPr>
        <w:t>甲方 贰 份，乙方 壹份，鉴证方 壹 份，均具有同等法律效力。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266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69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甲方</w:t>
            </w:r>
          </w:p>
        </w:tc>
        <w:tc>
          <w:tcPr>
            <w:tcW w:w="266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乙方</w:t>
            </w:r>
          </w:p>
        </w:tc>
        <w:tc>
          <w:tcPr>
            <w:tcW w:w="323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见证方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2698"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2669"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3232"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69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266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3232" w:type="dxa"/>
            <w:noWrap w:val="0"/>
            <w:vAlign w:val="top"/>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500" w:lineRule="exact"/>
              <w:ind w:right="0"/>
              <w:jc w:val="both"/>
              <w:textAlignment w:val="auto"/>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color w:val="auto"/>
                <w:kern w:val="0"/>
                <w:sz w:val="21"/>
                <w:szCs w:val="21"/>
                <w:highlight w:val="none"/>
                <w:vertAlign w:val="baseline"/>
                <w:lang w:eastAsia="zh-CN"/>
              </w:rPr>
              <w:t>地址：</w:t>
            </w:r>
            <w:r>
              <w:rPr>
                <w:rFonts w:hint="eastAsia" w:ascii="宋体" w:hAnsi="宋体" w:eastAsia="宋体" w:cs="宋体"/>
                <w:i w:val="0"/>
                <w:iCs w:val="0"/>
                <w:caps w:val="0"/>
                <w:color w:val="auto"/>
                <w:spacing w:val="0"/>
                <w:sz w:val="21"/>
                <w:szCs w:val="21"/>
                <w:shd w:val="clear" w:fill="FFFFFF"/>
                <w:lang w:eastAsia="zh-CN"/>
              </w:rPr>
              <w:t>延安市新区鼎盛豪庭公寓</w:t>
            </w:r>
            <w:r>
              <w:rPr>
                <w:rFonts w:hint="eastAsia" w:ascii="宋体" w:hAnsi="宋体" w:eastAsia="宋体" w:cs="宋体"/>
                <w:i w:val="0"/>
                <w:iCs w:val="0"/>
                <w:caps w:val="0"/>
                <w:color w:val="auto"/>
                <w:spacing w:val="0"/>
                <w:sz w:val="21"/>
                <w:szCs w:val="21"/>
                <w:shd w:val="clear" w:fill="FFFFFF"/>
                <w:lang w:val="en-US" w:eastAsia="zh-CN"/>
              </w:rPr>
              <w:t>4号楼201室</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69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邮政编码：</w:t>
            </w:r>
          </w:p>
        </w:tc>
        <w:tc>
          <w:tcPr>
            <w:tcW w:w="266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p>
        </w:tc>
        <w:tc>
          <w:tcPr>
            <w:tcW w:w="323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r>
              <w:rPr>
                <w:rFonts w:hint="eastAsia" w:ascii="宋体" w:hAnsi="宋体" w:eastAsia="宋体" w:cs="宋体"/>
                <w:color w:val="auto"/>
                <w:kern w:val="0"/>
                <w:sz w:val="21"/>
                <w:szCs w:val="21"/>
                <w:highlight w:val="none"/>
                <w:vertAlign w:val="baseline"/>
                <w:lang w:val="en-US" w:eastAsia="zh-CN"/>
              </w:rPr>
              <w:t>716000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69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账号：</w:t>
            </w:r>
          </w:p>
        </w:tc>
        <w:tc>
          <w:tcPr>
            <w:tcW w:w="266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c>
          <w:tcPr>
            <w:tcW w:w="323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left"/>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269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开户行：</w:t>
            </w:r>
          </w:p>
        </w:tc>
        <w:tc>
          <w:tcPr>
            <w:tcW w:w="266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c>
          <w:tcPr>
            <w:tcW w:w="323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269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266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323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户名：陕西楚元项目管理有限公司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269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全权代表：</w:t>
            </w:r>
          </w:p>
        </w:tc>
        <w:tc>
          <w:tcPr>
            <w:tcW w:w="266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c>
          <w:tcPr>
            <w:tcW w:w="323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269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266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323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r>
    </w:tbl>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99" w:name="_Toc12552"/>
      <w:r>
        <w:rPr>
          <w:rFonts w:hint="eastAsia" w:ascii="宋体" w:hAnsi="宋体" w:eastAsia="宋体" w:cs="宋体"/>
          <w:b/>
          <w:bCs/>
          <w:color w:val="auto"/>
          <w:sz w:val="32"/>
          <w:szCs w:val="32"/>
          <w:highlight w:val="none"/>
          <w:lang w:val="en-US" w:eastAsia="zh-CN"/>
        </w:rPr>
        <w:t>磋商响应文件格式</w:t>
      </w:r>
      <w:bookmarkEnd w:id="99"/>
    </w:p>
    <w:p>
      <w:pPr>
        <w:numPr>
          <w:ilvl w:val="0"/>
          <w:numId w:val="0"/>
        </w:numPr>
        <w:rPr>
          <w:rFonts w:hint="eastAsia" w:ascii="宋体" w:hAnsi="宋体" w:eastAsia="宋体" w:cs="宋体"/>
          <w:lang w:val="en-US" w:eastAsia="zh-CN"/>
        </w:rPr>
      </w:pPr>
    </w:p>
    <w:p>
      <w:pPr>
        <w:pStyle w:val="28"/>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1.响应文件格式由本章目录所列</w:t>
      </w:r>
      <w:r>
        <w:rPr>
          <w:rFonts w:hint="eastAsia" w:ascii="宋体" w:hAnsi="宋体" w:eastAsia="宋体" w:cs="宋体"/>
          <w:bCs/>
          <w:color w:val="000000"/>
          <w:sz w:val="21"/>
          <w:szCs w:val="21"/>
          <w:lang w:eastAsia="zh-CN"/>
        </w:rPr>
        <w:t>一</w:t>
      </w:r>
      <w:r>
        <w:rPr>
          <w:rFonts w:hint="eastAsia" w:ascii="宋体" w:hAnsi="宋体" w:eastAsia="宋体" w:cs="宋体"/>
          <w:bCs/>
          <w:color w:val="000000"/>
          <w:sz w:val="21"/>
          <w:szCs w:val="21"/>
        </w:rPr>
        <w:t>至</w:t>
      </w:r>
      <w:r>
        <w:rPr>
          <w:rFonts w:hint="eastAsia" w:ascii="宋体" w:hAnsi="宋体" w:eastAsia="宋体" w:cs="宋体"/>
          <w:bCs/>
          <w:color w:val="000000"/>
          <w:sz w:val="21"/>
          <w:szCs w:val="21"/>
          <w:lang w:eastAsia="zh-CN"/>
        </w:rPr>
        <w:t>十</w:t>
      </w:r>
      <w:r>
        <w:rPr>
          <w:rFonts w:hint="eastAsia" w:ascii="宋体" w:hAnsi="宋体" w:eastAsia="宋体" w:cs="宋体"/>
          <w:bCs/>
          <w:color w:val="000000"/>
          <w:sz w:val="21"/>
          <w:szCs w:val="21"/>
        </w:rPr>
        <w:t>部分构成。不得缺项漏项，否则按废标处理，其中资格证明文件还应单独提供，相应要求详见须知前附表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2.供应商应认真审阅本章内容，并参照格式要求编制响应文件。凡未按格式要求编制响应文件而造成的不利后果，由供应商自行承担。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3.响应文件的正、副本必须按照要求编制，凡正、副本不相符的，以正本为准。</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color w:val="000000"/>
          <w:sz w:val="28"/>
          <w:szCs w:val="28"/>
        </w:rPr>
      </w:pPr>
      <w:r>
        <w:rPr>
          <w:rFonts w:hint="eastAsia" w:ascii="宋体" w:hAnsi="宋体" w:eastAsia="宋体" w:cs="宋体"/>
          <w:bCs/>
          <w:color w:val="000000"/>
          <w:sz w:val="21"/>
          <w:szCs w:val="21"/>
        </w:rPr>
        <w:t>4.响应文件的正本和所有的副本必须全部打印并分别装订成册，并编制目录，统一装订、编码，必须在每一页的下方清楚标明。</w:t>
      </w:r>
      <w:r>
        <w:rPr>
          <w:rFonts w:hint="eastAsia" w:ascii="宋体" w:hAnsi="宋体" w:eastAsia="宋体" w:cs="宋体"/>
          <w:b/>
          <w:color w:val="000000"/>
          <w:sz w:val="21"/>
          <w:szCs w:val="21"/>
        </w:rPr>
        <w:br w:type="page"/>
      </w:r>
      <w:r>
        <w:rPr>
          <w:rFonts w:hint="eastAsia" w:ascii="宋体" w:hAnsi="宋体" w:eastAsia="宋体" w:cs="宋体"/>
          <w:b/>
          <w:sz w:val="28"/>
          <w:szCs w:val="28"/>
        </w:rPr>
        <w:t>项目编号：</w:t>
      </w:r>
      <w:r>
        <w:rPr>
          <w:rFonts w:hint="eastAsia" w:eastAsia="宋体" w:cs="宋体"/>
          <w:b/>
          <w:sz w:val="28"/>
          <w:szCs w:val="28"/>
          <w:lang w:eastAsia="zh-CN"/>
        </w:rPr>
        <w:t>CY2025-016</w:t>
      </w:r>
      <w:r>
        <w:rPr>
          <w:rFonts w:hint="eastAsia" w:ascii="宋体" w:hAnsi="宋体" w:eastAsia="宋体" w:cs="宋体"/>
          <w:b/>
          <w:sz w:val="28"/>
          <w:szCs w:val="28"/>
          <w:lang w:val="en-US" w:eastAsia="zh-CN"/>
        </w:rPr>
        <w:t xml:space="preserve">                             </w:t>
      </w:r>
      <w:r>
        <w:rPr>
          <w:rFonts w:hint="eastAsia" w:ascii="宋体" w:hAnsi="宋体" w:eastAsia="宋体" w:cs="宋体"/>
          <w:b/>
          <w:color w:val="000000"/>
          <w:sz w:val="28"/>
          <w:szCs w:val="28"/>
        </w:rPr>
        <w:t>（正本或副本）</w:t>
      </w:r>
    </w:p>
    <w:p>
      <w:pPr>
        <w:spacing w:line="360" w:lineRule="auto"/>
        <w:ind w:firstLine="562" w:firstLineChars="200"/>
        <w:rPr>
          <w:rFonts w:hint="eastAsia" w:ascii="宋体" w:hAnsi="宋体" w:eastAsia="宋体" w:cs="宋体"/>
          <w:b/>
          <w:color w:val="000000"/>
          <w:sz w:val="28"/>
          <w:szCs w:val="28"/>
          <w:lang w:val="en-US" w:eastAsia="zh-CN"/>
        </w:rPr>
      </w:pPr>
    </w:p>
    <w:p>
      <w:pPr>
        <w:pStyle w:val="8"/>
        <w:spacing w:line="360" w:lineRule="auto"/>
        <w:jc w:val="both"/>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                                                </w:t>
      </w:r>
    </w:p>
    <w:p>
      <w:pPr>
        <w:spacing w:line="1200" w:lineRule="exact"/>
        <w:jc w:val="both"/>
        <w:rPr>
          <w:rFonts w:hint="eastAsia" w:ascii="宋体" w:hAnsi="宋体" w:eastAsia="宋体" w:cs="宋体"/>
          <w:b/>
          <w:color w:val="000000"/>
          <w:sz w:val="28"/>
          <w:szCs w:val="28"/>
        </w:rPr>
      </w:pPr>
    </w:p>
    <w:p>
      <w:pPr>
        <w:spacing w:line="360" w:lineRule="auto"/>
        <w:jc w:val="center"/>
        <w:rPr>
          <w:rFonts w:hint="eastAsia" w:ascii="宋体" w:hAnsi="宋体" w:eastAsia="宋体" w:cs="宋体"/>
          <w:b/>
          <w:color w:val="000000"/>
          <w:sz w:val="48"/>
          <w:szCs w:val="48"/>
        </w:rPr>
      </w:pPr>
      <w:r>
        <w:rPr>
          <w:rFonts w:hint="eastAsia" w:ascii="宋体" w:hAnsi="宋体" w:eastAsia="宋体" w:cs="宋体"/>
          <w:b/>
          <w:color w:val="000000"/>
          <w:sz w:val="48"/>
          <w:szCs w:val="48"/>
          <w:lang w:val="en-US" w:eastAsia="zh-CN"/>
        </w:rPr>
        <w:t>延安市人民医院高质量发展示范项目人力资源系统集成服务项目</w:t>
      </w:r>
    </w:p>
    <w:p>
      <w:pPr>
        <w:spacing w:line="360" w:lineRule="auto"/>
        <w:jc w:val="center"/>
        <w:rPr>
          <w:rFonts w:hint="eastAsia" w:ascii="宋体" w:hAnsi="宋体" w:eastAsia="宋体" w:cs="宋体"/>
          <w:b/>
          <w:color w:val="000000"/>
          <w:sz w:val="48"/>
          <w:szCs w:val="48"/>
        </w:rPr>
      </w:pP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48"/>
          <w:szCs w:val="48"/>
        </w:rPr>
        <w:t>磋商响应文件</w:t>
      </w: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ind w:firstLine="562" w:firstLineChars="2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供  应  商：</w:t>
      </w:r>
      <w:r>
        <w:rPr>
          <w:rFonts w:hint="eastAsia" w:ascii="宋体" w:hAnsi="宋体" w:eastAsia="宋体" w:cs="宋体"/>
          <w:b/>
          <w:color w:val="000000"/>
          <w:sz w:val="28"/>
          <w:szCs w:val="28"/>
          <w:u w:val="single"/>
        </w:rPr>
        <w:t xml:space="preserve">          （单位全称）</w:t>
      </w:r>
      <w:r>
        <w:rPr>
          <w:rFonts w:hint="eastAsia" w:ascii="宋体" w:hAnsi="宋体" w:eastAsia="宋体" w:cs="宋体"/>
          <w:b/>
          <w:color w:val="000000"/>
          <w:sz w:val="28"/>
          <w:szCs w:val="28"/>
        </w:rPr>
        <w:t>（盖单位公章）</w:t>
      </w:r>
    </w:p>
    <w:p>
      <w:pPr>
        <w:spacing w:line="360" w:lineRule="auto"/>
        <w:ind w:firstLine="562" w:firstLineChars="200"/>
        <w:rPr>
          <w:rFonts w:hint="eastAsia" w:ascii="宋体" w:hAnsi="宋体" w:eastAsia="宋体" w:cs="宋体"/>
          <w:b/>
          <w:color w:val="000000"/>
          <w:sz w:val="28"/>
          <w:szCs w:val="28"/>
        </w:rPr>
      </w:pPr>
      <w:bookmarkStart w:id="100" w:name="_Toc343512253"/>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（签字或盖章）</w:t>
      </w:r>
      <w:bookmarkEnd w:id="100"/>
    </w:p>
    <w:p>
      <w:pPr>
        <w:spacing w:line="360" w:lineRule="auto"/>
        <w:ind w:firstLine="562" w:firstLineChars="200"/>
        <w:rPr>
          <w:rFonts w:hint="eastAsia" w:ascii="宋体" w:hAnsi="宋体" w:eastAsia="宋体" w:cs="宋体"/>
        </w:rPr>
      </w:pPr>
      <w:r>
        <w:rPr>
          <w:rFonts w:hint="eastAsia" w:ascii="宋体" w:hAnsi="宋体" w:eastAsia="宋体" w:cs="宋体"/>
          <w:b/>
          <w:color w:val="000000"/>
          <w:sz w:val="28"/>
          <w:szCs w:val="28"/>
        </w:rPr>
        <w:t>委托代理人：</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（签字）</w:t>
      </w:r>
    </w:p>
    <w:p>
      <w:pPr>
        <w:spacing w:line="360" w:lineRule="auto"/>
        <w:ind w:firstLine="562" w:firstLineChars="200"/>
        <w:jc w:val="left"/>
        <w:rPr>
          <w:rFonts w:hint="eastAsia" w:ascii="宋体" w:hAnsi="宋体" w:eastAsia="宋体" w:cs="宋体"/>
          <w:b/>
          <w:color w:val="000000"/>
          <w:sz w:val="28"/>
          <w:szCs w:val="28"/>
        </w:rPr>
      </w:pPr>
      <w:bookmarkStart w:id="101" w:name="_Toc343512254"/>
      <w:r>
        <w:rPr>
          <w:rFonts w:hint="eastAsia" w:ascii="宋体" w:hAnsi="宋体" w:eastAsia="宋体" w:cs="宋体"/>
          <w:b/>
          <w:color w:val="000000"/>
          <w:sz w:val="28"/>
          <w:szCs w:val="28"/>
        </w:rPr>
        <w:t>日      期：</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年</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月</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日</w:t>
      </w:r>
      <w:bookmarkEnd w:id="101"/>
    </w:p>
    <w:p>
      <w:pPr>
        <w:spacing w:line="360" w:lineRule="auto"/>
        <w:rPr>
          <w:rFonts w:hint="eastAsia" w:ascii="宋体" w:hAnsi="宋体" w:eastAsia="宋体" w:cs="宋体"/>
          <w:color w:val="000000"/>
          <w:sz w:val="28"/>
          <w:szCs w:val="28"/>
        </w:rPr>
        <w:sectPr>
          <w:footerReference r:id="rId6" w:type="first"/>
          <w:footerReference r:id="rId5"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start="1"/>
          <w:cols w:space="720" w:num="1"/>
          <w:titlePg/>
          <w:docGrid w:linePitch="312" w:charSpace="0"/>
        </w:sectPr>
      </w:pPr>
    </w:p>
    <w:p>
      <w:pPr>
        <w:spacing w:line="360" w:lineRule="auto"/>
        <w:jc w:val="center"/>
        <w:rPr>
          <w:rFonts w:hint="eastAsia" w:ascii="宋体" w:hAnsi="宋体" w:eastAsia="宋体" w:cs="宋体"/>
          <w:b/>
          <w:color w:val="000000"/>
          <w:sz w:val="28"/>
          <w:szCs w:val="28"/>
        </w:rPr>
      </w:pPr>
      <w:bookmarkStart w:id="102" w:name="_Toc420591666"/>
      <w:bookmarkStart w:id="103" w:name="_Toc372885969"/>
      <w:bookmarkStart w:id="104" w:name="_Toc420591500"/>
      <w:bookmarkStart w:id="105" w:name="_Toc421778385"/>
      <w:r>
        <w:rPr>
          <w:rFonts w:hint="eastAsia" w:ascii="宋体" w:hAnsi="宋体" w:eastAsia="宋体" w:cs="宋体"/>
          <w:b/>
          <w:color w:val="000000"/>
          <w:sz w:val="28"/>
          <w:szCs w:val="28"/>
        </w:rPr>
        <w:t>目    录</w:t>
      </w:r>
      <w:bookmarkEnd w:id="102"/>
      <w:bookmarkEnd w:id="103"/>
      <w:bookmarkEnd w:id="104"/>
      <w:bookmarkEnd w:id="105"/>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二、磋商一览表（首次）</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三、法定代表人身份证明</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四、法定代表人授权委托书</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五</w:t>
      </w:r>
      <w:r>
        <w:rPr>
          <w:rFonts w:hint="eastAsia" w:ascii="宋体" w:hAnsi="宋体" w:eastAsia="宋体" w:cs="宋体"/>
          <w:color w:val="000000"/>
          <w:sz w:val="28"/>
          <w:szCs w:val="28"/>
        </w:rPr>
        <w:t>、技术部分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六</w:t>
      </w:r>
      <w:r>
        <w:rPr>
          <w:rFonts w:hint="eastAsia" w:ascii="宋体" w:hAnsi="宋体" w:eastAsia="宋体" w:cs="宋体"/>
          <w:color w:val="000000"/>
          <w:sz w:val="28"/>
          <w:szCs w:val="28"/>
        </w:rPr>
        <w:t>、商务部分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七</w:t>
      </w:r>
      <w:r>
        <w:rPr>
          <w:rFonts w:hint="eastAsia" w:ascii="宋体" w:hAnsi="宋体" w:eastAsia="宋体" w:cs="宋体"/>
          <w:color w:val="000000"/>
          <w:sz w:val="28"/>
          <w:szCs w:val="28"/>
        </w:rPr>
        <w:t>、供应商承诺书</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八</w:t>
      </w:r>
      <w:r>
        <w:rPr>
          <w:rFonts w:hint="eastAsia" w:ascii="宋体" w:hAnsi="宋体" w:eastAsia="宋体" w:cs="宋体"/>
          <w:color w:val="000000"/>
          <w:sz w:val="28"/>
          <w:szCs w:val="28"/>
        </w:rPr>
        <w:t>、陕西省政府采购供应商拒绝政府采购领域商业贿赂承诺书</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九</w:t>
      </w:r>
      <w:r>
        <w:rPr>
          <w:rFonts w:hint="eastAsia" w:ascii="宋体" w:hAnsi="宋体" w:eastAsia="宋体" w:cs="宋体"/>
          <w:color w:val="000000"/>
          <w:sz w:val="28"/>
          <w:szCs w:val="28"/>
        </w:rPr>
        <w:t>、资格审查资料</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十、其它资料</w:t>
      </w:r>
    </w:p>
    <w:p>
      <w:pPr>
        <w:keepLines/>
        <w:pageBreakBefore/>
        <w:spacing w:line="360" w:lineRule="auto"/>
        <w:jc w:val="center"/>
        <w:outlineLvl w:val="1"/>
        <w:rPr>
          <w:rFonts w:hint="eastAsia" w:ascii="宋体" w:hAnsi="宋体" w:eastAsia="宋体" w:cs="宋体"/>
          <w:b/>
          <w:color w:val="000000"/>
          <w:sz w:val="32"/>
          <w:szCs w:val="32"/>
        </w:rPr>
      </w:pPr>
      <w:bookmarkStart w:id="106" w:name="_Toc8505"/>
      <w:bookmarkStart w:id="107" w:name="_Toc425240481"/>
      <w:bookmarkStart w:id="108" w:name="_Toc420591667"/>
      <w:bookmarkStart w:id="109" w:name="_Toc28395"/>
      <w:bookmarkStart w:id="110" w:name="_Toc500323110"/>
      <w:bookmarkStart w:id="111" w:name="_Toc8037"/>
      <w:bookmarkStart w:id="112" w:name="_Toc14526"/>
      <w:bookmarkStart w:id="113" w:name="_Toc421778386"/>
      <w:bookmarkStart w:id="114" w:name="_Toc32749"/>
      <w:r>
        <w:rPr>
          <w:rFonts w:hint="eastAsia" w:ascii="宋体" w:hAnsi="宋体" w:eastAsia="宋体" w:cs="宋体"/>
          <w:b/>
          <w:color w:val="000000"/>
          <w:sz w:val="32"/>
          <w:szCs w:val="32"/>
        </w:rPr>
        <w:t>一、</w:t>
      </w:r>
      <w:r>
        <w:rPr>
          <w:rFonts w:hint="eastAsia" w:ascii="宋体" w:hAnsi="宋体" w:eastAsia="宋体" w:cs="宋体"/>
          <w:b/>
          <w:color w:val="000000"/>
          <w:sz w:val="32"/>
          <w:szCs w:val="32"/>
          <w:lang w:eastAsia="zh-CN"/>
        </w:rPr>
        <w:t>响应</w:t>
      </w:r>
      <w:r>
        <w:rPr>
          <w:rFonts w:hint="eastAsia" w:ascii="宋体" w:hAnsi="宋体" w:eastAsia="宋体" w:cs="宋体"/>
          <w:b/>
          <w:color w:val="000000"/>
          <w:sz w:val="32"/>
          <w:szCs w:val="32"/>
        </w:rPr>
        <w:t>函</w:t>
      </w:r>
      <w:bookmarkEnd w:id="106"/>
      <w:bookmarkEnd w:id="107"/>
      <w:bookmarkEnd w:id="108"/>
      <w:bookmarkEnd w:id="109"/>
      <w:bookmarkEnd w:id="110"/>
      <w:bookmarkEnd w:id="111"/>
      <w:bookmarkEnd w:id="112"/>
      <w:bookmarkEnd w:id="113"/>
      <w:bookmarkEnd w:id="114"/>
    </w:p>
    <w:p>
      <w:pPr>
        <w:pStyle w:val="20"/>
        <w:spacing w:before="0" w:beforeAutospacing="0" w:after="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（采购人）</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我公司收到贵单位</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项目</w:t>
      </w:r>
      <w:r>
        <w:rPr>
          <w:rFonts w:hint="eastAsia" w:ascii="宋体" w:hAnsi="宋体" w:eastAsia="宋体" w:cs="宋体"/>
          <w:color w:val="000000"/>
          <w:sz w:val="21"/>
          <w:szCs w:val="21"/>
          <w:lang w:val="en-US" w:eastAsia="zh-CN"/>
        </w:rPr>
        <w:t>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）的磋商文件，经详细研究，我们决定参加该项目的磋商活动。为此，我方郑重声明以下诸点，并负法律责任。</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1.愿意按照磋商文件中的一切要求，提供</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服务，磋商报价为：</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服务期</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2.该报价是完成本磋商文件规定的、所需的一切费用，且不低于我单位所需服务的成本价。</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3.我方提交的响应文件，正本一份</w:t>
      </w:r>
      <w:r>
        <w:rPr>
          <w:rFonts w:hint="eastAsia" w:ascii="宋体" w:hAnsi="宋体" w:eastAsia="宋体" w:cs="宋体"/>
          <w:sz w:val="21"/>
          <w:szCs w:val="21"/>
        </w:rPr>
        <w:t>，副本</w:t>
      </w:r>
      <w:r>
        <w:rPr>
          <w:rFonts w:hint="eastAsia" w:ascii="宋体" w:hAnsi="宋体" w:eastAsia="宋体" w:cs="宋体"/>
          <w:sz w:val="21"/>
          <w:szCs w:val="21"/>
          <w:lang w:val="en-US" w:eastAsia="zh-CN"/>
        </w:rPr>
        <w:t>一</w:t>
      </w:r>
      <w:r>
        <w:rPr>
          <w:rFonts w:hint="eastAsia" w:ascii="宋体" w:hAnsi="宋体" w:eastAsia="宋体" w:cs="宋体"/>
          <w:sz w:val="21"/>
          <w:szCs w:val="21"/>
        </w:rPr>
        <w:t>份。</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4.如果我们响应文件被接受，我们将履行磋商文件中规定的每一项要求，按期、按质、按量完成任务。</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5.我们理解，最低报价不是成交的唯一条件，你们有选择供应商成交的权力。</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6.我方保证以前递交的本项目相关资料和投标函中各种附件是真实可靠的，如有不实，我方将无条件接受采购人的处理决定，甚至自动退出投标，由此产生的一切后果均由我方负责。</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7.除非另外达成协议并生效，你方的成交通知书和本磋商响应文件将构成约束我们双方的合同。</w:t>
      </w:r>
    </w:p>
    <w:p>
      <w:pPr>
        <w:pStyle w:val="20"/>
        <w:spacing w:before="0" w:beforeAutospacing="0" w:after="0" w:afterAutospacing="0" w:line="360" w:lineRule="auto"/>
        <w:ind w:firstLine="420" w:firstLineChars="200"/>
        <w:rPr>
          <w:rStyle w:val="27"/>
          <w:rFonts w:hint="eastAsia" w:ascii="宋体" w:hAnsi="宋体" w:eastAsia="宋体" w:cs="宋体"/>
          <w:b w:val="0"/>
          <w:color w:val="000000"/>
          <w:sz w:val="21"/>
          <w:szCs w:val="21"/>
        </w:rPr>
      </w:pPr>
      <w:r>
        <w:rPr>
          <w:rFonts w:hint="eastAsia" w:ascii="宋体" w:hAnsi="宋体" w:eastAsia="宋体" w:cs="宋体"/>
          <w:color w:val="000000"/>
          <w:sz w:val="21"/>
          <w:szCs w:val="21"/>
        </w:rPr>
        <w:t>8.我方的磋商响应文件在磋商后  年  月  日--   年  月  日 内有效，在投标有效期内不修改或撤回磋商响应文件。</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9.我方理解你方及采购代理机构不另负担我们的任何投标费用，无论我方总报价中是否包括投标费用，也无论是否能够成交，均不要求你方及采购代理机构对投标费用做任何补偿。</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10.我方理解你方及采购代理机构，我方不要求你方及采购代理机构对未成交原因做任何解释，也不退回磋商响应文件。</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11.如果因我方原因放弃成交，我方承诺，除采购人有权没收磋商保证金外，还承担因下个成交候选供应商成交给采购人带来的经济损失。</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12.若我方成交，将按时按规定交纳招标代理服务费。</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13.我方愿按《中华人民共和国</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rPr>
        <w:t>》履行自己的全部责任。</w:t>
      </w:r>
    </w:p>
    <w:p>
      <w:pPr>
        <w:pStyle w:val="8"/>
        <w:spacing w:line="360" w:lineRule="auto"/>
        <w:rPr>
          <w:rFonts w:hint="eastAsia" w:ascii="宋体" w:hAnsi="宋体" w:eastAsia="宋体" w:cs="宋体"/>
          <w:sz w:val="28"/>
          <w:szCs w:val="28"/>
        </w:rPr>
      </w:pP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（签字或盖章）</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pPr>
        <w:tabs>
          <w:tab w:val="left" w:pos="630"/>
        </w:tabs>
        <w:jc w:val="left"/>
        <w:rPr>
          <w:rFonts w:hint="eastAsia" w:ascii="宋体" w:hAnsi="宋体" w:eastAsia="宋体" w:cs="宋体"/>
        </w:rPr>
      </w:pPr>
    </w:p>
    <w:p>
      <w:pPr>
        <w:keepLines/>
        <w:pageBreakBefore/>
        <w:numPr>
          <w:ilvl w:val="0"/>
          <w:numId w:val="4"/>
        </w:numPr>
        <w:spacing w:line="360" w:lineRule="auto"/>
        <w:jc w:val="center"/>
        <w:outlineLvl w:val="1"/>
        <w:rPr>
          <w:rFonts w:hint="eastAsia" w:ascii="宋体" w:hAnsi="宋体" w:eastAsia="宋体" w:cs="宋体"/>
          <w:b/>
          <w:color w:val="000000"/>
          <w:sz w:val="32"/>
          <w:szCs w:val="32"/>
          <w:lang w:eastAsia="zh-CN"/>
        </w:rPr>
      </w:pPr>
      <w:bookmarkStart w:id="115" w:name="_Toc421778387"/>
      <w:bookmarkStart w:id="116" w:name="_Toc425240482"/>
      <w:bookmarkStart w:id="117" w:name="_Toc2157"/>
      <w:bookmarkStart w:id="118" w:name="_Toc3816"/>
      <w:bookmarkStart w:id="119" w:name="_Toc420591668"/>
      <w:bookmarkStart w:id="120" w:name="_Toc500323111"/>
      <w:bookmarkStart w:id="121" w:name="_Toc6270"/>
      <w:bookmarkStart w:id="122" w:name="_Toc28872"/>
      <w:bookmarkStart w:id="123" w:name="_Toc25893"/>
      <w:r>
        <w:rPr>
          <w:rFonts w:hint="eastAsia" w:ascii="宋体" w:hAnsi="宋体" w:eastAsia="宋体" w:cs="宋体"/>
          <w:b/>
          <w:color w:val="000000"/>
          <w:sz w:val="32"/>
          <w:szCs w:val="32"/>
          <w:lang w:eastAsia="zh-CN"/>
        </w:rPr>
        <w:t>磋商一览表</w:t>
      </w:r>
      <w:bookmarkEnd w:id="115"/>
      <w:bookmarkEnd w:id="116"/>
      <w:bookmarkEnd w:id="117"/>
      <w:bookmarkEnd w:id="118"/>
      <w:bookmarkEnd w:id="119"/>
      <w:bookmarkEnd w:id="120"/>
      <w:r>
        <w:rPr>
          <w:rFonts w:hint="eastAsia" w:ascii="宋体" w:hAnsi="宋体" w:eastAsia="宋体" w:cs="宋体"/>
          <w:b/>
          <w:color w:val="000000"/>
          <w:sz w:val="32"/>
          <w:szCs w:val="32"/>
          <w:lang w:eastAsia="zh-CN"/>
        </w:rPr>
        <w:t>（首次）</w:t>
      </w:r>
      <w:bookmarkEnd w:id="121"/>
      <w:bookmarkEnd w:id="122"/>
      <w:bookmarkEnd w:id="123"/>
    </w:p>
    <w:p>
      <w:pPr>
        <w:pStyle w:val="28"/>
        <w:numPr>
          <w:ilvl w:val="0"/>
          <w:numId w:val="0"/>
        </w:numPr>
        <w:rPr>
          <w:rFonts w:hint="eastAsia" w:ascii="宋体" w:hAnsi="宋体" w:eastAsia="宋体" w:cs="宋体"/>
          <w:lang w:eastAsia="zh-CN"/>
        </w:rPr>
      </w:pPr>
      <w:r>
        <w:rPr>
          <w:rFonts w:hint="eastAsia" w:ascii="宋体" w:hAnsi="宋体" w:eastAsia="宋体" w:cs="宋体"/>
          <w:lang w:eastAsia="zh-CN"/>
        </w:rPr>
        <w:t>项目名称：</w:t>
      </w:r>
    </w:p>
    <w:p>
      <w:pPr>
        <w:pStyle w:val="28"/>
        <w:numPr>
          <w:ilvl w:val="0"/>
          <w:numId w:val="0"/>
        </w:numPr>
        <w:rPr>
          <w:rFonts w:hint="eastAsia" w:ascii="宋体" w:hAnsi="宋体" w:eastAsia="宋体" w:cs="宋体"/>
          <w:b/>
          <w:color w:val="000000"/>
          <w:sz w:val="21"/>
          <w:szCs w:val="21"/>
          <w:lang w:val="zh-CN"/>
        </w:rPr>
      </w:pPr>
      <w:r>
        <w:rPr>
          <w:rFonts w:hint="eastAsia" w:ascii="宋体" w:hAnsi="宋体" w:eastAsia="宋体" w:cs="宋体"/>
          <w:lang w:eastAsia="zh-CN"/>
        </w:rPr>
        <w:t>项目编号：</w:t>
      </w:r>
    </w:p>
    <w:p>
      <w:pPr>
        <w:autoSpaceDE w:val="0"/>
        <w:autoSpaceDN w:val="0"/>
        <w:adjustRightInd w:val="0"/>
        <w:spacing w:line="360" w:lineRule="auto"/>
        <w:jc w:val="right"/>
        <w:rPr>
          <w:rFonts w:hint="eastAsia" w:ascii="宋体" w:hAnsi="宋体" w:eastAsia="宋体" w:cs="宋体"/>
          <w:b/>
          <w:color w:val="000000"/>
          <w:sz w:val="21"/>
          <w:szCs w:val="21"/>
        </w:rPr>
      </w:pPr>
      <w:r>
        <w:rPr>
          <w:rFonts w:hint="eastAsia" w:ascii="宋体" w:hAnsi="宋体" w:eastAsia="宋体" w:cs="宋体"/>
          <w:b/>
          <w:color w:val="000000"/>
          <w:sz w:val="21"/>
          <w:szCs w:val="21"/>
          <w:lang w:val="zh-CN"/>
        </w:rPr>
        <w:t>单位</w:t>
      </w: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zh-CN"/>
        </w:rPr>
        <w:t>：元</w:t>
      </w:r>
      <w:r>
        <w:rPr>
          <w:rFonts w:hint="eastAsia" w:ascii="宋体" w:hAnsi="宋体" w:eastAsia="宋体" w:cs="宋体"/>
          <w:b/>
          <w:color w:val="000000"/>
          <w:sz w:val="21"/>
          <w:szCs w:val="21"/>
        </w:rPr>
        <w:t xml:space="preserve"> </w:t>
      </w:r>
    </w:p>
    <w:tbl>
      <w:tblPr>
        <w:tblStyle w:val="24"/>
        <w:tblW w:w="92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44"/>
        <w:gridCol w:w="2242"/>
        <w:gridCol w:w="2232"/>
        <w:gridCol w:w="20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2744" w:type="dxa"/>
            <w:tcBorders>
              <w:tl2br w:val="single" w:color="auto" w:sz="4" w:space="0"/>
            </w:tcBorders>
            <w:noWrap w:val="0"/>
            <w:vAlign w:val="center"/>
          </w:tcPr>
          <w:p>
            <w:pPr>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磋商</w:t>
            </w:r>
            <w:r>
              <w:rPr>
                <w:rFonts w:hint="eastAsia" w:ascii="宋体" w:hAnsi="宋体" w:eastAsia="宋体" w:cs="宋体"/>
                <w:color w:val="000000"/>
                <w:sz w:val="21"/>
                <w:szCs w:val="21"/>
                <w:lang w:val="zh-CN"/>
              </w:rPr>
              <w:t>内容</w:t>
            </w:r>
          </w:p>
          <w:p>
            <w:pPr>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zh-CN"/>
              </w:rPr>
              <w:t>供应商名称</w:t>
            </w:r>
          </w:p>
        </w:tc>
        <w:tc>
          <w:tcPr>
            <w:tcW w:w="2242" w:type="dxa"/>
            <w:noWrap w:val="0"/>
            <w:vAlign w:val="center"/>
          </w:tcPr>
          <w:p>
            <w:pPr>
              <w:autoSpaceDE w:val="0"/>
              <w:autoSpaceDN w:val="0"/>
              <w:adjustRightInd w:val="0"/>
              <w:spacing w:line="360" w:lineRule="auto"/>
              <w:jc w:val="cente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磋商报价</w:t>
            </w:r>
          </w:p>
        </w:tc>
        <w:tc>
          <w:tcPr>
            <w:tcW w:w="2232" w:type="dxa"/>
            <w:noWrap w:val="0"/>
            <w:vAlign w:val="center"/>
          </w:tcPr>
          <w:p>
            <w:pPr>
              <w:autoSpaceDE w:val="0"/>
              <w:autoSpaceDN w:val="0"/>
              <w:adjustRightInd w:val="0"/>
              <w:spacing w:line="360" w:lineRule="auto"/>
              <w:jc w:val="center"/>
              <w:rPr>
                <w:rFonts w:hint="eastAsia" w:ascii="宋体" w:hAnsi="宋体" w:eastAsia="宋体" w:cs="宋体"/>
                <w:color w:val="000000"/>
                <w:sz w:val="21"/>
                <w:szCs w:val="21"/>
                <w:lang w:val="zh-CN"/>
              </w:rPr>
            </w:pPr>
            <w:r>
              <w:rPr>
                <w:rFonts w:hint="eastAsia" w:ascii="宋体" w:hAnsi="宋体" w:eastAsia="宋体" w:cs="宋体"/>
                <w:b w:val="0"/>
                <w:bCs/>
                <w:sz w:val="21"/>
                <w:szCs w:val="21"/>
                <w:lang w:val="en-US" w:eastAsia="zh-CN"/>
              </w:rPr>
              <w:t>服务期</w:t>
            </w:r>
          </w:p>
        </w:tc>
        <w:tc>
          <w:tcPr>
            <w:tcW w:w="2039" w:type="dxa"/>
            <w:noWrap w:val="0"/>
            <w:vAlign w:val="center"/>
          </w:tcPr>
          <w:p>
            <w:pPr>
              <w:autoSpaceDE w:val="0"/>
              <w:autoSpaceDN w:val="0"/>
              <w:adjustRightInd w:val="0"/>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8" w:hRule="atLeast"/>
          <w:jc w:val="center"/>
        </w:trPr>
        <w:tc>
          <w:tcPr>
            <w:tcW w:w="2744" w:type="dxa"/>
            <w:noWrap w:val="0"/>
            <w:vAlign w:val="center"/>
          </w:tcPr>
          <w:p>
            <w:pPr>
              <w:spacing w:line="360" w:lineRule="auto"/>
              <w:jc w:val="center"/>
              <w:rPr>
                <w:rFonts w:hint="eastAsia" w:ascii="宋体" w:hAnsi="宋体" w:eastAsia="宋体" w:cs="宋体"/>
                <w:color w:val="000000"/>
                <w:sz w:val="21"/>
                <w:szCs w:val="21"/>
              </w:rPr>
            </w:pPr>
          </w:p>
        </w:tc>
        <w:tc>
          <w:tcPr>
            <w:tcW w:w="2242" w:type="dxa"/>
            <w:noWrap w:val="0"/>
            <w:vAlign w:val="center"/>
          </w:tcPr>
          <w:p>
            <w:pPr>
              <w:autoSpaceDE w:val="0"/>
              <w:autoSpaceDN w:val="0"/>
              <w:adjustRightInd w:val="0"/>
              <w:spacing w:line="360" w:lineRule="auto"/>
              <w:jc w:val="center"/>
              <w:rPr>
                <w:rFonts w:hint="eastAsia" w:ascii="宋体" w:hAnsi="宋体" w:eastAsia="宋体" w:cs="宋体"/>
                <w:color w:val="000000"/>
                <w:sz w:val="21"/>
                <w:szCs w:val="21"/>
              </w:rPr>
            </w:pPr>
          </w:p>
        </w:tc>
        <w:tc>
          <w:tcPr>
            <w:tcW w:w="2232" w:type="dxa"/>
            <w:noWrap w:val="0"/>
            <w:vAlign w:val="center"/>
          </w:tcPr>
          <w:p>
            <w:pPr>
              <w:autoSpaceDE w:val="0"/>
              <w:autoSpaceDN w:val="0"/>
              <w:adjustRightInd w:val="0"/>
              <w:spacing w:line="360" w:lineRule="auto"/>
              <w:jc w:val="center"/>
              <w:rPr>
                <w:rFonts w:hint="eastAsia" w:ascii="宋体" w:hAnsi="宋体" w:eastAsia="宋体" w:cs="宋体"/>
                <w:color w:val="000000"/>
                <w:sz w:val="21"/>
                <w:szCs w:val="21"/>
              </w:rPr>
            </w:pPr>
          </w:p>
        </w:tc>
        <w:tc>
          <w:tcPr>
            <w:tcW w:w="2039" w:type="dxa"/>
            <w:noWrap w:val="0"/>
            <w:vAlign w:val="center"/>
          </w:tcPr>
          <w:p>
            <w:pPr>
              <w:autoSpaceDE w:val="0"/>
              <w:autoSpaceDN w:val="0"/>
              <w:adjustRightInd w:val="0"/>
              <w:spacing w:line="360" w:lineRule="auto"/>
              <w:jc w:val="center"/>
              <w:rPr>
                <w:rFonts w:hint="eastAsia" w:ascii="宋体" w:hAnsi="宋体" w:eastAsia="宋体" w:cs="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2744"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zh-CN"/>
              </w:rPr>
              <w:t>磋商报价（大写）：</w:t>
            </w:r>
          </w:p>
        </w:tc>
        <w:tc>
          <w:tcPr>
            <w:tcW w:w="6513" w:type="dxa"/>
            <w:gridSpan w:val="3"/>
            <w:noWrap w:val="0"/>
            <w:vAlign w:val="center"/>
          </w:tcPr>
          <w:p>
            <w:pPr>
              <w:autoSpaceDE w:val="0"/>
              <w:autoSpaceDN w:val="0"/>
              <w:adjustRightInd w:val="0"/>
              <w:spacing w:line="360" w:lineRule="auto"/>
              <w:jc w:val="center"/>
              <w:rPr>
                <w:rFonts w:hint="eastAsia" w:ascii="宋体" w:hAnsi="宋体" w:eastAsia="宋体" w:cs="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2744" w:type="dxa"/>
            <w:tcBorders>
              <w:right w:val="single" w:color="auto" w:sz="4" w:space="0"/>
            </w:tcBorders>
            <w:noWrap w:val="0"/>
            <w:vAlign w:val="center"/>
          </w:tcPr>
          <w:p>
            <w:pPr>
              <w:autoSpaceDE w:val="0"/>
              <w:autoSpaceDN w:val="0"/>
              <w:adjustRightInd w:val="0"/>
              <w:spacing w:line="360" w:lineRule="auto"/>
              <w:ind w:left="115" w:hanging="100" w:hangingChars="48"/>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zh-CN"/>
              </w:rPr>
              <w:t>备注：</w:t>
            </w:r>
          </w:p>
        </w:tc>
        <w:tc>
          <w:tcPr>
            <w:tcW w:w="6513" w:type="dxa"/>
            <w:gridSpan w:val="3"/>
            <w:tcBorders>
              <w:left w:val="single" w:color="auto" w:sz="4" w:space="0"/>
            </w:tcBorders>
            <w:noWrap w:val="0"/>
            <w:vAlign w:val="center"/>
          </w:tcPr>
          <w:p>
            <w:pPr>
              <w:autoSpaceDE w:val="0"/>
              <w:autoSpaceDN w:val="0"/>
              <w:adjustRightInd w:val="0"/>
              <w:spacing w:line="360" w:lineRule="auto"/>
              <w:rPr>
                <w:rFonts w:hint="eastAsia" w:ascii="宋体" w:hAnsi="宋体" w:eastAsia="宋体" w:cs="宋体"/>
                <w:color w:val="000000"/>
                <w:sz w:val="21"/>
                <w:szCs w:val="21"/>
              </w:rPr>
            </w:pPr>
          </w:p>
        </w:tc>
      </w:tr>
    </w:tbl>
    <w:p>
      <w:pPr>
        <w:spacing w:line="360" w:lineRule="auto"/>
        <w:rPr>
          <w:rFonts w:hint="eastAsia" w:ascii="宋体" w:hAnsi="宋体" w:eastAsia="宋体" w:cs="宋体"/>
          <w:color w:val="000000"/>
          <w:sz w:val="21"/>
          <w:szCs w:val="21"/>
        </w:rPr>
      </w:pP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注：以上表内报价内容以元为单位，保留小数点后两位。</w:t>
      </w:r>
    </w:p>
    <w:p>
      <w:pPr>
        <w:spacing w:line="360" w:lineRule="auto"/>
        <w:ind w:firstLine="5180" w:firstLineChars="1850"/>
        <w:jc w:val="left"/>
        <w:rPr>
          <w:rFonts w:hint="eastAsia" w:ascii="宋体" w:hAnsi="宋体" w:eastAsia="宋体" w:cs="宋体"/>
          <w:color w:val="000000"/>
          <w:sz w:val="28"/>
          <w:szCs w:val="28"/>
        </w:rPr>
      </w:pPr>
    </w:p>
    <w:p>
      <w:pPr>
        <w:pStyle w:val="8"/>
        <w:spacing w:line="360" w:lineRule="auto"/>
        <w:rPr>
          <w:rFonts w:hint="eastAsia" w:ascii="宋体" w:hAnsi="宋体" w:eastAsia="宋体" w:cs="宋体"/>
          <w:sz w:val="28"/>
          <w:szCs w:val="28"/>
        </w:rPr>
      </w:pP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（签字或盖章）</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b/>
          <w:color w:val="000000"/>
          <w:sz w:val="28"/>
          <w:szCs w:val="28"/>
        </w:rPr>
        <w:t xml:space="preserve">  </w:t>
      </w:r>
      <w:r>
        <w:rPr>
          <w:rFonts w:hint="eastAsia" w:ascii="宋体" w:hAnsi="宋体" w:eastAsia="宋体" w:cs="宋体"/>
          <w:b/>
          <w:color w:val="000000"/>
          <w:sz w:val="32"/>
          <w:szCs w:val="32"/>
        </w:rPr>
        <w:t>磋商分项报价表</w:t>
      </w:r>
    </w:p>
    <w:p>
      <w:pPr>
        <w:pStyle w:val="28"/>
        <w:numPr>
          <w:ilvl w:val="0"/>
          <w:numId w:val="0"/>
        </w:numPr>
        <w:rPr>
          <w:rFonts w:hint="eastAsia" w:ascii="宋体" w:hAnsi="宋体" w:eastAsia="宋体" w:cs="宋体"/>
          <w:lang w:eastAsia="zh-CN"/>
        </w:rPr>
      </w:pPr>
      <w:r>
        <w:rPr>
          <w:rFonts w:hint="eastAsia" w:ascii="宋体" w:hAnsi="宋体" w:eastAsia="宋体" w:cs="宋体"/>
          <w:lang w:eastAsia="zh-CN"/>
        </w:rPr>
        <w:t>项目名称：</w:t>
      </w:r>
    </w:p>
    <w:p>
      <w:pPr>
        <w:pStyle w:val="28"/>
        <w:numPr>
          <w:ilvl w:val="0"/>
          <w:numId w:val="0"/>
        </w:numPr>
        <w:rPr>
          <w:rFonts w:hint="eastAsia" w:ascii="宋体" w:hAnsi="宋体" w:eastAsia="宋体" w:cs="宋体"/>
          <w:b/>
          <w:color w:val="000000"/>
          <w:sz w:val="21"/>
          <w:szCs w:val="21"/>
          <w:lang w:val="zh-CN"/>
        </w:rPr>
      </w:pPr>
      <w:r>
        <w:rPr>
          <w:rFonts w:hint="eastAsia" w:ascii="宋体" w:hAnsi="宋体" w:eastAsia="宋体" w:cs="宋体"/>
          <w:lang w:eastAsia="zh-CN"/>
        </w:rPr>
        <w:t>项目编号：</w:t>
      </w:r>
    </w:p>
    <w:p>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pPr>
        <w:adjustRightInd w:val="0"/>
        <w:snapToGrid w:val="0"/>
        <w:spacing w:line="360" w:lineRule="auto"/>
        <w:rPr>
          <w:rFonts w:hint="eastAsia" w:ascii="宋体" w:hAnsi="宋体" w:eastAsia="宋体" w:cs="宋体"/>
          <w:bCs/>
          <w:color w:val="000000"/>
          <w:sz w:val="28"/>
          <w:szCs w:val="28"/>
        </w:rPr>
      </w:pPr>
    </w:p>
    <w:p>
      <w:pPr>
        <w:adjustRightInd w:val="0"/>
        <w:snapToGrid w:val="0"/>
        <w:spacing w:line="36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无固定格式，供应商自拟。</w:t>
      </w:r>
    </w:p>
    <w:p>
      <w:pPr>
        <w:adjustRightInd w:val="0"/>
        <w:snapToGrid w:val="0"/>
        <w:spacing w:line="360" w:lineRule="auto"/>
        <w:rPr>
          <w:rFonts w:hint="eastAsia" w:ascii="宋体" w:hAnsi="宋体" w:eastAsia="宋体" w:cs="宋体"/>
          <w:bCs/>
          <w:color w:val="000000"/>
          <w:sz w:val="28"/>
          <w:szCs w:val="28"/>
        </w:rPr>
      </w:pPr>
    </w:p>
    <w:p>
      <w:pPr>
        <w:adjustRightInd w:val="0"/>
        <w:snapToGrid w:val="0"/>
        <w:spacing w:line="360" w:lineRule="auto"/>
        <w:rPr>
          <w:rFonts w:hint="eastAsia" w:ascii="宋体" w:hAnsi="宋体" w:eastAsia="宋体" w:cs="宋体"/>
          <w:bCs/>
          <w:color w:val="000000"/>
          <w:sz w:val="28"/>
          <w:szCs w:val="28"/>
        </w:rPr>
      </w:pPr>
    </w:p>
    <w:p>
      <w:pPr>
        <w:adjustRightInd w:val="0"/>
        <w:snapToGrid w:val="0"/>
        <w:spacing w:line="360" w:lineRule="auto"/>
        <w:rPr>
          <w:rFonts w:hint="eastAsia" w:ascii="宋体" w:hAnsi="宋体" w:eastAsia="宋体" w:cs="宋体"/>
          <w:bCs/>
          <w:color w:val="000000"/>
          <w:sz w:val="28"/>
          <w:szCs w:val="28"/>
        </w:rPr>
      </w:pPr>
    </w:p>
    <w:p>
      <w:pPr>
        <w:pStyle w:val="8"/>
        <w:rPr>
          <w:rFonts w:hint="eastAsia" w:ascii="宋体" w:hAnsi="宋体" w:eastAsia="宋体" w:cs="宋体"/>
          <w:bCs/>
          <w:color w:val="000000"/>
          <w:sz w:val="28"/>
          <w:szCs w:val="28"/>
        </w:rPr>
      </w:pPr>
    </w:p>
    <w:p>
      <w:pPr>
        <w:rPr>
          <w:rFonts w:hint="eastAsia" w:ascii="宋体" w:hAnsi="宋体" w:eastAsia="宋体" w:cs="宋体"/>
          <w:bCs/>
          <w:color w:val="000000"/>
          <w:sz w:val="28"/>
          <w:szCs w:val="28"/>
        </w:rPr>
      </w:pPr>
    </w:p>
    <w:p>
      <w:pPr>
        <w:pStyle w:val="8"/>
        <w:rPr>
          <w:rFonts w:hint="eastAsia" w:ascii="宋体" w:hAnsi="宋体" w:eastAsia="宋体" w:cs="宋体"/>
          <w:bCs/>
          <w:color w:val="000000"/>
          <w:sz w:val="28"/>
          <w:szCs w:val="28"/>
        </w:rPr>
      </w:pPr>
    </w:p>
    <w:p>
      <w:pPr>
        <w:rPr>
          <w:rFonts w:hint="eastAsia" w:ascii="宋体" w:hAnsi="宋体" w:eastAsia="宋体" w:cs="宋体"/>
          <w:bCs/>
          <w:color w:val="000000"/>
          <w:sz w:val="28"/>
          <w:szCs w:val="28"/>
        </w:rPr>
      </w:pPr>
    </w:p>
    <w:p>
      <w:pPr>
        <w:pStyle w:val="8"/>
        <w:rPr>
          <w:rFonts w:hint="eastAsia" w:ascii="宋体" w:hAnsi="宋体" w:eastAsia="宋体" w:cs="宋体"/>
          <w:bCs/>
          <w:color w:val="000000"/>
          <w:sz w:val="28"/>
          <w:szCs w:val="28"/>
        </w:rPr>
      </w:pPr>
    </w:p>
    <w:p>
      <w:pPr>
        <w:rPr>
          <w:rFonts w:hint="eastAsia" w:ascii="宋体" w:hAnsi="宋体" w:eastAsia="宋体" w:cs="宋体"/>
          <w:bCs/>
          <w:color w:val="000000"/>
          <w:sz w:val="28"/>
          <w:szCs w:val="28"/>
        </w:rPr>
      </w:pPr>
    </w:p>
    <w:p>
      <w:pPr>
        <w:pStyle w:val="8"/>
        <w:rPr>
          <w:rFonts w:hint="eastAsia" w:ascii="宋体" w:hAnsi="宋体" w:eastAsia="宋体" w:cs="宋体"/>
          <w:bCs/>
          <w:color w:val="000000"/>
          <w:sz w:val="28"/>
          <w:szCs w:val="28"/>
        </w:rPr>
      </w:pPr>
    </w:p>
    <w:p>
      <w:pPr>
        <w:pStyle w:val="8"/>
        <w:jc w:val="both"/>
        <w:rPr>
          <w:rFonts w:hint="eastAsia" w:ascii="宋体" w:hAnsi="宋体" w:eastAsia="宋体" w:cs="宋体"/>
        </w:rPr>
      </w:pPr>
    </w:p>
    <w:p>
      <w:pPr>
        <w:adjustRightInd w:val="0"/>
        <w:snapToGrid w:val="0"/>
        <w:spacing w:line="360" w:lineRule="auto"/>
        <w:rPr>
          <w:rFonts w:hint="eastAsia" w:ascii="宋体" w:hAnsi="宋体" w:eastAsia="宋体" w:cs="宋体"/>
          <w:bCs/>
          <w:color w:val="000000"/>
          <w:sz w:val="28"/>
          <w:szCs w:val="28"/>
        </w:rPr>
      </w:pPr>
    </w:p>
    <w:p>
      <w:pPr>
        <w:adjustRightInd w:val="0"/>
        <w:snapToGrid w:val="0"/>
        <w:spacing w:line="360" w:lineRule="auto"/>
        <w:rPr>
          <w:rFonts w:hint="eastAsia" w:ascii="宋体" w:hAnsi="宋体" w:eastAsia="宋体" w:cs="宋体"/>
          <w:bCs/>
          <w:color w:val="000000"/>
          <w:sz w:val="28"/>
          <w:szCs w:val="28"/>
        </w:rPr>
      </w:pP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（签字或盖章）</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pPr>
        <w:spacing w:line="360" w:lineRule="auto"/>
        <w:ind w:firstLine="560" w:firstLineChars="200"/>
        <w:rPr>
          <w:rFonts w:hint="eastAsia" w:ascii="宋体" w:hAnsi="宋体" w:eastAsia="宋体" w:cs="宋体"/>
          <w:color w:val="000000"/>
          <w:sz w:val="28"/>
          <w:szCs w:val="28"/>
        </w:rPr>
      </w:pPr>
    </w:p>
    <w:p>
      <w:pPr>
        <w:adjustRightInd w:val="0"/>
        <w:snapToGrid w:val="0"/>
        <w:spacing w:line="360" w:lineRule="auto"/>
        <w:ind w:firstLine="420" w:firstLineChars="200"/>
        <w:rPr>
          <w:rFonts w:hint="eastAsia" w:ascii="宋体" w:hAnsi="宋体" w:eastAsia="宋体" w:cs="宋体"/>
          <w:bCs/>
          <w:color w:val="000000"/>
          <w:sz w:val="28"/>
          <w:szCs w:val="28"/>
        </w:rPr>
      </w:pPr>
      <w:r>
        <w:rPr>
          <w:rFonts w:hint="eastAsia" w:ascii="宋体" w:hAnsi="宋体" w:eastAsia="宋体" w:cs="宋体"/>
          <w:bCs/>
          <w:color w:val="000000"/>
          <w:sz w:val="21"/>
          <w:szCs w:val="21"/>
        </w:rPr>
        <w:t>注：本表中的“总价”与“磋商报价表”中的“磋商报价”一致。</w:t>
      </w:r>
    </w:p>
    <w:p>
      <w:pPr>
        <w:spacing w:line="360" w:lineRule="auto"/>
        <w:rPr>
          <w:rFonts w:hint="eastAsia" w:ascii="宋体" w:hAnsi="宋体" w:eastAsia="宋体" w:cs="宋体"/>
          <w:bCs/>
          <w:color w:val="000000"/>
          <w:sz w:val="28"/>
          <w:szCs w:val="28"/>
        </w:rPr>
      </w:pPr>
    </w:p>
    <w:p>
      <w:pPr>
        <w:pStyle w:val="3"/>
        <w:numPr>
          <w:ilvl w:val="2"/>
          <w:numId w:val="0"/>
        </w:numPr>
        <w:spacing w:before="100" w:after="100" w:line="360" w:lineRule="auto"/>
        <w:ind w:leftChars="0"/>
        <w:jc w:val="center"/>
        <w:outlineLvl w:val="1"/>
        <w:rPr>
          <w:rFonts w:hint="eastAsia" w:ascii="宋体" w:hAnsi="宋体" w:eastAsia="宋体" w:cs="宋体"/>
          <w:b/>
          <w:color w:val="000000"/>
          <w:kern w:val="2"/>
          <w:sz w:val="32"/>
          <w:szCs w:val="32"/>
          <w:lang w:val="en-US" w:eastAsia="zh-CN" w:bidi="ar-SA"/>
        </w:rPr>
      </w:pPr>
      <w:r>
        <w:rPr>
          <w:rFonts w:hint="eastAsia" w:ascii="宋体" w:hAnsi="宋体" w:eastAsia="宋体" w:cs="宋体"/>
          <w:b w:val="0"/>
          <w:color w:val="000000"/>
          <w:sz w:val="28"/>
          <w:szCs w:val="28"/>
        </w:rPr>
        <w:br w:type="page"/>
      </w:r>
      <w:bookmarkStart w:id="124" w:name="_Toc18259"/>
      <w:bookmarkStart w:id="125" w:name="_Toc421778388"/>
      <w:bookmarkStart w:id="126" w:name="_Toc221"/>
      <w:bookmarkStart w:id="127" w:name="_Toc420591669"/>
      <w:bookmarkStart w:id="128" w:name="_Toc25984"/>
      <w:bookmarkStart w:id="129" w:name="_Toc500323112"/>
      <w:bookmarkStart w:id="130" w:name="_Toc29180"/>
      <w:bookmarkStart w:id="131" w:name="_Toc8191"/>
      <w:bookmarkStart w:id="132" w:name="_Toc425240483"/>
      <w:r>
        <w:rPr>
          <w:rFonts w:hint="eastAsia" w:ascii="宋体" w:hAnsi="宋体" w:eastAsia="宋体" w:cs="宋体"/>
          <w:b/>
          <w:color w:val="000000"/>
          <w:kern w:val="2"/>
          <w:sz w:val="32"/>
          <w:szCs w:val="32"/>
          <w:lang w:val="en-US" w:eastAsia="zh-CN" w:bidi="ar-SA"/>
        </w:rPr>
        <w:t>三、法定代表人身份证明</w:t>
      </w:r>
      <w:bookmarkEnd w:id="124"/>
      <w:bookmarkEnd w:id="125"/>
      <w:bookmarkEnd w:id="126"/>
      <w:bookmarkEnd w:id="127"/>
      <w:bookmarkEnd w:id="128"/>
      <w:bookmarkEnd w:id="129"/>
      <w:bookmarkEnd w:id="130"/>
      <w:bookmarkEnd w:id="131"/>
      <w:bookmarkEnd w:id="132"/>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center"/>
          </w:tcPr>
          <w:p>
            <w:pPr>
              <w:tabs>
                <w:tab w:val="left" w:pos="1260"/>
              </w:tabs>
              <w:spacing w:line="360" w:lineRule="auto"/>
              <w:jc w:val="left"/>
              <w:rPr>
                <w:rFonts w:hint="eastAsia" w:ascii="宋体" w:hAnsi="宋体" w:eastAsia="宋体" w:cs="宋体"/>
                <w:bCs/>
                <w:sz w:val="21"/>
                <w:szCs w:val="21"/>
                <w:lang w:eastAsia="zh-CN"/>
              </w:rPr>
            </w:pPr>
            <w:bookmarkStart w:id="133" w:name="_Toc500323113"/>
            <w:bookmarkStart w:id="134" w:name="_Toc32762"/>
            <w:bookmarkStart w:id="135" w:name="_Toc421778389"/>
            <w:bookmarkStart w:id="136" w:name="_Toc425240484"/>
            <w:bookmarkStart w:id="137" w:name="_Toc420591670"/>
            <w:bookmarkStart w:id="138" w:name="_Toc13782"/>
            <w:r>
              <w:rPr>
                <w:rFonts w:hint="eastAsia" w:ascii="宋体" w:hAnsi="宋体" w:eastAsia="宋体" w:cs="宋体"/>
                <w:sz w:val="21"/>
                <w:szCs w:val="21"/>
              </w:rPr>
              <w:t>致：</w:t>
            </w:r>
            <w:r>
              <w:rPr>
                <w:rFonts w:hint="eastAsia" w:ascii="宋体" w:hAnsi="宋体" w:eastAsia="宋体" w:cs="宋体"/>
                <w:sz w:val="21"/>
                <w:szCs w:val="21"/>
                <w:lang w:eastAsia="zh-CN"/>
              </w:rPr>
              <w:t>陕西楚元项目管理有限公司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企</w:t>
            </w:r>
          </w:p>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业</w:t>
            </w:r>
          </w:p>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w:t>
            </w:r>
          </w:p>
          <w:p>
            <w:pPr>
              <w:tabs>
                <w:tab w:val="left" w:pos="1260"/>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人</w:t>
            </w:r>
          </w:p>
        </w:tc>
        <w:tc>
          <w:tcPr>
            <w:tcW w:w="2240"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企业名称</w:t>
            </w:r>
          </w:p>
        </w:tc>
        <w:tc>
          <w:tcPr>
            <w:tcW w:w="6140" w:type="dxa"/>
            <w:gridSpan w:val="3"/>
            <w:noWrap w:val="0"/>
            <w:vAlign w:val="top"/>
          </w:tcPr>
          <w:p>
            <w:pPr>
              <w:tabs>
                <w:tab w:val="left" w:pos="1260"/>
              </w:tabs>
              <w:spacing w:line="360" w:lineRule="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2240"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法定地址</w:t>
            </w:r>
          </w:p>
        </w:tc>
        <w:tc>
          <w:tcPr>
            <w:tcW w:w="6140" w:type="dxa"/>
            <w:gridSpan w:val="3"/>
            <w:noWrap w:val="0"/>
            <w:vAlign w:val="top"/>
          </w:tcPr>
          <w:p>
            <w:pPr>
              <w:tabs>
                <w:tab w:val="left" w:pos="1260"/>
              </w:tabs>
              <w:spacing w:line="360" w:lineRule="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2240"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6140" w:type="dxa"/>
            <w:gridSpan w:val="3"/>
            <w:noWrap w:val="0"/>
            <w:vAlign w:val="top"/>
          </w:tcPr>
          <w:p>
            <w:pPr>
              <w:tabs>
                <w:tab w:val="left" w:pos="1260"/>
              </w:tabs>
              <w:spacing w:line="360" w:lineRule="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2240"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网    址</w:t>
            </w:r>
          </w:p>
        </w:tc>
        <w:tc>
          <w:tcPr>
            <w:tcW w:w="6140" w:type="dxa"/>
            <w:gridSpan w:val="3"/>
            <w:noWrap w:val="0"/>
            <w:vAlign w:val="top"/>
          </w:tcPr>
          <w:p>
            <w:pPr>
              <w:tabs>
                <w:tab w:val="left" w:pos="1260"/>
              </w:tabs>
              <w:spacing w:line="360" w:lineRule="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2240" w:type="dxa"/>
            <w:noWrap w:val="0"/>
            <w:vAlign w:val="top"/>
          </w:tcPr>
          <w:p>
            <w:pPr>
              <w:tabs>
                <w:tab w:val="left" w:pos="1260"/>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工商登记机关</w:t>
            </w:r>
          </w:p>
        </w:tc>
        <w:tc>
          <w:tcPr>
            <w:tcW w:w="6140" w:type="dxa"/>
            <w:gridSpan w:val="3"/>
            <w:noWrap w:val="0"/>
            <w:vAlign w:val="top"/>
          </w:tcPr>
          <w:p>
            <w:pPr>
              <w:tabs>
                <w:tab w:val="left" w:pos="1260"/>
              </w:tabs>
              <w:spacing w:line="360" w:lineRule="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2240"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税务登记机关</w:t>
            </w:r>
          </w:p>
        </w:tc>
        <w:tc>
          <w:tcPr>
            <w:tcW w:w="6140" w:type="dxa"/>
            <w:gridSpan w:val="3"/>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2240" w:type="dxa"/>
            <w:noWrap w:val="0"/>
            <w:vAlign w:val="top"/>
          </w:tcPr>
          <w:p>
            <w:pPr>
              <w:tabs>
                <w:tab w:val="left" w:pos="1260"/>
              </w:tabs>
              <w:spacing w:line="360" w:lineRule="auto"/>
              <w:rPr>
                <w:rFonts w:hint="eastAsia" w:ascii="宋体" w:hAnsi="宋体" w:eastAsia="宋体" w:cs="宋体"/>
                <w:bCs/>
                <w:sz w:val="21"/>
                <w:szCs w:val="21"/>
              </w:rPr>
            </w:pPr>
            <w:r>
              <w:rPr>
                <w:rFonts w:hint="eastAsia" w:ascii="宋体" w:hAnsi="宋体" w:eastAsia="宋体" w:cs="宋体"/>
                <w:sz w:val="21"/>
                <w:szCs w:val="21"/>
              </w:rPr>
              <w:t>机构代码证号（统一社会信用代码）</w:t>
            </w:r>
          </w:p>
        </w:tc>
        <w:tc>
          <w:tcPr>
            <w:tcW w:w="6140" w:type="dxa"/>
            <w:gridSpan w:val="3"/>
            <w:noWrap w:val="0"/>
            <w:vAlign w:val="top"/>
          </w:tcPr>
          <w:p>
            <w:pPr>
              <w:tabs>
                <w:tab w:val="left" w:pos="1260"/>
              </w:tabs>
              <w:spacing w:line="360" w:lineRule="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  定</w:t>
            </w:r>
          </w:p>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代</w:t>
            </w:r>
          </w:p>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p>
          <w:p>
            <w:pPr>
              <w:tabs>
                <w:tab w:val="left" w:pos="1260"/>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人</w:t>
            </w:r>
          </w:p>
        </w:tc>
        <w:tc>
          <w:tcPr>
            <w:tcW w:w="2240"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950" w:type="dxa"/>
            <w:noWrap w:val="0"/>
            <w:vAlign w:val="top"/>
          </w:tcPr>
          <w:p>
            <w:pPr>
              <w:tabs>
                <w:tab w:val="left" w:pos="1260"/>
              </w:tabs>
              <w:spacing w:line="360" w:lineRule="auto"/>
              <w:rPr>
                <w:rFonts w:hint="eastAsia" w:ascii="宋体" w:hAnsi="宋体" w:eastAsia="宋体" w:cs="宋体"/>
                <w:sz w:val="21"/>
                <w:szCs w:val="21"/>
              </w:rPr>
            </w:pPr>
          </w:p>
        </w:tc>
        <w:tc>
          <w:tcPr>
            <w:tcW w:w="1039"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性  别</w:t>
            </w:r>
          </w:p>
        </w:tc>
        <w:tc>
          <w:tcPr>
            <w:tcW w:w="2151" w:type="dxa"/>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2240"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职    务</w:t>
            </w:r>
          </w:p>
        </w:tc>
        <w:tc>
          <w:tcPr>
            <w:tcW w:w="2950" w:type="dxa"/>
            <w:noWrap w:val="0"/>
            <w:vAlign w:val="top"/>
          </w:tcPr>
          <w:p>
            <w:pPr>
              <w:tabs>
                <w:tab w:val="left" w:pos="1260"/>
              </w:tabs>
              <w:spacing w:line="360" w:lineRule="auto"/>
              <w:rPr>
                <w:rFonts w:hint="eastAsia" w:ascii="宋体" w:hAnsi="宋体" w:eastAsia="宋体" w:cs="宋体"/>
                <w:sz w:val="21"/>
                <w:szCs w:val="21"/>
              </w:rPr>
            </w:pPr>
          </w:p>
        </w:tc>
        <w:tc>
          <w:tcPr>
            <w:tcW w:w="1039"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w:t>
            </w:r>
          </w:p>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2151" w:type="dxa"/>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2240" w:type="dxa"/>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传    真</w:t>
            </w:r>
          </w:p>
        </w:tc>
        <w:tc>
          <w:tcPr>
            <w:tcW w:w="6140" w:type="dxa"/>
            <w:gridSpan w:val="3"/>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法定代表人身份证复印件</w:t>
            </w:r>
          </w:p>
        </w:tc>
        <w:tc>
          <w:tcPr>
            <w:tcW w:w="5190" w:type="dxa"/>
            <w:gridSpan w:val="2"/>
            <w:vMerge w:val="restart"/>
            <w:noWrap w:val="0"/>
            <w:vAlign w:val="center"/>
          </w:tcPr>
          <w:p>
            <w:pPr>
              <w:tabs>
                <w:tab w:val="left" w:pos="1260"/>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（正反面粘贴处）</w:t>
            </w:r>
          </w:p>
        </w:tc>
        <w:tc>
          <w:tcPr>
            <w:tcW w:w="3190" w:type="dxa"/>
            <w:gridSpan w:val="2"/>
            <w:noWrap w:val="0"/>
            <w:vAlign w:val="center"/>
          </w:tcPr>
          <w:p>
            <w:pPr>
              <w:tabs>
                <w:tab w:val="left" w:pos="1260"/>
              </w:tabs>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820" w:type="dxa"/>
            <w:vMerge w:val="continue"/>
            <w:noWrap w:val="0"/>
            <w:vAlign w:val="top"/>
          </w:tcPr>
          <w:p>
            <w:pPr>
              <w:spacing w:line="360" w:lineRule="auto"/>
              <w:rPr>
                <w:rFonts w:hint="eastAsia" w:ascii="宋体" w:hAnsi="宋体" w:eastAsia="宋体" w:cs="宋体"/>
                <w:sz w:val="21"/>
                <w:szCs w:val="21"/>
              </w:rPr>
            </w:pPr>
          </w:p>
        </w:tc>
        <w:tc>
          <w:tcPr>
            <w:tcW w:w="5190" w:type="dxa"/>
            <w:gridSpan w:val="2"/>
            <w:vMerge w:val="continue"/>
            <w:noWrap w:val="0"/>
            <w:vAlign w:val="top"/>
          </w:tcPr>
          <w:p>
            <w:pPr>
              <w:spacing w:line="360" w:lineRule="auto"/>
              <w:rPr>
                <w:rFonts w:hint="eastAsia" w:ascii="宋体" w:hAnsi="宋体" w:eastAsia="宋体" w:cs="宋体"/>
                <w:sz w:val="21"/>
                <w:szCs w:val="21"/>
              </w:rPr>
            </w:pPr>
          </w:p>
        </w:tc>
        <w:tc>
          <w:tcPr>
            <w:tcW w:w="3190" w:type="dxa"/>
            <w:gridSpan w:val="2"/>
            <w:noWrap w:val="0"/>
            <w:vAlign w:val="center"/>
          </w:tcPr>
          <w:p>
            <w:pPr>
              <w:tabs>
                <w:tab w:val="left" w:pos="1260"/>
              </w:tabs>
              <w:spacing w:line="360" w:lineRule="auto"/>
              <w:ind w:firstLine="459"/>
              <w:jc w:val="center"/>
              <w:rPr>
                <w:rFonts w:hint="eastAsia" w:ascii="宋体" w:hAnsi="宋体" w:eastAsia="宋体" w:cs="宋体"/>
                <w:sz w:val="21"/>
                <w:szCs w:val="21"/>
              </w:rPr>
            </w:pPr>
          </w:p>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（企业公章）</w:t>
            </w:r>
          </w:p>
          <w:p>
            <w:pPr>
              <w:tabs>
                <w:tab w:val="left" w:pos="1260"/>
              </w:tabs>
              <w:spacing w:line="360" w:lineRule="auto"/>
              <w:ind w:firstLine="459"/>
              <w:jc w:val="center"/>
              <w:rPr>
                <w:rFonts w:hint="eastAsia" w:ascii="宋体" w:hAnsi="宋体" w:eastAsia="宋体" w:cs="宋体"/>
                <w:sz w:val="21"/>
                <w:szCs w:val="21"/>
              </w:rPr>
            </w:pPr>
          </w:p>
          <w:p>
            <w:pPr>
              <w:tabs>
                <w:tab w:val="left" w:pos="1260"/>
              </w:tabs>
              <w:spacing w:line="360" w:lineRule="auto"/>
              <w:ind w:right="280" w:firstLine="459"/>
              <w:jc w:val="center"/>
              <w:rPr>
                <w:rFonts w:hint="eastAsia" w:ascii="宋体" w:hAnsi="宋体" w:eastAsia="宋体" w:cs="宋体"/>
                <w:sz w:val="21"/>
                <w:szCs w:val="21"/>
              </w:rPr>
            </w:pPr>
            <w:r>
              <w:rPr>
                <w:rFonts w:hint="eastAsia" w:ascii="宋体" w:hAnsi="宋体" w:eastAsia="宋体" w:cs="宋体"/>
                <w:sz w:val="21"/>
                <w:szCs w:val="21"/>
              </w:rPr>
              <w:t>年   月   日</w:t>
            </w:r>
          </w:p>
        </w:tc>
      </w:tr>
    </w:tbl>
    <w:p>
      <w:pPr>
        <w:keepLines/>
        <w:pageBreakBefore/>
        <w:numPr>
          <w:ilvl w:val="0"/>
          <w:numId w:val="0"/>
        </w:numPr>
        <w:spacing w:line="360" w:lineRule="auto"/>
        <w:jc w:val="center"/>
        <w:outlineLvl w:val="1"/>
        <w:rPr>
          <w:rFonts w:hint="eastAsia" w:ascii="宋体" w:hAnsi="宋体" w:eastAsia="宋体" w:cs="宋体"/>
          <w:b/>
          <w:color w:val="000000"/>
          <w:sz w:val="28"/>
          <w:szCs w:val="28"/>
        </w:rPr>
      </w:pPr>
      <w:bookmarkStart w:id="139" w:name="_Toc22123"/>
      <w:bookmarkStart w:id="140" w:name="_Toc23118"/>
      <w:bookmarkStart w:id="141" w:name="_Toc17196"/>
      <w:r>
        <w:rPr>
          <w:rFonts w:hint="eastAsia" w:ascii="宋体" w:hAnsi="宋体" w:eastAsia="宋体" w:cs="宋体"/>
          <w:b/>
          <w:color w:val="000000"/>
          <w:sz w:val="32"/>
          <w:szCs w:val="32"/>
          <w:lang w:eastAsia="zh-CN"/>
        </w:rPr>
        <w:t>四、</w:t>
      </w:r>
      <w:r>
        <w:rPr>
          <w:rFonts w:hint="eastAsia" w:ascii="宋体" w:hAnsi="宋体" w:eastAsia="宋体" w:cs="宋体"/>
          <w:b/>
          <w:color w:val="000000"/>
          <w:sz w:val="32"/>
          <w:szCs w:val="32"/>
        </w:rPr>
        <w:t>法定代表人授权委托书</w:t>
      </w:r>
      <w:bookmarkEnd w:id="133"/>
      <w:bookmarkEnd w:id="134"/>
      <w:bookmarkEnd w:id="135"/>
      <w:bookmarkEnd w:id="136"/>
      <w:bookmarkEnd w:id="137"/>
      <w:bookmarkEnd w:id="138"/>
      <w:bookmarkEnd w:id="139"/>
      <w:bookmarkEnd w:id="140"/>
      <w:bookmarkEnd w:id="141"/>
    </w:p>
    <w:tbl>
      <w:tblPr>
        <w:tblStyle w:val="2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167"/>
        <w:gridCol w:w="10"/>
        <w:gridCol w:w="1667"/>
        <w:gridCol w:w="313"/>
        <w:gridCol w:w="2178"/>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560" w:type="dxa"/>
            <w:gridSpan w:val="7"/>
            <w:noWrap w:val="0"/>
            <w:vAlign w:val="center"/>
          </w:tcPr>
          <w:p>
            <w:pPr>
              <w:tabs>
                <w:tab w:val="left" w:pos="1260"/>
              </w:tabs>
              <w:spacing w:line="360" w:lineRule="auto"/>
              <w:ind w:firstLine="117" w:firstLineChars="56"/>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lang w:eastAsia="zh-CN"/>
              </w:rPr>
              <w:t>陕西楚元项目管理有限公司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restart"/>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被授权人</w:t>
            </w:r>
          </w:p>
        </w:tc>
        <w:tc>
          <w:tcPr>
            <w:tcW w:w="2177" w:type="dxa"/>
            <w:gridSpan w:val="2"/>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姓    名</w:t>
            </w:r>
          </w:p>
        </w:tc>
        <w:tc>
          <w:tcPr>
            <w:tcW w:w="1980" w:type="dxa"/>
            <w:gridSpan w:val="2"/>
            <w:noWrap w:val="0"/>
            <w:vAlign w:val="top"/>
          </w:tcPr>
          <w:p>
            <w:pPr>
              <w:tabs>
                <w:tab w:val="left" w:pos="1260"/>
              </w:tabs>
              <w:spacing w:line="360" w:lineRule="auto"/>
              <w:rPr>
                <w:rFonts w:hint="eastAsia" w:ascii="宋体" w:hAnsi="宋体" w:eastAsia="宋体" w:cs="宋体"/>
                <w:sz w:val="21"/>
                <w:szCs w:val="21"/>
              </w:rPr>
            </w:pPr>
          </w:p>
        </w:tc>
        <w:tc>
          <w:tcPr>
            <w:tcW w:w="2178" w:type="dxa"/>
            <w:noWrap w:val="0"/>
            <w:vAlign w:val="top"/>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性    别</w:t>
            </w:r>
          </w:p>
        </w:tc>
        <w:tc>
          <w:tcPr>
            <w:tcW w:w="2398" w:type="dxa"/>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pPr>
              <w:tabs>
                <w:tab w:val="left" w:pos="1260"/>
              </w:tabs>
              <w:spacing w:line="360" w:lineRule="auto"/>
              <w:rPr>
                <w:rFonts w:hint="eastAsia" w:ascii="宋体" w:hAnsi="宋体" w:eastAsia="宋体" w:cs="宋体"/>
                <w:sz w:val="21"/>
                <w:szCs w:val="21"/>
              </w:rPr>
            </w:pPr>
          </w:p>
        </w:tc>
        <w:tc>
          <w:tcPr>
            <w:tcW w:w="2177" w:type="dxa"/>
            <w:gridSpan w:val="2"/>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职    务</w:t>
            </w:r>
          </w:p>
        </w:tc>
        <w:tc>
          <w:tcPr>
            <w:tcW w:w="1980" w:type="dxa"/>
            <w:gridSpan w:val="2"/>
            <w:noWrap w:val="0"/>
            <w:vAlign w:val="top"/>
          </w:tcPr>
          <w:p>
            <w:pPr>
              <w:tabs>
                <w:tab w:val="left" w:pos="1260"/>
              </w:tabs>
              <w:spacing w:line="360" w:lineRule="auto"/>
              <w:rPr>
                <w:rFonts w:hint="eastAsia" w:ascii="宋体" w:hAnsi="宋体" w:eastAsia="宋体" w:cs="宋体"/>
                <w:sz w:val="21"/>
                <w:szCs w:val="21"/>
              </w:rPr>
            </w:pPr>
          </w:p>
        </w:tc>
        <w:tc>
          <w:tcPr>
            <w:tcW w:w="2178" w:type="dxa"/>
            <w:noWrap w:val="0"/>
            <w:vAlign w:val="top"/>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手机号码</w:t>
            </w:r>
          </w:p>
        </w:tc>
        <w:tc>
          <w:tcPr>
            <w:tcW w:w="2398" w:type="dxa"/>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pPr>
              <w:tabs>
                <w:tab w:val="left" w:pos="1260"/>
              </w:tabs>
              <w:spacing w:line="360" w:lineRule="auto"/>
              <w:rPr>
                <w:rFonts w:hint="eastAsia" w:ascii="宋体" w:hAnsi="宋体" w:eastAsia="宋体" w:cs="宋体"/>
                <w:sz w:val="21"/>
                <w:szCs w:val="21"/>
              </w:rPr>
            </w:pPr>
          </w:p>
        </w:tc>
        <w:tc>
          <w:tcPr>
            <w:tcW w:w="2177" w:type="dxa"/>
            <w:gridSpan w:val="2"/>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联系电话</w:t>
            </w:r>
          </w:p>
        </w:tc>
        <w:tc>
          <w:tcPr>
            <w:tcW w:w="1980" w:type="dxa"/>
            <w:gridSpan w:val="2"/>
            <w:noWrap w:val="0"/>
            <w:vAlign w:val="top"/>
          </w:tcPr>
          <w:p>
            <w:pPr>
              <w:tabs>
                <w:tab w:val="left" w:pos="1260"/>
              </w:tabs>
              <w:spacing w:line="360" w:lineRule="auto"/>
              <w:rPr>
                <w:rFonts w:hint="eastAsia" w:ascii="宋体" w:hAnsi="宋体" w:eastAsia="宋体" w:cs="宋体"/>
                <w:sz w:val="21"/>
                <w:szCs w:val="21"/>
              </w:rPr>
            </w:pPr>
          </w:p>
        </w:tc>
        <w:tc>
          <w:tcPr>
            <w:tcW w:w="2178" w:type="dxa"/>
            <w:noWrap w:val="0"/>
            <w:vAlign w:val="top"/>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图文传真</w:t>
            </w:r>
          </w:p>
        </w:tc>
        <w:tc>
          <w:tcPr>
            <w:tcW w:w="2398" w:type="dxa"/>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pPr>
              <w:tabs>
                <w:tab w:val="left" w:pos="1260"/>
              </w:tabs>
              <w:spacing w:line="360" w:lineRule="auto"/>
              <w:rPr>
                <w:rFonts w:hint="eastAsia" w:ascii="宋体" w:hAnsi="宋体" w:eastAsia="宋体" w:cs="宋体"/>
                <w:sz w:val="21"/>
                <w:szCs w:val="21"/>
              </w:rPr>
            </w:pPr>
          </w:p>
        </w:tc>
        <w:tc>
          <w:tcPr>
            <w:tcW w:w="2177" w:type="dxa"/>
            <w:gridSpan w:val="2"/>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通讯地址</w:t>
            </w:r>
          </w:p>
        </w:tc>
        <w:tc>
          <w:tcPr>
            <w:tcW w:w="6556" w:type="dxa"/>
            <w:gridSpan w:val="4"/>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pPr>
              <w:tabs>
                <w:tab w:val="left" w:pos="1260"/>
              </w:tabs>
              <w:spacing w:line="360" w:lineRule="auto"/>
              <w:rPr>
                <w:rFonts w:hint="eastAsia" w:ascii="宋体" w:hAnsi="宋体" w:eastAsia="宋体" w:cs="宋体"/>
                <w:sz w:val="21"/>
                <w:szCs w:val="21"/>
              </w:rPr>
            </w:pPr>
          </w:p>
        </w:tc>
        <w:tc>
          <w:tcPr>
            <w:tcW w:w="2177" w:type="dxa"/>
            <w:gridSpan w:val="2"/>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网    址</w:t>
            </w:r>
          </w:p>
        </w:tc>
        <w:tc>
          <w:tcPr>
            <w:tcW w:w="6556" w:type="dxa"/>
            <w:gridSpan w:val="4"/>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restart"/>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被授权项目与内容</w:t>
            </w:r>
          </w:p>
        </w:tc>
        <w:tc>
          <w:tcPr>
            <w:tcW w:w="2167" w:type="dxa"/>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tc>
        <w:tc>
          <w:tcPr>
            <w:tcW w:w="6566" w:type="dxa"/>
            <w:gridSpan w:val="5"/>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continue"/>
            <w:noWrap w:val="0"/>
            <w:vAlign w:val="center"/>
          </w:tcPr>
          <w:p>
            <w:pPr>
              <w:tabs>
                <w:tab w:val="left" w:pos="1260"/>
              </w:tabs>
              <w:spacing w:line="360" w:lineRule="auto"/>
              <w:rPr>
                <w:rFonts w:hint="eastAsia" w:ascii="宋体" w:hAnsi="宋体" w:eastAsia="宋体" w:cs="宋体"/>
                <w:sz w:val="21"/>
                <w:szCs w:val="21"/>
              </w:rPr>
            </w:pPr>
          </w:p>
        </w:tc>
        <w:tc>
          <w:tcPr>
            <w:tcW w:w="2167" w:type="dxa"/>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文件编号</w:t>
            </w:r>
          </w:p>
        </w:tc>
        <w:tc>
          <w:tcPr>
            <w:tcW w:w="6566" w:type="dxa"/>
            <w:gridSpan w:val="5"/>
            <w:noWrap w:val="0"/>
            <w:vAlign w:val="top"/>
          </w:tcPr>
          <w:p>
            <w:pPr>
              <w:tabs>
                <w:tab w:val="left" w:pos="1260"/>
              </w:tabs>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827" w:type="dxa"/>
            <w:vMerge w:val="continue"/>
            <w:noWrap w:val="0"/>
            <w:vAlign w:val="center"/>
          </w:tcPr>
          <w:p>
            <w:pPr>
              <w:tabs>
                <w:tab w:val="left" w:pos="1260"/>
              </w:tabs>
              <w:spacing w:line="360" w:lineRule="auto"/>
              <w:rPr>
                <w:rFonts w:hint="eastAsia" w:ascii="宋体" w:hAnsi="宋体" w:eastAsia="宋体" w:cs="宋体"/>
                <w:sz w:val="21"/>
                <w:szCs w:val="21"/>
              </w:rPr>
            </w:pPr>
          </w:p>
        </w:tc>
        <w:tc>
          <w:tcPr>
            <w:tcW w:w="2167" w:type="dxa"/>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授权范围</w:t>
            </w:r>
          </w:p>
        </w:tc>
        <w:tc>
          <w:tcPr>
            <w:tcW w:w="6566" w:type="dxa"/>
            <w:gridSpan w:val="5"/>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全权办理本磋商采购项目的磋商、联系、洽谈、签约、执行等具体事务，签署全部有关的文件、文书、协议及合同。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27" w:type="dxa"/>
            <w:vMerge w:val="continue"/>
            <w:noWrap w:val="0"/>
            <w:vAlign w:val="center"/>
          </w:tcPr>
          <w:p>
            <w:pPr>
              <w:tabs>
                <w:tab w:val="left" w:pos="1260"/>
              </w:tabs>
              <w:spacing w:line="360" w:lineRule="auto"/>
              <w:rPr>
                <w:rFonts w:hint="eastAsia" w:ascii="宋体" w:hAnsi="宋体" w:eastAsia="宋体" w:cs="宋体"/>
                <w:sz w:val="21"/>
                <w:szCs w:val="21"/>
              </w:rPr>
            </w:pPr>
          </w:p>
        </w:tc>
        <w:tc>
          <w:tcPr>
            <w:tcW w:w="2167" w:type="dxa"/>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法律责任</w:t>
            </w:r>
          </w:p>
        </w:tc>
        <w:tc>
          <w:tcPr>
            <w:tcW w:w="6566" w:type="dxa"/>
            <w:gridSpan w:val="5"/>
            <w:noWrap w:val="0"/>
            <w:vAlign w:val="center"/>
          </w:tcPr>
          <w:p>
            <w:pPr>
              <w:tabs>
                <w:tab w:val="left" w:pos="1260"/>
              </w:tabs>
              <w:spacing w:line="360" w:lineRule="auto"/>
              <w:rPr>
                <w:rFonts w:hint="eastAsia" w:ascii="宋体" w:hAnsi="宋体" w:eastAsia="宋体" w:cs="宋体"/>
                <w:spacing w:val="-10"/>
                <w:sz w:val="21"/>
                <w:szCs w:val="21"/>
              </w:rPr>
            </w:pPr>
            <w:r>
              <w:rPr>
                <w:rFonts w:hint="eastAsia" w:ascii="宋体" w:hAnsi="宋体" w:eastAsia="宋体" w:cs="宋体"/>
                <w:spacing w:val="-10"/>
                <w:sz w:val="21"/>
                <w:szCs w:val="21"/>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continue"/>
            <w:noWrap w:val="0"/>
            <w:vAlign w:val="center"/>
          </w:tcPr>
          <w:p>
            <w:pPr>
              <w:tabs>
                <w:tab w:val="left" w:pos="1260"/>
              </w:tabs>
              <w:spacing w:line="360" w:lineRule="auto"/>
              <w:rPr>
                <w:rFonts w:hint="eastAsia" w:ascii="宋体" w:hAnsi="宋体" w:eastAsia="宋体" w:cs="宋体"/>
                <w:sz w:val="21"/>
                <w:szCs w:val="21"/>
              </w:rPr>
            </w:pPr>
          </w:p>
        </w:tc>
        <w:tc>
          <w:tcPr>
            <w:tcW w:w="2167" w:type="dxa"/>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sz w:val="21"/>
                <w:szCs w:val="21"/>
              </w:rPr>
              <w:t>授权期限</w:t>
            </w:r>
          </w:p>
        </w:tc>
        <w:tc>
          <w:tcPr>
            <w:tcW w:w="6566" w:type="dxa"/>
            <w:gridSpan w:val="5"/>
            <w:noWrap w:val="0"/>
            <w:vAlign w:val="center"/>
          </w:tcPr>
          <w:p>
            <w:pPr>
              <w:tabs>
                <w:tab w:val="left" w:pos="1260"/>
              </w:tabs>
              <w:spacing w:line="360" w:lineRule="auto"/>
              <w:rPr>
                <w:rFonts w:hint="eastAsia" w:ascii="宋体" w:hAnsi="宋体" w:eastAsia="宋体" w:cs="宋体"/>
                <w:sz w:val="21"/>
                <w:szCs w:val="21"/>
              </w:rPr>
            </w:pPr>
            <w:r>
              <w:rPr>
                <w:rFonts w:hint="eastAsia" w:ascii="宋体" w:hAnsi="宋体" w:eastAsia="宋体" w:cs="宋体"/>
                <w:bCs/>
                <w:sz w:val="21"/>
                <w:szCs w:val="21"/>
              </w:rPr>
              <w:t>本响应文件有效期</w:t>
            </w:r>
            <w:r>
              <w:rPr>
                <w:rFonts w:hint="eastAsia" w:ascii="宋体" w:hAnsi="宋体" w:eastAsia="宋体" w:cs="宋体"/>
                <w:spacing w:val="-10"/>
                <w:sz w:val="21"/>
                <w:szCs w:val="21"/>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71" w:type="dxa"/>
            <w:gridSpan w:val="4"/>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被授权人身份证复印件</w:t>
            </w:r>
          </w:p>
        </w:tc>
        <w:tc>
          <w:tcPr>
            <w:tcW w:w="4889" w:type="dxa"/>
            <w:gridSpan w:val="3"/>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4" w:hRule="atLeast"/>
          <w:jc w:val="center"/>
        </w:trPr>
        <w:tc>
          <w:tcPr>
            <w:tcW w:w="4671" w:type="dxa"/>
            <w:gridSpan w:val="4"/>
            <w:vMerge w:val="restart"/>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（扫描件）</w:t>
            </w:r>
          </w:p>
        </w:tc>
        <w:tc>
          <w:tcPr>
            <w:tcW w:w="4889" w:type="dxa"/>
            <w:gridSpan w:val="3"/>
            <w:noWrap w:val="0"/>
            <w:vAlign w:val="center"/>
          </w:tcPr>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4671" w:type="dxa"/>
            <w:gridSpan w:val="4"/>
            <w:vMerge w:val="continue"/>
            <w:noWrap w:val="0"/>
            <w:vAlign w:val="center"/>
          </w:tcPr>
          <w:p>
            <w:pPr>
              <w:tabs>
                <w:tab w:val="left" w:pos="1260"/>
              </w:tabs>
              <w:spacing w:line="360" w:lineRule="auto"/>
              <w:rPr>
                <w:rFonts w:hint="eastAsia" w:ascii="宋体" w:hAnsi="宋体" w:eastAsia="宋体" w:cs="宋体"/>
                <w:sz w:val="21"/>
                <w:szCs w:val="21"/>
              </w:rPr>
            </w:pPr>
          </w:p>
        </w:tc>
        <w:tc>
          <w:tcPr>
            <w:tcW w:w="4889" w:type="dxa"/>
            <w:gridSpan w:val="3"/>
            <w:noWrap w:val="0"/>
            <w:vAlign w:val="center"/>
          </w:tcPr>
          <w:p>
            <w:pPr>
              <w:tabs>
                <w:tab w:val="left" w:pos="1260"/>
              </w:tabs>
              <w:spacing w:line="360" w:lineRule="auto"/>
              <w:rPr>
                <w:rFonts w:hint="eastAsia" w:ascii="宋体" w:hAnsi="宋体" w:eastAsia="宋体" w:cs="宋体"/>
                <w:sz w:val="21"/>
                <w:szCs w:val="21"/>
              </w:rPr>
            </w:pPr>
          </w:p>
          <w:p>
            <w:pPr>
              <w:tabs>
                <w:tab w:val="left" w:pos="1260"/>
              </w:tabs>
              <w:spacing w:line="360" w:lineRule="auto"/>
              <w:rPr>
                <w:rFonts w:hint="eastAsia" w:ascii="宋体" w:hAnsi="宋体" w:eastAsia="宋体" w:cs="宋体"/>
                <w:sz w:val="21"/>
                <w:szCs w:val="21"/>
              </w:rPr>
            </w:pPr>
          </w:p>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法定代表人</w:t>
            </w:r>
            <w:r>
              <w:rPr>
                <w:rFonts w:hint="eastAsia" w:ascii="宋体" w:hAnsi="宋体" w:eastAsia="宋体" w:cs="宋体"/>
                <w:sz w:val="21"/>
                <w:szCs w:val="21"/>
              </w:rPr>
              <w:t>签字或盖章）</w:t>
            </w:r>
          </w:p>
          <w:p>
            <w:pPr>
              <w:tabs>
                <w:tab w:val="left" w:pos="126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年   月   日</w:t>
            </w:r>
          </w:p>
        </w:tc>
      </w:tr>
    </w:tbl>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000000"/>
          <w:sz w:val="28"/>
          <w:szCs w:val="28"/>
        </w:rPr>
      </w:pPr>
      <w:bookmarkStart w:id="142" w:name="_Toc421778390"/>
      <w:bookmarkStart w:id="143" w:name="_Toc425240485"/>
      <w:r>
        <w:rPr>
          <w:rFonts w:hint="eastAsia" w:ascii="宋体" w:hAnsi="宋体" w:eastAsia="宋体" w:cs="宋体"/>
          <w:b/>
          <w:bCs/>
          <w:color w:val="auto"/>
          <w:sz w:val="22"/>
          <w:szCs w:val="22"/>
          <w:highlight w:val="none"/>
          <w:lang w:val="zh-CN"/>
        </w:rPr>
        <w:t>注：法定代表人（自然人）本人直接</w:t>
      </w:r>
      <w:r>
        <w:rPr>
          <w:rFonts w:hint="eastAsia" w:ascii="宋体" w:hAnsi="宋体" w:eastAsia="宋体" w:cs="宋体"/>
          <w:b/>
          <w:bCs/>
          <w:color w:val="auto"/>
          <w:sz w:val="22"/>
          <w:szCs w:val="22"/>
          <w:highlight w:val="none"/>
          <w:lang w:val="en-US" w:eastAsia="zh-CN"/>
        </w:rPr>
        <w:t>参与投标</w:t>
      </w:r>
      <w:r>
        <w:rPr>
          <w:rFonts w:hint="eastAsia" w:ascii="宋体" w:hAnsi="宋体" w:eastAsia="宋体" w:cs="宋体"/>
          <w:b/>
          <w:bCs/>
          <w:color w:val="auto"/>
          <w:sz w:val="22"/>
          <w:szCs w:val="22"/>
          <w:highlight w:val="none"/>
          <w:lang w:val="zh-CN"/>
        </w:rPr>
        <w:t>的不填写本部分内容。</w:t>
      </w:r>
    </w:p>
    <w:p>
      <w:pPr>
        <w:keepLines/>
        <w:pageBreakBefore/>
        <w:spacing w:line="360" w:lineRule="auto"/>
        <w:jc w:val="center"/>
        <w:outlineLvl w:val="1"/>
        <w:rPr>
          <w:rFonts w:hint="eastAsia" w:ascii="宋体" w:hAnsi="宋体" w:eastAsia="宋体" w:cs="宋体"/>
          <w:b/>
          <w:color w:val="000000"/>
          <w:sz w:val="32"/>
          <w:szCs w:val="32"/>
          <w:lang w:eastAsia="zh-CN"/>
        </w:rPr>
      </w:pPr>
      <w:bookmarkStart w:id="144" w:name="_Toc7914"/>
      <w:bookmarkStart w:id="145" w:name="_Toc3574"/>
      <w:bookmarkStart w:id="146" w:name="_Toc500323115"/>
      <w:bookmarkStart w:id="147" w:name="_Toc16310"/>
      <w:bookmarkStart w:id="148" w:name="_Toc16976"/>
      <w:r>
        <w:rPr>
          <w:rFonts w:hint="eastAsia" w:ascii="宋体" w:hAnsi="宋体" w:eastAsia="宋体" w:cs="宋体"/>
          <w:b/>
          <w:color w:val="000000"/>
          <w:sz w:val="32"/>
          <w:szCs w:val="32"/>
          <w:lang w:eastAsia="zh-CN"/>
        </w:rPr>
        <w:t>保证金缴纳</w:t>
      </w:r>
      <w:bookmarkEnd w:id="144"/>
    </w:p>
    <w:p>
      <w:pPr>
        <w:keepLines/>
        <w:pageBreakBefore/>
        <w:spacing w:line="360" w:lineRule="auto"/>
        <w:jc w:val="center"/>
        <w:outlineLvl w:val="1"/>
        <w:rPr>
          <w:rFonts w:hint="eastAsia" w:ascii="宋体" w:hAnsi="宋体" w:eastAsia="宋体" w:cs="宋体"/>
          <w:b/>
          <w:color w:val="000000"/>
          <w:sz w:val="32"/>
          <w:szCs w:val="32"/>
        </w:rPr>
      </w:pPr>
      <w:bookmarkStart w:id="149" w:name="_Toc29892"/>
      <w:r>
        <w:rPr>
          <w:rFonts w:hint="eastAsia" w:ascii="宋体" w:hAnsi="宋体" w:eastAsia="宋体" w:cs="宋体"/>
          <w:b/>
          <w:color w:val="000000"/>
          <w:sz w:val="32"/>
          <w:szCs w:val="32"/>
          <w:lang w:eastAsia="zh-CN"/>
        </w:rPr>
        <w:t>五</w:t>
      </w:r>
      <w:r>
        <w:rPr>
          <w:rFonts w:hint="eastAsia" w:ascii="宋体" w:hAnsi="宋体" w:eastAsia="宋体" w:cs="宋体"/>
          <w:b/>
          <w:color w:val="000000"/>
          <w:sz w:val="32"/>
          <w:szCs w:val="32"/>
        </w:rPr>
        <w:t>、技术</w:t>
      </w:r>
      <w:bookmarkEnd w:id="145"/>
      <w:bookmarkEnd w:id="146"/>
      <w:bookmarkEnd w:id="147"/>
      <w:r>
        <w:rPr>
          <w:rFonts w:hint="eastAsia" w:ascii="宋体" w:hAnsi="宋体" w:eastAsia="宋体" w:cs="宋体"/>
          <w:b/>
          <w:color w:val="000000"/>
          <w:sz w:val="32"/>
          <w:szCs w:val="32"/>
        </w:rPr>
        <w:t>部分</w:t>
      </w:r>
      <w:bookmarkEnd w:id="148"/>
      <w:bookmarkEnd w:id="149"/>
    </w:p>
    <w:p>
      <w:pPr>
        <w:spacing w:line="360" w:lineRule="auto"/>
        <w:ind w:firstLine="411" w:firstLineChars="196"/>
        <w:rPr>
          <w:rFonts w:hint="eastAsia" w:ascii="宋体" w:hAnsi="宋体" w:eastAsia="宋体" w:cs="宋体"/>
          <w:color w:val="auto"/>
          <w:sz w:val="21"/>
          <w:szCs w:val="21"/>
          <w:highlight w:val="none"/>
          <w:lang w:val="en-US" w:eastAsia="zh-CN"/>
        </w:rPr>
      </w:pP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注：磋商方案无固定格式，供应商根据采购</w:t>
      </w:r>
      <w:r>
        <w:rPr>
          <w:rFonts w:hint="eastAsia" w:ascii="宋体" w:hAnsi="宋体" w:eastAsia="宋体" w:cs="宋体"/>
          <w:b/>
          <w:color w:val="auto"/>
          <w:szCs w:val="24"/>
          <w:highlight w:val="none"/>
          <w:lang w:eastAsia="zh-CN"/>
        </w:rPr>
        <w:t>需求及</w:t>
      </w: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3详细评审标准，可自主编写方案说明，包含但不限于以上内容）</w:t>
      </w:r>
    </w:p>
    <w:p>
      <w:pPr>
        <w:outlineLvl w:val="9"/>
        <w:rPr>
          <w:rFonts w:hint="eastAsia" w:ascii="宋体" w:hAnsi="宋体" w:eastAsia="宋体" w:cs="宋体"/>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1470" w:right="1470"/>
        <w:rPr>
          <w:rFonts w:hint="eastAsia" w:ascii="宋体" w:hAnsi="宋体" w:eastAsia="宋体" w:cs="宋体"/>
          <w:color w:val="000000"/>
          <w:sz w:val="28"/>
          <w:szCs w:val="28"/>
        </w:rPr>
      </w:pPr>
    </w:p>
    <w:p>
      <w:pPr>
        <w:pStyle w:val="10"/>
        <w:ind w:left="0" w:leftChars="0" w:right="1470"/>
        <w:rPr>
          <w:rFonts w:hint="eastAsia" w:ascii="宋体" w:hAnsi="宋体" w:eastAsia="宋体" w:cs="宋体"/>
          <w:color w:val="000000"/>
          <w:sz w:val="28"/>
          <w:szCs w:val="28"/>
        </w:rPr>
      </w:pPr>
    </w:p>
    <w:p>
      <w:pPr>
        <w:keepLines/>
        <w:pageBreakBefore/>
        <w:spacing w:line="360" w:lineRule="auto"/>
        <w:jc w:val="center"/>
        <w:outlineLvl w:val="1"/>
        <w:rPr>
          <w:rFonts w:hint="eastAsia" w:ascii="宋体" w:hAnsi="宋体" w:eastAsia="宋体" w:cs="宋体"/>
          <w:b/>
          <w:color w:val="000000"/>
          <w:sz w:val="28"/>
          <w:szCs w:val="28"/>
        </w:rPr>
      </w:pPr>
      <w:bookmarkStart w:id="150" w:name="_Toc6747"/>
      <w:bookmarkStart w:id="151" w:name="_Toc500323116"/>
      <w:bookmarkStart w:id="152" w:name="_Toc7931"/>
      <w:bookmarkStart w:id="153" w:name="_Toc14452"/>
      <w:bookmarkStart w:id="154" w:name="_Toc26138"/>
      <w:bookmarkStart w:id="155" w:name="_Toc29478"/>
      <w:r>
        <w:rPr>
          <w:rFonts w:hint="eastAsia" w:ascii="宋体" w:hAnsi="宋体" w:eastAsia="宋体" w:cs="宋体"/>
          <w:b/>
          <w:color w:val="000000"/>
          <w:sz w:val="32"/>
          <w:szCs w:val="32"/>
          <w:lang w:eastAsia="zh-CN"/>
        </w:rPr>
        <w:t>六</w:t>
      </w:r>
      <w:r>
        <w:rPr>
          <w:rFonts w:hint="eastAsia" w:ascii="宋体" w:hAnsi="宋体" w:eastAsia="宋体" w:cs="宋体"/>
          <w:b/>
          <w:color w:val="000000"/>
          <w:sz w:val="32"/>
          <w:szCs w:val="32"/>
        </w:rPr>
        <w:t>、商务</w:t>
      </w:r>
      <w:bookmarkEnd w:id="150"/>
      <w:bookmarkEnd w:id="151"/>
      <w:bookmarkEnd w:id="152"/>
      <w:bookmarkEnd w:id="153"/>
      <w:r>
        <w:rPr>
          <w:rFonts w:hint="eastAsia" w:ascii="宋体" w:hAnsi="宋体" w:eastAsia="宋体" w:cs="宋体"/>
          <w:b/>
          <w:color w:val="000000"/>
          <w:sz w:val="32"/>
          <w:szCs w:val="32"/>
        </w:rPr>
        <w:t>部分</w:t>
      </w:r>
      <w:bookmarkEnd w:id="154"/>
      <w:bookmarkEnd w:id="155"/>
    </w:p>
    <w:p>
      <w:pPr>
        <w:pStyle w:val="28"/>
        <w:rPr>
          <w:rFonts w:hint="eastAsia" w:ascii="宋体" w:hAnsi="宋体" w:eastAsia="宋体" w:cs="宋体"/>
          <w:sz w:val="21"/>
          <w:szCs w:val="21"/>
          <w:lang w:val="en-US" w:eastAsia="zh-CN"/>
        </w:rPr>
      </w:pPr>
    </w:p>
    <w:p>
      <w:pPr>
        <w:spacing w:line="360" w:lineRule="auto"/>
        <w:ind w:firstLine="413" w:firstLineChars="196"/>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注：磋商方案无固定格式，供应商根据采购</w:t>
      </w:r>
      <w:r>
        <w:rPr>
          <w:rFonts w:hint="eastAsia" w:ascii="宋体" w:hAnsi="宋体" w:eastAsia="宋体" w:cs="宋体"/>
          <w:b/>
          <w:bCs/>
          <w:color w:val="000000"/>
          <w:sz w:val="21"/>
          <w:szCs w:val="21"/>
          <w:lang w:eastAsia="zh-CN"/>
        </w:rPr>
        <w:t>需求</w:t>
      </w:r>
      <w:r>
        <w:rPr>
          <w:rFonts w:hint="eastAsia" w:ascii="宋体" w:hAnsi="宋体" w:eastAsia="宋体" w:cs="宋体"/>
          <w:b/>
          <w:color w:val="auto"/>
          <w:szCs w:val="24"/>
          <w:highlight w:val="none"/>
          <w:lang w:eastAsia="zh-CN"/>
        </w:rPr>
        <w:t>及</w:t>
      </w: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3详细评审标准</w:t>
      </w:r>
      <w:r>
        <w:rPr>
          <w:rFonts w:hint="eastAsia" w:ascii="宋体" w:hAnsi="宋体" w:eastAsia="宋体" w:cs="宋体"/>
          <w:b/>
          <w:bCs/>
          <w:color w:val="000000"/>
          <w:sz w:val="21"/>
          <w:szCs w:val="21"/>
        </w:rPr>
        <w:t>，可自主编写方案说明，包含但不限于以上内容）</w:t>
      </w:r>
    </w:p>
    <w:p>
      <w:pPr>
        <w:spacing w:line="360" w:lineRule="auto"/>
        <w:ind w:firstLine="551" w:firstLineChars="196"/>
        <w:rPr>
          <w:rFonts w:hint="eastAsia" w:ascii="宋体" w:hAnsi="宋体" w:eastAsia="宋体" w:cs="宋体"/>
          <w:b/>
          <w:bCs/>
          <w:color w:val="000000"/>
          <w:sz w:val="28"/>
          <w:szCs w:val="28"/>
        </w:rPr>
      </w:pPr>
    </w:p>
    <w:p>
      <w:pPr>
        <w:pStyle w:val="10"/>
        <w:rPr>
          <w:rFonts w:hint="eastAsia" w:ascii="宋体" w:hAnsi="宋体" w:eastAsia="宋体" w:cs="宋体"/>
        </w:rPr>
      </w:pPr>
    </w:p>
    <w:p>
      <w:pPr>
        <w:spacing w:line="360" w:lineRule="auto"/>
        <w:ind w:firstLine="560" w:firstLineChars="200"/>
        <w:rPr>
          <w:rFonts w:hint="eastAsia" w:ascii="宋体" w:hAnsi="宋体" w:eastAsia="宋体" w:cs="宋体"/>
          <w:color w:val="000000"/>
          <w:sz w:val="28"/>
          <w:szCs w:val="28"/>
        </w:rPr>
      </w:pPr>
    </w:p>
    <w:bookmarkEnd w:id="142"/>
    <w:bookmarkEnd w:id="143"/>
    <w:p>
      <w:pPr>
        <w:keepLines/>
        <w:pageBreakBefore/>
        <w:spacing w:line="360" w:lineRule="auto"/>
        <w:jc w:val="center"/>
        <w:outlineLvl w:val="1"/>
        <w:rPr>
          <w:rFonts w:hint="eastAsia" w:ascii="宋体" w:hAnsi="宋体" w:eastAsia="宋体" w:cs="宋体"/>
          <w:b/>
          <w:color w:val="000000"/>
          <w:sz w:val="28"/>
          <w:szCs w:val="28"/>
        </w:rPr>
      </w:pPr>
      <w:bookmarkStart w:id="156" w:name="_Toc500323117"/>
      <w:bookmarkStart w:id="157" w:name="_Toc729"/>
      <w:bookmarkStart w:id="158" w:name="_Toc21390"/>
      <w:bookmarkStart w:id="159" w:name="_Toc1693"/>
      <w:bookmarkStart w:id="160" w:name="_Toc19179"/>
      <w:r>
        <w:rPr>
          <w:rFonts w:hint="eastAsia" w:ascii="宋体" w:hAnsi="宋体" w:eastAsia="宋体" w:cs="宋体"/>
          <w:b/>
          <w:color w:val="000000"/>
          <w:sz w:val="32"/>
          <w:szCs w:val="32"/>
          <w:lang w:eastAsia="zh-CN"/>
        </w:rPr>
        <w:t>七</w:t>
      </w:r>
      <w:r>
        <w:rPr>
          <w:rFonts w:hint="eastAsia" w:ascii="宋体" w:hAnsi="宋体" w:eastAsia="宋体" w:cs="宋体"/>
          <w:b/>
          <w:color w:val="000000"/>
          <w:sz w:val="32"/>
          <w:szCs w:val="32"/>
        </w:rPr>
        <w:t>、供应商承诺书</w:t>
      </w:r>
      <w:bookmarkEnd w:id="156"/>
      <w:bookmarkEnd w:id="157"/>
      <w:bookmarkEnd w:id="158"/>
      <w:bookmarkEnd w:id="159"/>
    </w:p>
    <w:p>
      <w:pPr>
        <w:spacing w:line="360" w:lineRule="auto"/>
        <w:ind w:firstLine="420" w:firstLineChars="200"/>
        <w:rPr>
          <w:rFonts w:hint="eastAsia" w:ascii="宋体" w:hAnsi="宋体" w:eastAsia="宋体" w:cs="宋体"/>
          <w:color w:val="000000"/>
          <w:sz w:val="21"/>
          <w:szCs w:val="21"/>
        </w:rPr>
      </w:pPr>
      <w:bookmarkStart w:id="161" w:name="_Toc424757670"/>
      <w:bookmarkStart w:id="162" w:name="_Toc371331512"/>
      <w:bookmarkStart w:id="163" w:name="_Toc359828206"/>
      <w:bookmarkStart w:id="164" w:name="_Toc361383542"/>
      <w:bookmarkStart w:id="165" w:name="_Toc361393208"/>
      <w:bookmarkStart w:id="166" w:name="_Toc371521076"/>
      <w:bookmarkStart w:id="167" w:name="_Toc359592510"/>
      <w:bookmarkStart w:id="168" w:name="_Toc371521419"/>
      <w:bookmarkStart w:id="169" w:name="_Toc424816795"/>
      <w:bookmarkStart w:id="170" w:name="_Toc371521013"/>
      <w:bookmarkStart w:id="171" w:name="_Toc359508067"/>
      <w:bookmarkStart w:id="172" w:name="_Toc367714248"/>
      <w:bookmarkStart w:id="173" w:name="_Toc371451563"/>
      <w:r>
        <w:rPr>
          <w:rFonts w:hint="eastAsia" w:ascii="宋体" w:hAnsi="宋体" w:eastAsia="宋体" w:cs="宋体"/>
          <w:color w:val="000000"/>
          <w:sz w:val="21"/>
          <w:szCs w:val="21"/>
        </w:rPr>
        <w:t>注：</w:t>
      </w:r>
      <w:bookmarkEnd w:id="161"/>
      <w:bookmarkEnd w:id="162"/>
      <w:bookmarkEnd w:id="163"/>
      <w:bookmarkEnd w:id="164"/>
      <w:bookmarkEnd w:id="165"/>
      <w:bookmarkEnd w:id="166"/>
      <w:bookmarkEnd w:id="167"/>
      <w:bookmarkEnd w:id="168"/>
      <w:bookmarkEnd w:id="169"/>
      <w:bookmarkEnd w:id="170"/>
      <w:bookmarkEnd w:id="171"/>
      <w:bookmarkEnd w:id="172"/>
      <w:bookmarkEnd w:id="173"/>
    </w:p>
    <w:p>
      <w:pPr>
        <w:spacing w:line="360" w:lineRule="auto"/>
        <w:ind w:firstLine="420" w:firstLineChars="200"/>
        <w:rPr>
          <w:rFonts w:hint="eastAsia" w:ascii="宋体" w:hAnsi="宋体" w:eastAsia="宋体" w:cs="宋体"/>
          <w:color w:val="000000"/>
          <w:sz w:val="21"/>
          <w:szCs w:val="21"/>
        </w:rPr>
      </w:pPr>
      <w:bookmarkStart w:id="174" w:name="_Toc371521014"/>
      <w:bookmarkStart w:id="175" w:name="_Toc359828207"/>
      <w:bookmarkStart w:id="176" w:name="_Toc371521077"/>
      <w:bookmarkStart w:id="177" w:name="_Toc371331513"/>
      <w:bookmarkStart w:id="178" w:name="_Toc371521420"/>
      <w:bookmarkStart w:id="179" w:name="_Toc371451564"/>
      <w:bookmarkStart w:id="180" w:name="_Toc361393209"/>
      <w:bookmarkStart w:id="181" w:name="_Toc424757671"/>
      <w:bookmarkStart w:id="182" w:name="_Toc359592511"/>
      <w:bookmarkStart w:id="183" w:name="_Toc424816796"/>
      <w:bookmarkStart w:id="184" w:name="_Toc359508068"/>
      <w:bookmarkStart w:id="185" w:name="_Toc361383543"/>
      <w:bookmarkStart w:id="186" w:name="_Toc367714249"/>
      <w:r>
        <w:rPr>
          <w:rFonts w:hint="eastAsia" w:ascii="宋体" w:hAnsi="宋体" w:eastAsia="宋体" w:cs="宋体"/>
          <w:color w:val="000000"/>
          <w:sz w:val="21"/>
          <w:szCs w:val="21"/>
        </w:rPr>
        <w:t>（1）未签署或者虚假承诺签署本承诺书的，其责任由供应商自行承担。</w:t>
      </w:r>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ind w:firstLine="420" w:firstLineChars="200"/>
        <w:rPr>
          <w:rFonts w:hint="eastAsia" w:ascii="宋体" w:hAnsi="宋体" w:eastAsia="宋体" w:cs="宋体"/>
          <w:color w:val="000000"/>
          <w:sz w:val="21"/>
          <w:szCs w:val="21"/>
        </w:rPr>
      </w:pPr>
      <w:bookmarkStart w:id="187" w:name="_Toc361393210"/>
      <w:bookmarkStart w:id="188" w:name="_Toc367714250"/>
      <w:bookmarkStart w:id="189" w:name="_Toc359592512"/>
      <w:bookmarkStart w:id="190" w:name="_Toc424757672"/>
      <w:bookmarkStart w:id="191" w:name="_Toc371521078"/>
      <w:bookmarkStart w:id="192" w:name="_Toc371521015"/>
      <w:bookmarkStart w:id="193" w:name="_Toc424816797"/>
      <w:bookmarkStart w:id="194" w:name="_Toc371451565"/>
      <w:bookmarkStart w:id="195" w:name="_Toc371521421"/>
      <w:bookmarkStart w:id="196" w:name="_Toc361383544"/>
      <w:bookmarkStart w:id="197" w:name="_Toc359828208"/>
      <w:bookmarkStart w:id="198" w:name="_Toc371331514"/>
      <w:bookmarkStart w:id="199" w:name="_Toc359508069"/>
      <w:r>
        <w:rPr>
          <w:rFonts w:hint="eastAsia" w:ascii="宋体" w:hAnsi="宋体" w:eastAsia="宋体" w:cs="宋体"/>
          <w:color w:val="000000"/>
          <w:sz w:val="21"/>
          <w:szCs w:val="21"/>
        </w:rPr>
        <w:t>（2）编制的响应文件须装订原件。</w:t>
      </w:r>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承诺书（一）</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noWrap w:val="0"/>
            <w:vAlign w:val="center"/>
          </w:tcPr>
          <w:p>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致：</w:t>
            </w:r>
            <w:r>
              <w:rPr>
                <w:rFonts w:hint="eastAsia" w:ascii="宋体" w:hAnsi="宋体" w:eastAsia="宋体" w:cs="宋体"/>
                <w:color w:val="000000"/>
                <w:sz w:val="21"/>
                <w:szCs w:val="21"/>
                <w:lang w:eastAsia="zh-CN"/>
              </w:rPr>
              <w:t>陕西楚元项目管理有限公司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noWrap w:val="0"/>
            <w:vAlign w:val="center"/>
          </w:tcPr>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作为参加贵公司组织的招标采购项目的供应商，本公司承诺：在参加本项目磋商之前</w:t>
            </w:r>
            <w:r>
              <w:rPr>
                <w:rFonts w:hint="eastAsia" w:ascii="宋体" w:hAnsi="宋体" w:eastAsia="宋体" w:cs="宋体"/>
                <w:sz w:val="21"/>
                <w:szCs w:val="21"/>
              </w:rPr>
              <w:t>三年内</w:t>
            </w:r>
            <w:r>
              <w:rPr>
                <w:rFonts w:hint="eastAsia" w:ascii="宋体" w:hAnsi="宋体" w:eastAsia="宋体" w:cs="宋体"/>
                <w:color w:val="000000"/>
                <w:sz w:val="21"/>
                <w:szCs w:val="21"/>
              </w:rPr>
              <w:t>不存在被依法禁止经营行为、财产被接管或冻结、</w:t>
            </w:r>
            <w:r>
              <w:rPr>
                <w:rFonts w:hint="eastAsia" w:ascii="宋体" w:hAnsi="宋体" w:eastAsia="宋体" w:cs="宋体"/>
                <w:sz w:val="21"/>
                <w:szCs w:val="21"/>
              </w:rPr>
              <w:t>合同纠纷、经营异常</w:t>
            </w:r>
            <w:r>
              <w:rPr>
                <w:rFonts w:hint="eastAsia" w:ascii="宋体" w:hAnsi="宋体" w:eastAsia="宋体" w:cs="宋体"/>
                <w:color w:val="000000"/>
                <w:sz w:val="21"/>
                <w:szCs w:val="21"/>
              </w:rPr>
              <w:t>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供应商</w:t>
            </w:r>
          </w:p>
        </w:tc>
        <w:tc>
          <w:tcPr>
            <w:tcW w:w="294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3000"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312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（单位公章）</w:t>
            </w:r>
          </w:p>
        </w:tc>
        <w:tc>
          <w:tcPr>
            <w:tcW w:w="294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和盖章</w:t>
            </w:r>
            <w:r>
              <w:rPr>
                <w:rFonts w:hint="eastAsia" w:ascii="宋体" w:hAnsi="宋体" w:eastAsia="宋体" w:cs="宋体"/>
                <w:color w:val="000000"/>
                <w:sz w:val="21"/>
                <w:szCs w:val="21"/>
              </w:rPr>
              <w:t>）</w:t>
            </w:r>
          </w:p>
        </w:tc>
        <w:tc>
          <w:tcPr>
            <w:tcW w:w="3000"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pPr>
        <w:pStyle w:val="8"/>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pStyle w:val="8"/>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pStyle w:val="8"/>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pStyle w:val="8"/>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rPr>
          <w:rFonts w:hint="eastAsia" w:ascii="宋体" w:hAnsi="宋体" w:eastAsia="宋体" w:cs="宋体"/>
          <w:sz w:val="21"/>
          <w:szCs w:val="21"/>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承诺书（二）</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072" w:type="dxa"/>
            <w:gridSpan w:val="3"/>
            <w:noWrap w:val="0"/>
            <w:vAlign w:val="center"/>
          </w:tcPr>
          <w:p>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致：</w:t>
            </w:r>
            <w:r>
              <w:rPr>
                <w:rFonts w:hint="eastAsia" w:ascii="宋体" w:hAnsi="宋体" w:eastAsia="宋体" w:cs="宋体"/>
                <w:color w:val="000000"/>
                <w:sz w:val="21"/>
                <w:szCs w:val="21"/>
                <w:lang w:eastAsia="zh-CN"/>
              </w:rPr>
              <w:t>陕西楚元项目管理有限公司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9072" w:type="dxa"/>
            <w:gridSpan w:val="3"/>
            <w:noWrap w:val="0"/>
            <w:vAlign w:val="center"/>
          </w:tcPr>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作为参加贵公司组织的竞争性磋商的供应商，本公司承诺：近三年受到有关行政主管部门的行政处理、不良行为记录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次（没有填0），如有隐瞒实情，愿承担一切责任及后果。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供应商</w:t>
            </w:r>
          </w:p>
        </w:tc>
        <w:tc>
          <w:tcPr>
            <w:tcW w:w="2951"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3351"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（单位公章）</w:t>
            </w:r>
          </w:p>
        </w:tc>
        <w:tc>
          <w:tcPr>
            <w:tcW w:w="2951"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和盖章</w:t>
            </w:r>
            <w:r>
              <w:rPr>
                <w:rFonts w:hint="eastAsia" w:ascii="宋体" w:hAnsi="宋体" w:eastAsia="宋体" w:cs="宋体"/>
                <w:color w:val="000000"/>
                <w:sz w:val="21"/>
                <w:szCs w:val="21"/>
              </w:rPr>
              <w:t>）</w:t>
            </w:r>
          </w:p>
        </w:tc>
        <w:tc>
          <w:tcPr>
            <w:tcW w:w="3351"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pPr>
        <w:spacing w:line="360" w:lineRule="auto"/>
        <w:ind w:firstLine="105" w:firstLineChars="50"/>
        <w:jc w:val="center"/>
        <w:rPr>
          <w:rFonts w:hint="eastAsia" w:ascii="宋体" w:hAnsi="宋体" w:eastAsia="宋体" w:cs="宋体"/>
          <w:b/>
          <w:color w:val="000000"/>
          <w:sz w:val="21"/>
          <w:szCs w:val="21"/>
          <w:u w:val="single"/>
        </w:rPr>
      </w:pPr>
    </w:p>
    <w:p>
      <w:pPr>
        <w:spacing w:line="360" w:lineRule="auto"/>
        <w:ind w:firstLine="105" w:firstLineChars="50"/>
        <w:jc w:val="center"/>
        <w:rPr>
          <w:rFonts w:hint="eastAsia" w:ascii="宋体" w:hAnsi="宋体" w:eastAsia="宋体" w:cs="宋体"/>
          <w:b/>
          <w:color w:val="000000"/>
          <w:sz w:val="21"/>
          <w:szCs w:val="21"/>
          <w:u w:val="single"/>
        </w:rPr>
        <w:sectPr>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承诺书（三）</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072" w:type="dxa"/>
            <w:gridSpan w:val="3"/>
            <w:noWrap w:val="0"/>
            <w:vAlign w:val="center"/>
          </w:tcPr>
          <w:p>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致：</w:t>
            </w:r>
            <w:r>
              <w:rPr>
                <w:rFonts w:hint="eastAsia" w:ascii="宋体" w:hAnsi="宋体" w:eastAsia="宋体" w:cs="宋体"/>
                <w:color w:val="000000"/>
                <w:sz w:val="21"/>
                <w:szCs w:val="21"/>
                <w:lang w:eastAsia="zh-CN"/>
              </w:rPr>
              <w:t>陕西楚元项目管理有限公司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noWrap w:val="0"/>
            <w:vAlign w:val="center"/>
          </w:tcPr>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作为参加贵公司组织的竞争性磋商的供应商，</w:t>
            </w:r>
            <w:r>
              <w:rPr>
                <w:rFonts w:hint="eastAsia" w:ascii="宋体" w:hAnsi="宋体" w:eastAsia="宋体" w:cs="宋体"/>
                <w:sz w:val="21"/>
                <w:szCs w:val="21"/>
              </w:rPr>
              <w:t>本公司郑重</w:t>
            </w:r>
            <w:r>
              <w:rPr>
                <w:rFonts w:hint="eastAsia" w:ascii="宋体" w:hAnsi="宋体" w:eastAsia="宋体" w:cs="宋体"/>
                <w:color w:val="000000"/>
                <w:sz w:val="21"/>
                <w:szCs w:val="21"/>
              </w:rPr>
              <w:t>承诺：</w:t>
            </w:r>
            <w:r>
              <w:rPr>
                <w:rFonts w:hint="eastAsia" w:ascii="宋体" w:hAnsi="宋体" w:eastAsia="宋体" w:cs="宋体"/>
                <w:sz w:val="21"/>
                <w:szCs w:val="21"/>
              </w:rPr>
              <w:t>近三年因服务问题的不法行为记录为</w:t>
            </w:r>
            <w:r>
              <w:rPr>
                <w:rFonts w:hint="eastAsia" w:ascii="宋体" w:hAnsi="宋体" w:eastAsia="宋体" w:cs="宋体"/>
                <w:sz w:val="21"/>
                <w:szCs w:val="21"/>
                <w:u w:val="single"/>
              </w:rPr>
              <w:t xml:space="preserve">    </w:t>
            </w:r>
            <w:r>
              <w:rPr>
                <w:rFonts w:hint="eastAsia" w:ascii="宋体" w:hAnsi="宋体" w:eastAsia="宋体" w:cs="宋体"/>
                <w:sz w:val="21"/>
                <w:szCs w:val="21"/>
              </w:rPr>
              <w:t>次（没有填0）</w:t>
            </w:r>
            <w:r>
              <w:rPr>
                <w:rFonts w:hint="eastAsia" w:ascii="宋体" w:hAnsi="宋体" w:eastAsia="宋体" w:cs="宋体"/>
                <w:color w:val="000000"/>
                <w:sz w:val="21"/>
                <w:szCs w:val="21"/>
              </w:rPr>
              <w:t>，如有隐瞒实情，愿承担一切责任及后果。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供应商</w:t>
            </w:r>
          </w:p>
        </w:tc>
        <w:tc>
          <w:tcPr>
            <w:tcW w:w="2899"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3094"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（单位公章）</w:t>
            </w:r>
          </w:p>
        </w:tc>
        <w:tc>
          <w:tcPr>
            <w:tcW w:w="2899"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和盖章</w:t>
            </w:r>
            <w:r>
              <w:rPr>
                <w:rFonts w:hint="eastAsia" w:ascii="宋体" w:hAnsi="宋体" w:eastAsia="宋体" w:cs="宋体"/>
                <w:color w:val="000000"/>
                <w:sz w:val="21"/>
                <w:szCs w:val="21"/>
              </w:rPr>
              <w:t>）</w:t>
            </w:r>
          </w:p>
        </w:tc>
        <w:tc>
          <w:tcPr>
            <w:tcW w:w="3094"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pPr>
        <w:spacing w:line="360" w:lineRule="auto"/>
        <w:ind w:firstLine="420" w:firstLineChars="200"/>
        <w:rPr>
          <w:rFonts w:hint="eastAsia" w:ascii="宋体" w:hAnsi="宋体" w:eastAsia="宋体" w:cs="宋体"/>
          <w:color w:val="000000"/>
          <w:sz w:val="21"/>
          <w:szCs w:val="21"/>
        </w:rPr>
      </w:pPr>
    </w:p>
    <w:p>
      <w:pPr>
        <w:widowControl/>
        <w:spacing w:line="360" w:lineRule="auto"/>
        <w:jc w:val="center"/>
        <w:rPr>
          <w:rFonts w:hint="eastAsia" w:ascii="宋体" w:hAnsi="宋体" w:eastAsia="宋体" w:cs="宋体"/>
          <w:b/>
          <w:color w:val="000000"/>
          <w:sz w:val="21"/>
          <w:szCs w:val="21"/>
        </w:rPr>
      </w:pPr>
    </w:p>
    <w:p>
      <w:pPr>
        <w:widowControl/>
        <w:spacing w:line="360" w:lineRule="auto"/>
        <w:jc w:val="center"/>
        <w:rPr>
          <w:rFonts w:hint="eastAsia" w:ascii="宋体" w:hAnsi="宋体" w:eastAsia="宋体" w:cs="宋体"/>
          <w:b/>
          <w:color w:val="000000"/>
          <w:sz w:val="21"/>
          <w:szCs w:val="21"/>
        </w:rPr>
      </w:pPr>
    </w:p>
    <w:p>
      <w:pPr>
        <w:widowControl/>
        <w:spacing w:line="360" w:lineRule="auto"/>
        <w:jc w:val="center"/>
        <w:rPr>
          <w:rFonts w:hint="eastAsia" w:ascii="宋体" w:hAnsi="宋体" w:eastAsia="宋体" w:cs="宋体"/>
          <w:b/>
          <w:color w:val="000000"/>
          <w:sz w:val="28"/>
          <w:szCs w:val="28"/>
        </w:rPr>
      </w:pPr>
    </w:p>
    <w:p>
      <w:pPr>
        <w:widowControl/>
        <w:spacing w:line="360" w:lineRule="auto"/>
        <w:jc w:val="center"/>
        <w:rPr>
          <w:rFonts w:hint="eastAsia" w:ascii="宋体" w:hAnsi="宋体" w:eastAsia="宋体" w:cs="宋体"/>
          <w:b/>
          <w:color w:val="000000"/>
          <w:sz w:val="28"/>
          <w:szCs w:val="28"/>
        </w:rPr>
      </w:pPr>
    </w:p>
    <w:p>
      <w:pPr>
        <w:widowControl/>
        <w:spacing w:line="360" w:lineRule="auto"/>
        <w:jc w:val="center"/>
        <w:rPr>
          <w:rFonts w:hint="eastAsia" w:ascii="宋体" w:hAnsi="宋体" w:eastAsia="宋体" w:cs="宋体"/>
          <w:b/>
          <w:color w:val="000000"/>
          <w:sz w:val="28"/>
          <w:szCs w:val="28"/>
        </w:rPr>
      </w:pPr>
    </w:p>
    <w:p>
      <w:pPr>
        <w:widowControl/>
        <w:spacing w:line="360" w:lineRule="auto"/>
        <w:jc w:val="center"/>
        <w:rPr>
          <w:rFonts w:hint="eastAsia" w:ascii="宋体" w:hAnsi="宋体" w:eastAsia="宋体" w:cs="宋体"/>
          <w:b/>
          <w:color w:val="000000"/>
          <w:sz w:val="28"/>
          <w:szCs w:val="28"/>
        </w:rPr>
      </w:pPr>
    </w:p>
    <w:p>
      <w:pPr>
        <w:widowControl/>
        <w:spacing w:line="360" w:lineRule="auto"/>
        <w:jc w:val="center"/>
        <w:rPr>
          <w:rFonts w:hint="eastAsia" w:ascii="宋体" w:hAnsi="宋体" w:eastAsia="宋体" w:cs="宋体"/>
          <w:b/>
          <w:color w:val="000000"/>
          <w:sz w:val="28"/>
          <w:szCs w:val="28"/>
        </w:rPr>
      </w:pPr>
    </w:p>
    <w:p>
      <w:pPr>
        <w:widowControl/>
        <w:spacing w:line="360" w:lineRule="auto"/>
        <w:jc w:val="center"/>
        <w:rPr>
          <w:rFonts w:hint="eastAsia" w:ascii="宋体" w:hAnsi="宋体" w:eastAsia="宋体" w:cs="宋体"/>
          <w:b/>
          <w:color w:val="000000"/>
          <w:sz w:val="28"/>
          <w:szCs w:val="28"/>
        </w:rPr>
      </w:pPr>
    </w:p>
    <w:p>
      <w:pPr>
        <w:widowControl/>
        <w:spacing w:line="360" w:lineRule="auto"/>
        <w:jc w:val="center"/>
        <w:rPr>
          <w:rFonts w:hint="eastAsia" w:ascii="宋体" w:hAnsi="宋体" w:eastAsia="宋体" w:cs="宋体"/>
          <w:b/>
          <w:color w:val="000000"/>
          <w:sz w:val="28"/>
          <w:szCs w:val="28"/>
        </w:rPr>
      </w:pPr>
    </w:p>
    <w:p>
      <w:pPr>
        <w:widowControl/>
        <w:spacing w:line="360" w:lineRule="auto"/>
        <w:jc w:val="both"/>
        <w:rPr>
          <w:rFonts w:hint="eastAsia" w:ascii="宋体" w:hAnsi="宋体" w:eastAsia="宋体" w:cs="宋体"/>
          <w:b/>
          <w:color w:val="000000"/>
          <w:sz w:val="28"/>
          <w:szCs w:val="28"/>
        </w:rPr>
      </w:pPr>
    </w:p>
    <w:p>
      <w:pPr>
        <w:keepLines w:val="0"/>
        <w:pageBreakBefore w:val="0"/>
        <w:widowControl/>
        <w:spacing w:line="360" w:lineRule="auto"/>
        <w:ind w:firstLine="619" w:firstLineChars="200"/>
        <w:jc w:val="center"/>
        <w:outlineLvl w:val="1"/>
        <w:rPr>
          <w:rFonts w:hint="eastAsia" w:ascii="宋体" w:hAnsi="宋体" w:eastAsia="宋体" w:cs="宋体"/>
          <w:color w:val="000000"/>
          <w:kern w:val="0"/>
          <w:sz w:val="28"/>
          <w:szCs w:val="28"/>
        </w:rPr>
      </w:pPr>
      <w:bookmarkStart w:id="200" w:name="_Toc13585"/>
      <w:bookmarkStart w:id="201" w:name="_Toc14750"/>
      <w:bookmarkStart w:id="202" w:name="_Toc500323118"/>
      <w:bookmarkStart w:id="203" w:name="_Toc2424"/>
      <w:r>
        <w:rPr>
          <w:rFonts w:hint="eastAsia" w:ascii="宋体" w:hAnsi="宋体" w:eastAsia="宋体" w:cs="宋体"/>
          <w:b/>
          <w:color w:val="000000"/>
          <w:spacing w:val="-6"/>
          <w:sz w:val="32"/>
          <w:szCs w:val="32"/>
          <w:lang w:eastAsia="zh-CN"/>
        </w:rPr>
        <w:t>八</w:t>
      </w:r>
      <w:r>
        <w:rPr>
          <w:rFonts w:hint="eastAsia" w:ascii="宋体" w:hAnsi="宋体" w:eastAsia="宋体" w:cs="宋体"/>
          <w:b/>
          <w:color w:val="000000"/>
          <w:spacing w:val="-6"/>
          <w:sz w:val="32"/>
          <w:szCs w:val="32"/>
        </w:rPr>
        <w:t>、陕西省政府采购供应商拒绝政府采购领域商业贿赂承诺书</w:t>
      </w:r>
      <w:bookmarkEnd w:id="160"/>
      <w:bookmarkEnd w:id="200"/>
      <w:bookmarkEnd w:id="201"/>
      <w:bookmarkEnd w:id="202"/>
      <w:bookmarkEnd w:id="203"/>
    </w:p>
    <w:p>
      <w:pPr>
        <w:widowControl/>
        <w:spacing w:line="360" w:lineRule="auto"/>
        <w:ind w:firstLine="420" w:firstLineChars="200"/>
        <w:rPr>
          <w:rFonts w:hint="eastAsia" w:ascii="宋体" w:hAnsi="宋体" w:eastAsia="宋体" w:cs="宋体"/>
          <w:color w:val="000000"/>
          <w:kern w:val="0"/>
          <w:sz w:val="21"/>
          <w:szCs w:val="21"/>
        </w:rPr>
      </w:pP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为响应党中央、国务院关于治理政府采购领域商业贿赂行为的号召，我公司在此庄严承诺：</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1.在参与政府采购活动中遵纪守法、诚信经营、公平竞标。</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2.不向政府采购人、采购代理机构和政府采购评审专家进行任何形式的商业贿赂以谋取交易机会。</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3.不向政府采购代理机构和采购人提供虚假资质文件或采用虚假应标方式参与政府采购市场竞争并谋取中标、成交。</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4.不采取“围标、陪标”等商业欺诈手段获得政府采购定单。</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5.不采取不正当手段诋毁、排挤其他供应商。</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6.不在提供商品和服务时“偷梁换柱、以次充好”损害采购人的合法权益。</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7.不与采购人、采购代理机构政府采购评审专家或其它供应商恶意串通，进行质疑和投诉，维护政府采购市场秩序。</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8.尊重和接受政府采购监督管理部门的监督和政府采购代理机构招标采购要求，承担因违约行为给采购人造成的损失。</w:t>
      </w:r>
    </w:p>
    <w:p>
      <w:pPr>
        <w:widowControl/>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9.不发生其他有悖于政府采购公开、公平、公正和诚信原则的行为。</w:t>
      </w:r>
    </w:p>
    <w:p>
      <w:pPr>
        <w:widowControl/>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地  址：                        </w:t>
      </w:r>
    </w:p>
    <w:p>
      <w:pPr>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邮  编：</w:t>
      </w:r>
    </w:p>
    <w:p>
      <w:pPr>
        <w:spacing w:line="360" w:lineRule="auto"/>
        <w:ind w:firstLine="420" w:firstLineChars="200"/>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1"/>
          <w:szCs w:val="21"/>
        </w:rPr>
        <w:t>电  话：           </w:t>
      </w:r>
      <w:r>
        <w:rPr>
          <w:rFonts w:hint="eastAsia" w:ascii="宋体" w:hAnsi="宋体" w:eastAsia="宋体" w:cs="宋体"/>
          <w:color w:val="000000"/>
          <w:kern w:val="0"/>
          <w:sz w:val="28"/>
          <w:szCs w:val="28"/>
        </w:rPr>
        <w:t>             </w:t>
      </w:r>
    </w:p>
    <w:p>
      <w:pPr>
        <w:spacing w:line="360" w:lineRule="auto"/>
        <w:ind w:firstLine="562" w:firstLineChars="200"/>
        <w:rPr>
          <w:rFonts w:hint="eastAsia" w:ascii="宋体" w:hAnsi="宋体" w:eastAsia="宋体" w:cs="宋体"/>
          <w:b/>
          <w:color w:val="000000"/>
          <w:sz w:val="28"/>
          <w:szCs w:val="28"/>
        </w:rPr>
      </w:pP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供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 xml:space="preserve">应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法人或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none"/>
          <w:lang w:eastAsia="zh-CN"/>
        </w:rPr>
        <w:t>（</w:t>
      </w:r>
      <w:r>
        <w:rPr>
          <w:rFonts w:hint="eastAsia" w:ascii="宋体" w:hAnsi="宋体" w:eastAsia="宋体" w:cs="宋体"/>
          <w:b/>
          <w:color w:val="000000"/>
          <w:sz w:val="24"/>
          <w:szCs w:val="24"/>
          <w:u w:val="none"/>
        </w:rPr>
        <w:t>签字</w:t>
      </w:r>
      <w:r>
        <w:rPr>
          <w:rFonts w:hint="eastAsia" w:ascii="宋体" w:hAnsi="宋体" w:eastAsia="宋体" w:cs="宋体"/>
          <w:b/>
          <w:color w:val="000000"/>
          <w:sz w:val="24"/>
          <w:szCs w:val="24"/>
          <w:u w:val="none"/>
          <w:lang w:eastAsia="zh-CN"/>
        </w:rPr>
        <w:t>或盖章</w:t>
      </w:r>
      <w:r>
        <w:rPr>
          <w:rFonts w:hint="eastAsia" w:ascii="宋体" w:hAnsi="宋体" w:eastAsia="宋体" w:cs="宋体"/>
          <w:b/>
          <w:color w:val="000000"/>
          <w:sz w:val="24"/>
          <w:szCs w:val="24"/>
          <w:u w:val="none"/>
        </w:rPr>
        <w:t>）</w:t>
      </w:r>
      <w:r>
        <w:rPr>
          <w:rFonts w:hint="eastAsia" w:ascii="宋体" w:hAnsi="宋体" w:eastAsia="宋体" w:cs="宋体"/>
          <w:b/>
          <w:color w:val="000000"/>
          <w:sz w:val="24"/>
          <w:szCs w:val="24"/>
        </w:rPr>
        <w:t xml:space="preserve">  </w:t>
      </w:r>
    </w:p>
    <w:p>
      <w:pPr>
        <w:widowControl/>
        <w:spacing w:line="360" w:lineRule="auto"/>
        <w:ind w:firstLine="482"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 xml:space="preserve">日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期：   年    月    日</w:t>
      </w:r>
      <w:bookmarkStart w:id="204" w:name="_Toc425240486"/>
      <w:bookmarkStart w:id="205" w:name="_Toc500323119"/>
      <w:bookmarkStart w:id="206" w:name="_Toc19265"/>
      <w:bookmarkStart w:id="207" w:name="_Toc11275"/>
    </w:p>
    <w:p>
      <w:pPr>
        <w:pStyle w:val="8"/>
        <w:rPr>
          <w:rFonts w:hint="eastAsia" w:ascii="宋体" w:hAnsi="宋体" w:eastAsia="宋体" w:cs="宋体"/>
          <w:lang w:eastAsia="zh-CN"/>
        </w:rPr>
      </w:pPr>
    </w:p>
    <w:p>
      <w:pPr>
        <w:rPr>
          <w:rFonts w:hint="eastAsia" w:ascii="宋体" w:hAnsi="宋体" w:eastAsia="宋体" w:cs="宋体"/>
          <w:lang w:eastAsia="zh-CN"/>
        </w:rPr>
      </w:pPr>
    </w:p>
    <w:p>
      <w:pPr>
        <w:pStyle w:val="28"/>
        <w:rPr>
          <w:rFonts w:hint="eastAsia" w:ascii="宋体" w:hAnsi="宋体" w:eastAsia="宋体" w:cs="宋体"/>
          <w:lang w:eastAsia="zh-CN"/>
        </w:rPr>
      </w:pPr>
    </w:p>
    <w:p>
      <w:pPr>
        <w:pStyle w:val="28"/>
        <w:rPr>
          <w:rFonts w:hint="eastAsia" w:ascii="宋体" w:hAnsi="宋体" w:eastAsia="宋体" w:cs="宋体"/>
          <w:lang w:eastAsia="zh-CN"/>
        </w:rPr>
      </w:pPr>
    </w:p>
    <w:p>
      <w:pPr>
        <w:pStyle w:val="28"/>
        <w:rPr>
          <w:rFonts w:hint="eastAsia" w:ascii="宋体" w:hAnsi="宋体" w:eastAsia="宋体" w:cs="宋体"/>
          <w:lang w:eastAsia="zh-CN"/>
        </w:rPr>
      </w:pPr>
    </w:p>
    <w:p>
      <w:pPr>
        <w:widowControl/>
        <w:spacing w:line="360" w:lineRule="auto"/>
        <w:ind w:firstLine="562" w:firstLineChars="200"/>
        <w:jc w:val="center"/>
        <w:rPr>
          <w:rFonts w:hint="eastAsia" w:ascii="宋体" w:hAnsi="宋体" w:eastAsia="宋体" w:cs="宋体"/>
          <w:b/>
          <w:color w:val="000000"/>
          <w:sz w:val="28"/>
          <w:szCs w:val="28"/>
          <w:lang w:eastAsia="zh-CN"/>
        </w:rPr>
      </w:pPr>
    </w:p>
    <w:bookmarkEnd w:id="204"/>
    <w:p>
      <w:pPr>
        <w:widowControl/>
        <w:numPr>
          <w:ilvl w:val="0"/>
          <w:numId w:val="5"/>
        </w:numPr>
        <w:spacing w:line="360" w:lineRule="auto"/>
        <w:ind w:firstLine="643" w:firstLineChars="200"/>
        <w:jc w:val="center"/>
        <w:outlineLvl w:val="1"/>
        <w:rPr>
          <w:rFonts w:hint="eastAsia" w:ascii="宋体" w:hAnsi="宋体" w:eastAsia="宋体" w:cs="宋体"/>
          <w:b/>
          <w:color w:val="000000"/>
          <w:sz w:val="32"/>
          <w:szCs w:val="32"/>
        </w:rPr>
      </w:pPr>
      <w:bookmarkStart w:id="208" w:name="_Toc28957"/>
      <w:r>
        <w:rPr>
          <w:rFonts w:hint="eastAsia" w:ascii="宋体" w:hAnsi="宋体" w:eastAsia="宋体" w:cs="宋体"/>
          <w:b/>
          <w:color w:val="000000"/>
          <w:sz w:val="32"/>
          <w:szCs w:val="32"/>
        </w:rPr>
        <w:t>资格审查资料</w:t>
      </w:r>
      <w:bookmarkEnd w:id="205"/>
      <w:bookmarkEnd w:id="206"/>
      <w:bookmarkEnd w:id="207"/>
      <w:bookmarkEnd w:id="208"/>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bookmarkStart w:id="209" w:name="_Toc25286"/>
      <w:bookmarkStart w:id="210" w:name="_Toc421778393"/>
      <w:bookmarkStart w:id="211" w:name="_Toc425240488"/>
      <w:bookmarkStart w:id="212" w:name="_Toc420591675"/>
      <w:bookmarkStart w:id="213" w:name="_Toc410976269"/>
      <w:bookmarkStart w:id="214" w:name="_Toc17898"/>
      <w:r>
        <w:rPr>
          <w:rFonts w:hint="eastAsia" w:ascii="宋体" w:hAnsi="宋体" w:eastAsia="宋体" w:cs="宋体"/>
          <w:b w:val="0"/>
          <w:color w:val="auto"/>
          <w:sz w:val="21"/>
          <w:szCs w:val="21"/>
          <w:highlight w:val="none"/>
          <w:lang w:val="en-US" w:eastAsia="zh-CN"/>
        </w:rPr>
        <w:t>（1）具有独立承担民事责任能力的法人或其他组织，提供合法有效的统一社会信用代码的营业执照（含年度报告）或事业单位法人证书等国家规定的相关证明，自然人参与的提供其身份证明；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（2）银行开户许可证或开户行基本信息；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（3）法定代表人授权书（委托代理人参加须提供法定代表人授权书、法定代表人身份证复印件及被授权人身份证）或法定代表人身份证（法定代表人直接参加只须提供本人身份证）；</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（4）供应商应出具参加政府采购活动前3年内在经营活动中没有重大违法记录的书面声明；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（5）税收缴纳证明：提供</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202</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月至今已缴存的至少一个月</w:t>
      </w:r>
      <w:r>
        <w:rPr>
          <w:rFonts w:hint="eastAsia" w:ascii="宋体" w:hAnsi="宋体" w:eastAsia="宋体" w:cs="宋体"/>
          <w:b w:val="0"/>
          <w:color w:val="auto"/>
          <w:sz w:val="21"/>
          <w:szCs w:val="21"/>
          <w:highlight w:val="none"/>
          <w:lang w:val="en-US" w:eastAsia="zh-CN"/>
        </w:rPr>
        <w:t>的纳税证明或完税证明，纳税证明或完税证明上应有代收机构或税务机关的公章。依法免税的供应商应提供相关文件证明；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（6）社会保障资金缴纳证明：提供</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202</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月至今已缴存的至少一个月</w:t>
      </w:r>
      <w:r>
        <w:rPr>
          <w:rFonts w:hint="eastAsia" w:ascii="宋体" w:hAnsi="宋体" w:eastAsia="宋体" w:cs="宋体"/>
          <w:b w:val="0"/>
          <w:color w:val="auto"/>
          <w:sz w:val="21"/>
          <w:szCs w:val="21"/>
          <w:highlight w:val="none"/>
          <w:lang w:val="en-US" w:eastAsia="zh-CN"/>
        </w:rPr>
        <w:t>的社会保障资金缴存单据或社保机构开具的社会保险参保缴费情况证明，依法不需要缴纳社会保障资金的供应商应提供相关文件证明；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（7）财务状况报告：提供202</w:t>
      </w:r>
      <w:r>
        <w:rPr>
          <w:rFonts w:hint="eastAsia"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val="en-US" w:eastAsia="zh-CN"/>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（8）供应商未被列入“信用中国”网站严重失信主体名单和重大税收违法失信主体；中国政府采购网政府采购严重违法失信行为记录名单中被财政部门禁止参加政府采购活动的供应商；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（9）中小企业执行情况：本项目专门面向中小企业采购；</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1"/>
          <w:szCs w:val="21"/>
          <w:lang w:eastAsia="zh-CN"/>
        </w:rPr>
        <w:t>注：</w:t>
      </w:r>
      <w:r>
        <w:rPr>
          <w:rFonts w:hint="eastAsia" w:ascii="宋体" w:hAnsi="宋体" w:eastAsia="宋体" w:cs="宋体"/>
          <w:b/>
          <w:color w:val="000000"/>
          <w:sz w:val="21"/>
          <w:szCs w:val="21"/>
        </w:rPr>
        <w:t>以上资格证明文件为供应商的必备文件，有给定格式的需按照磋商文件给定格式提供，若供应商资格证明文件不符合审查要求，将按无效响应处理。</w:t>
      </w:r>
      <w:r>
        <w:rPr>
          <w:rFonts w:hint="eastAsia" w:ascii="宋体" w:hAnsi="宋体" w:eastAsia="宋体" w:cs="宋体"/>
          <w:color w:val="000000"/>
          <w:sz w:val="21"/>
          <w:szCs w:val="21"/>
        </w:rPr>
        <w:br w:type="page"/>
      </w:r>
      <w:bookmarkStart w:id="215" w:name="_Hlk518637502"/>
      <w:bookmarkStart w:id="216" w:name="_Hlk519176925"/>
      <w:r>
        <w:rPr>
          <w:rFonts w:hint="eastAsia" w:ascii="宋体" w:hAnsi="宋体" w:eastAsia="宋体" w:cs="宋体"/>
          <w:b/>
          <w:color w:val="000000"/>
          <w:sz w:val="28"/>
          <w:szCs w:val="28"/>
        </w:rPr>
        <w:t>附件1</w:t>
      </w:r>
    </w:p>
    <w:p>
      <w:pPr>
        <w:autoSpaceDE/>
        <w:autoSpaceDN/>
        <w:adjustRightInd/>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参加政府采购活动前3年内在经营活动中没有重大违法记录的</w:t>
      </w:r>
    </w:p>
    <w:p>
      <w:pPr>
        <w:autoSpaceDE/>
        <w:autoSpaceDN/>
        <w:adjustRightInd/>
        <w:spacing w:line="360" w:lineRule="auto"/>
        <w:jc w:val="center"/>
        <w:rPr>
          <w:rFonts w:hint="eastAsia" w:ascii="宋体" w:hAnsi="宋体" w:eastAsia="宋体" w:cs="宋体"/>
          <w:lang w:eastAsia="zh-CN"/>
        </w:rPr>
      </w:pPr>
      <w:r>
        <w:rPr>
          <w:rFonts w:hint="eastAsia" w:ascii="宋体" w:hAnsi="宋体" w:eastAsia="宋体" w:cs="宋体"/>
          <w:b/>
          <w:color w:val="000000"/>
          <w:sz w:val="32"/>
          <w:szCs w:val="32"/>
        </w:rPr>
        <w:t>书面声明</w:t>
      </w:r>
      <w:r>
        <w:rPr>
          <w:rFonts w:hint="eastAsia" w:ascii="宋体" w:hAnsi="宋体" w:eastAsia="宋体" w:cs="宋体"/>
          <w:b/>
          <w:color w:val="000000"/>
          <w:sz w:val="32"/>
          <w:szCs w:val="32"/>
          <w:lang w:eastAsia="zh-CN"/>
        </w:rPr>
        <w:t>（格式）</w:t>
      </w:r>
    </w:p>
    <w:p>
      <w:pPr>
        <w:spacing w:line="360" w:lineRule="auto"/>
        <w:jc w:val="left"/>
        <w:rPr>
          <w:rFonts w:hint="eastAsia" w:ascii="宋体" w:hAnsi="宋体" w:eastAsia="宋体" w:cs="宋体"/>
          <w:color w:val="000000"/>
          <w:sz w:val="28"/>
          <w:szCs w:val="28"/>
        </w:rPr>
      </w:pPr>
    </w:p>
    <w:p>
      <w:pPr>
        <w:pStyle w:val="28"/>
        <w:rPr>
          <w:rFonts w:hint="eastAsia" w:ascii="宋体" w:hAnsi="宋体" w:eastAsia="宋体" w:cs="宋体"/>
        </w:rPr>
      </w:pPr>
    </w:p>
    <w:p>
      <w:pPr>
        <w:spacing w:line="360" w:lineRule="auto"/>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 xml:space="preserve">                    （采购人名称）</w:t>
      </w:r>
    </w:p>
    <w:p>
      <w:pPr>
        <w:spacing w:line="360" w:lineRule="auto"/>
        <w:ind w:firstLine="480"/>
        <w:jc w:val="left"/>
        <w:rPr>
          <w:rFonts w:hint="eastAsia" w:ascii="宋体" w:hAnsi="宋体" w:eastAsia="宋体" w:cs="宋体"/>
          <w:color w:val="000000"/>
          <w:sz w:val="21"/>
          <w:szCs w:val="21"/>
        </w:rPr>
      </w:pPr>
      <w:r>
        <w:rPr>
          <w:rFonts w:hint="eastAsia" w:ascii="宋体" w:hAnsi="宋体" w:eastAsia="宋体" w:cs="宋体"/>
          <w:color w:val="000000"/>
          <w:sz w:val="21"/>
          <w:szCs w:val="21"/>
        </w:rPr>
        <w:t>我单位</w:t>
      </w:r>
      <w:r>
        <w:rPr>
          <w:rFonts w:hint="eastAsia" w:ascii="宋体" w:hAnsi="宋体" w:eastAsia="宋体" w:cs="宋体"/>
          <w:color w:val="000000"/>
          <w:sz w:val="21"/>
          <w:szCs w:val="21"/>
          <w:u w:val="single"/>
        </w:rPr>
        <w:t xml:space="preserve">                    （供应商名称）</w:t>
      </w:r>
      <w:r>
        <w:rPr>
          <w:rFonts w:hint="eastAsia" w:ascii="宋体" w:hAnsi="宋体" w:eastAsia="宋体" w:cs="宋体"/>
          <w:color w:val="000000"/>
          <w:sz w:val="21"/>
          <w:szCs w:val="21"/>
        </w:rPr>
        <w:t>参加政府采购活动前3年内，在经营活动中没有重大违法记录，特此声明。</w:t>
      </w:r>
    </w:p>
    <w:p>
      <w:pPr>
        <w:spacing w:line="360" w:lineRule="auto"/>
        <w:ind w:firstLine="480"/>
        <w:jc w:val="left"/>
        <w:rPr>
          <w:rFonts w:hint="eastAsia" w:ascii="宋体" w:hAnsi="宋体" w:eastAsia="宋体" w:cs="宋体"/>
          <w:color w:val="000000"/>
          <w:sz w:val="21"/>
          <w:szCs w:val="21"/>
        </w:rPr>
      </w:pPr>
      <w:r>
        <w:rPr>
          <w:rFonts w:hint="eastAsia" w:ascii="宋体" w:hAnsi="宋体" w:eastAsia="宋体" w:cs="宋体"/>
          <w:color w:val="000000"/>
          <w:sz w:val="21"/>
          <w:szCs w:val="21"/>
        </w:rPr>
        <w:t>若采购人在本项目招标采购过程中发现我单位参加政府采购活动前3年内，在经营活动中存在重大违法记录，我单位将无条件地退出本项目的磋商活动，并承担因此引起的一切后果。</w:t>
      </w:r>
    </w:p>
    <w:p>
      <w:pPr>
        <w:spacing w:line="360" w:lineRule="auto"/>
        <w:jc w:val="left"/>
        <w:rPr>
          <w:rFonts w:hint="eastAsia" w:ascii="宋体" w:hAnsi="宋体" w:eastAsia="宋体" w:cs="宋体"/>
          <w:color w:val="000000"/>
          <w:sz w:val="28"/>
          <w:szCs w:val="28"/>
        </w:rPr>
      </w:pPr>
    </w:p>
    <w:p>
      <w:pPr>
        <w:spacing w:line="360" w:lineRule="auto"/>
        <w:ind w:firstLine="482" w:firstLineChars="200"/>
        <w:rPr>
          <w:rFonts w:hint="eastAsia" w:ascii="宋体" w:hAnsi="宋体" w:eastAsia="宋体" w:cs="宋体"/>
          <w:b/>
          <w:color w:val="000000"/>
          <w:sz w:val="24"/>
          <w:szCs w:val="24"/>
        </w:rPr>
      </w:pPr>
    </w:p>
    <w:p>
      <w:pPr>
        <w:spacing w:line="360" w:lineRule="auto"/>
        <w:ind w:firstLine="482" w:firstLineChars="200"/>
        <w:rPr>
          <w:rFonts w:hint="eastAsia" w:ascii="宋体" w:hAnsi="宋体" w:eastAsia="宋体" w:cs="宋体"/>
          <w:b/>
          <w:color w:val="000000"/>
          <w:sz w:val="24"/>
          <w:szCs w:val="24"/>
        </w:rPr>
      </w:pPr>
    </w:p>
    <w:p>
      <w:pPr>
        <w:spacing w:line="360" w:lineRule="auto"/>
        <w:ind w:firstLine="482" w:firstLineChars="200"/>
        <w:rPr>
          <w:rFonts w:hint="eastAsia" w:ascii="宋体" w:hAnsi="宋体" w:eastAsia="宋体" w:cs="宋体"/>
          <w:b/>
          <w:color w:val="000000"/>
          <w:sz w:val="24"/>
          <w:szCs w:val="24"/>
        </w:rPr>
      </w:pPr>
    </w:p>
    <w:p>
      <w:pPr>
        <w:spacing w:line="360" w:lineRule="auto"/>
        <w:ind w:firstLine="482" w:firstLineChars="200"/>
        <w:rPr>
          <w:rFonts w:hint="eastAsia" w:ascii="宋体" w:hAnsi="宋体" w:eastAsia="宋体" w:cs="宋体"/>
          <w:b/>
          <w:color w:val="000000"/>
          <w:sz w:val="24"/>
          <w:szCs w:val="24"/>
        </w:rPr>
      </w:pP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w:t>
      </w:r>
      <w:r>
        <w:rPr>
          <w:rFonts w:hint="eastAsia" w:ascii="宋体" w:hAnsi="宋体" w:eastAsia="宋体" w:cs="宋体"/>
          <w:b/>
          <w:color w:val="000000"/>
          <w:sz w:val="24"/>
          <w:szCs w:val="24"/>
          <w:lang w:eastAsia="zh-CN"/>
        </w:rPr>
        <w:t>盖章</w:t>
      </w:r>
      <w:r>
        <w:rPr>
          <w:rFonts w:hint="eastAsia" w:ascii="宋体" w:hAnsi="宋体" w:eastAsia="宋体" w:cs="宋体"/>
          <w:b/>
          <w:color w:val="000000"/>
          <w:sz w:val="24"/>
          <w:szCs w:val="24"/>
        </w:rPr>
        <w:t>）</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pPr>
        <w:spacing w:line="360" w:lineRule="auto"/>
        <w:jc w:val="left"/>
        <w:rPr>
          <w:rFonts w:hint="eastAsia" w:ascii="宋体" w:hAnsi="宋体" w:eastAsia="宋体" w:cs="宋体"/>
          <w:color w:val="000000"/>
          <w:sz w:val="28"/>
          <w:szCs w:val="28"/>
        </w:rPr>
      </w:pPr>
    </w:p>
    <w:p>
      <w:pPr>
        <w:pStyle w:val="28"/>
        <w:rPr>
          <w:rFonts w:hint="eastAsia" w:ascii="宋体" w:hAnsi="宋体" w:eastAsia="宋体" w:cs="宋体"/>
          <w:color w:val="000000"/>
          <w:sz w:val="28"/>
          <w:szCs w:val="28"/>
        </w:rPr>
      </w:pPr>
    </w:p>
    <w:p>
      <w:pPr>
        <w:pStyle w:val="28"/>
        <w:rPr>
          <w:rFonts w:hint="eastAsia" w:ascii="宋体" w:hAnsi="宋体" w:eastAsia="宋体" w:cs="宋体"/>
          <w:color w:val="000000"/>
          <w:sz w:val="28"/>
          <w:szCs w:val="28"/>
        </w:rPr>
      </w:pPr>
    </w:p>
    <w:p>
      <w:pPr>
        <w:spacing w:line="360" w:lineRule="auto"/>
        <w:jc w:val="left"/>
        <w:rPr>
          <w:rFonts w:hint="eastAsia" w:ascii="宋体" w:hAnsi="宋体" w:eastAsia="宋体" w:cs="宋体"/>
          <w:color w:val="000000"/>
          <w:sz w:val="28"/>
          <w:szCs w:val="28"/>
        </w:rPr>
      </w:pPr>
    </w:p>
    <w:p>
      <w:pPr>
        <w:spacing w:line="360" w:lineRule="auto"/>
        <w:jc w:val="left"/>
        <w:rPr>
          <w:rFonts w:hint="eastAsia" w:ascii="宋体" w:hAnsi="宋体" w:eastAsia="宋体" w:cs="宋体"/>
          <w:color w:val="000000"/>
          <w:sz w:val="28"/>
          <w:szCs w:val="28"/>
        </w:rPr>
      </w:pPr>
    </w:p>
    <w:p>
      <w:pPr>
        <w:tabs>
          <w:tab w:val="left" w:pos="3852"/>
        </w:tabs>
        <w:spacing w:line="360" w:lineRule="auto"/>
        <w:jc w:val="both"/>
        <w:rPr>
          <w:rFonts w:hint="eastAsia" w:ascii="宋体" w:hAnsi="宋体" w:eastAsia="宋体" w:cs="宋体"/>
          <w:b/>
          <w:color w:val="000000"/>
          <w:sz w:val="28"/>
          <w:szCs w:val="28"/>
        </w:rPr>
      </w:pPr>
    </w:p>
    <w:p>
      <w:pPr>
        <w:tabs>
          <w:tab w:val="left" w:pos="3852"/>
        </w:tabs>
        <w:spacing w:line="360" w:lineRule="auto"/>
        <w:jc w:val="both"/>
        <w:rPr>
          <w:rFonts w:hint="eastAsia" w:ascii="宋体" w:hAnsi="宋体" w:eastAsia="宋体" w:cs="宋体"/>
          <w:b/>
          <w:color w:val="000000"/>
          <w:sz w:val="28"/>
          <w:szCs w:val="28"/>
        </w:rPr>
      </w:pPr>
    </w:p>
    <w:p>
      <w:pPr>
        <w:tabs>
          <w:tab w:val="left" w:pos="3852"/>
        </w:tabs>
        <w:spacing w:line="360" w:lineRule="auto"/>
        <w:jc w:val="both"/>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rPr>
        <w:t>附件2</w:t>
      </w:r>
      <w:r>
        <w:rPr>
          <w:rFonts w:hint="eastAsia" w:ascii="宋体" w:hAnsi="宋体" w:eastAsia="宋体" w:cs="宋体"/>
          <w:b/>
          <w:color w:val="000000"/>
          <w:sz w:val="28"/>
          <w:szCs w:val="28"/>
          <w:lang w:val="en-US" w:eastAsia="zh-CN"/>
        </w:rPr>
        <w:t xml:space="preserve">                     </w:t>
      </w:r>
    </w:p>
    <w:p>
      <w:pPr>
        <w:tabs>
          <w:tab w:val="left" w:pos="3852"/>
        </w:tabs>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32"/>
          <w:szCs w:val="32"/>
        </w:rPr>
        <w:t>磋商声明</w:t>
      </w:r>
    </w:p>
    <w:p>
      <w:pPr>
        <w:spacing w:line="360" w:lineRule="auto"/>
        <w:jc w:val="left"/>
        <w:rPr>
          <w:rFonts w:hint="eastAsia" w:ascii="宋体" w:hAnsi="宋体" w:eastAsia="宋体" w:cs="宋体"/>
          <w:color w:val="000000"/>
          <w:sz w:val="21"/>
          <w:szCs w:val="21"/>
        </w:rPr>
      </w:pPr>
    </w:p>
    <w:p>
      <w:pPr>
        <w:spacing w:line="360" w:lineRule="auto"/>
        <w:jc w:val="left"/>
        <w:rPr>
          <w:rFonts w:hint="eastAsia" w:ascii="宋体" w:hAnsi="宋体" w:eastAsia="宋体" w:cs="宋体"/>
          <w:color w:val="000000"/>
          <w:sz w:val="21"/>
          <w:szCs w:val="21"/>
        </w:rPr>
      </w:pPr>
    </w:p>
    <w:p>
      <w:pPr>
        <w:spacing w:line="360" w:lineRule="auto"/>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 xml:space="preserve">                    （采购人名称）</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我公司收到贵单位</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采购项目竞争性磋商（项目编号：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）的磋商文件，经详细研究，我们决定参加该项目的磋商活动。为此，我方郑重声明以下内容，并负法律责任。</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1.本项目我公司以自己的名义参加磋商，不存在联合体磋商的情况。</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2.我公司愿按《中华人民共和国</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rPr>
        <w:t>》履行自己的全部责任。</w:t>
      </w:r>
    </w:p>
    <w:p>
      <w:pPr>
        <w:pStyle w:val="2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特此声明。</w:t>
      </w: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15"/>
        <w:rPr>
          <w:rFonts w:hint="eastAsia" w:ascii="宋体" w:hAnsi="宋体" w:eastAsia="宋体" w:cs="宋体"/>
          <w:color w:val="000000"/>
          <w:sz w:val="21"/>
          <w:szCs w:val="21"/>
        </w:rPr>
      </w:pPr>
    </w:p>
    <w:p>
      <w:pPr>
        <w:pStyle w:val="20"/>
        <w:spacing w:before="0" w:beforeAutospacing="0" w:after="0" w:afterAutospacing="0" w:line="360" w:lineRule="auto"/>
        <w:ind w:firstLine="560" w:firstLineChars="200"/>
        <w:rPr>
          <w:rFonts w:hint="eastAsia" w:ascii="宋体" w:hAnsi="宋体" w:eastAsia="宋体" w:cs="宋体"/>
          <w:color w:val="000000"/>
          <w:sz w:val="28"/>
          <w:szCs w:val="28"/>
        </w:rPr>
      </w:pPr>
    </w:p>
    <w:bookmarkEnd w:id="215"/>
    <w:p>
      <w:pPr>
        <w:spacing w:line="360" w:lineRule="auto"/>
        <w:ind w:firstLine="482" w:firstLineChars="200"/>
        <w:rPr>
          <w:rFonts w:hint="eastAsia" w:ascii="宋体" w:hAnsi="宋体" w:eastAsia="宋体" w:cs="宋体"/>
          <w:b/>
          <w:color w:val="000000"/>
          <w:sz w:val="24"/>
          <w:szCs w:val="24"/>
        </w:rPr>
      </w:pP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  应  商：</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w:t>
      </w:r>
      <w:r>
        <w:rPr>
          <w:rFonts w:hint="eastAsia" w:ascii="宋体" w:hAnsi="宋体" w:eastAsia="宋体" w:cs="宋体"/>
          <w:b/>
          <w:color w:val="000000"/>
          <w:sz w:val="24"/>
          <w:szCs w:val="24"/>
          <w:lang w:eastAsia="zh-CN"/>
        </w:rPr>
        <w:t>盖章</w:t>
      </w:r>
      <w:r>
        <w:rPr>
          <w:rFonts w:hint="eastAsia" w:ascii="宋体" w:hAnsi="宋体" w:eastAsia="宋体" w:cs="宋体"/>
          <w:b/>
          <w:color w:val="000000"/>
          <w:sz w:val="24"/>
          <w:szCs w:val="24"/>
        </w:rPr>
        <w:t>）</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pPr>
        <w:pStyle w:val="22"/>
        <w:ind w:firstLine="0" w:firstLineChars="0"/>
        <w:rPr>
          <w:rFonts w:hint="eastAsia" w:ascii="宋体" w:hAnsi="宋体" w:eastAsia="宋体" w:cs="宋体"/>
          <w:b/>
          <w:bCs/>
          <w:sz w:val="28"/>
          <w:szCs w:val="28"/>
          <w:lang w:eastAsia="zh-CN"/>
        </w:rPr>
      </w:pPr>
      <w:r>
        <w:rPr>
          <w:rFonts w:hint="eastAsia" w:ascii="宋体" w:hAnsi="宋体" w:eastAsia="宋体" w:cs="宋体"/>
          <w:b/>
          <w:color w:val="000000"/>
          <w:sz w:val="28"/>
          <w:szCs w:val="28"/>
        </w:rPr>
        <w:br w:type="page"/>
      </w: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3</w:t>
      </w:r>
    </w:p>
    <w:p>
      <w:pPr>
        <w:pStyle w:val="22"/>
        <w:ind w:firstLine="210"/>
        <w:rPr>
          <w:rFonts w:hint="eastAsia" w:ascii="宋体" w:hAnsi="宋体" w:eastAsia="宋体" w:cs="宋体"/>
        </w:rPr>
      </w:pPr>
    </w:p>
    <w:p>
      <w:pPr>
        <w:pStyle w:val="22"/>
        <w:ind w:firstLine="442"/>
        <w:jc w:val="center"/>
        <w:rPr>
          <w:rFonts w:hint="eastAsia" w:ascii="宋体" w:hAnsi="宋体" w:eastAsia="宋体" w:cs="宋体"/>
          <w:b/>
          <w:color w:val="000000"/>
          <w:sz w:val="44"/>
          <w:szCs w:val="44"/>
        </w:rPr>
      </w:pPr>
      <w:r>
        <w:rPr>
          <w:rFonts w:hint="eastAsia" w:ascii="宋体" w:hAnsi="宋体" w:eastAsia="宋体" w:cs="宋体"/>
          <w:b/>
          <w:color w:val="000000"/>
          <w:sz w:val="32"/>
          <w:szCs w:val="32"/>
        </w:rPr>
        <w:t>《中华人民共和国政府采购法》第二十二条的书面承诺函</w:t>
      </w:r>
    </w:p>
    <w:p>
      <w:pPr>
        <w:pStyle w:val="22"/>
        <w:ind w:firstLine="210"/>
        <w:rPr>
          <w:rFonts w:hint="eastAsia" w:ascii="宋体" w:hAnsi="宋体" w:eastAsia="宋体" w:cs="宋体"/>
        </w:rPr>
      </w:pPr>
    </w:p>
    <w:p>
      <w:pPr>
        <w:spacing w:line="360" w:lineRule="auto"/>
        <w:jc w:val="left"/>
        <w:rPr>
          <w:rFonts w:hint="eastAsia" w:ascii="宋体" w:hAnsi="宋体" w:eastAsia="宋体" w:cs="宋体"/>
          <w:color w:val="000000"/>
          <w:sz w:val="24"/>
          <w:szCs w:val="24"/>
        </w:rPr>
      </w:pPr>
    </w:p>
    <w:p>
      <w:pPr>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（采购人名称）</w:t>
      </w:r>
    </w:p>
    <w:p>
      <w:pPr>
        <w:pStyle w:val="22"/>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我单位作为参加</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采购项目的磋商单位，现郑重承诺我单位具备《中华人民共和国政府采购法》第二十二条供应商参加政府采购活动的基本资格条件： </w:t>
      </w:r>
    </w:p>
    <w:p>
      <w:pPr>
        <w:pStyle w:val="22"/>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（一）我单位具有独立承担民事责任的能力； </w:t>
      </w:r>
    </w:p>
    <w:p>
      <w:pPr>
        <w:pStyle w:val="22"/>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（二）我单位具有良好的商业信誉和健全的财务会计制度；</w:t>
      </w:r>
    </w:p>
    <w:p>
      <w:pPr>
        <w:pStyle w:val="22"/>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（三）我单位具有履行合同所必需的设备和专业技术能力； </w:t>
      </w:r>
    </w:p>
    <w:p>
      <w:pPr>
        <w:pStyle w:val="22"/>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（四）我单位有依法缴纳税收和社会保障资金的良好记录； </w:t>
      </w:r>
    </w:p>
    <w:p>
      <w:pPr>
        <w:pStyle w:val="22"/>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（五）我单位参加政府采购活动前三年内，在经营活动中没有重大违法记录； </w:t>
      </w:r>
    </w:p>
    <w:p>
      <w:pPr>
        <w:pStyle w:val="22"/>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（六）我单位满足法律、行政法规规定的其他条件。</w:t>
      </w:r>
    </w:p>
    <w:p>
      <w:pPr>
        <w:pStyle w:val="22"/>
        <w:spacing w:after="0" w:line="360" w:lineRule="auto"/>
        <w:ind w:firstLine="420" w:firstLineChars="200"/>
        <w:rPr>
          <w:rFonts w:hint="eastAsia" w:ascii="宋体" w:hAnsi="宋体" w:eastAsia="宋体" w:cs="宋体"/>
          <w:sz w:val="21"/>
          <w:szCs w:val="21"/>
        </w:rPr>
      </w:pPr>
    </w:p>
    <w:p>
      <w:pPr>
        <w:pStyle w:val="22"/>
        <w:spacing w:after="0" w:line="360" w:lineRule="auto"/>
        <w:ind w:firstLine="560" w:firstLineChars="200"/>
        <w:rPr>
          <w:rFonts w:hint="eastAsia" w:ascii="宋体" w:hAnsi="宋体" w:eastAsia="宋体" w:cs="宋体"/>
          <w:sz w:val="28"/>
          <w:szCs w:val="28"/>
        </w:rPr>
      </w:pPr>
    </w:p>
    <w:p>
      <w:pPr>
        <w:spacing w:line="360" w:lineRule="auto"/>
        <w:ind w:firstLine="480" w:firstLineChars="200"/>
        <w:rPr>
          <w:rFonts w:hint="eastAsia" w:ascii="宋体" w:hAnsi="宋体" w:eastAsia="宋体" w:cs="宋体"/>
          <w:sz w:val="24"/>
          <w:szCs w:val="24"/>
        </w:rPr>
      </w:pP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供应商：</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（盖章）  </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法定代表人：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（签字或盖章）</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委托代理人：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（签字）  </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日    期：  年  月  日</w:t>
      </w:r>
    </w:p>
    <w:p>
      <w:pPr>
        <w:spacing w:line="360" w:lineRule="auto"/>
        <w:ind w:firstLine="562" w:firstLineChars="200"/>
        <w:rPr>
          <w:rFonts w:hint="eastAsia" w:ascii="宋体" w:hAnsi="宋体" w:eastAsia="宋体" w:cs="宋体"/>
          <w:b/>
          <w:color w:val="000000"/>
          <w:sz w:val="28"/>
          <w:szCs w:val="28"/>
        </w:rPr>
      </w:pPr>
    </w:p>
    <w:p>
      <w:pPr>
        <w:spacing w:line="360" w:lineRule="auto"/>
        <w:rPr>
          <w:rFonts w:hint="eastAsia" w:ascii="宋体" w:hAnsi="宋体" w:eastAsia="宋体" w:cs="宋体"/>
          <w:color w:val="000000"/>
          <w:sz w:val="28"/>
          <w:szCs w:val="28"/>
        </w:rPr>
      </w:pPr>
    </w:p>
    <w:bookmarkEnd w:id="216"/>
    <w:p>
      <w:pPr>
        <w:keepLines/>
        <w:pageBreakBefore/>
        <w:spacing w:line="360" w:lineRule="auto"/>
        <w:jc w:val="center"/>
        <w:outlineLvl w:val="1"/>
        <w:rPr>
          <w:rFonts w:hint="eastAsia" w:ascii="宋体" w:hAnsi="宋体" w:eastAsia="宋体" w:cs="宋体"/>
          <w:b/>
          <w:color w:val="000000"/>
          <w:sz w:val="28"/>
          <w:szCs w:val="28"/>
        </w:rPr>
      </w:pPr>
      <w:bookmarkStart w:id="217" w:name="_Toc16243"/>
      <w:bookmarkStart w:id="218" w:name="_Toc7507"/>
      <w:bookmarkStart w:id="219" w:name="_Toc500323120"/>
      <w:bookmarkStart w:id="220" w:name="_Toc8431"/>
      <w:r>
        <w:rPr>
          <w:rFonts w:hint="eastAsia" w:ascii="宋体" w:hAnsi="宋体" w:eastAsia="宋体" w:cs="宋体"/>
          <w:b/>
          <w:color w:val="000000"/>
          <w:sz w:val="32"/>
          <w:szCs w:val="32"/>
        </w:rPr>
        <w:t>十、其他材</w:t>
      </w:r>
      <w:bookmarkEnd w:id="209"/>
      <w:bookmarkEnd w:id="210"/>
      <w:bookmarkEnd w:id="211"/>
      <w:bookmarkEnd w:id="212"/>
      <w:bookmarkEnd w:id="213"/>
      <w:r>
        <w:rPr>
          <w:rFonts w:hint="eastAsia" w:ascii="宋体" w:hAnsi="宋体" w:eastAsia="宋体" w:cs="宋体"/>
          <w:b/>
          <w:color w:val="000000"/>
          <w:sz w:val="32"/>
          <w:szCs w:val="32"/>
        </w:rPr>
        <w:t>料</w:t>
      </w:r>
      <w:bookmarkEnd w:id="214"/>
      <w:bookmarkEnd w:id="217"/>
      <w:bookmarkEnd w:id="218"/>
      <w:bookmarkEnd w:id="219"/>
      <w:bookmarkEnd w:id="220"/>
    </w:p>
    <w:p>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sz w:val="24"/>
          <w:szCs w:val="32"/>
          <w:highlight w:val="none"/>
        </w:rPr>
      </w:pPr>
      <w:bookmarkStart w:id="221" w:name="_Toc10352"/>
      <w:bookmarkStart w:id="222" w:name="_Toc500323121"/>
      <w:r>
        <w:rPr>
          <w:rFonts w:hint="eastAsia" w:ascii="宋体" w:hAnsi="宋体" w:eastAsia="宋体" w:cs="宋体"/>
          <w:color w:val="000000"/>
          <w:sz w:val="28"/>
          <w:szCs w:val="28"/>
        </w:rPr>
        <w:br w:type="page"/>
      </w:r>
      <w:bookmarkEnd w:id="221"/>
      <w:bookmarkEnd w:id="222"/>
      <w:bookmarkStart w:id="223" w:name="_Hlk63418484"/>
      <w:r>
        <w:rPr>
          <w:rFonts w:hint="eastAsia" w:ascii="宋体" w:hAnsi="宋体" w:eastAsia="宋体" w:cs="宋体"/>
          <w:b/>
          <w:bCs/>
          <w:sz w:val="24"/>
          <w:szCs w:val="32"/>
          <w:highlight w:val="none"/>
        </w:rPr>
        <w:t>附件</w:t>
      </w:r>
      <w:r>
        <w:rPr>
          <w:rFonts w:hint="eastAsia" w:ascii="宋体" w:hAnsi="宋体" w:eastAsia="宋体" w:cs="宋体"/>
          <w:b/>
          <w:bCs/>
          <w:sz w:val="24"/>
          <w:szCs w:val="32"/>
          <w:highlight w:val="none"/>
          <w:lang w:val="en-US" w:eastAsia="zh-CN"/>
        </w:rPr>
        <w:t>一</w:t>
      </w:r>
      <w:r>
        <w:rPr>
          <w:rFonts w:hint="eastAsia" w:ascii="宋体" w:hAnsi="宋体" w:eastAsia="宋体" w:cs="宋体"/>
          <w:b/>
          <w:bCs/>
          <w:sz w:val="24"/>
          <w:szCs w:val="32"/>
          <w:highlight w:val="none"/>
        </w:rPr>
        <w:t>：</w:t>
      </w:r>
    </w:p>
    <w:bookmarkEnd w:id="223"/>
    <w:p>
      <w:pPr>
        <w:bidi w:val="0"/>
        <w:spacing w:line="240" w:lineRule="auto"/>
        <w:jc w:val="center"/>
        <w:rPr>
          <w:rFonts w:hint="eastAsia" w:ascii="宋体" w:hAnsi="宋体" w:eastAsia="宋体" w:cs="宋体"/>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shd w:val="clear"/>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本公司(联合体)郑重声明，根据《政府采购促进中小企业发展管理办法》(财库〔2020〕46号)的规定，本公司(联合体)参加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单位名称</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项目名称</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lang w:val="en-US" w:eastAsia="zh-CN"/>
        </w:rPr>
        <w:t xml:space="preserve">       （标的名称）</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采购文件中明确的所属行业</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承接企业为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(企业名称)</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营业收入为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万元，属于</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(中型企业、小型企业、微型企业)</w:t>
      </w:r>
      <w:r>
        <w:rPr>
          <w:rFonts w:hint="eastAsia" w:ascii="宋体" w:hAnsi="宋体" w:eastAsia="宋体" w:cs="宋体"/>
          <w:color w:val="auto"/>
          <w:sz w:val="21"/>
          <w:szCs w:val="21"/>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bookmarkStart w:id="224" w:name="_Hlk74735468"/>
      <w:r>
        <w:rPr>
          <w:rFonts w:hint="eastAsia" w:ascii="宋体" w:hAnsi="宋体" w:eastAsia="宋体" w:cs="宋体"/>
          <w:sz w:val="21"/>
          <w:szCs w:val="21"/>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bookmarkEnd w:id="224"/>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企业名称（盖章）：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rPr>
        <w:t xml:space="preserve">日  期： 年 月 </w:t>
      </w:r>
      <w:r>
        <w:rPr>
          <w:rFonts w:hint="eastAsia" w:ascii="宋体" w:hAnsi="宋体" w:eastAsia="宋体" w:cs="宋体"/>
          <w:color w:val="auto"/>
          <w:spacing w:val="6"/>
          <w:sz w:val="21"/>
          <w:szCs w:val="21"/>
          <w:highlight w:val="none"/>
        </w:rPr>
        <w:t>日</w:t>
      </w:r>
    </w:p>
    <w:p>
      <w:pPr>
        <w:numPr>
          <w:ilvl w:val="0"/>
          <w:numId w:val="0"/>
        </w:numPr>
        <w:tabs>
          <w:tab w:val="left" w:pos="0"/>
        </w:tabs>
        <w:spacing w:line="360" w:lineRule="auto"/>
        <w:ind w:leftChars="0"/>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color w:val="333333"/>
          <w:spacing w:val="15"/>
          <w:sz w:val="21"/>
          <w:szCs w:val="21"/>
          <w:highlight w:val="none"/>
          <w:shd w:val="clear" w:color="auto" w:fill="FFFFFF"/>
          <w:lang w:val="en-US" w:eastAsia="zh-CN"/>
        </w:rPr>
        <w:t>注：1、</w:t>
      </w:r>
      <w:r>
        <w:rPr>
          <w:rFonts w:hint="eastAsia" w:ascii="宋体" w:hAnsi="宋体" w:eastAsia="宋体" w:cs="宋体"/>
          <w:b/>
          <w:bCs/>
          <w:color w:val="333333"/>
          <w:spacing w:val="15"/>
          <w:sz w:val="21"/>
          <w:szCs w:val="21"/>
          <w:highlight w:val="none"/>
          <w:shd w:val="clear" w:color="auto" w:fill="FFFFFF"/>
        </w:rPr>
        <w:t>从业人员、营业收入、资产总额填报上一年度数据，无上一年度数据的新成立企业可不填报。</w:t>
      </w:r>
    </w:p>
    <w:p>
      <w:pPr>
        <w:numPr>
          <w:ilvl w:val="0"/>
          <w:numId w:val="0"/>
        </w:numPr>
        <w:tabs>
          <w:tab w:val="left" w:pos="0"/>
        </w:tabs>
        <w:spacing w:line="360" w:lineRule="auto"/>
        <w:ind w:leftChars="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如不是该类企业则不需提供相关声明，若提供虚假材料谋取中标、成交的，将按照《政府采购法》第七十七条规定对</w:t>
      </w:r>
      <w:r>
        <w:rPr>
          <w:rFonts w:hint="eastAsia" w:ascii="宋体" w:hAnsi="宋体" w:eastAsia="宋体" w:cs="宋体"/>
          <w:b/>
          <w:bCs/>
          <w:sz w:val="21"/>
          <w:szCs w:val="21"/>
          <w:highlight w:val="none"/>
          <w:lang w:eastAsia="zh-CN"/>
        </w:rPr>
        <w:t>投标人</w:t>
      </w:r>
      <w:r>
        <w:rPr>
          <w:rFonts w:hint="eastAsia" w:ascii="宋体" w:hAnsi="宋体" w:eastAsia="宋体" w:cs="宋体"/>
          <w:b/>
          <w:bCs/>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9"/>
        <w:rPr>
          <w:rFonts w:hint="eastAsia" w:ascii="宋体" w:hAnsi="宋体" w:eastAsia="宋体" w:cs="宋体"/>
          <w:spacing w:val="6"/>
          <w:sz w:val="30"/>
          <w:szCs w:val="30"/>
          <w:highlight w:val="none"/>
        </w:rPr>
      </w:pPr>
      <w:r>
        <w:rPr>
          <w:rFonts w:hint="eastAsia" w:ascii="宋体" w:hAnsi="宋体" w:eastAsia="宋体" w:cs="宋体"/>
          <w:b/>
          <w:kern w:val="0"/>
          <w:sz w:val="24"/>
          <w:szCs w:val="24"/>
          <w:highlight w:val="none"/>
        </w:rPr>
        <w:br w:type="page"/>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1"/>
          <w:szCs w:val="21"/>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〔2017〕141</w:t>
      </w:r>
      <w:r>
        <w:rPr>
          <w:rFonts w:hint="eastAsia" w:ascii="宋体" w:hAnsi="宋体" w:eastAsia="宋体" w:cs="宋体"/>
          <w:color w:val="auto"/>
          <w:spacing w:val="6"/>
          <w:sz w:val="21"/>
          <w:szCs w:val="21"/>
          <w:highlight w:val="none"/>
        </w:rPr>
        <w:t>号）的规定，本单位为符合条件的残疾人福利性单位，且本单位参加</w:t>
      </w:r>
      <w:r>
        <w:rPr>
          <w:rFonts w:hint="eastAsia" w:ascii="宋体" w:hAnsi="宋体" w:eastAsia="宋体" w:cs="宋体"/>
          <w:color w:val="auto"/>
          <w:spacing w:val="15"/>
          <w:sz w:val="21"/>
          <w:szCs w:val="21"/>
          <w:highlight w:val="none"/>
          <w:u w:val="single"/>
          <w:shd w:val="clear" w:color="auto" w:fill="FFFFFF"/>
          <w:lang w:val="en-US" w:eastAsia="zh-CN"/>
        </w:rPr>
        <w:t xml:space="preserve">          </w:t>
      </w:r>
      <w:r>
        <w:rPr>
          <w:rFonts w:hint="eastAsia" w:ascii="宋体" w:hAnsi="宋体" w:eastAsia="宋体" w:cs="宋体"/>
          <w:color w:val="auto"/>
          <w:spacing w:val="6"/>
          <w:sz w:val="21"/>
          <w:szCs w:val="21"/>
          <w:highlight w:val="none"/>
        </w:rPr>
        <w:t>单位的</w:t>
      </w:r>
      <w:r>
        <w:rPr>
          <w:rFonts w:hint="eastAsia" w:ascii="宋体" w:hAnsi="宋体" w:eastAsia="宋体" w:cs="宋体"/>
          <w:color w:val="auto"/>
          <w:spacing w:val="15"/>
          <w:sz w:val="21"/>
          <w:szCs w:val="21"/>
          <w:highlight w:val="none"/>
          <w:u w:val="single"/>
          <w:shd w:val="clear" w:color="auto" w:fill="FFFFFF"/>
          <w:lang w:val="en-US" w:eastAsia="zh-CN"/>
        </w:rPr>
        <w:t xml:space="preserve">          </w:t>
      </w:r>
      <w:r>
        <w:rPr>
          <w:rFonts w:hint="eastAsia" w:ascii="宋体" w:hAnsi="宋体" w:eastAsia="宋体" w:cs="宋体"/>
          <w:color w:val="auto"/>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444" w:firstLineChars="20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pPr>
        <w:numPr>
          <w:ilvl w:val="0"/>
          <w:numId w:val="6"/>
        </w:numPr>
        <w:suppressAutoHyphens/>
        <w:spacing w:line="360" w:lineRule="auto"/>
        <w:outlineLvl w:val="9"/>
        <w:rPr>
          <w:rFonts w:hint="eastAsia" w:ascii="宋体" w:hAnsi="宋体" w:eastAsia="宋体" w:cs="宋体"/>
          <w:color w:val="auto"/>
          <w:spacing w:val="6"/>
          <w:sz w:val="21"/>
          <w:szCs w:val="21"/>
          <w:highlight w:val="none"/>
        </w:rPr>
      </w:pPr>
    </w:p>
    <w:p>
      <w:pPr>
        <w:numPr>
          <w:ilvl w:val="0"/>
          <w:numId w:val="6"/>
        </w:numPr>
        <w:spacing w:line="588" w:lineRule="exact"/>
        <w:outlineLvl w:val="9"/>
        <w:rPr>
          <w:rFonts w:hint="eastAsia" w:ascii="宋体" w:hAnsi="宋体" w:eastAsia="宋体" w:cs="宋体"/>
          <w:color w:val="auto"/>
          <w:spacing w:val="15"/>
          <w:kern w:val="0"/>
          <w:sz w:val="21"/>
          <w:szCs w:val="21"/>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 年 月 日</w:t>
      </w:r>
    </w:p>
    <w:p>
      <w:pPr>
        <w:numPr>
          <w:ilvl w:val="0"/>
          <w:numId w:val="6"/>
        </w:numPr>
        <w:jc w:val="center"/>
        <w:outlineLvl w:val="9"/>
        <w:rPr>
          <w:rFonts w:hint="eastAsia" w:ascii="宋体" w:hAnsi="宋体" w:eastAsia="宋体" w:cs="宋体"/>
          <w:b/>
          <w:color w:val="auto"/>
          <w:sz w:val="21"/>
          <w:szCs w:val="21"/>
          <w:highlight w:val="none"/>
        </w:rPr>
      </w:pPr>
    </w:p>
    <w:p>
      <w:pPr>
        <w:numPr>
          <w:ilvl w:val="0"/>
          <w:numId w:val="6"/>
        </w:numPr>
        <w:jc w:val="center"/>
        <w:outlineLvl w:val="9"/>
        <w:rPr>
          <w:rFonts w:hint="eastAsia" w:ascii="宋体" w:hAnsi="宋体" w:eastAsia="宋体" w:cs="宋体"/>
          <w:b/>
          <w:color w:val="auto"/>
          <w:sz w:val="21"/>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szCs w:val="21"/>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p>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本单位郑重声明，根据《关于政府采购支持监狱企业发展有关问题的通知》（财库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2014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68号）的规定，本单位为符合条件的监狱企业，且本单位参加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单位的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15"/>
          <w:kern w:val="0"/>
          <w:sz w:val="21"/>
          <w:szCs w:val="21"/>
          <w:highlight w:val="none"/>
          <w:shd w:val="clear" w:color="auto" w:fill="FFFFFF"/>
        </w:rPr>
      </w:pPr>
      <w:r>
        <w:rPr>
          <w:rFonts w:hint="eastAsia" w:ascii="宋体" w:hAnsi="宋体" w:eastAsia="宋体" w:cs="宋体"/>
          <w:color w:val="auto"/>
          <w:sz w:val="21"/>
          <w:szCs w:val="21"/>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outlineLvl w:val="9"/>
        <w:rPr>
          <w:rFonts w:hint="eastAsia" w:ascii="宋体" w:hAnsi="宋体" w:eastAsia="宋体" w:cs="宋体"/>
          <w:color w:val="auto"/>
          <w:spacing w:val="6"/>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outlineLvl w:val="9"/>
        <w:rPr>
          <w:rFonts w:hint="eastAsia" w:ascii="宋体" w:hAnsi="宋体" w:eastAsia="宋体" w:cs="宋体"/>
          <w:color w:val="auto"/>
          <w:spacing w:val="6"/>
          <w:sz w:val="21"/>
          <w:szCs w:val="21"/>
          <w:highlight w:val="none"/>
        </w:rPr>
      </w:pPr>
    </w:p>
    <w:p>
      <w:pPr>
        <w:keepNext w:val="0"/>
        <w:keepLines w:val="0"/>
        <w:pageBreakBefore w:val="0"/>
        <w:widowControl w:val="0"/>
        <w:numPr>
          <w:ilvl w:val="0"/>
          <w:numId w:val="6"/>
        </w:numPr>
        <w:suppressAutoHyphens/>
        <w:kinsoku/>
        <w:wordWrap/>
        <w:overflowPunct/>
        <w:topLinePunct w:val="0"/>
        <w:autoSpaceDE/>
        <w:autoSpaceDN/>
        <w:bidi w:val="0"/>
        <w:adjustRightInd/>
        <w:snapToGrid/>
        <w:spacing w:beforeAutospacing="0" w:afterAutospacing="0" w:line="360" w:lineRule="auto"/>
        <w:ind w:right="0" w:rightChars="0" w:firstLine="444" w:firstLineChars="200"/>
        <w:jc w:val="right"/>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企业名称（盖章）：</w:t>
      </w:r>
    </w:p>
    <w:p>
      <w:pPr>
        <w:keepNext w:val="0"/>
        <w:keepLines w:val="0"/>
        <w:pageBreakBefore w:val="0"/>
        <w:widowControl w:val="0"/>
        <w:numPr>
          <w:ilvl w:val="0"/>
          <w:numId w:val="6"/>
        </w:numPr>
        <w:suppressAutoHyphens/>
        <w:kinsoku/>
        <w:wordWrap/>
        <w:overflowPunct/>
        <w:topLinePunct w:val="0"/>
        <w:autoSpaceDE/>
        <w:autoSpaceDN/>
        <w:bidi w:val="0"/>
        <w:adjustRightInd/>
        <w:snapToGrid/>
        <w:spacing w:beforeAutospacing="0" w:afterAutospacing="0" w:line="360" w:lineRule="auto"/>
        <w:ind w:right="0" w:rightChars="0" w:firstLine="444" w:firstLineChars="200"/>
        <w:jc w:val="right"/>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 年 月 日</w:t>
      </w:r>
    </w:p>
    <w:p>
      <w:pPr>
        <w:outlineLvl w:val="9"/>
        <w:rPr>
          <w:rFonts w:hint="eastAsia" w:ascii="宋体" w:hAnsi="宋体" w:eastAsia="宋体" w:cs="宋体"/>
          <w:color w:val="auto"/>
          <w:sz w:val="21"/>
          <w:szCs w:val="21"/>
          <w:highlight w:val="none"/>
        </w:rPr>
      </w:pPr>
    </w:p>
    <w:p>
      <w:pPr>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后附：由省级以上监狱管理局、戒毒管理局（含新疆生产建设兵团）出具的属于监狱企业的证明文件</w:t>
      </w:r>
    </w:p>
    <w:p>
      <w:pPr>
        <w:pStyle w:val="3"/>
        <w:numPr>
          <w:ilvl w:val="2"/>
          <w:numId w:val="0"/>
        </w:numPr>
        <w:ind w:leftChars="0"/>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lang w:val="en-US" w:eastAsia="zh-CN"/>
        </w:rPr>
      </w:pPr>
    </w:p>
    <w:p>
      <w:pPr>
        <w:adjustRightInd w:val="0"/>
        <w:snapToGrid w:val="0"/>
        <w:spacing w:line="360" w:lineRule="exact"/>
        <w:ind w:firstLine="525" w:firstLineChars="250"/>
        <w:rPr>
          <w:rFonts w:hint="eastAsia" w:ascii="宋体" w:hAnsi="宋体" w:eastAsia="宋体" w:cs="宋体"/>
          <w:color w:val="auto"/>
          <w:highlight w:val="none"/>
          <w:lang w:val="en-US" w:eastAsia="zh-CN"/>
        </w:rPr>
      </w:pPr>
    </w:p>
    <w:sectPr>
      <w:headerReference r:id="rId8" w:type="default"/>
      <w:footerReference r:id="rId9"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103E2"/>
    <w:multiLevelType w:val="multilevel"/>
    <w:tmpl w:val="80A103E2"/>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96BE24F"/>
    <w:multiLevelType w:val="singleLevel"/>
    <w:tmpl w:val="A96BE24F"/>
    <w:lvl w:ilvl="0" w:tentative="0">
      <w:start w:val="6"/>
      <w:numFmt w:val="chineseCounting"/>
      <w:suff w:val="space"/>
      <w:lvlText w:val="第%1部分"/>
      <w:lvlJc w:val="left"/>
      <w:rPr>
        <w:rFonts w:hint="eastAsia"/>
      </w:rPr>
    </w:lvl>
  </w:abstractNum>
  <w:abstractNum w:abstractNumId="2">
    <w:nsid w:val="E305536C"/>
    <w:multiLevelType w:val="singleLevel"/>
    <w:tmpl w:val="E305536C"/>
    <w:lvl w:ilvl="0" w:tentative="0">
      <w:start w:val="9"/>
      <w:numFmt w:val="chineseCounting"/>
      <w:suff w:val="nothing"/>
      <w:lvlText w:val="%1、"/>
      <w:lvlJc w:val="left"/>
      <w:rPr>
        <w:rFonts w:hint="eastAsia"/>
      </w:rPr>
    </w:lvl>
  </w:abstractNum>
  <w:abstractNum w:abstractNumId="3">
    <w:nsid w:val="FBF8C423"/>
    <w:multiLevelType w:val="singleLevel"/>
    <w:tmpl w:val="FBF8C423"/>
    <w:lvl w:ilvl="0" w:tentative="0">
      <w:start w:val="1"/>
      <w:numFmt w:val="chineseCounting"/>
      <w:suff w:val="nothing"/>
      <w:lvlText w:val="%1．"/>
      <w:lvlJc w:val="left"/>
      <w:rPr>
        <w:rFonts w:hint="eastAsia"/>
      </w:rPr>
    </w:lvl>
  </w:abstractNum>
  <w:abstractNum w:abstractNumId="4">
    <w:nsid w:val="FD7FA71B"/>
    <w:multiLevelType w:val="singleLevel"/>
    <w:tmpl w:val="FD7FA71B"/>
    <w:lvl w:ilvl="0" w:tentative="0">
      <w:start w:val="2"/>
      <w:numFmt w:val="chineseCounting"/>
      <w:suff w:val="nothing"/>
      <w:lvlText w:val="%1、"/>
      <w:lvlJc w:val="left"/>
      <w:rPr>
        <w:rFonts w:hint="eastAsia"/>
      </w:rPr>
    </w:lvl>
  </w:abstractNum>
  <w:abstractNum w:abstractNumId="5">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readOnly" w:enforcement="1" w:cryptProviderType="rsaFull" w:cryptAlgorithmClass="hash" w:cryptAlgorithmType="typeAny" w:cryptAlgorithmSid="4" w:cryptSpinCount="0" w:hash="8ruhkoSz5rkh4UbPvrTLPX5FXQU=" w:salt="V0JgM3OaDpypbLNzKCJR7w=="/>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M3LCJoZGlkIjoiZDFiMzgwNTU5NDg1MjVjNWEyNDAzMGU4YzhkOWJkZjQiLCJ1c2VyQ291bnQiOjEyfQ=="/>
  </w:docVars>
  <w:rsids>
    <w:rsidRoot w:val="538E1483"/>
    <w:rsid w:val="000E5D71"/>
    <w:rsid w:val="00133387"/>
    <w:rsid w:val="006E05BE"/>
    <w:rsid w:val="009F4C1B"/>
    <w:rsid w:val="00A6531D"/>
    <w:rsid w:val="00B10660"/>
    <w:rsid w:val="00E30FAC"/>
    <w:rsid w:val="012B64AF"/>
    <w:rsid w:val="01323CE1"/>
    <w:rsid w:val="01512A3F"/>
    <w:rsid w:val="01714809"/>
    <w:rsid w:val="01772423"/>
    <w:rsid w:val="01A346BF"/>
    <w:rsid w:val="01B80805"/>
    <w:rsid w:val="01DE4EFE"/>
    <w:rsid w:val="01DF5C17"/>
    <w:rsid w:val="01F65124"/>
    <w:rsid w:val="020C62E0"/>
    <w:rsid w:val="021332F5"/>
    <w:rsid w:val="022343E1"/>
    <w:rsid w:val="023C5CE5"/>
    <w:rsid w:val="02693733"/>
    <w:rsid w:val="027D26BF"/>
    <w:rsid w:val="02C1531D"/>
    <w:rsid w:val="02D212D8"/>
    <w:rsid w:val="03231B33"/>
    <w:rsid w:val="03367AB9"/>
    <w:rsid w:val="0391251C"/>
    <w:rsid w:val="03E47515"/>
    <w:rsid w:val="03F4702C"/>
    <w:rsid w:val="04247911"/>
    <w:rsid w:val="04C66C1A"/>
    <w:rsid w:val="04CA256A"/>
    <w:rsid w:val="04DB3D9A"/>
    <w:rsid w:val="04DC4690"/>
    <w:rsid w:val="04E62E18"/>
    <w:rsid w:val="05257DE5"/>
    <w:rsid w:val="057E6715"/>
    <w:rsid w:val="058645FB"/>
    <w:rsid w:val="059A78E5"/>
    <w:rsid w:val="060A6FDB"/>
    <w:rsid w:val="0624009C"/>
    <w:rsid w:val="064029FC"/>
    <w:rsid w:val="06426774"/>
    <w:rsid w:val="0659586C"/>
    <w:rsid w:val="065C73B5"/>
    <w:rsid w:val="067803E8"/>
    <w:rsid w:val="069274D4"/>
    <w:rsid w:val="06A81AFB"/>
    <w:rsid w:val="06C36BF0"/>
    <w:rsid w:val="06D66EBD"/>
    <w:rsid w:val="072302BE"/>
    <w:rsid w:val="0732731E"/>
    <w:rsid w:val="079923C4"/>
    <w:rsid w:val="07F27D26"/>
    <w:rsid w:val="0802292E"/>
    <w:rsid w:val="084C21AB"/>
    <w:rsid w:val="08AB479D"/>
    <w:rsid w:val="08DD4532"/>
    <w:rsid w:val="091A6484"/>
    <w:rsid w:val="09EA120C"/>
    <w:rsid w:val="0A2255B5"/>
    <w:rsid w:val="0A301518"/>
    <w:rsid w:val="0A56532E"/>
    <w:rsid w:val="0A5B6057"/>
    <w:rsid w:val="0A6F1B02"/>
    <w:rsid w:val="0A7D5FCD"/>
    <w:rsid w:val="0A8E1461"/>
    <w:rsid w:val="0A92134D"/>
    <w:rsid w:val="0AC637B9"/>
    <w:rsid w:val="0AD656DD"/>
    <w:rsid w:val="0B0D3D01"/>
    <w:rsid w:val="0B3463BD"/>
    <w:rsid w:val="0B5539B8"/>
    <w:rsid w:val="0B9F1F73"/>
    <w:rsid w:val="0BC33EB3"/>
    <w:rsid w:val="0BE41E18"/>
    <w:rsid w:val="0C021BA9"/>
    <w:rsid w:val="0C210BDA"/>
    <w:rsid w:val="0C2B3807"/>
    <w:rsid w:val="0C4F1BEB"/>
    <w:rsid w:val="0C7B29E0"/>
    <w:rsid w:val="0C801DA5"/>
    <w:rsid w:val="0C8862F9"/>
    <w:rsid w:val="0CCE0D62"/>
    <w:rsid w:val="0D553231"/>
    <w:rsid w:val="0D9E6986"/>
    <w:rsid w:val="0DBD4381"/>
    <w:rsid w:val="0DC932D7"/>
    <w:rsid w:val="0DF94268"/>
    <w:rsid w:val="0DFC545B"/>
    <w:rsid w:val="0E4D3287"/>
    <w:rsid w:val="0E792F4F"/>
    <w:rsid w:val="0EA31D7A"/>
    <w:rsid w:val="0EFB1BB6"/>
    <w:rsid w:val="0F3F5F47"/>
    <w:rsid w:val="0F9F2542"/>
    <w:rsid w:val="0FDD3F67"/>
    <w:rsid w:val="0FEB4494"/>
    <w:rsid w:val="10142F30"/>
    <w:rsid w:val="10170173"/>
    <w:rsid w:val="108D2CE2"/>
    <w:rsid w:val="10C15EDD"/>
    <w:rsid w:val="10E5667A"/>
    <w:rsid w:val="10FE598E"/>
    <w:rsid w:val="11460E38"/>
    <w:rsid w:val="119A7465"/>
    <w:rsid w:val="119E784E"/>
    <w:rsid w:val="11A726EA"/>
    <w:rsid w:val="11D861DF"/>
    <w:rsid w:val="11F72B09"/>
    <w:rsid w:val="12011292"/>
    <w:rsid w:val="12154D3D"/>
    <w:rsid w:val="123100E7"/>
    <w:rsid w:val="129E4D32"/>
    <w:rsid w:val="12AA1929"/>
    <w:rsid w:val="12FF50D2"/>
    <w:rsid w:val="132316DC"/>
    <w:rsid w:val="13411EEC"/>
    <w:rsid w:val="134A6C68"/>
    <w:rsid w:val="13655D4D"/>
    <w:rsid w:val="13830FA6"/>
    <w:rsid w:val="139B74C4"/>
    <w:rsid w:val="13DB5B12"/>
    <w:rsid w:val="13E214AD"/>
    <w:rsid w:val="14846311"/>
    <w:rsid w:val="149E54BE"/>
    <w:rsid w:val="14BE346A"/>
    <w:rsid w:val="14E013D0"/>
    <w:rsid w:val="1534197E"/>
    <w:rsid w:val="155939A6"/>
    <w:rsid w:val="157D50D3"/>
    <w:rsid w:val="15EC04AB"/>
    <w:rsid w:val="16210154"/>
    <w:rsid w:val="16473933"/>
    <w:rsid w:val="16AD7C3A"/>
    <w:rsid w:val="16DA0303"/>
    <w:rsid w:val="17017F86"/>
    <w:rsid w:val="1719707D"/>
    <w:rsid w:val="1763479D"/>
    <w:rsid w:val="17742506"/>
    <w:rsid w:val="17D15BAA"/>
    <w:rsid w:val="17DF2075"/>
    <w:rsid w:val="1824217E"/>
    <w:rsid w:val="182E07B8"/>
    <w:rsid w:val="184719C8"/>
    <w:rsid w:val="184B14B9"/>
    <w:rsid w:val="18525B00"/>
    <w:rsid w:val="187F6B62"/>
    <w:rsid w:val="18816044"/>
    <w:rsid w:val="188B5D59"/>
    <w:rsid w:val="18B440AE"/>
    <w:rsid w:val="18D53478"/>
    <w:rsid w:val="18E3544F"/>
    <w:rsid w:val="190B4923"/>
    <w:rsid w:val="19384DC0"/>
    <w:rsid w:val="19466124"/>
    <w:rsid w:val="196A22F8"/>
    <w:rsid w:val="197C1B46"/>
    <w:rsid w:val="19E5593D"/>
    <w:rsid w:val="1A0062D3"/>
    <w:rsid w:val="1A0F6516"/>
    <w:rsid w:val="1A340CCE"/>
    <w:rsid w:val="1A361CF4"/>
    <w:rsid w:val="1A606D71"/>
    <w:rsid w:val="1A7C5481"/>
    <w:rsid w:val="1A9B3947"/>
    <w:rsid w:val="1AA03612"/>
    <w:rsid w:val="1ABA0BC7"/>
    <w:rsid w:val="1AEC07E3"/>
    <w:rsid w:val="1AF96500"/>
    <w:rsid w:val="1B2304CB"/>
    <w:rsid w:val="1B324BB2"/>
    <w:rsid w:val="1B34092A"/>
    <w:rsid w:val="1B5F527B"/>
    <w:rsid w:val="1B9A51BA"/>
    <w:rsid w:val="1BE55780"/>
    <w:rsid w:val="1C202C5C"/>
    <w:rsid w:val="1C3C5F7F"/>
    <w:rsid w:val="1C497C2A"/>
    <w:rsid w:val="1C640D9B"/>
    <w:rsid w:val="1C74143C"/>
    <w:rsid w:val="1C9F1DD3"/>
    <w:rsid w:val="1CE43C8A"/>
    <w:rsid w:val="1D291FE4"/>
    <w:rsid w:val="1D2E3157"/>
    <w:rsid w:val="1D434E54"/>
    <w:rsid w:val="1D6D3645"/>
    <w:rsid w:val="1D7768AC"/>
    <w:rsid w:val="1DA90A2F"/>
    <w:rsid w:val="1E72772B"/>
    <w:rsid w:val="1EB15DEE"/>
    <w:rsid w:val="1ECB3353"/>
    <w:rsid w:val="1EF67CA4"/>
    <w:rsid w:val="1F046865"/>
    <w:rsid w:val="1F2111C5"/>
    <w:rsid w:val="1F3C1B5B"/>
    <w:rsid w:val="1F6F4ECA"/>
    <w:rsid w:val="20014B53"/>
    <w:rsid w:val="2027280B"/>
    <w:rsid w:val="20352208"/>
    <w:rsid w:val="204236FB"/>
    <w:rsid w:val="20AE1EB2"/>
    <w:rsid w:val="20C92CE4"/>
    <w:rsid w:val="20DC38FA"/>
    <w:rsid w:val="21277625"/>
    <w:rsid w:val="217B5198"/>
    <w:rsid w:val="2188552B"/>
    <w:rsid w:val="21B225A8"/>
    <w:rsid w:val="21C81DCC"/>
    <w:rsid w:val="22384AB0"/>
    <w:rsid w:val="22B57049"/>
    <w:rsid w:val="22BA23F3"/>
    <w:rsid w:val="22C75BE0"/>
    <w:rsid w:val="233B037C"/>
    <w:rsid w:val="23651C9F"/>
    <w:rsid w:val="23A24D76"/>
    <w:rsid w:val="23B343B6"/>
    <w:rsid w:val="23DF7C89"/>
    <w:rsid w:val="23EC5091"/>
    <w:rsid w:val="240E2832"/>
    <w:rsid w:val="241516F5"/>
    <w:rsid w:val="24381F8E"/>
    <w:rsid w:val="24B14D99"/>
    <w:rsid w:val="24B52FED"/>
    <w:rsid w:val="24CF6FCD"/>
    <w:rsid w:val="24D9609E"/>
    <w:rsid w:val="24F42ED8"/>
    <w:rsid w:val="250C25CB"/>
    <w:rsid w:val="251B4AC8"/>
    <w:rsid w:val="252C2672"/>
    <w:rsid w:val="254A0D4A"/>
    <w:rsid w:val="256C23F4"/>
    <w:rsid w:val="256C5801"/>
    <w:rsid w:val="25757B75"/>
    <w:rsid w:val="257D488D"/>
    <w:rsid w:val="258778A8"/>
    <w:rsid w:val="25893620"/>
    <w:rsid w:val="25965D3D"/>
    <w:rsid w:val="25BD151C"/>
    <w:rsid w:val="25D7082F"/>
    <w:rsid w:val="26327B15"/>
    <w:rsid w:val="268A7650"/>
    <w:rsid w:val="26A06E73"/>
    <w:rsid w:val="26A34BB6"/>
    <w:rsid w:val="26FE3B9A"/>
    <w:rsid w:val="27035654"/>
    <w:rsid w:val="277D0F63"/>
    <w:rsid w:val="278E4F1E"/>
    <w:rsid w:val="27A24E6D"/>
    <w:rsid w:val="27A44741"/>
    <w:rsid w:val="27B17B22"/>
    <w:rsid w:val="27D66FEB"/>
    <w:rsid w:val="27DC4832"/>
    <w:rsid w:val="2818512F"/>
    <w:rsid w:val="28546D55"/>
    <w:rsid w:val="288602EB"/>
    <w:rsid w:val="28BE5CD7"/>
    <w:rsid w:val="29143B49"/>
    <w:rsid w:val="29274E64"/>
    <w:rsid w:val="292A6EC8"/>
    <w:rsid w:val="293B254B"/>
    <w:rsid w:val="29C015DB"/>
    <w:rsid w:val="29C72C3A"/>
    <w:rsid w:val="29D33D5C"/>
    <w:rsid w:val="2A560D23"/>
    <w:rsid w:val="2A573CED"/>
    <w:rsid w:val="2A64465C"/>
    <w:rsid w:val="2A64640A"/>
    <w:rsid w:val="2ABC1DA2"/>
    <w:rsid w:val="2ADB491E"/>
    <w:rsid w:val="2ADC2444"/>
    <w:rsid w:val="2B3D6B50"/>
    <w:rsid w:val="2B457FE9"/>
    <w:rsid w:val="2B612949"/>
    <w:rsid w:val="2B801021"/>
    <w:rsid w:val="2BDA4BD6"/>
    <w:rsid w:val="2C167BD8"/>
    <w:rsid w:val="2DF14458"/>
    <w:rsid w:val="2DF27104"/>
    <w:rsid w:val="2DF95B61"/>
    <w:rsid w:val="2E0E0B66"/>
    <w:rsid w:val="2E1A575D"/>
    <w:rsid w:val="2E2E745B"/>
    <w:rsid w:val="2E693FEF"/>
    <w:rsid w:val="2EE97AC2"/>
    <w:rsid w:val="2EF22236"/>
    <w:rsid w:val="2EF51D26"/>
    <w:rsid w:val="2F835584"/>
    <w:rsid w:val="2FC04374"/>
    <w:rsid w:val="300D4E34"/>
    <w:rsid w:val="30207172"/>
    <w:rsid w:val="30590093"/>
    <w:rsid w:val="306431E2"/>
    <w:rsid w:val="31216E03"/>
    <w:rsid w:val="31235140"/>
    <w:rsid w:val="31472111"/>
    <w:rsid w:val="31707707"/>
    <w:rsid w:val="318D4498"/>
    <w:rsid w:val="32957AA8"/>
    <w:rsid w:val="32B46EF9"/>
    <w:rsid w:val="32DA0206"/>
    <w:rsid w:val="32F570F6"/>
    <w:rsid w:val="33040011"/>
    <w:rsid w:val="33386686"/>
    <w:rsid w:val="33557238"/>
    <w:rsid w:val="33E513E7"/>
    <w:rsid w:val="34057AB2"/>
    <w:rsid w:val="341D5FA7"/>
    <w:rsid w:val="343432F1"/>
    <w:rsid w:val="3437410F"/>
    <w:rsid w:val="34541527"/>
    <w:rsid w:val="345D7A29"/>
    <w:rsid w:val="352E5F92"/>
    <w:rsid w:val="3535217E"/>
    <w:rsid w:val="354807AF"/>
    <w:rsid w:val="35585E10"/>
    <w:rsid w:val="35607A21"/>
    <w:rsid w:val="35753BC1"/>
    <w:rsid w:val="357F059C"/>
    <w:rsid w:val="35C05B94"/>
    <w:rsid w:val="35E054DE"/>
    <w:rsid w:val="362426FA"/>
    <w:rsid w:val="36260A17"/>
    <w:rsid w:val="364610BA"/>
    <w:rsid w:val="364D069A"/>
    <w:rsid w:val="366B75D5"/>
    <w:rsid w:val="37070849"/>
    <w:rsid w:val="372F05A4"/>
    <w:rsid w:val="378D6FA0"/>
    <w:rsid w:val="378E2D18"/>
    <w:rsid w:val="37BF7375"/>
    <w:rsid w:val="38087113"/>
    <w:rsid w:val="38194CD8"/>
    <w:rsid w:val="38467043"/>
    <w:rsid w:val="38B30C88"/>
    <w:rsid w:val="391D07F7"/>
    <w:rsid w:val="39352566"/>
    <w:rsid w:val="398268AC"/>
    <w:rsid w:val="398C3287"/>
    <w:rsid w:val="39916116"/>
    <w:rsid w:val="39974106"/>
    <w:rsid w:val="399A2B77"/>
    <w:rsid w:val="39BD1052"/>
    <w:rsid w:val="39BD6FC6"/>
    <w:rsid w:val="39FE4185"/>
    <w:rsid w:val="3A502764"/>
    <w:rsid w:val="3A836438"/>
    <w:rsid w:val="3A992100"/>
    <w:rsid w:val="3AA7481D"/>
    <w:rsid w:val="3AC0143A"/>
    <w:rsid w:val="3B025F76"/>
    <w:rsid w:val="3B094FE2"/>
    <w:rsid w:val="3B111C96"/>
    <w:rsid w:val="3B81673C"/>
    <w:rsid w:val="3BB80364"/>
    <w:rsid w:val="3BE13EE5"/>
    <w:rsid w:val="3C236125"/>
    <w:rsid w:val="3C3C0F95"/>
    <w:rsid w:val="3C670229"/>
    <w:rsid w:val="3C88295C"/>
    <w:rsid w:val="3C92740A"/>
    <w:rsid w:val="3CC35212"/>
    <w:rsid w:val="3D8C7CFA"/>
    <w:rsid w:val="3DF71C39"/>
    <w:rsid w:val="3E111FAD"/>
    <w:rsid w:val="3E346DB0"/>
    <w:rsid w:val="3E3E764C"/>
    <w:rsid w:val="3E57278F"/>
    <w:rsid w:val="3EEF3BD5"/>
    <w:rsid w:val="3EFB5137"/>
    <w:rsid w:val="3F253F62"/>
    <w:rsid w:val="3F4E43E9"/>
    <w:rsid w:val="3F5078EC"/>
    <w:rsid w:val="3F655EA3"/>
    <w:rsid w:val="3F853C46"/>
    <w:rsid w:val="3FB86017"/>
    <w:rsid w:val="3FC456AD"/>
    <w:rsid w:val="3FDA11F0"/>
    <w:rsid w:val="3FE91433"/>
    <w:rsid w:val="401D2E8B"/>
    <w:rsid w:val="403C77B5"/>
    <w:rsid w:val="406D3E12"/>
    <w:rsid w:val="40F315A4"/>
    <w:rsid w:val="410D4CAE"/>
    <w:rsid w:val="412A757F"/>
    <w:rsid w:val="414F176A"/>
    <w:rsid w:val="418A09F4"/>
    <w:rsid w:val="41961147"/>
    <w:rsid w:val="41E159D4"/>
    <w:rsid w:val="41E579D9"/>
    <w:rsid w:val="41FD4D22"/>
    <w:rsid w:val="42075BA1"/>
    <w:rsid w:val="420A5691"/>
    <w:rsid w:val="420B38E3"/>
    <w:rsid w:val="42322F7E"/>
    <w:rsid w:val="425D7EB7"/>
    <w:rsid w:val="42802FA7"/>
    <w:rsid w:val="42A81132"/>
    <w:rsid w:val="42B06238"/>
    <w:rsid w:val="42BE0955"/>
    <w:rsid w:val="42D31A52"/>
    <w:rsid w:val="430D5439"/>
    <w:rsid w:val="43291B47"/>
    <w:rsid w:val="43617533"/>
    <w:rsid w:val="43721740"/>
    <w:rsid w:val="4384726E"/>
    <w:rsid w:val="43B93B9A"/>
    <w:rsid w:val="43CC70A2"/>
    <w:rsid w:val="43DE072D"/>
    <w:rsid w:val="43EC504E"/>
    <w:rsid w:val="4408069A"/>
    <w:rsid w:val="44316F05"/>
    <w:rsid w:val="445968C5"/>
    <w:rsid w:val="44806122"/>
    <w:rsid w:val="44C44246"/>
    <w:rsid w:val="44D87312"/>
    <w:rsid w:val="44F71EFD"/>
    <w:rsid w:val="45012D7B"/>
    <w:rsid w:val="45050ABD"/>
    <w:rsid w:val="458B6AE9"/>
    <w:rsid w:val="45AF0A29"/>
    <w:rsid w:val="45BB5620"/>
    <w:rsid w:val="460A2104"/>
    <w:rsid w:val="462431C5"/>
    <w:rsid w:val="468C5C3B"/>
    <w:rsid w:val="46D32E08"/>
    <w:rsid w:val="46F96400"/>
    <w:rsid w:val="47084895"/>
    <w:rsid w:val="471A6376"/>
    <w:rsid w:val="47305B9A"/>
    <w:rsid w:val="47386CE7"/>
    <w:rsid w:val="473E2065"/>
    <w:rsid w:val="47CE30B0"/>
    <w:rsid w:val="47EF7B49"/>
    <w:rsid w:val="496C7DF2"/>
    <w:rsid w:val="49975A5C"/>
    <w:rsid w:val="4A3258F2"/>
    <w:rsid w:val="4A3E412A"/>
    <w:rsid w:val="4A497872"/>
    <w:rsid w:val="4A541B9F"/>
    <w:rsid w:val="4A9216E3"/>
    <w:rsid w:val="4ABA40F8"/>
    <w:rsid w:val="4AE01685"/>
    <w:rsid w:val="4AEA6060"/>
    <w:rsid w:val="4B2E23F0"/>
    <w:rsid w:val="4B4828D4"/>
    <w:rsid w:val="4B700C5B"/>
    <w:rsid w:val="4BE156B5"/>
    <w:rsid w:val="4BF70A34"/>
    <w:rsid w:val="4C2E3515"/>
    <w:rsid w:val="4C793B3F"/>
    <w:rsid w:val="4C9E28EA"/>
    <w:rsid w:val="4CC47556"/>
    <w:rsid w:val="4CCA6149"/>
    <w:rsid w:val="4D007DBC"/>
    <w:rsid w:val="4D0478AD"/>
    <w:rsid w:val="4D0D7491"/>
    <w:rsid w:val="4D282F47"/>
    <w:rsid w:val="4D3D4B6D"/>
    <w:rsid w:val="4D423645"/>
    <w:rsid w:val="4D445EFB"/>
    <w:rsid w:val="4DB82445"/>
    <w:rsid w:val="4DC05EAB"/>
    <w:rsid w:val="4DD76D6F"/>
    <w:rsid w:val="4E8B1908"/>
    <w:rsid w:val="4EE32858"/>
    <w:rsid w:val="4EEF1E97"/>
    <w:rsid w:val="4F0074BA"/>
    <w:rsid w:val="4F542C5F"/>
    <w:rsid w:val="4F8172ED"/>
    <w:rsid w:val="4F8B1BBF"/>
    <w:rsid w:val="4FA7753C"/>
    <w:rsid w:val="4FBE7708"/>
    <w:rsid w:val="4FE21920"/>
    <w:rsid w:val="4FF50D07"/>
    <w:rsid w:val="50056979"/>
    <w:rsid w:val="50334005"/>
    <w:rsid w:val="506A211C"/>
    <w:rsid w:val="50CE309B"/>
    <w:rsid w:val="50D36597"/>
    <w:rsid w:val="51256043"/>
    <w:rsid w:val="51507083"/>
    <w:rsid w:val="51B51175"/>
    <w:rsid w:val="520D408E"/>
    <w:rsid w:val="520F0C30"/>
    <w:rsid w:val="52592449"/>
    <w:rsid w:val="525C5A95"/>
    <w:rsid w:val="526A01B2"/>
    <w:rsid w:val="526F7B89"/>
    <w:rsid w:val="527B1310"/>
    <w:rsid w:val="52AD009F"/>
    <w:rsid w:val="53314388"/>
    <w:rsid w:val="536B3095"/>
    <w:rsid w:val="537B019D"/>
    <w:rsid w:val="5380017E"/>
    <w:rsid w:val="538E1483"/>
    <w:rsid w:val="53E775E0"/>
    <w:rsid w:val="54186A87"/>
    <w:rsid w:val="541B6431"/>
    <w:rsid w:val="54B17E17"/>
    <w:rsid w:val="54D42C9D"/>
    <w:rsid w:val="55004DFD"/>
    <w:rsid w:val="55456CB4"/>
    <w:rsid w:val="55571991"/>
    <w:rsid w:val="5567155C"/>
    <w:rsid w:val="556E7FB9"/>
    <w:rsid w:val="55AD03B6"/>
    <w:rsid w:val="55F04E72"/>
    <w:rsid w:val="560143A9"/>
    <w:rsid w:val="56206309"/>
    <w:rsid w:val="566B44F9"/>
    <w:rsid w:val="570606C5"/>
    <w:rsid w:val="57144B90"/>
    <w:rsid w:val="574C432A"/>
    <w:rsid w:val="57835872"/>
    <w:rsid w:val="57AA2DFF"/>
    <w:rsid w:val="57B73E1A"/>
    <w:rsid w:val="57D97FC9"/>
    <w:rsid w:val="58010C9D"/>
    <w:rsid w:val="58565030"/>
    <w:rsid w:val="58A81A34"/>
    <w:rsid w:val="58BE2FA8"/>
    <w:rsid w:val="58D853F1"/>
    <w:rsid w:val="59260BAB"/>
    <w:rsid w:val="592C368F"/>
    <w:rsid w:val="59A321FB"/>
    <w:rsid w:val="59C3464B"/>
    <w:rsid w:val="59FF38D6"/>
    <w:rsid w:val="5A0F1A20"/>
    <w:rsid w:val="5A1E05E5"/>
    <w:rsid w:val="5A243AEA"/>
    <w:rsid w:val="5A3410A5"/>
    <w:rsid w:val="5A5C70CB"/>
    <w:rsid w:val="5AC73CC7"/>
    <w:rsid w:val="5B2F22CC"/>
    <w:rsid w:val="5B372953"/>
    <w:rsid w:val="5B745BFD"/>
    <w:rsid w:val="5B8D6CBF"/>
    <w:rsid w:val="5B911562"/>
    <w:rsid w:val="5BD743DE"/>
    <w:rsid w:val="5BF3746A"/>
    <w:rsid w:val="5CA73DB1"/>
    <w:rsid w:val="5CD34BA6"/>
    <w:rsid w:val="5CE54573"/>
    <w:rsid w:val="5CF702E9"/>
    <w:rsid w:val="5D4E1BA7"/>
    <w:rsid w:val="5D683540"/>
    <w:rsid w:val="5DC310BE"/>
    <w:rsid w:val="5E073BED"/>
    <w:rsid w:val="5E0A2849"/>
    <w:rsid w:val="5E2B6E6F"/>
    <w:rsid w:val="5E714676"/>
    <w:rsid w:val="5E856373"/>
    <w:rsid w:val="5EC23124"/>
    <w:rsid w:val="5ECB5627"/>
    <w:rsid w:val="5F4D410D"/>
    <w:rsid w:val="5F5151E3"/>
    <w:rsid w:val="5F67138C"/>
    <w:rsid w:val="5F6F6BEE"/>
    <w:rsid w:val="5F70767C"/>
    <w:rsid w:val="5F9576F1"/>
    <w:rsid w:val="5FA131F0"/>
    <w:rsid w:val="5FB707AE"/>
    <w:rsid w:val="60011A2A"/>
    <w:rsid w:val="60056797"/>
    <w:rsid w:val="606B658C"/>
    <w:rsid w:val="609E371C"/>
    <w:rsid w:val="60A76A75"/>
    <w:rsid w:val="60D14602"/>
    <w:rsid w:val="61957B24"/>
    <w:rsid w:val="619743F4"/>
    <w:rsid w:val="61AE5BE1"/>
    <w:rsid w:val="61B52ACC"/>
    <w:rsid w:val="61DD367E"/>
    <w:rsid w:val="61FE0917"/>
    <w:rsid w:val="62A56FE4"/>
    <w:rsid w:val="62B62164"/>
    <w:rsid w:val="62C92CD3"/>
    <w:rsid w:val="6302602E"/>
    <w:rsid w:val="63072608"/>
    <w:rsid w:val="631A1780"/>
    <w:rsid w:val="63607A4C"/>
    <w:rsid w:val="63612F0B"/>
    <w:rsid w:val="63715D2B"/>
    <w:rsid w:val="637A4B45"/>
    <w:rsid w:val="63EB3EF8"/>
    <w:rsid w:val="63F83144"/>
    <w:rsid w:val="643C74D4"/>
    <w:rsid w:val="643F0D73"/>
    <w:rsid w:val="644D348F"/>
    <w:rsid w:val="645F08B5"/>
    <w:rsid w:val="646734C9"/>
    <w:rsid w:val="64B41760"/>
    <w:rsid w:val="64D06D48"/>
    <w:rsid w:val="64E81CE8"/>
    <w:rsid w:val="6502427A"/>
    <w:rsid w:val="65143FAD"/>
    <w:rsid w:val="65332685"/>
    <w:rsid w:val="656E5DB3"/>
    <w:rsid w:val="657C502B"/>
    <w:rsid w:val="6589499B"/>
    <w:rsid w:val="65ED2713"/>
    <w:rsid w:val="66394FA5"/>
    <w:rsid w:val="66577EE3"/>
    <w:rsid w:val="667110EE"/>
    <w:rsid w:val="669B71F4"/>
    <w:rsid w:val="66F978FF"/>
    <w:rsid w:val="67123590"/>
    <w:rsid w:val="679B09B6"/>
    <w:rsid w:val="67BA2898"/>
    <w:rsid w:val="67D55C76"/>
    <w:rsid w:val="67E46C83"/>
    <w:rsid w:val="67F0692E"/>
    <w:rsid w:val="68041736"/>
    <w:rsid w:val="68247428"/>
    <w:rsid w:val="683055A2"/>
    <w:rsid w:val="684013CE"/>
    <w:rsid w:val="685F0B4B"/>
    <w:rsid w:val="686F60CA"/>
    <w:rsid w:val="688356D2"/>
    <w:rsid w:val="68884A07"/>
    <w:rsid w:val="68886F8F"/>
    <w:rsid w:val="68907DEF"/>
    <w:rsid w:val="68D66149"/>
    <w:rsid w:val="691F15AB"/>
    <w:rsid w:val="696372B1"/>
    <w:rsid w:val="699658D9"/>
    <w:rsid w:val="69D02B99"/>
    <w:rsid w:val="6A032CC6"/>
    <w:rsid w:val="6A0C16F7"/>
    <w:rsid w:val="6A48066B"/>
    <w:rsid w:val="6A794FDE"/>
    <w:rsid w:val="6AA8720E"/>
    <w:rsid w:val="6AF1726A"/>
    <w:rsid w:val="6B353A51"/>
    <w:rsid w:val="6B4B2C82"/>
    <w:rsid w:val="6B5E2426"/>
    <w:rsid w:val="6B76151E"/>
    <w:rsid w:val="6BAB20C9"/>
    <w:rsid w:val="6BBA5839"/>
    <w:rsid w:val="6BE666BE"/>
    <w:rsid w:val="6BF15048"/>
    <w:rsid w:val="6C065B49"/>
    <w:rsid w:val="6C066D46"/>
    <w:rsid w:val="6C1F3963"/>
    <w:rsid w:val="6C5F5F43"/>
    <w:rsid w:val="6C661592"/>
    <w:rsid w:val="6C813345"/>
    <w:rsid w:val="6CA90308"/>
    <w:rsid w:val="6CE32BE3"/>
    <w:rsid w:val="6D1B140E"/>
    <w:rsid w:val="6D220811"/>
    <w:rsid w:val="6D6C2BD8"/>
    <w:rsid w:val="6DA46816"/>
    <w:rsid w:val="6DB66549"/>
    <w:rsid w:val="6E310F56"/>
    <w:rsid w:val="6E492F1A"/>
    <w:rsid w:val="6E781A51"/>
    <w:rsid w:val="6E8B3532"/>
    <w:rsid w:val="6F2F210F"/>
    <w:rsid w:val="6F616041"/>
    <w:rsid w:val="6F767D3E"/>
    <w:rsid w:val="6FDC0F91"/>
    <w:rsid w:val="700C06A3"/>
    <w:rsid w:val="704020FA"/>
    <w:rsid w:val="70875F7B"/>
    <w:rsid w:val="70A906E5"/>
    <w:rsid w:val="70DC1E23"/>
    <w:rsid w:val="7104137A"/>
    <w:rsid w:val="715220E5"/>
    <w:rsid w:val="717E613F"/>
    <w:rsid w:val="71995F66"/>
    <w:rsid w:val="71B94E31"/>
    <w:rsid w:val="72120A02"/>
    <w:rsid w:val="725B7C23"/>
    <w:rsid w:val="72A252EE"/>
    <w:rsid w:val="72AD517D"/>
    <w:rsid w:val="730B2E93"/>
    <w:rsid w:val="735465E8"/>
    <w:rsid w:val="73602DCE"/>
    <w:rsid w:val="73755554"/>
    <w:rsid w:val="737722D7"/>
    <w:rsid w:val="73B843AA"/>
    <w:rsid w:val="73BF67F8"/>
    <w:rsid w:val="73E01C2A"/>
    <w:rsid w:val="74534AF2"/>
    <w:rsid w:val="74956EB9"/>
    <w:rsid w:val="74A125F2"/>
    <w:rsid w:val="74FA7DC8"/>
    <w:rsid w:val="751A5610"/>
    <w:rsid w:val="75A4312B"/>
    <w:rsid w:val="75F55735"/>
    <w:rsid w:val="75FC5A71"/>
    <w:rsid w:val="760140DA"/>
    <w:rsid w:val="761A4627"/>
    <w:rsid w:val="76285B0A"/>
    <w:rsid w:val="76361FD5"/>
    <w:rsid w:val="764741E2"/>
    <w:rsid w:val="76487F5B"/>
    <w:rsid w:val="768C7E47"/>
    <w:rsid w:val="76D24862"/>
    <w:rsid w:val="76EC2FDC"/>
    <w:rsid w:val="76F93003"/>
    <w:rsid w:val="77471FC0"/>
    <w:rsid w:val="77536BB7"/>
    <w:rsid w:val="77731088"/>
    <w:rsid w:val="77903967"/>
    <w:rsid w:val="779A6594"/>
    <w:rsid w:val="77A61782"/>
    <w:rsid w:val="77BC29AE"/>
    <w:rsid w:val="77C41863"/>
    <w:rsid w:val="77D70DAD"/>
    <w:rsid w:val="77ED700C"/>
    <w:rsid w:val="78526487"/>
    <w:rsid w:val="787E5EB6"/>
    <w:rsid w:val="78827754"/>
    <w:rsid w:val="78B95140"/>
    <w:rsid w:val="78F87A16"/>
    <w:rsid w:val="7973709D"/>
    <w:rsid w:val="79876FEC"/>
    <w:rsid w:val="79AE6327"/>
    <w:rsid w:val="79D5256A"/>
    <w:rsid w:val="79E461EC"/>
    <w:rsid w:val="79FD4D1C"/>
    <w:rsid w:val="7A522A37"/>
    <w:rsid w:val="7A57096E"/>
    <w:rsid w:val="7A6F3D08"/>
    <w:rsid w:val="7AFF25D5"/>
    <w:rsid w:val="7AFF41CC"/>
    <w:rsid w:val="7B0326A2"/>
    <w:rsid w:val="7B1F572E"/>
    <w:rsid w:val="7B5E70A2"/>
    <w:rsid w:val="7B6075EF"/>
    <w:rsid w:val="7BDF0A19"/>
    <w:rsid w:val="7BE2764E"/>
    <w:rsid w:val="7BFF27A7"/>
    <w:rsid w:val="7C444D20"/>
    <w:rsid w:val="7C6B49A3"/>
    <w:rsid w:val="7CCD11BA"/>
    <w:rsid w:val="7CD86C6F"/>
    <w:rsid w:val="7CF03F5D"/>
    <w:rsid w:val="7CF46746"/>
    <w:rsid w:val="7CFA031D"/>
    <w:rsid w:val="7D025527"/>
    <w:rsid w:val="7D3354C1"/>
    <w:rsid w:val="7D364FB1"/>
    <w:rsid w:val="7D4A1525"/>
    <w:rsid w:val="7D5C68FA"/>
    <w:rsid w:val="7D690001"/>
    <w:rsid w:val="7D8E26F7"/>
    <w:rsid w:val="7D9A5540"/>
    <w:rsid w:val="7DEC5C7F"/>
    <w:rsid w:val="7DF2712A"/>
    <w:rsid w:val="7DFC3B04"/>
    <w:rsid w:val="7E1D1CCD"/>
    <w:rsid w:val="7E3A63DB"/>
    <w:rsid w:val="7E5751DF"/>
    <w:rsid w:val="7E590F57"/>
    <w:rsid w:val="7E6C3A4B"/>
    <w:rsid w:val="7EBC14E6"/>
    <w:rsid w:val="7EE54599"/>
    <w:rsid w:val="7F211C9E"/>
    <w:rsid w:val="7F3B68AE"/>
    <w:rsid w:val="7F995383"/>
    <w:rsid w:val="7FB81CAD"/>
    <w:rsid w:val="7FC32B2C"/>
    <w:rsid w:val="7FC72453"/>
    <w:rsid w:val="7FE8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jc w:val="left"/>
      <w:outlineLvl w:val="2"/>
    </w:pPr>
    <w:rPr>
      <w:rFonts w:eastAsia="仿宋_GB2312"/>
      <w:b/>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autoSpaceDE w:val="0"/>
      <w:autoSpaceDN w:val="0"/>
      <w:adjustRightInd w:val="0"/>
      <w:ind w:firstLine="420"/>
    </w:pPr>
    <w:rPr>
      <w:kern w:val="0"/>
      <w:szCs w:val="21"/>
    </w:rPr>
  </w:style>
  <w:style w:type="paragraph" w:styleId="8">
    <w:name w:val="Body Text"/>
    <w:basedOn w:val="1"/>
    <w:next w:val="1"/>
    <w:qFormat/>
    <w:uiPriority w:val="0"/>
    <w:pPr>
      <w:spacing w:afterLines="50" w:line="360" w:lineRule="auto"/>
    </w:pPr>
    <w:rPr>
      <w:rFonts w:ascii="宋体" w:hAnsi="宋体"/>
      <w:color w:val="000000"/>
      <w:sz w:val="24"/>
    </w:rPr>
  </w:style>
  <w:style w:type="paragraph" w:styleId="9">
    <w:name w:val="Body Text Indent"/>
    <w:basedOn w:val="1"/>
    <w:qFormat/>
    <w:uiPriority w:val="0"/>
    <w:pPr>
      <w:spacing w:beforeLines="0" w:afterLines="0" w:line="360" w:lineRule="auto"/>
      <w:ind w:left="424" w:leftChars="202" w:firstLine="567"/>
    </w:pPr>
    <w:rPr>
      <w:rFonts w:hint="eastAsia"/>
      <w:sz w:val="24"/>
    </w:rPr>
  </w:style>
  <w:style w:type="paragraph" w:styleId="10">
    <w:name w:val="Block Text"/>
    <w:basedOn w:val="1"/>
    <w:next w:val="1"/>
    <w:unhideWhenUsed/>
    <w:qFormat/>
    <w:uiPriority w:val="99"/>
    <w:pPr>
      <w:ind w:left="1440" w:leftChars="700" w:right="700" w:rightChars="70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rPr>
  </w:style>
  <w:style w:type="paragraph" w:styleId="13">
    <w:name w:val="Date"/>
    <w:basedOn w:val="1"/>
    <w:next w:val="1"/>
    <w:qFormat/>
    <w:uiPriority w:val="0"/>
    <w:rPr>
      <w:rFonts w:ascii="Copperplate Gothic Bold" w:hAnsi="Copperplate Gothic Bold"/>
      <w:sz w:val="32"/>
    </w:rPr>
  </w:style>
  <w:style w:type="paragraph" w:styleId="14">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Theme="minorAscii" w:hAnsiTheme="minorAscii"/>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pPr>
      <w:adjustRightInd w:val="0"/>
      <w:snapToGrid w:val="0"/>
      <w:spacing w:line="480" w:lineRule="atLeast"/>
    </w:pPr>
    <w:rPr>
      <w:rFonts w:ascii="宋体" w:hAnsi="宋体"/>
      <w:sz w:val="28"/>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1">
    <w:name w:val="Title"/>
    <w:basedOn w:val="1"/>
    <w:next w:val="1"/>
    <w:qFormat/>
    <w:uiPriority w:val="0"/>
    <w:pPr>
      <w:adjustRightInd w:val="0"/>
      <w:spacing w:before="240" w:after="60" w:line="312" w:lineRule="atLeast"/>
      <w:jc w:val="center"/>
      <w:textAlignment w:val="baseline"/>
      <w:outlineLvl w:val="0"/>
    </w:pPr>
    <w:rPr>
      <w:rFonts w:ascii="Arial" w:hAnsi="Arial" w:eastAsia="楷体_GB2312"/>
      <w:b/>
      <w:kern w:val="0"/>
      <w:sz w:val="32"/>
      <w:szCs w:val="32"/>
    </w:rPr>
  </w:style>
  <w:style w:type="paragraph" w:styleId="22">
    <w:name w:val="Body Text First Indent"/>
    <w:basedOn w:val="8"/>
    <w:unhideWhenUsed/>
    <w:qFormat/>
    <w:uiPriority w:val="99"/>
    <w:pPr>
      <w:spacing w:afterLines="0" w:line="240" w:lineRule="auto"/>
      <w:ind w:firstLine="420" w:firstLineChars="100"/>
    </w:pPr>
    <w:rPr>
      <w:rFonts w:ascii="Times New Roman" w:hAnsi="Times New Roman"/>
      <w:color w:val="auto"/>
      <w:sz w:val="18"/>
      <w:szCs w:val="18"/>
    </w:rPr>
  </w:style>
  <w:style w:type="paragraph" w:styleId="23">
    <w:name w:val="Body Text First Indent 2"/>
    <w:basedOn w:val="9"/>
    <w:qFormat/>
    <w:uiPriority w:val="0"/>
    <w:pPr>
      <w:ind w:firstLine="420" w:firstLineChars="200"/>
    </w:pPr>
    <w:rPr>
      <w:rFonts w:ascii="Times New Roman" w:hAnsi="Times New Roman" w:eastAsia="宋体" w:cs="Times New Roman"/>
      <w:szCs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paragraph" w:customStyle="1" w:styleId="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9">
    <w:name w:val="List Paragraph1"/>
    <w:qFormat/>
    <w:uiPriority w:val="0"/>
    <w:pPr>
      <w:ind w:firstLine="420" w:firstLineChars="200"/>
    </w:pPr>
    <w:rPr>
      <w:rFonts w:ascii="Calibri" w:hAnsi="Calibri" w:eastAsia="宋体" w:cs="Times New Roman"/>
      <w:lang w:val="en-US" w:eastAsia="zh-CN" w:bidi="ar-SA"/>
    </w:rPr>
  </w:style>
  <w:style w:type="paragraph" w:customStyle="1" w:styleId="30">
    <w:name w:val="正文文本1"/>
    <w:basedOn w:val="1"/>
    <w:qFormat/>
    <w:uiPriority w:val="0"/>
    <w:pPr>
      <w:widowControl w:val="0"/>
      <w:shd w:val="clear" w:color="auto" w:fill="FFFFFF"/>
      <w:spacing w:after="60" w:line="463" w:lineRule="auto"/>
      <w:ind w:firstLine="400"/>
    </w:pPr>
    <w:rPr>
      <w:rFonts w:ascii="黑体" w:hAnsi="黑体" w:eastAsia="黑体" w:cs="黑体"/>
      <w:sz w:val="34"/>
      <w:szCs w:val="34"/>
      <w:u w:val="none"/>
      <w:lang w:val="zh-CN" w:eastAsia="zh-CN" w:bidi="zh-CN"/>
    </w:rPr>
  </w:style>
  <w:style w:type="paragraph" w:customStyle="1" w:styleId="31">
    <w:name w:val="正文（缩进 2 字符）"/>
    <w:basedOn w:val="1"/>
    <w:qFormat/>
    <w:uiPriority w:val="0"/>
    <w:pPr>
      <w:ind w:firstLine="200" w:firstLineChars="200"/>
    </w:p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styleId="33">
    <w:name w:val="List Paragraph"/>
    <w:basedOn w:val="1"/>
    <w:qFormat/>
    <w:uiPriority w:val="0"/>
    <w:pPr>
      <w:ind w:firstLine="420" w:firstLineChars="200"/>
    </w:pPr>
    <w:rPr>
      <w:sz w:val="18"/>
      <w:szCs w:val="18"/>
    </w:rPr>
  </w:style>
  <w:style w:type="paragraph" w:customStyle="1" w:styleId="34">
    <w:name w:val="样式 样式 样式 样式 样式 样式 样式 正文首行缩进 2 + 左  0 字符 首行缩进:  1.71 字符 + 首行缩进:  ..."/>
    <w:basedOn w:val="1"/>
    <w:qFormat/>
    <w:uiPriority w:val="0"/>
    <w:pPr>
      <w:spacing w:after="120" w:line="360" w:lineRule="auto"/>
      <w:ind w:firstLine="200" w:firstLineChars="200"/>
    </w:pPr>
    <w:rPr>
      <w:rFonts w:ascii="Times New Roman" w:hAnsi="Times New Roman" w:eastAsia="宋体" w:cs="Times New Roman"/>
      <w:kern w:val="28"/>
      <w:sz w:val="24"/>
      <w:szCs w:val="20"/>
    </w:rPr>
  </w:style>
  <w:style w:type="paragraph" w:customStyle="1" w:styleId="35">
    <w:name w:val="列出段落21"/>
    <w:basedOn w:val="1"/>
    <w:qFormat/>
    <w:uiPriority w:val="34"/>
    <w:pPr>
      <w:spacing w:line="360" w:lineRule="auto"/>
      <w:ind w:firstLine="420" w:firstLineChars="200"/>
    </w:pPr>
    <w:rPr>
      <w:rFonts w:eastAsia="黑体"/>
      <w:sz w:val="24"/>
    </w:rPr>
  </w:style>
  <w:style w:type="character" w:customStyle="1" w:styleId="36">
    <w:name w:val="NormalCharacter"/>
    <w:qFormat/>
    <w:uiPriority w:val="0"/>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宋体" w:hAnsi="宋体" w:eastAsia="宋体" w:cs="宋体"/>
      <w:sz w:val="19"/>
      <w:szCs w:val="19"/>
    </w:rPr>
  </w:style>
  <w:style w:type="character" w:customStyle="1" w:styleId="39">
    <w:name w:val="font21"/>
    <w:basedOn w:val="26"/>
    <w:qFormat/>
    <w:uiPriority w:val="0"/>
    <w:rPr>
      <w:rFonts w:hint="eastAsia" w:ascii="宋体" w:hAnsi="宋体" w:eastAsia="宋体" w:cs="宋体"/>
      <w:color w:val="000000"/>
      <w:sz w:val="22"/>
      <w:szCs w:val="22"/>
      <w:u w:val="none"/>
    </w:rPr>
  </w:style>
  <w:style w:type="character" w:customStyle="1" w:styleId="40">
    <w:name w:val="font51"/>
    <w:basedOn w:val="2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21655</Words>
  <Characters>22615</Characters>
  <Lines>0</Lines>
  <Paragraphs>0</Paragraphs>
  <TotalTime>7</TotalTime>
  <ScaleCrop>false</ScaleCrop>
  <LinksUpToDate>false</LinksUpToDate>
  <CharactersWithSpaces>24441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没人给我穿袜子</dc:creator>
  <cp:lastModifiedBy>A.ツ丶小猪爱</cp:lastModifiedBy>
  <cp:lastPrinted>2023-04-12T13:52:00Z</cp:lastPrinted>
  <dcterms:modified xsi:type="dcterms:W3CDTF">2025-12-15T01:30:24Z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UUID">
    <vt:lpwstr>v1.0_mb_JTkv4FRecwauV9R5PE+DoQ==</vt:lpwstr>
  </property>
  <property fmtid="{D5CDD505-2E9C-101B-9397-08002B2CF9AE}" pid="4" name="ICV">
    <vt:lpwstr>948222DC355D46AA8C94A95DF88F9E76</vt:lpwstr>
  </property>
  <property fmtid="{D5CDD505-2E9C-101B-9397-08002B2CF9AE}" pid="5" name="KSOTemplateDocerSaveRecord">
    <vt:lpwstr>eyJoZGlkIjoiZDFiMzgwNTU5NDg1MjVjNWEyNDAzMGU4YzhkOWJkZjQiLCJ1c2VySWQiOiIzNjU0MzY3NDMifQ==</vt:lpwstr>
  </property>
</Properties>
</file>