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D2C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328" w:firstLineChars="68"/>
        <w:jc w:val="center"/>
        <w:textAlignment w:val="auto"/>
        <w:rPr>
          <w:rFonts w:hint="eastAsia" w:ascii="仿宋_GB2312" w:eastAsia="仿宋_GB2312" w:cs="Times New Roman"/>
          <w:sz w:val="48"/>
          <w:szCs w:val="48"/>
          <w:lang w:val="en-US" w:eastAsia="zh-CN"/>
        </w:rPr>
      </w:pPr>
      <w:r>
        <w:rPr>
          <w:rFonts w:hint="eastAsia" w:ascii="仿宋_GB2312" w:eastAsia="仿宋_GB2312" w:cs="Times New Roman"/>
          <w:sz w:val="48"/>
          <w:szCs w:val="48"/>
          <w:lang w:val="en-US" w:eastAsia="zh-CN"/>
        </w:rPr>
        <w:t>采购内容</w:t>
      </w:r>
    </w:p>
    <w:p w14:paraId="54A1A6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218" w:firstLineChars="68"/>
        <w:textAlignment w:val="auto"/>
        <w:rPr>
          <w:rFonts w:hint="default" w:ascii="仿宋_GB2312" w:eastAsia="仿宋_GB2312" w:cs="Times New Roman"/>
          <w:lang w:val="en-US" w:eastAsia="zh-CN"/>
        </w:rPr>
      </w:pPr>
      <w:r>
        <w:rPr>
          <w:rFonts w:hint="default" w:ascii="仿宋_GB2312" w:eastAsia="仿宋_GB2312" w:cs="Times New Roman"/>
          <w:lang w:val="en-US" w:eastAsia="zh-CN"/>
        </w:rPr>
        <w:t>一、项目概况</w:t>
      </w:r>
    </w:p>
    <w:p w14:paraId="0102A9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  <w:t>聚焦土地资源集约利用、城乡融合发展、民生保障提升三大方向，通过专项债券资金精准支持土地类重点项目，既破解当前项目建设资金瓶颈，又为区域长远发展夯实土地要素基础，助力鄠邑区实现 “资源变资产、资产变收益”的良性循环，推动城市韧性提升与乡村全面振兴</w:t>
      </w:r>
      <w:r>
        <w:rPr>
          <w:rFonts w:hint="eastAsia" w:cs="仿宋_GB2312"/>
          <w:color w:val="auto"/>
          <w:sz w:val="28"/>
          <w:szCs w:val="22"/>
          <w:lang w:val="en-US" w:eastAsia="zh-CN" w:bidi="ar-SA"/>
        </w:rPr>
        <w:t>。</w:t>
      </w:r>
    </w:p>
    <w:p w14:paraId="7F8F0B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218" w:firstLineChars="68"/>
        <w:textAlignment w:val="auto"/>
        <w:rPr>
          <w:rFonts w:hint="default" w:ascii="仿宋_GB2312" w:eastAsia="仿宋_GB2312" w:cs="Times New Roman"/>
          <w:lang w:val="en-US" w:eastAsia="zh-CN"/>
        </w:rPr>
      </w:pPr>
      <w:r>
        <w:rPr>
          <w:rFonts w:hint="default" w:ascii="仿宋_GB2312" w:eastAsia="仿宋_GB2312" w:cs="Times New Roman"/>
          <w:lang w:val="en-US" w:eastAsia="zh-CN"/>
        </w:rPr>
        <w:t>二、服务内容</w:t>
      </w:r>
    </w:p>
    <w:p w14:paraId="677A7F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  <w:t>规划技术服务从背景研究、现状评估、规划论证、实施保障四个维度开展，分别对中心城区内经营性用地、产业用地、渼陂湖产业用地的土地资源梳理，项目用地现状评估、规划传导、核心指标论证及相关图纸制作，支撑土地专项债资金的申请。</w:t>
      </w:r>
    </w:p>
    <w:p w14:paraId="0666C4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218" w:firstLineChars="68"/>
        <w:textAlignment w:val="auto"/>
        <w:rPr>
          <w:rFonts w:hint="default" w:ascii="仿宋_GB2312" w:eastAsia="仿宋_GB2312" w:cs="Times New Roman"/>
          <w:lang w:val="en-US" w:eastAsia="zh-CN"/>
        </w:rPr>
      </w:pPr>
      <w:r>
        <w:rPr>
          <w:rFonts w:hint="default" w:ascii="仿宋_GB2312" w:eastAsia="仿宋_GB2312" w:cs="Times New Roman"/>
          <w:lang w:val="en-US" w:eastAsia="zh-CN"/>
        </w:rPr>
        <w:t>三、技术要求</w:t>
      </w:r>
    </w:p>
    <w:p w14:paraId="0528E5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2"/>
          <w:lang w:val="en-US" w:eastAsia="zh-CN" w:bidi="ar-SA"/>
        </w:rPr>
        <w:t>（一）规范标准</w:t>
      </w:r>
    </w:p>
    <w:p w14:paraId="5B75CD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  <w:t>规划编制全过程须严格遵守国家及陕西省现行有效的法律法规、技术标准和规范。</w:t>
      </w:r>
      <w:bookmarkStart w:id="0" w:name="_GoBack"/>
      <w:bookmarkEnd w:id="0"/>
    </w:p>
    <w:p w14:paraId="78621A6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2"/>
          <w:lang w:val="en-US" w:eastAsia="zh-CN" w:bidi="ar-SA"/>
        </w:rPr>
        <w:t>（二）数据要求</w:t>
      </w:r>
    </w:p>
    <w:p w14:paraId="75FF9E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仿宋_GB2312" w:eastAsia="仿宋_GB2312" w:cs="Times New Roman"/>
          <w:sz w:val="48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  <w:t>应统一采用2000国家大地坐标系和1985国家高程基准作为空间定位基础，形成坐标一致、边界吻合、上下贯通的工作底图。</w:t>
      </w:r>
    </w:p>
    <w:p w14:paraId="243D12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328" w:firstLineChars="68"/>
        <w:jc w:val="center"/>
        <w:textAlignment w:val="auto"/>
        <w:rPr>
          <w:rFonts w:hint="default" w:ascii="仿宋_GB2312" w:eastAsia="仿宋_GB2312" w:cs="Times New Roman"/>
          <w:sz w:val="48"/>
          <w:szCs w:val="48"/>
          <w:lang w:val="en-US" w:eastAsia="zh-CN"/>
        </w:rPr>
      </w:pPr>
      <w:r>
        <w:rPr>
          <w:rFonts w:hint="eastAsia" w:ascii="仿宋_GB2312" w:eastAsia="仿宋_GB2312" w:cs="Times New Roman"/>
          <w:sz w:val="48"/>
          <w:szCs w:val="48"/>
          <w:lang w:val="en-US" w:eastAsia="zh-CN"/>
        </w:rPr>
        <w:t>商务要求</w:t>
      </w:r>
    </w:p>
    <w:p w14:paraId="03E9A9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  <w:t>1、服务期：自合同签订之日起</w:t>
      </w:r>
      <w:r>
        <w:rPr>
          <w:rFonts w:hint="eastAsia" w:cs="仿宋_GB2312"/>
          <w:color w:val="auto"/>
          <w:sz w:val="28"/>
          <w:szCs w:val="22"/>
          <w:lang w:val="en-US" w:eastAsia="zh-CN" w:bidi="ar-SA"/>
        </w:rPr>
        <w:t>180日</w:t>
      </w:r>
      <w:r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  <w:t>。</w:t>
      </w:r>
    </w:p>
    <w:p w14:paraId="720A57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  <w:t>2、服务地点：采购人指定地点</w:t>
      </w:r>
    </w:p>
    <w:p w14:paraId="143D4C3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  <w:t>3、付款方式：合同签订后，达到付款条件起30日内，支付合同总金额的50%；乙方向甲方提交全部技术成果当日，达到付款条件起30日内，支付合同总金额的50%。</w:t>
      </w:r>
    </w:p>
    <w:p w14:paraId="23D6463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2"/>
          <w:lang w:val="en-US" w:eastAsia="zh-CN" w:bidi="ar-SA"/>
        </w:rPr>
        <w:t>4、服务质量：达到国家现行的标准或国家行政部门颁布的法律法规、规章制度等。</w:t>
      </w:r>
    </w:p>
    <w:p w14:paraId="37C228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9151D"/>
    <w:rsid w:val="2DEE0B8D"/>
    <w:rsid w:val="344C23E9"/>
    <w:rsid w:val="3FB53328"/>
    <w:rsid w:val="58041037"/>
    <w:rsid w:val="6B9A7587"/>
    <w:rsid w:val="6D01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line="360" w:lineRule="auto"/>
      <w:ind w:left="1037"/>
      <w:outlineLvl w:val="0"/>
    </w:pPr>
    <w:rPr>
      <w:rFonts w:ascii="黑体" w:hAnsi="黑体" w:eastAsia="黑体" w:cs="黑体"/>
      <w:b/>
      <w:bCs/>
      <w:sz w:val="32"/>
      <w:szCs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pPr>
      <w:spacing w:line="360" w:lineRule="auto"/>
      <w:ind w:firstLine="400" w:firstLineChars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856</Characters>
  <Lines>0</Lines>
  <Paragraphs>0</Paragraphs>
  <TotalTime>0</TotalTime>
  <ScaleCrop>false</ScaleCrop>
  <LinksUpToDate>false</LinksUpToDate>
  <CharactersWithSpaces>856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2025-07-31T02:51:00Z</dcterms:created>
  <dc:creator>Administrator</dc:creator>
  <cp:lastModifiedBy>Y</cp:lastModifiedBy>
  <dcterms:modified xsi:type="dcterms:W3CDTF">2025-12-15T07:11:16Z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eyJoZGlkIjoiN2EzZTVkOGVjMTBjMGYwODY1N2Q5MjNjYjljMjBjOWMiLCJ1c2VySWQiOiIxMDMyOTA1OTI4In0=</vt:lpwstr>
  </property>
  <property fmtid="{D5CDD505-2E9C-101B-9397-08002B2CF9AE}" pid="4" name="ICV">
    <vt:lpwstr>223F8C77B8844D738D7A93B2AE827937_12</vt:lpwstr>
  </property>
</Properties>
</file>