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027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Theme="minorEastAsia"/>
          <w:b/>
          <w:bCs/>
          <w:sz w:val="28"/>
          <w:szCs w:val="36"/>
          <w:lang w:val="en-US" w:eastAsia="zh-CN"/>
        </w:rPr>
      </w:pPr>
      <w:r>
        <w:rPr>
          <w:rFonts w:hint="eastAsia"/>
          <w:b/>
          <w:bCs/>
          <w:sz w:val="28"/>
          <w:szCs w:val="36"/>
          <w:lang w:val="en-US" w:eastAsia="zh-CN"/>
        </w:rPr>
        <w:t>采购需求</w:t>
      </w:r>
      <w:bookmarkStart w:id="0" w:name="_GoBack"/>
      <w:bookmarkEnd w:id="0"/>
    </w:p>
    <w:p w14:paraId="2E3597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一、总体要求</w:t>
      </w:r>
    </w:p>
    <w:p w14:paraId="381F6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面向“小巨人”企业、省级专精特新企业生产经营管理存在的短板弱项和管理提升需求，诊断问题、识别差距、检视提高，引导企业提升管理意识，完善治理结构和管理制度，提高资源要素利用效率和经营管理水平，实现降本增效提质，促进企业高质量发展。管理诊断可以参考工业和信息化部印发的《工业中小企业管理提升指南(试行)》。</w:t>
      </w:r>
    </w:p>
    <w:p w14:paraId="54B803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二、工作计划与要求：</w:t>
      </w:r>
    </w:p>
    <w:p w14:paraId="53A2A8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1.总体思路</w:t>
      </w:r>
    </w:p>
    <w:p w14:paraId="1F15DA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依据工业和信息化部印发的《工业中小企业管理提升指南(试行)》，面向“小巨人”企业、省级专精特新企业生产经营管理存在的短板弱项和管理提升需求开展诊断活动、组织专家帮助企业识别差距、检视提高，引导企业提升管理意识，完善治理结构和管理制度，提高资源要素利用效率和经营管理水平，实现降本增效提质，促进企业高质量发展。</w:t>
      </w:r>
    </w:p>
    <w:p w14:paraId="0D8718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2.量化指标</w:t>
      </w:r>
    </w:p>
    <w:p w14:paraId="6CD371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（1）举办至少1次管理诊断活动；</w:t>
      </w:r>
    </w:p>
    <w:p w14:paraId="6BB8AA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（2）对我省有效期内的“小巨人”企业、省级专精特新企业进行管理诊断服务的企业数量不少于15家；</w:t>
      </w:r>
    </w:p>
    <w:p w14:paraId="0EC744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（3）出具专业的诊断评估报告不少于15份；</w:t>
      </w:r>
    </w:p>
    <w:p w14:paraId="129604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（4）企业对于管理诊断工作满意度不低于90%；</w:t>
      </w:r>
    </w:p>
    <w:p w14:paraId="32A766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（5）活动结束后15个工作日内提交项目总结报告（含实施情况、典型问题与改进建议、经费使用明细）。</w:t>
      </w:r>
    </w:p>
    <w:p w14:paraId="6224E0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3.工作开始前需向采购人提交被诊断企业相关信息，经采购人确认后方可开展管理诊断工作。</w:t>
      </w:r>
    </w:p>
    <w:p w14:paraId="6087CB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三、服务要求</w:t>
      </w:r>
    </w:p>
    <w:p w14:paraId="5D57F2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1、服务期限：合同签订后至2026年6月30日。</w:t>
      </w:r>
    </w:p>
    <w:p w14:paraId="33DDFB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2、服务人员及服务地点：服务期内具有一定数量(一般不得低于5名)的管理咨询专业人员，服务地点最终以实际开展工作为准。</w:t>
      </w:r>
    </w:p>
    <w:p w14:paraId="601F1D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3、交付物：服务期内的过程文档，汇编成册，当期服务完成后由成交供应商根据采购人要求出具相关管理诊断报告等成果文件。</w:t>
      </w:r>
    </w:p>
    <w:p w14:paraId="34CCA4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4、服务质量：按照《《财政部工业和信息化部关于进一步支持专精特新中小企业高质量发展的通知》（财建〔2024〕148号》的工作要求，达到采购人要求，符合有关行业规范和标准。</w:t>
      </w:r>
    </w:p>
    <w:p w14:paraId="4C6AD2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5、验收标准：①乙方须根据甲方的需求制定详细的诊断计划，并确保内容的实用性、针对性。②提交相关管理诊断报告等成果文件。</w:t>
      </w:r>
    </w:p>
    <w:p w14:paraId="45D00C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F71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2025-12-17T09:02:47Z</dcterms:created>
  <dc:creator>DELL</dc:creator>
  <cp:lastModifiedBy>zl</cp:lastModifiedBy>
  <dcterms:modified xsi:type="dcterms:W3CDTF">2025-12-17T09:03:32Z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eyJoZGlkIjoiZmY2MGE3NzI4MDUwMzliYjZjYmMzZmQ4N2QwMWY5ZmQiLCJ1c2VySWQiOiIyNzQ5OTcwMTQifQ==</vt:lpwstr>
  </property>
  <property fmtid="{D5CDD505-2E9C-101B-9397-08002B2CF9AE}" pid="4" name="ICV">
    <vt:lpwstr>1F5A52A504464BC79B087BD7F0C7FBCE_12</vt:lpwstr>
  </property>
</Properties>
</file>