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ZXZB-2025-CG003</w:t>
      </w:r>
    </w:p>
    <w:p w14:paraId="41E8AD9E">
      <w:pPr>
        <w:pStyle w:val="3"/>
        <w:rPr>
          <w:rFonts w:hint="eastAsia"/>
        </w:rPr>
      </w:pPr>
    </w:p>
    <w:p w14:paraId="5EFF7A29">
      <w:pPr>
        <w:pStyle w:val="3"/>
        <w:rPr>
          <w:rFonts w:hint="eastAsia"/>
        </w:rPr>
      </w:pPr>
    </w:p>
    <w:p w14:paraId="1B28FB6C">
      <w:pPr>
        <w:pStyle w:val="3"/>
        <w:rPr>
          <w:rFonts w:hint="eastAsia"/>
        </w:rPr>
      </w:pPr>
    </w:p>
    <w:p w14:paraId="5008052C">
      <w:pPr>
        <w:pStyle w:val="3"/>
        <w:jc w:val="center"/>
        <w:rPr>
          <w:rFonts w:hint="eastAsia" w:ascii="宋体" w:hAnsi="宋体" w:cs="宋体"/>
          <w:b/>
          <w:bCs/>
          <w:sz w:val="48"/>
          <w:szCs w:val="48"/>
          <w:lang w:eastAsia="zh-CN"/>
        </w:rPr>
      </w:pPr>
      <w:bookmarkStart w:id="1" w:name="_Toc26697"/>
      <w:bookmarkStart w:id="2" w:name="_Toc27774"/>
      <w:bookmarkStart w:id="3" w:name="_Toc15395"/>
      <w:r>
        <w:rPr>
          <w:rFonts w:hint="eastAsia" w:cs="宋体"/>
          <w:b/>
          <w:bCs/>
          <w:sz w:val="40"/>
          <w:szCs w:val="40"/>
          <w:lang w:eastAsia="zh-CN"/>
        </w:rPr>
        <w:t>延安市城市建设项目服务中心延安市海绵城市能力提升和经验总结项目（二标包）</w:t>
      </w:r>
    </w:p>
    <w:p w14:paraId="6958A34D">
      <w:pPr>
        <w:rPr>
          <w:rFonts w:hint="eastAsia"/>
          <w:lang w:eastAsia="zh-CN"/>
        </w:rPr>
      </w:pPr>
    </w:p>
    <w:p w14:paraId="14707B86">
      <w:pPr>
        <w:pStyle w:val="11"/>
        <w:rPr>
          <w:rFonts w:hint="eastAsia"/>
          <w:lang w:eastAsia="zh-CN"/>
        </w:rPr>
      </w:pPr>
    </w:p>
    <w:p w14:paraId="046E2CB4">
      <w:pPr>
        <w:rPr>
          <w:rFonts w:hint="eastAsia"/>
        </w:rPr>
      </w:pPr>
    </w:p>
    <w:p w14:paraId="4A69838E">
      <w:pPr>
        <w:pStyle w:val="3"/>
        <w:rPr>
          <w:rFonts w:hint="eastAsia"/>
        </w:rPr>
      </w:pPr>
    </w:p>
    <w:p w14:paraId="4635BE77">
      <w:pPr>
        <w:pStyle w:val="3"/>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3"/>
        <w:rPr>
          <w:rFonts w:hint="eastAsia"/>
        </w:rPr>
      </w:pPr>
    </w:p>
    <w:p w14:paraId="6B444F0C">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延安市城市建设项目服务中心</w:t>
      </w:r>
    </w:p>
    <w:p w14:paraId="0AA9CDF3">
      <w:pPr>
        <w:pStyle w:val="2"/>
        <w:rPr>
          <w:rFonts w:hint="eastAsia"/>
        </w:rPr>
      </w:pPr>
    </w:p>
    <w:p w14:paraId="292A3162">
      <w:pPr>
        <w:pStyle w:val="3"/>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中禧国际项目管理有限公司</w:t>
      </w:r>
    </w:p>
    <w:p w14:paraId="4F2BF551">
      <w:pPr>
        <w:pStyle w:val="3"/>
        <w:spacing w:before="100" w:after="100" w:line="480" w:lineRule="auto"/>
        <w:rPr>
          <w:rFonts w:hint="eastAsia" w:cs="宋体"/>
          <w:b/>
          <w:sz w:val="32"/>
          <w:szCs w:val="36"/>
          <w:lang w:eastAsia="zh-CN"/>
        </w:rPr>
      </w:pPr>
    </w:p>
    <w:p w14:paraId="6A465D62">
      <w:pPr>
        <w:pStyle w:val="3"/>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ascii="宋体" w:hAnsi="宋体" w:cs="宋体"/>
          <w:b/>
          <w:sz w:val="32"/>
          <w:szCs w:val="36"/>
          <w:lang w:val="en-US" w:eastAsia="zh-CN"/>
        </w:rPr>
        <w:t>五</w:t>
      </w:r>
      <w:r>
        <w:rPr>
          <w:rFonts w:hint="eastAsia" w:ascii="宋体" w:hAnsi="宋体" w:cs="宋体"/>
          <w:b/>
          <w:sz w:val="32"/>
          <w:szCs w:val="36"/>
        </w:rPr>
        <w:t>年</w:t>
      </w:r>
      <w:r>
        <w:rPr>
          <w:rFonts w:hint="eastAsia" w:ascii="宋体" w:hAnsi="宋体" w:cs="宋体"/>
          <w:b/>
          <w:sz w:val="32"/>
          <w:szCs w:val="36"/>
          <w:lang w:val="en-US" w:eastAsia="zh-CN"/>
        </w:rPr>
        <w:t>十二</w:t>
      </w:r>
      <w:r>
        <w:rPr>
          <w:rFonts w:hint="eastAsia" w:ascii="宋体" w:hAnsi="宋体" w:cs="宋体"/>
          <w:b/>
          <w:sz w:val="32"/>
          <w:szCs w:val="36"/>
        </w:rPr>
        <w:t>月</w:t>
      </w:r>
      <w:r>
        <w:rPr>
          <w:rFonts w:hint="eastAsia" w:ascii="宋体" w:hAnsi="宋体" w:cs="宋体"/>
          <w:b/>
          <w:sz w:val="32"/>
          <w:szCs w:val="36"/>
          <w:lang w:val="en-US" w:eastAsia="zh-CN"/>
        </w:rPr>
        <w:t>一日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9</w:t>
      </w:r>
      <w:r>
        <w:rPr>
          <w:rFonts w:hint="eastAsia" w:ascii="宋体" w:hAnsi="宋体" w:eastAsia="宋体" w:cs="宋体"/>
          <w:b/>
          <w:bCs/>
          <w:sz w:val="28"/>
          <w:szCs w:val="28"/>
        </w:rPr>
        <w:fldChar w:fldCharType="end"/>
      </w:r>
    </w:p>
    <w:p w14:paraId="04C2F53A">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41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5</w:t>
      </w:r>
    </w:p>
    <w:p w14:paraId="0C690D39">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14:paraId="3ACEF080">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8</w:t>
      </w:r>
    </w:p>
    <w:p w14:paraId="09723E0A">
      <w:pPr>
        <w:pStyle w:val="25"/>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8626"/>
      <w:bookmarkStart w:id="5" w:name="_Toc23366"/>
      <w:bookmarkStart w:id="6" w:name="_Toc14920"/>
      <w:bookmarkStart w:id="7" w:name="_Toc18591"/>
      <w:bookmarkStart w:id="8" w:name="_Toc15401"/>
      <w:bookmarkStart w:id="9" w:name="_Toc12582"/>
    </w:p>
    <w:p w14:paraId="2B8258B9">
      <w:pPr>
        <w:pStyle w:val="5"/>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5839"/>
      <w:bookmarkStart w:id="12" w:name="_Toc1675"/>
    </w:p>
    <w:p w14:paraId="3357523D">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515EDD1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延安市海绵城市能力提升和经验总结项目招标项目的潜在投标人应在《全国公共资源交易平台（陕西省·延安市）》获取招标文件，并于 2025年12月25日 09时00分 （北京时间）前递交投标文件。</w:t>
      </w:r>
    </w:p>
    <w:p w14:paraId="25072CD5">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17FBBC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项目编号：ZXZB-2025-CG003</w:t>
      </w:r>
    </w:p>
    <w:p w14:paraId="2DC46E0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项目名称：延安市海绵城市能力提升和经验总结项目</w:t>
      </w:r>
    </w:p>
    <w:p w14:paraId="6CCE8FF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5BDE527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预算金额：9,819,300.00元</w:t>
      </w:r>
    </w:p>
    <w:p w14:paraId="3CF0FF1B">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D26633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w:t>
      </w:r>
    </w:p>
    <w:p w14:paraId="16950882">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合同包预算金额：3,930,300.00元</w:t>
      </w:r>
    </w:p>
    <w:p w14:paraId="76D8B8B1">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合同包最高限价：3,930,300.00元</w:t>
      </w:r>
    </w:p>
    <w:tbl>
      <w:tblPr>
        <w:tblStyle w:val="35"/>
        <w:tblW w:w="105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3"/>
        <w:gridCol w:w="1213"/>
        <w:gridCol w:w="2468"/>
        <w:gridCol w:w="1305"/>
        <w:gridCol w:w="2758"/>
        <w:gridCol w:w="1790"/>
      </w:tblGrid>
      <w:tr w14:paraId="2E9C8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blHeader/>
          <w:jc w:val="center"/>
        </w:trPr>
        <w:tc>
          <w:tcPr>
            <w:tcW w:w="1063" w:type="dxa"/>
            <w:vAlign w:val="center"/>
          </w:tcPr>
          <w:p w14:paraId="261551AA">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213" w:type="dxa"/>
            <w:vAlign w:val="center"/>
          </w:tcPr>
          <w:p w14:paraId="2B39234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2468" w:type="dxa"/>
            <w:vAlign w:val="center"/>
          </w:tcPr>
          <w:p w14:paraId="06FAD21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305" w:type="dxa"/>
            <w:vAlign w:val="center"/>
          </w:tcPr>
          <w:p w14:paraId="2D809262">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70CAD848">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2758" w:type="dxa"/>
            <w:vAlign w:val="center"/>
          </w:tcPr>
          <w:p w14:paraId="25BB0288">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790" w:type="dxa"/>
            <w:vAlign w:val="center"/>
          </w:tcPr>
          <w:p w14:paraId="27B8299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67A49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6" w:hRule="atLeast"/>
          <w:jc w:val="center"/>
        </w:trPr>
        <w:tc>
          <w:tcPr>
            <w:tcW w:w="1063" w:type="dxa"/>
            <w:vAlign w:val="center"/>
          </w:tcPr>
          <w:p w14:paraId="2791ECD1">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13" w:type="dxa"/>
            <w:vAlign w:val="center"/>
          </w:tcPr>
          <w:p w14:paraId="00F9BF64">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2468" w:type="dxa"/>
            <w:vAlign w:val="center"/>
          </w:tcPr>
          <w:p w14:paraId="6FC8B096">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延安市海绵城市技术标准体系课题研究</w:t>
            </w:r>
          </w:p>
        </w:tc>
        <w:tc>
          <w:tcPr>
            <w:tcW w:w="1305" w:type="dxa"/>
            <w:vAlign w:val="center"/>
          </w:tcPr>
          <w:p w14:paraId="0684659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758" w:type="dxa"/>
            <w:vAlign w:val="center"/>
          </w:tcPr>
          <w:p w14:paraId="6F46BB37">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90" w:type="dxa"/>
            <w:vAlign w:val="center"/>
          </w:tcPr>
          <w:p w14:paraId="5E037639">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3,930,300.00</w:t>
            </w:r>
          </w:p>
        </w:tc>
      </w:tr>
    </w:tbl>
    <w:p w14:paraId="74BC023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03472F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5B3CFA5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w:t>
      </w:r>
    </w:p>
    <w:p w14:paraId="489ECA9B">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合同包预算金额：3,759,000.00元</w:t>
      </w:r>
    </w:p>
    <w:p w14:paraId="34B01126">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合同包最高限价：3,759,000.00元</w:t>
      </w:r>
    </w:p>
    <w:tbl>
      <w:tblPr>
        <w:tblStyle w:val="35"/>
        <w:tblW w:w="107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0"/>
        <w:gridCol w:w="1718"/>
        <w:gridCol w:w="1848"/>
        <w:gridCol w:w="1641"/>
        <w:gridCol w:w="2257"/>
        <w:gridCol w:w="2264"/>
      </w:tblGrid>
      <w:tr w14:paraId="2990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tblHeader/>
          <w:jc w:val="center"/>
        </w:trPr>
        <w:tc>
          <w:tcPr>
            <w:tcW w:w="1030" w:type="dxa"/>
            <w:vAlign w:val="center"/>
          </w:tcPr>
          <w:p w14:paraId="3440C96F">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718" w:type="dxa"/>
            <w:vAlign w:val="center"/>
          </w:tcPr>
          <w:p w14:paraId="17C58BEE">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1848" w:type="dxa"/>
            <w:vAlign w:val="center"/>
          </w:tcPr>
          <w:p w14:paraId="12DD33CA">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641" w:type="dxa"/>
            <w:vAlign w:val="center"/>
          </w:tcPr>
          <w:p w14:paraId="5BA8128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109BAA5B">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2257" w:type="dxa"/>
            <w:vAlign w:val="center"/>
          </w:tcPr>
          <w:p w14:paraId="22EC7231">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2264" w:type="dxa"/>
            <w:vAlign w:val="center"/>
          </w:tcPr>
          <w:p w14:paraId="3A59B5D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5EBC3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8" w:hRule="atLeast"/>
          <w:jc w:val="center"/>
        </w:trPr>
        <w:tc>
          <w:tcPr>
            <w:tcW w:w="1030" w:type="dxa"/>
            <w:vAlign w:val="center"/>
          </w:tcPr>
          <w:p w14:paraId="6F1F4CE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718" w:type="dxa"/>
            <w:vAlign w:val="center"/>
          </w:tcPr>
          <w:p w14:paraId="7CB1D7D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848" w:type="dxa"/>
            <w:vAlign w:val="center"/>
          </w:tcPr>
          <w:p w14:paraId="41DC7EEC">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延安市中心城区内涝模拟模型建设和海绵城市建设经验分享与实践路径案例编制</w:t>
            </w:r>
          </w:p>
        </w:tc>
        <w:tc>
          <w:tcPr>
            <w:tcW w:w="1641" w:type="dxa"/>
            <w:vAlign w:val="center"/>
          </w:tcPr>
          <w:p w14:paraId="6CCEB46E">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257" w:type="dxa"/>
            <w:vAlign w:val="center"/>
          </w:tcPr>
          <w:p w14:paraId="137559B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2264" w:type="dxa"/>
            <w:vAlign w:val="center"/>
          </w:tcPr>
          <w:p w14:paraId="2D478B87">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3,759,000.00</w:t>
            </w:r>
          </w:p>
        </w:tc>
      </w:tr>
    </w:tbl>
    <w:p w14:paraId="5CDF605A">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本合同包接受联合体投标</w:t>
      </w:r>
    </w:p>
    <w:p w14:paraId="622F722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32C75605">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w:t>
      </w:r>
    </w:p>
    <w:p w14:paraId="50DC7001">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合同包预算金额：2,130,000.00元</w:t>
      </w:r>
    </w:p>
    <w:p w14:paraId="11C618B8">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合同包最高限价：2,130,000.00元</w:t>
      </w:r>
    </w:p>
    <w:tbl>
      <w:tblPr>
        <w:tblStyle w:val="35"/>
        <w:tblW w:w="937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1433"/>
        <w:gridCol w:w="1434"/>
        <w:gridCol w:w="1429"/>
        <w:gridCol w:w="1956"/>
        <w:gridCol w:w="1961"/>
      </w:tblGrid>
      <w:tr w14:paraId="54775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blHeader/>
          <w:jc w:val="center"/>
        </w:trPr>
        <w:tc>
          <w:tcPr>
            <w:tcW w:w="1164" w:type="dxa"/>
            <w:vAlign w:val="center"/>
          </w:tcPr>
          <w:p w14:paraId="72A0EAFF">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433" w:type="dxa"/>
            <w:vAlign w:val="center"/>
          </w:tcPr>
          <w:p w14:paraId="1CD4F540">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1434" w:type="dxa"/>
            <w:vAlign w:val="center"/>
          </w:tcPr>
          <w:p w14:paraId="233695C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429" w:type="dxa"/>
            <w:vAlign w:val="center"/>
          </w:tcPr>
          <w:p w14:paraId="2573E31D">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5A2A6071">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956" w:type="dxa"/>
            <w:vAlign w:val="center"/>
          </w:tcPr>
          <w:p w14:paraId="26A93152">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961" w:type="dxa"/>
            <w:vAlign w:val="center"/>
          </w:tcPr>
          <w:p w14:paraId="50A42FED">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51A4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6" w:hRule="atLeast"/>
          <w:jc w:val="center"/>
        </w:trPr>
        <w:tc>
          <w:tcPr>
            <w:tcW w:w="1164" w:type="dxa"/>
            <w:vAlign w:val="center"/>
          </w:tcPr>
          <w:p w14:paraId="0434698C">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433" w:type="dxa"/>
            <w:vAlign w:val="center"/>
          </w:tcPr>
          <w:p w14:paraId="1CB26D22">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区域规划和设计服务</w:t>
            </w:r>
          </w:p>
        </w:tc>
        <w:tc>
          <w:tcPr>
            <w:tcW w:w="1434" w:type="dxa"/>
            <w:vAlign w:val="center"/>
          </w:tcPr>
          <w:p w14:paraId="55C76950">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延安市中心城市海绵城市专项规划修编</w:t>
            </w:r>
          </w:p>
        </w:tc>
        <w:tc>
          <w:tcPr>
            <w:tcW w:w="1429" w:type="dxa"/>
            <w:vAlign w:val="center"/>
          </w:tcPr>
          <w:p w14:paraId="09FA4F29">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956" w:type="dxa"/>
            <w:vAlign w:val="center"/>
          </w:tcPr>
          <w:p w14:paraId="5B1866B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961" w:type="dxa"/>
            <w:vAlign w:val="center"/>
          </w:tcPr>
          <w:p w14:paraId="07C8087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2,130,000.00</w:t>
            </w:r>
          </w:p>
        </w:tc>
      </w:tr>
    </w:tbl>
    <w:p w14:paraId="652FFAE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AC2DFA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67276EB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AB8F88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F3BC68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0D76C1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合同包1(延安市城市建设项目服务中心延安市海绵城市能力提升和经验总结项目（一标包）)落实政府采购政策需满足的资格要求如下:</w:t>
      </w:r>
    </w:p>
    <w:p w14:paraId="3B6EF31A">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14A6343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合同包2(延安市城市建设项目服务中心延安市海绵城市能力提升和经验总结项目（二标包）)落实政府采购政策需满足的资格要求如下:</w:t>
      </w:r>
    </w:p>
    <w:p w14:paraId="7516748C">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26FEE22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合同包3(延安市城市建设项目服务中心延安市海绵城市能力提升和经验总结项目（三标包）)落实政府采购政策需满足的资格要求如下:</w:t>
      </w:r>
    </w:p>
    <w:p w14:paraId="72F89244">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0968A81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52505C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合同包1(延安市城市建设项目服务中心延安市海绵城市能力提升和经验总结项目（一标包）)特定资格要求如下:</w:t>
      </w:r>
    </w:p>
    <w:p w14:paraId="21F62C21">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4.投标人具备相关行政主管部门颁发的工程咨询单位综合资信甲级或工程咨询单位（市政公用工程）乙级及以上资质；</w:t>
      </w:r>
      <w:r>
        <w:rPr>
          <w:rFonts w:hint="eastAsia" w:ascii="宋体" w:hAnsi="宋体" w:eastAsia="宋体" w:cs="宋体"/>
          <w:sz w:val="24"/>
          <w:szCs w:val="24"/>
        </w:rPr>
        <w:br w:type="textWrapping"/>
      </w:r>
      <w:r>
        <w:rPr>
          <w:rFonts w:hint="eastAsia" w:ascii="宋体" w:hAnsi="宋体" w:eastAsia="宋体" w:cs="宋体"/>
          <w:sz w:val="24"/>
          <w:szCs w:val="24"/>
        </w:rPr>
        <w:t>5.项目负责人应具备市政工程相关专业高级技术职称；</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2A055D95">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合同包2(延安市城市建设项目服务中心延安市海绵城市能力提升和经验总结项目（二标包）)特定资格要求如下:</w:t>
      </w:r>
    </w:p>
    <w:p w14:paraId="34A5CE03">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8.提供参加政府采购活动前3年内经营活动中无重大违法记录声明；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9.本项目接受联合体投标。</w:t>
      </w:r>
    </w:p>
    <w:p w14:paraId="64345BE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合同包3(延安市城市建设项目服务中心延安市海绵城市能力提升和经验总结项目（三标包）)特定资格要求如下:</w:t>
      </w:r>
    </w:p>
    <w:p w14:paraId="5141C8FB">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4.投标人具备相关行政主管部门颁发的城乡规划编制乙级及以上资质；</w:t>
      </w:r>
      <w:r>
        <w:rPr>
          <w:rFonts w:hint="eastAsia" w:ascii="宋体" w:hAnsi="宋体" w:eastAsia="宋体" w:cs="宋体"/>
          <w:sz w:val="24"/>
          <w:szCs w:val="24"/>
        </w:rPr>
        <w:br w:type="textWrapping"/>
      </w:r>
      <w:r>
        <w:rPr>
          <w:rFonts w:hint="eastAsia" w:ascii="宋体" w:hAnsi="宋体" w:eastAsia="宋体" w:cs="宋体"/>
          <w:sz w:val="24"/>
          <w:szCs w:val="24"/>
        </w:rPr>
        <w:t>5.项目负责人应具备城乡规划或给水排水专业高级技术职称；</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3B2802DD">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34F845E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2025年12月01日 至 2025年12月05日 ，每天上午 09:00:00 至 12:00:00 ，下午 14:30:00 至 17:00:00 （北京时间）</w:t>
      </w:r>
    </w:p>
    <w:p w14:paraId="165ACE2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3A9E3FB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5EDCAE5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6CF7483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3BDA9A51">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2025年12月25日 09时00分00秒 （北京时间）</w:t>
      </w:r>
    </w:p>
    <w:p w14:paraId="22F8731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提交投标文件地点：延安市公共资源交易中心交易一厅</w:t>
      </w:r>
    </w:p>
    <w:p w14:paraId="0117CCA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开标地点：延安市公共资源交易中心交易一厅</w:t>
      </w:r>
    </w:p>
    <w:p w14:paraId="0210F50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47461BE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A7AB3B9">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48A2DD2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1.请投标人按照陕西省财政厅关于政府采购供应商注册登记有关事项的通知中的要求，通过陕西省政府采购网注册登记加入陕西省政府采购供应商库；</w:t>
      </w:r>
    </w:p>
    <w:p w14:paraId="1DBC055A">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500A5CE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3.报名方式：投标人使用捆绑CA证书登录全国公共资源交易平台（陕西省·延安市）延安市公共资源交易中心 ，选择电子交易平台中的陕西政府采购交易系统进行登录，登录后选择“交易乙方”身份进入投标界面进行报名。</w:t>
      </w:r>
    </w:p>
    <w:p w14:paraId="4524C612">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4.下载文件：投标人登录延安市公共资源交易中心，选择“交易乙方”身份进入投标界面下载招标文件。</w:t>
      </w:r>
    </w:p>
    <w:p w14:paraId="7E1AC091">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5.投标文件递交方式：电子文件上传递交地点：《全国公共资源交易平台（陕西省·延安市）》电子招投标系统；纸质版投标文件现场递交，递交地点：延安市为民服务中心7号楼二楼（延安市公共资源交易中心交一厅），投标文件递交的具体要求详见招标文件的规定，逾期送达或者未送达指定地点的投标文件，不予受理。</w:t>
      </w:r>
    </w:p>
    <w:p w14:paraId="4A8E0A3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6.本项目不专门面向中小企业。</w:t>
      </w:r>
    </w:p>
    <w:p w14:paraId="38897D8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7.本项目采用线上不见面形式。</w:t>
      </w:r>
    </w:p>
    <w:p w14:paraId="447A6504">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8.本次招标公告在《陕西省政府采购网》、《全国公共资源交易平台（陕西省·延安市）》媒介上发布。</w:t>
      </w:r>
    </w:p>
    <w:p w14:paraId="695CABC3">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3934FEEC">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7DA796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名称：延安市城市建设项目服务中心</w:t>
      </w:r>
    </w:p>
    <w:p w14:paraId="03B4CE63">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地址：延安市新区金融大厦 6 楼</w:t>
      </w:r>
    </w:p>
    <w:p w14:paraId="53A51DB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联系方式：17791159863</w:t>
      </w:r>
    </w:p>
    <w:p w14:paraId="3B4CA80C">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ADB8F96">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名称：中禧国际项目管理有限公司</w:t>
      </w:r>
    </w:p>
    <w:p w14:paraId="68DDFA7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地址：延安市新区上城华府二期6号楼1单元1402室</w:t>
      </w:r>
    </w:p>
    <w:p w14:paraId="7C9E03B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联系方式：15591151057</w:t>
      </w:r>
    </w:p>
    <w:p w14:paraId="72A24609">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0CC6959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项目联系人：高甜</w:t>
      </w:r>
    </w:p>
    <w:p w14:paraId="4B13CC9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电话：15591151057</w:t>
      </w:r>
    </w:p>
    <w:p w14:paraId="0C85E425">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74B4B8F1">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5"/>
        <w:spacing w:line="240" w:lineRule="auto"/>
        <w:jc w:val="center"/>
        <w:rPr>
          <w:rFonts w:hint="eastAsia" w:ascii="宋体" w:hAnsi="宋体" w:cs="宋体"/>
        </w:rPr>
      </w:pPr>
      <w:bookmarkStart w:id="13" w:name="_Toc10411"/>
      <w:bookmarkStart w:id="14" w:name="_Toc16762"/>
      <w:bookmarkStart w:id="15" w:name="_Toc8706"/>
      <w:bookmarkStart w:id="16" w:name="_Toc23672"/>
      <w:r>
        <w:rPr>
          <w:rFonts w:hint="eastAsia" w:ascii="宋体" w:hAnsi="宋体" w:cs="宋体"/>
        </w:rPr>
        <w:t>第二章  投标人须知</w:t>
      </w:r>
      <w:bookmarkEnd w:id="11"/>
      <w:bookmarkEnd w:id="12"/>
      <w:bookmarkEnd w:id="13"/>
      <w:bookmarkEnd w:id="14"/>
      <w:bookmarkEnd w:id="15"/>
      <w:bookmarkEnd w:id="16"/>
    </w:p>
    <w:p w14:paraId="625B546A">
      <w:pPr>
        <w:pStyle w:val="5"/>
        <w:spacing w:after="0" w:line="240" w:lineRule="auto"/>
        <w:rPr>
          <w:rFonts w:hint="eastAsia" w:ascii="宋体" w:hAnsi="宋体" w:cs="宋体"/>
          <w:sz w:val="24"/>
          <w:szCs w:val="40"/>
        </w:rPr>
      </w:pPr>
      <w:bookmarkStart w:id="17" w:name="_Toc11843"/>
      <w:bookmarkStart w:id="18" w:name="_Toc16081"/>
      <w:bookmarkStart w:id="19" w:name="_Toc15597"/>
      <w:bookmarkStart w:id="20" w:name="_Toc24259"/>
      <w:bookmarkStart w:id="21" w:name="_Toc22961"/>
      <w:bookmarkStart w:id="22" w:name="_Toc12247"/>
      <w:bookmarkStart w:id="23" w:name="_Toc26053"/>
      <w:bookmarkStart w:id="24" w:name="_Toc13763"/>
      <w:bookmarkStart w:id="25" w:name="_Toc32301"/>
      <w:bookmarkStart w:id="26" w:name="_Toc25587"/>
      <w:bookmarkStart w:id="27" w:name="_Toc25163"/>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86ABAF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延安市城市建设项目服务中心</w:t>
            </w:r>
          </w:p>
          <w:p w14:paraId="5155DD83">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 址：</w:t>
            </w:r>
            <w:r>
              <w:rPr>
                <w:rFonts w:hint="eastAsia" w:ascii="宋体" w:hAnsi="宋体" w:cs="宋体"/>
                <w:color w:val="000000"/>
                <w:sz w:val="24"/>
                <w:szCs w:val="24"/>
                <w:lang w:eastAsia="zh-CN"/>
              </w:rPr>
              <w:t>延安市新区金融大厦 6 楼</w:t>
            </w:r>
          </w:p>
          <w:p w14:paraId="37D875C0">
            <w:pPr>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rPr>
              <w:t>联系人：</w:t>
            </w:r>
            <w:r>
              <w:rPr>
                <w:rFonts w:hint="eastAsia" w:ascii="宋体" w:hAnsi="宋体" w:cs="宋体"/>
                <w:color w:val="000000"/>
                <w:sz w:val="24"/>
                <w:szCs w:val="24"/>
                <w:lang w:val="en-US" w:eastAsia="zh-CN"/>
              </w:rPr>
              <w:t>李淑娟</w:t>
            </w:r>
          </w:p>
          <w:p w14:paraId="4FA730C6">
            <w:pPr>
              <w:spacing w:line="360" w:lineRule="auto"/>
              <w:rPr>
                <w:rFonts w:hint="eastAsia" w:ascii="宋体" w:hAnsi="宋体" w:eastAsia="宋体" w:cs="宋体"/>
                <w:sz w:val="24"/>
                <w:szCs w:val="24"/>
                <w:lang w:val="en-US" w:eastAsia="zh-CN"/>
              </w:rPr>
            </w:pPr>
            <w:r>
              <w:rPr>
                <w:rFonts w:hint="default" w:ascii="宋体" w:hAnsi="宋体" w:eastAsia="宋体" w:cs="宋体"/>
                <w:color w:val="000000"/>
                <w:sz w:val="24"/>
                <w:szCs w:val="24"/>
                <w:lang w:val="en-US"/>
              </w:rPr>
              <w:t>电 话：</w:t>
            </w:r>
            <w:r>
              <w:rPr>
                <w:rFonts w:hint="eastAsia" w:ascii="宋体" w:hAnsi="宋体" w:cs="宋体"/>
                <w:color w:val="000000"/>
                <w:sz w:val="24"/>
                <w:szCs w:val="24"/>
                <w:lang w:val="en-US" w:eastAsia="zh-CN"/>
              </w:rPr>
              <w:t>17791159863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中禧国际项目管理有限公司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延安市新区上城华府二期6号楼1单元1402室</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高甜</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15591151057</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延安市城市建设项目服务中心延安市海绵城市能力提升和经验总结项目（二标包）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延安市城市建设项目服务中心</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3,759,000.00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sz w:val="24"/>
                <w:szCs w:val="24"/>
              </w:rPr>
              <w:t>延安市中心城区内涝模拟模型建设和海绵城市建设经验分享与实践路径案例编制</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180</w:t>
            </w:r>
            <w:r>
              <w:rPr>
                <w:rFonts w:hint="eastAsia" w:ascii="宋体" w:hAnsi="宋体" w:eastAsia="宋体" w:cs="宋体"/>
                <w:sz w:val="24"/>
                <w:szCs w:val="24"/>
              </w:rPr>
              <w:t>天</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cs="宋体"/>
                <w:sz w:val="24"/>
                <w:szCs w:val="24"/>
                <w:lang w:val="en-US" w:eastAsia="zh-CN"/>
              </w:rPr>
              <w:t>4</w:t>
            </w:r>
            <w:r>
              <w:rPr>
                <w:rFonts w:hint="eastAsia" w:ascii="宋体" w:hAnsi="宋体" w:eastAsia="宋体" w:cs="宋体"/>
                <w:sz w:val="24"/>
                <w:szCs w:val="24"/>
              </w:rPr>
              <w:t>.税收缴纳证明：提供2025年01月至今已缴纳的至少一个月的纳税证明或完税证明（不限税种），依法免税的单位应提供相关证明材料；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cs="宋体"/>
                <w:sz w:val="24"/>
                <w:szCs w:val="24"/>
                <w:lang w:val="en-US" w:eastAsia="zh-CN"/>
              </w:rPr>
              <w:t>5</w:t>
            </w:r>
            <w:r>
              <w:rPr>
                <w:rFonts w:hint="eastAsia" w:ascii="宋体" w:hAnsi="宋体" w:eastAsia="宋体" w:cs="宋体"/>
                <w:sz w:val="24"/>
                <w:szCs w:val="24"/>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cs="宋体"/>
                <w:sz w:val="24"/>
                <w:szCs w:val="24"/>
                <w:lang w:val="en-US" w:eastAsia="zh-CN"/>
              </w:rPr>
              <w:t>6</w:t>
            </w:r>
            <w:r>
              <w:rPr>
                <w:rFonts w:hint="eastAsia" w:ascii="宋体" w:hAnsi="宋体" w:eastAsia="宋体" w:cs="宋体"/>
                <w:sz w:val="24"/>
                <w:szCs w:val="24"/>
              </w:rPr>
              <w:t>.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cs="宋体"/>
                <w:sz w:val="24"/>
                <w:szCs w:val="24"/>
                <w:lang w:val="en-US" w:eastAsia="zh-CN"/>
              </w:rPr>
              <w:t>7</w:t>
            </w:r>
            <w:r>
              <w:rPr>
                <w:rFonts w:hint="eastAsia" w:ascii="宋体" w:hAnsi="宋体" w:eastAsia="宋体" w:cs="宋体"/>
                <w:sz w:val="24"/>
                <w:szCs w:val="24"/>
              </w:rPr>
              <w:t>.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cs="宋体"/>
                <w:sz w:val="24"/>
                <w:szCs w:val="24"/>
                <w:lang w:val="en-US" w:eastAsia="zh-CN"/>
              </w:rPr>
              <w:t>8</w:t>
            </w:r>
            <w:r>
              <w:rPr>
                <w:rFonts w:hint="eastAsia" w:ascii="宋体" w:hAnsi="宋体" w:eastAsia="宋体" w:cs="宋体"/>
                <w:sz w:val="24"/>
                <w:szCs w:val="24"/>
              </w:rPr>
              <w:t>.提供参加政府采购活动前3年内经营活动中无重大违法记录声明；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cs="宋体"/>
                <w:sz w:val="24"/>
                <w:szCs w:val="24"/>
                <w:lang w:val="en-US" w:eastAsia="zh-CN"/>
              </w:rPr>
              <w:t>9</w:t>
            </w:r>
            <w:r>
              <w:rPr>
                <w:rFonts w:hint="eastAsia" w:ascii="宋体" w:hAnsi="宋体" w:eastAsia="宋体" w:cs="宋体"/>
                <w:sz w:val="24"/>
                <w:szCs w:val="24"/>
              </w:rPr>
              <w:t>.本项目接受联合体投标。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67CE077">
            <w:pPr>
              <w:widowControl/>
              <w:jc w:val="left"/>
              <w:rPr>
                <w:rFonts w:hint="eastAsia" w:ascii="宋体" w:hAnsi="宋体" w:eastAsia="宋体" w:cs="宋体"/>
                <w:sz w:val="24"/>
                <w:szCs w:val="24"/>
              </w:rPr>
            </w:pPr>
            <w:r>
              <w:rPr>
                <w:rFonts w:hint="eastAsia" w:ascii="宋体" w:hAnsi="宋体" w:eastAsia="宋体" w:cs="宋体"/>
                <w:sz w:val="24"/>
                <w:szCs w:val="24"/>
              </w:rPr>
              <w:t>☑ 接受，</w:t>
            </w:r>
          </w:p>
          <w:p w14:paraId="765405EE">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 xml:space="preserve"> </w:t>
            </w:r>
            <w:r>
              <w:rPr>
                <w:rFonts w:hint="eastAsia" w:ascii="宋体" w:hAnsi="宋体" w:eastAsia="宋体" w:cs="宋体"/>
                <w:sz w:val="24"/>
                <w:szCs w:val="24"/>
              </w:rPr>
              <w:t>不接受</w:t>
            </w:r>
          </w:p>
          <w:p w14:paraId="6CFDB219">
            <w:pPr>
              <w:spacing w:line="360" w:lineRule="auto"/>
              <w:rPr>
                <w:rFonts w:hint="eastAsia" w:ascii="宋体" w:hAnsi="宋体" w:eastAsia="宋体" w:cs="宋体"/>
                <w:sz w:val="24"/>
                <w:szCs w:val="24"/>
              </w:rPr>
            </w:pPr>
            <w:r>
              <w:rPr>
                <w:rFonts w:hint="eastAsia" w:ascii="宋体" w:hAnsi="宋体" w:eastAsia="宋体" w:cs="宋体"/>
                <w:sz w:val="24"/>
                <w:szCs w:val="24"/>
              </w:rPr>
              <w:t>本项目接受联合体投</w:t>
            </w:r>
            <w:r>
              <w:rPr>
                <w:rFonts w:hint="eastAsia" w:ascii="宋体" w:hAnsi="宋体" w:eastAsia="宋体" w:cs="宋体"/>
                <w:sz w:val="24"/>
                <w:szCs w:val="24"/>
                <w:highlight w:val="none"/>
              </w:rPr>
              <w:t>标，最多允许两个供应商可以</w:t>
            </w:r>
            <w:r>
              <w:rPr>
                <w:rFonts w:hint="eastAsia" w:ascii="宋体" w:hAnsi="宋体" w:eastAsia="宋体" w:cs="宋体"/>
                <w:sz w:val="24"/>
                <w:szCs w:val="24"/>
              </w:rPr>
              <w:t xml:space="preserve">组成一个投标联合体，以一个投标人的身份投标。 </w:t>
            </w:r>
          </w:p>
          <w:p w14:paraId="48C61F5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（1）联合体各方均应符合本须知规定。 </w:t>
            </w:r>
          </w:p>
          <w:p w14:paraId="7517EC3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（2）采购人根据采购项目对投标人的特定资格要求，联合体中至少应当有一方符合相关规定。 </w:t>
            </w:r>
          </w:p>
          <w:p w14:paraId="07473C81">
            <w:pPr>
              <w:spacing w:line="360" w:lineRule="auto"/>
              <w:rPr>
                <w:rFonts w:hint="eastAsia" w:ascii="宋体" w:hAnsi="宋体" w:eastAsia="宋体" w:cs="宋体"/>
                <w:sz w:val="24"/>
                <w:szCs w:val="24"/>
              </w:rPr>
            </w:pPr>
            <w:r>
              <w:rPr>
                <w:rFonts w:hint="eastAsia" w:ascii="宋体" w:hAnsi="宋体" w:eastAsia="宋体" w:cs="宋体"/>
                <w:sz w:val="24"/>
                <w:szCs w:val="24"/>
              </w:rPr>
              <w:t>（3）联合体各方应签订共同投标协议，明确约定联合体各方承担的工作和相应的责任，并将共同投标协议作为投标文件第一部分的内容提交。</w:t>
            </w:r>
          </w:p>
          <w:p w14:paraId="6229645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（4）大中型企业、其他自然人、法人或者其他组织与小型、微型企业组成联合体共同参加投标，共同投标协议中应写明小型、微型企业的协议合同金额占到共同投标协议投标总金额的比例。 </w:t>
            </w:r>
          </w:p>
          <w:p w14:paraId="4284E7B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（5）以联合体形式参加政府采购活动的，联合体各方不得再单独参加或者与其他供应商另外组成联合体参加本项目同一合同项下的投标，否则相关投标将被认定为投标无效。 </w:t>
            </w:r>
          </w:p>
          <w:p w14:paraId="726D6299">
            <w:pPr>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bCs/>
                <w:sz w:val="24"/>
                <w:szCs w:val="24"/>
                <w:highlight w:val="none"/>
              </w:rPr>
              <w:t>除联合体协议书及供应商企业关系关联承诺书，各成员单位均需盖章外,其他所有投标文件只需牵头单位盖章即可。</w:t>
            </w:r>
            <w:r>
              <w:rPr>
                <w:rFonts w:hint="eastAsia" w:ascii="宋体" w:hAnsi="宋体" w:eastAsia="宋体" w:cs="宋体"/>
                <w:sz w:val="24"/>
                <w:szCs w:val="24"/>
                <w:highlight w:val="none"/>
              </w:rPr>
              <w:t xml:space="preserve"> </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3"/>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3"/>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时间：2025年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时00分至2025 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3"/>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121768420</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7A288A6">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rPr>
              <w:t>2025年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25</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rPr>
              <w:t>投</w:t>
            </w:r>
            <w:r>
              <w:rPr>
                <w:rFonts w:hint="eastAsia" w:ascii="宋体" w:hAnsi="宋体" w:eastAsia="宋体" w:cs="宋体"/>
                <w:b/>
                <w:bCs/>
                <w:color w:val="auto"/>
                <w:sz w:val="24"/>
                <w:szCs w:val="24"/>
                <w:lang w:val="en-US" w:eastAsia="zh-CN"/>
              </w:rPr>
              <w:t>标</w:t>
            </w:r>
            <w:r>
              <w:rPr>
                <w:rFonts w:hint="eastAsia" w:ascii="宋体" w:hAnsi="宋体" w:eastAsia="宋体" w:cs="宋体"/>
                <w:b/>
                <w:bCs/>
                <w:color w:val="auto"/>
                <w:sz w:val="24"/>
                <w:szCs w:val="24"/>
              </w:rPr>
              <w:t>保证金：</w:t>
            </w:r>
            <w:r>
              <w:rPr>
                <w:rFonts w:hint="eastAsia" w:ascii="宋体" w:hAnsi="宋体" w:eastAsia="宋体" w:cs="宋体"/>
                <w:b/>
                <w:bCs/>
                <w:color w:val="auto"/>
                <w:sz w:val="24"/>
                <w:szCs w:val="24"/>
                <w:lang w:val="en-US" w:eastAsia="zh-CN"/>
              </w:rPr>
              <w:t>20000.00</w:t>
            </w:r>
            <w:r>
              <w:rPr>
                <w:rFonts w:hint="eastAsia" w:ascii="宋体" w:hAnsi="宋体" w:eastAsia="宋体" w:cs="宋体"/>
                <w:b/>
                <w:bCs/>
                <w:color w:val="auto"/>
                <w:sz w:val="24"/>
                <w:szCs w:val="24"/>
              </w:rPr>
              <w:t>元整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贰万元整</w:t>
            </w:r>
            <w:r>
              <w:rPr>
                <w:rFonts w:hint="eastAsia" w:ascii="宋体" w:hAnsi="宋体" w:eastAsia="宋体" w:cs="宋体"/>
                <w:b/>
                <w:bCs/>
                <w:color w:val="auto"/>
                <w:sz w:val="24"/>
                <w:szCs w:val="24"/>
                <w:lang w:eastAsia="zh-CN"/>
              </w:rPr>
              <w:t>）</w:t>
            </w:r>
          </w:p>
          <w:p w14:paraId="52886ED0">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备注：ZXZB-2025-CG003</w:t>
            </w:r>
            <w:r>
              <w:rPr>
                <w:rFonts w:hint="eastAsia" w:ascii="宋体" w:hAnsi="宋体" w:cs="宋体"/>
                <w:b/>
                <w:bCs/>
                <w:color w:val="auto"/>
                <w:sz w:val="24"/>
                <w:szCs w:val="24"/>
                <w:lang w:val="en-US" w:eastAsia="zh-CN"/>
              </w:rPr>
              <w:t>-二标包</w:t>
            </w:r>
            <w:r>
              <w:rPr>
                <w:rFonts w:hint="eastAsia" w:ascii="宋体" w:hAnsi="宋体" w:eastAsia="宋体" w:cs="宋体"/>
                <w:b/>
                <w:bCs/>
                <w:color w:val="auto"/>
                <w:sz w:val="24"/>
                <w:szCs w:val="24"/>
                <w:lang w:val="en-US" w:eastAsia="zh-CN"/>
              </w:rPr>
              <w:t>投标保证金</w:t>
            </w:r>
          </w:p>
          <w:p w14:paraId="63C8104F">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（投标人如为联合体投标的，只需提供牵头人的保证金凭证）</w:t>
            </w:r>
          </w:p>
          <w:p w14:paraId="5F8FE8EE">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投标保证金有效期限：投标保证金的有效期与投标有效期一致。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79F5AEB8">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开户名称：中禧国际项目管理有限公司</w:t>
            </w:r>
          </w:p>
          <w:p w14:paraId="43EBF9C6">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开户银行：中国建设银行西安经济技术开发区支行</w:t>
            </w:r>
          </w:p>
          <w:p w14:paraId="594EC0B6">
            <w:p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账    号：61050193004100001500</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延安市新区上城华府二期6号楼1单元1402室</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15591151057</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0E0B932">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时间：2025年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25</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C0F1F">
            <w:pPr>
              <w:pStyle w:val="18"/>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6517BD2C">
            <w:pPr>
              <w:pStyle w:val="18"/>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本项目不专门面向中小企业采购项目,中小企业执行价格分折扣优惠。（未预留份额专门面向中小企业的货物服务采购项目，给予中小微企业的价格扣除优惠10%）</w:t>
            </w:r>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246996918"/>
            <w:bookmarkStart w:id="29" w:name="_Toc152042305"/>
            <w:bookmarkStart w:id="30" w:name="_Toc144974497"/>
            <w:bookmarkStart w:id="31" w:name="_Toc246996175"/>
            <w:bookmarkStart w:id="32" w:name="_Toc12768"/>
            <w:bookmarkStart w:id="33" w:name="_Toc179632546"/>
            <w:bookmarkStart w:id="34" w:name="_Toc152045529"/>
            <w:bookmarkStart w:id="35" w:name="_Toc20614"/>
            <w:bookmarkStart w:id="36" w:name="_Toc23962"/>
            <w:bookmarkStart w:id="37" w:name="_Toc247085689"/>
            <w:bookmarkStart w:id="38" w:name="_Toc9105"/>
            <w:bookmarkStart w:id="39" w:name="_Toc30835"/>
            <w:bookmarkStart w:id="40" w:name="_Toc23617"/>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7F46D99D">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CE31562">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615F2E">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DF3169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三标</w:t>
            </w:r>
            <w:r>
              <w:rPr>
                <w:rFonts w:hint="eastAsia" w:ascii="宋体" w:hAnsi="宋体" w:eastAsia="宋体" w:cs="宋体"/>
                <w:color w:val="auto"/>
                <w:sz w:val="24"/>
                <w:szCs w:val="24"/>
                <w:highlight w:val="none"/>
                <w:lang w:val="en-US" w:eastAsia="zh-CN"/>
              </w:rPr>
              <w:t>包，但最多只能中选1个包。</w:t>
            </w:r>
          </w:p>
          <w:p w14:paraId="2B81246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包，按顺序依次评审并推荐中标候选人。</w:t>
            </w:r>
          </w:p>
          <w:p w14:paraId="5AF0CEA7">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包、三标包的评审中不再具备中标资格（投标文件仍参与评审，但不纳入中标候选人排序）。</w:t>
            </w:r>
          </w:p>
        </w:tc>
      </w:tr>
    </w:tbl>
    <w:p w14:paraId="0FD37738">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611B24A">
      <w:pPr>
        <w:bidi w:val="0"/>
        <w:jc w:val="center"/>
        <w:rPr>
          <w:rFonts w:hint="eastAsia" w:ascii="宋体" w:hAnsi="宋体" w:eastAsia="宋体" w:cs="宋体"/>
          <w:b/>
          <w:bCs/>
          <w:i w:val="0"/>
          <w:iCs w:val="0"/>
          <w:sz w:val="24"/>
          <w:szCs w:val="24"/>
        </w:rPr>
      </w:pPr>
    </w:p>
    <w:p w14:paraId="2EFB6F8E">
      <w:pPr>
        <w:bidi w:val="0"/>
        <w:jc w:val="center"/>
        <w:rPr>
          <w:rFonts w:hint="eastAsia" w:ascii="宋体" w:hAnsi="宋体" w:eastAsia="宋体" w:cs="宋体"/>
          <w:b/>
          <w:bCs/>
          <w:i w:val="0"/>
          <w:iCs w:val="0"/>
          <w:sz w:val="24"/>
          <w:szCs w:val="24"/>
        </w:rPr>
      </w:pPr>
    </w:p>
    <w:p w14:paraId="65B44370">
      <w:pPr>
        <w:pStyle w:val="3"/>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179632547"/>
      <w:bookmarkStart w:id="43" w:name="_Toc7660"/>
      <w:bookmarkStart w:id="44" w:name="_Toc31044"/>
      <w:bookmarkStart w:id="45" w:name="_Toc11216"/>
      <w:bookmarkStart w:id="46" w:name="_Toc152045530"/>
      <w:bookmarkStart w:id="47" w:name="_Toc246996919"/>
      <w:bookmarkStart w:id="48" w:name="_Toc247085690"/>
      <w:bookmarkStart w:id="49" w:name="_Toc152042306"/>
      <w:bookmarkStart w:id="50" w:name="_Toc246996176"/>
      <w:bookmarkStart w:id="51" w:name="_Toc144974498"/>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14545"/>
      <w:bookmarkStart w:id="53" w:name="_Toc179632548"/>
      <w:bookmarkStart w:id="54" w:name="_Toc30959"/>
      <w:bookmarkStart w:id="55" w:name="_Toc152042307"/>
      <w:bookmarkStart w:id="56" w:name="_Toc246996920"/>
      <w:bookmarkStart w:id="57" w:name="_Toc8384"/>
      <w:bookmarkStart w:id="58" w:name="_Toc144974499"/>
      <w:bookmarkStart w:id="59" w:name="_Toc152045531"/>
      <w:bookmarkStart w:id="60" w:name="_Toc247085691"/>
      <w:bookmarkStart w:id="61" w:name="_Toc246996177"/>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144974500"/>
      <w:bookmarkStart w:id="63" w:name="_Toc246996921"/>
      <w:bookmarkStart w:id="64" w:name="_Toc20745"/>
      <w:bookmarkStart w:id="65" w:name="_Toc18917"/>
      <w:bookmarkStart w:id="66" w:name="_Toc152042308"/>
      <w:bookmarkStart w:id="67" w:name="_Toc179632549"/>
      <w:bookmarkStart w:id="68" w:name="_Toc247085692"/>
      <w:bookmarkStart w:id="69" w:name="_Toc21770"/>
      <w:bookmarkStart w:id="70" w:name="_Toc152045532"/>
      <w:bookmarkStart w:id="71" w:name="_Toc246996178"/>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152045534"/>
      <w:bookmarkStart w:id="73" w:name="_Toc28754"/>
      <w:bookmarkStart w:id="74" w:name="_Toc246996179"/>
      <w:bookmarkStart w:id="75" w:name="_Toc247085693"/>
      <w:bookmarkStart w:id="76" w:name="_Toc179632551"/>
      <w:bookmarkStart w:id="77" w:name="_Toc3275"/>
      <w:bookmarkStart w:id="78" w:name="_Toc413"/>
      <w:bookmarkStart w:id="79" w:name="_Toc144974502"/>
      <w:bookmarkStart w:id="80" w:name="_Toc246996922"/>
      <w:bookmarkStart w:id="81" w:name="_Toc152042310"/>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19113"/>
      <w:bookmarkStart w:id="83" w:name="_Toc246996180"/>
      <w:bookmarkStart w:id="84" w:name="_Toc152042311"/>
      <w:bookmarkStart w:id="85" w:name="_Toc179632552"/>
      <w:bookmarkStart w:id="86" w:name="_Toc1757"/>
      <w:bookmarkStart w:id="87" w:name="_Toc144974503"/>
      <w:bookmarkStart w:id="88" w:name="_Toc247085694"/>
      <w:bookmarkStart w:id="89" w:name="_Toc10816"/>
      <w:bookmarkStart w:id="90" w:name="_Toc246996923"/>
      <w:bookmarkStart w:id="91" w:name="_Toc152045535"/>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247085695"/>
      <w:bookmarkStart w:id="93" w:name="_Toc152045536"/>
      <w:bookmarkStart w:id="94" w:name="_Toc5909"/>
      <w:bookmarkStart w:id="95" w:name="_Toc246996181"/>
      <w:bookmarkStart w:id="96" w:name="_Toc246996924"/>
      <w:bookmarkStart w:id="97" w:name="_Toc152042312"/>
      <w:bookmarkStart w:id="98" w:name="_Toc144974504"/>
      <w:bookmarkStart w:id="99" w:name="_Toc1605"/>
      <w:bookmarkStart w:id="100" w:name="_Toc179632553"/>
      <w:bookmarkStart w:id="101" w:name="_Toc3803"/>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246996925"/>
      <w:bookmarkStart w:id="104" w:name="_Toc24696"/>
      <w:bookmarkStart w:id="105" w:name="_Toc977"/>
      <w:bookmarkStart w:id="106" w:name="_Toc179632554"/>
      <w:bookmarkStart w:id="107" w:name="_Toc152042313"/>
      <w:bookmarkStart w:id="108" w:name="_Toc247085696"/>
      <w:bookmarkStart w:id="109" w:name="_Toc246996182"/>
      <w:bookmarkStart w:id="110" w:name="_Toc152045537"/>
      <w:bookmarkStart w:id="111" w:name="_Toc5424"/>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179632555"/>
      <w:bookmarkStart w:id="113" w:name="_Toc152042314"/>
      <w:bookmarkStart w:id="114" w:name="_Toc246996183"/>
      <w:bookmarkStart w:id="115" w:name="_Toc246996926"/>
      <w:bookmarkStart w:id="116" w:name="_Toc152045538"/>
      <w:bookmarkStart w:id="117" w:name="_Toc247085697"/>
      <w:bookmarkStart w:id="118" w:name="_Toc144974506"/>
      <w:r>
        <w:rPr>
          <w:rFonts w:hint="eastAsia" w:ascii="宋体" w:hAnsi="宋体" w:eastAsia="宋体" w:cs="宋体"/>
          <w:sz w:val="24"/>
          <w:szCs w:val="24"/>
        </w:rPr>
        <w:t>招标投标文件使用的语言文字为中文。专用术语使用外文的，应附有中文注释。</w:t>
      </w:r>
    </w:p>
    <w:p w14:paraId="66AAE48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23391"/>
      <w:bookmarkStart w:id="120" w:name="_Toc13990"/>
      <w:bookmarkStart w:id="121" w:name="_Toc9225"/>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152045539"/>
      <w:bookmarkStart w:id="123" w:name="_Toc27993"/>
      <w:bookmarkStart w:id="124" w:name="_Toc22945"/>
      <w:bookmarkStart w:id="125" w:name="_Toc247513962"/>
      <w:bookmarkStart w:id="126" w:name="_Toc247592876"/>
      <w:bookmarkStart w:id="127" w:name="_Toc247527563"/>
      <w:bookmarkStart w:id="128" w:name="_Toc144974507"/>
      <w:bookmarkStart w:id="129" w:name="_Toc19468"/>
      <w:bookmarkStart w:id="130" w:name="_Toc152042315"/>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3757"/>
      <w:bookmarkStart w:id="132" w:name="_Toc30092"/>
      <w:bookmarkStart w:id="133" w:name="_Toc247513963"/>
      <w:bookmarkStart w:id="134" w:name="_Toc247592877"/>
      <w:bookmarkStart w:id="135" w:name="_Toc152042316"/>
      <w:bookmarkStart w:id="136" w:name="_Toc247527564"/>
      <w:bookmarkStart w:id="137" w:name="_Toc80"/>
      <w:bookmarkStart w:id="138" w:name="_Toc152045540"/>
      <w:bookmarkStart w:id="139" w:name="_Toc144974508"/>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4429"/>
      <w:bookmarkStart w:id="141" w:name="_Toc11626"/>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7"/>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31978"/>
      <w:bookmarkStart w:id="144" w:name="_Toc246996930"/>
      <w:bookmarkStart w:id="145" w:name="_Toc152045542"/>
      <w:bookmarkStart w:id="146" w:name="_Toc246996187"/>
      <w:bookmarkStart w:id="147" w:name="_Toc179632560"/>
      <w:bookmarkStart w:id="148" w:name="_Toc247085701"/>
      <w:bookmarkStart w:id="149" w:name="_Toc144974510"/>
      <w:bookmarkStart w:id="150" w:name="_Toc152042318"/>
      <w:bookmarkStart w:id="151" w:name="_Toc13281"/>
      <w:bookmarkStart w:id="152" w:name="_Toc18581"/>
      <w:r>
        <w:rPr>
          <w:rFonts w:hint="eastAsia" w:ascii="宋体" w:hAnsi="宋体" w:eastAsia="宋体" w:cs="宋体"/>
          <w:b w:val="0"/>
          <w:bCs w:val="0"/>
          <w:color w:val="000000"/>
          <w:sz w:val="24"/>
          <w:szCs w:val="24"/>
        </w:rPr>
        <w:t>不允许出现负偏离</w:t>
      </w:r>
    </w:p>
    <w:p w14:paraId="1B717E3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52045543"/>
      <w:bookmarkStart w:id="154" w:name="_Toc144974511"/>
      <w:bookmarkStart w:id="155" w:name="_Toc152042319"/>
      <w:bookmarkStart w:id="156" w:name="_Toc25465"/>
      <w:bookmarkStart w:id="157" w:name="_Toc29070"/>
      <w:bookmarkStart w:id="158" w:name="_Toc246996188"/>
      <w:bookmarkStart w:id="159" w:name="_Toc247085702"/>
      <w:bookmarkStart w:id="160" w:name="_Toc9862"/>
      <w:bookmarkStart w:id="161" w:name="_Toc179632561"/>
      <w:bookmarkStart w:id="162" w:name="_Toc246996931"/>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9540"/>
      <w:bookmarkStart w:id="164" w:name="_Toc179632562"/>
      <w:bookmarkStart w:id="165" w:name="_Toc144974512"/>
      <w:bookmarkStart w:id="166" w:name="_Toc152042320"/>
      <w:bookmarkStart w:id="167" w:name="_Toc152045544"/>
      <w:bookmarkStart w:id="168" w:name="_Toc246996189"/>
      <w:bookmarkStart w:id="169" w:name="_Toc19400"/>
      <w:bookmarkStart w:id="170" w:name="_Toc25646"/>
      <w:bookmarkStart w:id="171" w:name="_Toc247085703"/>
      <w:bookmarkStart w:id="172" w:name="_Toc246996932"/>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152045545"/>
      <w:bookmarkStart w:id="174" w:name="_Toc247085704"/>
      <w:bookmarkStart w:id="175" w:name="_Toc32623"/>
      <w:bookmarkStart w:id="176" w:name="_Toc144974513"/>
      <w:bookmarkStart w:id="177" w:name="_Toc246996190"/>
      <w:bookmarkStart w:id="178" w:name="_Toc179632563"/>
      <w:bookmarkStart w:id="179" w:name="_Toc246996933"/>
      <w:bookmarkStart w:id="180" w:name="_Toc27203"/>
      <w:bookmarkStart w:id="181" w:name="_Toc152042321"/>
      <w:bookmarkStart w:id="182" w:name="_Toc13614"/>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152042322"/>
      <w:bookmarkStart w:id="184" w:name="_Toc152045546"/>
      <w:bookmarkStart w:id="185" w:name="_Toc179632564"/>
      <w:bookmarkStart w:id="186" w:name="_Toc247085705"/>
      <w:bookmarkStart w:id="187" w:name="_Toc8058"/>
      <w:bookmarkStart w:id="188" w:name="_Toc246996191"/>
      <w:bookmarkStart w:id="189" w:name="_Toc23378"/>
      <w:bookmarkStart w:id="190" w:name="_Toc7461"/>
      <w:bookmarkStart w:id="191" w:name="_Toc246996934"/>
      <w:bookmarkStart w:id="192" w:name="_Toc144974514"/>
    </w:p>
    <w:p w14:paraId="5D3DD84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7247"/>
      <w:bookmarkStart w:id="194" w:name="_Toc246996935"/>
      <w:bookmarkStart w:id="195" w:name="_Toc144974515"/>
      <w:bookmarkStart w:id="196" w:name="_Toc246996192"/>
      <w:bookmarkStart w:id="197" w:name="_Toc152042323"/>
      <w:bookmarkStart w:id="198" w:name="_Toc152045547"/>
      <w:bookmarkStart w:id="199" w:name="_Toc179632565"/>
      <w:bookmarkStart w:id="200" w:name="_Toc28974"/>
      <w:bookmarkStart w:id="201" w:name="_Toc247085706"/>
      <w:bookmarkStart w:id="202" w:name="_Toc237"/>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28739"/>
      <w:bookmarkStart w:id="205" w:name="_Toc144974516"/>
      <w:bookmarkStart w:id="206" w:name="_Toc246996936"/>
      <w:bookmarkStart w:id="207" w:name="_Toc246996193"/>
      <w:bookmarkStart w:id="208" w:name="_Toc152042324"/>
      <w:bookmarkStart w:id="209" w:name="_Toc247085707"/>
      <w:bookmarkStart w:id="210" w:name="_Toc10240"/>
      <w:bookmarkStart w:id="211" w:name="_Toc152045548"/>
      <w:bookmarkStart w:id="212" w:name="_Toc179632566"/>
      <w:bookmarkStart w:id="213" w:name="_Toc4527"/>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18722"/>
      <w:bookmarkStart w:id="215" w:name="_Toc152045549"/>
      <w:bookmarkStart w:id="216" w:name="_Toc152042325"/>
      <w:bookmarkStart w:id="217" w:name="_Toc27607"/>
      <w:bookmarkStart w:id="218" w:name="_Toc247085708"/>
      <w:bookmarkStart w:id="219" w:name="_Toc144974517"/>
      <w:bookmarkStart w:id="220" w:name="_Toc246996194"/>
      <w:bookmarkStart w:id="221" w:name="_Toc246996937"/>
      <w:bookmarkStart w:id="222" w:name="_Toc31607"/>
      <w:bookmarkStart w:id="223" w:name="_Toc17963256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44974518"/>
      <w:bookmarkStart w:id="227" w:name="_Toc17558"/>
      <w:bookmarkStart w:id="228" w:name="_Toc152042326"/>
      <w:bookmarkStart w:id="229" w:name="_Toc246996938"/>
      <w:bookmarkStart w:id="230" w:name="_Toc10049"/>
      <w:bookmarkStart w:id="231" w:name="_Toc152045550"/>
      <w:bookmarkStart w:id="232" w:name="_Toc247085709"/>
      <w:bookmarkStart w:id="233" w:name="_Toc246996195"/>
      <w:bookmarkStart w:id="234" w:name="_Toc179632568"/>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Hlk522170699"/>
      <w:bookmarkStart w:id="237" w:name="_Toc343511515"/>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247085710"/>
      <w:bookmarkStart w:id="243" w:name="_Toc246996939"/>
      <w:bookmarkStart w:id="244" w:name="_Toc246996196"/>
      <w:bookmarkStart w:id="245" w:name="_Toc179632570"/>
      <w:bookmarkStart w:id="246" w:name="_Toc152042328"/>
      <w:bookmarkStart w:id="247" w:name="_Toc296602441"/>
      <w:bookmarkStart w:id="248" w:name="_Toc152045552"/>
      <w:bookmarkStart w:id="249" w:name="_Toc144974520"/>
      <w:bookmarkStart w:id="250" w:name="_Toc5131"/>
      <w:bookmarkStart w:id="251" w:name="_Toc16361"/>
      <w:bookmarkStart w:id="252" w:name="_Toc18308"/>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152042329"/>
      <w:bookmarkStart w:id="254" w:name="_Toc179632571"/>
      <w:bookmarkStart w:id="255" w:name="_Toc152045553"/>
      <w:bookmarkStart w:id="256" w:name="_Toc246996940"/>
      <w:bookmarkStart w:id="257" w:name="_Toc246996197"/>
      <w:bookmarkStart w:id="258" w:name="_Toc247085711"/>
      <w:bookmarkStart w:id="259" w:name="_Toc144974521"/>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19372"/>
      <w:bookmarkStart w:id="261" w:name="_Toc246996942"/>
      <w:bookmarkStart w:id="262" w:name="_Toc152042331"/>
      <w:bookmarkStart w:id="263" w:name="_Toc179632573"/>
      <w:bookmarkStart w:id="264" w:name="_Toc28026"/>
      <w:bookmarkStart w:id="265" w:name="_Toc31049"/>
      <w:bookmarkStart w:id="266" w:name="_Toc144974523"/>
      <w:bookmarkStart w:id="267" w:name="_Toc152045555"/>
      <w:bookmarkStart w:id="268" w:name="_Toc247085713"/>
      <w:bookmarkStart w:id="269" w:name="_Toc246996199"/>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6"/>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152042333"/>
      <w:bookmarkStart w:id="271" w:name="_Toc152045557"/>
      <w:bookmarkStart w:id="272" w:name="_Toc152042334"/>
      <w:bookmarkStart w:id="273" w:name="_Toc247085716"/>
      <w:bookmarkStart w:id="274" w:name="_Toc2773"/>
      <w:bookmarkStart w:id="275" w:name="_Toc179632575"/>
      <w:bookmarkStart w:id="276" w:name="_Toc15547"/>
      <w:bookmarkStart w:id="277" w:name="_Toc144974526"/>
      <w:bookmarkStart w:id="278" w:name="_Toc246996202"/>
      <w:bookmarkStart w:id="279" w:name="_Toc246996945"/>
      <w:bookmarkStart w:id="280" w:name="_Toc2783"/>
      <w:bookmarkStart w:id="281" w:name="_Toc144974525"/>
      <w:bookmarkStart w:id="282" w:name="_Toc152045558"/>
      <w:bookmarkStart w:id="283" w:name="_Toc179632576"/>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延安市新区上城华府二期6号楼1单元1402室</w:t>
      </w:r>
      <w:r>
        <w:rPr>
          <w:rFonts w:hint="eastAsia" w:ascii="宋体" w:hAnsi="宋体" w:cs="宋体"/>
          <w:sz w:val="24"/>
          <w:szCs w:val="24"/>
        </w:rPr>
        <w:t>，电话：</w:t>
      </w:r>
      <w:r>
        <w:rPr>
          <w:rFonts w:hint="eastAsia" w:ascii="宋体" w:hAnsi="宋体" w:cs="宋体"/>
          <w:sz w:val="24"/>
          <w:szCs w:val="24"/>
          <w:lang w:eastAsia="zh-CN"/>
        </w:rPr>
        <w:t>15591151057</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27697"/>
      <w:bookmarkStart w:id="285" w:name="_Toc152042335"/>
      <w:bookmarkStart w:id="286" w:name="_Toc179632577"/>
      <w:bookmarkStart w:id="287" w:name="_Toc247085717"/>
      <w:bookmarkStart w:id="288" w:name="_Toc8495"/>
      <w:bookmarkStart w:id="289" w:name="_Toc152045559"/>
      <w:bookmarkStart w:id="290" w:name="_Toc246996203"/>
      <w:bookmarkStart w:id="291" w:name="_Toc23736"/>
      <w:bookmarkStart w:id="292" w:name="_Toc246996946"/>
      <w:bookmarkStart w:id="293" w:name="_Toc144974527"/>
    </w:p>
    <w:p w14:paraId="52C84CEA">
      <w:pPr>
        <w:pStyle w:val="6"/>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32417"/>
      <w:bookmarkStart w:id="295" w:name="_Toc246996204"/>
      <w:bookmarkStart w:id="296" w:name="_Toc11197"/>
      <w:bookmarkStart w:id="297" w:name="_Toc152045560"/>
      <w:bookmarkStart w:id="298" w:name="_Toc152042336"/>
      <w:bookmarkStart w:id="299" w:name="_Toc247085718"/>
      <w:bookmarkStart w:id="300" w:name="_Toc179632578"/>
      <w:bookmarkStart w:id="301" w:name="_Toc246996947"/>
      <w:bookmarkStart w:id="302" w:name="_Toc19034"/>
      <w:bookmarkStart w:id="303" w:name="_Toc144974528"/>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152042337"/>
      <w:bookmarkStart w:id="305" w:name="_Toc246996205"/>
      <w:bookmarkStart w:id="306" w:name="_Toc152045561"/>
      <w:bookmarkStart w:id="307" w:name="_Toc20464"/>
      <w:bookmarkStart w:id="308" w:name="_Toc3352"/>
      <w:bookmarkStart w:id="309" w:name="_Toc27426"/>
      <w:bookmarkStart w:id="310" w:name="_Toc247085719"/>
      <w:bookmarkStart w:id="311" w:name="_Toc144974529"/>
      <w:bookmarkStart w:id="312" w:name="_Toc246996948"/>
      <w:bookmarkStart w:id="313" w:name="_Toc179632579"/>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30701"/>
      <w:bookmarkStart w:id="315" w:name="_Toc5502"/>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21836"/>
      <w:bookmarkStart w:id="317" w:name="_Toc7178"/>
      <w:bookmarkStart w:id="318" w:name="_Toc24451"/>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144974530"/>
      <w:bookmarkStart w:id="320" w:name="_Toc8409"/>
      <w:bookmarkStart w:id="321" w:name="_Toc247085720"/>
      <w:bookmarkStart w:id="322" w:name="_Toc246996206"/>
      <w:bookmarkStart w:id="323" w:name="_Toc152045562"/>
      <w:bookmarkStart w:id="324" w:name="_Toc246996949"/>
      <w:bookmarkStart w:id="325" w:name="_Toc152042338"/>
      <w:bookmarkStart w:id="326" w:name="_Toc16510"/>
      <w:bookmarkStart w:id="327" w:name="_Toc19772"/>
      <w:bookmarkStart w:id="328" w:name="_Toc179632580"/>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17653"/>
      <w:bookmarkStart w:id="330" w:name="_Toc144974531"/>
      <w:bookmarkStart w:id="331" w:name="_Toc246996207"/>
      <w:bookmarkStart w:id="332" w:name="_Toc32310"/>
      <w:bookmarkStart w:id="333" w:name="_Toc24650"/>
      <w:bookmarkStart w:id="334" w:name="_Toc247085721"/>
      <w:bookmarkStart w:id="335" w:name="_Toc179632581"/>
      <w:bookmarkStart w:id="336" w:name="_Toc152042339"/>
      <w:bookmarkStart w:id="337" w:name="_Toc246996950"/>
      <w:bookmarkStart w:id="338" w:name="_Toc152045563"/>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247085722"/>
      <w:bookmarkStart w:id="340" w:name="_Toc246996951"/>
      <w:bookmarkStart w:id="341" w:name="_Toc346"/>
      <w:bookmarkStart w:id="342" w:name="_Toc152045564"/>
      <w:bookmarkStart w:id="343" w:name="_Toc179632582"/>
      <w:bookmarkStart w:id="344" w:name="_Toc152042340"/>
      <w:bookmarkStart w:id="345" w:name="_Toc390"/>
      <w:bookmarkStart w:id="346" w:name="_Toc144974532"/>
      <w:bookmarkStart w:id="347" w:name="_Toc246996208"/>
      <w:bookmarkStart w:id="348" w:name="_Toc16516"/>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79632584"/>
      <w:bookmarkStart w:id="350" w:name="_Toc144974534"/>
      <w:bookmarkStart w:id="351" w:name="_Toc247085724"/>
      <w:bookmarkStart w:id="352" w:name="_Toc246996953"/>
      <w:bookmarkStart w:id="353" w:name="_Toc24420"/>
      <w:bookmarkStart w:id="354" w:name="_Toc152045566"/>
      <w:bookmarkStart w:id="355" w:name="_Toc19723"/>
      <w:bookmarkStart w:id="356" w:name="_Toc21695"/>
      <w:bookmarkStart w:id="357" w:name="_Toc152042342"/>
      <w:bookmarkStart w:id="358" w:name="_Toc246996210"/>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26031"/>
      <w:bookmarkStart w:id="360" w:name="_Toc179632585"/>
      <w:bookmarkStart w:id="361" w:name="_Toc246996954"/>
      <w:bookmarkStart w:id="362" w:name="_Toc246996211"/>
      <w:bookmarkStart w:id="363" w:name="_Toc144974535"/>
      <w:bookmarkStart w:id="364" w:name="_Toc23291"/>
      <w:bookmarkStart w:id="365" w:name="_Toc152045567"/>
      <w:bookmarkStart w:id="366" w:name="_Toc247085725"/>
      <w:bookmarkStart w:id="367" w:name="_Toc461"/>
      <w:bookmarkStart w:id="368" w:name="_Toc152042343"/>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19535"/>
      <w:bookmarkStart w:id="370" w:name="_Toc23618"/>
      <w:bookmarkStart w:id="371" w:name="_Toc2601"/>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152045568"/>
      <w:bookmarkStart w:id="373" w:name="_Toc247085726"/>
      <w:bookmarkStart w:id="374" w:name="_Toc144974536"/>
      <w:bookmarkStart w:id="375" w:name="_Toc179632586"/>
      <w:bookmarkStart w:id="376" w:name="_Toc152042344"/>
      <w:bookmarkStart w:id="377" w:name="_Toc246996212"/>
      <w:bookmarkStart w:id="378" w:name="_Toc246996955"/>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152045569"/>
      <w:bookmarkStart w:id="380" w:name="_Toc144974537"/>
      <w:bookmarkStart w:id="381" w:name="_Toc246996213"/>
      <w:bookmarkStart w:id="382" w:name="_Toc32758"/>
      <w:bookmarkStart w:id="383" w:name="_Toc27185"/>
      <w:bookmarkStart w:id="384" w:name="_Toc24057"/>
      <w:bookmarkStart w:id="385" w:name="_Toc179632587"/>
      <w:bookmarkStart w:id="386" w:name="_Toc246996956"/>
      <w:bookmarkStart w:id="387" w:name="_Toc247085727"/>
      <w:bookmarkStart w:id="388" w:name="_Toc152042345"/>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6"/>
        <w:spacing w:before="0" w:after="0" w:line="600" w:lineRule="exact"/>
        <w:rPr>
          <w:rFonts w:hint="eastAsia" w:ascii="宋体" w:hAnsi="宋体" w:cs="宋体"/>
          <w:sz w:val="24"/>
          <w:szCs w:val="24"/>
        </w:rPr>
      </w:pPr>
      <w:bookmarkStart w:id="389" w:name="_Toc16299"/>
      <w:bookmarkStart w:id="390" w:name="_Toc18338"/>
      <w:bookmarkStart w:id="391" w:name="_Toc15263"/>
      <w:bookmarkStart w:id="392" w:name="_Toc19207"/>
      <w:bookmarkStart w:id="393" w:name="_Toc22515"/>
      <w:bookmarkStart w:id="394" w:name="_Toc31455"/>
      <w:r>
        <w:rPr>
          <w:rFonts w:hint="eastAsia" w:ascii="宋体" w:hAnsi="宋体" w:cs="宋体"/>
          <w:sz w:val="24"/>
          <w:szCs w:val="24"/>
        </w:rPr>
        <w:t>8. 纪律和监督</w:t>
      </w:r>
      <w:bookmarkEnd w:id="389"/>
      <w:bookmarkEnd w:id="390"/>
      <w:bookmarkEnd w:id="391"/>
    </w:p>
    <w:p w14:paraId="18EBBFCA">
      <w:pPr>
        <w:pStyle w:val="7"/>
        <w:spacing w:before="0" w:after="0" w:line="600" w:lineRule="exact"/>
        <w:rPr>
          <w:rFonts w:hint="eastAsia" w:ascii="宋体" w:hAnsi="宋体" w:cs="宋体"/>
          <w:sz w:val="24"/>
          <w:szCs w:val="24"/>
        </w:rPr>
      </w:pPr>
      <w:bookmarkStart w:id="395" w:name="_Toc152042351"/>
      <w:bookmarkStart w:id="396" w:name="_Toc15654"/>
      <w:bookmarkStart w:id="397" w:name="_Toc247085733"/>
      <w:bookmarkStart w:id="398" w:name="_Toc296590983"/>
      <w:bookmarkStart w:id="399" w:name="_Toc246996219"/>
      <w:bookmarkStart w:id="400" w:name="_Toc144974543"/>
      <w:bookmarkStart w:id="401" w:name="_Toc152045575"/>
      <w:bookmarkStart w:id="402" w:name="_Toc9257"/>
      <w:bookmarkStart w:id="403" w:name="_Toc11012"/>
      <w:bookmarkStart w:id="404" w:name="_Toc246996962"/>
      <w:bookmarkStart w:id="405" w:name="_Toc179632593"/>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7"/>
        <w:spacing w:before="0" w:after="0" w:line="600" w:lineRule="exact"/>
        <w:rPr>
          <w:rFonts w:hint="eastAsia" w:ascii="宋体" w:hAnsi="宋体" w:cs="宋体"/>
          <w:sz w:val="24"/>
          <w:szCs w:val="24"/>
        </w:rPr>
      </w:pPr>
      <w:bookmarkStart w:id="406" w:name="_Toc9119"/>
      <w:bookmarkStart w:id="407" w:name="_Toc246996963"/>
      <w:bookmarkStart w:id="408" w:name="_Toc246996220"/>
      <w:bookmarkStart w:id="409" w:name="_Toc152045576"/>
      <w:bookmarkStart w:id="410" w:name="_Toc179632594"/>
      <w:bookmarkStart w:id="411" w:name="_Toc27112"/>
      <w:bookmarkStart w:id="412" w:name="_Toc13979"/>
      <w:bookmarkStart w:id="413" w:name="_Toc152042352"/>
      <w:bookmarkStart w:id="414" w:name="_Toc247085734"/>
      <w:bookmarkStart w:id="415" w:name="_Toc144974544"/>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7"/>
        <w:spacing w:before="0" w:after="0" w:line="600" w:lineRule="exact"/>
        <w:rPr>
          <w:rFonts w:hint="eastAsia" w:ascii="宋体" w:hAnsi="宋体" w:cs="宋体"/>
          <w:sz w:val="24"/>
          <w:szCs w:val="24"/>
        </w:rPr>
      </w:pPr>
      <w:bookmarkStart w:id="416" w:name="_Toc6639"/>
      <w:bookmarkStart w:id="417" w:name="_Toc14763"/>
      <w:bookmarkStart w:id="418" w:name="_Toc152042353"/>
      <w:bookmarkStart w:id="419" w:name="_Toc179632595"/>
      <w:bookmarkStart w:id="420" w:name="_Toc144974545"/>
      <w:bookmarkStart w:id="421" w:name="_Toc247085735"/>
      <w:bookmarkStart w:id="422" w:name="_Toc246996221"/>
      <w:bookmarkStart w:id="423" w:name="_Toc24158"/>
      <w:bookmarkStart w:id="424" w:name="_Toc246996964"/>
      <w:bookmarkStart w:id="425" w:name="_Toc152045577"/>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7"/>
        <w:spacing w:before="0" w:after="0" w:line="600" w:lineRule="exact"/>
        <w:rPr>
          <w:rFonts w:hint="eastAsia" w:ascii="宋体" w:hAnsi="宋体" w:cs="宋体"/>
          <w:sz w:val="24"/>
          <w:szCs w:val="24"/>
        </w:rPr>
      </w:pPr>
      <w:bookmarkStart w:id="426" w:name="_Toc746"/>
      <w:bookmarkStart w:id="427" w:name="_Toc179632596"/>
      <w:bookmarkStart w:id="428" w:name="_Toc246996965"/>
      <w:bookmarkStart w:id="429" w:name="_Toc152045578"/>
      <w:bookmarkStart w:id="430" w:name="_Toc246996222"/>
      <w:bookmarkStart w:id="431" w:name="_Toc18417"/>
      <w:bookmarkStart w:id="432" w:name="_Toc10721"/>
      <w:bookmarkStart w:id="433" w:name="_Toc152042354"/>
      <w:bookmarkStart w:id="434" w:name="_Toc247085736"/>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7"/>
        <w:spacing w:before="0" w:after="0" w:line="600" w:lineRule="exact"/>
        <w:rPr>
          <w:rFonts w:hint="eastAsia" w:ascii="宋体" w:hAnsi="宋体" w:cs="宋体"/>
          <w:sz w:val="24"/>
          <w:szCs w:val="24"/>
        </w:rPr>
      </w:pPr>
      <w:bookmarkStart w:id="437" w:name="_Toc246996966"/>
      <w:bookmarkStart w:id="438" w:name="_Toc247085737"/>
      <w:bookmarkStart w:id="439" w:name="_Toc179632597"/>
      <w:bookmarkStart w:id="440" w:name="_Toc22107"/>
      <w:bookmarkStart w:id="441" w:name="_Toc152045579"/>
      <w:bookmarkStart w:id="442" w:name="_Toc152042356"/>
      <w:bookmarkStart w:id="443" w:name="_Toc246996223"/>
      <w:bookmarkStart w:id="444" w:name="_Toc14107"/>
      <w:bookmarkStart w:id="445" w:name="_Toc22014"/>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152042357"/>
      <w:bookmarkStart w:id="447" w:name="_Toc144974547"/>
      <w:bookmarkStart w:id="448" w:name="_Toc247085738"/>
      <w:bookmarkStart w:id="449" w:name="_Toc246996967"/>
      <w:bookmarkStart w:id="450" w:name="_Toc6779"/>
      <w:bookmarkStart w:id="451" w:name="_Toc24729"/>
      <w:bookmarkStart w:id="452" w:name="_Toc152045580"/>
      <w:bookmarkStart w:id="453" w:name="_Toc9155"/>
      <w:bookmarkStart w:id="454" w:name="_Toc246996224"/>
      <w:bookmarkStart w:id="455" w:name="_Toc179632598"/>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7"/>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7"/>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3"/>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3"/>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3"/>
        <w:rPr>
          <w:rFonts w:hint="eastAsia" w:ascii="宋体" w:hAnsi="宋体" w:cs="宋体"/>
          <w:sz w:val="24"/>
          <w:szCs w:val="24"/>
        </w:rPr>
      </w:pPr>
    </w:p>
    <w:p w14:paraId="7D8247D7">
      <w:pPr>
        <w:pStyle w:val="3"/>
        <w:rPr>
          <w:rFonts w:hint="eastAsia" w:ascii="宋体" w:hAnsi="宋体" w:cs="宋体"/>
          <w:sz w:val="24"/>
          <w:szCs w:val="24"/>
        </w:rPr>
      </w:pPr>
    </w:p>
    <w:p w14:paraId="28FD10CE">
      <w:pPr>
        <w:pStyle w:val="3"/>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7"/>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6"/>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6"/>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6"/>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6"/>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6"/>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5"/>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5"/>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4838"/>
      <w:bookmarkStart w:id="457" w:name="_Toc22717"/>
      <w:bookmarkStart w:id="458" w:name="_Toc1751"/>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2D047536">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1.</w:t>
      </w:r>
      <w:r>
        <w:rPr>
          <w:rFonts w:hint="eastAsia" w:ascii="宋体" w:hAnsi="宋体" w:cs="宋体"/>
          <w:b w:val="0"/>
          <w:bCs w:val="0"/>
          <w:color w:val="000000"/>
          <w:spacing w:val="0"/>
          <w:sz w:val="24"/>
          <w:szCs w:val="24"/>
          <w:lang w:val="en-US" w:eastAsia="zh-CN"/>
        </w:rPr>
        <w:t>提供经年检有效的“三证合一”的营业执照（附2024年度报告书）</w:t>
      </w:r>
      <w:r>
        <w:rPr>
          <w:rFonts w:hint="eastAsia" w:ascii="宋体" w:hAnsi="宋体" w:eastAsia="宋体" w:cs="宋体"/>
          <w:b w:val="0"/>
          <w:bCs w:val="0"/>
          <w:color w:val="000000"/>
          <w:spacing w:val="0"/>
          <w:sz w:val="24"/>
          <w:szCs w:val="24"/>
          <w:lang w:val="en-US" w:eastAsia="zh-CN"/>
        </w:rPr>
        <w:t>；</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2.银行开户许可证或开户行基本信息；</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3.法定代表人授权委托书及被授权人身份证（法定代表人直接参加时，只须出示法定代表人身份证)；</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4</w:t>
      </w:r>
      <w:r>
        <w:rPr>
          <w:rFonts w:hint="eastAsia" w:ascii="宋体" w:hAnsi="宋体" w:eastAsia="宋体" w:cs="宋体"/>
          <w:b w:val="0"/>
          <w:bCs w:val="0"/>
          <w:color w:val="000000"/>
          <w:spacing w:val="0"/>
          <w:sz w:val="24"/>
          <w:szCs w:val="24"/>
          <w:lang w:val="en-US" w:eastAsia="zh-CN"/>
        </w:rPr>
        <w:t>.税收缴纳证明：提供2025年01月至今已缴纳的至少一个月的纳税证明或完税证明（不限税种），依法免税的单位应提供相关证明材料；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5</w:t>
      </w:r>
      <w:r>
        <w:rPr>
          <w:rFonts w:hint="eastAsia" w:ascii="宋体" w:hAnsi="宋体" w:eastAsia="宋体" w:cs="宋体"/>
          <w:b w:val="0"/>
          <w:bCs w:val="0"/>
          <w:color w:val="000000"/>
          <w:spacing w:val="0"/>
          <w:sz w:val="24"/>
          <w:szCs w:val="24"/>
          <w:lang w:val="en-US"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6</w:t>
      </w:r>
      <w:r>
        <w:rPr>
          <w:rFonts w:hint="eastAsia" w:ascii="宋体" w:hAnsi="宋体" w:eastAsia="宋体" w:cs="宋体"/>
          <w:b w:val="0"/>
          <w:bCs w:val="0"/>
          <w:color w:val="000000"/>
          <w:spacing w:val="0"/>
          <w:sz w:val="24"/>
          <w:szCs w:val="24"/>
          <w:lang w:val="en-US" w:eastAsia="zh-CN"/>
        </w:rPr>
        <w:t>.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7</w:t>
      </w:r>
      <w:r>
        <w:rPr>
          <w:rFonts w:hint="eastAsia" w:ascii="宋体" w:hAnsi="宋体" w:eastAsia="宋体" w:cs="宋体"/>
          <w:b w:val="0"/>
          <w:bCs w:val="0"/>
          <w:color w:val="000000"/>
          <w:spacing w:val="0"/>
          <w:sz w:val="24"/>
          <w:szCs w:val="24"/>
          <w:lang w:val="en-US" w:eastAsia="zh-CN"/>
        </w:rPr>
        <w:t>.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8</w:t>
      </w:r>
      <w:r>
        <w:rPr>
          <w:rFonts w:hint="eastAsia" w:ascii="宋体" w:hAnsi="宋体" w:eastAsia="宋体" w:cs="宋体"/>
          <w:b w:val="0"/>
          <w:bCs w:val="0"/>
          <w:color w:val="000000"/>
          <w:spacing w:val="0"/>
          <w:sz w:val="24"/>
          <w:szCs w:val="24"/>
          <w:lang w:val="en-US" w:eastAsia="zh-CN"/>
        </w:rPr>
        <w:t>.提供参加政府采购活动前3年内经营活动中无重大违法记录声明；</w:t>
      </w:r>
    </w:p>
    <w:p w14:paraId="4A70ADAE">
      <w:pPr>
        <w:keepNext w:val="0"/>
        <w:keepLines w:val="0"/>
        <w:pageBreakBefore w:val="0"/>
        <w:widowControl w:val="0"/>
        <w:kinsoku/>
        <w:wordWrap/>
        <w:overflowPunct w:val="0"/>
        <w:topLinePunct w:val="0"/>
        <w:autoSpaceDE/>
        <w:autoSpaceDN/>
        <w:bidi w:val="0"/>
        <w:adjustRightInd/>
        <w:snapToGrid/>
        <w:spacing w:line="600" w:lineRule="exact"/>
        <w:ind w:firstLine="240" w:firstLineChars="100"/>
        <w:textAlignment w:val="auto"/>
        <w:rPr>
          <w:rFonts w:hint="default" w:ascii="宋体" w:hAnsi="宋体" w:eastAsia="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9</w:t>
      </w:r>
      <w:r>
        <w:rPr>
          <w:rFonts w:hint="eastAsia" w:ascii="宋体" w:hAnsi="宋体" w:eastAsia="宋体" w:cs="宋体"/>
          <w:b w:val="0"/>
          <w:bCs w:val="0"/>
          <w:color w:val="000000"/>
          <w:spacing w:val="0"/>
          <w:sz w:val="24"/>
          <w:szCs w:val="24"/>
          <w:lang w:val="en-US" w:eastAsia="zh-CN"/>
        </w:rPr>
        <w:t>.</w:t>
      </w:r>
      <w:r>
        <w:rPr>
          <w:rFonts w:hint="eastAsia" w:ascii="宋体" w:hAnsi="宋体" w:cs="宋体"/>
          <w:b w:val="0"/>
          <w:bCs w:val="0"/>
          <w:color w:val="000000"/>
          <w:spacing w:val="0"/>
          <w:sz w:val="24"/>
          <w:szCs w:val="24"/>
          <w:lang w:val="en-US" w:eastAsia="zh-CN"/>
        </w:rPr>
        <w:t>投标保证金缴纳凭证</w:t>
      </w:r>
      <w:r>
        <w:rPr>
          <w:rFonts w:hint="eastAsia" w:ascii="宋体" w:hAnsi="宋体" w:eastAsia="宋体" w:cs="宋体"/>
          <w:b w:val="0"/>
          <w:bCs w:val="0"/>
          <w:color w:val="000000"/>
          <w:spacing w:val="0"/>
          <w:sz w:val="24"/>
          <w:szCs w:val="24"/>
          <w:lang w:val="en-US" w:eastAsia="zh-CN"/>
        </w:rPr>
        <w:t>；</w:t>
      </w:r>
    </w:p>
    <w:p w14:paraId="18635D6F">
      <w:pPr>
        <w:keepNext w:val="0"/>
        <w:keepLines w:val="0"/>
        <w:pageBreakBefore w:val="0"/>
        <w:widowControl w:val="0"/>
        <w:kinsoku/>
        <w:wordWrap/>
        <w:overflowPunct w:val="0"/>
        <w:topLinePunct w:val="0"/>
        <w:autoSpaceDE/>
        <w:autoSpaceDN/>
        <w:bidi w:val="0"/>
        <w:adjustRightInd/>
        <w:snapToGrid/>
        <w:spacing w:line="600" w:lineRule="exact"/>
        <w:ind w:firstLine="240" w:firstLineChars="100"/>
        <w:textAlignment w:val="auto"/>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1</w:t>
      </w:r>
      <w:r>
        <w:rPr>
          <w:rFonts w:hint="eastAsia" w:ascii="宋体" w:hAnsi="宋体" w:cs="宋体"/>
          <w:b w:val="0"/>
          <w:bCs w:val="0"/>
          <w:color w:val="000000"/>
          <w:spacing w:val="0"/>
          <w:sz w:val="24"/>
          <w:szCs w:val="24"/>
          <w:lang w:val="en-US" w:eastAsia="zh-CN"/>
        </w:rPr>
        <w:t>0</w:t>
      </w:r>
      <w:r>
        <w:rPr>
          <w:rFonts w:hint="eastAsia" w:ascii="宋体" w:hAnsi="宋体" w:eastAsia="宋体" w:cs="宋体"/>
          <w:b w:val="0"/>
          <w:bCs w:val="0"/>
          <w:color w:val="000000"/>
          <w:spacing w:val="0"/>
          <w:sz w:val="24"/>
          <w:szCs w:val="24"/>
          <w:lang w:val="en-US" w:eastAsia="zh-CN"/>
        </w:rPr>
        <w:t>.本项目接受联合体投标。</w:t>
      </w:r>
    </w:p>
    <w:p w14:paraId="24248D60">
      <w:pPr>
        <w:pStyle w:val="2"/>
        <w:rPr>
          <w:rFonts w:hint="eastAsia"/>
          <w:lang w:val="en-US" w:eastAsia="zh-CN"/>
        </w:rPr>
      </w:pPr>
      <w:r>
        <w:rPr>
          <w:rFonts w:hint="eastAsia" w:ascii="宋体" w:hAnsi="宋体" w:eastAsia="宋体" w:cs="宋体"/>
          <w:bCs/>
          <w:color w:val="FF0000"/>
          <w:sz w:val="24"/>
          <w:szCs w:val="24"/>
          <w:lang w:val="en-US" w:eastAsia="zh-CN"/>
        </w:rPr>
        <w:t>（投标人如为联合体投标的，需提供联合体各方相关资料）</w:t>
      </w:r>
    </w:p>
    <w:p w14:paraId="2D8718B9">
      <w:pPr>
        <w:pageBreakBefore w:val="0"/>
        <w:wordWrap/>
        <w:overflowPunct w:val="0"/>
        <w:topLinePunct w:val="0"/>
        <w:autoSpaceDE/>
        <w:autoSpaceDN/>
        <w:bidi w:val="0"/>
        <w:adjustRightInd/>
        <w:spacing w:line="600" w:lineRule="exact"/>
        <w:ind w:firstLine="480" w:firstLineChars="200"/>
        <w:textAlignment w:val="auto"/>
        <w:rPr>
          <w:rFonts w:hint="eastAsia"/>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6BDBC20B">
      <w:pPr>
        <w:pageBreakBefore w:val="0"/>
        <w:wordWrap/>
        <w:overflowPunct w:val="0"/>
        <w:topLinePunct w:val="0"/>
        <w:autoSpaceDE/>
        <w:autoSpaceDN/>
        <w:bidi w:val="0"/>
        <w:adjustRightInd/>
        <w:spacing w:line="600" w:lineRule="exact"/>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b.投标人如为联合体投标的，需提供联合体各方相关资料。</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3"/>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5"/>
        <w:spacing w:line="240" w:lineRule="auto"/>
        <w:jc w:val="center"/>
        <w:rPr>
          <w:rFonts w:hint="eastAsia" w:ascii="宋体" w:hAnsi="宋体" w:eastAsia="宋体" w:cs="宋体"/>
          <w:sz w:val="28"/>
          <w:szCs w:val="28"/>
        </w:rPr>
      </w:pPr>
      <w:bookmarkStart w:id="459" w:name="_Toc28084"/>
      <w:bookmarkStart w:id="460" w:name="_Toc5895"/>
      <w:bookmarkStart w:id="461" w:name="_Toc1706"/>
      <w:bookmarkStart w:id="462" w:name="_Toc18123"/>
      <w:bookmarkStart w:id="463" w:name="_Toc28077"/>
      <w:bookmarkStart w:id="464" w:name="_Toc23160"/>
      <w:bookmarkStart w:id="465" w:name="_Toc26899"/>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13365"/>
      <w:bookmarkStart w:id="467" w:name="_Toc25838"/>
      <w:bookmarkStart w:id="468" w:name="_Toc31157"/>
      <w:bookmarkStart w:id="469" w:name="_Toc12522"/>
      <w:bookmarkStart w:id="470" w:name="_Toc28261"/>
      <w:bookmarkStart w:id="471" w:name="_Toc6477"/>
      <w:bookmarkStart w:id="472" w:name="_Toc10057"/>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20147"/>
      <w:bookmarkStart w:id="474" w:name="_Toc6699"/>
      <w:bookmarkStart w:id="475" w:name="_Toc31853"/>
      <w:bookmarkStart w:id="476" w:name="_Toc29466"/>
      <w:bookmarkStart w:id="477" w:name="_Toc17672"/>
      <w:bookmarkStart w:id="478" w:name="_Toc14732"/>
      <w:bookmarkStart w:id="479" w:name="_Toc7528"/>
      <w:bookmarkStart w:id="480" w:name="_Toc16362"/>
      <w:bookmarkStart w:id="481" w:name="_Toc30830"/>
      <w:bookmarkStart w:id="482" w:name="_Toc22441"/>
      <w:bookmarkStart w:id="483" w:name="_Toc24633"/>
      <w:bookmarkStart w:id="484" w:name="_Toc14581"/>
      <w:bookmarkStart w:id="485" w:name="_Toc29124"/>
      <w:bookmarkStart w:id="486" w:name="_Toc13909"/>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10090" w:type="dxa"/>
        <w:tblInd w:w="-6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3"/>
        <w:gridCol w:w="1177"/>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2010"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145989485"/>
            <w:bookmarkStart w:id="488" w:name="_Toc123211617"/>
            <w:bookmarkStart w:id="489" w:name="_Toc132684599"/>
            <w:bookmarkStart w:id="490" w:name="_Toc112236889"/>
            <w:bookmarkStart w:id="491" w:name="_Toc225592722"/>
            <w:bookmarkStart w:id="492" w:name="_Toc169940988"/>
            <w:bookmarkStart w:id="493" w:name="_Toc221523517"/>
            <w:bookmarkStart w:id="494" w:name="_Toc19476"/>
            <w:bookmarkStart w:id="495" w:name="_Toc5306"/>
            <w:bookmarkStart w:id="496" w:name="_Toc905"/>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2010"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833"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1177"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833"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1177"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833"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1177"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833"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1177"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833"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1177"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833"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1177"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833"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1177"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833"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1177"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2010"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2010"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9"/>
            <w:bookmarkStart w:id="524" w:name="_Toc343511738"/>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eastAsia="宋体" w:cs="宋体"/>
                <w:color w:val="000000"/>
                <w:sz w:val="24"/>
                <w:szCs w:val="24"/>
                <w:lang w:val="en-US" w:eastAsia="zh-CN"/>
              </w:rPr>
              <w:t>6</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397410470"/>
      <w:bookmarkStart w:id="526" w:name="_Toc247085758"/>
      <w:bookmarkStart w:id="527" w:name="_Toc456197086"/>
      <w:bookmarkStart w:id="528" w:name="_Toc394320899"/>
      <w:bookmarkStart w:id="529" w:name="_Toc343511762"/>
      <w:bookmarkStart w:id="530" w:name="_Toc490171392"/>
      <w:bookmarkStart w:id="531" w:name="_Toc152045600"/>
      <w:bookmarkStart w:id="532" w:name="_Toc179632618"/>
      <w:bookmarkStart w:id="533" w:name="_Toc490171551"/>
      <w:bookmarkStart w:id="534" w:name="_Toc361406351"/>
      <w:bookmarkStart w:id="535" w:name="_Toc246996986"/>
      <w:bookmarkStart w:id="536" w:name="_Toc397410657"/>
      <w:bookmarkStart w:id="537" w:name="_Toc152042377"/>
      <w:bookmarkStart w:id="538" w:name="_Toc246996243"/>
      <w:bookmarkStart w:id="539" w:name="_Toc397585237"/>
      <w:bookmarkStart w:id="540" w:name="_Toc397585168"/>
      <w:bookmarkStart w:id="541" w:name="_Toc144974567"/>
      <w:bookmarkStart w:id="542" w:name="_Toc361406430"/>
      <w:bookmarkStart w:id="543" w:name="_Toc395711818"/>
      <w:r>
        <w:rPr>
          <w:rFonts w:hint="eastAsia" w:ascii="宋体" w:hAnsi="宋体" w:cs="宋体"/>
          <w:color w:val="000000"/>
          <w:sz w:val="24"/>
          <w:szCs w:val="24"/>
          <w:lang w:eastAsia="zh-CN"/>
        </w:rPr>
        <w:t>延安市城市建设项目服务中心延安市海绵城市能力提升和经验总结项目</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中禧国际项目管理有限公司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397585238"/>
      <w:bookmarkStart w:id="546" w:name="_Toc152045601"/>
      <w:bookmarkStart w:id="547" w:name="_Toc394320900"/>
      <w:bookmarkStart w:id="548" w:name="_Toc152042378"/>
      <w:bookmarkStart w:id="549" w:name="_Toc490171393"/>
      <w:bookmarkStart w:id="550" w:name="_Toc361406431"/>
      <w:bookmarkStart w:id="551" w:name="_Toc397585169"/>
      <w:bookmarkStart w:id="552" w:name="_Toc361406352"/>
      <w:bookmarkStart w:id="553" w:name="_Toc246996244"/>
      <w:bookmarkStart w:id="554" w:name="_Toc395711819"/>
      <w:bookmarkStart w:id="555" w:name="_Toc144974568"/>
      <w:bookmarkStart w:id="556" w:name="_Toc247085759"/>
      <w:bookmarkStart w:id="557" w:name="_Toc397410658"/>
      <w:bookmarkStart w:id="558" w:name="_Toc246996987"/>
      <w:bookmarkStart w:id="559" w:name="_Toc490171552"/>
      <w:bookmarkStart w:id="560" w:name="_Toc456197087"/>
      <w:bookmarkStart w:id="561" w:name="_Toc179632619"/>
      <w:bookmarkStart w:id="562" w:name="_Toc343511764"/>
      <w:bookmarkStart w:id="563" w:name="_Toc397410471"/>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490171394"/>
      <w:bookmarkStart w:id="565" w:name="_Toc246996988"/>
      <w:bookmarkStart w:id="566" w:name="_Toc490171553"/>
      <w:bookmarkStart w:id="567" w:name="_Toc152045602"/>
      <w:bookmarkStart w:id="568" w:name="_Toc397410659"/>
      <w:bookmarkStart w:id="569" w:name="_Toc361406432"/>
      <w:bookmarkStart w:id="570" w:name="_Toc397585170"/>
      <w:bookmarkStart w:id="571" w:name="_Toc246996245"/>
      <w:bookmarkStart w:id="572" w:name="_Toc395711820"/>
      <w:bookmarkStart w:id="573" w:name="_Toc247085760"/>
      <w:bookmarkStart w:id="574" w:name="_Toc361406353"/>
      <w:bookmarkStart w:id="575" w:name="_Toc397585239"/>
      <w:bookmarkStart w:id="576" w:name="_Toc397410472"/>
      <w:bookmarkStart w:id="577" w:name="_Toc144974569"/>
      <w:bookmarkStart w:id="578" w:name="_Toc456197088"/>
      <w:bookmarkStart w:id="579" w:name="_Toc152042379"/>
      <w:bookmarkStart w:id="580" w:name="_Toc343511765"/>
      <w:bookmarkStart w:id="581" w:name="_Toc394320901"/>
      <w:bookmarkStart w:id="582" w:name="_Toc179632620"/>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152042380"/>
      <w:bookmarkStart w:id="587" w:name="_Toc247085761"/>
      <w:bookmarkStart w:id="588" w:name="_Toc490171395"/>
      <w:bookmarkStart w:id="589" w:name="_Toc144974570"/>
      <w:bookmarkStart w:id="590" w:name="_Toc394320902"/>
      <w:bookmarkStart w:id="591" w:name="_Toc246996989"/>
      <w:bookmarkStart w:id="592" w:name="_Toc395711821"/>
      <w:bookmarkStart w:id="593" w:name="_Toc361406354"/>
      <w:bookmarkStart w:id="594" w:name="_Toc179632621"/>
      <w:bookmarkStart w:id="595" w:name="_Toc343511769"/>
      <w:bookmarkStart w:id="596" w:name="_Toc490171554"/>
      <w:bookmarkStart w:id="597" w:name="_Toc397410660"/>
      <w:bookmarkStart w:id="598" w:name="_Toc397410473"/>
      <w:bookmarkStart w:id="599" w:name="_Toc152045603"/>
      <w:bookmarkStart w:id="600" w:name="_Toc397585240"/>
      <w:bookmarkStart w:id="601" w:name="_Toc246996246"/>
      <w:bookmarkStart w:id="602" w:name="_Toc361406433"/>
      <w:bookmarkStart w:id="603" w:name="_Toc456197089"/>
      <w:bookmarkStart w:id="604" w:name="_Toc397585171"/>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152042381"/>
      <w:bookmarkStart w:id="607" w:name="_Toc246996990"/>
      <w:bookmarkStart w:id="608" w:name="_Toc394320903"/>
      <w:bookmarkStart w:id="609" w:name="_Toc397585241"/>
      <w:bookmarkStart w:id="610" w:name="_Toc246996247"/>
      <w:bookmarkStart w:id="611" w:name="_Toc456197090"/>
      <w:bookmarkStart w:id="612" w:name="_Toc490171396"/>
      <w:bookmarkStart w:id="613" w:name="_Toc152045604"/>
      <w:bookmarkStart w:id="614" w:name="_Toc247085762"/>
      <w:bookmarkStart w:id="615" w:name="_Toc397410661"/>
      <w:bookmarkStart w:id="616" w:name="_Toc397410474"/>
      <w:bookmarkStart w:id="617" w:name="_Toc343511776"/>
      <w:bookmarkStart w:id="618" w:name="_Toc179632622"/>
      <w:bookmarkStart w:id="619" w:name="_Toc144974571"/>
      <w:bookmarkStart w:id="620" w:name="_Toc361406434"/>
      <w:bookmarkStart w:id="621" w:name="_Toc490171555"/>
      <w:bookmarkStart w:id="622" w:name="_Toc397585172"/>
      <w:bookmarkStart w:id="623" w:name="_Toc361406355"/>
      <w:bookmarkStart w:id="624" w:name="_Toc395711822"/>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246996248"/>
      <w:bookmarkStart w:id="626" w:name="_Toc397410662"/>
      <w:bookmarkStart w:id="627" w:name="_Toc395711823"/>
      <w:bookmarkStart w:id="628" w:name="_Toc394320904"/>
      <w:bookmarkStart w:id="629" w:name="_Toc397585242"/>
      <w:bookmarkStart w:id="630" w:name="_Toc179632623"/>
      <w:bookmarkStart w:id="631" w:name="_Toc247085763"/>
      <w:bookmarkStart w:id="632" w:name="_Toc152042382"/>
      <w:bookmarkStart w:id="633" w:name="_Toc361406356"/>
      <w:bookmarkStart w:id="634" w:name="_Toc490171397"/>
      <w:bookmarkStart w:id="635" w:name="_Toc144974572"/>
      <w:bookmarkStart w:id="636" w:name="_Toc343511777"/>
      <w:bookmarkStart w:id="637" w:name="_Toc397585173"/>
      <w:bookmarkStart w:id="638" w:name="_Toc456197091"/>
      <w:bookmarkStart w:id="639" w:name="_Toc361406435"/>
      <w:bookmarkStart w:id="640" w:name="_Toc397410475"/>
      <w:bookmarkStart w:id="641" w:name="_Toc152045605"/>
      <w:bookmarkStart w:id="642" w:name="_Toc490171556"/>
      <w:bookmarkStart w:id="643" w:name="_Toc246996991"/>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397585174"/>
      <w:bookmarkStart w:id="650" w:name="_Toc397410476"/>
      <w:bookmarkStart w:id="651" w:name="_Toc246996992"/>
      <w:bookmarkStart w:id="652" w:name="_Toc247085764"/>
      <w:bookmarkStart w:id="653" w:name="_Toc152042384"/>
      <w:bookmarkStart w:id="654" w:name="_Toc246996249"/>
      <w:bookmarkStart w:id="655" w:name="_Toc490171398"/>
      <w:bookmarkStart w:id="656" w:name="_Toc397585243"/>
      <w:bookmarkStart w:id="657" w:name="_Toc343511788"/>
      <w:bookmarkStart w:id="658" w:name="_Toc490171557"/>
      <w:bookmarkStart w:id="659" w:name="_Toc456197092"/>
      <w:bookmarkStart w:id="660" w:name="_Toc397410663"/>
      <w:bookmarkStart w:id="661" w:name="_Toc144974573"/>
      <w:bookmarkStart w:id="662" w:name="_Toc361406357"/>
      <w:bookmarkStart w:id="663" w:name="_Toc395711824"/>
      <w:bookmarkStart w:id="664" w:name="_Toc361406436"/>
      <w:bookmarkStart w:id="665" w:name="_Toc394320905"/>
      <w:bookmarkStart w:id="666" w:name="_Toc179632624"/>
      <w:bookmarkStart w:id="667" w:name="_Toc152045606"/>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4"/>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000000"/>
                <w:sz w:val="24"/>
                <w:szCs w:val="24"/>
              </w:rPr>
            </w:pPr>
            <w:bookmarkStart w:id="673" w:name="_Toc343511818"/>
            <w:r>
              <w:rPr>
                <w:rFonts w:hint="eastAsia" w:ascii="宋体" w:hAnsi="宋体" w:eastAsia="宋体" w:cs="宋体"/>
                <w:color w:val="000000"/>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（满分</w:t>
            </w:r>
            <w:r>
              <w:rPr>
                <w:rFonts w:hint="eastAsia" w:ascii="宋体" w:hAnsi="宋体" w:cs="宋体"/>
                <w:color w:val="000000"/>
                <w:sz w:val="24"/>
                <w:szCs w:val="24"/>
                <w:lang w:val="en-US" w:eastAsia="zh-CN"/>
              </w:rPr>
              <w:t>60</w:t>
            </w:r>
            <w:r>
              <w:rPr>
                <w:rFonts w:hint="eastAsia" w:ascii="宋体" w:hAnsi="宋体" w:eastAsia="宋体" w:cs="宋体"/>
                <w:color w:val="000000"/>
                <w:sz w:val="24"/>
                <w:szCs w:val="24"/>
              </w:rPr>
              <w:t>分）</w:t>
            </w:r>
          </w:p>
        </w:tc>
        <w:tc>
          <w:tcPr>
            <w:tcW w:w="2332" w:type="dxa"/>
            <w:tcBorders>
              <w:top w:val="single" w:color="auto" w:sz="4" w:space="0"/>
              <w:left w:val="nil"/>
              <w:right w:val="single" w:color="auto" w:sz="4" w:space="0"/>
            </w:tcBorders>
            <w:noWrap w:val="0"/>
            <w:vAlign w:val="center"/>
          </w:tcPr>
          <w:p w14:paraId="7E3E8E24">
            <w:pPr>
              <w:spacing w:line="480" w:lineRule="auto"/>
              <w:jc w:val="center"/>
              <w:rPr>
                <w:rFonts w:hint="eastAsia" w:ascii="宋体" w:hAnsi="宋体" w:cs="宋体"/>
                <w:color w:val="000000"/>
                <w:sz w:val="24"/>
                <w:szCs w:val="24"/>
              </w:rPr>
            </w:pPr>
            <w:r>
              <w:rPr>
                <w:rFonts w:hint="eastAsia" w:ascii="宋体" w:hAnsi="宋体" w:cs="宋体"/>
                <w:color w:val="000000"/>
                <w:sz w:val="24"/>
                <w:szCs w:val="24"/>
              </w:rPr>
              <w:t>对本项目工作内容的理解与分析</w:t>
            </w:r>
          </w:p>
          <w:p w14:paraId="6E331A6D">
            <w:pPr>
              <w:spacing w:line="480" w:lineRule="auto"/>
              <w:jc w:val="center"/>
              <w:rPr>
                <w:rFonts w:hint="eastAsia" w:ascii="宋体" w:hAnsi="宋体" w:eastAsia="宋体" w:cs="宋体"/>
                <w:color w:val="000000"/>
                <w:sz w:val="24"/>
                <w:szCs w:val="24"/>
              </w:rPr>
            </w:pPr>
            <w:r>
              <w:rPr>
                <w:rFonts w:hint="eastAsia" w:ascii="宋体" w:hAnsi="宋体" w:cs="宋体"/>
                <w:color w:val="000000"/>
                <w:sz w:val="24"/>
                <w:szCs w:val="24"/>
              </w:rPr>
              <w:t>（满分10分）</w:t>
            </w:r>
          </w:p>
        </w:tc>
        <w:tc>
          <w:tcPr>
            <w:tcW w:w="4501" w:type="dxa"/>
            <w:tcBorders>
              <w:top w:val="single" w:color="auto" w:sz="4" w:space="0"/>
              <w:left w:val="nil"/>
              <w:bottom w:val="single" w:color="auto" w:sz="4" w:space="0"/>
            </w:tcBorders>
            <w:noWrap w:val="0"/>
            <w:vAlign w:val="center"/>
          </w:tcPr>
          <w:p w14:paraId="7D1461A2">
            <w:pPr>
              <w:spacing w:line="480" w:lineRule="auto"/>
              <w:jc w:val="left"/>
              <w:rPr>
                <w:rFonts w:hint="eastAsia" w:ascii="宋体" w:hAnsi="宋体" w:cs="宋体"/>
                <w:b/>
                <w:bCs/>
                <w:color w:val="000000"/>
                <w:sz w:val="24"/>
                <w:szCs w:val="24"/>
              </w:rPr>
            </w:pPr>
            <w:r>
              <w:rPr>
                <w:rFonts w:hint="eastAsia" w:ascii="宋体" w:hAnsi="宋体" w:cs="宋体"/>
                <w:b/>
                <w:bCs/>
                <w:color w:val="000000"/>
                <w:sz w:val="24"/>
                <w:szCs w:val="24"/>
              </w:rPr>
              <w:t>一、评审内容</w:t>
            </w:r>
          </w:p>
          <w:p w14:paraId="11F2742C">
            <w:pPr>
              <w:spacing w:line="480" w:lineRule="auto"/>
              <w:ind w:firstLine="480" w:firstLineChars="200"/>
              <w:jc w:val="left"/>
              <w:rPr>
                <w:rFonts w:hint="eastAsia" w:ascii="宋体" w:hAnsi="宋体" w:cs="宋体"/>
                <w:b/>
                <w:bCs/>
                <w:color w:val="000000"/>
                <w:sz w:val="24"/>
                <w:szCs w:val="24"/>
              </w:rPr>
            </w:pPr>
            <w:r>
              <w:rPr>
                <w:rFonts w:hint="eastAsia" w:ascii="宋体" w:hAnsi="宋体" w:cs="宋体"/>
                <w:color w:val="000000"/>
                <w:sz w:val="24"/>
                <w:szCs w:val="24"/>
              </w:rPr>
              <w:t>对项目需求理解、分析，总体描述及目标设定与项目具体需求联系等。</w:t>
            </w:r>
            <w:r>
              <w:rPr>
                <w:rFonts w:hint="eastAsia" w:ascii="宋体" w:hAnsi="宋体" w:cs="宋体"/>
                <w:b/>
                <w:bCs/>
                <w:color w:val="000000"/>
                <w:sz w:val="24"/>
                <w:szCs w:val="24"/>
              </w:rPr>
              <w:br w:type="textWrapping"/>
            </w:r>
            <w:r>
              <w:rPr>
                <w:rFonts w:hint="eastAsia" w:ascii="宋体" w:hAnsi="宋体" w:cs="宋体"/>
                <w:b/>
                <w:bCs/>
                <w:color w:val="000000"/>
                <w:sz w:val="24"/>
                <w:szCs w:val="24"/>
              </w:rPr>
              <w:t>二、评审标准</w:t>
            </w:r>
          </w:p>
          <w:p w14:paraId="72E1C0EA">
            <w:pPr>
              <w:ind w:firstLine="480" w:firstLineChars="200"/>
            </w:pPr>
            <w:r>
              <w:rPr>
                <w:rFonts w:hint="eastAsia" w:ascii="宋体" w:hAnsi="宋体" w:cs="宋体"/>
                <w:color w:val="000000"/>
                <w:sz w:val="24"/>
                <w:szCs w:val="24"/>
              </w:rPr>
              <w:t>1.完整性：对项目需求理解透彻、分析全面合理；</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2.合理性：总体描述及目标设定与项目具体需求联系紧密，完全符合项目要求；</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p>
          <w:p w14:paraId="0C815C04">
            <w:pPr>
              <w:spacing w:line="48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三、赋分标准（满分10分）</w:t>
            </w:r>
          </w:p>
          <w:p w14:paraId="57E1A4AF">
            <w:pPr>
              <w:rPr>
                <w:rFonts w:hint="eastAsia" w:ascii="宋体" w:hAnsi="宋体" w:eastAsia="宋体" w:cs="宋体"/>
                <w:color w:val="000000"/>
                <w:sz w:val="24"/>
                <w:szCs w:val="24"/>
                <w:lang w:val="en-US" w:eastAsia="zh-CN"/>
              </w:rPr>
            </w:pPr>
            <w:r>
              <w:rPr>
                <w:rFonts w:hint="eastAsia" w:ascii="宋体" w:hAnsi="宋体" w:cs="宋体"/>
                <w:color w:val="000000"/>
                <w:sz w:val="24"/>
                <w:szCs w:val="24"/>
              </w:rPr>
              <w:t>每完全满足一个评审标准得5分，满分10分；</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模型模拟技术方案（满分20分）</w:t>
            </w:r>
          </w:p>
        </w:tc>
        <w:tc>
          <w:tcPr>
            <w:tcW w:w="4501" w:type="dxa"/>
            <w:tcBorders>
              <w:top w:val="single" w:color="auto" w:sz="4" w:space="0"/>
              <w:left w:val="nil"/>
              <w:bottom w:val="single" w:color="auto" w:sz="4" w:space="0"/>
            </w:tcBorders>
            <w:noWrap w:val="0"/>
            <w:vAlign w:val="center"/>
          </w:tcPr>
          <w:p w14:paraId="5CAB5A51">
            <w:pPr>
              <w:spacing w:line="480" w:lineRule="auto"/>
              <w:jc w:val="left"/>
              <w:rPr>
                <w:rFonts w:hint="eastAsia" w:ascii="宋体" w:hAnsi="宋体" w:cs="宋体"/>
                <w:b/>
                <w:bCs/>
                <w:color w:val="000000"/>
                <w:sz w:val="24"/>
                <w:szCs w:val="24"/>
              </w:rPr>
            </w:pPr>
            <w:r>
              <w:rPr>
                <w:rFonts w:hint="eastAsia" w:ascii="宋体" w:hAnsi="宋体" w:cs="宋体"/>
                <w:b/>
                <w:bCs/>
                <w:color w:val="000000"/>
                <w:sz w:val="24"/>
                <w:szCs w:val="24"/>
              </w:rPr>
              <w:t>一、评审内容</w:t>
            </w:r>
          </w:p>
          <w:p w14:paraId="07C7DA94">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投标人根据本项目特点提出</w:t>
            </w:r>
            <w:r>
              <w:rPr>
                <w:rFonts w:hint="eastAsia" w:ascii="宋体" w:hAnsi="宋体" w:cs="宋体"/>
                <w:bCs/>
                <w:kern w:val="0"/>
                <w:sz w:val="24"/>
                <w:szCs w:val="24"/>
                <w:lang w:val="zh-CN"/>
              </w:rPr>
              <w:t>科学合理的技术方案，</w:t>
            </w:r>
            <w:r>
              <w:rPr>
                <w:rFonts w:hint="eastAsia" w:ascii="宋体" w:hAnsi="宋体" w:cs="宋体"/>
                <w:color w:val="000000"/>
                <w:sz w:val="24"/>
                <w:szCs w:val="24"/>
              </w:rPr>
              <w:t>内容包括：</w:t>
            </w:r>
            <w:r>
              <w:rPr>
                <w:rFonts w:hint="eastAsia" w:ascii="宋体" w:hAnsi="宋体" w:cs="宋体"/>
                <w:bCs/>
                <w:kern w:val="0"/>
                <w:sz w:val="24"/>
                <w:szCs w:val="24"/>
              </w:rPr>
              <w:t>包括①内涝问题本底调查②内涝风险模型模拟构建③内涝风险评估④内涝风险图编制⑤建设效果评估；</w:t>
            </w:r>
          </w:p>
          <w:p w14:paraId="3CA24BD0">
            <w:pPr>
              <w:spacing w:line="480" w:lineRule="auto"/>
              <w:jc w:val="left"/>
              <w:rPr>
                <w:rFonts w:hint="eastAsia" w:ascii="宋体" w:hAnsi="宋体" w:cs="宋体"/>
                <w:color w:val="000000"/>
                <w:sz w:val="24"/>
                <w:szCs w:val="24"/>
                <w:lang w:val="zh-CN"/>
              </w:rPr>
            </w:pPr>
            <w:r>
              <w:rPr>
                <w:rFonts w:hint="eastAsia" w:ascii="宋体" w:hAnsi="宋体" w:cs="宋体"/>
                <w:b/>
                <w:bCs/>
                <w:color w:val="000000"/>
                <w:sz w:val="24"/>
                <w:szCs w:val="24"/>
              </w:rPr>
              <w:t>二、评审标准</w:t>
            </w:r>
            <w:r>
              <w:rPr>
                <w:rFonts w:hint="eastAsia" w:ascii="宋体" w:hAnsi="宋体" w:cs="宋体"/>
                <w:color w:val="000000"/>
                <w:sz w:val="24"/>
                <w:szCs w:val="24"/>
              </w:rPr>
              <w:br w:type="textWrapping"/>
            </w:r>
            <w:r>
              <w:rPr>
                <w:rFonts w:hint="eastAsia" w:ascii="宋体" w:hAnsi="宋体" w:cs="宋体"/>
                <w:color w:val="000000"/>
                <w:sz w:val="24"/>
                <w:szCs w:val="24"/>
              </w:rPr>
              <w:t xml:space="preserve">    1.针对性：方案分析符合项目实际特点，恰当；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2</w:t>
            </w:r>
            <w:r>
              <w:rPr>
                <w:rFonts w:hint="eastAsia" w:ascii="宋体" w:hAnsi="宋体" w:cs="宋体"/>
                <w:color w:val="000000"/>
                <w:sz w:val="24"/>
                <w:szCs w:val="24"/>
                <w:lang w:val="zh-CN"/>
              </w:rPr>
              <w:t>.科学性：切合本项目实际情况，根据招标文件要求提出本项目实际操作性强的措施方案。</w:t>
            </w:r>
          </w:p>
          <w:p w14:paraId="48545907">
            <w:pPr>
              <w:spacing w:line="480" w:lineRule="auto"/>
              <w:jc w:val="left"/>
              <w:rPr>
                <w:rFonts w:hint="eastAsia" w:ascii="宋体" w:hAnsi="宋体" w:cs="宋体"/>
                <w:b/>
                <w:bCs/>
                <w:color w:val="000000"/>
                <w:sz w:val="24"/>
                <w:szCs w:val="24"/>
              </w:rPr>
            </w:pPr>
            <w:r>
              <w:rPr>
                <w:rFonts w:hint="eastAsia" w:ascii="宋体" w:hAnsi="宋体" w:cs="宋体"/>
                <w:b/>
                <w:bCs/>
                <w:color w:val="000000"/>
                <w:sz w:val="24"/>
                <w:szCs w:val="24"/>
              </w:rPr>
              <w:t>三、赋分标准（满分20分）</w:t>
            </w:r>
          </w:p>
          <w:p w14:paraId="61C1ADD5">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rPr>
              <w:t>①</w:t>
            </w:r>
            <w:r>
              <w:rPr>
                <w:rFonts w:hint="eastAsia" w:ascii="宋体" w:hAnsi="宋体" w:cs="宋体"/>
                <w:bCs/>
                <w:kern w:val="0"/>
                <w:sz w:val="24"/>
                <w:szCs w:val="24"/>
              </w:rPr>
              <w:t>内涝问题本底调查</w:t>
            </w:r>
            <w:r>
              <w:rPr>
                <w:rFonts w:hint="eastAsia" w:ascii="宋体" w:hAnsi="宋体" w:cs="宋体"/>
                <w:sz w:val="24"/>
                <w:lang w:val="zh-CN"/>
              </w:rPr>
              <w:t>：</w:t>
            </w:r>
            <w:r>
              <w:rPr>
                <w:rFonts w:hint="eastAsia" w:ascii="宋体" w:hAnsi="宋体" w:cs="宋体"/>
                <w:color w:val="000000"/>
                <w:sz w:val="24"/>
                <w:szCs w:val="24"/>
              </w:rPr>
              <w:t>每完全满足一个评审标准得2分，满分4分；</w:t>
            </w:r>
          </w:p>
          <w:p w14:paraId="2FBE498E">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②</w:t>
            </w:r>
            <w:r>
              <w:rPr>
                <w:rFonts w:hint="eastAsia" w:ascii="宋体" w:hAnsi="宋体" w:cs="宋体"/>
                <w:bCs/>
                <w:kern w:val="0"/>
                <w:sz w:val="24"/>
                <w:szCs w:val="24"/>
              </w:rPr>
              <w:t>内涝风险模型模拟构建</w:t>
            </w:r>
            <w:r>
              <w:rPr>
                <w:rFonts w:hint="eastAsia" w:ascii="宋体" w:hAnsi="宋体" w:cs="宋体"/>
                <w:color w:val="000000"/>
                <w:sz w:val="24"/>
                <w:szCs w:val="24"/>
              </w:rPr>
              <w:t>：每完全满足一个评审标准得2分，满分4分；</w:t>
            </w:r>
          </w:p>
          <w:p w14:paraId="0BCB4506">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③保</w:t>
            </w:r>
            <w:r>
              <w:rPr>
                <w:rFonts w:hint="eastAsia" w:ascii="宋体" w:hAnsi="宋体" w:cs="宋体"/>
                <w:bCs/>
                <w:kern w:val="0"/>
                <w:sz w:val="24"/>
                <w:szCs w:val="24"/>
              </w:rPr>
              <w:t>内涝风险评估</w:t>
            </w:r>
            <w:r>
              <w:rPr>
                <w:rFonts w:hint="eastAsia" w:ascii="宋体" w:hAnsi="宋体" w:cs="宋体"/>
                <w:color w:val="000000"/>
                <w:sz w:val="24"/>
                <w:szCs w:val="24"/>
              </w:rPr>
              <w:t>：每完全满足一个评审标准得2分，满分4分；</w:t>
            </w:r>
          </w:p>
          <w:p w14:paraId="0F060CB9">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④</w:t>
            </w:r>
            <w:r>
              <w:rPr>
                <w:rFonts w:hint="eastAsia" w:ascii="宋体" w:hAnsi="宋体" w:cs="宋体"/>
                <w:bCs/>
                <w:kern w:val="0"/>
                <w:sz w:val="24"/>
                <w:szCs w:val="24"/>
              </w:rPr>
              <w:t>内涝风险图编制</w:t>
            </w:r>
            <w:r>
              <w:rPr>
                <w:rFonts w:hint="eastAsia" w:ascii="宋体" w:hAnsi="宋体" w:cs="宋体"/>
                <w:color w:val="000000"/>
                <w:sz w:val="24"/>
                <w:szCs w:val="24"/>
              </w:rPr>
              <w:t>：每完全满足一个评审标准得2分，满分4分；</w:t>
            </w:r>
          </w:p>
          <w:p w14:paraId="31024F94">
            <w:pPr>
              <w:spacing w:line="480" w:lineRule="auto"/>
              <w:ind w:firstLine="480" w:firstLineChars="200"/>
              <w:jc w:val="left"/>
              <w:rPr>
                <w:rFonts w:hint="eastAsia" w:ascii="宋体" w:hAnsi="宋体" w:eastAsia="宋体" w:cs="Times New Roman"/>
                <w:kern w:val="2"/>
                <w:sz w:val="30"/>
                <w:szCs w:val="20"/>
                <w:lang w:val="en-US" w:eastAsia="zh-CN" w:bidi="ar-SA"/>
              </w:rPr>
            </w:pPr>
            <w:r>
              <w:rPr>
                <w:rFonts w:hint="eastAsia" w:ascii="宋体" w:hAnsi="宋体" w:cs="宋体"/>
                <w:color w:val="000000"/>
                <w:sz w:val="24"/>
                <w:szCs w:val="24"/>
              </w:rPr>
              <w:t>⑤</w:t>
            </w:r>
            <w:r>
              <w:rPr>
                <w:rFonts w:hint="eastAsia" w:ascii="宋体" w:hAnsi="宋体" w:cs="宋体"/>
                <w:bCs w:val="0"/>
                <w:color w:val="000000"/>
                <w:kern w:val="2"/>
                <w:sz w:val="24"/>
                <w:szCs w:val="24"/>
              </w:rPr>
              <w:t>建设效果评估</w:t>
            </w:r>
            <w:r>
              <w:rPr>
                <w:rFonts w:hint="eastAsia" w:ascii="宋体" w:hAnsi="宋体" w:cs="宋体"/>
                <w:color w:val="000000"/>
                <w:sz w:val="24"/>
                <w:szCs w:val="24"/>
              </w:rPr>
              <w:t>：每完全满足一个评审标准得2分，满分4分。</w:t>
            </w:r>
          </w:p>
        </w:tc>
      </w:tr>
      <w:tr w14:paraId="2AAF2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A111BA2">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69448D93">
            <w:pPr>
              <w:pStyle w:val="2"/>
              <w:ind w:firstLine="0" w:firstLineChars="0"/>
              <w:jc w:val="center"/>
            </w:pPr>
            <w:r>
              <w:rPr>
                <w:rFonts w:hint="eastAsia" w:ascii="宋体" w:hAnsi="宋体" w:cs="宋体"/>
                <w:color w:val="000000"/>
                <w:sz w:val="24"/>
                <w:szCs w:val="24"/>
              </w:rPr>
              <w:t>经验分享与实践路径案例编制</w:t>
            </w:r>
          </w:p>
          <w:p w14:paraId="0614559B">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仿宋" w:hAnsi="仿宋" w:eastAsia="仿宋" w:cs="仿宋"/>
                <w:spacing w:val="3"/>
                <w:sz w:val="24"/>
                <w:szCs w:val="24"/>
                <w:lang w:val="en-US" w:eastAsia="zh-CN"/>
              </w:rPr>
            </w:pPr>
            <w:r>
              <w:rPr>
                <w:rFonts w:hint="eastAsia" w:ascii="宋体" w:hAnsi="宋体" w:cs="宋体"/>
                <w:color w:val="000000"/>
                <w:sz w:val="24"/>
                <w:szCs w:val="24"/>
              </w:rPr>
              <w:t>（满分10分）</w:t>
            </w:r>
          </w:p>
        </w:tc>
        <w:tc>
          <w:tcPr>
            <w:tcW w:w="4501" w:type="dxa"/>
            <w:tcBorders>
              <w:top w:val="single" w:color="auto" w:sz="4" w:space="0"/>
              <w:left w:val="nil"/>
              <w:bottom w:val="single" w:color="auto" w:sz="4" w:space="0"/>
            </w:tcBorders>
            <w:noWrap w:val="0"/>
            <w:vAlign w:val="center"/>
          </w:tcPr>
          <w:p w14:paraId="2869EB64">
            <w:pPr>
              <w:spacing w:line="480" w:lineRule="auto"/>
              <w:rPr>
                <w:rFonts w:hint="eastAsia" w:ascii="宋体" w:hAnsi="宋体" w:cs="宋体"/>
                <w:color w:val="000000"/>
                <w:sz w:val="24"/>
                <w:szCs w:val="24"/>
              </w:rPr>
            </w:pPr>
            <w:r>
              <w:rPr>
                <w:rFonts w:hint="eastAsia" w:ascii="宋体" w:hAnsi="宋体" w:cs="宋体"/>
                <w:b/>
                <w:bCs/>
                <w:snapToGrid w:val="0"/>
                <w:kern w:val="0"/>
                <w:sz w:val="24"/>
                <w:szCs w:val="24"/>
              </w:rPr>
              <w:t>一、评审内容</w:t>
            </w:r>
          </w:p>
          <w:p w14:paraId="2BDB8086">
            <w:pPr>
              <w:spacing w:line="480" w:lineRule="auto"/>
              <w:ind w:firstLine="480" w:firstLineChars="200"/>
              <w:jc w:val="left"/>
              <w:rPr>
                <w:rFonts w:hint="eastAsia" w:ascii="宋体" w:hAnsi="宋体" w:cs="宋体"/>
                <w:snapToGrid w:val="0"/>
                <w:kern w:val="0"/>
                <w:sz w:val="24"/>
                <w:szCs w:val="24"/>
              </w:rPr>
            </w:pPr>
            <w:r>
              <w:rPr>
                <w:rFonts w:hint="eastAsia" w:ascii="宋体" w:hAnsi="宋体" w:cs="宋体"/>
                <w:color w:val="000000"/>
                <w:sz w:val="24"/>
                <w:szCs w:val="24"/>
              </w:rPr>
              <w:t>投标人根据本项目特点，提供科学合理的海绵城市建设经验分享与实践路径案例编制方案，内容包括：①</w:t>
            </w:r>
            <w:r>
              <w:rPr>
                <w:rFonts w:hint="eastAsia" w:ascii="宋体" w:hAnsi="宋体" w:cs="宋体"/>
                <w:sz w:val="24"/>
                <w:szCs w:val="24"/>
              </w:rPr>
              <w:t>海绵城市建设经验分享编制方案</w:t>
            </w:r>
            <w:r>
              <w:rPr>
                <w:rFonts w:hint="eastAsia" w:ascii="宋体" w:hAnsi="宋体" w:cs="宋体"/>
                <w:color w:val="000000"/>
                <w:sz w:val="24"/>
                <w:szCs w:val="24"/>
              </w:rPr>
              <w:t>②</w:t>
            </w:r>
            <w:r>
              <w:rPr>
                <w:rFonts w:hint="eastAsia" w:ascii="宋体" w:hAnsi="宋体" w:cs="宋体"/>
                <w:sz w:val="24"/>
                <w:szCs w:val="24"/>
              </w:rPr>
              <w:t>典型片区建设案例编制方案</w:t>
            </w:r>
            <w:r>
              <w:rPr>
                <w:rFonts w:hint="eastAsia" w:ascii="宋体" w:hAnsi="宋体" w:cs="宋体"/>
                <w:snapToGrid w:val="0"/>
                <w:kern w:val="0"/>
                <w:sz w:val="24"/>
                <w:szCs w:val="24"/>
              </w:rPr>
              <w:t>。</w:t>
            </w:r>
          </w:p>
          <w:p w14:paraId="70FC3076">
            <w:pPr>
              <w:spacing w:line="480" w:lineRule="auto"/>
              <w:rPr>
                <w:rFonts w:hint="eastAsia" w:ascii="宋体" w:hAnsi="宋体" w:cs="宋体"/>
                <w:b/>
                <w:bCs/>
                <w:snapToGrid w:val="0"/>
                <w:kern w:val="0"/>
                <w:sz w:val="24"/>
                <w:szCs w:val="24"/>
                <w:lang w:val="zh-CN"/>
              </w:rPr>
            </w:pPr>
            <w:r>
              <w:rPr>
                <w:rFonts w:hint="eastAsia" w:ascii="宋体" w:hAnsi="宋体" w:cs="宋体"/>
                <w:b/>
                <w:bCs/>
                <w:snapToGrid w:val="0"/>
                <w:kern w:val="0"/>
                <w:sz w:val="24"/>
                <w:szCs w:val="24"/>
                <w:lang w:val="zh-CN"/>
              </w:rPr>
              <w:t>二、评审标准</w:t>
            </w:r>
          </w:p>
          <w:p w14:paraId="1616F649">
            <w:pPr>
              <w:spacing w:line="48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.针对性：切合本项目实际情况，叙述清楚，符合客观实际情况；</w:t>
            </w:r>
          </w:p>
          <w:p w14:paraId="5D6467FB">
            <w:pPr>
              <w:spacing w:line="48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w:t>
            </w:r>
            <w:r>
              <w:rPr>
                <w:rFonts w:hint="eastAsia" w:ascii="宋体" w:hAnsi="宋体" w:cs="宋体"/>
                <w:color w:val="000000"/>
                <w:sz w:val="24"/>
                <w:szCs w:val="24"/>
                <w:lang w:val="zh-CN"/>
              </w:rPr>
              <w:t>合理性：切合本项目实际情况，根据招标文件要求提出本项目实际操作性强的措施方案。</w:t>
            </w:r>
          </w:p>
          <w:p w14:paraId="0C61B77D">
            <w:pPr>
              <w:spacing w:line="480" w:lineRule="auto"/>
              <w:jc w:val="left"/>
              <w:rPr>
                <w:rFonts w:hint="eastAsia" w:ascii="宋体" w:hAnsi="宋体" w:cs="宋体"/>
                <w:b/>
                <w:bCs/>
                <w:color w:val="000000"/>
                <w:sz w:val="24"/>
                <w:szCs w:val="24"/>
              </w:rPr>
            </w:pPr>
            <w:r>
              <w:rPr>
                <w:rFonts w:hint="eastAsia" w:ascii="宋体" w:hAnsi="宋体" w:cs="宋体"/>
                <w:b/>
                <w:bCs/>
                <w:color w:val="000000"/>
                <w:sz w:val="24"/>
                <w:szCs w:val="24"/>
              </w:rPr>
              <w:t>三、赋分标准（满分10分）</w:t>
            </w:r>
          </w:p>
          <w:p w14:paraId="4F8BF9E7">
            <w:pPr>
              <w:spacing w:line="480" w:lineRule="auto"/>
              <w:ind w:firstLine="480" w:firstLineChars="200"/>
              <w:jc w:val="left"/>
              <w:rPr>
                <w:rFonts w:hint="eastAsia" w:ascii="宋体" w:hAnsi="宋体" w:eastAsia="宋体" w:cs="宋体"/>
                <w:sz w:val="24"/>
                <w:lang w:val="zh-CN"/>
              </w:rPr>
            </w:pPr>
            <w:r>
              <w:rPr>
                <w:rFonts w:hint="eastAsia" w:ascii="宋体" w:hAnsi="宋体" w:cs="宋体"/>
                <w:sz w:val="24"/>
                <w:lang w:val="zh-CN"/>
              </w:rPr>
              <w:t>①</w:t>
            </w:r>
            <w:r>
              <w:rPr>
                <w:rFonts w:hint="eastAsia" w:ascii="宋体" w:hAnsi="宋体" w:cs="宋体"/>
                <w:sz w:val="24"/>
                <w:szCs w:val="24"/>
              </w:rPr>
              <w:t>海绵城市建设经验分享编制方案</w:t>
            </w:r>
            <w:r>
              <w:rPr>
                <w:rFonts w:hint="eastAsia" w:ascii="宋体" w:hAnsi="宋体" w:cs="宋体"/>
                <w:sz w:val="24"/>
                <w:lang w:val="zh-CN"/>
              </w:rPr>
              <w:t>：</w:t>
            </w:r>
            <w:r>
              <w:rPr>
                <w:rFonts w:hint="eastAsia" w:ascii="宋体" w:hAnsi="宋体" w:cs="宋体"/>
                <w:color w:val="000000"/>
                <w:sz w:val="24"/>
                <w:szCs w:val="24"/>
              </w:rPr>
              <w:t>每完全满足一个评审标准得2.5分，满分</w:t>
            </w:r>
            <w:r>
              <w:rPr>
                <w:rFonts w:hint="eastAsia" w:ascii="宋体" w:hAnsi="宋体" w:eastAsia="宋体" w:cs="宋体"/>
                <w:sz w:val="24"/>
                <w:lang w:val="zh-CN"/>
              </w:rPr>
              <w:t>5分；</w:t>
            </w:r>
          </w:p>
          <w:p w14:paraId="180762C3">
            <w:pPr>
              <w:spacing w:line="480" w:lineRule="auto"/>
              <w:ind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sz w:val="24"/>
                <w:lang w:val="zh-CN"/>
              </w:rPr>
              <w:t>②典型片区建设案例编制方案：每完全满足一个评审标准得2.5分，满分5分。</w:t>
            </w:r>
          </w:p>
        </w:tc>
      </w:tr>
      <w:tr w14:paraId="2E0540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57970C98">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E7F607A">
            <w:pPr>
              <w:pStyle w:val="2"/>
              <w:ind w:firstLine="0" w:firstLineChars="0"/>
              <w:jc w:val="center"/>
              <w:rPr>
                <w:rFonts w:ascii="宋体" w:hAnsi="宋体" w:cs="宋体"/>
                <w:color w:val="000000"/>
                <w:sz w:val="24"/>
                <w:szCs w:val="24"/>
              </w:rPr>
            </w:pPr>
            <w:r>
              <w:rPr>
                <w:rFonts w:hint="eastAsia" w:ascii="宋体" w:hAnsi="宋体" w:cs="宋体"/>
                <w:color w:val="000000"/>
                <w:sz w:val="24"/>
                <w:szCs w:val="24"/>
              </w:rPr>
              <w:t>进度与质量保障</w:t>
            </w:r>
          </w:p>
          <w:p w14:paraId="4375BDE4">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cs="宋体"/>
                <w:color w:val="000000"/>
                <w:sz w:val="24"/>
                <w:szCs w:val="24"/>
              </w:rPr>
            </w:pPr>
            <w:r>
              <w:rPr>
                <w:rFonts w:hint="eastAsia" w:cs="宋体"/>
                <w:sz w:val="24"/>
                <w:szCs w:val="24"/>
              </w:rPr>
              <w:t>（满分5分）</w:t>
            </w:r>
          </w:p>
        </w:tc>
        <w:tc>
          <w:tcPr>
            <w:tcW w:w="4501" w:type="dxa"/>
            <w:tcBorders>
              <w:top w:val="single" w:color="auto" w:sz="4" w:space="0"/>
              <w:left w:val="nil"/>
              <w:bottom w:val="single" w:color="auto" w:sz="4" w:space="0"/>
            </w:tcBorders>
            <w:shd w:val="clear" w:color="auto" w:fill="auto"/>
            <w:noWrap w:val="0"/>
            <w:vAlign w:val="center"/>
          </w:tcPr>
          <w:p w14:paraId="7285624C">
            <w:pPr>
              <w:spacing w:line="480" w:lineRule="auto"/>
              <w:rPr>
                <w:rFonts w:hint="eastAsia" w:ascii="宋体" w:hAnsi="宋体" w:cs="宋体"/>
                <w:color w:val="000000"/>
                <w:sz w:val="24"/>
                <w:szCs w:val="24"/>
              </w:rPr>
            </w:pPr>
            <w:r>
              <w:rPr>
                <w:rFonts w:hint="eastAsia" w:ascii="宋体" w:hAnsi="宋体" w:cs="宋体"/>
                <w:b/>
                <w:bCs/>
                <w:snapToGrid w:val="0"/>
                <w:kern w:val="0"/>
                <w:sz w:val="24"/>
                <w:szCs w:val="24"/>
              </w:rPr>
              <w:t>一、评审内容</w:t>
            </w:r>
          </w:p>
          <w:p w14:paraId="651BB358">
            <w:pPr>
              <w:spacing w:line="480" w:lineRule="auto"/>
              <w:ind w:firstLine="480" w:firstLineChars="200"/>
              <w:jc w:val="left"/>
              <w:rPr>
                <w:rFonts w:hint="eastAsia" w:ascii="宋体" w:hAnsi="宋体" w:cs="宋体"/>
                <w:snapToGrid w:val="0"/>
                <w:kern w:val="0"/>
                <w:sz w:val="24"/>
                <w:szCs w:val="24"/>
              </w:rPr>
            </w:pPr>
            <w:r>
              <w:rPr>
                <w:rFonts w:hint="eastAsia" w:ascii="宋体" w:hAnsi="宋体" w:cs="宋体"/>
                <w:color w:val="000000"/>
                <w:sz w:val="24"/>
                <w:szCs w:val="24"/>
              </w:rPr>
              <w:t>投标人根据本项目特点，制度合理的进度保障与质量保障方案。</w:t>
            </w:r>
          </w:p>
          <w:p w14:paraId="1E745FEA">
            <w:pPr>
              <w:spacing w:line="480" w:lineRule="auto"/>
              <w:rPr>
                <w:rFonts w:hint="eastAsia" w:ascii="宋体" w:hAnsi="宋体" w:cs="宋体"/>
                <w:b/>
                <w:bCs/>
                <w:snapToGrid w:val="0"/>
                <w:kern w:val="0"/>
                <w:sz w:val="24"/>
                <w:szCs w:val="24"/>
                <w:lang w:val="zh-CN"/>
              </w:rPr>
            </w:pPr>
            <w:r>
              <w:rPr>
                <w:rFonts w:hint="eastAsia" w:ascii="宋体" w:hAnsi="宋体" w:cs="宋体"/>
                <w:b/>
                <w:bCs/>
                <w:snapToGrid w:val="0"/>
                <w:kern w:val="0"/>
                <w:sz w:val="24"/>
                <w:szCs w:val="24"/>
                <w:lang w:val="zh-CN"/>
              </w:rPr>
              <w:t>二、评审标准</w:t>
            </w:r>
          </w:p>
          <w:p w14:paraId="08D7CDC4">
            <w:pPr>
              <w:spacing w:line="480" w:lineRule="auto"/>
              <w:ind w:firstLine="480" w:firstLineChars="200"/>
              <w:rPr>
                <w:rFonts w:hint="eastAsia" w:ascii="宋体" w:hAnsi="宋体" w:cs="宋体"/>
                <w:kern w:val="0"/>
                <w:sz w:val="24"/>
                <w:szCs w:val="24"/>
                <w:lang w:val="zh-CN"/>
              </w:rPr>
            </w:pPr>
            <w:r>
              <w:rPr>
                <w:rFonts w:hint="eastAsia" w:ascii="宋体" w:hAnsi="宋体" w:cs="宋体"/>
                <w:color w:val="000000"/>
                <w:sz w:val="24"/>
                <w:szCs w:val="24"/>
              </w:rPr>
              <w:t>1.完整性：</w:t>
            </w:r>
            <w:r>
              <w:rPr>
                <w:rFonts w:hint="eastAsia" w:ascii="宋体" w:hAnsi="宋体" w:eastAsia="宋体" w:cs="宋体"/>
                <w:spacing w:val="-2"/>
                <w:sz w:val="24"/>
                <w:szCs w:val="24"/>
              </w:rPr>
              <w:t>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r>
              <w:rPr>
                <w:rFonts w:hint="eastAsia" w:ascii="宋体" w:hAnsi="宋体" w:cs="宋体"/>
                <w:color w:val="000000"/>
                <w:sz w:val="24"/>
                <w:szCs w:val="24"/>
              </w:rPr>
              <w:t>；</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2.合理性：切合本项目实际情况，根据招标文件要求提出针对本项目实际操作性强的措施方案</w:t>
            </w:r>
            <w:r>
              <w:rPr>
                <w:rFonts w:hint="eastAsia" w:ascii="宋体" w:hAnsi="宋体" w:cs="宋体"/>
                <w:color w:val="000000"/>
                <w:sz w:val="24"/>
                <w:szCs w:val="24"/>
                <w:lang w:val="zh-CN"/>
              </w:rPr>
              <w:t>。</w:t>
            </w:r>
          </w:p>
          <w:p w14:paraId="50C166CF">
            <w:pPr>
              <w:spacing w:line="480" w:lineRule="auto"/>
              <w:jc w:val="left"/>
              <w:rPr>
                <w:rFonts w:hint="eastAsia" w:ascii="宋体" w:hAnsi="宋体" w:cs="宋体"/>
                <w:b/>
                <w:bCs/>
                <w:color w:val="000000"/>
                <w:sz w:val="24"/>
                <w:szCs w:val="24"/>
              </w:rPr>
            </w:pPr>
            <w:r>
              <w:rPr>
                <w:rFonts w:hint="eastAsia" w:ascii="宋体" w:hAnsi="宋体" w:cs="宋体"/>
                <w:b/>
                <w:bCs/>
                <w:color w:val="000000"/>
                <w:sz w:val="24"/>
                <w:szCs w:val="24"/>
              </w:rPr>
              <w:t>三、赋分标准（满分5分）</w:t>
            </w:r>
          </w:p>
          <w:p w14:paraId="2761D888">
            <w:pPr>
              <w:spacing w:line="480" w:lineRule="auto"/>
              <w:ind w:firstLine="480" w:firstLineChars="200"/>
              <w:jc w:val="left"/>
              <w:rPr>
                <w:rFonts w:hint="eastAsia" w:ascii="宋体" w:hAnsi="宋体" w:eastAsia="宋体" w:cs="宋体"/>
                <w:b/>
                <w:bCs/>
                <w:snapToGrid w:val="0"/>
                <w:kern w:val="0"/>
                <w:sz w:val="24"/>
                <w:szCs w:val="24"/>
                <w:lang w:val="en-US" w:eastAsia="zh-CN" w:bidi="ar-SA"/>
              </w:rPr>
            </w:pPr>
            <w:r>
              <w:rPr>
                <w:rFonts w:hint="eastAsia" w:ascii="宋体" w:hAnsi="宋体" w:cs="宋体"/>
                <w:color w:val="000000"/>
                <w:sz w:val="24"/>
                <w:szCs w:val="24"/>
              </w:rPr>
              <w:t>每完全满足一个评审标准得2.5分，满分5分。</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54D1E8C">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ind w:left="0" w:leftChars="0" w:firstLine="240" w:firstLineChars="100"/>
              <w:jc w:val="center"/>
              <w:rPr>
                <w:rFonts w:hint="eastAsia" w:ascii="宋体" w:hAnsi="宋体" w:cs="宋体"/>
                <w:sz w:val="24"/>
                <w:szCs w:val="24"/>
                <w:lang w:val="en-US" w:eastAsia="zh-CN"/>
              </w:rPr>
            </w:pPr>
            <w:r>
              <w:rPr>
                <w:rFonts w:hint="eastAsia" w:ascii="宋体" w:hAnsi="宋体" w:cs="宋体"/>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lang w:val="en-US" w:eastAsia="zh-CN"/>
              </w:rPr>
              <w:t>（满分15分）</w:t>
            </w:r>
          </w:p>
        </w:tc>
        <w:tc>
          <w:tcPr>
            <w:tcW w:w="4501" w:type="dxa"/>
            <w:tcBorders>
              <w:top w:val="single" w:color="auto" w:sz="4" w:space="0"/>
              <w:left w:val="nil"/>
              <w:bottom w:val="single" w:color="auto" w:sz="4" w:space="0"/>
            </w:tcBorders>
            <w:noWrap w:val="0"/>
            <w:vAlign w:val="center"/>
          </w:tcPr>
          <w:p w14:paraId="33656A94">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1、拟派项目负责人：具备环境工程</w:t>
            </w:r>
            <w:r>
              <w:rPr>
                <w:rFonts w:hint="eastAsia" w:ascii="宋体" w:hAnsi="宋体" w:cs="宋体"/>
                <w:color w:val="000000"/>
                <w:sz w:val="24"/>
                <w:szCs w:val="24"/>
                <w:lang w:val="en-US" w:eastAsia="zh-CN"/>
              </w:rPr>
              <w:t>或</w:t>
            </w:r>
            <w:r>
              <w:rPr>
                <w:rFonts w:hint="eastAsia" w:ascii="宋体" w:hAnsi="宋体" w:cs="宋体"/>
                <w:color w:val="000000"/>
                <w:sz w:val="24"/>
                <w:szCs w:val="24"/>
              </w:rPr>
              <w:t>市政工程</w:t>
            </w:r>
            <w:r>
              <w:rPr>
                <w:rFonts w:hint="eastAsia" w:ascii="宋体" w:hAnsi="宋体" w:cs="宋体"/>
                <w:color w:val="000000"/>
                <w:sz w:val="24"/>
                <w:szCs w:val="24"/>
                <w:lang w:val="en-US" w:eastAsia="zh-CN"/>
              </w:rPr>
              <w:t>或</w:t>
            </w:r>
            <w:r>
              <w:rPr>
                <w:rFonts w:hint="eastAsia" w:ascii="宋体" w:hAnsi="宋体" w:cs="宋体"/>
                <w:color w:val="000000"/>
                <w:sz w:val="24"/>
                <w:szCs w:val="24"/>
              </w:rPr>
              <w:t>城市规划专业正高级职称得5分，高级职称得3 分，中级职称得1分，否则本分项不得分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最高得5分</w:t>
            </w:r>
            <w:r>
              <w:rPr>
                <w:rFonts w:hint="eastAsia" w:ascii="宋体" w:hAnsi="宋体" w:cs="宋体"/>
                <w:color w:val="000000"/>
                <w:sz w:val="24"/>
                <w:szCs w:val="24"/>
              </w:rPr>
              <w:t xml:space="preserve">。 </w:t>
            </w:r>
          </w:p>
          <w:p w14:paraId="54B66F74">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2、项目参与人员中具有市政工程、环境工程、城市规划、风景园林专业中级职称及以上技术人员不少于</w:t>
            </w:r>
            <w:r>
              <w:rPr>
                <w:rFonts w:hint="eastAsia" w:ascii="宋体" w:hAnsi="宋体" w:cs="宋体"/>
                <w:color w:val="000000"/>
                <w:sz w:val="24"/>
                <w:szCs w:val="24"/>
                <w:lang w:val="en-US" w:eastAsia="zh-CN"/>
              </w:rPr>
              <w:t>5</w:t>
            </w:r>
            <w:r>
              <w:rPr>
                <w:rFonts w:hint="eastAsia" w:ascii="宋体" w:hAnsi="宋体" w:cs="宋体"/>
                <w:color w:val="000000"/>
                <w:sz w:val="24"/>
                <w:szCs w:val="24"/>
              </w:rPr>
              <w:t>人，每个专业技术人员不少于1人。每具备一名正高级职称技术人员得3分，每具备一名高级职称技术人员得2分，每具备一名中级职称技术人员得1分，</w:t>
            </w:r>
            <w:r>
              <w:rPr>
                <w:rFonts w:hint="eastAsia" w:ascii="宋体" w:hAnsi="宋体" w:cs="宋体"/>
                <w:color w:val="000000"/>
                <w:sz w:val="24"/>
                <w:szCs w:val="24"/>
                <w:lang w:val="en-US" w:eastAsia="zh-CN"/>
              </w:rPr>
              <w:t>最高得10</w:t>
            </w:r>
            <w:r>
              <w:rPr>
                <w:rFonts w:hint="eastAsia" w:ascii="宋体" w:hAnsi="宋体" w:cs="宋体"/>
                <w:color w:val="000000"/>
                <w:sz w:val="24"/>
                <w:szCs w:val="24"/>
              </w:rPr>
              <w:t>分；</w:t>
            </w:r>
          </w:p>
          <w:p w14:paraId="689DC6D1">
            <w:pPr>
              <w:rPr>
                <w:rFonts w:hint="eastAsia" w:ascii="宋体" w:hAnsi="宋体" w:eastAsia="宋体" w:cs="宋体"/>
                <w:color w:val="auto"/>
                <w:kern w:val="2"/>
                <w:sz w:val="24"/>
                <w:lang w:val="zh-CN" w:eastAsia="zh-CN" w:bidi="ar-SA"/>
              </w:rPr>
            </w:pPr>
            <w:r>
              <w:rPr>
                <w:rFonts w:hint="eastAsia" w:ascii="宋体" w:hAnsi="宋体" w:cs="宋体"/>
                <w:b/>
                <w:bCs/>
                <w:color w:val="000000"/>
                <w:sz w:val="24"/>
                <w:szCs w:val="24"/>
              </w:rPr>
              <w:t>注：须提供项目负责人身份证复印件、职称证书复印件及相关证明材料；</w:t>
            </w:r>
            <w:r>
              <w:rPr>
                <w:rFonts w:hint="eastAsia" w:ascii="宋体" w:hAnsi="宋体" w:cs="宋体"/>
                <w:b/>
                <w:bCs/>
                <w:snapToGrid w:val="0"/>
                <w:kern w:val="0"/>
                <w:sz w:val="24"/>
                <w:szCs w:val="24"/>
                <w:lang w:val="zh-CN"/>
              </w:rPr>
              <w:t>提供在本单位近半年内任意一个月的社保缴纳证明或劳动合同。</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商务投标方案</w:t>
            </w:r>
          </w:p>
          <w:p w14:paraId="667E4D96">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业绩证明</w:t>
            </w:r>
          </w:p>
          <w:p w14:paraId="7F9DBAB9">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70CDDE28">
            <w:pPr>
              <w:spacing w:line="480" w:lineRule="auto"/>
              <w:ind w:firstLine="420"/>
              <w:rPr>
                <w:rFonts w:hint="eastAsia" w:ascii="宋体" w:hAnsi="宋体" w:cs="宋体"/>
                <w:color w:val="auto"/>
                <w:sz w:val="24"/>
                <w:szCs w:val="24"/>
              </w:rPr>
            </w:pPr>
            <w:r>
              <w:rPr>
                <w:rFonts w:hint="eastAsia" w:ascii="宋体" w:hAnsi="宋体" w:cs="宋体"/>
                <w:color w:val="auto"/>
                <w:sz w:val="24"/>
                <w:szCs w:val="24"/>
              </w:rPr>
              <w:t>投标人提供2022年1月1日及以后具有类似项目的业绩，投标文件中附有说明其业绩证明材料（以合同或中标通知书为准），每个业绩计2分，最高</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p w14:paraId="24D0A6D5">
            <w:pPr>
              <w:spacing w:line="480" w:lineRule="auto"/>
              <w:ind w:firstLine="420"/>
              <w:rPr>
                <w:rFonts w:hint="eastAsia" w:ascii="宋体" w:hAnsi="宋体" w:cs="宋体"/>
                <w:b/>
                <w:bCs/>
                <w:color w:val="auto"/>
                <w:sz w:val="24"/>
                <w:szCs w:val="24"/>
              </w:rPr>
            </w:pPr>
            <w:r>
              <w:rPr>
                <w:rFonts w:hint="eastAsia" w:ascii="宋体" w:hAnsi="宋体" w:cs="宋体"/>
                <w:b/>
                <w:bCs/>
                <w:color w:val="auto"/>
                <w:sz w:val="24"/>
                <w:szCs w:val="24"/>
              </w:rPr>
              <w:t>上述业绩的合同或中标通知书复印件加盖单位公章附在投标文件中</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以联合体形式参与投标的，联合体各成员应分别填写，符合要求的业绩均参与评审及赋分</w:t>
            </w:r>
            <w:r>
              <w:rPr>
                <w:rFonts w:hint="eastAsia" w:ascii="宋体" w:hAnsi="宋体" w:cs="宋体"/>
                <w:b/>
                <w:bCs/>
                <w:color w:val="auto"/>
                <w:sz w:val="24"/>
                <w:szCs w:val="24"/>
                <w:lang w:eastAsia="zh-CN"/>
              </w:rPr>
              <w:t>）</w:t>
            </w:r>
            <w:r>
              <w:rPr>
                <w:rFonts w:hint="eastAsia" w:ascii="宋体" w:hAnsi="宋体" w:cs="宋体"/>
                <w:b/>
                <w:bCs/>
                <w:color w:val="auto"/>
                <w:sz w:val="24"/>
                <w:szCs w:val="24"/>
              </w:rPr>
              <w:t>。</w:t>
            </w:r>
          </w:p>
          <w:p w14:paraId="00683913">
            <w:pPr>
              <w:spacing w:line="480" w:lineRule="auto"/>
              <w:ind w:firstLine="420"/>
              <w:rPr>
                <w:rFonts w:hint="eastAsia" w:ascii="宋体" w:hAnsi="宋体" w:eastAsia="宋体" w:cs="宋体"/>
                <w:color w:val="auto"/>
                <w:sz w:val="24"/>
                <w:szCs w:val="24"/>
                <w:lang w:val="en-US" w:eastAsia="zh-CN"/>
              </w:rPr>
            </w:pPr>
            <w:r>
              <w:rPr>
                <w:rFonts w:hint="eastAsia" w:ascii="宋体" w:hAnsi="宋体" w:cs="宋体"/>
                <w:b/>
                <w:bCs/>
                <w:color w:val="auto"/>
                <w:sz w:val="24"/>
                <w:szCs w:val="24"/>
              </w:rPr>
              <w:t>注：类似项目业绩包括：1、海绵城市建设试点城市或系统化全域推进海绵城市建设示范城市的模型构建工作或技术服务工作；2、参与海绵城市建设相关地方标准编制或承担内涝治理、海绵城市建设研究相关课题。</w:t>
            </w:r>
          </w:p>
        </w:tc>
      </w:tr>
      <w:tr w14:paraId="018B92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continue"/>
            <w:tcBorders>
              <w:right w:val="single" w:color="auto" w:sz="4" w:space="0"/>
            </w:tcBorders>
            <w:noWrap w:val="0"/>
            <w:vAlign w:val="center"/>
          </w:tcPr>
          <w:p w14:paraId="4D79B6A8">
            <w:pPr>
              <w:numPr>
                <w:ilvl w:val="0"/>
                <w:numId w:val="0"/>
              </w:numPr>
              <w:spacing w:line="480" w:lineRule="auto"/>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6123310">
            <w:pPr>
              <w:spacing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模型工具</w:t>
            </w:r>
          </w:p>
          <w:p w14:paraId="213467E9">
            <w:pPr>
              <w:spacing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（满分10分）</w:t>
            </w:r>
          </w:p>
        </w:tc>
        <w:tc>
          <w:tcPr>
            <w:tcW w:w="4501" w:type="dxa"/>
            <w:tcBorders>
              <w:top w:val="single" w:color="auto" w:sz="4" w:space="0"/>
              <w:left w:val="nil"/>
              <w:bottom w:val="single" w:color="auto" w:sz="4" w:space="0"/>
            </w:tcBorders>
            <w:noWrap w:val="0"/>
            <w:vAlign w:val="center"/>
          </w:tcPr>
          <w:p w14:paraId="4A86382B">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投标人具备单位MIKE URBAN/MIKE FLOOD/InfoWorks ICM/XP2D城市内涝模拟软件</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得10分</w:t>
            </w:r>
            <w:r>
              <w:rPr>
                <w:rFonts w:hint="eastAsia" w:ascii="宋体" w:hAnsi="宋体" w:eastAsia="宋体" w:cs="宋体"/>
                <w:color w:val="000000"/>
                <w:sz w:val="24"/>
                <w:szCs w:val="24"/>
              </w:rPr>
              <w:t>。</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6656689B">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adjustRightInd w:val="0"/>
              <w:snapToGrid w:val="0"/>
              <w:spacing w:line="48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highlight w:val="none"/>
                <w:lang w:val="zh-CN" w:eastAsia="zh-CN" w:bidi="ar-SA"/>
              </w:rPr>
              <w:t>投标单位针对本项目提出合理化建议，每提供一条符合本项目的合理性建议得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eastAsia="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463374FD">
            <w:pPr>
              <w:pStyle w:val="34"/>
              <w:spacing w:line="480" w:lineRule="auto"/>
              <w:ind w:left="479" w:leftChars="228" w:firstLine="0" w:firstLineChars="0"/>
              <w:rPr>
                <w:rFonts w:hint="eastAsia" w:cs="宋体"/>
                <w:sz w:val="24"/>
                <w:szCs w:val="24"/>
              </w:rPr>
            </w:pPr>
            <w:r>
              <w:rPr>
                <w:rFonts w:hint="eastAsia" w:cs="宋体"/>
                <w:sz w:val="24"/>
                <w:szCs w:val="24"/>
              </w:rPr>
              <w:t>售后服务</w:t>
            </w:r>
          </w:p>
          <w:p w14:paraId="1D05368C">
            <w:pPr>
              <w:pStyle w:val="34"/>
              <w:spacing w:line="480" w:lineRule="auto"/>
              <w:ind w:left="479" w:leftChars="114" w:hanging="240" w:hangingChars="100"/>
              <w:rPr>
                <w:rFonts w:hint="eastAsia" w:ascii="宋体" w:hAnsi="宋体" w:eastAsia="宋体" w:cs="宋体"/>
                <w:sz w:val="24"/>
                <w:szCs w:val="24"/>
                <w:lang w:val="en-US" w:eastAsia="zh-CN"/>
              </w:rPr>
            </w:pPr>
            <w:r>
              <w:rPr>
                <w:rFonts w:hint="eastAsia" w:cs="宋体"/>
                <w:sz w:val="24"/>
                <w:szCs w:val="24"/>
              </w:rPr>
              <w:t>（满分</w:t>
            </w:r>
            <w:r>
              <w:rPr>
                <w:rFonts w:hint="eastAsia" w:cs="宋体"/>
                <w:sz w:val="24"/>
                <w:szCs w:val="24"/>
                <w:lang w:val="en-US" w:eastAsia="zh-CN"/>
              </w:rPr>
              <w:t>6</w:t>
            </w:r>
            <w:r>
              <w:rPr>
                <w:rFonts w:hint="eastAsia" w:cs="宋体"/>
                <w:sz w:val="24"/>
                <w:szCs w:val="24"/>
              </w:rPr>
              <w:t>分）</w:t>
            </w:r>
          </w:p>
        </w:tc>
        <w:tc>
          <w:tcPr>
            <w:tcW w:w="4501" w:type="dxa"/>
            <w:tcBorders>
              <w:top w:val="single" w:color="auto" w:sz="4" w:space="0"/>
              <w:left w:val="nil"/>
              <w:bottom w:val="single" w:color="auto" w:sz="4" w:space="0"/>
            </w:tcBorders>
            <w:noWrap w:val="0"/>
            <w:vAlign w:val="center"/>
          </w:tcPr>
          <w:p w14:paraId="774C1A4A">
            <w:pPr>
              <w:pStyle w:val="95"/>
              <w:spacing w:line="48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一、评审内容</w:t>
            </w:r>
          </w:p>
          <w:p w14:paraId="5BF4E58F">
            <w:pPr>
              <w:pStyle w:val="95"/>
              <w:spacing w:line="480" w:lineRule="auto"/>
              <w:ind w:firstLine="480" w:firstLineChars="200"/>
              <w:rPr>
                <w:rFonts w:hint="eastAsia" w:ascii="宋体" w:hAnsi="宋体" w:eastAsia="宋体" w:cs="宋体"/>
                <w:snapToGrid w:val="0"/>
                <w:kern w:val="0"/>
                <w:sz w:val="24"/>
                <w:szCs w:val="24"/>
                <w:lang w:val="en-US"/>
              </w:rPr>
            </w:pPr>
            <w:r>
              <w:rPr>
                <w:rFonts w:hint="eastAsia" w:ascii="宋体" w:hAnsi="宋体" w:eastAsia="宋体" w:cs="宋体"/>
                <w:snapToGrid w:val="0"/>
                <w:kern w:val="0"/>
                <w:sz w:val="24"/>
                <w:szCs w:val="24"/>
              </w:rPr>
              <w:t>根据项目实际需求，</w:t>
            </w:r>
            <w:r>
              <w:rPr>
                <w:rFonts w:hint="eastAsia" w:ascii="宋体" w:hAnsi="宋体" w:eastAsia="宋体" w:cs="宋体"/>
                <w:snapToGrid w:val="0"/>
                <w:kern w:val="0"/>
                <w:sz w:val="24"/>
                <w:szCs w:val="24"/>
                <w:lang w:val="en-US"/>
              </w:rPr>
              <w:t>提供</w:t>
            </w:r>
            <w:r>
              <w:rPr>
                <w:rFonts w:hint="eastAsia" w:ascii="宋体" w:hAnsi="宋体" w:eastAsia="宋体" w:cs="宋体"/>
                <w:snapToGrid w:val="0"/>
                <w:kern w:val="0"/>
                <w:sz w:val="24"/>
                <w:szCs w:val="24"/>
              </w:rPr>
              <w:t>针对本项目</w:t>
            </w:r>
            <w:r>
              <w:rPr>
                <w:rFonts w:hint="eastAsia" w:ascii="宋体" w:hAnsi="宋体" w:eastAsia="宋体" w:cs="宋体"/>
                <w:snapToGrid w:val="0"/>
                <w:kern w:val="0"/>
                <w:sz w:val="24"/>
                <w:szCs w:val="24"/>
                <w:lang w:val="en-US"/>
              </w:rPr>
              <w:t>的</w:t>
            </w:r>
            <w:r>
              <w:rPr>
                <w:rFonts w:hint="eastAsia" w:ascii="宋体" w:hAnsi="宋体" w:eastAsia="宋体" w:cs="宋体"/>
                <w:snapToGrid w:val="0"/>
                <w:kern w:val="0"/>
                <w:sz w:val="24"/>
                <w:szCs w:val="24"/>
              </w:rPr>
              <w:t>售后服务方案，</w:t>
            </w:r>
            <w:r>
              <w:rPr>
                <w:rFonts w:hint="eastAsia" w:ascii="宋体" w:hAnsi="宋体" w:eastAsia="宋体" w:cs="宋体"/>
                <w:snapToGrid w:val="0"/>
                <w:kern w:val="0"/>
                <w:sz w:val="24"/>
                <w:szCs w:val="24"/>
                <w:lang w:val="en-US"/>
              </w:rPr>
              <w:t>内容包括①服务承诺②后续服务响应时间、响应速度及响应方式。</w:t>
            </w:r>
          </w:p>
          <w:p w14:paraId="78E932B9">
            <w:pPr>
              <w:spacing w:line="480" w:lineRule="auto"/>
              <w:rPr>
                <w:rFonts w:hint="eastAsia" w:ascii="宋体" w:hAnsi="宋体" w:cs="宋体"/>
                <w:b/>
                <w:bCs/>
                <w:sz w:val="24"/>
                <w:szCs w:val="24"/>
              </w:rPr>
            </w:pPr>
            <w:r>
              <w:rPr>
                <w:rFonts w:hint="eastAsia" w:ascii="宋体" w:hAnsi="宋体" w:cs="宋体"/>
                <w:b/>
                <w:bCs/>
                <w:sz w:val="24"/>
                <w:szCs w:val="24"/>
              </w:rPr>
              <w:t>二、评审标准</w:t>
            </w:r>
          </w:p>
          <w:p w14:paraId="2E7DCBB6">
            <w:pPr>
              <w:pStyle w:val="95"/>
              <w:spacing w:before="72" w:line="480" w:lineRule="auto"/>
              <w:ind w:left="107" w:right="99" w:firstLine="472" w:firstLineChars="200"/>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rPr>
              <w:t>.</w:t>
            </w:r>
            <w:r>
              <w:rPr>
                <w:rFonts w:hint="eastAsia" w:ascii="宋体" w:hAnsi="宋体" w:eastAsia="宋体" w:cs="宋体"/>
                <w:spacing w:val="-2"/>
                <w:sz w:val="24"/>
                <w:szCs w:val="24"/>
              </w:rPr>
              <w:t>完整性：切合本项目实际情况，方案内容齐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p>
          <w:p w14:paraId="04AC29D6">
            <w:pPr>
              <w:pStyle w:val="95"/>
              <w:spacing w:line="480" w:lineRule="auto"/>
              <w:ind w:left="107" w:right="102" w:firstLine="472" w:firstLineChars="200"/>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rPr>
              <w:t>.</w:t>
            </w:r>
            <w:r>
              <w:rPr>
                <w:rFonts w:hint="eastAsia" w:ascii="宋体" w:hAnsi="宋体" w:eastAsia="宋体" w:cs="宋体"/>
                <w:spacing w:val="-2"/>
                <w:sz w:val="24"/>
                <w:szCs w:val="24"/>
              </w:rPr>
              <w:t>科学性：切合本项目实际情况，叙述清楚，符合客观实际情况；</w:t>
            </w:r>
          </w:p>
          <w:p w14:paraId="776540AA">
            <w:pPr>
              <w:pStyle w:val="95"/>
              <w:spacing w:line="480" w:lineRule="auto"/>
              <w:ind w:left="107" w:right="-29" w:firstLine="472" w:firstLineChars="200"/>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rPr>
              <w:t>.</w:t>
            </w:r>
            <w:r>
              <w:rPr>
                <w:rFonts w:hint="eastAsia" w:ascii="宋体" w:hAnsi="宋体" w:eastAsia="宋体" w:cs="宋体"/>
                <w:spacing w:val="-2"/>
                <w:sz w:val="24"/>
                <w:szCs w:val="24"/>
              </w:rPr>
              <w:t>合理性：方案内容符合项目实际特点，合理、</w:t>
            </w:r>
            <w:r>
              <w:rPr>
                <w:rFonts w:hint="eastAsia" w:ascii="宋体" w:hAnsi="宋体" w:eastAsia="宋体" w:cs="宋体"/>
                <w:spacing w:val="-4"/>
                <w:sz w:val="24"/>
                <w:szCs w:val="24"/>
              </w:rPr>
              <w:t>恰当；</w:t>
            </w:r>
          </w:p>
          <w:p w14:paraId="289CDF87">
            <w:pPr>
              <w:spacing w:line="480" w:lineRule="auto"/>
              <w:jc w:val="left"/>
              <w:rPr>
                <w:rFonts w:hint="eastAsia"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分）</w:t>
            </w:r>
          </w:p>
          <w:p w14:paraId="3F7038CE">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rPr>
              <w:t>①</w:t>
            </w:r>
            <w:r>
              <w:rPr>
                <w:rFonts w:hint="eastAsia" w:ascii="宋体" w:hAnsi="宋体" w:cs="宋体"/>
                <w:sz w:val="24"/>
              </w:rPr>
              <w:t>服务承诺</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38488295">
            <w:pPr>
              <w:spacing w:line="48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cs="宋体"/>
                <w:color w:val="000000"/>
                <w:sz w:val="24"/>
                <w:szCs w:val="24"/>
              </w:rPr>
              <w:t>②后续服务响应时间、响应速度及响应方式：每完全满足一个评审标准得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投标报价</w:t>
            </w:r>
          </w:p>
          <w:p w14:paraId="00F8FDE4">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p w14:paraId="03FC64E8">
            <w:pPr>
              <w:spacing w:line="480" w:lineRule="auto"/>
              <w:ind w:firstLine="240" w:firstLineChars="1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4C3CAA8E">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394320906"/>
      <w:bookmarkStart w:id="684" w:name="_Toc456197093"/>
      <w:bookmarkStart w:id="685" w:name="_Toc247085765"/>
      <w:bookmarkStart w:id="686" w:name="_Toc397585244"/>
      <w:bookmarkStart w:id="687" w:name="_Toc152045607"/>
      <w:bookmarkStart w:id="688" w:name="_Toc397410477"/>
      <w:bookmarkStart w:id="689" w:name="_Toc361406358"/>
      <w:bookmarkStart w:id="690" w:name="_Toc397410664"/>
      <w:bookmarkStart w:id="691" w:name="_Toc246996993"/>
      <w:bookmarkStart w:id="692" w:name="_Toc361406437"/>
      <w:bookmarkStart w:id="693" w:name="_Toc397585175"/>
      <w:bookmarkStart w:id="694" w:name="_Toc179632625"/>
      <w:bookmarkStart w:id="695" w:name="_Toc395711825"/>
      <w:bookmarkStart w:id="696" w:name="_Toc490171558"/>
      <w:bookmarkStart w:id="697" w:name="_Toc246996250"/>
      <w:bookmarkStart w:id="698" w:name="_Toc490171399"/>
      <w:bookmarkStart w:id="699" w:name="_Toc152042385"/>
      <w:bookmarkStart w:id="700" w:name="_Toc343511812"/>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397585245"/>
      <w:bookmarkStart w:id="705" w:name="_Toc361406359"/>
      <w:bookmarkStart w:id="706" w:name="_Toc343511816"/>
      <w:bookmarkStart w:id="707" w:name="_Toc246996251"/>
      <w:bookmarkStart w:id="708" w:name="_Toc397410478"/>
      <w:bookmarkStart w:id="709" w:name="_Toc247085766"/>
      <w:bookmarkStart w:id="710" w:name="_Toc361406438"/>
      <w:bookmarkStart w:id="711" w:name="_Toc246996994"/>
      <w:bookmarkStart w:id="712" w:name="_Toc490171400"/>
      <w:bookmarkStart w:id="713" w:name="_Toc395711826"/>
      <w:bookmarkStart w:id="714" w:name="_Toc152042386"/>
      <w:bookmarkStart w:id="715" w:name="_Toc144974576"/>
      <w:bookmarkStart w:id="716" w:name="_Toc490171559"/>
      <w:bookmarkStart w:id="717" w:name="_Toc179632626"/>
      <w:bookmarkStart w:id="718" w:name="_Toc397410665"/>
      <w:bookmarkStart w:id="719" w:name="_Toc394320907"/>
      <w:bookmarkStart w:id="720" w:name="_Toc397585176"/>
      <w:bookmarkStart w:id="721" w:name="_Toc152045608"/>
      <w:bookmarkStart w:id="722" w:name="_Toc456197094"/>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24896"/>
      <w:bookmarkStart w:id="725" w:name="_Toc1441"/>
      <w:bookmarkStart w:id="726" w:name="_Toc22517"/>
      <w:bookmarkStart w:id="727" w:name="_Toc30173"/>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27288"/>
      <w:bookmarkStart w:id="730" w:name="_Toc6400"/>
      <w:bookmarkStart w:id="731" w:name="_Toc18527"/>
      <w:bookmarkStart w:id="732" w:name="_Toc5624"/>
      <w:bookmarkStart w:id="733" w:name="_Toc23303"/>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28308"/>
      <w:bookmarkStart w:id="735" w:name="_Toc26075"/>
      <w:bookmarkStart w:id="736" w:name="_Toc10056"/>
      <w:bookmarkStart w:id="737" w:name="_Toc2618"/>
      <w:bookmarkStart w:id="738" w:name="_Toc15061"/>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12926"/>
      <w:bookmarkStart w:id="740" w:name="_Toc13553"/>
      <w:bookmarkStart w:id="741" w:name="_Toc29610"/>
      <w:bookmarkStart w:id="742" w:name="_Toc3750"/>
      <w:bookmarkStart w:id="743" w:name="_Toc13145"/>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98"/>
      <w:bookmarkStart w:id="745" w:name="_Toc5972"/>
      <w:bookmarkStart w:id="746" w:name="_Toc10777"/>
      <w:bookmarkStart w:id="747" w:name="_Toc27737"/>
      <w:bookmarkStart w:id="748" w:name="_Toc2212"/>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14952"/>
      <w:bookmarkStart w:id="750" w:name="_Toc31732"/>
      <w:bookmarkStart w:id="751" w:name="_Toc13181"/>
      <w:bookmarkStart w:id="752" w:name="_Toc2676"/>
      <w:bookmarkStart w:id="753" w:name="_Toc30603"/>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28280"/>
      <w:bookmarkStart w:id="755" w:name="_Toc31982"/>
      <w:bookmarkStart w:id="756" w:name="_Toc21217"/>
      <w:bookmarkStart w:id="757" w:name="_Toc31112"/>
      <w:bookmarkStart w:id="758" w:name="_Toc9186"/>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28678"/>
      <w:bookmarkStart w:id="760" w:name="_Toc18434"/>
      <w:bookmarkStart w:id="761" w:name="_Toc6020"/>
      <w:bookmarkStart w:id="762" w:name="_Toc23925"/>
      <w:bookmarkStart w:id="763" w:name="_Toc12766"/>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24099"/>
      <w:bookmarkStart w:id="765" w:name="_Toc17492"/>
      <w:bookmarkStart w:id="766" w:name="_Toc28971"/>
      <w:bookmarkStart w:id="767" w:name="_Toc9423"/>
      <w:bookmarkStart w:id="768" w:name="_Toc1848"/>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26091"/>
      <w:bookmarkStart w:id="770" w:name="_Toc26502"/>
      <w:bookmarkStart w:id="771" w:name="_Toc4775"/>
      <w:bookmarkStart w:id="772" w:name="_Toc12812"/>
      <w:bookmarkStart w:id="773" w:name="_Toc7194"/>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29579"/>
      <w:bookmarkStart w:id="775" w:name="_Toc10392"/>
      <w:bookmarkStart w:id="776" w:name="_Toc2963"/>
      <w:bookmarkStart w:id="777" w:name="_Toc4731"/>
      <w:bookmarkStart w:id="778" w:name="_Toc28497"/>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11983"/>
      <w:bookmarkStart w:id="780" w:name="_Toc2434"/>
      <w:bookmarkStart w:id="781" w:name="_Toc10033"/>
      <w:bookmarkStart w:id="782" w:name="_Toc12101"/>
      <w:bookmarkStart w:id="783" w:name="_Toc25557"/>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2159"/>
      <w:bookmarkStart w:id="785" w:name="_Toc10110"/>
      <w:bookmarkStart w:id="786" w:name="_Toc22642"/>
      <w:bookmarkStart w:id="787" w:name="_Toc5526"/>
      <w:bookmarkStart w:id="788" w:name="_Toc12743"/>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13779"/>
      <w:bookmarkStart w:id="790" w:name="_Toc11892"/>
      <w:bookmarkStart w:id="791" w:name="_Toc4382"/>
      <w:bookmarkStart w:id="792" w:name="_Toc14358"/>
      <w:bookmarkStart w:id="793" w:name="_Toc11710"/>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32315"/>
      <w:bookmarkStart w:id="795" w:name="_Toc10867"/>
      <w:bookmarkStart w:id="796" w:name="_Toc5219"/>
      <w:bookmarkStart w:id="797" w:name="_Toc30736"/>
      <w:bookmarkStart w:id="798" w:name="_Toc14231"/>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4589"/>
      <w:bookmarkStart w:id="800" w:name="_Toc15904"/>
      <w:bookmarkStart w:id="801" w:name="_Toc18595"/>
      <w:bookmarkStart w:id="802" w:name="_Toc30515"/>
      <w:bookmarkStart w:id="803" w:name="_Toc20450"/>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20764"/>
      <w:bookmarkStart w:id="805" w:name="_Toc19432"/>
      <w:bookmarkStart w:id="806" w:name="_Toc16954"/>
      <w:bookmarkStart w:id="807" w:name="_Toc11339"/>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5700"/>
      <w:bookmarkStart w:id="809" w:name="_Toc17122"/>
      <w:bookmarkStart w:id="810" w:name="_Toc27955"/>
      <w:bookmarkStart w:id="811" w:name="_Toc24583"/>
      <w:bookmarkStart w:id="812" w:name="_Toc18923"/>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2172"/>
      <w:bookmarkStart w:id="814" w:name="_Toc24922"/>
      <w:bookmarkStart w:id="815" w:name="_Toc28713"/>
      <w:bookmarkStart w:id="816" w:name="_Toc30234"/>
      <w:bookmarkStart w:id="817" w:name="_Toc1750"/>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24373"/>
      <w:bookmarkStart w:id="821" w:name="_Toc8691"/>
      <w:bookmarkStart w:id="822" w:name="_Toc27107"/>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2203"/>
      <w:bookmarkStart w:id="824" w:name="_Toc802"/>
      <w:bookmarkStart w:id="825" w:name="_Toc2902"/>
      <w:bookmarkStart w:id="826" w:name="_Toc26044"/>
      <w:bookmarkStart w:id="827" w:name="_Toc1696"/>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4872"/>
      <w:bookmarkStart w:id="829" w:name="_Toc6798"/>
      <w:bookmarkStart w:id="830" w:name="_Toc29619"/>
      <w:bookmarkStart w:id="831" w:name="_Toc30311"/>
      <w:bookmarkStart w:id="832" w:name="_Toc31707"/>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8"/>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5"/>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9414"/>
      <w:bookmarkStart w:id="834" w:name="_Toc132"/>
      <w:bookmarkStart w:id="835" w:name="_Toc31421"/>
      <w:bookmarkStart w:id="836" w:name="_Toc5347"/>
      <w:bookmarkStart w:id="837" w:name="_Toc13863"/>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延安市城市建设项目服务中心</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中禧国际项目管理有限公司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延安市城市建设项目服务中心</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71771A5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color w:val="auto"/>
          <w:sz w:val="24"/>
          <w:szCs w:val="24"/>
          <w:u w:val="single"/>
          <w:lang w:val="en-US" w:eastAsia="zh-CN"/>
        </w:rPr>
      </w:pPr>
      <w:bookmarkStart w:id="998" w:name="_GoBack"/>
      <w:r>
        <w:rPr>
          <w:rFonts w:hint="eastAsia" w:ascii="宋体" w:hAnsi="宋体" w:cs="宋体"/>
          <w:color w:val="auto"/>
          <w:sz w:val="24"/>
          <w:szCs w:val="24"/>
        </w:rPr>
        <w:t>（2）付款方式：</w:t>
      </w:r>
      <w:r>
        <w:rPr>
          <w:rFonts w:hint="eastAsia" w:ascii="宋体" w:hAnsi="宋体" w:cs="宋体"/>
          <w:color w:val="auto"/>
          <w:sz w:val="24"/>
          <w:szCs w:val="24"/>
          <w:u w:val="single"/>
        </w:rPr>
        <w:t xml:space="preserve">  第一阶段，合同签订后7个工作日内支付合同费用总额的4</w:t>
      </w:r>
      <w:r>
        <w:rPr>
          <w:rFonts w:ascii="宋体" w:hAnsi="宋体" w:cs="宋体"/>
          <w:color w:val="auto"/>
          <w:sz w:val="24"/>
          <w:szCs w:val="24"/>
          <w:u w:val="single"/>
        </w:rPr>
        <w:t>0</w:t>
      </w:r>
      <w:r>
        <w:rPr>
          <w:rFonts w:hint="eastAsia" w:ascii="宋体" w:hAnsi="宋体" w:cs="宋体"/>
          <w:color w:val="auto"/>
          <w:sz w:val="24"/>
          <w:szCs w:val="24"/>
          <w:u w:val="single"/>
        </w:rPr>
        <w:t>%；第二阶段，通过专家评审后7个工作日内支付合同费用总额的4</w:t>
      </w:r>
      <w:r>
        <w:rPr>
          <w:rFonts w:ascii="宋体" w:hAnsi="宋体" w:cs="宋体"/>
          <w:color w:val="auto"/>
          <w:sz w:val="24"/>
          <w:szCs w:val="24"/>
          <w:u w:val="single"/>
        </w:rPr>
        <w:t>0</w:t>
      </w:r>
      <w:r>
        <w:rPr>
          <w:rFonts w:hint="eastAsia" w:ascii="宋体" w:hAnsi="宋体" w:cs="宋体"/>
          <w:color w:val="auto"/>
          <w:sz w:val="24"/>
          <w:szCs w:val="24"/>
          <w:u w:val="single"/>
        </w:rPr>
        <w:t>%；第三阶段，提交最终成果后7个工作日内支付合同费用总额的2</w:t>
      </w:r>
      <w:r>
        <w:rPr>
          <w:rFonts w:ascii="宋体" w:hAnsi="宋体" w:cs="宋体"/>
          <w:color w:val="auto"/>
          <w:sz w:val="24"/>
          <w:szCs w:val="24"/>
          <w:u w:val="single"/>
        </w:rPr>
        <w:t>0%</w:t>
      </w:r>
      <w:r>
        <w:rPr>
          <w:rFonts w:hint="eastAsia" w:ascii="宋体" w:hAnsi="宋体" w:cs="宋体"/>
          <w:color w:val="auto"/>
          <w:sz w:val="24"/>
          <w:szCs w:val="24"/>
          <w:u w:val="single"/>
        </w:rPr>
        <w:t>。乙方应于甲方每次付款前，向甲方提供该阶段付款等额发票。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五、期限</w:t>
      </w:r>
    </w:p>
    <w:bookmarkEnd w:id="998"/>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5"/>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26A2FAE4">
      <w:pPr>
        <w:pStyle w:val="5"/>
        <w:numPr>
          <w:ilvl w:val="0"/>
          <w:numId w:val="5"/>
        </w:numPr>
        <w:spacing w:before="0" w:after="0" w:line="579" w:lineRule="auto"/>
        <w:rPr>
          <w:rFonts w:hint="eastAsia" w:ascii="宋体" w:hAnsi="宋体" w:eastAsia="宋体" w:cs="宋体"/>
          <w:color w:val="000000"/>
          <w:sz w:val="24"/>
          <w:szCs w:val="24"/>
        </w:rPr>
      </w:pPr>
      <w:bookmarkStart w:id="838" w:name="_Toc16364"/>
      <w:bookmarkStart w:id="839" w:name="_Toc11076"/>
      <w:bookmarkStart w:id="840" w:name="_Toc21232"/>
      <w:bookmarkStart w:id="841" w:name="_Toc5721"/>
      <w:bookmarkStart w:id="842" w:name="_Toc7968"/>
      <w:bookmarkStart w:id="843" w:name="_Toc22906"/>
      <w:bookmarkStart w:id="844" w:name="_Toc13116"/>
      <w:bookmarkStart w:id="845" w:name="_Toc9987"/>
      <w:bookmarkStart w:id="846" w:name="_Toc27587"/>
      <w:bookmarkStart w:id="847" w:name="_Toc29747"/>
      <w:bookmarkStart w:id="848" w:name="_Toc18137"/>
      <w:bookmarkStart w:id="849" w:name="_Toc29759"/>
      <w:bookmarkStart w:id="850" w:name="_Toc15815"/>
      <w:bookmarkStart w:id="851" w:name="_Toc17609"/>
      <w:r>
        <w:rPr>
          <w:rFonts w:hint="eastAsia" w:ascii="宋体" w:hAnsi="宋体" w:eastAsia="宋体" w:cs="宋体"/>
          <w:color w:val="000000"/>
          <w:sz w:val="24"/>
          <w:szCs w:val="24"/>
        </w:rPr>
        <w:t>技术</w:t>
      </w:r>
      <w:bookmarkEnd w:id="838"/>
      <w:r>
        <w:rPr>
          <w:rFonts w:hint="eastAsia" w:ascii="宋体" w:hAnsi="宋体" w:eastAsia="宋体" w:cs="宋体"/>
          <w:color w:val="000000"/>
          <w:sz w:val="24"/>
          <w:szCs w:val="24"/>
        </w:rPr>
        <w:t>要求</w:t>
      </w:r>
      <w:bookmarkEnd w:id="839"/>
      <w:bookmarkEnd w:id="840"/>
      <w:bookmarkEnd w:id="841"/>
      <w:bookmarkEnd w:id="842"/>
    </w:p>
    <w:p w14:paraId="288169E7">
      <w:pPr>
        <w:spacing w:line="360" w:lineRule="auto"/>
        <w:jc w:val="left"/>
        <w:rPr>
          <w:rFonts w:ascii="黑体" w:hAnsi="黑体" w:eastAsia="黑体" w:cs="宋体"/>
          <w:sz w:val="24"/>
          <w:szCs w:val="24"/>
        </w:rPr>
      </w:pPr>
      <w:bookmarkStart w:id="852" w:name="_Toc16594505"/>
      <w:bookmarkStart w:id="853" w:name="_Toc16594483"/>
      <w:r>
        <w:rPr>
          <w:rFonts w:hint="eastAsia" w:ascii="黑体" w:hAnsi="黑体" w:eastAsia="黑体" w:cs="宋体"/>
          <w:sz w:val="24"/>
          <w:szCs w:val="24"/>
        </w:rPr>
        <w:t>一、延安市中心城区内涝模拟模型建设</w:t>
      </w:r>
    </w:p>
    <w:p w14:paraId="77A6846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 延安市中心城区内涝问题本底调查</w:t>
      </w:r>
      <w:bookmarkEnd w:id="852"/>
      <w:bookmarkEnd w:id="853"/>
    </w:p>
    <w:p w14:paraId="1420393C">
      <w:pPr>
        <w:widowControl/>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十四五”末延安市中心城区存在内涝积水的点位本底进行普查式调研，调研城市中心的城市规划、建设计划、河道及水工构筑物等资料，主要包括国土空间规划、控制性详细规划以及绿地系统、交通系统、河道水系、排水防涝、防洪系统等各类专项规划；收集各排水分区排水防涝设施信息，包括河道及其水工构筑物、排水管网等城市排水防涝构筑物、土地利用、历史内涝情况等资料，并对资料进行审核，按照统一坐标系、高程基面等对数据进行处理；调研区域内完工/未完工雨水管网提升建设项目，包括项目位置、规模等。根据甲方提供的地块冒溢的积水记录（不包括临时堵塞引起的积水），分析积水发生的原因。</w:t>
      </w:r>
    </w:p>
    <w:p w14:paraId="5D123EEF">
      <w:pPr>
        <w:spacing w:line="360" w:lineRule="auto"/>
        <w:ind w:firstLine="480" w:firstLineChars="200"/>
        <w:rPr>
          <w:rFonts w:cs="宋体" w:asciiTheme="minorEastAsia" w:hAnsiTheme="minorEastAsia" w:eastAsiaTheme="minorEastAsia"/>
          <w:sz w:val="24"/>
          <w:szCs w:val="24"/>
        </w:rPr>
      </w:pPr>
      <w:bookmarkStart w:id="854" w:name="_Toc16594506"/>
      <w:bookmarkStart w:id="855" w:name="_Toc16594484"/>
      <w:bookmarkStart w:id="856" w:name="OLE_LINK6"/>
      <w:r>
        <w:rPr>
          <w:rFonts w:hint="eastAsia" w:cs="宋体" w:asciiTheme="minorEastAsia" w:hAnsiTheme="minorEastAsia" w:eastAsiaTheme="minorEastAsia"/>
          <w:sz w:val="24"/>
          <w:szCs w:val="24"/>
        </w:rPr>
        <w:t>2. 中心城区海绵城市现状内涝风险模型模拟</w:t>
      </w:r>
      <w:bookmarkEnd w:id="854"/>
      <w:bookmarkEnd w:id="855"/>
      <w:r>
        <w:rPr>
          <w:rFonts w:hint="eastAsia" w:cs="宋体" w:asciiTheme="minorEastAsia" w:hAnsiTheme="minorEastAsia" w:eastAsiaTheme="minorEastAsia"/>
          <w:sz w:val="24"/>
          <w:szCs w:val="24"/>
        </w:rPr>
        <w:t>构建</w:t>
      </w:r>
    </w:p>
    <w:p w14:paraId="6EE9049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依据中心城区排水管网布局及地形地貌等本底调查信息，构建不同目标的水力模型。包括：产汇流分析、管网水力模型、河道水力模型、地表模型。</w:t>
      </w:r>
    </w:p>
    <w:p w14:paraId="2D570AA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3.内涝风险评估</w:t>
      </w:r>
    </w:p>
    <w:p w14:paraId="1331C7B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应用构建的内涝模型对中心城区的内涝风险进行评估，分区域、分设施开展不同等级内涝风险评估。包括：设防标准内分别进行10 年一遇、30 年一遇、50 年一遇降雨下的城市内涝风险评估；设防标准外超标降雨条件下，评估城市内涝风险。</w:t>
      </w:r>
    </w:p>
    <w:bookmarkEnd w:id="856"/>
    <w:p w14:paraId="0CCE1515">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 内涝风险图编制</w:t>
      </w:r>
    </w:p>
    <w:p w14:paraId="6765556A">
      <w:pPr>
        <w:widowControl/>
        <w:adjustRightInd w:val="0"/>
        <w:snapToGrid w:val="0"/>
        <w:spacing w:line="360" w:lineRule="auto"/>
        <w:ind w:firstLine="480" w:firstLineChars="200"/>
        <w:rPr>
          <w:rFonts w:cs="宋体" w:asciiTheme="minorEastAsia" w:hAnsiTheme="minorEastAsia" w:eastAsiaTheme="minorEastAsia"/>
          <w:sz w:val="24"/>
          <w:szCs w:val="24"/>
        </w:rPr>
      </w:pPr>
      <w:bookmarkStart w:id="857" w:name="OLE_LINK17"/>
      <w:r>
        <w:rPr>
          <w:rFonts w:hint="eastAsia" w:cs="宋体" w:asciiTheme="minorEastAsia" w:hAnsiTheme="minorEastAsia" w:eastAsiaTheme="minorEastAsia"/>
          <w:sz w:val="24"/>
          <w:szCs w:val="24"/>
        </w:rPr>
        <w:t>根据内涝模型分析过程及结果，编制延安市中心城区排水防涝设施能力评估图、10 年一遇\20 年一遇\30 年一遇\50 年一遇下的内涝风险评估图、极端灾害下的内涝风险评估图、重点区域设防标准下内涝风险评估图等。</w:t>
      </w:r>
    </w:p>
    <w:bookmarkEnd w:id="857"/>
    <w:p w14:paraId="7C479AD5">
      <w:pPr>
        <w:spacing w:line="360" w:lineRule="auto"/>
        <w:ind w:firstLine="480" w:firstLineChars="200"/>
        <w:rPr>
          <w:rFonts w:cs="宋体" w:asciiTheme="minorEastAsia" w:hAnsiTheme="minorEastAsia" w:eastAsiaTheme="minorEastAsia"/>
          <w:sz w:val="24"/>
          <w:szCs w:val="24"/>
        </w:rPr>
      </w:pPr>
      <w:bookmarkStart w:id="858" w:name="_Toc16594509"/>
      <w:bookmarkStart w:id="859" w:name="_Toc16594487"/>
      <w:r>
        <w:rPr>
          <w:rFonts w:hint="eastAsia" w:cs="宋体" w:asciiTheme="minorEastAsia" w:hAnsiTheme="minorEastAsia" w:eastAsiaTheme="minorEastAsia"/>
          <w:sz w:val="24"/>
          <w:szCs w:val="24"/>
        </w:rPr>
        <w:t>5. 建设效果评估服务</w:t>
      </w:r>
      <w:bookmarkEnd w:id="858"/>
      <w:bookmarkEnd w:id="859"/>
    </w:p>
    <w:p w14:paraId="6F4936A5">
      <w:pPr>
        <w:widowControl/>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内涝积水模型模拟风险评估效果，结合现有城市内涝体系，提出下一步治理工作重点和相关建议:结合内涝风险评估结果，提出近期内涝风险应对主要措施，提出城市内涝体系建设完善策略，提出加强内涝风险应急管理工程和非工程措施。</w:t>
      </w:r>
    </w:p>
    <w:p w14:paraId="580A10A2">
      <w:pPr>
        <w:spacing w:line="360" w:lineRule="auto"/>
        <w:jc w:val="left"/>
        <w:rPr>
          <w:rFonts w:ascii="黑体" w:hAnsi="黑体" w:eastAsia="黑体" w:cs="宋体"/>
          <w:sz w:val="24"/>
          <w:szCs w:val="24"/>
        </w:rPr>
      </w:pPr>
      <w:r>
        <w:rPr>
          <w:rFonts w:hint="eastAsia" w:ascii="黑体" w:hAnsi="黑体" w:eastAsia="黑体" w:cs="宋体"/>
          <w:sz w:val="24"/>
          <w:szCs w:val="24"/>
        </w:rPr>
        <w:t>二、延安市海绵城市建设经验分享与实践路径案例编制</w:t>
      </w:r>
    </w:p>
    <w:p w14:paraId="4BCF6EC8">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关于开展“十四五”第三批系统化全域推进海绵城市建设示范工作的通知》和《全国海绵城市示范城市建设成果凝练工作会会议纪要》要求，因地制宜分析我市的雨水管控问题，在科学解析问题的基础上，秉持系统化全域推进海绵城市建设的要求进行成果凝练，择取典型城区、典型片区、典型工程凝练技术措施，量化评价建设实施成效，总结典型做法和经验体会。拟完成如下内容：</w:t>
      </w:r>
    </w:p>
    <w:p w14:paraId="1F76BE13">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1.延安市海绵城市建设重要意义</w:t>
      </w:r>
    </w:p>
    <w:p w14:paraId="2DA4BBED">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系统梳理我市区位情况、地形地貌、气候气象、土壤水文等自然本底现状；土地利用、排水体制、雨污水系统建设现状等城市建设现状；深入剖析我市海绵城市建设前水安全、水生态、水环境、水资源等方面雨水引起的相关问题，明确我市城市特征参数及城市特点，凝练我市的海绵城市建设示范性。</w:t>
      </w:r>
    </w:p>
    <w:p w14:paraId="211CB0DF">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2.延安市海绵城市示范建设总体成效</w:t>
      </w:r>
    </w:p>
    <w:p w14:paraId="4FCC7C20">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依据我市示范目标及全域系统化建设方案，量化说明各类海绵设施的设计标准和建设情况，并明确对于源头、过程、排涝除险设施的贡献。对比海绵城市建设方案提出的建设内容，进行指标可达性评估，形成海绵城市建设指标方案评估表。对已实施的城区、片区、工程的建设效果进行量化评价，包括：达标面积、指标达标情况及水安全、水生态、水环境、水资源等方面取得的建设成效。</w:t>
      </w:r>
    </w:p>
    <w:p w14:paraId="5FECF3EF">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3.规划与设计经验</w:t>
      </w:r>
    </w:p>
    <w:p w14:paraId="1CC4C576">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总结我市海绵城市建设规划、实施方案的编制思路及特色示范模式。全面评估我市各类海绵城市建设项目设计参数、技术措施并对比建设成效。</w:t>
      </w:r>
    </w:p>
    <w:p w14:paraId="24EEF9D2">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4.施工与评估经验</w:t>
      </w:r>
    </w:p>
    <w:p w14:paraId="3742FCD7">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我市近年完工的各类海绵城市建设项目建设成效及在近几个雨季的后续运行效果，总结符合我市地质类型和气候特征的施工做法和参数；结合我市近年监测数据，明确我市对片区、项目、设施建设效果评估的指标及评价方法。</w:t>
      </w:r>
    </w:p>
    <w:p w14:paraId="75F6D701">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5.运行与维护经验</w:t>
      </w:r>
    </w:p>
    <w:p w14:paraId="6BECC6E6">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根据我市近年海绵城市建设项目运维模式与雨季运行成效，形成符合我市城市特征的项目、设施运行维护内容、频次及技术措施。总结我市不同资本建设项目运维管理办法及保障措施。</w:t>
      </w:r>
    </w:p>
    <w:p w14:paraId="77CF99FD">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6.管理与保障经验</w:t>
      </w:r>
    </w:p>
    <w:p w14:paraId="5959E89F">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根据我市在近年从试点到全域化推进海绵城市建设过程中的工程，总结凝练在全过程中的长期管理与保障的经验，从顶层形成管理政策，相关管理部门落实各类保障等措施，形成管理与保障的优秀经验。</w:t>
      </w:r>
    </w:p>
    <w:p w14:paraId="7092BE7B">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7.典型建设案例</w:t>
      </w:r>
    </w:p>
    <w:p w14:paraId="52B6C316">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根据我市特点，选取特色鲜明、总体建设成效较好的片区。总结系统化实施方案技术路线。</w:t>
      </w:r>
    </w:p>
    <w:p w14:paraId="5B8B2658">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8.创新做法总结</w:t>
      </w:r>
    </w:p>
    <w:p w14:paraId="0197837A">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根据典型建设案例内容，结合城市特点总结凝练规划、建设管控、运维、评价和新技术、新材料、新工艺等其他方面的特色做法。</w:t>
      </w:r>
    </w:p>
    <w:p w14:paraId="0A1FD312">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9.可复制可推广经验总结</w:t>
      </w:r>
    </w:p>
    <w:p w14:paraId="572CDC7B">
      <w:pPr>
        <w:pStyle w:val="2"/>
        <w:widowControl/>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从建章立制、完善管理、技术方案、能力建设、产业培育、人民满意等方面总结城市的特色做法，形成可复制的建设模式，为同类型城市海绵城市建设提供重要经验与借鉴。</w:t>
      </w:r>
    </w:p>
    <w:p w14:paraId="095E5A86">
      <w:pPr>
        <w:widowControl/>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依据海绵城市示范市建设要求，在满足海绵城市监测预警平台使用的基础上，完成</w:t>
      </w:r>
      <w:r>
        <w:rPr>
          <w:rFonts w:hint="eastAsia" w:cs="宋体" w:asciiTheme="minorEastAsia" w:hAnsiTheme="minorEastAsia" w:eastAsiaTheme="minorEastAsia"/>
          <w:sz w:val="24"/>
          <w:szCs w:val="24"/>
        </w:rPr>
        <w:t>中心城区海绵城市现状内涝风险模型模拟构建</w:t>
      </w:r>
      <w:r>
        <w:rPr>
          <w:rFonts w:hint="eastAsia" w:ascii="宋体" w:hAnsi="宋体" w:cs="宋体"/>
          <w:kern w:val="0"/>
          <w:sz w:val="24"/>
          <w:szCs w:val="24"/>
        </w:rPr>
        <w:t>成果，按部委要求做好海绵城市示范市建设期间经验总结及典型案例编制，经相关领域专家验收评审通过后，修改完善提交最终成果完成本项目。</w:t>
      </w:r>
    </w:p>
    <w:p w14:paraId="2D8DDD07">
      <w:pPr>
        <w:rPr>
          <w:rFonts w:hint="eastAsia"/>
        </w:rPr>
      </w:pPr>
    </w:p>
    <w:bookmarkEnd w:id="843"/>
    <w:bookmarkEnd w:id="844"/>
    <w:bookmarkEnd w:id="845"/>
    <w:bookmarkEnd w:id="846"/>
    <w:bookmarkEnd w:id="847"/>
    <w:bookmarkEnd w:id="848"/>
    <w:bookmarkEnd w:id="849"/>
    <w:bookmarkEnd w:id="850"/>
    <w:bookmarkEnd w:id="851"/>
    <w:p w14:paraId="163D59A8">
      <w:pPr>
        <w:pStyle w:val="5"/>
        <w:bidi w:val="0"/>
        <w:jc w:val="both"/>
        <w:rPr>
          <w:rFonts w:hint="eastAsia"/>
        </w:rPr>
      </w:pPr>
      <w:bookmarkStart w:id="860" w:name="_Toc27208"/>
      <w:bookmarkStart w:id="861" w:name="_Toc11784"/>
      <w:bookmarkStart w:id="862" w:name="_Toc22812"/>
      <w:bookmarkStart w:id="863" w:name="_Toc9578"/>
      <w:bookmarkStart w:id="864" w:name="_Toc28143"/>
      <w:bookmarkStart w:id="865" w:name="_Toc2221"/>
      <w:bookmarkStart w:id="866" w:name="_Toc4693"/>
      <w:bookmarkStart w:id="867" w:name="_Toc32472"/>
      <w:bookmarkStart w:id="868" w:name="_Toc20261"/>
      <w:bookmarkStart w:id="869" w:name="_Toc22670"/>
      <w:bookmarkStart w:id="870" w:name="_Toc15622"/>
    </w:p>
    <w:p w14:paraId="4159FD37">
      <w:pPr>
        <w:rPr>
          <w:rFonts w:hint="eastAsia"/>
        </w:rPr>
      </w:pPr>
    </w:p>
    <w:p w14:paraId="2C568776">
      <w:pPr>
        <w:rPr>
          <w:rFonts w:hint="eastAsia"/>
        </w:rPr>
      </w:pPr>
    </w:p>
    <w:p w14:paraId="43974FD4">
      <w:pPr>
        <w:pStyle w:val="2"/>
        <w:rPr>
          <w:rFonts w:hint="eastAsia"/>
        </w:rPr>
      </w:pPr>
    </w:p>
    <w:p w14:paraId="186E3552">
      <w:pPr>
        <w:pStyle w:val="2"/>
        <w:rPr>
          <w:rFonts w:hint="eastAsia"/>
        </w:rPr>
      </w:pPr>
    </w:p>
    <w:p w14:paraId="5E96FC25">
      <w:pPr>
        <w:pStyle w:val="2"/>
        <w:rPr>
          <w:rFonts w:hint="eastAsia"/>
        </w:rPr>
      </w:pPr>
    </w:p>
    <w:p w14:paraId="063649CC">
      <w:pPr>
        <w:pStyle w:val="2"/>
        <w:rPr>
          <w:rFonts w:hint="eastAsia"/>
        </w:rPr>
      </w:pPr>
    </w:p>
    <w:p w14:paraId="60F034B9">
      <w:pPr>
        <w:pStyle w:val="2"/>
        <w:rPr>
          <w:rFonts w:hint="eastAsia"/>
        </w:rPr>
      </w:pPr>
    </w:p>
    <w:p w14:paraId="16252F1F">
      <w:pPr>
        <w:pStyle w:val="2"/>
        <w:rPr>
          <w:rFonts w:hint="eastAsia"/>
        </w:rPr>
      </w:pPr>
    </w:p>
    <w:p w14:paraId="03EBF01D">
      <w:pPr>
        <w:pStyle w:val="2"/>
        <w:rPr>
          <w:rFonts w:hint="eastAsia"/>
        </w:rPr>
      </w:pPr>
    </w:p>
    <w:p w14:paraId="7A1120C6">
      <w:pPr>
        <w:pStyle w:val="2"/>
        <w:rPr>
          <w:rFonts w:hint="eastAsia"/>
        </w:rPr>
      </w:pPr>
    </w:p>
    <w:p w14:paraId="7F281F1C">
      <w:pPr>
        <w:pStyle w:val="2"/>
        <w:rPr>
          <w:rFonts w:hint="eastAsia"/>
        </w:rPr>
      </w:pPr>
    </w:p>
    <w:p w14:paraId="4BFA8455">
      <w:pPr>
        <w:pStyle w:val="2"/>
        <w:rPr>
          <w:rFonts w:hint="eastAsia"/>
        </w:rPr>
      </w:pPr>
    </w:p>
    <w:p w14:paraId="56678914">
      <w:pPr>
        <w:pStyle w:val="2"/>
        <w:rPr>
          <w:rFonts w:hint="eastAsia"/>
        </w:rPr>
      </w:pPr>
    </w:p>
    <w:p w14:paraId="79AA2CAB">
      <w:pPr>
        <w:pStyle w:val="2"/>
        <w:rPr>
          <w:rFonts w:hint="eastAsia"/>
        </w:rPr>
      </w:pPr>
    </w:p>
    <w:p w14:paraId="38F1316A">
      <w:pPr>
        <w:pStyle w:val="2"/>
        <w:rPr>
          <w:rFonts w:hint="eastAsia"/>
        </w:rPr>
      </w:pPr>
    </w:p>
    <w:p w14:paraId="3186E095">
      <w:pPr>
        <w:rPr>
          <w:rFonts w:hint="eastAsia"/>
        </w:rPr>
      </w:pPr>
    </w:p>
    <w:p w14:paraId="1E42AC59">
      <w:pPr>
        <w:rPr>
          <w:rFonts w:hint="eastAsia"/>
        </w:rPr>
      </w:pPr>
    </w:p>
    <w:p w14:paraId="673155E4">
      <w:pPr>
        <w:rPr>
          <w:rFonts w:hint="eastAsia"/>
        </w:rPr>
      </w:pPr>
    </w:p>
    <w:p w14:paraId="3495989E">
      <w:pPr>
        <w:rPr>
          <w:rFonts w:hint="eastAsia"/>
        </w:rPr>
      </w:pPr>
    </w:p>
    <w:p w14:paraId="23AEEEBF">
      <w:pPr>
        <w:pStyle w:val="5"/>
        <w:bidi w:val="0"/>
        <w:jc w:val="center"/>
        <w:rPr>
          <w:rFonts w:hint="eastAsia"/>
        </w:rPr>
      </w:pPr>
      <w:r>
        <w:rPr>
          <w:rFonts w:hint="eastAsia"/>
        </w:rPr>
        <w:t>第七章 投标文件格式</w:t>
      </w:r>
      <w:bookmarkEnd w:id="860"/>
      <w:bookmarkEnd w:id="861"/>
      <w:bookmarkEnd w:id="862"/>
      <w:bookmarkEnd w:id="863"/>
      <w:bookmarkEnd w:id="864"/>
      <w:bookmarkEnd w:id="865"/>
      <w:bookmarkEnd w:id="866"/>
      <w:bookmarkEnd w:id="867"/>
      <w:bookmarkEnd w:id="868"/>
      <w:bookmarkEnd w:id="869"/>
      <w:bookmarkEnd w:id="870"/>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71" w:name="_Toc16098"/>
      <w:bookmarkStart w:id="872" w:name="_Toc11924"/>
      <w:bookmarkStart w:id="873" w:name="_Toc19191"/>
      <w:bookmarkStart w:id="874" w:name="_Toc11980"/>
      <w:bookmarkStart w:id="875" w:name="_Toc8114"/>
      <w:bookmarkStart w:id="876" w:name="_Toc32216"/>
      <w:bookmarkStart w:id="877" w:name="_Toc30729"/>
      <w:r>
        <w:rPr>
          <w:rFonts w:hint="eastAsia" w:ascii="宋体" w:hAnsi="宋体" w:cs="宋体"/>
          <w:b/>
          <w:bCs/>
          <w:color w:val="000000"/>
          <w:sz w:val="30"/>
          <w:szCs w:val="30"/>
          <w:lang w:val="zh-CN"/>
        </w:rPr>
        <w:t>项目编号：</w:t>
      </w:r>
      <w:bookmarkEnd w:id="871"/>
      <w:bookmarkEnd w:id="872"/>
      <w:bookmarkEnd w:id="873"/>
      <w:bookmarkEnd w:id="874"/>
      <w:bookmarkEnd w:id="875"/>
      <w:bookmarkEnd w:id="876"/>
      <w:bookmarkEnd w:id="877"/>
      <w:r>
        <w:rPr>
          <w:rFonts w:hint="eastAsia" w:ascii="宋体" w:hAnsi="宋体" w:cs="宋体"/>
          <w:b/>
          <w:bCs/>
          <w:color w:val="000000"/>
          <w:sz w:val="30"/>
          <w:szCs w:val="30"/>
          <w:lang w:val="zh-CN"/>
        </w:rPr>
        <w:t>ZXZB-2025-CG003</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3"/>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3"/>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4"/>
          <w:szCs w:val="44"/>
          <w:lang w:val="zh-CN" w:eastAsia="zh-CN"/>
        </w:rPr>
        <w:t>延安市城市建设项目服务中心延安市海绵城市能力提升和经验总结项目（二标包）</w:t>
      </w:r>
    </w:p>
    <w:p w14:paraId="6EF7BC22">
      <w:pPr>
        <w:pStyle w:val="11"/>
        <w:rPr>
          <w:rFonts w:hint="eastAsia" w:cs="宋体"/>
          <w:b/>
          <w:bCs/>
          <w:color w:val="000000"/>
          <w:sz w:val="52"/>
          <w:szCs w:val="52"/>
          <w:lang w:eastAsia="zh-CN"/>
        </w:rPr>
      </w:pPr>
    </w:p>
    <w:p w14:paraId="317DCC81">
      <w:pPr>
        <w:pStyle w:val="26"/>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3"/>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3"/>
        <w:rPr>
          <w:rFonts w:hint="eastAsia" w:ascii="宋体" w:hAnsi="宋体" w:cs="宋体"/>
        </w:rPr>
      </w:pPr>
    </w:p>
    <w:p w14:paraId="3B996F20">
      <w:pPr>
        <w:rPr>
          <w:rFonts w:hint="eastAsia" w:ascii="宋体" w:hAnsi="宋体" w:cs="宋体"/>
        </w:rPr>
      </w:pPr>
    </w:p>
    <w:p w14:paraId="283A9ECF">
      <w:pPr>
        <w:pStyle w:val="3"/>
        <w:rPr>
          <w:rFonts w:hint="eastAsia" w:ascii="宋体" w:hAnsi="宋体" w:cs="宋体"/>
        </w:rPr>
      </w:pPr>
    </w:p>
    <w:p w14:paraId="7D334590">
      <w:pPr>
        <w:rPr>
          <w:rFonts w:hint="eastAsia" w:ascii="宋体" w:hAnsi="宋体" w:cs="宋体"/>
        </w:rPr>
      </w:pPr>
    </w:p>
    <w:p w14:paraId="6EE899A4">
      <w:pPr>
        <w:pStyle w:val="3"/>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8" w:name="_Toc26575"/>
      <w:bookmarkStart w:id="879" w:name="_Toc31983"/>
      <w:bookmarkStart w:id="880" w:name="_Toc12328"/>
      <w:bookmarkStart w:id="881" w:name="_Toc12193"/>
      <w:bookmarkStart w:id="882" w:name="_Toc25034"/>
      <w:bookmarkStart w:id="883" w:name="_Toc13959"/>
      <w:bookmarkStart w:id="884" w:name="_Toc20039"/>
      <w:bookmarkStart w:id="885"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8"/>
      <w:bookmarkEnd w:id="879"/>
      <w:bookmarkEnd w:id="880"/>
      <w:bookmarkEnd w:id="881"/>
      <w:bookmarkEnd w:id="882"/>
      <w:bookmarkEnd w:id="883"/>
      <w:bookmarkEnd w:id="884"/>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6" w:name="_Toc2875"/>
      <w:bookmarkStart w:id="887" w:name="_Toc7290"/>
      <w:bookmarkStart w:id="888" w:name="_Toc13879"/>
      <w:bookmarkStart w:id="889" w:name="_Toc9955"/>
      <w:bookmarkStart w:id="890" w:name="_Toc343512253"/>
      <w:bookmarkStart w:id="891" w:name="_Toc24127"/>
      <w:bookmarkStart w:id="892" w:name="_Toc12443"/>
      <w:bookmarkStart w:id="893" w:name="_Toc23903"/>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86"/>
      <w:bookmarkEnd w:id="887"/>
      <w:bookmarkEnd w:id="888"/>
      <w:bookmarkEnd w:id="889"/>
      <w:bookmarkEnd w:id="890"/>
      <w:bookmarkEnd w:id="891"/>
      <w:bookmarkEnd w:id="892"/>
      <w:bookmarkEnd w:id="893"/>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94" w:name="_Toc27789"/>
      <w:bookmarkStart w:id="895" w:name="_Toc18563"/>
      <w:bookmarkStart w:id="896" w:name="_Toc29467"/>
      <w:bookmarkStart w:id="897" w:name="_Toc1301"/>
      <w:bookmarkStart w:id="898" w:name="_Toc9488"/>
      <w:bookmarkStart w:id="899" w:name="_Toc28259"/>
      <w:bookmarkStart w:id="900" w:name="_Toc23630"/>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94"/>
      <w:bookmarkEnd w:id="895"/>
      <w:bookmarkEnd w:id="896"/>
      <w:bookmarkEnd w:id="897"/>
      <w:bookmarkEnd w:id="898"/>
      <w:bookmarkEnd w:id="899"/>
      <w:bookmarkEnd w:id="900"/>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901" w:name="_Toc343512254"/>
      <w:r>
        <w:rPr>
          <w:rFonts w:hint="eastAsia" w:ascii="宋体" w:hAnsi="宋体" w:cs="宋体"/>
          <w:b/>
          <w:color w:val="000000"/>
          <w:sz w:val="28"/>
          <w:szCs w:val="28"/>
        </w:rPr>
        <w:t xml:space="preserve">  年    月    日</w:t>
      </w:r>
      <w:bookmarkEnd w:id="901"/>
    </w:p>
    <w:bookmarkEnd w:id="885"/>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902" w:name="_Toc343512255"/>
      <w:bookmarkStart w:id="903" w:name="_Toc246996355"/>
      <w:bookmarkStart w:id="904" w:name="_Toc152045787"/>
      <w:bookmarkStart w:id="905" w:name="_Toc247085873"/>
      <w:bookmarkStart w:id="906" w:name="_Toc179632807"/>
      <w:bookmarkStart w:id="907" w:name="_Toc152042576"/>
      <w:bookmarkStart w:id="908" w:name="_Toc246997098"/>
      <w:bookmarkStart w:id="909" w:name="_Toc144974856"/>
      <w:bookmarkStart w:id="910" w:name="_Toc132684575"/>
      <w:bookmarkStart w:id="911" w:name="_Toc145989459"/>
      <w:bookmarkStart w:id="912" w:name="_Toc169940965"/>
      <w:r>
        <w:rPr>
          <w:rFonts w:hint="eastAsia" w:ascii="宋体" w:hAnsi="宋体" w:cs="宋体"/>
          <w:b/>
          <w:color w:val="000000"/>
          <w:sz w:val="44"/>
          <w:szCs w:val="44"/>
        </w:rPr>
        <w:t>目    录</w:t>
      </w:r>
      <w:bookmarkEnd w:id="902"/>
      <w:bookmarkEnd w:id="903"/>
      <w:bookmarkEnd w:id="904"/>
      <w:bookmarkEnd w:id="905"/>
      <w:bookmarkEnd w:id="906"/>
      <w:bookmarkEnd w:id="907"/>
      <w:bookmarkEnd w:id="908"/>
      <w:bookmarkEnd w:id="909"/>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13"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13"/>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8"/>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10"/>
    <w:bookmarkEnd w:id="911"/>
    <w:bookmarkEnd w:id="912"/>
    <w:p w14:paraId="56DE1A38">
      <w:pPr>
        <w:numPr>
          <w:ilvl w:val="0"/>
          <w:numId w:val="0"/>
        </w:numPr>
        <w:spacing w:line="360" w:lineRule="auto"/>
        <w:jc w:val="center"/>
        <w:outlineLvl w:val="1"/>
        <w:rPr>
          <w:rFonts w:hint="eastAsia" w:ascii="宋体" w:hAnsi="宋体" w:cs="宋体"/>
          <w:b/>
          <w:color w:val="000000"/>
          <w:sz w:val="28"/>
          <w:szCs w:val="28"/>
        </w:rPr>
      </w:pPr>
      <w:bookmarkStart w:id="914" w:name="_Toc343512414"/>
      <w:bookmarkStart w:id="915" w:name="_Toc179632827"/>
      <w:bookmarkStart w:id="916" w:name="_Toc246997115"/>
      <w:bookmarkStart w:id="917" w:name="_Toc144974875"/>
      <w:bookmarkStart w:id="918" w:name="_Toc394320941"/>
      <w:bookmarkStart w:id="919" w:name="_Toc246996372"/>
      <w:bookmarkStart w:id="920" w:name="_Toc152045807"/>
      <w:bookmarkStart w:id="921" w:name="_Toc152042596"/>
      <w:bookmarkStart w:id="922" w:name="_Toc361406472"/>
      <w:bookmarkStart w:id="923" w:name="_Toc247085890"/>
      <w:bookmarkStart w:id="924" w:name="_Toc397410506"/>
      <w:bookmarkStart w:id="925" w:name="_Toc456197116"/>
      <w:bookmarkStart w:id="926" w:name="_Toc395711854"/>
      <w:bookmarkStart w:id="927" w:name="_Toc397585273"/>
      <w:bookmarkStart w:id="928" w:name="_Toc397410693"/>
      <w:bookmarkStart w:id="929" w:name="_Toc394320935"/>
      <w:bookmarkStart w:id="930" w:name="_Toc490171582"/>
      <w:bookmarkStart w:id="931" w:name="_Toc361406466"/>
      <w:bookmarkStart w:id="932" w:name="_Toc522893843"/>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3"/>
        <w:numPr>
          <w:ilvl w:val="0"/>
          <w:numId w:val="0"/>
        </w:numPr>
        <w:rPr>
          <w:rFonts w:hint="eastAsia"/>
        </w:rPr>
      </w:pPr>
    </w:p>
    <w:bookmarkEnd w:id="914"/>
    <w:bookmarkEnd w:id="915"/>
    <w:bookmarkEnd w:id="916"/>
    <w:bookmarkEnd w:id="917"/>
    <w:bookmarkEnd w:id="918"/>
    <w:bookmarkEnd w:id="919"/>
    <w:bookmarkEnd w:id="920"/>
    <w:bookmarkEnd w:id="921"/>
    <w:bookmarkEnd w:id="922"/>
    <w:bookmarkEnd w:id="923"/>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6AE1DEA4">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提供经年检有效的“三证合一”的营业执照（附2024年度报告书）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5</w:t>
      </w:r>
      <w:r>
        <w:rPr>
          <w:rFonts w:hint="eastAsia" w:ascii="宋体" w:hAnsi="宋体" w:eastAsia="宋体" w:cs="宋体"/>
          <w:bCs/>
          <w:color w:val="000000"/>
          <w:sz w:val="24"/>
          <w:szCs w:val="24"/>
          <w:lang w:val="en-US"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6</w:t>
      </w:r>
      <w:r>
        <w:rPr>
          <w:rFonts w:hint="eastAsia" w:ascii="宋体" w:hAnsi="宋体" w:eastAsia="宋体" w:cs="宋体"/>
          <w:bCs/>
          <w:color w:val="000000"/>
          <w:sz w:val="24"/>
          <w:szCs w:val="24"/>
          <w:lang w:val="en-US" w:eastAsia="zh-CN"/>
        </w:rPr>
        <w:t>.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7</w:t>
      </w:r>
      <w:r>
        <w:rPr>
          <w:rFonts w:hint="eastAsia" w:ascii="宋体" w:hAnsi="宋体" w:eastAsia="宋体" w:cs="宋体"/>
          <w:bCs/>
          <w:color w:val="000000"/>
          <w:sz w:val="24"/>
          <w:szCs w:val="24"/>
          <w:lang w:val="en-US" w:eastAsia="zh-CN"/>
        </w:rPr>
        <w:t>.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8</w:t>
      </w:r>
      <w:r>
        <w:rPr>
          <w:rFonts w:hint="eastAsia" w:ascii="宋体" w:hAnsi="宋体" w:eastAsia="宋体" w:cs="宋体"/>
          <w:bCs/>
          <w:color w:val="000000"/>
          <w:sz w:val="24"/>
          <w:szCs w:val="24"/>
          <w:lang w:val="en-US" w:eastAsia="zh-CN"/>
        </w:rPr>
        <w:t>.提供参加政府采购活动前3年内经营活动中无重大违法记录声明；</w:t>
      </w:r>
    </w:p>
    <w:p w14:paraId="274D35F8">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9</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投标保证金缴纳凭证</w:t>
      </w:r>
      <w:r>
        <w:rPr>
          <w:rFonts w:hint="eastAsia" w:ascii="宋体" w:hAnsi="宋体" w:eastAsia="宋体" w:cs="宋体"/>
          <w:bCs/>
          <w:color w:val="000000"/>
          <w:sz w:val="24"/>
          <w:szCs w:val="24"/>
          <w:lang w:val="en-US" w:eastAsia="zh-CN"/>
        </w:rPr>
        <w:t>；</w:t>
      </w:r>
    </w:p>
    <w:p w14:paraId="1E0D2FA0">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0</w:t>
      </w:r>
      <w:r>
        <w:rPr>
          <w:rFonts w:hint="eastAsia" w:ascii="宋体" w:hAnsi="宋体" w:eastAsia="宋体" w:cs="宋体"/>
          <w:bCs/>
          <w:color w:val="000000"/>
          <w:sz w:val="24"/>
          <w:szCs w:val="24"/>
          <w:lang w:val="en-US" w:eastAsia="zh-CN"/>
        </w:rPr>
        <w:t>.本项目接受联合体投标。</w:t>
      </w:r>
    </w:p>
    <w:p w14:paraId="79415456">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（投标人如为联合体投标的，需提供联合体各方相关资料）</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中禧国际项目管理有限公司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中禧国际项目管理有限公司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2"/>
        <w:spacing w:line="360" w:lineRule="auto"/>
        <w:ind w:firstLine="440"/>
        <w:rPr>
          <w:rFonts w:hint="eastAsia" w:ascii="宋体" w:hAnsi="宋体" w:cs="宋体"/>
          <w:sz w:val="44"/>
          <w:szCs w:val="44"/>
        </w:rPr>
      </w:pPr>
    </w:p>
    <w:p w14:paraId="57A86A16">
      <w:pPr>
        <w:pStyle w:val="2"/>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2"/>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795DB0B9">
      <w:pPr>
        <w:widowControl/>
        <w:spacing w:line="360" w:lineRule="auto"/>
        <w:ind w:firstLine="480"/>
        <w:rPr>
          <w:rFonts w:hint="eastAsia" w:hAnsi="宋体" w:cs="宋体"/>
          <w:szCs w:val="24"/>
        </w:rPr>
      </w:pPr>
      <w:r>
        <w:rPr>
          <w:rFonts w:hint="eastAsia" w:hAnsi="宋体" w:cs="宋体"/>
          <w:szCs w:val="24"/>
        </w:rPr>
        <w:t>（非联合体投标的供应商应提供“非联合体声明”，无需提交“联合体协议书”；联合体投标的供应商应提供“联合体协议书”，无需提交“非联合体声明”，无需提交的资料，供应商在编制投标文件时可直接删除该格式。）</w:t>
      </w:r>
    </w:p>
    <w:p w14:paraId="3841B665">
      <w:pPr>
        <w:widowControl/>
        <w:spacing w:line="360" w:lineRule="auto"/>
        <w:jc w:val="left"/>
        <w:rPr>
          <w:rFonts w:hint="eastAsia" w:ascii="宋体" w:hAnsi="宋体" w:cs="宋体"/>
          <w:b/>
          <w:color w:val="000000"/>
          <w:sz w:val="36"/>
          <w:szCs w:val="36"/>
        </w:rPr>
      </w:pPr>
    </w:p>
    <w:p w14:paraId="7B94BF01">
      <w:pPr>
        <w:pStyle w:val="3"/>
        <w:jc w:val="left"/>
        <w:rPr>
          <w:rFonts w:hint="eastAsia" w:ascii="宋体" w:hAnsi="宋体" w:cs="宋体"/>
          <w:b/>
          <w:color w:val="000000"/>
          <w:sz w:val="36"/>
          <w:szCs w:val="36"/>
        </w:rPr>
      </w:pPr>
      <w:r>
        <w:rPr>
          <w:rFonts w:hint="eastAsia" w:ascii="宋体" w:hAnsi="宋体" w:cs="宋体"/>
          <w:b/>
          <w:color w:val="000000"/>
          <w:sz w:val="36"/>
          <w:szCs w:val="36"/>
        </w:rPr>
        <w:br w:type="page"/>
      </w:r>
    </w:p>
    <w:p w14:paraId="1FAB4274">
      <w:pPr>
        <w:widowControl/>
        <w:jc w:val="both"/>
        <w:rPr>
          <w:rFonts w:hint="eastAsia" w:hAnsi="宋体" w:cs="宋体"/>
          <w:b/>
          <w:bCs/>
          <w:color w:val="000000"/>
          <w:szCs w:val="24"/>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491F6E1A">
      <w:pPr>
        <w:widowControl/>
        <w:jc w:val="center"/>
        <w:rPr>
          <w:rFonts w:hint="eastAsia" w:hAnsi="宋体" w:cs="宋体"/>
          <w:b/>
          <w:bCs/>
          <w:color w:val="000000"/>
          <w:szCs w:val="24"/>
        </w:rPr>
      </w:pPr>
    </w:p>
    <w:p w14:paraId="61B3ABDA">
      <w:pPr>
        <w:widowControl/>
        <w:jc w:val="center"/>
        <w:rPr>
          <w:rFonts w:hint="eastAsia" w:hAnsi="宋体" w:cs="宋体"/>
          <w:b/>
          <w:bCs/>
          <w:color w:val="000000"/>
          <w:szCs w:val="24"/>
        </w:rPr>
      </w:pPr>
    </w:p>
    <w:p w14:paraId="16F77DED">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联合体协议书</w:t>
      </w:r>
    </w:p>
    <w:p w14:paraId="09CE1449">
      <w:pPr>
        <w:spacing w:line="360" w:lineRule="auto"/>
        <w:ind w:firstLine="420" w:firstLineChars="200"/>
        <w:rPr>
          <w:rFonts w:hAnsi="宋体"/>
          <w:szCs w:val="21"/>
        </w:rPr>
      </w:pPr>
      <w:r>
        <w:rPr>
          <w:rFonts w:hint="eastAsia" w:hAnsi="宋体"/>
          <w:szCs w:val="21"/>
        </w:rPr>
        <w:t>牵头人名称：</w:t>
      </w:r>
      <w:r>
        <w:rPr>
          <w:rFonts w:hint="eastAsia" w:hAnsi="宋体"/>
          <w:szCs w:val="21"/>
          <w:u w:val="single"/>
        </w:rPr>
        <w:t xml:space="preserve">                                  </w:t>
      </w:r>
    </w:p>
    <w:p w14:paraId="2E92F1E3">
      <w:pPr>
        <w:spacing w:line="360" w:lineRule="auto"/>
        <w:ind w:firstLine="420" w:firstLineChars="200"/>
        <w:rPr>
          <w:rFonts w:hAnsi="宋体"/>
          <w:szCs w:val="21"/>
        </w:rPr>
      </w:pPr>
      <w:r>
        <w:rPr>
          <w:rFonts w:hint="eastAsia" w:hAnsi="宋体"/>
          <w:szCs w:val="21"/>
        </w:rPr>
        <w:t>法定代表人：</w:t>
      </w:r>
      <w:r>
        <w:rPr>
          <w:rFonts w:hint="eastAsia" w:hAnsi="宋体"/>
          <w:szCs w:val="21"/>
          <w:u w:val="single"/>
        </w:rPr>
        <w:t xml:space="preserve">                                  </w:t>
      </w:r>
    </w:p>
    <w:p w14:paraId="34AB91F9">
      <w:pPr>
        <w:spacing w:line="360" w:lineRule="auto"/>
        <w:ind w:firstLine="420" w:firstLineChars="200"/>
        <w:rPr>
          <w:rFonts w:hAnsi="宋体"/>
          <w:szCs w:val="21"/>
        </w:rPr>
      </w:pPr>
      <w:r>
        <w:rPr>
          <w:rFonts w:hint="eastAsia" w:hAnsi="宋体"/>
          <w:szCs w:val="21"/>
        </w:rPr>
        <w:t>成员二名称：</w:t>
      </w:r>
      <w:r>
        <w:rPr>
          <w:rFonts w:hint="eastAsia" w:hAnsi="宋体"/>
          <w:szCs w:val="21"/>
          <w:u w:val="single"/>
        </w:rPr>
        <w:t xml:space="preserve">                                 </w:t>
      </w:r>
      <w:r>
        <w:rPr>
          <w:rFonts w:hAnsi="宋体"/>
          <w:szCs w:val="21"/>
          <w:u w:val="single"/>
        </w:rPr>
        <w:t xml:space="preserve"> </w:t>
      </w:r>
    </w:p>
    <w:p w14:paraId="2E11099B">
      <w:pPr>
        <w:spacing w:line="360" w:lineRule="auto"/>
        <w:ind w:firstLine="420" w:firstLineChars="200"/>
        <w:rPr>
          <w:rFonts w:hAnsi="宋体"/>
          <w:szCs w:val="21"/>
        </w:rPr>
      </w:pPr>
      <w:r>
        <w:rPr>
          <w:rFonts w:hint="eastAsia" w:hAnsi="宋体"/>
          <w:szCs w:val="21"/>
        </w:rPr>
        <w:t>法定代表人：</w:t>
      </w:r>
      <w:r>
        <w:rPr>
          <w:rFonts w:hint="eastAsia" w:hAnsi="宋体"/>
          <w:szCs w:val="21"/>
          <w:u w:val="single"/>
        </w:rPr>
        <w:t xml:space="preserve">                                  </w:t>
      </w:r>
    </w:p>
    <w:p w14:paraId="67A656A5">
      <w:pPr>
        <w:spacing w:line="360" w:lineRule="auto"/>
        <w:ind w:firstLine="420" w:firstLineChars="200"/>
        <w:rPr>
          <w:rFonts w:hAnsi="宋体"/>
          <w:szCs w:val="21"/>
        </w:rPr>
      </w:pPr>
      <w:r>
        <w:rPr>
          <w:rFonts w:hint="eastAsia" w:hAnsi="宋体"/>
          <w:szCs w:val="21"/>
        </w:rPr>
        <w:t>……</w:t>
      </w:r>
    </w:p>
    <w:p w14:paraId="7614C423">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鉴于上述各成员单位经过友好协商，自愿组成联合体，共同参加</w:t>
      </w:r>
      <w:r>
        <w:rPr>
          <w:rFonts w:hint="eastAsia" w:ascii="宋体" w:hAnsi="宋体" w:cs="宋体"/>
          <w:spacing w:val="-2"/>
          <w:sz w:val="24"/>
          <w:szCs w:val="24"/>
          <w:u w:val="single"/>
        </w:rPr>
        <w:t>（采购人名称）（项目名称）</w:t>
      </w:r>
      <w:r>
        <w:rPr>
          <w:rFonts w:hint="eastAsia" w:ascii="宋体" w:hAnsi="宋体" w:cs="宋体"/>
          <w:spacing w:val="-2"/>
          <w:sz w:val="24"/>
          <w:szCs w:val="24"/>
        </w:rPr>
        <w:t xml:space="preserve">采购招标项目投标。现就联合体投标事宜订立如下协议。 </w:t>
      </w:r>
    </w:p>
    <w:p w14:paraId="62A06515">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1.</w:t>
      </w:r>
      <w:r>
        <w:rPr>
          <w:rFonts w:hint="eastAsia" w:ascii="宋体" w:hAnsi="宋体"/>
          <w:sz w:val="24"/>
          <w:szCs w:val="24"/>
        </w:rPr>
        <w:t>认定</w:t>
      </w:r>
      <w:r>
        <w:rPr>
          <w:rFonts w:ascii="宋体" w:hAnsi="宋体"/>
          <w:sz w:val="24"/>
          <w:szCs w:val="24"/>
          <w:u w:val="single"/>
        </w:rPr>
        <w:t xml:space="preserve">              </w:t>
      </w:r>
      <w:r>
        <w:rPr>
          <w:rFonts w:hint="eastAsia" w:ascii="宋体" w:hAnsi="宋体"/>
          <w:sz w:val="24"/>
          <w:szCs w:val="24"/>
          <w:u w:val="single"/>
        </w:rPr>
        <w:t>（某成员单位名称）</w:t>
      </w:r>
      <w:r>
        <w:rPr>
          <w:rFonts w:hint="eastAsia" w:ascii="宋体" w:hAnsi="宋体"/>
          <w:sz w:val="24"/>
          <w:szCs w:val="24"/>
        </w:rPr>
        <w:t>为</w:t>
      </w:r>
      <w:r>
        <w:rPr>
          <w:rFonts w:ascii="宋体" w:hAnsi="宋体"/>
          <w:sz w:val="24"/>
          <w:szCs w:val="24"/>
          <w:u w:val="single"/>
        </w:rPr>
        <w:t xml:space="preserve">             </w:t>
      </w:r>
      <w:r>
        <w:rPr>
          <w:rFonts w:hint="eastAsia" w:ascii="宋体" w:hAnsi="宋体"/>
          <w:sz w:val="24"/>
          <w:szCs w:val="24"/>
          <w:u w:val="single"/>
        </w:rPr>
        <w:t xml:space="preserve"> （联合体名称）</w:t>
      </w:r>
      <w:r>
        <w:rPr>
          <w:rFonts w:hint="eastAsia" w:ascii="宋体" w:hAnsi="宋体"/>
          <w:sz w:val="24"/>
          <w:szCs w:val="24"/>
        </w:rPr>
        <w:t>牵头人，共同认定</w:t>
      </w:r>
      <w:r>
        <w:rPr>
          <w:rFonts w:hint="eastAsia" w:ascii="宋体" w:hAnsi="宋体"/>
          <w:sz w:val="24"/>
          <w:szCs w:val="24"/>
          <w:u w:val="single"/>
        </w:rPr>
        <w:t xml:space="preserve">    （姓名，证书编号）</w:t>
      </w:r>
      <w:r>
        <w:rPr>
          <w:rFonts w:hint="eastAsia" w:ascii="宋体" w:hAnsi="宋体"/>
          <w:sz w:val="24"/>
          <w:szCs w:val="24"/>
        </w:rPr>
        <w:t>为联合体投标的项目经理</w:t>
      </w:r>
      <w:r>
        <w:rPr>
          <w:rFonts w:hint="eastAsia" w:ascii="宋体" w:hAnsi="宋体" w:cs="宋体"/>
          <w:spacing w:val="-2"/>
          <w:sz w:val="24"/>
          <w:szCs w:val="24"/>
        </w:rPr>
        <w:t xml:space="preserve">。 </w:t>
      </w:r>
    </w:p>
    <w:p w14:paraId="1F38D834">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 xml:space="preserve">2.联合体各成员授权牵头人代表联合体参加投标活动，签署文件，提交和接收相关的资料、信息及指示，进行合同谈判活动，负责合同实施阶段的组织和协调工作，以及处理与本招标项目有关的一切事宜。 </w:t>
      </w:r>
    </w:p>
    <w:p w14:paraId="11AE4F9C">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 xml:space="preserve">3.联合体牵头人在本项目中签署的一切文件和处理的一切事宜，联合体各成员均予以承认。联合体各成员将严格按照招标文件、投标文件和合同的要求全面履行义务，并向招标人承担连带责任。 </w:t>
      </w:r>
    </w:p>
    <w:p w14:paraId="0C78169F">
      <w:pPr>
        <w:spacing w:line="360" w:lineRule="auto"/>
        <w:ind w:firstLine="412" w:firstLineChars="200"/>
        <w:rPr>
          <w:rFonts w:hint="eastAsia" w:hAnsi="宋体" w:cs="宋体"/>
          <w:spacing w:val="-2"/>
          <w:szCs w:val="24"/>
        </w:rPr>
      </w:pPr>
      <w:r>
        <w:rPr>
          <w:rFonts w:hint="eastAsia" w:hAnsi="宋体" w:cs="宋体"/>
          <w:spacing w:val="-2"/>
          <w:szCs w:val="24"/>
        </w:rPr>
        <w:t>4.联合体各成员单位内部的职责分工及主要工作内容如下:</w:t>
      </w:r>
    </w:p>
    <w:p w14:paraId="415A8B5D">
      <w:pPr>
        <w:spacing w:line="360" w:lineRule="auto"/>
        <w:ind w:firstLine="420" w:firstLineChars="200"/>
        <w:rPr>
          <w:rFonts w:hint="eastAsia" w:hAnsi="宋体"/>
          <w:szCs w:val="21"/>
          <w:u w:val="single"/>
        </w:rPr>
      </w:pPr>
      <w:r>
        <w:rPr>
          <w:rFonts w:hint="eastAsia" w:hAnsi="宋体"/>
          <w:szCs w:val="21"/>
        </w:rPr>
        <w:t>①</w:t>
      </w:r>
      <w:r>
        <w:rPr>
          <w:rFonts w:hint="eastAsia" w:hAnsi="宋体"/>
          <w:szCs w:val="21"/>
          <w:u w:val="single"/>
        </w:rPr>
        <w:t xml:space="preserve">                                  ；</w:t>
      </w:r>
    </w:p>
    <w:p w14:paraId="74032389">
      <w:pPr>
        <w:spacing w:line="360" w:lineRule="auto"/>
        <w:ind w:firstLine="420" w:firstLineChars="200"/>
        <w:rPr>
          <w:rFonts w:hint="eastAsia" w:hAnsi="宋体"/>
          <w:szCs w:val="21"/>
          <w:u w:val="single"/>
        </w:rPr>
      </w:pPr>
      <w:r>
        <w:rPr>
          <w:rFonts w:hint="eastAsia" w:hAnsi="宋体"/>
          <w:szCs w:val="21"/>
        </w:rPr>
        <w:t>②</w:t>
      </w:r>
      <w:r>
        <w:rPr>
          <w:rFonts w:hint="eastAsia" w:hAnsi="宋体"/>
          <w:szCs w:val="21"/>
          <w:u w:val="single"/>
        </w:rPr>
        <w:t xml:space="preserve">                                  ；</w:t>
      </w:r>
    </w:p>
    <w:p w14:paraId="1BD2C1D7">
      <w:pPr>
        <w:spacing w:line="360" w:lineRule="auto"/>
        <w:ind w:firstLine="420" w:firstLineChars="200"/>
        <w:rPr>
          <w:rFonts w:hAnsi="宋体"/>
          <w:szCs w:val="21"/>
          <w:u w:val="single"/>
        </w:rPr>
      </w:pPr>
      <w:r>
        <w:rPr>
          <w:rFonts w:hint="eastAsia" w:hAnsi="宋体"/>
          <w:szCs w:val="21"/>
        </w:rPr>
        <w:t>......</w:t>
      </w:r>
    </w:p>
    <w:p w14:paraId="21DBB4A1">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 xml:space="preserve">5.联合体中标后，本联合体协议是合同的附件，对联合体各成员单位有合同约束力，本协议书自所有成员单位法定代表人（单位负责人）或其委托代理人签字或盖单位章之日起生效，合同履行完毕后自动失效。 </w:t>
      </w:r>
    </w:p>
    <w:p w14:paraId="6EB260F2">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6.本协议书一式</w:t>
      </w:r>
      <w:r>
        <w:rPr>
          <w:rFonts w:hint="eastAsia" w:ascii="宋体" w:hAnsi="宋体" w:cs="宋体"/>
          <w:spacing w:val="-2"/>
          <w:sz w:val="24"/>
          <w:szCs w:val="24"/>
          <w:u w:val="single"/>
        </w:rPr>
        <w:t xml:space="preserve">       </w:t>
      </w:r>
      <w:r>
        <w:rPr>
          <w:rFonts w:hint="eastAsia" w:ascii="宋体" w:hAnsi="宋体" w:cs="宋体"/>
          <w:spacing w:val="-2"/>
          <w:sz w:val="24"/>
          <w:szCs w:val="24"/>
        </w:rPr>
        <w:t xml:space="preserve">份，联合体成员和招标人各执一份。 </w:t>
      </w:r>
    </w:p>
    <w:p w14:paraId="388B5087">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 xml:space="preserve">注：本协议书由法定代表人（单位负责人）签字的，应附法定代表人（单位负责人）身份证明；由委托代理人签字的，应附授权委托书。 </w:t>
      </w:r>
    </w:p>
    <w:p w14:paraId="0785DADE">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 xml:space="preserve">联合体牵头人名称：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 w:val="24"/>
          <w:szCs w:val="24"/>
          <w:u w:val="single"/>
        </w:rPr>
        <w:t>（盖单位章）</w:t>
      </w:r>
    </w:p>
    <w:p w14:paraId="7AE83F6A">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法定代表人（单位负责人）或其委托代理人：</w:t>
      </w:r>
      <w:r>
        <w:rPr>
          <w:rFonts w:hint="eastAsia" w:ascii="宋体" w:hAnsi="宋体" w:cs="宋体"/>
          <w:spacing w:val="-2"/>
          <w:sz w:val="24"/>
          <w:szCs w:val="24"/>
          <w:u w:val="single"/>
        </w:rPr>
        <w:t xml:space="preserve">               </w:t>
      </w:r>
      <w:r>
        <w:rPr>
          <w:rFonts w:hint="eastAsia" w:ascii="宋体" w:hAnsi="宋体" w:cs="宋体"/>
          <w:spacing w:val="-2"/>
          <w:sz w:val="24"/>
          <w:szCs w:val="24"/>
        </w:rPr>
        <w:t xml:space="preserve">（签字或盖章） </w:t>
      </w:r>
    </w:p>
    <w:p w14:paraId="37222717">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联合体成员二名称：</w:t>
      </w:r>
      <w:r>
        <w:rPr>
          <w:rFonts w:ascii="宋体" w:hAnsi="宋体"/>
          <w:szCs w:val="21"/>
          <w:u w:val="single"/>
        </w:rPr>
        <w:t xml:space="preserve">                                    </w:t>
      </w:r>
      <w:r>
        <w:rPr>
          <w:rFonts w:hint="eastAsia" w:ascii="宋体" w:hAnsi="宋体"/>
          <w:szCs w:val="21"/>
          <w:u w:val="single"/>
        </w:rPr>
        <w:t xml:space="preserve">      </w:t>
      </w:r>
      <w:r>
        <w:rPr>
          <w:rFonts w:hint="eastAsia" w:ascii="宋体" w:hAnsi="宋体"/>
          <w:sz w:val="24"/>
          <w:szCs w:val="24"/>
          <w:u w:val="single"/>
        </w:rPr>
        <w:t>（盖单位章）</w:t>
      </w:r>
    </w:p>
    <w:p w14:paraId="36F5F48C">
      <w:pPr>
        <w:pStyle w:val="3"/>
        <w:spacing w:before="55" w:after="0" w:line="360" w:lineRule="auto"/>
        <w:ind w:firstLine="640"/>
        <w:rPr>
          <w:rFonts w:hint="eastAsia" w:ascii="宋体" w:hAnsi="宋体" w:cs="宋体"/>
          <w:spacing w:val="-2"/>
          <w:sz w:val="24"/>
          <w:szCs w:val="24"/>
        </w:rPr>
      </w:pPr>
      <w:r>
        <w:rPr>
          <w:rFonts w:hint="eastAsia" w:ascii="宋体" w:hAnsi="宋体" w:cs="宋体"/>
          <w:spacing w:val="-2"/>
          <w:sz w:val="24"/>
          <w:szCs w:val="24"/>
        </w:rPr>
        <w:t>法定代表人（单位负责人）或其委托代理人：</w:t>
      </w:r>
      <w:r>
        <w:rPr>
          <w:rFonts w:hint="eastAsia" w:ascii="宋体" w:hAnsi="宋体" w:cs="宋体"/>
          <w:spacing w:val="-2"/>
          <w:sz w:val="24"/>
          <w:szCs w:val="24"/>
          <w:u w:val="single"/>
        </w:rPr>
        <w:t xml:space="preserve">               </w:t>
      </w:r>
      <w:r>
        <w:rPr>
          <w:rFonts w:hint="eastAsia" w:ascii="宋体" w:hAnsi="宋体" w:cs="宋体"/>
          <w:spacing w:val="-2"/>
          <w:sz w:val="24"/>
          <w:szCs w:val="24"/>
        </w:rPr>
        <w:t xml:space="preserve">（签字或盖章） </w:t>
      </w:r>
    </w:p>
    <w:p w14:paraId="342C2CE2">
      <w:pPr>
        <w:pStyle w:val="3"/>
        <w:spacing w:before="55" w:after="0" w:line="360" w:lineRule="auto"/>
        <w:ind w:firstLine="640"/>
        <w:rPr>
          <w:rFonts w:ascii="宋体" w:hAnsi="宋体" w:cs="宋体"/>
          <w:spacing w:val="-2"/>
          <w:sz w:val="24"/>
          <w:szCs w:val="24"/>
        </w:rPr>
      </w:pPr>
      <w:r>
        <w:rPr>
          <w:rFonts w:hint="eastAsia" w:ascii="宋体" w:hAnsi="宋体" w:cs="宋体"/>
          <w:spacing w:val="-2"/>
          <w:sz w:val="24"/>
          <w:szCs w:val="24"/>
        </w:rPr>
        <w:t>......</w:t>
      </w:r>
    </w:p>
    <w:p w14:paraId="09429B17">
      <w:pPr>
        <w:pStyle w:val="3"/>
        <w:spacing w:before="55" w:after="0" w:line="360" w:lineRule="auto"/>
        <w:ind w:firstLine="640"/>
        <w:rPr>
          <w:rFonts w:hint="eastAsia" w:ascii="宋体" w:hAnsi="宋体" w:cs="宋体"/>
          <w:spacing w:val="-2"/>
          <w:sz w:val="24"/>
          <w:szCs w:val="24"/>
        </w:rPr>
      </w:pPr>
      <w:r>
        <w:rPr>
          <w:rFonts w:hint="eastAsia" w:hAnsi="宋体" w:cs="宋体"/>
        </w:rPr>
        <w:t>日    期：</w:t>
      </w:r>
      <w:r>
        <w:rPr>
          <w:rFonts w:hint="eastAsia" w:hAnsi="宋体" w:cs="宋体"/>
          <w:sz w:val="28"/>
          <w:szCs w:val="28"/>
        </w:rPr>
        <w:t>_____</w:t>
      </w:r>
      <w:r>
        <w:rPr>
          <w:rFonts w:hint="eastAsia" w:hAnsi="宋体" w:cs="宋体"/>
          <w:szCs w:val="24"/>
        </w:rPr>
        <w:t>年</w:t>
      </w:r>
      <w:r>
        <w:rPr>
          <w:rFonts w:hint="eastAsia" w:hAnsi="宋体" w:cs="宋体"/>
          <w:sz w:val="28"/>
          <w:szCs w:val="28"/>
        </w:rPr>
        <w:t>_____</w:t>
      </w:r>
      <w:r>
        <w:rPr>
          <w:rFonts w:hint="eastAsia" w:hAnsi="宋体" w:cs="宋体"/>
          <w:szCs w:val="24"/>
        </w:rPr>
        <w:t xml:space="preserve"> 月</w:t>
      </w:r>
      <w:r>
        <w:rPr>
          <w:rFonts w:hint="eastAsia" w:hAnsi="宋体" w:cs="宋体"/>
          <w:sz w:val="28"/>
          <w:szCs w:val="28"/>
        </w:rPr>
        <w:t>____</w:t>
      </w:r>
      <w:r>
        <w:rPr>
          <w:rFonts w:hint="eastAsia" w:hAnsi="宋体" w:cs="宋体"/>
        </w:rPr>
        <w:t>日</w:t>
      </w:r>
    </w:p>
    <w:p w14:paraId="0FE27801">
      <w:pPr>
        <w:pStyle w:val="6"/>
        <w:keepNext w:val="0"/>
        <w:keepLines w:val="0"/>
        <w:widowControl w:val="0"/>
        <w:spacing w:beforeLines="50" w:after="0" w:line="360" w:lineRule="auto"/>
        <w:ind w:left="0"/>
        <w:jc w:val="both"/>
        <w:rPr>
          <w:rFonts w:hint="eastAsia"/>
          <w:color w:val="000000"/>
          <w:spacing w:val="-14"/>
          <w:szCs w:val="28"/>
        </w:rPr>
      </w:pPr>
    </w:p>
    <w:p w14:paraId="47802574">
      <w:pPr>
        <w:pStyle w:val="6"/>
        <w:keepNext w:val="0"/>
        <w:keepLines w:val="0"/>
        <w:widowControl w:val="0"/>
        <w:spacing w:beforeLines="50" w:after="0" w:line="360" w:lineRule="auto"/>
        <w:ind w:left="0"/>
        <w:jc w:val="both"/>
        <w:rPr>
          <w:rFonts w:hint="eastAsia"/>
          <w:color w:val="000000"/>
          <w:spacing w:val="-14"/>
          <w:szCs w:val="28"/>
        </w:rPr>
      </w:pPr>
    </w:p>
    <w:p w14:paraId="0B59E201">
      <w:pPr>
        <w:pStyle w:val="6"/>
        <w:keepNext w:val="0"/>
        <w:keepLines w:val="0"/>
        <w:widowControl w:val="0"/>
        <w:spacing w:beforeLines="50" w:after="0" w:line="360" w:lineRule="auto"/>
        <w:ind w:left="0"/>
        <w:jc w:val="both"/>
        <w:rPr>
          <w:rFonts w:hint="eastAsia"/>
          <w:color w:val="000000"/>
          <w:spacing w:val="-14"/>
          <w:szCs w:val="28"/>
        </w:rPr>
      </w:pPr>
    </w:p>
    <w:p w14:paraId="1996A7F3">
      <w:pPr>
        <w:pStyle w:val="3"/>
        <w:jc w:val="left"/>
        <w:rPr>
          <w:rFonts w:hint="eastAsia" w:ascii="宋体" w:hAnsi="宋体" w:cs="宋体"/>
          <w:b/>
          <w:color w:val="000000"/>
          <w:sz w:val="36"/>
          <w:szCs w:val="36"/>
        </w:rPr>
      </w:pPr>
      <w:r>
        <w:rPr>
          <w:rFonts w:hint="eastAsia"/>
          <w:color w:val="000000"/>
          <w:spacing w:val="-14"/>
          <w:szCs w:val="28"/>
        </w:rPr>
        <w:t>备注：本协议仅为联合体投标时提供。</w:t>
      </w:r>
    </w:p>
    <w:p w14:paraId="6FFA6D8B">
      <w:pPr>
        <w:pStyle w:val="3"/>
        <w:jc w:val="left"/>
        <w:rPr>
          <w:rFonts w:hint="eastAsia" w:ascii="宋体" w:hAnsi="宋体" w:eastAsia="宋体" w:cs="宋体"/>
          <w:b/>
          <w:color w:val="000000"/>
          <w:sz w:val="24"/>
        </w:rPr>
      </w:pPr>
    </w:p>
    <w:p w14:paraId="1237017E">
      <w:pPr>
        <w:pStyle w:val="3"/>
        <w:jc w:val="left"/>
        <w:rPr>
          <w:rFonts w:hint="eastAsia" w:ascii="宋体" w:hAnsi="宋体" w:eastAsia="宋体" w:cs="宋体"/>
          <w:b/>
          <w:color w:val="000000"/>
          <w:sz w:val="24"/>
        </w:rPr>
      </w:pPr>
    </w:p>
    <w:p w14:paraId="7DC1A785">
      <w:pPr>
        <w:pStyle w:val="3"/>
        <w:jc w:val="left"/>
        <w:rPr>
          <w:rFonts w:hint="eastAsia" w:ascii="宋体" w:hAnsi="宋体" w:eastAsia="宋体" w:cs="宋体"/>
          <w:b/>
          <w:color w:val="000000"/>
          <w:sz w:val="24"/>
        </w:rPr>
      </w:pPr>
    </w:p>
    <w:p w14:paraId="1AC3F75D">
      <w:pPr>
        <w:pStyle w:val="3"/>
        <w:jc w:val="left"/>
        <w:rPr>
          <w:rFonts w:hint="eastAsia" w:ascii="宋体" w:hAnsi="宋体" w:eastAsia="宋体" w:cs="宋体"/>
          <w:b/>
          <w:color w:val="000000"/>
          <w:sz w:val="24"/>
        </w:rPr>
      </w:pPr>
    </w:p>
    <w:p w14:paraId="40717FC0">
      <w:pPr>
        <w:pStyle w:val="3"/>
        <w:jc w:val="left"/>
        <w:rPr>
          <w:rFonts w:hint="eastAsia" w:ascii="宋体" w:hAnsi="宋体" w:eastAsia="宋体" w:cs="宋体"/>
          <w:b/>
          <w:color w:val="000000"/>
          <w:sz w:val="24"/>
        </w:rPr>
      </w:pPr>
    </w:p>
    <w:p w14:paraId="3E26AE2F">
      <w:pPr>
        <w:pStyle w:val="3"/>
        <w:jc w:val="left"/>
        <w:rPr>
          <w:rFonts w:hint="eastAsia" w:ascii="宋体" w:hAnsi="宋体" w:eastAsia="宋体" w:cs="宋体"/>
          <w:b/>
          <w:color w:val="000000"/>
          <w:sz w:val="24"/>
        </w:rPr>
      </w:pPr>
    </w:p>
    <w:p w14:paraId="593C5330">
      <w:pPr>
        <w:pStyle w:val="3"/>
        <w:jc w:val="left"/>
        <w:rPr>
          <w:rFonts w:hint="eastAsia" w:ascii="宋体" w:hAnsi="宋体" w:eastAsia="宋体" w:cs="宋体"/>
          <w:b/>
          <w:color w:val="000000"/>
          <w:sz w:val="24"/>
        </w:rPr>
      </w:pPr>
    </w:p>
    <w:p w14:paraId="60755EC3">
      <w:pPr>
        <w:pStyle w:val="3"/>
        <w:jc w:val="left"/>
        <w:rPr>
          <w:rFonts w:hint="eastAsia" w:ascii="宋体" w:hAnsi="宋体" w:eastAsia="宋体" w:cs="宋体"/>
          <w:b/>
          <w:color w:val="000000"/>
          <w:sz w:val="24"/>
        </w:rPr>
      </w:pPr>
    </w:p>
    <w:p w14:paraId="342E7501">
      <w:pPr>
        <w:pStyle w:val="3"/>
        <w:jc w:val="left"/>
        <w:rPr>
          <w:rFonts w:hint="eastAsia" w:ascii="宋体" w:hAnsi="宋体" w:eastAsia="宋体" w:cs="宋体"/>
          <w:b/>
          <w:color w:val="000000"/>
          <w:sz w:val="24"/>
        </w:rPr>
      </w:pPr>
    </w:p>
    <w:p w14:paraId="5E3941DF">
      <w:pPr>
        <w:pStyle w:val="3"/>
        <w:jc w:val="left"/>
        <w:rPr>
          <w:rFonts w:hint="eastAsia" w:ascii="宋体" w:hAnsi="宋体" w:eastAsia="宋体" w:cs="宋体"/>
          <w:b/>
          <w:color w:val="000000"/>
          <w:sz w:val="24"/>
        </w:rPr>
      </w:pPr>
    </w:p>
    <w:p w14:paraId="527F079F">
      <w:pPr>
        <w:pStyle w:val="3"/>
        <w:jc w:val="left"/>
        <w:rPr>
          <w:rFonts w:hint="eastAsia" w:ascii="宋体" w:hAnsi="宋体" w:eastAsia="宋体" w:cs="宋体"/>
          <w:b/>
          <w:color w:val="000000"/>
          <w:sz w:val="24"/>
        </w:rPr>
      </w:pPr>
    </w:p>
    <w:p w14:paraId="19AD8477">
      <w:pPr>
        <w:pStyle w:val="3"/>
        <w:jc w:val="left"/>
        <w:rPr>
          <w:rFonts w:hint="eastAsia" w:ascii="宋体" w:hAnsi="宋体" w:eastAsia="宋体" w:cs="宋体"/>
          <w:b/>
          <w:color w:val="000000"/>
          <w:sz w:val="24"/>
        </w:rPr>
      </w:pPr>
    </w:p>
    <w:p w14:paraId="54685ACF">
      <w:pPr>
        <w:pStyle w:val="3"/>
        <w:jc w:val="left"/>
        <w:rPr>
          <w:rFonts w:hint="eastAsia" w:ascii="宋体" w:hAnsi="宋体" w:eastAsia="宋体" w:cs="宋体"/>
          <w:b/>
          <w:color w:val="000000"/>
          <w:sz w:val="24"/>
        </w:rPr>
      </w:pPr>
    </w:p>
    <w:p w14:paraId="3D76C119">
      <w:pPr>
        <w:pStyle w:val="3"/>
        <w:jc w:val="left"/>
        <w:rPr>
          <w:rFonts w:hint="eastAsia" w:ascii="宋体" w:hAnsi="宋体" w:eastAsia="宋体" w:cs="宋体"/>
          <w:b/>
          <w:color w:val="000000"/>
          <w:sz w:val="24"/>
        </w:rPr>
      </w:pPr>
    </w:p>
    <w:p w14:paraId="55C1EE08">
      <w:pPr>
        <w:pStyle w:val="3"/>
        <w:jc w:val="left"/>
        <w:rPr>
          <w:rFonts w:hint="eastAsia" w:ascii="宋体" w:hAnsi="宋体" w:eastAsia="宋体" w:cs="宋体"/>
          <w:b/>
          <w:color w:val="000000"/>
          <w:sz w:val="24"/>
        </w:rPr>
      </w:pPr>
    </w:p>
    <w:p w14:paraId="4DC421C1">
      <w:pPr>
        <w:rPr>
          <w:rFonts w:hint="eastAsia" w:ascii="宋体" w:hAnsi="宋体" w:eastAsia="宋体" w:cs="宋体"/>
          <w:b/>
          <w:color w:val="000000"/>
          <w:sz w:val="24"/>
        </w:rPr>
      </w:pPr>
    </w:p>
    <w:p w14:paraId="1B49B5E3">
      <w:pPr>
        <w:pStyle w:val="3"/>
        <w:rPr>
          <w:rFonts w:hint="eastAsia" w:ascii="宋体" w:hAnsi="宋体" w:eastAsia="宋体" w:cs="宋体"/>
          <w:b/>
          <w:color w:val="000000"/>
          <w:sz w:val="24"/>
        </w:rPr>
      </w:pPr>
    </w:p>
    <w:p w14:paraId="1E1EDB25">
      <w:pPr>
        <w:rPr>
          <w:rFonts w:hint="eastAsia" w:ascii="宋体" w:hAnsi="宋体" w:eastAsia="宋体" w:cs="宋体"/>
          <w:b/>
          <w:color w:val="000000"/>
          <w:sz w:val="24"/>
        </w:rPr>
      </w:pPr>
    </w:p>
    <w:p w14:paraId="0E20C593">
      <w:pPr>
        <w:pStyle w:val="3"/>
        <w:rPr>
          <w:rFonts w:hint="eastAsia" w:ascii="宋体" w:hAnsi="宋体" w:eastAsia="宋体" w:cs="宋体"/>
          <w:b/>
          <w:color w:val="000000"/>
          <w:sz w:val="24"/>
        </w:rPr>
      </w:pPr>
    </w:p>
    <w:p w14:paraId="39E1E6A3">
      <w:pPr>
        <w:rPr>
          <w:rFonts w:hint="eastAsia" w:ascii="宋体" w:hAnsi="宋体" w:eastAsia="宋体" w:cs="宋体"/>
          <w:b/>
          <w:color w:val="000000"/>
          <w:sz w:val="24"/>
        </w:rPr>
      </w:pPr>
    </w:p>
    <w:p w14:paraId="0A0C961A">
      <w:pPr>
        <w:pStyle w:val="3"/>
        <w:rPr>
          <w:rFonts w:hint="eastAsia" w:ascii="宋体" w:hAnsi="宋体" w:eastAsia="宋体" w:cs="宋体"/>
          <w:b/>
          <w:color w:val="000000"/>
          <w:sz w:val="24"/>
        </w:rPr>
      </w:pPr>
    </w:p>
    <w:p w14:paraId="02F3392C">
      <w:pPr>
        <w:rPr>
          <w:rFonts w:hint="eastAsia" w:ascii="宋体" w:hAnsi="宋体" w:eastAsia="宋体" w:cs="宋体"/>
          <w:b/>
          <w:color w:val="000000"/>
          <w:sz w:val="24"/>
        </w:rPr>
      </w:pPr>
    </w:p>
    <w:p w14:paraId="7192783D">
      <w:pPr>
        <w:pStyle w:val="3"/>
        <w:rPr>
          <w:rFonts w:hint="eastAsia" w:ascii="宋体" w:hAnsi="宋体" w:eastAsia="宋体" w:cs="宋体"/>
          <w:b/>
          <w:color w:val="000000"/>
          <w:sz w:val="24"/>
        </w:rPr>
      </w:pPr>
    </w:p>
    <w:p w14:paraId="5CEB196D">
      <w:pPr>
        <w:rPr>
          <w:rFonts w:hint="eastAsia" w:ascii="宋体" w:hAnsi="宋体" w:eastAsia="宋体" w:cs="宋体"/>
          <w:b/>
          <w:color w:val="000000"/>
          <w:sz w:val="24"/>
        </w:rPr>
      </w:pPr>
    </w:p>
    <w:p w14:paraId="7BCCE709">
      <w:pPr>
        <w:pStyle w:val="3"/>
        <w:rPr>
          <w:rFonts w:hint="eastAsia" w:ascii="宋体" w:hAnsi="宋体" w:eastAsia="宋体" w:cs="宋体"/>
          <w:b/>
          <w:color w:val="000000"/>
          <w:sz w:val="24"/>
        </w:rPr>
      </w:pPr>
    </w:p>
    <w:p w14:paraId="2E77EDF8">
      <w:pPr>
        <w:rPr>
          <w:rFonts w:hint="eastAsia"/>
        </w:rPr>
      </w:pPr>
    </w:p>
    <w:p w14:paraId="12027B01">
      <w:pPr>
        <w:pStyle w:val="3"/>
        <w:jc w:val="left"/>
        <w:rPr>
          <w:rFonts w:hint="eastAsia" w:ascii="宋体" w:hAnsi="宋体" w:eastAsia="宋体" w:cs="宋体"/>
          <w:b/>
          <w:color w:val="000000"/>
          <w:sz w:val="24"/>
        </w:rPr>
      </w:pPr>
    </w:p>
    <w:p w14:paraId="19277381">
      <w:pPr>
        <w:pStyle w:val="3"/>
        <w:jc w:val="left"/>
        <w:rPr>
          <w:rFonts w:hint="eastAsia" w:ascii="宋体" w:hAnsi="宋体" w:eastAsia="宋体" w:cs="宋体"/>
          <w:b/>
          <w:color w:val="000000"/>
          <w:sz w:val="24"/>
          <w:lang w:eastAsia="zh-CN"/>
        </w:rPr>
      </w:pPr>
      <w:r>
        <w:rPr>
          <w:rFonts w:hint="eastAsia" w:ascii="宋体" w:hAnsi="宋体" w:eastAsia="宋体" w:cs="宋体"/>
          <w:b/>
          <w:color w:val="000000"/>
          <w:sz w:val="24"/>
        </w:rPr>
        <w:t>附件</w:t>
      </w:r>
      <w:r>
        <w:rPr>
          <w:rFonts w:hint="eastAsia" w:cs="宋体"/>
          <w:b/>
          <w:color w:val="000000"/>
          <w:sz w:val="24"/>
          <w:lang w:val="en-US" w:eastAsia="zh-CN"/>
        </w:rPr>
        <w:t>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3"/>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3"/>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24"/>
      <w:bookmarkEnd w:id="925"/>
      <w:bookmarkEnd w:id="926"/>
      <w:bookmarkEnd w:id="927"/>
      <w:bookmarkEnd w:id="928"/>
      <w:bookmarkEnd w:id="929"/>
      <w:bookmarkEnd w:id="930"/>
      <w:bookmarkEnd w:id="931"/>
      <w:bookmarkEnd w:id="932"/>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延安市城市建设项目服务中心延安市海绵城市能力提升和经验总结项目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33" w:name="_Toc132684577"/>
      <w:bookmarkStart w:id="934" w:name="_Toc102490217"/>
      <w:bookmarkStart w:id="935" w:name="_Toc145989461"/>
      <w:bookmarkStart w:id="936" w:name="_Toc16994096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37" w:name="_Toc456197117"/>
      <w:bookmarkStart w:id="938" w:name="_Toc361237718"/>
      <w:bookmarkStart w:id="939" w:name="_Toc397585274"/>
      <w:bookmarkStart w:id="940" w:name="_Toc394320936"/>
      <w:bookmarkStart w:id="941" w:name="_Toc397410507"/>
      <w:bookmarkStart w:id="942" w:name="_Toc361406467"/>
      <w:bookmarkStart w:id="943" w:name="_Toc395711855"/>
      <w:bookmarkStart w:id="944" w:name="_Toc522893844"/>
      <w:bookmarkStart w:id="945" w:name="_Toc490171583"/>
      <w:bookmarkStart w:id="946" w:name="_Toc397410694"/>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37"/>
      <w:bookmarkEnd w:id="938"/>
      <w:bookmarkEnd w:id="939"/>
      <w:bookmarkEnd w:id="940"/>
      <w:bookmarkEnd w:id="941"/>
      <w:bookmarkEnd w:id="942"/>
      <w:bookmarkEnd w:id="943"/>
      <w:bookmarkEnd w:id="944"/>
      <w:bookmarkEnd w:id="945"/>
      <w:bookmarkEnd w:id="946"/>
    </w:p>
    <w:p w14:paraId="7F6214FE">
      <w:pPr>
        <w:pStyle w:val="14"/>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3"/>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47" w:name="_Toc30993"/>
      <w:bookmarkStart w:id="948" w:name="_Toc31079"/>
      <w:bookmarkStart w:id="949" w:name="_Toc26274"/>
      <w:bookmarkStart w:id="950" w:name="_Toc13127"/>
      <w:bookmarkStart w:id="951" w:name="_Toc28797"/>
      <w:bookmarkStart w:id="952" w:name="_Toc27744"/>
      <w:bookmarkStart w:id="953" w:name="_Toc9681"/>
      <w:r>
        <w:rPr>
          <w:rFonts w:hint="eastAsia" w:ascii="宋体" w:hAnsi="宋体" w:cs="宋体"/>
          <w:color w:val="000000"/>
          <w:sz w:val="24"/>
          <w:szCs w:val="24"/>
        </w:rPr>
        <w:t>注：以上表内报价内容以元为单位，保留小数点后两位。</w:t>
      </w:r>
      <w:bookmarkEnd w:id="947"/>
      <w:bookmarkEnd w:id="948"/>
      <w:bookmarkEnd w:id="949"/>
      <w:bookmarkEnd w:id="950"/>
      <w:bookmarkEnd w:id="951"/>
      <w:bookmarkEnd w:id="952"/>
      <w:bookmarkEnd w:id="953"/>
    </w:p>
    <w:p w14:paraId="2EF22550">
      <w:pPr>
        <w:pStyle w:val="33"/>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3"/>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5"/>
        <w:ind w:left="1470" w:right="1470"/>
        <w:rPr>
          <w:rFonts w:hint="eastAsia"/>
        </w:rPr>
      </w:pPr>
    </w:p>
    <w:p w14:paraId="21AF0F5C">
      <w:pPr>
        <w:pStyle w:val="15"/>
        <w:ind w:left="1470" w:right="1470"/>
        <w:rPr>
          <w:rFonts w:hint="eastAsia"/>
        </w:rPr>
      </w:pPr>
    </w:p>
    <w:p w14:paraId="2488A661">
      <w:pPr>
        <w:pStyle w:val="15"/>
        <w:ind w:left="1470" w:right="1470"/>
        <w:rPr>
          <w:rFonts w:hint="eastAsia"/>
        </w:rPr>
      </w:pPr>
    </w:p>
    <w:p w14:paraId="65FC8618">
      <w:pPr>
        <w:pStyle w:val="15"/>
        <w:ind w:left="1470" w:right="1470"/>
        <w:rPr>
          <w:rFonts w:hint="eastAsia"/>
        </w:rPr>
      </w:pPr>
    </w:p>
    <w:p w14:paraId="48F86C2B">
      <w:pPr>
        <w:pStyle w:val="15"/>
        <w:ind w:left="1470" w:right="1470"/>
        <w:rPr>
          <w:rFonts w:hint="eastAsia"/>
        </w:rPr>
      </w:pPr>
    </w:p>
    <w:p w14:paraId="4EE0F96E">
      <w:pPr>
        <w:pStyle w:val="15"/>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2"/>
        <w:rPr>
          <w:rFonts w:hint="eastAsia" w:ascii="宋体" w:hAnsi="宋体" w:eastAsia="宋体" w:cs="宋体"/>
          <w:bCs/>
          <w:color w:val="000000"/>
          <w:sz w:val="24"/>
          <w:szCs w:val="24"/>
        </w:rPr>
      </w:pPr>
    </w:p>
    <w:p w14:paraId="5D4FDFEC">
      <w:pPr>
        <w:pStyle w:val="22"/>
        <w:rPr>
          <w:rFonts w:hint="eastAsia" w:ascii="宋体" w:hAnsi="宋体" w:eastAsia="宋体" w:cs="宋体"/>
          <w:bCs/>
          <w:color w:val="000000"/>
          <w:sz w:val="24"/>
          <w:szCs w:val="24"/>
        </w:rPr>
      </w:pPr>
    </w:p>
    <w:p w14:paraId="42E98D2E">
      <w:pPr>
        <w:pStyle w:val="22"/>
        <w:rPr>
          <w:rFonts w:hint="eastAsia" w:ascii="宋体" w:hAnsi="宋体" w:eastAsia="宋体" w:cs="宋体"/>
          <w:bCs/>
          <w:color w:val="000000"/>
          <w:sz w:val="24"/>
          <w:szCs w:val="24"/>
        </w:rPr>
      </w:pPr>
    </w:p>
    <w:p w14:paraId="2C0525B0">
      <w:pPr>
        <w:pStyle w:val="22"/>
        <w:rPr>
          <w:rFonts w:hint="eastAsia" w:ascii="宋体" w:hAnsi="宋体" w:eastAsia="宋体" w:cs="宋体"/>
          <w:bCs/>
          <w:color w:val="000000"/>
          <w:sz w:val="24"/>
          <w:szCs w:val="24"/>
        </w:rPr>
      </w:pPr>
    </w:p>
    <w:p w14:paraId="004929BA">
      <w:pPr>
        <w:pStyle w:val="22"/>
        <w:rPr>
          <w:rFonts w:hint="eastAsia" w:ascii="宋体" w:hAnsi="宋体" w:eastAsia="宋体" w:cs="宋体"/>
          <w:bCs/>
          <w:color w:val="000000"/>
          <w:sz w:val="24"/>
          <w:szCs w:val="24"/>
        </w:rPr>
      </w:pPr>
    </w:p>
    <w:p w14:paraId="5DA10536">
      <w:pPr>
        <w:pStyle w:val="22"/>
        <w:rPr>
          <w:rFonts w:hint="eastAsia" w:ascii="宋体" w:hAnsi="宋体" w:eastAsia="宋体" w:cs="宋体"/>
          <w:bCs/>
          <w:color w:val="000000"/>
          <w:sz w:val="24"/>
          <w:szCs w:val="24"/>
        </w:rPr>
      </w:pPr>
    </w:p>
    <w:p w14:paraId="4E8C6645">
      <w:pPr>
        <w:pStyle w:val="22"/>
        <w:rPr>
          <w:rFonts w:hint="eastAsia" w:ascii="宋体" w:hAnsi="宋体" w:eastAsia="宋体" w:cs="宋体"/>
          <w:bCs/>
          <w:color w:val="000000"/>
          <w:sz w:val="24"/>
          <w:szCs w:val="24"/>
        </w:rPr>
      </w:pPr>
    </w:p>
    <w:p w14:paraId="15E9BA4D">
      <w:pPr>
        <w:pStyle w:val="22"/>
        <w:rPr>
          <w:rFonts w:hint="eastAsia" w:ascii="宋体" w:hAnsi="宋体" w:eastAsia="宋体" w:cs="宋体"/>
          <w:bCs/>
          <w:color w:val="000000"/>
          <w:sz w:val="24"/>
          <w:szCs w:val="24"/>
        </w:rPr>
      </w:pPr>
    </w:p>
    <w:p w14:paraId="14513538">
      <w:pPr>
        <w:pStyle w:val="22"/>
        <w:rPr>
          <w:rFonts w:hint="eastAsia" w:ascii="宋体" w:hAnsi="宋体" w:eastAsia="宋体" w:cs="宋体"/>
          <w:bCs/>
          <w:color w:val="000000"/>
          <w:sz w:val="24"/>
          <w:szCs w:val="24"/>
        </w:rPr>
      </w:pPr>
    </w:p>
    <w:p w14:paraId="45CFAFA3">
      <w:pPr>
        <w:pStyle w:val="22"/>
        <w:rPr>
          <w:rFonts w:hint="eastAsia" w:ascii="宋体" w:hAnsi="宋体" w:eastAsia="宋体" w:cs="宋体"/>
          <w:bCs/>
          <w:color w:val="000000"/>
          <w:sz w:val="24"/>
          <w:szCs w:val="24"/>
        </w:rPr>
      </w:pPr>
    </w:p>
    <w:p w14:paraId="2D4F1FE7">
      <w:pPr>
        <w:pStyle w:val="22"/>
        <w:rPr>
          <w:rFonts w:hint="eastAsia" w:ascii="宋体" w:hAnsi="宋体" w:eastAsia="宋体" w:cs="宋体"/>
          <w:bCs/>
          <w:color w:val="000000"/>
          <w:sz w:val="24"/>
          <w:szCs w:val="24"/>
        </w:rPr>
      </w:pPr>
    </w:p>
    <w:p w14:paraId="193B376E">
      <w:pPr>
        <w:pStyle w:val="22"/>
        <w:rPr>
          <w:rFonts w:hint="eastAsia" w:ascii="宋体" w:hAnsi="宋体" w:eastAsia="宋体" w:cs="宋体"/>
          <w:bCs/>
          <w:color w:val="000000"/>
          <w:sz w:val="24"/>
          <w:szCs w:val="24"/>
        </w:rPr>
      </w:pPr>
    </w:p>
    <w:p w14:paraId="6A5E01E4">
      <w:pPr>
        <w:pStyle w:val="22"/>
        <w:rPr>
          <w:rFonts w:hint="eastAsia" w:ascii="宋体" w:hAnsi="宋体" w:eastAsia="宋体" w:cs="宋体"/>
          <w:bCs/>
          <w:color w:val="000000"/>
          <w:sz w:val="24"/>
          <w:szCs w:val="24"/>
        </w:rPr>
      </w:pPr>
    </w:p>
    <w:p w14:paraId="0A034536">
      <w:pPr>
        <w:pStyle w:val="22"/>
        <w:rPr>
          <w:rFonts w:hint="eastAsia" w:ascii="宋体" w:hAnsi="宋体" w:eastAsia="宋体" w:cs="宋体"/>
          <w:bCs/>
          <w:color w:val="000000"/>
          <w:sz w:val="24"/>
          <w:szCs w:val="24"/>
        </w:rPr>
      </w:pPr>
    </w:p>
    <w:p w14:paraId="0139A0B9">
      <w:pPr>
        <w:pStyle w:val="22"/>
        <w:rPr>
          <w:rFonts w:hint="eastAsia" w:ascii="宋体" w:hAnsi="宋体" w:eastAsia="宋体" w:cs="宋体"/>
          <w:bCs/>
          <w:color w:val="000000"/>
          <w:sz w:val="24"/>
          <w:szCs w:val="24"/>
        </w:rPr>
      </w:pPr>
    </w:p>
    <w:p w14:paraId="4896F03E">
      <w:pPr>
        <w:pStyle w:val="22"/>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3"/>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33"/>
    <w:bookmarkEnd w:id="934"/>
    <w:bookmarkEnd w:id="935"/>
    <w:bookmarkEnd w:id="936"/>
    <w:p w14:paraId="0A25CEB5">
      <w:pPr>
        <w:jc w:val="center"/>
        <w:rPr>
          <w:rFonts w:hint="eastAsia" w:ascii="宋体" w:hAnsi="宋体" w:cs="宋体"/>
          <w:b/>
          <w:color w:val="000000"/>
          <w:sz w:val="28"/>
          <w:szCs w:val="28"/>
        </w:rPr>
      </w:pPr>
      <w:bookmarkStart w:id="954" w:name="_Toc522893849"/>
      <w:bookmarkStart w:id="955" w:name="_Hlk518637502"/>
      <w:bookmarkStart w:id="956" w:name="_Toc397410512"/>
      <w:bookmarkStart w:id="957" w:name="_Toc395711860"/>
      <w:bookmarkStart w:id="958" w:name="_Toc456197123"/>
      <w:bookmarkStart w:id="959" w:name="_Toc361406474"/>
      <w:bookmarkStart w:id="960" w:name="_Toc343512479"/>
      <w:bookmarkStart w:id="961" w:name="_Toc490171588"/>
      <w:bookmarkStart w:id="962" w:name="_Toc397585279"/>
      <w:bookmarkStart w:id="963" w:name="_Toc246996374"/>
      <w:bookmarkStart w:id="964" w:name="_Toc247085892"/>
      <w:bookmarkStart w:id="965" w:name="_Toc456197124"/>
      <w:bookmarkStart w:id="966" w:name="_Toc397410699"/>
      <w:bookmarkStart w:id="967" w:name="_Toc394320943"/>
      <w:bookmarkStart w:id="968" w:name="_Toc246997117"/>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54"/>
    </w:p>
    <w:p w14:paraId="3D828DE3">
      <w:pPr>
        <w:spacing w:line="360" w:lineRule="auto"/>
        <w:rPr>
          <w:rFonts w:hint="eastAsia" w:ascii="宋体" w:hAnsi="宋体" w:cs="宋体"/>
          <w:color w:val="000000"/>
          <w:sz w:val="24"/>
        </w:rPr>
      </w:pPr>
    </w:p>
    <w:p w14:paraId="15A4764E">
      <w:pPr>
        <w:pStyle w:val="22"/>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000000"/>
          <w:sz w:val="24"/>
          <w:szCs w:val="24"/>
        </w:rPr>
        <w:t>对本项目工作内容的理解与分析</w:t>
      </w:r>
      <w:r>
        <w:rPr>
          <w:rFonts w:hint="eastAsia" w:ascii="宋体" w:hAnsi="宋体" w:cs="宋体"/>
          <w:color w:val="000000"/>
          <w:sz w:val="24"/>
          <w:szCs w:val="24"/>
          <w:lang w:val="en-US" w:eastAsia="zh-CN"/>
        </w:rPr>
        <w:t>；</w:t>
      </w:r>
    </w:p>
    <w:p w14:paraId="19DB7B1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cs="宋体"/>
          <w:color w:val="000000"/>
          <w:sz w:val="24"/>
          <w:szCs w:val="24"/>
        </w:rPr>
        <w:t>模型模拟技术方案</w:t>
      </w:r>
      <w:r>
        <w:rPr>
          <w:rFonts w:hint="eastAsia" w:ascii="宋体" w:hAnsi="宋体" w:cs="宋体"/>
          <w:color w:val="000000"/>
          <w:sz w:val="24"/>
          <w:szCs w:val="24"/>
          <w:lang w:val="en-US" w:eastAsia="zh-CN"/>
        </w:rPr>
        <w:t>；</w:t>
      </w:r>
    </w:p>
    <w:p w14:paraId="28A5F730">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rPr>
        <w:t>经验分享与实践路径案例编制</w:t>
      </w:r>
      <w:r>
        <w:rPr>
          <w:rFonts w:hint="eastAsia" w:ascii="宋体" w:hAnsi="宋体" w:cs="宋体"/>
          <w:color w:val="000000"/>
          <w:sz w:val="24"/>
          <w:szCs w:val="24"/>
          <w:lang w:val="en-US" w:eastAsia="zh-CN"/>
        </w:rPr>
        <w:t>；</w:t>
      </w:r>
    </w:p>
    <w:p w14:paraId="68A1B9B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cs="宋体"/>
          <w:color w:val="000000"/>
          <w:sz w:val="24"/>
          <w:szCs w:val="24"/>
        </w:rPr>
        <w:t>进度与质量保障</w:t>
      </w:r>
      <w:r>
        <w:rPr>
          <w:rFonts w:hint="eastAsia" w:ascii="宋体" w:hAnsi="宋体" w:cs="宋体"/>
          <w:color w:val="000000"/>
          <w:sz w:val="24"/>
          <w:szCs w:val="24"/>
          <w:lang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9"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9"/>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业绩；</w:t>
      </w:r>
    </w:p>
    <w:p w14:paraId="680F69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模型工具</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合理化建议</w:t>
      </w:r>
      <w:r>
        <w:rPr>
          <w:rFonts w:hint="eastAsia" w:ascii="宋体" w:hAnsi="宋体" w:eastAsia="宋体" w:cs="宋体"/>
          <w:color w:val="000000"/>
          <w:sz w:val="24"/>
          <w:szCs w:val="24"/>
          <w:lang w:eastAsia="zh-CN"/>
        </w:rPr>
        <w:t>；</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.售后服务</w:t>
      </w:r>
      <w:r>
        <w:rPr>
          <w:rFonts w:hint="eastAsia" w:ascii="宋体" w:hAnsi="宋体" w:eastAsia="宋体" w:cs="宋体"/>
          <w:color w:val="000000"/>
          <w:sz w:val="24"/>
          <w:szCs w:val="24"/>
          <w:lang w:eastAsia="zh-CN"/>
        </w:rPr>
        <w:t>；</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3"/>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3"/>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3"/>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3"/>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3"/>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3"/>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3"/>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3"/>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3"/>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3"/>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3"/>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3"/>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3"/>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3"/>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3"/>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3"/>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3"/>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3"/>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3"/>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3"/>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55"/>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56"/>
    <w:bookmarkEnd w:id="957"/>
    <w:bookmarkEnd w:id="958"/>
    <w:bookmarkEnd w:id="959"/>
    <w:bookmarkEnd w:id="960"/>
    <w:bookmarkEnd w:id="961"/>
    <w:bookmarkEnd w:id="962"/>
    <w:bookmarkEnd w:id="963"/>
    <w:bookmarkEnd w:id="964"/>
    <w:bookmarkEnd w:id="965"/>
    <w:bookmarkEnd w:id="966"/>
    <w:bookmarkEnd w:id="967"/>
    <w:bookmarkEnd w:id="968"/>
    <w:p w14:paraId="4101E173">
      <w:pPr>
        <w:outlineLvl w:val="0"/>
        <w:rPr>
          <w:rFonts w:hint="eastAsia" w:ascii="宋体" w:hAnsi="宋体" w:eastAsia="宋体" w:cs="宋体"/>
          <w:b/>
          <w:color w:val="000000"/>
          <w:sz w:val="24"/>
          <w:lang w:eastAsia="zh-CN"/>
        </w:rPr>
      </w:pPr>
      <w:bookmarkStart w:id="970" w:name="_Toc13422"/>
      <w:bookmarkStart w:id="971" w:name="_Toc7007"/>
      <w:bookmarkStart w:id="972" w:name="_Toc2637"/>
      <w:bookmarkStart w:id="973" w:name="_Toc12082"/>
      <w:bookmarkStart w:id="974" w:name="_Toc3759"/>
      <w:bookmarkStart w:id="975" w:name="_Toc1373"/>
      <w:bookmarkStart w:id="976" w:name="_Toc150_WPSOffice_Level1"/>
      <w:bookmarkStart w:id="977" w:name="_Toc19469"/>
      <w:r>
        <w:rPr>
          <w:rFonts w:hint="eastAsia" w:ascii="宋体" w:hAnsi="宋体" w:eastAsia="宋体" w:cs="宋体"/>
          <w:b/>
          <w:color w:val="000000"/>
          <w:sz w:val="24"/>
        </w:rPr>
        <w:t>附件</w:t>
      </w:r>
      <w:bookmarkEnd w:id="970"/>
      <w:bookmarkEnd w:id="971"/>
      <w:bookmarkEnd w:id="972"/>
      <w:bookmarkEnd w:id="973"/>
      <w:bookmarkEnd w:id="974"/>
      <w:bookmarkEnd w:id="975"/>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8" w:name="_Toc24984"/>
      <w:bookmarkStart w:id="979" w:name="_Toc17548"/>
      <w:bookmarkStart w:id="980" w:name="_Toc18601"/>
      <w:bookmarkStart w:id="981" w:name="_Toc29410"/>
      <w:bookmarkStart w:id="982" w:name="_Toc1051"/>
      <w:bookmarkStart w:id="983" w:name="_Toc25831"/>
      <w:r>
        <w:rPr>
          <w:rFonts w:hint="eastAsia" w:ascii="宋体" w:hAnsi="宋体"/>
          <w:b/>
          <w:color w:val="000000"/>
          <w:kern w:val="0"/>
          <w:sz w:val="28"/>
          <w:szCs w:val="28"/>
        </w:rPr>
        <w:t>残疾人福利性单位声明函（是/否）</w:t>
      </w:r>
      <w:bookmarkEnd w:id="976"/>
      <w:bookmarkEnd w:id="977"/>
      <w:bookmarkEnd w:id="978"/>
      <w:bookmarkEnd w:id="979"/>
      <w:bookmarkEnd w:id="980"/>
      <w:bookmarkEnd w:id="981"/>
      <w:bookmarkEnd w:id="982"/>
      <w:bookmarkEnd w:id="983"/>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中禧国际项目管理有限公司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11"/>
        <w:shd w:val="clear" w:color="auto" w:fill="auto"/>
        <w:spacing w:line="360" w:lineRule="auto"/>
        <w:ind w:firstLine="570"/>
        <w:rPr>
          <w:rFonts w:hint="eastAsia" w:ascii="宋体" w:hAnsi="宋体" w:cs="宋体"/>
          <w:sz w:val="24"/>
          <w:szCs w:val="24"/>
        </w:rPr>
      </w:pPr>
    </w:p>
    <w:p w14:paraId="192D3743">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11"/>
        <w:shd w:val="clear" w:color="auto" w:fill="auto"/>
        <w:spacing w:line="360" w:lineRule="auto"/>
        <w:ind w:firstLine="570"/>
        <w:rPr>
          <w:rFonts w:hint="eastAsia" w:ascii="宋体" w:hAnsi="宋体" w:cs="宋体"/>
          <w:sz w:val="24"/>
          <w:szCs w:val="24"/>
        </w:rPr>
      </w:pPr>
    </w:p>
    <w:p w14:paraId="4C3056D3">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11"/>
        <w:shd w:val="clear" w:color="auto" w:fill="auto"/>
        <w:spacing w:line="360" w:lineRule="auto"/>
        <w:ind w:firstLine="570"/>
        <w:rPr>
          <w:rFonts w:hint="eastAsia" w:ascii="宋体" w:hAnsi="宋体" w:cs="宋体"/>
          <w:sz w:val="24"/>
          <w:szCs w:val="24"/>
        </w:rPr>
      </w:pPr>
    </w:p>
    <w:p w14:paraId="5E3BD2C1">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11"/>
        <w:shd w:val="clear" w:color="auto" w:fill="auto"/>
        <w:spacing w:line="360" w:lineRule="auto"/>
        <w:ind w:firstLine="570"/>
        <w:rPr>
          <w:rFonts w:hint="eastAsia" w:ascii="宋体" w:hAnsi="宋体" w:cs="宋体"/>
          <w:sz w:val="24"/>
          <w:szCs w:val="24"/>
        </w:rPr>
      </w:pPr>
    </w:p>
    <w:p w14:paraId="07C6A5BC">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5"/>
        <w:shd w:val="clear" w:color="auto" w:fill="auto"/>
        <w:ind w:left="1470" w:right="1470"/>
        <w:rPr>
          <w:rFonts w:hint="eastAsia"/>
        </w:rPr>
      </w:pPr>
    </w:p>
    <w:p w14:paraId="70C0C0EA">
      <w:pPr>
        <w:pStyle w:val="15"/>
        <w:shd w:val="clear" w:color="auto" w:fill="auto"/>
        <w:ind w:left="1470" w:right="1470"/>
        <w:rPr>
          <w:rFonts w:hint="eastAsia"/>
        </w:rPr>
      </w:pPr>
    </w:p>
    <w:p w14:paraId="629A61A6">
      <w:pPr>
        <w:pStyle w:val="15"/>
        <w:shd w:val="clear" w:color="auto" w:fill="auto"/>
        <w:ind w:left="1470" w:right="1470"/>
        <w:rPr>
          <w:rFonts w:hint="eastAsia"/>
        </w:rPr>
      </w:pPr>
    </w:p>
    <w:p w14:paraId="4BC11E28">
      <w:pPr>
        <w:pStyle w:val="15"/>
        <w:shd w:val="clear" w:color="auto" w:fill="auto"/>
        <w:ind w:left="1470" w:right="1470"/>
        <w:rPr>
          <w:rFonts w:hint="eastAsia"/>
        </w:rPr>
      </w:pPr>
    </w:p>
    <w:p w14:paraId="20F34EE0">
      <w:pPr>
        <w:pStyle w:val="15"/>
        <w:shd w:val="clear" w:color="auto" w:fill="auto"/>
        <w:ind w:left="1470" w:right="1470"/>
        <w:rPr>
          <w:rFonts w:hint="eastAsia"/>
        </w:rPr>
      </w:pPr>
    </w:p>
    <w:p w14:paraId="7E02AFB1">
      <w:pPr>
        <w:pStyle w:val="15"/>
        <w:shd w:val="clear" w:color="auto" w:fill="auto"/>
        <w:ind w:left="1470" w:right="1470"/>
        <w:rPr>
          <w:rFonts w:hint="eastAsia"/>
        </w:rPr>
      </w:pPr>
    </w:p>
    <w:p w14:paraId="2E30858F">
      <w:pPr>
        <w:pStyle w:val="15"/>
        <w:shd w:val="clear" w:color="auto" w:fill="auto"/>
        <w:ind w:left="1470" w:right="1470"/>
        <w:rPr>
          <w:rFonts w:hint="eastAsia"/>
        </w:rPr>
      </w:pPr>
    </w:p>
    <w:p w14:paraId="6C309810">
      <w:pPr>
        <w:pStyle w:val="15"/>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84" w:name="_Toc15339"/>
      <w:bookmarkStart w:id="985" w:name="_Toc4164"/>
      <w:bookmarkStart w:id="986" w:name="_Toc5476"/>
      <w:bookmarkStart w:id="987" w:name="_Toc9395"/>
      <w:bookmarkStart w:id="988" w:name="_Toc8199"/>
      <w:bookmarkStart w:id="989" w:name="_Toc32027"/>
      <w:r>
        <w:rPr>
          <w:rFonts w:hint="eastAsia" w:ascii="宋体" w:hAnsi="宋体" w:eastAsia="宋体" w:cs="宋体"/>
          <w:b/>
          <w:color w:val="000000"/>
          <w:sz w:val="24"/>
        </w:rPr>
        <w:t>附件</w:t>
      </w:r>
      <w:bookmarkEnd w:id="984"/>
      <w:bookmarkEnd w:id="985"/>
      <w:bookmarkEnd w:id="986"/>
      <w:bookmarkEnd w:id="987"/>
      <w:bookmarkEnd w:id="988"/>
      <w:bookmarkEnd w:id="989"/>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90" w:name="_Toc5318"/>
      <w:bookmarkStart w:id="991" w:name="_Toc4712"/>
      <w:bookmarkStart w:id="992" w:name="_Toc31454"/>
      <w:bookmarkStart w:id="993" w:name="_Toc27341"/>
      <w:bookmarkStart w:id="994" w:name="_Toc21585"/>
      <w:bookmarkStart w:id="995" w:name="_Toc14109"/>
      <w:bookmarkStart w:id="996" w:name="_Toc10298"/>
      <w:bookmarkStart w:id="997" w:name="_Toc27208_WPSOffice_Level1"/>
      <w:r>
        <w:rPr>
          <w:rFonts w:hint="eastAsia" w:ascii="宋体" w:hAnsi="宋体"/>
          <w:b/>
          <w:color w:val="000000"/>
          <w:kern w:val="0"/>
          <w:sz w:val="28"/>
          <w:szCs w:val="28"/>
        </w:rPr>
        <w:t>监狱企业证明函（是/否）</w:t>
      </w:r>
      <w:bookmarkEnd w:id="990"/>
      <w:bookmarkEnd w:id="991"/>
      <w:bookmarkEnd w:id="992"/>
      <w:bookmarkEnd w:id="993"/>
      <w:bookmarkEnd w:id="994"/>
      <w:bookmarkEnd w:id="995"/>
      <w:bookmarkEnd w:id="996"/>
      <w:bookmarkEnd w:id="997"/>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中禧国际项目管理有限公司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11"/>
        <w:shd w:val="clear" w:color="auto" w:fill="auto"/>
        <w:spacing w:line="360" w:lineRule="auto"/>
        <w:ind w:firstLine="570"/>
        <w:rPr>
          <w:rFonts w:hint="eastAsia" w:ascii="宋体" w:hAnsi="宋体" w:cs="宋体"/>
          <w:sz w:val="24"/>
          <w:szCs w:val="24"/>
        </w:rPr>
      </w:pPr>
    </w:p>
    <w:p w14:paraId="097F669E">
      <w:pPr>
        <w:pStyle w:val="11"/>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11"/>
        <w:spacing w:line="360" w:lineRule="auto"/>
        <w:ind w:firstLine="570"/>
        <w:rPr>
          <w:rFonts w:hint="eastAsia" w:ascii="宋体" w:hAnsi="宋体" w:cs="宋体"/>
          <w:sz w:val="24"/>
          <w:szCs w:val="24"/>
        </w:rPr>
      </w:pPr>
    </w:p>
    <w:p w14:paraId="291DAD1E">
      <w:pPr>
        <w:pStyle w:val="11"/>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11"/>
        <w:spacing w:line="360" w:lineRule="auto"/>
        <w:ind w:firstLine="570"/>
        <w:rPr>
          <w:rFonts w:hint="eastAsia" w:ascii="宋体" w:hAnsi="宋体" w:cs="宋体"/>
          <w:sz w:val="24"/>
          <w:szCs w:val="24"/>
        </w:rPr>
      </w:pPr>
    </w:p>
    <w:p w14:paraId="2D9BD671">
      <w:pPr>
        <w:pStyle w:val="11"/>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11"/>
        <w:spacing w:line="360" w:lineRule="auto"/>
        <w:ind w:firstLine="570"/>
        <w:rPr>
          <w:rFonts w:hint="eastAsia" w:ascii="宋体" w:hAnsi="宋体" w:cs="宋体"/>
          <w:sz w:val="24"/>
          <w:szCs w:val="24"/>
        </w:rPr>
      </w:pPr>
    </w:p>
    <w:p w14:paraId="609B6F85">
      <w:pPr>
        <w:pStyle w:val="11"/>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11"/>
        <w:spacing w:line="360" w:lineRule="auto"/>
        <w:ind w:firstLine="570"/>
        <w:rPr>
          <w:rFonts w:hint="eastAsia" w:ascii="宋体" w:hAnsi="宋体" w:cs="宋体"/>
          <w:sz w:val="24"/>
          <w:szCs w:val="24"/>
        </w:rPr>
      </w:pPr>
    </w:p>
    <w:p w14:paraId="3BDE95D1">
      <w:pPr>
        <w:pStyle w:val="2"/>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2"/>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2"/>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2"/>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2"/>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2"/>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2"/>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2"/>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2"/>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2"/>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2"/>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2"/>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2"/>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2"/>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2"/>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2"/>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2"/>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2"/>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52A8D"/>
    <w:rsid w:val="00F930D0"/>
    <w:rsid w:val="01086C64"/>
    <w:rsid w:val="011E0236"/>
    <w:rsid w:val="01877DA5"/>
    <w:rsid w:val="01D85400"/>
    <w:rsid w:val="02160F0D"/>
    <w:rsid w:val="02182ED7"/>
    <w:rsid w:val="021F6199"/>
    <w:rsid w:val="022950E4"/>
    <w:rsid w:val="02385327"/>
    <w:rsid w:val="0239504F"/>
    <w:rsid w:val="02587777"/>
    <w:rsid w:val="02596B98"/>
    <w:rsid w:val="0261686C"/>
    <w:rsid w:val="029635FE"/>
    <w:rsid w:val="02D212D8"/>
    <w:rsid w:val="02DA1F3A"/>
    <w:rsid w:val="02DE302E"/>
    <w:rsid w:val="02EF2BF8"/>
    <w:rsid w:val="03146D17"/>
    <w:rsid w:val="032D18E3"/>
    <w:rsid w:val="033E7281"/>
    <w:rsid w:val="037800D1"/>
    <w:rsid w:val="03AA58EB"/>
    <w:rsid w:val="0433224A"/>
    <w:rsid w:val="0475753C"/>
    <w:rsid w:val="04A44EF6"/>
    <w:rsid w:val="04B90889"/>
    <w:rsid w:val="04B9275B"/>
    <w:rsid w:val="04E74E13"/>
    <w:rsid w:val="04E92909"/>
    <w:rsid w:val="04F45672"/>
    <w:rsid w:val="050E6A2A"/>
    <w:rsid w:val="05435813"/>
    <w:rsid w:val="055D6E6F"/>
    <w:rsid w:val="056A70FC"/>
    <w:rsid w:val="05776140"/>
    <w:rsid w:val="057B766B"/>
    <w:rsid w:val="05887D16"/>
    <w:rsid w:val="058A7C48"/>
    <w:rsid w:val="058F02ED"/>
    <w:rsid w:val="05AE4D87"/>
    <w:rsid w:val="05D75C0F"/>
    <w:rsid w:val="05D830A9"/>
    <w:rsid w:val="05F44091"/>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D478A0"/>
    <w:rsid w:val="07D53346"/>
    <w:rsid w:val="07E27C47"/>
    <w:rsid w:val="08161C67"/>
    <w:rsid w:val="08202AE5"/>
    <w:rsid w:val="08337DD0"/>
    <w:rsid w:val="086230FE"/>
    <w:rsid w:val="08803584"/>
    <w:rsid w:val="088346AD"/>
    <w:rsid w:val="08990CC5"/>
    <w:rsid w:val="089B6813"/>
    <w:rsid w:val="08D17D55"/>
    <w:rsid w:val="08DF739F"/>
    <w:rsid w:val="08E47540"/>
    <w:rsid w:val="092E2FE0"/>
    <w:rsid w:val="094C0544"/>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E444D"/>
    <w:rsid w:val="0B9F3A93"/>
    <w:rsid w:val="0BB726A1"/>
    <w:rsid w:val="0BC358B3"/>
    <w:rsid w:val="0BEF53BF"/>
    <w:rsid w:val="0C215002"/>
    <w:rsid w:val="0C3034C5"/>
    <w:rsid w:val="0C317E65"/>
    <w:rsid w:val="0C563D8F"/>
    <w:rsid w:val="0CA65091"/>
    <w:rsid w:val="0CAC7F34"/>
    <w:rsid w:val="0CB83C95"/>
    <w:rsid w:val="0CBB2DDD"/>
    <w:rsid w:val="0CCE00B5"/>
    <w:rsid w:val="0D1515C6"/>
    <w:rsid w:val="0D2067BE"/>
    <w:rsid w:val="0D230FAC"/>
    <w:rsid w:val="0D4728C2"/>
    <w:rsid w:val="0D727778"/>
    <w:rsid w:val="0D852889"/>
    <w:rsid w:val="0DB96E09"/>
    <w:rsid w:val="0DC1580F"/>
    <w:rsid w:val="0DC856C6"/>
    <w:rsid w:val="0DE81498"/>
    <w:rsid w:val="0DF377D1"/>
    <w:rsid w:val="0E012A71"/>
    <w:rsid w:val="0E100F06"/>
    <w:rsid w:val="0E892065"/>
    <w:rsid w:val="0E8C712B"/>
    <w:rsid w:val="0EA53D44"/>
    <w:rsid w:val="0EC75A69"/>
    <w:rsid w:val="0ECD0C5B"/>
    <w:rsid w:val="0F0D45F7"/>
    <w:rsid w:val="0F39623B"/>
    <w:rsid w:val="0F3A7AFB"/>
    <w:rsid w:val="0F4C3944"/>
    <w:rsid w:val="0F6D52FB"/>
    <w:rsid w:val="0FF41731"/>
    <w:rsid w:val="10282537"/>
    <w:rsid w:val="103D79C9"/>
    <w:rsid w:val="10790FE5"/>
    <w:rsid w:val="10A65B52"/>
    <w:rsid w:val="10AA65CB"/>
    <w:rsid w:val="10BC17FC"/>
    <w:rsid w:val="10CB60ED"/>
    <w:rsid w:val="10DE2E5B"/>
    <w:rsid w:val="10F44B0F"/>
    <w:rsid w:val="11036E24"/>
    <w:rsid w:val="110B0047"/>
    <w:rsid w:val="11452848"/>
    <w:rsid w:val="11643A43"/>
    <w:rsid w:val="116934C3"/>
    <w:rsid w:val="11851C0B"/>
    <w:rsid w:val="118A1061"/>
    <w:rsid w:val="11D23CCC"/>
    <w:rsid w:val="11EB6937"/>
    <w:rsid w:val="11F8062F"/>
    <w:rsid w:val="1208797B"/>
    <w:rsid w:val="121A2353"/>
    <w:rsid w:val="123173E3"/>
    <w:rsid w:val="124A0BA3"/>
    <w:rsid w:val="127557DC"/>
    <w:rsid w:val="12B860AC"/>
    <w:rsid w:val="13127C55"/>
    <w:rsid w:val="13685340"/>
    <w:rsid w:val="13710699"/>
    <w:rsid w:val="13824654"/>
    <w:rsid w:val="13B10D13"/>
    <w:rsid w:val="13B642FE"/>
    <w:rsid w:val="13C54960"/>
    <w:rsid w:val="13D9316F"/>
    <w:rsid w:val="13E72709"/>
    <w:rsid w:val="13EE71E9"/>
    <w:rsid w:val="13FD093F"/>
    <w:rsid w:val="144B0499"/>
    <w:rsid w:val="14736D6A"/>
    <w:rsid w:val="147C3EC5"/>
    <w:rsid w:val="14B12728"/>
    <w:rsid w:val="14B31851"/>
    <w:rsid w:val="14B31E79"/>
    <w:rsid w:val="14CB20DB"/>
    <w:rsid w:val="151D7694"/>
    <w:rsid w:val="151F277D"/>
    <w:rsid w:val="15224301"/>
    <w:rsid w:val="154D4ED9"/>
    <w:rsid w:val="154F4200"/>
    <w:rsid w:val="155B6F0B"/>
    <w:rsid w:val="1564486A"/>
    <w:rsid w:val="156D4E90"/>
    <w:rsid w:val="159A7D3E"/>
    <w:rsid w:val="15BF700F"/>
    <w:rsid w:val="15C50828"/>
    <w:rsid w:val="15F53C26"/>
    <w:rsid w:val="15F76B65"/>
    <w:rsid w:val="15FB06EE"/>
    <w:rsid w:val="16203B24"/>
    <w:rsid w:val="16357D37"/>
    <w:rsid w:val="164E4CC1"/>
    <w:rsid w:val="16643EC6"/>
    <w:rsid w:val="168F61E3"/>
    <w:rsid w:val="16AA7FE8"/>
    <w:rsid w:val="16AD7C3A"/>
    <w:rsid w:val="16B52E8E"/>
    <w:rsid w:val="16B9038D"/>
    <w:rsid w:val="16EF7538"/>
    <w:rsid w:val="17163DEF"/>
    <w:rsid w:val="17215F32"/>
    <w:rsid w:val="1727797E"/>
    <w:rsid w:val="17375756"/>
    <w:rsid w:val="173A35B9"/>
    <w:rsid w:val="17440E55"/>
    <w:rsid w:val="176E0E48"/>
    <w:rsid w:val="17B90714"/>
    <w:rsid w:val="18053E35"/>
    <w:rsid w:val="18166331"/>
    <w:rsid w:val="183C74C7"/>
    <w:rsid w:val="18544A22"/>
    <w:rsid w:val="18670228"/>
    <w:rsid w:val="187464B2"/>
    <w:rsid w:val="18856E61"/>
    <w:rsid w:val="188B3FAB"/>
    <w:rsid w:val="1891785D"/>
    <w:rsid w:val="18A230A3"/>
    <w:rsid w:val="18A4661B"/>
    <w:rsid w:val="18A8667F"/>
    <w:rsid w:val="18AA467D"/>
    <w:rsid w:val="18B76B4E"/>
    <w:rsid w:val="18B84674"/>
    <w:rsid w:val="18CE16DB"/>
    <w:rsid w:val="18D21BDA"/>
    <w:rsid w:val="18D46C70"/>
    <w:rsid w:val="18ED7B4F"/>
    <w:rsid w:val="18FE5269"/>
    <w:rsid w:val="19133E51"/>
    <w:rsid w:val="193009FE"/>
    <w:rsid w:val="194C6677"/>
    <w:rsid w:val="19542075"/>
    <w:rsid w:val="195E6FCA"/>
    <w:rsid w:val="19675F86"/>
    <w:rsid w:val="196E00F8"/>
    <w:rsid w:val="198F3627"/>
    <w:rsid w:val="199E386A"/>
    <w:rsid w:val="19A213F5"/>
    <w:rsid w:val="19A418B9"/>
    <w:rsid w:val="19D61256"/>
    <w:rsid w:val="19DB3D80"/>
    <w:rsid w:val="19E04F6D"/>
    <w:rsid w:val="19F416DC"/>
    <w:rsid w:val="1A1C35E6"/>
    <w:rsid w:val="1A240213"/>
    <w:rsid w:val="1A2F4534"/>
    <w:rsid w:val="1A64731D"/>
    <w:rsid w:val="1A72469F"/>
    <w:rsid w:val="1A8379DF"/>
    <w:rsid w:val="1A9B15F2"/>
    <w:rsid w:val="1A9C424D"/>
    <w:rsid w:val="1AB25E6A"/>
    <w:rsid w:val="1AB772D9"/>
    <w:rsid w:val="1ABC31F0"/>
    <w:rsid w:val="1ACB068F"/>
    <w:rsid w:val="1B333272"/>
    <w:rsid w:val="1B494D39"/>
    <w:rsid w:val="1B5E7755"/>
    <w:rsid w:val="1B7A71F5"/>
    <w:rsid w:val="1B822020"/>
    <w:rsid w:val="1B8A22F8"/>
    <w:rsid w:val="1B976520"/>
    <w:rsid w:val="1BB455D7"/>
    <w:rsid w:val="1BBA678A"/>
    <w:rsid w:val="1BCC2910"/>
    <w:rsid w:val="1BFB64CC"/>
    <w:rsid w:val="1C0E117B"/>
    <w:rsid w:val="1C1C5678"/>
    <w:rsid w:val="1C246367"/>
    <w:rsid w:val="1C4B2D6F"/>
    <w:rsid w:val="1C844DEB"/>
    <w:rsid w:val="1CC85451"/>
    <w:rsid w:val="1CD035FF"/>
    <w:rsid w:val="1CEF1145"/>
    <w:rsid w:val="1D17405F"/>
    <w:rsid w:val="1D233D8F"/>
    <w:rsid w:val="1D3459FF"/>
    <w:rsid w:val="1D3C0EC8"/>
    <w:rsid w:val="1D4D35A2"/>
    <w:rsid w:val="1D575319"/>
    <w:rsid w:val="1D7C1034"/>
    <w:rsid w:val="1DCD18A1"/>
    <w:rsid w:val="1DCD2970"/>
    <w:rsid w:val="1DF30372"/>
    <w:rsid w:val="1E03164B"/>
    <w:rsid w:val="1E0F4076"/>
    <w:rsid w:val="1E682E27"/>
    <w:rsid w:val="1E707F95"/>
    <w:rsid w:val="1EA27958"/>
    <w:rsid w:val="1EA94202"/>
    <w:rsid w:val="1EB06519"/>
    <w:rsid w:val="1EF61FA9"/>
    <w:rsid w:val="1F0E1492"/>
    <w:rsid w:val="1F212F73"/>
    <w:rsid w:val="1F213D24"/>
    <w:rsid w:val="1F4924CA"/>
    <w:rsid w:val="1F6249F6"/>
    <w:rsid w:val="1F992B7C"/>
    <w:rsid w:val="1FA06DAA"/>
    <w:rsid w:val="1FB06288"/>
    <w:rsid w:val="1FDA2639"/>
    <w:rsid w:val="1FED0380"/>
    <w:rsid w:val="1FEE1188"/>
    <w:rsid w:val="201347C7"/>
    <w:rsid w:val="201964A9"/>
    <w:rsid w:val="20457BE4"/>
    <w:rsid w:val="20A0436C"/>
    <w:rsid w:val="20B36BB2"/>
    <w:rsid w:val="20C61714"/>
    <w:rsid w:val="20D54675"/>
    <w:rsid w:val="21076EAA"/>
    <w:rsid w:val="21097C94"/>
    <w:rsid w:val="21164B43"/>
    <w:rsid w:val="21311D33"/>
    <w:rsid w:val="215C01EE"/>
    <w:rsid w:val="21AE2AB8"/>
    <w:rsid w:val="21C9307F"/>
    <w:rsid w:val="21E40288"/>
    <w:rsid w:val="220A1D98"/>
    <w:rsid w:val="2217735B"/>
    <w:rsid w:val="2218797D"/>
    <w:rsid w:val="22275EF8"/>
    <w:rsid w:val="22370854"/>
    <w:rsid w:val="22370D00"/>
    <w:rsid w:val="226D1CB5"/>
    <w:rsid w:val="22755A4F"/>
    <w:rsid w:val="227710FC"/>
    <w:rsid w:val="228B76CE"/>
    <w:rsid w:val="229F0C93"/>
    <w:rsid w:val="22AA0132"/>
    <w:rsid w:val="22B731D5"/>
    <w:rsid w:val="22CC769A"/>
    <w:rsid w:val="22F17100"/>
    <w:rsid w:val="22FA640F"/>
    <w:rsid w:val="23125B7E"/>
    <w:rsid w:val="231A1F84"/>
    <w:rsid w:val="231A56E9"/>
    <w:rsid w:val="23241284"/>
    <w:rsid w:val="235B0525"/>
    <w:rsid w:val="237C665A"/>
    <w:rsid w:val="23850D1F"/>
    <w:rsid w:val="239C706C"/>
    <w:rsid w:val="23C6653A"/>
    <w:rsid w:val="23D762F6"/>
    <w:rsid w:val="24082241"/>
    <w:rsid w:val="241A4435"/>
    <w:rsid w:val="242E5513"/>
    <w:rsid w:val="24343980"/>
    <w:rsid w:val="24896773"/>
    <w:rsid w:val="249047E8"/>
    <w:rsid w:val="24B403E6"/>
    <w:rsid w:val="24BE2A29"/>
    <w:rsid w:val="24C846D9"/>
    <w:rsid w:val="24D70F46"/>
    <w:rsid w:val="24EA483E"/>
    <w:rsid w:val="24FD7FDE"/>
    <w:rsid w:val="25150BF1"/>
    <w:rsid w:val="25206C08"/>
    <w:rsid w:val="25413C4B"/>
    <w:rsid w:val="254479BB"/>
    <w:rsid w:val="25490D83"/>
    <w:rsid w:val="255C3EFC"/>
    <w:rsid w:val="255F5E6B"/>
    <w:rsid w:val="257F5A79"/>
    <w:rsid w:val="25A66C6A"/>
    <w:rsid w:val="25B74631"/>
    <w:rsid w:val="25C60AA9"/>
    <w:rsid w:val="263022DC"/>
    <w:rsid w:val="264777FE"/>
    <w:rsid w:val="264F3B85"/>
    <w:rsid w:val="265A0BD7"/>
    <w:rsid w:val="266F36FB"/>
    <w:rsid w:val="266F42B5"/>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92D69B8"/>
    <w:rsid w:val="293E75FA"/>
    <w:rsid w:val="29540C2B"/>
    <w:rsid w:val="295F7D1D"/>
    <w:rsid w:val="299407E6"/>
    <w:rsid w:val="29E17ECF"/>
    <w:rsid w:val="2A0374F8"/>
    <w:rsid w:val="2A102562"/>
    <w:rsid w:val="2A222295"/>
    <w:rsid w:val="2A24211A"/>
    <w:rsid w:val="2A9767DF"/>
    <w:rsid w:val="2AAB4C72"/>
    <w:rsid w:val="2AAF04D5"/>
    <w:rsid w:val="2AE73BC4"/>
    <w:rsid w:val="2B0B05BB"/>
    <w:rsid w:val="2B163D4A"/>
    <w:rsid w:val="2B1E0CAF"/>
    <w:rsid w:val="2B812E55"/>
    <w:rsid w:val="2B8B2BFC"/>
    <w:rsid w:val="2BC25ADE"/>
    <w:rsid w:val="2BD63891"/>
    <w:rsid w:val="2BE07D12"/>
    <w:rsid w:val="2C023378"/>
    <w:rsid w:val="2C066227"/>
    <w:rsid w:val="2C525F5C"/>
    <w:rsid w:val="2CA535F8"/>
    <w:rsid w:val="2CA57561"/>
    <w:rsid w:val="2CBA5C99"/>
    <w:rsid w:val="2D04656C"/>
    <w:rsid w:val="2D187BB2"/>
    <w:rsid w:val="2D200A23"/>
    <w:rsid w:val="2D231874"/>
    <w:rsid w:val="2D2B159E"/>
    <w:rsid w:val="2D443CA7"/>
    <w:rsid w:val="2D4E6396"/>
    <w:rsid w:val="2D551834"/>
    <w:rsid w:val="2D6F72CD"/>
    <w:rsid w:val="2D742B32"/>
    <w:rsid w:val="2D7A4435"/>
    <w:rsid w:val="2D825525"/>
    <w:rsid w:val="2D856DC3"/>
    <w:rsid w:val="2DC478E8"/>
    <w:rsid w:val="2DD517D4"/>
    <w:rsid w:val="2DDB2E87"/>
    <w:rsid w:val="2DEA4E78"/>
    <w:rsid w:val="2E007DC0"/>
    <w:rsid w:val="2E040936"/>
    <w:rsid w:val="2E112405"/>
    <w:rsid w:val="2E3031D3"/>
    <w:rsid w:val="2E36630F"/>
    <w:rsid w:val="2E3F12F9"/>
    <w:rsid w:val="2E426A62"/>
    <w:rsid w:val="2E5073D1"/>
    <w:rsid w:val="2E555FE9"/>
    <w:rsid w:val="2E6B5FB9"/>
    <w:rsid w:val="2E80644F"/>
    <w:rsid w:val="2E84538B"/>
    <w:rsid w:val="2E9A689E"/>
    <w:rsid w:val="2EBA2A9C"/>
    <w:rsid w:val="2EC16F1A"/>
    <w:rsid w:val="2ECD5480"/>
    <w:rsid w:val="2F0500D5"/>
    <w:rsid w:val="2F177EEF"/>
    <w:rsid w:val="2F7D080C"/>
    <w:rsid w:val="2F803CE6"/>
    <w:rsid w:val="2FC55B9D"/>
    <w:rsid w:val="2FD8767E"/>
    <w:rsid w:val="2FF31D0A"/>
    <w:rsid w:val="301A5EE8"/>
    <w:rsid w:val="3030231C"/>
    <w:rsid w:val="30366D06"/>
    <w:rsid w:val="30C92320"/>
    <w:rsid w:val="30D83C45"/>
    <w:rsid w:val="30E66DCC"/>
    <w:rsid w:val="314174A5"/>
    <w:rsid w:val="314A45AB"/>
    <w:rsid w:val="31552B73"/>
    <w:rsid w:val="31994BEB"/>
    <w:rsid w:val="3220530C"/>
    <w:rsid w:val="323A7360"/>
    <w:rsid w:val="323D0A84"/>
    <w:rsid w:val="324C6101"/>
    <w:rsid w:val="32531F47"/>
    <w:rsid w:val="326076FA"/>
    <w:rsid w:val="32770D8A"/>
    <w:rsid w:val="329A50BF"/>
    <w:rsid w:val="32A7158A"/>
    <w:rsid w:val="32C91500"/>
    <w:rsid w:val="32D24BA4"/>
    <w:rsid w:val="32D86AF0"/>
    <w:rsid w:val="32FA2684"/>
    <w:rsid w:val="3330157F"/>
    <w:rsid w:val="333762E3"/>
    <w:rsid w:val="33483797"/>
    <w:rsid w:val="335A484E"/>
    <w:rsid w:val="335F3C12"/>
    <w:rsid w:val="336B0809"/>
    <w:rsid w:val="337825D1"/>
    <w:rsid w:val="33833DA5"/>
    <w:rsid w:val="338B2CC0"/>
    <w:rsid w:val="33BA4BF5"/>
    <w:rsid w:val="33D51773"/>
    <w:rsid w:val="34000EC8"/>
    <w:rsid w:val="340B2F58"/>
    <w:rsid w:val="340F1183"/>
    <w:rsid w:val="34105922"/>
    <w:rsid w:val="34251EF7"/>
    <w:rsid w:val="34311A53"/>
    <w:rsid w:val="347B2E07"/>
    <w:rsid w:val="348F6779"/>
    <w:rsid w:val="349A264D"/>
    <w:rsid w:val="349D28F7"/>
    <w:rsid w:val="34BF1F7E"/>
    <w:rsid w:val="34CB2DEE"/>
    <w:rsid w:val="34D452B4"/>
    <w:rsid w:val="34E26997"/>
    <w:rsid w:val="355359F9"/>
    <w:rsid w:val="35C038EE"/>
    <w:rsid w:val="35D94150"/>
    <w:rsid w:val="35EC2ECC"/>
    <w:rsid w:val="36592683"/>
    <w:rsid w:val="367E5F1A"/>
    <w:rsid w:val="36873605"/>
    <w:rsid w:val="368C2F70"/>
    <w:rsid w:val="36B215D8"/>
    <w:rsid w:val="36D36DF1"/>
    <w:rsid w:val="36D40815"/>
    <w:rsid w:val="36E52680"/>
    <w:rsid w:val="36F5338D"/>
    <w:rsid w:val="3708606E"/>
    <w:rsid w:val="37732382"/>
    <w:rsid w:val="37864191"/>
    <w:rsid w:val="378C0D4E"/>
    <w:rsid w:val="37985EC1"/>
    <w:rsid w:val="37E413C0"/>
    <w:rsid w:val="380171FD"/>
    <w:rsid w:val="38402233"/>
    <w:rsid w:val="384B29B7"/>
    <w:rsid w:val="38712298"/>
    <w:rsid w:val="388C5B1D"/>
    <w:rsid w:val="38A04DF7"/>
    <w:rsid w:val="38C77976"/>
    <w:rsid w:val="38E74525"/>
    <w:rsid w:val="390200C3"/>
    <w:rsid w:val="39174448"/>
    <w:rsid w:val="39225E0E"/>
    <w:rsid w:val="392331A3"/>
    <w:rsid w:val="39363667"/>
    <w:rsid w:val="395104A1"/>
    <w:rsid w:val="3963370B"/>
    <w:rsid w:val="397836F4"/>
    <w:rsid w:val="39952DF3"/>
    <w:rsid w:val="399D0939"/>
    <w:rsid w:val="39B5337F"/>
    <w:rsid w:val="39CC45AC"/>
    <w:rsid w:val="39EF3677"/>
    <w:rsid w:val="39FF1BFA"/>
    <w:rsid w:val="3A0F0CCD"/>
    <w:rsid w:val="3A521691"/>
    <w:rsid w:val="3A663A3E"/>
    <w:rsid w:val="3A6A181A"/>
    <w:rsid w:val="3A993EAE"/>
    <w:rsid w:val="3AAE6E0A"/>
    <w:rsid w:val="3AE03CCA"/>
    <w:rsid w:val="3AE50EA1"/>
    <w:rsid w:val="3B385475"/>
    <w:rsid w:val="3B5947AB"/>
    <w:rsid w:val="3B622EC6"/>
    <w:rsid w:val="3B9A280D"/>
    <w:rsid w:val="3BEA7430"/>
    <w:rsid w:val="3BF658F4"/>
    <w:rsid w:val="3BF81716"/>
    <w:rsid w:val="3BFD527E"/>
    <w:rsid w:val="3C1B6C41"/>
    <w:rsid w:val="3C424E8F"/>
    <w:rsid w:val="3C477B6F"/>
    <w:rsid w:val="3C8702E7"/>
    <w:rsid w:val="3C9C124F"/>
    <w:rsid w:val="3CB94393"/>
    <w:rsid w:val="3CC83199"/>
    <w:rsid w:val="3CF571F3"/>
    <w:rsid w:val="3D140C5C"/>
    <w:rsid w:val="3D2F43E0"/>
    <w:rsid w:val="3D655D60"/>
    <w:rsid w:val="3DAC43F9"/>
    <w:rsid w:val="3DB50FFF"/>
    <w:rsid w:val="3DD02553"/>
    <w:rsid w:val="3DED0D09"/>
    <w:rsid w:val="3DEE556E"/>
    <w:rsid w:val="3E13326D"/>
    <w:rsid w:val="3E616B4B"/>
    <w:rsid w:val="3E6E2B1B"/>
    <w:rsid w:val="3E955746"/>
    <w:rsid w:val="3ED205EC"/>
    <w:rsid w:val="3ED74FA5"/>
    <w:rsid w:val="3EE142D2"/>
    <w:rsid w:val="3EF75647"/>
    <w:rsid w:val="3F0835D9"/>
    <w:rsid w:val="3F446ADE"/>
    <w:rsid w:val="3F4D5267"/>
    <w:rsid w:val="3F4F166A"/>
    <w:rsid w:val="3F593C86"/>
    <w:rsid w:val="3F79605C"/>
    <w:rsid w:val="3FB85A65"/>
    <w:rsid w:val="3FCC0118"/>
    <w:rsid w:val="3FCF3ECE"/>
    <w:rsid w:val="3FCF3F18"/>
    <w:rsid w:val="3FD421E8"/>
    <w:rsid w:val="400118CA"/>
    <w:rsid w:val="40252995"/>
    <w:rsid w:val="40302BBE"/>
    <w:rsid w:val="40332828"/>
    <w:rsid w:val="40A44C63"/>
    <w:rsid w:val="40D00B2F"/>
    <w:rsid w:val="40DC0786"/>
    <w:rsid w:val="41232723"/>
    <w:rsid w:val="41464C85"/>
    <w:rsid w:val="417F6B17"/>
    <w:rsid w:val="41840BE1"/>
    <w:rsid w:val="418C6658"/>
    <w:rsid w:val="41964E73"/>
    <w:rsid w:val="419F529D"/>
    <w:rsid w:val="41B55086"/>
    <w:rsid w:val="41EE6E13"/>
    <w:rsid w:val="42084EC3"/>
    <w:rsid w:val="423A6411"/>
    <w:rsid w:val="423F358D"/>
    <w:rsid w:val="42786A9F"/>
    <w:rsid w:val="42D71A17"/>
    <w:rsid w:val="42FE6FA4"/>
    <w:rsid w:val="4361439B"/>
    <w:rsid w:val="43946CA9"/>
    <w:rsid w:val="43A86F10"/>
    <w:rsid w:val="44427F52"/>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1D1E37"/>
    <w:rsid w:val="464F1C02"/>
    <w:rsid w:val="466F2638"/>
    <w:rsid w:val="469A7FF6"/>
    <w:rsid w:val="46EE732F"/>
    <w:rsid w:val="46F64545"/>
    <w:rsid w:val="47060312"/>
    <w:rsid w:val="4719209A"/>
    <w:rsid w:val="47794A11"/>
    <w:rsid w:val="47A143A2"/>
    <w:rsid w:val="47B71069"/>
    <w:rsid w:val="48132F14"/>
    <w:rsid w:val="483B0352"/>
    <w:rsid w:val="48811D03"/>
    <w:rsid w:val="48AC1250"/>
    <w:rsid w:val="48C141AC"/>
    <w:rsid w:val="48D66C7A"/>
    <w:rsid w:val="48E105FA"/>
    <w:rsid w:val="48FC2F4A"/>
    <w:rsid w:val="49036E3A"/>
    <w:rsid w:val="49506444"/>
    <w:rsid w:val="49557B3A"/>
    <w:rsid w:val="4957464A"/>
    <w:rsid w:val="49620E28"/>
    <w:rsid w:val="496F2273"/>
    <w:rsid w:val="49DB1022"/>
    <w:rsid w:val="49E669E4"/>
    <w:rsid w:val="49E71F57"/>
    <w:rsid w:val="49ED46D6"/>
    <w:rsid w:val="4A08695A"/>
    <w:rsid w:val="4A1D33CB"/>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40262"/>
    <w:rsid w:val="4B8C6395"/>
    <w:rsid w:val="4B9177DA"/>
    <w:rsid w:val="4BF624AA"/>
    <w:rsid w:val="4BF90C50"/>
    <w:rsid w:val="4C2D4456"/>
    <w:rsid w:val="4C5D2FD0"/>
    <w:rsid w:val="4C981C3F"/>
    <w:rsid w:val="4CA74208"/>
    <w:rsid w:val="4CD718F5"/>
    <w:rsid w:val="4D204A83"/>
    <w:rsid w:val="4D267F84"/>
    <w:rsid w:val="4D2B547F"/>
    <w:rsid w:val="4D832F3E"/>
    <w:rsid w:val="4D9238BB"/>
    <w:rsid w:val="4D99574F"/>
    <w:rsid w:val="4D9B5CE1"/>
    <w:rsid w:val="4DB64958"/>
    <w:rsid w:val="4DDA3031"/>
    <w:rsid w:val="4E053C7B"/>
    <w:rsid w:val="4E0E5A4F"/>
    <w:rsid w:val="4E4435E1"/>
    <w:rsid w:val="4ED67027"/>
    <w:rsid w:val="4EE52C6D"/>
    <w:rsid w:val="4F01127F"/>
    <w:rsid w:val="4FAB2D1B"/>
    <w:rsid w:val="4FB731DD"/>
    <w:rsid w:val="4FBF2ED5"/>
    <w:rsid w:val="50067498"/>
    <w:rsid w:val="50096F88"/>
    <w:rsid w:val="50131BB5"/>
    <w:rsid w:val="50146059"/>
    <w:rsid w:val="503E4E84"/>
    <w:rsid w:val="506D5769"/>
    <w:rsid w:val="50833C86"/>
    <w:rsid w:val="50E45A03"/>
    <w:rsid w:val="51150190"/>
    <w:rsid w:val="511856D5"/>
    <w:rsid w:val="512A5408"/>
    <w:rsid w:val="512C2F2E"/>
    <w:rsid w:val="51D5048D"/>
    <w:rsid w:val="51E51FEE"/>
    <w:rsid w:val="51F779E0"/>
    <w:rsid w:val="520B7D74"/>
    <w:rsid w:val="52100AA2"/>
    <w:rsid w:val="522768AD"/>
    <w:rsid w:val="523251E2"/>
    <w:rsid w:val="52500E9E"/>
    <w:rsid w:val="527B46FD"/>
    <w:rsid w:val="52853F43"/>
    <w:rsid w:val="528E51B8"/>
    <w:rsid w:val="52A6664F"/>
    <w:rsid w:val="52B15411"/>
    <w:rsid w:val="52CC7DF3"/>
    <w:rsid w:val="52CE1289"/>
    <w:rsid w:val="52EB079C"/>
    <w:rsid w:val="531B4AC6"/>
    <w:rsid w:val="53277BCE"/>
    <w:rsid w:val="5332420A"/>
    <w:rsid w:val="535004C8"/>
    <w:rsid w:val="538423E9"/>
    <w:rsid w:val="538B7847"/>
    <w:rsid w:val="5398065B"/>
    <w:rsid w:val="539F3E8B"/>
    <w:rsid w:val="53A22BE3"/>
    <w:rsid w:val="53A53928"/>
    <w:rsid w:val="53B440BA"/>
    <w:rsid w:val="540A1104"/>
    <w:rsid w:val="54420CBA"/>
    <w:rsid w:val="54800E8E"/>
    <w:rsid w:val="5483555B"/>
    <w:rsid w:val="54A408D5"/>
    <w:rsid w:val="54B57808"/>
    <w:rsid w:val="54F621D1"/>
    <w:rsid w:val="552A2DE1"/>
    <w:rsid w:val="553920BD"/>
    <w:rsid w:val="5540169E"/>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93089"/>
    <w:rsid w:val="576D604E"/>
    <w:rsid w:val="577949F3"/>
    <w:rsid w:val="5794682F"/>
    <w:rsid w:val="57B91A6F"/>
    <w:rsid w:val="57D0356B"/>
    <w:rsid w:val="57D52571"/>
    <w:rsid w:val="57E82455"/>
    <w:rsid w:val="582564D7"/>
    <w:rsid w:val="58264E59"/>
    <w:rsid w:val="582B34CF"/>
    <w:rsid w:val="583848AE"/>
    <w:rsid w:val="58402AE0"/>
    <w:rsid w:val="58603F84"/>
    <w:rsid w:val="5881429E"/>
    <w:rsid w:val="58B0750F"/>
    <w:rsid w:val="58B35CA0"/>
    <w:rsid w:val="58D02D39"/>
    <w:rsid w:val="58E41F09"/>
    <w:rsid w:val="58FE1654"/>
    <w:rsid w:val="590651C6"/>
    <w:rsid w:val="59255A95"/>
    <w:rsid w:val="592866D1"/>
    <w:rsid w:val="59312499"/>
    <w:rsid w:val="59350DEE"/>
    <w:rsid w:val="59372DB8"/>
    <w:rsid w:val="59754D64"/>
    <w:rsid w:val="599F5584"/>
    <w:rsid w:val="59B66E8F"/>
    <w:rsid w:val="59BB3B44"/>
    <w:rsid w:val="59BF0C4D"/>
    <w:rsid w:val="59DB7BE7"/>
    <w:rsid w:val="59F640F1"/>
    <w:rsid w:val="59FF38D6"/>
    <w:rsid w:val="5A2B3EF4"/>
    <w:rsid w:val="5A32585F"/>
    <w:rsid w:val="5A3776B2"/>
    <w:rsid w:val="5A504131"/>
    <w:rsid w:val="5A5654C0"/>
    <w:rsid w:val="5A5939ED"/>
    <w:rsid w:val="5A780863"/>
    <w:rsid w:val="5AA10B95"/>
    <w:rsid w:val="5ACD3059"/>
    <w:rsid w:val="5AEE5383"/>
    <w:rsid w:val="5AFA22EF"/>
    <w:rsid w:val="5B056235"/>
    <w:rsid w:val="5B0C581F"/>
    <w:rsid w:val="5B8D79ED"/>
    <w:rsid w:val="5BA04C44"/>
    <w:rsid w:val="5BA46702"/>
    <w:rsid w:val="5BA83B17"/>
    <w:rsid w:val="5BBE7DF7"/>
    <w:rsid w:val="5BC62257"/>
    <w:rsid w:val="5BDB5C7C"/>
    <w:rsid w:val="5C0B5D25"/>
    <w:rsid w:val="5C26298E"/>
    <w:rsid w:val="5C2F5FC8"/>
    <w:rsid w:val="5C6006D9"/>
    <w:rsid w:val="5C9127DF"/>
    <w:rsid w:val="5C913374"/>
    <w:rsid w:val="5C9218B6"/>
    <w:rsid w:val="5CA076CB"/>
    <w:rsid w:val="5CAE1C5C"/>
    <w:rsid w:val="5CBE07F4"/>
    <w:rsid w:val="5CEA4624"/>
    <w:rsid w:val="5CF36FF6"/>
    <w:rsid w:val="5CFC234E"/>
    <w:rsid w:val="5D2B3347"/>
    <w:rsid w:val="5D3149E8"/>
    <w:rsid w:val="5D3F66DF"/>
    <w:rsid w:val="5D6879E4"/>
    <w:rsid w:val="5D762135"/>
    <w:rsid w:val="5D7B1385"/>
    <w:rsid w:val="5D7E3D19"/>
    <w:rsid w:val="5D916F3A"/>
    <w:rsid w:val="5DA153CA"/>
    <w:rsid w:val="5DBC1DC9"/>
    <w:rsid w:val="5DC43727"/>
    <w:rsid w:val="5DCD5A99"/>
    <w:rsid w:val="5DDC3B9C"/>
    <w:rsid w:val="5DFF67AF"/>
    <w:rsid w:val="5E2E21D3"/>
    <w:rsid w:val="5E64625A"/>
    <w:rsid w:val="5E67591F"/>
    <w:rsid w:val="5E79352B"/>
    <w:rsid w:val="5E953FF5"/>
    <w:rsid w:val="5E9A7EDB"/>
    <w:rsid w:val="5EBB4155"/>
    <w:rsid w:val="5EC0115A"/>
    <w:rsid w:val="5EC22FE7"/>
    <w:rsid w:val="5ED33DDE"/>
    <w:rsid w:val="5EE057F0"/>
    <w:rsid w:val="5EFE107F"/>
    <w:rsid w:val="5F170E02"/>
    <w:rsid w:val="5F6661A5"/>
    <w:rsid w:val="5FC812E1"/>
    <w:rsid w:val="60181471"/>
    <w:rsid w:val="60716B51"/>
    <w:rsid w:val="608A1A1F"/>
    <w:rsid w:val="609F0BE8"/>
    <w:rsid w:val="611759A9"/>
    <w:rsid w:val="61325D85"/>
    <w:rsid w:val="613C715F"/>
    <w:rsid w:val="6162741E"/>
    <w:rsid w:val="619C0D54"/>
    <w:rsid w:val="61AA24B2"/>
    <w:rsid w:val="61B33B64"/>
    <w:rsid w:val="61B559C9"/>
    <w:rsid w:val="61BF20D1"/>
    <w:rsid w:val="61F61177"/>
    <w:rsid w:val="61FA7BC0"/>
    <w:rsid w:val="62061579"/>
    <w:rsid w:val="620850D8"/>
    <w:rsid w:val="6223212B"/>
    <w:rsid w:val="62293020"/>
    <w:rsid w:val="624B51DE"/>
    <w:rsid w:val="625D388F"/>
    <w:rsid w:val="626F5193"/>
    <w:rsid w:val="62700306"/>
    <w:rsid w:val="627B785A"/>
    <w:rsid w:val="62EE6294"/>
    <w:rsid w:val="62F873C6"/>
    <w:rsid w:val="6338786C"/>
    <w:rsid w:val="635F1070"/>
    <w:rsid w:val="63663C6E"/>
    <w:rsid w:val="63846BFA"/>
    <w:rsid w:val="6397692D"/>
    <w:rsid w:val="63C35974"/>
    <w:rsid w:val="63DC35A2"/>
    <w:rsid w:val="64366345"/>
    <w:rsid w:val="64497237"/>
    <w:rsid w:val="644A6763"/>
    <w:rsid w:val="6458713F"/>
    <w:rsid w:val="64C134D4"/>
    <w:rsid w:val="64C854D2"/>
    <w:rsid w:val="64D17DD0"/>
    <w:rsid w:val="64D92D39"/>
    <w:rsid w:val="64F1286C"/>
    <w:rsid w:val="64FA7837"/>
    <w:rsid w:val="65257F68"/>
    <w:rsid w:val="6539772E"/>
    <w:rsid w:val="65773904"/>
    <w:rsid w:val="657E3284"/>
    <w:rsid w:val="65AD3AC0"/>
    <w:rsid w:val="65B51681"/>
    <w:rsid w:val="65BC5116"/>
    <w:rsid w:val="65D04378"/>
    <w:rsid w:val="65FC1361"/>
    <w:rsid w:val="66634A35"/>
    <w:rsid w:val="666D1BC7"/>
    <w:rsid w:val="66703465"/>
    <w:rsid w:val="66711486"/>
    <w:rsid w:val="66772B67"/>
    <w:rsid w:val="667F610B"/>
    <w:rsid w:val="66A838D4"/>
    <w:rsid w:val="66D659BE"/>
    <w:rsid w:val="670C7632"/>
    <w:rsid w:val="670D4EDB"/>
    <w:rsid w:val="676A6010"/>
    <w:rsid w:val="67AF3709"/>
    <w:rsid w:val="67B927F7"/>
    <w:rsid w:val="67C07B0C"/>
    <w:rsid w:val="67D619EE"/>
    <w:rsid w:val="67F45EB1"/>
    <w:rsid w:val="6800627B"/>
    <w:rsid w:val="685017A0"/>
    <w:rsid w:val="68B735CD"/>
    <w:rsid w:val="68BD1306"/>
    <w:rsid w:val="68CC0A7B"/>
    <w:rsid w:val="690A5DF3"/>
    <w:rsid w:val="693A3C94"/>
    <w:rsid w:val="695D48EB"/>
    <w:rsid w:val="699072D5"/>
    <w:rsid w:val="699A48C1"/>
    <w:rsid w:val="69B12712"/>
    <w:rsid w:val="69C97A5C"/>
    <w:rsid w:val="69EF3CFC"/>
    <w:rsid w:val="69F04FE9"/>
    <w:rsid w:val="6A1E78CE"/>
    <w:rsid w:val="6A36452B"/>
    <w:rsid w:val="6A60677C"/>
    <w:rsid w:val="6A6854FB"/>
    <w:rsid w:val="6A815C41"/>
    <w:rsid w:val="6AE12B83"/>
    <w:rsid w:val="6AE22020"/>
    <w:rsid w:val="6AFE7F06"/>
    <w:rsid w:val="6B163F01"/>
    <w:rsid w:val="6B3449D8"/>
    <w:rsid w:val="6B6A1504"/>
    <w:rsid w:val="6B7660F1"/>
    <w:rsid w:val="6B8805B7"/>
    <w:rsid w:val="6B8C31C6"/>
    <w:rsid w:val="6BC37EBD"/>
    <w:rsid w:val="6BEE1B1F"/>
    <w:rsid w:val="6BF222BC"/>
    <w:rsid w:val="6BF364A8"/>
    <w:rsid w:val="6BFD5ADD"/>
    <w:rsid w:val="6C0A7EB8"/>
    <w:rsid w:val="6C496C32"/>
    <w:rsid w:val="6C553313"/>
    <w:rsid w:val="6C5555D7"/>
    <w:rsid w:val="6C5E29A1"/>
    <w:rsid w:val="6C8247FD"/>
    <w:rsid w:val="6C8469CD"/>
    <w:rsid w:val="6C883B28"/>
    <w:rsid w:val="6C965960"/>
    <w:rsid w:val="6C9C3206"/>
    <w:rsid w:val="6D055307"/>
    <w:rsid w:val="6D0B294D"/>
    <w:rsid w:val="6D0F2724"/>
    <w:rsid w:val="6D580A73"/>
    <w:rsid w:val="6D853231"/>
    <w:rsid w:val="6D8A12B0"/>
    <w:rsid w:val="6D9A533D"/>
    <w:rsid w:val="6DA47FDB"/>
    <w:rsid w:val="6DC24155"/>
    <w:rsid w:val="6DCF13B9"/>
    <w:rsid w:val="6DFB5D0A"/>
    <w:rsid w:val="6E1A3DCB"/>
    <w:rsid w:val="6E237077"/>
    <w:rsid w:val="6E390A34"/>
    <w:rsid w:val="6EA77C40"/>
    <w:rsid w:val="6F392F8E"/>
    <w:rsid w:val="6F6B6B85"/>
    <w:rsid w:val="6F7A10AD"/>
    <w:rsid w:val="6FC43A9D"/>
    <w:rsid w:val="6FDF1606"/>
    <w:rsid w:val="6FE86762"/>
    <w:rsid w:val="6FF814B9"/>
    <w:rsid w:val="702D1E02"/>
    <w:rsid w:val="7037771F"/>
    <w:rsid w:val="706C2EEF"/>
    <w:rsid w:val="707149AA"/>
    <w:rsid w:val="70743576"/>
    <w:rsid w:val="70A63B08"/>
    <w:rsid w:val="70C3758A"/>
    <w:rsid w:val="70D162B1"/>
    <w:rsid w:val="70D2369A"/>
    <w:rsid w:val="70DF7033"/>
    <w:rsid w:val="70E64A50"/>
    <w:rsid w:val="71045017"/>
    <w:rsid w:val="71073633"/>
    <w:rsid w:val="71162BC3"/>
    <w:rsid w:val="71257C6E"/>
    <w:rsid w:val="7129096F"/>
    <w:rsid w:val="71630796"/>
    <w:rsid w:val="718A3BCA"/>
    <w:rsid w:val="71B57799"/>
    <w:rsid w:val="71E74F23"/>
    <w:rsid w:val="71EF0F7D"/>
    <w:rsid w:val="722D66AE"/>
    <w:rsid w:val="72A526E9"/>
    <w:rsid w:val="72B7759F"/>
    <w:rsid w:val="72D27981"/>
    <w:rsid w:val="72D372AF"/>
    <w:rsid w:val="72D52FCE"/>
    <w:rsid w:val="72F042DC"/>
    <w:rsid w:val="73445EC6"/>
    <w:rsid w:val="734C778A"/>
    <w:rsid w:val="737F118B"/>
    <w:rsid w:val="737F4524"/>
    <w:rsid w:val="73874C52"/>
    <w:rsid w:val="739B6B88"/>
    <w:rsid w:val="739F0A39"/>
    <w:rsid w:val="73A36C4B"/>
    <w:rsid w:val="73CA0EB2"/>
    <w:rsid w:val="73FD3278"/>
    <w:rsid w:val="741928EC"/>
    <w:rsid w:val="741E260C"/>
    <w:rsid w:val="747D1B6F"/>
    <w:rsid w:val="75096F5F"/>
    <w:rsid w:val="75C0241E"/>
    <w:rsid w:val="75DF6571"/>
    <w:rsid w:val="75F61C4F"/>
    <w:rsid w:val="75FE7663"/>
    <w:rsid w:val="7611222F"/>
    <w:rsid w:val="761A7C28"/>
    <w:rsid w:val="7623456A"/>
    <w:rsid w:val="76485DDD"/>
    <w:rsid w:val="76601FFC"/>
    <w:rsid w:val="766306AC"/>
    <w:rsid w:val="76665F88"/>
    <w:rsid w:val="76B2751A"/>
    <w:rsid w:val="76B876CE"/>
    <w:rsid w:val="76BF67F2"/>
    <w:rsid w:val="76C162B7"/>
    <w:rsid w:val="76CC02DA"/>
    <w:rsid w:val="770A12C8"/>
    <w:rsid w:val="770F5ED0"/>
    <w:rsid w:val="77471FC0"/>
    <w:rsid w:val="774861C7"/>
    <w:rsid w:val="774E77F3"/>
    <w:rsid w:val="778E5D01"/>
    <w:rsid w:val="77AD760B"/>
    <w:rsid w:val="77C83F73"/>
    <w:rsid w:val="77DF669D"/>
    <w:rsid w:val="78174088"/>
    <w:rsid w:val="78362F6E"/>
    <w:rsid w:val="78415AB7"/>
    <w:rsid w:val="78454752"/>
    <w:rsid w:val="7858084F"/>
    <w:rsid w:val="78674A79"/>
    <w:rsid w:val="786D7B25"/>
    <w:rsid w:val="78787715"/>
    <w:rsid w:val="787B4617"/>
    <w:rsid w:val="78812D47"/>
    <w:rsid w:val="78A32AA7"/>
    <w:rsid w:val="78CB43CD"/>
    <w:rsid w:val="78E9795B"/>
    <w:rsid w:val="790673B4"/>
    <w:rsid w:val="790E548B"/>
    <w:rsid w:val="791D747D"/>
    <w:rsid w:val="792E3346"/>
    <w:rsid w:val="79314CD6"/>
    <w:rsid w:val="795B6260"/>
    <w:rsid w:val="796019EE"/>
    <w:rsid w:val="797029FD"/>
    <w:rsid w:val="798028C5"/>
    <w:rsid w:val="79AE27CB"/>
    <w:rsid w:val="79AE4579"/>
    <w:rsid w:val="79BF7C3B"/>
    <w:rsid w:val="79C21A2B"/>
    <w:rsid w:val="79CA006C"/>
    <w:rsid w:val="7A232871"/>
    <w:rsid w:val="7A384B54"/>
    <w:rsid w:val="7A3E2302"/>
    <w:rsid w:val="7A4E3666"/>
    <w:rsid w:val="7A691309"/>
    <w:rsid w:val="7A837C4E"/>
    <w:rsid w:val="7A8F5FE5"/>
    <w:rsid w:val="7A9856F3"/>
    <w:rsid w:val="7AA67B95"/>
    <w:rsid w:val="7AB43E11"/>
    <w:rsid w:val="7ABD5135"/>
    <w:rsid w:val="7AE13B6D"/>
    <w:rsid w:val="7AE80C9A"/>
    <w:rsid w:val="7B40617B"/>
    <w:rsid w:val="7B670E83"/>
    <w:rsid w:val="7B6E5D6D"/>
    <w:rsid w:val="7B752FA7"/>
    <w:rsid w:val="7B777F7A"/>
    <w:rsid w:val="7B9003DA"/>
    <w:rsid w:val="7BAE37D0"/>
    <w:rsid w:val="7BAE62E8"/>
    <w:rsid w:val="7BB0282A"/>
    <w:rsid w:val="7BBF4352"/>
    <w:rsid w:val="7BD06A28"/>
    <w:rsid w:val="7BD45C18"/>
    <w:rsid w:val="7C241981"/>
    <w:rsid w:val="7C597EB8"/>
    <w:rsid w:val="7C6F6241"/>
    <w:rsid w:val="7C7A24E5"/>
    <w:rsid w:val="7CA40E8B"/>
    <w:rsid w:val="7CC055E5"/>
    <w:rsid w:val="7CDE5175"/>
    <w:rsid w:val="7CE06A63"/>
    <w:rsid w:val="7D117BBB"/>
    <w:rsid w:val="7D496A92"/>
    <w:rsid w:val="7D890ACB"/>
    <w:rsid w:val="7D902913"/>
    <w:rsid w:val="7D910439"/>
    <w:rsid w:val="7DAB2EFC"/>
    <w:rsid w:val="7DCF3B2B"/>
    <w:rsid w:val="7DD02D0F"/>
    <w:rsid w:val="7DD50326"/>
    <w:rsid w:val="7E327526"/>
    <w:rsid w:val="7E5409CF"/>
    <w:rsid w:val="7E7228FB"/>
    <w:rsid w:val="7E725BA0"/>
    <w:rsid w:val="7E890F19"/>
    <w:rsid w:val="7EA32746"/>
    <w:rsid w:val="7EAF1681"/>
    <w:rsid w:val="7EBF4B32"/>
    <w:rsid w:val="7EF5276F"/>
    <w:rsid w:val="7EFC017C"/>
    <w:rsid w:val="7F0E52CF"/>
    <w:rsid w:val="7F0F7842"/>
    <w:rsid w:val="7F1460DC"/>
    <w:rsid w:val="7F3E1EFB"/>
    <w:rsid w:val="7F7B3F7D"/>
    <w:rsid w:val="7F896D93"/>
    <w:rsid w:val="7F9A3684"/>
    <w:rsid w:val="7FB56661"/>
    <w:rsid w:val="7FCA378E"/>
    <w:rsid w:val="7FE54E2A"/>
    <w:rsid w:val="7FE5632B"/>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6">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7">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8">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9">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4"/>
    <w:qFormat/>
    <w:uiPriority w:val="0"/>
    <w:rPr>
      <w:rFonts w:ascii="宋体" w:hAnsi="宋体" w:eastAsia="宋体" w:cs="Times New Roman"/>
      <w:sz w:val="30"/>
      <w:szCs w:val="20"/>
    </w:rPr>
  </w:style>
  <w:style w:type="paragraph" w:styleId="4">
    <w:name w:val="Body Text 2"/>
    <w:basedOn w:val="1"/>
    <w:qFormat/>
    <w:uiPriority w:val="0"/>
    <w:pPr>
      <w:spacing w:line="440" w:lineRule="exact"/>
    </w:pPr>
    <w:rPr>
      <w:rFonts w:ascii="宋体" w:hAnsi="宋体"/>
      <w:color w:val="000000"/>
      <w:kern w:val="0"/>
    </w:rPr>
  </w:style>
  <w:style w:type="paragraph" w:styleId="10">
    <w:name w:val="toc 7"/>
    <w:basedOn w:val="1"/>
    <w:next w:val="1"/>
    <w:qFormat/>
    <w:uiPriority w:val="0"/>
    <w:pPr>
      <w:ind w:left="2520" w:leftChars="1200"/>
    </w:pPr>
    <w:rPr>
      <w:rFonts w:ascii="Calibri" w:hAnsi="Calibri" w:eastAsia="宋体" w:cs="Times New Roman"/>
    </w:rPr>
  </w:style>
  <w:style w:type="paragraph" w:styleId="11">
    <w:name w:val="Normal Indent"/>
    <w:basedOn w:val="1"/>
    <w:qFormat/>
    <w:uiPriority w:val="0"/>
    <w:pPr>
      <w:widowControl/>
      <w:ind w:firstLine="420"/>
      <w:jc w:val="left"/>
    </w:pPr>
    <w:rPr>
      <w:rFonts w:ascii="Calibri" w:hAnsi="Calibri" w:eastAsia="宋体" w:cs="Times New Roman"/>
      <w:kern w:val="0"/>
      <w:sz w:val="20"/>
    </w:rPr>
  </w:style>
  <w:style w:type="paragraph" w:styleId="12">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3">
    <w:name w:val="Body Text 3"/>
    <w:basedOn w:val="1"/>
    <w:qFormat/>
    <w:uiPriority w:val="0"/>
    <w:rPr>
      <w:rFonts w:ascii="宋体" w:hAnsi="Calibri" w:eastAsia="宋体" w:cs="Times New Roman"/>
      <w:sz w:val="24"/>
      <w:szCs w:val="20"/>
    </w:rPr>
  </w:style>
  <w:style w:type="paragraph" w:styleId="14">
    <w:name w:val="Body Text Indent"/>
    <w:basedOn w:val="1"/>
    <w:qFormat/>
    <w:uiPriority w:val="0"/>
    <w:pPr>
      <w:ind w:firstLine="600" w:firstLineChars="200"/>
    </w:pPr>
    <w:rPr>
      <w:rFonts w:ascii="宋体" w:hAnsi="宋体" w:eastAsia="宋体" w:cs="Times New Roman"/>
      <w:sz w:val="30"/>
      <w:szCs w:val="20"/>
    </w:rPr>
  </w:style>
  <w:style w:type="paragraph" w:styleId="15">
    <w:name w:val="Block Text"/>
    <w:basedOn w:val="1"/>
    <w:qFormat/>
    <w:uiPriority w:val="0"/>
    <w:pPr>
      <w:ind w:left="1440" w:leftChars="700" w:right="700" w:rightChars="700"/>
    </w:pPr>
    <w:rPr>
      <w:rFonts w:ascii="Calibri" w:hAnsi="Calibri" w:eastAsia="宋体" w:cs="Times New Roman"/>
    </w:rPr>
  </w:style>
  <w:style w:type="paragraph" w:styleId="16">
    <w:name w:val="toc 5"/>
    <w:basedOn w:val="1"/>
    <w:next w:val="1"/>
    <w:qFormat/>
    <w:uiPriority w:val="0"/>
    <w:pPr>
      <w:ind w:left="1680" w:leftChars="800"/>
    </w:pPr>
    <w:rPr>
      <w:rFonts w:ascii="Calibri" w:hAnsi="Calibri" w:eastAsia="宋体" w:cs="Times New Roman"/>
    </w:rPr>
  </w:style>
  <w:style w:type="paragraph" w:styleId="17">
    <w:name w:val="toc 3"/>
    <w:basedOn w:val="1"/>
    <w:next w:val="1"/>
    <w:qFormat/>
    <w:uiPriority w:val="0"/>
    <w:pPr>
      <w:ind w:left="840" w:leftChars="400"/>
    </w:pPr>
    <w:rPr>
      <w:rFonts w:ascii="Calibri" w:hAnsi="Calibri" w:eastAsia="宋体" w:cs="Times New Roman"/>
    </w:rPr>
  </w:style>
  <w:style w:type="paragraph" w:styleId="18">
    <w:name w:val="Plain Text"/>
    <w:basedOn w:val="1"/>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Calibri" w:hAnsi="Calibri" w:eastAsia="宋体" w:cs="Times New Roman"/>
    </w:rPr>
  </w:style>
  <w:style w:type="paragraph" w:styleId="20">
    <w:name w:val="Date"/>
    <w:basedOn w:val="1"/>
    <w:next w:val="1"/>
    <w:qFormat/>
    <w:uiPriority w:val="0"/>
    <w:pPr>
      <w:ind w:left="100" w:leftChars="2500"/>
    </w:pPr>
    <w:rPr>
      <w:rFonts w:ascii="Calibri" w:hAnsi="Calibri" w:eastAsia="宋体" w:cs="Times New Roman"/>
    </w:rPr>
  </w:style>
  <w:style w:type="paragraph" w:styleId="21">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2">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3">
    <w:name w:val="envelope return"/>
    <w:basedOn w:val="1"/>
    <w:qFormat/>
    <w:uiPriority w:val="0"/>
    <w:pPr>
      <w:snapToGrid w:val="0"/>
    </w:pPr>
    <w:rPr>
      <w:rFonts w:ascii="Arial" w:hAnsi="Arial" w:eastAsia="宋体" w:cs="Times New Roman"/>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0"/>
    <w:rPr>
      <w:rFonts w:ascii="Calibri" w:hAnsi="Calibri" w:eastAsia="宋体" w:cs="Times New Roman"/>
    </w:rPr>
  </w:style>
  <w:style w:type="paragraph" w:styleId="26">
    <w:name w:val="toc 4"/>
    <w:basedOn w:val="1"/>
    <w:next w:val="1"/>
    <w:qFormat/>
    <w:uiPriority w:val="0"/>
    <w:pPr>
      <w:ind w:left="1260" w:leftChars="600"/>
    </w:pPr>
    <w:rPr>
      <w:rFonts w:ascii="Calibri" w:hAnsi="Calibri" w:eastAsia="宋体" w:cs="Times New Roman"/>
    </w:rPr>
  </w:style>
  <w:style w:type="paragraph" w:styleId="27">
    <w:name w:val="toc 6"/>
    <w:basedOn w:val="1"/>
    <w:next w:val="1"/>
    <w:qFormat/>
    <w:uiPriority w:val="0"/>
    <w:pPr>
      <w:ind w:left="2100" w:leftChars="1000"/>
    </w:pPr>
    <w:rPr>
      <w:rFonts w:ascii="Calibri" w:hAnsi="Calibri" w:eastAsia="宋体" w:cs="Times New Roman"/>
    </w:rPr>
  </w:style>
  <w:style w:type="paragraph" w:styleId="28">
    <w:name w:val="toc 2"/>
    <w:basedOn w:val="1"/>
    <w:next w:val="1"/>
    <w:qFormat/>
    <w:uiPriority w:val="0"/>
    <w:pPr>
      <w:ind w:left="420" w:leftChars="200"/>
    </w:pPr>
    <w:rPr>
      <w:rFonts w:ascii="Calibri" w:hAnsi="Calibri" w:eastAsia="宋体" w:cs="Times New Roman"/>
    </w:rPr>
  </w:style>
  <w:style w:type="paragraph" w:styleId="29">
    <w:name w:val="toc 9"/>
    <w:basedOn w:val="1"/>
    <w:next w:val="1"/>
    <w:qFormat/>
    <w:uiPriority w:val="0"/>
    <w:pPr>
      <w:ind w:left="3360" w:leftChars="1600"/>
    </w:pPr>
    <w:rPr>
      <w:rFonts w:ascii="Calibri" w:hAnsi="Calibri" w:eastAsia="宋体" w:cs="Times New Roman"/>
    </w:rPr>
  </w:style>
  <w:style w:type="paragraph" w:styleId="30">
    <w:name w:val="List Continue 2"/>
    <w:basedOn w:val="1"/>
    <w:qFormat/>
    <w:uiPriority w:val="0"/>
    <w:pPr>
      <w:spacing w:after="120" w:afterLines="0"/>
      <w:ind w:left="840" w:leftChars="400"/>
    </w:pPr>
    <w:rPr>
      <w:rFonts w:ascii="Calibri" w:hAnsi="Calibri" w:eastAsia="宋体" w:cs="Times New Roman"/>
      <w:szCs w:val="20"/>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2">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3">
    <w:name w:val="Normal (Web)"/>
    <w:basedOn w:val="1"/>
    <w:next w:val="23"/>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4">
    <w:name w:val="Body Text First Indent 2"/>
    <w:basedOn w:val="14"/>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5"/>
    <w:qFormat/>
    <w:uiPriority w:val="0"/>
    <w:rPr>
      <w:rFonts w:ascii="Times New Roman" w:hAnsi="Times New Roman" w:eastAsia="宋体" w:cs="Times New Roman"/>
      <w:b/>
      <w:bCs/>
      <w:kern w:val="44"/>
      <w:sz w:val="28"/>
      <w:szCs w:val="44"/>
    </w:rPr>
  </w:style>
  <w:style w:type="character" w:customStyle="1" w:styleId="53">
    <w:name w:val="页脚 字符"/>
    <w:link w:val="22"/>
    <w:qFormat/>
    <w:uiPriority w:val="0"/>
    <w:rPr>
      <w:rFonts w:ascii="Calibri" w:hAnsi="Calibri" w:eastAsia="宋体" w:cs="Times New Roman"/>
      <w:sz w:val="18"/>
      <w:szCs w:val="20"/>
    </w:rPr>
  </w:style>
  <w:style w:type="character" w:customStyle="1" w:styleId="54">
    <w:name w:val="页眉 字符"/>
    <w:link w:val="24"/>
    <w:qFormat/>
    <w:uiPriority w:val="0"/>
    <w:rPr>
      <w:rFonts w:ascii="Calibri" w:hAnsi="Calibri" w:eastAsia="宋体" w:cs="Times New Roman"/>
      <w:sz w:val="18"/>
      <w:szCs w:val="18"/>
    </w:rPr>
  </w:style>
  <w:style w:type="character" w:customStyle="1" w:styleId="55">
    <w:name w:val="HTML 预设格式 字符"/>
    <w:link w:val="32"/>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5"/>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8"/>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6"/>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7"/>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8"/>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31822</Words>
  <Characters>33712</Characters>
  <Lines>0</Lines>
  <Paragraphs>0</Paragraphs>
  <TotalTime>2</TotalTime>
  <ScaleCrop>false</ScaleCrop>
  <LinksUpToDate>false</LinksUpToDate>
  <CharactersWithSpaces>36086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2025-12-25T10:53:55Z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C5FFA5ECF91E41AEA4AD73AD1DB8E5D6_13</vt:lpwstr>
  </property>
  <property fmtid="{D5CDD505-2E9C-101B-9397-08002B2CF9AE}" pid="4" name="KSOTemplateDocerSaveRecord">
    <vt:lpwstr>eyJoZGlkIjoiZGI1NWQ5NGE5ZjA4OTk3Mzc3ZmQ0NmZlOWEyZjRjNWQiLCJ1c2VySWQiOiI2MzI0NTIwNjUifQ==</vt:lpwstr>
  </property>
</Properties>
</file>