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601FE">
      <w:pPr>
        <w:pStyle w:val="9"/>
        <w:ind w:left="0" w:leftChars="0" w:firstLine="0" w:firstLineChars="0"/>
        <w:jc w:val="left"/>
        <w:outlineLvl w:val="9"/>
        <w:rPr>
          <w:rFonts w:hint="eastAsia" w:ascii="宋体" w:hAnsi="宋体" w:eastAsia="宋体" w:cs="宋体"/>
          <w:b/>
          <w:bCs/>
          <w:sz w:val="30"/>
          <w:szCs w:val="30"/>
          <w:highlight w:val="none"/>
          <w:lang w:val="en-US" w:eastAsia="zh-CN"/>
        </w:rPr>
      </w:pPr>
      <w:bookmarkStart w:id="0" w:name="_Toc25998"/>
      <w:r>
        <w:rPr>
          <w:rFonts w:hint="eastAsia" w:ascii="宋体" w:hAnsi="宋体" w:eastAsia="宋体" w:cs="宋体"/>
          <w:b/>
          <w:bCs/>
          <w:sz w:val="30"/>
          <w:szCs w:val="30"/>
          <w:highlight w:val="none"/>
        </w:rPr>
        <w:t>采购项目编号：</w:t>
      </w:r>
      <w:r>
        <w:rPr>
          <w:rFonts w:hint="eastAsia" w:ascii="宋体" w:hAnsi="宋体" w:eastAsia="宋体" w:cs="宋体"/>
          <w:b/>
          <w:bCs/>
          <w:sz w:val="30"/>
          <w:szCs w:val="30"/>
          <w:highlight w:val="none"/>
          <w:lang w:val="en-US" w:eastAsia="zh-CN"/>
        </w:rPr>
        <w:t>ZXGJLTFGS-2025-0</w:t>
      </w:r>
      <w:bookmarkEnd w:id="0"/>
      <w:r>
        <w:rPr>
          <w:rFonts w:hint="eastAsia" w:ascii="宋体" w:hAnsi="宋体" w:eastAsia="宋体" w:cs="宋体"/>
          <w:b/>
          <w:bCs/>
          <w:sz w:val="30"/>
          <w:szCs w:val="30"/>
          <w:highlight w:val="none"/>
          <w:lang w:val="en-US" w:eastAsia="zh-CN"/>
        </w:rPr>
        <w:t>22</w:t>
      </w:r>
    </w:p>
    <w:p w14:paraId="068B8259">
      <w:pPr>
        <w:bidi w:val="0"/>
        <w:ind w:left="0" w:leftChars="0" w:firstLine="0" w:firstLineChars="0"/>
        <w:jc w:val="center"/>
        <w:rPr>
          <w:rFonts w:hint="eastAsia" w:ascii="宋体" w:hAnsi="宋体" w:eastAsia="宋体" w:cs="宋体"/>
          <w:b/>
          <w:bCs/>
          <w:sz w:val="72"/>
          <w:szCs w:val="72"/>
          <w:highlight w:val="none"/>
        </w:rPr>
      </w:pPr>
    </w:p>
    <w:p w14:paraId="69CEE960">
      <w:pPr>
        <w:bidi w:val="0"/>
        <w:ind w:left="0" w:leftChars="0" w:firstLine="0" w:firstLineChars="0"/>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仁宗街办仁宗村水毁重建项目</w:t>
      </w:r>
    </w:p>
    <w:p w14:paraId="55649AB0">
      <w:pPr>
        <w:bidi w:val="0"/>
        <w:ind w:left="0" w:leftChars="0" w:firstLine="0" w:firstLineChars="0"/>
        <w:jc w:val="center"/>
        <w:rPr>
          <w:rFonts w:hint="eastAsia" w:ascii="宋体" w:hAnsi="宋体" w:eastAsia="宋体" w:cs="宋体"/>
          <w:b/>
          <w:bCs/>
          <w:sz w:val="44"/>
          <w:szCs w:val="44"/>
          <w:highlight w:val="none"/>
          <w:lang w:eastAsia="zh-CN"/>
        </w:rPr>
      </w:pPr>
    </w:p>
    <w:p w14:paraId="130C7AF6">
      <w:pPr>
        <w:bidi w:val="0"/>
        <w:ind w:left="0" w:leftChars="0" w:firstLine="0" w:firstLineChars="0"/>
        <w:jc w:val="center"/>
        <w:rPr>
          <w:rFonts w:hint="eastAsia" w:ascii="宋体" w:hAnsi="宋体" w:eastAsia="宋体" w:cs="宋体"/>
          <w:b/>
          <w:bCs/>
          <w:sz w:val="72"/>
          <w:szCs w:val="72"/>
          <w:highlight w:val="none"/>
        </w:rPr>
      </w:pPr>
    </w:p>
    <w:p w14:paraId="7B7FC4D3">
      <w:pPr>
        <w:bidi w:val="0"/>
        <w:ind w:left="0" w:leftChars="0" w:firstLine="0" w:firstLineChars="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磋 商 文 件</w:t>
      </w:r>
    </w:p>
    <w:p w14:paraId="049F7959">
      <w:pPr>
        <w:bidi w:val="0"/>
        <w:ind w:left="0" w:leftChars="0" w:firstLine="0" w:firstLineChars="0"/>
        <w:jc w:val="center"/>
        <w:rPr>
          <w:rFonts w:hint="eastAsia" w:ascii="宋体" w:hAnsi="宋体" w:eastAsia="宋体" w:cs="宋体"/>
          <w:b/>
          <w:bCs/>
          <w:sz w:val="72"/>
          <w:szCs w:val="72"/>
          <w:highlight w:val="none"/>
        </w:rPr>
      </w:pPr>
      <w:r>
        <w:rPr>
          <w:rFonts w:hint="eastAsia" w:ascii="宋体" w:hAnsi="宋体" w:eastAsia="宋体" w:cs="宋体"/>
          <w:b/>
          <w:sz w:val="44"/>
          <w:szCs w:val="44"/>
          <w:u w:val="none"/>
          <w:lang w:val="en-US" w:eastAsia="zh-CN"/>
        </w:rPr>
        <w:drawing>
          <wp:inline distT="0" distB="0" distL="114300" distR="114300">
            <wp:extent cx="2726690" cy="2457450"/>
            <wp:effectExtent l="0" t="0" r="1270" b="0"/>
            <wp:docPr id="1" name="图片 1" descr="中昕国际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昕国际logo"/>
                    <pic:cNvPicPr>
                      <a:picLocks noChangeAspect="1"/>
                    </pic:cNvPicPr>
                  </pic:nvPicPr>
                  <pic:blipFill>
                    <a:blip r:embed="rId17"/>
                    <a:stretch>
                      <a:fillRect/>
                    </a:stretch>
                  </pic:blipFill>
                  <pic:spPr>
                    <a:xfrm>
                      <a:off x="0" y="0"/>
                      <a:ext cx="2726690" cy="2457450"/>
                    </a:xfrm>
                    <a:prstGeom prst="rect">
                      <a:avLst/>
                    </a:prstGeom>
                    <a:noFill/>
                    <a:ln>
                      <a:noFill/>
                    </a:ln>
                  </pic:spPr>
                </pic:pic>
              </a:graphicData>
            </a:graphic>
          </wp:inline>
        </w:drawing>
      </w:r>
    </w:p>
    <w:p w14:paraId="2410FEC0">
      <w:pPr>
        <w:pStyle w:val="9"/>
        <w:rPr>
          <w:rFonts w:hint="eastAsia" w:ascii="宋体" w:hAnsi="宋体" w:eastAsia="宋体" w:cs="宋体"/>
          <w:b/>
          <w:sz w:val="32"/>
          <w:highlight w:val="none"/>
        </w:rPr>
      </w:pPr>
    </w:p>
    <w:p w14:paraId="580EC5EE">
      <w:pPr>
        <w:keepNext w:val="0"/>
        <w:keepLines w:val="0"/>
        <w:pageBreakBefore w:val="0"/>
        <w:widowControl w:val="0"/>
        <w:kinsoku/>
        <w:wordWrap/>
        <w:overflowPunct/>
        <w:topLinePunct w:val="0"/>
        <w:autoSpaceDE w:val="0"/>
        <w:autoSpaceDN w:val="0"/>
        <w:bidi w:val="0"/>
        <w:adjustRightInd/>
        <w:snapToGrid/>
        <w:spacing w:line="360" w:lineRule="auto"/>
        <w:ind w:firstLine="1606" w:firstLineChars="500"/>
        <w:jc w:val="left"/>
        <w:textAlignment w:val="auto"/>
        <w:outlineLvl w:val="9"/>
        <w:rPr>
          <w:rFonts w:hint="eastAsia" w:ascii="宋体" w:hAnsi="宋体" w:eastAsia="宋体" w:cs="宋体"/>
          <w:b/>
          <w:bCs/>
          <w:sz w:val="32"/>
          <w:szCs w:val="32"/>
          <w:highlight w:val="none"/>
        </w:rPr>
      </w:pPr>
      <w:bookmarkStart w:id="1" w:name="采   购   人：西安市高陵区民政局"/>
      <w:bookmarkEnd w:id="1"/>
      <w:bookmarkStart w:id="2" w:name="_Toc27134"/>
      <w:bookmarkStart w:id="3" w:name="_Toc10374"/>
      <w:bookmarkStart w:id="4" w:name="_Toc29774"/>
    </w:p>
    <w:p w14:paraId="2EA0255E">
      <w:pPr>
        <w:keepNext w:val="0"/>
        <w:keepLines w:val="0"/>
        <w:pageBreakBefore w:val="0"/>
        <w:widowControl w:val="0"/>
        <w:kinsoku/>
        <w:wordWrap/>
        <w:overflowPunct/>
        <w:topLinePunct w:val="0"/>
        <w:autoSpaceDE w:val="0"/>
        <w:autoSpaceDN w:val="0"/>
        <w:bidi w:val="0"/>
        <w:adjustRightInd/>
        <w:snapToGrid/>
        <w:spacing w:line="360" w:lineRule="auto"/>
        <w:ind w:firstLine="1606" w:firstLineChars="500"/>
        <w:jc w:val="left"/>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购</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w:t>
      </w:r>
      <w:bookmarkEnd w:id="2"/>
      <w:bookmarkEnd w:id="3"/>
      <w:bookmarkEnd w:id="4"/>
      <w:r>
        <w:rPr>
          <w:rFonts w:hint="eastAsia" w:ascii="宋体" w:hAnsi="宋体" w:eastAsia="宋体" w:cs="宋体"/>
          <w:b/>
          <w:bCs/>
          <w:sz w:val="32"/>
          <w:szCs w:val="32"/>
          <w:highlight w:val="none"/>
          <w:lang w:eastAsia="zh-CN"/>
        </w:rPr>
        <w:t>西安市临潼区仁宗街道办事处</w:t>
      </w:r>
    </w:p>
    <w:p w14:paraId="6F371268">
      <w:pPr>
        <w:keepNext w:val="0"/>
        <w:keepLines w:val="0"/>
        <w:pageBreakBefore w:val="0"/>
        <w:widowControl w:val="0"/>
        <w:kinsoku/>
        <w:wordWrap/>
        <w:overflowPunct/>
        <w:topLinePunct w:val="0"/>
        <w:autoSpaceDE w:val="0"/>
        <w:autoSpaceDN w:val="0"/>
        <w:bidi w:val="0"/>
        <w:adjustRightInd/>
        <w:snapToGrid/>
        <w:spacing w:line="360" w:lineRule="auto"/>
        <w:ind w:firstLine="1606" w:firstLineChars="500"/>
        <w:jc w:val="left"/>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采购代理机构：中昕国际项目管理有限公司</w:t>
      </w:r>
    </w:p>
    <w:p w14:paraId="52113277">
      <w:pPr>
        <w:keepNext w:val="0"/>
        <w:keepLines w:val="0"/>
        <w:pageBreakBefore w:val="0"/>
        <w:widowControl w:val="0"/>
        <w:kinsoku/>
        <w:wordWrap/>
        <w:overflowPunct/>
        <w:topLinePunct w:val="0"/>
        <w:autoSpaceDE w:val="0"/>
        <w:autoSpaceDN w:val="0"/>
        <w:bidi w:val="0"/>
        <w:adjustRightInd/>
        <w:snapToGrid/>
        <w:spacing w:line="360" w:lineRule="auto"/>
        <w:ind w:firstLine="1606" w:firstLineChars="500"/>
        <w:jc w:val="left"/>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日</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期：二〇二</w:t>
      </w:r>
      <w:r>
        <w:rPr>
          <w:rFonts w:hint="eastAsia" w:ascii="宋体" w:hAnsi="宋体" w:eastAsia="宋体"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十二</w:t>
      </w:r>
      <w:r>
        <w:rPr>
          <w:rFonts w:hint="eastAsia" w:ascii="宋体" w:hAnsi="宋体" w:eastAsia="宋体" w:cs="宋体"/>
          <w:b/>
          <w:bCs/>
          <w:sz w:val="32"/>
          <w:szCs w:val="32"/>
          <w:highlight w:val="none"/>
        </w:rPr>
        <w:t>月</w:t>
      </w:r>
    </w:p>
    <w:p w14:paraId="1A6DB9D7">
      <w:pPr>
        <w:spacing w:after="0" w:line="364" w:lineRule="auto"/>
        <w:jc w:val="left"/>
        <w:rPr>
          <w:rFonts w:hint="eastAsia" w:ascii="宋体" w:hAnsi="宋体" w:eastAsia="宋体" w:cs="宋体"/>
          <w:sz w:val="28"/>
          <w:highlight w:val="none"/>
        </w:rPr>
        <w:sectPr>
          <w:headerReference r:id="rId5" w:type="default"/>
          <w:footerReference r:id="rId6" w:type="default"/>
          <w:type w:val="continuous"/>
          <w:pgSz w:w="11905" w:h="16838"/>
          <w:pgMar w:top="1440" w:right="1440" w:bottom="1440" w:left="1440" w:header="850"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3054D3EE">
      <w:pPr>
        <w:pStyle w:val="16"/>
        <w:tabs>
          <w:tab w:val="right" w:leader="middleDot" w:pos="9025"/>
        </w:tabs>
        <w:ind w:left="0" w:leftChars="0" w:firstLine="0" w:firstLineChars="0"/>
        <w:jc w:val="center"/>
        <w:rPr>
          <w:rFonts w:hint="eastAsia" w:ascii="宋体" w:hAnsi="宋体" w:eastAsia="宋体" w:cs="宋体"/>
          <w:sz w:val="30"/>
          <w:szCs w:val="30"/>
          <w:lang w:val="en-US" w:eastAsia="zh-CN"/>
        </w:rPr>
      </w:pPr>
      <w:bookmarkStart w:id="5" w:name="_Toc28788"/>
      <w:bookmarkStart w:id="6" w:name="_Toc5366"/>
      <w:bookmarkStart w:id="7" w:name="_Toc26878"/>
      <w:r>
        <w:rPr>
          <w:rFonts w:hint="eastAsia" w:ascii="宋体" w:hAnsi="宋体" w:eastAsia="宋体" w:cs="宋体"/>
          <w:sz w:val="30"/>
          <w:szCs w:val="30"/>
          <w:lang w:val="en-US" w:eastAsia="zh-CN"/>
        </w:rPr>
        <w:t>目  录</w:t>
      </w:r>
    </w:p>
    <w:p w14:paraId="2F9BD1C2">
      <w:pPr>
        <w:pStyle w:val="16"/>
        <w:tabs>
          <w:tab w:val="right" w:leader="middleDot" w:pos="9025"/>
        </w:tabs>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"1-3"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_Toc23174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第一部分</w:t>
      </w:r>
      <w:r>
        <w:rPr>
          <w:rFonts w:hint="eastAsia" w:ascii="宋体" w:hAnsi="宋体" w:eastAsia="宋体" w:cs="宋体"/>
          <w:b w:val="0"/>
          <w:bCs w:val="0"/>
          <w:sz w:val="24"/>
          <w:szCs w:val="24"/>
          <w:lang w:val="en-US" w:eastAsia="zh-CN"/>
        </w:rPr>
        <w:t xml:space="preserve">  竞争性</w:t>
      </w:r>
      <w:r>
        <w:rPr>
          <w:rFonts w:hint="eastAsia" w:ascii="宋体" w:hAnsi="宋体" w:eastAsia="宋体" w:cs="宋体"/>
          <w:b w:val="0"/>
          <w:bCs w:val="0"/>
          <w:sz w:val="24"/>
          <w:szCs w:val="24"/>
        </w:rPr>
        <w:t>磋商公告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_Toc23174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AB70F93">
      <w:pPr>
        <w:pStyle w:val="16"/>
        <w:tabs>
          <w:tab w:val="right" w:leader="middleDot" w:pos="9025"/>
        </w:tabs>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_Toc19474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第二部分</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_Toc19474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755E85A">
      <w:pPr>
        <w:pStyle w:val="16"/>
        <w:tabs>
          <w:tab w:val="right" w:leader="middleDot" w:pos="9025"/>
        </w:tabs>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_Toc25100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bidi="zh-CN"/>
        </w:rPr>
        <w:t>第三部分</w:t>
      </w:r>
      <w:r>
        <w:rPr>
          <w:rFonts w:hint="eastAsia" w:ascii="宋体" w:hAnsi="宋体" w:eastAsia="宋体" w:cs="宋体"/>
          <w:b w:val="0"/>
          <w:bCs w:val="0"/>
          <w:sz w:val="24"/>
          <w:szCs w:val="24"/>
          <w:lang w:val="en-US" w:eastAsia="zh-CN"/>
        </w:rPr>
        <w:t xml:space="preserve">  评审办法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_Toc25100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7B7A269">
      <w:pPr>
        <w:pStyle w:val="16"/>
        <w:tabs>
          <w:tab w:val="right" w:leader="middleDot" w:pos="9025"/>
        </w:tabs>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_Toc8342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第四部分</w:t>
      </w:r>
      <w:r>
        <w:rPr>
          <w:rFonts w:hint="eastAsia" w:ascii="宋体" w:hAnsi="宋体" w:eastAsia="宋体" w:cs="宋体"/>
          <w:b w:val="0"/>
          <w:bCs w:val="0"/>
          <w:sz w:val="24"/>
          <w:szCs w:val="24"/>
          <w:lang w:val="en-US" w:eastAsia="zh-CN"/>
        </w:rPr>
        <w:t xml:space="preserve">  采购内容及要求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_Toc8342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B9C8835">
      <w:pPr>
        <w:pStyle w:val="16"/>
        <w:tabs>
          <w:tab w:val="right" w:leader="middleDot" w:pos="9025"/>
        </w:tabs>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_Toc20496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bidi="zh-CN"/>
        </w:rPr>
        <w:t>第五部分</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合同</w:t>
      </w:r>
      <w:r>
        <w:rPr>
          <w:rFonts w:hint="eastAsia" w:ascii="宋体" w:hAnsi="宋体" w:eastAsia="宋体" w:cs="宋体"/>
          <w:b w:val="0"/>
          <w:bCs w:val="0"/>
          <w:sz w:val="24"/>
          <w:szCs w:val="24"/>
          <w:highlight w:val="none"/>
          <w:lang w:val="en-US" w:eastAsia="zh-CN"/>
        </w:rPr>
        <w:t>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_Toc20496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F095EB4">
      <w:pPr>
        <w:pStyle w:val="16"/>
        <w:tabs>
          <w:tab w:val="right" w:leader="middleDot" w:pos="9025"/>
        </w:tabs>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_Toc28736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w:t>
      </w:r>
      <w:r>
        <w:rPr>
          <w:rFonts w:hint="eastAsia" w:ascii="宋体" w:hAnsi="宋体" w:eastAsia="宋体" w:cs="宋体"/>
          <w:b w:val="0"/>
          <w:bCs w:val="0"/>
          <w:sz w:val="24"/>
          <w:szCs w:val="24"/>
          <w:lang w:eastAsia="zh-CN"/>
        </w:rPr>
        <w:t>六</w:t>
      </w:r>
      <w:r>
        <w:rPr>
          <w:rFonts w:hint="eastAsia" w:ascii="宋体" w:hAnsi="宋体" w:eastAsia="宋体" w:cs="宋体"/>
          <w:b w:val="0"/>
          <w:bCs w:val="0"/>
          <w:sz w:val="24"/>
          <w:szCs w:val="24"/>
        </w:rPr>
        <w:t>部分</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响应文件格式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_Toc28736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E00D2FB">
      <w:pPr>
        <w:pStyle w:val="17"/>
        <w:tabs>
          <w:tab w:val="right" w:leader="middleDot" w:pos="9025"/>
        </w:tabs>
        <w:rPr>
          <w:rFonts w:hint="eastAsia" w:ascii="宋体" w:hAnsi="宋体" w:eastAsia="宋体" w:cs="宋体"/>
          <w:b w:val="0"/>
          <w:bCs w:val="0"/>
          <w:sz w:val="24"/>
          <w:szCs w:val="24"/>
        </w:rPr>
      </w:pPr>
    </w:p>
    <w:p w14:paraId="565BDBCF">
      <w:pPr>
        <w:rPr>
          <w:rFonts w:hint="eastAsia" w:ascii="宋体" w:hAnsi="宋体" w:eastAsia="宋体" w:cs="宋体"/>
          <w:b w:val="0"/>
          <w:bCs w:val="0"/>
        </w:rPr>
      </w:pPr>
      <w:r>
        <w:rPr>
          <w:rFonts w:hint="eastAsia" w:ascii="宋体" w:hAnsi="宋体" w:eastAsia="宋体" w:cs="宋体"/>
          <w:b w:val="0"/>
          <w:bCs w:val="0"/>
          <w:sz w:val="24"/>
          <w:szCs w:val="24"/>
        </w:rPr>
        <w:fldChar w:fldCharType="end"/>
      </w:r>
    </w:p>
    <w:p w14:paraId="226A5C91">
      <w:pPr>
        <w:pStyle w:val="2"/>
        <w:bidi w:val="0"/>
        <w:rPr>
          <w:rFonts w:hint="eastAsia" w:ascii="宋体" w:hAnsi="宋体" w:eastAsia="宋体" w:cs="宋体"/>
        </w:rPr>
        <w:sectPr>
          <w:footerReference r:id="rId7" w:type="default"/>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8" w:name="_Toc11465"/>
    </w:p>
    <w:p w14:paraId="22A75336">
      <w:pPr>
        <w:pStyle w:val="2"/>
        <w:bidi w:val="0"/>
        <w:rPr>
          <w:rFonts w:hint="eastAsia" w:ascii="宋体" w:hAnsi="宋体" w:eastAsia="宋体" w:cs="宋体"/>
        </w:rPr>
      </w:pPr>
      <w:bookmarkStart w:id="9" w:name="_Toc16514"/>
      <w:bookmarkStart w:id="10" w:name="_Toc23174"/>
      <w:r>
        <w:rPr>
          <w:rFonts w:hint="eastAsia" w:ascii="宋体" w:hAnsi="宋体" w:eastAsia="宋体" w:cs="宋体"/>
        </w:rPr>
        <w:t>第一部分</w:t>
      </w:r>
      <w:r>
        <w:rPr>
          <w:rFonts w:hint="eastAsia" w:ascii="宋体" w:hAnsi="宋体" w:eastAsia="宋体" w:cs="宋体"/>
          <w:lang w:val="en-US" w:eastAsia="zh-CN"/>
        </w:rPr>
        <w:t xml:space="preserve">  竞争性</w:t>
      </w:r>
      <w:r>
        <w:rPr>
          <w:rFonts w:hint="eastAsia" w:ascii="宋体" w:hAnsi="宋体" w:eastAsia="宋体" w:cs="宋体"/>
        </w:rPr>
        <w:t>磋商公告</w:t>
      </w:r>
      <w:bookmarkEnd w:id="5"/>
      <w:bookmarkEnd w:id="6"/>
      <w:bookmarkEnd w:id="7"/>
      <w:bookmarkEnd w:id="8"/>
      <w:bookmarkEnd w:id="9"/>
      <w:bookmarkEnd w:id="10"/>
    </w:p>
    <w:p w14:paraId="26DD7A0B">
      <w:pPr>
        <w:pStyle w:val="9"/>
        <w:spacing w:before="10"/>
        <w:rPr>
          <w:rFonts w:hint="eastAsia" w:ascii="宋体" w:hAnsi="宋体" w:eastAsia="宋体" w:cs="宋体"/>
          <w:b/>
          <w:sz w:val="23"/>
        </w:rPr>
      </w:pPr>
    </w:p>
    <w:p w14:paraId="31F6C108">
      <w:pPr>
        <w:pStyle w:val="30"/>
        <w:spacing w:line="360" w:lineRule="auto"/>
        <w:outlineLvl w:val="9"/>
        <w:rPr>
          <w:rFonts w:hint="eastAsia" w:ascii="宋体" w:hAnsi="宋体" w:eastAsia="宋体" w:cs="宋体"/>
          <w:sz w:val="24"/>
          <w:szCs w:val="24"/>
        </w:rPr>
      </w:pPr>
      <w:bookmarkStart w:id="11" w:name="第二部分 磋商须知前附表"/>
      <w:bookmarkEnd w:id="11"/>
      <w:bookmarkStart w:id="12" w:name="项目概况"/>
      <w:bookmarkEnd w:id="12"/>
      <w:bookmarkStart w:id="13" w:name="_Toc14984"/>
      <w:bookmarkStart w:id="14" w:name="_Toc30577"/>
      <w:bookmarkStart w:id="15" w:name="_Toc6426"/>
      <w:r>
        <w:rPr>
          <w:rFonts w:hint="eastAsia" w:ascii="宋体" w:hAnsi="宋体" w:eastAsia="宋体" w:cs="宋体"/>
          <w:b/>
          <w:sz w:val="24"/>
          <w:szCs w:val="24"/>
        </w:rPr>
        <w:t>项目概况</w:t>
      </w:r>
    </w:p>
    <w:p w14:paraId="1FA9BE33">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仁宗街办仁宗村水毁重建项目采购项目的潜在供应商应在西安市临潼区东环路21号建筑工程公司住宅小区综合楼北单元4层401室获取采购文件，并于2026年01月05日 14时00分 （北京时间）前提交响应文件。</w:t>
      </w:r>
    </w:p>
    <w:p w14:paraId="34F01714">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526F5B4">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项目编号：ZXGJLTFGS-2025-022</w:t>
      </w:r>
    </w:p>
    <w:p w14:paraId="7437B412">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项目名称：仁宗街办仁宗村水毁重建项目</w:t>
      </w:r>
    </w:p>
    <w:p w14:paraId="74FD26C7">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采购方式：竞争性磋商</w:t>
      </w:r>
    </w:p>
    <w:p w14:paraId="448ADA43">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预算金额：530,000.00元</w:t>
      </w:r>
    </w:p>
    <w:p w14:paraId="1EF9EEF6">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p w14:paraId="740FB1BD">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合同包1(仁宗街办仁宗村水毁重建项目):</w:t>
      </w:r>
    </w:p>
    <w:p w14:paraId="5A896D32">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合同包预算金额：530,000.00元</w:t>
      </w:r>
    </w:p>
    <w:p w14:paraId="1824B2B6">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合同包最高限价：529,177.73元</w:t>
      </w:r>
    </w:p>
    <w:tbl>
      <w:tblPr>
        <w:tblStyle w:val="19"/>
        <w:tblW w:w="97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7"/>
        <w:gridCol w:w="1618"/>
        <w:gridCol w:w="2195"/>
        <w:gridCol w:w="1620"/>
        <w:gridCol w:w="1620"/>
        <w:gridCol w:w="1657"/>
      </w:tblGrid>
      <w:tr w14:paraId="27BC4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7" w:hRule="atLeast"/>
        </w:trPr>
        <w:tc>
          <w:tcPr>
            <w:tcW w:w="1047" w:type="dxa"/>
            <w:vAlign w:val="center"/>
          </w:tcPr>
          <w:p w14:paraId="1F3EB983">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618" w:type="dxa"/>
            <w:vAlign w:val="center"/>
          </w:tcPr>
          <w:p w14:paraId="6F30F593">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2195" w:type="dxa"/>
            <w:vAlign w:val="center"/>
          </w:tcPr>
          <w:p w14:paraId="648F4800">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620" w:type="dxa"/>
            <w:vAlign w:val="center"/>
          </w:tcPr>
          <w:p w14:paraId="4E7995B8">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620" w:type="dxa"/>
            <w:vAlign w:val="center"/>
          </w:tcPr>
          <w:p w14:paraId="6D88BE83">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657" w:type="dxa"/>
            <w:vAlign w:val="center"/>
          </w:tcPr>
          <w:p w14:paraId="4ECC59B7">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3EFF7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9" w:hRule="atLeast"/>
        </w:trPr>
        <w:tc>
          <w:tcPr>
            <w:tcW w:w="1047" w:type="dxa"/>
            <w:vAlign w:val="center"/>
          </w:tcPr>
          <w:p w14:paraId="02123122">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618" w:type="dxa"/>
            <w:vAlign w:val="center"/>
          </w:tcPr>
          <w:p w14:paraId="0E86793A">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其他构筑物工程施工</w:t>
            </w:r>
          </w:p>
        </w:tc>
        <w:tc>
          <w:tcPr>
            <w:tcW w:w="2195" w:type="dxa"/>
            <w:vAlign w:val="center"/>
          </w:tcPr>
          <w:p w14:paraId="484AF9B3">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仁宗街办仁宗村水毁重建项目</w:t>
            </w:r>
          </w:p>
        </w:tc>
        <w:tc>
          <w:tcPr>
            <w:tcW w:w="1620" w:type="dxa"/>
            <w:vAlign w:val="center"/>
          </w:tcPr>
          <w:p w14:paraId="72B7CB65">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620" w:type="dxa"/>
            <w:vAlign w:val="center"/>
          </w:tcPr>
          <w:p w14:paraId="46801233">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657" w:type="dxa"/>
            <w:vAlign w:val="center"/>
          </w:tcPr>
          <w:p w14:paraId="7B3D83D5">
            <w:pPr>
              <w:pStyle w:val="30"/>
              <w:spacing w:line="360" w:lineRule="auto"/>
              <w:jc w:val="center"/>
              <w:rPr>
                <w:rFonts w:hint="eastAsia" w:ascii="宋体" w:hAnsi="宋体" w:eastAsia="宋体" w:cs="宋体"/>
                <w:sz w:val="24"/>
                <w:szCs w:val="24"/>
              </w:rPr>
            </w:pPr>
            <w:r>
              <w:rPr>
                <w:rFonts w:hint="eastAsia" w:ascii="宋体" w:hAnsi="宋体" w:eastAsia="宋体" w:cs="宋体"/>
                <w:sz w:val="24"/>
                <w:szCs w:val="24"/>
              </w:rPr>
              <w:t>530,000.00</w:t>
            </w:r>
          </w:p>
        </w:tc>
      </w:tr>
    </w:tbl>
    <w:p w14:paraId="78385D25">
      <w:pPr>
        <w:pStyle w:val="30"/>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ECFAAE8">
      <w:pPr>
        <w:pStyle w:val="30"/>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合同履行期限：40日历天</w:t>
      </w:r>
    </w:p>
    <w:p w14:paraId="4A8393F8">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4C3F2F0D">
      <w:pPr>
        <w:pStyle w:val="30"/>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E8B9B50">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DF4728B">
      <w:pPr>
        <w:pStyle w:val="30"/>
        <w:spacing w:line="360" w:lineRule="auto"/>
        <w:rPr>
          <w:rFonts w:hint="eastAsia" w:ascii="宋体" w:hAnsi="宋体" w:eastAsia="宋体" w:cs="宋体"/>
          <w:sz w:val="24"/>
          <w:szCs w:val="24"/>
        </w:rPr>
      </w:pPr>
      <w:r>
        <w:rPr>
          <w:rFonts w:hint="eastAsia" w:ascii="宋体" w:hAnsi="宋体" w:eastAsia="宋体" w:cs="宋体"/>
          <w:sz w:val="24"/>
          <w:szCs w:val="24"/>
        </w:rPr>
        <w:t>合同包1(仁宗街办仁宗村水毁重建项目)落实政府采购政策需满足的资格要求如下:</w:t>
      </w:r>
    </w:p>
    <w:p w14:paraId="3B49A3EB">
      <w:pPr>
        <w:pStyle w:val="30"/>
        <w:spacing w:line="360" w:lineRule="auto"/>
        <w:ind w:left="480"/>
        <w:rPr>
          <w:rFonts w:hint="eastAsia" w:ascii="宋体" w:hAnsi="宋体" w:eastAsia="宋体" w:cs="宋体"/>
          <w:sz w:val="24"/>
          <w:szCs w:val="24"/>
        </w:rPr>
      </w:pPr>
      <w:r>
        <w:rPr>
          <w:rFonts w:hint="eastAsia" w:ascii="宋体" w:hAnsi="宋体" w:eastAsia="宋体" w:cs="宋体"/>
          <w:sz w:val="24"/>
          <w:szCs w:val="24"/>
        </w:rPr>
        <w:t>本项目为专门面向中小企业项目，供应商应为中型企业或小型、微型企业或监狱企业或残疾人福利性单位。</w:t>
      </w:r>
    </w:p>
    <w:p w14:paraId="0A9D1F95">
      <w:pPr>
        <w:pStyle w:val="30"/>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C82A8E">
      <w:pPr>
        <w:pStyle w:val="30"/>
        <w:spacing w:line="360" w:lineRule="auto"/>
        <w:rPr>
          <w:rFonts w:hint="eastAsia" w:ascii="宋体" w:hAnsi="宋体" w:eastAsia="宋体" w:cs="宋体"/>
          <w:sz w:val="24"/>
          <w:szCs w:val="24"/>
        </w:rPr>
      </w:pPr>
      <w:r>
        <w:rPr>
          <w:rFonts w:hint="eastAsia" w:ascii="宋体" w:hAnsi="宋体" w:eastAsia="宋体" w:cs="宋体"/>
          <w:sz w:val="24"/>
          <w:szCs w:val="24"/>
        </w:rPr>
        <w:t>合同包1(仁宗街办仁宗村水毁重建项目)特定资格要求如下:</w:t>
      </w:r>
    </w:p>
    <w:p w14:paraId="079EF334">
      <w:pPr>
        <w:pStyle w:val="3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（1）法定代表人授权书或身份证明：提供法定代表人授权书（附法定代表人、被授权人身份证复印件）（法定代表人直接参加磋商，须提供法定代表人身份证明）；非法人单位参照执行；</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（2）供应商资质要求：供应商须具备建设行政主管部门颁发的市政公用工程施工总承包三级（含三级）以上资质，且具备有效的安全生产许可证；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（3）拟派项目经理具备市政公用工程二级及以上注册建造师证书和安全生产考核合格证（B证），在本单位注册且无在建工程（提供无在建工程承诺书）；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（4）供应商及拟派项目经理基本信息应在“陕西省住房和城乡建设厅网站（http://js.shaanxi.gov.cn/）陕西省建筑市场监管与诚信信息发布平台”可查询；</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（5）供应商不得为“信用中国 (www.creditchina.gov.cn)”中列入失信被执行人和重大税收违法失信主体的供应商，不得为“中国政府采购网(www.ccgp.gov.cn)”政府采购严重违法失信行为记录名单中被财政部门禁止参加政府采购活动的供应商；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（6）单位负责人为同一人或者存在直接控股、管理关系的不同供应商，不得参加同一合同项下的政府采购活动。</w:t>
      </w:r>
    </w:p>
    <w:p w14:paraId="70889823">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5BE843E">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时间：2025年12月24日 至 2025年12月30日 ，每天上午09:00:00至12:00:00，下午 14:00:00 至 17:00:00 （北京时间）</w:t>
      </w:r>
    </w:p>
    <w:p w14:paraId="44EB705B">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途径：西安市临潼区东环路21号建筑工程公司住宅小区综合楼北单元4层401室</w:t>
      </w:r>
    </w:p>
    <w:p w14:paraId="74762A91">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方式：现场获取</w:t>
      </w:r>
    </w:p>
    <w:p w14:paraId="1A21F25F">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 0元</w:t>
      </w:r>
    </w:p>
    <w:p w14:paraId="2621DF3C">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17ABC7DC">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截止时间：2026年01月05日 14时00分00秒 （北京时间）</w:t>
      </w:r>
    </w:p>
    <w:p w14:paraId="7887853D">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地点：西安市临潼区东环路21号建筑工程公司住宅小区综合楼北单元4层401室</w:t>
      </w:r>
    </w:p>
    <w:p w14:paraId="04568CA7">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7B75BECD">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 2026年01月05日 14时00分00秒 （北京时间）</w:t>
      </w:r>
    </w:p>
    <w:p w14:paraId="54140BD5">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地点：西安市临潼区东环路21号建筑工程公司住宅小区综合楼北单元4层401室</w:t>
      </w:r>
    </w:p>
    <w:p w14:paraId="0B92951E">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1B1AA308">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32C1B405">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37CB08FE">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（一）落实的政府采购政策：</w:t>
      </w:r>
    </w:p>
    <w:p w14:paraId="0B911139">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国务院办公厅关于建立政府强制采购节能产品制度的通知》（国办发〔2007〕51号）；（2）《关于印发环境标志产品政府采购品目清单的通知》（财库〔2019〕18号）；（3）《关于印发节能产品政府采购品目清单的通知》（财库〔2019〕19号）；（4）《财政部 司法部关于政府采购支持监狱企业发展有关问题的通知》（财库〔2014〕68号）；（5）《关于促进残疾人就业政府采购政策的通知》（财库〔2017〕141号）；（6）《关于调整优化节能产品、环境标志产品政府采购执行机制的通知》（财库〔2019〕9号）；（7）《财政部 农业农村部 国家乡村振兴局 关于运用政府采购政策支持乡村产业振兴的通知》（财库〔2021〕19号）；（8）《财政部 农业农村部 国家乡村振兴局 中华全国供销合作总社关于印发&lt;关于深入开展政府采购脱贫地区农副产品工作推进乡村产业振兴的实施意见&gt;的通知》（财库〔2021〕20 号）；（9）《政府采购促进中小企业发展管理办法》（财库〔2020〕46号）；（10）《陕西省财政厅关于印发&lt;陕西省中小企业政府采购信用融资办法&gt;的通知》（陕财办采〔2018〕23 号）；（11）陕西省财政厅《关于进一步加强政府绿色采购有关问题的通知》（陕财办采〔2021〕29号）；（12）《关于进一步加大政府采购支持中小企业力度的通知》（财库〔2022〕19号）；（13）《关于扩大政府采购支持绿色建材促进建筑品质提升政策实施范围的通知》（财库〔2022〕35号）等。</w:t>
      </w:r>
    </w:p>
    <w:p w14:paraId="6FE6040D">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根据临财函〔2025〕199号《关于扩大政府采购供应商基本资格条件承诺制试点工作范围的通知》，供应商出具参加本次政府采购活动供应商资格条件承诺函（供应商未提供资格信用承诺函的，应当按照《中华人民共和国政府采购法》及其实施条例的相关规定提供相应的证明材料）。</w:t>
      </w:r>
    </w:p>
    <w:p w14:paraId="2ECCB97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领取磋商文件请携带单位介绍信原件,经办人身份证原件及加盖供应商公章的复印件。现场领取，谢绝邮寄。(提示:请供应商按照陕西省财政厅关于政府采购供应商注册登记有关事项的通知中的要求，通过陕西省政府采购网（http://ww w.ccgp-shaanxi.gov.cn/ ）注册登记加入陕西省政府采购供应商库。)</w:t>
      </w:r>
    </w:p>
    <w:p w14:paraId="3A3270AE">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（四）获取采购文件时间：2025年12月24日至2025年12月30日，每天上午09:00:00至12:00:00，下午14:00:00 至 17:00:00 （北京时间）（法定节假日除外）。</w:t>
      </w:r>
    </w:p>
    <w:p w14:paraId="283FB796">
      <w:pPr>
        <w:pStyle w:val="3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4C5AB201">
      <w:pPr>
        <w:pStyle w:val="30"/>
        <w:spacing w:line="360" w:lineRule="auto"/>
        <w:ind w:firstLine="482" w:firstLineChars="200"/>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5C4499D7">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名称：西安市临潼区仁宗街道办事处</w:t>
      </w:r>
    </w:p>
    <w:p w14:paraId="574CD0F2">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地址：临潼区仁宗街道</w:t>
      </w:r>
    </w:p>
    <w:p w14:paraId="22DCD867">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联系方式：薛利芮、02983949027</w:t>
      </w:r>
    </w:p>
    <w:p w14:paraId="0BD1DFD0">
      <w:pPr>
        <w:pStyle w:val="30"/>
        <w:spacing w:line="360" w:lineRule="auto"/>
        <w:ind w:firstLine="482" w:firstLineChars="200"/>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43B3159">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名称：中昕国际项目管理有限公司</w:t>
      </w:r>
    </w:p>
    <w:p w14:paraId="22DA40ED">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地址：西安经济技术开发区凤城十二路首创禧悦里25幢A座16层</w:t>
      </w:r>
    </w:p>
    <w:p w14:paraId="30122AB1">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联系方式：029-83938602</w:t>
      </w:r>
    </w:p>
    <w:p w14:paraId="0B5D2A98">
      <w:pPr>
        <w:pStyle w:val="30"/>
        <w:spacing w:line="360" w:lineRule="auto"/>
        <w:ind w:firstLine="482" w:firstLineChars="200"/>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8F02E3C">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项目联系人：武蓬勃、王超、王涛、李博飞</w:t>
      </w:r>
    </w:p>
    <w:p w14:paraId="1143016E">
      <w:pPr>
        <w:pStyle w:val="3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 029-83938602</w:t>
      </w:r>
    </w:p>
    <w:p w14:paraId="3A25E1DA">
      <w:pPr>
        <w:pStyle w:val="30"/>
        <w:spacing w:line="360" w:lineRule="auto"/>
        <w:jc w:val="right"/>
        <w:rPr>
          <w:rFonts w:hint="eastAsia" w:ascii="宋体" w:hAnsi="宋体" w:eastAsia="宋体" w:cs="宋体"/>
          <w:sz w:val="24"/>
          <w:szCs w:val="24"/>
          <w:highlight w:val="none"/>
        </w:rPr>
      </w:pPr>
    </w:p>
    <w:p w14:paraId="52E63634">
      <w:pPr>
        <w:pStyle w:val="30"/>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中昕国际项目管理有限公司</w:t>
      </w:r>
    </w:p>
    <w:p w14:paraId="68C253D5">
      <w:pPr>
        <w:pStyle w:val="30"/>
        <w:spacing w:line="360" w:lineRule="auto"/>
        <w:jc w:val="right"/>
        <w:rPr>
          <w:rFonts w:hint="eastAsia" w:ascii="宋体" w:hAnsi="宋体" w:eastAsia="宋体" w:cs="宋体"/>
          <w:highlight w:val="none"/>
        </w:rPr>
      </w:pPr>
      <w:r>
        <w:rPr>
          <w:rFonts w:hint="eastAsia" w:ascii="宋体" w:hAnsi="宋体" w:eastAsia="宋体" w:cs="宋体"/>
          <w:sz w:val="24"/>
          <w:szCs w:val="24"/>
          <w:highlight w:val="none"/>
          <w:lang w:val="en-US" w:eastAsia="zh-CN"/>
        </w:rPr>
        <w:t>2025年12月23日</w:t>
      </w:r>
      <w:r>
        <w:rPr>
          <w:rFonts w:hint="eastAsia" w:ascii="宋体" w:hAnsi="宋体" w:eastAsia="宋体" w:cs="宋体"/>
          <w:sz w:val="24"/>
          <w:szCs w:val="24"/>
          <w:highlight w:val="none"/>
        </w:rPr>
        <w:br w:type="textWrapping"/>
      </w:r>
    </w:p>
    <w:p w14:paraId="11D5F3E0">
      <w:pPr>
        <w:pStyle w:val="30"/>
        <w:rPr>
          <w:rFonts w:hint="eastAsia" w:ascii="宋体" w:hAnsi="宋体" w:eastAsia="宋体" w:cs="宋体"/>
          <w:lang w:val="en-US" w:eastAsia="zh-Hans"/>
        </w:rPr>
      </w:pPr>
    </w:p>
    <w:p w14:paraId="163C75BB">
      <w:pPr>
        <w:pStyle w:val="2"/>
        <w:bidi w:val="0"/>
        <w:rPr>
          <w:rFonts w:hint="eastAsia" w:ascii="宋体" w:hAnsi="宋体" w:eastAsia="宋体" w:cs="宋体"/>
          <w:b/>
          <w:sz w:val="36"/>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4A9C6C9">
      <w:pPr>
        <w:pStyle w:val="2"/>
        <w:bidi w:val="0"/>
        <w:rPr>
          <w:rFonts w:hint="eastAsia" w:ascii="宋体" w:hAnsi="宋体" w:eastAsia="宋体" w:cs="宋体"/>
          <w:b/>
          <w:sz w:val="36"/>
        </w:rPr>
      </w:pPr>
      <w:bookmarkStart w:id="16" w:name="_Toc13229"/>
      <w:bookmarkStart w:id="17" w:name="_Toc7535"/>
      <w:bookmarkStart w:id="18" w:name="_Toc23310"/>
      <w:bookmarkStart w:id="19" w:name="_Toc5234"/>
      <w:bookmarkStart w:id="20" w:name="_Toc19474"/>
      <w:bookmarkStart w:id="21" w:name="_Toc23455"/>
      <w:bookmarkStart w:id="22" w:name="_Toc17168"/>
      <w:r>
        <w:rPr>
          <w:rFonts w:hint="eastAsia" w:ascii="宋体" w:hAnsi="宋体" w:eastAsia="宋体" w:cs="宋体"/>
          <w:b/>
          <w:sz w:val="36"/>
        </w:rPr>
        <w:t>第二部分</w:t>
      </w:r>
      <w:bookmarkStart w:id="23" w:name="_bookmark1"/>
      <w:bookmarkEnd w:id="23"/>
      <w:r>
        <w:rPr>
          <w:rFonts w:hint="eastAsia" w:ascii="宋体" w:hAnsi="宋体" w:eastAsia="宋体" w:cs="宋体"/>
          <w:b/>
          <w:sz w:val="36"/>
          <w:lang w:val="en-US" w:eastAsia="zh-CN"/>
        </w:rPr>
        <w:t xml:space="preserve">  </w:t>
      </w:r>
      <w:r>
        <w:rPr>
          <w:rFonts w:hint="eastAsia" w:ascii="宋体" w:hAnsi="宋体" w:eastAsia="宋体" w:cs="宋体"/>
          <w:b/>
          <w:sz w:val="36"/>
          <w:lang w:eastAsia="zh-CN"/>
        </w:rPr>
        <w:t>供应商</w:t>
      </w:r>
      <w:r>
        <w:rPr>
          <w:rFonts w:hint="eastAsia" w:ascii="宋体" w:hAnsi="宋体" w:eastAsia="宋体" w:cs="宋体"/>
          <w:b/>
          <w:sz w:val="36"/>
        </w:rPr>
        <w:t>须知</w:t>
      </w:r>
      <w:bookmarkEnd w:id="13"/>
      <w:bookmarkEnd w:id="14"/>
      <w:bookmarkEnd w:id="15"/>
      <w:bookmarkEnd w:id="16"/>
      <w:bookmarkEnd w:id="17"/>
      <w:bookmarkEnd w:id="18"/>
      <w:bookmarkEnd w:id="19"/>
      <w:bookmarkEnd w:id="20"/>
      <w:bookmarkEnd w:id="21"/>
      <w:bookmarkEnd w:id="22"/>
    </w:p>
    <w:p w14:paraId="2847A577">
      <w:pPr>
        <w:pStyle w:val="9"/>
        <w:bidi w:val="0"/>
        <w:jc w:val="center"/>
        <w:rPr>
          <w:rFonts w:hint="eastAsia" w:ascii="宋体" w:hAnsi="宋体" w:eastAsia="宋体" w:cs="宋体"/>
          <w:b/>
          <w:bCs/>
        </w:rPr>
      </w:pPr>
      <w:r>
        <w:rPr>
          <w:rFonts w:hint="eastAsia" w:ascii="宋体" w:hAnsi="宋体" w:eastAsia="宋体" w:cs="宋体"/>
          <w:b/>
          <w:bCs/>
          <w:lang w:eastAsia="zh-CN"/>
        </w:rPr>
        <w:t>供应商</w:t>
      </w:r>
      <w:r>
        <w:rPr>
          <w:rFonts w:hint="eastAsia" w:ascii="宋体" w:hAnsi="宋体" w:eastAsia="宋体" w:cs="宋体"/>
          <w:b/>
          <w:bCs/>
        </w:rPr>
        <w:t>须知前附表</w:t>
      </w:r>
    </w:p>
    <w:tbl>
      <w:tblPr>
        <w:tblStyle w:val="19"/>
        <w:tblpPr w:leftFromText="180" w:rightFromText="180" w:vertAnchor="text" w:horzAnchor="page" w:tblpX="1099" w:tblpY="457"/>
        <w:tblOverlap w:val="never"/>
        <w:tblW w:w="9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808"/>
        <w:gridCol w:w="7300"/>
      </w:tblGrid>
      <w:tr w14:paraId="2B6CF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tcPr>
          <w:p w14:paraId="2F484B9A">
            <w:pPr>
              <w:pStyle w:val="25"/>
              <w:bidi w:val="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08" w:type="dxa"/>
          </w:tcPr>
          <w:p w14:paraId="67A0F7B5">
            <w:pPr>
              <w:pStyle w:val="25"/>
              <w:bidi w:val="0"/>
              <w:rPr>
                <w:rFonts w:hint="eastAsia" w:ascii="宋体" w:hAnsi="宋体" w:eastAsia="宋体" w:cs="宋体"/>
                <w:b/>
                <w:bCs/>
                <w:sz w:val="24"/>
                <w:szCs w:val="24"/>
              </w:rPr>
            </w:pPr>
            <w:r>
              <w:rPr>
                <w:rFonts w:hint="eastAsia" w:ascii="宋体" w:hAnsi="宋体" w:eastAsia="宋体" w:cs="宋体"/>
                <w:b/>
                <w:bCs/>
                <w:sz w:val="24"/>
                <w:szCs w:val="24"/>
              </w:rPr>
              <w:t>内容</w:t>
            </w:r>
          </w:p>
        </w:tc>
        <w:tc>
          <w:tcPr>
            <w:tcW w:w="7300" w:type="dxa"/>
          </w:tcPr>
          <w:p w14:paraId="7BAA28C9">
            <w:pPr>
              <w:pStyle w:val="25"/>
              <w:bidi w:val="0"/>
              <w:rPr>
                <w:rFonts w:hint="eastAsia" w:ascii="宋体" w:hAnsi="宋体" w:eastAsia="宋体" w:cs="宋体"/>
                <w:b/>
                <w:bCs/>
                <w:sz w:val="24"/>
                <w:szCs w:val="24"/>
              </w:rPr>
            </w:pPr>
            <w:r>
              <w:rPr>
                <w:rFonts w:hint="eastAsia" w:ascii="宋体" w:hAnsi="宋体" w:eastAsia="宋体" w:cs="宋体"/>
                <w:b/>
                <w:bCs/>
                <w:sz w:val="24"/>
                <w:szCs w:val="24"/>
              </w:rPr>
              <w:t>要求</w:t>
            </w:r>
          </w:p>
        </w:tc>
      </w:tr>
      <w:tr w14:paraId="1BE4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42" w:type="dxa"/>
            <w:vAlign w:val="center"/>
          </w:tcPr>
          <w:p w14:paraId="6355A7E7">
            <w:pPr>
              <w:pStyle w:val="25"/>
              <w:bidi w:val="0"/>
              <w:jc w:val="center"/>
              <w:rPr>
                <w:rFonts w:hint="eastAsia" w:ascii="宋体" w:hAnsi="宋体" w:eastAsia="宋体" w:cs="宋体"/>
                <w:sz w:val="24"/>
                <w:szCs w:val="24"/>
              </w:rPr>
            </w:pPr>
          </w:p>
          <w:p w14:paraId="06168063">
            <w:pPr>
              <w:pStyle w:val="25"/>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808" w:type="dxa"/>
            <w:vAlign w:val="center"/>
          </w:tcPr>
          <w:p w14:paraId="307AD247">
            <w:pPr>
              <w:pStyle w:val="25"/>
              <w:bidi w:val="0"/>
              <w:jc w:val="center"/>
              <w:rPr>
                <w:rFonts w:hint="eastAsia" w:ascii="宋体" w:hAnsi="宋体" w:eastAsia="宋体" w:cs="宋体"/>
                <w:sz w:val="24"/>
                <w:szCs w:val="24"/>
                <w:highlight w:val="none"/>
              </w:rPr>
            </w:pPr>
          </w:p>
          <w:p w14:paraId="04A52A15">
            <w:pPr>
              <w:pStyle w:val="25"/>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300" w:type="dxa"/>
            <w:vAlign w:val="center"/>
          </w:tcPr>
          <w:p w14:paraId="2E7D9D70">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采购人：西安市临潼区仁宗街道办事处</w:t>
            </w:r>
          </w:p>
          <w:p w14:paraId="77799B6B">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地址：临潼区仁宗街道</w:t>
            </w:r>
          </w:p>
          <w:p w14:paraId="42DC33DB">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电话：02983949027</w:t>
            </w:r>
          </w:p>
        </w:tc>
      </w:tr>
      <w:tr w14:paraId="3303B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42" w:type="dxa"/>
            <w:vAlign w:val="center"/>
          </w:tcPr>
          <w:p w14:paraId="4751AB07">
            <w:pPr>
              <w:pStyle w:val="25"/>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808" w:type="dxa"/>
            <w:vAlign w:val="center"/>
          </w:tcPr>
          <w:p w14:paraId="5D76CE01">
            <w:pPr>
              <w:pStyle w:val="25"/>
              <w:bidi w:val="0"/>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300" w:type="dxa"/>
            <w:vAlign w:val="center"/>
          </w:tcPr>
          <w:p w14:paraId="37EDF6C4">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代理机构：中昕国际项目管理有限公司</w:t>
            </w:r>
          </w:p>
          <w:p w14:paraId="3F91731E">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地址：西安经济技术开发区凤城十二路首创禧悦里25幢A座16层</w:t>
            </w:r>
          </w:p>
          <w:p w14:paraId="00E6ED10">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联系人：武蓬勃、王超、王涛、李博飞</w:t>
            </w:r>
          </w:p>
          <w:p w14:paraId="1AF353A7">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电话：029-83938602</w:t>
            </w:r>
          </w:p>
        </w:tc>
      </w:tr>
      <w:tr w14:paraId="0ED8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2" w:type="dxa"/>
            <w:vAlign w:val="center"/>
          </w:tcPr>
          <w:p w14:paraId="2106C3E9">
            <w:pPr>
              <w:pStyle w:val="25"/>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808" w:type="dxa"/>
            <w:vAlign w:val="center"/>
          </w:tcPr>
          <w:p w14:paraId="6A7746A7">
            <w:pPr>
              <w:pStyle w:val="25"/>
              <w:bidi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300" w:type="dxa"/>
            <w:vAlign w:val="center"/>
          </w:tcPr>
          <w:p w14:paraId="4779C35E">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仁宗街办仁宗村水毁重建项目</w:t>
            </w:r>
          </w:p>
        </w:tc>
      </w:tr>
      <w:tr w14:paraId="68E1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11EC8800">
            <w:pPr>
              <w:pStyle w:val="25"/>
              <w:bidi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808" w:type="dxa"/>
            <w:vAlign w:val="center"/>
          </w:tcPr>
          <w:p w14:paraId="3561462E">
            <w:pPr>
              <w:pStyle w:val="25"/>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7300" w:type="dxa"/>
            <w:vAlign w:val="center"/>
          </w:tcPr>
          <w:p w14:paraId="30377A71">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ZXGJLTFGS-2025-022</w:t>
            </w:r>
          </w:p>
        </w:tc>
      </w:tr>
      <w:tr w14:paraId="7520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42" w:type="dxa"/>
            <w:vAlign w:val="center"/>
          </w:tcPr>
          <w:p w14:paraId="0FF54A21">
            <w:pPr>
              <w:pStyle w:val="25"/>
              <w:bidi w:val="0"/>
              <w:jc w:val="center"/>
              <w:rPr>
                <w:rFonts w:hint="eastAsia" w:ascii="宋体" w:hAnsi="宋体" w:eastAsia="宋体" w:cs="宋体"/>
                <w:sz w:val="24"/>
                <w:szCs w:val="24"/>
              </w:rPr>
            </w:pPr>
          </w:p>
          <w:p w14:paraId="2D52326A">
            <w:pPr>
              <w:pStyle w:val="25"/>
              <w:bidi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808" w:type="dxa"/>
            <w:vAlign w:val="center"/>
          </w:tcPr>
          <w:p w14:paraId="0202967D">
            <w:pPr>
              <w:pStyle w:val="25"/>
              <w:bidi w:val="0"/>
              <w:jc w:val="center"/>
              <w:rPr>
                <w:rFonts w:hint="eastAsia" w:ascii="宋体" w:hAnsi="宋体" w:eastAsia="宋体" w:cs="宋体"/>
                <w:sz w:val="24"/>
                <w:szCs w:val="24"/>
              </w:rPr>
            </w:pPr>
          </w:p>
          <w:p w14:paraId="767550E3">
            <w:pPr>
              <w:pStyle w:val="25"/>
              <w:bidi w:val="0"/>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7300" w:type="dxa"/>
            <w:vAlign w:val="center"/>
          </w:tcPr>
          <w:p w14:paraId="559FCE7C">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仁宗街办仁宗村水毁重建项目，1 项， </w:t>
            </w:r>
          </w:p>
          <w:p w14:paraId="38113BB6">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项目概况：</w:t>
            </w:r>
            <w:r>
              <w:rPr>
                <w:rFonts w:hint="eastAsia" w:ascii="宋体" w:hAnsi="宋体" w:eastAsia="宋体" w:cs="宋体"/>
                <w:sz w:val="24"/>
                <w:szCs w:val="24"/>
              </w:rPr>
              <w:t>包含许家组道路硬化505平方米，新修4米高，80米长混凝土挡土墙，新做U型排水槽260米</w:t>
            </w:r>
            <w:r>
              <w:rPr>
                <w:rFonts w:hint="eastAsia" w:ascii="宋体" w:hAnsi="宋体" w:eastAsia="宋体" w:cs="宋体"/>
                <w:sz w:val="24"/>
                <w:szCs w:val="24"/>
                <w:lang w:eastAsia="zh-CN"/>
              </w:rPr>
              <w:t>；</w:t>
            </w:r>
            <w:r>
              <w:rPr>
                <w:rFonts w:hint="eastAsia" w:ascii="宋体" w:hAnsi="宋体" w:eastAsia="宋体" w:cs="宋体"/>
                <w:sz w:val="24"/>
                <w:szCs w:val="24"/>
              </w:rPr>
              <w:t>潘家</w:t>
            </w:r>
            <w:r>
              <w:rPr>
                <w:rFonts w:hint="eastAsia" w:ascii="宋体" w:hAnsi="宋体" w:eastAsia="宋体" w:cs="宋体"/>
                <w:sz w:val="24"/>
                <w:szCs w:val="24"/>
                <w:lang w:val="en-US" w:eastAsia="zh-CN"/>
              </w:rPr>
              <w:t>组</w:t>
            </w:r>
            <w:r>
              <w:rPr>
                <w:rFonts w:hint="eastAsia" w:ascii="宋体" w:hAnsi="宋体" w:eastAsia="宋体" w:cs="宋体"/>
                <w:sz w:val="24"/>
                <w:szCs w:val="24"/>
              </w:rPr>
              <w:t>道路硬化31平方米，新修4.5米高，9米长混凝土挡土墙，2.5米高，13米长混凝土挡土墙等。</w:t>
            </w:r>
          </w:p>
        </w:tc>
      </w:tr>
      <w:tr w14:paraId="0222F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2" w:type="dxa"/>
            <w:vAlign w:val="center"/>
          </w:tcPr>
          <w:p w14:paraId="19577A83">
            <w:pPr>
              <w:pStyle w:val="25"/>
              <w:bidi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808" w:type="dxa"/>
            <w:vAlign w:val="center"/>
          </w:tcPr>
          <w:p w14:paraId="4EF88A64">
            <w:pPr>
              <w:pStyle w:val="25"/>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采购预算</w:t>
            </w:r>
            <w:r>
              <w:rPr>
                <w:rFonts w:hint="eastAsia" w:ascii="宋体" w:hAnsi="宋体" w:eastAsia="宋体" w:cs="宋体"/>
                <w:sz w:val="24"/>
                <w:szCs w:val="24"/>
                <w:lang w:val="en-US" w:eastAsia="zh-CN"/>
              </w:rPr>
              <w:t>及最高限价</w:t>
            </w:r>
          </w:p>
        </w:tc>
        <w:tc>
          <w:tcPr>
            <w:tcW w:w="7300" w:type="dxa"/>
            <w:vAlign w:val="center"/>
          </w:tcPr>
          <w:p w14:paraId="63EA22F0">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采购预算：530000.00元，</w:t>
            </w:r>
          </w:p>
          <w:p w14:paraId="30506956">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最高限价：529177.73元</w:t>
            </w:r>
          </w:p>
          <w:p w14:paraId="68AEB871">
            <w:pPr>
              <w:pStyle w:val="25"/>
              <w:bidi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（超出本项目采购预算及最高限价的为无效磋商）</w:t>
            </w:r>
          </w:p>
        </w:tc>
      </w:tr>
      <w:tr w14:paraId="3312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32218C9C">
            <w:pPr>
              <w:pStyle w:val="25"/>
              <w:bidi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808" w:type="dxa"/>
            <w:vAlign w:val="center"/>
          </w:tcPr>
          <w:p w14:paraId="361678CE">
            <w:pPr>
              <w:pStyle w:val="25"/>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施工</w:t>
            </w:r>
            <w:r>
              <w:rPr>
                <w:rFonts w:hint="eastAsia" w:ascii="宋体" w:hAnsi="宋体" w:eastAsia="宋体" w:cs="宋体"/>
                <w:sz w:val="24"/>
                <w:szCs w:val="24"/>
              </w:rPr>
              <w:t>地点</w:t>
            </w:r>
          </w:p>
        </w:tc>
        <w:tc>
          <w:tcPr>
            <w:tcW w:w="7300" w:type="dxa"/>
            <w:vAlign w:val="center"/>
          </w:tcPr>
          <w:p w14:paraId="318A5AE5">
            <w:pPr>
              <w:pStyle w:val="25"/>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仁宗街道仁宗村</w:t>
            </w:r>
          </w:p>
        </w:tc>
      </w:tr>
      <w:tr w14:paraId="3ADE5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2" w:type="dxa"/>
            <w:vAlign w:val="center"/>
          </w:tcPr>
          <w:p w14:paraId="5F83251D">
            <w:pPr>
              <w:pStyle w:val="25"/>
              <w:bidi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808" w:type="dxa"/>
            <w:vAlign w:val="center"/>
          </w:tcPr>
          <w:p w14:paraId="268F06B6">
            <w:pPr>
              <w:pStyle w:val="2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p>
        </w:tc>
        <w:tc>
          <w:tcPr>
            <w:tcW w:w="7300" w:type="dxa"/>
            <w:vAlign w:val="center"/>
          </w:tcPr>
          <w:p w14:paraId="67F6A9A9">
            <w:pPr>
              <w:pStyle w:val="25"/>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40日历天</w:t>
            </w:r>
          </w:p>
        </w:tc>
      </w:tr>
      <w:tr w14:paraId="7B99D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20C647A0">
            <w:pPr>
              <w:pStyle w:val="25"/>
              <w:bidi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808" w:type="dxa"/>
            <w:vAlign w:val="center"/>
          </w:tcPr>
          <w:p w14:paraId="57E7B42F">
            <w:pPr>
              <w:pStyle w:val="25"/>
              <w:bidi w:val="0"/>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7300" w:type="dxa"/>
            <w:vAlign w:val="center"/>
          </w:tcPr>
          <w:p w14:paraId="5C8BC038">
            <w:pPr>
              <w:pStyle w:val="25"/>
              <w:bidi w:val="0"/>
              <w:jc w:val="left"/>
              <w:rPr>
                <w:rFonts w:hint="eastAsia" w:ascii="宋体" w:hAnsi="宋体" w:eastAsia="宋体" w:cs="宋体"/>
                <w:sz w:val="24"/>
                <w:szCs w:val="24"/>
              </w:rPr>
            </w:pPr>
            <w:r>
              <w:rPr>
                <w:rFonts w:hint="eastAsia" w:ascii="宋体" w:hAnsi="宋体" w:eastAsia="宋体" w:cs="宋体"/>
                <w:sz w:val="24"/>
                <w:szCs w:val="24"/>
              </w:rPr>
              <w:t>财政资金</w:t>
            </w:r>
          </w:p>
        </w:tc>
      </w:tr>
      <w:tr w14:paraId="6DF6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04DDAEDC">
            <w:pPr>
              <w:pStyle w:val="25"/>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808" w:type="dxa"/>
            <w:vAlign w:val="center"/>
          </w:tcPr>
          <w:p w14:paraId="1C0BD550">
            <w:pPr>
              <w:pStyle w:val="2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供应商资格要求</w:t>
            </w:r>
          </w:p>
        </w:tc>
        <w:tc>
          <w:tcPr>
            <w:tcW w:w="7300" w:type="dxa"/>
            <w:vAlign w:val="center"/>
          </w:tcPr>
          <w:p w14:paraId="1A56F33E">
            <w:pPr>
              <w:pStyle w:val="25"/>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b w:val="0"/>
                <w:bCs w:val="0"/>
                <w:snapToGrid w:val="0"/>
                <w:color w:val="0000FF"/>
                <w:spacing w:val="-7"/>
                <w:kern w:val="0"/>
                <w:sz w:val="24"/>
                <w:szCs w:val="24"/>
                <w:highlight w:val="none"/>
                <w:lang w:val="en-US" w:eastAsia="zh-CN" w:bidi="ar-SA"/>
              </w:rPr>
              <w:t>、</w:t>
            </w:r>
            <w:r>
              <w:rPr>
                <w:rFonts w:hint="eastAsia" w:ascii="宋体" w:hAnsi="宋体" w:eastAsia="宋体" w:cs="宋体"/>
                <w:sz w:val="24"/>
                <w:szCs w:val="24"/>
              </w:rPr>
              <w:t>满足《中华人民共和国政府采购法》第二十二条规定;</w:t>
            </w:r>
          </w:p>
          <w:p w14:paraId="1D2C8065">
            <w:pPr>
              <w:pStyle w:val="25"/>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b w:val="0"/>
                <w:bCs w:val="0"/>
                <w:snapToGrid w:val="0"/>
                <w:color w:val="0000FF"/>
                <w:spacing w:val="-7"/>
                <w:kern w:val="0"/>
                <w:sz w:val="24"/>
                <w:szCs w:val="24"/>
                <w:highlight w:val="none"/>
                <w:lang w:val="en-US" w:eastAsia="zh-CN" w:bidi="ar-SA"/>
              </w:rPr>
              <w:t>、</w:t>
            </w:r>
            <w:r>
              <w:rPr>
                <w:rFonts w:hint="eastAsia" w:ascii="宋体" w:hAnsi="宋体" w:eastAsia="宋体" w:cs="宋体"/>
                <w:sz w:val="24"/>
                <w:szCs w:val="24"/>
              </w:rPr>
              <w:t>落实政府采购政策需满足的资格要求：</w:t>
            </w:r>
          </w:p>
          <w:p w14:paraId="54F6EBE0">
            <w:pPr>
              <w:pStyle w:val="25"/>
              <w:bidi w:val="0"/>
              <w:jc w:val="left"/>
              <w:rPr>
                <w:rFonts w:hint="eastAsia" w:ascii="宋体" w:hAnsi="宋体" w:eastAsia="宋体" w:cs="宋体"/>
                <w:sz w:val="24"/>
                <w:szCs w:val="24"/>
              </w:rPr>
            </w:pPr>
            <w:r>
              <w:rPr>
                <w:rFonts w:hint="eastAsia" w:ascii="宋体" w:hAnsi="宋体" w:eastAsia="宋体" w:cs="宋体"/>
                <w:sz w:val="24"/>
                <w:szCs w:val="24"/>
              </w:rPr>
              <w:t>合同包1(仁宗街办仁宗村水毁重建项目)落实政府采购政策需满足的资格要求如下:</w:t>
            </w:r>
          </w:p>
          <w:p w14:paraId="1334B916">
            <w:pPr>
              <w:pStyle w:val="25"/>
              <w:bidi w:val="0"/>
              <w:jc w:val="left"/>
              <w:rPr>
                <w:rFonts w:hint="eastAsia" w:ascii="宋体" w:hAnsi="宋体" w:eastAsia="宋体" w:cs="宋体"/>
                <w:sz w:val="24"/>
                <w:szCs w:val="24"/>
              </w:rPr>
            </w:pPr>
            <w:r>
              <w:rPr>
                <w:rFonts w:hint="eastAsia" w:ascii="宋体" w:hAnsi="宋体" w:eastAsia="宋体" w:cs="宋体"/>
                <w:sz w:val="24"/>
                <w:szCs w:val="24"/>
              </w:rPr>
              <w:t>本项目为专门面向中小企业项目，供应商应为中型企业或小型、微型企业或监狱企业或残疾人福利性单位。</w:t>
            </w:r>
          </w:p>
          <w:p w14:paraId="668EA604">
            <w:pPr>
              <w:pStyle w:val="25"/>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b w:val="0"/>
                <w:bCs w:val="0"/>
                <w:snapToGrid w:val="0"/>
                <w:color w:val="0000FF"/>
                <w:spacing w:val="-7"/>
                <w:kern w:val="0"/>
                <w:sz w:val="24"/>
                <w:szCs w:val="24"/>
                <w:highlight w:val="none"/>
                <w:lang w:val="en-US" w:eastAsia="zh-CN" w:bidi="ar-SA"/>
              </w:rPr>
              <w:t>、</w:t>
            </w:r>
            <w:r>
              <w:rPr>
                <w:rFonts w:hint="eastAsia" w:ascii="宋体" w:hAnsi="宋体" w:eastAsia="宋体" w:cs="宋体"/>
                <w:sz w:val="24"/>
                <w:szCs w:val="24"/>
              </w:rPr>
              <w:t>本项目的特定资格要求：</w:t>
            </w:r>
          </w:p>
          <w:p w14:paraId="6ACE51D8">
            <w:pPr>
              <w:pStyle w:val="25"/>
              <w:bidi w:val="0"/>
              <w:jc w:val="left"/>
              <w:rPr>
                <w:rFonts w:hint="eastAsia" w:ascii="宋体" w:hAnsi="宋体" w:eastAsia="宋体" w:cs="宋体"/>
                <w:sz w:val="24"/>
                <w:szCs w:val="24"/>
              </w:rPr>
            </w:pPr>
            <w:r>
              <w:rPr>
                <w:rFonts w:hint="eastAsia" w:ascii="宋体" w:hAnsi="宋体" w:eastAsia="宋体" w:cs="宋体"/>
                <w:sz w:val="24"/>
                <w:szCs w:val="24"/>
              </w:rPr>
              <w:t>合同包1(仁宗街办仁宗村水毁重建项目)特定资格要求如下:</w:t>
            </w:r>
          </w:p>
          <w:p w14:paraId="38303A33">
            <w:pPr>
              <w:pStyle w:val="25"/>
              <w:bidi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（1）法定代表人授权书或身份证明：提供法定代表人授权书（附法定代表人、被授权人身份证复印件）（法定代表人直接参加磋商，须提供法定代表人身份证明）；非法人单位参照执行；</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（2）供应商资质要求：供应商须具备建设行政主管部门颁发的市政公用工程施工总承包三级（含三级）以上资质，且具备有效的安全生产许可证；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（3）拟派项目经理具备市政公用工程二级及以上注册建造师证书和安全生产考核合格证（B证），在本单位注册且无在建工程（提供无在建工程承诺书）；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（4）供应商及拟派项目经理基本信息应在“陕西省住房和城乡建设厅网站（http://js.shaanxi.gov.cn/）陕西省建筑市场监管与诚信信息发布平台”可查询；</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（5）供应商不得为“信用中国 (www.creditchina.gov.cn)”中列入失信被执行人和重大税收违法失信主体的供应商，不得为“中国政府采购网(www.ccgp.gov.cn)”政府采购严重违法失信行为记录名单中被财政部门禁止参加政府采购活动的供应商；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（6）单位负责人为同一人或者存在直接控股、管理关系的不同供应商，不得参加同一合同项下的政府采购活动。</w:t>
            </w:r>
          </w:p>
        </w:tc>
      </w:tr>
      <w:tr w14:paraId="058DF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top"/>
          </w:tcPr>
          <w:p w14:paraId="3E291E1F">
            <w:pPr>
              <w:pStyle w:val="25"/>
              <w:bidi w:val="0"/>
              <w:ind w:left="0" w:leftChars="0" w:right="0" w:rightChars="0" w:firstLine="0" w:firstLineChars="0"/>
              <w:jc w:val="center"/>
              <w:rPr>
                <w:rFonts w:hint="eastAsia" w:ascii="宋体" w:hAnsi="宋体" w:eastAsia="宋体" w:cs="宋体"/>
                <w:sz w:val="24"/>
                <w:szCs w:val="24"/>
              </w:rPr>
            </w:pPr>
          </w:p>
          <w:p w14:paraId="1F6C628A">
            <w:pPr>
              <w:pStyle w:val="25"/>
              <w:bidi w:val="0"/>
              <w:ind w:left="0" w:leftChars="0" w:right="0" w:rightChars="0" w:firstLine="0" w:firstLineChars="0"/>
              <w:jc w:val="center"/>
              <w:rPr>
                <w:rFonts w:hint="eastAsia" w:ascii="宋体" w:hAnsi="宋体" w:eastAsia="宋体" w:cs="宋体"/>
                <w:sz w:val="24"/>
                <w:szCs w:val="24"/>
              </w:rPr>
            </w:pPr>
          </w:p>
          <w:p w14:paraId="491396B9">
            <w:pPr>
              <w:pStyle w:val="25"/>
              <w:bidi w:val="0"/>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rPr>
              <w:t>11</w:t>
            </w:r>
          </w:p>
        </w:tc>
        <w:tc>
          <w:tcPr>
            <w:tcW w:w="1808" w:type="dxa"/>
            <w:vAlign w:val="center"/>
          </w:tcPr>
          <w:p w14:paraId="4F1952C6">
            <w:pPr>
              <w:pStyle w:val="25"/>
              <w:bidi w:val="0"/>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磋商文件发售</w:t>
            </w:r>
          </w:p>
        </w:tc>
        <w:tc>
          <w:tcPr>
            <w:tcW w:w="7300" w:type="dxa"/>
            <w:vAlign w:val="center"/>
          </w:tcPr>
          <w:p w14:paraId="5BCFD534">
            <w:pPr>
              <w:pStyle w:val="25"/>
              <w:bidi w:val="0"/>
              <w:jc w:val="both"/>
              <w:rPr>
                <w:rFonts w:hint="eastAsia" w:ascii="宋体" w:hAnsi="宋体" w:eastAsia="宋体" w:cs="宋体"/>
                <w:sz w:val="24"/>
                <w:szCs w:val="24"/>
                <w:highlight w:val="none"/>
              </w:rPr>
            </w:pPr>
            <w:r>
              <w:rPr>
                <w:rFonts w:hint="eastAsia" w:ascii="宋体" w:hAnsi="宋体" w:eastAsia="宋体" w:cs="宋体"/>
                <w:sz w:val="24"/>
                <w:szCs w:val="24"/>
              </w:rPr>
              <w:t>发售时</w:t>
            </w:r>
            <w:r>
              <w:rPr>
                <w:rFonts w:hint="eastAsia" w:ascii="宋体" w:hAnsi="宋体" w:eastAsia="宋体" w:cs="宋体"/>
                <w:sz w:val="24"/>
                <w:szCs w:val="24"/>
                <w:highlight w:val="none"/>
              </w:rPr>
              <w:t>间：</w:t>
            </w:r>
            <w:r>
              <w:rPr>
                <w:rFonts w:hint="eastAsia" w:ascii="宋体" w:hAnsi="宋体" w:eastAsia="宋体" w:cs="宋体"/>
                <w:sz w:val="24"/>
                <w:szCs w:val="24"/>
              </w:rPr>
              <w:t>2025年12月24日 至 2025年12月30日</w:t>
            </w:r>
            <w:r>
              <w:rPr>
                <w:rFonts w:hint="eastAsia" w:ascii="宋体" w:hAnsi="宋体" w:eastAsia="宋体" w:cs="宋体"/>
                <w:sz w:val="24"/>
                <w:szCs w:val="24"/>
                <w:highlight w:val="none"/>
              </w:rPr>
              <w:t>，每天上午 09:00:00 至 12:00:00，下午 14:00:00 至 17:00:00（北京时间,法定节假日除外）</w:t>
            </w:r>
          </w:p>
          <w:p w14:paraId="2FA4CD6B">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highlight w:val="none"/>
              </w:rPr>
              <w:t>发售地点：</w:t>
            </w:r>
            <w:r>
              <w:rPr>
                <w:rFonts w:hint="eastAsia" w:ascii="宋体" w:hAnsi="宋体" w:eastAsia="宋体" w:cs="宋体"/>
                <w:sz w:val="24"/>
                <w:szCs w:val="24"/>
              </w:rPr>
              <w:t>西安市临潼区东环路21号建筑工程公司住宅小区综合楼北单元4层401室</w:t>
            </w:r>
          </w:p>
        </w:tc>
      </w:tr>
      <w:tr w14:paraId="72BEB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477C8824">
            <w:pPr>
              <w:pStyle w:val="25"/>
              <w:bidi w:val="0"/>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rPr>
              <w:t>12</w:t>
            </w:r>
          </w:p>
        </w:tc>
        <w:tc>
          <w:tcPr>
            <w:tcW w:w="1808" w:type="dxa"/>
            <w:vAlign w:val="center"/>
          </w:tcPr>
          <w:p w14:paraId="4C114CD2">
            <w:pPr>
              <w:pStyle w:val="25"/>
              <w:bidi w:val="0"/>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联合体磋商</w:t>
            </w:r>
          </w:p>
        </w:tc>
        <w:tc>
          <w:tcPr>
            <w:tcW w:w="7300" w:type="dxa"/>
            <w:vAlign w:val="center"/>
          </w:tcPr>
          <w:p w14:paraId="04A2FF0D">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rPr>
              <w:t>不接受</w:t>
            </w:r>
          </w:p>
        </w:tc>
      </w:tr>
      <w:tr w14:paraId="3A6D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top"/>
          </w:tcPr>
          <w:p w14:paraId="7CF1C59E">
            <w:pPr>
              <w:pStyle w:val="25"/>
              <w:bidi w:val="0"/>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rPr>
              <w:t>13</w:t>
            </w:r>
          </w:p>
        </w:tc>
        <w:tc>
          <w:tcPr>
            <w:tcW w:w="1808" w:type="dxa"/>
            <w:vAlign w:val="center"/>
          </w:tcPr>
          <w:p w14:paraId="0679F3C6">
            <w:pPr>
              <w:pStyle w:val="25"/>
              <w:bidi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踏勘现场</w:t>
            </w:r>
          </w:p>
        </w:tc>
        <w:tc>
          <w:tcPr>
            <w:tcW w:w="7300" w:type="dxa"/>
            <w:vAlign w:val="center"/>
          </w:tcPr>
          <w:p w14:paraId="421B117F">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rPr>
              <w:t>不组织统一踏勘现场</w:t>
            </w:r>
          </w:p>
        </w:tc>
      </w:tr>
      <w:tr w14:paraId="1F7F8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top"/>
          </w:tcPr>
          <w:p w14:paraId="2BA0917F">
            <w:pPr>
              <w:pStyle w:val="25"/>
              <w:bidi w:val="0"/>
              <w:rPr>
                <w:rFonts w:hint="eastAsia" w:ascii="宋体" w:hAnsi="宋体" w:eastAsia="宋体" w:cs="宋体"/>
                <w:sz w:val="24"/>
                <w:szCs w:val="24"/>
              </w:rPr>
            </w:pPr>
          </w:p>
          <w:p w14:paraId="2F9A0DD4">
            <w:pPr>
              <w:pStyle w:val="25"/>
              <w:bidi w:val="0"/>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rPr>
              <w:t>14</w:t>
            </w:r>
          </w:p>
        </w:tc>
        <w:tc>
          <w:tcPr>
            <w:tcW w:w="1808" w:type="dxa"/>
            <w:vAlign w:val="center"/>
          </w:tcPr>
          <w:p w14:paraId="0714A075">
            <w:pPr>
              <w:pStyle w:val="25"/>
              <w:bidi w:val="0"/>
              <w:jc w:val="both"/>
              <w:rPr>
                <w:rFonts w:hint="eastAsia" w:ascii="宋体" w:hAnsi="宋体" w:eastAsia="宋体" w:cs="宋体"/>
                <w:sz w:val="24"/>
                <w:szCs w:val="24"/>
              </w:rPr>
            </w:pPr>
            <w:r>
              <w:rPr>
                <w:rFonts w:hint="eastAsia" w:ascii="宋体" w:hAnsi="宋体" w:eastAsia="宋体" w:cs="宋体"/>
                <w:sz w:val="24"/>
                <w:szCs w:val="24"/>
              </w:rPr>
              <w:t>供应商对磋商</w:t>
            </w:r>
          </w:p>
          <w:p w14:paraId="36DC7266">
            <w:pPr>
              <w:pStyle w:val="25"/>
              <w:bidi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文件提出问题的截止时间</w:t>
            </w:r>
          </w:p>
        </w:tc>
        <w:tc>
          <w:tcPr>
            <w:tcW w:w="7300" w:type="dxa"/>
            <w:vAlign w:val="center"/>
          </w:tcPr>
          <w:p w14:paraId="1733E55B">
            <w:pPr>
              <w:pStyle w:val="25"/>
              <w:bidi w:val="0"/>
              <w:jc w:val="both"/>
              <w:rPr>
                <w:rFonts w:hint="eastAsia" w:ascii="宋体" w:hAnsi="宋体" w:eastAsia="宋体" w:cs="宋体"/>
                <w:sz w:val="24"/>
                <w:szCs w:val="24"/>
              </w:rPr>
            </w:pPr>
          </w:p>
          <w:p w14:paraId="78A73535">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rPr>
              <w:t>磋商文件递交截止时间 3 日前</w:t>
            </w:r>
          </w:p>
        </w:tc>
      </w:tr>
      <w:tr w14:paraId="0F7F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top"/>
          </w:tcPr>
          <w:p w14:paraId="1C01A817">
            <w:pPr>
              <w:pStyle w:val="25"/>
              <w:bidi w:val="0"/>
              <w:rPr>
                <w:rFonts w:hint="eastAsia" w:ascii="宋体" w:hAnsi="宋体" w:eastAsia="宋体" w:cs="宋体"/>
                <w:sz w:val="24"/>
                <w:szCs w:val="24"/>
              </w:rPr>
            </w:pPr>
          </w:p>
          <w:p w14:paraId="5E2F24EF">
            <w:pPr>
              <w:pStyle w:val="25"/>
              <w:bidi w:val="0"/>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rPr>
              <w:t>15</w:t>
            </w:r>
          </w:p>
        </w:tc>
        <w:tc>
          <w:tcPr>
            <w:tcW w:w="1808" w:type="dxa"/>
            <w:vAlign w:val="center"/>
          </w:tcPr>
          <w:p w14:paraId="5B19186E">
            <w:pPr>
              <w:pStyle w:val="25"/>
              <w:bidi w:val="0"/>
              <w:jc w:val="both"/>
              <w:rPr>
                <w:rFonts w:hint="eastAsia" w:ascii="宋体" w:hAnsi="宋体" w:eastAsia="宋体" w:cs="宋体"/>
                <w:sz w:val="24"/>
                <w:szCs w:val="24"/>
              </w:rPr>
            </w:pPr>
            <w:r>
              <w:rPr>
                <w:rFonts w:hint="eastAsia" w:ascii="宋体" w:hAnsi="宋体" w:eastAsia="宋体" w:cs="宋体"/>
                <w:sz w:val="24"/>
                <w:szCs w:val="24"/>
              </w:rPr>
              <w:t>采购代理机构</w:t>
            </w:r>
          </w:p>
          <w:p w14:paraId="3F053D29">
            <w:pPr>
              <w:pStyle w:val="25"/>
              <w:bidi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答疑的时间</w:t>
            </w:r>
          </w:p>
        </w:tc>
        <w:tc>
          <w:tcPr>
            <w:tcW w:w="7300" w:type="dxa"/>
            <w:vAlign w:val="center"/>
          </w:tcPr>
          <w:p w14:paraId="1F311688">
            <w:pPr>
              <w:pStyle w:val="25"/>
              <w:bidi w:val="0"/>
              <w:jc w:val="both"/>
              <w:rPr>
                <w:rFonts w:hint="eastAsia" w:ascii="宋体" w:hAnsi="宋体" w:eastAsia="宋体" w:cs="宋体"/>
                <w:sz w:val="24"/>
                <w:szCs w:val="24"/>
              </w:rPr>
            </w:pPr>
          </w:p>
          <w:p w14:paraId="20EB5CA1">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rPr>
              <w:t>自收到供应商疑问 2 日内答疑</w:t>
            </w:r>
          </w:p>
        </w:tc>
      </w:tr>
      <w:tr w14:paraId="2564F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top"/>
          </w:tcPr>
          <w:p w14:paraId="2FA27713">
            <w:pPr>
              <w:pStyle w:val="25"/>
              <w:bidi w:val="0"/>
              <w:rPr>
                <w:rFonts w:hint="eastAsia" w:ascii="宋体" w:hAnsi="宋体" w:eastAsia="宋体" w:cs="宋体"/>
                <w:sz w:val="24"/>
                <w:szCs w:val="24"/>
              </w:rPr>
            </w:pPr>
          </w:p>
          <w:p w14:paraId="48E32C2B">
            <w:pPr>
              <w:pStyle w:val="25"/>
              <w:bidi w:val="0"/>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rPr>
              <w:t>16</w:t>
            </w:r>
          </w:p>
        </w:tc>
        <w:tc>
          <w:tcPr>
            <w:tcW w:w="1808" w:type="dxa"/>
            <w:vAlign w:val="center"/>
          </w:tcPr>
          <w:p w14:paraId="3A81EB7D">
            <w:pPr>
              <w:pStyle w:val="25"/>
              <w:bidi w:val="0"/>
              <w:jc w:val="both"/>
              <w:rPr>
                <w:rFonts w:hint="eastAsia" w:ascii="宋体" w:hAnsi="宋体" w:eastAsia="宋体" w:cs="宋体"/>
                <w:sz w:val="24"/>
                <w:szCs w:val="24"/>
              </w:rPr>
            </w:pPr>
            <w:r>
              <w:rPr>
                <w:rFonts w:hint="eastAsia" w:ascii="宋体" w:hAnsi="宋体" w:eastAsia="宋体" w:cs="宋体"/>
                <w:sz w:val="24"/>
                <w:szCs w:val="24"/>
              </w:rPr>
              <w:t>构成磋商文件</w:t>
            </w:r>
          </w:p>
          <w:p w14:paraId="6CD9E045">
            <w:pPr>
              <w:pStyle w:val="25"/>
              <w:bidi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的其他文件</w:t>
            </w:r>
          </w:p>
        </w:tc>
        <w:tc>
          <w:tcPr>
            <w:tcW w:w="7300" w:type="dxa"/>
            <w:vAlign w:val="center"/>
          </w:tcPr>
          <w:p w14:paraId="1B139D01">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rPr>
              <w:t>磋商文件的澄清、修改书及有关补充通知为磋商文件的有效组成部分。</w:t>
            </w:r>
          </w:p>
        </w:tc>
      </w:tr>
      <w:tr w14:paraId="01A8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45109798">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1808" w:type="dxa"/>
            <w:vAlign w:val="center"/>
          </w:tcPr>
          <w:p w14:paraId="12056377">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auto"/>
                <w:sz w:val="24"/>
                <w:szCs w:val="24"/>
              </w:rPr>
              <w:t>磋商文件递交截止时间和地点</w:t>
            </w:r>
          </w:p>
        </w:tc>
        <w:tc>
          <w:tcPr>
            <w:tcW w:w="7300" w:type="dxa"/>
            <w:vAlign w:val="center"/>
          </w:tcPr>
          <w:p w14:paraId="35A2A3FD">
            <w:pPr>
              <w:pStyle w:val="25"/>
              <w:bidi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1.磋商文件截止时间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2026年01月05日 14时00分</w:t>
            </w:r>
            <w:r>
              <w:rPr>
                <w:rFonts w:hint="eastAsia" w:ascii="宋体" w:hAnsi="宋体" w:eastAsia="宋体" w:cs="宋体"/>
                <w:color w:val="auto"/>
                <w:sz w:val="24"/>
                <w:szCs w:val="24"/>
                <w:highlight w:val="none"/>
              </w:rPr>
              <w:t>（北京时间）</w:t>
            </w:r>
          </w:p>
          <w:p w14:paraId="5F91ED69">
            <w:pPr>
              <w:pStyle w:val="25"/>
              <w:bidi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2.磋商时间：</w:t>
            </w:r>
            <w:r>
              <w:rPr>
                <w:rFonts w:hint="eastAsia" w:ascii="宋体" w:hAnsi="宋体" w:eastAsia="宋体" w:cs="宋体"/>
                <w:color w:val="auto"/>
                <w:sz w:val="24"/>
                <w:szCs w:val="24"/>
              </w:rPr>
              <w:t>2026年01月05日 14时00分</w:t>
            </w:r>
            <w:r>
              <w:rPr>
                <w:rFonts w:hint="eastAsia" w:ascii="宋体" w:hAnsi="宋体" w:eastAsia="宋体" w:cs="宋体"/>
                <w:color w:val="auto"/>
                <w:sz w:val="24"/>
                <w:szCs w:val="24"/>
                <w:highlight w:val="none"/>
              </w:rPr>
              <w:t>（北京时间）</w:t>
            </w:r>
          </w:p>
          <w:p w14:paraId="054F271B">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color w:val="auto"/>
                <w:sz w:val="24"/>
                <w:szCs w:val="24"/>
                <w:highlight w:val="none"/>
              </w:rPr>
              <w:t>3.磋商地点：</w:t>
            </w:r>
            <w:r>
              <w:rPr>
                <w:rFonts w:hint="eastAsia" w:ascii="宋体" w:hAnsi="宋体" w:eastAsia="宋体" w:cs="宋体"/>
                <w:color w:val="auto"/>
                <w:sz w:val="24"/>
                <w:szCs w:val="24"/>
              </w:rPr>
              <w:t>西安市临潼区东环路21号建筑工程公司住宅小区综合楼北单元4层401室</w:t>
            </w:r>
          </w:p>
        </w:tc>
      </w:tr>
      <w:tr w14:paraId="1665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0AF43183">
            <w:pPr>
              <w:pStyle w:val="25"/>
              <w:bidi w:val="0"/>
              <w:jc w:val="center"/>
              <w:rPr>
                <w:rFonts w:hint="eastAsia" w:ascii="宋体" w:hAnsi="宋体" w:eastAsia="宋体" w:cs="宋体"/>
                <w:sz w:val="24"/>
                <w:szCs w:val="24"/>
              </w:rPr>
            </w:pPr>
          </w:p>
          <w:p w14:paraId="6ACA98FD">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1808" w:type="dxa"/>
            <w:vAlign w:val="center"/>
          </w:tcPr>
          <w:p w14:paraId="1E1F752C">
            <w:pPr>
              <w:pStyle w:val="25"/>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磋商小组的组</w:t>
            </w:r>
          </w:p>
          <w:p w14:paraId="2D0AE015">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auto"/>
                <w:sz w:val="24"/>
                <w:szCs w:val="24"/>
              </w:rPr>
              <w:t>建</w:t>
            </w:r>
          </w:p>
        </w:tc>
        <w:tc>
          <w:tcPr>
            <w:tcW w:w="7300" w:type="dxa"/>
            <w:vAlign w:val="center"/>
          </w:tcPr>
          <w:p w14:paraId="37A18D52">
            <w:pPr>
              <w:keepNext w:val="0"/>
              <w:keepLines w:val="0"/>
              <w:widowControl/>
              <w:suppressLineNumbers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color w:val="auto"/>
                <w:sz w:val="24"/>
                <w:szCs w:val="24"/>
                <w:shd w:val="clear" w:fill="FFFFFF"/>
                <w:lang w:val="en-US" w:eastAsia="zh-CN" w:bidi="zh-CN"/>
              </w:rPr>
              <w:t>磋商小组构成：3 人，其中采购人代表 1 人，专家 2 人；专家名单在陕西省财政厅政府采购专家库中选择。</w:t>
            </w:r>
          </w:p>
        </w:tc>
      </w:tr>
      <w:tr w14:paraId="4D4AD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04639717">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c>
          <w:tcPr>
            <w:tcW w:w="1808" w:type="dxa"/>
            <w:vAlign w:val="center"/>
          </w:tcPr>
          <w:p w14:paraId="6E231BB6">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7300" w:type="dxa"/>
            <w:vAlign w:val="center"/>
          </w:tcPr>
          <w:p w14:paraId="28E22DD6">
            <w:pPr>
              <w:pStyle w:val="25"/>
              <w:bidi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lang w:eastAsia="zh-CN"/>
              </w:rPr>
              <w:t>自磋商截止之日起</w:t>
            </w:r>
            <w:r>
              <w:rPr>
                <w:rFonts w:hint="eastAsia" w:ascii="宋体" w:hAnsi="宋体" w:eastAsia="宋体" w:cs="宋体"/>
                <w:sz w:val="24"/>
                <w:szCs w:val="24"/>
              </w:rPr>
              <w:t>90</w:t>
            </w:r>
            <w:r>
              <w:rPr>
                <w:rFonts w:hint="eastAsia" w:ascii="宋体" w:hAnsi="宋体" w:eastAsia="宋体" w:cs="宋体"/>
                <w:sz w:val="24"/>
                <w:szCs w:val="24"/>
                <w:lang w:eastAsia="zh-CN"/>
              </w:rPr>
              <w:t>个</w:t>
            </w:r>
            <w:r>
              <w:rPr>
                <w:rFonts w:hint="eastAsia" w:ascii="宋体" w:hAnsi="宋体" w:eastAsia="宋体" w:cs="宋体"/>
                <w:sz w:val="24"/>
                <w:szCs w:val="24"/>
              </w:rPr>
              <w:t>日历天。</w:t>
            </w:r>
          </w:p>
        </w:tc>
      </w:tr>
      <w:tr w14:paraId="27DB2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4668B684">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1808" w:type="dxa"/>
            <w:vAlign w:val="center"/>
          </w:tcPr>
          <w:p w14:paraId="04CB184C">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7300" w:type="dxa"/>
            <w:vAlign w:val="center"/>
          </w:tcPr>
          <w:p w14:paraId="0ACAA1B3">
            <w:pPr>
              <w:pStyle w:val="25"/>
              <w:bidi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本项目不收取磋商保证金</w:t>
            </w:r>
          </w:p>
        </w:tc>
      </w:tr>
      <w:tr w14:paraId="5808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1B5A0889">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21</w:t>
            </w:r>
          </w:p>
        </w:tc>
        <w:tc>
          <w:tcPr>
            <w:tcW w:w="1808" w:type="dxa"/>
            <w:vAlign w:val="center"/>
          </w:tcPr>
          <w:p w14:paraId="76001E16">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7300" w:type="dxa"/>
            <w:vAlign w:val="center"/>
          </w:tcPr>
          <w:p w14:paraId="6334C4DB">
            <w:pPr>
              <w:pStyle w:val="25"/>
              <w:bidi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本项目不收取履约保证金</w:t>
            </w:r>
          </w:p>
        </w:tc>
      </w:tr>
      <w:tr w14:paraId="54692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top"/>
          </w:tcPr>
          <w:p w14:paraId="2299844D">
            <w:pPr>
              <w:pStyle w:val="25"/>
              <w:bidi w:val="0"/>
              <w:ind w:left="0" w:leftChars="0" w:right="0" w:rightChars="0" w:firstLine="0" w:firstLineChars="0"/>
              <w:jc w:val="center"/>
              <w:rPr>
                <w:rFonts w:hint="eastAsia" w:ascii="宋体" w:hAnsi="宋体" w:eastAsia="宋体" w:cs="宋体"/>
                <w:sz w:val="24"/>
                <w:szCs w:val="24"/>
              </w:rPr>
            </w:pPr>
          </w:p>
          <w:p w14:paraId="5B590ABB">
            <w:pPr>
              <w:pStyle w:val="25"/>
              <w:bidi w:val="0"/>
              <w:ind w:left="0" w:leftChars="0" w:right="0" w:rightChars="0" w:firstLine="0" w:firstLineChars="0"/>
              <w:jc w:val="center"/>
              <w:rPr>
                <w:rFonts w:hint="eastAsia" w:ascii="宋体" w:hAnsi="宋体" w:eastAsia="宋体" w:cs="宋体"/>
                <w:sz w:val="24"/>
                <w:szCs w:val="24"/>
              </w:rPr>
            </w:pPr>
          </w:p>
          <w:p w14:paraId="59355803">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22</w:t>
            </w:r>
          </w:p>
        </w:tc>
        <w:tc>
          <w:tcPr>
            <w:tcW w:w="1808" w:type="dxa"/>
            <w:vAlign w:val="top"/>
          </w:tcPr>
          <w:p w14:paraId="0DF7F4D8">
            <w:pPr>
              <w:pStyle w:val="25"/>
              <w:bidi w:val="0"/>
              <w:jc w:val="center"/>
              <w:rPr>
                <w:rFonts w:hint="eastAsia" w:ascii="宋体" w:hAnsi="宋体" w:eastAsia="宋体" w:cs="宋体"/>
                <w:sz w:val="24"/>
                <w:szCs w:val="24"/>
              </w:rPr>
            </w:pPr>
          </w:p>
          <w:p w14:paraId="765C1D66">
            <w:pPr>
              <w:pStyle w:val="25"/>
              <w:bidi w:val="0"/>
              <w:jc w:val="center"/>
              <w:rPr>
                <w:rFonts w:hint="eastAsia" w:ascii="宋体" w:hAnsi="宋体" w:eastAsia="宋体" w:cs="宋体"/>
                <w:sz w:val="24"/>
                <w:szCs w:val="24"/>
              </w:rPr>
            </w:pPr>
          </w:p>
          <w:p w14:paraId="66F18435">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磋商报价</w:t>
            </w:r>
            <w:r>
              <w:rPr>
                <w:rFonts w:hint="eastAsia" w:ascii="宋体" w:hAnsi="宋体" w:eastAsia="宋体" w:cs="宋体"/>
                <w:sz w:val="24"/>
                <w:szCs w:val="24"/>
                <w:lang w:val="en-US" w:eastAsia="zh-CN"/>
              </w:rPr>
              <w:t>要求</w:t>
            </w:r>
          </w:p>
        </w:tc>
        <w:tc>
          <w:tcPr>
            <w:tcW w:w="7300" w:type="dxa"/>
            <w:vAlign w:val="center"/>
          </w:tcPr>
          <w:p w14:paraId="1E4C6CE7">
            <w:pPr>
              <w:pStyle w:val="25"/>
              <w:bidi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本工程计价采用固定综合单价合同，各供应商依据企业自身情况自主报价、风险自负。所有磋商报价中的单价和合价均以人民币表示。除磋商文件允许调整的内容外，供应商所报单价在合同实施期间不因市场变化因素而变动，供应商在计算报价时必须考虑相应的风险。</w:t>
            </w:r>
          </w:p>
        </w:tc>
      </w:tr>
      <w:tr w14:paraId="1B5F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3332182E">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val="0"/>
                <w:bCs w:val="0"/>
                <w:sz w:val="24"/>
                <w:szCs w:val="24"/>
              </w:rPr>
              <w:t>23</w:t>
            </w:r>
          </w:p>
        </w:tc>
        <w:tc>
          <w:tcPr>
            <w:tcW w:w="1808" w:type="dxa"/>
            <w:vAlign w:val="center"/>
          </w:tcPr>
          <w:p w14:paraId="0E5BC757">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val="0"/>
                <w:bCs w:val="0"/>
                <w:sz w:val="24"/>
                <w:szCs w:val="24"/>
              </w:rPr>
              <w:t>磋商响应文件的装订、数量</w:t>
            </w:r>
          </w:p>
        </w:tc>
        <w:tc>
          <w:tcPr>
            <w:tcW w:w="7300" w:type="dxa"/>
            <w:vAlign w:val="center"/>
          </w:tcPr>
          <w:p w14:paraId="0275EA87">
            <w:pPr>
              <w:pStyle w:val="25"/>
              <w:bidi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b w:val="0"/>
                <w:bCs w:val="0"/>
                <w:sz w:val="24"/>
                <w:szCs w:val="24"/>
              </w:rPr>
              <w:t>响应文件一套正本“响应文件”、二份副本“响应文件”、</w:t>
            </w: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份“电子版文件”（U 盘：Word 版）。响应文件封面应注明“正本”、“副本”，</w:t>
            </w:r>
            <w:r>
              <w:rPr>
                <w:rFonts w:hint="eastAsia" w:ascii="宋体" w:hAnsi="宋体" w:eastAsia="宋体" w:cs="宋体"/>
                <w:b w:val="0"/>
                <w:bCs w:val="0"/>
                <w:sz w:val="24"/>
                <w:szCs w:val="24"/>
                <w:lang w:eastAsia="zh-CN"/>
              </w:rPr>
              <w:t>电子版文件表面应标记单位名称，</w:t>
            </w:r>
            <w:r>
              <w:rPr>
                <w:rFonts w:hint="eastAsia" w:ascii="宋体" w:hAnsi="宋体" w:eastAsia="宋体" w:cs="宋体"/>
                <w:b w:val="0"/>
                <w:bCs w:val="0"/>
                <w:sz w:val="24"/>
                <w:szCs w:val="24"/>
              </w:rPr>
              <w:t>一旦正本与副本不符，以正本为主。响应文件应胶装成册。提倡双面打印。供应商的</w:t>
            </w:r>
            <w:r>
              <w:rPr>
                <w:rFonts w:hint="eastAsia" w:ascii="宋体" w:hAnsi="宋体" w:eastAsia="宋体" w:cs="宋体"/>
                <w:b w:val="0"/>
                <w:bCs w:val="0"/>
                <w:sz w:val="24"/>
                <w:szCs w:val="24"/>
                <w:lang w:eastAsia="zh-CN"/>
              </w:rPr>
              <w:t>响应文件</w:t>
            </w:r>
            <w:r>
              <w:rPr>
                <w:rFonts w:hint="eastAsia" w:ascii="宋体" w:hAnsi="宋体" w:eastAsia="宋体" w:cs="宋体"/>
                <w:b w:val="0"/>
                <w:bCs w:val="0"/>
                <w:sz w:val="24"/>
                <w:szCs w:val="24"/>
              </w:rPr>
              <w:t>不得漏页、插页。并保证</w:t>
            </w:r>
            <w:r>
              <w:rPr>
                <w:rFonts w:hint="eastAsia" w:ascii="宋体" w:hAnsi="宋体" w:eastAsia="宋体" w:cs="宋体"/>
                <w:b w:val="0"/>
                <w:bCs w:val="0"/>
                <w:sz w:val="24"/>
                <w:szCs w:val="24"/>
                <w:lang w:eastAsia="zh-CN"/>
              </w:rPr>
              <w:t>响应文件</w:t>
            </w:r>
            <w:r>
              <w:rPr>
                <w:rFonts w:hint="eastAsia" w:ascii="宋体" w:hAnsi="宋体" w:eastAsia="宋体" w:cs="宋体"/>
                <w:b w:val="0"/>
                <w:bCs w:val="0"/>
                <w:sz w:val="24"/>
                <w:szCs w:val="24"/>
              </w:rPr>
              <w:t>不至于散开或用简单办法不能将任何一页在没有任何损坏的情况下取出或插入，响应文件必须进行密封递交</w:t>
            </w:r>
            <w:r>
              <w:rPr>
                <w:rFonts w:hint="eastAsia" w:ascii="宋体" w:hAnsi="宋体" w:eastAsia="宋体" w:cs="宋体"/>
                <w:b w:val="0"/>
                <w:bCs w:val="0"/>
                <w:sz w:val="24"/>
                <w:szCs w:val="24"/>
                <w:lang w:eastAsia="zh-CN"/>
              </w:rPr>
              <w:t>。</w:t>
            </w:r>
          </w:p>
        </w:tc>
      </w:tr>
      <w:tr w14:paraId="65AA7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625BA993">
            <w:pPr>
              <w:pStyle w:val="25"/>
              <w:bidi w:val="0"/>
              <w:jc w:val="center"/>
              <w:rPr>
                <w:rFonts w:hint="eastAsia" w:ascii="宋体" w:hAnsi="宋体" w:eastAsia="宋体" w:cs="宋体"/>
                <w:b w:val="0"/>
                <w:bCs w:val="0"/>
                <w:sz w:val="24"/>
                <w:szCs w:val="24"/>
              </w:rPr>
            </w:pPr>
          </w:p>
          <w:p w14:paraId="7FFAF04E">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val="0"/>
                <w:bCs w:val="0"/>
                <w:sz w:val="24"/>
                <w:szCs w:val="24"/>
              </w:rPr>
              <w:t>24</w:t>
            </w:r>
          </w:p>
        </w:tc>
        <w:tc>
          <w:tcPr>
            <w:tcW w:w="1808" w:type="dxa"/>
            <w:vAlign w:val="center"/>
          </w:tcPr>
          <w:p w14:paraId="5751DB27">
            <w:pPr>
              <w:pStyle w:val="25"/>
              <w:bidi w:val="0"/>
              <w:jc w:val="center"/>
              <w:rPr>
                <w:rFonts w:hint="eastAsia" w:ascii="宋体" w:hAnsi="宋体" w:eastAsia="宋体" w:cs="宋体"/>
                <w:b w:val="0"/>
                <w:bCs w:val="0"/>
                <w:sz w:val="24"/>
                <w:szCs w:val="24"/>
              </w:rPr>
            </w:pPr>
          </w:p>
          <w:p w14:paraId="673D7696">
            <w:pPr>
              <w:pStyle w:val="25"/>
              <w:bidi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val="0"/>
                <w:bCs w:val="0"/>
                <w:sz w:val="24"/>
                <w:szCs w:val="24"/>
                <w:lang w:eastAsia="zh-CN"/>
              </w:rPr>
              <w:t>密</w:t>
            </w:r>
            <w:r>
              <w:rPr>
                <w:rFonts w:hint="eastAsia" w:ascii="宋体" w:hAnsi="宋体" w:eastAsia="宋体" w:cs="宋体"/>
                <w:b w:val="0"/>
                <w:bCs w:val="0"/>
                <w:sz w:val="24"/>
                <w:szCs w:val="24"/>
              </w:rPr>
              <w:t>封</w:t>
            </w:r>
            <w:r>
              <w:rPr>
                <w:rFonts w:hint="eastAsia" w:ascii="宋体" w:hAnsi="宋体" w:eastAsia="宋体" w:cs="宋体"/>
                <w:b w:val="0"/>
                <w:bCs w:val="0"/>
                <w:sz w:val="24"/>
                <w:szCs w:val="24"/>
                <w:lang w:eastAsia="zh-CN"/>
              </w:rPr>
              <w:t>袋</w:t>
            </w:r>
            <w:r>
              <w:rPr>
                <w:rFonts w:hint="eastAsia" w:ascii="宋体" w:hAnsi="宋体" w:eastAsia="宋体" w:cs="宋体"/>
                <w:b w:val="0"/>
                <w:bCs w:val="0"/>
                <w:sz w:val="24"/>
                <w:szCs w:val="24"/>
                <w:lang w:val="en-US" w:eastAsia="zh-CN"/>
              </w:rPr>
              <w:t>/箱</w:t>
            </w:r>
            <w:r>
              <w:rPr>
                <w:rFonts w:hint="eastAsia" w:ascii="宋体" w:hAnsi="宋体" w:eastAsia="宋体" w:cs="宋体"/>
                <w:b w:val="0"/>
                <w:bCs w:val="0"/>
                <w:sz w:val="24"/>
                <w:szCs w:val="24"/>
              </w:rPr>
              <w:t>上写明</w:t>
            </w:r>
          </w:p>
        </w:tc>
        <w:tc>
          <w:tcPr>
            <w:tcW w:w="7300" w:type="dxa"/>
            <w:vAlign w:val="center"/>
          </w:tcPr>
          <w:p w14:paraId="718B2EA7">
            <w:pPr>
              <w:pStyle w:val="25"/>
              <w:bidi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b w:val="0"/>
                <w:bCs w:val="0"/>
                <w:sz w:val="24"/>
                <w:szCs w:val="24"/>
              </w:rPr>
              <w:t>项目名称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项目编号</w:t>
            </w:r>
            <w:r>
              <w:rPr>
                <w:rFonts w:hint="eastAsia" w:ascii="宋体" w:hAnsi="宋体" w:eastAsia="宋体" w:cs="宋体"/>
                <w:b w:val="0"/>
                <w:bCs w:val="0"/>
                <w:sz w:val="24"/>
                <w:szCs w:val="24"/>
                <w:lang w:eastAsia="zh-CN"/>
              </w:rPr>
              <w:t>、响应文件（正本</w:t>
            </w:r>
            <w:r>
              <w:rPr>
                <w:rFonts w:hint="eastAsia" w:ascii="宋体" w:hAnsi="宋体" w:eastAsia="宋体" w:cs="宋体"/>
                <w:b w:val="0"/>
                <w:bCs w:val="0"/>
                <w:sz w:val="24"/>
                <w:szCs w:val="24"/>
                <w:lang w:val="en-US" w:eastAsia="zh-CN"/>
              </w:rPr>
              <w:t>及电子版文件/副本/</w:t>
            </w:r>
            <w:r>
              <w:rPr>
                <w:rFonts w:hint="eastAsia" w:ascii="宋体" w:hAnsi="宋体" w:eastAsia="宋体" w:cs="宋体"/>
                <w:b w:val="0"/>
                <w:bCs w:val="0"/>
                <w:sz w:val="24"/>
                <w:szCs w:val="24"/>
                <w:lang w:eastAsia="zh-CN"/>
              </w:rPr>
              <w:t>）及</w:t>
            </w:r>
            <w:r>
              <w:rPr>
                <w:rFonts w:hint="eastAsia" w:ascii="宋体" w:hAnsi="宋体" w:eastAsia="宋体" w:cs="宋体"/>
                <w:b w:val="0"/>
                <w:bCs w:val="0"/>
                <w:sz w:val="24"/>
                <w:szCs w:val="24"/>
              </w:rPr>
              <w:t>供应商名称</w:t>
            </w:r>
            <w:r>
              <w:rPr>
                <w:rFonts w:hint="eastAsia" w:ascii="宋体" w:hAnsi="宋体" w:eastAsia="宋体" w:cs="宋体"/>
                <w:b w:val="0"/>
                <w:bCs w:val="0"/>
                <w:sz w:val="24"/>
                <w:szCs w:val="24"/>
                <w:lang w:eastAsia="zh-CN"/>
              </w:rPr>
              <w:t>等内容</w:t>
            </w:r>
          </w:p>
        </w:tc>
      </w:tr>
      <w:tr w14:paraId="6148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1CF6DDB9">
            <w:pPr>
              <w:pStyle w:val="25"/>
              <w:bidi w:val="0"/>
              <w:ind w:left="0" w:leftChars="0" w:right="0" w:rightChars="0" w:firstLine="0"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25</w:t>
            </w:r>
          </w:p>
        </w:tc>
        <w:tc>
          <w:tcPr>
            <w:tcW w:w="1808" w:type="dxa"/>
            <w:vAlign w:val="center"/>
          </w:tcPr>
          <w:p w14:paraId="3705ECC1">
            <w:pPr>
              <w:pStyle w:val="25"/>
              <w:bidi w:val="0"/>
              <w:ind w:left="0" w:leftChars="0" w:right="0" w:rightChars="0" w:firstLine="0" w:firstLineChars="0"/>
              <w:rPr>
                <w:rFonts w:hint="eastAsia" w:ascii="宋体" w:hAnsi="宋体" w:eastAsia="宋体" w:cs="宋体"/>
                <w:b w:val="0"/>
                <w:bCs w:val="0"/>
                <w:sz w:val="24"/>
                <w:szCs w:val="24"/>
                <w:lang w:eastAsia="zh-CN"/>
              </w:rPr>
            </w:pPr>
            <w:r>
              <w:rPr>
                <w:rFonts w:hint="eastAsia" w:ascii="宋体" w:hAnsi="宋体" w:eastAsia="宋体" w:cs="宋体"/>
                <w:sz w:val="24"/>
                <w:szCs w:val="24"/>
              </w:rPr>
              <w:t>采购结果公告</w:t>
            </w:r>
          </w:p>
        </w:tc>
        <w:tc>
          <w:tcPr>
            <w:tcW w:w="7300" w:type="dxa"/>
            <w:vAlign w:val="center"/>
          </w:tcPr>
          <w:p w14:paraId="3CAF85CB">
            <w:pPr>
              <w:pStyle w:val="25"/>
              <w:bidi w:val="0"/>
              <w:ind w:left="0" w:leftChars="0" w:right="0" w:rightChars="0" w:firstLine="0" w:firstLineChars="0"/>
              <w:jc w:val="left"/>
              <w:rPr>
                <w:rFonts w:hint="eastAsia" w:ascii="宋体" w:hAnsi="宋体" w:eastAsia="宋体" w:cs="宋体"/>
                <w:b w:val="0"/>
                <w:bCs w:val="0"/>
                <w:sz w:val="24"/>
                <w:szCs w:val="24"/>
              </w:rPr>
            </w:pPr>
            <w:r>
              <w:rPr>
                <w:rFonts w:hint="eastAsia" w:ascii="宋体" w:hAnsi="宋体" w:eastAsia="宋体" w:cs="宋体"/>
                <w:sz w:val="24"/>
                <w:szCs w:val="24"/>
              </w:rPr>
              <w:t>公示期：1个工作日</w:t>
            </w:r>
          </w:p>
        </w:tc>
      </w:tr>
      <w:tr w14:paraId="40FC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54F8D245">
            <w:pPr>
              <w:pStyle w:val="25"/>
              <w:bidi w:val="0"/>
              <w:ind w:left="0" w:leftChars="0" w:right="0" w:rightChars="0" w:firstLine="0"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26</w:t>
            </w:r>
          </w:p>
        </w:tc>
        <w:tc>
          <w:tcPr>
            <w:tcW w:w="1808" w:type="dxa"/>
            <w:vAlign w:val="center"/>
          </w:tcPr>
          <w:p w14:paraId="29606C63">
            <w:pPr>
              <w:pStyle w:val="25"/>
              <w:bidi w:val="0"/>
              <w:ind w:left="0" w:leftChars="0" w:right="0" w:rightChars="0" w:firstLine="0" w:firstLineChars="0"/>
              <w:rPr>
                <w:rFonts w:hint="eastAsia" w:ascii="宋体" w:hAnsi="宋体" w:eastAsia="宋体" w:cs="宋体"/>
                <w:b w:val="0"/>
                <w:bCs w:val="0"/>
                <w:sz w:val="24"/>
                <w:szCs w:val="24"/>
                <w:lang w:eastAsia="zh-CN"/>
              </w:rPr>
            </w:pPr>
            <w:r>
              <w:rPr>
                <w:rFonts w:hint="eastAsia" w:ascii="宋体" w:hAnsi="宋体" w:eastAsia="宋体" w:cs="宋体"/>
                <w:sz w:val="24"/>
                <w:szCs w:val="24"/>
                <w:highlight w:val="none"/>
                <w:lang w:eastAsia="zh-CN"/>
              </w:rPr>
              <w:t>项目性质</w:t>
            </w:r>
            <w:r>
              <w:rPr>
                <w:rFonts w:hint="eastAsia" w:ascii="宋体" w:hAnsi="宋体" w:eastAsia="宋体" w:cs="宋体"/>
                <w:sz w:val="24"/>
                <w:szCs w:val="24"/>
                <w:highlight w:val="none"/>
                <w:lang w:val="en-US" w:eastAsia="zh-CN"/>
              </w:rPr>
              <w:t>及项目属性</w:t>
            </w:r>
          </w:p>
        </w:tc>
        <w:tc>
          <w:tcPr>
            <w:tcW w:w="7300" w:type="dxa"/>
            <w:vAlign w:val="center"/>
          </w:tcPr>
          <w:p w14:paraId="4A9E0B7D">
            <w:pPr>
              <w:pStyle w:val="25"/>
              <w:bidi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项目性质：专门面向中小企业</w:t>
            </w:r>
          </w:p>
          <w:p w14:paraId="1EEB564B">
            <w:pPr>
              <w:pStyle w:val="25"/>
              <w:bidi w:val="0"/>
              <w:ind w:left="0" w:leftChars="0" w:right="0" w:rightChars="0" w:firstLine="0" w:firstLineChars="0"/>
              <w:jc w:val="left"/>
              <w:rPr>
                <w:rFonts w:hint="eastAsia" w:ascii="宋体" w:hAnsi="宋体" w:eastAsia="宋体" w:cs="宋体"/>
                <w:b w:val="0"/>
                <w:bCs w:val="0"/>
                <w:sz w:val="24"/>
                <w:szCs w:val="24"/>
              </w:rPr>
            </w:pPr>
            <w:r>
              <w:rPr>
                <w:rFonts w:hint="eastAsia" w:ascii="宋体" w:hAnsi="宋体" w:eastAsia="宋体" w:cs="宋体"/>
                <w:sz w:val="24"/>
                <w:szCs w:val="24"/>
                <w:highlight w:val="none"/>
                <w:lang w:val="en-US" w:eastAsia="zh-CN"/>
              </w:rPr>
              <w:t>项目属性：工程类</w:t>
            </w:r>
          </w:p>
        </w:tc>
      </w:tr>
      <w:tr w14:paraId="541D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49465AFB">
            <w:pPr>
              <w:pStyle w:val="25"/>
              <w:bidi w:val="0"/>
              <w:ind w:left="0" w:leftChars="0" w:right="0" w:rightChars="0" w:firstLine="0"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27</w:t>
            </w:r>
          </w:p>
        </w:tc>
        <w:tc>
          <w:tcPr>
            <w:tcW w:w="1808" w:type="dxa"/>
            <w:vAlign w:val="center"/>
          </w:tcPr>
          <w:p w14:paraId="2F3D00C1">
            <w:pPr>
              <w:pStyle w:val="25"/>
              <w:bidi w:val="0"/>
              <w:ind w:left="0" w:leftChars="0" w:right="0" w:rightChars="0" w:firstLine="0" w:firstLineChars="0"/>
              <w:rPr>
                <w:rFonts w:hint="eastAsia" w:ascii="宋体" w:hAnsi="宋体" w:eastAsia="宋体" w:cs="宋体"/>
                <w:b w:val="0"/>
                <w:bCs w:val="0"/>
                <w:sz w:val="24"/>
                <w:szCs w:val="24"/>
                <w:lang w:eastAsia="zh-CN"/>
              </w:rPr>
            </w:pPr>
            <w:r>
              <w:rPr>
                <w:rFonts w:hint="eastAsia" w:ascii="宋体" w:hAnsi="宋体" w:eastAsia="宋体" w:cs="宋体"/>
                <w:sz w:val="24"/>
                <w:szCs w:val="24"/>
                <w:lang w:eastAsia="zh-CN"/>
              </w:rPr>
              <w:t>采购文件所属行业</w:t>
            </w:r>
          </w:p>
        </w:tc>
        <w:tc>
          <w:tcPr>
            <w:tcW w:w="7300" w:type="dxa"/>
            <w:vAlign w:val="center"/>
          </w:tcPr>
          <w:p w14:paraId="66872B6E">
            <w:pPr>
              <w:pStyle w:val="25"/>
              <w:bidi w:val="0"/>
              <w:ind w:left="0" w:leftChars="0" w:right="0" w:rightChars="0" w:firstLine="0" w:firstLineChars="0"/>
              <w:jc w:val="left"/>
              <w:rPr>
                <w:rFonts w:hint="eastAsia" w:ascii="宋体" w:hAnsi="宋体" w:eastAsia="宋体" w:cs="宋体"/>
                <w:b w:val="0"/>
                <w:bCs w:val="0"/>
                <w:sz w:val="24"/>
                <w:szCs w:val="24"/>
              </w:rPr>
            </w:pPr>
            <w:r>
              <w:rPr>
                <w:rFonts w:hint="eastAsia" w:ascii="宋体" w:hAnsi="宋体" w:eastAsia="宋体" w:cs="宋体"/>
                <w:sz w:val="24"/>
                <w:szCs w:val="24"/>
                <w:lang w:val="en-US" w:eastAsia="zh-CN"/>
              </w:rPr>
              <w:t>根据《政府采购促进中小企业发展管理办法》（财库〔2020〕46号）规定和《中小企业划型标准规定》（工信部联企业〔2011〕300号）规定本项目所属行业为</w:t>
            </w:r>
            <w:r>
              <w:rPr>
                <w:rFonts w:hint="eastAsia" w:ascii="宋体" w:hAnsi="宋体" w:eastAsia="宋体" w:cs="宋体"/>
                <w:sz w:val="24"/>
                <w:szCs w:val="24"/>
                <w:u w:val="single"/>
                <w:lang w:val="en-US" w:eastAsia="zh-CN"/>
              </w:rPr>
              <w:t>建筑业</w:t>
            </w:r>
            <w:r>
              <w:rPr>
                <w:rFonts w:hint="eastAsia" w:ascii="宋体" w:hAnsi="宋体" w:eastAsia="宋体" w:cs="宋体"/>
                <w:sz w:val="24"/>
                <w:szCs w:val="24"/>
                <w:lang w:val="en-US" w:eastAsia="zh-CN"/>
              </w:rPr>
              <w:t>。</w:t>
            </w:r>
          </w:p>
        </w:tc>
      </w:tr>
      <w:tr w14:paraId="5C8F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257D2326">
            <w:pPr>
              <w:pStyle w:val="25"/>
              <w:bidi w:val="0"/>
              <w:ind w:left="0" w:leftChars="0" w:right="0" w:rightChars="0" w:firstLine="0"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28</w:t>
            </w:r>
          </w:p>
        </w:tc>
        <w:tc>
          <w:tcPr>
            <w:tcW w:w="1808" w:type="dxa"/>
            <w:vAlign w:val="center"/>
          </w:tcPr>
          <w:p w14:paraId="06E3C32C">
            <w:pPr>
              <w:pStyle w:val="25"/>
              <w:bidi w:val="0"/>
              <w:ind w:left="0" w:leftChars="0" w:right="0" w:rightChars="0" w:firstLine="0" w:firstLineChars="0"/>
              <w:rPr>
                <w:rFonts w:hint="eastAsia" w:ascii="宋体" w:hAnsi="宋体" w:eastAsia="宋体" w:cs="宋体"/>
                <w:b w:val="0"/>
                <w:bCs w:val="0"/>
                <w:sz w:val="24"/>
                <w:szCs w:val="24"/>
                <w:lang w:eastAsia="zh-CN"/>
              </w:rPr>
            </w:pPr>
            <w:r>
              <w:rPr>
                <w:rFonts w:hint="eastAsia" w:ascii="宋体" w:hAnsi="宋体" w:eastAsia="宋体" w:cs="宋体"/>
                <w:sz w:val="24"/>
                <w:szCs w:val="24"/>
              </w:rPr>
              <w:t>政府采购信用融资平台</w:t>
            </w:r>
          </w:p>
        </w:tc>
        <w:tc>
          <w:tcPr>
            <w:tcW w:w="7300" w:type="dxa"/>
            <w:vAlign w:val="center"/>
          </w:tcPr>
          <w:p w14:paraId="0E0D5B78">
            <w:pPr>
              <w:pStyle w:val="25"/>
              <w:bidi w:val="0"/>
              <w:jc w:val="left"/>
              <w:rPr>
                <w:rFonts w:hint="eastAsia" w:ascii="宋体" w:hAnsi="宋体" w:eastAsia="宋体" w:cs="宋体"/>
                <w:sz w:val="24"/>
                <w:szCs w:val="24"/>
              </w:rPr>
            </w:pPr>
            <w:r>
              <w:rPr>
                <w:rFonts w:hint="eastAsia" w:ascii="宋体" w:hAnsi="宋体" w:eastAsia="宋体" w:cs="宋体"/>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06739A08">
            <w:pPr>
              <w:pStyle w:val="25"/>
              <w:bidi w:val="0"/>
              <w:jc w:val="left"/>
              <w:rPr>
                <w:rFonts w:hint="eastAsia" w:ascii="宋体" w:hAnsi="宋体" w:eastAsia="宋体" w:cs="宋体"/>
                <w:sz w:val="24"/>
                <w:szCs w:val="24"/>
              </w:rPr>
            </w:pPr>
            <w:r>
              <w:rPr>
                <w:rFonts w:hint="eastAsia" w:ascii="宋体" w:hAnsi="宋体" w:eastAsia="宋体" w:cs="宋体"/>
                <w:sz w:val="24"/>
                <w:szCs w:val="24"/>
              </w:rPr>
              <w:t>(http://www.ccgp-shaanxi.gov.cn/zcdservice/zcd/shan xi/）在线申请，依法参加政府采购信用融资活动。</w:t>
            </w:r>
          </w:p>
          <w:p w14:paraId="4FDDC1DB">
            <w:pPr>
              <w:pStyle w:val="25"/>
              <w:bidi w:val="0"/>
              <w:ind w:left="0" w:leftChars="0" w:right="0" w:rightChars="0" w:firstLine="0" w:firstLineChars="0"/>
              <w:jc w:val="left"/>
              <w:rPr>
                <w:rFonts w:hint="eastAsia" w:ascii="宋体" w:hAnsi="宋体" w:eastAsia="宋体" w:cs="宋体"/>
                <w:b w:val="0"/>
                <w:bCs w:val="0"/>
                <w:sz w:val="24"/>
                <w:szCs w:val="24"/>
              </w:rPr>
            </w:pPr>
            <w:r>
              <w:rPr>
                <w:rFonts w:hint="eastAsia" w:ascii="宋体" w:hAnsi="宋体" w:eastAsia="宋体" w:cs="宋体"/>
                <w:sz w:val="24"/>
                <w:szCs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4ED82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vAlign w:val="center"/>
          </w:tcPr>
          <w:p w14:paraId="69CC0C65">
            <w:pPr>
              <w:pStyle w:val="25"/>
              <w:bidi w:val="0"/>
              <w:ind w:left="0" w:leftChars="0" w:right="0" w:rightChars="0" w:firstLine="0"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29</w:t>
            </w:r>
          </w:p>
        </w:tc>
        <w:tc>
          <w:tcPr>
            <w:tcW w:w="1808" w:type="dxa"/>
            <w:vAlign w:val="center"/>
          </w:tcPr>
          <w:p w14:paraId="4969921E">
            <w:pPr>
              <w:pStyle w:val="25"/>
              <w:bidi w:val="0"/>
              <w:ind w:left="0" w:leftChars="0" w:right="0" w:rightChars="0" w:firstLine="0" w:firstLineChars="0"/>
              <w:rPr>
                <w:rFonts w:hint="eastAsia" w:ascii="宋体" w:hAnsi="宋体" w:eastAsia="宋体" w:cs="宋体"/>
                <w:b w:val="0"/>
                <w:bCs w:val="0"/>
                <w:sz w:val="24"/>
                <w:szCs w:val="24"/>
                <w:lang w:eastAsia="zh-CN"/>
              </w:rPr>
            </w:pPr>
            <w:r>
              <w:rPr>
                <w:rFonts w:hint="eastAsia" w:ascii="宋体" w:hAnsi="宋体" w:eastAsia="宋体" w:cs="宋体"/>
                <w:sz w:val="24"/>
                <w:szCs w:val="24"/>
              </w:rPr>
              <w:t>优化营商环境</w:t>
            </w:r>
          </w:p>
        </w:tc>
        <w:tc>
          <w:tcPr>
            <w:tcW w:w="7300" w:type="dxa"/>
            <w:vAlign w:val="center"/>
          </w:tcPr>
          <w:p w14:paraId="15E974A1">
            <w:pPr>
              <w:pStyle w:val="25"/>
              <w:bidi w:val="0"/>
              <w:ind w:left="0" w:leftChars="0" w:right="0" w:rightChars="0" w:firstLine="0" w:firstLineChars="0"/>
              <w:jc w:val="left"/>
              <w:rPr>
                <w:rFonts w:hint="eastAsia" w:ascii="宋体" w:hAnsi="宋体" w:eastAsia="宋体" w:cs="宋体"/>
                <w:b w:val="0"/>
                <w:bCs w:val="0"/>
                <w:sz w:val="24"/>
                <w:szCs w:val="24"/>
              </w:rPr>
            </w:pPr>
            <w:r>
              <w:rPr>
                <w:rFonts w:hint="eastAsia" w:ascii="宋体" w:hAnsi="宋体" w:eastAsia="宋体" w:cs="宋体"/>
                <w:sz w:val="24"/>
                <w:szCs w:val="24"/>
              </w:rPr>
              <w:t>按照《西安市财政局关于促进政府采购公平竞争优化营商环境的通知》（市财函〔2021〕431号）规定：供应商登记免费领取采购文件的，如不参与项目</w:t>
            </w:r>
            <w:r>
              <w:rPr>
                <w:rFonts w:hint="eastAsia" w:ascii="宋体" w:hAnsi="宋体" w:eastAsia="宋体" w:cs="宋体"/>
                <w:sz w:val="24"/>
                <w:szCs w:val="24"/>
                <w:lang w:eastAsia="zh-CN"/>
              </w:rPr>
              <w:t>磋商</w:t>
            </w:r>
            <w:r>
              <w:rPr>
                <w:rFonts w:hint="eastAsia" w:ascii="宋体" w:hAnsi="宋体" w:eastAsia="宋体" w:cs="宋体"/>
                <w:sz w:val="24"/>
                <w:szCs w:val="24"/>
              </w:rPr>
              <w:t>，应在递交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截止时间前一日以书面形式告知釆购代理机构。否则，采购代理机构可以向财政部门反映情况并提供相应的佐证。供应商一年内累计出现三次该情形，将被监管部门记录为失信行为。</w:t>
            </w:r>
          </w:p>
        </w:tc>
      </w:tr>
      <w:tr w14:paraId="724EE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50" w:type="dxa"/>
            <w:gridSpan w:val="3"/>
            <w:vAlign w:val="center"/>
          </w:tcPr>
          <w:p w14:paraId="24F0607E">
            <w:pPr>
              <w:pStyle w:val="25"/>
              <w:bidi w:val="0"/>
              <w:ind w:left="0" w:leftChars="0" w:right="0" w:rightChars="0" w:firstLine="0" w:firstLineChars="0"/>
              <w:jc w:val="left"/>
              <w:rPr>
                <w:rFonts w:hint="eastAsia" w:ascii="宋体" w:hAnsi="宋体" w:eastAsia="宋体" w:cs="宋体"/>
                <w:b w:val="0"/>
                <w:bCs w:val="0"/>
                <w:sz w:val="24"/>
                <w:szCs w:val="24"/>
              </w:rPr>
            </w:pPr>
            <w:r>
              <w:rPr>
                <w:rFonts w:hint="eastAsia" w:ascii="宋体" w:hAnsi="宋体" w:eastAsia="宋体" w:cs="宋体"/>
                <w:sz w:val="24"/>
                <w:szCs w:val="24"/>
              </w:rPr>
              <w:t>需要补充的其他内容</w:t>
            </w:r>
          </w:p>
        </w:tc>
      </w:tr>
      <w:tr w14:paraId="2239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2" w:type="dxa"/>
            <w:shd w:val="clear" w:color="auto" w:fill="auto"/>
            <w:vAlign w:val="center"/>
          </w:tcPr>
          <w:p w14:paraId="05A53C27">
            <w:pPr>
              <w:pStyle w:val="25"/>
              <w:bidi w:val="0"/>
              <w:ind w:left="0" w:leftChars="0" w:right="0" w:rightChars="0" w:firstLine="0" w:firstLineChars="0"/>
              <w:rPr>
                <w:rFonts w:hint="eastAsia" w:ascii="宋体" w:hAnsi="宋体" w:eastAsia="宋体" w:cs="宋体"/>
                <w:color w:val="auto"/>
                <w:sz w:val="24"/>
                <w:szCs w:val="24"/>
                <w:shd w:val="clear" w:fill="FFFFFF"/>
                <w:lang w:val="en-US" w:eastAsia="zh-CN" w:bidi="zh-CN"/>
              </w:rPr>
            </w:pPr>
            <w:r>
              <w:rPr>
                <w:rFonts w:hint="eastAsia" w:ascii="宋体" w:hAnsi="宋体" w:eastAsia="宋体" w:cs="宋体"/>
                <w:sz w:val="24"/>
                <w:szCs w:val="24"/>
                <w:lang w:val="en-US" w:eastAsia="zh-CN"/>
              </w:rPr>
              <w:t>1</w:t>
            </w:r>
          </w:p>
        </w:tc>
        <w:tc>
          <w:tcPr>
            <w:tcW w:w="1808" w:type="dxa"/>
            <w:shd w:val="clear" w:color="auto" w:fill="auto"/>
            <w:vAlign w:val="center"/>
          </w:tcPr>
          <w:p w14:paraId="56BC8106">
            <w:pPr>
              <w:pStyle w:val="25"/>
              <w:bidi w:val="0"/>
              <w:ind w:left="0" w:leftChars="0" w:right="0" w:rightChars="0" w:firstLine="0" w:firstLineChars="0"/>
              <w:rPr>
                <w:rFonts w:hint="eastAsia" w:ascii="宋体" w:hAnsi="宋体" w:eastAsia="宋体" w:cs="宋体"/>
                <w:color w:val="auto"/>
                <w:sz w:val="24"/>
                <w:szCs w:val="24"/>
                <w:shd w:val="clear" w:fill="FFFFFF"/>
                <w:lang w:val="zh-CN" w:eastAsia="zh-CN" w:bidi="zh-CN"/>
              </w:rPr>
            </w:pPr>
            <w:r>
              <w:rPr>
                <w:rFonts w:hint="eastAsia" w:ascii="宋体" w:hAnsi="宋体" w:eastAsia="宋体" w:cs="宋体"/>
                <w:sz w:val="24"/>
                <w:szCs w:val="24"/>
                <w:lang w:val="en-US" w:eastAsia="zh-CN"/>
              </w:rPr>
              <w:t>特殊情况处理</w:t>
            </w:r>
          </w:p>
        </w:tc>
        <w:tc>
          <w:tcPr>
            <w:tcW w:w="7300" w:type="dxa"/>
            <w:shd w:val="clear" w:color="auto" w:fill="auto"/>
            <w:vAlign w:val="center"/>
          </w:tcPr>
          <w:p w14:paraId="6DC334F3">
            <w:pPr>
              <w:pStyle w:val="25"/>
              <w:bidi w:val="0"/>
              <w:ind w:left="0" w:leftChars="0" w:right="0" w:rightChars="0" w:firstLine="0" w:firstLineChars="0"/>
              <w:jc w:val="both"/>
              <w:rPr>
                <w:rFonts w:hint="eastAsia" w:ascii="宋体" w:hAnsi="宋体" w:eastAsia="宋体" w:cs="宋体"/>
                <w:color w:val="auto"/>
                <w:sz w:val="24"/>
                <w:szCs w:val="24"/>
                <w:shd w:val="clear" w:fill="FFFFFF"/>
                <w:lang w:val="en-US" w:eastAsia="zh-CN" w:bidi="zh-CN"/>
              </w:rPr>
            </w:pPr>
            <w:r>
              <w:rPr>
                <w:rFonts w:hint="eastAsia" w:ascii="宋体" w:hAnsi="宋体" w:eastAsia="宋体" w:cs="宋体"/>
                <w:sz w:val="24"/>
                <w:szCs w:val="24"/>
                <w:lang w:val="en-US" w:eastAsia="zh-CN"/>
              </w:rPr>
              <w:t>当有效供应商不足3家时，按相关法律及规定执行。</w:t>
            </w:r>
          </w:p>
        </w:tc>
      </w:tr>
      <w:tr w14:paraId="3BBF1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50" w:type="dxa"/>
            <w:gridSpan w:val="3"/>
            <w:shd w:val="clear" w:color="auto" w:fill="auto"/>
            <w:vAlign w:val="center"/>
          </w:tcPr>
          <w:p w14:paraId="60DB3B29">
            <w:pPr>
              <w:pStyle w:val="25"/>
              <w:bidi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本磋商文件的解释权归采购人所有。</w:t>
            </w:r>
          </w:p>
        </w:tc>
      </w:tr>
    </w:tbl>
    <w:p w14:paraId="47A1DD54">
      <w:pPr>
        <w:pStyle w:val="25"/>
        <w:bidi w:val="0"/>
        <w:rPr>
          <w:rFonts w:hint="eastAsia" w:ascii="宋体" w:hAnsi="宋体" w:eastAsia="宋体" w:cs="宋体"/>
        </w:rPr>
      </w:pPr>
    </w:p>
    <w:p w14:paraId="2EC32358">
      <w:pPr>
        <w:pStyle w:val="25"/>
        <w:bidi w:val="0"/>
        <w:rPr>
          <w:rFonts w:hint="eastAsia" w:ascii="宋体" w:hAnsi="宋体" w:eastAsia="宋体" w:cs="宋体"/>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84EDD22">
      <w:pPr>
        <w:pStyle w:val="3"/>
        <w:bidi w:val="0"/>
        <w:rPr>
          <w:rFonts w:hint="eastAsia" w:ascii="宋体" w:hAnsi="宋体" w:eastAsia="宋体" w:cs="宋体"/>
        </w:rPr>
      </w:pPr>
      <w:bookmarkStart w:id="24" w:name="_bookmark2"/>
      <w:bookmarkEnd w:id="24"/>
      <w:bookmarkStart w:id="25" w:name="第三部分  磋商须知"/>
      <w:bookmarkEnd w:id="25"/>
      <w:bookmarkStart w:id="26" w:name="A 总则"/>
      <w:bookmarkEnd w:id="26"/>
      <w:bookmarkStart w:id="27" w:name="_Toc15795"/>
      <w:bookmarkStart w:id="28" w:name="_Toc12581"/>
      <w:bookmarkStart w:id="29" w:name="_Toc15918"/>
      <w:bookmarkStart w:id="30" w:name="_Toc461"/>
      <w:bookmarkStart w:id="31" w:name="_Toc16242"/>
      <w:r>
        <w:rPr>
          <w:rFonts w:hint="eastAsia" w:ascii="宋体" w:hAnsi="宋体" w:eastAsia="宋体" w:cs="宋体"/>
          <w:lang w:eastAsia="zh-CN"/>
        </w:rPr>
        <w:t>一、</w:t>
      </w:r>
      <w:r>
        <w:rPr>
          <w:rFonts w:hint="eastAsia" w:ascii="宋体" w:hAnsi="宋体" w:eastAsia="宋体" w:cs="宋体"/>
        </w:rPr>
        <w:t>总则</w:t>
      </w:r>
      <w:bookmarkEnd w:id="27"/>
      <w:bookmarkEnd w:id="28"/>
      <w:bookmarkEnd w:id="29"/>
      <w:bookmarkEnd w:id="30"/>
      <w:bookmarkEnd w:id="31"/>
    </w:p>
    <w:p w14:paraId="77340D11">
      <w:pPr>
        <w:pStyle w:val="4"/>
        <w:bidi w:val="0"/>
        <w:rPr>
          <w:rFonts w:hint="eastAsia" w:ascii="宋体" w:hAnsi="宋体" w:eastAsia="宋体" w:cs="宋体"/>
        </w:rPr>
      </w:pPr>
      <w:bookmarkStart w:id="32" w:name="1. 适用范围"/>
      <w:bookmarkEnd w:id="32"/>
      <w:bookmarkStart w:id="33" w:name="1. 适用范围"/>
      <w:bookmarkEnd w:id="33"/>
      <w:bookmarkStart w:id="34" w:name="_Toc5056"/>
      <w:bookmarkStart w:id="35" w:name="_Toc22842"/>
      <w:bookmarkStart w:id="36" w:name="_Toc7836"/>
      <w:bookmarkStart w:id="37" w:name="_Toc8869"/>
      <w:r>
        <w:rPr>
          <w:rFonts w:hint="eastAsia" w:ascii="宋体" w:hAnsi="宋体" w:eastAsia="宋体" w:cs="宋体"/>
          <w:b/>
          <w:bCs/>
          <w:spacing w:val="0"/>
          <w:w w:val="99"/>
          <w:sz w:val="24"/>
          <w:szCs w:val="24"/>
          <w:lang w:val="zh-CN" w:eastAsia="zh-CN" w:bidi="zh-CN"/>
        </w:rPr>
        <w:t>1.</w:t>
      </w:r>
      <w:r>
        <w:rPr>
          <w:rFonts w:hint="eastAsia" w:ascii="宋体" w:hAnsi="宋体" w:eastAsia="宋体" w:cs="宋体"/>
        </w:rPr>
        <w:t>适用范围</w:t>
      </w:r>
      <w:bookmarkEnd w:id="34"/>
      <w:bookmarkEnd w:id="35"/>
      <w:bookmarkEnd w:id="36"/>
      <w:bookmarkEnd w:id="37"/>
    </w:p>
    <w:p w14:paraId="27EE2686">
      <w:pPr>
        <w:pStyle w:val="23"/>
        <w:keepNext w:val="0"/>
        <w:keepLines w:val="0"/>
        <w:pageBreakBefore w:val="0"/>
        <w:widowControl w:val="0"/>
        <w:numPr>
          <w:ilvl w:val="1"/>
          <w:numId w:val="0"/>
        </w:numPr>
        <w:tabs>
          <w:tab w:val="left" w:pos="8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1.1</w:t>
      </w:r>
      <w:r>
        <w:rPr>
          <w:rFonts w:hint="eastAsia" w:ascii="宋体" w:hAnsi="宋体" w:eastAsia="宋体" w:cs="宋体"/>
          <w:sz w:val="24"/>
        </w:rPr>
        <w:t>本磋商文件仅适用于本磋商公告中所叙述项目的</w:t>
      </w:r>
      <w:r>
        <w:rPr>
          <w:rFonts w:hint="eastAsia" w:ascii="宋体" w:hAnsi="宋体" w:eastAsia="宋体" w:cs="宋体"/>
          <w:sz w:val="24"/>
          <w:lang w:val="en-US" w:eastAsia="zh-CN"/>
        </w:rPr>
        <w:t>施工项目</w:t>
      </w:r>
      <w:r>
        <w:rPr>
          <w:rFonts w:hint="eastAsia" w:ascii="宋体" w:hAnsi="宋体" w:eastAsia="宋体" w:cs="宋体"/>
          <w:sz w:val="24"/>
        </w:rPr>
        <w:t>采购。</w:t>
      </w:r>
    </w:p>
    <w:p w14:paraId="08B43F77">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1.2</w:t>
      </w:r>
      <w:r>
        <w:rPr>
          <w:rFonts w:hint="eastAsia" w:ascii="宋体" w:hAnsi="宋体" w:eastAsia="宋体" w:cs="宋体"/>
          <w:spacing w:val="-7"/>
          <w:sz w:val="24"/>
        </w:rPr>
        <w:t>本次采购属政府采购，采购人、采购代理机构、供应商、磋商小组的相关行为</w:t>
      </w:r>
      <w:r>
        <w:rPr>
          <w:rFonts w:hint="eastAsia" w:ascii="宋体" w:hAnsi="宋体" w:eastAsia="宋体" w:cs="宋体"/>
          <w:sz w:val="24"/>
        </w:rPr>
        <w:t>均受《中华人民共和国政府采购法》、《政府采购竞争性磋商采购方式管理暂行办法》、财政部规章及政府采购项目所在地有关法规、规章的约束，其权利受到上述法律法规的保护。</w:t>
      </w:r>
    </w:p>
    <w:p w14:paraId="02A77CE2">
      <w:pPr>
        <w:pStyle w:val="4"/>
        <w:bidi w:val="0"/>
        <w:rPr>
          <w:rFonts w:hint="eastAsia" w:ascii="宋体" w:hAnsi="宋体" w:eastAsia="宋体" w:cs="宋体"/>
        </w:rPr>
      </w:pPr>
      <w:bookmarkStart w:id="38" w:name="2. 定义 "/>
      <w:bookmarkEnd w:id="38"/>
      <w:bookmarkStart w:id="39" w:name="2. 定义 "/>
      <w:bookmarkEnd w:id="39"/>
      <w:bookmarkStart w:id="40" w:name="_Toc25749"/>
      <w:bookmarkStart w:id="41" w:name="_Toc31738"/>
      <w:bookmarkStart w:id="42" w:name="_Toc3158"/>
      <w:bookmarkStart w:id="43" w:name="_Toc5585"/>
      <w:r>
        <w:rPr>
          <w:rFonts w:hint="eastAsia" w:ascii="宋体" w:hAnsi="宋体" w:eastAsia="宋体" w:cs="宋体"/>
          <w:b/>
          <w:bCs/>
          <w:spacing w:val="0"/>
          <w:w w:val="99"/>
          <w:sz w:val="24"/>
          <w:szCs w:val="24"/>
          <w:lang w:val="zh-CN" w:eastAsia="zh-CN" w:bidi="zh-CN"/>
        </w:rPr>
        <w:t>2.</w:t>
      </w:r>
      <w:r>
        <w:rPr>
          <w:rFonts w:hint="eastAsia" w:ascii="宋体" w:hAnsi="宋体" w:eastAsia="宋体" w:cs="宋体"/>
        </w:rPr>
        <w:t>定义</w:t>
      </w:r>
      <w:bookmarkEnd w:id="40"/>
      <w:bookmarkEnd w:id="41"/>
      <w:bookmarkEnd w:id="42"/>
      <w:bookmarkEnd w:id="43"/>
    </w:p>
    <w:p w14:paraId="126A67C3">
      <w:pPr>
        <w:pStyle w:val="23"/>
        <w:keepNext w:val="0"/>
        <w:keepLines w:val="0"/>
        <w:pageBreakBefore w:val="0"/>
        <w:widowControl w:val="0"/>
        <w:numPr>
          <w:ilvl w:val="1"/>
          <w:numId w:val="0"/>
        </w:numPr>
        <w:tabs>
          <w:tab w:val="left" w:pos="8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2.1</w:t>
      </w:r>
      <w:r>
        <w:rPr>
          <w:rFonts w:hint="eastAsia" w:ascii="宋体" w:hAnsi="宋体" w:eastAsia="宋体" w:cs="宋体"/>
          <w:sz w:val="24"/>
        </w:rPr>
        <w:t>“采购人”系指</w:t>
      </w:r>
      <w:r>
        <w:rPr>
          <w:rFonts w:hint="eastAsia" w:ascii="宋体" w:hAnsi="宋体" w:eastAsia="宋体" w:cs="宋体"/>
          <w:sz w:val="24"/>
          <w:lang w:eastAsia="zh-CN"/>
        </w:rPr>
        <w:t>西安市临潼区仁宗街道办事处</w:t>
      </w:r>
      <w:r>
        <w:rPr>
          <w:rFonts w:hint="eastAsia" w:ascii="宋体" w:hAnsi="宋体" w:eastAsia="宋体" w:cs="宋体"/>
          <w:sz w:val="24"/>
        </w:rPr>
        <w:t>。</w:t>
      </w:r>
    </w:p>
    <w:p w14:paraId="3711B7C9">
      <w:pPr>
        <w:pStyle w:val="23"/>
        <w:keepNext w:val="0"/>
        <w:keepLines w:val="0"/>
        <w:pageBreakBefore w:val="0"/>
        <w:widowControl w:val="0"/>
        <w:numPr>
          <w:ilvl w:val="1"/>
          <w:numId w:val="0"/>
        </w:numPr>
        <w:tabs>
          <w:tab w:val="left" w:pos="71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2.2</w:t>
      </w:r>
      <w:r>
        <w:rPr>
          <w:rFonts w:hint="eastAsia" w:ascii="宋体" w:hAnsi="宋体" w:eastAsia="宋体" w:cs="宋体"/>
          <w:sz w:val="24"/>
        </w:rPr>
        <w:t>“采购代理机构”系指</w:t>
      </w:r>
      <w:r>
        <w:rPr>
          <w:rFonts w:hint="eastAsia" w:ascii="宋体" w:hAnsi="宋体" w:eastAsia="宋体" w:cs="宋体"/>
          <w:sz w:val="24"/>
          <w:lang w:eastAsia="zh-CN"/>
        </w:rPr>
        <w:t>中昕国际项目管理有限公司</w:t>
      </w:r>
      <w:r>
        <w:rPr>
          <w:rFonts w:hint="eastAsia" w:ascii="宋体" w:hAnsi="宋体" w:eastAsia="宋体" w:cs="宋体"/>
          <w:sz w:val="24"/>
        </w:rPr>
        <w:t>。</w:t>
      </w:r>
    </w:p>
    <w:p w14:paraId="5D995770">
      <w:pPr>
        <w:pStyle w:val="23"/>
        <w:keepNext w:val="0"/>
        <w:keepLines w:val="0"/>
        <w:pageBreakBefore w:val="0"/>
        <w:widowControl w:val="0"/>
        <w:numPr>
          <w:ilvl w:val="1"/>
          <w:numId w:val="0"/>
        </w:numPr>
        <w:tabs>
          <w:tab w:val="left" w:pos="8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2.3</w:t>
      </w:r>
      <w:r>
        <w:rPr>
          <w:rFonts w:hint="eastAsia" w:ascii="宋体" w:hAnsi="宋体" w:eastAsia="宋体" w:cs="宋体"/>
          <w:sz w:val="24"/>
        </w:rPr>
        <w:t>“供应商”系指响应采购人要求提交响应文件的响应单位。</w:t>
      </w:r>
    </w:p>
    <w:p w14:paraId="158E4E0A">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w:t>
      </w:r>
      <w:r>
        <w:rPr>
          <w:rFonts w:hint="eastAsia" w:ascii="宋体" w:hAnsi="宋体" w:eastAsia="宋体" w:cs="宋体"/>
          <w:sz w:val="24"/>
        </w:rPr>
        <w:t>“服务”系指磋商文件规定供应商须承担的技术支持以及为提供服务所必需的义务。</w:t>
      </w:r>
    </w:p>
    <w:p w14:paraId="68AEE605">
      <w:pPr>
        <w:pStyle w:val="4"/>
        <w:bidi w:val="0"/>
        <w:rPr>
          <w:rFonts w:hint="eastAsia" w:ascii="宋体" w:hAnsi="宋体" w:eastAsia="宋体" w:cs="宋体"/>
        </w:rPr>
      </w:pPr>
      <w:bookmarkStart w:id="44" w:name="3. 合格的供应商"/>
      <w:bookmarkEnd w:id="44"/>
      <w:bookmarkStart w:id="45" w:name="3. 合格的供应商"/>
      <w:bookmarkEnd w:id="45"/>
      <w:bookmarkStart w:id="46" w:name="_Toc18915"/>
      <w:bookmarkStart w:id="47" w:name="_Toc7445"/>
      <w:bookmarkStart w:id="48" w:name="_Toc9840"/>
      <w:bookmarkStart w:id="49" w:name="_Toc8382"/>
      <w:r>
        <w:rPr>
          <w:rFonts w:hint="eastAsia" w:ascii="宋体" w:hAnsi="宋体" w:eastAsia="宋体" w:cs="宋体"/>
          <w:b/>
          <w:bCs/>
          <w:spacing w:val="0"/>
          <w:w w:val="99"/>
          <w:sz w:val="24"/>
          <w:szCs w:val="24"/>
          <w:lang w:val="zh-CN" w:eastAsia="zh-CN" w:bidi="zh-CN"/>
        </w:rPr>
        <w:t>3.</w:t>
      </w:r>
      <w:r>
        <w:rPr>
          <w:rFonts w:hint="eastAsia" w:ascii="宋体" w:hAnsi="宋体" w:eastAsia="宋体" w:cs="宋体"/>
        </w:rPr>
        <w:t>合格的供应商</w:t>
      </w:r>
      <w:bookmarkEnd w:id="46"/>
      <w:bookmarkEnd w:id="47"/>
      <w:bookmarkEnd w:id="48"/>
      <w:bookmarkEnd w:id="49"/>
    </w:p>
    <w:p w14:paraId="0C558BC5">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3.1</w:t>
      </w:r>
      <w:r>
        <w:rPr>
          <w:rFonts w:hint="eastAsia" w:ascii="宋体" w:hAnsi="宋体" w:eastAsia="宋体" w:cs="宋体"/>
          <w:sz w:val="24"/>
        </w:rPr>
        <w:t>凡符合供应商资格要求且有能力提供采购服务的供应商均可参加磋商采购活动。</w:t>
      </w:r>
    </w:p>
    <w:p w14:paraId="7618C9CE">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3.2</w:t>
      </w:r>
      <w:r>
        <w:rPr>
          <w:rFonts w:hint="eastAsia" w:ascii="宋体" w:hAnsi="宋体" w:eastAsia="宋体" w:cs="宋体"/>
          <w:sz w:val="24"/>
        </w:rPr>
        <w:t>供应商必须在磋商公告载明的地点领取磋商文件并登记备案，未经领取磋商文件并登记备案的潜在供应商均无资格参加本次磋商采购活动。</w:t>
      </w:r>
    </w:p>
    <w:p w14:paraId="65534759">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3.3</w:t>
      </w:r>
      <w:r>
        <w:rPr>
          <w:rFonts w:hint="eastAsia" w:ascii="宋体" w:hAnsi="宋体" w:eastAsia="宋体" w:cs="宋体"/>
          <w:sz w:val="24"/>
        </w:rPr>
        <w:t>供应商应遵守《中华人民共和国政府采购法》、《政府采购竞争性磋商采购方式管理暂行办法》及其它有关的法律和法规。</w:t>
      </w:r>
    </w:p>
    <w:p w14:paraId="4A4278EE">
      <w:pPr>
        <w:pStyle w:val="4"/>
        <w:bidi w:val="0"/>
        <w:rPr>
          <w:rFonts w:hint="eastAsia" w:ascii="宋体" w:hAnsi="宋体" w:eastAsia="宋体" w:cs="宋体"/>
        </w:rPr>
      </w:pPr>
      <w:bookmarkStart w:id="50" w:name="4．合格的服务"/>
      <w:bookmarkEnd w:id="50"/>
      <w:bookmarkStart w:id="51" w:name="4．合格的服务"/>
      <w:bookmarkEnd w:id="51"/>
      <w:bookmarkStart w:id="52" w:name="_Toc25555"/>
      <w:bookmarkStart w:id="53" w:name="_Toc6369"/>
      <w:bookmarkStart w:id="54" w:name="_Toc10618"/>
      <w:bookmarkStart w:id="55" w:name="_Toc10829"/>
      <w:r>
        <w:rPr>
          <w:rFonts w:hint="eastAsia" w:ascii="宋体" w:hAnsi="宋体" w:eastAsia="宋体" w:cs="宋体"/>
          <w:b/>
          <w:bCs/>
          <w:spacing w:val="0"/>
          <w:w w:val="99"/>
          <w:sz w:val="24"/>
          <w:szCs w:val="24"/>
          <w:lang w:val="zh-CN" w:eastAsia="zh-CN" w:bidi="zh-CN"/>
        </w:rPr>
        <w:t>4.</w:t>
      </w:r>
      <w:r>
        <w:rPr>
          <w:rFonts w:hint="eastAsia" w:ascii="宋体" w:hAnsi="宋体" w:eastAsia="宋体" w:cs="宋体"/>
        </w:rPr>
        <w:t>合格的服务</w:t>
      </w:r>
      <w:bookmarkEnd w:id="52"/>
      <w:bookmarkEnd w:id="53"/>
      <w:bookmarkEnd w:id="54"/>
      <w:bookmarkEnd w:id="55"/>
    </w:p>
    <w:p w14:paraId="6D9E2510">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4.1</w:t>
      </w:r>
      <w:r>
        <w:rPr>
          <w:rFonts w:hint="eastAsia" w:ascii="宋体" w:hAnsi="宋体" w:eastAsia="宋体" w:cs="宋体"/>
          <w:sz w:val="24"/>
        </w:rPr>
        <w:t>合同中提供的所有有关的服务，均应来自国家有关政府采购规定的服务的合格来源，本合同的支付也仅限于这些服务。</w:t>
      </w:r>
    </w:p>
    <w:p w14:paraId="69405154">
      <w:pPr>
        <w:pStyle w:val="4"/>
        <w:bidi w:val="0"/>
        <w:rPr>
          <w:rFonts w:hint="eastAsia" w:ascii="宋体" w:hAnsi="宋体" w:eastAsia="宋体" w:cs="宋体"/>
        </w:rPr>
      </w:pPr>
      <w:bookmarkStart w:id="56" w:name="5. 费用"/>
      <w:bookmarkEnd w:id="56"/>
      <w:bookmarkStart w:id="57" w:name="5. 费用"/>
      <w:bookmarkEnd w:id="57"/>
      <w:bookmarkStart w:id="58" w:name="_Toc28284"/>
      <w:bookmarkStart w:id="59" w:name="_Toc715"/>
      <w:bookmarkStart w:id="60" w:name="_Toc24912"/>
      <w:bookmarkStart w:id="61" w:name="_Toc19254"/>
      <w:r>
        <w:rPr>
          <w:rFonts w:hint="eastAsia" w:ascii="宋体" w:hAnsi="宋体" w:eastAsia="宋体" w:cs="宋体"/>
          <w:b/>
          <w:bCs/>
          <w:spacing w:val="0"/>
          <w:w w:val="99"/>
          <w:sz w:val="24"/>
          <w:szCs w:val="24"/>
          <w:lang w:val="zh-CN" w:eastAsia="zh-CN" w:bidi="zh-CN"/>
        </w:rPr>
        <w:t>5.</w:t>
      </w:r>
      <w:r>
        <w:rPr>
          <w:rFonts w:hint="eastAsia" w:ascii="宋体" w:hAnsi="宋体" w:eastAsia="宋体" w:cs="宋体"/>
        </w:rPr>
        <w:t>费用</w:t>
      </w:r>
      <w:bookmarkEnd w:id="58"/>
      <w:bookmarkEnd w:id="59"/>
      <w:bookmarkEnd w:id="60"/>
      <w:bookmarkEnd w:id="61"/>
    </w:p>
    <w:p w14:paraId="08771282">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5.1</w:t>
      </w:r>
      <w:r>
        <w:rPr>
          <w:rFonts w:hint="eastAsia" w:ascii="宋体" w:hAnsi="宋体" w:eastAsia="宋体" w:cs="宋体"/>
          <w:sz w:val="24"/>
        </w:rPr>
        <w:t>供应商应承担所有与编写和提交响应文件有关的费用，无论磋商过程中的做法和结果如何，采购人和采购代理机构在任何情况下均无义务和责任承担这些费用。</w:t>
      </w:r>
    </w:p>
    <w:p w14:paraId="2D5208DA">
      <w:pPr>
        <w:pStyle w:val="23"/>
        <w:keepNext w:val="0"/>
        <w:keepLines w:val="0"/>
        <w:pageBreakBefore w:val="0"/>
        <w:widowControl w:val="0"/>
        <w:numPr>
          <w:ilvl w:val="1"/>
          <w:numId w:val="1"/>
        </w:numPr>
        <w:tabs>
          <w:tab w:val="left" w:pos="840"/>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sectPr>
          <w:footerReference r:id="rId8" w:type="default"/>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0AB7F62C">
      <w:pPr>
        <w:pStyle w:val="3"/>
        <w:bidi w:val="0"/>
        <w:rPr>
          <w:rFonts w:hint="eastAsia" w:ascii="宋体" w:hAnsi="宋体" w:eastAsia="宋体" w:cs="宋体"/>
        </w:rPr>
      </w:pPr>
      <w:bookmarkStart w:id="62" w:name="B 磋商文件说明"/>
      <w:bookmarkEnd w:id="62"/>
      <w:bookmarkStart w:id="63" w:name="_Toc26267"/>
      <w:bookmarkStart w:id="64" w:name="_Toc22437"/>
      <w:bookmarkStart w:id="65" w:name="_Toc22871"/>
      <w:bookmarkStart w:id="66" w:name="_Toc14840"/>
      <w:bookmarkStart w:id="67" w:name="_Toc14379"/>
      <w:r>
        <w:rPr>
          <w:rFonts w:hint="eastAsia" w:ascii="宋体" w:hAnsi="宋体" w:eastAsia="宋体" w:cs="宋体"/>
          <w:lang w:eastAsia="zh-CN"/>
        </w:rPr>
        <w:t>二、</w:t>
      </w:r>
      <w:r>
        <w:rPr>
          <w:rFonts w:hint="eastAsia" w:ascii="宋体" w:hAnsi="宋体" w:eastAsia="宋体" w:cs="宋体"/>
        </w:rPr>
        <w:t>磋商文件说明</w:t>
      </w:r>
      <w:bookmarkEnd w:id="63"/>
      <w:bookmarkEnd w:id="64"/>
      <w:bookmarkEnd w:id="65"/>
      <w:bookmarkEnd w:id="66"/>
      <w:bookmarkEnd w:id="67"/>
    </w:p>
    <w:p w14:paraId="316567F1">
      <w:pPr>
        <w:pStyle w:val="4"/>
        <w:bidi w:val="0"/>
        <w:rPr>
          <w:rFonts w:hint="eastAsia" w:ascii="宋体" w:hAnsi="宋体" w:eastAsia="宋体" w:cs="宋体"/>
        </w:rPr>
      </w:pPr>
      <w:bookmarkStart w:id="68" w:name="6．磋商文件的构成"/>
      <w:bookmarkEnd w:id="68"/>
      <w:bookmarkStart w:id="69" w:name="6．磋商文件的构成"/>
      <w:bookmarkEnd w:id="69"/>
      <w:bookmarkStart w:id="70" w:name="_Toc14253"/>
      <w:bookmarkStart w:id="71" w:name="_Toc10119"/>
      <w:bookmarkStart w:id="72" w:name="_Toc23072"/>
      <w:bookmarkStart w:id="73" w:name="_Toc31599"/>
      <w:r>
        <w:rPr>
          <w:rFonts w:hint="eastAsia" w:ascii="宋体" w:hAnsi="宋体" w:eastAsia="宋体" w:cs="宋体"/>
          <w:b/>
          <w:bCs/>
          <w:spacing w:val="0"/>
          <w:w w:val="99"/>
          <w:sz w:val="24"/>
          <w:szCs w:val="24"/>
          <w:lang w:val="zh-CN" w:eastAsia="zh-CN" w:bidi="zh-CN"/>
        </w:rPr>
        <w:t>6.</w:t>
      </w:r>
      <w:r>
        <w:rPr>
          <w:rFonts w:hint="eastAsia" w:ascii="宋体" w:hAnsi="宋体" w:eastAsia="宋体" w:cs="宋体"/>
        </w:rPr>
        <w:t>磋商文件的构成</w:t>
      </w:r>
      <w:bookmarkEnd w:id="70"/>
      <w:bookmarkEnd w:id="71"/>
      <w:bookmarkEnd w:id="72"/>
      <w:bookmarkEnd w:id="73"/>
    </w:p>
    <w:p w14:paraId="728D8341">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pacing w:val="-6"/>
          <w:sz w:val="24"/>
        </w:rPr>
      </w:pPr>
      <w:r>
        <w:rPr>
          <w:rFonts w:hint="eastAsia" w:ascii="宋体" w:hAnsi="宋体" w:eastAsia="宋体" w:cs="宋体"/>
          <w:w w:val="100"/>
          <w:sz w:val="24"/>
          <w:szCs w:val="24"/>
          <w:lang w:val="zh-CN" w:eastAsia="zh-CN" w:bidi="zh-CN"/>
        </w:rPr>
        <w:t>6.1</w:t>
      </w:r>
      <w:r>
        <w:rPr>
          <w:rFonts w:hint="eastAsia" w:ascii="宋体" w:hAnsi="宋体" w:eastAsia="宋体" w:cs="宋体"/>
          <w:sz w:val="24"/>
        </w:rPr>
        <w:t>磋商文件用以阐明所需提供的采购、磋商程序和合同条件。磋商文件包括：</w:t>
      </w:r>
    </w:p>
    <w:p w14:paraId="0AB322B5">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宋体" w:hAnsi="宋体" w:eastAsia="宋体" w:cs="宋体"/>
          <w:spacing w:val="-6"/>
          <w:sz w:val="24"/>
        </w:rPr>
      </w:pPr>
      <w:r>
        <w:rPr>
          <w:rFonts w:hint="eastAsia" w:ascii="宋体" w:hAnsi="宋体" w:eastAsia="宋体" w:cs="宋体"/>
          <w:spacing w:val="-6"/>
          <w:sz w:val="24"/>
          <w:lang w:val="zh-CN" w:eastAsia="zh-CN"/>
        </w:rPr>
        <w:t>（</w:t>
      </w:r>
      <w:r>
        <w:rPr>
          <w:rFonts w:hint="eastAsia" w:ascii="宋体" w:hAnsi="宋体" w:eastAsia="宋体" w:cs="宋体"/>
          <w:spacing w:val="-6"/>
          <w:sz w:val="24"/>
          <w:lang w:val="en-US" w:eastAsia="zh-CN"/>
        </w:rPr>
        <w:t>1</w:t>
      </w:r>
      <w:r>
        <w:rPr>
          <w:rFonts w:hint="eastAsia" w:ascii="宋体" w:hAnsi="宋体" w:eastAsia="宋体" w:cs="宋体"/>
          <w:spacing w:val="-6"/>
          <w:sz w:val="24"/>
          <w:lang w:val="zh-CN" w:eastAsia="zh-CN"/>
        </w:rPr>
        <w:t>）竞争性</w:t>
      </w:r>
      <w:r>
        <w:rPr>
          <w:rFonts w:hint="eastAsia" w:ascii="宋体" w:hAnsi="宋体" w:eastAsia="宋体" w:cs="宋体"/>
          <w:spacing w:val="-6"/>
          <w:sz w:val="24"/>
        </w:rPr>
        <w:t>磋商公告；</w:t>
      </w:r>
    </w:p>
    <w:p w14:paraId="6987610B">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宋体" w:hAnsi="宋体" w:eastAsia="宋体" w:cs="宋体"/>
          <w:spacing w:val="-6"/>
          <w:sz w:val="24"/>
        </w:rPr>
      </w:pPr>
      <w:r>
        <w:rPr>
          <w:rFonts w:hint="eastAsia" w:ascii="宋体" w:hAnsi="宋体" w:eastAsia="宋体" w:cs="宋体"/>
          <w:spacing w:val="-6"/>
          <w:sz w:val="24"/>
          <w:lang w:val="zh-CN" w:eastAsia="zh-CN"/>
        </w:rPr>
        <w:t>（</w:t>
      </w:r>
      <w:r>
        <w:rPr>
          <w:rFonts w:hint="eastAsia" w:ascii="宋体" w:hAnsi="宋体" w:eastAsia="宋体" w:cs="宋体"/>
          <w:spacing w:val="-6"/>
          <w:sz w:val="24"/>
          <w:lang w:val="en-US" w:eastAsia="zh-CN"/>
        </w:rPr>
        <w:t>2</w:t>
      </w:r>
      <w:r>
        <w:rPr>
          <w:rFonts w:hint="eastAsia" w:ascii="宋体" w:hAnsi="宋体" w:eastAsia="宋体" w:cs="宋体"/>
          <w:spacing w:val="-6"/>
          <w:sz w:val="24"/>
          <w:lang w:val="zh-CN" w:eastAsia="zh-CN"/>
        </w:rPr>
        <w:t>）供</w:t>
      </w:r>
      <w:r>
        <w:rPr>
          <w:rFonts w:hint="eastAsia" w:ascii="宋体" w:hAnsi="宋体" w:eastAsia="宋体" w:cs="宋体"/>
          <w:spacing w:val="-6"/>
          <w:sz w:val="24"/>
          <w:lang w:eastAsia="zh-CN"/>
        </w:rPr>
        <w:t>应商</w:t>
      </w:r>
      <w:r>
        <w:rPr>
          <w:rFonts w:hint="eastAsia" w:ascii="宋体" w:hAnsi="宋体" w:eastAsia="宋体" w:cs="宋体"/>
          <w:spacing w:val="-6"/>
          <w:sz w:val="24"/>
        </w:rPr>
        <w:t>须知；</w:t>
      </w:r>
    </w:p>
    <w:p w14:paraId="4298BEA2">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宋体" w:hAnsi="宋体" w:eastAsia="宋体" w:cs="宋体"/>
          <w:spacing w:val="-6"/>
          <w:sz w:val="24"/>
          <w:lang w:val="zh-CN" w:eastAsia="zh-CN"/>
        </w:rPr>
      </w:pPr>
      <w:r>
        <w:rPr>
          <w:rFonts w:hint="eastAsia" w:ascii="宋体" w:hAnsi="宋体" w:eastAsia="宋体" w:cs="宋体"/>
          <w:spacing w:val="-6"/>
          <w:sz w:val="24"/>
          <w:lang w:val="zh-CN" w:eastAsia="zh-CN"/>
        </w:rPr>
        <w:t>（</w:t>
      </w:r>
      <w:r>
        <w:rPr>
          <w:rFonts w:hint="eastAsia" w:ascii="宋体" w:hAnsi="宋体" w:eastAsia="宋体" w:cs="宋体"/>
          <w:spacing w:val="-6"/>
          <w:sz w:val="24"/>
          <w:lang w:val="en-US" w:eastAsia="zh-CN"/>
        </w:rPr>
        <w:t>3</w:t>
      </w:r>
      <w:r>
        <w:rPr>
          <w:rFonts w:hint="eastAsia" w:ascii="宋体" w:hAnsi="宋体" w:eastAsia="宋体" w:cs="宋体"/>
          <w:spacing w:val="-6"/>
          <w:sz w:val="24"/>
          <w:lang w:val="zh-CN" w:eastAsia="zh-CN"/>
        </w:rPr>
        <w:t>）评审办法</w:t>
      </w:r>
    </w:p>
    <w:p w14:paraId="12064A89">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宋体" w:hAnsi="宋体" w:eastAsia="宋体" w:cs="宋体"/>
          <w:spacing w:val="-6"/>
          <w:sz w:val="24"/>
        </w:rPr>
      </w:pPr>
      <w:r>
        <w:rPr>
          <w:rFonts w:hint="eastAsia" w:ascii="宋体" w:hAnsi="宋体" w:eastAsia="宋体" w:cs="宋体"/>
          <w:spacing w:val="-6"/>
          <w:sz w:val="24"/>
          <w:lang w:eastAsia="zh-CN"/>
        </w:rPr>
        <w:t>（</w:t>
      </w:r>
      <w:r>
        <w:rPr>
          <w:rFonts w:hint="eastAsia" w:ascii="宋体" w:hAnsi="宋体" w:eastAsia="宋体" w:cs="宋体"/>
          <w:spacing w:val="-6"/>
          <w:sz w:val="24"/>
          <w:lang w:val="en-US" w:eastAsia="zh-CN"/>
        </w:rPr>
        <w:t>4</w:t>
      </w:r>
      <w:r>
        <w:rPr>
          <w:rFonts w:hint="eastAsia" w:ascii="宋体" w:hAnsi="宋体" w:eastAsia="宋体" w:cs="宋体"/>
          <w:spacing w:val="-6"/>
          <w:sz w:val="24"/>
          <w:lang w:eastAsia="zh-CN"/>
        </w:rPr>
        <w:t>）采购内容及要求</w:t>
      </w:r>
    </w:p>
    <w:p w14:paraId="212050E9">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宋体" w:hAnsi="宋体" w:eastAsia="宋体" w:cs="宋体"/>
          <w:spacing w:val="-6"/>
          <w:sz w:val="24"/>
        </w:rPr>
      </w:pPr>
      <w:r>
        <w:rPr>
          <w:rFonts w:hint="eastAsia" w:ascii="宋体" w:hAnsi="宋体" w:eastAsia="宋体" w:cs="宋体"/>
          <w:spacing w:val="-6"/>
          <w:sz w:val="24"/>
          <w:lang w:val="zh-CN" w:eastAsia="zh-CN"/>
        </w:rPr>
        <w:t>（</w:t>
      </w:r>
      <w:r>
        <w:rPr>
          <w:rFonts w:hint="eastAsia" w:ascii="宋体" w:hAnsi="宋体" w:eastAsia="宋体" w:cs="宋体"/>
          <w:spacing w:val="-6"/>
          <w:sz w:val="24"/>
          <w:lang w:val="en-US" w:eastAsia="zh-CN"/>
        </w:rPr>
        <w:t>5</w:t>
      </w:r>
      <w:r>
        <w:rPr>
          <w:rFonts w:hint="eastAsia" w:ascii="宋体" w:hAnsi="宋体" w:eastAsia="宋体" w:cs="宋体"/>
          <w:spacing w:val="-6"/>
          <w:sz w:val="24"/>
          <w:lang w:val="zh-CN" w:eastAsia="zh-CN"/>
        </w:rPr>
        <w:t>）</w:t>
      </w:r>
      <w:r>
        <w:rPr>
          <w:rFonts w:hint="eastAsia" w:ascii="宋体" w:hAnsi="宋体" w:eastAsia="宋体" w:cs="宋体"/>
          <w:spacing w:val="-6"/>
          <w:sz w:val="24"/>
        </w:rPr>
        <w:t>合同</w:t>
      </w:r>
      <w:r>
        <w:rPr>
          <w:rFonts w:hint="eastAsia" w:ascii="宋体" w:hAnsi="宋体" w:eastAsia="宋体" w:cs="宋体"/>
          <w:spacing w:val="-6"/>
          <w:sz w:val="24"/>
          <w:lang w:val="en-US" w:eastAsia="zh-CN"/>
        </w:rPr>
        <w:t>条款及格式</w:t>
      </w:r>
      <w:r>
        <w:rPr>
          <w:rFonts w:hint="eastAsia" w:ascii="宋体" w:hAnsi="宋体" w:eastAsia="宋体" w:cs="宋体"/>
          <w:spacing w:val="-6"/>
          <w:sz w:val="24"/>
        </w:rPr>
        <w:t>；</w:t>
      </w:r>
    </w:p>
    <w:p w14:paraId="1B0A98CD">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宋体" w:hAnsi="宋体" w:eastAsia="宋体" w:cs="宋体"/>
          <w:spacing w:val="-6"/>
          <w:sz w:val="24"/>
        </w:rPr>
      </w:pPr>
      <w:r>
        <w:rPr>
          <w:rFonts w:hint="eastAsia" w:ascii="宋体" w:hAnsi="宋体" w:eastAsia="宋体" w:cs="宋体"/>
          <w:spacing w:val="-6"/>
          <w:sz w:val="24"/>
          <w:lang w:val="zh-CN" w:eastAsia="zh-CN"/>
        </w:rPr>
        <w:t>（</w:t>
      </w:r>
      <w:r>
        <w:rPr>
          <w:rFonts w:hint="eastAsia" w:ascii="宋体" w:hAnsi="宋体" w:eastAsia="宋体" w:cs="宋体"/>
          <w:spacing w:val="-6"/>
          <w:sz w:val="24"/>
          <w:lang w:val="en-US" w:eastAsia="zh-CN"/>
        </w:rPr>
        <w:t>6</w:t>
      </w:r>
      <w:r>
        <w:rPr>
          <w:rFonts w:hint="eastAsia" w:ascii="宋体" w:hAnsi="宋体" w:eastAsia="宋体" w:cs="宋体"/>
          <w:spacing w:val="-6"/>
          <w:sz w:val="24"/>
          <w:lang w:val="zh-CN" w:eastAsia="zh-CN"/>
        </w:rPr>
        <w:t>）</w:t>
      </w:r>
      <w:r>
        <w:rPr>
          <w:rFonts w:hint="eastAsia" w:ascii="宋体" w:hAnsi="宋体" w:eastAsia="宋体" w:cs="宋体"/>
          <w:spacing w:val="-6"/>
          <w:sz w:val="24"/>
        </w:rPr>
        <w:t>响应文件格式；</w:t>
      </w:r>
    </w:p>
    <w:p w14:paraId="50BD9F57">
      <w:pPr>
        <w:pStyle w:val="23"/>
        <w:keepNext w:val="0"/>
        <w:keepLines w:val="0"/>
        <w:pageBreakBefore w:val="0"/>
        <w:widowControl w:val="0"/>
        <w:numPr>
          <w:ilvl w:val="1"/>
          <w:numId w:val="0"/>
        </w:numPr>
        <w:tabs>
          <w:tab w:val="left" w:pos="77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6.2</w:t>
      </w:r>
      <w:r>
        <w:rPr>
          <w:rFonts w:hint="eastAsia" w:ascii="宋体" w:hAnsi="宋体" w:eastAsia="宋体" w:cs="宋体"/>
          <w:spacing w:val="-6"/>
          <w:sz w:val="24"/>
        </w:rPr>
        <w:t>供应商应认真阅读磋商文件中所有的事项、格式条款和规范要求等。供应商没</w:t>
      </w:r>
      <w:r>
        <w:rPr>
          <w:rFonts w:hint="eastAsia" w:ascii="宋体" w:hAnsi="宋体" w:eastAsia="宋体" w:cs="宋体"/>
          <w:sz w:val="24"/>
        </w:rPr>
        <w:t>有对磋商文件全面做出实质性响应是供应商的风险。</w:t>
      </w:r>
    </w:p>
    <w:p w14:paraId="43138F13">
      <w:pPr>
        <w:pStyle w:val="4"/>
        <w:bidi w:val="0"/>
        <w:rPr>
          <w:rFonts w:hint="eastAsia" w:ascii="宋体" w:hAnsi="宋体" w:eastAsia="宋体" w:cs="宋体"/>
        </w:rPr>
      </w:pPr>
      <w:bookmarkStart w:id="74" w:name="7．磋商文件的澄清"/>
      <w:bookmarkEnd w:id="74"/>
      <w:bookmarkStart w:id="75" w:name="7．磋商文件的澄清"/>
      <w:bookmarkEnd w:id="75"/>
      <w:bookmarkStart w:id="76" w:name="_Toc25938"/>
      <w:bookmarkStart w:id="77" w:name="_Toc15393"/>
      <w:bookmarkStart w:id="78" w:name="_Toc11471"/>
      <w:bookmarkStart w:id="79" w:name="_Toc822"/>
      <w:r>
        <w:rPr>
          <w:rFonts w:hint="eastAsia" w:ascii="宋体" w:hAnsi="宋体" w:eastAsia="宋体" w:cs="宋体"/>
          <w:b/>
          <w:bCs/>
          <w:spacing w:val="0"/>
          <w:w w:val="99"/>
          <w:sz w:val="24"/>
          <w:szCs w:val="24"/>
          <w:lang w:val="zh-CN" w:eastAsia="zh-CN" w:bidi="zh-CN"/>
        </w:rPr>
        <w:t>7.</w:t>
      </w:r>
      <w:r>
        <w:rPr>
          <w:rFonts w:hint="eastAsia" w:ascii="宋体" w:hAnsi="宋体" w:eastAsia="宋体" w:cs="宋体"/>
        </w:rPr>
        <w:t>磋商文件的澄清</w:t>
      </w:r>
      <w:bookmarkEnd w:id="76"/>
      <w:bookmarkEnd w:id="77"/>
      <w:bookmarkEnd w:id="78"/>
      <w:bookmarkEnd w:id="79"/>
    </w:p>
    <w:p w14:paraId="216446EA">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7.1</w:t>
      </w:r>
      <w:r>
        <w:rPr>
          <w:rFonts w:hint="eastAsia" w:ascii="宋体" w:hAnsi="宋体" w:eastAsia="宋体" w:cs="宋体"/>
          <w:sz w:val="24"/>
        </w:rPr>
        <w:t>任何要求对磋商文件澄清的供应商，应在购买磋商文件后以书面形式通知采购代理机构。采购代理机构将视情况确定采用适当方式予以澄清或以书面形式予以答复，涉及变更或修正内容在政府采购发布媒体上发布更正公告，并以书面形式通知所有磋商文件收受人，且作为磋商文件的组成部分。</w:t>
      </w:r>
    </w:p>
    <w:p w14:paraId="21EC508E">
      <w:pPr>
        <w:pStyle w:val="4"/>
        <w:bidi w:val="0"/>
        <w:rPr>
          <w:rFonts w:hint="eastAsia" w:ascii="宋体" w:hAnsi="宋体" w:eastAsia="宋体" w:cs="宋体"/>
        </w:rPr>
      </w:pPr>
      <w:bookmarkStart w:id="80" w:name="8．磋商文件的修改"/>
      <w:bookmarkEnd w:id="80"/>
      <w:bookmarkStart w:id="81" w:name="8．磋商文件的修改"/>
      <w:bookmarkEnd w:id="81"/>
      <w:bookmarkStart w:id="82" w:name="_Toc22603"/>
      <w:bookmarkStart w:id="83" w:name="_Toc6664"/>
      <w:bookmarkStart w:id="84" w:name="_Toc7044"/>
      <w:bookmarkStart w:id="85" w:name="_Toc21888"/>
      <w:r>
        <w:rPr>
          <w:rFonts w:hint="eastAsia" w:ascii="宋体" w:hAnsi="宋体" w:eastAsia="宋体" w:cs="宋体"/>
          <w:b/>
          <w:bCs/>
          <w:spacing w:val="0"/>
          <w:w w:val="99"/>
          <w:sz w:val="24"/>
          <w:szCs w:val="24"/>
          <w:lang w:val="zh-CN" w:eastAsia="zh-CN" w:bidi="zh-CN"/>
        </w:rPr>
        <w:t>8.</w:t>
      </w:r>
      <w:r>
        <w:rPr>
          <w:rFonts w:hint="eastAsia" w:ascii="宋体" w:hAnsi="宋体" w:eastAsia="宋体" w:cs="宋体"/>
        </w:rPr>
        <w:t>磋商文件的修改</w:t>
      </w:r>
      <w:bookmarkEnd w:id="82"/>
      <w:bookmarkEnd w:id="83"/>
      <w:bookmarkEnd w:id="84"/>
      <w:bookmarkEnd w:id="85"/>
    </w:p>
    <w:p w14:paraId="5B3512EB">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8.1</w:t>
      </w:r>
      <w:r>
        <w:rPr>
          <w:rFonts w:hint="eastAsia" w:ascii="宋体" w:hAnsi="宋体" w:eastAsia="宋体" w:cs="宋体"/>
          <w:sz w:val="24"/>
        </w:rPr>
        <w:t>在磋商文件要求提交响应文件截止时间前，无论出于何种原因，采购人可主动地或在解答供应商要求澄清的问题时对磋商文件进行修改。</w:t>
      </w:r>
    </w:p>
    <w:p w14:paraId="25266A8C">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8.2</w:t>
      </w:r>
      <w:r>
        <w:rPr>
          <w:rFonts w:hint="eastAsia" w:ascii="宋体" w:hAnsi="宋体" w:eastAsia="宋体" w:cs="宋体"/>
          <w:sz w:val="24"/>
        </w:rPr>
        <w:t>磋商文件的修改将以书面形式通知所有磋商文件的收受人，供应商在收到该通知后应立即以传真的形式予以确认。</w:t>
      </w:r>
    </w:p>
    <w:p w14:paraId="3AB202F6">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textAlignment w:val="auto"/>
        <w:rPr>
          <w:rFonts w:hint="eastAsia" w:ascii="宋体" w:hAnsi="宋体" w:eastAsia="宋体" w:cs="宋体"/>
        </w:rPr>
      </w:pPr>
      <w:r>
        <w:rPr>
          <w:rFonts w:hint="eastAsia" w:ascii="宋体" w:hAnsi="宋体" w:eastAsia="宋体" w:cs="宋体"/>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w:t>
      </w:r>
      <w:r>
        <w:rPr>
          <w:rFonts w:hint="eastAsia" w:ascii="宋体" w:hAnsi="宋体" w:eastAsia="宋体" w:cs="宋体"/>
          <w:spacing w:val="-2"/>
          <w:sz w:val="24"/>
        </w:rPr>
        <w:t xml:space="preserve">机构应当在提交首次响应文件截止时间至少 </w:t>
      </w:r>
      <w:r>
        <w:rPr>
          <w:rFonts w:hint="eastAsia" w:ascii="宋体" w:hAnsi="宋体" w:eastAsia="宋体" w:cs="宋体"/>
          <w:sz w:val="24"/>
        </w:rPr>
        <w:t>5</w:t>
      </w:r>
      <w:r>
        <w:rPr>
          <w:rFonts w:hint="eastAsia" w:ascii="宋体" w:hAnsi="宋体" w:eastAsia="宋体" w:cs="宋体"/>
          <w:spacing w:val="-5"/>
          <w:sz w:val="24"/>
        </w:rPr>
        <w:t xml:space="preserve"> 日前，以书面形式通知所有获取磋</w:t>
      </w:r>
      <w:r>
        <w:rPr>
          <w:rFonts w:hint="eastAsia" w:ascii="宋体" w:hAnsi="宋体" w:eastAsia="宋体" w:cs="宋体"/>
        </w:rPr>
        <w:t>商文件的供应商；不足 5 日的，采购人、采购代理机构应当顺延提交首次响应文件截止时间。</w:t>
      </w:r>
    </w:p>
    <w:p w14:paraId="1AF0A4A1">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8.3</w:t>
      </w:r>
      <w:r>
        <w:rPr>
          <w:rFonts w:hint="eastAsia" w:ascii="宋体" w:hAnsi="宋体" w:eastAsia="宋体" w:cs="宋体"/>
          <w:sz w:val="24"/>
        </w:rPr>
        <w:t>磋商文件的修改书将构成磋商文件的一部分，对采购人和供应商都具有约束力。</w:t>
      </w:r>
    </w:p>
    <w:p w14:paraId="79399FBD">
      <w:pPr>
        <w:pStyle w:val="3"/>
        <w:bidi w:val="0"/>
        <w:ind w:left="0" w:leftChars="0" w:firstLine="0" w:firstLineChars="0"/>
        <w:jc w:val="center"/>
        <w:rPr>
          <w:rFonts w:hint="eastAsia" w:ascii="宋体" w:hAnsi="宋体" w:eastAsia="宋体" w:cs="宋体"/>
        </w:rPr>
      </w:pPr>
      <w:bookmarkStart w:id="86" w:name="C．响应文件的编写"/>
      <w:bookmarkEnd w:id="86"/>
      <w:bookmarkStart w:id="87" w:name="C．响应文件的编写"/>
      <w:bookmarkEnd w:id="87"/>
      <w:bookmarkStart w:id="88" w:name="_Toc24953"/>
      <w:bookmarkStart w:id="89" w:name="_Toc27228"/>
      <w:bookmarkStart w:id="90" w:name="_Toc16318"/>
      <w:bookmarkStart w:id="91" w:name="_Toc12159"/>
      <w:bookmarkStart w:id="92" w:name="_Toc5786"/>
      <w:r>
        <w:rPr>
          <w:rFonts w:hint="eastAsia" w:ascii="宋体" w:hAnsi="宋体" w:eastAsia="宋体" w:cs="宋体"/>
          <w:lang w:eastAsia="zh-CN"/>
        </w:rPr>
        <w:t>三、</w:t>
      </w:r>
      <w:r>
        <w:rPr>
          <w:rFonts w:hint="eastAsia" w:ascii="宋体" w:hAnsi="宋体" w:eastAsia="宋体" w:cs="宋体"/>
        </w:rPr>
        <w:t>响应文件的编写</w:t>
      </w:r>
      <w:bookmarkEnd w:id="88"/>
      <w:bookmarkEnd w:id="89"/>
      <w:bookmarkEnd w:id="90"/>
      <w:bookmarkEnd w:id="91"/>
      <w:bookmarkEnd w:id="92"/>
    </w:p>
    <w:p w14:paraId="5C73A8D1">
      <w:pPr>
        <w:pStyle w:val="4"/>
        <w:bidi w:val="0"/>
        <w:rPr>
          <w:rFonts w:hint="eastAsia" w:ascii="宋体" w:hAnsi="宋体" w:eastAsia="宋体" w:cs="宋体"/>
        </w:rPr>
      </w:pPr>
      <w:bookmarkStart w:id="93" w:name="9．响应文件编制的原则"/>
      <w:bookmarkEnd w:id="93"/>
      <w:bookmarkStart w:id="94" w:name="9．响应文件编制的原则"/>
      <w:bookmarkEnd w:id="94"/>
      <w:bookmarkStart w:id="95" w:name="_Toc4986"/>
      <w:bookmarkStart w:id="96" w:name="_Toc27203"/>
      <w:bookmarkStart w:id="97" w:name="_Toc14125"/>
      <w:bookmarkStart w:id="98" w:name="_Toc7496"/>
      <w:r>
        <w:rPr>
          <w:rFonts w:hint="eastAsia" w:ascii="宋体" w:hAnsi="宋体" w:eastAsia="宋体" w:cs="宋体"/>
          <w:lang w:val="zh-CN" w:eastAsia="zh-CN"/>
        </w:rPr>
        <w:t>9.</w:t>
      </w:r>
      <w:r>
        <w:rPr>
          <w:rFonts w:hint="eastAsia" w:ascii="宋体" w:hAnsi="宋体" w:eastAsia="宋体" w:cs="宋体"/>
        </w:rPr>
        <w:t>响应文件编制的原则</w:t>
      </w:r>
      <w:bookmarkEnd w:id="95"/>
      <w:bookmarkEnd w:id="96"/>
      <w:bookmarkEnd w:id="97"/>
      <w:bookmarkEnd w:id="98"/>
    </w:p>
    <w:p w14:paraId="2EA1D2AB">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9.1</w:t>
      </w:r>
      <w:r>
        <w:rPr>
          <w:rFonts w:hint="eastAsia" w:ascii="宋体" w:hAnsi="宋体" w:eastAsia="宋体" w:cs="宋体"/>
          <w:sz w:val="24"/>
        </w:rPr>
        <w:t>供应商应在认真阅读磋商文件所有内容的基础上，按照磋商文件的要求编制</w:t>
      </w:r>
      <w:r>
        <w:rPr>
          <w:rFonts w:hint="eastAsia" w:ascii="宋体" w:hAnsi="宋体" w:eastAsia="宋体" w:cs="宋体"/>
          <w:spacing w:val="-3"/>
          <w:sz w:val="24"/>
        </w:rPr>
        <w:t>完整的响应文件。磋商文件中对响应文件格式有要求的，应按格式逐项填写内容</w:t>
      </w:r>
      <w:r>
        <w:rPr>
          <w:rFonts w:hint="eastAsia" w:ascii="宋体" w:hAnsi="宋体" w:eastAsia="宋体" w:cs="宋体"/>
          <w:sz w:val="24"/>
        </w:rPr>
        <w:t>。</w:t>
      </w:r>
    </w:p>
    <w:p w14:paraId="5DE73C5A">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9.2</w:t>
      </w:r>
      <w:r>
        <w:rPr>
          <w:rFonts w:hint="eastAsia" w:ascii="宋体" w:hAnsi="宋体" w:eastAsia="宋体" w:cs="宋体"/>
          <w:sz w:val="24"/>
        </w:rPr>
        <w:t>供应商必须保证响应文件所提供的全部资料真实可靠，并接受对其中任何资料进一步审查的要求。</w:t>
      </w:r>
    </w:p>
    <w:p w14:paraId="04B4F5A1">
      <w:pPr>
        <w:pStyle w:val="23"/>
        <w:keepNext w:val="0"/>
        <w:keepLines w:val="0"/>
        <w:pageBreakBefore w:val="0"/>
        <w:widowControl w:val="0"/>
        <w:numPr>
          <w:ilvl w:val="1"/>
          <w:numId w:val="0"/>
        </w:numPr>
        <w:tabs>
          <w:tab w:val="left" w:pos="8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b/>
          <w:sz w:val="24"/>
        </w:rPr>
      </w:pPr>
      <w:r>
        <w:rPr>
          <w:rFonts w:hint="eastAsia" w:ascii="宋体" w:hAnsi="宋体" w:eastAsia="宋体" w:cs="宋体"/>
          <w:b w:val="0"/>
          <w:bCs/>
          <w:w w:val="100"/>
          <w:sz w:val="24"/>
          <w:szCs w:val="24"/>
          <w:lang w:val="zh-CN" w:eastAsia="zh-CN" w:bidi="zh-CN"/>
        </w:rPr>
        <w:t>9.3</w:t>
      </w:r>
      <w:r>
        <w:rPr>
          <w:rFonts w:hint="eastAsia" w:ascii="宋体" w:hAnsi="宋体" w:eastAsia="宋体" w:cs="宋体"/>
          <w:spacing w:val="-2"/>
          <w:sz w:val="24"/>
        </w:rPr>
        <w:t>响应文件须对磋商文件中的内容做出实质性和完整的响应，否则其将被拒绝。</w:t>
      </w:r>
      <w:bookmarkStart w:id="99" w:name="10．磋商语言"/>
      <w:bookmarkEnd w:id="99"/>
      <w:r>
        <w:rPr>
          <w:rFonts w:hint="eastAsia" w:ascii="宋体" w:hAnsi="宋体" w:eastAsia="宋体" w:cs="宋体"/>
          <w:spacing w:val="-2"/>
          <w:sz w:val="24"/>
          <w:lang w:val="en-US" w:eastAsia="zh-CN"/>
        </w:rPr>
        <w:t xml:space="preserve">  </w:t>
      </w:r>
    </w:p>
    <w:p w14:paraId="3EB422B9">
      <w:pPr>
        <w:pStyle w:val="4"/>
        <w:bidi w:val="0"/>
        <w:rPr>
          <w:rFonts w:hint="eastAsia" w:ascii="宋体" w:hAnsi="宋体" w:eastAsia="宋体" w:cs="宋体"/>
        </w:rPr>
      </w:pPr>
      <w:bookmarkStart w:id="100" w:name="_Toc11364"/>
      <w:bookmarkStart w:id="101" w:name="_Toc9400"/>
      <w:bookmarkStart w:id="102" w:name="_Toc5536"/>
      <w:bookmarkStart w:id="103" w:name="_Toc27382"/>
      <w:r>
        <w:rPr>
          <w:rFonts w:hint="eastAsia" w:ascii="宋体" w:hAnsi="宋体" w:eastAsia="宋体" w:cs="宋体"/>
        </w:rPr>
        <w:t>10．磋商语言</w:t>
      </w:r>
      <w:bookmarkEnd w:id="100"/>
      <w:bookmarkEnd w:id="101"/>
      <w:bookmarkEnd w:id="102"/>
      <w:bookmarkEnd w:id="103"/>
    </w:p>
    <w:p w14:paraId="6F7F85FD">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textAlignment w:val="auto"/>
        <w:rPr>
          <w:rFonts w:hint="eastAsia" w:ascii="宋体" w:hAnsi="宋体" w:eastAsia="宋体" w:cs="宋体"/>
          <w:spacing w:val="-1"/>
        </w:rPr>
      </w:pPr>
      <w:r>
        <w:rPr>
          <w:rFonts w:hint="eastAsia" w:ascii="宋体" w:hAnsi="宋体" w:eastAsia="宋体" w:cs="宋体"/>
        </w:rPr>
        <w:t>10.1</w:t>
      </w:r>
      <w:r>
        <w:rPr>
          <w:rFonts w:hint="eastAsia" w:ascii="宋体" w:hAnsi="宋体" w:eastAsia="宋体" w:cs="宋体"/>
          <w:spacing w:val="-1"/>
        </w:rPr>
        <w:t xml:space="preserve"> 由供应商编写的响应文件和往来信件应以中文书写。</w:t>
      </w:r>
      <w:bookmarkStart w:id="104" w:name="11．计量单位"/>
      <w:bookmarkEnd w:id="104"/>
    </w:p>
    <w:p w14:paraId="71075C96">
      <w:pPr>
        <w:pStyle w:val="4"/>
        <w:bidi w:val="0"/>
        <w:rPr>
          <w:rFonts w:hint="eastAsia" w:ascii="宋体" w:hAnsi="宋体" w:eastAsia="宋体" w:cs="宋体"/>
        </w:rPr>
      </w:pPr>
      <w:bookmarkStart w:id="105" w:name="_Toc27362"/>
      <w:bookmarkStart w:id="106" w:name="_Toc2590"/>
      <w:bookmarkStart w:id="107" w:name="_Toc2978"/>
      <w:bookmarkStart w:id="108" w:name="_Toc26790"/>
      <w:r>
        <w:rPr>
          <w:rFonts w:hint="eastAsia" w:ascii="宋体" w:hAnsi="宋体" w:eastAsia="宋体" w:cs="宋体"/>
        </w:rPr>
        <w:t>11．计量单位</w:t>
      </w:r>
      <w:bookmarkEnd w:id="105"/>
      <w:bookmarkEnd w:id="106"/>
      <w:bookmarkEnd w:id="107"/>
      <w:bookmarkEnd w:id="108"/>
    </w:p>
    <w:p w14:paraId="0E62B8CC">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textAlignment w:val="auto"/>
        <w:rPr>
          <w:rFonts w:hint="eastAsia" w:ascii="宋体" w:hAnsi="宋体" w:eastAsia="宋体" w:cs="宋体"/>
        </w:rPr>
      </w:pPr>
      <w:r>
        <w:rPr>
          <w:rFonts w:hint="eastAsia" w:ascii="宋体" w:hAnsi="宋体" w:eastAsia="宋体" w:cs="宋体"/>
        </w:rPr>
        <w:t>11.1</w:t>
      </w:r>
      <w:r>
        <w:rPr>
          <w:rFonts w:hint="eastAsia" w:ascii="宋体" w:hAnsi="宋体" w:eastAsia="宋体" w:cs="宋体"/>
          <w:spacing w:val="-2"/>
        </w:rPr>
        <w:t xml:space="preserve"> 除在磋商文件的技术规格中另有规定外，计量单位应使用中华人民共和国法</w:t>
      </w:r>
      <w:r>
        <w:rPr>
          <w:rFonts w:hint="eastAsia" w:ascii="宋体" w:hAnsi="宋体" w:eastAsia="宋体" w:cs="宋体"/>
        </w:rPr>
        <w:t>定计量单位。</w:t>
      </w:r>
    </w:p>
    <w:p w14:paraId="056133CE">
      <w:pPr>
        <w:pStyle w:val="4"/>
        <w:bidi w:val="0"/>
        <w:rPr>
          <w:rFonts w:hint="eastAsia" w:ascii="宋体" w:hAnsi="宋体" w:eastAsia="宋体" w:cs="宋体"/>
        </w:rPr>
      </w:pPr>
      <w:bookmarkStart w:id="109" w:name="12．响应文件的组成"/>
      <w:bookmarkEnd w:id="109"/>
      <w:bookmarkStart w:id="110" w:name="12．响应文件的组成"/>
      <w:bookmarkEnd w:id="110"/>
      <w:bookmarkStart w:id="111" w:name="_Toc12686"/>
      <w:bookmarkStart w:id="112" w:name="_Toc5343"/>
      <w:bookmarkStart w:id="113" w:name="_Toc17902"/>
      <w:bookmarkStart w:id="114" w:name="_Toc20584"/>
      <w:r>
        <w:rPr>
          <w:rFonts w:hint="eastAsia" w:ascii="宋体" w:hAnsi="宋体" w:eastAsia="宋体" w:cs="宋体"/>
          <w:lang w:val="en-US" w:eastAsia="zh-CN"/>
        </w:rPr>
        <w:t>12.</w:t>
      </w:r>
      <w:r>
        <w:rPr>
          <w:rFonts w:hint="eastAsia" w:ascii="宋体" w:hAnsi="宋体" w:eastAsia="宋体" w:cs="宋体"/>
        </w:rPr>
        <w:t>响应文件的组成</w:t>
      </w:r>
      <w:bookmarkEnd w:id="111"/>
      <w:bookmarkEnd w:id="112"/>
      <w:bookmarkEnd w:id="113"/>
      <w:bookmarkEnd w:id="114"/>
    </w:p>
    <w:p w14:paraId="337FA0EA">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12" w:firstLineChars="200"/>
        <w:jc w:val="left"/>
        <w:textAlignment w:val="auto"/>
        <w:rPr>
          <w:rFonts w:hint="eastAsia" w:ascii="宋体" w:hAnsi="宋体" w:eastAsia="宋体" w:cs="宋体"/>
          <w:sz w:val="24"/>
        </w:rPr>
      </w:pPr>
      <w:r>
        <w:rPr>
          <w:rFonts w:hint="eastAsia" w:ascii="宋体" w:hAnsi="宋体" w:eastAsia="宋体" w:cs="宋体"/>
          <w:spacing w:val="-17"/>
          <w:w w:val="100"/>
          <w:sz w:val="24"/>
          <w:szCs w:val="24"/>
          <w:lang w:val="zh-CN" w:eastAsia="zh-CN" w:bidi="zh-CN"/>
        </w:rPr>
        <w:t>12.1</w:t>
      </w:r>
      <w:r>
        <w:rPr>
          <w:rFonts w:hint="eastAsia" w:ascii="宋体" w:hAnsi="宋体" w:eastAsia="宋体" w:cs="宋体"/>
          <w:spacing w:val="-2"/>
          <w:sz w:val="24"/>
        </w:rPr>
        <w:t>只允许供应商有一个磋商方案，不接受任何有选择的方案和报价</w:t>
      </w:r>
      <w:r>
        <w:rPr>
          <w:rFonts w:hint="eastAsia" w:ascii="宋体" w:hAnsi="宋体" w:eastAsia="宋体" w:cs="宋体"/>
          <w:sz w:val="24"/>
        </w:rPr>
        <w:t>（包括有条件的折扣）。供应商未按要求，提供了选择方案和/</w:t>
      </w:r>
      <w:r>
        <w:rPr>
          <w:rFonts w:hint="eastAsia" w:ascii="宋体" w:hAnsi="宋体" w:eastAsia="宋体" w:cs="宋体"/>
          <w:spacing w:val="-2"/>
          <w:sz w:val="24"/>
        </w:rPr>
        <w:t>或报价的，其磋商将被拒绝。</w:t>
      </w:r>
    </w:p>
    <w:p w14:paraId="201192DD">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lang w:val="en-US" w:eastAsia="zh-CN"/>
        </w:rPr>
        <w:t xml:space="preserve">12.2 </w:t>
      </w:r>
      <w:r>
        <w:rPr>
          <w:rFonts w:hint="eastAsia" w:ascii="宋体" w:hAnsi="宋体" w:eastAsia="宋体" w:cs="宋体"/>
          <w:sz w:val="24"/>
        </w:rPr>
        <w:t>供应商</w:t>
      </w:r>
      <w:r>
        <w:rPr>
          <w:rFonts w:hint="eastAsia" w:ascii="宋体" w:hAnsi="宋体" w:eastAsia="宋体" w:cs="宋体"/>
          <w:sz w:val="24"/>
          <w:lang w:eastAsia="zh-CN"/>
        </w:rPr>
        <w:t>应按照磋商文件</w:t>
      </w:r>
      <w:r>
        <w:rPr>
          <w:rFonts w:hint="eastAsia" w:ascii="宋体" w:hAnsi="宋体" w:eastAsia="宋体" w:cs="宋体"/>
          <w:sz w:val="24"/>
          <w:highlight w:val="none"/>
          <w:lang w:eastAsia="zh-CN"/>
        </w:rPr>
        <w:t>的“</w:t>
      </w:r>
      <w:r>
        <w:rPr>
          <w:rFonts w:hint="eastAsia" w:ascii="宋体" w:hAnsi="宋体" w:eastAsia="宋体" w:cs="宋体"/>
          <w:sz w:val="24"/>
          <w:szCs w:val="24"/>
          <w:highlight w:val="none"/>
          <w:lang w:val="zh-CN"/>
        </w:rPr>
        <w:t>第六部分 响应文件格式”</w:t>
      </w:r>
      <w:r>
        <w:rPr>
          <w:rFonts w:hint="eastAsia" w:ascii="宋体" w:hAnsi="宋体" w:eastAsia="宋体" w:cs="宋体"/>
          <w:sz w:val="24"/>
          <w:szCs w:val="24"/>
          <w:lang w:val="zh-CN"/>
        </w:rPr>
        <w:t>编写响应文件，供应商提交的响应文件应包括下列内容：</w:t>
      </w:r>
    </w:p>
    <w:p w14:paraId="3EFEF47D">
      <w:pPr>
        <w:bidi w:val="0"/>
        <w:rPr>
          <w:rFonts w:hint="eastAsia" w:ascii="宋体" w:hAnsi="宋体" w:eastAsia="宋体" w:cs="宋体"/>
        </w:rPr>
      </w:pPr>
      <w:r>
        <w:rPr>
          <w:rFonts w:hint="eastAsia" w:ascii="宋体" w:hAnsi="宋体" w:eastAsia="宋体" w:cs="宋体"/>
          <w:lang w:val="en-US" w:eastAsia="zh-CN"/>
        </w:rPr>
        <w:t>（1）按照供应商须知的要求和竞争性磋商文件规定格式填写的竞争性磋商响应函、磋商报价表、法定代表人授权委托书。</w:t>
      </w:r>
    </w:p>
    <w:p w14:paraId="4C644585">
      <w:pPr>
        <w:bidi w:val="0"/>
        <w:rPr>
          <w:rFonts w:hint="eastAsia" w:ascii="宋体" w:hAnsi="宋体" w:eastAsia="宋体" w:cs="宋体"/>
        </w:rPr>
      </w:pPr>
      <w:r>
        <w:rPr>
          <w:rFonts w:hint="eastAsia" w:ascii="宋体" w:hAnsi="宋体" w:eastAsia="宋体" w:cs="宋体"/>
          <w:lang w:val="en-US" w:eastAsia="zh-CN"/>
        </w:rPr>
        <w:t xml:space="preserve">（2）按照竞争性磋商文件的要求编制的磋商方案说明。 </w:t>
      </w:r>
    </w:p>
    <w:p w14:paraId="129246EE">
      <w:pPr>
        <w:bidi w:val="0"/>
        <w:rPr>
          <w:rFonts w:hint="eastAsia" w:ascii="宋体" w:hAnsi="宋体" w:eastAsia="宋体" w:cs="宋体"/>
        </w:rPr>
      </w:pPr>
      <w:r>
        <w:rPr>
          <w:rFonts w:hint="eastAsia" w:ascii="宋体" w:hAnsi="宋体" w:eastAsia="宋体" w:cs="宋体"/>
          <w:lang w:val="en-US" w:eastAsia="zh-CN"/>
        </w:rPr>
        <w:t xml:space="preserve">（3）按照竞争性磋商文件供应商须知前附表的要求提交的资格证明文件； </w:t>
      </w:r>
    </w:p>
    <w:p w14:paraId="7302F974">
      <w:pPr>
        <w:bidi w:val="0"/>
        <w:rPr>
          <w:rFonts w:hint="eastAsia" w:ascii="宋体" w:hAnsi="宋体" w:eastAsia="宋体" w:cs="宋体"/>
        </w:rPr>
      </w:pPr>
      <w:r>
        <w:rPr>
          <w:rFonts w:hint="eastAsia" w:ascii="宋体" w:hAnsi="宋体" w:eastAsia="宋体" w:cs="宋体"/>
          <w:lang w:val="en-US" w:eastAsia="zh-CN"/>
        </w:rPr>
        <w:t>（4）竞争磋商文件中要求的其他证明文件。</w:t>
      </w:r>
    </w:p>
    <w:p w14:paraId="1D9189C0">
      <w:pPr>
        <w:pStyle w:val="4"/>
        <w:bidi w:val="0"/>
        <w:rPr>
          <w:rFonts w:hint="eastAsia" w:ascii="宋体" w:hAnsi="宋体" w:eastAsia="宋体" w:cs="宋体"/>
        </w:rPr>
      </w:pPr>
      <w:bookmarkStart w:id="115" w:name="_Toc20276"/>
      <w:bookmarkStart w:id="116" w:name="_Toc31030"/>
      <w:bookmarkStart w:id="117" w:name="_Toc9025"/>
      <w:bookmarkStart w:id="118" w:name="_Toc29286"/>
      <w:r>
        <w:rPr>
          <w:rFonts w:hint="eastAsia" w:ascii="宋体" w:hAnsi="宋体" w:eastAsia="宋体" w:cs="宋体"/>
        </w:rPr>
        <w:t>13．响应文件格式</w:t>
      </w:r>
      <w:bookmarkEnd w:id="115"/>
      <w:bookmarkEnd w:id="116"/>
      <w:bookmarkEnd w:id="117"/>
      <w:bookmarkEnd w:id="118"/>
    </w:p>
    <w:p w14:paraId="3903DED6">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textAlignment w:val="auto"/>
        <w:rPr>
          <w:rFonts w:hint="eastAsia" w:ascii="宋体" w:hAnsi="宋体" w:eastAsia="宋体" w:cs="宋体"/>
        </w:rPr>
      </w:pPr>
      <w:r>
        <w:rPr>
          <w:rFonts w:hint="eastAsia" w:ascii="宋体" w:hAnsi="宋体" w:eastAsia="宋体" w:cs="宋体"/>
        </w:rPr>
        <w:t>13.1 涉及附件中内容的，供应商参照磋商文件中提供的响应文件格式。</w:t>
      </w:r>
    </w:p>
    <w:p w14:paraId="3FA40283">
      <w:pPr>
        <w:pStyle w:val="4"/>
        <w:bidi w:val="0"/>
        <w:rPr>
          <w:rFonts w:hint="eastAsia" w:ascii="宋体" w:hAnsi="宋体" w:eastAsia="宋体" w:cs="宋体"/>
        </w:rPr>
      </w:pPr>
      <w:bookmarkStart w:id="119" w:name="14．磋商报价"/>
      <w:bookmarkEnd w:id="119"/>
      <w:bookmarkStart w:id="120" w:name="14．磋商报价"/>
      <w:bookmarkEnd w:id="120"/>
      <w:bookmarkStart w:id="121" w:name="_Toc4690"/>
      <w:bookmarkStart w:id="122" w:name="_Toc11865"/>
      <w:bookmarkStart w:id="123" w:name="_Toc788"/>
      <w:bookmarkStart w:id="124" w:name="_Toc25517"/>
      <w:r>
        <w:rPr>
          <w:rFonts w:hint="eastAsia" w:ascii="宋体" w:hAnsi="宋体" w:eastAsia="宋体" w:cs="宋体"/>
          <w:lang w:val="zh-CN" w:eastAsia="zh-CN"/>
        </w:rPr>
        <w:t>14.</w:t>
      </w:r>
      <w:r>
        <w:rPr>
          <w:rFonts w:hint="eastAsia" w:ascii="宋体" w:hAnsi="宋体" w:eastAsia="宋体" w:cs="宋体"/>
        </w:rPr>
        <w:t>磋商报价</w:t>
      </w:r>
      <w:bookmarkEnd w:id="121"/>
      <w:bookmarkEnd w:id="122"/>
      <w:bookmarkEnd w:id="123"/>
      <w:bookmarkEnd w:id="124"/>
    </w:p>
    <w:p w14:paraId="3C151A7A">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sz w:val="24"/>
          <w:lang w:val="zh-CN" w:eastAsia="zh-CN"/>
        </w:rPr>
        <w:t>14.1</w:t>
      </w:r>
      <w:r>
        <w:rPr>
          <w:rFonts w:hint="eastAsia" w:ascii="宋体" w:hAnsi="宋体" w:eastAsia="宋体" w:cs="宋体"/>
          <w:sz w:val="24"/>
          <w:lang w:val="en-US" w:eastAsia="zh-CN"/>
        </w:rPr>
        <w:t>供应商应对所列的所有要求进行响应，已标价工程量清单应按工程量清单报价相关要求进行填报；</w:t>
      </w:r>
    </w:p>
    <w:p w14:paraId="658F2204">
      <w:pPr>
        <w:keepNext w:val="0"/>
        <w:keepLines w:val="0"/>
        <w:pageBreakBefore w:val="0"/>
        <w:widowControl w:val="0"/>
        <w:suppressLineNumbers w:val="0"/>
        <w:kinsoku/>
        <w:wordWrap/>
        <w:overflowPunct/>
        <w:topLinePunct w:val="0"/>
        <w:bidi w:val="0"/>
        <w:adjustRightInd/>
        <w:snapToGrid/>
        <w:ind w:left="0" w:leftChars="0"/>
        <w:jc w:val="left"/>
        <w:textAlignment w:val="auto"/>
        <w:rPr>
          <w:rFonts w:hint="eastAsia" w:ascii="宋体" w:hAnsi="宋体" w:eastAsia="宋体" w:cs="宋体"/>
          <w:b/>
          <w:bCs/>
          <w:sz w:val="24"/>
        </w:rPr>
      </w:pPr>
      <w:r>
        <w:rPr>
          <w:rFonts w:hint="eastAsia" w:ascii="宋体" w:hAnsi="宋体" w:eastAsia="宋体" w:cs="宋体"/>
          <w:b/>
          <w:bCs/>
          <w:sz w:val="24"/>
          <w:lang w:val="zh-CN" w:eastAsia="zh-CN"/>
        </w:rPr>
        <w:t>14.</w:t>
      </w:r>
      <w:r>
        <w:rPr>
          <w:rFonts w:hint="eastAsia" w:ascii="宋体" w:hAnsi="宋体" w:eastAsia="宋体" w:cs="宋体"/>
          <w:b/>
          <w:bCs/>
          <w:sz w:val="24"/>
          <w:lang w:val="en-US" w:eastAsia="zh-CN"/>
        </w:rPr>
        <w:t>2已标价工程量清单的扉页(仅指投标总价扉页)应由注册或登记的造价人员签字并盖执业印章；</w:t>
      </w:r>
    </w:p>
    <w:p w14:paraId="516D46C1">
      <w:pPr>
        <w:keepNext w:val="0"/>
        <w:keepLines w:val="0"/>
        <w:pageBreakBefore w:val="0"/>
        <w:widowControl w:val="0"/>
        <w:suppressLineNumbers w:val="0"/>
        <w:kinsoku/>
        <w:wordWrap/>
        <w:overflowPunct/>
        <w:topLinePunct w:val="0"/>
        <w:bidi w:val="0"/>
        <w:adjustRightInd/>
        <w:snapToGrid/>
        <w:ind w:left="0" w:leftChars="0"/>
        <w:jc w:val="left"/>
        <w:textAlignment w:val="auto"/>
        <w:rPr>
          <w:rFonts w:hint="eastAsia" w:ascii="宋体" w:hAnsi="宋体" w:eastAsia="宋体" w:cs="宋体"/>
        </w:rPr>
      </w:pPr>
      <w:r>
        <w:rPr>
          <w:rFonts w:hint="eastAsia" w:ascii="宋体" w:hAnsi="宋体" w:eastAsia="宋体" w:cs="宋体"/>
          <w:sz w:val="24"/>
          <w:lang w:val="en-US" w:eastAsia="zh-CN"/>
        </w:rPr>
        <w:t>14.3</w:t>
      </w:r>
      <w:r>
        <w:rPr>
          <w:rFonts w:hint="eastAsia" w:ascii="宋体" w:hAnsi="宋体" w:eastAsia="宋体" w:cs="宋体"/>
          <w:sz w:val="24"/>
        </w:rPr>
        <w:t>磋商总报价为</w:t>
      </w:r>
      <w:r>
        <w:rPr>
          <w:rFonts w:hint="eastAsia" w:ascii="宋体" w:hAnsi="宋体" w:eastAsia="宋体" w:cs="宋体"/>
          <w:color w:val="000000"/>
          <w:kern w:val="0"/>
          <w:sz w:val="24"/>
          <w:szCs w:val="24"/>
          <w:lang w:val="en-US" w:eastAsia="zh-CN" w:bidi="ar"/>
        </w:rPr>
        <w:t>是供应商为完成本项目要求的全部服务内容最终价格的体现，包括但不限于人工费、管理费、交通费、招标代理服务费、税金、社保等其他一切相关费用。</w:t>
      </w:r>
    </w:p>
    <w:p w14:paraId="5516B2A9">
      <w:pPr>
        <w:keepNext w:val="0"/>
        <w:keepLines w:val="0"/>
        <w:pageBreakBefore w:val="0"/>
        <w:widowControl w:val="0"/>
        <w:suppressLineNumbers w:val="0"/>
        <w:kinsoku/>
        <w:wordWrap/>
        <w:overflowPunct/>
        <w:topLinePunct w:val="0"/>
        <w:bidi w:val="0"/>
        <w:adjustRightInd/>
        <w:snapToGrid/>
        <w:ind w:left="0" w:leftChars="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14.4凡本竞争性磋商文件要求（或允许）及供应商认为需要进行磋商总报价的各项费用项目，若报价时未报或未在竞争性磋商文件中予以说明，采购人将认为这些费用供应商已计取，并包含在总报价中。</w:t>
      </w:r>
    </w:p>
    <w:p w14:paraId="254D9B9C">
      <w:pPr>
        <w:pStyle w:val="23"/>
        <w:keepNext w:val="0"/>
        <w:keepLines w:val="0"/>
        <w:pageBreakBefore w:val="0"/>
        <w:widowControl w:val="0"/>
        <w:numPr>
          <w:ilvl w:val="0"/>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76" w:firstLineChars="200"/>
        <w:jc w:val="left"/>
        <w:textAlignment w:val="auto"/>
        <w:rPr>
          <w:rFonts w:hint="eastAsia" w:ascii="宋体" w:hAnsi="宋体" w:eastAsia="宋体" w:cs="宋体"/>
          <w:b/>
          <w:sz w:val="24"/>
        </w:rPr>
      </w:pPr>
      <w:r>
        <w:rPr>
          <w:rFonts w:hint="eastAsia" w:ascii="宋体" w:hAnsi="宋体" w:eastAsia="宋体" w:cs="宋体"/>
          <w:spacing w:val="-1"/>
          <w:sz w:val="24"/>
          <w:lang w:val="en-US" w:eastAsia="zh-CN"/>
        </w:rPr>
        <w:t>14.5</w:t>
      </w:r>
      <w:r>
        <w:rPr>
          <w:rFonts w:hint="eastAsia" w:ascii="宋体" w:hAnsi="宋体" w:eastAsia="宋体" w:cs="宋体"/>
          <w:spacing w:val="-1"/>
          <w:sz w:val="24"/>
        </w:rPr>
        <w:t>采购人只接受供应商提供的唯一响应方案，不接受备选方案。</w:t>
      </w:r>
      <w:bookmarkStart w:id="125" w:name="15．磋商货币"/>
      <w:bookmarkEnd w:id="125"/>
    </w:p>
    <w:p w14:paraId="2963CA4F">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bookmarkStart w:id="126" w:name="_Toc373"/>
      <w:bookmarkStart w:id="127" w:name="_Toc8437"/>
      <w:bookmarkStart w:id="128" w:name="_Toc29352"/>
      <w:bookmarkStart w:id="129" w:name="_Toc11513"/>
      <w:r>
        <w:rPr>
          <w:rFonts w:hint="eastAsia" w:ascii="宋体" w:hAnsi="宋体" w:eastAsia="宋体" w:cs="宋体"/>
        </w:rPr>
        <w:t>15．磋商货币</w:t>
      </w:r>
      <w:bookmarkEnd w:id="126"/>
      <w:bookmarkEnd w:id="127"/>
      <w:bookmarkEnd w:id="128"/>
      <w:bookmarkEnd w:id="129"/>
    </w:p>
    <w:p w14:paraId="3DCF7C4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jc w:val="left"/>
        <w:textAlignment w:val="auto"/>
        <w:rPr>
          <w:rFonts w:hint="eastAsia" w:ascii="宋体" w:hAnsi="宋体" w:eastAsia="宋体" w:cs="宋体"/>
          <w:sz w:val="24"/>
        </w:rPr>
      </w:pPr>
      <w:r>
        <w:rPr>
          <w:rFonts w:hint="eastAsia" w:ascii="宋体" w:hAnsi="宋体" w:eastAsia="宋体" w:cs="宋体"/>
          <w:sz w:val="24"/>
        </w:rPr>
        <w:t>15.1 采购人只接受人民币作为唯一磋商货币。</w:t>
      </w:r>
      <w:bookmarkStart w:id="130" w:name="16．证明供应商资格的证明文件"/>
      <w:bookmarkEnd w:id="130"/>
    </w:p>
    <w:p w14:paraId="4BCD360B">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bookmarkStart w:id="131" w:name="_Toc27064"/>
      <w:bookmarkStart w:id="132" w:name="_Toc27908"/>
      <w:bookmarkStart w:id="133" w:name="_Toc18550"/>
      <w:bookmarkStart w:id="134" w:name="_Toc21358"/>
      <w:r>
        <w:rPr>
          <w:rFonts w:hint="eastAsia" w:ascii="宋体" w:hAnsi="宋体" w:eastAsia="宋体" w:cs="宋体"/>
        </w:rPr>
        <w:t>16．证明供应商资格的证明文件</w:t>
      </w:r>
      <w:bookmarkEnd w:id="131"/>
      <w:bookmarkEnd w:id="132"/>
      <w:bookmarkEnd w:id="133"/>
      <w:bookmarkEnd w:id="134"/>
    </w:p>
    <w:p w14:paraId="08CFB808">
      <w:pPr>
        <w:keepNext w:val="0"/>
        <w:keepLines w:val="0"/>
        <w:pageBreakBefore w:val="0"/>
        <w:widowControl w:val="0"/>
        <w:kinsoku/>
        <w:wordWrap/>
        <w:overflowPunct/>
        <w:topLinePunct w:val="0"/>
        <w:bidi w:val="0"/>
        <w:adjustRightInd/>
        <w:snapToGrid/>
        <w:ind w:left="0" w:leftChars="0" w:firstLine="482" w:firstLineChars="200"/>
        <w:textAlignment w:val="auto"/>
        <w:outlineLvl w:val="9"/>
        <w:rPr>
          <w:rFonts w:hint="eastAsia" w:ascii="宋体" w:hAnsi="宋体" w:eastAsia="宋体" w:cs="宋体"/>
          <w:b/>
          <w:bCs/>
          <w:sz w:val="24"/>
          <w:szCs w:val="22"/>
          <w:lang w:val="en-US" w:eastAsia="zh-CN" w:bidi="zh-CN"/>
        </w:rPr>
      </w:pPr>
      <w:r>
        <w:rPr>
          <w:rFonts w:hint="eastAsia" w:ascii="宋体" w:hAnsi="宋体" w:eastAsia="宋体" w:cs="宋体"/>
          <w:b/>
          <w:bCs/>
          <w:sz w:val="24"/>
          <w:szCs w:val="22"/>
          <w:lang w:val="en-US" w:eastAsia="zh-CN" w:bidi="zh-CN"/>
        </w:rPr>
        <w:t>16.1满足《中华人民共和国政府采购法》第二十二条规定;</w:t>
      </w:r>
    </w:p>
    <w:p w14:paraId="4AA4C5C1">
      <w:pPr>
        <w:keepNext w:val="0"/>
        <w:keepLines w:val="0"/>
        <w:pageBreakBefore w:val="0"/>
        <w:widowControl w:val="0"/>
        <w:numPr>
          <w:ilvl w:val="0"/>
          <w:numId w:val="0"/>
        </w:numPr>
        <w:kinsoku/>
        <w:wordWrap/>
        <w:overflowPunct/>
        <w:topLinePunct w:val="0"/>
        <w:bidi w:val="0"/>
        <w:adjustRightInd/>
        <w:snapToGrid/>
        <w:ind w:left="0" w:leftChars="0" w:right="0" w:righ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 16.1.1有效的主体资格证明：提供合格有效的法人或者其他组织的营业执照等证明文件，自然人的身份证明；供应商是法人或其他组织的应提供营业执照等证明文件，供应商是自然人的应提供有效的自然人身份证明；</w:t>
      </w:r>
    </w:p>
    <w:p w14:paraId="715EFAB1">
      <w:pPr>
        <w:keepNext w:val="0"/>
        <w:keepLines w:val="0"/>
        <w:pageBreakBefore w:val="0"/>
        <w:widowControl w:val="0"/>
        <w:numPr>
          <w:ilvl w:val="0"/>
          <w:numId w:val="0"/>
        </w:numPr>
        <w:kinsoku/>
        <w:wordWrap/>
        <w:overflowPunct/>
        <w:topLinePunct w:val="0"/>
        <w:bidi w:val="0"/>
        <w:adjustRightInd/>
        <w:snapToGrid/>
        <w:ind w:left="0" w:leftChars="0" w:right="0" w:righ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16.1.2</w:t>
      </w:r>
      <w:r>
        <w:rPr>
          <w:rFonts w:hint="eastAsia" w:ascii="宋体" w:hAnsi="宋体" w:eastAsia="宋体" w:cs="宋体"/>
          <w:sz w:val="24"/>
          <w:szCs w:val="22"/>
          <w:lang w:val="en-US" w:eastAsia="zh-Hans" w:bidi="zh-CN"/>
        </w:rPr>
        <w:t>财务状况报告：</w:t>
      </w:r>
      <w:r>
        <w:rPr>
          <w:rFonts w:hint="eastAsia" w:ascii="宋体" w:hAnsi="宋体" w:eastAsia="宋体" w:cs="宋体"/>
          <w:sz w:val="24"/>
          <w:szCs w:val="22"/>
          <w:lang w:val="en-US" w:eastAsia="zh-CN" w:bidi="zh-CN"/>
        </w:rPr>
        <w:t>提供2024年度具有财务审计资质的单位出具的财务报告（成立时间至开标时间不足一年的可提供成立后任意时段的资产负债表）或开标前六个月内基本存款账户开户银行出具的资信证明（附开户许可证或基本存款账户信息）或信用担保机构出具的投标担保函。</w:t>
      </w:r>
    </w:p>
    <w:p w14:paraId="36607BB6">
      <w:pPr>
        <w:keepNext w:val="0"/>
        <w:keepLines w:val="0"/>
        <w:pageBreakBefore w:val="0"/>
        <w:widowControl w:val="0"/>
        <w:numPr>
          <w:ilvl w:val="0"/>
          <w:numId w:val="0"/>
        </w:numPr>
        <w:kinsoku/>
        <w:wordWrap/>
        <w:overflowPunct/>
        <w:topLinePunct w:val="0"/>
        <w:bidi w:val="0"/>
        <w:adjustRightInd/>
        <w:snapToGrid/>
        <w:ind w:left="0" w:leftChars="0" w:right="0" w:righ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16.1.3税收缴纳证明：提供自2024年12月01日至磋商截止日已缴纳的任意一个月的纳税证明或完税证明，依法免税的单位应提供相关证明材料；</w:t>
      </w:r>
    </w:p>
    <w:p w14:paraId="563FB2A5">
      <w:pPr>
        <w:keepNext w:val="0"/>
        <w:keepLines w:val="0"/>
        <w:pageBreakBefore w:val="0"/>
        <w:widowControl w:val="0"/>
        <w:numPr>
          <w:ilvl w:val="0"/>
          <w:numId w:val="0"/>
        </w:numPr>
        <w:kinsoku/>
        <w:wordWrap/>
        <w:overflowPunct/>
        <w:topLinePunct w:val="0"/>
        <w:bidi w:val="0"/>
        <w:adjustRightInd/>
        <w:snapToGrid/>
        <w:ind w:left="0" w:leftChars="0" w:right="0" w:righ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16.1.4社会保障资金缴纳证明：提供自2024年12月01日至磋商截止日已缴存的任意一个月的社会保障资金缴存单据或社保机构开具的社会保险参保缴费情况证明，依法不需要缴纳社会保障资金的单位应提供相关证明材料；</w:t>
      </w:r>
    </w:p>
    <w:p w14:paraId="0D3A8DC2">
      <w:pPr>
        <w:keepNext w:val="0"/>
        <w:keepLines w:val="0"/>
        <w:pageBreakBefore w:val="0"/>
        <w:widowControl w:val="0"/>
        <w:numPr>
          <w:ilvl w:val="0"/>
          <w:numId w:val="0"/>
        </w:numPr>
        <w:kinsoku/>
        <w:wordWrap/>
        <w:overflowPunct/>
        <w:topLinePunct w:val="0"/>
        <w:bidi w:val="0"/>
        <w:adjustRightInd/>
        <w:snapToGrid/>
        <w:ind w:left="0" w:leftChars="0" w:right="0" w:righ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16.1.5提供具有履行本合同所必需的设备和专业技术能力的承诺；</w:t>
      </w:r>
    </w:p>
    <w:p w14:paraId="391DBA77">
      <w:pPr>
        <w:keepNext w:val="0"/>
        <w:keepLines w:val="0"/>
        <w:pageBreakBefore w:val="0"/>
        <w:widowControl w:val="0"/>
        <w:numPr>
          <w:ilvl w:val="0"/>
          <w:numId w:val="0"/>
        </w:numPr>
        <w:kinsoku/>
        <w:wordWrap/>
        <w:overflowPunct/>
        <w:topLinePunct w:val="0"/>
        <w:bidi w:val="0"/>
        <w:adjustRightInd/>
        <w:snapToGrid/>
        <w:ind w:left="0" w:leftChars="0" w:right="0" w:righ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16.1.6参加政府采购活动前3年内，在经营活动中没有重大违法记录的书面声明；</w:t>
      </w:r>
    </w:p>
    <w:p w14:paraId="5F829D59">
      <w:pPr>
        <w:pStyle w:val="30"/>
        <w:keepNext w:val="0"/>
        <w:keepLines w:val="0"/>
        <w:pageBreakBefore w:val="0"/>
        <w:widowControl w:val="0"/>
        <w:kinsoku/>
        <w:wordWrap/>
        <w:overflowPunct/>
        <w:topLinePunct w:val="0"/>
        <w:bidi w:val="0"/>
        <w:adjustRightInd/>
        <w:snapToGrid/>
        <w:spacing w:line="360" w:lineRule="auto"/>
        <w:ind w:left="0" w:leftChars="0" w:firstLine="482" w:firstLineChars="200"/>
        <w:textAlignment w:val="auto"/>
        <w:rPr>
          <w:rFonts w:hint="eastAsia" w:ascii="宋体" w:hAnsi="宋体" w:eastAsia="宋体" w:cs="宋体"/>
          <w:b/>
          <w:bCs/>
          <w:sz w:val="24"/>
          <w:szCs w:val="22"/>
          <w:lang w:val="en-US" w:eastAsia="zh-CN" w:bidi="zh-CN"/>
        </w:rPr>
      </w:pPr>
      <w:r>
        <w:rPr>
          <w:rFonts w:hint="eastAsia" w:ascii="宋体" w:hAnsi="宋体" w:eastAsia="宋体" w:cs="宋体"/>
          <w:b/>
          <w:bCs/>
          <w:sz w:val="24"/>
          <w:szCs w:val="22"/>
          <w:lang w:val="en-US" w:eastAsia="zh-CN" w:bidi="zh-CN"/>
        </w:rPr>
        <w:t>16.2落实政府采购政策需满足的资格要求：</w:t>
      </w:r>
    </w:p>
    <w:p w14:paraId="03DA39D5">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本项目为专门面向中小企业项目，供应商应为中型企业或小型、微型企业或监狱企业或残疾人福利性单位。（提供相关证明文件或承诺函）</w:t>
      </w:r>
    </w:p>
    <w:p w14:paraId="13C9A508">
      <w:pPr>
        <w:pStyle w:val="30"/>
        <w:keepNext w:val="0"/>
        <w:keepLines w:val="0"/>
        <w:pageBreakBefore w:val="0"/>
        <w:widowControl w:val="0"/>
        <w:kinsoku/>
        <w:wordWrap/>
        <w:overflowPunct/>
        <w:topLinePunct w:val="0"/>
        <w:bidi w:val="0"/>
        <w:adjustRightInd/>
        <w:snapToGrid/>
        <w:spacing w:line="360" w:lineRule="auto"/>
        <w:ind w:left="0" w:leftChars="0" w:firstLine="482" w:firstLineChars="200"/>
        <w:textAlignment w:val="auto"/>
        <w:rPr>
          <w:rFonts w:hint="eastAsia" w:ascii="宋体" w:hAnsi="宋体" w:eastAsia="宋体" w:cs="宋体"/>
          <w:b/>
          <w:bCs/>
          <w:sz w:val="24"/>
          <w:szCs w:val="22"/>
          <w:lang w:val="en-US" w:eastAsia="zh-CN" w:bidi="zh-CN"/>
        </w:rPr>
      </w:pPr>
      <w:r>
        <w:rPr>
          <w:rFonts w:hint="eastAsia" w:ascii="宋体" w:hAnsi="宋体" w:eastAsia="宋体" w:cs="宋体"/>
          <w:b/>
          <w:bCs/>
          <w:sz w:val="24"/>
          <w:szCs w:val="22"/>
          <w:lang w:val="en-US" w:eastAsia="zh-CN" w:bidi="zh-CN"/>
        </w:rPr>
        <w:t>16.3本项目的特定资格要求：</w:t>
      </w:r>
    </w:p>
    <w:p w14:paraId="2D481AB7">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16.3.1法定代表人授权书或身份证明：提供法定代表人授权书（附法定代表人、被授权人身份证复印件）（法定代表人直接参加磋商，须提供法定代表人身份证明）；非法人单位参照执行；</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16.3.2供应商资质要求：供应商须具备建设行政主管部门颁发的市政公用工程施工总承包三级（含三级）以上资质，且具备有效的安全生产许可证；</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16.3.3拟派项目经理具备市政公用工程二级及以上注册建造师证书和安全生产考核合格证（B证），在本单位注册且无在建工程（提供无在建工程承诺书）；</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16.3.4供应商及拟派项目经理基本信息应在“陕西省住房和城乡建设厅网站（http://js.shaanxi.gov.cn/）陕西省建筑市场监管与诚信信息发布平台”可查询；</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16.3.5供应商不得为“信用中国 (www.creditchina.gov.cn)”中列入失信被执行人和重大税收违法失信主体的供应商，不得为“中国政府采购网(www.ccgp.gov.cn)”政府采购严重违法失信行为记录名单中被财政部门禁止参加政府采购活动的供应商；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16.3.6单位负责人为同一人或者存在直接控股、管理关系的不同供应商，不得参加同一合同项下的政府采购活动。</w:t>
      </w:r>
    </w:p>
    <w:p w14:paraId="17185511">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9"/>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宋体"/>
          <w:b/>
          <w:bCs/>
          <w:i w:val="0"/>
          <w:iCs w:val="0"/>
          <w:caps w:val="0"/>
          <w:color w:val="auto"/>
          <w:spacing w:val="0"/>
          <w:sz w:val="24"/>
          <w:szCs w:val="24"/>
          <w:highlight w:val="none"/>
          <w:shd w:val="clear" w:fill="FFFFFF"/>
          <w:lang w:eastAsia="zh-CN"/>
        </w:rPr>
        <w:t>备注：</w:t>
      </w:r>
    </w:p>
    <w:p w14:paraId="5EE2C813">
      <w:pPr>
        <w:pStyle w:val="1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9"/>
        <w:rPr>
          <w:rFonts w:hint="eastAsia" w:ascii="宋体" w:hAnsi="宋体" w:eastAsia="宋体" w:cs="宋体"/>
          <w:b/>
          <w:bCs/>
          <w:i w:val="0"/>
          <w:iCs w:val="0"/>
          <w:caps w:val="0"/>
          <w:color w:val="auto"/>
          <w:spacing w:val="0"/>
          <w:sz w:val="24"/>
          <w:szCs w:val="24"/>
          <w:highlight w:val="none"/>
          <w:shd w:val="clear" w:fill="FFFFFF"/>
        </w:rPr>
      </w:pPr>
      <w:bookmarkStart w:id="135" w:name="_Toc12748"/>
      <w:r>
        <w:rPr>
          <w:rFonts w:hint="eastAsia" w:ascii="宋体" w:hAnsi="宋体" w:eastAsia="宋体" w:cs="宋体"/>
          <w:b/>
          <w:bCs/>
          <w:i w:val="0"/>
          <w:iCs w:val="0"/>
          <w:caps w:val="0"/>
          <w:color w:val="auto"/>
          <w:spacing w:val="0"/>
          <w:sz w:val="24"/>
          <w:szCs w:val="24"/>
          <w:highlight w:val="none"/>
          <w:shd w:val="clear" w:fill="FFFFFF"/>
        </w:rPr>
        <w:t>以上为</w:t>
      </w:r>
      <w:r>
        <w:rPr>
          <w:rFonts w:hint="eastAsia" w:ascii="宋体" w:hAnsi="宋体" w:eastAsia="宋体" w:cs="宋体"/>
          <w:b/>
          <w:bCs/>
          <w:i w:val="0"/>
          <w:iCs w:val="0"/>
          <w:caps w:val="0"/>
          <w:color w:val="auto"/>
          <w:spacing w:val="0"/>
          <w:sz w:val="24"/>
          <w:szCs w:val="24"/>
          <w:highlight w:val="none"/>
          <w:shd w:val="clear" w:fill="FFFFFF"/>
          <w:lang w:eastAsia="zh-CN"/>
        </w:rPr>
        <w:t>供应商</w:t>
      </w:r>
      <w:r>
        <w:rPr>
          <w:rFonts w:hint="eastAsia" w:ascii="宋体" w:hAnsi="宋体" w:eastAsia="宋体" w:cs="宋体"/>
          <w:b/>
          <w:bCs/>
          <w:i w:val="0"/>
          <w:iCs w:val="0"/>
          <w:caps w:val="0"/>
          <w:color w:val="auto"/>
          <w:spacing w:val="0"/>
          <w:sz w:val="24"/>
          <w:szCs w:val="24"/>
          <w:highlight w:val="none"/>
          <w:shd w:val="clear" w:fill="FFFFFF"/>
        </w:rPr>
        <w:t>必备资格要求，资格证明文件无效或缺项</w:t>
      </w:r>
      <w:r>
        <w:rPr>
          <w:rFonts w:hint="eastAsia" w:ascii="宋体" w:hAnsi="宋体" w:eastAsia="宋体" w:cs="宋体"/>
          <w:b/>
          <w:bCs/>
          <w:i w:val="0"/>
          <w:iCs w:val="0"/>
          <w:caps w:val="0"/>
          <w:color w:val="auto"/>
          <w:spacing w:val="0"/>
          <w:sz w:val="24"/>
          <w:szCs w:val="24"/>
          <w:highlight w:val="none"/>
          <w:shd w:val="clear" w:fill="FFFFFF"/>
          <w:lang w:eastAsia="zh-CN"/>
        </w:rPr>
        <w:t>响应文件</w:t>
      </w:r>
      <w:r>
        <w:rPr>
          <w:rFonts w:hint="eastAsia" w:ascii="宋体" w:hAnsi="宋体" w:eastAsia="宋体" w:cs="宋体"/>
          <w:b/>
          <w:bCs/>
          <w:i w:val="0"/>
          <w:iCs w:val="0"/>
          <w:caps w:val="0"/>
          <w:color w:val="auto"/>
          <w:spacing w:val="0"/>
          <w:sz w:val="24"/>
          <w:szCs w:val="24"/>
          <w:highlight w:val="none"/>
          <w:shd w:val="clear" w:fill="FFFFFF"/>
        </w:rPr>
        <w:t>按无效</w:t>
      </w:r>
      <w:r>
        <w:rPr>
          <w:rFonts w:hint="eastAsia" w:ascii="宋体" w:hAnsi="宋体" w:eastAsia="宋体" w:cs="宋体"/>
          <w:b/>
          <w:bCs/>
          <w:i w:val="0"/>
          <w:iCs w:val="0"/>
          <w:caps w:val="0"/>
          <w:color w:val="auto"/>
          <w:spacing w:val="0"/>
          <w:sz w:val="24"/>
          <w:szCs w:val="24"/>
          <w:highlight w:val="none"/>
          <w:shd w:val="clear" w:fill="FFFFFF"/>
          <w:lang w:eastAsia="zh-CN"/>
        </w:rPr>
        <w:t>响应文件</w:t>
      </w:r>
      <w:r>
        <w:rPr>
          <w:rFonts w:hint="eastAsia" w:ascii="宋体" w:hAnsi="宋体" w:eastAsia="宋体" w:cs="宋体"/>
          <w:b/>
          <w:bCs/>
          <w:i w:val="0"/>
          <w:iCs w:val="0"/>
          <w:caps w:val="0"/>
          <w:color w:val="auto"/>
          <w:spacing w:val="0"/>
          <w:sz w:val="24"/>
          <w:szCs w:val="24"/>
          <w:highlight w:val="none"/>
          <w:shd w:val="clear" w:fill="FFFFFF"/>
        </w:rPr>
        <w:t>处理。</w:t>
      </w:r>
    </w:p>
    <w:p w14:paraId="1ED09501">
      <w:pPr>
        <w:pStyle w:val="1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9"/>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书面声明、法人身份证明和法定代表人</w:t>
      </w:r>
      <w:r>
        <w:rPr>
          <w:rFonts w:hint="eastAsia" w:ascii="宋体" w:hAnsi="宋体" w:eastAsia="宋体" w:cs="宋体"/>
          <w:b/>
          <w:bCs/>
          <w:i w:val="0"/>
          <w:iCs w:val="0"/>
          <w:caps w:val="0"/>
          <w:color w:val="auto"/>
          <w:spacing w:val="0"/>
          <w:sz w:val="24"/>
          <w:szCs w:val="24"/>
          <w:highlight w:val="none"/>
          <w:shd w:val="clear" w:fill="FFFFFF"/>
          <w:lang w:val="en-US" w:eastAsia="zh-CN"/>
        </w:rPr>
        <w:t>/负责人</w:t>
      </w:r>
      <w:r>
        <w:rPr>
          <w:rFonts w:hint="eastAsia" w:ascii="宋体" w:hAnsi="宋体" w:eastAsia="宋体" w:cs="宋体"/>
          <w:b/>
          <w:bCs/>
          <w:i w:val="0"/>
          <w:iCs w:val="0"/>
          <w:caps w:val="0"/>
          <w:color w:val="auto"/>
          <w:spacing w:val="0"/>
          <w:sz w:val="24"/>
          <w:szCs w:val="24"/>
          <w:highlight w:val="none"/>
          <w:shd w:val="clear" w:fill="FFFFFF"/>
        </w:rPr>
        <w:t>委托授权书应按</w:t>
      </w:r>
      <w:r>
        <w:rPr>
          <w:rFonts w:hint="eastAsia" w:ascii="宋体" w:hAnsi="宋体" w:eastAsia="宋体" w:cs="宋体"/>
          <w:b/>
          <w:bCs/>
          <w:i w:val="0"/>
          <w:iCs w:val="0"/>
          <w:caps w:val="0"/>
          <w:color w:val="auto"/>
          <w:spacing w:val="0"/>
          <w:sz w:val="24"/>
          <w:szCs w:val="24"/>
          <w:highlight w:val="none"/>
          <w:shd w:val="clear" w:fill="FFFFFF"/>
          <w:lang w:eastAsia="zh-CN"/>
        </w:rPr>
        <w:t>竞争性磋商文件</w:t>
      </w:r>
      <w:r>
        <w:rPr>
          <w:rFonts w:hint="eastAsia" w:ascii="宋体" w:hAnsi="宋体" w:eastAsia="宋体" w:cs="宋体"/>
          <w:b/>
          <w:bCs/>
          <w:i w:val="0"/>
          <w:iCs w:val="0"/>
          <w:caps w:val="0"/>
          <w:color w:val="auto"/>
          <w:spacing w:val="0"/>
          <w:sz w:val="24"/>
          <w:szCs w:val="24"/>
          <w:highlight w:val="none"/>
          <w:shd w:val="clear" w:fill="FFFFFF"/>
        </w:rPr>
        <w:t>给定的格式填写</w:t>
      </w:r>
      <w:r>
        <w:rPr>
          <w:rFonts w:hint="eastAsia" w:ascii="宋体" w:hAnsi="宋体" w:eastAsia="宋体" w:cs="宋体"/>
          <w:b/>
          <w:bCs/>
          <w:i w:val="0"/>
          <w:iCs w:val="0"/>
          <w:caps w:val="0"/>
          <w:color w:val="auto"/>
          <w:spacing w:val="0"/>
          <w:sz w:val="24"/>
          <w:szCs w:val="24"/>
          <w:highlight w:val="none"/>
          <w:shd w:val="clear" w:fill="FFFFFF"/>
          <w:lang w:eastAsia="zh-CN"/>
        </w:rPr>
        <w:t>响应文件</w:t>
      </w:r>
      <w:r>
        <w:rPr>
          <w:rFonts w:hint="eastAsia" w:ascii="宋体" w:hAnsi="宋体" w:eastAsia="宋体" w:cs="宋体"/>
          <w:b/>
          <w:bCs/>
          <w:i w:val="0"/>
          <w:iCs w:val="0"/>
          <w:caps w:val="0"/>
          <w:color w:val="auto"/>
          <w:spacing w:val="0"/>
          <w:sz w:val="24"/>
          <w:szCs w:val="24"/>
          <w:highlight w:val="none"/>
          <w:shd w:val="clear" w:fill="FFFFFF"/>
        </w:rPr>
        <w:t>中必须附原件，其他资格证明文件提供复印件并加盖</w:t>
      </w:r>
      <w:r>
        <w:rPr>
          <w:rFonts w:hint="eastAsia" w:ascii="宋体" w:hAnsi="宋体" w:eastAsia="宋体" w:cs="宋体"/>
          <w:b/>
          <w:bCs/>
          <w:i w:val="0"/>
          <w:iCs w:val="0"/>
          <w:caps w:val="0"/>
          <w:color w:val="auto"/>
          <w:spacing w:val="0"/>
          <w:sz w:val="24"/>
          <w:szCs w:val="24"/>
          <w:highlight w:val="none"/>
          <w:shd w:val="clear" w:fill="FFFFFF"/>
          <w:lang w:eastAsia="zh-CN"/>
        </w:rPr>
        <w:t>供应商</w:t>
      </w:r>
      <w:r>
        <w:rPr>
          <w:rFonts w:hint="eastAsia" w:ascii="宋体" w:hAnsi="宋体" w:eastAsia="宋体" w:cs="宋体"/>
          <w:b/>
          <w:bCs/>
          <w:i w:val="0"/>
          <w:iCs w:val="0"/>
          <w:caps w:val="0"/>
          <w:color w:val="auto"/>
          <w:spacing w:val="0"/>
          <w:sz w:val="24"/>
          <w:szCs w:val="24"/>
          <w:highlight w:val="none"/>
          <w:shd w:val="clear" w:fill="FFFFFF"/>
        </w:rPr>
        <w:t>公章。</w:t>
      </w:r>
    </w:p>
    <w:p w14:paraId="60333967">
      <w:pPr>
        <w:pStyle w:val="1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9"/>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按照财政部《关于在政府采购活动中查询及使用信用记录有关问题的通知》(财库(2016)25号)要求，在资格审查阶段，采购人将对供应商的信用记录进行核查，出现上述16.3.5中所列失信行为的，将拒绝其参与政府采购活动。</w:t>
      </w:r>
    </w:p>
    <w:p w14:paraId="7BA4263C">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bookmarkStart w:id="136" w:name="_Toc19592"/>
      <w:bookmarkStart w:id="137" w:name="_Toc11605"/>
      <w:bookmarkStart w:id="138" w:name="_Toc1632"/>
      <w:r>
        <w:rPr>
          <w:rFonts w:hint="eastAsia" w:ascii="宋体" w:hAnsi="宋体" w:eastAsia="宋体" w:cs="宋体"/>
          <w:lang w:val="en-US" w:eastAsia="zh-CN"/>
        </w:rPr>
        <w:t>17.</w:t>
      </w:r>
      <w:r>
        <w:rPr>
          <w:rFonts w:hint="eastAsia" w:ascii="宋体" w:hAnsi="宋体" w:eastAsia="宋体" w:cs="宋体"/>
        </w:rPr>
        <w:t>证明服务的合格性和符合磋商文件规定的文件</w:t>
      </w:r>
      <w:bookmarkEnd w:id="135"/>
      <w:bookmarkEnd w:id="136"/>
      <w:bookmarkEnd w:id="137"/>
      <w:bookmarkEnd w:id="138"/>
    </w:p>
    <w:p w14:paraId="144E46BE">
      <w:pPr>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r>
        <w:rPr>
          <w:rFonts w:hint="eastAsia" w:ascii="宋体" w:hAnsi="宋体" w:eastAsia="宋体" w:cs="宋体"/>
          <w:lang w:val="en-US" w:eastAsia="zh-CN"/>
        </w:rPr>
        <w:t>17.1</w:t>
      </w:r>
      <w:r>
        <w:rPr>
          <w:rFonts w:hint="eastAsia" w:ascii="宋体" w:hAnsi="宋体" w:eastAsia="宋体" w:cs="宋体"/>
        </w:rPr>
        <w:t>供应商应对磋商文件中的各项条款做出清晰准确的答复。</w:t>
      </w:r>
    </w:p>
    <w:p w14:paraId="7E4B6AB3">
      <w:pPr>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r>
        <w:rPr>
          <w:rFonts w:hint="eastAsia" w:ascii="宋体" w:hAnsi="宋体" w:eastAsia="宋体" w:cs="宋体"/>
          <w:lang w:val="en-US" w:eastAsia="zh-CN"/>
        </w:rPr>
        <w:t>17.2</w:t>
      </w:r>
      <w:r>
        <w:rPr>
          <w:rFonts w:hint="eastAsia" w:ascii="宋体" w:hAnsi="宋体" w:eastAsia="宋体" w:cs="宋体"/>
        </w:rPr>
        <w:t>证明服务内容与磋商文件的要求相一致的文件。</w:t>
      </w:r>
    </w:p>
    <w:p w14:paraId="2A9C2C88">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lang w:eastAsia="zh-CN"/>
        </w:rPr>
      </w:pPr>
      <w:bookmarkStart w:id="139" w:name="_Toc11168"/>
      <w:bookmarkStart w:id="140" w:name="_Toc17959"/>
      <w:bookmarkStart w:id="141" w:name="_Toc17894"/>
      <w:bookmarkStart w:id="142" w:name="_Toc20776"/>
      <w:r>
        <w:rPr>
          <w:rFonts w:hint="eastAsia" w:ascii="宋体" w:hAnsi="宋体" w:eastAsia="宋体" w:cs="宋体"/>
        </w:rPr>
        <w:t>1</w:t>
      </w:r>
      <w:r>
        <w:rPr>
          <w:rFonts w:hint="eastAsia" w:ascii="宋体" w:hAnsi="宋体" w:eastAsia="宋体" w:cs="宋体"/>
          <w:lang w:val="en-US" w:eastAsia="zh-CN"/>
        </w:rPr>
        <w:t>8</w:t>
      </w:r>
      <w:r>
        <w:rPr>
          <w:rFonts w:hint="eastAsia" w:ascii="宋体" w:hAnsi="宋体" w:eastAsia="宋体" w:cs="宋体"/>
        </w:rPr>
        <w:t>．磋商保证金</w:t>
      </w:r>
      <w:r>
        <w:rPr>
          <w:rFonts w:hint="eastAsia" w:ascii="宋体" w:hAnsi="宋体" w:eastAsia="宋体" w:cs="宋体"/>
          <w:lang w:eastAsia="zh-CN"/>
        </w:rPr>
        <w:t>：无</w:t>
      </w:r>
      <w:bookmarkEnd w:id="139"/>
      <w:bookmarkEnd w:id="140"/>
      <w:bookmarkEnd w:id="141"/>
      <w:bookmarkEnd w:id="142"/>
    </w:p>
    <w:p w14:paraId="441B9EDB">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bookmarkStart w:id="143" w:name="_Toc28984"/>
      <w:bookmarkStart w:id="144" w:name="_Toc17266"/>
      <w:bookmarkStart w:id="145" w:name="_Toc2631"/>
      <w:bookmarkStart w:id="146" w:name="_Toc27882"/>
      <w:r>
        <w:rPr>
          <w:rFonts w:hint="eastAsia" w:ascii="宋体" w:hAnsi="宋体" w:eastAsia="宋体" w:cs="宋体"/>
          <w:lang w:val="zh-CN" w:eastAsia="zh-CN"/>
        </w:rPr>
        <w:t>1</w:t>
      </w:r>
      <w:r>
        <w:rPr>
          <w:rFonts w:hint="eastAsia" w:ascii="宋体" w:hAnsi="宋体" w:eastAsia="宋体" w:cs="宋体"/>
          <w:lang w:val="en-US" w:eastAsia="zh-CN"/>
        </w:rPr>
        <w:t>9</w:t>
      </w:r>
      <w:r>
        <w:rPr>
          <w:rFonts w:hint="eastAsia" w:ascii="宋体" w:hAnsi="宋体" w:eastAsia="宋体" w:cs="宋体"/>
          <w:lang w:val="zh-CN" w:eastAsia="zh-CN"/>
        </w:rPr>
        <w:t>.</w:t>
      </w:r>
      <w:r>
        <w:rPr>
          <w:rFonts w:hint="eastAsia" w:ascii="宋体" w:hAnsi="宋体" w:eastAsia="宋体" w:cs="宋体"/>
        </w:rPr>
        <w:t>磋商有效期</w:t>
      </w:r>
      <w:bookmarkEnd w:id="143"/>
      <w:bookmarkEnd w:id="144"/>
      <w:bookmarkEnd w:id="145"/>
      <w:bookmarkEnd w:id="146"/>
    </w:p>
    <w:p w14:paraId="2F73F070">
      <w:pPr>
        <w:pStyle w:val="23"/>
        <w:keepNext w:val="0"/>
        <w:keepLines w:val="0"/>
        <w:pageBreakBefore w:val="0"/>
        <w:widowControl w:val="0"/>
        <w:numPr>
          <w:ilvl w:val="1"/>
          <w:numId w:val="0"/>
        </w:numPr>
        <w:tabs>
          <w:tab w:val="left" w:pos="96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1</w:t>
      </w:r>
      <w:r>
        <w:rPr>
          <w:rFonts w:hint="eastAsia" w:ascii="宋体" w:hAnsi="宋体" w:eastAsia="宋体" w:cs="宋体"/>
          <w:w w:val="100"/>
          <w:sz w:val="24"/>
          <w:szCs w:val="24"/>
          <w:lang w:val="en-US" w:eastAsia="zh-CN" w:bidi="zh-CN"/>
        </w:rPr>
        <w:t>9</w:t>
      </w:r>
      <w:r>
        <w:rPr>
          <w:rFonts w:hint="eastAsia" w:ascii="宋体" w:hAnsi="宋体" w:eastAsia="宋体" w:cs="宋体"/>
          <w:w w:val="100"/>
          <w:sz w:val="24"/>
          <w:szCs w:val="24"/>
          <w:lang w:val="zh-CN" w:eastAsia="zh-CN" w:bidi="zh-CN"/>
        </w:rPr>
        <w:t>.1</w:t>
      </w:r>
      <w:r>
        <w:rPr>
          <w:rFonts w:hint="eastAsia" w:ascii="宋体" w:hAnsi="宋体" w:eastAsia="宋体" w:cs="宋体"/>
          <w:spacing w:val="-3"/>
          <w:sz w:val="24"/>
        </w:rPr>
        <w:t>磋商有效期为</w:t>
      </w:r>
      <w:r>
        <w:rPr>
          <w:rFonts w:hint="eastAsia" w:ascii="宋体" w:hAnsi="宋体" w:eastAsia="宋体" w:cs="宋体"/>
          <w:spacing w:val="-3"/>
          <w:sz w:val="24"/>
          <w:lang w:eastAsia="zh-CN"/>
        </w:rPr>
        <w:t>自磋商截止之日起</w:t>
      </w:r>
      <w:r>
        <w:rPr>
          <w:rFonts w:hint="eastAsia" w:ascii="宋体" w:hAnsi="宋体" w:eastAsia="宋体" w:cs="宋体"/>
          <w:sz w:val="24"/>
        </w:rPr>
        <w:t>90</w:t>
      </w:r>
      <w:r>
        <w:rPr>
          <w:rFonts w:hint="eastAsia" w:ascii="宋体" w:hAnsi="宋体" w:eastAsia="宋体" w:cs="宋体"/>
          <w:spacing w:val="-6"/>
          <w:sz w:val="24"/>
          <w:lang w:eastAsia="zh-CN"/>
        </w:rPr>
        <w:t>个</w:t>
      </w:r>
      <w:r>
        <w:rPr>
          <w:rFonts w:hint="eastAsia" w:ascii="宋体" w:hAnsi="宋体" w:eastAsia="宋体" w:cs="宋体"/>
          <w:spacing w:val="-6"/>
          <w:sz w:val="24"/>
        </w:rPr>
        <w:t>日历天。成交供应商响应文件有</w:t>
      </w:r>
      <w:r>
        <w:rPr>
          <w:rFonts w:hint="eastAsia" w:ascii="宋体" w:hAnsi="宋体" w:eastAsia="宋体" w:cs="宋体"/>
          <w:spacing w:val="-8"/>
          <w:sz w:val="24"/>
        </w:rPr>
        <w:t>效期自动延长至项目</w:t>
      </w:r>
      <w:r>
        <w:rPr>
          <w:rFonts w:hint="eastAsia" w:ascii="宋体" w:hAnsi="宋体" w:eastAsia="宋体" w:cs="宋体"/>
          <w:spacing w:val="-8"/>
          <w:sz w:val="24"/>
          <w:lang w:eastAsia="zh-CN"/>
        </w:rPr>
        <w:t>交付期</w:t>
      </w:r>
      <w:r>
        <w:rPr>
          <w:rFonts w:hint="eastAsia" w:ascii="宋体" w:hAnsi="宋体" w:eastAsia="宋体" w:cs="宋体"/>
          <w:spacing w:val="-8"/>
          <w:sz w:val="24"/>
        </w:rPr>
        <w:t>结束。响应文件的有效期比本须知规定的有效期短的，</w:t>
      </w:r>
      <w:r>
        <w:rPr>
          <w:rFonts w:hint="eastAsia" w:ascii="宋体" w:hAnsi="宋体" w:eastAsia="宋体" w:cs="宋体"/>
          <w:sz w:val="24"/>
        </w:rPr>
        <w:t>将被视为非响应报价，采购人有权拒绝。</w:t>
      </w:r>
    </w:p>
    <w:p w14:paraId="44E6E52C">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1</w:t>
      </w:r>
      <w:r>
        <w:rPr>
          <w:rFonts w:hint="eastAsia" w:ascii="宋体" w:hAnsi="宋体" w:eastAsia="宋体" w:cs="宋体"/>
          <w:w w:val="100"/>
          <w:sz w:val="24"/>
          <w:szCs w:val="24"/>
          <w:lang w:val="en-US" w:eastAsia="zh-CN" w:bidi="zh-CN"/>
        </w:rPr>
        <w:t>9</w:t>
      </w:r>
      <w:r>
        <w:rPr>
          <w:rFonts w:hint="eastAsia" w:ascii="宋体" w:hAnsi="宋体" w:eastAsia="宋体" w:cs="宋体"/>
          <w:w w:val="100"/>
          <w:sz w:val="24"/>
          <w:szCs w:val="24"/>
          <w:lang w:val="zh-CN" w:eastAsia="zh-CN" w:bidi="zh-CN"/>
        </w:rPr>
        <w:t>.2</w:t>
      </w:r>
      <w:r>
        <w:rPr>
          <w:rFonts w:hint="eastAsia" w:ascii="宋体" w:hAnsi="宋体" w:eastAsia="宋体" w:cs="宋体"/>
          <w:spacing w:val="-4"/>
          <w:sz w:val="24"/>
        </w:rPr>
        <w:t>特殊情况下，采购人可于磋商有效期满之前要求供应商同意延长有效期，要</w:t>
      </w:r>
      <w:r>
        <w:rPr>
          <w:rFonts w:hint="eastAsia" w:ascii="宋体" w:hAnsi="宋体" w:eastAsia="宋体" w:cs="宋体"/>
          <w:sz w:val="24"/>
        </w:rPr>
        <w:t>求与答复均应为书面形式。</w:t>
      </w:r>
    </w:p>
    <w:p w14:paraId="59C1A363">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bookmarkStart w:id="147" w:name="20．响应文件的签署及格式"/>
      <w:bookmarkEnd w:id="147"/>
      <w:bookmarkStart w:id="148" w:name="20．响应文件的签署及格式"/>
      <w:bookmarkEnd w:id="148"/>
      <w:bookmarkStart w:id="149" w:name="_Toc28785"/>
      <w:bookmarkStart w:id="150" w:name="_Toc10759"/>
      <w:bookmarkStart w:id="151" w:name="_Toc13596"/>
      <w:bookmarkStart w:id="152" w:name="_Toc18808"/>
      <w:r>
        <w:rPr>
          <w:rFonts w:hint="eastAsia" w:ascii="宋体" w:hAnsi="宋体" w:eastAsia="宋体" w:cs="宋体"/>
          <w:lang w:val="en-US" w:eastAsia="zh-CN"/>
        </w:rPr>
        <w:t>20.</w:t>
      </w:r>
      <w:r>
        <w:rPr>
          <w:rFonts w:hint="eastAsia" w:ascii="宋体" w:hAnsi="宋体" w:eastAsia="宋体" w:cs="宋体"/>
        </w:rPr>
        <w:t>响应文件的签署及格式</w:t>
      </w:r>
      <w:bookmarkEnd w:id="149"/>
      <w:bookmarkEnd w:id="150"/>
      <w:bookmarkEnd w:id="151"/>
      <w:bookmarkEnd w:id="152"/>
    </w:p>
    <w:p w14:paraId="2B2A18C8">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20.1</w:t>
      </w:r>
      <w:r>
        <w:rPr>
          <w:rFonts w:hint="eastAsia" w:ascii="宋体" w:hAnsi="宋体" w:eastAsia="宋体" w:cs="宋体"/>
          <w:spacing w:val="-1"/>
          <w:sz w:val="24"/>
        </w:rPr>
        <w:t>响应文件需打印或者使用墨水笔书写，按要求在响应文件上签字或加盖单位</w:t>
      </w:r>
      <w:r>
        <w:rPr>
          <w:rFonts w:hint="eastAsia" w:ascii="宋体" w:hAnsi="宋体" w:eastAsia="宋体" w:cs="宋体"/>
          <w:sz w:val="24"/>
        </w:rPr>
        <w:t>公章。如对响应文件进行了修改，则应当由被授权人在修改的每一页上签字。</w:t>
      </w:r>
    </w:p>
    <w:p w14:paraId="18430E4C">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20.2</w:t>
      </w:r>
      <w:r>
        <w:rPr>
          <w:rFonts w:hint="eastAsia" w:ascii="宋体" w:hAnsi="宋体" w:eastAsia="宋体" w:cs="宋体"/>
          <w:spacing w:val="-4"/>
          <w:sz w:val="24"/>
        </w:rPr>
        <w:t>除供应商对错处作必要修改外，响应文件中不许有加行、涂抹或改写。若有</w:t>
      </w:r>
      <w:r>
        <w:rPr>
          <w:rFonts w:hint="eastAsia" w:ascii="宋体" w:hAnsi="宋体" w:eastAsia="宋体" w:cs="宋体"/>
          <w:sz w:val="24"/>
        </w:rPr>
        <w:t>修改须由签署响应文件的被授权人在旁边签字才有效。</w:t>
      </w:r>
    </w:p>
    <w:p w14:paraId="1AD22487">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20.3</w:t>
      </w:r>
      <w:r>
        <w:rPr>
          <w:rFonts w:hint="eastAsia" w:ascii="宋体" w:hAnsi="宋体" w:eastAsia="宋体" w:cs="宋体"/>
          <w:sz w:val="24"/>
        </w:rPr>
        <w:t>以电话、传真、电子邮件形式的磋商将被拒绝。</w:t>
      </w:r>
    </w:p>
    <w:p w14:paraId="4558727C">
      <w:pPr>
        <w:pStyle w:val="3"/>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bookmarkStart w:id="153" w:name="D．响应文件的递交"/>
      <w:bookmarkEnd w:id="153"/>
      <w:bookmarkStart w:id="154" w:name="D．响应文件的递交"/>
      <w:bookmarkEnd w:id="154"/>
      <w:bookmarkStart w:id="155" w:name="_Toc15292"/>
      <w:bookmarkStart w:id="156" w:name="_Toc30541"/>
      <w:bookmarkStart w:id="157" w:name="_Toc9831"/>
      <w:bookmarkStart w:id="158" w:name="_Toc17997"/>
      <w:bookmarkStart w:id="159" w:name="_Toc1322"/>
      <w:r>
        <w:rPr>
          <w:rFonts w:hint="eastAsia" w:ascii="宋体" w:hAnsi="宋体" w:eastAsia="宋体" w:cs="宋体"/>
          <w:lang w:eastAsia="zh-CN"/>
        </w:rPr>
        <w:t>四、</w:t>
      </w:r>
      <w:r>
        <w:rPr>
          <w:rFonts w:hint="eastAsia" w:ascii="宋体" w:hAnsi="宋体" w:eastAsia="宋体" w:cs="宋体"/>
        </w:rPr>
        <w:t>响应文件的递交</w:t>
      </w:r>
      <w:bookmarkEnd w:id="155"/>
      <w:bookmarkEnd w:id="156"/>
      <w:bookmarkEnd w:id="157"/>
      <w:bookmarkEnd w:id="158"/>
      <w:bookmarkEnd w:id="159"/>
      <w:bookmarkStart w:id="160" w:name="21．响应文件的数量、包装和标记"/>
      <w:bookmarkEnd w:id="160"/>
    </w:p>
    <w:p w14:paraId="184308D8">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rPr>
      </w:pPr>
      <w:bookmarkStart w:id="161" w:name="_Toc31995"/>
      <w:bookmarkStart w:id="162" w:name="_Toc28759"/>
      <w:bookmarkStart w:id="163" w:name="_Toc13332"/>
      <w:bookmarkStart w:id="164" w:name="_Toc16594"/>
      <w:r>
        <w:rPr>
          <w:rFonts w:hint="eastAsia" w:ascii="宋体" w:hAnsi="宋体" w:eastAsia="宋体" w:cs="宋体"/>
        </w:rPr>
        <w:t>21．响应文件的数量、包装和标记</w:t>
      </w:r>
      <w:bookmarkEnd w:id="161"/>
      <w:bookmarkEnd w:id="162"/>
      <w:bookmarkEnd w:id="163"/>
      <w:bookmarkEnd w:id="164"/>
    </w:p>
    <w:p w14:paraId="013CCE6E">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both"/>
        <w:textAlignment w:val="auto"/>
        <w:rPr>
          <w:rFonts w:hint="eastAsia" w:ascii="宋体" w:hAnsi="宋体" w:eastAsia="宋体" w:cs="宋体"/>
          <w:spacing w:val="-3"/>
          <w:lang w:eastAsia="zh-CN"/>
        </w:rPr>
      </w:pPr>
      <w:r>
        <w:rPr>
          <w:rFonts w:hint="eastAsia" w:ascii="宋体" w:hAnsi="宋体" w:eastAsia="宋体" w:cs="宋体"/>
        </w:rPr>
        <w:t>21.1</w:t>
      </w:r>
      <w:r>
        <w:rPr>
          <w:rFonts w:hint="eastAsia" w:ascii="宋体" w:hAnsi="宋体" w:eastAsia="宋体" w:cs="宋体"/>
          <w:spacing w:val="-4"/>
        </w:rPr>
        <w:t xml:space="preserve"> 响应文件一套正本“响应文件”、二份副本“响应文件”、一份“电子版文</w:t>
      </w:r>
      <w:r>
        <w:rPr>
          <w:rFonts w:hint="eastAsia" w:ascii="宋体" w:hAnsi="宋体" w:eastAsia="宋体" w:cs="宋体"/>
        </w:rPr>
        <w:t>件”（U</w:t>
      </w:r>
      <w:r>
        <w:rPr>
          <w:rFonts w:hint="eastAsia" w:ascii="宋体" w:hAnsi="宋体" w:eastAsia="宋体" w:cs="宋体"/>
          <w:spacing w:val="-19"/>
        </w:rPr>
        <w:t xml:space="preserve"> 盘： </w:t>
      </w:r>
      <w:r>
        <w:rPr>
          <w:rFonts w:hint="eastAsia" w:ascii="宋体" w:hAnsi="宋体" w:eastAsia="宋体" w:cs="宋体"/>
        </w:rPr>
        <w:t>Word</w:t>
      </w:r>
      <w:r>
        <w:rPr>
          <w:rFonts w:hint="eastAsia" w:ascii="宋体" w:hAnsi="宋体" w:eastAsia="宋体" w:cs="宋体"/>
          <w:spacing w:val="-14"/>
        </w:rPr>
        <w:t xml:space="preserve"> </w:t>
      </w:r>
      <w:r>
        <w:rPr>
          <w:rFonts w:hint="eastAsia" w:ascii="宋体" w:hAnsi="宋体" w:eastAsia="宋体" w:cs="宋体"/>
          <w:spacing w:val="-14"/>
          <w:lang w:eastAsia="zh-CN"/>
        </w:rPr>
        <w:t>版</w:t>
      </w:r>
      <w:r>
        <w:rPr>
          <w:rFonts w:hint="eastAsia" w:ascii="宋体" w:hAnsi="宋体" w:eastAsia="宋体" w:cs="宋体"/>
        </w:rPr>
        <w:t>）。响应文件封面应注明“正本”、“副本”，一旦正本与副本不符，以正本为主，</w:t>
      </w:r>
      <w:r>
        <w:rPr>
          <w:rFonts w:hint="eastAsia" w:ascii="宋体" w:hAnsi="宋体" w:eastAsia="宋体" w:cs="宋体"/>
          <w:lang w:eastAsia="zh-CN"/>
        </w:rPr>
        <w:t>电子版文件表面应标记单位名称，</w:t>
      </w:r>
      <w:r>
        <w:rPr>
          <w:rFonts w:hint="eastAsia" w:ascii="宋体" w:hAnsi="宋体" w:eastAsia="宋体" w:cs="宋体"/>
        </w:rPr>
        <w:t>响应文件应胶装成册。提倡双面打印。供应商的</w:t>
      </w:r>
      <w:r>
        <w:rPr>
          <w:rFonts w:hint="eastAsia" w:ascii="宋体" w:hAnsi="宋体" w:eastAsia="宋体" w:cs="宋体"/>
          <w:lang w:eastAsia="zh-CN"/>
        </w:rPr>
        <w:t>响应文件</w:t>
      </w:r>
      <w:r>
        <w:rPr>
          <w:rFonts w:hint="eastAsia" w:ascii="宋体" w:hAnsi="宋体" w:eastAsia="宋体" w:cs="宋体"/>
        </w:rPr>
        <w:t>不得漏页、插页。并保证</w:t>
      </w:r>
      <w:r>
        <w:rPr>
          <w:rFonts w:hint="eastAsia" w:ascii="宋体" w:hAnsi="宋体" w:eastAsia="宋体" w:cs="宋体"/>
          <w:lang w:eastAsia="zh-CN"/>
        </w:rPr>
        <w:t>响应文件</w:t>
      </w:r>
      <w:r>
        <w:rPr>
          <w:rFonts w:hint="eastAsia" w:ascii="宋体" w:hAnsi="宋体" w:eastAsia="宋体" w:cs="宋体"/>
        </w:rPr>
        <w:t>不至于散开或用简单办法不能将任何一页在没有任何损坏的情况</w:t>
      </w:r>
      <w:r>
        <w:rPr>
          <w:rFonts w:hint="eastAsia" w:ascii="宋体" w:hAnsi="宋体" w:eastAsia="宋体" w:cs="宋体"/>
          <w:spacing w:val="-3"/>
        </w:rPr>
        <w:t>下取出或插入</w:t>
      </w:r>
      <w:r>
        <w:rPr>
          <w:rFonts w:hint="eastAsia" w:ascii="宋体" w:hAnsi="宋体" w:eastAsia="宋体" w:cs="宋体"/>
          <w:spacing w:val="-3"/>
          <w:lang w:eastAsia="zh-CN"/>
        </w:rPr>
        <w:t>。</w:t>
      </w:r>
    </w:p>
    <w:p w14:paraId="0DEA6469">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both"/>
        <w:textAlignment w:val="auto"/>
        <w:rPr>
          <w:rFonts w:hint="eastAsia" w:ascii="宋体" w:hAnsi="宋体" w:eastAsia="宋体" w:cs="宋体"/>
          <w:b w:val="0"/>
          <w:bCs w:val="0"/>
        </w:rPr>
      </w:pPr>
      <w:r>
        <w:rPr>
          <w:rFonts w:hint="eastAsia" w:ascii="宋体" w:hAnsi="宋体" w:eastAsia="宋体" w:cs="宋体"/>
          <w:spacing w:val="-3"/>
          <w:lang w:val="en-US" w:eastAsia="zh-CN"/>
        </w:rPr>
        <w:t xml:space="preserve">21.2 </w:t>
      </w:r>
      <w:r>
        <w:rPr>
          <w:rFonts w:hint="eastAsia" w:ascii="宋体" w:hAnsi="宋体" w:eastAsia="宋体" w:cs="宋体"/>
          <w:spacing w:val="-3"/>
        </w:rPr>
        <w:t>响应文件</w:t>
      </w:r>
      <w:r>
        <w:rPr>
          <w:rFonts w:hint="eastAsia" w:ascii="宋体" w:hAnsi="宋体" w:eastAsia="宋体" w:cs="宋体"/>
          <w:spacing w:val="-3"/>
          <w:lang w:eastAsia="zh-CN"/>
        </w:rPr>
        <w:t>的正本</w:t>
      </w:r>
      <w:r>
        <w:rPr>
          <w:rFonts w:hint="eastAsia" w:ascii="宋体" w:hAnsi="宋体" w:eastAsia="宋体" w:cs="宋体"/>
          <w:spacing w:val="-3"/>
          <w:lang w:val="en-US" w:eastAsia="zh-CN"/>
        </w:rPr>
        <w:t>及电子版文件</w:t>
      </w:r>
      <w:r>
        <w:rPr>
          <w:rFonts w:hint="eastAsia" w:ascii="宋体" w:hAnsi="宋体" w:eastAsia="宋体" w:cs="宋体"/>
          <w:spacing w:val="-3"/>
        </w:rPr>
        <w:t>密封</w:t>
      </w:r>
      <w:r>
        <w:rPr>
          <w:rFonts w:hint="eastAsia" w:ascii="宋体" w:hAnsi="宋体" w:eastAsia="宋体" w:cs="宋体"/>
          <w:spacing w:val="-3"/>
          <w:lang w:val="en-US" w:eastAsia="zh-CN"/>
        </w:rPr>
        <w:t>于一个标袋中</w:t>
      </w:r>
      <w:r>
        <w:rPr>
          <w:rFonts w:hint="eastAsia" w:ascii="宋体" w:hAnsi="宋体" w:eastAsia="宋体" w:cs="宋体"/>
          <w:spacing w:val="-3"/>
        </w:rPr>
        <w:t>递交</w:t>
      </w:r>
      <w:r>
        <w:rPr>
          <w:rFonts w:hint="eastAsia" w:ascii="宋体" w:hAnsi="宋体" w:eastAsia="宋体" w:cs="宋体"/>
          <w:spacing w:val="-3"/>
          <w:lang w:eastAsia="zh-CN"/>
        </w:rPr>
        <w:t>，</w:t>
      </w:r>
      <w:r>
        <w:rPr>
          <w:rFonts w:hint="eastAsia" w:ascii="宋体" w:hAnsi="宋体" w:eastAsia="宋体" w:cs="宋体"/>
          <w:spacing w:val="-3"/>
          <w:lang w:val="en-US" w:eastAsia="zh-CN"/>
        </w:rPr>
        <w:t>副本</w:t>
      </w:r>
      <w:r>
        <w:rPr>
          <w:rFonts w:hint="eastAsia" w:ascii="宋体" w:hAnsi="宋体" w:eastAsia="宋体" w:cs="宋体"/>
          <w:spacing w:val="-3"/>
        </w:rPr>
        <w:t>密封</w:t>
      </w:r>
      <w:r>
        <w:rPr>
          <w:rFonts w:hint="eastAsia" w:ascii="宋体" w:hAnsi="宋体" w:eastAsia="宋体" w:cs="宋体"/>
          <w:spacing w:val="-3"/>
          <w:lang w:val="en-US" w:eastAsia="zh-CN"/>
        </w:rPr>
        <w:t>于一个标袋中</w:t>
      </w:r>
      <w:r>
        <w:rPr>
          <w:rFonts w:hint="eastAsia" w:ascii="宋体" w:hAnsi="宋体" w:eastAsia="宋体" w:cs="宋体"/>
          <w:spacing w:val="-3"/>
        </w:rPr>
        <w:t>递交</w:t>
      </w:r>
      <w:r>
        <w:rPr>
          <w:rFonts w:hint="eastAsia" w:ascii="宋体" w:hAnsi="宋体" w:eastAsia="宋体" w:cs="宋体"/>
          <w:spacing w:val="-3"/>
          <w:lang w:eastAsia="zh-CN"/>
        </w:rPr>
        <w:t>（</w:t>
      </w:r>
      <w:r>
        <w:rPr>
          <w:rFonts w:hint="eastAsia" w:ascii="宋体" w:hAnsi="宋体" w:eastAsia="宋体" w:cs="宋体"/>
          <w:spacing w:val="-3"/>
          <w:lang w:val="en-US" w:eastAsia="zh-CN"/>
        </w:rPr>
        <w:t>共二</w:t>
      </w:r>
      <w:r>
        <w:rPr>
          <w:rFonts w:hint="eastAsia" w:ascii="宋体" w:hAnsi="宋体" w:eastAsia="宋体" w:cs="宋体"/>
          <w:spacing w:val="-3"/>
          <w:lang w:eastAsia="zh-CN"/>
        </w:rPr>
        <w:t>个密封袋</w:t>
      </w:r>
      <w:r>
        <w:rPr>
          <w:rFonts w:hint="eastAsia" w:ascii="宋体" w:hAnsi="宋体" w:eastAsia="宋体" w:cs="宋体"/>
          <w:spacing w:val="-3"/>
          <w:lang w:val="en-US" w:eastAsia="zh-CN"/>
        </w:rPr>
        <w:t>/箱</w:t>
      </w:r>
      <w:r>
        <w:rPr>
          <w:rFonts w:hint="eastAsia" w:ascii="宋体" w:hAnsi="宋体" w:eastAsia="宋体" w:cs="宋体"/>
          <w:spacing w:val="-3"/>
          <w:lang w:eastAsia="zh-CN"/>
        </w:rPr>
        <w:t>）</w:t>
      </w:r>
      <w:r>
        <w:rPr>
          <w:rFonts w:hint="eastAsia" w:ascii="宋体" w:hAnsi="宋体" w:eastAsia="宋体" w:cs="宋体"/>
          <w:spacing w:val="-3"/>
        </w:rPr>
        <w:t>，</w:t>
      </w:r>
      <w:r>
        <w:rPr>
          <w:rFonts w:hint="eastAsia" w:ascii="宋体" w:hAnsi="宋体" w:eastAsia="宋体" w:cs="宋体"/>
          <w:b w:val="0"/>
          <w:bCs w:val="0"/>
          <w:spacing w:val="-3"/>
        </w:rPr>
        <w:t>密封袋</w:t>
      </w:r>
      <w:r>
        <w:rPr>
          <w:rFonts w:hint="eastAsia" w:ascii="宋体" w:hAnsi="宋体" w:eastAsia="宋体" w:cs="宋体"/>
          <w:b w:val="0"/>
          <w:bCs w:val="0"/>
        </w:rPr>
        <w:t>/</w:t>
      </w:r>
      <w:r>
        <w:rPr>
          <w:rFonts w:hint="eastAsia" w:ascii="宋体" w:hAnsi="宋体" w:eastAsia="宋体" w:cs="宋体"/>
          <w:b w:val="0"/>
          <w:bCs w:val="0"/>
          <w:spacing w:val="-2"/>
        </w:rPr>
        <w:t>箱封面</w:t>
      </w:r>
      <w:r>
        <w:rPr>
          <w:rFonts w:hint="eastAsia" w:ascii="宋体" w:hAnsi="宋体" w:eastAsia="宋体" w:cs="宋体"/>
          <w:b w:val="0"/>
          <w:bCs w:val="0"/>
          <w:spacing w:val="-2"/>
          <w:lang w:eastAsia="zh-CN"/>
        </w:rPr>
        <w:t>须清楚标记：</w:t>
      </w:r>
      <w:r>
        <w:rPr>
          <w:rFonts w:hint="eastAsia" w:ascii="宋体" w:hAnsi="宋体" w:eastAsia="宋体" w:cs="宋体"/>
          <w:b w:val="0"/>
          <w:bCs w:val="0"/>
        </w:rPr>
        <w:t>项目名称</w:t>
      </w:r>
      <w:r>
        <w:rPr>
          <w:rFonts w:hint="eastAsia" w:ascii="宋体" w:hAnsi="宋体" w:eastAsia="宋体" w:cs="宋体"/>
          <w:b w:val="0"/>
          <w:bCs w:val="0"/>
          <w:lang w:eastAsia="zh-CN"/>
        </w:rPr>
        <w:t>、项目编号、响应文件（</w:t>
      </w:r>
      <w:r>
        <w:rPr>
          <w:rFonts w:hint="eastAsia" w:ascii="宋体" w:hAnsi="宋体" w:eastAsia="宋体" w:cs="宋体"/>
          <w:b w:val="0"/>
          <w:bCs w:val="0"/>
          <w:lang w:val="en-US" w:eastAsia="zh-CN"/>
        </w:rPr>
        <w:t>正本及电子版文件/副本</w:t>
      </w:r>
      <w:r>
        <w:rPr>
          <w:rFonts w:hint="eastAsia" w:ascii="宋体" w:hAnsi="宋体" w:eastAsia="宋体" w:cs="宋体"/>
          <w:b w:val="0"/>
          <w:bCs w:val="0"/>
          <w:lang w:eastAsia="zh-CN"/>
        </w:rPr>
        <w:t>）、供应商名称等字样</w:t>
      </w:r>
      <w:r>
        <w:rPr>
          <w:rFonts w:hint="eastAsia" w:ascii="宋体" w:hAnsi="宋体" w:eastAsia="宋体" w:cs="宋体"/>
          <w:b w:val="0"/>
          <w:bCs w:val="0"/>
        </w:rPr>
        <w:t>。</w:t>
      </w:r>
    </w:p>
    <w:p w14:paraId="4BA14E63">
      <w:pPr>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21.3响应文件未按照上述21.1条及21.2条规定要求封装的，由此产生的不良后果由供应商自行承担。</w:t>
      </w:r>
    </w:p>
    <w:p w14:paraId="3078F8F2">
      <w:pPr>
        <w:pStyle w:val="4"/>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s="宋体"/>
          <w:lang w:eastAsia="zh-CN"/>
        </w:rPr>
      </w:pPr>
      <w:bookmarkStart w:id="165" w:name="22．磋商截止时间"/>
      <w:bookmarkEnd w:id="165"/>
      <w:bookmarkStart w:id="166" w:name="22．磋商截止时间"/>
      <w:bookmarkEnd w:id="166"/>
      <w:bookmarkStart w:id="167" w:name="_Toc31122"/>
      <w:bookmarkStart w:id="168" w:name="_Toc22432"/>
      <w:bookmarkStart w:id="169" w:name="_Toc26829"/>
      <w:bookmarkStart w:id="170" w:name="_Toc28503"/>
      <w:r>
        <w:rPr>
          <w:rFonts w:hint="eastAsia" w:ascii="宋体" w:hAnsi="宋体" w:eastAsia="宋体" w:cs="宋体"/>
          <w:lang w:val="zh-CN" w:eastAsia="zh-CN"/>
        </w:rPr>
        <w:t>22.响应文件的递交</w:t>
      </w:r>
      <w:bookmarkEnd w:id="167"/>
      <w:bookmarkEnd w:id="168"/>
      <w:bookmarkEnd w:id="169"/>
      <w:bookmarkEnd w:id="170"/>
    </w:p>
    <w:p w14:paraId="6D4E0537">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4"/>
          <w:lang w:eastAsia="zh-CN"/>
        </w:rPr>
      </w:pPr>
      <w:r>
        <w:rPr>
          <w:rFonts w:hint="eastAsia" w:ascii="宋体" w:hAnsi="宋体" w:eastAsia="宋体" w:cs="宋体"/>
          <w:spacing w:val="-15"/>
          <w:w w:val="100"/>
          <w:sz w:val="24"/>
          <w:szCs w:val="24"/>
          <w:lang w:val="zh-CN" w:eastAsia="zh-CN" w:bidi="zh-CN"/>
        </w:rPr>
        <w:t>22.1</w:t>
      </w:r>
      <w:r>
        <w:rPr>
          <w:rFonts w:hint="eastAsia" w:ascii="宋体" w:hAnsi="宋体" w:eastAsia="宋体" w:cs="宋体"/>
          <w:spacing w:val="-15"/>
          <w:w w:val="100"/>
          <w:sz w:val="24"/>
          <w:szCs w:val="24"/>
          <w:lang w:val="en-US" w:eastAsia="zh-CN" w:bidi="zh-CN"/>
        </w:rPr>
        <w:t xml:space="preserve"> </w:t>
      </w:r>
      <w:r>
        <w:rPr>
          <w:rFonts w:hint="eastAsia" w:ascii="宋体" w:hAnsi="宋体" w:eastAsia="宋体" w:cs="宋体"/>
          <w:spacing w:val="-3"/>
          <w:sz w:val="24"/>
        </w:rPr>
        <w:t>所有响应文件都必须按“磋商公告”中规定的响应文件递交截止时间前送达</w:t>
      </w:r>
      <w:r>
        <w:rPr>
          <w:rFonts w:hint="eastAsia" w:ascii="宋体" w:hAnsi="宋体" w:eastAsia="宋体" w:cs="宋体"/>
          <w:sz w:val="24"/>
        </w:rPr>
        <w:t>磋商文件规定的递交地址</w:t>
      </w:r>
      <w:r>
        <w:rPr>
          <w:rFonts w:hint="eastAsia" w:ascii="宋体" w:hAnsi="宋体" w:eastAsia="宋体" w:cs="宋体"/>
          <w:sz w:val="24"/>
          <w:lang w:eastAsia="zh-CN"/>
        </w:rPr>
        <w:t>。</w:t>
      </w:r>
    </w:p>
    <w:p w14:paraId="69E38E5C">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4"/>
        </w:rPr>
      </w:pPr>
      <w:r>
        <w:rPr>
          <w:rFonts w:hint="eastAsia" w:ascii="宋体" w:hAnsi="宋体" w:eastAsia="宋体" w:cs="宋体"/>
          <w:spacing w:val="-15"/>
          <w:w w:val="100"/>
          <w:sz w:val="24"/>
          <w:szCs w:val="24"/>
          <w:lang w:val="zh-CN" w:eastAsia="zh-CN" w:bidi="zh-CN"/>
        </w:rPr>
        <w:t>22.2</w:t>
      </w:r>
      <w:r>
        <w:rPr>
          <w:rFonts w:hint="eastAsia" w:ascii="宋体" w:hAnsi="宋体" w:eastAsia="宋体" w:cs="宋体"/>
          <w:spacing w:val="-15"/>
          <w:w w:val="100"/>
          <w:sz w:val="24"/>
          <w:szCs w:val="24"/>
          <w:lang w:val="en-US" w:eastAsia="zh-CN" w:bidi="zh-CN"/>
        </w:rPr>
        <w:t xml:space="preserve"> </w:t>
      </w:r>
      <w:r>
        <w:rPr>
          <w:rFonts w:hint="eastAsia" w:ascii="宋体" w:hAnsi="宋体" w:eastAsia="宋体" w:cs="宋体"/>
          <w:spacing w:val="-2"/>
          <w:sz w:val="24"/>
        </w:rPr>
        <w:t>因磋商文件的修改推迟磋商截止日期时，则按采购人修改通知规定的时间递</w:t>
      </w:r>
      <w:r>
        <w:rPr>
          <w:rFonts w:hint="eastAsia" w:ascii="宋体" w:hAnsi="宋体" w:eastAsia="宋体" w:cs="宋体"/>
          <w:sz w:val="24"/>
        </w:rPr>
        <w:t>交。</w:t>
      </w:r>
    </w:p>
    <w:p w14:paraId="1A14190C">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1"/>
          <w:sz w:val="24"/>
        </w:rPr>
      </w:pPr>
      <w:r>
        <w:rPr>
          <w:rFonts w:hint="eastAsia" w:ascii="宋体" w:hAnsi="宋体" w:eastAsia="宋体" w:cs="宋体"/>
          <w:b w:val="0"/>
          <w:bCs/>
          <w:spacing w:val="-15"/>
          <w:w w:val="100"/>
          <w:sz w:val="24"/>
          <w:szCs w:val="24"/>
          <w:lang w:val="zh-CN" w:eastAsia="zh-CN" w:bidi="zh-CN"/>
        </w:rPr>
        <w:t>22.3</w:t>
      </w:r>
      <w:r>
        <w:rPr>
          <w:rFonts w:hint="eastAsia" w:ascii="宋体" w:hAnsi="宋体" w:eastAsia="宋体" w:cs="宋体"/>
          <w:b w:val="0"/>
          <w:bCs/>
          <w:spacing w:val="-15"/>
          <w:w w:val="100"/>
          <w:sz w:val="24"/>
          <w:szCs w:val="24"/>
          <w:lang w:val="en-US" w:eastAsia="zh-CN" w:bidi="zh-CN"/>
        </w:rPr>
        <w:t xml:space="preserve"> </w:t>
      </w:r>
      <w:r>
        <w:rPr>
          <w:rFonts w:hint="eastAsia" w:ascii="宋体" w:hAnsi="宋体" w:eastAsia="宋体" w:cs="宋体"/>
          <w:b w:val="0"/>
          <w:bCs/>
          <w:spacing w:val="-1"/>
          <w:sz w:val="24"/>
        </w:rPr>
        <w:t>在响应文</w:t>
      </w:r>
      <w:r>
        <w:rPr>
          <w:rFonts w:hint="eastAsia" w:ascii="宋体" w:hAnsi="宋体" w:eastAsia="宋体" w:cs="宋体"/>
          <w:spacing w:val="-1"/>
          <w:sz w:val="24"/>
        </w:rPr>
        <w:t>件递交截止时间之后的任何响应文件将被拒绝接收。</w:t>
      </w:r>
      <w:bookmarkStart w:id="171" w:name="23．响应文件的修改与撤回"/>
      <w:bookmarkEnd w:id="171"/>
    </w:p>
    <w:p w14:paraId="5709F1E6">
      <w:pPr>
        <w:keepNext w:val="0"/>
        <w:keepLines w:val="0"/>
        <w:widowControl/>
        <w:suppressLineNumbers w:val="0"/>
        <w:jc w:val="left"/>
        <w:rPr>
          <w:rFonts w:hint="eastAsia" w:ascii="宋体" w:hAnsi="宋体" w:eastAsia="宋体" w:cs="宋体"/>
          <w:spacing w:val="-1"/>
          <w:sz w:val="24"/>
          <w:lang w:val="en-US" w:eastAsia="zh-CN"/>
        </w:rPr>
      </w:pPr>
      <w:r>
        <w:rPr>
          <w:rFonts w:hint="eastAsia" w:ascii="宋体" w:hAnsi="宋体" w:eastAsia="宋体" w:cs="宋体"/>
          <w:spacing w:val="-1"/>
          <w:sz w:val="24"/>
          <w:lang w:val="en-US" w:eastAsia="zh-CN"/>
        </w:rPr>
        <w:t>22.4</w:t>
      </w:r>
      <w:r>
        <w:rPr>
          <w:rFonts w:hint="eastAsia" w:ascii="宋体" w:hAnsi="宋体" w:eastAsia="宋体" w:cs="宋体"/>
          <w:color w:val="000000"/>
          <w:kern w:val="0"/>
          <w:sz w:val="24"/>
          <w:szCs w:val="24"/>
          <w:lang w:val="en-US" w:eastAsia="zh-CN" w:bidi="ar"/>
        </w:rPr>
        <w:t>采购代理机构在竞争性磋商文件规定的竞争性磋商响应文件递交截止时间前， 只负责竞争性磋商响应文件的接收、清点、造册登记工作，并请递交人签字确认，对其有效性不负任何责任。</w:t>
      </w:r>
    </w:p>
    <w:p w14:paraId="51FFF254">
      <w:pPr>
        <w:pStyle w:val="23"/>
        <w:keepNext w:val="0"/>
        <w:keepLines w:val="0"/>
        <w:pageBreakBefore w:val="0"/>
        <w:widowControl w:val="0"/>
        <w:numPr>
          <w:ilvl w:val="0"/>
          <w:numId w:val="0"/>
        </w:numPr>
        <w:tabs>
          <w:tab w:val="left" w:pos="897"/>
        </w:tabs>
        <w:kinsoku/>
        <w:wordWrap/>
        <w:overflowPunct/>
        <w:topLinePunct w:val="0"/>
        <w:autoSpaceDE w:val="0"/>
        <w:autoSpaceDN w:val="0"/>
        <w:bidi w:val="0"/>
        <w:adjustRightInd/>
        <w:snapToGrid/>
        <w:spacing w:before="0" w:after="0" w:line="360" w:lineRule="auto"/>
        <w:ind w:right="0" w:rightChars="0"/>
        <w:jc w:val="left"/>
        <w:textAlignment w:val="auto"/>
        <w:outlineLvl w:val="2"/>
        <w:rPr>
          <w:rFonts w:hint="eastAsia" w:ascii="宋体" w:hAnsi="宋体" w:eastAsia="宋体" w:cs="宋体"/>
          <w:b/>
          <w:sz w:val="24"/>
        </w:rPr>
      </w:pPr>
      <w:bookmarkStart w:id="172" w:name="_Toc19951"/>
      <w:bookmarkStart w:id="173" w:name="_Toc11285"/>
      <w:bookmarkStart w:id="174" w:name="_Toc32404"/>
      <w:bookmarkStart w:id="175" w:name="_Toc31002"/>
      <w:r>
        <w:rPr>
          <w:rFonts w:hint="eastAsia" w:ascii="宋体" w:hAnsi="宋体" w:eastAsia="宋体" w:cs="宋体"/>
          <w:b/>
          <w:sz w:val="24"/>
        </w:rPr>
        <w:t>23．响应文件的修改与撤回</w:t>
      </w:r>
      <w:bookmarkEnd w:id="172"/>
      <w:bookmarkEnd w:id="173"/>
      <w:bookmarkEnd w:id="174"/>
      <w:bookmarkEnd w:id="175"/>
    </w:p>
    <w:p w14:paraId="08326649">
      <w:pPr>
        <w:pStyle w:val="23"/>
        <w:keepNext w:val="0"/>
        <w:keepLines w:val="0"/>
        <w:pageBreakBefore w:val="0"/>
        <w:widowControl w:val="0"/>
        <w:numPr>
          <w:ilvl w:val="1"/>
          <w:numId w:val="3"/>
        </w:numPr>
        <w:tabs>
          <w:tab w:val="left" w:pos="957"/>
        </w:tabs>
        <w:kinsoku/>
        <w:wordWrap/>
        <w:overflowPunct/>
        <w:topLinePunct w:val="0"/>
        <w:autoSpaceDE w:val="0"/>
        <w:autoSpaceDN w:val="0"/>
        <w:bidi w:val="0"/>
        <w:adjustRightInd/>
        <w:snapToGrid/>
        <w:spacing w:before="0" w:after="0" w:line="360" w:lineRule="auto"/>
        <w:ind w:left="0" w:right="0" w:firstLine="0"/>
        <w:jc w:val="both"/>
        <w:textAlignment w:val="auto"/>
        <w:rPr>
          <w:rFonts w:hint="eastAsia" w:ascii="宋体" w:hAnsi="宋体" w:eastAsia="宋体" w:cs="宋体"/>
          <w:sz w:val="24"/>
        </w:rPr>
      </w:pPr>
      <w:r>
        <w:rPr>
          <w:rFonts w:hint="eastAsia" w:ascii="宋体" w:hAnsi="宋体" w:eastAsia="宋体" w:cs="宋体"/>
          <w:spacing w:val="-3"/>
          <w:sz w:val="24"/>
        </w:rPr>
        <w:t>供应商在递交响应文件后，在规定的截止时间之前，可以以书面形式补充修</w:t>
      </w:r>
      <w:r>
        <w:rPr>
          <w:rFonts w:hint="eastAsia" w:ascii="宋体" w:hAnsi="宋体" w:eastAsia="宋体" w:cs="宋体"/>
          <w:sz w:val="24"/>
        </w:rPr>
        <w:t>改或撤回已提交的响应文件，并以书面形式通知采购代理机构。补充或修改的内容作为响应文件的组成部分。</w:t>
      </w:r>
    </w:p>
    <w:p w14:paraId="24C52B1F">
      <w:pPr>
        <w:pStyle w:val="23"/>
        <w:keepNext w:val="0"/>
        <w:keepLines w:val="0"/>
        <w:pageBreakBefore w:val="0"/>
        <w:widowControl w:val="0"/>
        <w:numPr>
          <w:ilvl w:val="1"/>
          <w:numId w:val="3"/>
        </w:numPr>
        <w:tabs>
          <w:tab w:val="left" w:pos="957"/>
        </w:tabs>
        <w:kinsoku/>
        <w:wordWrap/>
        <w:overflowPunct/>
        <w:topLinePunct w:val="0"/>
        <w:autoSpaceDE w:val="0"/>
        <w:autoSpaceDN w:val="0"/>
        <w:bidi w:val="0"/>
        <w:adjustRightInd/>
        <w:snapToGrid/>
        <w:spacing w:before="0" w:after="0" w:line="360" w:lineRule="auto"/>
        <w:ind w:left="0" w:right="0" w:firstLine="0"/>
        <w:jc w:val="both"/>
        <w:textAlignment w:val="auto"/>
        <w:rPr>
          <w:rFonts w:hint="eastAsia" w:ascii="宋体" w:hAnsi="宋体" w:eastAsia="宋体" w:cs="宋体"/>
          <w:sz w:val="24"/>
        </w:rPr>
      </w:pPr>
      <w:r>
        <w:rPr>
          <w:rFonts w:hint="eastAsia" w:ascii="宋体" w:hAnsi="宋体" w:eastAsia="宋体" w:cs="宋体"/>
          <w:spacing w:val="-1"/>
          <w:sz w:val="24"/>
        </w:rPr>
        <w:t>供应商对响应文件的补充修改，应按照磋商文件的规定密封、标记和提交。</w:t>
      </w:r>
      <w:r>
        <w:rPr>
          <w:rFonts w:hint="eastAsia" w:ascii="宋体" w:hAnsi="宋体" w:eastAsia="宋体" w:cs="宋体"/>
          <w:sz w:val="24"/>
        </w:rPr>
        <w:t>其送达时间不得迟于磋商截止时间。</w:t>
      </w:r>
    </w:p>
    <w:p w14:paraId="1109D92C">
      <w:pPr>
        <w:pStyle w:val="23"/>
        <w:keepNext w:val="0"/>
        <w:keepLines w:val="0"/>
        <w:pageBreakBefore w:val="0"/>
        <w:widowControl w:val="0"/>
        <w:numPr>
          <w:ilvl w:val="1"/>
          <w:numId w:val="3"/>
        </w:numPr>
        <w:tabs>
          <w:tab w:val="left" w:pos="957"/>
        </w:tabs>
        <w:kinsoku/>
        <w:wordWrap/>
        <w:overflowPunct/>
        <w:topLinePunct w:val="0"/>
        <w:autoSpaceDE w:val="0"/>
        <w:autoSpaceDN w:val="0"/>
        <w:bidi w:val="0"/>
        <w:adjustRightInd/>
        <w:snapToGrid/>
        <w:spacing w:before="0" w:after="0" w:line="360" w:lineRule="auto"/>
        <w:ind w:left="0" w:right="0" w:hanging="601"/>
        <w:jc w:val="both"/>
        <w:textAlignment w:val="auto"/>
        <w:rPr>
          <w:rFonts w:hint="eastAsia" w:ascii="宋体" w:hAnsi="宋体" w:eastAsia="宋体" w:cs="宋体"/>
          <w:sz w:val="24"/>
        </w:rPr>
      </w:pPr>
      <w:r>
        <w:rPr>
          <w:rFonts w:hint="eastAsia" w:ascii="宋体" w:hAnsi="宋体" w:eastAsia="宋体" w:cs="宋体"/>
          <w:sz w:val="24"/>
        </w:rPr>
        <w:t>在磋商截止期之后，供应商不得对其响应文件做任何修改。</w:t>
      </w:r>
    </w:p>
    <w:p w14:paraId="4D8225DE">
      <w:pPr>
        <w:pStyle w:val="23"/>
        <w:keepNext w:val="0"/>
        <w:keepLines w:val="0"/>
        <w:pageBreakBefore w:val="0"/>
        <w:widowControl w:val="0"/>
        <w:numPr>
          <w:ilvl w:val="1"/>
          <w:numId w:val="3"/>
        </w:numPr>
        <w:tabs>
          <w:tab w:val="left" w:pos="957"/>
        </w:tabs>
        <w:kinsoku/>
        <w:wordWrap/>
        <w:overflowPunct/>
        <w:topLinePunct w:val="0"/>
        <w:autoSpaceDE w:val="0"/>
        <w:autoSpaceDN w:val="0"/>
        <w:bidi w:val="0"/>
        <w:adjustRightInd/>
        <w:snapToGrid/>
        <w:spacing w:before="0" w:after="0" w:line="360" w:lineRule="auto"/>
        <w:ind w:left="0" w:right="0" w:firstLine="0"/>
        <w:jc w:val="both"/>
        <w:textAlignment w:val="auto"/>
        <w:rPr>
          <w:rFonts w:hint="eastAsia" w:ascii="宋体" w:hAnsi="宋体" w:eastAsia="宋体" w:cs="宋体"/>
          <w:sz w:val="24"/>
        </w:rPr>
      </w:pPr>
      <w:r>
        <w:rPr>
          <w:rFonts w:hint="eastAsia" w:ascii="宋体" w:hAnsi="宋体" w:eastAsia="宋体" w:cs="宋体"/>
          <w:spacing w:val="-3"/>
          <w:sz w:val="24"/>
        </w:rPr>
        <w:t>已提交响应文件的供应商，在提交最后报价之前，可以根据磋商情况退出磋</w:t>
      </w:r>
      <w:r>
        <w:rPr>
          <w:rFonts w:hint="eastAsia" w:ascii="宋体" w:hAnsi="宋体" w:eastAsia="宋体" w:cs="宋体"/>
          <w:sz w:val="24"/>
        </w:rPr>
        <w:t>商。</w:t>
      </w:r>
    </w:p>
    <w:p w14:paraId="1EEFBB02">
      <w:pPr>
        <w:pStyle w:val="3"/>
        <w:bidi w:val="0"/>
        <w:outlineLvl w:val="1"/>
        <w:rPr>
          <w:rFonts w:hint="eastAsia" w:ascii="宋体" w:hAnsi="宋体" w:eastAsia="宋体" w:cs="宋体"/>
        </w:rPr>
      </w:pPr>
      <w:bookmarkStart w:id="176" w:name="E．开启/评审"/>
      <w:bookmarkEnd w:id="176"/>
      <w:bookmarkStart w:id="177" w:name="E．开启/评审"/>
      <w:bookmarkEnd w:id="177"/>
      <w:bookmarkStart w:id="178" w:name="_Toc19064"/>
      <w:bookmarkStart w:id="179" w:name="_Toc4498"/>
      <w:bookmarkStart w:id="180" w:name="_Toc3538"/>
      <w:bookmarkStart w:id="181" w:name="_Toc5762"/>
      <w:bookmarkStart w:id="182" w:name="_Toc14363"/>
      <w:r>
        <w:rPr>
          <w:rFonts w:hint="eastAsia" w:ascii="宋体" w:hAnsi="宋体" w:eastAsia="宋体" w:cs="宋体"/>
          <w:lang w:eastAsia="zh-CN"/>
        </w:rPr>
        <w:t>五、</w:t>
      </w:r>
      <w:r>
        <w:rPr>
          <w:rFonts w:hint="eastAsia" w:ascii="宋体" w:hAnsi="宋体" w:eastAsia="宋体" w:cs="宋体"/>
        </w:rPr>
        <w:t>开启/评审</w:t>
      </w:r>
      <w:bookmarkEnd w:id="178"/>
      <w:bookmarkEnd w:id="179"/>
      <w:bookmarkEnd w:id="180"/>
      <w:bookmarkEnd w:id="181"/>
      <w:bookmarkEnd w:id="182"/>
    </w:p>
    <w:p w14:paraId="61B75CFD">
      <w:pPr>
        <w:pStyle w:val="4"/>
        <w:bidi w:val="0"/>
        <w:rPr>
          <w:rFonts w:hint="eastAsia" w:ascii="宋体" w:hAnsi="宋体" w:eastAsia="宋体" w:cs="宋体"/>
        </w:rPr>
      </w:pPr>
      <w:bookmarkStart w:id="183" w:name="24．开启"/>
      <w:bookmarkEnd w:id="183"/>
      <w:bookmarkStart w:id="184" w:name="24．开启"/>
      <w:bookmarkEnd w:id="184"/>
      <w:bookmarkStart w:id="185" w:name="_Toc13833"/>
      <w:bookmarkStart w:id="186" w:name="_Toc23555"/>
      <w:bookmarkStart w:id="187" w:name="_Toc10676"/>
      <w:bookmarkStart w:id="188" w:name="_Toc4567"/>
      <w:r>
        <w:rPr>
          <w:rFonts w:hint="eastAsia" w:ascii="宋体" w:hAnsi="宋体" w:eastAsia="宋体" w:cs="宋体"/>
          <w:lang w:val="zh-CN" w:eastAsia="zh-CN"/>
        </w:rPr>
        <w:t>24.</w:t>
      </w:r>
      <w:r>
        <w:rPr>
          <w:rFonts w:hint="eastAsia" w:ascii="宋体" w:hAnsi="宋体" w:eastAsia="宋体" w:cs="宋体"/>
        </w:rPr>
        <w:t>开启</w:t>
      </w:r>
      <w:bookmarkEnd w:id="185"/>
      <w:bookmarkEnd w:id="186"/>
      <w:bookmarkEnd w:id="187"/>
      <w:bookmarkEnd w:id="188"/>
    </w:p>
    <w:p w14:paraId="3B0A2E81">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w w:val="100"/>
          <w:sz w:val="24"/>
          <w:szCs w:val="24"/>
          <w:highlight w:val="none"/>
          <w:lang w:val="zh-CN" w:eastAsia="zh-CN" w:bidi="zh-CN"/>
        </w:rPr>
        <w:t>24.1</w:t>
      </w:r>
      <w:r>
        <w:rPr>
          <w:rFonts w:hint="eastAsia" w:ascii="宋体" w:hAnsi="宋体" w:eastAsia="宋体" w:cs="宋体"/>
          <w:sz w:val="24"/>
          <w:highlight w:val="none"/>
        </w:rPr>
        <w:t>采购代理机构按磋商公告中规定的时间和地点接受供应商递交的响应文件。</w:t>
      </w:r>
    </w:p>
    <w:p w14:paraId="37FB79EE">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w w:val="100"/>
          <w:sz w:val="24"/>
          <w:szCs w:val="24"/>
          <w:highlight w:val="none"/>
          <w:lang w:val="zh-CN" w:eastAsia="zh-CN" w:bidi="zh-CN"/>
        </w:rPr>
        <w:t>24.2</w:t>
      </w:r>
      <w:r>
        <w:rPr>
          <w:rFonts w:hint="eastAsia" w:ascii="宋体" w:hAnsi="宋体" w:eastAsia="宋体" w:cs="宋体"/>
          <w:spacing w:val="-5"/>
          <w:sz w:val="24"/>
          <w:highlight w:val="none"/>
          <w:lang w:val="en-US" w:eastAsia="zh-CN"/>
        </w:rPr>
        <w:t xml:space="preserve"> </w:t>
      </w:r>
      <w:r>
        <w:rPr>
          <w:rFonts w:hint="eastAsia" w:ascii="宋体" w:hAnsi="宋体" w:eastAsia="宋体" w:cs="宋体"/>
          <w:spacing w:val="-5"/>
          <w:sz w:val="24"/>
          <w:highlight w:val="none"/>
        </w:rPr>
        <w:t>开启时，</w:t>
      </w:r>
      <w:r>
        <w:rPr>
          <w:rFonts w:hint="eastAsia" w:ascii="宋体" w:hAnsi="宋体" w:eastAsia="宋体" w:cs="宋体"/>
          <w:spacing w:val="-5"/>
          <w:sz w:val="24"/>
          <w:highlight w:val="none"/>
          <w:lang w:eastAsia="zh-CN"/>
        </w:rPr>
        <w:t>由监标人和</w:t>
      </w:r>
      <w:r>
        <w:rPr>
          <w:rFonts w:hint="eastAsia" w:ascii="宋体" w:hAnsi="宋体" w:eastAsia="宋体" w:cs="宋体"/>
          <w:spacing w:val="-5"/>
          <w:sz w:val="24"/>
          <w:highlight w:val="none"/>
        </w:rPr>
        <w:t>供应商</w:t>
      </w:r>
      <w:r>
        <w:rPr>
          <w:rFonts w:hint="eastAsia" w:ascii="宋体" w:hAnsi="宋体" w:eastAsia="宋体" w:cs="宋体"/>
          <w:spacing w:val="-5"/>
          <w:sz w:val="24"/>
          <w:highlight w:val="none"/>
          <w:lang w:eastAsia="zh-CN"/>
        </w:rPr>
        <w:t>共同</w:t>
      </w:r>
      <w:r>
        <w:rPr>
          <w:rFonts w:hint="eastAsia" w:ascii="宋体" w:hAnsi="宋体" w:eastAsia="宋体" w:cs="宋体"/>
          <w:spacing w:val="-5"/>
          <w:sz w:val="24"/>
          <w:highlight w:val="none"/>
        </w:rPr>
        <w:t>查验其响应文件密封情况并签字认可确认无误后方可拆封响</w:t>
      </w:r>
      <w:r>
        <w:rPr>
          <w:rFonts w:hint="eastAsia" w:ascii="宋体" w:hAnsi="宋体" w:eastAsia="宋体" w:cs="宋体"/>
          <w:sz w:val="24"/>
          <w:highlight w:val="none"/>
        </w:rPr>
        <w:t>应文件。</w:t>
      </w:r>
    </w:p>
    <w:p w14:paraId="56972756">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24.3</w:t>
      </w:r>
      <w:r>
        <w:rPr>
          <w:rFonts w:hint="eastAsia" w:ascii="宋体" w:hAnsi="宋体" w:eastAsia="宋体" w:cs="宋体"/>
          <w:sz w:val="24"/>
        </w:rPr>
        <w:t>开标时，采购代理机构当众拆封。</w:t>
      </w:r>
    </w:p>
    <w:p w14:paraId="5555727C">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24.4</w:t>
      </w:r>
      <w:r>
        <w:rPr>
          <w:rFonts w:hint="eastAsia" w:ascii="宋体" w:hAnsi="宋体" w:eastAsia="宋体" w:cs="宋体"/>
          <w:sz w:val="24"/>
        </w:rPr>
        <w:t>开标程序:</w:t>
      </w:r>
    </w:p>
    <w:p w14:paraId="5C574DF6">
      <w:pPr>
        <w:pStyle w:val="23"/>
        <w:keepNext w:val="0"/>
        <w:keepLines w:val="0"/>
        <w:pageBreakBefore w:val="0"/>
        <w:widowControl w:val="0"/>
        <w:numPr>
          <w:ilvl w:val="2"/>
          <w:numId w:val="0"/>
        </w:numPr>
        <w:tabs>
          <w:tab w:val="left" w:pos="161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24.4.1</w:t>
      </w:r>
      <w:r>
        <w:rPr>
          <w:rFonts w:hint="eastAsia" w:ascii="宋体" w:hAnsi="宋体" w:eastAsia="宋体" w:cs="宋体"/>
          <w:sz w:val="24"/>
        </w:rPr>
        <w:t>介绍参会各方人员；</w:t>
      </w:r>
    </w:p>
    <w:p w14:paraId="6F4E6693">
      <w:pPr>
        <w:pStyle w:val="23"/>
        <w:keepNext w:val="0"/>
        <w:keepLines w:val="0"/>
        <w:pageBreakBefore w:val="0"/>
        <w:widowControl w:val="0"/>
        <w:numPr>
          <w:ilvl w:val="2"/>
          <w:numId w:val="0"/>
        </w:numPr>
        <w:tabs>
          <w:tab w:val="left" w:pos="161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24.4.2</w:t>
      </w:r>
      <w:r>
        <w:rPr>
          <w:rFonts w:hint="eastAsia" w:ascii="宋体" w:hAnsi="宋体" w:eastAsia="宋体" w:cs="宋体"/>
          <w:sz w:val="24"/>
        </w:rPr>
        <w:t>介绍供应商；</w:t>
      </w:r>
    </w:p>
    <w:p w14:paraId="10905447">
      <w:pPr>
        <w:pStyle w:val="23"/>
        <w:keepNext w:val="0"/>
        <w:keepLines w:val="0"/>
        <w:pageBreakBefore w:val="0"/>
        <w:widowControl w:val="0"/>
        <w:numPr>
          <w:ilvl w:val="2"/>
          <w:numId w:val="0"/>
        </w:numPr>
        <w:tabs>
          <w:tab w:val="left" w:pos="161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24.4.3</w:t>
      </w:r>
      <w:r>
        <w:rPr>
          <w:rFonts w:hint="eastAsia" w:ascii="宋体" w:hAnsi="宋体" w:eastAsia="宋体" w:cs="宋体"/>
          <w:sz w:val="24"/>
        </w:rPr>
        <w:t>宣布开标纪律；</w:t>
      </w:r>
    </w:p>
    <w:p w14:paraId="3353EB3A">
      <w:pPr>
        <w:pStyle w:val="23"/>
        <w:keepNext w:val="0"/>
        <w:keepLines w:val="0"/>
        <w:pageBreakBefore w:val="0"/>
        <w:widowControl w:val="0"/>
        <w:numPr>
          <w:ilvl w:val="2"/>
          <w:numId w:val="0"/>
        </w:numPr>
        <w:tabs>
          <w:tab w:val="left" w:pos="1622"/>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24.4.</w:t>
      </w:r>
      <w:r>
        <w:rPr>
          <w:rFonts w:hint="eastAsia" w:ascii="宋体" w:hAnsi="宋体" w:eastAsia="宋体" w:cs="宋体"/>
          <w:w w:val="100"/>
          <w:sz w:val="24"/>
          <w:szCs w:val="24"/>
          <w:lang w:val="en-US" w:eastAsia="zh-CN" w:bidi="zh-CN"/>
        </w:rPr>
        <w:t>4</w:t>
      </w:r>
      <w:r>
        <w:rPr>
          <w:rFonts w:hint="eastAsia" w:ascii="宋体" w:hAnsi="宋体" w:eastAsia="宋体" w:cs="宋体"/>
          <w:spacing w:val="4"/>
          <w:sz w:val="24"/>
        </w:rPr>
        <w:t>由</w:t>
      </w:r>
      <w:r>
        <w:rPr>
          <w:rFonts w:hint="eastAsia" w:ascii="宋体" w:hAnsi="宋体" w:eastAsia="宋体" w:cs="宋体"/>
          <w:spacing w:val="4"/>
          <w:sz w:val="24"/>
          <w:lang w:eastAsia="zh-CN"/>
        </w:rPr>
        <w:t>监标人和</w:t>
      </w:r>
      <w:r>
        <w:rPr>
          <w:rFonts w:hint="eastAsia" w:ascii="宋体" w:hAnsi="宋体" w:eastAsia="宋体" w:cs="宋体"/>
          <w:spacing w:val="4"/>
          <w:sz w:val="24"/>
        </w:rPr>
        <w:t>供应商法定代表人</w:t>
      </w:r>
      <w:r>
        <w:rPr>
          <w:rFonts w:hint="eastAsia" w:ascii="宋体" w:hAnsi="宋体" w:eastAsia="宋体" w:cs="宋体"/>
          <w:spacing w:val="3"/>
          <w:sz w:val="24"/>
        </w:rPr>
        <w:t>或其委托代理人</w:t>
      </w:r>
      <w:r>
        <w:rPr>
          <w:rFonts w:hint="eastAsia" w:ascii="宋体" w:hAnsi="宋体" w:eastAsia="宋体" w:cs="宋体"/>
          <w:spacing w:val="3"/>
          <w:sz w:val="24"/>
          <w:lang w:eastAsia="zh-CN"/>
        </w:rPr>
        <w:t>共同</w:t>
      </w:r>
      <w:r>
        <w:rPr>
          <w:rFonts w:hint="eastAsia" w:ascii="宋体" w:hAnsi="宋体" w:eastAsia="宋体" w:cs="宋体"/>
          <w:spacing w:val="3"/>
          <w:sz w:val="24"/>
        </w:rPr>
        <w:t>检查其响应文件的密封情况，</w:t>
      </w:r>
      <w:r>
        <w:rPr>
          <w:rFonts w:hint="eastAsia" w:ascii="宋体" w:hAnsi="宋体" w:eastAsia="宋体" w:cs="宋体"/>
          <w:spacing w:val="3"/>
          <w:sz w:val="24"/>
          <w:lang w:eastAsia="zh-CN"/>
        </w:rPr>
        <w:t>并由监标人宣布响应文件的</w:t>
      </w:r>
      <w:r>
        <w:rPr>
          <w:rFonts w:hint="eastAsia" w:ascii="宋体" w:hAnsi="宋体" w:eastAsia="宋体" w:cs="宋体"/>
          <w:spacing w:val="3"/>
          <w:sz w:val="24"/>
        </w:rPr>
        <w:t>密封情况；</w:t>
      </w:r>
    </w:p>
    <w:p w14:paraId="5C8B84A9">
      <w:pPr>
        <w:pStyle w:val="23"/>
        <w:keepNext w:val="0"/>
        <w:keepLines w:val="0"/>
        <w:pageBreakBefore w:val="0"/>
        <w:widowControl w:val="0"/>
        <w:numPr>
          <w:ilvl w:val="2"/>
          <w:numId w:val="0"/>
        </w:numPr>
        <w:tabs>
          <w:tab w:val="left" w:pos="161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24.4.</w:t>
      </w:r>
      <w:r>
        <w:rPr>
          <w:rFonts w:hint="eastAsia" w:ascii="宋体" w:hAnsi="宋体" w:eastAsia="宋体" w:cs="宋体"/>
          <w:w w:val="100"/>
          <w:sz w:val="24"/>
          <w:szCs w:val="24"/>
          <w:lang w:val="en-US" w:eastAsia="zh-CN" w:bidi="zh-CN"/>
        </w:rPr>
        <w:t>5</w:t>
      </w:r>
      <w:r>
        <w:rPr>
          <w:rFonts w:hint="eastAsia" w:ascii="宋体" w:hAnsi="宋体" w:eastAsia="宋体" w:cs="宋体"/>
          <w:spacing w:val="-1"/>
          <w:sz w:val="24"/>
        </w:rPr>
        <w:t>采购代理机构在磋商截止时间前收到响应文件，开启时对符合要求的</w:t>
      </w:r>
      <w:r>
        <w:rPr>
          <w:rFonts w:hint="eastAsia" w:ascii="宋体" w:hAnsi="宋体" w:eastAsia="宋体" w:cs="宋体"/>
          <w:sz w:val="24"/>
        </w:rPr>
        <w:t>响应文件都应当予以拆封；</w:t>
      </w:r>
    </w:p>
    <w:p w14:paraId="2617F44D">
      <w:pPr>
        <w:pStyle w:val="23"/>
        <w:keepNext w:val="0"/>
        <w:keepLines w:val="0"/>
        <w:pageBreakBefore w:val="0"/>
        <w:widowControl w:val="0"/>
        <w:numPr>
          <w:ilvl w:val="2"/>
          <w:numId w:val="0"/>
        </w:numPr>
        <w:tabs>
          <w:tab w:val="left" w:pos="161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24.4.</w:t>
      </w:r>
      <w:r>
        <w:rPr>
          <w:rFonts w:hint="eastAsia" w:ascii="宋体" w:hAnsi="宋体" w:eastAsia="宋体" w:cs="宋体"/>
          <w:w w:val="100"/>
          <w:sz w:val="24"/>
          <w:szCs w:val="24"/>
          <w:lang w:val="en-US" w:eastAsia="zh-CN" w:bidi="zh-CN"/>
        </w:rPr>
        <w:t>6</w:t>
      </w:r>
      <w:r>
        <w:rPr>
          <w:rFonts w:hint="eastAsia" w:ascii="宋体" w:hAnsi="宋体" w:eastAsia="宋体" w:cs="宋体"/>
          <w:sz w:val="24"/>
        </w:rPr>
        <w:t>宣布休会，进入评审和磋商阶段；</w:t>
      </w:r>
    </w:p>
    <w:p w14:paraId="094BC742">
      <w:pPr>
        <w:pStyle w:val="23"/>
        <w:keepNext w:val="0"/>
        <w:keepLines w:val="0"/>
        <w:pageBreakBefore w:val="0"/>
        <w:widowControl w:val="0"/>
        <w:numPr>
          <w:ilvl w:val="2"/>
          <w:numId w:val="0"/>
        </w:numPr>
        <w:tabs>
          <w:tab w:val="left" w:pos="161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b/>
          <w:sz w:val="24"/>
        </w:rPr>
      </w:pPr>
      <w:r>
        <w:rPr>
          <w:rFonts w:hint="eastAsia" w:ascii="宋体" w:hAnsi="宋体" w:eastAsia="宋体" w:cs="宋体"/>
          <w:b w:val="0"/>
          <w:bCs/>
          <w:w w:val="100"/>
          <w:sz w:val="24"/>
          <w:szCs w:val="24"/>
          <w:lang w:val="zh-CN" w:eastAsia="zh-CN" w:bidi="zh-CN"/>
        </w:rPr>
        <w:t>24.4.</w:t>
      </w:r>
      <w:r>
        <w:rPr>
          <w:rFonts w:hint="eastAsia" w:ascii="宋体" w:hAnsi="宋体" w:eastAsia="宋体" w:cs="宋体"/>
          <w:b w:val="0"/>
          <w:bCs/>
          <w:w w:val="100"/>
          <w:sz w:val="24"/>
          <w:szCs w:val="24"/>
          <w:lang w:val="en-US" w:eastAsia="zh-CN" w:bidi="zh-CN"/>
        </w:rPr>
        <w:t>7</w:t>
      </w:r>
      <w:r>
        <w:rPr>
          <w:rFonts w:hint="eastAsia" w:ascii="宋体" w:hAnsi="宋体" w:eastAsia="宋体" w:cs="宋体"/>
          <w:b w:val="0"/>
          <w:bCs/>
          <w:spacing w:val="-4"/>
          <w:sz w:val="24"/>
        </w:rPr>
        <w:t>会议结束</w:t>
      </w:r>
      <w:r>
        <w:rPr>
          <w:rFonts w:hint="eastAsia" w:ascii="宋体" w:hAnsi="宋体" w:eastAsia="宋体" w:cs="宋体"/>
          <w:spacing w:val="-4"/>
          <w:sz w:val="24"/>
        </w:rPr>
        <w:t>。</w:t>
      </w:r>
      <w:bookmarkStart w:id="189" w:name="25．磋商小组 "/>
      <w:bookmarkEnd w:id="189"/>
    </w:p>
    <w:p w14:paraId="3D7087B0">
      <w:pPr>
        <w:pStyle w:val="4"/>
        <w:bidi w:val="0"/>
        <w:rPr>
          <w:rFonts w:hint="eastAsia" w:ascii="宋体" w:hAnsi="宋体" w:eastAsia="宋体" w:cs="宋体"/>
          <w:lang w:eastAsia="zh-CN"/>
        </w:rPr>
      </w:pPr>
      <w:bookmarkStart w:id="190" w:name="_Toc15944"/>
      <w:bookmarkStart w:id="191" w:name="_Toc13104"/>
      <w:bookmarkStart w:id="192" w:name="_Toc30191"/>
      <w:bookmarkStart w:id="193" w:name="_Toc9358"/>
      <w:r>
        <w:rPr>
          <w:rFonts w:hint="eastAsia" w:ascii="宋体" w:hAnsi="宋体" w:eastAsia="宋体" w:cs="宋体"/>
        </w:rPr>
        <w:t>25．磋商小组</w:t>
      </w:r>
      <w:r>
        <w:rPr>
          <w:rFonts w:hint="eastAsia" w:ascii="宋体" w:hAnsi="宋体" w:eastAsia="宋体" w:cs="宋体"/>
          <w:lang w:eastAsia="zh-CN"/>
        </w:rPr>
        <w:t>的组成</w:t>
      </w:r>
      <w:bookmarkEnd w:id="190"/>
      <w:bookmarkEnd w:id="191"/>
      <w:bookmarkEnd w:id="192"/>
      <w:bookmarkEnd w:id="193"/>
    </w:p>
    <w:p w14:paraId="6871A5FD">
      <w:pPr>
        <w:pStyle w:val="23"/>
        <w:keepNext w:val="0"/>
        <w:keepLines w:val="0"/>
        <w:pageBreakBefore w:val="0"/>
        <w:widowControl w:val="0"/>
        <w:numPr>
          <w:ilvl w:val="1"/>
          <w:numId w:val="4"/>
        </w:numPr>
        <w:tabs>
          <w:tab w:val="left" w:pos="95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pacing w:val="-4"/>
          <w:sz w:val="24"/>
        </w:rPr>
        <w:t>采购人将根据本次采购项目的特点，</w:t>
      </w:r>
      <w:r>
        <w:rPr>
          <w:rFonts w:hint="eastAsia" w:ascii="宋体" w:hAnsi="宋体" w:eastAsia="宋体" w:cs="宋体"/>
          <w:spacing w:val="-4"/>
          <w:sz w:val="24"/>
          <w:lang w:val="en-US" w:eastAsia="zh-CN"/>
        </w:rPr>
        <w:t>按照</w:t>
      </w:r>
      <w:r>
        <w:rPr>
          <w:rFonts w:hint="eastAsia" w:ascii="宋体" w:hAnsi="宋体" w:eastAsia="宋体" w:cs="宋体"/>
          <w:spacing w:val="-4"/>
          <w:sz w:val="24"/>
        </w:rPr>
        <w:t>《中华人民共和国政府采购法》等</w:t>
      </w:r>
      <w:r>
        <w:rPr>
          <w:rFonts w:hint="eastAsia" w:ascii="宋体" w:hAnsi="宋体" w:eastAsia="宋体" w:cs="宋体"/>
          <w:sz w:val="24"/>
        </w:rPr>
        <w:t>有关规定组建磋商小组。</w:t>
      </w:r>
    </w:p>
    <w:p w14:paraId="1BB3EFFF">
      <w:pPr>
        <w:pStyle w:val="23"/>
        <w:keepNext w:val="0"/>
        <w:keepLines w:val="0"/>
        <w:pageBreakBefore w:val="0"/>
        <w:widowControl w:val="0"/>
        <w:numPr>
          <w:ilvl w:val="1"/>
          <w:numId w:val="4"/>
        </w:numPr>
        <w:tabs>
          <w:tab w:val="left" w:pos="95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pacing w:val="-4"/>
          <w:sz w:val="24"/>
        </w:rPr>
        <w:t>磋商小组成员由采购人及有关技术、经济等方面的专家组成，其中技术、经</w:t>
      </w:r>
      <w:r>
        <w:rPr>
          <w:rFonts w:hint="eastAsia" w:ascii="宋体" w:hAnsi="宋体" w:eastAsia="宋体" w:cs="宋体"/>
          <w:spacing w:val="-5"/>
          <w:sz w:val="24"/>
        </w:rPr>
        <w:t xml:space="preserve">济类专家人数不少于总人数的 </w:t>
      </w:r>
      <w:r>
        <w:rPr>
          <w:rFonts w:hint="eastAsia" w:ascii="宋体" w:hAnsi="宋体" w:eastAsia="宋体" w:cs="宋体"/>
          <w:sz w:val="24"/>
        </w:rPr>
        <w:t>2/3。</w:t>
      </w:r>
    </w:p>
    <w:p w14:paraId="33CFA57A">
      <w:pPr>
        <w:pStyle w:val="23"/>
        <w:keepNext w:val="0"/>
        <w:keepLines w:val="0"/>
        <w:pageBreakBefore w:val="0"/>
        <w:widowControl w:val="0"/>
        <w:numPr>
          <w:ilvl w:val="1"/>
          <w:numId w:val="4"/>
        </w:numPr>
        <w:tabs>
          <w:tab w:val="left" w:pos="95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pacing w:val="-4"/>
          <w:sz w:val="24"/>
        </w:rPr>
        <w:t>磋商小组成员对各供应商响应文件进行审查、质疑、评估和比较，并推荐成</w:t>
      </w:r>
      <w:r>
        <w:rPr>
          <w:rFonts w:hint="eastAsia" w:ascii="宋体" w:hAnsi="宋体" w:eastAsia="宋体" w:cs="宋体"/>
          <w:sz w:val="24"/>
        </w:rPr>
        <w:t>交候选供应商。</w:t>
      </w:r>
    </w:p>
    <w:p w14:paraId="592074A8">
      <w:pPr>
        <w:pStyle w:val="4"/>
        <w:bidi w:val="0"/>
        <w:rPr>
          <w:rFonts w:hint="eastAsia" w:ascii="宋体" w:hAnsi="宋体" w:eastAsia="宋体" w:cs="宋体"/>
          <w:lang w:eastAsia="zh-CN"/>
        </w:rPr>
      </w:pPr>
      <w:bookmarkStart w:id="194" w:name="26．响应文件的审核"/>
      <w:bookmarkEnd w:id="194"/>
      <w:bookmarkStart w:id="195" w:name="26．响应文件的审核"/>
      <w:bookmarkEnd w:id="195"/>
      <w:bookmarkStart w:id="196" w:name="_Toc7579"/>
      <w:bookmarkStart w:id="197" w:name="_Toc9445"/>
      <w:bookmarkStart w:id="198" w:name="_Toc29169"/>
      <w:bookmarkStart w:id="199" w:name="_Toc30004"/>
      <w:r>
        <w:rPr>
          <w:rFonts w:hint="eastAsia" w:ascii="宋体" w:hAnsi="宋体" w:eastAsia="宋体" w:cs="宋体"/>
          <w:b/>
          <w:bCs/>
          <w:spacing w:val="-3"/>
          <w:w w:val="99"/>
          <w:sz w:val="22"/>
          <w:szCs w:val="22"/>
          <w:lang w:val="zh-CN" w:eastAsia="zh-CN" w:bidi="zh-CN"/>
        </w:rPr>
        <w:t>2</w:t>
      </w:r>
      <w:r>
        <w:rPr>
          <w:rFonts w:hint="eastAsia" w:ascii="宋体" w:hAnsi="宋体" w:eastAsia="宋体" w:cs="宋体"/>
          <w:b/>
          <w:bCs/>
          <w:spacing w:val="-3"/>
          <w:w w:val="99"/>
          <w:sz w:val="22"/>
          <w:szCs w:val="22"/>
          <w:lang w:val="en-US" w:eastAsia="zh-CN" w:bidi="zh-CN"/>
        </w:rPr>
        <w:t>6</w:t>
      </w:r>
      <w:r>
        <w:rPr>
          <w:rFonts w:hint="eastAsia" w:ascii="宋体" w:hAnsi="宋体" w:eastAsia="宋体" w:cs="宋体"/>
          <w:b/>
          <w:bCs/>
          <w:spacing w:val="-3"/>
          <w:w w:val="99"/>
          <w:sz w:val="22"/>
          <w:szCs w:val="22"/>
          <w:lang w:val="zh-CN" w:eastAsia="zh-CN" w:bidi="zh-CN"/>
        </w:rPr>
        <w:t>.</w:t>
      </w:r>
      <w:r>
        <w:rPr>
          <w:rFonts w:hint="eastAsia" w:ascii="宋体" w:hAnsi="宋体" w:eastAsia="宋体" w:cs="宋体"/>
        </w:rPr>
        <w:t>响应文件的</w:t>
      </w:r>
      <w:r>
        <w:rPr>
          <w:rFonts w:hint="eastAsia" w:ascii="宋体" w:hAnsi="宋体" w:eastAsia="宋体" w:cs="宋体"/>
          <w:lang w:eastAsia="zh-CN"/>
        </w:rPr>
        <w:t>评审程序</w:t>
      </w:r>
      <w:bookmarkEnd w:id="196"/>
      <w:bookmarkEnd w:id="197"/>
      <w:bookmarkEnd w:id="198"/>
      <w:bookmarkEnd w:id="199"/>
    </w:p>
    <w:p w14:paraId="62DC49E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1"/>
        <w:textAlignment w:val="auto"/>
        <w:rPr>
          <w:rFonts w:hint="eastAsia" w:ascii="宋体" w:hAnsi="宋体" w:eastAsia="宋体" w:cs="宋体"/>
          <w:sz w:val="24"/>
          <w:szCs w:val="24"/>
        </w:rPr>
      </w:pPr>
      <w:r>
        <w:rPr>
          <w:rFonts w:hint="eastAsia" w:ascii="宋体" w:hAnsi="宋体" w:eastAsia="宋体" w:cs="宋体"/>
          <w:spacing w:val="16"/>
          <w:sz w:val="24"/>
          <w:szCs w:val="24"/>
        </w:rPr>
        <w:t>按照</w:t>
      </w:r>
      <w:r>
        <w:rPr>
          <w:rFonts w:hint="eastAsia" w:ascii="宋体" w:hAnsi="宋体" w:eastAsia="宋体" w:cs="宋体"/>
          <w:spacing w:val="14"/>
          <w:sz w:val="24"/>
          <w:szCs w:val="24"/>
        </w:rPr>
        <w:t>竞</w:t>
      </w:r>
      <w:r>
        <w:rPr>
          <w:rFonts w:hint="eastAsia" w:ascii="宋体" w:hAnsi="宋体" w:eastAsia="宋体" w:cs="宋体"/>
          <w:spacing w:val="8"/>
          <w:sz w:val="24"/>
          <w:szCs w:val="24"/>
        </w:rPr>
        <w:t>争性磋商响应文件初审、澄清有关问题、分别磋商、二次报价、比较与评审、</w:t>
      </w:r>
      <w:r>
        <w:rPr>
          <w:rFonts w:hint="eastAsia" w:ascii="宋体" w:hAnsi="宋体" w:eastAsia="宋体" w:cs="宋体"/>
          <w:sz w:val="24"/>
          <w:szCs w:val="24"/>
        </w:rPr>
        <w:t xml:space="preserve"> </w:t>
      </w:r>
      <w:r>
        <w:rPr>
          <w:rFonts w:hint="eastAsia" w:ascii="宋体" w:hAnsi="宋体" w:eastAsia="宋体" w:cs="宋体"/>
          <w:spacing w:val="14"/>
          <w:sz w:val="24"/>
          <w:szCs w:val="24"/>
        </w:rPr>
        <w:t>推</w:t>
      </w:r>
      <w:r>
        <w:rPr>
          <w:rFonts w:hint="eastAsia" w:ascii="宋体" w:hAnsi="宋体" w:eastAsia="宋体" w:cs="宋体"/>
          <w:spacing w:val="8"/>
          <w:sz w:val="24"/>
          <w:szCs w:val="24"/>
        </w:rPr>
        <w:t>荐成交候选人名单的工作程序进行评审。在上一步评审中被认定为无效磋商者，不进入</w:t>
      </w:r>
      <w:r>
        <w:rPr>
          <w:rFonts w:hint="eastAsia" w:ascii="宋体" w:hAnsi="宋体" w:eastAsia="宋体" w:cs="宋体"/>
          <w:sz w:val="24"/>
          <w:szCs w:val="24"/>
        </w:rPr>
        <w:t xml:space="preserve"> </w:t>
      </w:r>
      <w:r>
        <w:rPr>
          <w:rFonts w:hint="eastAsia" w:ascii="宋体" w:hAnsi="宋体" w:eastAsia="宋体" w:cs="宋体"/>
          <w:spacing w:val="8"/>
          <w:sz w:val="24"/>
          <w:szCs w:val="24"/>
        </w:rPr>
        <w:t>下</w:t>
      </w:r>
      <w:r>
        <w:rPr>
          <w:rFonts w:hint="eastAsia" w:ascii="宋体" w:hAnsi="宋体" w:eastAsia="宋体" w:cs="宋体"/>
          <w:spacing w:val="7"/>
          <w:sz w:val="24"/>
          <w:szCs w:val="24"/>
        </w:rPr>
        <w:t>一步的评审。</w:t>
      </w:r>
    </w:p>
    <w:p w14:paraId="213F3209">
      <w:pPr>
        <w:pStyle w:val="4"/>
        <w:bidi w:val="0"/>
        <w:rPr>
          <w:rFonts w:hint="eastAsia" w:ascii="宋体" w:hAnsi="宋体" w:eastAsia="宋体" w:cs="宋体"/>
        </w:rPr>
      </w:pPr>
      <w:bookmarkStart w:id="200" w:name="28．响应文件的比较和评价"/>
      <w:bookmarkEnd w:id="200"/>
      <w:bookmarkStart w:id="201" w:name="28．响应文件的比较和评价"/>
      <w:bookmarkEnd w:id="201"/>
      <w:bookmarkStart w:id="202" w:name="_Toc31120"/>
      <w:bookmarkStart w:id="203" w:name="_Toc16462"/>
      <w:bookmarkStart w:id="204" w:name="_Toc5158"/>
      <w:bookmarkStart w:id="205" w:name="_Toc8885"/>
      <w:r>
        <w:rPr>
          <w:rFonts w:hint="eastAsia" w:ascii="宋体" w:hAnsi="宋体" w:eastAsia="宋体" w:cs="宋体"/>
          <w:lang w:val="zh-CN" w:eastAsia="zh-CN"/>
        </w:rPr>
        <w:t>2</w:t>
      </w:r>
      <w:r>
        <w:rPr>
          <w:rFonts w:hint="eastAsia" w:ascii="宋体" w:hAnsi="宋体" w:eastAsia="宋体" w:cs="宋体"/>
          <w:lang w:val="en-US" w:eastAsia="zh-CN"/>
        </w:rPr>
        <w:t>7</w:t>
      </w:r>
      <w:r>
        <w:rPr>
          <w:rFonts w:hint="eastAsia" w:ascii="宋体" w:hAnsi="宋体" w:eastAsia="宋体" w:cs="宋体"/>
          <w:lang w:val="zh-CN" w:eastAsia="zh-CN"/>
        </w:rPr>
        <w:t>.</w:t>
      </w:r>
      <w:r>
        <w:rPr>
          <w:rFonts w:hint="eastAsia" w:ascii="宋体" w:hAnsi="宋体" w:eastAsia="宋体" w:cs="宋体"/>
        </w:rPr>
        <w:t>响应文件的比较和评价</w:t>
      </w:r>
      <w:bookmarkEnd w:id="202"/>
      <w:bookmarkEnd w:id="203"/>
      <w:bookmarkEnd w:id="204"/>
      <w:bookmarkEnd w:id="205"/>
    </w:p>
    <w:p w14:paraId="1A680168">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w w:val="100"/>
          <w:sz w:val="24"/>
          <w:szCs w:val="24"/>
          <w:lang w:val="zh-CN" w:eastAsia="zh-CN" w:bidi="zh-CN"/>
        </w:rPr>
        <w:t>2</w:t>
      </w:r>
      <w:r>
        <w:rPr>
          <w:rFonts w:hint="eastAsia" w:ascii="宋体" w:hAnsi="宋体" w:eastAsia="宋体" w:cs="宋体"/>
          <w:b/>
          <w:bCs/>
          <w:w w:val="100"/>
          <w:sz w:val="24"/>
          <w:szCs w:val="24"/>
          <w:lang w:val="en-US" w:eastAsia="zh-CN" w:bidi="zh-CN"/>
        </w:rPr>
        <w:t>7</w:t>
      </w:r>
      <w:r>
        <w:rPr>
          <w:rFonts w:hint="eastAsia" w:ascii="宋体" w:hAnsi="宋体" w:eastAsia="宋体" w:cs="宋体"/>
          <w:b/>
          <w:bCs/>
          <w:w w:val="100"/>
          <w:sz w:val="24"/>
          <w:szCs w:val="24"/>
          <w:lang w:val="zh-CN" w:eastAsia="zh-CN" w:bidi="zh-CN"/>
        </w:rPr>
        <w:t>.1</w:t>
      </w:r>
      <w:r>
        <w:rPr>
          <w:rFonts w:hint="eastAsia" w:ascii="宋体" w:hAnsi="宋体" w:eastAsia="宋体" w:cs="宋体"/>
          <w:b/>
          <w:bCs/>
          <w:spacing w:val="-1"/>
          <w:sz w:val="24"/>
        </w:rPr>
        <w:t>磋商小组在评审过程中，发现响应文件出现下列情况之一者，按以下原则修</w:t>
      </w:r>
      <w:r>
        <w:rPr>
          <w:rFonts w:hint="eastAsia" w:ascii="宋体" w:hAnsi="宋体" w:eastAsia="宋体" w:cs="宋体"/>
          <w:b/>
          <w:bCs/>
          <w:sz w:val="24"/>
        </w:rPr>
        <w:t>正：</w:t>
      </w:r>
    </w:p>
    <w:p w14:paraId="6A973F32">
      <w:pPr>
        <w:pStyle w:val="23"/>
        <w:keepNext w:val="0"/>
        <w:keepLines w:val="0"/>
        <w:pageBreakBefore w:val="0"/>
        <w:widowControl w:val="0"/>
        <w:numPr>
          <w:ilvl w:val="2"/>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16"/>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.1.1</w:t>
      </w:r>
      <w:r>
        <w:rPr>
          <w:rFonts w:hint="eastAsia" w:ascii="宋体" w:hAnsi="宋体" w:eastAsia="宋体" w:cs="宋体"/>
          <w:sz w:val="24"/>
        </w:rPr>
        <w:t>磋商报价表内容与响应文件中报价内容不一致的，以磋商报价表为准；</w:t>
      </w:r>
    </w:p>
    <w:p w14:paraId="677D8116">
      <w:pPr>
        <w:pStyle w:val="23"/>
        <w:keepNext w:val="0"/>
        <w:keepLines w:val="0"/>
        <w:pageBreakBefore w:val="0"/>
        <w:widowControl w:val="0"/>
        <w:numPr>
          <w:ilvl w:val="2"/>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.1.2</w:t>
      </w:r>
      <w:r>
        <w:rPr>
          <w:rFonts w:hint="eastAsia" w:ascii="宋体" w:hAnsi="宋体" w:eastAsia="宋体" w:cs="宋体"/>
          <w:spacing w:val="-6"/>
          <w:sz w:val="24"/>
        </w:rPr>
        <w:t>大小写数字如不一致，以大写价格为准，大写明显错误，以小写数字为准；</w:t>
      </w:r>
    </w:p>
    <w:p w14:paraId="44C4B0BD">
      <w:pPr>
        <w:pStyle w:val="23"/>
        <w:keepNext w:val="0"/>
        <w:keepLines w:val="0"/>
        <w:pageBreakBefore w:val="0"/>
        <w:widowControl w:val="0"/>
        <w:numPr>
          <w:ilvl w:val="2"/>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.1.3</w:t>
      </w:r>
      <w:r>
        <w:rPr>
          <w:rFonts w:hint="eastAsia" w:ascii="宋体" w:hAnsi="宋体" w:eastAsia="宋体" w:cs="宋体"/>
          <w:spacing w:val="-1"/>
          <w:sz w:val="24"/>
        </w:rPr>
        <w:t>如果以单价计算的结果与总价不一致，则以单价为准修改总价；单价金额</w:t>
      </w:r>
      <w:r>
        <w:rPr>
          <w:rFonts w:hint="eastAsia" w:ascii="宋体" w:hAnsi="宋体" w:eastAsia="宋体" w:cs="宋体"/>
          <w:sz w:val="24"/>
        </w:rPr>
        <w:t>小数点有明显错位的，应以总价为准，并修改单价；</w:t>
      </w:r>
    </w:p>
    <w:p w14:paraId="650C88FA">
      <w:pPr>
        <w:pStyle w:val="23"/>
        <w:keepNext w:val="0"/>
        <w:keepLines w:val="0"/>
        <w:pageBreakBefore w:val="0"/>
        <w:widowControl w:val="0"/>
        <w:numPr>
          <w:ilvl w:val="2"/>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.1.4</w:t>
      </w:r>
      <w:r>
        <w:rPr>
          <w:rFonts w:hint="eastAsia" w:ascii="宋体" w:hAnsi="宋体" w:eastAsia="宋体" w:cs="宋体"/>
          <w:w w:val="100"/>
          <w:sz w:val="24"/>
          <w:szCs w:val="24"/>
          <w:lang w:val="en-US" w:eastAsia="zh-CN" w:bidi="zh-CN"/>
        </w:rPr>
        <w:t xml:space="preserve"> </w:t>
      </w:r>
      <w:r>
        <w:rPr>
          <w:rFonts w:hint="eastAsia" w:ascii="宋体" w:hAnsi="宋体" w:eastAsia="宋体" w:cs="宋体"/>
          <w:sz w:val="24"/>
        </w:rPr>
        <w:t>正本与副本不一致的，以正本为准；</w:t>
      </w:r>
    </w:p>
    <w:p w14:paraId="16154981">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w:t>
      </w:r>
      <w:r>
        <w:rPr>
          <w:rFonts w:hint="eastAsia" w:ascii="宋体" w:hAnsi="宋体" w:eastAsia="宋体" w:cs="宋体"/>
          <w:w w:val="100"/>
          <w:sz w:val="24"/>
          <w:szCs w:val="24"/>
          <w:lang w:val="en-US" w:eastAsia="zh-CN" w:bidi="zh-CN"/>
        </w:rPr>
        <w:t xml:space="preserve">2 </w:t>
      </w:r>
      <w:r>
        <w:rPr>
          <w:rFonts w:hint="eastAsia" w:ascii="宋体" w:hAnsi="宋体" w:eastAsia="宋体" w:cs="宋体"/>
          <w:spacing w:val="-1"/>
          <w:sz w:val="24"/>
        </w:rPr>
        <w:t>评审程序：采取逐项分步评审方式，每一步评审不符合者，不进入下一步评</w:t>
      </w:r>
      <w:r>
        <w:rPr>
          <w:rFonts w:hint="eastAsia" w:ascii="宋体" w:hAnsi="宋体" w:eastAsia="宋体" w:cs="宋体"/>
          <w:sz w:val="24"/>
        </w:rPr>
        <w:t>审，先进行资格性审查，再进行符合性审查，然后进行技术响应性审查。</w:t>
      </w:r>
    </w:p>
    <w:p w14:paraId="104AAC8D">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w:t>
      </w:r>
      <w:r>
        <w:rPr>
          <w:rFonts w:hint="eastAsia" w:ascii="宋体" w:hAnsi="宋体" w:eastAsia="宋体" w:cs="宋体"/>
          <w:w w:val="100"/>
          <w:sz w:val="24"/>
          <w:szCs w:val="24"/>
          <w:lang w:val="en-US" w:eastAsia="zh-CN" w:bidi="zh-CN"/>
        </w:rPr>
        <w:t xml:space="preserve">3 </w:t>
      </w:r>
      <w:r>
        <w:rPr>
          <w:rFonts w:hint="eastAsia" w:ascii="宋体" w:hAnsi="宋体" w:eastAsia="宋体" w:cs="宋体"/>
          <w:sz w:val="24"/>
        </w:rPr>
        <w:t>磋商小组根据各磋商供应商响应文件响应情况与各供应商进行磋商，磋商方式为磋商小组所有成员集中与单一供应商分别进行磋商，并给与参加磋商的供应商平等的磋商机会。</w:t>
      </w:r>
    </w:p>
    <w:p w14:paraId="355A1C26">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w:t>
      </w:r>
      <w:r>
        <w:rPr>
          <w:rFonts w:hint="eastAsia" w:ascii="宋体" w:hAnsi="宋体" w:eastAsia="宋体" w:cs="宋体"/>
          <w:w w:val="100"/>
          <w:sz w:val="24"/>
          <w:szCs w:val="24"/>
          <w:lang w:val="en-US" w:eastAsia="zh-CN" w:bidi="zh-CN"/>
        </w:rPr>
        <w:t>4</w:t>
      </w:r>
      <w:r>
        <w:rPr>
          <w:rFonts w:hint="eastAsia" w:ascii="宋体" w:hAnsi="宋体" w:eastAsia="宋体" w:cs="宋体"/>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被授权人签字或者加盖公章。</w:t>
      </w:r>
    </w:p>
    <w:p w14:paraId="4AEB8BD2">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w:t>
      </w:r>
      <w:r>
        <w:rPr>
          <w:rFonts w:hint="eastAsia" w:ascii="宋体" w:hAnsi="宋体" w:eastAsia="宋体" w:cs="宋体"/>
          <w:w w:val="100"/>
          <w:sz w:val="24"/>
          <w:szCs w:val="24"/>
          <w:lang w:val="en-US" w:eastAsia="zh-CN" w:bidi="zh-CN"/>
        </w:rPr>
        <w:t>5</w:t>
      </w:r>
      <w:r>
        <w:rPr>
          <w:rFonts w:hint="eastAsia" w:ascii="宋体" w:hAnsi="宋体" w:eastAsia="宋体" w:cs="宋体"/>
          <w:sz w:val="24"/>
        </w:rPr>
        <w:t>磋商文件能够详细列明采购标的技术、服务要求的，磋商结束后，磋商小组应当要求所有实质性响应的供应商在规定时间内提交最后报价，最后报价不当场公布。</w:t>
      </w:r>
    </w:p>
    <w:p w14:paraId="072CC858">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w:t>
      </w:r>
      <w:r>
        <w:rPr>
          <w:rFonts w:hint="eastAsia" w:ascii="宋体" w:hAnsi="宋体" w:eastAsia="宋体" w:cs="宋体"/>
          <w:w w:val="100"/>
          <w:sz w:val="24"/>
          <w:szCs w:val="24"/>
          <w:lang w:val="en-US" w:eastAsia="zh-CN" w:bidi="zh-CN"/>
        </w:rPr>
        <w:t>6</w:t>
      </w:r>
      <w:r>
        <w:rPr>
          <w:rFonts w:hint="eastAsia" w:ascii="宋体" w:hAnsi="宋体" w:eastAsia="宋体" w:cs="宋体"/>
          <w:sz w:val="24"/>
        </w:rPr>
        <w:t>磋商小组认为供应商的最后报价或者某些分项报价明显不合理或者低于其他供应商报价，有可能影响产品质量和不能诚信履约的，要求其在磋商小组规定的期限内提供书面文件予以解释说明，并提交相关证明材料；如果其不能在磋商小组规定时间内提供相关材料证明其报价的合理性，其最后报价为无效报价。</w:t>
      </w:r>
    </w:p>
    <w:p w14:paraId="1525444C">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7</w:t>
      </w:r>
      <w:r>
        <w:rPr>
          <w:rFonts w:hint="eastAsia" w:ascii="宋体" w:hAnsi="宋体" w:eastAsia="宋体" w:cs="宋体"/>
          <w:w w:val="100"/>
          <w:sz w:val="24"/>
          <w:szCs w:val="24"/>
          <w:lang w:val="zh-CN" w:eastAsia="zh-CN" w:bidi="zh-CN"/>
        </w:rPr>
        <w:t>.</w:t>
      </w:r>
      <w:r>
        <w:rPr>
          <w:rFonts w:hint="eastAsia" w:ascii="宋体" w:hAnsi="宋体" w:eastAsia="宋体" w:cs="宋体"/>
          <w:w w:val="100"/>
          <w:sz w:val="24"/>
          <w:szCs w:val="24"/>
          <w:lang w:val="en-US" w:eastAsia="zh-CN" w:bidi="zh-CN"/>
        </w:rPr>
        <w:t>7</w:t>
      </w:r>
      <w:r>
        <w:rPr>
          <w:rFonts w:hint="eastAsia" w:ascii="宋体" w:hAnsi="宋体" w:eastAsia="宋体" w:cs="宋体"/>
          <w:spacing w:val="-1"/>
          <w:sz w:val="24"/>
        </w:rPr>
        <w:t>经磋商确定最终采购需求和提交最后报价的供应商后，由磋商小组采用综合</w:t>
      </w:r>
      <w:r>
        <w:rPr>
          <w:rFonts w:hint="eastAsia" w:ascii="宋体" w:hAnsi="宋体" w:eastAsia="宋体" w:cs="宋体"/>
          <w:sz w:val="24"/>
        </w:rPr>
        <w:t>评分法对提交最后报价的供应商的响应文件和最后报价进行综合评分。</w:t>
      </w:r>
    </w:p>
    <w:p w14:paraId="60089B3A">
      <w:pPr>
        <w:pStyle w:val="4"/>
        <w:bidi w:val="0"/>
        <w:rPr>
          <w:rFonts w:hint="eastAsia" w:ascii="宋体" w:hAnsi="宋体" w:eastAsia="宋体" w:cs="宋体"/>
        </w:rPr>
      </w:pPr>
      <w:bookmarkStart w:id="206" w:name="29．评审原则及主要方法"/>
      <w:bookmarkEnd w:id="206"/>
      <w:bookmarkStart w:id="207" w:name="29．评审原则及主要方法"/>
      <w:bookmarkEnd w:id="207"/>
      <w:bookmarkStart w:id="208" w:name="_Toc28411"/>
      <w:bookmarkStart w:id="209" w:name="_Toc30781"/>
      <w:bookmarkStart w:id="210" w:name="_Toc26820"/>
      <w:bookmarkStart w:id="211" w:name="_Toc27535"/>
      <w:r>
        <w:rPr>
          <w:rFonts w:hint="eastAsia" w:ascii="宋体" w:hAnsi="宋体" w:eastAsia="宋体" w:cs="宋体"/>
          <w:lang w:val="zh-CN" w:eastAsia="zh-CN"/>
        </w:rPr>
        <w:t>2</w:t>
      </w:r>
      <w:r>
        <w:rPr>
          <w:rFonts w:hint="eastAsia" w:ascii="宋体" w:hAnsi="宋体" w:eastAsia="宋体" w:cs="宋体"/>
          <w:lang w:val="en-US" w:eastAsia="zh-CN"/>
        </w:rPr>
        <w:t>8</w:t>
      </w:r>
      <w:r>
        <w:rPr>
          <w:rFonts w:hint="eastAsia" w:ascii="宋体" w:hAnsi="宋体" w:eastAsia="宋体" w:cs="宋体"/>
          <w:lang w:val="zh-CN" w:eastAsia="zh-CN"/>
        </w:rPr>
        <w:t>.</w:t>
      </w:r>
      <w:r>
        <w:rPr>
          <w:rFonts w:hint="eastAsia" w:ascii="宋体" w:hAnsi="宋体" w:eastAsia="宋体" w:cs="宋体"/>
        </w:rPr>
        <w:t>评审原则及主要方法</w:t>
      </w:r>
      <w:bookmarkEnd w:id="208"/>
      <w:bookmarkEnd w:id="209"/>
      <w:bookmarkEnd w:id="210"/>
      <w:bookmarkEnd w:id="211"/>
    </w:p>
    <w:p w14:paraId="2459B920">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2</w:t>
      </w:r>
      <w:r>
        <w:rPr>
          <w:rFonts w:hint="eastAsia" w:ascii="宋体" w:hAnsi="宋体" w:eastAsia="宋体" w:cs="宋体"/>
          <w:w w:val="100"/>
          <w:sz w:val="24"/>
          <w:szCs w:val="24"/>
          <w:lang w:val="en-US" w:eastAsia="zh-CN" w:bidi="zh-CN"/>
        </w:rPr>
        <w:t>8</w:t>
      </w:r>
      <w:r>
        <w:rPr>
          <w:rFonts w:hint="eastAsia" w:ascii="宋体" w:hAnsi="宋体" w:eastAsia="宋体" w:cs="宋体"/>
          <w:w w:val="100"/>
          <w:sz w:val="24"/>
          <w:szCs w:val="24"/>
          <w:lang w:val="zh-CN" w:eastAsia="zh-CN" w:bidi="zh-CN"/>
        </w:rPr>
        <w:t>.1</w:t>
      </w:r>
      <w:r>
        <w:rPr>
          <w:rFonts w:hint="eastAsia" w:ascii="宋体" w:hAnsi="宋体" w:eastAsia="宋体" w:cs="宋体"/>
          <w:spacing w:val="-3"/>
          <w:sz w:val="24"/>
        </w:rPr>
        <w:t>磋商小组将遵循公平、公正和择优的原则，对所有提交最后报价的供应商的</w:t>
      </w:r>
      <w:r>
        <w:rPr>
          <w:rFonts w:hint="eastAsia" w:ascii="宋体" w:hAnsi="宋体" w:eastAsia="宋体" w:cs="宋体"/>
          <w:sz w:val="24"/>
        </w:rPr>
        <w:t>响应文件评审，都采用相同的程序和标准。</w:t>
      </w:r>
    </w:p>
    <w:p w14:paraId="746B8B90">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rPr>
      </w:pPr>
      <w:r>
        <w:rPr>
          <w:rFonts w:hint="eastAsia" w:ascii="宋体" w:hAnsi="宋体" w:eastAsia="宋体" w:cs="宋体"/>
          <w:lang w:val="zh-CN" w:eastAsia="zh-CN"/>
        </w:rPr>
        <w:t>2</w:t>
      </w:r>
      <w:r>
        <w:rPr>
          <w:rFonts w:hint="eastAsia" w:ascii="宋体" w:hAnsi="宋体" w:eastAsia="宋体" w:cs="宋体"/>
          <w:lang w:val="en-US" w:eastAsia="zh-CN"/>
        </w:rPr>
        <w:t>8</w:t>
      </w:r>
      <w:r>
        <w:rPr>
          <w:rFonts w:hint="eastAsia" w:ascii="宋体" w:hAnsi="宋体" w:eastAsia="宋体" w:cs="宋体"/>
          <w:lang w:val="zh-CN" w:eastAsia="zh-CN"/>
        </w:rPr>
        <w:t>.2</w:t>
      </w:r>
      <w:r>
        <w:rPr>
          <w:rFonts w:hint="eastAsia" w:ascii="宋体" w:hAnsi="宋体" w:eastAsia="宋体" w:cs="宋体"/>
        </w:rPr>
        <w:t>评审办法：综合评分法，是指响应文件满足磋商文件全部实质性要求且按评审因素的量化指标评审得分最高的供应商为成交候选供应商的评审方法。</w:t>
      </w:r>
    </w:p>
    <w:p w14:paraId="114D75C4">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rPr>
      </w:pPr>
      <w:r>
        <w:rPr>
          <w:rFonts w:hint="eastAsia" w:ascii="宋体" w:hAnsi="宋体" w:eastAsia="宋体" w:cs="宋体"/>
          <w:lang w:val="zh-CN" w:eastAsia="zh-CN"/>
        </w:rPr>
        <w:t>2</w:t>
      </w:r>
      <w:r>
        <w:rPr>
          <w:rFonts w:hint="eastAsia" w:ascii="宋体" w:hAnsi="宋体" w:eastAsia="宋体" w:cs="宋体"/>
          <w:lang w:val="en-US" w:eastAsia="zh-CN"/>
        </w:rPr>
        <w:t>8</w:t>
      </w:r>
      <w:r>
        <w:rPr>
          <w:rFonts w:hint="eastAsia" w:ascii="宋体" w:hAnsi="宋体" w:eastAsia="宋体" w:cs="宋体"/>
          <w:lang w:val="zh-CN" w:eastAsia="zh-CN"/>
        </w:rPr>
        <w:t>.3</w:t>
      </w:r>
      <w:r>
        <w:rPr>
          <w:rFonts w:hint="eastAsia" w:ascii="宋体" w:hAnsi="宋体" w:eastAsia="宋体" w:cs="宋体"/>
        </w:rPr>
        <w:t>磋商小组应当根据综合评分情况，按照评审得分由高到低顺序推荐 3 名以上成交候选供应商，并编写评审报告，评审得分相同的，按照最后报价由低到高的顺序推荐。评审得分且最后报价相同的，按照技术指标优劣顺序推荐。</w:t>
      </w:r>
    </w:p>
    <w:p w14:paraId="12E28E7B">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rPr>
      </w:pPr>
      <w:r>
        <w:rPr>
          <w:rFonts w:hint="eastAsia" w:ascii="宋体" w:hAnsi="宋体" w:eastAsia="宋体" w:cs="宋体"/>
          <w:lang w:val="zh-CN" w:eastAsia="zh-CN"/>
        </w:rPr>
        <w:t>2</w:t>
      </w:r>
      <w:r>
        <w:rPr>
          <w:rFonts w:hint="eastAsia" w:ascii="宋体" w:hAnsi="宋体" w:eastAsia="宋体" w:cs="宋体"/>
          <w:lang w:val="en-US" w:eastAsia="zh-CN"/>
        </w:rPr>
        <w:t>8</w:t>
      </w:r>
      <w:r>
        <w:rPr>
          <w:rFonts w:hint="eastAsia" w:ascii="宋体" w:hAnsi="宋体" w:eastAsia="宋体" w:cs="宋体"/>
          <w:lang w:val="zh-CN" w:eastAsia="zh-CN"/>
        </w:rPr>
        <w:t>.4</w:t>
      </w:r>
      <w:r>
        <w:rPr>
          <w:rFonts w:hint="eastAsia" w:ascii="宋体" w:hAnsi="宋体" w:eastAsia="宋体" w:cs="宋体"/>
        </w:rPr>
        <w:t>评审过程中，若出现本办法以外的特殊情况时，将暂停评审，有关情况待磋商小组确定后，再行评定。</w:t>
      </w:r>
    </w:p>
    <w:p w14:paraId="1108C4BD">
      <w:pPr>
        <w:pStyle w:val="4"/>
        <w:bidi w:val="0"/>
        <w:rPr>
          <w:rFonts w:hint="eastAsia" w:ascii="宋体" w:hAnsi="宋体" w:eastAsia="宋体" w:cs="宋体"/>
        </w:rPr>
      </w:pPr>
      <w:bookmarkStart w:id="212" w:name="30．与采购人、采购代理机构和磋商小组接触"/>
      <w:bookmarkEnd w:id="212"/>
      <w:bookmarkStart w:id="213" w:name="30．与采购人、采购代理机构和磋商小组接触"/>
      <w:bookmarkEnd w:id="213"/>
      <w:bookmarkStart w:id="214" w:name="_Toc24293"/>
      <w:bookmarkStart w:id="215" w:name="_Toc7920"/>
      <w:bookmarkStart w:id="216" w:name="_Toc18630"/>
      <w:bookmarkStart w:id="217" w:name="_Toc13013"/>
      <w:r>
        <w:rPr>
          <w:rFonts w:hint="eastAsia" w:ascii="宋体" w:hAnsi="宋体" w:eastAsia="宋体" w:cs="宋体"/>
          <w:lang w:val="en-US" w:eastAsia="zh-CN"/>
        </w:rPr>
        <w:t>29.</w:t>
      </w:r>
      <w:r>
        <w:rPr>
          <w:rFonts w:hint="eastAsia" w:ascii="宋体" w:hAnsi="宋体" w:eastAsia="宋体" w:cs="宋体"/>
        </w:rPr>
        <w:t>与采购人、采购代理机构和磋商小组接触</w:t>
      </w:r>
      <w:bookmarkEnd w:id="214"/>
      <w:bookmarkEnd w:id="215"/>
      <w:bookmarkEnd w:id="216"/>
      <w:bookmarkEnd w:id="217"/>
    </w:p>
    <w:p w14:paraId="3A8999FE">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rPr>
      </w:pPr>
      <w:r>
        <w:rPr>
          <w:rFonts w:hint="eastAsia" w:ascii="宋体" w:hAnsi="宋体" w:eastAsia="宋体" w:cs="宋体"/>
          <w:lang w:val="en-US" w:eastAsia="zh-CN"/>
        </w:rPr>
        <w:t>29</w:t>
      </w:r>
      <w:r>
        <w:rPr>
          <w:rFonts w:hint="eastAsia" w:ascii="宋体" w:hAnsi="宋体" w:eastAsia="宋体" w:cs="宋体"/>
          <w:lang w:val="zh-CN" w:eastAsia="zh-CN"/>
        </w:rPr>
        <w:t>.1</w:t>
      </w:r>
      <w:r>
        <w:rPr>
          <w:rFonts w:hint="eastAsia" w:ascii="宋体" w:hAnsi="宋体" w:eastAsia="宋体" w:cs="宋体"/>
        </w:rPr>
        <w:t>供应商试图对采购人和磋商小组的评审、比较或授予合同的决定进行影响， 都可能导致其磋商被拒绝。</w:t>
      </w:r>
    </w:p>
    <w:p w14:paraId="00834715">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rPr>
      </w:pPr>
    </w:p>
    <w:p w14:paraId="362D681D">
      <w:pPr>
        <w:pStyle w:val="3"/>
        <w:numPr>
          <w:ilvl w:val="0"/>
          <w:numId w:val="0"/>
        </w:numPr>
        <w:bidi w:val="0"/>
        <w:ind w:right="0" w:rightChars="0"/>
        <w:jc w:val="center"/>
        <w:rPr>
          <w:rFonts w:hint="eastAsia" w:ascii="宋体" w:hAnsi="宋体" w:eastAsia="宋体" w:cs="宋体"/>
          <w:lang w:val="zh-CN" w:eastAsia="zh-CN"/>
        </w:rPr>
      </w:pPr>
      <w:bookmarkStart w:id="218" w:name="31．定标及合同授予"/>
      <w:bookmarkEnd w:id="218"/>
      <w:bookmarkStart w:id="219" w:name="31．定标及合同授予"/>
      <w:bookmarkEnd w:id="219"/>
      <w:bookmarkStart w:id="220" w:name="_Toc24600"/>
      <w:bookmarkStart w:id="221" w:name="_Toc22564"/>
      <w:bookmarkStart w:id="222" w:name="_Toc30868"/>
      <w:bookmarkStart w:id="223" w:name="_Toc14440"/>
      <w:bookmarkStart w:id="224" w:name="_Toc5940"/>
      <w:r>
        <w:rPr>
          <w:rFonts w:hint="eastAsia" w:ascii="宋体" w:hAnsi="宋体" w:eastAsia="宋体" w:cs="宋体"/>
          <w:lang w:val="zh-CN" w:eastAsia="zh-CN"/>
        </w:rPr>
        <w:t>六、成交、通知与签约</w:t>
      </w:r>
      <w:bookmarkEnd w:id="220"/>
      <w:bookmarkEnd w:id="221"/>
      <w:bookmarkEnd w:id="222"/>
      <w:bookmarkEnd w:id="223"/>
      <w:bookmarkEnd w:id="224"/>
    </w:p>
    <w:p w14:paraId="55C9BBFD">
      <w:pPr>
        <w:pStyle w:val="4"/>
        <w:bidi w:val="0"/>
        <w:rPr>
          <w:rFonts w:hint="eastAsia" w:ascii="宋体" w:hAnsi="宋体" w:eastAsia="宋体" w:cs="宋体"/>
        </w:rPr>
      </w:pPr>
      <w:bookmarkStart w:id="225" w:name="_Toc30969"/>
      <w:bookmarkStart w:id="226" w:name="_Toc29833"/>
      <w:bookmarkStart w:id="227" w:name="_Toc12187"/>
      <w:bookmarkStart w:id="228" w:name="_Toc29392"/>
      <w:r>
        <w:rPr>
          <w:rFonts w:hint="eastAsia" w:ascii="宋体" w:hAnsi="宋体" w:eastAsia="宋体" w:cs="宋体"/>
          <w:lang w:val="zh-CN" w:eastAsia="zh-CN"/>
        </w:rPr>
        <w:t>3</w:t>
      </w:r>
      <w:r>
        <w:rPr>
          <w:rFonts w:hint="eastAsia" w:ascii="宋体" w:hAnsi="宋体" w:eastAsia="宋体" w:cs="宋体"/>
          <w:lang w:val="en-US" w:eastAsia="zh-CN"/>
        </w:rPr>
        <w:t>0</w:t>
      </w:r>
      <w:r>
        <w:rPr>
          <w:rFonts w:hint="eastAsia" w:ascii="宋体" w:hAnsi="宋体" w:eastAsia="宋体" w:cs="宋体"/>
          <w:lang w:val="zh-CN" w:eastAsia="zh-CN"/>
        </w:rPr>
        <w:t>.</w:t>
      </w:r>
      <w:r>
        <w:rPr>
          <w:rFonts w:hint="eastAsia" w:ascii="宋体" w:hAnsi="宋体" w:eastAsia="宋体" w:cs="宋体"/>
        </w:rPr>
        <w:t>定标及合同授予</w:t>
      </w:r>
      <w:bookmarkEnd w:id="225"/>
      <w:bookmarkEnd w:id="226"/>
      <w:bookmarkEnd w:id="227"/>
      <w:bookmarkEnd w:id="228"/>
    </w:p>
    <w:p w14:paraId="54E4B307">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0</w:t>
      </w:r>
      <w:r>
        <w:rPr>
          <w:rFonts w:hint="eastAsia" w:ascii="宋体" w:hAnsi="宋体" w:eastAsia="宋体" w:cs="宋体"/>
          <w:w w:val="100"/>
          <w:sz w:val="24"/>
          <w:szCs w:val="24"/>
          <w:lang w:val="zh-CN" w:eastAsia="zh-CN" w:bidi="zh-CN"/>
        </w:rPr>
        <w:t>.1</w:t>
      </w:r>
      <w:r>
        <w:rPr>
          <w:rFonts w:hint="eastAsia" w:ascii="宋体" w:hAnsi="宋体" w:eastAsia="宋体" w:cs="宋体"/>
          <w:spacing w:val="-5"/>
          <w:sz w:val="24"/>
        </w:rPr>
        <w:t xml:space="preserve">采购代理机构应在评审结束后 </w:t>
      </w:r>
      <w:r>
        <w:rPr>
          <w:rFonts w:hint="eastAsia" w:ascii="宋体" w:hAnsi="宋体" w:eastAsia="宋体" w:cs="宋体"/>
          <w:sz w:val="24"/>
        </w:rPr>
        <w:t>2</w:t>
      </w:r>
      <w:r>
        <w:rPr>
          <w:rFonts w:hint="eastAsia" w:ascii="宋体" w:hAnsi="宋体" w:eastAsia="宋体" w:cs="宋体"/>
          <w:spacing w:val="-8"/>
          <w:sz w:val="24"/>
        </w:rPr>
        <w:t xml:space="preserve"> 个工作日内，将评审报告送采购人确认。</w:t>
      </w:r>
    </w:p>
    <w:p w14:paraId="0DD40250">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0</w:t>
      </w:r>
      <w:r>
        <w:rPr>
          <w:rFonts w:hint="eastAsia" w:ascii="宋体" w:hAnsi="宋体" w:eastAsia="宋体" w:cs="宋体"/>
          <w:w w:val="100"/>
          <w:sz w:val="24"/>
          <w:szCs w:val="24"/>
          <w:lang w:val="zh-CN" w:eastAsia="zh-CN" w:bidi="zh-CN"/>
        </w:rPr>
        <w:t>.2</w:t>
      </w:r>
      <w:r>
        <w:rPr>
          <w:rFonts w:hint="eastAsia" w:ascii="宋体" w:hAnsi="宋体" w:eastAsia="宋体" w:cs="宋体"/>
          <w:spacing w:val="-4"/>
          <w:sz w:val="24"/>
        </w:rPr>
        <w:t xml:space="preserve">采购人在收到评审报告后 </w:t>
      </w:r>
      <w:r>
        <w:rPr>
          <w:rFonts w:hint="eastAsia" w:ascii="宋体" w:hAnsi="宋体" w:eastAsia="宋体" w:cs="宋体"/>
          <w:sz w:val="24"/>
        </w:rPr>
        <w:t>5</w:t>
      </w:r>
      <w:r>
        <w:rPr>
          <w:rFonts w:hint="eastAsia" w:ascii="宋体" w:hAnsi="宋体" w:eastAsia="宋体" w:cs="宋体"/>
          <w:spacing w:val="-8"/>
          <w:sz w:val="24"/>
        </w:rPr>
        <w:t xml:space="preserve"> 个工作日内，根据评审报告对评审过程及结果进</w:t>
      </w:r>
      <w:r>
        <w:rPr>
          <w:rFonts w:hint="eastAsia" w:ascii="宋体" w:hAnsi="宋体" w:eastAsia="宋体" w:cs="宋体"/>
          <w:sz w:val="24"/>
        </w:rPr>
        <w:t>行严格审核后确定成交供应商，复函采购代理机构。</w:t>
      </w:r>
    </w:p>
    <w:p w14:paraId="76604CA9">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0</w:t>
      </w:r>
      <w:r>
        <w:rPr>
          <w:rFonts w:hint="eastAsia" w:ascii="宋体" w:hAnsi="宋体" w:eastAsia="宋体" w:cs="宋体"/>
          <w:w w:val="100"/>
          <w:sz w:val="24"/>
          <w:szCs w:val="24"/>
          <w:lang w:val="zh-CN" w:eastAsia="zh-CN" w:bidi="zh-CN"/>
        </w:rPr>
        <w:t>.3</w:t>
      </w:r>
      <w:r>
        <w:rPr>
          <w:rFonts w:hint="eastAsia" w:ascii="宋体" w:hAnsi="宋体" w:eastAsia="宋体" w:cs="宋体"/>
          <w:spacing w:val="-1"/>
          <w:sz w:val="24"/>
        </w:rPr>
        <w:t>采购代理机构在接到采购人的成交供应商复函后，在财政部门指定的政府采</w:t>
      </w:r>
      <w:r>
        <w:rPr>
          <w:rFonts w:hint="eastAsia" w:ascii="宋体" w:hAnsi="宋体" w:eastAsia="宋体" w:cs="宋体"/>
          <w:sz w:val="24"/>
        </w:rPr>
        <w:t>购信息发布媒体上公告，并向成交供应商发《成交通知书》。</w:t>
      </w:r>
    </w:p>
    <w:p w14:paraId="2E256DF1">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0</w:t>
      </w:r>
      <w:r>
        <w:rPr>
          <w:rFonts w:hint="eastAsia" w:ascii="宋体" w:hAnsi="宋体" w:eastAsia="宋体" w:cs="宋体"/>
          <w:w w:val="100"/>
          <w:sz w:val="24"/>
          <w:szCs w:val="24"/>
          <w:lang w:val="zh-CN" w:eastAsia="zh-CN" w:bidi="zh-CN"/>
        </w:rPr>
        <w:t>.4</w:t>
      </w:r>
      <w:r>
        <w:rPr>
          <w:rFonts w:hint="eastAsia" w:ascii="宋体" w:hAnsi="宋体" w:eastAsia="宋体" w:cs="宋体"/>
          <w:sz w:val="24"/>
        </w:rPr>
        <w:t>采购代理机构向成交供应商发出《成交通知书》。</w:t>
      </w:r>
    </w:p>
    <w:p w14:paraId="25989BF4">
      <w:pPr>
        <w:pStyle w:val="23"/>
        <w:keepNext w:val="0"/>
        <w:keepLines w:val="0"/>
        <w:pageBreakBefore w:val="0"/>
        <w:widowControl w:val="0"/>
        <w:numPr>
          <w:ilvl w:val="1"/>
          <w:numId w:val="0"/>
        </w:numPr>
        <w:tabs>
          <w:tab w:val="left" w:pos="8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0</w:t>
      </w:r>
      <w:r>
        <w:rPr>
          <w:rFonts w:hint="eastAsia" w:ascii="宋体" w:hAnsi="宋体" w:eastAsia="宋体" w:cs="宋体"/>
          <w:w w:val="100"/>
          <w:sz w:val="24"/>
          <w:szCs w:val="24"/>
          <w:lang w:val="zh-CN" w:eastAsia="zh-CN" w:bidi="zh-CN"/>
        </w:rPr>
        <w:t>.5</w:t>
      </w:r>
      <w:r>
        <w:rPr>
          <w:rFonts w:hint="eastAsia" w:ascii="宋体" w:hAnsi="宋体" w:eastAsia="宋体" w:cs="宋体"/>
          <w:sz w:val="24"/>
        </w:rPr>
        <w:t>《成交通知书》将作为签订合同的依据，磋商文件、成交供应商的响应文件</w:t>
      </w:r>
      <w:r>
        <w:rPr>
          <w:rFonts w:hint="eastAsia" w:ascii="宋体" w:hAnsi="宋体" w:eastAsia="宋体" w:cs="宋体"/>
          <w:spacing w:val="-1"/>
          <w:sz w:val="24"/>
        </w:rPr>
        <w:t>和补充文件</w:t>
      </w:r>
      <w:r>
        <w:rPr>
          <w:rFonts w:hint="eastAsia" w:ascii="宋体" w:hAnsi="宋体" w:eastAsia="宋体" w:cs="宋体"/>
          <w:spacing w:val="-3"/>
          <w:sz w:val="24"/>
        </w:rPr>
        <w:t>（</w:t>
      </w:r>
      <w:r>
        <w:rPr>
          <w:rFonts w:hint="eastAsia" w:ascii="宋体" w:hAnsi="宋体" w:eastAsia="宋体" w:cs="宋体"/>
          <w:spacing w:val="-1"/>
          <w:sz w:val="24"/>
        </w:rPr>
        <w:t>如澄清、承诺等</w:t>
      </w:r>
      <w:r>
        <w:rPr>
          <w:rFonts w:hint="eastAsia" w:ascii="宋体" w:hAnsi="宋体" w:eastAsia="宋体" w:cs="宋体"/>
          <w:spacing w:val="-5"/>
          <w:sz w:val="24"/>
        </w:rPr>
        <w:t>）</w:t>
      </w:r>
      <w:r>
        <w:rPr>
          <w:rFonts w:hint="eastAsia" w:ascii="宋体" w:hAnsi="宋体" w:eastAsia="宋体" w:cs="宋体"/>
          <w:spacing w:val="-3"/>
          <w:sz w:val="24"/>
        </w:rPr>
        <w:t>等，均为有法律约束力的经济合同组成的一部分。</w:t>
      </w:r>
    </w:p>
    <w:p w14:paraId="0EAE4959">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0</w:t>
      </w:r>
      <w:r>
        <w:rPr>
          <w:rFonts w:hint="eastAsia" w:ascii="宋体" w:hAnsi="宋体" w:eastAsia="宋体" w:cs="宋体"/>
          <w:w w:val="100"/>
          <w:sz w:val="24"/>
          <w:szCs w:val="24"/>
          <w:lang w:val="zh-CN" w:eastAsia="zh-CN" w:bidi="zh-CN"/>
        </w:rPr>
        <w:t>.6</w:t>
      </w:r>
      <w:r>
        <w:rPr>
          <w:rFonts w:hint="eastAsia" w:ascii="宋体" w:hAnsi="宋体" w:eastAsia="宋体" w:cs="宋体"/>
          <w:spacing w:val="-1"/>
          <w:sz w:val="24"/>
        </w:rPr>
        <w:t>成交供应商如果因不可抗力或自身原因不能履行采购合同，采购人可与排位</w:t>
      </w:r>
      <w:r>
        <w:rPr>
          <w:rFonts w:hint="eastAsia" w:ascii="宋体" w:hAnsi="宋体" w:eastAsia="宋体" w:cs="宋体"/>
          <w:sz w:val="24"/>
        </w:rPr>
        <w:t>在成交供应商之后第一位的成交候选供应商签订采购合同。</w:t>
      </w:r>
    </w:p>
    <w:p w14:paraId="199808BF">
      <w:pPr>
        <w:pStyle w:val="4"/>
        <w:bidi w:val="0"/>
        <w:rPr>
          <w:rFonts w:hint="eastAsia" w:ascii="宋体" w:hAnsi="宋体" w:eastAsia="宋体" w:cs="宋体"/>
        </w:rPr>
      </w:pPr>
      <w:bookmarkStart w:id="229" w:name="32．接受和拒绝任何或所有磋商的权力"/>
      <w:bookmarkEnd w:id="229"/>
      <w:bookmarkStart w:id="230" w:name="32．接受和拒绝任何或所有磋商的权力"/>
      <w:bookmarkEnd w:id="230"/>
      <w:bookmarkStart w:id="231" w:name="_Toc20224"/>
      <w:bookmarkStart w:id="232" w:name="_Toc12101"/>
      <w:bookmarkStart w:id="233" w:name="_Toc21858"/>
      <w:bookmarkStart w:id="234" w:name="_Toc3703"/>
      <w:r>
        <w:rPr>
          <w:rFonts w:hint="eastAsia" w:ascii="宋体" w:hAnsi="宋体" w:eastAsia="宋体" w:cs="宋体"/>
          <w:lang w:val="zh-CN" w:eastAsia="zh-CN"/>
        </w:rPr>
        <w:t>3</w:t>
      </w:r>
      <w:r>
        <w:rPr>
          <w:rFonts w:hint="eastAsia" w:ascii="宋体" w:hAnsi="宋体" w:eastAsia="宋体" w:cs="宋体"/>
          <w:lang w:val="en-US" w:eastAsia="zh-CN"/>
        </w:rPr>
        <w:t>1</w:t>
      </w:r>
      <w:r>
        <w:rPr>
          <w:rFonts w:hint="eastAsia" w:ascii="宋体" w:hAnsi="宋体" w:eastAsia="宋体" w:cs="宋体"/>
          <w:lang w:val="zh-CN" w:eastAsia="zh-CN"/>
        </w:rPr>
        <w:t>.</w:t>
      </w:r>
      <w:r>
        <w:rPr>
          <w:rFonts w:hint="eastAsia" w:ascii="宋体" w:hAnsi="宋体" w:eastAsia="宋体" w:cs="宋体"/>
        </w:rPr>
        <w:t>接受和拒绝任何或所有磋商的权力</w:t>
      </w:r>
      <w:bookmarkEnd w:id="231"/>
      <w:bookmarkEnd w:id="232"/>
      <w:bookmarkEnd w:id="233"/>
      <w:bookmarkEnd w:id="234"/>
    </w:p>
    <w:p w14:paraId="020CDE21">
      <w:pPr>
        <w:pStyle w:val="23"/>
        <w:keepNext w:val="0"/>
        <w:keepLines w:val="0"/>
        <w:pageBreakBefore w:val="0"/>
        <w:widowControl w:val="0"/>
        <w:numPr>
          <w:ilvl w:val="1"/>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w w:val="100"/>
          <w:sz w:val="24"/>
          <w:szCs w:val="24"/>
          <w:highlight w:val="none"/>
          <w:lang w:val="zh-CN" w:eastAsia="zh-CN" w:bidi="zh-CN"/>
        </w:rPr>
        <w:t>3</w:t>
      </w:r>
      <w:r>
        <w:rPr>
          <w:rFonts w:hint="eastAsia" w:ascii="宋体" w:hAnsi="宋体" w:eastAsia="宋体" w:cs="宋体"/>
          <w:w w:val="100"/>
          <w:sz w:val="24"/>
          <w:szCs w:val="24"/>
          <w:highlight w:val="none"/>
          <w:lang w:val="en-US" w:eastAsia="zh-CN" w:bidi="zh-CN"/>
        </w:rPr>
        <w:t>1</w:t>
      </w:r>
      <w:r>
        <w:rPr>
          <w:rFonts w:hint="eastAsia" w:ascii="宋体" w:hAnsi="宋体" w:eastAsia="宋体" w:cs="宋体"/>
          <w:w w:val="100"/>
          <w:sz w:val="24"/>
          <w:szCs w:val="24"/>
          <w:highlight w:val="none"/>
          <w:lang w:val="zh-CN" w:eastAsia="zh-CN" w:bidi="zh-CN"/>
        </w:rPr>
        <w:t>.1</w:t>
      </w:r>
      <w:r>
        <w:rPr>
          <w:rFonts w:hint="eastAsia" w:ascii="宋体" w:hAnsi="宋体" w:eastAsia="宋体" w:cs="宋体"/>
          <w:spacing w:val="-2"/>
          <w:sz w:val="24"/>
          <w:highlight w:val="none"/>
        </w:rPr>
        <w:t>采购代理机构和采购人保留在授标之前任何时候接受或拒绝任何磋商，以及</w:t>
      </w:r>
      <w:r>
        <w:rPr>
          <w:rFonts w:hint="eastAsia" w:ascii="宋体" w:hAnsi="宋体" w:eastAsia="宋体" w:cs="宋体"/>
          <w:sz w:val="24"/>
          <w:highlight w:val="none"/>
        </w:rPr>
        <w:t>宣布磋商程序无效或拒绝所有磋商的权力，对受影响的供应商不承担任何责任， 也无义务向受影响的供应商解释采取这一行动的理由。</w:t>
      </w:r>
    </w:p>
    <w:p w14:paraId="6EC3CF65">
      <w:pPr>
        <w:pStyle w:val="4"/>
        <w:bidi w:val="0"/>
        <w:rPr>
          <w:rFonts w:hint="eastAsia" w:ascii="宋体" w:hAnsi="宋体" w:eastAsia="宋体" w:cs="宋体"/>
          <w:lang w:eastAsia="zh-CN"/>
        </w:rPr>
      </w:pPr>
      <w:bookmarkStart w:id="235" w:name="33．履约保证金"/>
      <w:bookmarkEnd w:id="235"/>
      <w:bookmarkStart w:id="236" w:name="33．履约保证金"/>
      <w:bookmarkEnd w:id="236"/>
      <w:bookmarkStart w:id="237" w:name="_Toc1940"/>
      <w:bookmarkStart w:id="238" w:name="_Toc14211"/>
      <w:bookmarkStart w:id="239" w:name="_Toc26860"/>
      <w:bookmarkStart w:id="240" w:name="_Toc30491"/>
      <w:r>
        <w:rPr>
          <w:rFonts w:hint="eastAsia" w:ascii="宋体" w:hAnsi="宋体" w:eastAsia="宋体" w:cs="宋体"/>
          <w:lang w:val="zh-CN" w:eastAsia="zh-CN"/>
        </w:rPr>
        <w:t>3</w:t>
      </w:r>
      <w:r>
        <w:rPr>
          <w:rFonts w:hint="eastAsia" w:ascii="宋体" w:hAnsi="宋体" w:eastAsia="宋体" w:cs="宋体"/>
          <w:lang w:val="en-US" w:eastAsia="zh-CN"/>
        </w:rPr>
        <w:t>2</w:t>
      </w:r>
      <w:r>
        <w:rPr>
          <w:rFonts w:hint="eastAsia" w:ascii="宋体" w:hAnsi="宋体" w:eastAsia="宋体" w:cs="宋体"/>
          <w:lang w:val="zh-CN" w:eastAsia="zh-CN"/>
        </w:rPr>
        <w:t>.</w:t>
      </w:r>
      <w:r>
        <w:rPr>
          <w:rFonts w:hint="eastAsia" w:ascii="宋体" w:hAnsi="宋体" w:eastAsia="宋体" w:cs="宋体"/>
        </w:rPr>
        <w:t>履约保证金</w:t>
      </w:r>
      <w:r>
        <w:rPr>
          <w:rFonts w:hint="eastAsia" w:ascii="宋体" w:hAnsi="宋体" w:eastAsia="宋体" w:cs="宋体"/>
          <w:lang w:eastAsia="zh-CN"/>
        </w:rPr>
        <w:t>：无</w:t>
      </w:r>
      <w:bookmarkEnd w:id="237"/>
      <w:bookmarkEnd w:id="238"/>
      <w:bookmarkEnd w:id="239"/>
      <w:bookmarkEnd w:id="240"/>
    </w:p>
    <w:p w14:paraId="326E7B31">
      <w:pPr>
        <w:pStyle w:val="4"/>
        <w:bidi w:val="0"/>
        <w:rPr>
          <w:rFonts w:hint="eastAsia" w:ascii="宋体" w:hAnsi="宋体" w:eastAsia="宋体" w:cs="宋体"/>
        </w:rPr>
      </w:pPr>
      <w:bookmarkStart w:id="241" w:name="34．腐败和欺诈行为"/>
      <w:bookmarkEnd w:id="241"/>
      <w:bookmarkStart w:id="242" w:name="35. 招标代理服务费 "/>
      <w:bookmarkEnd w:id="242"/>
      <w:bookmarkStart w:id="243" w:name="35. 招标代理服务费 "/>
      <w:bookmarkEnd w:id="243"/>
      <w:bookmarkStart w:id="244" w:name="_Toc16821"/>
      <w:bookmarkStart w:id="245" w:name="_Toc9088"/>
      <w:bookmarkStart w:id="246" w:name="_Toc12126"/>
      <w:bookmarkStart w:id="247" w:name="_Toc9560"/>
      <w:r>
        <w:rPr>
          <w:rFonts w:hint="eastAsia" w:ascii="宋体" w:hAnsi="宋体" w:eastAsia="宋体" w:cs="宋体"/>
          <w:lang w:val="zh-CN" w:eastAsia="zh-CN"/>
        </w:rPr>
        <w:t>3</w:t>
      </w:r>
      <w:r>
        <w:rPr>
          <w:rFonts w:hint="eastAsia" w:ascii="宋体" w:hAnsi="宋体" w:eastAsia="宋体" w:cs="宋体"/>
          <w:lang w:val="en-US" w:eastAsia="zh-CN"/>
        </w:rPr>
        <w:t>3</w:t>
      </w:r>
      <w:r>
        <w:rPr>
          <w:rFonts w:hint="eastAsia" w:ascii="宋体" w:hAnsi="宋体" w:eastAsia="宋体" w:cs="宋体"/>
          <w:lang w:val="zh-CN" w:eastAsia="zh-CN"/>
        </w:rPr>
        <w:t>.</w:t>
      </w:r>
      <w:r>
        <w:rPr>
          <w:rFonts w:hint="eastAsia" w:ascii="宋体" w:hAnsi="宋体" w:eastAsia="宋体" w:cs="宋体"/>
        </w:rPr>
        <w:t>招标代理服务费</w:t>
      </w:r>
      <w:bookmarkEnd w:id="244"/>
      <w:bookmarkEnd w:id="245"/>
      <w:bookmarkEnd w:id="246"/>
      <w:bookmarkEnd w:id="247"/>
    </w:p>
    <w:p w14:paraId="3E6B2AD7">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3</w:t>
      </w:r>
      <w:r>
        <w:rPr>
          <w:rFonts w:hint="eastAsia" w:ascii="宋体" w:hAnsi="宋体" w:eastAsia="宋体" w:cs="宋体"/>
          <w:sz w:val="24"/>
          <w:lang w:val="en-US" w:eastAsia="zh-CN"/>
        </w:rPr>
        <w:t>3</w:t>
      </w:r>
      <w:r>
        <w:rPr>
          <w:rFonts w:hint="eastAsia" w:ascii="宋体" w:hAnsi="宋体" w:eastAsia="宋体" w:cs="宋体"/>
          <w:sz w:val="24"/>
          <w:lang w:val="zh-CN" w:eastAsia="zh-CN"/>
        </w:rPr>
        <w:t xml:space="preserve">.1招标代理服务费分为招标代理费和造价咨询费，成交单位在领取成交通知书前一次性支付该费用。 </w:t>
      </w:r>
    </w:p>
    <w:p w14:paraId="7025DCF4">
      <w:pPr>
        <w:pStyle w:val="23"/>
        <w:keepNext w:val="0"/>
        <w:keepLines w:val="0"/>
        <w:pageBreakBefore w:val="0"/>
        <w:widowControl w:val="0"/>
        <w:numPr>
          <w:ilvl w:val="0"/>
          <w:numId w:val="5"/>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招标代理费金额以中标金额为基数参照国家计委颁发的《招标代理服务收费管理暂行办法》（计价格〔2002〕1980号）、国家发展改革委员会办公厅颁发的《关于招标代理服务收费有关问题的通知》（发改办价格〔2003〕 857号）、《国家发展改革委关于降低部分建设项目收费标准规范收费行为等有关问题的通知》（发改价格〔2011〕534号）的有关规定执行；</w:t>
      </w:r>
    </w:p>
    <w:p w14:paraId="48284E86">
      <w:pPr>
        <w:pStyle w:val="23"/>
        <w:keepNext w:val="0"/>
        <w:keepLines w:val="0"/>
        <w:pageBreakBefore w:val="0"/>
        <w:widowControl w:val="0"/>
        <w:numPr>
          <w:ilvl w:val="0"/>
          <w:numId w:val="5"/>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lang w:val="zh-CN" w:eastAsia="zh-CN"/>
        </w:rPr>
        <w:t>造价咨询费以最高限价为基数参照《关于我省工程造价咨询服务收费标准有关问题的通知》陕价行发〔2014〕88号标准执行。</w:t>
      </w:r>
    </w:p>
    <w:p w14:paraId="44B6D19D">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33.2</w:t>
      </w:r>
      <w:r>
        <w:rPr>
          <w:rFonts w:hint="eastAsia" w:ascii="宋体" w:hAnsi="宋体" w:eastAsia="宋体" w:cs="宋体"/>
          <w:sz w:val="24"/>
        </w:rPr>
        <w:t xml:space="preserve"> 招标代理服务费账户 </w:t>
      </w:r>
    </w:p>
    <w:p w14:paraId="04469987">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名称：中昕国际项目管理有限公司临潼分公司 </w:t>
      </w:r>
    </w:p>
    <w:p w14:paraId="492925E1">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开户行：中国工商银行股份有限公司西安临潼区支行 </w:t>
      </w:r>
    </w:p>
    <w:p w14:paraId="2A8CD2A1">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账号：3700029209200213959</w:t>
      </w:r>
    </w:p>
    <w:p w14:paraId="46C56ED3">
      <w:pPr>
        <w:pStyle w:val="4"/>
        <w:bidi w:val="0"/>
        <w:rPr>
          <w:rFonts w:hint="eastAsia" w:ascii="宋体" w:hAnsi="宋体" w:eastAsia="宋体" w:cs="宋体"/>
        </w:rPr>
      </w:pPr>
      <w:bookmarkStart w:id="248" w:name="_Toc26401"/>
      <w:bookmarkStart w:id="249" w:name="_Toc24038"/>
      <w:bookmarkStart w:id="250" w:name="_Toc32718"/>
      <w:bookmarkStart w:id="251" w:name="_Toc27080"/>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.质疑与投诉</w:t>
      </w:r>
      <w:bookmarkEnd w:id="248"/>
      <w:bookmarkEnd w:id="249"/>
      <w:bookmarkEnd w:id="250"/>
      <w:bookmarkEnd w:id="251"/>
    </w:p>
    <w:p w14:paraId="33114939">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4</w:t>
      </w:r>
      <w:r>
        <w:rPr>
          <w:rFonts w:hint="eastAsia" w:ascii="宋体" w:hAnsi="宋体" w:eastAsia="宋体" w:cs="宋体"/>
          <w:w w:val="100"/>
          <w:sz w:val="24"/>
          <w:szCs w:val="24"/>
          <w:lang w:val="zh-CN" w:eastAsia="zh-CN" w:bidi="zh-CN"/>
        </w:rPr>
        <w:t>.1</w:t>
      </w:r>
      <w:r>
        <w:rPr>
          <w:rFonts w:hint="eastAsia" w:ascii="宋体" w:hAnsi="宋体" w:eastAsia="宋体" w:cs="宋体"/>
          <w:sz w:val="24"/>
        </w:rPr>
        <w:t>供应商对本次</w:t>
      </w:r>
      <w:r>
        <w:rPr>
          <w:rFonts w:hint="eastAsia" w:ascii="宋体" w:hAnsi="宋体" w:eastAsia="宋体" w:cs="宋体"/>
          <w:sz w:val="24"/>
          <w:lang w:eastAsia="zh-CN"/>
        </w:rPr>
        <w:t>磋商</w:t>
      </w:r>
      <w:r>
        <w:rPr>
          <w:rFonts w:hint="eastAsia" w:ascii="宋体" w:hAnsi="宋体" w:eastAsia="宋体" w:cs="宋体"/>
          <w:sz w:val="24"/>
        </w:rPr>
        <w:t>采购活动有疑问的，按照国家《政府采购法》、《政府采</w:t>
      </w:r>
      <w:r>
        <w:rPr>
          <w:rFonts w:hint="eastAsia" w:ascii="宋体" w:hAnsi="宋体" w:eastAsia="宋体" w:cs="宋体"/>
          <w:sz w:val="24"/>
          <w:szCs w:val="24"/>
        </w:rPr>
        <w:t>购法实施条例》和《政府采购质疑和投诉办法》（</w:t>
      </w:r>
      <w:r>
        <w:rPr>
          <w:rFonts w:hint="eastAsia" w:ascii="宋体" w:hAnsi="宋体" w:eastAsia="宋体" w:cs="宋体"/>
          <w:spacing w:val="-15"/>
          <w:sz w:val="24"/>
          <w:szCs w:val="24"/>
        </w:rPr>
        <w:t xml:space="preserve">财政部 </w:t>
      </w:r>
      <w:r>
        <w:rPr>
          <w:rFonts w:hint="eastAsia" w:ascii="宋体" w:hAnsi="宋体" w:eastAsia="宋体" w:cs="宋体"/>
          <w:sz w:val="24"/>
          <w:szCs w:val="24"/>
        </w:rPr>
        <w:t>94</w:t>
      </w:r>
      <w:r>
        <w:rPr>
          <w:rFonts w:hint="eastAsia" w:ascii="宋体" w:hAnsi="宋体" w:eastAsia="宋体" w:cs="宋体"/>
          <w:spacing w:val="-20"/>
          <w:sz w:val="24"/>
          <w:szCs w:val="24"/>
        </w:rPr>
        <w:t xml:space="preserve"> 号令</w:t>
      </w:r>
      <w:r>
        <w:rPr>
          <w:rFonts w:hint="eastAsia" w:ascii="宋体" w:hAnsi="宋体" w:eastAsia="宋体" w:cs="宋体"/>
          <w:sz w:val="24"/>
          <w:szCs w:val="24"/>
        </w:rPr>
        <w:t>）</w:t>
      </w:r>
      <w:r>
        <w:rPr>
          <w:rFonts w:hint="eastAsia" w:ascii="宋体" w:hAnsi="宋体" w:eastAsia="宋体" w:cs="宋体"/>
          <w:spacing w:val="-3"/>
          <w:sz w:val="24"/>
          <w:szCs w:val="24"/>
        </w:rPr>
        <w:t>的规定办理。</w:t>
      </w:r>
    </w:p>
    <w:p w14:paraId="1BC81908">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4"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4</w:t>
      </w:r>
      <w:r>
        <w:rPr>
          <w:rFonts w:hint="eastAsia" w:ascii="宋体" w:hAnsi="宋体" w:eastAsia="宋体" w:cs="宋体"/>
          <w:w w:val="100"/>
          <w:sz w:val="24"/>
          <w:szCs w:val="24"/>
          <w:lang w:val="zh-CN" w:eastAsia="zh-CN" w:bidi="zh-CN"/>
        </w:rPr>
        <w:t>.2</w:t>
      </w:r>
      <w:r>
        <w:rPr>
          <w:rFonts w:hint="eastAsia" w:ascii="宋体" w:hAnsi="宋体" w:eastAsia="宋体" w:cs="宋体"/>
          <w:sz w:val="24"/>
          <w:szCs w:val="24"/>
        </w:rPr>
        <w:t>供应商对采购文件、采购过程或成交结果使自身的合法权益受到损害，应当在法定期限内，按照质疑函范本格式要求以书面形式向采购代理机构或采购人提出质疑。</w:t>
      </w:r>
    </w:p>
    <w:p w14:paraId="44763F62">
      <w:pPr>
        <w:pStyle w:val="23"/>
        <w:keepNext w:val="0"/>
        <w:keepLines w:val="0"/>
        <w:pageBreakBefore w:val="0"/>
        <w:widowControl w:val="0"/>
        <w:numPr>
          <w:ilvl w:val="0"/>
          <w:numId w:val="0"/>
        </w:numPr>
        <w:tabs>
          <w:tab w:val="left" w:pos="967"/>
        </w:tabs>
        <w:kinsoku/>
        <w:wordWrap/>
        <w:overflowPunct/>
        <w:topLinePunct w:val="0"/>
        <w:autoSpaceDE w:val="0"/>
        <w:autoSpaceDN w:val="0"/>
        <w:bidi w:val="0"/>
        <w:adjustRightInd/>
        <w:snapToGrid/>
        <w:spacing w:before="0" w:after="0" w:line="364" w:lineRule="auto"/>
        <w:ind w:left="0" w:leftChars="0" w:right="0" w:rightChars="0" w:firstLine="488" w:firstLineChars="200"/>
        <w:jc w:val="both"/>
        <w:textAlignment w:val="auto"/>
        <w:rPr>
          <w:rFonts w:hint="eastAsia" w:ascii="宋体" w:hAnsi="宋体" w:eastAsia="宋体" w:cs="宋体"/>
          <w:sz w:val="24"/>
          <w:szCs w:val="24"/>
        </w:rPr>
      </w:pPr>
      <w:r>
        <w:rPr>
          <w:rFonts w:hint="eastAsia" w:ascii="宋体" w:hAnsi="宋体" w:eastAsia="宋体" w:cs="宋体"/>
          <w:spacing w:val="2"/>
          <w:w w:val="100"/>
          <w:sz w:val="24"/>
          <w:szCs w:val="24"/>
          <w:lang w:val="zh-CN" w:eastAsia="zh-CN" w:bidi="zh-CN"/>
        </w:rPr>
        <w:t>（1）</w:t>
      </w:r>
      <w:r>
        <w:rPr>
          <w:rFonts w:hint="eastAsia" w:ascii="宋体" w:hAnsi="宋体" w:eastAsia="宋体" w:cs="宋体"/>
          <w:sz w:val="24"/>
          <w:szCs w:val="24"/>
        </w:rPr>
        <w:t>质疑书应当包括以下主要内容：被质疑项目名称、项目编号、</w:t>
      </w:r>
      <w:r>
        <w:rPr>
          <w:rFonts w:hint="eastAsia" w:ascii="宋体" w:hAnsi="宋体" w:eastAsia="宋体" w:cs="宋体"/>
          <w:sz w:val="24"/>
          <w:szCs w:val="24"/>
          <w:lang w:eastAsia="zh-CN"/>
        </w:rPr>
        <w:t>磋商</w:t>
      </w:r>
      <w:r>
        <w:rPr>
          <w:rFonts w:hint="eastAsia" w:ascii="宋体" w:hAnsi="宋体" w:eastAsia="宋体" w:cs="宋体"/>
          <w:sz w:val="24"/>
          <w:szCs w:val="24"/>
        </w:rPr>
        <w:t>文件获取日期、质疑事项、证据及来源线索、法律依据</w:t>
      </w:r>
      <w:r>
        <w:rPr>
          <w:rFonts w:hint="eastAsia" w:ascii="宋体" w:hAnsi="宋体" w:eastAsia="宋体" w:cs="宋体"/>
          <w:spacing w:val="4"/>
          <w:sz w:val="24"/>
          <w:szCs w:val="24"/>
        </w:rPr>
        <w:t>（</w:t>
      </w:r>
      <w:r>
        <w:rPr>
          <w:rFonts w:hint="eastAsia" w:ascii="宋体" w:hAnsi="宋体" w:eastAsia="宋体" w:cs="宋体"/>
          <w:sz w:val="24"/>
          <w:szCs w:val="24"/>
        </w:rPr>
        <w:t>具体条款）</w:t>
      </w:r>
      <w:r>
        <w:rPr>
          <w:rFonts w:hint="eastAsia" w:ascii="宋体" w:hAnsi="宋体" w:eastAsia="宋体" w:cs="宋体"/>
          <w:spacing w:val="1"/>
          <w:sz w:val="24"/>
          <w:szCs w:val="24"/>
        </w:rPr>
        <w:t>、采购活动中自己权益受到侵害的实质内容、质疑人有效联系方式等。</w:t>
      </w:r>
    </w:p>
    <w:p w14:paraId="27577CDD">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4" w:lineRule="auto"/>
        <w:ind w:left="0" w:leftChars="0" w:right="0" w:rightChars="0" w:firstLine="488" w:firstLineChars="200"/>
        <w:jc w:val="left"/>
        <w:textAlignment w:val="auto"/>
        <w:rPr>
          <w:rFonts w:hint="eastAsia" w:ascii="宋体" w:hAnsi="宋体" w:eastAsia="宋体" w:cs="宋体"/>
          <w:sz w:val="24"/>
          <w:szCs w:val="24"/>
        </w:rPr>
      </w:pPr>
      <w:r>
        <w:rPr>
          <w:rFonts w:hint="eastAsia" w:ascii="宋体" w:hAnsi="宋体" w:eastAsia="宋体" w:cs="宋体"/>
          <w:spacing w:val="2"/>
          <w:w w:val="100"/>
          <w:sz w:val="24"/>
          <w:szCs w:val="24"/>
          <w:lang w:val="zh-CN" w:eastAsia="zh-CN" w:bidi="zh-CN"/>
        </w:rPr>
        <w:t>（2）</w:t>
      </w:r>
      <w:r>
        <w:rPr>
          <w:rFonts w:hint="eastAsia" w:ascii="宋体" w:hAnsi="宋体" w:eastAsia="宋体" w:cs="宋体"/>
          <w:sz w:val="24"/>
          <w:szCs w:val="24"/>
        </w:rPr>
        <w:t>质疑书应当由法定代表人</w:t>
      </w:r>
      <w:r>
        <w:rPr>
          <w:rFonts w:hint="eastAsia" w:ascii="宋体" w:hAnsi="宋体" w:eastAsia="宋体" w:cs="宋体"/>
          <w:spacing w:val="-2"/>
          <w:sz w:val="24"/>
          <w:szCs w:val="24"/>
        </w:rPr>
        <w:t xml:space="preserve">或被授权人签字或盖章，并加盖单位公章， </w:t>
      </w:r>
      <w:r>
        <w:rPr>
          <w:rFonts w:hint="eastAsia" w:ascii="宋体" w:hAnsi="宋体" w:eastAsia="宋体" w:cs="宋体"/>
          <w:sz w:val="24"/>
          <w:szCs w:val="24"/>
        </w:rPr>
        <w:t>公章不得以合同章或其他印章代替，并附法人身份证明。</w:t>
      </w:r>
    </w:p>
    <w:p w14:paraId="1E926362">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2" w:lineRule="auto"/>
        <w:ind w:left="0" w:leftChars="0" w:right="0" w:rightChars="0" w:firstLine="488" w:firstLineChars="200"/>
        <w:jc w:val="both"/>
        <w:textAlignment w:val="auto"/>
        <w:rPr>
          <w:rFonts w:hint="eastAsia" w:ascii="宋体" w:hAnsi="宋体" w:eastAsia="宋体" w:cs="宋体"/>
          <w:sz w:val="24"/>
          <w:szCs w:val="24"/>
        </w:rPr>
      </w:pPr>
      <w:r>
        <w:rPr>
          <w:rFonts w:hint="eastAsia" w:ascii="宋体" w:hAnsi="宋体" w:eastAsia="宋体" w:cs="宋体"/>
          <w:spacing w:val="2"/>
          <w:w w:val="100"/>
          <w:sz w:val="24"/>
          <w:szCs w:val="24"/>
          <w:lang w:val="zh-CN" w:eastAsia="zh-CN" w:bidi="zh-CN"/>
        </w:rPr>
        <w:t>（3）</w:t>
      </w:r>
      <w:r>
        <w:rPr>
          <w:rFonts w:hint="eastAsia" w:ascii="宋体" w:hAnsi="宋体" w:eastAsia="宋体" w:cs="宋体"/>
          <w:spacing w:val="-3"/>
          <w:sz w:val="24"/>
          <w:szCs w:val="24"/>
        </w:rPr>
        <w:t>质疑人可以委托代理人办理质疑事项，代理人办理质疑事项时，除提交质疑</w:t>
      </w:r>
      <w:r>
        <w:rPr>
          <w:rFonts w:hint="eastAsia" w:ascii="宋体" w:hAnsi="宋体" w:eastAsia="宋体" w:cs="宋体"/>
          <w:sz w:val="24"/>
          <w:szCs w:val="24"/>
        </w:rPr>
        <w:t>书外，还应当提交质疑人的授权委托书及代理人的有效身份证明，授权委托书应当载明委托代理的具体权限和事项。</w:t>
      </w:r>
    </w:p>
    <w:p w14:paraId="38A34D3A">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4" w:lineRule="auto"/>
        <w:ind w:left="0" w:leftChars="0" w:right="0" w:rightChars="0" w:firstLine="488" w:firstLineChars="200"/>
        <w:jc w:val="both"/>
        <w:textAlignment w:val="auto"/>
        <w:rPr>
          <w:rFonts w:hint="eastAsia" w:ascii="宋体" w:hAnsi="宋体" w:eastAsia="宋体" w:cs="宋体"/>
          <w:sz w:val="24"/>
          <w:szCs w:val="24"/>
        </w:rPr>
      </w:pPr>
      <w:r>
        <w:rPr>
          <w:rFonts w:hint="eastAsia" w:ascii="宋体" w:hAnsi="宋体" w:eastAsia="宋体" w:cs="宋体"/>
          <w:spacing w:val="2"/>
          <w:w w:val="100"/>
          <w:sz w:val="24"/>
          <w:szCs w:val="24"/>
          <w:lang w:val="zh-CN" w:eastAsia="zh-CN" w:bidi="zh-CN"/>
        </w:rPr>
        <w:t>（4）</w:t>
      </w:r>
      <w:r>
        <w:rPr>
          <w:rFonts w:hint="eastAsia" w:ascii="宋体" w:hAnsi="宋体" w:eastAsia="宋体" w:cs="宋体"/>
          <w:spacing w:val="-1"/>
          <w:sz w:val="24"/>
          <w:szCs w:val="24"/>
        </w:rPr>
        <w:t>质疑函范本格式在中国政府采购网站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（http://www.ccgp.gov.cn/</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6"/>
          <w:sz w:val="24"/>
          <w:szCs w:val="24"/>
        </w:rPr>
        <w:t>自行下</w:t>
      </w:r>
      <w:r>
        <w:rPr>
          <w:rFonts w:hint="eastAsia" w:ascii="宋体" w:hAnsi="宋体" w:eastAsia="宋体" w:cs="宋体"/>
          <w:sz w:val="24"/>
          <w:szCs w:val="24"/>
        </w:rPr>
        <w:t>载。</w:t>
      </w:r>
    </w:p>
    <w:p w14:paraId="2918E650">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8" w:firstLineChars="200"/>
        <w:jc w:val="left"/>
        <w:textAlignment w:val="auto"/>
        <w:rPr>
          <w:rFonts w:hint="eastAsia" w:ascii="宋体" w:hAnsi="宋体" w:eastAsia="宋体" w:cs="宋体"/>
          <w:sz w:val="24"/>
          <w:szCs w:val="24"/>
        </w:rPr>
      </w:pPr>
      <w:r>
        <w:rPr>
          <w:rFonts w:hint="eastAsia" w:ascii="宋体" w:hAnsi="宋体" w:eastAsia="宋体" w:cs="宋体"/>
          <w:spacing w:val="2"/>
          <w:w w:val="100"/>
          <w:sz w:val="24"/>
          <w:szCs w:val="24"/>
          <w:lang w:val="zh-CN" w:eastAsia="zh-CN" w:bidi="zh-CN"/>
        </w:rPr>
        <w:t>（5）</w:t>
      </w:r>
      <w:r>
        <w:rPr>
          <w:rFonts w:hint="eastAsia" w:ascii="宋体" w:hAnsi="宋体" w:eastAsia="宋体" w:cs="宋体"/>
          <w:sz w:val="24"/>
          <w:szCs w:val="24"/>
        </w:rPr>
        <w:t>接收质疑函的联系部门、联系电话和通讯地址同采购公告。</w:t>
      </w:r>
    </w:p>
    <w:p w14:paraId="40AC5293">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4</w:t>
      </w:r>
      <w:r>
        <w:rPr>
          <w:rFonts w:hint="eastAsia" w:ascii="宋体" w:hAnsi="宋体" w:eastAsia="宋体" w:cs="宋体"/>
          <w:w w:val="100"/>
          <w:sz w:val="24"/>
          <w:szCs w:val="24"/>
          <w:lang w:val="zh-CN" w:eastAsia="zh-CN" w:bidi="zh-CN"/>
        </w:rPr>
        <w:t>.3</w:t>
      </w:r>
      <w:r>
        <w:rPr>
          <w:rFonts w:hint="eastAsia" w:ascii="宋体" w:hAnsi="宋体" w:eastAsia="宋体" w:cs="宋体"/>
          <w:sz w:val="24"/>
          <w:szCs w:val="24"/>
        </w:rPr>
        <w:t>有下列情形之一的，属于无效质疑，采购代理机构和采购人不予受理：</w:t>
      </w:r>
    </w:p>
    <w:p w14:paraId="30B5CD2F">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（1）</w:t>
      </w:r>
      <w:r>
        <w:rPr>
          <w:rFonts w:hint="eastAsia" w:ascii="宋体" w:hAnsi="宋体" w:eastAsia="宋体" w:cs="宋体"/>
          <w:sz w:val="24"/>
          <w:szCs w:val="24"/>
        </w:rPr>
        <w:t>质疑人不是参与本次政府采购项目的供应商；</w:t>
      </w:r>
    </w:p>
    <w:p w14:paraId="1BDEF4AA">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（2）</w:t>
      </w:r>
      <w:r>
        <w:rPr>
          <w:rFonts w:hint="eastAsia" w:ascii="宋体" w:hAnsi="宋体" w:eastAsia="宋体" w:cs="宋体"/>
          <w:sz w:val="24"/>
          <w:szCs w:val="24"/>
        </w:rPr>
        <w:t>质疑人与质疑事项不存在利害关系的；</w:t>
      </w:r>
    </w:p>
    <w:p w14:paraId="3E7757A2">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（3）</w:t>
      </w:r>
      <w:r>
        <w:rPr>
          <w:rFonts w:hint="eastAsia" w:ascii="宋体" w:hAnsi="宋体" w:eastAsia="宋体" w:cs="宋体"/>
          <w:sz w:val="24"/>
          <w:szCs w:val="24"/>
        </w:rPr>
        <w:t>未在法定期限内提出质疑的；</w:t>
      </w:r>
    </w:p>
    <w:p w14:paraId="0D298208">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（4）</w:t>
      </w:r>
      <w:r>
        <w:rPr>
          <w:rFonts w:hint="eastAsia" w:ascii="宋体" w:hAnsi="宋体" w:eastAsia="宋体" w:cs="宋体"/>
          <w:spacing w:val="-4"/>
          <w:sz w:val="24"/>
          <w:szCs w:val="24"/>
        </w:rPr>
        <w:t>质疑未以书面形式提出，以传真、电子邮件、移动通信等形式即时收悉提交</w:t>
      </w:r>
      <w:r>
        <w:rPr>
          <w:rFonts w:hint="eastAsia" w:ascii="宋体" w:hAnsi="宋体" w:eastAsia="宋体" w:cs="宋体"/>
          <w:sz w:val="24"/>
          <w:szCs w:val="24"/>
        </w:rPr>
        <w:t>的质疑材料；</w:t>
      </w:r>
    </w:p>
    <w:p w14:paraId="5090175F">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（5）</w:t>
      </w:r>
      <w:r>
        <w:rPr>
          <w:rFonts w:hint="eastAsia" w:ascii="宋体" w:hAnsi="宋体" w:eastAsia="宋体" w:cs="宋体"/>
          <w:sz w:val="24"/>
          <w:szCs w:val="24"/>
        </w:rPr>
        <w:t>质疑未按质疑函范本格式提出的；</w:t>
      </w:r>
    </w:p>
    <w:p w14:paraId="127A79E0">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（6）</w:t>
      </w:r>
      <w:r>
        <w:rPr>
          <w:rFonts w:hint="eastAsia" w:ascii="宋体" w:hAnsi="宋体" w:eastAsia="宋体" w:cs="宋体"/>
          <w:sz w:val="24"/>
          <w:szCs w:val="24"/>
        </w:rPr>
        <w:t>质疑书主要内容构成不完整的；</w:t>
      </w:r>
    </w:p>
    <w:p w14:paraId="2C4EA424">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（7）</w:t>
      </w:r>
      <w:r>
        <w:rPr>
          <w:rFonts w:hint="eastAsia" w:ascii="宋体" w:hAnsi="宋体" w:eastAsia="宋体" w:cs="宋体"/>
          <w:sz w:val="24"/>
          <w:szCs w:val="24"/>
        </w:rPr>
        <w:t>质疑书没有合法有效的签字、盖章或授权的；</w:t>
      </w:r>
    </w:p>
    <w:p w14:paraId="7856C3A3">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（8）</w:t>
      </w:r>
      <w:r>
        <w:rPr>
          <w:rFonts w:hint="eastAsia" w:ascii="宋体" w:hAnsi="宋体" w:eastAsia="宋体" w:cs="宋体"/>
          <w:sz w:val="24"/>
          <w:szCs w:val="24"/>
        </w:rPr>
        <w:t>以非法手段取得证据、材料的；</w:t>
      </w:r>
    </w:p>
    <w:p w14:paraId="0425A297">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（9）</w:t>
      </w:r>
      <w:r>
        <w:rPr>
          <w:rFonts w:hint="eastAsia" w:ascii="宋体" w:hAnsi="宋体" w:eastAsia="宋体" w:cs="宋体"/>
          <w:sz w:val="24"/>
          <w:szCs w:val="24"/>
        </w:rPr>
        <w:t>质疑答复后，同一质疑人就同一事项再次提出质疑的；</w:t>
      </w:r>
    </w:p>
    <w:p w14:paraId="485DE486">
      <w:pPr>
        <w:pStyle w:val="23"/>
        <w:keepNext w:val="0"/>
        <w:keepLines w:val="0"/>
        <w:pageBreakBefore w:val="0"/>
        <w:widowControl w:val="0"/>
        <w:numPr>
          <w:ilvl w:val="0"/>
          <w:numId w:val="0"/>
        </w:numPr>
        <w:tabs>
          <w:tab w:val="left" w:pos="1078"/>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（10）</w:t>
      </w:r>
      <w:r>
        <w:rPr>
          <w:rFonts w:hint="eastAsia" w:ascii="宋体" w:hAnsi="宋体" w:eastAsia="宋体" w:cs="宋体"/>
          <w:sz w:val="24"/>
          <w:szCs w:val="24"/>
        </w:rPr>
        <w:t>不符合法律、法规、规章和政府采购监管机构规定的其他条件的。</w:t>
      </w:r>
    </w:p>
    <w:p w14:paraId="6BBD33FF">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w w:val="100"/>
          <w:sz w:val="24"/>
          <w:szCs w:val="24"/>
          <w:lang w:val="zh-CN" w:eastAsia="zh-CN" w:bidi="zh-CN"/>
        </w:rPr>
        <w:t>3</w:t>
      </w:r>
      <w:r>
        <w:rPr>
          <w:rFonts w:hint="eastAsia" w:ascii="宋体" w:hAnsi="宋体" w:eastAsia="宋体" w:cs="宋体"/>
          <w:w w:val="100"/>
          <w:sz w:val="24"/>
          <w:szCs w:val="24"/>
          <w:lang w:val="en-US" w:eastAsia="zh-CN" w:bidi="zh-CN"/>
        </w:rPr>
        <w:t>4</w:t>
      </w:r>
      <w:r>
        <w:rPr>
          <w:rFonts w:hint="eastAsia" w:ascii="宋体" w:hAnsi="宋体" w:eastAsia="宋体" w:cs="宋体"/>
          <w:w w:val="100"/>
          <w:sz w:val="24"/>
          <w:szCs w:val="24"/>
          <w:lang w:val="zh-CN" w:eastAsia="zh-CN" w:bidi="zh-CN"/>
        </w:rPr>
        <w:t>.4</w:t>
      </w:r>
      <w:r>
        <w:rPr>
          <w:rFonts w:hint="eastAsia" w:ascii="宋体" w:hAnsi="宋体" w:eastAsia="宋体" w:cs="宋体"/>
          <w:spacing w:val="-3"/>
          <w:sz w:val="24"/>
          <w:szCs w:val="24"/>
        </w:rPr>
        <w:t xml:space="preserve">采购代理机构或采购人将在收到书面质疑后 </w:t>
      </w:r>
      <w:r>
        <w:rPr>
          <w:rFonts w:hint="eastAsia" w:ascii="宋体" w:hAnsi="宋体" w:eastAsia="宋体" w:cs="宋体"/>
          <w:sz w:val="24"/>
          <w:szCs w:val="24"/>
        </w:rPr>
        <w:t>7</w:t>
      </w:r>
      <w:r>
        <w:rPr>
          <w:rFonts w:hint="eastAsia" w:ascii="宋体" w:hAnsi="宋体" w:eastAsia="宋体" w:cs="宋体"/>
          <w:spacing w:val="-7"/>
          <w:sz w:val="24"/>
          <w:szCs w:val="24"/>
        </w:rPr>
        <w:t xml:space="preserve"> 个工作日内做出答复，并以书面形式通知质疑人和其他有关供应商。</w:t>
      </w:r>
    </w:p>
    <w:p w14:paraId="439F2B12">
      <w:pPr>
        <w:pStyle w:val="23"/>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34.5 </w:t>
      </w:r>
      <w:r>
        <w:rPr>
          <w:rFonts w:hint="eastAsia" w:ascii="宋体" w:hAnsi="宋体" w:eastAsia="宋体" w:cs="宋体"/>
          <w:sz w:val="24"/>
          <w:szCs w:val="24"/>
        </w:rPr>
        <w:t>投诉</w:t>
      </w:r>
    </w:p>
    <w:p w14:paraId="203EF810">
      <w:pPr>
        <w:pStyle w:val="23"/>
        <w:keepNext w:val="0"/>
        <w:keepLines w:val="0"/>
        <w:pageBreakBefore w:val="0"/>
        <w:widowControl w:val="0"/>
        <w:numPr>
          <w:ilvl w:val="0"/>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CN" w:eastAsia="zh-CN" w:bidi="zh-CN"/>
        </w:rPr>
        <w:t>(1)</w:t>
      </w:r>
      <w:r>
        <w:rPr>
          <w:rFonts w:hint="eastAsia" w:ascii="宋体" w:hAnsi="宋体" w:eastAsia="宋体" w:cs="宋体"/>
          <w:spacing w:val="-1"/>
          <w:sz w:val="24"/>
          <w:szCs w:val="24"/>
        </w:rPr>
        <w:t>参加</w:t>
      </w:r>
      <w:r>
        <w:rPr>
          <w:rFonts w:hint="eastAsia" w:ascii="宋体" w:hAnsi="宋体" w:eastAsia="宋体" w:cs="宋体"/>
          <w:spacing w:val="-1"/>
          <w:sz w:val="24"/>
          <w:szCs w:val="24"/>
          <w:lang w:eastAsia="zh-CN"/>
        </w:rPr>
        <w:t>磋商</w:t>
      </w:r>
      <w:r>
        <w:rPr>
          <w:rFonts w:hint="eastAsia" w:ascii="宋体" w:hAnsi="宋体" w:eastAsia="宋体" w:cs="宋体"/>
          <w:spacing w:val="-1"/>
          <w:sz w:val="24"/>
          <w:szCs w:val="24"/>
        </w:rPr>
        <w:t>的供应商和其他厉害关系人认为本次</w:t>
      </w:r>
      <w:r>
        <w:rPr>
          <w:rFonts w:hint="eastAsia" w:ascii="宋体" w:hAnsi="宋体" w:eastAsia="宋体" w:cs="宋体"/>
          <w:spacing w:val="-1"/>
          <w:sz w:val="24"/>
          <w:szCs w:val="24"/>
          <w:lang w:eastAsia="zh-CN"/>
        </w:rPr>
        <w:t>磋商</w:t>
      </w:r>
      <w:r>
        <w:rPr>
          <w:rFonts w:hint="eastAsia" w:ascii="宋体" w:hAnsi="宋体" w:eastAsia="宋体" w:cs="宋体"/>
          <w:spacing w:val="-1"/>
          <w:sz w:val="24"/>
          <w:szCs w:val="24"/>
        </w:rPr>
        <w:t>采购活动违反法律、法规</w:t>
      </w:r>
      <w:r>
        <w:rPr>
          <w:rFonts w:hint="eastAsia" w:ascii="宋体" w:hAnsi="宋体" w:eastAsia="宋体" w:cs="宋体"/>
          <w:sz w:val="24"/>
          <w:szCs w:val="24"/>
        </w:rPr>
        <w:t>和规章规定的，有权向有关行政监督机构投诉。</w:t>
      </w:r>
    </w:p>
    <w:p w14:paraId="11787EC4">
      <w:pPr>
        <w:pStyle w:val="23"/>
        <w:keepNext w:val="0"/>
        <w:keepLines w:val="0"/>
        <w:pageBreakBefore w:val="0"/>
        <w:widowControl w:val="0"/>
        <w:numPr>
          <w:ilvl w:val="0"/>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CN" w:eastAsia="zh-CN" w:bidi="zh-CN"/>
        </w:rPr>
        <w:t>(2)</w:t>
      </w:r>
      <w:r>
        <w:rPr>
          <w:rFonts w:hint="eastAsia" w:ascii="宋体" w:hAnsi="宋体" w:eastAsia="宋体" w:cs="宋体"/>
          <w:sz w:val="24"/>
          <w:szCs w:val="24"/>
        </w:rPr>
        <w:t>质疑人对采购代理机构或采购人的答复不满意，以及采购代理机构或采购人</w:t>
      </w:r>
      <w:r>
        <w:rPr>
          <w:rFonts w:hint="eastAsia" w:ascii="宋体" w:hAnsi="宋体" w:eastAsia="宋体" w:cs="宋体"/>
          <w:spacing w:val="-5"/>
          <w:sz w:val="24"/>
          <w:szCs w:val="24"/>
        </w:rPr>
        <w:t xml:space="preserve">未在规定时间内做出答复的，可以在答复期满后 </w:t>
      </w:r>
      <w:r>
        <w:rPr>
          <w:rFonts w:hint="eastAsia" w:ascii="宋体" w:hAnsi="宋体" w:eastAsia="宋体" w:cs="宋体"/>
          <w:sz w:val="24"/>
          <w:szCs w:val="24"/>
        </w:rPr>
        <w:t>15</w:t>
      </w:r>
      <w:r>
        <w:rPr>
          <w:rFonts w:hint="eastAsia" w:ascii="宋体" w:hAnsi="宋体" w:eastAsia="宋体" w:cs="宋体"/>
          <w:spacing w:val="-9"/>
          <w:sz w:val="24"/>
          <w:szCs w:val="24"/>
        </w:rPr>
        <w:t xml:space="preserve"> 个工作日内向政府采购监管机</w:t>
      </w:r>
      <w:r>
        <w:rPr>
          <w:rFonts w:hint="eastAsia" w:ascii="宋体" w:hAnsi="宋体" w:eastAsia="宋体" w:cs="宋体"/>
          <w:sz w:val="24"/>
          <w:szCs w:val="24"/>
        </w:rPr>
        <w:t>构提出投诉。</w:t>
      </w:r>
    </w:p>
    <w:p w14:paraId="232D6655">
      <w:pPr>
        <w:pStyle w:val="23"/>
        <w:keepNext w:val="0"/>
        <w:keepLines w:val="0"/>
        <w:pageBreakBefore w:val="0"/>
        <w:widowControl w:val="0"/>
        <w:numPr>
          <w:ilvl w:val="0"/>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CN" w:eastAsia="zh-CN" w:bidi="zh-CN"/>
        </w:rPr>
        <w:t>(3)</w:t>
      </w:r>
      <w:r>
        <w:rPr>
          <w:rFonts w:hint="eastAsia" w:ascii="宋体" w:hAnsi="宋体" w:eastAsia="宋体" w:cs="宋体"/>
          <w:sz w:val="24"/>
          <w:szCs w:val="24"/>
          <w:lang w:eastAsia="zh-CN"/>
        </w:rPr>
        <w:t>磋商</w:t>
      </w:r>
      <w:r>
        <w:rPr>
          <w:rFonts w:hint="eastAsia" w:ascii="宋体" w:hAnsi="宋体" w:eastAsia="宋体" w:cs="宋体"/>
          <w:sz w:val="24"/>
          <w:szCs w:val="24"/>
        </w:rPr>
        <w:t>响应供应商投诉的事项不得超出已质疑事项的范围。</w:t>
      </w:r>
    </w:p>
    <w:p w14:paraId="17B29EE6">
      <w:pPr>
        <w:pStyle w:val="23"/>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CN" w:eastAsia="zh-CN" w:bidi="zh-CN"/>
        </w:rPr>
        <w:t>(4)</w:t>
      </w:r>
      <w:r>
        <w:rPr>
          <w:rFonts w:hint="eastAsia" w:ascii="宋体" w:hAnsi="宋体" w:eastAsia="宋体" w:cs="宋体"/>
          <w:sz w:val="24"/>
          <w:szCs w:val="24"/>
        </w:rPr>
        <w:t>投诉书范本格式在中国政府采购网站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（http://www.ccgp.gov.cn/</w:t>
      </w:r>
      <w:r>
        <w:rPr>
          <w:rFonts w:hint="eastAsia" w:ascii="宋体" w:hAnsi="宋体" w:eastAsia="宋体" w:cs="宋体"/>
          <w:spacing w:val="32"/>
          <w:sz w:val="24"/>
          <w:szCs w:val="24"/>
        </w:rPr>
        <w:t xml:space="preserve"> </w:t>
      </w:r>
      <w:r>
        <w:rPr>
          <w:rFonts w:hint="eastAsia" w:ascii="宋体" w:hAnsi="宋体" w:eastAsia="宋体" w:cs="宋体"/>
          <w:spacing w:val="32"/>
          <w:sz w:val="24"/>
          <w:szCs w:val="24"/>
        </w:rPr>
        <w:fldChar w:fldCharType="end"/>
      </w:r>
      <w:r>
        <w:rPr>
          <w:rFonts w:hint="eastAsia" w:ascii="宋体" w:hAnsi="宋体" w:eastAsia="宋体" w:cs="宋体"/>
          <w:sz w:val="24"/>
          <w:szCs w:val="24"/>
        </w:rPr>
        <w:t>）自行下载。</w:t>
      </w:r>
    </w:p>
    <w:p w14:paraId="757CD22F">
      <w:pPr>
        <w:pStyle w:val="4"/>
        <w:bidi w:val="0"/>
        <w:rPr>
          <w:rFonts w:hint="eastAsia" w:ascii="宋体" w:hAnsi="宋体" w:eastAsia="宋体" w:cs="宋体"/>
          <w:lang w:val="zh-CN"/>
        </w:rPr>
      </w:pPr>
      <w:bookmarkStart w:id="252" w:name="_Toc2270"/>
      <w:bookmarkStart w:id="253" w:name="_Toc18503"/>
      <w:bookmarkStart w:id="254" w:name="_Toc7679"/>
      <w:bookmarkStart w:id="255" w:name="_Toc28342"/>
      <w:bookmarkStart w:id="256" w:name="_Toc31894"/>
      <w:bookmarkStart w:id="257" w:name="_Toc26874"/>
      <w:bookmarkStart w:id="258" w:name="_Toc27907"/>
      <w:bookmarkStart w:id="259" w:name="_Toc28867"/>
      <w:bookmarkStart w:id="260" w:name="_Toc16564"/>
      <w:bookmarkStart w:id="261" w:name="_Toc23319"/>
      <w:bookmarkStart w:id="262" w:name="_Toc9182"/>
      <w:bookmarkStart w:id="263" w:name="_Toc19553"/>
      <w:bookmarkStart w:id="264" w:name="_Toc20324"/>
      <w:bookmarkStart w:id="265" w:name="_Toc14862"/>
      <w:bookmarkStart w:id="266" w:name="_Toc25141"/>
      <w:bookmarkStart w:id="267" w:name="_Toc31228"/>
      <w:bookmarkStart w:id="268" w:name="_Toc15998"/>
      <w:bookmarkStart w:id="269" w:name="_Toc6651"/>
      <w:bookmarkStart w:id="270" w:name="_Toc23907"/>
      <w:bookmarkStart w:id="271" w:name="_Toc13169"/>
      <w:bookmarkStart w:id="272" w:name="_Toc27870"/>
      <w:bookmarkStart w:id="273" w:name="_Toc15327"/>
      <w:bookmarkStart w:id="274" w:name="_Toc2694"/>
      <w:bookmarkStart w:id="275" w:name="_Toc29072"/>
      <w:bookmarkStart w:id="276" w:name="_Toc14845"/>
      <w:bookmarkStart w:id="277" w:name="_Toc3302"/>
      <w:bookmarkStart w:id="278" w:name="_Toc27176"/>
      <w:bookmarkStart w:id="279" w:name="_Toc29047"/>
      <w:bookmarkStart w:id="280" w:name="_Toc23107"/>
      <w:bookmarkStart w:id="281" w:name="_Toc31220"/>
      <w:bookmarkStart w:id="282" w:name="_Toc10206"/>
      <w:bookmarkStart w:id="283" w:name="_Toc14269"/>
      <w:bookmarkStart w:id="284" w:name="_Toc22126"/>
      <w:bookmarkStart w:id="285" w:name="_Toc31743"/>
      <w:bookmarkStart w:id="286" w:name="_Toc27368"/>
      <w:bookmarkStart w:id="287" w:name="_Toc10023"/>
      <w:bookmarkStart w:id="288" w:name="_Toc29613"/>
      <w:bookmarkStart w:id="289" w:name="_Toc18414"/>
      <w:bookmarkStart w:id="290" w:name="_Toc28769"/>
      <w:bookmarkStart w:id="291" w:name="_Toc13319"/>
      <w:bookmarkStart w:id="292" w:name="_Toc13109"/>
      <w:bookmarkStart w:id="293" w:name="_Toc10198"/>
      <w:bookmarkStart w:id="294" w:name="_Toc20005"/>
      <w:bookmarkStart w:id="295" w:name="_Toc15688"/>
      <w:bookmarkStart w:id="296" w:name="_Toc7798"/>
      <w:r>
        <w:rPr>
          <w:rFonts w:hint="eastAsia" w:ascii="宋体" w:hAnsi="宋体" w:eastAsia="宋体" w:cs="宋体"/>
          <w:lang w:val="en-US" w:eastAsia="zh-CN"/>
        </w:rPr>
        <w:t>35.</w:t>
      </w:r>
      <w:r>
        <w:rPr>
          <w:rFonts w:hint="eastAsia" w:ascii="宋体" w:hAnsi="宋体" w:eastAsia="宋体" w:cs="宋体"/>
          <w:lang w:val="zh-CN"/>
        </w:rPr>
        <w:t>合同</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hint="eastAsia" w:ascii="宋体" w:hAnsi="宋体" w:eastAsia="宋体" w:cs="宋体"/>
          <w:lang w:val="zh-CN"/>
        </w:rPr>
        <w:t>签订</w:t>
      </w:r>
      <w:bookmarkEnd w:id="293"/>
      <w:bookmarkEnd w:id="294"/>
      <w:bookmarkEnd w:id="295"/>
      <w:bookmarkEnd w:id="296"/>
    </w:p>
    <w:p w14:paraId="170A789D">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lang w:val="zh-CN"/>
        </w:rPr>
        <w:t>（一）成交供应商应当自成交通知书发出之日起30日内，按照竞争性磋商文件和响应文件（包括评标中形成的澄清文件）的规定，与采购人签订书面合同</w:t>
      </w:r>
      <w:r>
        <w:rPr>
          <w:rFonts w:hint="eastAsia" w:ascii="宋体" w:hAnsi="宋体" w:eastAsia="宋体" w:cs="宋体"/>
          <w:sz w:val="24"/>
          <w:szCs w:val="24"/>
          <w:highlight w:val="none"/>
          <w:lang w:val="zh-CN"/>
        </w:rPr>
        <w:t>。所签订的合同不得对竞争性磋商文件确定的事项和中标人响应文件作实质性修改。</w:t>
      </w:r>
    </w:p>
    <w:p w14:paraId="2271B65F">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二）定标后，成交供应商无正当理由拖延或拒绝与采购人签订合同的，采购人可以按照磋商报告推荐的成交候选人名单排序，确定下一候选人为成交人，也可以重新开展政府采购活动。同时报请监督机构通报，取消其进入政府采购市场的资格，按规定予以处罚。</w:t>
      </w:r>
    </w:p>
    <w:p w14:paraId="12AFC2AE">
      <w:pPr>
        <w:pStyle w:val="4"/>
        <w:bidi w:val="0"/>
        <w:rPr>
          <w:rFonts w:hint="eastAsia" w:ascii="宋体" w:hAnsi="宋体" w:eastAsia="宋体" w:cs="宋体"/>
          <w:lang w:val="zh-CN"/>
        </w:rPr>
      </w:pPr>
      <w:bookmarkStart w:id="297" w:name="_Toc4815"/>
      <w:bookmarkStart w:id="298" w:name="_Toc12774"/>
      <w:bookmarkStart w:id="299" w:name="_Toc5505"/>
      <w:bookmarkStart w:id="300" w:name="_Toc28231"/>
      <w:bookmarkStart w:id="301" w:name="_Toc27569"/>
      <w:bookmarkStart w:id="302" w:name="_Toc27187"/>
      <w:bookmarkStart w:id="303" w:name="_Toc25445"/>
      <w:bookmarkStart w:id="304" w:name="_Toc1837"/>
      <w:bookmarkStart w:id="305" w:name="_Toc2717"/>
      <w:bookmarkStart w:id="306" w:name="_Toc10694"/>
      <w:bookmarkStart w:id="307" w:name="_Toc27942"/>
      <w:bookmarkStart w:id="308" w:name="_Toc19559"/>
      <w:bookmarkStart w:id="309" w:name="_Toc9345"/>
      <w:bookmarkStart w:id="310" w:name="_Toc15742"/>
      <w:bookmarkStart w:id="311" w:name="_Toc12809"/>
      <w:bookmarkStart w:id="312" w:name="_Toc24157"/>
      <w:bookmarkStart w:id="313" w:name="_Toc3493"/>
      <w:bookmarkStart w:id="314" w:name="_Toc23059"/>
      <w:bookmarkStart w:id="315" w:name="_Toc25591"/>
      <w:bookmarkStart w:id="316" w:name="_Toc1763"/>
      <w:bookmarkStart w:id="317" w:name="_Toc4632"/>
      <w:bookmarkStart w:id="318" w:name="_Toc21909"/>
      <w:bookmarkStart w:id="319" w:name="_Toc32515"/>
      <w:bookmarkStart w:id="320" w:name="_Toc19341"/>
      <w:bookmarkStart w:id="321" w:name="_Toc32580"/>
      <w:bookmarkStart w:id="322" w:name="_Toc24839"/>
      <w:bookmarkStart w:id="323" w:name="_Toc15531"/>
      <w:bookmarkStart w:id="324" w:name="_Toc27931"/>
      <w:bookmarkStart w:id="325" w:name="_Toc15538"/>
      <w:bookmarkStart w:id="326" w:name="_Toc20722"/>
      <w:bookmarkStart w:id="327" w:name="_Toc795"/>
      <w:bookmarkStart w:id="328" w:name="_Toc28740"/>
      <w:bookmarkStart w:id="329" w:name="_Toc11424"/>
      <w:bookmarkStart w:id="330" w:name="_Toc5300"/>
      <w:bookmarkStart w:id="331" w:name="_Toc321"/>
      <w:bookmarkStart w:id="332" w:name="_Toc5532"/>
      <w:bookmarkStart w:id="333" w:name="_Toc9059"/>
      <w:bookmarkStart w:id="334" w:name="_Toc12719"/>
      <w:r>
        <w:rPr>
          <w:rFonts w:hint="eastAsia" w:ascii="宋体" w:hAnsi="宋体" w:eastAsia="宋体" w:cs="宋体"/>
          <w:lang w:val="en-US" w:eastAsia="zh-CN"/>
        </w:rPr>
        <w:t>36.</w:t>
      </w:r>
      <w:r>
        <w:rPr>
          <w:rFonts w:hint="eastAsia" w:ascii="宋体" w:hAnsi="宋体" w:eastAsia="宋体" w:cs="宋体"/>
          <w:lang w:val="zh-CN"/>
        </w:rPr>
        <w:t>中标合同的履约验收</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1E554B9">
      <w:pPr>
        <w:autoSpaceDE w:val="0"/>
        <w:autoSpaceDN w:val="0"/>
        <w:adjustRightInd w:val="0"/>
        <w:snapToGrid w:val="0"/>
        <w:spacing w:line="360" w:lineRule="auto"/>
        <w:ind w:firstLine="480" w:firstLineChars="200"/>
        <w:rPr>
          <w:rFonts w:hint="eastAsia" w:ascii="宋体" w:hAnsi="宋体" w:eastAsia="宋体" w:cs="宋体"/>
          <w:b w:val="0"/>
          <w:bCs w:val="0"/>
          <w:sz w:val="24"/>
        </w:rPr>
      </w:pPr>
      <w:r>
        <w:rPr>
          <w:rFonts w:hint="eastAsia" w:ascii="宋体" w:hAnsi="宋体" w:eastAsia="宋体" w:cs="宋体"/>
          <w:sz w:val="24"/>
          <w:szCs w:val="24"/>
          <w:lang w:val="zh-CN"/>
        </w:rPr>
        <w:t>政府采购合同的履行、违约责任和解决争议的方法等适用《中华人民共和国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lang w:val="zh-CN"/>
        </w:rPr>
        <w:t>》，采购人按照政府采购合同规定的技术、服务、安全标准组织对供应商履约情况</w:t>
      </w:r>
      <w:r>
        <w:rPr>
          <w:rFonts w:hint="eastAsia" w:ascii="宋体" w:hAnsi="宋体" w:eastAsia="宋体" w:cs="宋体"/>
          <w:b w:val="0"/>
          <w:bCs w:val="0"/>
          <w:sz w:val="24"/>
          <w:szCs w:val="24"/>
          <w:lang w:val="zh-CN"/>
        </w:rPr>
        <w:t>进行验收，并出具验收书。</w:t>
      </w:r>
    </w:p>
    <w:p w14:paraId="6C8B60E9">
      <w:pPr>
        <w:pStyle w:val="4"/>
        <w:bidi w:val="0"/>
        <w:rPr>
          <w:rFonts w:hint="eastAsia" w:ascii="宋体" w:hAnsi="宋体" w:eastAsia="宋体" w:cs="宋体"/>
          <w:lang w:val="zh-CN"/>
        </w:rPr>
      </w:pPr>
      <w:bookmarkStart w:id="335" w:name="_Toc30166"/>
      <w:bookmarkStart w:id="336" w:name="_Toc23789"/>
      <w:bookmarkStart w:id="337" w:name="_Toc11690"/>
      <w:bookmarkStart w:id="338" w:name="_Toc15787"/>
      <w:r>
        <w:rPr>
          <w:rFonts w:hint="eastAsia" w:ascii="宋体" w:hAnsi="宋体" w:eastAsia="宋体" w:cs="宋体"/>
          <w:lang w:val="en-US" w:eastAsia="zh-CN"/>
        </w:rPr>
        <w:t>37.</w:t>
      </w:r>
      <w:r>
        <w:rPr>
          <w:rFonts w:hint="eastAsia" w:ascii="宋体" w:hAnsi="宋体" w:eastAsia="宋体" w:cs="宋体"/>
          <w:lang w:val="zh-CN"/>
        </w:rPr>
        <w:t>废标或者采购方式的变更</w:t>
      </w:r>
      <w:bookmarkEnd w:id="335"/>
      <w:bookmarkEnd w:id="336"/>
      <w:bookmarkEnd w:id="337"/>
      <w:bookmarkEnd w:id="338"/>
    </w:p>
    <w:p w14:paraId="123FD94D">
      <w:pPr>
        <w:snapToGrid w:val="0"/>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（一）废标</w:t>
      </w:r>
    </w:p>
    <w:p w14:paraId="615EF639">
      <w:pPr>
        <w:autoSpaceDE w:val="0"/>
        <w:autoSpaceDN w:val="0"/>
        <w:snapToGrid w:val="0"/>
        <w:spacing w:line="360" w:lineRule="auto"/>
        <w:ind w:firstLine="640"/>
        <w:jc w:val="left"/>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磋商</w:t>
      </w:r>
      <w:r>
        <w:rPr>
          <w:rFonts w:hint="eastAsia" w:ascii="宋体" w:hAnsi="宋体" w:eastAsia="宋体" w:cs="宋体"/>
          <w:sz w:val="24"/>
          <w:szCs w:val="24"/>
        </w:rPr>
        <w:t>过程中，提交</w:t>
      </w:r>
      <w:r>
        <w:rPr>
          <w:rFonts w:hint="eastAsia" w:ascii="宋体" w:hAnsi="宋体" w:eastAsia="宋体" w:cs="宋体"/>
          <w:sz w:val="24"/>
          <w:szCs w:val="24"/>
          <w:lang w:eastAsia="zh-CN"/>
        </w:rPr>
        <w:t>响应文件</w:t>
      </w:r>
      <w:r>
        <w:rPr>
          <w:rFonts w:hint="eastAsia" w:ascii="宋体" w:hAnsi="宋体" w:eastAsia="宋体" w:cs="宋体"/>
          <w:sz w:val="24"/>
          <w:szCs w:val="24"/>
        </w:rPr>
        <w:t>或者通过资格审查或符合性审查的</w:t>
      </w:r>
      <w:r>
        <w:rPr>
          <w:rFonts w:hint="eastAsia" w:ascii="宋体" w:hAnsi="宋体" w:eastAsia="宋体" w:cs="宋体"/>
          <w:sz w:val="24"/>
          <w:szCs w:val="24"/>
          <w:lang w:eastAsia="zh-CN"/>
        </w:rPr>
        <w:t>供应商</w:t>
      </w:r>
      <w:r>
        <w:rPr>
          <w:rFonts w:hint="eastAsia" w:ascii="宋体" w:hAnsi="宋体" w:eastAsia="宋体" w:cs="宋体"/>
          <w:sz w:val="24"/>
          <w:szCs w:val="24"/>
        </w:rPr>
        <w:t>不足3家时，按废标处理，重新开展采购活动。</w:t>
      </w:r>
    </w:p>
    <w:p w14:paraId="283ABD40">
      <w:pPr>
        <w:autoSpaceDE w:val="0"/>
        <w:autoSpaceDN w:val="0"/>
        <w:snapToGrid w:val="0"/>
        <w:spacing w:line="360" w:lineRule="auto"/>
        <w:ind w:firstLine="640"/>
        <w:jc w:val="left"/>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bCs/>
          <w:sz w:val="24"/>
          <w:szCs w:val="24"/>
          <w:lang w:val="zh-CN"/>
        </w:rPr>
        <w:t>采购方式的变更</w:t>
      </w:r>
    </w:p>
    <w:p w14:paraId="34CEEF62">
      <w:pPr>
        <w:autoSpaceDE w:val="0"/>
        <w:autoSpaceDN w:val="0"/>
        <w:snapToGrid w:val="0"/>
        <w:spacing w:line="360" w:lineRule="auto"/>
        <w:ind w:firstLine="640"/>
        <w:jc w:val="left"/>
        <w:rPr>
          <w:rFonts w:hint="eastAsia" w:ascii="宋体" w:hAnsi="宋体" w:eastAsia="宋体" w:cs="宋体"/>
          <w:sz w:val="24"/>
          <w:szCs w:val="24"/>
        </w:rPr>
      </w:pPr>
      <w:r>
        <w:rPr>
          <w:rFonts w:hint="eastAsia" w:ascii="宋体" w:hAnsi="宋体" w:eastAsia="宋体" w:cs="宋体"/>
          <w:sz w:val="24"/>
          <w:szCs w:val="24"/>
        </w:rPr>
        <w:t>根据中华人民共和国财政部2017年第87号部长令--《政府采购货物和服务招标投标管理办法》第四十三条，公开招标的货物、服务类项目，投标截止后</w:t>
      </w:r>
      <w:r>
        <w:rPr>
          <w:rFonts w:hint="eastAsia" w:ascii="宋体" w:hAnsi="宋体" w:eastAsia="宋体" w:cs="宋体"/>
          <w:sz w:val="24"/>
          <w:szCs w:val="24"/>
          <w:lang w:eastAsia="zh-CN"/>
        </w:rPr>
        <w:t>供应商</w:t>
      </w:r>
      <w:r>
        <w:rPr>
          <w:rFonts w:hint="eastAsia" w:ascii="宋体" w:hAnsi="宋体" w:eastAsia="宋体" w:cs="宋体"/>
          <w:sz w:val="24"/>
          <w:szCs w:val="24"/>
        </w:rPr>
        <w:t>不足三家或者通过资格审查或符合性审查的</w:t>
      </w:r>
      <w:r>
        <w:rPr>
          <w:rFonts w:hint="eastAsia" w:ascii="宋体" w:hAnsi="宋体" w:eastAsia="宋体" w:cs="宋体"/>
          <w:sz w:val="24"/>
          <w:szCs w:val="24"/>
          <w:lang w:eastAsia="zh-CN"/>
        </w:rPr>
        <w:t>供应商</w:t>
      </w:r>
      <w:r>
        <w:rPr>
          <w:rFonts w:hint="eastAsia" w:ascii="宋体" w:hAnsi="宋体" w:eastAsia="宋体" w:cs="宋体"/>
          <w:sz w:val="24"/>
          <w:szCs w:val="24"/>
        </w:rPr>
        <w:t>不足三家的，除废标情形外，按照以下方式处理：</w:t>
      </w:r>
    </w:p>
    <w:p w14:paraId="1A42246C">
      <w:pPr>
        <w:autoSpaceDE w:val="0"/>
        <w:autoSpaceDN w:val="0"/>
        <w:snapToGrid w:val="0"/>
        <w:spacing w:line="360" w:lineRule="auto"/>
        <w:ind w:firstLine="64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存在不合理条款或者招标程序不符合规定的，</w:t>
      </w:r>
      <w:r>
        <w:rPr>
          <w:rFonts w:hint="eastAsia" w:ascii="宋体" w:hAnsi="宋体" w:eastAsia="宋体" w:cs="宋体"/>
          <w:sz w:val="24"/>
          <w:szCs w:val="24"/>
          <w:lang w:eastAsia="zh-CN"/>
        </w:rPr>
        <w:t>采购人</w:t>
      </w:r>
      <w:r>
        <w:rPr>
          <w:rFonts w:hint="eastAsia" w:ascii="宋体" w:hAnsi="宋体" w:eastAsia="宋体" w:cs="宋体"/>
          <w:sz w:val="24"/>
          <w:szCs w:val="24"/>
        </w:rPr>
        <w:t>、采购代理机构改正后依法重新招标；</w:t>
      </w:r>
    </w:p>
    <w:p w14:paraId="336F85E7">
      <w:pPr>
        <w:autoSpaceDE w:val="0"/>
        <w:autoSpaceDN w:val="0"/>
        <w:snapToGrid w:val="0"/>
        <w:spacing w:line="360" w:lineRule="auto"/>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竞争性磋商文件</w:t>
      </w:r>
      <w:r>
        <w:rPr>
          <w:rFonts w:hint="eastAsia" w:ascii="宋体" w:hAnsi="宋体" w:eastAsia="宋体" w:cs="宋体"/>
          <w:sz w:val="24"/>
          <w:szCs w:val="24"/>
        </w:rPr>
        <w:t>没有不合理条款、招标程序符合规定，需要采用其他采购方式采购的，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应当依法报财政部门批准：</w:t>
      </w:r>
    </w:p>
    <w:p w14:paraId="2F8EC8AE">
      <w:pPr>
        <w:snapToGrid w:val="0"/>
        <w:spacing w:line="360" w:lineRule="auto"/>
        <w:ind w:firstLine="640"/>
        <w:rPr>
          <w:rFonts w:hint="eastAsia" w:ascii="宋体" w:hAnsi="宋体" w:eastAsia="宋体" w:cs="宋体"/>
          <w:sz w:val="24"/>
          <w:szCs w:val="24"/>
        </w:rPr>
      </w:pPr>
      <w:r>
        <w:rPr>
          <w:rFonts w:hint="eastAsia" w:ascii="宋体" w:hAnsi="宋体" w:eastAsia="宋体" w:cs="宋体"/>
          <w:sz w:val="24"/>
          <w:szCs w:val="24"/>
        </w:rPr>
        <w:t>①在招标过程中，提交</w:t>
      </w:r>
      <w:r>
        <w:rPr>
          <w:rFonts w:hint="eastAsia" w:ascii="宋体" w:hAnsi="宋体" w:eastAsia="宋体" w:cs="宋体"/>
          <w:sz w:val="24"/>
          <w:szCs w:val="24"/>
          <w:lang w:eastAsia="zh-CN"/>
        </w:rPr>
        <w:t>响应文件</w:t>
      </w:r>
      <w:r>
        <w:rPr>
          <w:rFonts w:hint="eastAsia" w:ascii="宋体" w:hAnsi="宋体" w:eastAsia="宋体" w:cs="宋体"/>
          <w:sz w:val="24"/>
          <w:szCs w:val="24"/>
        </w:rPr>
        <w:t>或者通过资格审查或符合性审查的</w:t>
      </w:r>
      <w:r>
        <w:rPr>
          <w:rFonts w:hint="eastAsia" w:ascii="宋体" w:hAnsi="宋体" w:eastAsia="宋体" w:cs="宋体"/>
          <w:sz w:val="24"/>
          <w:szCs w:val="24"/>
          <w:lang w:eastAsia="zh-CN"/>
        </w:rPr>
        <w:t>供应商</w:t>
      </w:r>
      <w:r>
        <w:rPr>
          <w:rFonts w:hint="eastAsia" w:ascii="宋体" w:hAnsi="宋体" w:eastAsia="宋体" w:cs="宋体"/>
          <w:sz w:val="24"/>
          <w:szCs w:val="24"/>
        </w:rPr>
        <w:t>只有2家时，根据2013年第74号部长令--《政府采购非招标采购方式管理办法》第二十七条和陕西省财政厅陕财办采资（2016）53号文件第七条的规定，经</w:t>
      </w:r>
      <w:r>
        <w:rPr>
          <w:rFonts w:hint="eastAsia" w:ascii="宋体" w:hAnsi="宋体" w:eastAsia="宋体" w:cs="宋体"/>
          <w:sz w:val="24"/>
          <w:szCs w:val="24"/>
          <w:lang w:eastAsia="zh-CN"/>
        </w:rPr>
        <w:t>采购人</w:t>
      </w:r>
      <w:r>
        <w:rPr>
          <w:rFonts w:hint="eastAsia" w:ascii="宋体" w:hAnsi="宋体" w:eastAsia="宋体" w:cs="宋体"/>
          <w:sz w:val="24"/>
          <w:szCs w:val="24"/>
        </w:rPr>
        <w:t>书面请示政府采购管理机构同意后，可以现场转为竞争性谈判继续采购。</w:t>
      </w:r>
    </w:p>
    <w:p w14:paraId="2C909EAB">
      <w:pPr>
        <w:snapToGrid w:val="0"/>
        <w:spacing w:line="360" w:lineRule="auto"/>
        <w:ind w:firstLine="640"/>
        <w:rPr>
          <w:rFonts w:hint="eastAsia" w:ascii="宋体" w:hAnsi="宋体" w:eastAsia="宋体" w:cs="宋体"/>
          <w:sz w:val="24"/>
          <w:szCs w:val="24"/>
        </w:rPr>
      </w:pPr>
      <w:r>
        <w:rPr>
          <w:rFonts w:hint="eastAsia" w:ascii="宋体" w:hAnsi="宋体" w:eastAsia="宋体" w:cs="宋体"/>
          <w:sz w:val="24"/>
          <w:szCs w:val="24"/>
        </w:rPr>
        <w:t>②如果转为竞争性谈判方式，则原</w:t>
      </w:r>
      <w:r>
        <w:rPr>
          <w:rFonts w:hint="eastAsia" w:ascii="宋体" w:hAnsi="宋体" w:eastAsia="宋体" w:cs="宋体"/>
          <w:sz w:val="24"/>
          <w:szCs w:val="24"/>
          <w:lang w:eastAsia="zh-CN"/>
        </w:rPr>
        <w:t>竞争性磋商文件</w:t>
      </w:r>
      <w:r>
        <w:rPr>
          <w:rFonts w:hint="eastAsia" w:ascii="宋体" w:hAnsi="宋体" w:eastAsia="宋体" w:cs="宋体"/>
          <w:sz w:val="24"/>
          <w:szCs w:val="24"/>
        </w:rPr>
        <w:t>转为竞争性谈判文件，原</w:t>
      </w:r>
      <w:r>
        <w:rPr>
          <w:rFonts w:hint="eastAsia" w:ascii="宋体" w:hAnsi="宋体" w:eastAsia="宋体" w:cs="宋体"/>
          <w:sz w:val="24"/>
          <w:szCs w:val="24"/>
          <w:lang w:eastAsia="zh-CN"/>
        </w:rPr>
        <w:t>供应商</w:t>
      </w:r>
      <w:r>
        <w:rPr>
          <w:rFonts w:hint="eastAsia" w:ascii="宋体" w:hAnsi="宋体" w:eastAsia="宋体" w:cs="宋体"/>
          <w:sz w:val="24"/>
          <w:szCs w:val="24"/>
        </w:rPr>
        <w:t>即为报价人，原</w:t>
      </w:r>
      <w:r>
        <w:rPr>
          <w:rFonts w:hint="eastAsia" w:ascii="宋体" w:hAnsi="宋体" w:eastAsia="宋体" w:cs="宋体"/>
          <w:sz w:val="24"/>
          <w:szCs w:val="24"/>
          <w:lang w:eastAsia="zh-CN"/>
        </w:rPr>
        <w:t>响应文件</w:t>
      </w:r>
      <w:r>
        <w:rPr>
          <w:rFonts w:hint="eastAsia" w:ascii="宋体" w:hAnsi="宋体" w:eastAsia="宋体" w:cs="宋体"/>
          <w:sz w:val="24"/>
          <w:szCs w:val="24"/>
        </w:rPr>
        <w:t>报价作为竞争性谈判的第一次报价，评审方法按照竞争性谈判的评审原则，在质量和服务均能满足</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实质性要求的基础上，按照最后报价由低到高的顺序，确定成交候选人。</w:t>
      </w:r>
    </w:p>
    <w:p w14:paraId="4291A0A7">
      <w:pPr>
        <w:snapToGrid w:val="0"/>
        <w:spacing w:line="360" w:lineRule="auto"/>
        <w:ind w:firstLine="640"/>
        <w:rPr>
          <w:rFonts w:hint="eastAsia" w:ascii="宋体" w:hAnsi="宋体" w:eastAsia="宋体" w:cs="宋体"/>
          <w:sz w:val="24"/>
          <w:szCs w:val="24"/>
        </w:rPr>
      </w:pPr>
    </w:p>
    <w:p w14:paraId="7DC1541E">
      <w:pPr>
        <w:pStyle w:val="2"/>
        <w:numPr>
          <w:ilvl w:val="0"/>
          <w:numId w:val="0"/>
        </w:numPr>
        <w:bidi w:val="0"/>
        <w:ind w:left="0" w:leftChars="0" w:right="807" w:rightChars="0" w:firstLine="723" w:firstLineChars="200"/>
        <w:rPr>
          <w:rFonts w:hint="eastAsia" w:ascii="宋体" w:hAnsi="宋体" w:eastAsia="宋体" w:cs="宋体"/>
          <w:lang w:val="en-US" w:eastAsia="zh-CN"/>
        </w:rPr>
      </w:pPr>
      <w:bookmarkStart w:id="339" w:name="附件一：西安市政府采购信用担保及信用融资合作机构联系名单"/>
      <w:bookmarkEnd w:id="339"/>
      <w:bookmarkStart w:id="340" w:name="_Toc25100"/>
      <w:bookmarkStart w:id="341" w:name="_Toc11025"/>
      <w:bookmarkStart w:id="342" w:name="_Toc27479"/>
      <w:bookmarkStart w:id="343" w:name="_Toc6089"/>
      <w:bookmarkStart w:id="344" w:name="_Toc2137"/>
      <w:bookmarkStart w:id="345" w:name="_Toc11272"/>
      <w:r>
        <w:rPr>
          <w:rFonts w:hint="eastAsia" w:ascii="宋体" w:hAnsi="宋体" w:eastAsia="宋体" w:cs="宋体"/>
          <w:b/>
          <w:bCs/>
          <w:sz w:val="36"/>
          <w:szCs w:val="44"/>
          <w:lang w:val="en-US" w:eastAsia="zh-CN" w:bidi="zh-CN"/>
        </w:rPr>
        <w:t xml:space="preserve">第三部分 </w:t>
      </w:r>
      <w:r>
        <w:rPr>
          <w:rFonts w:hint="eastAsia" w:ascii="宋体" w:hAnsi="宋体" w:eastAsia="宋体" w:cs="宋体"/>
          <w:lang w:val="en-US" w:eastAsia="zh-CN"/>
        </w:rPr>
        <w:t xml:space="preserve"> </w:t>
      </w:r>
      <w:bookmarkStart w:id="346" w:name="_Toc21577"/>
      <w:bookmarkStart w:id="347" w:name="_Toc23963"/>
      <w:bookmarkStart w:id="348" w:name="_Toc7265"/>
      <w:bookmarkStart w:id="349" w:name="_Toc22721"/>
      <w:r>
        <w:rPr>
          <w:rFonts w:hint="eastAsia" w:ascii="宋体" w:hAnsi="宋体" w:eastAsia="宋体" w:cs="宋体"/>
          <w:lang w:val="en-US" w:eastAsia="zh-CN"/>
        </w:rPr>
        <w:t>评审办法</w:t>
      </w:r>
      <w:bookmarkEnd w:id="340"/>
      <w:bookmarkEnd w:id="341"/>
      <w:bookmarkEnd w:id="342"/>
      <w:bookmarkEnd w:id="343"/>
      <w:bookmarkEnd w:id="344"/>
      <w:bookmarkEnd w:id="345"/>
      <w:bookmarkEnd w:id="346"/>
      <w:bookmarkEnd w:id="347"/>
      <w:bookmarkEnd w:id="348"/>
      <w:bookmarkEnd w:id="349"/>
    </w:p>
    <w:p w14:paraId="382EA190">
      <w:pPr>
        <w:keepNext w:val="0"/>
        <w:keepLines w:val="0"/>
        <w:widowControl/>
        <w:suppressLineNumbers w:val="0"/>
        <w:jc w:val="left"/>
        <w:outlineLvl w:val="1"/>
        <w:rPr>
          <w:rFonts w:hint="eastAsia" w:ascii="宋体" w:hAnsi="宋体" w:eastAsia="宋体" w:cs="宋体"/>
        </w:rPr>
      </w:pPr>
      <w:bookmarkStart w:id="350" w:name="_Toc9006"/>
      <w:bookmarkStart w:id="351" w:name="_Toc2976"/>
      <w:bookmarkStart w:id="352" w:name="_Toc18709"/>
      <w:bookmarkStart w:id="353" w:name="_Toc22397"/>
      <w:bookmarkStart w:id="354" w:name="_Toc9339"/>
      <w:r>
        <w:rPr>
          <w:rFonts w:hint="eastAsia" w:ascii="宋体" w:hAnsi="宋体" w:eastAsia="宋体" w:cs="宋体"/>
          <w:b/>
          <w:bCs/>
          <w:color w:val="000000"/>
          <w:kern w:val="0"/>
          <w:sz w:val="24"/>
          <w:szCs w:val="24"/>
          <w:lang w:val="en-US" w:eastAsia="zh-CN" w:bidi="ar"/>
        </w:rPr>
        <w:t>一、评审方法</w:t>
      </w:r>
      <w:bookmarkEnd w:id="350"/>
      <w:bookmarkEnd w:id="351"/>
      <w:bookmarkEnd w:id="352"/>
      <w:bookmarkEnd w:id="353"/>
      <w:bookmarkEnd w:id="354"/>
      <w:r>
        <w:rPr>
          <w:rFonts w:hint="eastAsia" w:ascii="宋体" w:hAnsi="宋体" w:eastAsia="宋体" w:cs="宋体"/>
          <w:b/>
          <w:bCs/>
          <w:color w:val="000000"/>
          <w:kern w:val="0"/>
          <w:sz w:val="24"/>
          <w:szCs w:val="24"/>
          <w:lang w:val="en-US" w:eastAsia="zh-CN" w:bidi="ar"/>
        </w:rPr>
        <w:t xml:space="preserve"> </w:t>
      </w:r>
    </w:p>
    <w:p w14:paraId="00B55F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按照《中华人民共和国政府采购法》及实施条例和关于印发《政府采购竞争性磋商采购方式管理暂行办法》的通知（财库【2014】214 号）的规定，本次评标采用综合评分法， 即在最大限度地满足竞争性磋商文件实质性要求前提下，按照竞争性磋商文件中规定 的各项因素和相应的权重分值进行综合评审后，以总得分最高的供应商作为成交候选人并依次排序（最低报价不是成交的唯一标准）。 </w:t>
      </w:r>
    </w:p>
    <w:p w14:paraId="2BFEED8B">
      <w:pPr>
        <w:keepNext w:val="0"/>
        <w:keepLines w:val="0"/>
        <w:widowControl/>
        <w:suppressLineNumbers w:val="0"/>
        <w:jc w:val="left"/>
        <w:outlineLvl w:val="1"/>
        <w:rPr>
          <w:rFonts w:hint="eastAsia" w:ascii="宋体" w:hAnsi="宋体" w:eastAsia="宋体" w:cs="宋体"/>
        </w:rPr>
      </w:pPr>
      <w:bookmarkStart w:id="355" w:name="_Toc19717"/>
      <w:bookmarkStart w:id="356" w:name="_Toc9318"/>
      <w:bookmarkStart w:id="357" w:name="_Toc8760"/>
      <w:bookmarkStart w:id="358" w:name="_Toc30081"/>
      <w:bookmarkStart w:id="359" w:name="_Toc22824"/>
      <w:r>
        <w:rPr>
          <w:rFonts w:hint="eastAsia" w:ascii="宋体" w:hAnsi="宋体" w:eastAsia="宋体" w:cs="宋体"/>
          <w:b/>
          <w:bCs/>
          <w:color w:val="000000"/>
          <w:kern w:val="0"/>
          <w:sz w:val="24"/>
          <w:szCs w:val="24"/>
          <w:lang w:val="en-US" w:eastAsia="zh-CN" w:bidi="ar"/>
        </w:rPr>
        <w:t>二、评审程序</w:t>
      </w:r>
      <w:bookmarkEnd w:id="355"/>
      <w:bookmarkEnd w:id="356"/>
      <w:bookmarkEnd w:id="357"/>
      <w:bookmarkEnd w:id="358"/>
      <w:bookmarkEnd w:id="359"/>
      <w:r>
        <w:rPr>
          <w:rFonts w:hint="eastAsia" w:ascii="宋体" w:hAnsi="宋体" w:eastAsia="宋体" w:cs="宋体"/>
          <w:b/>
          <w:bCs/>
          <w:color w:val="000000"/>
          <w:kern w:val="0"/>
          <w:sz w:val="24"/>
          <w:szCs w:val="24"/>
          <w:lang w:val="en-US" w:eastAsia="zh-CN" w:bidi="ar"/>
        </w:rPr>
        <w:t xml:space="preserve"> </w:t>
      </w:r>
    </w:p>
    <w:p w14:paraId="61B0A2B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按照竞争性磋商响应文件初审、澄清有关问题、分别磋商、二次报价、比较与评审、 推荐成交候选人名单。在上一步评审中被认定为无效磋商者，不进入下一步的评审。 </w:t>
      </w:r>
    </w:p>
    <w:p w14:paraId="5C397029">
      <w:pPr>
        <w:keepNext w:val="0"/>
        <w:keepLines w:val="0"/>
        <w:widowControl/>
        <w:suppressLineNumbers w:val="0"/>
        <w:jc w:val="left"/>
        <w:outlineLvl w:val="9"/>
        <w:rPr>
          <w:rFonts w:hint="eastAsia" w:ascii="宋体" w:hAnsi="宋体" w:eastAsia="宋体" w:cs="宋体"/>
        </w:rPr>
      </w:pPr>
      <w:bookmarkStart w:id="360" w:name="_Toc21380"/>
      <w:r>
        <w:rPr>
          <w:rFonts w:hint="eastAsia" w:ascii="宋体" w:hAnsi="宋体" w:eastAsia="宋体" w:cs="宋体"/>
          <w:b/>
          <w:bCs/>
          <w:color w:val="000000"/>
          <w:kern w:val="0"/>
          <w:sz w:val="24"/>
          <w:szCs w:val="24"/>
          <w:lang w:val="en-US" w:eastAsia="zh-CN" w:bidi="ar"/>
        </w:rPr>
        <w:t>1、对磋商响应文件的初审：</w:t>
      </w:r>
      <w:bookmarkEnd w:id="360"/>
      <w:r>
        <w:rPr>
          <w:rFonts w:hint="eastAsia" w:ascii="宋体" w:hAnsi="宋体" w:eastAsia="宋体" w:cs="宋体"/>
          <w:b/>
          <w:bCs/>
          <w:color w:val="000000"/>
          <w:kern w:val="0"/>
          <w:sz w:val="24"/>
          <w:szCs w:val="24"/>
          <w:lang w:val="en-US" w:eastAsia="zh-CN" w:bidi="ar"/>
        </w:rPr>
        <w:t xml:space="preserve"> </w:t>
      </w:r>
    </w:p>
    <w:p w14:paraId="5A0146DC">
      <w:pPr>
        <w:bidi w:val="0"/>
        <w:ind w:firstLine="482" w:firstLineChars="200"/>
        <w:outlineLvl w:val="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w:t>
      </w:r>
      <w:r>
        <w:rPr>
          <w:rFonts w:hint="eastAsia" w:ascii="宋体" w:hAnsi="宋体" w:eastAsia="宋体" w:cs="宋体"/>
          <w:b/>
          <w:bCs/>
          <w:color w:val="000000"/>
          <w:kern w:val="0"/>
          <w:sz w:val="24"/>
          <w:szCs w:val="24"/>
          <w:highlight w:val="none"/>
          <w:lang w:val="en-US" w:eastAsia="zh-CN" w:bidi="ar"/>
        </w:rPr>
        <w:t>.1 资格性审查。</w:t>
      </w:r>
      <w:r>
        <w:rPr>
          <w:rFonts w:hint="eastAsia" w:ascii="宋体" w:hAnsi="宋体" w:eastAsia="宋体" w:cs="宋体"/>
          <w:b w:val="0"/>
          <w:bCs w:val="0"/>
          <w:color w:val="000000"/>
          <w:kern w:val="0"/>
          <w:sz w:val="24"/>
          <w:szCs w:val="24"/>
          <w:lang w:val="en-US" w:eastAsia="zh-CN" w:bidi="ar"/>
        </w:rPr>
        <w:t xml:space="preserve">采购代理机构协助采购人将依据磋商响应文件，按照磋商文件第16条所述资格要求进行资格性审查，如果供应商不满足磋商文件所规定的资格要求或提供资格证明文件不全,将被视为未实质性响应磋商文件。 </w:t>
      </w:r>
    </w:p>
    <w:p w14:paraId="4C4303CD">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outlineLvl w:val="9"/>
        <w:rPr>
          <w:rFonts w:hint="eastAsia" w:ascii="宋体" w:hAnsi="宋体" w:eastAsia="宋体" w:cs="宋体"/>
          <w:sz w:val="24"/>
        </w:rPr>
      </w:pPr>
      <w:r>
        <w:rPr>
          <w:rFonts w:hint="eastAsia" w:ascii="宋体" w:hAnsi="宋体" w:eastAsia="宋体" w:cs="宋体"/>
          <w:b/>
          <w:bCs/>
          <w:color w:val="000000"/>
          <w:kern w:val="0"/>
          <w:sz w:val="24"/>
          <w:szCs w:val="24"/>
          <w:lang w:val="en-US" w:eastAsia="zh-CN" w:bidi="ar"/>
        </w:rPr>
        <w:t>1.2 符合性审查。</w:t>
      </w:r>
      <w:r>
        <w:rPr>
          <w:rFonts w:hint="eastAsia" w:ascii="宋体" w:hAnsi="宋体" w:eastAsia="宋体" w:cs="宋体"/>
          <w:sz w:val="24"/>
        </w:rPr>
        <w:t>依据磋商文件的规定，从响应文件的有效性、完整性和对磋商文件的响应程度进行审查，以确定是否对磋商文件的实质性内容作出响应。其内容包括并不局限以下部分：</w:t>
      </w:r>
    </w:p>
    <w:p w14:paraId="35333FB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（1）竞争性磋商响应文件的完整性。竞争性磋商响应文件构成是否有重大缺项，是否按照竞争性磋商文件要求的格式编写竞争性磋商响应文件。 </w:t>
      </w:r>
    </w:p>
    <w:p w14:paraId="6AC357F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（2）竞争性磋商响应文件的有效性。竞争性磋商响应文件的签署、加盖印章是否合格、有效；提供的各种证明文件、数据、资料是否真实、有效。 </w:t>
      </w:r>
    </w:p>
    <w:p w14:paraId="77C31860">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3）竞争性磋商响应文件的响应性。工期、响应文件的数量、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 </w:t>
      </w:r>
    </w:p>
    <w:p w14:paraId="63B229D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（4）报价是否超过采购预算及最高限价。</w:t>
      </w:r>
    </w:p>
    <w:p w14:paraId="413DB0BF">
      <w:pPr>
        <w:pStyle w:val="23"/>
        <w:keepNext w:val="0"/>
        <w:keepLines w:val="0"/>
        <w:pageBreakBefore w:val="0"/>
        <w:widowControl w:val="0"/>
        <w:numPr>
          <w:ilvl w:val="1"/>
          <w:numId w:val="0"/>
        </w:numPr>
        <w:tabs>
          <w:tab w:val="left" w:pos="89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w w:val="100"/>
          <w:sz w:val="24"/>
          <w:szCs w:val="24"/>
          <w:lang w:val="en-US" w:eastAsia="zh-CN" w:bidi="zh-CN"/>
        </w:rPr>
        <w:t>1</w:t>
      </w:r>
      <w:r>
        <w:rPr>
          <w:rFonts w:hint="eastAsia" w:ascii="宋体" w:hAnsi="宋体" w:eastAsia="宋体" w:cs="宋体"/>
          <w:b/>
          <w:bCs/>
          <w:w w:val="100"/>
          <w:sz w:val="24"/>
          <w:szCs w:val="24"/>
          <w:lang w:val="zh-CN" w:eastAsia="zh-CN" w:bidi="zh-CN"/>
        </w:rPr>
        <w:t>.3</w:t>
      </w:r>
      <w:r>
        <w:rPr>
          <w:rFonts w:hint="eastAsia" w:ascii="宋体" w:hAnsi="宋体" w:eastAsia="宋体" w:cs="宋体"/>
          <w:b/>
          <w:bCs/>
          <w:w w:val="100"/>
          <w:sz w:val="24"/>
          <w:szCs w:val="24"/>
          <w:lang w:val="en-US" w:eastAsia="zh-CN" w:bidi="zh-CN"/>
        </w:rPr>
        <w:t xml:space="preserve"> </w:t>
      </w:r>
      <w:r>
        <w:rPr>
          <w:rFonts w:hint="eastAsia" w:ascii="宋体" w:hAnsi="宋体" w:eastAsia="宋体" w:cs="宋体"/>
          <w:b/>
          <w:bCs/>
          <w:sz w:val="24"/>
        </w:rPr>
        <w:t>经过对供应商及响应文件的资格性、符合性审查，出现下列情况者（</w:t>
      </w:r>
      <w:r>
        <w:rPr>
          <w:rFonts w:hint="eastAsia" w:ascii="宋体" w:hAnsi="宋体" w:eastAsia="宋体" w:cs="宋体"/>
          <w:b/>
          <w:bCs/>
          <w:spacing w:val="-4"/>
          <w:sz w:val="24"/>
        </w:rPr>
        <w:t>但不限</w:t>
      </w:r>
      <w:r>
        <w:rPr>
          <w:rFonts w:hint="eastAsia" w:ascii="宋体" w:hAnsi="宋体" w:eastAsia="宋体" w:cs="宋体"/>
          <w:b/>
          <w:bCs/>
          <w:sz w:val="24"/>
        </w:rPr>
        <w:t>于），按无效处理。</w:t>
      </w:r>
    </w:p>
    <w:p w14:paraId="3ACAF9B0">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(1)</w:t>
      </w:r>
      <w:r>
        <w:rPr>
          <w:rFonts w:hint="eastAsia" w:ascii="宋体" w:hAnsi="宋体" w:eastAsia="宋体" w:cs="宋体"/>
          <w:b/>
          <w:bCs/>
          <w:sz w:val="24"/>
        </w:rPr>
        <w:t>响应文件没有法定代表人授权书（法人</w:t>
      </w:r>
      <w:r>
        <w:rPr>
          <w:rFonts w:hint="eastAsia" w:ascii="宋体" w:hAnsi="宋体" w:eastAsia="宋体" w:cs="宋体"/>
          <w:b/>
          <w:bCs/>
          <w:sz w:val="24"/>
          <w:lang w:eastAsia="zh-CN"/>
        </w:rPr>
        <w:t>代表</w:t>
      </w:r>
      <w:r>
        <w:rPr>
          <w:rFonts w:hint="eastAsia" w:ascii="宋体" w:hAnsi="宋体" w:eastAsia="宋体" w:cs="宋体"/>
          <w:b/>
          <w:bCs/>
          <w:sz w:val="24"/>
        </w:rPr>
        <w:t>直接参加除外）或授权书的合法性或有效性不符合磋商文件规定；</w:t>
      </w:r>
    </w:p>
    <w:p w14:paraId="5CC9C420">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(2)</w:t>
      </w:r>
      <w:r>
        <w:rPr>
          <w:rFonts w:hint="eastAsia" w:ascii="宋体" w:hAnsi="宋体" w:eastAsia="宋体" w:cs="宋体"/>
          <w:b/>
          <w:bCs/>
          <w:sz w:val="24"/>
        </w:rPr>
        <w:t>供应商</w:t>
      </w:r>
      <w:r>
        <w:rPr>
          <w:rFonts w:hint="eastAsia" w:ascii="宋体" w:hAnsi="宋体" w:eastAsia="宋体" w:cs="宋体"/>
          <w:b/>
          <w:bCs/>
          <w:sz w:val="24"/>
          <w:lang w:eastAsia="zh-CN"/>
        </w:rPr>
        <w:t>不具备竞争性磋商文件要求的资格条件或响应文件中提供的资格文件不符合竞争性磋商文件要求的</w:t>
      </w:r>
      <w:r>
        <w:rPr>
          <w:rFonts w:hint="eastAsia" w:ascii="宋体" w:hAnsi="宋体" w:eastAsia="宋体" w:cs="宋体"/>
          <w:b/>
          <w:bCs/>
          <w:sz w:val="24"/>
        </w:rPr>
        <w:t>；</w:t>
      </w:r>
    </w:p>
    <w:p w14:paraId="5BBEF2F4">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(3)</w:t>
      </w:r>
      <w:r>
        <w:rPr>
          <w:rFonts w:hint="eastAsia" w:ascii="宋体" w:hAnsi="宋体" w:eastAsia="宋体" w:cs="宋体"/>
          <w:b/>
          <w:bCs/>
          <w:sz w:val="24"/>
        </w:rPr>
        <w:t>响应文件未按磋商文件规定</w:t>
      </w:r>
      <w:r>
        <w:rPr>
          <w:rFonts w:hint="eastAsia" w:ascii="宋体" w:hAnsi="宋体" w:eastAsia="宋体" w:cs="宋体"/>
          <w:b/>
          <w:bCs/>
          <w:sz w:val="24"/>
          <w:lang w:eastAsia="zh-CN"/>
        </w:rPr>
        <w:t>密封、</w:t>
      </w:r>
      <w:r>
        <w:rPr>
          <w:rFonts w:hint="eastAsia" w:ascii="宋体" w:hAnsi="宋体" w:eastAsia="宋体" w:cs="宋体"/>
          <w:b/>
          <w:bCs/>
          <w:sz w:val="24"/>
        </w:rPr>
        <w:t>签字和盖章的；</w:t>
      </w:r>
    </w:p>
    <w:p w14:paraId="473486B3">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(4)</w:t>
      </w:r>
      <w:r>
        <w:rPr>
          <w:rFonts w:hint="eastAsia" w:ascii="宋体" w:hAnsi="宋体" w:eastAsia="宋体" w:cs="宋体"/>
          <w:b/>
          <w:bCs/>
          <w:sz w:val="24"/>
        </w:rPr>
        <w:t>磋商有效期不足的；</w:t>
      </w:r>
    </w:p>
    <w:p w14:paraId="7522A8FD">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(5)</w:t>
      </w:r>
      <w:r>
        <w:rPr>
          <w:rFonts w:hint="eastAsia" w:ascii="宋体" w:hAnsi="宋体" w:eastAsia="宋体" w:cs="宋体"/>
          <w:b/>
          <w:bCs/>
          <w:sz w:val="24"/>
        </w:rPr>
        <w:t>磋商内容出现</w:t>
      </w:r>
      <w:r>
        <w:rPr>
          <w:rFonts w:hint="eastAsia" w:ascii="宋体" w:hAnsi="宋体" w:eastAsia="宋体" w:cs="宋体"/>
          <w:b/>
          <w:bCs/>
          <w:sz w:val="24"/>
          <w:lang w:eastAsia="zh-CN"/>
        </w:rPr>
        <w:t>缺项、</w:t>
      </w:r>
      <w:r>
        <w:rPr>
          <w:rFonts w:hint="eastAsia" w:ascii="宋体" w:hAnsi="宋体" w:eastAsia="宋体" w:cs="宋体"/>
          <w:b/>
          <w:bCs/>
          <w:sz w:val="24"/>
        </w:rPr>
        <w:t>漏项</w:t>
      </w:r>
      <w:r>
        <w:rPr>
          <w:rFonts w:hint="eastAsia" w:ascii="宋体" w:hAnsi="宋体" w:eastAsia="宋体" w:cs="宋体"/>
          <w:b/>
          <w:bCs/>
          <w:sz w:val="24"/>
          <w:lang w:eastAsia="zh-CN"/>
        </w:rPr>
        <w:t>的或与磋商文件不相符的</w:t>
      </w:r>
      <w:r>
        <w:rPr>
          <w:rFonts w:hint="eastAsia" w:ascii="宋体" w:hAnsi="宋体" w:eastAsia="宋体" w:cs="宋体"/>
          <w:b/>
          <w:bCs/>
          <w:sz w:val="24"/>
        </w:rPr>
        <w:t>；</w:t>
      </w:r>
    </w:p>
    <w:p w14:paraId="0CCCE900">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(6)</w:t>
      </w:r>
      <w:r>
        <w:rPr>
          <w:rFonts w:hint="eastAsia" w:ascii="宋体" w:hAnsi="宋体" w:eastAsia="宋体" w:cs="宋体"/>
          <w:b/>
          <w:bCs/>
          <w:sz w:val="24"/>
        </w:rPr>
        <w:t>规定不接受选择方案和选择报价（包括交叉折扣）</w:t>
      </w:r>
      <w:r>
        <w:rPr>
          <w:rFonts w:hint="eastAsia" w:ascii="宋体" w:hAnsi="宋体" w:eastAsia="宋体" w:cs="宋体"/>
          <w:b/>
          <w:bCs/>
          <w:spacing w:val="-1"/>
          <w:sz w:val="24"/>
        </w:rPr>
        <w:t>的，供应商提供了选择</w:t>
      </w:r>
      <w:r>
        <w:rPr>
          <w:rFonts w:hint="eastAsia" w:ascii="宋体" w:hAnsi="宋体" w:eastAsia="宋体" w:cs="宋体"/>
          <w:b/>
          <w:bCs/>
          <w:sz w:val="24"/>
        </w:rPr>
        <w:t>方案和/或选择报价（包括交叉折扣）；</w:t>
      </w:r>
    </w:p>
    <w:p w14:paraId="4C9B0018">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(7)</w:t>
      </w:r>
      <w:r>
        <w:rPr>
          <w:rFonts w:hint="eastAsia" w:ascii="宋体" w:hAnsi="宋体" w:eastAsia="宋体" w:cs="宋体"/>
          <w:b/>
          <w:bCs/>
          <w:sz w:val="24"/>
        </w:rPr>
        <w:t>磋商报价</w:t>
      </w:r>
      <w:r>
        <w:rPr>
          <w:rFonts w:hint="eastAsia" w:ascii="宋体" w:hAnsi="宋体" w:eastAsia="宋体" w:cs="宋体"/>
          <w:b/>
          <w:bCs/>
          <w:sz w:val="24"/>
          <w:lang w:eastAsia="zh-CN"/>
        </w:rPr>
        <w:t>低于成本或</w:t>
      </w:r>
      <w:r>
        <w:rPr>
          <w:rFonts w:hint="eastAsia" w:ascii="宋体" w:hAnsi="宋体" w:eastAsia="宋体" w:cs="宋体"/>
          <w:b/>
          <w:bCs/>
          <w:sz w:val="24"/>
        </w:rPr>
        <w:t>超出采购预算</w:t>
      </w:r>
      <w:r>
        <w:rPr>
          <w:rFonts w:hint="eastAsia" w:ascii="宋体" w:hAnsi="宋体" w:eastAsia="宋体" w:cs="宋体"/>
          <w:b/>
          <w:bCs/>
          <w:sz w:val="24"/>
          <w:lang w:val="en-US" w:eastAsia="zh-CN"/>
        </w:rPr>
        <w:t>及最高限价</w:t>
      </w:r>
      <w:r>
        <w:rPr>
          <w:rFonts w:hint="eastAsia" w:ascii="宋体" w:hAnsi="宋体" w:eastAsia="宋体" w:cs="宋体"/>
          <w:b/>
          <w:bCs/>
          <w:sz w:val="24"/>
        </w:rPr>
        <w:t>的；</w:t>
      </w:r>
    </w:p>
    <w:p w14:paraId="5B604F7C">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szCs w:val="22"/>
          <w:lang w:val="zh-CN" w:eastAsia="zh-CN" w:bidi="zh-CN"/>
        </w:rPr>
        <w:t>(8)</w:t>
      </w:r>
      <w:r>
        <w:rPr>
          <w:rFonts w:hint="eastAsia" w:ascii="宋体" w:hAnsi="宋体" w:eastAsia="宋体" w:cs="宋体"/>
          <w:b/>
          <w:bCs/>
          <w:spacing w:val="-1"/>
          <w:sz w:val="24"/>
        </w:rPr>
        <w:t>供应商有串通磋商、以他人名义磋商、行贿</w:t>
      </w:r>
      <w:r>
        <w:rPr>
          <w:rFonts w:hint="eastAsia" w:ascii="宋体" w:hAnsi="宋体" w:eastAsia="宋体" w:cs="宋体"/>
          <w:b/>
          <w:bCs/>
          <w:spacing w:val="-1"/>
          <w:sz w:val="24"/>
          <w:lang w:eastAsia="zh-CN"/>
        </w:rPr>
        <w:t>，</w:t>
      </w:r>
      <w:r>
        <w:rPr>
          <w:rFonts w:hint="eastAsia" w:ascii="宋体" w:hAnsi="宋体" w:eastAsia="宋体" w:cs="宋体"/>
          <w:b/>
          <w:bCs/>
          <w:spacing w:val="-1"/>
          <w:sz w:val="24"/>
        </w:rPr>
        <w:t>提供虚假证明，开具虚假资质，出现虚假应答，除按无效标处理外，还进</w:t>
      </w:r>
      <w:r>
        <w:rPr>
          <w:rFonts w:hint="eastAsia" w:ascii="宋体" w:hAnsi="宋体" w:eastAsia="宋体" w:cs="宋体"/>
          <w:b/>
          <w:bCs/>
          <w:sz w:val="24"/>
        </w:rPr>
        <w:t>行相应的处罚。</w:t>
      </w:r>
    </w:p>
    <w:p w14:paraId="52BFA032">
      <w:pPr>
        <w:pStyle w:val="23"/>
        <w:keepNext w:val="0"/>
        <w:keepLines w:val="0"/>
        <w:pageBreakBefore w:val="0"/>
        <w:widowControl w:val="0"/>
        <w:numPr>
          <w:ilvl w:val="0"/>
          <w:numId w:val="0"/>
        </w:numPr>
        <w:tabs>
          <w:tab w:val="left" w:pos="1204"/>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rPr>
      </w:pPr>
      <w:r>
        <w:rPr>
          <w:rFonts w:hint="eastAsia" w:ascii="宋体" w:hAnsi="宋体" w:eastAsia="宋体" w:cs="宋体"/>
          <w:b/>
          <w:bCs/>
          <w:sz w:val="24"/>
          <w:szCs w:val="22"/>
          <w:lang w:val="zh-CN" w:eastAsia="zh-CN" w:bidi="zh-CN"/>
        </w:rPr>
        <w:t>(9)</w:t>
      </w:r>
      <w:r>
        <w:rPr>
          <w:rFonts w:hint="eastAsia" w:ascii="宋体" w:hAnsi="宋体" w:eastAsia="宋体" w:cs="宋体"/>
          <w:b/>
          <w:bCs/>
          <w:spacing w:val="6"/>
          <w:sz w:val="24"/>
        </w:rPr>
        <w:t>供应商未按要求领取文件并登记的或供应商的名称与登记领取磋商文件</w:t>
      </w:r>
      <w:r>
        <w:rPr>
          <w:rFonts w:hint="eastAsia" w:ascii="宋体" w:hAnsi="宋体" w:eastAsia="宋体" w:cs="宋体"/>
          <w:b/>
          <w:bCs/>
          <w:sz w:val="24"/>
        </w:rPr>
        <w:t>单位的名称不符。</w:t>
      </w:r>
    </w:p>
    <w:p w14:paraId="643870EF">
      <w:pPr>
        <w:keepNext w:val="0"/>
        <w:keepLines w:val="0"/>
        <w:widowControl/>
        <w:suppressLineNumbers w:val="0"/>
        <w:jc w:val="left"/>
        <w:outlineLvl w:val="9"/>
        <w:rPr>
          <w:rFonts w:hint="eastAsia" w:ascii="宋体" w:hAnsi="宋体" w:eastAsia="宋体" w:cs="宋体"/>
        </w:rPr>
      </w:pPr>
      <w:bookmarkStart w:id="361" w:name="_Toc7471"/>
      <w:r>
        <w:rPr>
          <w:rFonts w:hint="eastAsia" w:ascii="宋体" w:hAnsi="宋体" w:eastAsia="宋体" w:cs="宋体"/>
          <w:b/>
          <w:bCs/>
          <w:color w:val="000000"/>
          <w:kern w:val="0"/>
          <w:sz w:val="24"/>
          <w:szCs w:val="24"/>
          <w:lang w:val="en-US" w:eastAsia="zh-CN" w:bidi="ar"/>
        </w:rPr>
        <w:t>2、磋商响应文件的澄清</w:t>
      </w:r>
      <w:bookmarkEnd w:id="361"/>
      <w:r>
        <w:rPr>
          <w:rFonts w:hint="eastAsia" w:ascii="宋体" w:hAnsi="宋体" w:eastAsia="宋体" w:cs="宋体"/>
          <w:b/>
          <w:bCs/>
          <w:color w:val="000000"/>
          <w:kern w:val="0"/>
          <w:sz w:val="24"/>
          <w:szCs w:val="24"/>
          <w:lang w:val="en-US" w:eastAsia="zh-CN" w:bidi="ar"/>
        </w:rPr>
        <w:t xml:space="preserve"> </w:t>
      </w:r>
    </w:p>
    <w:p w14:paraId="721BBC8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2.1 磋商小组发现供应商的报价明显低于其他磋商报价、或明显低于市场价格， </w:t>
      </w:r>
    </w:p>
    <w:p w14:paraId="604CBFF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 </w:t>
      </w:r>
    </w:p>
    <w:p w14:paraId="724EA34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2.2 有效的书面澄清材料，是磋商响应文件的补充材料，成为磋商响应文件的组成部分。 </w:t>
      </w:r>
    </w:p>
    <w:p w14:paraId="270B61B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3、磋商：</w:t>
      </w:r>
      <w:r>
        <w:rPr>
          <w:rFonts w:hint="eastAsia" w:ascii="宋体" w:hAnsi="宋体" w:eastAsia="宋体" w:cs="宋体"/>
          <w:color w:val="000000"/>
          <w:kern w:val="0"/>
          <w:sz w:val="24"/>
          <w:szCs w:val="24"/>
          <w:lang w:val="en-US" w:eastAsia="zh-CN" w:bidi="ar"/>
        </w:rPr>
        <w:t xml:space="preserve">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 </w:t>
      </w:r>
    </w:p>
    <w:p w14:paraId="2BC8A79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4、综合评审：</w:t>
      </w:r>
      <w:r>
        <w:rPr>
          <w:rFonts w:hint="eastAsia" w:ascii="宋体" w:hAnsi="宋体" w:eastAsia="宋体" w:cs="宋体"/>
          <w:color w:val="000000"/>
          <w:kern w:val="0"/>
          <w:sz w:val="24"/>
          <w:szCs w:val="24"/>
          <w:lang w:val="en-US" w:eastAsia="zh-CN" w:bidi="ar"/>
        </w:rPr>
        <w:t>对于经初审合格的所有供应商，由磋商小组各成员依据磋商响应文件和最终报价，按照下列《评标要素和分值表》规定的内容独立进行综合评价、比较打分，然后汇总每个供应商的得分，从高到低依次排序，推荐中标候选人。</w:t>
      </w:r>
    </w:p>
    <w:p w14:paraId="5CD61AC1">
      <w:pPr>
        <w:snapToGrid w:val="0"/>
        <w:spacing w:line="520" w:lineRule="exact"/>
        <w:ind w:firstLine="580"/>
        <w:rPr>
          <w:rFonts w:hint="eastAsia" w:ascii="宋体" w:hAnsi="宋体" w:eastAsia="宋体" w:cs="宋体"/>
          <w:szCs w:val="24"/>
          <w:highlight w:val="none"/>
        </w:rPr>
      </w:pPr>
      <w:bookmarkStart w:id="362" w:name="_Toc5651"/>
      <w:r>
        <w:rPr>
          <w:rFonts w:hint="eastAsia" w:ascii="宋体" w:hAnsi="宋体" w:eastAsia="宋体" w:cs="宋体"/>
          <w:b/>
          <w:bCs/>
          <w:color w:val="000000"/>
          <w:kern w:val="0"/>
          <w:sz w:val="24"/>
          <w:szCs w:val="24"/>
          <w:lang w:val="en-US" w:eastAsia="zh-CN" w:bidi="ar"/>
        </w:rPr>
        <w:t>评标要素和分值表：</w:t>
      </w:r>
      <w:r>
        <w:rPr>
          <w:rFonts w:hint="eastAsia" w:ascii="宋体" w:hAnsi="宋体" w:eastAsia="宋体" w:cs="宋体"/>
          <w:szCs w:val="24"/>
          <w:highlight w:val="none"/>
        </w:rPr>
        <w:t>采用综合评分法，即在最大限度地满足</w:t>
      </w:r>
      <w:r>
        <w:rPr>
          <w:rFonts w:hint="eastAsia" w:ascii="宋体" w:hAnsi="宋体" w:eastAsia="宋体" w:cs="宋体"/>
          <w:szCs w:val="24"/>
          <w:highlight w:val="none"/>
          <w:lang w:eastAsia="zh-CN"/>
        </w:rPr>
        <w:t>竞争性磋商文件</w:t>
      </w:r>
      <w:r>
        <w:rPr>
          <w:rFonts w:hint="eastAsia" w:ascii="宋体" w:hAnsi="宋体" w:eastAsia="宋体" w:cs="宋体"/>
          <w:szCs w:val="24"/>
          <w:highlight w:val="none"/>
        </w:rPr>
        <w:t>实质性要求前提下，按照</w:t>
      </w:r>
      <w:r>
        <w:rPr>
          <w:rFonts w:hint="eastAsia" w:ascii="宋体" w:hAnsi="宋体" w:eastAsia="宋体" w:cs="宋体"/>
          <w:szCs w:val="24"/>
          <w:highlight w:val="none"/>
          <w:lang w:eastAsia="zh-CN"/>
        </w:rPr>
        <w:t>竞争性磋商文件</w:t>
      </w:r>
      <w:r>
        <w:rPr>
          <w:rFonts w:hint="eastAsia" w:ascii="宋体" w:hAnsi="宋体" w:eastAsia="宋体" w:cs="宋体"/>
          <w:szCs w:val="24"/>
          <w:highlight w:val="none"/>
        </w:rPr>
        <w:t>中规定的各项因素进行综合评审后，以评审总得分顺序推荐</w:t>
      </w:r>
      <w:r>
        <w:rPr>
          <w:rFonts w:hint="eastAsia" w:ascii="宋体" w:hAnsi="宋体" w:eastAsia="宋体" w:cs="宋体"/>
          <w:szCs w:val="24"/>
          <w:highlight w:val="none"/>
          <w:lang w:eastAsia="zh-CN"/>
        </w:rPr>
        <w:t>成交</w:t>
      </w:r>
      <w:r>
        <w:rPr>
          <w:rFonts w:hint="eastAsia" w:ascii="宋体" w:hAnsi="宋体" w:eastAsia="宋体" w:cs="宋体"/>
          <w:szCs w:val="24"/>
          <w:highlight w:val="none"/>
        </w:rPr>
        <w:t>候选人。具体评审</w:t>
      </w:r>
      <w:r>
        <w:rPr>
          <w:rFonts w:hint="eastAsia" w:ascii="宋体" w:hAnsi="宋体" w:eastAsia="宋体" w:cs="宋体"/>
          <w:szCs w:val="24"/>
          <w:highlight w:val="none"/>
          <w:lang w:eastAsia="zh-CN"/>
        </w:rPr>
        <w:t>要素</w:t>
      </w:r>
      <w:r>
        <w:rPr>
          <w:rFonts w:hint="eastAsia" w:ascii="宋体" w:hAnsi="宋体" w:eastAsia="宋体" w:cs="宋体"/>
          <w:szCs w:val="24"/>
          <w:highlight w:val="none"/>
        </w:rPr>
        <w:t>和分值如下。</w:t>
      </w:r>
    </w:p>
    <w:tbl>
      <w:tblPr>
        <w:tblStyle w:val="22"/>
        <w:tblpPr w:leftFromText="180" w:rightFromText="180" w:vertAnchor="text" w:horzAnchor="page" w:tblpX="1027" w:tblpY="225"/>
        <w:tblOverlap w:val="never"/>
        <w:tblW w:w="10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755"/>
        <w:gridCol w:w="931"/>
        <w:gridCol w:w="660"/>
        <w:gridCol w:w="7079"/>
      </w:tblGrid>
      <w:tr w14:paraId="36582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4" w:type="dxa"/>
            <w:noWrap w:val="0"/>
            <w:vAlign w:val="center"/>
          </w:tcPr>
          <w:p w14:paraId="2CAF60D0">
            <w:pPr>
              <w:spacing w:before="75" w:line="231"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序号</w:t>
            </w:r>
          </w:p>
        </w:tc>
        <w:tc>
          <w:tcPr>
            <w:tcW w:w="1686" w:type="dxa"/>
            <w:gridSpan w:val="2"/>
            <w:noWrap w:val="0"/>
            <w:vAlign w:val="center"/>
          </w:tcPr>
          <w:p w14:paraId="3620FB4C">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评审因素</w:t>
            </w:r>
          </w:p>
          <w:p w14:paraId="35418ED4">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及权重</w:t>
            </w:r>
          </w:p>
        </w:tc>
        <w:tc>
          <w:tcPr>
            <w:tcW w:w="660" w:type="dxa"/>
            <w:noWrap w:val="0"/>
            <w:vAlign w:val="center"/>
          </w:tcPr>
          <w:p w14:paraId="442E445A">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分值</w:t>
            </w:r>
          </w:p>
        </w:tc>
        <w:tc>
          <w:tcPr>
            <w:tcW w:w="7079" w:type="dxa"/>
            <w:noWrap w:val="0"/>
            <w:vAlign w:val="center"/>
          </w:tcPr>
          <w:p w14:paraId="44CD7389">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评审标准</w:t>
            </w:r>
          </w:p>
        </w:tc>
      </w:tr>
      <w:tr w14:paraId="11F1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8" w:hRule="atLeast"/>
        </w:trPr>
        <w:tc>
          <w:tcPr>
            <w:tcW w:w="584" w:type="dxa"/>
            <w:noWrap w:val="0"/>
            <w:vAlign w:val="center"/>
          </w:tcPr>
          <w:p w14:paraId="140C6A13">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1686" w:type="dxa"/>
            <w:gridSpan w:val="2"/>
            <w:noWrap w:val="0"/>
            <w:vAlign w:val="center"/>
          </w:tcPr>
          <w:p w14:paraId="3875A37D">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报价</w:t>
            </w:r>
          </w:p>
        </w:tc>
        <w:tc>
          <w:tcPr>
            <w:tcW w:w="660" w:type="dxa"/>
            <w:noWrap w:val="0"/>
            <w:vAlign w:val="center"/>
          </w:tcPr>
          <w:p w14:paraId="25B1831A">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30</w:t>
            </w:r>
            <w:r>
              <w:rPr>
                <w:rFonts w:hint="eastAsia" w:ascii="宋体" w:hAnsi="宋体" w:eastAsia="宋体" w:cs="宋体"/>
                <w:color w:val="auto"/>
                <w:spacing w:val="2"/>
                <w:sz w:val="24"/>
                <w:szCs w:val="24"/>
              </w:rPr>
              <w:t>分</w:t>
            </w:r>
          </w:p>
        </w:tc>
        <w:tc>
          <w:tcPr>
            <w:tcW w:w="7079" w:type="dxa"/>
            <w:noWrap w:val="0"/>
            <w:vAlign w:val="center"/>
          </w:tcPr>
          <w:p w14:paraId="68587CF6">
            <w:pPr>
              <w:numPr>
                <w:ilvl w:val="0"/>
                <w:numId w:val="6"/>
              </w:numPr>
              <w:spacing w:before="35" w:line="250" w:lineRule="auto"/>
              <w:ind w:left="0" w:leftChars="0" w:right="106"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经初审合格的磋商响应文件，其磋商报价为有效磋商报价。 </w:t>
            </w:r>
          </w:p>
          <w:p w14:paraId="564DD4FD">
            <w:pPr>
              <w:numPr>
                <w:ilvl w:val="0"/>
                <w:numId w:val="6"/>
              </w:numPr>
              <w:spacing w:before="35" w:line="250" w:lineRule="auto"/>
              <w:ind w:left="0" w:leftChars="0" w:right="106" w:righ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满足磋商文件实质性要求且最终报价最低的供应商的价格为磋商基准价，其价格分为满分30分。 </w:t>
            </w:r>
          </w:p>
          <w:p w14:paraId="4F5787BA">
            <w:pPr>
              <w:numPr>
                <w:ilvl w:val="0"/>
                <w:numId w:val="6"/>
              </w:numPr>
              <w:spacing w:before="35" w:line="250" w:lineRule="auto"/>
              <w:ind w:left="0" w:leftChars="0" w:right="106" w:righ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磋商报价得分=（磋商基准价/最终磋商报价）×30的公式计算得分。 </w:t>
            </w:r>
          </w:p>
          <w:p w14:paraId="1595B906">
            <w:pPr>
              <w:numPr>
                <w:ilvl w:val="0"/>
                <w:numId w:val="0"/>
              </w:numPr>
              <w:spacing w:before="35" w:line="250" w:lineRule="auto"/>
              <w:ind w:leftChars="0" w:right="106" w:rightChars="0"/>
              <w:jc w:val="both"/>
              <w:rPr>
                <w:rFonts w:hint="eastAsia" w:ascii="宋体" w:hAnsi="宋体" w:eastAsia="宋体" w:cs="宋体"/>
                <w:color w:val="auto"/>
                <w:spacing w:val="7"/>
                <w:sz w:val="24"/>
                <w:szCs w:val="24"/>
              </w:rPr>
            </w:pPr>
            <w:r>
              <w:rPr>
                <w:rFonts w:hint="eastAsia" w:ascii="宋体" w:hAnsi="宋体" w:eastAsia="宋体" w:cs="宋体"/>
                <w:color w:val="auto"/>
                <w:sz w:val="24"/>
                <w:szCs w:val="24"/>
              </w:rPr>
              <w:t>4.磋商报价不完整的，不进入基准价的计算，本项得0分。</w:t>
            </w:r>
            <w:r>
              <w:rPr>
                <w:rFonts w:hint="eastAsia" w:ascii="宋体" w:hAnsi="宋体" w:eastAsia="宋体" w:cs="宋体"/>
                <w:color w:val="auto"/>
                <w:spacing w:val="7"/>
                <w:sz w:val="24"/>
                <w:szCs w:val="24"/>
              </w:rPr>
              <w:t>注：</w:t>
            </w:r>
            <w:r>
              <w:rPr>
                <w:rFonts w:hint="eastAsia" w:ascii="宋体" w:hAnsi="宋体" w:eastAsia="宋体" w:cs="宋体"/>
                <w:color w:val="auto"/>
                <w:spacing w:val="7"/>
                <w:sz w:val="24"/>
                <w:szCs w:val="24"/>
                <w:lang w:val="en-US" w:eastAsia="zh-CN"/>
              </w:rPr>
              <w:t>本项目专门面向中小企业采购，不再执行价格扣除政策</w:t>
            </w:r>
            <w:r>
              <w:rPr>
                <w:rFonts w:hint="eastAsia" w:ascii="宋体" w:hAnsi="宋体" w:eastAsia="宋体" w:cs="宋体"/>
                <w:color w:val="auto"/>
                <w:spacing w:val="7"/>
                <w:sz w:val="24"/>
                <w:szCs w:val="24"/>
              </w:rPr>
              <w:t>。</w:t>
            </w:r>
          </w:p>
        </w:tc>
      </w:tr>
      <w:tr w14:paraId="6A31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584" w:type="dxa"/>
            <w:vMerge w:val="restart"/>
            <w:noWrap w:val="0"/>
            <w:vAlign w:val="center"/>
          </w:tcPr>
          <w:p w14:paraId="5346B941">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755" w:type="dxa"/>
            <w:vMerge w:val="restart"/>
            <w:noWrap w:val="0"/>
            <w:vAlign w:val="center"/>
          </w:tcPr>
          <w:p w14:paraId="49C0EF42">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技术部分</w:t>
            </w:r>
          </w:p>
        </w:tc>
        <w:tc>
          <w:tcPr>
            <w:tcW w:w="931" w:type="dxa"/>
            <w:shd w:val="clear" w:color="auto" w:fill="auto"/>
            <w:noWrap w:val="0"/>
            <w:vAlign w:val="center"/>
          </w:tcPr>
          <w:p w14:paraId="71C34A47">
            <w:pPr>
              <w:spacing w:before="75" w:line="231" w:lineRule="auto"/>
              <w:ind w:left="0" w:leftChars="0" w:right="0" w:rightChars="0" w:firstLine="0" w:firstLineChars="0"/>
              <w:jc w:val="center"/>
              <w:rPr>
                <w:rFonts w:hint="eastAsia" w:ascii="宋体" w:hAnsi="宋体" w:eastAsia="宋体" w:cs="宋体"/>
                <w:color w:val="auto"/>
                <w:spacing w:val="2"/>
                <w:sz w:val="24"/>
                <w:szCs w:val="24"/>
                <w:lang w:val="en-US" w:eastAsia="zh-CN" w:bidi="zh-CN"/>
              </w:rPr>
            </w:pPr>
            <w:r>
              <w:rPr>
                <w:rFonts w:hint="eastAsia" w:ascii="宋体" w:hAnsi="宋体" w:eastAsia="宋体" w:cs="宋体"/>
                <w:color w:val="auto"/>
                <w:sz w:val="24"/>
                <w:szCs w:val="24"/>
                <w:highlight w:val="none"/>
                <w:lang w:val="en-US" w:eastAsia="zh-CN"/>
              </w:rPr>
              <w:t>施工部署及准备</w:t>
            </w:r>
          </w:p>
        </w:tc>
        <w:tc>
          <w:tcPr>
            <w:tcW w:w="660" w:type="dxa"/>
            <w:noWrap w:val="0"/>
            <w:vAlign w:val="center"/>
          </w:tcPr>
          <w:p w14:paraId="31346835">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w:t>
            </w:r>
          </w:p>
        </w:tc>
        <w:tc>
          <w:tcPr>
            <w:tcW w:w="7079" w:type="dxa"/>
            <w:noWrap w:val="0"/>
            <w:vAlign w:val="center"/>
          </w:tcPr>
          <w:p w14:paraId="074CE47F">
            <w:pPr>
              <w:pStyle w:val="25"/>
              <w:numPr>
                <w:ilvl w:val="0"/>
                <w:numId w:val="0"/>
              </w:numPr>
              <w:bidi w:val="0"/>
              <w:spacing w:line="240" w:lineRule="auto"/>
              <w:ind w:leftChars="0" w:right="0" w:rightChars="0"/>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Hans"/>
              </w:rPr>
              <w:t>针对本项目编制完善的</w:t>
            </w:r>
            <w:r>
              <w:rPr>
                <w:rFonts w:hint="eastAsia" w:ascii="宋体" w:hAnsi="宋体" w:eastAsia="宋体" w:cs="宋体"/>
                <w:color w:val="auto"/>
                <w:sz w:val="24"/>
                <w:szCs w:val="24"/>
                <w:highlight w:val="none"/>
                <w:lang w:val="en-US" w:eastAsia="zh-CN"/>
              </w:rPr>
              <w:t>施工部署及准备；</w:t>
            </w:r>
          </w:p>
          <w:p w14:paraId="4C204866">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内容全面、具体、科学，可行性强，得6分；</w:t>
            </w:r>
          </w:p>
          <w:p w14:paraId="059BCDFD">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内容相对全面、具体、科学，可行性相对较强，得5分；</w:t>
            </w:r>
          </w:p>
          <w:p w14:paraId="14D44219">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内容基本全面、具体，有一定的可行性，得4分；</w:t>
            </w:r>
          </w:p>
          <w:p w14:paraId="5DC30FD4">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内容不够全面、具体，可行性相对较弱，得3分；</w:t>
            </w:r>
          </w:p>
          <w:p w14:paraId="5213B409">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内容笼统，可行性有待考究的，得2分；</w:t>
            </w:r>
          </w:p>
          <w:p w14:paraId="4B819DE3">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内容不全面、具体，可行性较差，得1分；</w:t>
            </w:r>
          </w:p>
          <w:p w14:paraId="549C2AB1">
            <w:pPr>
              <w:spacing w:before="35" w:line="250" w:lineRule="auto"/>
              <w:ind w:left="0" w:leftChars="0" w:right="106" w:firstLine="0" w:firstLineChars="0"/>
              <w:jc w:val="both"/>
              <w:rPr>
                <w:rFonts w:hint="eastAsia" w:ascii="宋体" w:hAnsi="宋体" w:eastAsia="宋体" w:cs="宋体"/>
                <w:color w:val="auto"/>
                <w:spacing w:val="7"/>
                <w:sz w:val="24"/>
                <w:szCs w:val="24"/>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56D7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4" w:type="dxa"/>
            <w:vMerge w:val="continue"/>
            <w:noWrap w:val="0"/>
            <w:vAlign w:val="center"/>
          </w:tcPr>
          <w:p w14:paraId="624FA4BA">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1691A00C">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298EF476">
            <w:pPr>
              <w:spacing w:before="75" w:line="231" w:lineRule="auto"/>
              <w:ind w:left="0" w:leftChars="0" w:right="0" w:rightChars="0" w:firstLine="0" w:firstLineChars="0"/>
              <w:jc w:val="center"/>
              <w:rPr>
                <w:rFonts w:hint="eastAsia" w:ascii="宋体" w:hAnsi="宋体" w:eastAsia="宋体" w:cs="宋体"/>
                <w:color w:val="auto"/>
                <w:spacing w:val="2"/>
                <w:sz w:val="24"/>
                <w:szCs w:val="24"/>
                <w:lang w:val="en-US" w:eastAsia="zh-CN" w:bidi="zh-CN"/>
              </w:rPr>
            </w:pPr>
            <w:r>
              <w:rPr>
                <w:rFonts w:hint="eastAsia" w:ascii="宋体" w:hAnsi="宋体" w:eastAsia="宋体" w:cs="宋体"/>
                <w:color w:val="auto"/>
                <w:sz w:val="24"/>
                <w:szCs w:val="24"/>
                <w:highlight w:val="none"/>
                <w:lang w:val="en-US" w:eastAsia="zh-CN"/>
              </w:rPr>
              <w:t>分部分项施工方法</w:t>
            </w:r>
          </w:p>
        </w:tc>
        <w:tc>
          <w:tcPr>
            <w:tcW w:w="660" w:type="dxa"/>
            <w:noWrap w:val="0"/>
            <w:vAlign w:val="center"/>
          </w:tcPr>
          <w:p w14:paraId="1308F7D4">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w:t>
            </w:r>
          </w:p>
        </w:tc>
        <w:tc>
          <w:tcPr>
            <w:tcW w:w="7079" w:type="dxa"/>
            <w:noWrap w:val="0"/>
            <w:vAlign w:val="top"/>
          </w:tcPr>
          <w:p w14:paraId="3B174DD2">
            <w:pPr>
              <w:pStyle w:val="25"/>
              <w:numPr>
                <w:ilvl w:val="0"/>
                <w:numId w:val="0"/>
              </w:numPr>
              <w:bidi w:val="0"/>
              <w:spacing w:line="240" w:lineRule="auto"/>
              <w:ind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Hans"/>
              </w:rPr>
              <w:t>针对本项目编制完善的</w:t>
            </w:r>
            <w:r>
              <w:rPr>
                <w:rFonts w:hint="eastAsia" w:ascii="宋体" w:hAnsi="宋体" w:eastAsia="宋体" w:cs="宋体"/>
                <w:color w:val="auto"/>
                <w:sz w:val="24"/>
                <w:szCs w:val="24"/>
                <w:highlight w:val="none"/>
                <w:lang w:val="en-US" w:eastAsia="zh-CN"/>
              </w:rPr>
              <w:t>分部分项施工方法；</w:t>
            </w:r>
          </w:p>
          <w:p w14:paraId="5754BDF1">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内容全面、具体、科学，可行性强，得6分；</w:t>
            </w:r>
          </w:p>
          <w:p w14:paraId="325868EA">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内容相对全面、具体、科学，可行性相对较强，得5分；</w:t>
            </w:r>
          </w:p>
          <w:p w14:paraId="4704E440">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内容基本全面、具体，有一定的可行性，得4分；</w:t>
            </w:r>
          </w:p>
          <w:p w14:paraId="76C89774">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内容不够全面、具体，可行性相对较弱，得3分；</w:t>
            </w:r>
          </w:p>
          <w:p w14:paraId="78C95EB0">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内容笼统，可行性有待考究的，得2分；</w:t>
            </w:r>
          </w:p>
          <w:p w14:paraId="47CE3271">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w:t>
            </w:r>
            <w:r>
              <w:rPr>
                <w:rFonts w:hint="eastAsia" w:ascii="宋体" w:hAnsi="宋体" w:eastAsia="宋体" w:cs="宋体"/>
                <w:color w:val="auto"/>
                <w:sz w:val="24"/>
                <w:szCs w:val="24"/>
                <w:highlight w:val="none"/>
                <w:lang w:val="en-US" w:eastAsia="zh-Hans"/>
              </w:rPr>
              <w:t>方案</w:t>
            </w:r>
            <w:r>
              <w:rPr>
                <w:rFonts w:hint="eastAsia" w:ascii="宋体" w:hAnsi="宋体" w:eastAsia="宋体" w:cs="宋体"/>
                <w:color w:val="auto"/>
                <w:sz w:val="24"/>
                <w:szCs w:val="24"/>
                <w:lang w:val="en-US" w:eastAsia="zh-Hans"/>
              </w:rPr>
              <w:t>内容不全面、具体，可行性较差，得1分；</w:t>
            </w:r>
          </w:p>
          <w:p w14:paraId="4245356D">
            <w:pPr>
              <w:pStyle w:val="25"/>
              <w:bidi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00CE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trPr>
        <w:tc>
          <w:tcPr>
            <w:tcW w:w="584" w:type="dxa"/>
            <w:vMerge w:val="continue"/>
            <w:noWrap w:val="0"/>
            <w:vAlign w:val="center"/>
          </w:tcPr>
          <w:p w14:paraId="50E4D054">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43BCCFB7">
            <w:pPr>
              <w:pStyle w:val="25"/>
              <w:bidi w:val="0"/>
              <w:ind w:left="0" w:leftChars="0" w:right="0" w:rightChars="0" w:firstLine="0" w:firstLineChars="0"/>
              <w:jc w:val="center"/>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2A1A3A54">
            <w:pPr>
              <w:pStyle w:val="25"/>
              <w:bidi w:val="0"/>
              <w:ind w:left="0" w:leftChars="0" w:right="0" w:rightChars="0" w:firstLine="0" w:firstLineChars="0"/>
              <w:jc w:val="center"/>
              <w:rPr>
                <w:rFonts w:hint="eastAsia" w:ascii="宋体" w:hAnsi="宋体" w:eastAsia="宋体" w:cs="宋体"/>
                <w:color w:val="auto"/>
                <w:spacing w:val="2"/>
                <w:sz w:val="24"/>
                <w:szCs w:val="24"/>
                <w:shd w:val="clear" w:fill="FFFFFF"/>
                <w:lang w:val="en-US" w:eastAsia="zh-Hans" w:bidi="zh-CN"/>
              </w:rPr>
            </w:pPr>
            <w:r>
              <w:rPr>
                <w:rFonts w:hint="eastAsia" w:ascii="宋体" w:hAnsi="宋体" w:eastAsia="宋体" w:cs="宋体"/>
                <w:color w:val="auto"/>
                <w:sz w:val="24"/>
                <w:szCs w:val="24"/>
                <w:lang w:val="en-US" w:eastAsia="zh-Hans"/>
              </w:rPr>
              <w:t>确保项目质量的技术组织措施</w:t>
            </w:r>
          </w:p>
        </w:tc>
        <w:tc>
          <w:tcPr>
            <w:tcW w:w="660" w:type="dxa"/>
            <w:noWrap w:val="0"/>
            <w:vAlign w:val="center"/>
          </w:tcPr>
          <w:p w14:paraId="1FDFDC56">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w:t>
            </w:r>
          </w:p>
        </w:tc>
        <w:tc>
          <w:tcPr>
            <w:tcW w:w="7079" w:type="dxa"/>
            <w:noWrap w:val="0"/>
            <w:vAlign w:val="top"/>
          </w:tcPr>
          <w:p w14:paraId="414D738E">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针对本项目有确保项目质量的技术组织措施</w:t>
            </w:r>
            <w:r>
              <w:rPr>
                <w:rFonts w:hint="eastAsia" w:ascii="宋体" w:hAnsi="宋体" w:eastAsia="宋体" w:cs="宋体"/>
                <w:color w:val="auto"/>
                <w:sz w:val="24"/>
                <w:szCs w:val="24"/>
                <w:lang w:val="en-US" w:eastAsia="zh-CN"/>
              </w:rPr>
              <w:t>；</w:t>
            </w:r>
          </w:p>
          <w:p w14:paraId="1306D42B">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措施内容全面、具体、科学，可行性强，得6分；</w:t>
            </w:r>
          </w:p>
          <w:p w14:paraId="10F32AA3">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lang w:val="en-US" w:eastAsia="zh-Hans"/>
              </w:rPr>
              <w:t>措施内容相对全面、具体、科学，可行性相对较强，得5分；</w:t>
            </w:r>
          </w:p>
          <w:p w14:paraId="0B702A6D">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lang w:val="en-US" w:eastAsia="zh-Hans"/>
              </w:rPr>
              <w:t>措施内容基本全面、具体，有一定的可行性，得4分；</w:t>
            </w:r>
          </w:p>
          <w:p w14:paraId="4B5CCBD8">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lang w:val="en-US" w:eastAsia="zh-Hans"/>
              </w:rPr>
              <w:t>措施内容不够全面、具体，可行性相对较弱，得3分；</w:t>
            </w:r>
          </w:p>
          <w:p w14:paraId="75945071">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措施内容笼统，可行性有待考究的，得2分；</w:t>
            </w:r>
          </w:p>
          <w:p w14:paraId="527EFB3A">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w:t>
            </w:r>
            <w:r>
              <w:rPr>
                <w:rFonts w:hint="eastAsia" w:ascii="宋体" w:hAnsi="宋体" w:eastAsia="宋体" w:cs="宋体"/>
                <w:color w:val="auto"/>
                <w:sz w:val="24"/>
                <w:szCs w:val="24"/>
                <w:lang w:val="en-US" w:eastAsia="zh-Hans"/>
              </w:rPr>
              <w:t>措施内容不全面、具体，可行性较差，得1分；</w:t>
            </w:r>
          </w:p>
          <w:p w14:paraId="466D0545">
            <w:pPr>
              <w:pStyle w:val="25"/>
              <w:bidi w:val="0"/>
              <w:spacing w:line="240" w:lineRule="auto"/>
              <w:ind w:left="0" w:leftChars="0" w:right="0" w:rightChars="0" w:firstLine="0" w:firstLineChars="0"/>
              <w:jc w:val="left"/>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2B13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84" w:type="dxa"/>
            <w:vMerge w:val="continue"/>
            <w:noWrap w:val="0"/>
            <w:vAlign w:val="center"/>
          </w:tcPr>
          <w:p w14:paraId="3691C42A">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271C8063">
            <w:pPr>
              <w:pStyle w:val="25"/>
              <w:bidi w:val="0"/>
              <w:ind w:left="0" w:leftChars="0" w:right="0" w:rightChars="0" w:firstLine="0" w:firstLineChars="0"/>
              <w:jc w:val="center"/>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4490115C">
            <w:pPr>
              <w:pStyle w:val="25"/>
              <w:bidi w:val="0"/>
              <w:ind w:left="0" w:leftChars="0" w:right="0" w:rightChars="0" w:firstLine="0" w:firstLineChars="0"/>
              <w:jc w:val="center"/>
              <w:rPr>
                <w:rFonts w:hint="eastAsia" w:ascii="宋体" w:hAnsi="宋体" w:eastAsia="宋体" w:cs="宋体"/>
                <w:color w:val="auto"/>
                <w:spacing w:val="2"/>
                <w:sz w:val="24"/>
                <w:szCs w:val="24"/>
                <w:shd w:val="clear" w:fill="FFFFFF"/>
                <w:lang w:val="en-US" w:eastAsia="zh-Hans" w:bidi="zh-CN"/>
              </w:rPr>
            </w:pPr>
            <w:r>
              <w:rPr>
                <w:rFonts w:hint="eastAsia" w:ascii="宋体" w:hAnsi="宋体" w:eastAsia="宋体" w:cs="宋体"/>
                <w:color w:val="auto"/>
                <w:sz w:val="24"/>
                <w:szCs w:val="24"/>
                <w:lang w:val="en-US" w:eastAsia="zh-Hans"/>
              </w:rPr>
              <w:t>确保</w:t>
            </w:r>
            <w:r>
              <w:rPr>
                <w:rFonts w:hint="eastAsia" w:ascii="宋体" w:hAnsi="宋体" w:eastAsia="宋体" w:cs="宋体"/>
                <w:color w:val="auto"/>
                <w:sz w:val="24"/>
                <w:szCs w:val="24"/>
                <w:lang w:val="en-US" w:eastAsia="zh-CN"/>
              </w:rPr>
              <w:t>安全施工的</w:t>
            </w:r>
            <w:r>
              <w:rPr>
                <w:rFonts w:hint="eastAsia" w:ascii="宋体" w:hAnsi="宋体" w:eastAsia="宋体" w:cs="宋体"/>
                <w:color w:val="auto"/>
                <w:sz w:val="24"/>
                <w:szCs w:val="24"/>
                <w:lang w:val="en-US" w:eastAsia="zh-Hans"/>
              </w:rPr>
              <w:t>技术组织措施</w:t>
            </w:r>
          </w:p>
        </w:tc>
        <w:tc>
          <w:tcPr>
            <w:tcW w:w="660" w:type="dxa"/>
            <w:noWrap w:val="0"/>
            <w:vAlign w:val="center"/>
          </w:tcPr>
          <w:p w14:paraId="6C89DC99">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w:t>
            </w:r>
          </w:p>
        </w:tc>
        <w:tc>
          <w:tcPr>
            <w:tcW w:w="7079" w:type="dxa"/>
            <w:noWrap w:val="0"/>
            <w:vAlign w:val="top"/>
          </w:tcPr>
          <w:p w14:paraId="413BC898">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针对本项目有切实可行的确保</w:t>
            </w:r>
            <w:r>
              <w:rPr>
                <w:rFonts w:hint="eastAsia" w:ascii="宋体" w:hAnsi="宋体" w:eastAsia="宋体" w:cs="宋体"/>
                <w:color w:val="auto"/>
                <w:sz w:val="24"/>
                <w:szCs w:val="24"/>
                <w:lang w:val="en-US" w:eastAsia="zh-CN"/>
              </w:rPr>
              <w:t>安全施工的</w:t>
            </w:r>
            <w:r>
              <w:rPr>
                <w:rFonts w:hint="eastAsia" w:ascii="宋体" w:hAnsi="宋体" w:eastAsia="宋体" w:cs="宋体"/>
                <w:color w:val="auto"/>
                <w:sz w:val="24"/>
                <w:szCs w:val="24"/>
                <w:lang w:val="en-US" w:eastAsia="zh-Hans"/>
              </w:rPr>
              <w:t>技术组织措施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措施内容全面、具体、科学，可行性强，得6分；</w:t>
            </w:r>
          </w:p>
          <w:p w14:paraId="07832A48">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②</w:t>
            </w:r>
            <w:r>
              <w:rPr>
                <w:rFonts w:hint="eastAsia" w:ascii="宋体" w:hAnsi="宋体" w:eastAsia="宋体" w:cs="宋体"/>
                <w:color w:val="auto"/>
                <w:sz w:val="24"/>
                <w:szCs w:val="24"/>
                <w:lang w:val="en-US" w:eastAsia="zh-Hans"/>
              </w:rPr>
              <w:t>措施内容相对全面、具体、科学，可行性相对较强，得5分；</w:t>
            </w:r>
          </w:p>
          <w:p w14:paraId="19381EBD">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lang w:val="en-US" w:eastAsia="zh-Hans"/>
              </w:rPr>
              <w:t>措施内容基本全面、具体，有一定的可行性，得4分；</w:t>
            </w:r>
          </w:p>
          <w:p w14:paraId="1F10B669">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④</w:t>
            </w:r>
            <w:r>
              <w:rPr>
                <w:rFonts w:hint="eastAsia" w:ascii="宋体" w:hAnsi="宋体" w:eastAsia="宋体" w:cs="宋体"/>
                <w:color w:val="auto"/>
                <w:sz w:val="24"/>
                <w:szCs w:val="24"/>
                <w:lang w:val="en-US" w:eastAsia="zh-Hans"/>
              </w:rPr>
              <w:t>措施内容不够全面、具体，可行性相对较弱，得3分；</w:t>
            </w:r>
          </w:p>
          <w:p w14:paraId="2C705074">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措施内容笼统，可行性有待考究的，得2分；</w:t>
            </w:r>
          </w:p>
          <w:p w14:paraId="026AA652">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⑥</w:t>
            </w:r>
            <w:r>
              <w:rPr>
                <w:rFonts w:hint="eastAsia" w:ascii="宋体" w:hAnsi="宋体" w:eastAsia="宋体" w:cs="宋体"/>
                <w:color w:val="auto"/>
                <w:sz w:val="24"/>
                <w:szCs w:val="24"/>
                <w:lang w:val="en-US" w:eastAsia="zh-Hans"/>
              </w:rPr>
              <w:t>措施内容不全面、具体，可行性较差，得1分；</w:t>
            </w:r>
          </w:p>
          <w:p w14:paraId="684AEB2C">
            <w:pPr>
              <w:pStyle w:val="25"/>
              <w:bidi w:val="0"/>
              <w:spacing w:line="240" w:lineRule="auto"/>
              <w:ind w:left="0" w:leftChars="0" w:right="0" w:rightChars="0" w:firstLine="0" w:firstLineChars="0"/>
              <w:jc w:val="left"/>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49F3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7" w:hRule="atLeast"/>
        </w:trPr>
        <w:tc>
          <w:tcPr>
            <w:tcW w:w="584" w:type="dxa"/>
            <w:vMerge w:val="continue"/>
            <w:noWrap w:val="0"/>
            <w:vAlign w:val="center"/>
          </w:tcPr>
          <w:p w14:paraId="31309C82">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6B366F27">
            <w:pPr>
              <w:pStyle w:val="25"/>
              <w:bidi w:val="0"/>
              <w:ind w:left="0" w:leftChars="0" w:right="0" w:rightChars="0" w:firstLine="0" w:firstLineChars="0"/>
              <w:jc w:val="center"/>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130139DA">
            <w:pPr>
              <w:pStyle w:val="25"/>
              <w:bidi w:val="0"/>
              <w:ind w:left="0" w:leftChars="0" w:right="0" w:rightChars="0" w:firstLine="0" w:firstLineChars="0"/>
              <w:jc w:val="both"/>
              <w:rPr>
                <w:rFonts w:hint="eastAsia" w:ascii="宋体" w:hAnsi="宋体" w:eastAsia="宋体" w:cs="宋体"/>
                <w:color w:val="auto"/>
                <w:spacing w:val="2"/>
                <w:sz w:val="24"/>
                <w:szCs w:val="24"/>
                <w:shd w:val="clear" w:fill="FFFFFF"/>
                <w:lang w:val="en-US" w:eastAsia="zh-Hans" w:bidi="zh-CN"/>
              </w:rPr>
            </w:pPr>
            <w:r>
              <w:rPr>
                <w:rFonts w:hint="eastAsia" w:ascii="宋体" w:hAnsi="宋体" w:eastAsia="宋体" w:cs="宋体"/>
                <w:color w:val="auto"/>
                <w:sz w:val="24"/>
                <w:szCs w:val="24"/>
                <w:lang w:val="en-US" w:eastAsia="zh-Hans"/>
              </w:rPr>
              <w:t>确保文明</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lang w:val="en-US" w:eastAsia="zh-Hans"/>
              </w:rPr>
              <w:t>的技术组织措施</w:t>
            </w:r>
          </w:p>
        </w:tc>
        <w:tc>
          <w:tcPr>
            <w:tcW w:w="660" w:type="dxa"/>
            <w:noWrap w:val="0"/>
            <w:vAlign w:val="center"/>
          </w:tcPr>
          <w:p w14:paraId="570C23AF">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w:t>
            </w:r>
          </w:p>
        </w:tc>
        <w:tc>
          <w:tcPr>
            <w:tcW w:w="7079" w:type="dxa"/>
            <w:noWrap w:val="0"/>
            <w:vAlign w:val="top"/>
          </w:tcPr>
          <w:p w14:paraId="57BA177F">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针对本项目有具体、可行的文明</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lang w:val="en-US" w:eastAsia="zh-Hans"/>
              </w:rPr>
              <w:t>的技术组织措施</w:t>
            </w:r>
            <w:r>
              <w:rPr>
                <w:rFonts w:hint="eastAsia" w:ascii="宋体" w:hAnsi="宋体" w:eastAsia="宋体" w:cs="宋体"/>
                <w:color w:val="auto"/>
                <w:sz w:val="24"/>
                <w:szCs w:val="24"/>
                <w:lang w:val="en-US" w:eastAsia="zh-CN"/>
              </w:rPr>
              <w:t>；</w:t>
            </w:r>
          </w:p>
          <w:p w14:paraId="58D9FD34">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措施内容全面、具体、科学，可行性强，得6分；</w:t>
            </w:r>
          </w:p>
          <w:p w14:paraId="6A2DE4A6">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②</w:t>
            </w:r>
            <w:r>
              <w:rPr>
                <w:rFonts w:hint="eastAsia" w:ascii="宋体" w:hAnsi="宋体" w:eastAsia="宋体" w:cs="宋体"/>
                <w:color w:val="auto"/>
                <w:sz w:val="24"/>
                <w:szCs w:val="24"/>
                <w:lang w:val="en-US" w:eastAsia="zh-Hans"/>
              </w:rPr>
              <w:t>措施内容相对全面、具体、科学，可行性相对较强，得5分；</w:t>
            </w:r>
          </w:p>
          <w:p w14:paraId="5C571E13">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lang w:val="en-US" w:eastAsia="zh-Hans"/>
              </w:rPr>
              <w:t>措施内容基本全面、具体，有一定的可行性，得4分；</w:t>
            </w:r>
          </w:p>
          <w:p w14:paraId="377521AA">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④</w:t>
            </w:r>
            <w:r>
              <w:rPr>
                <w:rFonts w:hint="eastAsia" w:ascii="宋体" w:hAnsi="宋体" w:eastAsia="宋体" w:cs="宋体"/>
                <w:color w:val="auto"/>
                <w:sz w:val="24"/>
                <w:szCs w:val="24"/>
                <w:lang w:val="en-US" w:eastAsia="zh-Hans"/>
              </w:rPr>
              <w:t>措施内容不够全面、具体，可行性相对较弱，得3分；</w:t>
            </w:r>
          </w:p>
          <w:p w14:paraId="0FE44F29">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措施内容笼统，可行性有待考究的，得2分；</w:t>
            </w:r>
          </w:p>
          <w:p w14:paraId="74D1F9B7">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⑥</w:t>
            </w:r>
            <w:r>
              <w:rPr>
                <w:rFonts w:hint="eastAsia" w:ascii="宋体" w:hAnsi="宋体" w:eastAsia="宋体" w:cs="宋体"/>
                <w:color w:val="auto"/>
                <w:sz w:val="24"/>
                <w:szCs w:val="24"/>
                <w:lang w:val="en-US" w:eastAsia="zh-Hans"/>
              </w:rPr>
              <w:t>措施内容不全面、具体，可行性较差，得1分；</w:t>
            </w:r>
          </w:p>
          <w:p w14:paraId="5C00C167">
            <w:pPr>
              <w:pStyle w:val="25"/>
              <w:bidi w:val="0"/>
              <w:spacing w:line="240" w:lineRule="auto"/>
              <w:ind w:left="0" w:leftChars="0" w:right="0" w:rightChars="0" w:firstLine="0" w:firstLineChars="0"/>
              <w:jc w:val="left"/>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4E44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584" w:type="dxa"/>
            <w:vMerge w:val="continue"/>
            <w:noWrap w:val="0"/>
            <w:vAlign w:val="center"/>
          </w:tcPr>
          <w:p w14:paraId="043C1CBE">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09C16EC5">
            <w:pPr>
              <w:pStyle w:val="25"/>
              <w:bidi w:val="0"/>
              <w:ind w:left="0" w:leftChars="0" w:right="0" w:rightChars="0" w:firstLine="0" w:firstLineChars="0"/>
              <w:jc w:val="both"/>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641C2477">
            <w:pPr>
              <w:pStyle w:val="25"/>
              <w:bidi w:val="0"/>
              <w:ind w:left="0" w:leftChars="0" w:right="0" w:rightChars="0" w:firstLine="0" w:firstLineChars="0"/>
              <w:jc w:val="both"/>
              <w:rPr>
                <w:rFonts w:hint="eastAsia" w:ascii="宋体" w:hAnsi="宋体" w:eastAsia="宋体" w:cs="宋体"/>
                <w:color w:val="auto"/>
                <w:spacing w:val="2"/>
                <w:sz w:val="24"/>
                <w:szCs w:val="24"/>
                <w:shd w:val="clear" w:fill="FFFFFF"/>
                <w:lang w:val="en-US" w:eastAsia="zh-Hans" w:bidi="zh-CN"/>
              </w:rPr>
            </w:pPr>
            <w:r>
              <w:rPr>
                <w:rFonts w:hint="eastAsia" w:ascii="宋体" w:hAnsi="宋体" w:eastAsia="宋体" w:cs="宋体"/>
                <w:color w:val="auto"/>
                <w:sz w:val="24"/>
                <w:szCs w:val="24"/>
                <w:lang w:val="en-US" w:eastAsia="zh-Hans"/>
              </w:rPr>
              <w:t>确保环境保护的技术组织措施</w:t>
            </w:r>
          </w:p>
        </w:tc>
        <w:tc>
          <w:tcPr>
            <w:tcW w:w="660" w:type="dxa"/>
            <w:noWrap w:val="0"/>
            <w:vAlign w:val="center"/>
          </w:tcPr>
          <w:p w14:paraId="6C2B650A">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w:t>
            </w:r>
          </w:p>
        </w:tc>
        <w:tc>
          <w:tcPr>
            <w:tcW w:w="7079" w:type="dxa"/>
            <w:noWrap w:val="0"/>
            <w:vAlign w:val="top"/>
          </w:tcPr>
          <w:p w14:paraId="5E822DE1">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针对本项目有具体、可行的环境保护的技术组织措施</w:t>
            </w:r>
            <w:r>
              <w:rPr>
                <w:rFonts w:hint="eastAsia" w:ascii="宋体" w:hAnsi="宋体" w:eastAsia="宋体" w:cs="宋体"/>
                <w:color w:val="auto"/>
                <w:sz w:val="24"/>
                <w:szCs w:val="24"/>
                <w:lang w:val="en-US" w:eastAsia="zh-CN"/>
              </w:rPr>
              <w:t>（包含治污减霾措施）；</w:t>
            </w:r>
          </w:p>
          <w:p w14:paraId="17CC1123">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措施内容全面、具体、科学，可行性强，得6分；</w:t>
            </w:r>
          </w:p>
          <w:p w14:paraId="75EC6A01">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lang w:val="en-US" w:eastAsia="zh-Hans"/>
              </w:rPr>
              <w:t>措施内容相对全面、具体、科学，可行性相对较强，得5分；</w:t>
            </w:r>
          </w:p>
          <w:p w14:paraId="120DEDD8">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lang w:val="en-US" w:eastAsia="zh-Hans"/>
              </w:rPr>
              <w:t>措施内容基本全面、具体，有一定的可行性，得4分；</w:t>
            </w:r>
          </w:p>
          <w:p w14:paraId="02ED79E2">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lang w:val="en-US" w:eastAsia="zh-Hans"/>
              </w:rPr>
              <w:t>措施内容不够全面、具体，可行性相对较弱，得3分；</w:t>
            </w:r>
          </w:p>
          <w:p w14:paraId="49BF8BCE">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措施内容笼统，可行性有待考究的，得2分；</w:t>
            </w:r>
          </w:p>
          <w:p w14:paraId="2A142EB4">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⑥</w:t>
            </w:r>
            <w:r>
              <w:rPr>
                <w:rFonts w:hint="eastAsia" w:ascii="宋体" w:hAnsi="宋体" w:eastAsia="宋体" w:cs="宋体"/>
                <w:color w:val="auto"/>
                <w:sz w:val="24"/>
                <w:szCs w:val="24"/>
                <w:lang w:val="en-US" w:eastAsia="zh-Hans"/>
              </w:rPr>
              <w:t>措施内容不全面、具体，可行性较差，得1分；</w:t>
            </w:r>
          </w:p>
          <w:p w14:paraId="216A49CB">
            <w:pPr>
              <w:pStyle w:val="25"/>
              <w:bidi w:val="0"/>
              <w:spacing w:line="240" w:lineRule="auto"/>
              <w:ind w:left="0" w:leftChars="0" w:right="0" w:rightChars="0" w:firstLine="0" w:firstLineChars="0"/>
              <w:jc w:val="left"/>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111A7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84" w:type="dxa"/>
            <w:vMerge w:val="continue"/>
            <w:noWrap w:val="0"/>
            <w:vAlign w:val="center"/>
          </w:tcPr>
          <w:p w14:paraId="4FC30AA4">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74807DA6">
            <w:pPr>
              <w:pStyle w:val="25"/>
              <w:bidi w:val="0"/>
              <w:ind w:left="0" w:leftChars="0" w:right="0" w:rightChars="0" w:firstLine="0" w:firstLineChars="0"/>
              <w:jc w:val="center"/>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3BD9C7DD">
            <w:pPr>
              <w:pStyle w:val="25"/>
              <w:bidi w:val="0"/>
              <w:ind w:left="0" w:leftChars="0" w:right="0" w:rightChars="0" w:firstLine="0" w:firstLineChars="0"/>
              <w:jc w:val="center"/>
              <w:rPr>
                <w:rFonts w:hint="eastAsia" w:ascii="宋体" w:hAnsi="宋体" w:eastAsia="宋体" w:cs="宋体"/>
                <w:color w:val="auto"/>
                <w:spacing w:val="2"/>
                <w:sz w:val="24"/>
                <w:szCs w:val="24"/>
                <w:shd w:val="clear" w:fill="FFFFFF"/>
                <w:lang w:val="en-US" w:eastAsia="zh-CN" w:bidi="zh-CN"/>
              </w:rPr>
            </w:pPr>
            <w:r>
              <w:rPr>
                <w:rFonts w:hint="eastAsia" w:ascii="宋体" w:hAnsi="宋体" w:eastAsia="宋体" w:cs="宋体"/>
                <w:color w:val="auto"/>
                <w:sz w:val="24"/>
                <w:szCs w:val="24"/>
                <w:lang w:val="en-US" w:eastAsia="zh-CN"/>
              </w:rPr>
              <w:t>确保工期</w:t>
            </w:r>
            <w:r>
              <w:rPr>
                <w:rFonts w:hint="eastAsia" w:ascii="宋体" w:hAnsi="宋体" w:eastAsia="宋体" w:cs="宋体"/>
                <w:color w:val="auto"/>
                <w:sz w:val="24"/>
                <w:szCs w:val="24"/>
                <w:lang w:val="en-US" w:eastAsia="zh-Hans"/>
              </w:rPr>
              <w:t>的技术组织措施</w:t>
            </w:r>
          </w:p>
        </w:tc>
        <w:tc>
          <w:tcPr>
            <w:tcW w:w="660" w:type="dxa"/>
            <w:noWrap w:val="0"/>
            <w:vAlign w:val="center"/>
          </w:tcPr>
          <w:p w14:paraId="7B88D330">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6分</w:t>
            </w:r>
          </w:p>
        </w:tc>
        <w:tc>
          <w:tcPr>
            <w:tcW w:w="7079" w:type="dxa"/>
            <w:noWrap w:val="0"/>
            <w:vAlign w:val="top"/>
          </w:tcPr>
          <w:p w14:paraId="5A175D56">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针对本项目有具体、可行的确保</w:t>
            </w:r>
            <w:r>
              <w:rPr>
                <w:rFonts w:hint="eastAsia" w:ascii="宋体" w:hAnsi="宋体" w:eastAsia="宋体" w:cs="宋体"/>
                <w:color w:val="auto"/>
                <w:sz w:val="24"/>
                <w:szCs w:val="24"/>
                <w:lang w:val="en-US" w:eastAsia="zh-CN"/>
              </w:rPr>
              <w:t>工期</w:t>
            </w:r>
            <w:r>
              <w:rPr>
                <w:rFonts w:hint="eastAsia" w:ascii="宋体" w:hAnsi="宋体" w:eastAsia="宋体" w:cs="宋体"/>
                <w:color w:val="auto"/>
                <w:sz w:val="24"/>
                <w:szCs w:val="24"/>
                <w:lang w:val="en-US" w:eastAsia="zh-Hans"/>
              </w:rPr>
              <w:t>的技术组织措施</w:t>
            </w:r>
            <w:r>
              <w:rPr>
                <w:rFonts w:hint="eastAsia" w:ascii="宋体" w:hAnsi="宋体" w:eastAsia="宋体" w:cs="宋体"/>
                <w:color w:val="auto"/>
                <w:sz w:val="24"/>
                <w:szCs w:val="24"/>
                <w:lang w:val="en-US" w:eastAsia="zh-CN"/>
              </w:rPr>
              <w:t>；</w:t>
            </w:r>
          </w:p>
          <w:p w14:paraId="7DD3DD15">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措施内容全面、具体、科学，可行性强，得6分；</w:t>
            </w:r>
          </w:p>
          <w:p w14:paraId="0D5B2B8F">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lang w:val="en-US" w:eastAsia="zh-Hans"/>
              </w:rPr>
              <w:t>措施内容相对全面、具体、科学，可行性相对较强，得5分；</w:t>
            </w:r>
          </w:p>
          <w:p w14:paraId="557883BA">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lang w:val="en-US" w:eastAsia="zh-Hans"/>
              </w:rPr>
              <w:t>措施内容基本全面、具体，有一定的可行性，得4分；</w:t>
            </w:r>
          </w:p>
          <w:p w14:paraId="18EDE470">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④</w:t>
            </w:r>
            <w:r>
              <w:rPr>
                <w:rFonts w:hint="eastAsia" w:ascii="宋体" w:hAnsi="宋体" w:eastAsia="宋体" w:cs="宋体"/>
                <w:color w:val="auto"/>
                <w:sz w:val="24"/>
                <w:szCs w:val="24"/>
                <w:lang w:val="en-US" w:eastAsia="zh-Hans"/>
              </w:rPr>
              <w:t>措施内容不够全面、具体，可行性相对较弱，得3分；</w:t>
            </w:r>
          </w:p>
          <w:p w14:paraId="61893FB7">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措施内容笼统，可行性有待考究的，得2分；</w:t>
            </w:r>
          </w:p>
          <w:p w14:paraId="54176746">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w:t>
            </w:r>
            <w:r>
              <w:rPr>
                <w:rFonts w:hint="eastAsia" w:ascii="宋体" w:hAnsi="宋体" w:eastAsia="宋体" w:cs="宋体"/>
                <w:color w:val="auto"/>
                <w:sz w:val="24"/>
                <w:szCs w:val="24"/>
                <w:lang w:val="en-US" w:eastAsia="zh-Hans"/>
              </w:rPr>
              <w:t>措施内容不全面、具体，可行性较差，得1分；</w:t>
            </w:r>
          </w:p>
          <w:p w14:paraId="683976E4">
            <w:pPr>
              <w:pStyle w:val="25"/>
              <w:bidi w:val="0"/>
              <w:spacing w:line="240" w:lineRule="auto"/>
              <w:ind w:left="0" w:leftChars="0" w:right="0" w:rightChars="0" w:firstLine="0" w:firstLineChars="0"/>
              <w:jc w:val="left"/>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7310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584" w:type="dxa"/>
            <w:vMerge w:val="continue"/>
            <w:noWrap w:val="0"/>
            <w:vAlign w:val="center"/>
          </w:tcPr>
          <w:p w14:paraId="61B5436F">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08D1F2B9">
            <w:pPr>
              <w:pStyle w:val="25"/>
              <w:bidi w:val="0"/>
              <w:ind w:left="0" w:leftChars="0" w:right="0" w:rightChars="0" w:firstLine="0" w:firstLineChars="0"/>
              <w:jc w:val="center"/>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075D1430">
            <w:pPr>
              <w:pStyle w:val="25"/>
              <w:bidi w:val="0"/>
              <w:ind w:left="0" w:leftChars="0" w:right="0" w:rightChars="0" w:firstLine="0" w:firstLineChars="0"/>
              <w:jc w:val="center"/>
              <w:rPr>
                <w:rFonts w:hint="eastAsia" w:ascii="宋体" w:hAnsi="宋体" w:eastAsia="宋体" w:cs="宋体"/>
                <w:color w:val="auto"/>
                <w:spacing w:val="2"/>
                <w:sz w:val="24"/>
                <w:szCs w:val="24"/>
                <w:shd w:val="clear" w:fill="FFFFFF"/>
                <w:lang w:val="en-US" w:eastAsia="zh-CN" w:bidi="zh-CN"/>
              </w:rPr>
            </w:pP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lang w:val="en-US" w:eastAsia="zh-Hans"/>
              </w:rPr>
              <w:t>进度计划</w:t>
            </w:r>
          </w:p>
        </w:tc>
        <w:tc>
          <w:tcPr>
            <w:tcW w:w="660" w:type="dxa"/>
            <w:noWrap w:val="0"/>
            <w:vAlign w:val="center"/>
          </w:tcPr>
          <w:p w14:paraId="0B2CF21F">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6分</w:t>
            </w:r>
          </w:p>
        </w:tc>
        <w:tc>
          <w:tcPr>
            <w:tcW w:w="7079" w:type="dxa"/>
            <w:noWrap w:val="0"/>
            <w:vAlign w:val="top"/>
          </w:tcPr>
          <w:p w14:paraId="1C488B3B">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根据本项目的具体情况，设置合理的进度控制点，制定周到、全面、具体的进度计划</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Hans"/>
              </w:rPr>
              <w:t>能够充分考虑计划，均衡资源，满足工期和质量。</w:t>
            </w:r>
          </w:p>
          <w:p w14:paraId="799CF917">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进度计划全面、科学、合理性强，得6分；</w:t>
            </w:r>
          </w:p>
          <w:p w14:paraId="4DB74451">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②</w:t>
            </w:r>
            <w:r>
              <w:rPr>
                <w:rFonts w:hint="eastAsia" w:ascii="宋体" w:hAnsi="宋体" w:eastAsia="宋体" w:cs="宋体"/>
                <w:color w:val="auto"/>
                <w:sz w:val="24"/>
                <w:szCs w:val="24"/>
                <w:lang w:val="en-US" w:eastAsia="zh-Hans"/>
              </w:rPr>
              <w:t>进度计划相对全面、科学、合理性较强，得5分；</w:t>
            </w:r>
          </w:p>
          <w:p w14:paraId="48B9AF53">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宋体" w:hAnsi="宋体" w:eastAsia="宋体" w:cs="宋体"/>
                <w:color w:val="auto"/>
                <w:sz w:val="24"/>
                <w:szCs w:val="24"/>
                <w:lang w:val="en-US" w:eastAsia="zh-Hans"/>
              </w:rPr>
              <w:t>进度计划基本全面、较科学、有一定的合理性，得4分；</w:t>
            </w:r>
          </w:p>
          <w:p w14:paraId="5DF8B370">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④</w:t>
            </w:r>
            <w:r>
              <w:rPr>
                <w:rFonts w:hint="eastAsia" w:ascii="宋体" w:hAnsi="宋体" w:eastAsia="宋体" w:cs="宋体"/>
                <w:color w:val="auto"/>
                <w:sz w:val="24"/>
                <w:szCs w:val="24"/>
                <w:lang w:val="en-US" w:eastAsia="zh-Hans"/>
              </w:rPr>
              <w:t>进度计划不够全面、科学、合理性相对较弱，得3分；</w:t>
            </w:r>
          </w:p>
          <w:p w14:paraId="31DF67D7">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进度计划笼统，合理性有待考究的，得2分；</w:t>
            </w:r>
          </w:p>
          <w:p w14:paraId="3456F8C4">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⑥</w:t>
            </w:r>
            <w:r>
              <w:rPr>
                <w:rFonts w:hint="eastAsia" w:ascii="宋体" w:hAnsi="宋体" w:eastAsia="宋体" w:cs="宋体"/>
                <w:color w:val="auto"/>
                <w:sz w:val="24"/>
                <w:szCs w:val="24"/>
                <w:lang w:val="en-US" w:eastAsia="zh-Hans"/>
              </w:rPr>
              <w:t>进度计划不全面、科学、合理性较差，得1分；</w:t>
            </w:r>
          </w:p>
          <w:p w14:paraId="62C6243A">
            <w:pPr>
              <w:pStyle w:val="25"/>
              <w:bidi w:val="0"/>
              <w:spacing w:line="240" w:lineRule="auto"/>
              <w:ind w:left="0" w:leftChars="0" w:right="0" w:rightChars="0" w:firstLine="0" w:firstLineChars="0"/>
              <w:jc w:val="left"/>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30E3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84" w:type="dxa"/>
            <w:vMerge w:val="continue"/>
            <w:noWrap w:val="0"/>
            <w:vAlign w:val="center"/>
          </w:tcPr>
          <w:p w14:paraId="1DF6677B">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07D2725E">
            <w:pPr>
              <w:pStyle w:val="25"/>
              <w:bidi w:val="0"/>
              <w:ind w:left="0" w:leftChars="0" w:right="0" w:rightChars="0" w:firstLine="0" w:firstLineChars="0"/>
              <w:jc w:val="center"/>
              <w:rPr>
                <w:rFonts w:hint="eastAsia" w:ascii="宋体" w:hAnsi="宋体" w:eastAsia="宋体" w:cs="宋体"/>
                <w:color w:val="auto"/>
                <w:spacing w:val="2"/>
                <w:sz w:val="24"/>
                <w:szCs w:val="24"/>
                <w:lang w:val="en-US" w:eastAsia="zh-CN"/>
              </w:rPr>
            </w:pPr>
          </w:p>
        </w:tc>
        <w:tc>
          <w:tcPr>
            <w:tcW w:w="931" w:type="dxa"/>
            <w:shd w:val="clear" w:color="auto" w:fill="auto"/>
            <w:noWrap w:val="0"/>
            <w:vAlign w:val="center"/>
          </w:tcPr>
          <w:p w14:paraId="3C23E7D0">
            <w:pPr>
              <w:pStyle w:val="25"/>
              <w:bidi w:val="0"/>
              <w:ind w:left="0" w:leftChars="0" w:right="0" w:rightChars="0" w:firstLine="0" w:firstLineChars="0"/>
              <w:jc w:val="both"/>
              <w:rPr>
                <w:rFonts w:hint="eastAsia" w:ascii="宋体" w:hAnsi="宋体" w:eastAsia="宋体" w:cs="宋体"/>
                <w:color w:val="auto"/>
                <w:spacing w:val="2"/>
                <w:sz w:val="24"/>
                <w:szCs w:val="24"/>
                <w:shd w:val="clear" w:fill="FFFFFF"/>
                <w:lang w:val="en-US" w:eastAsia="zh-Hans" w:bidi="zh-CN"/>
              </w:rPr>
            </w:pPr>
            <w:r>
              <w:rPr>
                <w:rFonts w:hint="eastAsia" w:ascii="宋体" w:hAnsi="宋体" w:eastAsia="宋体" w:cs="宋体"/>
                <w:color w:val="auto"/>
                <w:sz w:val="24"/>
                <w:szCs w:val="24"/>
                <w:lang w:val="en-US" w:eastAsia="zh-Hans"/>
              </w:rPr>
              <w:t>拟投入的主要设备及劳动力配备情况</w:t>
            </w:r>
          </w:p>
        </w:tc>
        <w:tc>
          <w:tcPr>
            <w:tcW w:w="660" w:type="dxa"/>
            <w:noWrap w:val="0"/>
            <w:vAlign w:val="center"/>
          </w:tcPr>
          <w:p w14:paraId="01288F10">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6分</w:t>
            </w:r>
          </w:p>
        </w:tc>
        <w:tc>
          <w:tcPr>
            <w:tcW w:w="7079" w:type="dxa"/>
            <w:noWrap w:val="0"/>
            <w:vAlign w:val="top"/>
          </w:tcPr>
          <w:p w14:paraId="62582853">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针对本项目拟投入的主要设备及劳动力配备情况，</w:t>
            </w:r>
            <w:r>
              <w:rPr>
                <w:rFonts w:hint="eastAsia" w:ascii="宋体" w:hAnsi="宋体" w:eastAsia="宋体" w:cs="宋体"/>
                <w:color w:val="auto"/>
                <w:sz w:val="24"/>
                <w:szCs w:val="24"/>
                <w:lang w:val="en-US" w:eastAsia="zh-CN"/>
              </w:rPr>
              <w:t>充足、完备、先进、可行的，得6分；</w:t>
            </w:r>
          </w:p>
          <w:p w14:paraId="36E8734B">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②</w:t>
            </w:r>
            <w:r>
              <w:rPr>
                <w:rFonts w:hint="eastAsia" w:ascii="宋体" w:hAnsi="宋体" w:eastAsia="宋体" w:cs="宋体"/>
                <w:color w:val="auto"/>
                <w:sz w:val="24"/>
                <w:szCs w:val="24"/>
                <w:lang w:val="en-US" w:eastAsia="zh-Hans"/>
              </w:rPr>
              <w:t>针对本项目拟投入的主要设备及劳动力配备情况，</w:t>
            </w:r>
            <w:r>
              <w:rPr>
                <w:rFonts w:hint="eastAsia" w:ascii="宋体" w:hAnsi="宋体" w:eastAsia="宋体" w:cs="宋体"/>
                <w:color w:val="auto"/>
                <w:sz w:val="24"/>
                <w:szCs w:val="24"/>
                <w:lang w:val="en-US" w:eastAsia="zh-CN"/>
              </w:rPr>
              <w:t>较为</w:t>
            </w:r>
            <w:r>
              <w:rPr>
                <w:rFonts w:hint="eastAsia" w:ascii="宋体" w:hAnsi="宋体" w:eastAsia="宋体" w:cs="宋体"/>
                <w:color w:val="auto"/>
                <w:sz w:val="24"/>
                <w:szCs w:val="24"/>
                <w:lang w:val="en-US" w:eastAsia="zh-Hans"/>
              </w:rPr>
              <w:t>先进、合理可行，得5分；</w:t>
            </w:r>
          </w:p>
          <w:p w14:paraId="39E6FA94">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③</w:t>
            </w:r>
            <w:r>
              <w:rPr>
                <w:rFonts w:hint="eastAsia" w:ascii="宋体" w:hAnsi="宋体" w:eastAsia="宋体" w:cs="宋体"/>
                <w:color w:val="auto"/>
                <w:sz w:val="24"/>
                <w:szCs w:val="24"/>
                <w:lang w:val="en-US" w:eastAsia="zh-Hans"/>
              </w:rPr>
              <w:t>针对本项目拟投入的主要设备及劳动力配备情况，相对先进、相对合理可行，得4分；</w:t>
            </w:r>
          </w:p>
          <w:p w14:paraId="39E3D676">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④</w:t>
            </w:r>
            <w:r>
              <w:rPr>
                <w:rFonts w:hint="eastAsia" w:ascii="宋体" w:hAnsi="宋体" w:eastAsia="宋体" w:cs="宋体"/>
                <w:color w:val="auto"/>
                <w:sz w:val="24"/>
                <w:szCs w:val="24"/>
                <w:lang w:val="en-US" w:eastAsia="zh-Hans"/>
              </w:rPr>
              <w:t>针对本项目拟投入的主要设备及劳动力配备情况、设备及劳动力配备，较先进、基本合理可行，得3分；</w:t>
            </w:r>
          </w:p>
          <w:p w14:paraId="4E72AA21">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针对本项目拟投入的主要设备及劳动力配备情况，不够合理可行，得2分；</w:t>
            </w:r>
          </w:p>
          <w:p w14:paraId="2371A6AF">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⑥</w:t>
            </w:r>
            <w:r>
              <w:rPr>
                <w:rFonts w:hint="eastAsia" w:ascii="宋体" w:hAnsi="宋体" w:eastAsia="宋体" w:cs="宋体"/>
                <w:color w:val="auto"/>
                <w:sz w:val="24"/>
                <w:szCs w:val="24"/>
                <w:lang w:val="en-US" w:eastAsia="zh-Hans"/>
              </w:rPr>
              <w:t>针对本项目拟投入的主要设备及劳动力配备情况，不合理，需在采购人要求下完善后才能实施的，得1分；</w:t>
            </w:r>
          </w:p>
          <w:p w14:paraId="5D8CFBAD">
            <w:pPr>
              <w:pStyle w:val="25"/>
              <w:bidi w:val="0"/>
              <w:spacing w:line="240" w:lineRule="auto"/>
              <w:ind w:left="0" w:leftChars="0" w:right="0" w:rightChars="0" w:firstLine="0" w:firstLineChars="0"/>
              <w:jc w:val="left"/>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510F2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84" w:type="dxa"/>
            <w:vMerge w:val="continue"/>
            <w:noWrap w:val="0"/>
            <w:vAlign w:val="center"/>
          </w:tcPr>
          <w:p w14:paraId="182E2591">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0826E7D1">
            <w:pPr>
              <w:pStyle w:val="25"/>
              <w:bidi w:val="0"/>
              <w:ind w:left="0" w:leftChars="0" w:right="0" w:rightChars="0" w:firstLine="0" w:firstLineChars="0"/>
              <w:jc w:val="center"/>
              <w:rPr>
                <w:rFonts w:hint="eastAsia" w:ascii="宋体" w:hAnsi="宋体" w:eastAsia="宋体" w:cs="宋体"/>
                <w:color w:val="auto"/>
                <w:spacing w:val="2"/>
                <w:sz w:val="24"/>
                <w:szCs w:val="24"/>
              </w:rPr>
            </w:pPr>
          </w:p>
        </w:tc>
        <w:tc>
          <w:tcPr>
            <w:tcW w:w="931" w:type="dxa"/>
            <w:shd w:val="clear" w:color="auto" w:fill="auto"/>
            <w:noWrap w:val="0"/>
            <w:vAlign w:val="center"/>
          </w:tcPr>
          <w:p w14:paraId="7F4179DE">
            <w:pPr>
              <w:pStyle w:val="25"/>
              <w:bidi w:val="0"/>
              <w:ind w:left="0" w:leftChars="0" w:right="0" w:rightChars="0" w:firstLine="0" w:firstLineChars="0"/>
              <w:jc w:val="center"/>
              <w:rPr>
                <w:rFonts w:hint="eastAsia" w:ascii="宋体" w:hAnsi="宋体" w:eastAsia="宋体" w:cs="宋体"/>
                <w:color w:val="auto"/>
                <w:spacing w:val="2"/>
                <w:sz w:val="24"/>
                <w:szCs w:val="24"/>
                <w:shd w:val="clear" w:fill="FFFFFF"/>
                <w:lang w:val="en-US" w:eastAsia="zh-Hans" w:bidi="zh-CN"/>
              </w:rPr>
            </w:pPr>
            <w:r>
              <w:rPr>
                <w:rFonts w:hint="eastAsia" w:ascii="宋体" w:hAnsi="宋体" w:eastAsia="宋体" w:cs="宋体"/>
                <w:color w:val="auto"/>
                <w:sz w:val="24"/>
                <w:szCs w:val="24"/>
                <w:lang w:val="en-US" w:eastAsia="zh-Hans"/>
              </w:rPr>
              <w:t>项目</w:t>
            </w:r>
            <w:r>
              <w:rPr>
                <w:rFonts w:hint="eastAsia" w:ascii="宋体" w:hAnsi="宋体" w:eastAsia="宋体" w:cs="宋体"/>
                <w:color w:val="auto"/>
                <w:sz w:val="24"/>
                <w:szCs w:val="24"/>
                <w:lang w:val="en-US" w:eastAsia="zh-CN"/>
              </w:rPr>
              <w:t>管理机构组成</w:t>
            </w:r>
          </w:p>
        </w:tc>
        <w:tc>
          <w:tcPr>
            <w:tcW w:w="660" w:type="dxa"/>
            <w:noWrap w:val="0"/>
            <w:vAlign w:val="center"/>
          </w:tcPr>
          <w:p w14:paraId="7171CA06">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6分</w:t>
            </w:r>
          </w:p>
        </w:tc>
        <w:tc>
          <w:tcPr>
            <w:tcW w:w="7079" w:type="dxa"/>
            <w:shd w:val="clear" w:color="auto" w:fill="auto"/>
            <w:noWrap w:val="0"/>
            <w:vAlign w:val="top"/>
          </w:tcPr>
          <w:p w14:paraId="66F16448">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项目管理机构组织结构合理，技术人员配置（专职安全员、施工员、资料员、质量员、材料员等）齐全，责任明确；</w:t>
            </w:r>
            <w:r>
              <w:rPr>
                <w:rFonts w:hint="eastAsia" w:ascii="宋体" w:hAnsi="宋体" w:eastAsia="宋体" w:cs="宋体"/>
                <w:color w:val="auto"/>
                <w:sz w:val="24"/>
                <w:szCs w:val="24"/>
                <w:lang w:val="en-US" w:eastAsia="en-US"/>
              </w:rPr>
              <w:t>①</w:t>
            </w:r>
            <w:r>
              <w:rPr>
                <w:rFonts w:hint="eastAsia" w:ascii="宋体" w:hAnsi="宋体" w:eastAsia="宋体" w:cs="宋体"/>
                <w:color w:val="auto"/>
                <w:sz w:val="24"/>
                <w:szCs w:val="24"/>
                <w:lang w:val="en-US" w:eastAsia="zh-Hans"/>
              </w:rPr>
              <w:t>针对本项目拟投入项目经理部组成人员结构合理，人员配备齐全，责任明确，佐证材料齐全得6分；</w:t>
            </w:r>
          </w:p>
          <w:p w14:paraId="19BE75ED">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②</w:t>
            </w:r>
            <w:r>
              <w:rPr>
                <w:rFonts w:hint="eastAsia" w:ascii="宋体" w:hAnsi="宋体" w:eastAsia="宋体" w:cs="宋体"/>
                <w:color w:val="auto"/>
                <w:sz w:val="24"/>
                <w:szCs w:val="24"/>
                <w:lang w:val="en-US" w:eastAsia="zh-Hans"/>
              </w:rPr>
              <w:t>针对本项目拟投入项目经理部组成人员结构相对合理，人员配备相对齐全，责任相对明确，有相关佐证材料得5分；</w:t>
            </w:r>
          </w:p>
          <w:p w14:paraId="20BE5EFC">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lang w:val="en-US" w:eastAsia="zh-Hans"/>
              </w:rPr>
              <w:t>针对本项目拟投入项目经理部组成人员结构基本合理，人员配备基本齐全，责任基本明确，有相关佐证材料得4分；</w:t>
            </w:r>
          </w:p>
          <w:p w14:paraId="131A80DF">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④</w:t>
            </w:r>
            <w:r>
              <w:rPr>
                <w:rFonts w:hint="eastAsia" w:ascii="宋体" w:hAnsi="宋体" w:eastAsia="宋体" w:cs="宋体"/>
                <w:color w:val="auto"/>
                <w:sz w:val="24"/>
                <w:szCs w:val="24"/>
                <w:lang w:val="en-US" w:eastAsia="zh-Hans"/>
              </w:rPr>
              <w:t>针对本项目拟投入项目经理部组成人员结构不够合理，人员配备不够齐全，责任不太明确，相关佐证材料缺失得3分；</w:t>
            </w:r>
          </w:p>
          <w:p w14:paraId="27C42458">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针对本项目拟投入项目经理部组成人员内容笼统，可行性有待考究的，得2分；</w:t>
            </w:r>
          </w:p>
          <w:p w14:paraId="1F5920A7">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⑥</w:t>
            </w:r>
            <w:r>
              <w:rPr>
                <w:rFonts w:hint="eastAsia" w:ascii="宋体" w:hAnsi="宋体" w:eastAsia="宋体" w:cs="宋体"/>
                <w:color w:val="auto"/>
                <w:sz w:val="24"/>
                <w:szCs w:val="24"/>
                <w:lang w:val="en-US" w:eastAsia="zh-Hans"/>
              </w:rPr>
              <w:t>针对本项目拟投入项目经理部组成人员结构不合理，人员配备不齐全，责任不明确，相关佐证材料缺失得1分；</w:t>
            </w:r>
          </w:p>
          <w:p w14:paraId="67A10812">
            <w:pPr>
              <w:pStyle w:val="25"/>
              <w:bidi w:val="0"/>
              <w:spacing w:line="240" w:lineRule="auto"/>
              <w:ind w:left="0" w:leftChars="0" w:right="0" w:rightChars="0" w:firstLine="0" w:firstLineChars="0"/>
              <w:jc w:val="left"/>
              <w:rPr>
                <w:rFonts w:hint="eastAsia" w:ascii="宋体" w:hAnsi="宋体" w:eastAsia="宋体" w:cs="宋体"/>
                <w:color w:val="auto"/>
                <w:sz w:val="24"/>
                <w:szCs w:val="24"/>
                <w:shd w:val="clear" w:fill="FFFFFF"/>
                <w:lang w:val="en-US" w:eastAsia="en-US" w:bidi="zh-CN"/>
              </w:rPr>
            </w:pPr>
            <w:r>
              <w:rPr>
                <w:rFonts w:hint="eastAsia" w:ascii="宋体" w:hAnsi="宋体" w:eastAsia="宋体" w:cs="宋体"/>
                <w:color w:val="auto"/>
                <w:sz w:val="24"/>
                <w:szCs w:val="24"/>
                <w:lang w:val="en-US" w:eastAsia="en-US"/>
              </w:rPr>
              <w:t>⑦</w:t>
            </w:r>
            <w:r>
              <w:rPr>
                <w:rFonts w:hint="eastAsia" w:ascii="宋体" w:hAnsi="宋体" w:eastAsia="宋体" w:cs="宋体"/>
                <w:color w:val="auto"/>
                <w:sz w:val="24"/>
                <w:szCs w:val="24"/>
                <w:lang w:val="en-US" w:eastAsia="zh-Hans"/>
              </w:rPr>
              <w:t>无内容不得分。</w:t>
            </w:r>
          </w:p>
        </w:tc>
      </w:tr>
      <w:tr w14:paraId="704C1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84" w:type="dxa"/>
            <w:vMerge w:val="restart"/>
            <w:noWrap w:val="0"/>
            <w:vAlign w:val="center"/>
          </w:tcPr>
          <w:p w14:paraId="1913C59F">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755" w:type="dxa"/>
            <w:vMerge w:val="restart"/>
            <w:noWrap w:val="0"/>
            <w:vAlign w:val="center"/>
          </w:tcPr>
          <w:p w14:paraId="7F4948C5">
            <w:pPr>
              <w:pStyle w:val="25"/>
              <w:bidi w:val="0"/>
              <w:spacing w:line="240" w:lineRule="auto"/>
              <w:ind w:left="0" w:leftChars="0" w:right="0" w:righ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商务部分（10分）</w:t>
            </w:r>
          </w:p>
        </w:tc>
        <w:tc>
          <w:tcPr>
            <w:tcW w:w="931" w:type="dxa"/>
            <w:noWrap w:val="0"/>
            <w:vAlign w:val="center"/>
          </w:tcPr>
          <w:p w14:paraId="3C899F96">
            <w:pPr>
              <w:pStyle w:val="25"/>
              <w:bidi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w:t>
            </w:r>
            <w:r>
              <w:rPr>
                <w:rFonts w:hint="eastAsia" w:ascii="宋体" w:hAnsi="宋体" w:eastAsia="宋体" w:cs="宋体"/>
                <w:color w:val="auto"/>
                <w:sz w:val="24"/>
                <w:szCs w:val="24"/>
                <w:lang w:val="en-US" w:eastAsia="zh-Hans"/>
              </w:rPr>
              <w:t>措施</w:t>
            </w:r>
            <w:r>
              <w:rPr>
                <w:rFonts w:hint="eastAsia" w:ascii="宋体" w:hAnsi="宋体" w:eastAsia="宋体" w:cs="宋体"/>
                <w:color w:val="auto"/>
                <w:sz w:val="24"/>
                <w:szCs w:val="24"/>
                <w:lang w:val="en-US" w:eastAsia="zh-CN"/>
              </w:rPr>
              <w:t>及承诺</w:t>
            </w:r>
          </w:p>
        </w:tc>
        <w:tc>
          <w:tcPr>
            <w:tcW w:w="660" w:type="dxa"/>
            <w:noWrap w:val="0"/>
            <w:vAlign w:val="center"/>
          </w:tcPr>
          <w:p w14:paraId="6E2941EC">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4分</w:t>
            </w:r>
          </w:p>
        </w:tc>
        <w:tc>
          <w:tcPr>
            <w:tcW w:w="7079" w:type="dxa"/>
            <w:shd w:val="clear" w:color="auto" w:fill="auto"/>
            <w:noWrap w:val="0"/>
            <w:vAlign w:val="top"/>
          </w:tcPr>
          <w:p w14:paraId="0DF404F0">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质量</w:t>
            </w:r>
            <w:r>
              <w:rPr>
                <w:rFonts w:hint="eastAsia" w:ascii="宋体" w:hAnsi="宋体" w:eastAsia="宋体" w:cs="宋体"/>
                <w:color w:val="auto"/>
                <w:sz w:val="24"/>
                <w:szCs w:val="24"/>
                <w:lang w:val="en-US" w:eastAsia="zh-Hans"/>
              </w:rPr>
              <w:t xml:space="preserve">保修措施及承诺，包括工程维修服务承诺、保修措施和响应时限、发生质量问题后的补救措施。 </w:t>
            </w:r>
          </w:p>
          <w:p w14:paraId="459E3FD0">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①</w:t>
            </w:r>
            <w:r>
              <w:rPr>
                <w:rFonts w:hint="eastAsia" w:ascii="宋体" w:hAnsi="宋体" w:eastAsia="宋体" w:cs="宋体"/>
                <w:color w:val="auto"/>
                <w:sz w:val="24"/>
                <w:szCs w:val="24"/>
                <w:lang w:val="en-US" w:eastAsia="zh-CN"/>
              </w:rPr>
              <w:t>针对本项目的质量保修措施及承诺，</w:t>
            </w:r>
            <w:r>
              <w:rPr>
                <w:rFonts w:hint="eastAsia" w:ascii="宋体" w:hAnsi="宋体" w:eastAsia="宋体" w:cs="宋体"/>
                <w:color w:val="auto"/>
                <w:sz w:val="24"/>
                <w:szCs w:val="24"/>
                <w:lang w:val="en-US" w:eastAsia="zh-Hans"/>
              </w:rPr>
              <w:t>响应全面</w:t>
            </w:r>
            <w:r>
              <w:rPr>
                <w:rFonts w:hint="eastAsia" w:ascii="宋体" w:hAnsi="宋体" w:eastAsia="宋体" w:cs="宋体"/>
                <w:color w:val="auto"/>
                <w:sz w:val="24"/>
                <w:szCs w:val="24"/>
                <w:lang w:val="en-US" w:eastAsia="zh-CN"/>
              </w:rPr>
              <w:t>完整</w:t>
            </w:r>
            <w:r>
              <w:rPr>
                <w:rFonts w:hint="eastAsia" w:ascii="宋体" w:hAnsi="宋体" w:eastAsia="宋体" w:cs="宋体"/>
                <w:color w:val="auto"/>
                <w:sz w:val="24"/>
                <w:szCs w:val="24"/>
                <w:lang w:val="en-US" w:eastAsia="zh-Hans"/>
              </w:rPr>
              <w:t>，</w:t>
            </w:r>
            <w:r>
              <w:rPr>
                <w:rFonts w:hint="eastAsia" w:ascii="宋体" w:hAnsi="宋体" w:eastAsia="宋体" w:cs="宋体"/>
                <w:color w:val="auto"/>
                <w:sz w:val="24"/>
                <w:szCs w:val="24"/>
                <w:lang w:val="en-US" w:eastAsia="zh-CN"/>
              </w:rPr>
              <w:t>描述详细，步骤清晰；可实施性强，紧扣项目实际情况的得4分</w:t>
            </w:r>
            <w:r>
              <w:rPr>
                <w:rFonts w:hint="eastAsia" w:ascii="宋体" w:hAnsi="宋体" w:eastAsia="宋体" w:cs="宋体"/>
                <w:color w:val="auto"/>
                <w:sz w:val="24"/>
                <w:szCs w:val="24"/>
                <w:lang w:val="en-US" w:eastAsia="zh-Hans"/>
              </w:rPr>
              <w:t xml:space="preserve">； </w:t>
            </w:r>
          </w:p>
          <w:p w14:paraId="04E39EBE">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②</w:t>
            </w:r>
            <w:r>
              <w:rPr>
                <w:rFonts w:hint="eastAsia" w:ascii="宋体" w:hAnsi="宋体" w:eastAsia="宋体" w:cs="宋体"/>
                <w:color w:val="auto"/>
                <w:sz w:val="24"/>
                <w:szCs w:val="24"/>
                <w:lang w:val="en-US" w:eastAsia="zh-CN"/>
              </w:rPr>
              <w:t>针对本项目的质量保修措施及承诺，</w:t>
            </w:r>
            <w:r>
              <w:rPr>
                <w:rFonts w:hint="eastAsia" w:ascii="宋体" w:hAnsi="宋体" w:eastAsia="宋体" w:cs="宋体"/>
                <w:color w:val="auto"/>
                <w:sz w:val="24"/>
                <w:szCs w:val="24"/>
                <w:lang w:val="en-US" w:eastAsia="zh-Hans"/>
              </w:rPr>
              <w:t>响应</w:t>
            </w:r>
            <w:r>
              <w:rPr>
                <w:rFonts w:hint="eastAsia" w:ascii="宋体" w:hAnsi="宋体" w:eastAsia="宋体" w:cs="宋体"/>
                <w:color w:val="auto"/>
                <w:sz w:val="24"/>
                <w:szCs w:val="24"/>
                <w:lang w:val="en-US" w:eastAsia="zh-CN"/>
              </w:rPr>
              <w:t>基本完整、可行</w:t>
            </w:r>
            <w:r>
              <w:rPr>
                <w:rFonts w:hint="eastAsia" w:ascii="宋体" w:hAnsi="宋体" w:eastAsia="宋体" w:cs="宋体"/>
                <w:color w:val="auto"/>
                <w:sz w:val="24"/>
                <w:szCs w:val="24"/>
                <w:lang w:val="en-US" w:eastAsia="zh-Hans"/>
              </w:rPr>
              <w:t>，</w:t>
            </w:r>
            <w:r>
              <w:rPr>
                <w:rFonts w:hint="eastAsia" w:ascii="宋体" w:hAnsi="宋体" w:eastAsia="宋体" w:cs="宋体"/>
                <w:color w:val="auto"/>
                <w:sz w:val="24"/>
                <w:szCs w:val="24"/>
                <w:lang w:val="en-US" w:eastAsia="zh-CN"/>
              </w:rPr>
              <w:t>描述有轻微缺陷但不影响具体实施的得3分</w:t>
            </w:r>
            <w:r>
              <w:rPr>
                <w:rFonts w:hint="eastAsia" w:ascii="宋体" w:hAnsi="宋体" w:eastAsia="宋体" w:cs="宋体"/>
                <w:color w:val="auto"/>
                <w:sz w:val="24"/>
                <w:szCs w:val="24"/>
                <w:lang w:val="en-US" w:eastAsia="zh-Hans"/>
              </w:rPr>
              <w:t xml:space="preserve">； </w:t>
            </w:r>
          </w:p>
          <w:p w14:paraId="66C477D0">
            <w:pPr>
              <w:pStyle w:val="25"/>
              <w:bidi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③</w:t>
            </w:r>
            <w:r>
              <w:rPr>
                <w:rFonts w:hint="eastAsia" w:ascii="宋体" w:hAnsi="宋体" w:eastAsia="宋体" w:cs="宋体"/>
                <w:color w:val="auto"/>
                <w:sz w:val="24"/>
                <w:szCs w:val="24"/>
                <w:lang w:val="en-US" w:eastAsia="zh-CN"/>
              </w:rPr>
              <w:t>针对本项目的质量保修措施及承诺，内容不够合理、可行，不能满足项目要求的得2分；</w:t>
            </w:r>
          </w:p>
          <w:p w14:paraId="22AB1CDF">
            <w:pPr>
              <w:pStyle w:val="25"/>
              <w:bidi w:val="0"/>
              <w:spacing w:line="240" w:lineRule="auto"/>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en-US"/>
              </w:rPr>
              <w:t>④</w:t>
            </w:r>
            <w:r>
              <w:rPr>
                <w:rFonts w:hint="eastAsia" w:ascii="宋体" w:hAnsi="宋体" w:eastAsia="宋体" w:cs="宋体"/>
                <w:color w:val="auto"/>
                <w:sz w:val="24"/>
                <w:szCs w:val="24"/>
                <w:lang w:val="en-US" w:eastAsia="zh-CN"/>
              </w:rPr>
              <w:t>针对本项目的质量保修措施及承诺，内容差且不切合实际情况的得1分；</w:t>
            </w:r>
          </w:p>
          <w:p w14:paraId="54F3023E">
            <w:pPr>
              <w:pStyle w:val="25"/>
              <w:bidi w:val="0"/>
              <w:spacing w:line="240" w:lineRule="auto"/>
              <w:ind w:left="0" w:leftChars="0" w:right="0" w:rightChars="0" w:firstLine="0" w:firstLineChars="0"/>
              <w:jc w:val="left"/>
              <w:rPr>
                <w:rFonts w:hint="eastAsia" w:ascii="宋体" w:hAnsi="宋体" w:eastAsia="宋体" w:cs="宋体"/>
                <w:color w:val="auto"/>
                <w:sz w:val="24"/>
                <w:szCs w:val="24"/>
                <w:shd w:val="clear" w:fill="FFFFFF"/>
                <w:lang w:val="en-US" w:eastAsia="en-US" w:bidi="zh-CN"/>
              </w:rPr>
            </w:pPr>
            <w:r>
              <w:rPr>
                <w:rFonts w:hint="eastAsia" w:ascii="宋体" w:hAnsi="宋体" w:eastAsia="宋体" w:cs="宋体"/>
                <w:color w:val="auto"/>
                <w:sz w:val="24"/>
                <w:szCs w:val="24"/>
                <w:lang w:val="en-US" w:eastAsia="en-US"/>
              </w:rPr>
              <w:t>⑤</w:t>
            </w:r>
            <w:r>
              <w:rPr>
                <w:rFonts w:hint="eastAsia" w:ascii="宋体" w:hAnsi="宋体" w:eastAsia="宋体" w:cs="宋体"/>
                <w:color w:val="auto"/>
                <w:sz w:val="24"/>
                <w:szCs w:val="24"/>
                <w:lang w:val="en-US" w:eastAsia="zh-Hans"/>
              </w:rPr>
              <w:t>无内容不得分。</w:t>
            </w:r>
          </w:p>
        </w:tc>
      </w:tr>
      <w:tr w14:paraId="5515D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84" w:type="dxa"/>
            <w:vMerge w:val="continue"/>
            <w:noWrap w:val="0"/>
            <w:vAlign w:val="center"/>
          </w:tcPr>
          <w:p w14:paraId="70782F64">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p>
        </w:tc>
        <w:tc>
          <w:tcPr>
            <w:tcW w:w="755" w:type="dxa"/>
            <w:vMerge w:val="continue"/>
            <w:noWrap w:val="0"/>
            <w:vAlign w:val="center"/>
          </w:tcPr>
          <w:p w14:paraId="31CED238">
            <w:pPr>
              <w:pStyle w:val="25"/>
              <w:bidi w:val="0"/>
              <w:ind w:left="0" w:leftChars="0" w:right="0" w:rightChars="0" w:firstLine="0" w:firstLineChars="0"/>
              <w:jc w:val="center"/>
              <w:rPr>
                <w:rFonts w:hint="eastAsia" w:ascii="宋体" w:hAnsi="宋体" w:eastAsia="宋体" w:cs="宋体"/>
                <w:color w:val="auto"/>
                <w:spacing w:val="2"/>
                <w:sz w:val="24"/>
                <w:szCs w:val="24"/>
              </w:rPr>
            </w:pPr>
          </w:p>
        </w:tc>
        <w:tc>
          <w:tcPr>
            <w:tcW w:w="931" w:type="dxa"/>
            <w:noWrap w:val="0"/>
            <w:vAlign w:val="center"/>
          </w:tcPr>
          <w:p w14:paraId="4F6B3D53">
            <w:pPr>
              <w:pStyle w:val="25"/>
              <w:bidi w:val="0"/>
              <w:ind w:left="0" w:leftChars="0" w:right="0" w:righ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业绩</w:t>
            </w:r>
          </w:p>
        </w:tc>
        <w:tc>
          <w:tcPr>
            <w:tcW w:w="660" w:type="dxa"/>
            <w:noWrap w:val="0"/>
            <w:vAlign w:val="center"/>
          </w:tcPr>
          <w:p w14:paraId="0BB2D93B">
            <w:pPr>
              <w:spacing w:before="75" w:line="231" w:lineRule="auto"/>
              <w:ind w:left="0" w:leftChars="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6分</w:t>
            </w:r>
          </w:p>
        </w:tc>
        <w:tc>
          <w:tcPr>
            <w:tcW w:w="7079" w:type="dxa"/>
            <w:shd w:val="clear" w:color="auto" w:fill="auto"/>
            <w:noWrap w:val="0"/>
            <w:vAlign w:val="top"/>
          </w:tcPr>
          <w:p w14:paraId="40039112">
            <w:pPr>
              <w:pStyle w:val="25"/>
              <w:bidi w:val="0"/>
              <w:spacing w:line="240" w:lineRule="auto"/>
              <w:ind w:left="0" w:leftChars="0" w:right="0" w:rightChars="0" w:firstLine="0" w:firstLineChars="0"/>
              <w:jc w:val="left"/>
              <w:rPr>
                <w:rFonts w:hint="eastAsia" w:ascii="宋体" w:hAnsi="宋体" w:eastAsia="宋体" w:cs="宋体"/>
                <w:color w:val="auto"/>
                <w:sz w:val="24"/>
                <w:szCs w:val="24"/>
                <w:shd w:val="clear" w:fill="FFFFFF"/>
                <w:lang w:val="en-US" w:eastAsia="en-US" w:bidi="zh-CN"/>
              </w:rPr>
            </w:pP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1日</w:t>
            </w:r>
            <w:r>
              <w:rPr>
                <w:rFonts w:hint="eastAsia" w:ascii="宋体" w:hAnsi="宋体" w:eastAsia="宋体" w:cs="宋体"/>
                <w:color w:val="auto"/>
                <w:sz w:val="24"/>
                <w:szCs w:val="24"/>
              </w:rPr>
              <w:t>至截标时间前</w:t>
            </w:r>
            <w:r>
              <w:rPr>
                <w:rFonts w:hint="eastAsia" w:ascii="宋体" w:hAnsi="宋体" w:eastAsia="宋体" w:cs="宋体"/>
                <w:color w:val="auto"/>
                <w:sz w:val="24"/>
                <w:szCs w:val="24"/>
                <w:lang w:val="en-US" w:eastAsia="zh-CN"/>
              </w:rPr>
              <w:t>类似</w:t>
            </w:r>
            <w:r>
              <w:rPr>
                <w:rFonts w:hint="eastAsia" w:ascii="宋体" w:hAnsi="宋体" w:eastAsia="宋体" w:cs="宋体"/>
                <w:color w:val="auto"/>
                <w:sz w:val="24"/>
                <w:szCs w:val="24"/>
              </w:rPr>
              <w:t>项目业绩（以合同或中标通知书为准，须在</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中附以上证明材料的扫描件加盖单位公章</w:t>
            </w:r>
            <w:r>
              <w:rPr>
                <w:rFonts w:hint="eastAsia" w:ascii="宋体" w:hAnsi="宋体" w:eastAsia="宋体" w:cs="宋体"/>
                <w:color w:val="auto"/>
                <w:sz w:val="24"/>
                <w:szCs w:val="24"/>
                <w:lang w:val="en-US" w:eastAsia="zh-Hans"/>
              </w:rPr>
              <w:t>，每份合格业绩计2分，满分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w:t>
            </w:r>
          </w:p>
        </w:tc>
      </w:tr>
      <w:tr w14:paraId="58B2C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84" w:type="dxa"/>
            <w:noWrap w:val="0"/>
            <w:vAlign w:val="center"/>
          </w:tcPr>
          <w:p w14:paraId="4DD128E1">
            <w:pPr>
              <w:spacing w:before="75" w:line="231" w:lineRule="auto"/>
              <w:ind w:left="0" w:leftChars="0" w:firstLine="0" w:firstLine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推荐</w:t>
            </w:r>
            <w:r>
              <w:rPr>
                <w:rFonts w:hint="eastAsia" w:ascii="宋体" w:hAnsi="宋体" w:eastAsia="宋体" w:cs="宋体"/>
                <w:color w:val="auto"/>
                <w:spacing w:val="2"/>
                <w:sz w:val="24"/>
                <w:szCs w:val="24"/>
              </w:rPr>
              <w:t>成交候选人</w:t>
            </w:r>
          </w:p>
        </w:tc>
        <w:tc>
          <w:tcPr>
            <w:tcW w:w="9425" w:type="dxa"/>
            <w:gridSpan w:val="4"/>
            <w:noWrap w:val="0"/>
            <w:vAlign w:val="center"/>
          </w:tcPr>
          <w:p w14:paraId="19E5FC4F">
            <w:pPr>
              <w:spacing w:before="75" w:line="228" w:lineRule="auto"/>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按</w:t>
            </w:r>
            <w:r>
              <w:rPr>
                <w:rFonts w:hint="eastAsia" w:ascii="宋体" w:hAnsi="宋体" w:eastAsia="宋体" w:cs="宋体"/>
                <w:color w:val="auto"/>
                <w:spacing w:val="5"/>
                <w:sz w:val="24"/>
                <w:szCs w:val="24"/>
                <w:lang w:eastAsia="zh-CN"/>
              </w:rPr>
              <w:t>磋商</w:t>
            </w:r>
            <w:r>
              <w:rPr>
                <w:rFonts w:hint="eastAsia" w:ascii="宋体" w:hAnsi="宋体" w:eastAsia="宋体" w:cs="宋体"/>
                <w:color w:val="auto"/>
                <w:spacing w:val="5"/>
                <w:sz w:val="24"/>
                <w:szCs w:val="24"/>
              </w:rPr>
              <w:t>评审程序，推荐综合得分排序前</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rPr>
              <w:t>名作为成交候选</w:t>
            </w:r>
            <w:r>
              <w:rPr>
                <w:rFonts w:hint="eastAsia" w:ascii="宋体" w:hAnsi="宋体" w:eastAsia="宋体" w:cs="宋体"/>
                <w:color w:val="auto"/>
                <w:spacing w:val="4"/>
                <w:sz w:val="24"/>
                <w:szCs w:val="24"/>
              </w:rPr>
              <w:t>人</w:t>
            </w:r>
            <w:r>
              <w:rPr>
                <w:rFonts w:hint="eastAsia" w:ascii="宋体" w:hAnsi="宋体" w:eastAsia="宋体" w:cs="宋体"/>
                <w:color w:val="auto"/>
                <w:sz w:val="24"/>
                <w:szCs w:val="24"/>
              </w:rPr>
              <w:t>。</w:t>
            </w:r>
          </w:p>
        </w:tc>
      </w:tr>
      <w:tr w14:paraId="3709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6" w:hRule="atLeast"/>
        </w:trPr>
        <w:tc>
          <w:tcPr>
            <w:tcW w:w="10009" w:type="dxa"/>
            <w:gridSpan w:val="5"/>
            <w:noWrap w:val="0"/>
            <w:vAlign w:val="top"/>
          </w:tcPr>
          <w:p w14:paraId="57935B26">
            <w:pPr>
              <w:spacing w:before="38" w:line="243" w:lineRule="auto"/>
              <w:ind w:left="122" w:right="41"/>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备注：</w:t>
            </w:r>
          </w:p>
          <w:p w14:paraId="1BD66F88">
            <w:pPr>
              <w:spacing w:before="38" w:line="243" w:lineRule="auto"/>
              <w:ind w:left="122" w:right="41"/>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1)各评审专家独立打分。</w:t>
            </w:r>
          </w:p>
          <w:p w14:paraId="58B02E95">
            <w:pPr>
              <w:spacing w:before="38" w:line="243" w:lineRule="auto"/>
              <w:ind w:left="122" w:right="41"/>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2)评审专家打分超过得分界限或未按本表规定赋分时，该评审专家的打分无效，不计入汇总分。</w:t>
            </w:r>
          </w:p>
          <w:p w14:paraId="4A1D62EF">
            <w:pPr>
              <w:pStyle w:val="9"/>
              <w:keepNext w:val="0"/>
              <w:keepLines w:val="0"/>
              <w:pageBreakBefore w:val="0"/>
              <w:widowControl w:val="0"/>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 若出现综合得分相同的，按</w:t>
            </w:r>
            <w:r>
              <w:rPr>
                <w:rFonts w:hint="eastAsia" w:ascii="宋体" w:hAnsi="宋体" w:eastAsia="宋体" w:cs="宋体"/>
                <w:color w:val="auto"/>
                <w:spacing w:val="6"/>
                <w:sz w:val="24"/>
                <w:szCs w:val="24"/>
                <w:lang w:val="en-US" w:eastAsia="zh-CN"/>
              </w:rPr>
              <w:t>磋商</w:t>
            </w:r>
            <w:r>
              <w:rPr>
                <w:rFonts w:hint="eastAsia" w:ascii="宋体" w:hAnsi="宋体" w:eastAsia="宋体" w:cs="宋体"/>
                <w:color w:val="auto"/>
                <w:spacing w:val="6"/>
                <w:sz w:val="24"/>
                <w:szCs w:val="24"/>
              </w:rPr>
              <w:t>报价得分由高到低顺序排列名次；</w:t>
            </w:r>
            <w:r>
              <w:rPr>
                <w:rFonts w:hint="eastAsia" w:ascii="宋体" w:hAnsi="宋体" w:eastAsia="宋体" w:cs="宋体"/>
                <w:color w:val="auto"/>
                <w:spacing w:val="6"/>
                <w:sz w:val="24"/>
                <w:szCs w:val="24"/>
                <w:lang w:val="en-US" w:eastAsia="zh-CN"/>
              </w:rPr>
              <w:t>磋商</w:t>
            </w:r>
            <w:r>
              <w:rPr>
                <w:rFonts w:hint="eastAsia" w:ascii="宋体" w:hAnsi="宋体" w:eastAsia="宋体" w:cs="宋体"/>
                <w:color w:val="auto"/>
                <w:spacing w:val="6"/>
                <w:sz w:val="24"/>
                <w:szCs w:val="24"/>
              </w:rPr>
              <w:t>报价得分也相等的，</w:t>
            </w:r>
            <w:r>
              <w:rPr>
                <w:rFonts w:hint="eastAsia" w:ascii="宋体" w:hAnsi="宋体" w:eastAsia="宋体" w:cs="宋体"/>
                <w:color w:val="auto"/>
                <w:highlight w:val="none"/>
                <w:lang w:val="zh-CN"/>
              </w:rPr>
              <w:t>按照</w:t>
            </w:r>
            <w:r>
              <w:rPr>
                <w:rFonts w:hint="eastAsia" w:ascii="宋体" w:hAnsi="宋体" w:eastAsia="宋体" w:cs="宋体"/>
                <w:color w:val="auto"/>
                <w:highlight w:val="none"/>
                <w:lang w:val="en-US" w:eastAsia="zh-CN"/>
              </w:rPr>
              <w:t>商务部分、技术部分得分</w:t>
            </w:r>
            <w:r>
              <w:rPr>
                <w:rFonts w:hint="eastAsia" w:ascii="宋体" w:hAnsi="宋体" w:eastAsia="宋体" w:cs="宋体"/>
                <w:color w:val="auto"/>
                <w:highlight w:val="none"/>
                <w:lang w:val="zh-CN"/>
              </w:rPr>
              <w:t>进行排序</w:t>
            </w:r>
            <w:r>
              <w:rPr>
                <w:rFonts w:hint="eastAsia" w:ascii="宋体" w:hAnsi="宋体" w:eastAsia="宋体" w:cs="宋体"/>
                <w:color w:val="auto"/>
                <w:highlight w:val="none"/>
                <w:lang w:val="en-US" w:eastAsia="zh-CN"/>
              </w:rPr>
              <w:t>由高到低依次推荐成交候选人。</w:t>
            </w:r>
          </w:p>
          <w:p w14:paraId="0CFCE047">
            <w:pPr>
              <w:spacing w:before="38" w:line="243" w:lineRule="auto"/>
              <w:ind w:left="122" w:right="41"/>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rPr>
              <w:t>4)各种计算采用插入法，最终结果数字保留二位小数，第三位“四舍五入”。</w:t>
            </w:r>
          </w:p>
        </w:tc>
      </w:tr>
    </w:tbl>
    <w:p w14:paraId="2BAB3247">
      <w:pPr>
        <w:keepNext w:val="0"/>
        <w:keepLines w:val="0"/>
        <w:widowControl/>
        <w:suppressLineNumbers w:val="0"/>
        <w:jc w:val="left"/>
        <w:rPr>
          <w:rFonts w:hint="eastAsia" w:ascii="宋体" w:hAnsi="宋体" w:eastAsia="宋体" w:cs="宋体"/>
        </w:rPr>
      </w:pPr>
    </w:p>
    <w:p w14:paraId="2DA0B482">
      <w:pPr>
        <w:keepNext w:val="0"/>
        <w:keepLines w:val="0"/>
        <w:pageBreakBefore w:val="0"/>
        <w:widowControl w:val="0"/>
        <w:numPr>
          <w:ilvl w:val="0"/>
          <w:numId w:val="0"/>
        </w:numPr>
        <w:tabs>
          <w:tab w:val="left" w:pos="840"/>
        </w:tabs>
        <w:kinsoku/>
        <w:wordWrap/>
        <w:overflowPunct/>
        <w:topLinePunct w:val="0"/>
        <w:autoSpaceDE w:val="0"/>
        <w:autoSpaceDN w:val="0"/>
        <w:bidi w:val="0"/>
        <w:adjustRightInd/>
        <w:snapToGrid/>
        <w:spacing w:before="0" w:after="0" w:line="360" w:lineRule="auto"/>
        <w:ind w:right="0" w:rightChars="0"/>
        <w:jc w:val="left"/>
        <w:textAlignment w:val="auto"/>
        <w:outlineLvl w:val="1"/>
        <w:rPr>
          <w:rFonts w:hint="eastAsia" w:ascii="宋体" w:hAnsi="宋体" w:eastAsia="宋体" w:cs="宋体"/>
          <w:b/>
          <w:bCs w:val="0"/>
          <w:sz w:val="24"/>
          <w:szCs w:val="24"/>
        </w:rPr>
      </w:pPr>
      <w:bookmarkStart w:id="363" w:name="_Toc28217"/>
      <w:bookmarkStart w:id="364" w:name="_Toc12586"/>
      <w:bookmarkStart w:id="365" w:name="_Toc23476"/>
      <w:bookmarkStart w:id="366" w:name="_Toc21416"/>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需要落实的政府采购政策</w:t>
      </w:r>
      <w:bookmarkEnd w:id="362"/>
      <w:bookmarkEnd w:id="363"/>
      <w:bookmarkEnd w:id="364"/>
      <w:bookmarkEnd w:id="365"/>
      <w:bookmarkEnd w:id="366"/>
    </w:p>
    <w:p w14:paraId="37B1B59D">
      <w:pPr>
        <w:bidi w:val="0"/>
        <w:outlineLvl w:val="2"/>
        <w:rPr>
          <w:rFonts w:hint="eastAsia" w:ascii="宋体" w:hAnsi="宋体" w:eastAsia="宋体" w:cs="宋体"/>
        </w:rPr>
      </w:pPr>
      <w:bookmarkStart w:id="367" w:name="_Toc13633"/>
      <w:bookmarkStart w:id="368" w:name="_Toc18682"/>
      <w:bookmarkStart w:id="369" w:name="_Toc23489"/>
      <w:bookmarkStart w:id="370" w:name="_Toc26487"/>
      <w:r>
        <w:rPr>
          <w:rFonts w:hint="eastAsia" w:ascii="宋体" w:hAnsi="宋体" w:eastAsia="宋体" w:cs="宋体"/>
          <w:lang w:val="zh-CN" w:eastAsia="zh-CN"/>
        </w:rPr>
        <w:t>（一）</w:t>
      </w:r>
      <w:r>
        <w:rPr>
          <w:rFonts w:hint="eastAsia" w:ascii="宋体" w:hAnsi="宋体" w:eastAsia="宋体" w:cs="宋体"/>
        </w:rPr>
        <w:t>中小企业的价格评分标准</w:t>
      </w:r>
      <w:bookmarkEnd w:id="367"/>
      <w:bookmarkEnd w:id="368"/>
      <w:bookmarkEnd w:id="369"/>
      <w:bookmarkEnd w:id="370"/>
    </w:p>
    <w:p w14:paraId="600AFAFE">
      <w:pPr>
        <w:bidi w:val="0"/>
        <w:rPr>
          <w:rFonts w:hint="eastAsia" w:ascii="宋体" w:hAnsi="宋体" w:eastAsia="宋体" w:cs="宋体"/>
        </w:rPr>
      </w:pPr>
      <w:r>
        <w:rPr>
          <w:rFonts w:hint="eastAsia" w:ascii="宋体" w:hAnsi="宋体" w:eastAsia="宋体" w:cs="宋体"/>
        </w:rPr>
        <w:t>根据《政府采购促进中小企业发展管理办法》（财库〔2020〕46 号）及《关于进一步加大政府采购支持中小企业力度的通知》（财库〔2022〕19 号）的办法，对于非专门面向中小企业的项目，货物服务采购项目给予小微企业的价格扣除优惠，由财库〔2020〕46 号文件规定的 6%—10%提高至 10%—20%。大中型企业与小微企业组成联合体或者大中型企业向小微企业分包的，评审优惠幅度由 2%—3%提高至4%—6%。</w:t>
      </w:r>
    </w:p>
    <w:p w14:paraId="56AA4C76">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lang w:val="zh-CN" w:eastAsia="zh-CN"/>
        </w:rPr>
        <w:t>（1）</w:t>
      </w:r>
      <w:r>
        <w:rPr>
          <w:rFonts w:hint="eastAsia" w:ascii="宋体" w:hAnsi="宋体" w:eastAsia="宋体" w:cs="宋体"/>
          <w:b/>
          <w:bCs/>
          <w:color w:val="auto"/>
          <w:szCs w:val="21"/>
          <w:highlight w:val="none"/>
        </w:rPr>
        <w:t>本项目为专门面向中小企业预留份额项目。</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需满足中小企业划型的要求，提供声明函\证明函，否则</w:t>
      </w:r>
      <w:r>
        <w:rPr>
          <w:rFonts w:hint="eastAsia" w:ascii="宋体" w:hAnsi="宋体" w:eastAsia="宋体" w:cs="宋体"/>
          <w:b/>
          <w:bCs/>
          <w:color w:val="auto"/>
          <w:szCs w:val="21"/>
          <w:highlight w:val="none"/>
          <w:lang w:val="en-US" w:eastAsia="zh-CN"/>
        </w:rPr>
        <w:t>磋商</w:t>
      </w:r>
      <w:r>
        <w:rPr>
          <w:rFonts w:hint="eastAsia" w:ascii="宋体" w:hAnsi="宋体" w:eastAsia="宋体" w:cs="宋体"/>
          <w:b/>
          <w:bCs/>
          <w:color w:val="auto"/>
          <w:szCs w:val="21"/>
          <w:highlight w:val="none"/>
        </w:rPr>
        <w:t>无效。</w:t>
      </w:r>
    </w:p>
    <w:p w14:paraId="3A62C34F">
      <w:pPr>
        <w:bidi w:val="0"/>
        <w:rPr>
          <w:rFonts w:hint="eastAsia" w:ascii="宋体" w:hAnsi="宋体" w:eastAsia="宋体" w:cs="宋体"/>
        </w:rPr>
      </w:pPr>
      <w:r>
        <w:rPr>
          <w:rFonts w:hint="eastAsia" w:ascii="宋体" w:hAnsi="宋体" w:eastAsia="宋体" w:cs="宋体"/>
          <w:lang w:val="zh-CN" w:eastAsia="zh-CN"/>
        </w:rPr>
        <w:t>（2）</w:t>
      </w:r>
      <w:r>
        <w:rPr>
          <w:rFonts w:hint="eastAsia" w:ascii="宋体" w:hAnsi="宋体" w:eastAsia="宋体" w:cs="宋体"/>
        </w:rPr>
        <w:t>联合体共同参加非专门面向中小企业的政府采购活动，联合协议中约定，小型和微型企业的协议合同金额占到联合体协议合同金额的 30%以上的，可给予联合体 3%的价格扣除，用扣除后的价格参与评审，其评标价=</w:t>
      </w:r>
      <w:r>
        <w:rPr>
          <w:rFonts w:hint="eastAsia" w:ascii="宋体" w:hAnsi="宋体" w:eastAsia="宋体" w:cs="宋体"/>
          <w:lang w:val="en-US" w:eastAsia="zh-CN"/>
        </w:rPr>
        <w:t>磋商</w:t>
      </w:r>
      <w:r>
        <w:rPr>
          <w:rFonts w:hint="eastAsia" w:ascii="宋体" w:hAnsi="宋体" w:eastAsia="宋体" w:cs="宋体"/>
        </w:rPr>
        <w:t>报价*（1-6%）。</w:t>
      </w:r>
    </w:p>
    <w:p w14:paraId="475D334C">
      <w:pPr>
        <w:bidi w:val="0"/>
        <w:rPr>
          <w:rFonts w:hint="eastAsia" w:ascii="宋体" w:hAnsi="宋体" w:eastAsia="宋体" w:cs="宋体"/>
        </w:rPr>
      </w:pPr>
      <w:r>
        <w:rPr>
          <w:rFonts w:hint="eastAsia" w:ascii="宋体" w:hAnsi="宋体" w:eastAsia="宋体" w:cs="宋体"/>
          <w:lang w:val="zh-CN" w:eastAsia="zh-CN"/>
        </w:rPr>
        <w:t>（3）</w:t>
      </w:r>
      <w:r>
        <w:rPr>
          <w:rFonts w:hint="eastAsia" w:ascii="宋体" w:hAnsi="宋体" w:eastAsia="宋体" w:cs="宋体"/>
        </w:rPr>
        <w:t>参加本项目的中小企业须提供《中小企业声明函》（附件），未提供的不视为中小企业。</w:t>
      </w:r>
      <w:r>
        <w:rPr>
          <w:rFonts w:hint="eastAsia" w:ascii="宋体" w:hAnsi="宋体" w:eastAsia="宋体" w:cs="宋体"/>
          <w:lang w:eastAsia="zh-CN"/>
        </w:rPr>
        <w:t>供应商</w:t>
      </w:r>
      <w:r>
        <w:rPr>
          <w:rFonts w:hint="eastAsia" w:ascii="宋体" w:hAnsi="宋体" w:eastAsia="宋体" w:cs="宋体"/>
        </w:rPr>
        <w:t>提供的货物由中小企业制造，即货物由中小企业生产且使用该中小企业商号或者注册商标享受本办法规定的中小企业扶持政策；</w:t>
      </w:r>
      <w:r>
        <w:rPr>
          <w:rFonts w:hint="eastAsia" w:ascii="宋体" w:hAnsi="宋体" w:eastAsia="宋体" w:cs="宋体"/>
          <w:lang w:eastAsia="zh-CN"/>
        </w:rPr>
        <w:t>供应商</w:t>
      </w:r>
      <w:r>
        <w:rPr>
          <w:rFonts w:hint="eastAsia" w:ascii="宋体" w:hAnsi="宋体" w:eastAsia="宋体" w:cs="宋体"/>
        </w:rPr>
        <w:t>提供的货物既有中小企业制造货物，也有大型企业制造货物的，不享受本办法规定的中小企业扶持政策。</w:t>
      </w:r>
    </w:p>
    <w:p w14:paraId="3F054832">
      <w:pPr>
        <w:bidi w:val="0"/>
        <w:rPr>
          <w:rFonts w:hint="eastAsia" w:ascii="宋体" w:hAnsi="宋体" w:eastAsia="宋体" w:cs="宋体"/>
        </w:rPr>
      </w:pPr>
      <w:r>
        <w:rPr>
          <w:rFonts w:hint="eastAsia" w:ascii="宋体" w:hAnsi="宋体" w:eastAsia="宋体" w:cs="宋体"/>
          <w:lang w:val="zh-CN" w:eastAsia="zh-CN"/>
        </w:rPr>
        <w:t>（4）</w:t>
      </w:r>
      <w:r>
        <w:rPr>
          <w:rFonts w:hint="eastAsia" w:ascii="宋体" w:hAnsi="宋体" w:eastAsia="宋体" w:cs="宋体"/>
        </w:rPr>
        <w:t>中小企业按《政府采购促进中小企业发展管理办法》（财库〔2020〕46 号） 及《关于进一步加大政府采购支持中小企业力度的通知》（财库〔2022〕19 号）和《工业和信息化部、国家统计局、国家发展和改革委员会、财政部关于印发&lt;中小企业划型标准规定&gt;的通知》（工信部联企业【2011】300 号）文件规定标准确认。</w:t>
      </w:r>
    </w:p>
    <w:p w14:paraId="57486BDF">
      <w:pPr>
        <w:bidi w:val="0"/>
        <w:outlineLvl w:val="2"/>
        <w:rPr>
          <w:rFonts w:hint="eastAsia" w:ascii="宋体" w:hAnsi="宋体" w:eastAsia="宋体" w:cs="宋体"/>
        </w:rPr>
      </w:pPr>
      <w:bookmarkStart w:id="371" w:name="_Toc32379"/>
      <w:bookmarkStart w:id="372" w:name="_Toc9353"/>
      <w:bookmarkStart w:id="373" w:name="_Toc21042"/>
      <w:bookmarkStart w:id="374" w:name="_Toc3348"/>
      <w:r>
        <w:rPr>
          <w:rFonts w:hint="eastAsia" w:ascii="宋体" w:hAnsi="宋体" w:eastAsia="宋体" w:cs="宋体"/>
          <w:lang w:val="zh-CN" w:eastAsia="zh-CN"/>
        </w:rPr>
        <w:t>（二）</w:t>
      </w:r>
      <w:r>
        <w:rPr>
          <w:rFonts w:hint="eastAsia" w:ascii="宋体" w:hAnsi="宋体" w:eastAsia="宋体" w:cs="宋体"/>
        </w:rPr>
        <w:t>监狱企业的价格评分标准</w:t>
      </w:r>
      <w:bookmarkEnd w:id="371"/>
      <w:bookmarkEnd w:id="372"/>
      <w:bookmarkEnd w:id="373"/>
      <w:bookmarkEnd w:id="374"/>
    </w:p>
    <w:p w14:paraId="1F7D8005">
      <w:pPr>
        <w:bidi w:val="0"/>
        <w:rPr>
          <w:rFonts w:hint="eastAsia" w:ascii="宋体" w:hAnsi="宋体" w:eastAsia="宋体" w:cs="宋体"/>
        </w:rPr>
      </w:pPr>
      <w:r>
        <w:rPr>
          <w:rFonts w:hint="eastAsia" w:ascii="宋体" w:hAnsi="宋体" w:eastAsia="宋体" w:cs="宋体"/>
        </w:rPr>
        <w:t>在政府采购活动中，监狱企业视同小型、微型企业，享受预留份额、评审中价格扣除等政府采购促进中小企业发展的政府采购政策。对监狱企业产品的价格给予 10%的扣除，用扣除后的价格参与评审，其评标价=</w:t>
      </w:r>
      <w:r>
        <w:rPr>
          <w:rFonts w:hint="eastAsia" w:ascii="宋体" w:hAnsi="宋体" w:eastAsia="宋体" w:cs="宋体"/>
          <w:lang w:eastAsia="zh-CN"/>
        </w:rPr>
        <w:t>磋商</w:t>
      </w:r>
      <w:r>
        <w:rPr>
          <w:rFonts w:hint="eastAsia" w:ascii="宋体" w:hAnsi="宋体" w:eastAsia="宋体" w:cs="宋体"/>
        </w:rPr>
        <w:t>报价*（1-10%）。</w:t>
      </w:r>
    </w:p>
    <w:p w14:paraId="6A59FD5B">
      <w:pPr>
        <w:bidi w:val="0"/>
        <w:rPr>
          <w:rFonts w:hint="eastAsia" w:ascii="宋体" w:hAnsi="宋体" w:eastAsia="宋体" w:cs="宋体"/>
        </w:rPr>
      </w:pPr>
      <w:r>
        <w:rPr>
          <w:rFonts w:hint="eastAsia" w:ascii="宋体" w:hAnsi="宋体" w:eastAsia="宋体" w:cs="宋体"/>
        </w:rPr>
        <w:t>监狱企业属于小型、微型企业的，不重复享受政策。</w:t>
      </w:r>
    </w:p>
    <w:p w14:paraId="508D3B7F">
      <w:pPr>
        <w:bidi w:val="0"/>
        <w:rPr>
          <w:rFonts w:hint="eastAsia" w:ascii="宋体" w:hAnsi="宋体" w:eastAsia="宋体" w:cs="宋体"/>
        </w:rPr>
      </w:pPr>
      <w:r>
        <w:rPr>
          <w:rFonts w:hint="eastAsia" w:ascii="宋体" w:hAnsi="宋体" w:eastAsia="宋体" w:cs="宋体"/>
        </w:rPr>
        <w:t>监狱企业参加政府采购活动时，应当提供由省级以上监狱管理局、戒毒管理局（含新疆生产建设兵团）出具的属于监狱企业的证明文件。</w:t>
      </w:r>
    </w:p>
    <w:p w14:paraId="55C37783">
      <w:pPr>
        <w:bidi w:val="0"/>
        <w:rPr>
          <w:rFonts w:hint="eastAsia" w:ascii="宋体" w:hAnsi="宋体" w:eastAsia="宋体" w:cs="宋体"/>
        </w:rPr>
      </w:pPr>
      <w:r>
        <w:rPr>
          <w:rFonts w:hint="eastAsia" w:ascii="宋体" w:hAnsi="宋体" w:eastAsia="宋体" w:cs="宋体"/>
        </w:rPr>
        <w:t>监狱企业按《财政部、司法部关于政府采购支持监狱企业发展有关问题的通知》（财库〔2014〕68 号）文件规定标准执行。</w:t>
      </w:r>
    </w:p>
    <w:p w14:paraId="5CA6C7DA">
      <w:pPr>
        <w:bidi w:val="0"/>
        <w:outlineLvl w:val="2"/>
        <w:rPr>
          <w:rFonts w:hint="eastAsia" w:ascii="宋体" w:hAnsi="宋体" w:eastAsia="宋体" w:cs="宋体"/>
        </w:rPr>
      </w:pPr>
      <w:bookmarkStart w:id="375" w:name="_Toc32753"/>
      <w:bookmarkStart w:id="376" w:name="_Toc27241"/>
      <w:bookmarkStart w:id="377" w:name="_Toc8384"/>
      <w:bookmarkStart w:id="378" w:name="_Toc17434"/>
      <w:r>
        <w:rPr>
          <w:rFonts w:hint="eastAsia" w:ascii="宋体" w:hAnsi="宋体" w:eastAsia="宋体" w:cs="宋体"/>
          <w:lang w:val="zh-CN" w:eastAsia="zh-CN"/>
        </w:rPr>
        <w:t>（三）</w:t>
      </w:r>
      <w:r>
        <w:rPr>
          <w:rFonts w:hint="eastAsia" w:ascii="宋体" w:hAnsi="宋体" w:eastAsia="宋体" w:cs="宋体"/>
        </w:rPr>
        <w:t>残疾人福利性单位的价格评分标准</w:t>
      </w:r>
      <w:bookmarkEnd w:id="375"/>
      <w:bookmarkEnd w:id="376"/>
      <w:bookmarkEnd w:id="377"/>
      <w:bookmarkEnd w:id="378"/>
    </w:p>
    <w:p w14:paraId="14F928AC">
      <w:pPr>
        <w:bidi w:val="0"/>
        <w:rPr>
          <w:rFonts w:hint="eastAsia" w:ascii="宋体" w:hAnsi="宋体" w:eastAsia="宋体" w:cs="宋体"/>
        </w:rPr>
      </w:pPr>
      <w:r>
        <w:rPr>
          <w:rFonts w:hint="eastAsia" w:ascii="宋体" w:hAnsi="宋体" w:eastAsia="宋体" w:cs="宋体"/>
        </w:rPr>
        <w:t>在政府采购活动中，残疾人福利性单位视同小型、微型企业，享受预留份额、评审中价格扣除等政府采购促进中小企业发展的政府采购政策。对残疾人福利性单位产品的价格给予 10%的扣除，用扣除后的价格参与评审，其评标价=</w:t>
      </w:r>
      <w:r>
        <w:rPr>
          <w:rFonts w:hint="eastAsia" w:ascii="宋体" w:hAnsi="宋体" w:eastAsia="宋体" w:cs="宋体"/>
          <w:lang w:eastAsia="zh-CN"/>
        </w:rPr>
        <w:t>磋商</w:t>
      </w:r>
      <w:r>
        <w:rPr>
          <w:rFonts w:hint="eastAsia" w:ascii="宋体" w:hAnsi="宋体" w:eastAsia="宋体" w:cs="宋体"/>
        </w:rPr>
        <w:t>报价*（1-10%）。</w:t>
      </w:r>
    </w:p>
    <w:p w14:paraId="6168B4FE">
      <w:pPr>
        <w:bidi w:val="0"/>
        <w:rPr>
          <w:rFonts w:hint="eastAsia" w:ascii="宋体" w:hAnsi="宋体" w:eastAsia="宋体" w:cs="宋体"/>
        </w:rPr>
      </w:pPr>
      <w:r>
        <w:rPr>
          <w:rFonts w:hint="eastAsia" w:ascii="宋体" w:hAnsi="宋体" w:eastAsia="宋体" w:cs="宋体"/>
        </w:rPr>
        <w:t>残疾人福利性单位属于小型、微型企业的，不重复享受政策。</w:t>
      </w:r>
    </w:p>
    <w:p w14:paraId="2F640150">
      <w:pPr>
        <w:bidi w:val="0"/>
        <w:rPr>
          <w:rFonts w:hint="eastAsia" w:ascii="宋体" w:hAnsi="宋体" w:eastAsia="宋体" w:cs="宋体"/>
        </w:rPr>
      </w:pPr>
      <w:r>
        <w:rPr>
          <w:rFonts w:hint="eastAsia" w:ascii="宋体" w:hAnsi="宋体" w:eastAsia="宋体" w:cs="宋体"/>
        </w:rPr>
        <w:t>符合条件的残疾人福利性单位在参加政府采购活动时，应当提供本通知规定的《残疾人福利性单位声明函》（见附件），并对声明的真实性负责，未提供的不视为残疾人福利性单位。</w:t>
      </w:r>
    </w:p>
    <w:p w14:paraId="17A8A831">
      <w:pPr>
        <w:bidi w:val="0"/>
        <w:outlineLvl w:val="2"/>
        <w:rPr>
          <w:rFonts w:hint="eastAsia" w:ascii="宋体" w:hAnsi="宋体" w:eastAsia="宋体" w:cs="宋体"/>
        </w:rPr>
      </w:pPr>
      <w:bookmarkStart w:id="379" w:name="_Toc8682"/>
      <w:bookmarkStart w:id="380" w:name="_Toc10189"/>
      <w:bookmarkStart w:id="381" w:name="_Toc10270"/>
      <w:bookmarkStart w:id="382" w:name="_Toc14751"/>
      <w:r>
        <w:rPr>
          <w:rFonts w:hint="eastAsia" w:ascii="宋体" w:hAnsi="宋体" w:eastAsia="宋体" w:cs="宋体"/>
          <w:lang w:val="zh-CN" w:eastAsia="zh-CN"/>
        </w:rPr>
        <w:t>（四）</w:t>
      </w:r>
      <w:r>
        <w:rPr>
          <w:rFonts w:hint="eastAsia" w:ascii="宋体" w:hAnsi="宋体" w:eastAsia="宋体" w:cs="宋体"/>
        </w:rPr>
        <w:t>节能产品、环境标志产品政策</w:t>
      </w:r>
      <w:bookmarkEnd w:id="379"/>
      <w:bookmarkEnd w:id="380"/>
      <w:bookmarkEnd w:id="381"/>
      <w:bookmarkEnd w:id="382"/>
    </w:p>
    <w:p w14:paraId="15EA125C">
      <w:pPr>
        <w:bidi w:val="0"/>
        <w:rPr>
          <w:rFonts w:hint="eastAsia" w:ascii="宋体" w:hAnsi="宋体" w:eastAsia="宋体" w:cs="宋体"/>
        </w:rPr>
      </w:pPr>
      <w:r>
        <w:rPr>
          <w:rFonts w:hint="eastAsia" w:ascii="宋体" w:hAnsi="宋体" w:eastAsia="宋体" w:cs="宋体"/>
        </w:rPr>
        <w:t>节能产品、环境标志产品根据《财政部、国家发展和改革委员会关于印发&lt;节能产品政府采购实施意见&gt;的通知》（财库〔200</w:t>
      </w:r>
      <w:r>
        <w:rPr>
          <w:rFonts w:hint="eastAsia" w:ascii="宋体" w:hAnsi="宋体" w:eastAsia="宋体" w:cs="宋体"/>
          <w:lang w:val="en-US" w:eastAsia="zh-CN"/>
        </w:rPr>
        <w:t>4</w:t>
      </w:r>
      <w:r>
        <w:rPr>
          <w:rFonts w:hint="eastAsia" w:ascii="宋体" w:hAnsi="宋体" w:eastAsia="宋体" w:cs="宋体"/>
        </w:rPr>
        <w:t>〕185 号）、《国务院办公厅关于建立政府强制采购节能产品制度的通知》（国办发〔2007〕51 号）、《财政部、国家环保总局联合印发&lt;关于环境标志产品政府采购实施的意见&gt;》（财库〔200</w:t>
      </w:r>
      <w:r>
        <w:rPr>
          <w:rFonts w:hint="eastAsia" w:ascii="宋体" w:hAnsi="宋体" w:eastAsia="宋体" w:cs="宋体"/>
          <w:lang w:val="en-US" w:eastAsia="zh-CN"/>
        </w:rPr>
        <w:t>6</w:t>
      </w:r>
      <w:r>
        <w:rPr>
          <w:rFonts w:hint="eastAsia" w:ascii="宋体" w:hAnsi="宋体" w:eastAsia="宋体" w:cs="宋体"/>
        </w:rPr>
        <w:t>〕90 号）、《财政部、发展改革委、生态环境部、市场监管总局关于调整优化节能产品、环境标志产品政府采购执行机制的通知》（财库〔2019〕9 号）、《关于印发节能产品政府采购品目清单的通知》（财库〔2019〕19 号）、《关于印发环境标志产品政府采购品目清单的通知》（财库〔2019〕18 号）的有关规定执行。</w:t>
      </w:r>
    </w:p>
    <w:p w14:paraId="1A2413BE">
      <w:pPr>
        <w:bidi w:val="0"/>
        <w:rPr>
          <w:rFonts w:hint="eastAsia" w:ascii="宋体" w:hAnsi="宋体" w:eastAsia="宋体" w:cs="宋体"/>
        </w:rPr>
      </w:pPr>
      <w:r>
        <w:rPr>
          <w:rFonts w:hint="eastAsia" w:ascii="宋体" w:hAnsi="宋体" w:eastAsia="宋体" w:cs="宋体"/>
        </w:rPr>
        <w:t>供应商享受支持中小型企业发展政策优惠的，可以同时享受节能、环境标志产品 优先采购政策。</w:t>
      </w:r>
    </w:p>
    <w:p w14:paraId="5B5A4839">
      <w:pPr>
        <w:bidi w:val="0"/>
        <w:rPr>
          <w:rFonts w:hint="eastAsia" w:ascii="宋体" w:hAnsi="宋体" w:eastAsia="宋体" w:cs="宋体"/>
        </w:rPr>
      </w:pPr>
      <w:r>
        <w:rPr>
          <w:rFonts w:hint="eastAsia" w:ascii="宋体" w:hAnsi="宋体" w:eastAsia="宋体" w:cs="宋体"/>
        </w:rPr>
        <w:t>单个合同项为单一产品的，所投产品为节能、环境标志产品的在磋商最终报价 的基础上，按“磋商最终报价×6%”进行扣减；</w:t>
      </w:r>
    </w:p>
    <w:p w14:paraId="24CA0EB7">
      <w:pPr>
        <w:bidi w:val="0"/>
        <w:rPr>
          <w:rFonts w:hint="eastAsia" w:ascii="宋体" w:hAnsi="宋体" w:eastAsia="宋体" w:cs="宋体"/>
        </w:rPr>
      </w:pPr>
      <w:r>
        <w:rPr>
          <w:rFonts w:hint="eastAsia" w:ascii="宋体" w:hAnsi="宋体" w:eastAsia="宋体" w:cs="宋体"/>
        </w:rPr>
        <w:t>单个合同项为多种产品的，所投产品为节能、环境标志产品报价占到总报价  30％以上的，在磋商最终报价的基础上，按“磋商最终报价×3%”进行扣减；在磋商最终 报价时须对此类产品单独分项报价，计算出小计及占总价的百分比，未提供节能、环境标志产品报价明细表及</w:t>
      </w:r>
      <w:r>
        <w:rPr>
          <w:rFonts w:hint="eastAsia" w:ascii="宋体" w:hAnsi="宋体" w:eastAsia="宋体" w:cs="宋体"/>
          <w:lang w:eastAsia="zh-CN"/>
        </w:rPr>
        <w:t>节能、环保标志产品</w:t>
      </w:r>
      <w:r>
        <w:rPr>
          <w:rFonts w:hint="eastAsia" w:ascii="宋体" w:hAnsi="宋体" w:eastAsia="宋体" w:cs="宋体"/>
        </w:rPr>
        <w:t>规定的证明材料，在评审时不享受政府采购优惠政策。</w:t>
      </w:r>
    </w:p>
    <w:p w14:paraId="6C043489">
      <w:pPr>
        <w:rPr>
          <w:rFonts w:hint="eastAsia" w:ascii="宋体" w:hAnsi="宋体" w:eastAsia="宋体" w:cs="宋体"/>
          <w:lang w:eastAsia="zh-CN"/>
        </w:rPr>
      </w:pPr>
      <w:r>
        <w:rPr>
          <w:rFonts w:hint="eastAsia" w:ascii="宋体" w:hAnsi="宋体" w:eastAsia="宋体" w:cs="宋体"/>
          <w:lang w:eastAsia="zh-CN"/>
        </w:rPr>
        <w:br w:type="page"/>
      </w:r>
    </w:p>
    <w:p w14:paraId="6286EE54">
      <w:pPr>
        <w:pStyle w:val="2"/>
        <w:tabs>
          <w:tab w:val="left" w:pos="4429"/>
        </w:tabs>
        <w:spacing w:before="23"/>
        <w:ind w:left="0" w:leftChars="0" w:firstLine="0" w:firstLineChars="0"/>
        <w:jc w:val="center"/>
        <w:outlineLvl w:val="0"/>
        <w:rPr>
          <w:rFonts w:hint="eastAsia" w:ascii="宋体" w:hAnsi="宋体" w:eastAsia="宋体" w:cs="宋体"/>
          <w:lang w:val="en-US" w:eastAsia="zh-CN"/>
        </w:rPr>
      </w:pPr>
      <w:bookmarkStart w:id="383" w:name="_Toc25181"/>
      <w:bookmarkStart w:id="384" w:name="_Toc20983"/>
      <w:bookmarkStart w:id="385" w:name="_Toc2705"/>
      <w:bookmarkStart w:id="386" w:name="_Toc27949"/>
      <w:bookmarkStart w:id="387" w:name="_Toc5537"/>
      <w:bookmarkStart w:id="388" w:name="_Toc20408"/>
      <w:bookmarkStart w:id="389" w:name="_Toc22165"/>
      <w:bookmarkStart w:id="390" w:name="_Toc28640"/>
      <w:bookmarkStart w:id="391" w:name="_Toc13054"/>
      <w:bookmarkStart w:id="392" w:name="_Toc8342"/>
      <w:r>
        <w:rPr>
          <w:rFonts w:hint="eastAsia" w:ascii="宋体" w:hAnsi="宋体" w:eastAsia="宋体" w:cs="宋体"/>
          <w:lang w:eastAsia="zh-CN"/>
        </w:rPr>
        <w:t>第四部分</w:t>
      </w:r>
      <w:r>
        <w:rPr>
          <w:rFonts w:hint="eastAsia" w:ascii="宋体" w:hAnsi="宋体" w:eastAsia="宋体" w:cs="宋体"/>
          <w:lang w:val="en-US" w:eastAsia="zh-CN"/>
        </w:rPr>
        <w:t xml:space="preserve">  采购内容及要求</w:t>
      </w:r>
      <w:bookmarkEnd w:id="383"/>
      <w:bookmarkEnd w:id="384"/>
      <w:bookmarkEnd w:id="385"/>
      <w:bookmarkEnd w:id="386"/>
      <w:bookmarkEnd w:id="387"/>
      <w:bookmarkEnd w:id="388"/>
      <w:bookmarkEnd w:id="389"/>
      <w:bookmarkEnd w:id="390"/>
      <w:bookmarkEnd w:id="391"/>
      <w:bookmarkEnd w:id="392"/>
    </w:p>
    <w:p w14:paraId="2F08B15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eastAsia="zh-CN"/>
        </w:rPr>
      </w:pPr>
      <w:bookmarkStart w:id="393" w:name="_Toc29914"/>
      <w:bookmarkStart w:id="394" w:name="_Toc30499"/>
      <w:bookmarkStart w:id="395" w:name="_Toc14534"/>
      <w:r>
        <w:rPr>
          <w:rFonts w:hint="eastAsia" w:ascii="宋体" w:hAnsi="宋体" w:eastAsia="宋体" w:cs="宋体"/>
          <w:b/>
          <w:bCs/>
          <w:color w:val="auto"/>
          <w:sz w:val="24"/>
          <w:szCs w:val="24"/>
          <w:highlight w:val="none"/>
          <w:lang w:eastAsia="zh-CN"/>
        </w:rPr>
        <w:t>一、采购内容</w:t>
      </w:r>
    </w:p>
    <w:p w14:paraId="770A6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1、工程名称：仁宗街办仁宗村水毁重建项目。</w:t>
      </w:r>
    </w:p>
    <w:p w14:paraId="232CA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2、工程内容：</w:t>
      </w:r>
      <w:r>
        <w:rPr>
          <w:rFonts w:hint="eastAsia" w:ascii="宋体" w:hAnsi="宋体" w:eastAsia="宋体" w:cs="宋体"/>
          <w:sz w:val="24"/>
          <w:szCs w:val="24"/>
        </w:rPr>
        <w:t>包含许家组道路硬化505平方米，新修4米高，80米长混凝土挡土墙，新做U型排水槽260米</w:t>
      </w:r>
      <w:r>
        <w:rPr>
          <w:rFonts w:hint="eastAsia" w:ascii="宋体" w:hAnsi="宋体" w:eastAsia="宋体" w:cs="宋体"/>
          <w:sz w:val="24"/>
          <w:szCs w:val="24"/>
          <w:lang w:eastAsia="zh-CN"/>
        </w:rPr>
        <w:t>；</w:t>
      </w:r>
      <w:r>
        <w:rPr>
          <w:rFonts w:hint="eastAsia" w:ascii="宋体" w:hAnsi="宋体" w:eastAsia="宋体" w:cs="宋体"/>
          <w:sz w:val="24"/>
          <w:szCs w:val="24"/>
        </w:rPr>
        <w:t>潘家</w:t>
      </w:r>
      <w:r>
        <w:rPr>
          <w:rFonts w:hint="eastAsia" w:ascii="宋体" w:hAnsi="宋体" w:eastAsia="宋体" w:cs="宋体"/>
          <w:sz w:val="24"/>
          <w:szCs w:val="24"/>
          <w:lang w:val="en-US" w:eastAsia="zh-CN"/>
        </w:rPr>
        <w:t>组</w:t>
      </w:r>
      <w:r>
        <w:rPr>
          <w:rFonts w:hint="eastAsia" w:ascii="宋体" w:hAnsi="宋体" w:eastAsia="宋体" w:cs="宋体"/>
          <w:sz w:val="24"/>
          <w:szCs w:val="24"/>
        </w:rPr>
        <w:t>道路硬化31平方米，新修4.5米高，9米长混凝土挡土墙，2.5米高，13米长混凝土挡土墙等。</w:t>
      </w:r>
    </w:p>
    <w:p w14:paraId="0761A895">
      <w:pPr>
        <w:pStyle w:val="25"/>
        <w:bidi w:val="0"/>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3、预算金额：</w:t>
      </w:r>
      <w:r>
        <w:rPr>
          <w:rFonts w:hint="eastAsia" w:ascii="宋体" w:hAnsi="宋体" w:eastAsia="宋体" w:cs="宋体"/>
          <w:sz w:val="24"/>
          <w:szCs w:val="24"/>
          <w:u w:val="none"/>
          <w:lang w:val="en-US" w:eastAsia="zh-CN"/>
        </w:rPr>
        <w:t>采购预算：530000.00元，最高限价：529177.73元。（超出本项目采购预算及最高限价的为无效磋商）</w:t>
      </w:r>
    </w:p>
    <w:p w14:paraId="7F6C8F8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sz w:val="24"/>
          <w:szCs w:val="24"/>
          <w:highlight w:val="none"/>
          <w:lang w:val="en-US" w:eastAsia="zh-CN"/>
        </w:rPr>
        <w:t>商务</w:t>
      </w:r>
      <w:r>
        <w:rPr>
          <w:rFonts w:hint="eastAsia" w:ascii="宋体" w:hAnsi="宋体" w:eastAsia="宋体" w:cs="宋体"/>
          <w:b/>
          <w:bCs/>
          <w:color w:val="auto"/>
          <w:sz w:val="24"/>
          <w:szCs w:val="24"/>
          <w:highlight w:val="none"/>
          <w:lang w:val="en-US" w:eastAsia="zh-CN"/>
        </w:rPr>
        <w:t>要求</w:t>
      </w:r>
    </w:p>
    <w:p w14:paraId="12B7D125">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（1）付款方式：</w:t>
      </w:r>
    </w:p>
    <w:p w14:paraId="64C58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付款方式：合同签订后10个工作日内支付合同总价款30%作为预付款;项目竣工验收合格后15个工作日内支付至合同金额的80%；待结算审计完成后15个工作日内支付至结算审计金额的97%；其余3%作为保修金，质保期满无质量问题，发包人无息退还保修金。</w:t>
      </w:r>
    </w:p>
    <w:p w14:paraId="483DB8B6">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highlight w:val="yellow"/>
        </w:rPr>
      </w:pPr>
      <w:r>
        <w:rPr>
          <w:rFonts w:hint="eastAsia" w:ascii="宋体" w:hAnsi="宋体" w:eastAsia="宋体" w:cs="宋体"/>
          <w:kern w:val="2"/>
          <w:sz w:val="24"/>
          <w:szCs w:val="24"/>
          <w:highlight w:val="none"/>
          <w:lang w:val="en-US" w:eastAsia="zh-CN" w:bidi="ar-SA"/>
        </w:rPr>
        <w:t>2、结算方式：银行转账，</w:t>
      </w:r>
      <w:r>
        <w:rPr>
          <w:rFonts w:hint="eastAsia" w:ascii="宋体" w:hAnsi="宋体" w:eastAsia="宋体" w:cs="宋体"/>
          <w:sz w:val="24"/>
          <w:szCs w:val="24"/>
          <w:highlight w:val="none"/>
        </w:rPr>
        <w:t>乙方在接受付款前，开具相应额度发票给甲方</w:t>
      </w:r>
      <w:r>
        <w:rPr>
          <w:rFonts w:hint="eastAsia" w:ascii="宋体" w:hAnsi="宋体" w:eastAsia="宋体" w:cs="宋体"/>
          <w:sz w:val="24"/>
          <w:szCs w:val="24"/>
          <w:highlight w:val="none"/>
          <w:lang w:eastAsia="zh-CN"/>
        </w:rPr>
        <w:t>。</w:t>
      </w:r>
    </w:p>
    <w:p w14:paraId="236FB348">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（2）工期：40日历天。</w:t>
      </w:r>
    </w:p>
    <w:p w14:paraId="64183771">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pacing w:val="-3"/>
          <w:sz w:val="24"/>
          <w:szCs w:val="24"/>
          <w:highlight w:val="none"/>
          <w:lang w:eastAsia="zh-CN"/>
        </w:rPr>
      </w:pPr>
      <w:r>
        <w:rPr>
          <w:rFonts w:hint="eastAsia" w:ascii="宋体" w:hAnsi="宋体" w:eastAsia="宋体" w:cs="宋体"/>
          <w:kern w:val="2"/>
          <w:sz w:val="24"/>
          <w:szCs w:val="24"/>
          <w:highlight w:val="none"/>
          <w:lang w:val="en-US" w:eastAsia="zh-CN" w:bidi="ar-SA"/>
        </w:rPr>
        <w:t>（3）质量保证：</w:t>
      </w:r>
      <w:r>
        <w:rPr>
          <w:rFonts w:hint="eastAsia" w:ascii="宋体" w:hAnsi="宋体" w:eastAsia="宋体" w:cs="宋体"/>
          <w:spacing w:val="-3"/>
          <w:sz w:val="24"/>
          <w:szCs w:val="24"/>
          <w:highlight w:val="none"/>
        </w:rPr>
        <w:t>达到国家现行施工验收规范“合格</w:t>
      </w:r>
      <w:r>
        <w:rPr>
          <w:rFonts w:hint="eastAsia" w:ascii="宋体" w:hAnsi="宋体" w:eastAsia="宋体" w:cs="宋体"/>
          <w:spacing w:val="-86"/>
          <w:sz w:val="24"/>
          <w:szCs w:val="24"/>
          <w:highlight w:val="none"/>
        </w:rPr>
        <w:t xml:space="preserve"> </w:t>
      </w:r>
      <w:r>
        <w:rPr>
          <w:rFonts w:hint="eastAsia" w:ascii="宋体" w:hAnsi="宋体" w:eastAsia="宋体" w:cs="宋体"/>
          <w:spacing w:val="-3"/>
          <w:sz w:val="24"/>
          <w:szCs w:val="24"/>
          <w:highlight w:val="none"/>
        </w:rPr>
        <w:t>”标准</w:t>
      </w:r>
      <w:r>
        <w:rPr>
          <w:rFonts w:hint="eastAsia" w:ascii="宋体" w:hAnsi="宋体" w:eastAsia="宋体" w:cs="宋体"/>
          <w:spacing w:val="-3"/>
          <w:sz w:val="24"/>
          <w:szCs w:val="24"/>
          <w:highlight w:val="none"/>
          <w:lang w:eastAsia="zh-CN"/>
        </w:rPr>
        <w:t>。</w:t>
      </w:r>
    </w:p>
    <w:p w14:paraId="644E024B">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68" w:firstLineChars="200"/>
        <w:textAlignment w:val="auto"/>
        <w:outlineLvl w:val="9"/>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质保期：1年。</w:t>
      </w:r>
    </w:p>
    <w:p w14:paraId="6CB6D41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三、工程量清单</w:t>
      </w:r>
    </w:p>
    <w:p w14:paraId="4C3E286A">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（一）编制依据</w:t>
      </w:r>
    </w:p>
    <w:p w14:paraId="691FD4F7">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1、国家标准及行业标准相关图集；</w:t>
      </w:r>
    </w:p>
    <w:p w14:paraId="347B4324">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2、材料价格选用《临潼区工程造价信息》2025 年10月及《陕西省工程造价管理信息》2025 年10月或现行市场调查价格计算；</w:t>
      </w:r>
    </w:p>
    <w:p w14:paraId="6A61CD0B">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3、本工程采用现行：</w:t>
      </w:r>
    </w:p>
    <w:p w14:paraId="77E0CDD0">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《陕西省建设工程工程量清单计价规则（2025）》；</w:t>
      </w:r>
    </w:p>
    <w:p w14:paraId="45ABD6D9">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《陕西省房屋建筑与装饰工程基价表（2025）》；</w:t>
      </w:r>
    </w:p>
    <w:p w14:paraId="33F0B962">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《陕西省市政工程基价表（2025）》；</w:t>
      </w:r>
    </w:p>
    <w:p w14:paraId="08389176">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4、税金执行陕建发【2019】45号文件；</w:t>
      </w:r>
    </w:p>
    <w:p w14:paraId="2BB9D18C">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5、人工费执行陕建发【2021】1097号文件；</w:t>
      </w:r>
    </w:p>
    <w:p w14:paraId="7F39CB57">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6、关于建筑施工安全生产责任保险费用计价执行陕建发【2020】1097号文件。</w:t>
      </w:r>
    </w:p>
    <w:p w14:paraId="2DCA5636">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（二）其他说明</w:t>
      </w:r>
    </w:p>
    <w:p w14:paraId="684E7B08">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1、该项目最高限价为含增值税工程造价；</w:t>
      </w:r>
    </w:p>
    <w:p w14:paraId="182FADC3">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2、编制软件：采用广联达云计价平台 GCCP7.0，内核版本： 7.5000.23.2。</w:t>
      </w:r>
    </w:p>
    <w:p w14:paraId="6D0FC1E3">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3、其余未说明部分，详见最高限价文件。</w:t>
      </w:r>
    </w:p>
    <w:p w14:paraId="3D9E87D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四、图纸</w:t>
      </w:r>
    </w:p>
    <w:p w14:paraId="6770A5D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另附</w:t>
      </w:r>
    </w:p>
    <w:p w14:paraId="1A1F323D">
      <w:pPr>
        <w:spacing w:line="360" w:lineRule="auto"/>
        <w:rPr>
          <w:rFonts w:hint="eastAsia" w:ascii="宋体" w:hAnsi="宋体" w:eastAsia="宋体" w:cs="宋体"/>
          <w:sz w:val="24"/>
          <w:szCs w:val="24"/>
          <w:lang w:eastAsia="zh-CN"/>
        </w:rPr>
        <w:sectPr>
          <w:headerReference r:id="rId10" w:type="first"/>
          <w:footerReference r:id="rId12" w:type="first"/>
          <w:headerReference r:id="rId9" w:type="default"/>
          <w:footerReference r:id="rId11" w:type="default"/>
          <w:pgSz w:w="11905" w:h="16838"/>
          <w:pgMar w:top="1463" w:right="1463" w:bottom="1463" w:left="1463" w:header="0" w:footer="1020" w:gutter="0"/>
          <w:pgNumType w:fmt="decimal"/>
          <w:cols w:space="720" w:num="1"/>
          <w:rtlGutter w:val="0"/>
          <w:docGrid w:linePitch="312" w:charSpace="0"/>
        </w:sectPr>
      </w:pPr>
    </w:p>
    <w:p w14:paraId="45460866">
      <w:pPr>
        <w:pStyle w:val="2"/>
        <w:numPr>
          <w:ilvl w:val="0"/>
          <w:numId w:val="0"/>
        </w:numPr>
        <w:tabs>
          <w:tab w:val="left" w:pos="4429"/>
        </w:tabs>
        <w:spacing w:before="23"/>
        <w:ind w:left="0" w:leftChars="0" w:right="807" w:rightChars="0" w:firstLine="723" w:firstLineChars="200"/>
        <w:jc w:val="center"/>
        <w:outlineLvl w:val="0"/>
        <w:rPr>
          <w:rFonts w:hint="eastAsia" w:ascii="宋体" w:hAnsi="宋体" w:eastAsia="宋体" w:cs="宋体"/>
          <w:highlight w:val="none"/>
          <w:lang w:val="en-US" w:eastAsia="zh-CN"/>
        </w:rPr>
      </w:pPr>
      <w:bookmarkStart w:id="396" w:name="_Toc20496"/>
      <w:bookmarkStart w:id="397" w:name="_Toc22673"/>
      <w:bookmarkStart w:id="398" w:name="_Toc12059"/>
      <w:bookmarkStart w:id="399" w:name="_Toc24341"/>
      <w:bookmarkStart w:id="400" w:name="_Toc11957"/>
      <w:bookmarkStart w:id="401" w:name="_Toc25216"/>
      <w:r>
        <w:rPr>
          <w:rFonts w:hint="eastAsia" w:ascii="宋体" w:hAnsi="宋体" w:eastAsia="宋体" w:cs="宋体"/>
          <w:b/>
          <w:bCs/>
          <w:sz w:val="36"/>
          <w:szCs w:val="44"/>
          <w:lang w:val="en-US" w:eastAsia="zh-CN" w:bidi="zh-CN"/>
        </w:rPr>
        <w:t>第五部分</w:t>
      </w:r>
      <w:r>
        <w:rPr>
          <w:rFonts w:hint="eastAsia" w:ascii="宋体" w:hAnsi="宋体" w:eastAsia="宋体" w:cs="宋体"/>
          <w:highlight w:val="none"/>
          <w:lang w:val="en-US" w:eastAsia="zh-CN"/>
        </w:rPr>
        <w:t xml:space="preserve"> </w:t>
      </w:r>
      <w:bookmarkStart w:id="402" w:name="_Toc23401"/>
      <w:r>
        <w:rPr>
          <w:rFonts w:hint="eastAsia" w:ascii="宋体" w:hAnsi="宋体" w:eastAsia="宋体" w:cs="宋体"/>
          <w:highlight w:val="none"/>
          <w:lang w:val="en-US" w:eastAsia="zh-CN"/>
        </w:rPr>
        <w:t xml:space="preserve"> </w:t>
      </w:r>
      <w:r>
        <w:rPr>
          <w:rFonts w:hint="eastAsia" w:ascii="宋体" w:hAnsi="宋体" w:eastAsia="宋体" w:cs="宋体"/>
          <w:highlight w:val="none"/>
        </w:rPr>
        <w:t>合同</w:t>
      </w:r>
      <w:r>
        <w:rPr>
          <w:rFonts w:hint="eastAsia" w:ascii="宋体" w:hAnsi="宋体" w:eastAsia="宋体" w:cs="宋体"/>
          <w:highlight w:val="none"/>
          <w:lang w:val="en-US" w:eastAsia="zh-CN"/>
        </w:rPr>
        <w:t>条款及格式</w:t>
      </w:r>
      <w:bookmarkEnd w:id="396"/>
      <w:bookmarkEnd w:id="397"/>
      <w:bookmarkEnd w:id="398"/>
      <w:bookmarkEnd w:id="399"/>
      <w:bookmarkEnd w:id="400"/>
      <w:bookmarkEnd w:id="401"/>
      <w:bookmarkEnd w:id="402"/>
    </w:p>
    <w:bookmarkEnd w:id="393"/>
    <w:bookmarkEnd w:id="394"/>
    <w:bookmarkEnd w:id="395"/>
    <w:p w14:paraId="65842235">
      <w:pPr>
        <w:keepNext w:val="0"/>
        <w:keepLines w:val="0"/>
        <w:pageBreakBefore w:val="0"/>
        <w:widowControl w:val="0"/>
        <w:wordWrap/>
        <w:overflowPunct/>
        <w:topLinePunct w:val="0"/>
        <w:bidi w:val="0"/>
        <w:spacing w:line="360" w:lineRule="auto"/>
        <w:jc w:val="center"/>
        <w:rPr>
          <w:rFonts w:hint="eastAsia" w:ascii="宋体" w:hAnsi="宋体" w:eastAsia="宋体" w:cs="宋体"/>
          <w:b/>
          <w:color w:val="000000"/>
          <w:sz w:val="52"/>
          <w:szCs w:val="52"/>
          <w:u w:val="none"/>
        </w:rPr>
      </w:pPr>
      <w:bookmarkStart w:id="403" w:name="_bookmark4"/>
      <w:bookmarkEnd w:id="403"/>
      <w:bookmarkStart w:id="404" w:name="（此合同仅供参考，最终合同版本以采购人所提供的最终版为准，但涉及付款、服务期限，"/>
      <w:bookmarkEnd w:id="404"/>
      <w:bookmarkStart w:id="405" w:name="_Toc10284"/>
      <w:bookmarkStart w:id="406" w:name="_Toc9201"/>
      <w:bookmarkStart w:id="407" w:name="_Toc18547"/>
    </w:p>
    <w:p w14:paraId="2C6D3A4F">
      <w:pPr>
        <w:keepNext w:val="0"/>
        <w:keepLines w:val="0"/>
        <w:pageBreakBefore w:val="0"/>
        <w:widowControl w:val="0"/>
        <w:wordWrap/>
        <w:overflowPunct/>
        <w:topLinePunct w:val="0"/>
        <w:bidi w:val="0"/>
        <w:spacing w:line="360" w:lineRule="auto"/>
        <w:jc w:val="center"/>
        <w:rPr>
          <w:rFonts w:hint="eastAsia" w:ascii="宋体" w:hAnsi="宋体" w:eastAsia="宋体" w:cs="宋体"/>
          <w:b/>
          <w:color w:val="000000"/>
          <w:sz w:val="52"/>
          <w:szCs w:val="52"/>
          <w:u w:val="none"/>
        </w:rPr>
      </w:pPr>
    </w:p>
    <w:p w14:paraId="7C4C30E4">
      <w:pPr>
        <w:keepNext w:val="0"/>
        <w:keepLines w:val="0"/>
        <w:pageBreakBefore w:val="0"/>
        <w:widowControl w:val="0"/>
        <w:wordWrap/>
        <w:overflowPunct/>
        <w:topLinePunct w:val="0"/>
        <w:bidi w:val="0"/>
        <w:spacing w:line="360" w:lineRule="auto"/>
        <w:ind w:left="0" w:leftChars="0" w:firstLine="0" w:firstLineChars="0"/>
        <w:jc w:val="center"/>
        <w:rPr>
          <w:rFonts w:hint="eastAsia" w:ascii="宋体" w:hAnsi="宋体" w:eastAsia="宋体" w:cs="宋体"/>
          <w:b/>
          <w:color w:val="000000"/>
          <w:sz w:val="52"/>
          <w:szCs w:val="52"/>
          <w:u w:val="none"/>
        </w:rPr>
      </w:pPr>
      <w:r>
        <w:rPr>
          <w:rFonts w:hint="eastAsia" w:ascii="宋体" w:hAnsi="宋体" w:eastAsia="宋体" w:cs="宋体"/>
          <w:b/>
          <w:color w:val="000000"/>
          <w:sz w:val="52"/>
          <w:szCs w:val="52"/>
          <w:u w:val="none"/>
        </w:rPr>
        <w:t>陕西省建设工程施工合同</w:t>
      </w:r>
    </w:p>
    <w:p w14:paraId="51AAE872">
      <w:pPr>
        <w:keepNext w:val="0"/>
        <w:keepLines w:val="0"/>
        <w:pageBreakBefore w:val="0"/>
        <w:widowControl w:val="0"/>
        <w:wordWrap/>
        <w:overflowPunct/>
        <w:topLinePunct w:val="0"/>
        <w:bidi w:val="0"/>
        <w:spacing w:line="360" w:lineRule="auto"/>
        <w:jc w:val="center"/>
        <w:rPr>
          <w:rFonts w:hint="eastAsia" w:ascii="宋体" w:hAnsi="宋体" w:eastAsia="宋体" w:cs="宋体"/>
          <w:b/>
          <w:color w:val="000000"/>
          <w:sz w:val="52"/>
          <w:szCs w:val="52"/>
          <w:u w:val="none"/>
        </w:rPr>
      </w:pPr>
    </w:p>
    <w:p w14:paraId="7BBFC0FA">
      <w:pPr>
        <w:keepNext w:val="0"/>
        <w:keepLines w:val="0"/>
        <w:pageBreakBefore w:val="0"/>
        <w:widowControl w:val="0"/>
        <w:wordWrap/>
        <w:overflowPunct/>
        <w:topLinePunct w:val="0"/>
        <w:bidi w:val="0"/>
        <w:spacing w:line="360" w:lineRule="auto"/>
        <w:jc w:val="center"/>
        <w:rPr>
          <w:rFonts w:hint="eastAsia" w:ascii="宋体" w:hAnsi="宋体" w:eastAsia="宋体" w:cs="宋体"/>
          <w:b/>
          <w:color w:val="000000"/>
          <w:sz w:val="44"/>
          <w:szCs w:val="44"/>
          <w:u w:val="none"/>
        </w:rPr>
      </w:pPr>
    </w:p>
    <w:p w14:paraId="24178DBE">
      <w:pPr>
        <w:keepNext w:val="0"/>
        <w:keepLines w:val="0"/>
        <w:pageBreakBefore w:val="0"/>
        <w:widowControl w:val="0"/>
        <w:wordWrap/>
        <w:overflowPunct/>
        <w:topLinePunct w:val="0"/>
        <w:bidi w:val="0"/>
        <w:spacing w:line="360" w:lineRule="auto"/>
        <w:rPr>
          <w:rFonts w:hint="eastAsia" w:ascii="宋体" w:hAnsi="宋体" w:eastAsia="宋体" w:cs="宋体"/>
          <w:b/>
          <w:color w:val="000000"/>
          <w:sz w:val="44"/>
          <w:szCs w:val="44"/>
        </w:rPr>
      </w:pPr>
    </w:p>
    <w:p w14:paraId="295A155F">
      <w:pPr>
        <w:keepNext w:val="0"/>
        <w:keepLines w:val="0"/>
        <w:pageBreakBefore w:val="0"/>
        <w:widowControl w:val="0"/>
        <w:wordWrap/>
        <w:overflowPunct/>
        <w:topLinePunct w:val="0"/>
        <w:bidi w:val="0"/>
        <w:spacing w:line="360" w:lineRule="auto"/>
        <w:outlineLvl w:val="9"/>
        <w:rPr>
          <w:rFonts w:hint="eastAsia" w:ascii="宋体" w:hAnsi="宋体" w:eastAsia="宋体" w:cs="宋体"/>
          <w:b/>
          <w:color w:val="000000"/>
          <w:sz w:val="44"/>
          <w:szCs w:val="44"/>
        </w:rPr>
      </w:pPr>
    </w:p>
    <w:p w14:paraId="723C74CA">
      <w:pPr>
        <w:keepNext w:val="0"/>
        <w:keepLines w:val="0"/>
        <w:pageBreakBefore w:val="0"/>
        <w:widowControl w:val="0"/>
        <w:wordWrap/>
        <w:overflowPunct/>
        <w:topLinePunct w:val="0"/>
        <w:bidi w:val="0"/>
        <w:outlineLvl w:val="9"/>
        <w:rPr>
          <w:rFonts w:hint="eastAsia" w:ascii="宋体" w:hAnsi="宋体" w:eastAsia="宋体" w:cs="宋体"/>
          <w:b/>
          <w:color w:val="000000"/>
          <w:sz w:val="44"/>
          <w:szCs w:val="44"/>
        </w:rPr>
      </w:pPr>
    </w:p>
    <w:p w14:paraId="2DA17CFF">
      <w:pPr>
        <w:keepNext w:val="0"/>
        <w:keepLines w:val="0"/>
        <w:pageBreakBefore w:val="0"/>
        <w:widowControl w:val="0"/>
        <w:wordWrap/>
        <w:overflowPunct/>
        <w:topLinePunct w:val="0"/>
        <w:bidi w:val="0"/>
        <w:outlineLvl w:val="9"/>
        <w:rPr>
          <w:rFonts w:hint="eastAsia" w:ascii="宋体" w:hAnsi="宋体" w:eastAsia="宋体" w:cs="宋体"/>
          <w:b/>
          <w:color w:val="000000"/>
          <w:sz w:val="44"/>
          <w:szCs w:val="44"/>
        </w:rPr>
      </w:pPr>
    </w:p>
    <w:p w14:paraId="41151960">
      <w:pPr>
        <w:keepNext w:val="0"/>
        <w:keepLines w:val="0"/>
        <w:pageBreakBefore w:val="0"/>
        <w:widowControl w:val="0"/>
        <w:wordWrap/>
        <w:overflowPunct/>
        <w:topLinePunct w:val="0"/>
        <w:bidi w:val="0"/>
        <w:spacing w:line="360" w:lineRule="auto"/>
        <w:ind w:left="0" w:leftChars="0" w:firstLine="0" w:firstLineChars="0"/>
        <w:jc w:val="center"/>
        <w:rPr>
          <w:rFonts w:hint="eastAsia" w:ascii="宋体" w:hAnsi="宋体" w:eastAsia="宋体" w:cs="宋体"/>
          <w:b/>
          <w:color w:val="000000"/>
          <w:sz w:val="32"/>
          <w:szCs w:val="44"/>
          <w:u w:val="none"/>
        </w:rPr>
      </w:pPr>
      <w:r>
        <w:rPr>
          <w:rFonts w:hint="eastAsia" w:ascii="宋体" w:hAnsi="宋体" w:eastAsia="宋体" w:cs="宋体"/>
          <w:b/>
          <w:color w:val="000000"/>
          <w:sz w:val="32"/>
          <w:szCs w:val="44"/>
          <w:u w:val="none"/>
        </w:rPr>
        <w:t>陕  西  省  建  设 厅</w:t>
      </w:r>
    </w:p>
    <w:p w14:paraId="57D86839">
      <w:pPr>
        <w:keepNext w:val="0"/>
        <w:keepLines w:val="0"/>
        <w:pageBreakBefore w:val="0"/>
        <w:widowControl w:val="0"/>
        <w:wordWrap/>
        <w:overflowPunct/>
        <w:topLinePunct w:val="0"/>
        <w:bidi w:val="0"/>
        <w:spacing w:line="360" w:lineRule="auto"/>
        <w:rPr>
          <w:rFonts w:hint="eastAsia" w:ascii="宋体" w:hAnsi="宋体" w:eastAsia="宋体" w:cs="宋体"/>
          <w:b/>
          <w:color w:val="000000"/>
          <w:sz w:val="32"/>
          <w:szCs w:val="44"/>
          <w:u w:val="none"/>
        </w:rPr>
      </w:pPr>
      <w:r>
        <w:rPr>
          <w:rFonts w:hint="eastAsia" w:ascii="宋体" w:hAnsi="宋体" w:eastAsia="宋体" w:cs="宋体"/>
          <w:b/>
          <w:color w:val="000000"/>
          <w:sz w:val="32"/>
          <w:szCs w:val="44"/>
          <w:u w:val="none"/>
        </w:rPr>
        <w:t xml:space="preserve">                                         制定</w:t>
      </w:r>
    </w:p>
    <w:p w14:paraId="1ADF058B">
      <w:pPr>
        <w:keepNext w:val="0"/>
        <w:keepLines w:val="0"/>
        <w:pageBreakBefore w:val="0"/>
        <w:widowControl w:val="0"/>
        <w:wordWrap/>
        <w:overflowPunct/>
        <w:topLinePunct w:val="0"/>
        <w:bidi w:val="0"/>
        <w:spacing w:line="360" w:lineRule="auto"/>
        <w:ind w:left="0" w:leftChars="0" w:firstLine="0" w:firstLineChars="0"/>
        <w:jc w:val="center"/>
        <w:rPr>
          <w:rFonts w:hint="eastAsia" w:ascii="宋体" w:hAnsi="宋体" w:eastAsia="宋体" w:cs="宋体"/>
          <w:b/>
          <w:color w:val="000000"/>
          <w:sz w:val="32"/>
          <w:szCs w:val="44"/>
          <w:u w:val="none"/>
        </w:rPr>
      </w:pPr>
      <w:r>
        <w:rPr>
          <w:rFonts w:hint="eastAsia" w:ascii="宋体" w:hAnsi="宋体" w:eastAsia="宋体" w:cs="宋体"/>
          <w:b/>
          <w:color w:val="000000"/>
          <w:sz w:val="32"/>
          <w:szCs w:val="44"/>
          <w:u w:val="none"/>
        </w:rPr>
        <w:t>陕西省工商行政管理局</w:t>
      </w:r>
    </w:p>
    <w:p w14:paraId="3F2C4422">
      <w:pPr>
        <w:keepNext w:val="0"/>
        <w:keepLines w:val="0"/>
        <w:pageBreakBefore w:val="0"/>
        <w:widowControl w:val="0"/>
        <w:wordWrap/>
        <w:overflowPunct/>
        <w:topLinePunct w:val="0"/>
        <w:bidi w:val="0"/>
        <w:spacing w:line="360" w:lineRule="auto"/>
        <w:jc w:val="center"/>
        <w:rPr>
          <w:rFonts w:hint="eastAsia" w:ascii="宋体" w:hAnsi="宋体" w:eastAsia="宋体" w:cs="宋体"/>
          <w:b/>
          <w:color w:val="000000"/>
          <w:sz w:val="32"/>
          <w:szCs w:val="44"/>
          <w:u w:val="none"/>
        </w:rPr>
      </w:pPr>
    </w:p>
    <w:p w14:paraId="701E963D">
      <w:pPr>
        <w:keepNext w:val="0"/>
        <w:keepLines w:val="0"/>
        <w:pageBreakBefore w:val="0"/>
        <w:widowControl w:val="0"/>
        <w:wordWrap/>
        <w:overflowPunct/>
        <w:topLinePunct w:val="0"/>
        <w:bidi w:val="0"/>
        <w:spacing w:line="360" w:lineRule="auto"/>
        <w:ind w:left="0" w:leftChars="0" w:firstLine="0" w:firstLineChars="0"/>
        <w:jc w:val="center"/>
        <w:rPr>
          <w:rFonts w:hint="eastAsia" w:ascii="宋体" w:hAnsi="宋体" w:eastAsia="宋体" w:cs="宋体"/>
          <w:b/>
          <w:color w:val="000000"/>
          <w:sz w:val="32"/>
          <w:szCs w:val="44"/>
          <w:u w:val="none"/>
        </w:rPr>
      </w:pPr>
      <w:r>
        <w:rPr>
          <w:rFonts w:hint="eastAsia" w:ascii="宋体" w:hAnsi="宋体" w:eastAsia="宋体" w:cs="宋体"/>
          <w:b/>
          <w:color w:val="000000"/>
          <w:sz w:val="32"/>
          <w:szCs w:val="44"/>
          <w:u w:val="none"/>
        </w:rPr>
        <w:t>年  月   日</w:t>
      </w:r>
    </w:p>
    <w:p w14:paraId="3AF730D5">
      <w:pPr>
        <w:keepNext w:val="0"/>
        <w:keepLines w:val="0"/>
        <w:pageBreakBefore w:val="0"/>
        <w:widowControl w:val="0"/>
        <w:wordWrap/>
        <w:overflowPunct/>
        <w:topLinePunct w:val="0"/>
        <w:bidi w:val="0"/>
        <w:spacing w:line="480" w:lineRule="auto"/>
        <w:jc w:val="center"/>
        <w:rPr>
          <w:rFonts w:hint="eastAsia" w:ascii="宋体" w:hAnsi="宋体" w:eastAsia="宋体" w:cs="宋体"/>
          <w:b/>
          <w:bCs/>
          <w:color w:val="000000"/>
          <w:sz w:val="44"/>
          <w:szCs w:val="44"/>
          <w:u w:val="none"/>
        </w:rPr>
        <w:sectPr>
          <w:footerReference r:id="rId13" w:type="default"/>
          <w:pgSz w:w="11905" w:h="16838"/>
          <w:pgMar w:top="1440" w:right="1440" w:bottom="1440" w:left="1440" w:header="850" w:footer="992" w:gutter="0"/>
          <w:pgNumType w:fmt="decimal"/>
          <w:cols w:space="0" w:num="1"/>
          <w:rtlGutter w:val="0"/>
          <w:docGrid w:type="lines" w:linePitch="332" w:charSpace="0"/>
        </w:sectPr>
      </w:pPr>
    </w:p>
    <w:p w14:paraId="34C2BCEA">
      <w:pPr>
        <w:keepNext w:val="0"/>
        <w:keepLines w:val="0"/>
        <w:pageBreakBefore w:val="0"/>
        <w:widowControl w:val="0"/>
        <w:wordWrap/>
        <w:overflowPunct/>
        <w:topLinePunct w:val="0"/>
        <w:bidi w:val="0"/>
        <w:spacing w:line="480" w:lineRule="auto"/>
        <w:jc w:val="center"/>
        <w:rPr>
          <w:rFonts w:hint="eastAsia" w:ascii="宋体" w:hAnsi="宋体" w:eastAsia="宋体" w:cs="宋体"/>
          <w:b/>
          <w:bCs/>
          <w:color w:val="000000"/>
          <w:u w:val="none"/>
        </w:rPr>
      </w:pPr>
      <w:r>
        <w:rPr>
          <w:rFonts w:hint="eastAsia" w:ascii="宋体" w:hAnsi="宋体" w:eastAsia="宋体" w:cs="宋体"/>
          <w:b/>
          <w:bCs/>
          <w:color w:val="000000"/>
          <w:sz w:val="44"/>
          <w:szCs w:val="44"/>
          <w:u w:val="none"/>
        </w:rPr>
        <w:t>目   录</w:t>
      </w:r>
    </w:p>
    <w:p w14:paraId="28319F1D">
      <w:pPr>
        <w:keepNext w:val="0"/>
        <w:keepLines w:val="0"/>
        <w:pageBreakBefore w:val="0"/>
        <w:widowControl w:val="0"/>
        <w:wordWrap/>
        <w:overflowPunct/>
        <w:topLinePunct w:val="0"/>
        <w:bidi w:val="0"/>
        <w:spacing w:line="720" w:lineRule="auto"/>
        <w:ind w:firstLine="562" w:firstLineChars="200"/>
        <w:rPr>
          <w:rFonts w:hint="eastAsia" w:ascii="宋体" w:hAnsi="宋体" w:eastAsia="宋体" w:cs="宋体"/>
          <w:b/>
          <w:color w:val="000000"/>
          <w:sz w:val="28"/>
          <w:szCs w:val="28"/>
          <w:u w:val="none"/>
        </w:rPr>
      </w:pPr>
      <w:r>
        <w:rPr>
          <w:rFonts w:hint="eastAsia" w:ascii="宋体" w:hAnsi="宋体" w:eastAsia="宋体" w:cs="宋体"/>
          <w:b/>
          <w:color w:val="000000"/>
          <w:sz w:val="28"/>
          <w:szCs w:val="28"/>
          <w:u w:val="none"/>
        </w:rPr>
        <w:t>第一部分   协议书………………………………………………</w:t>
      </w:r>
    </w:p>
    <w:p w14:paraId="57416797">
      <w:pPr>
        <w:keepNext w:val="0"/>
        <w:keepLines w:val="0"/>
        <w:pageBreakBefore w:val="0"/>
        <w:widowControl w:val="0"/>
        <w:wordWrap/>
        <w:overflowPunct/>
        <w:topLinePunct w:val="0"/>
        <w:bidi w:val="0"/>
        <w:spacing w:line="720" w:lineRule="auto"/>
        <w:ind w:firstLine="562" w:firstLineChars="200"/>
        <w:rPr>
          <w:rFonts w:hint="eastAsia" w:ascii="宋体" w:hAnsi="宋体" w:eastAsia="宋体" w:cs="宋体"/>
          <w:b/>
          <w:color w:val="000000"/>
          <w:sz w:val="28"/>
          <w:szCs w:val="28"/>
          <w:u w:val="none"/>
          <w:lang w:val="en-US" w:eastAsia="zh-CN"/>
        </w:rPr>
      </w:pPr>
      <w:r>
        <w:rPr>
          <w:rFonts w:hint="eastAsia" w:ascii="宋体" w:hAnsi="宋体" w:eastAsia="宋体" w:cs="宋体"/>
          <w:b/>
          <w:color w:val="000000"/>
          <w:sz w:val="28"/>
          <w:szCs w:val="28"/>
          <w:u w:val="none"/>
        </w:rPr>
        <w:t>第二部分   通用条款……………………………………………</w:t>
      </w:r>
    </w:p>
    <w:p w14:paraId="65B9EFD7">
      <w:pPr>
        <w:keepNext w:val="0"/>
        <w:keepLines w:val="0"/>
        <w:pageBreakBefore w:val="0"/>
        <w:widowControl w:val="0"/>
        <w:wordWrap/>
        <w:overflowPunct/>
        <w:topLinePunct w:val="0"/>
        <w:bidi w:val="0"/>
        <w:spacing w:line="720" w:lineRule="auto"/>
        <w:ind w:left="568" w:leftChars="232" w:hanging="11" w:hangingChars="4"/>
        <w:rPr>
          <w:rFonts w:hint="eastAsia" w:ascii="宋体" w:hAnsi="宋体" w:eastAsia="宋体" w:cs="宋体"/>
          <w:b/>
          <w:color w:val="000000"/>
          <w:sz w:val="28"/>
          <w:szCs w:val="28"/>
          <w:u w:val="none"/>
          <w:lang w:val="en-US" w:eastAsia="zh-CN"/>
        </w:rPr>
      </w:pPr>
      <w:r>
        <w:rPr>
          <w:rFonts w:hint="eastAsia" w:ascii="宋体" w:hAnsi="宋体" w:eastAsia="宋体" w:cs="宋体"/>
          <w:b/>
          <w:color w:val="000000"/>
          <w:sz w:val="28"/>
          <w:szCs w:val="28"/>
          <w:u w:val="none"/>
        </w:rPr>
        <w:t>第三部分   专用条款…………………………………………</w:t>
      </w:r>
      <w:r>
        <w:rPr>
          <w:rFonts w:hint="eastAsia" w:ascii="宋体" w:hAnsi="宋体" w:eastAsia="宋体" w:cs="宋体"/>
          <w:b/>
          <w:color w:val="000000"/>
          <w:sz w:val="28"/>
          <w:u w:val="none"/>
        </w:rPr>
        <w:t>…</w:t>
      </w:r>
      <w:r>
        <w:rPr>
          <w:rFonts w:hint="eastAsia" w:ascii="宋体" w:hAnsi="宋体" w:eastAsia="宋体" w:cs="宋体"/>
          <w:b/>
          <w:color w:val="000000"/>
          <w:sz w:val="28"/>
          <w:szCs w:val="28"/>
          <w:u w:val="none"/>
          <w:lang w:val="en-US" w:eastAsia="zh-CN"/>
        </w:rPr>
        <w:t xml:space="preserve"> </w:t>
      </w:r>
    </w:p>
    <w:p w14:paraId="290FF19A">
      <w:pPr>
        <w:keepNext w:val="0"/>
        <w:keepLines w:val="0"/>
        <w:pageBreakBefore w:val="0"/>
        <w:widowControl w:val="0"/>
        <w:wordWrap/>
        <w:overflowPunct/>
        <w:topLinePunct w:val="0"/>
        <w:bidi w:val="0"/>
        <w:spacing w:line="720" w:lineRule="auto"/>
        <w:ind w:firstLine="562" w:firstLineChars="200"/>
        <w:rPr>
          <w:rFonts w:hint="eastAsia" w:ascii="宋体" w:hAnsi="宋体" w:eastAsia="宋体" w:cs="宋体"/>
          <w:color w:val="000000"/>
          <w:sz w:val="44"/>
          <w:szCs w:val="44"/>
          <w:u w:val="none"/>
        </w:rPr>
      </w:pPr>
      <w:r>
        <w:rPr>
          <w:rFonts w:hint="eastAsia" w:ascii="宋体" w:hAnsi="宋体" w:eastAsia="宋体" w:cs="宋体"/>
          <w:b/>
          <w:color w:val="000000"/>
          <w:sz w:val="28"/>
          <w:szCs w:val="28"/>
          <w:u w:val="none"/>
        </w:rPr>
        <w:t xml:space="preserve">附件1 </w:t>
      </w:r>
      <w:r>
        <w:rPr>
          <w:rFonts w:hint="eastAsia" w:ascii="宋体" w:hAnsi="宋体" w:eastAsia="宋体" w:cs="宋体"/>
          <w:b/>
          <w:color w:val="000000"/>
          <w:sz w:val="28"/>
          <w:szCs w:val="28"/>
          <w:u w:val="none"/>
          <w:lang w:val="en-US" w:eastAsia="zh-CN"/>
        </w:rPr>
        <w:t xml:space="preserve"> </w:t>
      </w:r>
      <w:r>
        <w:rPr>
          <w:rFonts w:hint="eastAsia" w:ascii="宋体" w:hAnsi="宋体" w:eastAsia="宋体" w:cs="宋体"/>
          <w:b/>
          <w:color w:val="000000"/>
          <w:sz w:val="28"/>
          <w:szCs w:val="28"/>
          <w:u w:val="none"/>
        </w:rPr>
        <w:t>工程质量保修书 …………………………</w:t>
      </w:r>
      <w:r>
        <w:rPr>
          <w:rFonts w:hint="eastAsia" w:ascii="宋体" w:hAnsi="宋体" w:eastAsia="宋体" w:cs="宋体"/>
          <w:b/>
          <w:color w:val="000000"/>
          <w:sz w:val="28"/>
          <w:u w:val="none"/>
        </w:rPr>
        <w:t>…</w:t>
      </w:r>
      <w:r>
        <w:rPr>
          <w:rFonts w:hint="eastAsia" w:ascii="宋体" w:hAnsi="宋体" w:eastAsia="宋体" w:cs="宋体"/>
          <w:b/>
          <w:color w:val="000000"/>
          <w:sz w:val="28"/>
          <w:szCs w:val="28"/>
          <w:u w:val="none"/>
        </w:rPr>
        <w:t>…………</w:t>
      </w:r>
    </w:p>
    <w:p w14:paraId="438B6305">
      <w:pPr>
        <w:keepNext w:val="0"/>
        <w:keepLines w:val="0"/>
        <w:pageBreakBefore w:val="0"/>
        <w:widowControl w:val="0"/>
        <w:wordWrap/>
        <w:overflowPunct/>
        <w:topLinePunct w:val="0"/>
        <w:bidi w:val="0"/>
        <w:spacing w:line="480" w:lineRule="auto"/>
        <w:jc w:val="center"/>
        <w:rPr>
          <w:rFonts w:hint="eastAsia" w:ascii="宋体" w:hAnsi="宋体" w:eastAsia="宋体" w:cs="宋体"/>
          <w:color w:val="000000"/>
        </w:rPr>
      </w:pPr>
    </w:p>
    <w:p w14:paraId="6E713ED7">
      <w:pPr>
        <w:keepNext w:val="0"/>
        <w:keepLines w:val="0"/>
        <w:pageBreakBefore w:val="0"/>
        <w:widowControl w:val="0"/>
        <w:wordWrap/>
        <w:overflowPunct/>
        <w:topLinePunct w:val="0"/>
        <w:bidi w:val="0"/>
        <w:spacing w:line="480" w:lineRule="auto"/>
        <w:jc w:val="center"/>
        <w:rPr>
          <w:rFonts w:hint="eastAsia" w:ascii="宋体" w:hAnsi="宋体" w:eastAsia="宋体" w:cs="宋体"/>
          <w:color w:val="000000"/>
        </w:rPr>
      </w:pPr>
    </w:p>
    <w:p w14:paraId="092B6DB8">
      <w:pPr>
        <w:keepNext w:val="0"/>
        <w:keepLines w:val="0"/>
        <w:pageBreakBefore w:val="0"/>
        <w:widowControl w:val="0"/>
        <w:wordWrap/>
        <w:overflowPunct/>
        <w:topLinePunct w:val="0"/>
        <w:bidi w:val="0"/>
        <w:spacing w:line="480" w:lineRule="auto"/>
        <w:jc w:val="center"/>
        <w:rPr>
          <w:rFonts w:hint="eastAsia" w:ascii="宋体" w:hAnsi="宋体" w:eastAsia="宋体" w:cs="宋体"/>
          <w:color w:val="000000"/>
        </w:rPr>
      </w:pPr>
    </w:p>
    <w:p w14:paraId="24D3F0D1">
      <w:pPr>
        <w:keepNext w:val="0"/>
        <w:keepLines w:val="0"/>
        <w:pageBreakBefore w:val="0"/>
        <w:widowControl w:val="0"/>
        <w:wordWrap/>
        <w:overflowPunct/>
        <w:topLinePunct w:val="0"/>
        <w:bidi w:val="0"/>
        <w:spacing w:line="480" w:lineRule="auto"/>
        <w:jc w:val="center"/>
        <w:rPr>
          <w:rFonts w:hint="eastAsia" w:ascii="宋体" w:hAnsi="宋体" w:eastAsia="宋体" w:cs="宋体"/>
          <w:color w:val="000000"/>
        </w:rPr>
      </w:pPr>
    </w:p>
    <w:p w14:paraId="203B985A">
      <w:pPr>
        <w:keepNext w:val="0"/>
        <w:keepLines w:val="0"/>
        <w:pageBreakBefore w:val="0"/>
        <w:widowControl w:val="0"/>
        <w:wordWrap/>
        <w:overflowPunct/>
        <w:topLinePunct w:val="0"/>
        <w:bidi w:val="0"/>
        <w:spacing w:line="480" w:lineRule="auto"/>
        <w:rPr>
          <w:rFonts w:hint="eastAsia" w:ascii="宋体" w:hAnsi="宋体" w:eastAsia="宋体" w:cs="宋体"/>
          <w:color w:val="000000"/>
        </w:rPr>
      </w:pPr>
    </w:p>
    <w:p w14:paraId="0D14EC91">
      <w:pPr>
        <w:keepNext w:val="0"/>
        <w:keepLines w:val="0"/>
        <w:pageBreakBefore w:val="0"/>
        <w:widowControl w:val="0"/>
        <w:wordWrap/>
        <w:overflowPunct/>
        <w:topLinePunct w:val="0"/>
        <w:bidi w:val="0"/>
        <w:rPr>
          <w:rFonts w:hint="eastAsia" w:ascii="宋体" w:hAnsi="宋体" w:eastAsia="宋体" w:cs="宋体"/>
          <w:b/>
          <w:color w:val="000000"/>
          <w:sz w:val="32"/>
          <w:szCs w:val="32"/>
          <w:u w:val="none"/>
        </w:rPr>
      </w:pPr>
    </w:p>
    <w:p w14:paraId="2EA02964">
      <w:pPr>
        <w:pStyle w:val="3"/>
        <w:bidi w:val="0"/>
        <w:jc w:val="center"/>
        <w:outlineLvl w:val="1"/>
        <w:rPr>
          <w:rFonts w:hint="eastAsia" w:ascii="宋体" w:hAnsi="宋体" w:eastAsia="宋体" w:cs="宋体"/>
          <w:b/>
          <w:color w:val="000000"/>
          <w:szCs w:val="21"/>
          <w:u w:val="none"/>
        </w:rPr>
      </w:pPr>
      <w:r>
        <w:rPr>
          <w:rFonts w:hint="eastAsia" w:ascii="宋体" w:hAnsi="宋体" w:eastAsia="宋体" w:cs="宋体"/>
          <w:b/>
          <w:color w:val="000000"/>
          <w:szCs w:val="32"/>
          <w:u w:val="none"/>
        </w:rPr>
        <w:br w:type="page"/>
      </w:r>
      <w:bookmarkStart w:id="408" w:name="_Toc29521"/>
      <w:bookmarkStart w:id="409" w:name="_Toc5040"/>
      <w:bookmarkStart w:id="410" w:name="_Toc28844"/>
      <w:r>
        <w:rPr>
          <w:rFonts w:hint="eastAsia" w:ascii="宋体" w:hAnsi="宋体" w:eastAsia="宋体" w:cs="宋体"/>
          <w:sz w:val="30"/>
          <w:szCs w:val="30"/>
          <w:u w:val="none"/>
        </w:rPr>
        <w:t>第一部分</w:t>
      </w:r>
      <w:r>
        <w:rPr>
          <w:rFonts w:hint="eastAsia" w:ascii="宋体" w:hAnsi="宋体" w:eastAsia="宋体" w:cs="宋体"/>
          <w:sz w:val="30"/>
          <w:szCs w:val="30"/>
          <w:u w:val="none"/>
          <w:lang w:val="en-US" w:eastAsia="zh-CN"/>
        </w:rPr>
        <w:t xml:space="preserve">  </w:t>
      </w:r>
      <w:r>
        <w:rPr>
          <w:rFonts w:hint="eastAsia" w:ascii="宋体" w:hAnsi="宋体" w:eastAsia="宋体" w:cs="宋体"/>
          <w:sz w:val="30"/>
          <w:szCs w:val="30"/>
          <w:u w:val="none"/>
        </w:rPr>
        <w:t>协议书</w:t>
      </w:r>
      <w:bookmarkEnd w:id="408"/>
      <w:bookmarkEnd w:id="409"/>
      <w:bookmarkEnd w:id="410"/>
    </w:p>
    <w:p w14:paraId="3B3CE4B0">
      <w:pPr>
        <w:keepNext w:val="0"/>
        <w:keepLines w:val="0"/>
        <w:pageBreakBefore w:val="0"/>
        <w:widowControl w:val="0"/>
        <w:wordWrap/>
        <w:overflowPunct/>
        <w:topLinePunct w:val="0"/>
        <w:bidi w:val="0"/>
        <w:spacing w:line="360" w:lineRule="auto"/>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发包人（全称）：</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u w:val="none"/>
        </w:rPr>
        <w:t xml:space="preserve">                   </w:t>
      </w:r>
    </w:p>
    <w:p w14:paraId="29055AB9">
      <w:pPr>
        <w:keepNext w:val="0"/>
        <w:keepLines w:val="0"/>
        <w:pageBreakBefore w:val="0"/>
        <w:widowControl w:val="0"/>
        <w:wordWrap/>
        <w:overflowPunct/>
        <w:topLinePunct w:val="0"/>
        <w:bidi w:val="0"/>
        <w:spacing w:line="360" w:lineRule="auto"/>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承包人（全称）：</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u w:val="none"/>
        </w:rPr>
        <w:t xml:space="preserve">             </w:t>
      </w:r>
    </w:p>
    <w:p w14:paraId="57EB55C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根据《中华人民共和国</w:t>
      </w:r>
      <w:r>
        <w:rPr>
          <w:rFonts w:hint="eastAsia" w:ascii="宋体" w:hAnsi="宋体" w:eastAsia="宋体" w:cs="宋体"/>
          <w:color w:val="000000"/>
          <w:sz w:val="24"/>
          <w:szCs w:val="24"/>
          <w:u w:val="none"/>
          <w:lang w:val="en-US" w:eastAsia="zh-CN"/>
        </w:rPr>
        <w:t>民法典</w:t>
      </w:r>
      <w:r>
        <w:rPr>
          <w:rFonts w:hint="eastAsia" w:ascii="宋体" w:hAnsi="宋体" w:eastAsia="宋体" w:cs="宋体"/>
          <w:color w:val="000000"/>
          <w:sz w:val="24"/>
          <w:szCs w:val="24"/>
          <w:u w:val="none"/>
        </w:rPr>
        <w:t>》、《中华人民共和国建筑法》及有关法律规定，遵循平等、自愿、公平和诚实信用的原则，双方就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施工及有关事项协商一致，共同达成如下协议：</w:t>
      </w:r>
    </w:p>
    <w:p w14:paraId="4CD58D3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jc w:val="left"/>
        <w:textAlignment w:val="auto"/>
        <w:outlineLvl w:val="9"/>
        <w:rPr>
          <w:rFonts w:hint="eastAsia" w:ascii="宋体" w:hAnsi="宋体" w:eastAsia="宋体" w:cs="宋体"/>
          <w:bCs w:val="0"/>
          <w:color w:val="000000"/>
          <w:sz w:val="24"/>
          <w:szCs w:val="24"/>
          <w:u w:val="none"/>
        </w:rPr>
      </w:pPr>
      <w:bookmarkStart w:id="411" w:name="_Toc351203481"/>
      <w:r>
        <w:rPr>
          <w:rFonts w:hint="eastAsia" w:ascii="宋体" w:hAnsi="宋体" w:eastAsia="宋体" w:cs="宋体"/>
          <w:bCs w:val="0"/>
          <w:color w:val="000000"/>
          <w:sz w:val="24"/>
          <w:szCs w:val="24"/>
          <w:u w:val="none"/>
        </w:rPr>
        <w:t>一、工程概况</w:t>
      </w:r>
      <w:bookmarkEnd w:id="411"/>
    </w:p>
    <w:p w14:paraId="52BC9411">
      <w:pPr>
        <w:keepNext w:val="0"/>
        <w:keepLines w:val="0"/>
        <w:pageBreakBefore w:val="0"/>
        <w:widowControl w:val="0"/>
        <w:kinsoku/>
        <w:wordWrap/>
        <w:overflowPunct/>
        <w:topLinePunct w:val="0"/>
        <w:bidi w:val="0"/>
        <w:snapToGrid/>
        <w:spacing w:line="500" w:lineRule="exact"/>
        <w:ind w:firstLine="48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1.工程名称：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u w:val="none"/>
        </w:rPr>
        <w:t xml:space="preserve">   </w:t>
      </w:r>
    </w:p>
    <w:p w14:paraId="795E940D">
      <w:pPr>
        <w:pStyle w:val="18"/>
        <w:keepNext w:val="0"/>
        <w:keepLines w:val="0"/>
        <w:pageBreakBefore w:val="0"/>
        <w:widowControl w:val="0"/>
        <w:suppressLineNumbers w:val="0"/>
        <w:pBdr>
          <w:bottom w:val="none" w:color="auto" w:sz="0" w:space="0"/>
        </w:pBdr>
        <w:kinsoku/>
        <w:wordWrap/>
        <w:overflowPunct/>
        <w:topLinePunct w:val="0"/>
        <w:autoSpaceDE/>
        <w:autoSpaceDN/>
        <w:bidi w:val="0"/>
        <w:adjustRightInd/>
        <w:snapToGrid/>
        <w:spacing w:before="0" w:beforeLines="0" w:beforeAutospacing="0" w:after="0" w:afterLines="0" w:afterAutospacing="0" w:line="470" w:lineRule="exact"/>
        <w:ind w:left="0" w:right="0" w:firstLine="480" w:firstLineChars="200"/>
        <w:jc w:val="both"/>
        <w:textAlignment w:val="auto"/>
        <w:outlineLvl w:val="9"/>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bCs/>
          <w:color w:val="000000"/>
          <w:sz w:val="24"/>
          <w:szCs w:val="24"/>
          <w:u w:val="none"/>
        </w:rPr>
        <w:t>2.工程地点：</w:t>
      </w:r>
      <w:r>
        <w:rPr>
          <w:rFonts w:hint="eastAsia" w:ascii="宋体" w:hAnsi="宋体" w:eastAsia="宋体" w:cs="宋体"/>
          <w:color w:val="000000"/>
          <w:sz w:val="24"/>
          <w:szCs w:val="24"/>
          <w:u w:val="single"/>
          <w:lang w:val="en-US" w:eastAsia="zh-CN"/>
        </w:rPr>
        <w:t xml:space="preserve">               </w:t>
      </w:r>
    </w:p>
    <w:p w14:paraId="5BE41156">
      <w:pPr>
        <w:keepNext w:val="0"/>
        <w:keepLines w:val="0"/>
        <w:pageBreakBefore w:val="0"/>
        <w:widowControl w:val="0"/>
        <w:kinsoku/>
        <w:wordWrap/>
        <w:overflowPunct/>
        <w:topLinePunct w:val="0"/>
        <w:bidi w:val="0"/>
        <w:snapToGrid/>
        <w:spacing w:line="500" w:lineRule="exact"/>
        <w:textAlignment w:val="auto"/>
        <w:outlineLvl w:val="9"/>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bCs/>
          <w:color w:val="000000"/>
          <w:sz w:val="24"/>
          <w:szCs w:val="24"/>
          <w:u w:val="none"/>
        </w:rPr>
        <w:t>3.工程立项批准文号：</w:t>
      </w:r>
      <w:r>
        <w:rPr>
          <w:rFonts w:hint="eastAsia" w:ascii="宋体" w:hAnsi="宋体" w:eastAsia="宋体" w:cs="宋体"/>
          <w:color w:val="000000"/>
          <w:kern w:val="2"/>
          <w:sz w:val="24"/>
          <w:szCs w:val="24"/>
          <w:u w:val="single"/>
          <w:lang w:val="en-US" w:eastAsia="zh-CN" w:bidi="ar-SA"/>
        </w:rPr>
        <w:t xml:space="preserve">            </w:t>
      </w:r>
    </w:p>
    <w:p w14:paraId="65649A9A">
      <w:pPr>
        <w:keepNext w:val="0"/>
        <w:keepLines w:val="0"/>
        <w:pageBreakBefore w:val="0"/>
        <w:widowControl w:val="0"/>
        <w:kinsoku/>
        <w:wordWrap/>
        <w:overflowPunct/>
        <w:topLinePunct w:val="0"/>
        <w:bidi w:val="0"/>
        <w:snapToGrid/>
        <w:spacing w:line="500" w:lineRule="exact"/>
        <w:ind w:firstLine="470" w:firstLineChars="196"/>
        <w:textAlignment w:val="auto"/>
        <w:outlineLvl w:val="9"/>
        <w:rPr>
          <w:rFonts w:hint="eastAsia" w:ascii="宋体" w:hAnsi="宋体" w:eastAsia="宋体" w:cs="宋体"/>
          <w:bCs/>
          <w:color w:val="000000"/>
          <w:sz w:val="24"/>
          <w:szCs w:val="24"/>
          <w:u w:val="none"/>
          <w:lang w:val="en-US"/>
        </w:rPr>
      </w:pPr>
      <w:r>
        <w:rPr>
          <w:rFonts w:hint="eastAsia" w:ascii="宋体" w:hAnsi="宋体" w:eastAsia="宋体" w:cs="宋体"/>
          <w:bCs/>
          <w:color w:val="000000"/>
          <w:sz w:val="24"/>
          <w:szCs w:val="24"/>
          <w:u w:val="none"/>
        </w:rPr>
        <w:t>4.资金来源：</w:t>
      </w:r>
      <w:r>
        <w:rPr>
          <w:rFonts w:hint="eastAsia" w:ascii="宋体" w:hAnsi="宋体" w:eastAsia="宋体" w:cs="宋体"/>
          <w:bCs/>
          <w:color w:val="000000"/>
          <w:sz w:val="24"/>
          <w:szCs w:val="24"/>
          <w:u w:val="single"/>
          <w:lang w:val="en-US" w:eastAsia="zh-CN"/>
        </w:rPr>
        <w:t xml:space="preserve">              </w:t>
      </w:r>
    </w:p>
    <w:p w14:paraId="74D54F21">
      <w:pPr>
        <w:pStyle w:val="18"/>
        <w:keepNext w:val="0"/>
        <w:keepLines w:val="0"/>
        <w:pageBreakBefore w:val="0"/>
        <w:widowControl w:val="0"/>
        <w:suppressLineNumbers w:val="0"/>
        <w:pBdr>
          <w:bottom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right="0"/>
        <w:jc w:val="both"/>
        <w:textAlignment w:val="auto"/>
        <w:outlineLvl w:val="9"/>
        <w:rPr>
          <w:rFonts w:hint="eastAsia" w:ascii="宋体" w:hAnsi="宋体" w:eastAsia="宋体" w:cs="宋体"/>
          <w:bCs/>
          <w:color w:val="000000"/>
          <w:kern w:val="2"/>
          <w:sz w:val="24"/>
          <w:szCs w:val="24"/>
          <w:u w:val="single"/>
          <w:lang w:val="en-US" w:eastAsia="zh-CN" w:bidi="ar-SA"/>
        </w:rPr>
      </w:pPr>
      <w:r>
        <w:rPr>
          <w:rFonts w:hint="eastAsia" w:ascii="宋体" w:hAnsi="宋体" w:eastAsia="宋体" w:cs="宋体"/>
          <w:bCs/>
          <w:color w:val="000000"/>
          <w:sz w:val="24"/>
          <w:szCs w:val="24"/>
          <w:u w:val="none"/>
        </w:rPr>
        <w:t>5.工程内容：</w:t>
      </w:r>
      <w:r>
        <w:rPr>
          <w:rFonts w:hint="eastAsia" w:ascii="宋体" w:hAnsi="宋体" w:eastAsia="宋体" w:cs="宋体"/>
          <w:bCs/>
          <w:color w:val="000000"/>
          <w:kern w:val="2"/>
          <w:sz w:val="24"/>
          <w:szCs w:val="24"/>
          <w:u w:val="single"/>
          <w:lang w:val="en-US" w:eastAsia="zh-CN" w:bidi="ar-SA"/>
        </w:rPr>
        <w:t>详见工程量清单。</w:t>
      </w:r>
    </w:p>
    <w:p w14:paraId="6048D10A">
      <w:pPr>
        <w:keepNext w:val="0"/>
        <w:keepLines w:val="0"/>
        <w:pageBreakBefore w:val="0"/>
        <w:widowControl w:val="0"/>
        <w:kinsoku/>
        <w:wordWrap/>
        <w:overflowPunct/>
        <w:topLinePunct w:val="0"/>
        <w:bidi w:val="0"/>
        <w:snapToGrid/>
        <w:spacing w:line="500" w:lineRule="exact"/>
        <w:ind w:firstLine="420"/>
        <w:textAlignment w:val="auto"/>
        <w:outlineLvl w:val="9"/>
        <w:rPr>
          <w:rFonts w:hint="eastAsia" w:ascii="宋体" w:hAnsi="宋体" w:eastAsia="宋体" w:cs="宋体"/>
          <w:color w:val="000000"/>
          <w:sz w:val="24"/>
          <w:szCs w:val="24"/>
          <w:u w:val="single"/>
        </w:rPr>
      </w:pPr>
      <w:r>
        <w:rPr>
          <w:rFonts w:hint="eastAsia" w:ascii="宋体" w:hAnsi="宋体" w:eastAsia="宋体" w:cs="宋体"/>
          <w:bCs/>
          <w:color w:val="000000"/>
          <w:sz w:val="24"/>
          <w:szCs w:val="24"/>
          <w:u w:val="none"/>
        </w:rPr>
        <w:t>6.工程承包范围：</w:t>
      </w:r>
      <w:r>
        <w:rPr>
          <w:rFonts w:hint="eastAsia" w:ascii="宋体" w:hAnsi="宋体" w:eastAsia="宋体" w:cs="宋体"/>
          <w:color w:val="000000"/>
          <w:sz w:val="24"/>
          <w:szCs w:val="24"/>
          <w:u w:val="single"/>
        </w:rPr>
        <w:t>本工程</w:t>
      </w:r>
      <w:r>
        <w:rPr>
          <w:rFonts w:hint="eastAsia" w:ascii="宋体" w:hAnsi="宋体" w:eastAsia="宋体" w:cs="宋体"/>
          <w:color w:val="000000"/>
          <w:sz w:val="24"/>
          <w:szCs w:val="24"/>
          <w:u w:val="single"/>
          <w:lang w:val="en-US" w:eastAsia="zh-CN"/>
        </w:rPr>
        <w:t>磋商文件</w:t>
      </w:r>
      <w:r>
        <w:rPr>
          <w:rFonts w:hint="eastAsia" w:ascii="宋体" w:hAnsi="宋体" w:eastAsia="宋体" w:cs="宋体"/>
          <w:color w:val="000000"/>
          <w:sz w:val="24"/>
          <w:szCs w:val="24"/>
          <w:u w:val="single"/>
          <w:lang w:eastAsia="zh-CN"/>
        </w:rPr>
        <w:t>及</w:t>
      </w:r>
      <w:r>
        <w:rPr>
          <w:rFonts w:hint="eastAsia" w:ascii="宋体" w:hAnsi="宋体" w:eastAsia="宋体" w:cs="宋体"/>
          <w:color w:val="000000"/>
          <w:sz w:val="24"/>
          <w:szCs w:val="24"/>
          <w:u w:val="single"/>
        </w:rPr>
        <w:t>工程量清单所含全部内容</w:t>
      </w:r>
      <w:bookmarkStart w:id="412" w:name="_Toc351203482"/>
    </w:p>
    <w:p w14:paraId="6AD091F8">
      <w:pPr>
        <w:keepNext w:val="0"/>
        <w:keepLines w:val="0"/>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val="0"/>
          <w:color w:val="000000"/>
          <w:sz w:val="24"/>
          <w:szCs w:val="24"/>
          <w:u w:val="none"/>
        </w:rPr>
      </w:pPr>
      <w:r>
        <w:rPr>
          <w:rFonts w:hint="eastAsia" w:ascii="宋体" w:hAnsi="宋体" w:eastAsia="宋体" w:cs="宋体"/>
          <w:bCs w:val="0"/>
          <w:color w:val="000000"/>
          <w:sz w:val="24"/>
          <w:szCs w:val="24"/>
          <w:u w:val="none"/>
        </w:rPr>
        <w:t>二、合同工期</w:t>
      </w:r>
      <w:bookmarkEnd w:id="412"/>
    </w:p>
    <w:p w14:paraId="3B334F7F">
      <w:pPr>
        <w:keepNext w:val="0"/>
        <w:keepLines w:val="0"/>
        <w:pageBreakBefore w:val="0"/>
        <w:widowControl w:val="0"/>
        <w:kinsoku/>
        <w:wordWrap/>
        <w:overflowPunct/>
        <w:topLinePunct w:val="0"/>
        <w:bidi w:val="0"/>
        <w:snapToGrid/>
        <w:spacing w:line="500" w:lineRule="exact"/>
        <w:ind w:firstLine="459"/>
        <w:textAlignment w:val="auto"/>
        <w:outlineLvl w:val="9"/>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rPr>
        <w:t>计划开工时间：</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sz w:val="24"/>
          <w:szCs w:val="24"/>
          <w:u w:val="none"/>
        </w:rPr>
        <w:t>年</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sz w:val="24"/>
          <w:szCs w:val="24"/>
          <w:u w:val="none"/>
        </w:rPr>
        <w:t>月</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sz w:val="24"/>
          <w:szCs w:val="24"/>
          <w:u w:val="none"/>
        </w:rPr>
        <w:t>日</w:t>
      </w:r>
      <w:r>
        <w:rPr>
          <w:rFonts w:hint="eastAsia" w:ascii="宋体" w:hAnsi="宋体" w:eastAsia="宋体" w:cs="宋体"/>
          <w:color w:val="000000"/>
          <w:sz w:val="24"/>
          <w:szCs w:val="24"/>
          <w:u w:val="none"/>
          <w:lang w:val="en-US" w:eastAsia="zh-CN"/>
        </w:rPr>
        <w:t xml:space="preserve"> </w:t>
      </w:r>
    </w:p>
    <w:p w14:paraId="65C4312C">
      <w:pPr>
        <w:keepNext w:val="0"/>
        <w:keepLines w:val="0"/>
        <w:pageBreakBefore w:val="0"/>
        <w:widowControl w:val="0"/>
        <w:kinsoku/>
        <w:wordWrap/>
        <w:overflowPunct/>
        <w:topLinePunct w:val="0"/>
        <w:bidi w:val="0"/>
        <w:snapToGrid/>
        <w:spacing w:line="500" w:lineRule="exact"/>
        <w:ind w:firstLine="459"/>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计划竣工时间：</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sz w:val="24"/>
          <w:szCs w:val="24"/>
          <w:u w:val="none"/>
        </w:rPr>
        <w:t>年</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sz w:val="24"/>
          <w:szCs w:val="24"/>
          <w:u w:val="none"/>
        </w:rPr>
        <w:t>月</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sz w:val="24"/>
          <w:szCs w:val="24"/>
          <w:u w:val="none"/>
        </w:rPr>
        <w:t>日</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 xml:space="preserve">  </w:t>
      </w:r>
    </w:p>
    <w:p w14:paraId="70786988">
      <w:pPr>
        <w:keepNext w:val="0"/>
        <w:keepLines w:val="0"/>
        <w:pageBreakBefore w:val="0"/>
        <w:widowControl w:val="0"/>
        <w:kinsoku/>
        <w:wordWrap/>
        <w:overflowPunct/>
        <w:topLinePunct w:val="0"/>
        <w:bidi w:val="0"/>
        <w:snapToGrid/>
        <w:spacing w:line="500" w:lineRule="exact"/>
        <w:ind w:firstLine="459"/>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工期总日历天数：</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sz w:val="24"/>
          <w:szCs w:val="24"/>
          <w:highlight w:val="none"/>
          <w:u w:val="none"/>
          <w:lang w:val="en-US" w:eastAsia="zh-CN"/>
        </w:rPr>
        <w:t>日历</w:t>
      </w:r>
      <w:r>
        <w:rPr>
          <w:rFonts w:hint="eastAsia" w:ascii="宋体" w:hAnsi="宋体" w:eastAsia="宋体" w:cs="宋体"/>
          <w:color w:val="000000"/>
          <w:sz w:val="24"/>
          <w:szCs w:val="24"/>
          <w:u w:val="none"/>
        </w:rPr>
        <w:t>天。</w:t>
      </w:r>
    </w:p>
    <w:p w14:paraId="3E46B8DE">
      <w:pPr>
        <w:keepNext w:val="0"/>
        <w:keepLines w:val="0"/>
        <w:pageBreakBefore w:val="0"/>
        <w:widowControl w:val="0"/>
        <w:kinsoku/>
        <w:wordWrap/>
        <w:overflowPunct/>
        <w:topLinePunct w:val="0"/>
        <w:bidi w:val="0"/>
        <w:snapToGrid/>
        <w:spacing w:before="0" w:beforeLines="0" w:after="0" w:afterLines="0" w:line="500" w:lineRule="exact"/>
        <w:textAlignment w:val="auto"/>
        <w:outlineLvl w:val="9"/>
        <w:rPr>
          <w:rFonts w:hint="eastAsia" w:ascii="宋体" w:hAnsi="宋体" w:eastAsia="宋体" w:cs="宋体"/>
          <w:bCs w:val="0"/>
          <w:color w:val="000000"/>
          <w:sz w:val="24"/>
          <w:szCs w:val="24"/>
          <w:u w:val="none"/>
        </w:rPr>
      </w:pPr>
      <w:bookmarkStart w:id="413" w:name="_Toc351203483"/>
      <w:r>
        <w:rPr>
          <w:rFonts w:hint="eastAsia" w:ascii="宋体" w:hAnsi="宋体" w:eastAsia="宋体" w:cs="宋体"/>
          <w:bCs w:val="0"/>
          <w:color w:val="000000"/>
          <w:sz w:val="24"/>
          <w:szCs w:val="24"/>
          <w:u w:val="none"/>
        </w:rPr>
        <w:t>三、质量标准</w:t>
      </w:r>
      <w:bookmarkEnd w:id="413"/>
    </w:p>
    <w:p w14:paraId="30E5B7E4">
      <w:pPr>
        <w:keepNext w:val="0"/>
        <w:keepLines w:val="0"/>
        <w:pageBreakBefore w:val="0"/>
        <w:widowControl w:val="0"/>
        <w:kinsoku/>
        <w:wordWrap/>
        <w:overflowPunct/>
        <w:topLinePunct w:val="0"/>
        <w:bidi w:val="0"/>
        <w:snapToGrid/>
        <w:spacing w:line="500" w:lineRule="exact"/>
        <w:ind w:firstLine="459"/>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工程质量符合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合格</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标准。</w:t>
      </w:r>
    </w:p>
    <w:p w14:paraId="48A55DE5">
      <w:pPr>
        <w:keepNext w:val="0"/>
        <w:keepLines w:val="0"/>
        <w:pageBreakBefore w:val="0"/>
        <w:widowControl w:val="0"/>
        <w:kinsoku/>
        <w:wordWrap/>
        <w:overflowPunct/>
        <w:topLinePunct w:val="0"/>
        <w:bidi w:val="0"/>
        <w:snapToGrid/>
        <w:spacing w:line="500" w:lineRule="exact"/>
        <w:textAlignment w:val="auto"/>
        <w:outlineLvl w:val="9"/>
        <w:rPr>
          <w:rFonts w:hint="eastAsia" w:ascii="宋体" w:hAnsi="宋体" w:eastAsia="宋体" w:cs="宋体"/>
          <w:bCs w:val="0"/>
          <w:color w:val="000000"/>
          <w:sz w:val="24"/>
          <w:szCs w:val="24"/>
          <w:u w:val="none"/>
        </w:rPr>
      </w:pPr>
      <w:r>
        <w:rPr>
          <w:rFonts w:hint="eastAsia" w:ascii="宋体" w:hAnsi="宋体" w:eastAsia="宋体" w:cs="宋体"/>
          <w:bCs w:val="0"/>
          <w:color w:val="000000"/>
          <w:sz w:val="24"/>
          <w:szCs w:val="24"/>
          <w:u w:val="none"/>
        </w:rPr>
        <w:t>四、签约合同价与合同价格形式</w:t>
      </w:r>
      <w:r>
        <w:rPr>
          <w:rFonts w:hint="eastAsia" w:ascii="宋体" w:hAnsi="宋体" w:eastAsia="宋体" w:cs="宋体"/>
          <w:bCs w:val="0"/>
          <w:color w:val="000000"/>
          <w:sz w:val="24"/>
          <w:szCs w:val="24"/>
          <w:u w:val="none"/>
        </w:rPr>
        <w:tab/>
      </w:r>
    </w:p>
    <w:p w14:paraId="09CF110A">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1.签约合同价为：</w:t>
      </w:r>
    </w:p>
    <w:p w14:paraId="0B47B96C">
      <w:pPr>
        <w:keepNext w:val="0"/>
        <w:keepLines w:val="0"/>
        <w:pageBreakBefore w:val="0"/>
        <w:widowControl w:val="0"/>
        <w:kinsoku/>
        <w:wordWrap/>
        <w:overflowPunct/>
        <w:topLinePunct w:val="0"/>
        <w:bidi w:val="0"/>
        <w:snapToGrid/>
        <w:spacing w:line="360" w:lineRule="auto"/>
        <w:ind w:firstLine="600" w:firstLineChars="25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人民币（大写）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元)；</w:t>
      </w:r>
    </w:p>
    <w:p w14:paraId="21FC1CDB">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2.合同价格形式：</w:t>
      </w:r>
      <w:r>
        <w:rPr>
          <w:rFonts w:hint="eastAsia" w:ascii="宋体" w:hAnsi="宋体" w:eastAsia="宋体" w:cs="宋体"/>
          <w:color w:val="000000"/>
          <w:sz w:val="24"/>
          <w:szCs w:val="24"/>
          <w:lang w:eastAsia="zh-CN"/>
        </w:rPr>
        <w:t>固定综合单价</w:t>
      </w:r>
      <w:r>
        <w:rPr>
          <w:rFonts w:hint="eastAsia" w:ascii="宋体" w:hAnsi="宋体" w:eastAsia="宋体" w:cs="宋体"/>
          <w:color w:val="000000"/>
          <w:sz w:val="24"/>
          <w:szCs w:val="24"/>
          <w:u w:val="none"/>
        </w:rPr>
        <w:t>。</w:t>
      </w:r>
    </w:p>
    <w:p w14:paraId="2AC82ECF">
      <w:pPr>
        <w:keepNext w:val="0"/>
        <w:keepLines w:val="0"/>
        <w:pageBreakBefore w:val="0"/>
        <w:widowControl w:val="0"/>
        <w:kinsoku/>
        <w:wordWrap/>
        <w:overflowPunct/>
        <w:topLinePunct w:val="0"/>
        <w:bidi w:val="0"/>
        <w:snapToGrid/>
        <w:spacing w:before="0" w:beforeLines="0" w:after="0" w:afterLines="0" w:line="360" w:lineRule="auto"/>
        <w:textAlignment w:val="auto"/>
        <w:outlineLvl w:val="9"/>
        <w:rPr>
          <w:rFonts w:hint="eastAsia" w:ascii="宋体" w:hAnsi="宋体" w:eastAsia="宋体" w:cs="宋体"/>
          <w:b w:val="0"/>
          <w:color w:val="000000"/>
          <w:sz w:val="24"/>
          <w:szCs w:val="24"/>
          <w:u w:val="none"/>
        </w:rPr>
      </w:pPr>
      <w:bookmarkStart w:id="414" w:name="_Toc351203485"/>
      <w:r>
        <w:rPr>
          <w:rFonts w:hint="eastAsia" w:ascii="宋体" w:hAnsi="宋体" w:eastAsia="宋体" w:cs="宋体"/>
          <w:bCs w:val="0"/>
          <w:color w:val="000000"/>
          <w:sz w:val="24"/>
          <w:szCs w:val="24"/>
          <w:u w:val="none"/>
        </w:rPr>
        <w:t>五、</w:t>
      </w:r>
      <w:bookmarkEnd w:id="414"/>
      <w:r>
        <w:rPr>
          <w:rFonts w:hint="eastAsia" w:ascii="宋体" w:hAnsi="宋体" w:eastAsia="宋体" w:cs="宋体"/>
          <w:bCs w:val="0"/>
          <w:color w:val="000000"/>
          <w:sz w:val="24"/>
          <w:szCs w:val="24"/>
          <w:u w:val="none"/>
        </w:rPr>
        <w:t>项目经理</w:t>
      </w:r>
    </w:p>
    <w:p w14:paraId="57E73889">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000000"/>
          <w:sz w:val="24"/>
          <w:szCs w:val="24"/>
          <w:u w:val="none"/>
          <w:lang w:val="en-US"/>
        </w:rPr>
      </w:pPr>
      <w:r>
        <w:rPr>
          <w:rFonts w:hint="eastAsia" w:ascii="宋体" w:hAnsi="宋体" w:eastAsia="宋体" w:cs="宋体"/>
          <w:color w:val="000000"/>
          <w:sz w:val="24"/>
          <w:szCs w:val="24"/>
          <w:u w:val="none"/>
        </w:rPr>
        <w:t>承包人项目经理：</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注册证号：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 xml:space="preserve">  身份证号：</w:t>
      </w:r>
      <w:r>
        <w:rPr>
          <w:rFonts w:hint="eastAsia" w:ascii="宋体" w:hAnsi="宋体" w:eastAsia="宋体" w:cs="宋体"/>
          <w:color w:val="000000"/>
          <w:sz w:val="24"/>
          <w:szCs w:val="24"/>
          <w:u w:val="single"/>
          <w:lang w:val="en-US" w:eastAsia="zh-CN"/>
        </w:rPr>
        <w:t xml:space="preserve">             </w:t>
      </w:r>
    </w:p>
    <w:p w14:paraId="087C0385">
      <w:pPr>
        <w:keepNext w:val="0"/>
        <w:keepLines w:val="0"/>
        <w:pageBreakBefore w:val="0"/>
        <w:widowControl w:val="0"/>
        <w:kinsoku/>
        <w:wordWrap/>
        <w:overflowPunct/>
        <w:topLinePunct w:val="0"/>
        <w:bidi w:val="0"/>
        <w:snapToGrid/>
        <w:spacing w:before="0" w:beforeLines="0" w:after="0" w:afterLines="0" w:line="360" w:lineRule="auto"/>
        <w:textAlignment w:val="auto"/>
        <w:outlineLvl w:val="9"/>
        <w:rPr>
          <w:rFonts w:hint="eastAsia" w:ascii="宋体" w:hAnsi="宋体" w:eastAsia="宋体" w:cs="宋体"/>
          <w:bCs w:val="0"/>
          <w:color w:val="000000"/>
          <w:sz w:val="24"/>
          <w:szCs w:val="24"/>
          <w:u w:val="none"/>
        </w:rPr>
      </w:pPr>
      <w:bookmarkStart w:id="415" w:name="_Toc351203486"/>
      <w:r>
        <w:rPr>
          <w:rFonts w:hint="eastAsia" w:ascii="宋体" w:hAnsi="宋体" w:eastAsia="宋体" w:cs="宋体"/>
          <w:bCs w:val="0"/>
          <w:color w:val="000000"/>
          <w:sz w:val="24"/>
          <w:szCs w:val="24"/>
          <w:u w:val="none"/>
        </w:rPr>
        <w:t>六、合同文件构成</w:t>
      </w:r>
      <w:bookmarkEnd w:id="415"/>
    </w:p>
    <w:p w14:paraId="48D18D9E">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本协议书与下列文件一起构成合同文件：</w:t>
      </w:r>
    </w:p>
    <w:p w14:paraId="03ECF20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（1）中标通知书；</w:t>
      </w:r>
    </w:p>
    <w:p w14:paraId="721881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w:t>
      </w:r>
      <w:r>
        <w:rPr>
          <w:rFonts w:hint="eastAsia" w:ascii="宋体" w:hAnsi="宋体" w:eastAsia="宋体" w:cs="宋体"/>
          <w:color w:val="000000"/>
          <w:sz w:val="24"/>
          <w:szCs w:val="24"/>
          <w:u w:val="none"/>
          <w:lang w:val="en-US" w:eastAsia="zh-CN"/>
        </w:rPr>
        <w:t>响应</w:t>
      </w:r>
      <w:r>
        <w:rPr>
          <w:rFonts w:hint="eastAsia" w:ascii="宋体" w:hAnsi="宋体" w:eastAsia="宋体" w:cs="宋体"/>
          <w:color w:val="000000"/>
          <w:sz w:val="24"/>
          <w:szCs w:val="24"/>
          <w:u w:val="none"/>
        </w:rPr>
        <w:t xml:space="preserve">函； </w:t>
      </w:r>
    </w:p>
    <w:p w14:paraId="1F6297E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（3）专用合同条款及其附件；</w:t>
      </w:r>
    </w:p>
    <w:p w14:paraId="50CD65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（4）通用合同条款；</w:t>
      </w:r>
    </w:p>
    <w:p w14:paraId="199511E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（5）技术标准和要求；</w:t>
      </w:r>
    </w:p>
    <w:p w14:paraId="127C897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（6）图纸；</w:t>
      </w:r>
    </w:p>
    <w:p w14:paraId="7E91DE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（7）已标价工程量清单或预算书；</w:t>
      </w:r>
    </w:p>
    <w:p w14:paraId="1AE80B9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（8）其他合同文件。</w:t>
      </w:r>
    </w:p>
    <w:p w14:paraId="711998E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在合同订立及履行过程中形成的与合同有关的文件均构成合同文件组成部分。</w:t>
      </w:r>
    </w:p>
    <w:p w14:paraId="71209EE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上述各项合同文件包括合同当事人就该项合同文件所作出的补充和修改，属于同一类内容的文件，应以最新签署的为准。专用合同条款及其附件须经合同当事人签字或盖章。</w:t>
      </w:r>
      <w:bookmarkStart w:id="416" w:name="_Toc351203487"/>
    </w:p>
    <w:p w14:paraId="1CDCAC1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val="0"/>
          <w:bCs/>
          <w:color w:val="000000"/>
          <w:sz w:val="24"/>
          <w:szCs w:val="24"/>
          <w:u w:val="none"/>
        </w:rPr>
      </w:pPr>
      <w:r>
        <w:rPr>
          <w:rFonts w:hint="eastAsia" w:ascii="宋体" w:hAnsi="宋体" w:eastAsia="宋体" w:cs="宋体"/>
          <w:b w:val="0"/>
          <w:bCs/>
          <w:color w:val="000000"/>
          <w:sz w:val="24"/>
          <w:szCs w:val="24"/>
          <w:u w:val="none"/>
        </w:rPr>
        <w:t>七、承诺</w:t>
      </w:r>
      <w:bookmarkEnd w:id="416"/>
    </w:p>
    <w:p w14:paraId="29BE2618">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1.发包人承诺按照法律规定履行项目审批手续、筹集工程建设资金并按照合同约定的期限和方式支付合同价款。</w:t>
      </w:r>
    </w:p>
    <w:p w14:paraId="41415901">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2.承包人承诺按照法律规定及合同约定组织完成工程施工，确保工程质量和安全，不进行转包及违法分包，并在缺陷责任期及保修期内承担相应的工程维修责任。</w:t>
      </w:r>
    </w:p>
    <w:p w14:paraId="778CE0F7">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3.发包人和承包人通过招投标形式签订合同的，双方理解并承诺不再就同一工程另行签订与合同实质性内容相背离的协议。</w:t>
      </w:r>
    </w:p>
    <w:p w14:paraId="2E2014D4">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val="0"/>
          <w:bCs/>
          <w:color w:val="000000"/>
          <w:sz w:val="24"/>
          <w:szCs w:val="24"/>
          <w:u w:val="none"/>
        </w:rPr>
      </w:pPr>
      <w:bookmarkStart w:id="417" w:name="_Toc351203488"/>
      <w:r>
        <w:rPr>
          <w:rFonts w:hint="eastAsia" w:ascii="宋体" w:hAnsi="宋体" w:eastAsia="宋体" w:cs="宋体"/>
          <w:b w:val="0"/>
          <w:bCs/>
          <w:color w:val="000000"/>
          <w:sz w:val="24"/>
          <w:szCs w:val="24"/>
          <w:u w:val="none"/>
        </w:rPr>
        <w:t>八、词语含义</w:t>
      </w:r>
      <w:bookmarkEnd w:id="417"/>
    </w:p>
    <w:p w14:paraId="56E86856">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本协议书中词语含义与第二部分通用合同条款中赋予的含义相同。</w:t>
      </w:r>
    </w:p>
    <w:p w14:paraId="47C32019">
      <w:pPr>
        <w:keepNext w:val="0"/>
        <w:keepLines w:val="0"/>
        <w:pageBreakBefore w:val="0"/>
        <w:widowControl w:val="0"/>
        <w:kinsoku/>
        <w:wordWrap/>
        <w:overflowPunct/>
        <w:topLinePunct w:val="0"/>
        <w:bidi w:val="0"/>
        <w:snapToGrid/>
        <w:spacing w:before="0" w:beforeLines="0" w:after="0" w:afterLines="0" w:line="360" w:lineRule="auto"/>
        <w:textAlignment w:val="auto"/>
        <w:outlineLvl w:val="9"/>
        <w:rPr>
          <w:rFonts w:hint="eastAsia" w:ascii="宋体" w:hAnsi="宋体" w:eastAsia="宋体" w:cs="宋体"/>
          <w:bCs w:val="0"/>
          <w:color w:val="000000"/>
          <w:sz w:val="24"/>
          <w:szCs w:val="24"/>
          <w:u w:val="none"/>
        </w:rPr>
      </w:pPr>
      <w:bookmarkStart w:id="418" w:name="_Toc351203489"/>
      <w:r>
        <w:rPr>
          <w:rFonts w:hint="eastAsia" w:ascii="宋体" w:hAnsi="宋体" w:eastAsia="宋体" w:cs="宋体"/>
          <w:bCs w:val="0"/>
          <w:color w:val="000000"/>
          <w:sz w:val="24"/>
          <w:szCs w:val="24"/>
          <w:u w:val="none"/>
        </w:rPr>
        <w:t>九、签订时间</w:t>
      </w:r>
      <w:bookmarkEnd w:id="418"/>
    </w:p>
    <w:p w14:paraId="2BFDE9E8">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本合同于</w:t>
      </w:r>
      <w:r>
        <w:rPr>
          <w:rFonts w:hint="eastAsia" w:ascii="宋体" w:hAnsi="宋体" w:eastAsia="宋体" w:cs="宋体"/>
          <w:bCs/>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u w:val="none"/>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u w:val="none"/>
        </w:rPr>
        <w:t>月</w:t>
      </w:r>
      <w:r>
        <w:rPr>
          <w:rFonts w:hint="eastAsia" w:ascii="宋体" w:hAnsi="宋体" w:eastAsia="宋体" w:cs="宋体"/>
          <w:bCs/>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u w:val="none"/>
        </w:rPr>
        <w:t>日签订。</w:t>
      </w:r>
    </w:p>
    <w:p w14:paraId="007766A9">
      <w:pPr>
        <w:keepNext w:val="0"/>
        <w:keepLines w:val="0"/>
        <w:pageBreakBefore w:val="0"/>
        <w:widowControl w:val="0"/>
        <w:kinsoku/>
        <w:wordWrap/>
        <w:overflowPunct/>
        <w:topLinePunct w:val="0"/>
        <w:bidi w:val="0"/>
        <w:snapToGrid/>
        <w:spacing w:before="0" w:beforeLines="0" w:after="0" w:afterLines="0" w:line="360" w:lineRule="auto"/>
        <w:textAlignment w:val="auto"/>
        <w:outlineLvl w:val="9"/>
        <w:rPr>
          <w:rFonts w:hint="eastAsia" w:ascii="宋体" w:hAnsi="宋体" w:eastAsia="宋体" w:cs="宋体"/>
          <w:bCs w:val="0"/>
          <w:color w:val="000000"/>
          <w:sz w:val="24"/>
          <w:szCs w:val="24"/>
          <w:u w:val="none"/>
        </w:rPr>
      </w:pPr>
      <w:bookmarkStart w:id="419" w:name="_Toc351203490"/>
      <w:r>
        <w:rPr>
          <w:rFonts w:hint="eastAsia" w:ascii="宋体" w:hAnsi="宋体" w:eastAsia="宋体" w:cs="宋体"/>
          <w:bCs w:val="0"/>
          <w:color w:val="000000"/>
          <w:sz w:val="24"/>
          <w:szCs w:val="24"/>
          <w:u w:val="none"/>
        </w:rPr>
        <w:t>十、签订地点</w:t>
      </w:r>
      <w:bookmarkEnd w:id="419"/>
    </w:p>
    <w:p w14:paraId="247BF045">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本合同在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u w:val="none"/>
        </w:rPr>
        <w:t xml:space="preserve"> 签订。</w:t>
      </w:r>
    </w:p>
    <w:p w14:paraId="59D197B5">
      <w:pPr>
        <w:keepNext w:val="0"/>
        <w:keepLines w:val="0"/>
        <w:pageBreakBefore w:val="0"/>
        <w:widowControl w:val="0"/>
        <w:kinsoku/>
        <w:wordWrap/>
        <w:overflowPunct/>
        <w:topLinePunct w:val="0"/>
        <w:bidi w:val="0"/>
        <w:snapToGrid/>
        <w:spacing w:before="0" w:beforeLines="0" w:after="0" w:afterLines="0" w:line="360" w:lineRule="auto"/>
        <w:textAlignment w:val="auto"/>
        <w:outlineLvl w:val="9"/>
        <w:rPr>
          <w:rFonts w:hint="eastAsia" w:ascii="宋体" w:hAnsi="宋体" w:eastAsia="宋体" w:cs="宋体"/>
          <w:bCs w:val="0"/>
          <w:color w:val="000000"/>
          <w:sz w:val="24"/>
          <w:szCs w:val="24"/>
          <w:u w:val="none"/>
        </w:rPr>
      </w:pPr>
      <w:bookmarkStart w:id="420" w:name="_Toc351203491"/>
      <w:r>
        <w:rPr>
          <w:rFonts w:hint="eastAsia" w:ascii="宋体" w:hAnsi="宋体" w:eastAsia="宋体" w:cs="宋体"/>
          <w:bCs w:val="0"/>
          <w:color w:val="000000"/>
          <w:sz w:val="24"/>
          <w:szCs w:val="24"/>
          <w:u w:val="none"/>
        </w:rPr>
        <w:t>十一、补充协议</w:t>
      </w:r>
      <w:bookmarkEnd w:id="420"/>
    </w:p>
    <w:p w14:paraId="35A361FC">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bCs/>
          <w:color w:val="000000"/>
          <w:sz w:val="24"/>
          <w:szCs w:val="24"/>
          <w:u w:val="none"/>
        </w:rPr>
      </w:pPr>
      <w:r>
        <w:rPr>
          <w:rFonts w:hint="eastAsia" w:ascii="宋体" w:hAnsi="宋体" w:eastAsia="宋体" w:cs="宋体"/>
          <w:bCs/>
          <w:color w:val="000000"/>
          <w:sz w:val="24"/>
          <w:szCs w:val="24"/>
          <w:u w:val="none"/>
        </w:rPr>
        <w:t>合同未尽事宜，合同当事人另行签订补充协议，补充协议是合同的组成部分。</w:t>
      </w:r>
    </w:p>
    <w:p w14:paraId="3412BD04">
      <w:pPr>
        <w:keepNext w:val="0"/>
        <w:keepLines w:val="0"/>
        <w:pageBreakBefore w:val="0"/>
        <w:widowControl w:val="0"/>
        <w:kinsoku/>
        <w:wordWrap/>
        <w:overflowPunct/>
        <w:topLinePunct w:val="0"/>
        <w:bidi w:val="0"/>
        <w:snapToGrid/>
        <w:spacing w:before="0" w:beforeLines="0" w:after="0" w:afterLines="0" w:line="360" w:lineRule="auto"/>
        <w:textAlignment w:val="auto"/>
        <w:outlineLvl w:val="9"/>
        <w:rPr>
          <w:rFonts w:hint="eastAsia" w:ascii="宋体" w:hAnsi="宋体" w:eastAsia="宋体" w:cs="宋体"/>
          <w:bCs w:val="0"/>
          <w:color w:val="000000"/>
          <w:sz w:val="24"/>
          <w:szCs w:val="24"/>
          <w:u w:val="none"/>
        </w:rPr>
      </w:pPr>
      <w:bookmarkStart w:id="421" w:name="_Toc351203492"/>
      <w:r>
        <w:rPr>
          <w:rFonts w:hint="eastAsia" w:ascii="宋体" w:hAnsi="宋体" w:eastAsia="宋体" w:cs="宋体"/>
          <w:bCs w:val="0"/>
          <w:color w:val="000000"/>
          <w:sz w:val="24"/>
          <w:szCs w:val="24"/>
          <w:u w:val="none"/>
        </w:rPr>
        <w:t>十二、合同生效</w:t>
      </w:r>
      <w:bookmarkEnd w:id="421"/>
    </w:p>
    <w:p w14:paraId="46757B50">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eastAsia="zh-CN"/>
        </w:rPr>
        <w:t>签订之日起</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none"/>
        </w:rPr>
        <w:t>生效。</w:t>
      </w:r>
    </w:p>
    <w:p w14:paraId="2F4CEAC9">
      <w:pPr>
        <w:keepNext w:val="0"/>
        <w:keepLines w:val="0"/>
        <w:pageBreakBefore w:val="0"/>
        <w:widowControl w:val="0"/>
        <w:kinsoku/>
        <w:wordWrap/>
        <w:overflowPunct/>
        <w:topLinePunct w:val="0"/>
        <w:bidi w:val="0"/>
        <w:snapToGrid/>
        <w:spacing w:before="0" w:beforeLines="0" w:after="0" w:afterLines="0" w:line="360" w:lineRule="auto"/>
        <w:textAlignment w:val="auto"/>
        <w:outlineLvl w:val="9"/>
        <w:rPr>
          <w:rFonts w:hint="eastAsia" w:ascii="宋体" w:hAnsi="宋体" w:eastAsia="宋体" w:cs="宋体"/>
          <w:bCs w:val="0"/>
          <w:color w:val="000000"/>
          <w:sz w:val="24"/>
          <w:szCs w:val="24"/>
          <w:u w:val="none"/>
        </w:rPr>
      </w:pPr>
      <w:bookmarkStart w:id="422" w:name="_Toc351203493"/>
      <w:r>
        <w:rPr>
          <w:rFonts w:hint="eastAsia" w:ascii="宋体" w:hAnsi="宋体" w:eastAsia="宋体" w:cs="宋体"/>
          <w:bCs w:val="0"/>
          <w:color w:val="000000"/>
          <w:sz w:val="24"/>
          <w:szCs w:val="24"/>
          <w:u w:val="none"/>
        </w:rPr>
        <w:t>十三、合同份数</w:t>
      </w:r>
      <w:bookmarkEnd w:id="422"/>
    </w:p>
    <w:p w14:paraId="68858011">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rPr>
        <w:t>份，均具有同等法律效力，发包人执</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rPr>
        <w:t>份，承包人执</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none"/>
        </w:rPr>
        <w:t>份。</w:t>
      </w:r>
    </w:p>
    <w:p w14:paraId="7F72DEAB">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Cs/>
          <w:color w:val="000000"/>
          <w:sz w:val="24"/>
          <w:szCs w:val="24"/>
          <w:u w:val="none"/>
          <w:lang w:val="en-US" w:eastAsia="zh-CN"/>
        </w:rPr>
      </w:pPr>
    </w:p>
    <w:p w14:paraId="569D143D">
      <w:pPr>
        <w:outlineLvl w:val="9"/>
        <w:rPr>
          <w:rFonts w:hint="eastAsia" w:ascii="宋体" w:hAnsi="宋体" w:eastAsia="宋体" w:cs="宋体"/>
          <w:sz w:val="24"/>
          <w:szCs w:val="24"/>
          <w:lang w:val="en-US" w:eastAsia="zh-CN"/>
        </w:rPr>
      </w:pPr>
    </w:p>
    <w:p w14:paraId="64B353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发包人：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u w:val="none"/>
        </w:rPr>
        <w:t>承包人：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(公章) </w:t>
      </w:r>
      <w:r>
        <w:rPr>
          <w:rFonts w:hint="eastAsia" w:ascii="宋体" w:hAnsi="宋体" w:eastAsia="宋体" w:cs="宋体"/>
          <w:color w:val="000000"/>
          <w:sz w:val="24"/>
          <w:szCs w:val="24"/>
          <w:u w:val="none"/>
        </w:rPr>
        <w:t xml:space="preserve">           法定代表人或                            法定代表人或</w:t>
      </w:r>
    </w:p>
    <w:p w14:paraId="1E6F4ED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none"/>
        </w:rPr>
        <w:t>其委托代理人：</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（签字或盖章）</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（签字或盖章）    </w:t>
      </w:r>
    </w:p>
    <w:p w14:paraId="768FBC5E">
      <w:pPr>
        <w:keepNext w:val="0"/>
        <w:keepLines w:val="0"/>
        <w:pageBreakBefore w:val="0"/>
        <w:widowControl w:val="0"/>
        <w:kinsoku/>
        <w:wordWrap/>
        <w:overflowPunct/>
        <w:topLinePunct w:val="0"/>
        <w:autoSpaceDE/>
        <w:autoSpaceDN/>
        <w:bidi w:val="0"/>
        <w:adjustRightInd/>
        <w:snapToGrid/>
        <w:spacing w:line="360" w:lineRule="auto"/>
        <w:ind w:left="0" w:leftChars="0" w:right="-1" w:firstLine="0" w:firstLineChars="0"/>
        <w:textAlignment w:val="auto"/>
        <w:outlineLvl w:val="9"/>
        <w:rPr>
          <w:rFonts w:hint="eastAsia" w:ascii="宋体" w:hAnsi="宋体" w:eastAsia="宋体" w:cs="宋体"/>
          <w:b/>
          <w:color w:val="000000"/>
          <w:sz w:val="24"/>
          <w:szCs w:val="24"/>
          <w:u w:val="none"/>
        </w:rPr>
      </w:pPr>
      <w:r>
        <w:rPr>
          <w:rFonts w:hint="eastAsia" w:ascii="宋体" w:hAnsi="宋体" w:eastAsia="宋体" w:cs="宋体"/>
          <w:color w:val="000000"/>
          <w:sz w:val="24"/>
          <w:szCs w:val="24"/>
          <w:u w:val="none"/>
        </w:rPr>
        <w:t>地    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地    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237DDFCA">
      <w:pPr>
        <w:keepNext w:val="0"/>
        <w:keepLines w:val="0"/>
        <w:pageBreakBefore w:val="0"/>
        <w:widowControl w:val="0"/>
        <w:kinsoku/>
        <w:wordWrap/>
        <w:overflowPunct/>
        <w:topLinePunct w:val="0"/>
        <w:autoSpaceDE/>
        <w:autoSpaceDN/>
        <w:bidi w:val="0"/>
        <w:adjustRightInd/>
        <w:snapToGrid/>
        <w:spacing w:line="360" w:lineRule="auto"/>
        <w:ind w:left="0" w:leftChars="0" w:right="-1" w:firstLine="0" w:firstLineChars="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邮政编码：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邮政编码：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p>
    <w:p w14:paraId="7A5816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电    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电    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p>
    <w:p w14:paraId="2FBE78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传    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传     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p>
    <w:p w14:paraId="687EE4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p>
    <w:p w14:paraId="77A7125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p>
    <w:p w14:paraId="7FF48CD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none"/>
        </w:rPr>
        <w:t>账    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账    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 xml:space="preserve">                      </w:t>
      </w:r>
    </w:p>
    <w:p w14:paraId="4A5654EA">
      <w:pPr>
        <w:keepNext w:val="0"/>
        <w:keepLines w:val="0"/>
        <w:pageBreakBefore w:val="0"/>
        <w:widowControl w:val="0"/>
        <w:wordWrap/>
        <w:overflowPunct/>
        <w:topLinePunct w:val="0"/>
        <w:bidi w:val="0"/>
        <w:spacing w:line="360" w:lineRule="auto"/>
        <w:jc w:val="both"/>
        <w:outlineLvl w:val="9"/>
        <w:rPr>
          <w:rFonts w:hint="eastAsia" w:ascii="宋体" w:hAnsi="宋体" w:eastAsia="宋体" w:cs="宋体"/>
          <w:b/>
          <w:color w:val="000000"/>
          <w:sz w:val="24"/>
          <w:szCs w:val="24"/>
          <w:u w:val="none"/>
        </w:rPr>
      </w:pPr>
    </w:p>
    <w:p w14:paraId="4C39AE09">
      <w:pPr>
        <w:keepNext w:val="0"/>
        <w:keepLines w:val="0"/>
        <w:pageBreakBefore w:val="0"/>
        <w:widowControl w:val="0"/>
        <w:wordWrap/>
        <w:overflowPunct/>
        <w:topLinePunct w:val="0"/>
        <w:bidi w:val="0"/>
        <w:outlineLvl w:val="9"/>
        <w:rPr>
          <w:rFonts w:hint="eastAsia" w:ascii="宋体" w:hAnsi="宋体" w:eastAsia="宋体" w:cs="宋体"/>
          <w:sz w:val="24"/>
          <w:szCs w:val="24"/>
        </w:rPr>
      </w:pPr>
    </w:p>
    <w:p w14:paraId="2EA07E2B">
      <w:pPr>
        <w:keepNext w:val="0"/>
        <w:keepLines w:val="0"/>
        <w:pageBreakBefore w:val="0"/>
        <w:widowControl w:val="0"/>
        <w:wordWrap/>
        <w:overflowPunct/>
        <w:topLinePunct w:val="0"/>
        <w:bidi w:val="0"/>
        <w:outlineLvl w:val="9"/>
        <w:rPr>
          <w:rFonts w:hint="eastAsia" w:ascii="宋体" w:hAnsi="宋体" w:eastAsia="宋体" w:cs="宋体"/>
          <w:sz w:val="24"/>
          <w:szCs w:val="24"/>
        </w:rPr>
      </w:pPr>
    </w:p>
    <w:p w14:paraId="382C0F9E">
      <w:pPr>
        <w:keepNext w:val="0"/>
        <w:keepLines w:val="0"/>
        <w:pageBreakBefore w:val="0"/>
        <w:widowControl w:val="0"/>
        <w:numPr>
          <w:ilvl w:val="0"/>
          <w:numId w:val="0"/>
        </w:numPr>
        <w:wordWrap/>
        <w:overflowPunct/>
        <w:topLinePunct w:val="0"/>
        <w:bidi w:val="0"/>
        <w:spacing w:line="360" w:lineRule="auto"/>
        <w:jc w:val="center"/>
        <w:outlineLvl w:val="9"/>
        <w:rPr>
          <w:rFonts w:hint="eastAsia" w:ascii="宋体" w:hAnsi="宋体" w:eastAsia="宋体" w:cs="宋体"/>
          <w:b/>
          <w:color w:val="000000"/>
          <w:kern w:val="2"/>
          <w:sz w:val="24"/>
          <w:szCs w:val="24"/>
          <w:lang w:val="en-US" w:eastAsia="zh-CN" w:bidi="ar-SA"/>
        </w:rPr>
        <w:sectPr>
          <w:pgSz w:w="11905" w:h="16838"/>
          <w:pgMar w:top="1440" w:right="1440" w:bottom="1440" w:left="1440" w:header="850" w:footer="992" w:gutter="0"/>
          <w:pgNumType w:fmt="decimal"/>
          <w:cols w:space="0" w:num="1"/>
          <w:rtlGutter w:val="0"/>
          <w:docGrid w:type="lines" w:linePitch="332" w:charSpace="0"/>
        </w:sectPr>
      </w:pPr>
    </w:p>
    <w:p w14:paraId="08B864EB">
      <w:pPr>
        <w:pStyle w:val="3"/>
        <w:bidi w:val="0"/>
        <w:jc w:val="center"/>
        <w:outlineLvl w:val="1"/>
        <w:rPr>
          <w:rFonts w:hint="eastAsia" w:ascii="宋体" w:hAnsi="宋体" w:eastAsia="宋体" w:cs="宋体"/>
          <w:sz w:val="30"/>
          <w:szCs w:val="30"/>
          <w:u w:val="none"/>
        </w:rPr>
      </w:pPr>
      <w:bookmarkStart w:id="423" w:name="_Toc14067"/>
      <w:bookmarkStart w:id="424" w:name="_Toc31755"/>
      <w:bookmarkStart w:id="425" w:name="_Toc2157"/>
      <w:r>
        <w:rPr>
          <w:rFonts w:hint="eastAsia" w:ascii="宋体" w:hAnsi="宋体" w:eastAsia="宋体" w:cs="宋体"/>
          <w:sz w:val="30"/>
          <w:szCs w:val="30"/>
          <w:u w:val="none"/>
          <w:lang w:val="en-US" w:eastAsia="zh-CN"/>
        </w:rPr>
        <w:t>第二部分</w:t>
      </w:r>
      <w:r>
        <w:rPr>
          <w:rFonts w:hint="eastAsia" w:ascii="宋体" w:hAnsi="宋体" w:eastAsia="宋体" w:cs="宋体"/>
          <w:sz w:val="30"/>
          <w:szCs w:val="30"/>
          <w:u w:val="none"/>
        </w:rPr>
        <w:t xml:space="preserve">  通用条款</w:t>
      </w:r>
      <w:bookmarkEnd w:id="423"/>
      <w:bookmarkEnd w:id="424"/>
      <w:bookmarkEnd w:id="425"/>
    </w:p>
    <w:p w14:paraId="3C1F6D7E">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kern w:val="0"/>
          <w:sz w:val="24"/>
          <w:szCs w:val="24"/>
          <w:u w:val="none"/>
        </w:rPr>
      </w:pPr>
      <w:r>
        <w:rPr>
          <w:rFonts w:hint="eastAsia" w:ascii="宋体" w:hAnsi="宋体" w:eastAsia="宋体" w:cs="宋体"/>
          <w:b/>
          <w:kern w:val="0"/>
          <w:sz w:val="24"/>
          <w:szCs w:val="24"/>
          <w:u w:val="none"/>
        </w:rPr>
        <w:t>一、词语定义及合同文件</w:t>
      </w:r>
    </w:p>
    <w:p w14:paraId="70FE2E9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１、词语定义</w:t>
      </w:r>
    </w:p>
    <w:p w14:paraId="5007052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下列词语除专用条款另有约定外，应具有本条所赋予的定义：</w:t>
      </w:r>
    </w:p>
    <w:p w14:paraId="5A738FB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1.1  通用条款：是根据法律、行政法规规定及建设工程施工的需要订立，通用于建设工程施工的条款。</w:t>
      </w:r>
    </w:p>
    <w:p w14:paraId="553B5B9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1.2  专用条款：是发包人与承包人根据法律、行政法规规定，结合具体工程实际，经协商达成一致意见的条款，是对通用条款的具体化、补充或修改。</w:t>
      </w:r>
    </w:p>
    <w:p w14:paraId="1785377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1.3  发包人：指在协议书中约定，具有工程发包主体资格和支付工程价款能力的当事人以及取得该当事人资格的合法继承人。</w:t>
      </w:r>
    </w:p>
    <w:p w14:paraId="44CA731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1.4  承包人：指在协议书中约定，被发包人接受的具有工程施工承包主体资格的当事人以及取得该当事人资格的合法继承人。</w:t>
      </w:r>
    </w:p>
    <w:p w14:paraId="274AC6C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1.5  项目经理：指承包人在专用条款中指定的具有执业资格的负责施工管理和合同履行的代表。</w:t>
      </w:r>
    </w:p>
    <w:p w14:paraId="16537A8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1.6  设计单位：指发包人委托的负责本工程设计并取得相应工程设计资质等级证书的单位。</w:t>
      </w:r>
    </w:p>
    <w:p w14:paraId="1215E52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1.7  监理单位：指发包人委托的负责本工程监理并取得相应工程监理资质等级证书的单位。</w:t>
      </w:r>
    </w:p>
    <w:p w14:paraId="0F33186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1.8  工程师：指本工程监理单位委派的总监理工程师或发包人指定的履行本合同的代表，其具体身份和职权由发包人承包人在专用条款中约定。</w:t>
      </w:r>
    </w:p>
    <w:p w14:paraId="56B2810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1.9  工程造价管理部门：指国务院有关部门、县级以上人民政府建设行政主管部门或其委托的工程造价管理机构。</w:t>
      </w:r>
    </w:p>
    <w:p w14:paraId="5BA50C8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kern w:val="0"/>
          <w:sz w:val="24"/>
          <w:szCs w:val="24"/>
          <w:u w:val="none"/>
        </w:rPr>
      </w:pPr>
      <w:r>
        <w:rPr>
          <w:rFonts w:hint="eastAsia" w:ascii="宋体" w:hAnsi="宋体" w:eastAsia="宋体" w:cs="宋体"/>
          <w:kern w:val="0"/>
          <w:sz w:val="24"/>
          <w:szCs w:val="24"/>
          <w:u w:val="none"/>
        </w:rPr>
        <w:t>1.10  工程：指发包人承包人在协议书中约定的承包范围内的工程。</w:t>
      </w:r>
    </w:p>
    <w:p w14:paraId="46A0BBF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1.11  工程量清单：表现拟建工程的分部分项工程项目、措施项目、其他项目名称和相应数量的明细清单。</w:t>
      </w:r>
    </w:p>
    <w:p w14:paraId="2E61489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1.12  综合单价：完成工程量清单中一个规定计量单位项目所需的人工费、材料费、机械使用费、管理费和利润，并考虑风险因素。</w:t>
      </w:r>
    </w:p>
    <w:p w14:paraId="612500B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1.13  合同价款：指发包人承包人在协议书中约定，发包人用以支付承包人按照合同约定完成承包范围内全部工程并承担质量保修责任的款项。</w:t>
      </w:r>
    </w:p>
    <w:p w14:paraId="152B18C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1.14  预留金：指发包人为可能发生的工程量变更而预留的款额。</w:t>
      </w:r>
    </w:p>
    <w:p w14:paraId="4EF4C6B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1.15  工程分包和材料购置费：指发包人将按有关规定准予分包的工作、指定分包人或指定材料供应商供应材料而预留的款额。</w:t>
      </w:r>
    </w:p>
    <w:p w14:paraId="71F81B6E">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1.16  总承包服务费：为配合协调发包人进行的工程分包和材料采购所需的费用。</w:t>
      </w:r>
    </w:p>
    <w:p w14:paraId="68781694">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1.17  零星工作项目费：完成发包人提出的工程量暂估的零星工作所需的费用。</w:t>
      </w:r>
    </w:p>
    <w:p w14:paraId="189B246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1.18  追加合同价款：指在合同履行中发生需要增加合同价款的情况，经发包人确认后按计算合同价款的方法增加的合同价款。</w:t>
      </w:r>
    </w:p>
    <w:p w14:paraId="389A15B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spacing w:val="-4"/>
          <w:kern w:val="0"/>
          <w:sz w:val="24"/>
          <w:szCs w:val="24"/>
          <w:u w:val="none"/>
        </w:rPr>
      </w:pPr>
      <w:r>
        <w:rPr>
          <w:rFonts w:hint="eastAsia" w:ascii="宋体" w:hAnsi="宋体" w:eastAsia="宋体" w:cs="宋体"/>
          <w:bCs/>
          <w:color w:val="000000"/>
          <w:kern w:val="0"/>
          <w:sz w:val="24"/>
          <w:szCs w:val="24"/>
          <w:u w:val="none"/>
        </w:rPr>
        <w:t>1.19  费用：指</w:t>
      </w:r>
      <w:r>
        <w:rPr>
          <w:rFonts w:hint="eastAsia" w:ascii="宋体" w:hAnsi="宋体" w:eastAsia="宋体" w:cs="宋体"/>
          <w:bCs/>
          <w:color w:val="000000"/>
          <w:spacing w:val="-4"/>
          <w:kern w:val="0"/>
          <w:sz w:val="24"/>
          <w:szCs w:val="24"/>
          <w:u w:val="none"/>
        </w:rPr>
        <w:t>不包含在合同价款之内的应当由发包人或承包人承担的经济支出。</w:t>
      </w:r>
    </w:p>
    <w:p w14:paraId="73830AE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1.20  工期：指发包人承包人在协议书中约定，按总日历天数（包括法定节假日）计算的承包天数。</w:t>
      </w:r>
    </w:p>
    <w:p w14:paraId="21FC7E14">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1.21  开工日期：指发包人承包人在协议书中约定，承包人开始施工的绝对或相对的日期。</w:t>
      </w:r>
    </w:p>
    <w:p w14:paraId="483E0FA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1.22  竣工日期：指发包人承包人在协议书中约定，承包人完成承包范围内工程的绝对或相对的日期。</w:t>
      </w:r>
    </w:p>
    <w:p w14:paraId="225D10B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1.23  图纸：指由发包人提供或由承包人提供并经发包人批准，满足承包人施工需要的所有图纸（包括配套说明和有关资料）。</w:t>
      </w:r>
    </w:p>
    <w:p w14:paraId="607A610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1.24  施工场地：指由发包人提供的用于工程施工的场所以及发包人在图纸中具体指定的供施工使用的任何其他场所。</w:t>
      </w:r>
    </w:p>
    <w:p w14:paraId="46C295B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1.25  书面形式：指合同书、信件和数据电文（包括电报、电传、传真、电子数据交换和电子邮件）等可以有形地表现所载内容的形式。</w:t>
      </w:r>
    </w:p>
    <w:p w14:paraId="7265C56C">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1.26  违约责任：指合同一方不履行合同义务或履行合同义务不符合约定所应承担的责任。</w:t>
      </w:r>
    </w:p>
    <w:p w14:paraId="1C654E8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1.27  索赔：指在合同履行过程中，对于并非自己的过错，而是应由对方承担责任的情况造成的实际损失，向对方提出经济补偿和（或）工期顺延的要求。</w:t>
      </w:r>
    </w:p>
    <w:p w14:paraId="16654AA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1.28  不可抗力：指不能预见、不能避免并不能克服的客观情况。</w:t>
      </w:r>
    </w:p>
    <w:p w14:paraId="15C4E73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1.29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66EFAC1D">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２、合同文件及解释顺序</w:t>
      </w:r>
    </w:p>
    <w:p w14:paraId="180C381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2.1  合同文件应能相互解释，互为说明。除专用条款另有约定外，组成本合同的文件及优先解释顺序如下：</w:t>
      </w:r>
    </w:p>
    <w:p w14:paraId="5986653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1、本合同协议书</w:t>
      </w:r>
    </w:p>
    <w:p w14:paraId="728F6B2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2、本合同专用条款</w:t>
      </w:r>
    </w:p>
    <w:p w14:paraId="308E402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3、本合同通用条款</w:t>
      </w:r>
    </w:p>
    <w:p w14:paraId="26AE53F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4、中标通知书</w:t>
      </w:r>
    </w:p>
    <w:p w14:paraId="047AEF9C">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5、投标书、工程报价单或预算书及其附件</w:t>
      </w:r>
    </w:p>
    <w:p w14:paraId="1DF912F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w:t>
      </w:r>
      <w:r>
        <w:rPr>
          <w:rFonts w:hint="eastAsia" w:ascii="宋体" w:hAnsi="宋体" w:eastAsia="宋体" w:cs="宋体"/>
          <w:bCs/>
          <w:color w:val="000000"/>
          <w:kern w:val="0"/>
          <w:sz w:val="24"/>
          <w:szCs w:val="24"/>
          <w:u w:val="none"/>
          <w:lang w:eastAsia="zh-CN"/>
        </w:rPr>
        <w:t>磋商文件</w:t>
      </w:r>
      <w:r>
        <w:rPr>
          <w:rFonts w:hint="eastAsia" w:ascii="宋体" w:hAnsi="宋体" w:eastAsia="宋体" w:cs="宋体"/>
          <w:bCs/>
          <w:color w:val="000000"/>
          <w:kern w:val="0"/>
          <w:sz w:val="24"/>
          <w:szCs w:val="24"/>
          <w:u w:val="none"/>
        </w:rPr>
        <w:t>、答疑纪要及工程量清单　</w:t>
      </w:r>
    </w:p>
    <w:p w14:paraId="7268387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7、图纸</w:t>
      </w:r>
    </w:p>
    <w:p w14:paraId="0F2432A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8、标准、规范及有关技术文件</w:t>
      </w:r>
    </w:p>
    <w:p w14:paraId="05486A8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双方为履行本合同的有关洽商、变更等书面协议、文件，视为本合同的组成部分。</w:t>
      </w:r>
    </w:p>
    <w:p w14:paraId="3C03E47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2.2  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14:paraId="75A61B57">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3、语言文字和适用法律、标准及规范</w:t>
      </w:r>
    </w:p>
    <w:p w14:paraId="57A7DDD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3.1  语言文字</w:t>
      </w:r>
    </w:p>
    <w:p w14:paraId="6DDFAA1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本合同文件使用汉语语言文字书写、解释和说明。如专用条款约定使用两种以上（含两种）语言文字时，汉语应为解释和说明本合同的标准语言文字。</w:t>
      </w:r>
    </w:p>
    <w:p w14:paraId="3A2348E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3.2  适用法律和法规</w:t>
      </w:r>
    </w:p>
    <w:p w14:paraId="625299C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本合同文件适用国家的法律和行政法规。需要明示的法律、行政法规，由双方在专用条款中约定。</w:t>
      </w:r>
    </w:p>
    <w:p w14:paraId="3679B9E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3.3  适用标准、规范</w:t>
      </w:r>
    </w:p>
    <w:p w14:paraId="25BF8DA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9739414">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2354BA3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本条所发生的购买、翻译标准、规范或制定施工工艺的费用，由发包人承担。</w:t>
      </w:r>
    </w:p>
    <w:p w14:paraId="757CC02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４、图纸</w:t>
      </w:r>
    </w:p>
    <w:p w14:paraId="4896B0DC">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49C6E51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4.2  承包人未经发包人同意，不得将本工程图纸转给第三人。工程质量保修期满后，除承包人存档需要的图纸外，应将全部图纸退还给发包人。</w:t>
      </w:r>
    </w:p>
    <w:p w14:paraId="13DA7CD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4.3  承包人应在施工现场保留一套完整图纸，供工程师及有关人员进行工程检查时使用。</w:t>
      </w:r>
    </w:p>
    <w:p w14:paraId="1B814580">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二、双方一般权利和义务</w:t>
      </w:r>
    </w:p>
    <w:p w14:paraId="3590132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５、工程师</w:t>
      </w:r>
    </w:p>
    <w:p w14:paraId="51EB7E0E">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5.1  实行工程监理的，发包人应在实施监理前将委托的监理单位名称、监理内容及监理权限以书面形式通知承包人。</w:t>
      </w:r>
    </w:p>
    <w:p w14:paraId="4A7773E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5.2  监</w:t>
      </w:r>
      <w:r>
        <w:rPr>
          <w:rFonts w:hint="eastAsia" w:ascii="宋体" w:hAnsi="宋体" w:eastAsia="宋体" w:cs="宋体"/>
          <w:bCs/>
          <w:color w:val="000000"/>
          <w:spacing w:val="-2"/>
          <w:kern w:val="0"/>
          <w:sz w:val="24"/>
          <w:szCs w:val="24"/>
          <w:u w:val="none"/>
        </w:rPr>
        <w:t>理单位委派的总监理工程师在本合同中称工程师，其姓名、职务、职权由发包人承包人在专用条款内写明。工程师按合同约定行使职权，发包人在专用</w:t>
      </w:r>
      <w:r>
        <w:rPr>
          <w:rFonts w:hint="eastAsia" w:ascii="宋体" w:hAnsi="宋体" w:eastAsia="宋体" w:cs="宋体"/>
          <w:bCs/>
          <w:color w:val="000000"/>
          <w:kern w:val="0"/>
          <w:sz w:val="24"/>
          <w:szCs w:val="24"/>
          <w:u w:val="none"/>
        </w:rPr>
        <w:t>条款内要求工程师在行使某些职权前需要征得发包人批准的，工程师应征得发包人批准。</w:t>
      </w:r>
    </w:p>
    <w:p w14:paraId="11C33D7E">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3D3657C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5.4  合同履行中，发生影响发包人承包人双方权利或义务的事件时，负责监理的工程师应依据合同在其职权范围内客观公正地进行处理。一方对工程师的处理有异议时，按本通用条款第41条关于争议的约定处理。</w:t>
      </w:r>
    </w:p>
    <w:p w14:paraId="4213090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5.5  除合同内有明确约定或经发包人同意外，负责监理的工程师无权解除本合同约定的承包人的任何权利与义务。</w:t>
      </w:r>
    </w:p>
    <w:p w14:paraId="2AFDDF1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5.6  不实行工程监理的，本合同中工程师专指发包人派驻施工场地履行合同的代表，其具体职权由发包人在专用条款内写明。</w:t>
      </w:r>
    </w:p>
    <w:p w14:paraId="6B3377C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６、工程师的委派和指令</w:t>
      </w:r>
    </w:p>
    <w:p w14:paraId="1DB9456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14:paraId="38F8D2E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4322BBFC">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除工程师或工程师代表外，发包人派驻工地的其他人员均无权向承包人发出任何指令。</w:t>
      </w:r>
    </w:p>
    <w:p w14:paraId="49BA71D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0F4148A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68CD8F9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本款规定同样适用于由工程师代表发出的指令、通知。</w:t>
      </w:r>
    </w:p>
    <w:p w14:paraId="2AFC3E2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04F3226E">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6.4如需更换工程师，发包人应至少提前7天以书面形式通知承包人，后任继续行使合同文件约定的前任的职权，履行前任的义务。</w:t>
      </w:r>
    </w:p>
    <w:p w14:paraId="10546CC3">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７、项目经理</w:t>
      </w:r>
    </w:p>
    <w:p w14:paraId="3414C2E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7.1项目经理的姓名、职务在专用条款内写明。</w:t>
      </w:r>
    </w:p>
    <w:p w14:paraId="2C516EC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7.2承包人依据合同发出的通知，以书面形式由项目经理签字后送交工程师，工程师在回执上签署姓名和收到时间后生效。</w:t>
      </w:r>
    </w:p>
    <w:p w14:paraId="13CEB73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14:paraId="7894DDC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7.4承包人如需要更换项目经理，应至少提前7天以书面形式通知发包人，并征得发包人同意。后任继续行使合同文件约定的前任的职权，履行前任的义务。</w:t>
      </w:r>
    </w:p>
    <w:p w14:paraId="2256B56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7.5发包人可以与承包人协商，建议更换其认为不称职的项目经理。</w:t>
      </w:r>
    </w:p>
    <w:p w14:paraId="0818BBB2">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８、发包人工作</w:t>
      </w:r>
    </w:p>
    <w:p w14:paraId="0D4779FC">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8.1发包人按专用条款约定的内容和时间完成以下工作：</w:t>
      </w:r>
    </w:p>
    <w:p w14:paraId="656D56A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（1）办理土地征用、拆迁补偿、平整施工场地等工作，使施工场地具备施工条件，在开工后继续负责解决以上事项遗留问题；</w:t>
      </w:r>
    </w:p>
    <w:p w14:paraId="63DACBF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（2）将施工所需水、电、电讯线路从施工场地外部接至专用条款约定地点，保证施工期间的需要；</w:t>
      </w:r>
    </w:p>
    <w:p w14:paraId="71DC773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（3）开通施工场地与城乡公共道路的通道，以及专用条款约定的施工场地内的主要道路，满足施工运输的需要，保证施工期间的畅通；</w:t>
      </w:r>
    </w:p>
    <w:p w14:paraId="3E377C4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（4）向承包人提供施工场地的工程地质和地下管线资料，对资料的真实准确性负责；</w:t>
      </w:r>
    </w:p>
    <w:p w14:paraId="76C9781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（5）办理施工许可证及其它施工所需批件和临时用地、停水、停电、中断道路交通、爆破作业等的证件申请批准手续（证明承包人自身资质的证件除外）；</w:t>
      </w:r>
    </w:p>
    <w:p w14:paraId="5AB739F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（6）确定水准点与坐标控制点，以书面形式交给承包人，进行现场交验；</w:t>
      </w:r>
    </w:p>
    <w:p w14:paraId="56FB40C4">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（7）组织承包人和设计单位进行图纸会审和设计交底；</w:t>
      </w:r>
    </w:p>
    <w:p w14:paraId="5D788ED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（8）协调处理施工场地周围地下管线和邻近建筑物、构筑物（包括文物保护建筑）、古树名木的保护工作、承担有关费用；</w:t>
      </w:r>
    </w:p>
    <w:p w14:paraId="3ECCE42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（9）发包人应做的其他工作，双方在专用条款内约定。</w:t>
      </w:r>
    </w:p>
    <w:p w14:paraId="687B419B">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8.2  发包人可以将8.1款部分工作委托承包人办理，双方在专用条款内约定，其费用由发包人承担。</w:t>
      </w:r>
    </w:p>
    <w:p w14:paraId="2F48C13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8.3  发包人未能履行8.1款各项义务，导致工期延误或给承包人造成损失的，发包人赔偿承包人有关损失，顺延延误的工期。</w:t>
      </w:r>
    </w:p>
    <w:p w14:paraId="1D4F9D86">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９、承包人工作</w:t>
      </w:r>
    </w:p>
    <w:p w14:paraId="75162A1C">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9.1  承包人按专用条款约定的内容和时间完成以下工作：</w:t>
      </w:r>
    </w:p>
    <w:p w14:paraId="02E4D8B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（1）根据发包人委托，在其设计资质等级和业务允许的范围内，完成施工图设计或与工程配套的设计，经工程师确认后使用，发包人承担由此发生的费用；</w:t>
      </w:r>
    </w:p>
    <w:p w14:paraId="6465DBE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（2）向工程师提供年、季、月度工程进度计划及相应进度统计报表；</w:t>
      </w:r>
    </w:p>
    <w:p w14:paraId="7564850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（3）根据工程需要，提供和维修非夜间施工使用的照明、围栏设施；负责施工现场安全保卫；</w:t>
      </w:r>
    </w:p>
    <w:p w14:paraId="682373E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（4）按专用条款约定的数量和要求，向发包人提供施工场地办公和生活的房屋及设施，发包人承担由此发生的费用；</w:t>
      </w:r>
    </w:p>
    <w:p w14:paraId="12FC158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spacing w:val="-4"/>
          <w:kern w:val="0"/>
          <w:sz w:val="24"/>
          <w:szCs w:val="24"/>
          <w:u w:val="none"/>
        </w:rPr>
      </w:pPr>
      <w:r>
        <w:rPr>
          <w:rFonts w:hint="eastAsia" w:ascii="宋体" w:hAnsi="宋体" w:eastAsia="宋体" w:cs="宋体"/>
          <w:bCs/>
          <w:color w:val="000000"/>
          <w:kern w:val="0"/>
          <w:sz w:val="24"/>
          <w:szCs w:val="24"/>
          <w:u w:val="none"/>
        </w:rPr>
        <w:t>（5）</w:t>
      </w:r>
      <w:r>
        <w:rPr>
          <w:rFonts w:hint="eastAsia" w:ascii="宋体" w:hAnsi="宋体" w:eastAsia="宋体" w:cs="宋体"/>
          <w:bCs/>
          <w:color w:val="000000"/>
          <w:spacing w:val="-6"/>
          <w:kern w:val="0"/>
          <w:sz w:val="24"/>
          <w:szCs w:val="24"/>
          <w:u w:val="none"/>
        </w:rPr>
        <w:t>遵守政府有关主管部门对施工场地安全防护、文明施工、环境保护以及场地</w:t>
      </w:r>
      <w:r>
        <w:rPr>
          <w:rFonts w:hint="eastAsia" w:ascii="宋体" w:hAnsi="宋体" w:eastAsia="宋体" w:cs="宋体"/>
          <w:bCs/>
          <w:color w:val="000000"/>
          <w:spacing w:val="-4"/>
          <w:kern w:val="0"/>
          <w:sz w:val="24"/>
          <w:szCs w:val="24"/>
          <w:u w:val="none"/>
        </w:rPr>
        <w:t>交</w:t>
      </w:r>
    </w:p>
    <w:p w14:paraId="3DD736BA">
      <w:pPr>
        <w:keepNext w:val="0"/>
        <w:keepLines w:val="0"/>
        <w:pageBreakBefore w:val="0"/>
        <w:widowControl w:val="0"/>
        <w:wordWrap/>
        <w:overflowPunct/>
        <w:topLinePunct w:val="0"/>
        <w:bidi w:val="0"/>
        <w:spacing w:line="360" w:lineRule="auto"/>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通等的管理规定，按规定办理有关手续，并以书面形式通知发包人。</w:t>
      </w:r>
    </w:p>
    <w:p w14:paraId="01E56B0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3AB8B42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（7）按专用条款约定做好施工场地地下管线和邻近建筑物、构筑物（包括文物保护建筑）、古树名木的保护工作；</w:t>
      </w:r>
    </w:p>
    <w:p w14:paraId="036F85F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（8）保证施工场地清洁符合环境卫生管理的有关规定，交工前清理现场达到专用条款约定的要求，承担因自身原因违反有关规定造成的损失和罚款；</w:t>
      </w:r>
    </w:p>
    <w:p w14:paraId="49F41EA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（9）承包人应做的其他工作，双方在专用条款内约定。</w:t>
      </w:r>
    </w:p>
    <w:p w14:paraId="6B3E4C2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9.2承包人未能履行9.1款各项义务，造成发包人损失的，承包人赔偿发包人有关损失。</w:t>
      </w:r>
    </w:p>
    <w:p w14:paraId="424F3F46">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三、施工组织设计和工期</w:t>
      </w:r>
    </w:p>
    <w:p w14:paraId="6C6393E1">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10、进度计划</w:t>
      </w:r>
    </w:p>
    <w:p w14:paraId="468E81A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10.1承包人应按专用条款约定的日期，将施工组织设计和工程进度计划提交工程师，工程师按专用条款约定的时间予以确认或提出修改意见，逾期不确认也不提出书面意见的，视为同意。</w:t>
      </w:r>
    </w:p>
    <w:p w14:paraId="4DF3216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10.2群体工程中单位工程分期进行施工的，承包人应按照发包人提供图纸及有关资料的时间，按单位工程编制进度计划，其具体内容双方在专用条款中约定。</w:t>
      </w:r>
    </w:p>
    <w:p w14:paraId="2D3A7A4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32EA86C7">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11、开工及延期开工</w:t>
      </w:r>
    </w:p>
    <w:p w14:paraId="406F97E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spacing w:val="-2"/>
          <w:kern w:val="0"/>
          <w:sz w:val="24"/>
          <w:szCs w:val="24"/>
          <w:u w:val="none"/>
        </w:rPr>
      </w:pPr>
      <w:r>
        <w:rPr>
          <w:rFonts w:hint="eastAsia" w:ascii="宋体" w:hAnsi="宋体" w:eastAsia="宋体" w:cs="宋体"/>
          <w:bCs/>
          <w:color w:val="000000"/>
          <w:kern w:val="0"/>
          <w:sz w:val="24"/>
          <w:szCs w:val="24"/>
          <w:u w:val="none"/>
        </w:rPr>
        <w:t>11.1承包人应当按照协议书约定的开工日期开工。承包人不能按时开工，应当</w:t>
      </w:r>
      <w:r>
        <w:rPr>
          <w:rFonts w:hint="eastAsia" w:ascii="宋体" w:hAnsi="宋体" w:eastAsia="宋体" w:cs="宋体"/>
          <w:bCs/>
          <w:color w:val="000000"/>
          <w:spacing w:val="-2"/>
          <w:kern w:val="0"/>
          <w:sz w:val="24"/>
          <w:szCs w:val="24"/>
          <w:u w:val="none"/>
        </w:rPr>
        <w:t>不迟于协议书约定的开工日期前7天，以书面形式向工程师提出延期开工的理由和要求。</w:t>
      </w:r>
      <w:r>
        <w:rPr>
          <w:rFonts w:hint="eastAsia" w:ascii="宋体" w:hAnsi="宋体" w:eastAsia="宋体" w:cs="宋体"/>
          <w:bCs/>
          <w:color w:val="000000"/>
          <w:kern w:val="0"/>
          <w:sz w:val="24"/>
          <w:szCs w:val="24"/>
          <w:u w:val="none"/>
        </w:rPr>
        <w:t>工程师应当在接到延期开工申请后的48小时内以书面形式答复承包人。工程师在接到延期开工申请后48小时内不答复，视为同意承包人要求，工期相应顺延。工程师</w:t>
      </w:r>
    </w:p>
    <w:p w14:paraId="6961FA30">
      <w:pPr>
        <w:keepNext w:val="0"/>
        <w:keepLines w:val="0"/>
        <w:pageBreakBefore w:val="0"/>
        <w:widowControl w:val="0"/>
        <w:wordWrap/>
        <w:overflowPunct/>
        <w:topLinePunct w:val="0"/>
        <w:bidi w:val="0"/>
        <w:spacing w:line="360" w:lineRule="auto"/>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不同意延期要求或承包人未在规定时间内提出延期开工要求，工期不予顺延。</w:t>
      </w:r>
    </w:p>
    <w:p w14:paraId="7545789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11.2  因发包人原因不能按照协议书约定的开工日期开工，工程师应以书面形式通知承包人，推迟开工日期。发包人赔偿承包人因延期开工造成的损失，并相应顺延工期。</w:t>
      </w:r>
    </w:p>
    <w:p w14:paraId="02896493">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12、暂停施工</w:t>
      </w:r>
    </w:p>
    <w:p w14:paraId="214D522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7B734BFA">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13、工期延误</w:t>
      </w:r>
    </w:p>
    <w:p w14:paraId="416141F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13.1  因以下原因造成工期延误，经工程师确认，工期相应顺延：</w:t>
      </w:r>
    </w:p>
    <w:p w14:paraId="7CF35FB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（1）发包人未能按专用条款的约定提供图纸及开工条件；</w:t>
      </w:r>
    </w:p>
    <w:p w14:paraId="6C60268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（2）发包人未能按约定日期支付工程预付款、进度款，致使施工不能正常进行；</w:t>
      </w:r>
    </w:p>
    <w:p w14:paraId="1FF4058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（3）工程师未按合同约定提供所需指令、批准等，致使施工不能正常进行；</w:t>
      </w:r>
    </w:p>
    <w:p w14:paraId="59EF52D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（4）设计变更和工程量增加；</w:t>
      </w:r>
    </w:p>
    <w:p w14:paraId="5FB8D3C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（5）一周内非承包人原因停水、停电、停气造成停工累计超过8小时；</w:t>
      </w:r>
    </w:p>
    <w:p w14:paraId="6E52DB4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（6）不可抗力；</w:t>
      </w:r>
    </w:p>
    <w:p w14:paraId="1D96B95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（7）专用条款中约定或工程师同意工期顺延的其他情况。</w:t>
      </w:r>
    </w:p>
    <w:p w14:paraId="0AB3B41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13.2承包人在13.1款情况发生后14天内，就延误的工期以书面形式向工程师提出报告。工程师在收到报告后14天内予以确认，逾期不予确认也不提出修改意见，视为同意顺延工期。</w:t>
      </w:r>
    </w:p>
    <w:p w14:paraId="0FC22CDF">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14、工程竣工</w:t>
      </w:r>
    </w:p>
    <w:p w14:paraId="3BFDB94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14.1  承包人必须按照协议书约定的竣工日期或工程师同意顺延的工期竣工。</w:t>
      </w:r>
    </w:p>
    <w:p w14:paraId="1BE5C8A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14.2  因承包人原因不能按照协议书约定的竣工日期或工程师同意顺延的工期</w:t>
      </w:r>
    </w:p>
    <w:p w14:paraId="6C0A8136">
      <w:pPr>
        <w:keepNext w:val="0"/>
        <w:keepLines w:val="0"/>
        <w:pageBreakBefore w:val="0"/>
        <w:widowControl w:val="0"/>
        <w:wordWrap/>
        <w:overflowPunct/>
        <w:topLinePunct w:val="0"/>
        <w:bidi w:val="0"/>
        <w:spacing w:line="360" w:lineRule="auto"/>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竣工的，承包人承担违约责任。</w:t>
      </w:r>
    </w:p>
    <w:p w14:paraId="3734F45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3901285F">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四、质量与检验</w:t>
      </w:r>
    </w:p>
    <w:p w14:paraId="77798F13">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15、工程质量</w:t>
      </w:r>
    </w:p>
    <w:p w14:paraId="7C5BE48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15.1工程质量应当达到协议书约定的质量标准，质量标准的评定以国家或行业的质量检验评定标准为依据。因承包人原因工程质量达不到约定的质量标准，承包人承担违约责任。</w:t>
      </w:r>
    </w:p>
    <w:p w14:paraId="0928B97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15.2双方对工程质量有争议，由双方同意的工程质量检测机构鉴定，所需费用及因此造成的损失，由责任方承担。双方均有责任，由双方根据其责任分别承担。</w:t>
      </w:r>
    </w:p>
    <w:p w14:paraId="14BB11C4">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16、检查和返工</w:t>
      </w:r>
    </w:p>
    <w:p w14:paraId="1F752F3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16.1承包人应认真按照标准、规范和设计图纸要求以及工程师依据合同发出的指令施工，随时接受工程师的检查检验，为检查检验提供便利条件。</w:t>
      </w:r>
    </w:p>
    <w:p w14:paraId="1C66091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4799FBE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16.3工程师的检查检验不应影响施工正常进行。如影响施工正常进行，检查检验不合格时，影响正常施工的费用由承包人承担。除此之外影响正常施工的追加合同价款由发包人承担，相应顺延工期。</w:t>
      </w:r>
    </w:p>
    <w:p w14:paraId="7927408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16.4因工程师指令失误或其他非承包人原因发生的追加合同价款，由发包人承担。</w:t>
      </w:r>
    </w:p>
    <w:p w14:paraId="3FDFF57A">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17、隐蔽工程和中间验收</w:t>
      </w:r>
    </w:p>
    <w:p w14:paraId="28B5725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spacing w:val="-2"/>
          <w:kern w:val="0"/>
          <w:sz w:val="24"/>
          <w:szCs w:val="24"/>
          <w:u w:val="none"/>
        </w:rPr>
      </w:pPr>
      <w:r>
        <w:rPr>
          <w:rFonts w:hint="eastAsia" w:ascii="宋体" w:hAnsi="宋体" w:eastAsia="宋体" w:cs="宋体"/>
          <w:bCs/>
          <w:color w:val="000000"/>
          <w:kern w:val="0"/>
          <w:sz w:val="24"/>
          <w:szCs w:val="24"/>
          <w:u w:val="none"/>
        </w:rPr>
        <w:t>17.1工程具备隐蔽条件或达到专用条款约定的中间验收部位，承包人进行自检，</w:t>
      </w:r>
      <w:r>
        <w:rPr>
          <w:rFonts w:hint="eastAsia" w:ascii="宋体" w:hAnsi="宋体" w:eastAsia="宋体" w:cs="宋体"/>
          <w:bCs/>
          <w:color w:val="000000"/>
          <w:spacing w:val="-2"/>
          <w:kern w:val="0"/>
          <w:sz w:val="24"/>
          <w:szCs w:val="24"/>
          <w:u w:val="none"/>
        </w:rPr>
        <w:t>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w:t>
      </w:r>
    </w:p>
    <w:p w14:paraId="019C8D17">
      <w:pPr>
        <w:keepNext w:val="0"/>
        <w:keepLines w:val="0"/>
        <w:pageBreakBefore w:val="0"/>
        <w:widowControl w:val="0"/>
        <w:wordWrap/>
        <w:overflowPunct/>
        <w:topLinePunct w:val="0"/>
        <w:bidi w:val="0"/>
        <w:spacing w:line="360" w:lineRule="auto"/>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改后重新验收。</w:t>
      </w:r>
    </w:p>
    <w:p w14:paraId="4FE5CE7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17.2  工程师不能按时进行验收，应在验收前24小时以书面形式向承包人提出延期要求，延期不能超过48小时。工程师未能按以上时间提出延期要求，不进行验收，承包人可自行组织验收，工程师应承认验收记录。</w:t>
      </w:r>
    </w:p>
    <w:p w14:paraId="5ACF288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17.3  经工程师验收，工程质量符合标准、规范和设计图纸等要求，验收24小时后，工程师不在验收记录上签字，视为工程师已经认可验收记录，承包人可进行隐蔽或继续施工。</w:t>
      </w:r>
    </w:p>
    <w:p w14:paraId="4747F96A">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18、重新检验</w:t>
      </w:r>
    </w:p>
    <w:p w14:paraId="0ADA2FDD">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501891B7">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19、工程试车</w:t>
      </w:r>
    </w:p>
    <w:p w14:paraId="780F5714">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19.1  双方约定需要试车的，试车内容应与承包人承包的安装范围相一致。</w:t>
      </w:r>
    </w:p>
    <w:p w14:paraId="344E828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37AE994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19.3  工程师不能按时参加试车，须在开始试车前24小时以书面形式向承包人提出延期要求，延期不能超过48小时。工程师未能按以上时间提出延期要求，不参加试车，应承认试车记录。</w:t>
      </w:r>
    </w:p>
    <w:p w14:paraId="16522C7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6F68A596">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19.5双方责任</w:t>
      </w:r>
    </w:p>
    <w:p w14:paraId="57C0966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（1）由于设计原因试车达不到验收要求，发包人应要求设计单位修改设计，承包人按修改后的设计重新安装。发包人承担修改设计、拆除及重新安装的全部费用和追加合同价款，工期相应顺延。</w:t>
      </w:r>
    </w:p>
    <w:p w14:paraId="045A263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14:paraId="01C68A8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（3）由于承包人施工原因试车达不到验收要求，承包人按工程师要求重新安装和试车，并承担重新安装和试车的费用，工期不予顺延。</w:t>
      </w:r>
    </w:p>
    <w:p w14:paraId="18A3B16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（4）试车费用除已包括在合同价款之内或专用条款另有约定外，均由发包人承担。</w:t>
      </w:r>
    </w:p>
    <w:p w14:paraId="082970F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（5）工程师在试车合格后不在试车记录上签字，试车结束24小时后，视为工程师已经认可试车记录，承包人可继续施工或办理竣工手续。</w:t>
      </w:r>
    </w:p>
    <w:p w14:paraId="0E1A7B34">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19.6  投料试车应在工程竣工验收后由发包人负责，如发包人要求在工程竣工验收前进行或需要承包人配合时，应征得承包人同意，另行签订补充协议。</w:t>
      </w:r>
    </w:p>
    <w:p w14:paraId="36B86CDD">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五、安全防护、文明施工</w:t>
      </w:r>
    </w:p>
    <w:p w14:paraId="1834896B">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20、发包人责任</w:t>
      </w:r>
    </w:p>
    <w:p w14:paraId="140CE00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20.1　发包人应遵守安全防护和文明施工的规定，督促承包人落实安全防护、文明施工措施，并按规定支付安全防护、文明施工措施费。</w:t>
      </w:r>
    </w:p>
    <w:p w14:paraId="02A4987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20.2　发包人应对其在施工现场人员进行安全防护、文明施工教育，并对他们的安全负责。</w:t>
      </w:r>
    </w:p>
    <w:p w14:paraId="746464DE">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14:paraId="2D475A0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20.4　发包人违反上述规定或由于发包人原因导致安全事故的，由发包人承担相应责任和费用，顺延延误的工期。</w:t>
      </w:r>
    </w:p>
    <w:p w14:paraId="5279D1EA">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21、承包人责任</w:t>
      </w:r>
    </w:p>
    <w:p w14:paraId="725795F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21.1　承包人应遵守安全防护和文明施工的规定，建立健全安全防护和文明施工的制度，对其在施工现场人员进行安全防护、文明施工教育，并对他们的安全负责。</w:t>
      </w:r>
    </w:p>
    <w:p w14:paraId="56198A6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21.2　完善安全防护和文明施工条件，严格按照安全防护和文明施工的规定组织施工，采取必要的安全防护措施，消除事故隐患，自觉接受和配合依法实施的监督检</w:t>
      </w:r>
    </w:p>
    <w:p w14:paraId="4D768B14">
      <w:pPr>
        <w:keepNext w:val="0"/>
        <w:keepLines w:val="0"/>
        <w:pageBreakBefore w:val="0"/>
        <w:widowControl w:val="0"/>
        <w:wordWrap/>
        <w:overflowPunct/>
        <w:topLinePunct w:val="0"/>
        <w:bidi w:val="0"/>
        <w:spacing w:line="360" w:lineRule="auto"/>
        <w:ind w:left="0" w:leftChars="0" w:firstLine="0" w:firstLineChars="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查。</w:t>
      </w:r>
    </w:p>
    <w:p w14:paraId="12E11CB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14:paraId="49AFBC6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21.4　应按规定的范围使用安全文明措施费，保证专款专用，不得挪作它用。</w:t>
      </w:r>
    </w:p>
    <w:p w14:paraId="436EE52C">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21.5　承包人对合同工程的安全施工负责，并应及时、如实报告生产安全事故。承包人违反上述规定或由于承包人原因造成的安全事故，由承包人承担相应责任和费用，工期不予顺延。</w:t>
      </w:r>
    </w:p>
    <w:p w14:paraId="6A82778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14:paraId="25423F2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14:paraId="58035F7A">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24、事故处理</w:t>
      </w:r>
    </w:p>
    <w:p w14:paraId="708D877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24.1发生伤亡及其他安全事故，承包人应按有关规定立即上报有关部门并通知工程师，同时按政府有关部门要求处理，由事故责任方承担发生的费用。</w:t>
      </w:r>
    </w:p>
    <w:p w14:paraId="6624A6FC">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24.2发包人承包人对事故责任有争议时，应按政府有关部门的认定处理。</w:t>
      </w:r>
    </w:p>
    <w:p w14:paraId="77BF5082">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六、合同价款</w:t>
      </w:r>
    </w:p>
    <w:p w14:paraId="41849E9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25、工程的计量规则和计价办法以《陕西省建设工程工程量清单计价规则》及相关规定为准，工程师应按照合同约定，依据上述规定进行工程计量和计价。</w:t>
      </w:r>
    </w:p>
    <w:p w14:paraId="456BBF83">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26、合同价款约定</w:t>
      </w:r>
    </w:p>
    <w:p w14:paraId="11DAB44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26.1招标工程的合同价款由发包人承包人依据中标通知书中的中标价格在协议书内约定。非招标工程的合同价款由发包人承包人依据双方确认的工程预算书在协议书内约定。</w:t>
      </w:r>
    </w:p>
    <w:p w14:paraId="02BD8DD4">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26.2  合同价款在协议书内约定后，任何一方不得擅自改变。下列三种确定合同价款的方式，双方可在专用条款内约定采用其中一种：</w:t>
      </w:r>
    </w:p>
    <w:p w14:paraId="56884825">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（1）固定总价合同。合同工期较短且工程合同总价较低的工程，可以采用固定总价合同方式。</w:t>
      </w:r>
    </w:p>
    <w:p w14:paraId="47F63C4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（2）固定综合单价合同。一般适用于工程量清单计价项目。双方在专用条款内约定综合单价包含的风险范围，在约定的风险范围内综合单价不再调整。风险范围以外的综合单价调整方法应当在专用条款内约定。</w:t>
      </w:r>
    </w:p>
    <w:p w14:paraId="339727BE">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（3）可调价格合同。可调价格包括可调综合单价和措施项目费用等，双方应在专用条款内约定综合单价和措施项目费的调整方法。</w:t>
      </w:r>
    </w:p>
    <w:p w14:paraId="58EBB3D2">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27、合同价款调整</w:t>
      </w:r>
    </w:p>
    <w:p w14:paraId="167B50A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27.1  价格中工程量、综合单价、措施项目费用的调整因素包括：</w:t>
      </w:r>
    </w:p>
    <w:p w14:paraId="1BD7E19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（1）法律、行政法规和国家有关政策变化影响合同价款；</w:t>
      </w:r>
    </w:p>
    <w:p w14:paraId="601DA4C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（2）工程造价管理机构的价格调整；</w:t>
      </w:r>
    </w:p>
    <w:p w14:paraId="5188101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（3）经批准的设计变更；</w:t>
      </w:r>
    </w:p>
    <w:p w14:paraId="7268743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（4）发包人更改经审定批准的施工组织设计（修正错误除外）造成费用变化；</w:t>
      </w:r>
    </w:p>
    <w:p w14:paraId="2E615A1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（5）工程量清单的工程数量与实际工程量不符，按实际工程量进行调整计算；</w:t>
      </w:r>
    </w:p>
    <w:p w14:paraId="5EF23391">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（6）费用索赔事件或发包人负责的其他情况；</w:t>
      </w:r>
    </w:p>
    <w:p w14:paraId="7F132088">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（7）双方在专用条款中约定的其他因素。</w:t>
      </w:r>
    </w:p>
    <w:p w14:paraId="173B142F">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27.2  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14:paraId="7CBC4B09">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28、工程预付款</w:t>
      </w:r>
    </w:p>
    <w:p w14:paraId="0DCACBF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28.1  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14:paraId="6876F17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28.2  安全防护和文明施工措施费应在专用条款中约定预付方式。合同工期在一年以内的，预付比例不得低于总额的70%；合同工期在一年以上的（含一年），预付比例不得低于总额的50%。</w:t>
      </w:r>
    </w:p>
    <w:p w14:paraId="32DB749F">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29、已完工程量确认</w:t>
      </w:r>
    </w:p>
    <w:p w14:paraId="70AB7912">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29.1  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14:paraId="7E6EF0C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29.2  工程师收到承包人报告后14天内未进行计量，从第15天起，承包人报告中开列的工程量即视为被确认，作为工程价款支付的依据。工程师不按约定时间通知承包人，致使承包人未能参加计量，计量结果无效。</w:t>
      </w:r>
    </w:p>
    <w:p w14:paraId="06F7FBAA">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29.3  对承包人超出设计图纸（含设计变更）范围和因承包人原因造成返工的工程量，工程师不予计量。</w:t>
      </w:r>
    </w:p>
    <w:p w14:paraId="4D2D4A95">
      <w:pPr>
        <w:keepNext w:val="0"/>
        <w:keepLines w:val="0"/>
        <w:pageBreakBefore w:val="0"/>
        <w:widowControl w:val="0"/>
        <w:wordWrap/>
        <w:overflowPunct/>
        <w:topLinePunct w:val="0"/>
        <w:bidi w:val="0"/>
        <w:spacing w:line="360" w:lineRule="auto"/>
        <w:ind w:firstLine="482" w:firstLineChars="200"/>
        <w:jc w:val="left"/>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30、工程进度款结算与支付</w:t>
      </w:r>
    </w:p>
    <w:p w14:paraId="09F5E867">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30.1　双方应在专用条款内约定工程进度款结算支付方式。结算支付方式分为按月结算支付与分阶段结算支付。</w:t>
      </w:r>
    </w:p>
    <w:p w14:paraId="4884CAA9">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30.2  在确认计量结果后14天内，发包人应向承包人支付不低于应付款额75%、不高于应付款额90%的工程进度款。按约定时间发包人应扣回的预付款，与工程进度款同期结算抵扣。</w:t>
      </w:r>
    </w:p>
    <w:p w14:paraId="09A2DEB0">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30.3  本通用条款第27条确定调整的合同价款，第35条工程变更调整的合同价款及其他条款中约定的追加合同价款，应与工程进度款同期调整支付。</w:t>
      </w:r>
    </w:p>
    <w:p w14:paraId="4A5887D3">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30.4  发包人超过约定的支付时间不支付工程进度款，承包人应及时向发包人发</w:t>
      </w:r>
    </w:p>
    <w:p w14:paraId="7824345E">
      <w:pPr>
        <w:keepNext w:val="0"/>
        <w:keepLines w:val="0"/>
        <w:pageBreakBefore w:val="0"/>
        <w:widowControl w:val="0"/>
        <w:wordWrap/>
        <w:overflowPunct/>
        <w:topLinePunct w:val="0"/>
        <w:bidi w:val="0"/>
        <w:spacing w:line="360" w:lineRule="auto"/>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14:paraId="74BF9E26">
      <w:pPr>
        <w:keepNext w:val="0"/>
        <w:keepLines w:val="0"/>
        <w:pageBreakBefore w:val="0"/>
        <w:widowControl w:val="0"/>
        <w:wordWrap/>
        <w:overflowPunct/>
        <w:topLinePunct w:val="0"/>
        <w:bidi w:val="0"/>
        <w:spacing w:line="360" w:lineRule="auto"/>
        <w:ind w:firstLine="480" w:firstLineChars="200"/>
        <w:jc w:val="left"/>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30.5发包人不按合同约定支付工程进度款，双方又未达成延期付款协议，导致施工无法进行，承包人可停止施工，由发包人承担违约责任。</w:t>
      </w:r>
    </w:p>
    <w:p w14:paraId="4AB10398">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七、材料设备供应</w:t>
      </w:r>
    </w:p>
    <w:p w14:paraId="232557C5">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31、发包人供应材料设备</w:t>
      </w:r>
    </w:p>
    <w:p w14:paraId="2FC447B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31.1  实行发包人供应材料设备的，双方应当约定发包人供应材料设备的一览表，作为本合同附件。一览表包括发包人供应材料设备的品种、规格、型号、数量、单价、质量等级、提供时间和地点。</w:t>
      </w:r>
    </w:p>
    <w:p w14:paraId="636BC45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31.2  发包人按一览表约定的内容提供材料设备，并向承包人提供产品合格证明，对其质量负责。发包人在所供材料设备到货前24小时，以书面形式通知承包人，由承包人派人与发包人共同清点。</w:t>
      </w:r>
    </w:p>
    <w:p w14:paraId="5307C28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31.3  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14:paraId="38E5513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31.4  发包人供应的材料设备与一览表不符时，发包人承担有关责任。发包人应承担责任的具体内容，双方根据下列情况在专用条款内约定：</w:t>
      </w:r>
    </w:p>
    <w:p w14:paraId="0D9B43E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（1）材料设备单价与一览表不符，由发包人承担所有价差；</w:t>
      </w:r>
    </w:p>
    <w:p w14:paraId="2139E98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（2）材料设备的品种、规格、型号、质量等级与一览表不符，承包人可拒绝接收保管，由发包人运出施工场地并重新采购；</w:t>
      </w:r>
    </w:p>
    <w:p w14:paraId="67F5C75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（3）发包人供应的材料规格、型号与一览表不符，经发包人同意，承包人可代为调剂串换，由发包人承担相应费用；</w:t>
      </w:r>
    </w:p>
    <w:p w14:paraId="18B35F3C">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（4）到货地点与一览表不符，由发包人负责运至一览表指定地点；</w:t>
      </w:r>
    </w:p>
    <w:p w14:paraId="21B385F3">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（5）供应数量少于一览表约定的数量时，由发包人补齐，多于一览表约定数量时，发包人负责将多出部分运出施工场地；</w:t>
      </w:r>
    </w:p>
    <w:p w14:paraId="7323E0D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spacing w:val="-6"/>
          <w:kern w:val="0"/>
          <w:sz w:val="24"/>
          <w:szCs w:val="24"/>
          <w:u w:val="none"/>
        </w:rPr>
      </w:pPr>
      <w:r>
        <w:rPr>
          <w:rFonts w:hint="eastAsia" w:ascii="宋体" w:hAnsi="宋体" w:eastAsia="宋体" w:cs="宋体"/>
          <w:bCs/>
          <w:color w:val="000000"/>
          <w:kern w:val="0"/>
          <w:sz w:val="24"/>
          <w:szCs w:val="24"/>
          <w:u w:val="none"/>
        </w:rPr>
        <w:t>（6）到</w:t>
      </w:r>
      <w:r>
        <w:rPr>
          <w:rFonts w:hint="eastAsia" w:ascii="宋体" w:hAnsi="宋体" w:eastAsia="宋体" w:cs="宋体"/>
          <w:bCs/>
          <w:color w:val="000000"/>
          <w:spacing w:val="-6"/>
          <w:kern w:val="0"/>
          <w:sz w:val="24"/>
          <w:szCs w:val="24"/>
          <w:u w:val="none"/>
        </w:rPr>
        <w:t>货时间早于一览表约定时间，由发包人承担因此发生的保管费用；到货时间</w:t>
      </w:r>
    </w:p>
    <w:p w14:paraId="552A515D">
      <w:pPr>
        <w:keepNext w:val="0"/>
        <w:keepLines w:val="0"/>
        <w:pageBreakBefore w:val="0"/>
        <w:widowControl w:val="0"/>
        <w:wordWrap/>
        <w:overflowPunct/>
        <w:topLinePunct w:val="0"/>
        <w:bidi w:val="0"/>
        <w:spacing w:line="360" w:lineRule="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迟于一览表约定的供应时间，发包人赔偿由此造成的承包人损失，造成工期延误的，相应顺延工期；</w:t>
      </w:r>
    </w:p>
    <w:p w14:paraId="3DD6C42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31.5发包人供应的材料设备使用前，由承包人负责检验或试验，不合格的不得使用，检验或试验费用由发包人承担。</w:t>
      </w:r>
    </w:p>
    <w:p w14:paraId="121E095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31.6发包人供应材料设备的结算方法，双方在专用条款内约定。</w:t>
      </w:r>
    </w:p>
    <w:p w14:paraId="1B27AFD0">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32、承包人采购材料设备</w:t>
      </w:r>
    </w:p>
    <w:p w14:paraId="604C035A">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32.1承包人负责采购材料设备的，应按照专用条款约定及设计和有关标准要求采购，并提供产品合格证明，对材料设备质量负责。承包人在材料设备到货前24小时通知工程师清点。</w:t>
      </w:r>
    </w:p>
    <w:p w14:paraId="33C6E922">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32.2承包人采购的材料设备与设计标准要求不符时，承包人应按工程师要求的时间运出施工场地，重新采购符合要求的产品，承担由此发生的费用，由此延误的工期不予顺延。</w:t>
      </w:r>
    </w:p>
    <w:p w14:paraId="1A3F824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32.3承包人采购的材料设备在使用前，承包人应按工程师的要求进行检验或试验，不合格的不得使用，检验或试验费用由承包人承担。</w:t>
      </w:r>
    </w:p>
    <w:p w14:paraId="3639F82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32.4工程师发现承包人采购并使用不符合设计和标准要求的材料设备时，应要求承包人负责修复、拆除或重新采购，由承包人承担发生的费用，由此延误的工期不予顺延。</w:t>
      </w:r>
    </w:p>
    <w:p w14:paraId="3DA1DDB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32.5承包人需要使用代用材料时，应经工程师认可后才能使用，由此增减的合同价款双方以书面形式议定。</w:t>
      </w:r>
    </w:p>
    <w:p w14:paraId="2020F310">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32.6由承包人采购的材料设备，发包人不得指定生产厂或供应商。</w:t>
      </w:r>
    </w:p>
    <w:p w14:paraId="1300BA61">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八、工程变更</w:t>
      </w:r>
    </w:p>
    <w:p w14:paraId="78DCEF95">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33、工程设计变更</w:t>
      </w:r>
    </w:p>
    <w:p w14:paraId="32836269">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44F165C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（1）更改工程有关部分的标高、基线、位置和尺寸；</w:t>
      </w:r>
    </w:p>
    <w:p w14:paraId="7F7D7AF8">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（2）增减合同中约定的工程量；</w:t>
      </w:r>
    </w:p>
    <w:p w14:paraId="2EAFE65E">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（3）改变有关工程的施工时间和顺序；</w:t>
      </w:r>
    </w:p>
    <w:p w14:paraId="348A2061">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（4）其他有关工程变更需要的附加工作。</w:t>
      </w:r>
    </w:p>
    <w:p w14:paraId="0E087BCE">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因变更导致合同价款的增减及造成的承包人损失，由发包人承担，延误的工期相应顺延。</w:t>
      </w:r>
    </w:p>
    <w:p w14:paraId="5A28E2FC">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33.2  施工中承包人不得对原工程设计进行变更。因承包人擅自变更设计发生的费用和由此导致发包人的直接损失，由承包人承担，延误的工期不予顺延。</w:t>
      </w:r>
    </w:p>
    <w:p w14:paraId="200C2AF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33.3  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14:paraId="07C25A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34、其他变更</w:t>
      </w:r>
    </w:p>
    <w:p w14:paraId="66280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合同履行中发包人要求变更工程质量标准及发生其他实质性变更，由双方协商解决。</w:t>
      </w:r>
    </w:p>
    <w:p w14:paraId="13D69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35、确定变更价款</w:t>
      </w:r>
    </w:p>
    <w:p w14:paraId="152B1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35.1  承包人在工程变更确定后14天内，提出变更工程价款的报告，经工程师确认后调整合同价款。变更合同价款按下列方法进行：</w:t>
      </w:r>
    </w:p>
    <w:p w14:paraId="6C92E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（1）合同中已有适用于变更工程的综合单价或价格，按合同已有的综合单价或价格变更合同价款；</w:t>
      </w:r>
    </w:p>
    <w:p w14:paraId="1D1CF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（2）合同中只有类似于变更工程的综合单价或价格，可以参照类似综合单价或价格变更合同价款；</w:t>
      </w:r>
    </w:p>
    <w:p w14:paraId="5628D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（3）合同中没有适用或类似于变更工程的综合单价或价格，由承包人或发包人提出综合单价或价格，经双方确认后执行。</w:t>
      </w:r>
    </w:p>
    <w:p w14:paraId="38F574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35.2  承包人在双方确定变更后14天内应向工程师提出变更工程价款报告，否则发包人可根据所掌握的资料决定是否调整合同价款和调整的具体金额，并书面通知承包人。</w:t>
      </w:r>
    </w:p>
    <w:p w14:paraId="5DD6C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35.3  工程师应在收到变更工程价款报告之日起14天内予以确认，工程师无正当理由不确认也未提出协商意见时，自变更工程价款报告送达之日起14天后视为变更工程价款报告已被确认。</w:t>
      </w:r>
    </w:p>
    <w:p w14:paraId="424CC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35.4  发承包双方对变更价款不能达成一致时，按本通用条款第41条关于争议的约定处理。</w:t>
      </w:r>
    </w:p>
    <w:p w14:paraId="50704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35.5  因承包人自身原因导致的工程变更，承包人无权要求追加合同价款。</w:t>
      </w:r>
    </w:p>
    <w:p w14:paraId="196B8234">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九、竣工验收与结算</w:t>
      </w:r>
    </w:p>
    <w:p w14:paraId="081A6983">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36、竣工验收</w:t>
      </w:r>
    </w:p>
    <w:p w14:paraId="5E6F4B9A">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36.1工程具备竣工验收条件，承包人按国家工程竣工验收有关规定，向发包人提供完整竣工资料及竣工验收报告。双方约定由承包人提供竣工图的，应当在专用条款内约定提供的日期和份数。</w:t>
      </w:r>
    </w:p>
    <w:p w14:paraId="44B6B86C">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36.2发包人收到竣工验收报告后28天内组织有关单位验收，并在验收后14天内给予认可或提出修改意见。承包人按要求修改，并承担由自身原因造成修改的费用。</w:t>
      </w:r>
    </w:p>
    <w:p w14:paraId="4FEEB29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36.3发包人收到承包人送交的竣工验收报告后28天内不组织验收，或验收后14天内不提出修改意见，视为竣工验收报告已被认可。</w:t>
      </w:r>
    </w:p>
    <w:p w14:paraId="1E516EDA">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36.4工程竣工验收通过，承包人送交竣工验收报告的日期为实际竣工日期。工程按发包人要求修改后通过竣工验收的，实际竣工日期为承包人修改后提请发包人验收的日期。</w:t>
      </w:r>
    </w:p>
    <w:p w14:paraId="1CACBEAC">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36.5发包人收到承包人竣工验收报告后28天内不组织验收，从第29天起承担工程保管及一切意外责任。</w:t>
      </w:r>
    </w:p>
    <w:p w14:paraId="2E82345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36.6中间交工工程的范围和竣工时间，双方在专用条款内约定，其验收程序按本通用条款36.1款至36.4款办理。</w:t>
      </w:r>
    </w:p>
    <w:p w14:paraId="70DBBEBC">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36.7因特殊原因，发包人要求部分单位工程或工程部位甩项竣工的，双方另行签订甩项竣工协议，明确双方责任和工程价款的支付方法。</w:t>
      </w:r>
    </w:p>
    <w:p w14:paraId="6B955838">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36.8工程未经竣工验收或竣工验收未通过的，发包人不得使用。发包人强行使用时，由此发生的质量及其他问题，由发包人承担责任。</w:t>
      </w:r>
    </w:p>
    <w:p w14:paraId="31561D72">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37、竣工结算</w:t>
      </w:r>
    </w:p>
    <w:p w14:paraId="6F6D93B0">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37.1  工程竣工结算分为单位工程竣工结算、单项工程竣工结算和建设项目竣工总结算。</w:t>
      </w:r>
    </w:p>
    <w:p w14:paraId="331DCB3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37.2  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14:paraId="3301F30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建设项目总结算在最后一个单项工程竣工结算审查确认后，一般在15天以内向发包人提交竣工结算汇总资料。</w:t>
      </w:r>
    </w:p>
    <w:p w14:paraId="059A0D7C">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37.3  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14:paraId="1837C39A">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37.4  承包人收到竣工结算价款后14天内将竣工工程交付发包人。</w:t>
      </w:r>
    </w:p>
    <w:p w14:paraId="793BD701">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37.5  发包人收到承包人建设项目竣工总结算汇总资料后30天内，审查完成。</w:t>
      </w:r>
    </w:p>
    <w:p w14:paraId="399E5EE2">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37.6  发包人收到竣工结算报告及结算资料后，在本条规定期限内对结算报告及资料没有提出意见则视同认可。</w:t>
      </w:r>
    </w:p>
    <w:p w14:paraId="61A7BBAE">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37.7  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14:paraId="0C9983D5">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37.8  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14:paraId="2AB86411">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37.9  发包人承包人对工程竣工结算价款发生争议时，按本通用条款第41条关于争议的约定处理。</w:t>
      </w:r>
    </w:p>
    <w:p w14:paraId="1EF8D530">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38、质量保证</w:t>
      </w:r>
    </w:p>
    <w:p w14:paraId="7CA367E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38.1承包人应按法律、行政法规或国家关于工程质量保修的有关规定，对交付发包人使用的工程在质量保修期内承担质量保修责任。</w:t>
      </w:r>
    </w:p>
    <w:p w14:paraId="3C09788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38.2质量保修工作的实施。承包人与发包人签订质量保修书，作为本合同附件（附件３）。发包人应明确保证金预留、返还等内容，并与承包人在合同条款中对涉及保证金的下列事项进行约定：</w:t>
      </w:r>
    </w:p>
    <w:p w14:paraId="7F4D38D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（1）保证金预留、返还方式；</w:t>
      </w:r>
    </w:p>
    <w:p w14:paraId="5FE316D1">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（2）保证金预留比例、期限；</w:t>
      </w:r>
    </w:p>
    <w:p w14:paraId="428840F5">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（3）保证金是否计付利息，如计利息，利息的计算方式；</w:t>
      </w:r>
    </w:p>
    <w:p w14:paraId="635B3D22">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（4）缺陷责任期的期限及计算方式；</w:t>
      </w:r>
    </w:p>
    <w:p w14:paraId="531C98E1">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（5）保证金预留、返还及工程维修质量、费用等争议的处理程序；</w:t>
      </w:r>
    </w:p>
    <w:p w14:paraId="26BE7152">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（6）缺陷责任期内出现缺陷的索赔方式。</w:t>
      </w:r>
    </w:p>
    <w:p w14:paraId="711E401C">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38.3质量保修书的主要内容包括：</w:t>
      </w:r>
    </w:p>
    <w:p w14:paraId="0F360E68">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（1）质量保修项目内容及范围；</w:t>
      </w:r>
    </w:p>
    <w:p w14:paraId="3283ECCF">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（2）质量保修期；</w:t>
      </w:r>
    </w:p>
    <w:p w14:paraId="2ED967B7">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（3）质量保修责任；</w:t>
      </w:r>
    </w:p>
    <w:p w14:paraId="7A79A5AD">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（4）质量保修金的支付方法。</w:t>
      </w:r>
    </w:p>
    <w:p w14:paraId="45CDE45A">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38.4质量保证金按工程价款结算总额5%以内的比例预留。</w:t>
      </w:r>
    </w:p>
    <w:p w14:paraId="59B2290C">
      <w:pPr>
        <w:keepNext w:val="0"/>
        <w:keepLines w:val="0"/>
        <w:pageBreakBefore w:val="0"/>
        <w:widowControl w:val="0"/>
        <w:kinsoku w:val="0"/>
        <w:wordWrap/>
        <w:overflowPunct/>
        <w:topLinePunct w:val="0"/>
        <w:autoSpaceDE w:val="0"/>
        <w:autoSpaceDN w:val="0"/>
        <w:bidi w:val="0"/>
        <w:adjustRightInd/>
        <w:snapToGrid/>
        <w:spacing w:line="360" w:lineRule="auto"/>
        <w:ind w:firstLine="482" w:firstLineChars="200"/>
        <w:textAlignment w:val="auto"/>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十、违约、索赔和争议</w:t>
      </w:r>
    </w:p>
    <w:p w14:paraId="1154DC26">
      <w:pPr>
        <w:keepNext w:val="0"/>
        <w:keepLines w:val="0"/>
        <w:pageBreakBefore w:val="0"/>
        <w:widowControl w:val="0"/>
        <w:kinsoku w:val="0"/>
        <w:wordWrap/>
        <w:overflowPunct/>
        <w:topLinePunct w:val="0"/>
        <w:autoSpaceDE w:val="0"/>
        <w:autoSpaceDN w:val="0"/>
        <w:bidi w:val="0"/>
        <w:adjustRightInd/>
        <w:snapToGrid/>
        <w:spacing w:line="360" w:lineRule="auto"/>
        <w:ind w:firstLine="482" w:firstLineChars="200"/>
        <w:textAlignment w:val="auto"/>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39、违约</w:t>
      </w:r>
    </w:p>
    <w:p w14:paraId="6372559D">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39.1发包人违约。当发生下列情况时：</w:t>
      </w:r>
    </w:p>
    <w:p w14:paraId="6BE55C55">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（1）本通用条款第28.1款提到的发包人不按时支付工程预付款；</w:t>
      </w:r>
    </w:p>
    <w:p w14:paraId="61FE8F84">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（2）本通用条款第30.5款提到的发包人不按合同约定支付工程款，导致施工无法进行；</w:t>
      </w:r>
    </w:p>
    <w:p w14:paraId="2BC72B50">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（3）本通用条款第37.6款提到的发包人无正当理由不支付工程竣工结算价款；</w:t>
      </w:r>
    </w:p>
    <w:p w14:paraId="1E119A2F">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（4）发包人不履行合同义务或不按合同约定履行义务的其他情况。</w:t>
      </w:r>
    </w:p>
    <w:p w14:paraId="61EF6FD2">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发包人承担违约责任，赔偿因其违约给承包人造成的经济损失，顺延延误的工期。双方在专用条款内约定发包人赔偿承包人损失的计算方法或者发包人应当支付违约金的数额和计算方法。</w:t>
      </w:r>
    </w:p>
    <w:p w14:paraId="7286C6B2">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39.2  承包人违约。当发生下列情况时：</w:t>
      </w:r>
    </w:p>
    <w:p w14:paraId="65D9D03F">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（1）本通用条款第14.2款提到的因承包人原因不能按照协议书约定的竣工日期或工程师同意顺延的工期竣工；</w:t>
      </w:r>
    </w:p>
    <w:p w14:paraId="536E0698">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（2）本通用条款第15.1款提到的因承包人原因工程质量达不到协议书约定的质量标准；</w:t>
      </w:r>
    </w:p>
    <w:p w14:paraId="6223ED63">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（3）承包人不履行合同义务或不按合同约定履行义务的其他情况。</w:t>
      </w:r>
    </w:p>
    <w:p w14:paraId="6900DFA1">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承包人承担违约责任，赔偿因其违约给发包人造成的损失。双方在专用条款内约定承包人赔偿发包人损失的计算方法或者承包人应当支付违约金的数额和计算方法。</w:t>
      </w:r>
    </w:p>
    <w:p w14:paraId="16DE441B">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39.3  一方违约后，另一方要求违约方继续履行合同时，违约方承担上述违约责任后仍应继续履行合同。</w:t>
      </w:r>
    </w:p>
    <w:p w14:paraId="3FA4096A">
      <w:pPr>
        <w:keepNext w:val="0"/>
        <w:keepLines w:val="0"/>
        <w:pageBreakBefore w:val="0"/>
        <w:widowControl w:val="0"/>
        <w:kinsoku w:val="0"/>
        <w:wordWrap/>
        <w:overflowPunct/>
        <w:topLinePunct w:val="0"/>
        <w:autoSpaceDE w:val="0"/>
        <w:autoSpaceDN w:val="0"/>
        <w:bidi w:val="0"/>
        <w:adjustRightInd/>
        <w:snapToGrid/>
        <w:spacing w:line="360" w:lineRule="auto"/>
        <w:ind w:firstLine="482" w:firstLineChars="200"/>
        <w:textAlignment w:val="auto"/>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40、索赔</w:t>
      </w:r>
    </w:p>
    <w:p w14:paraId="12F903E2">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40.1  当一方向另一方提出索赔时，要有正当索赔理由，且有索赔事件发生时的有效证据。</w:t>
      </w:r>
    </w:p>
    <w:p w14:paraId="640AF302">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40.2  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4365FC17">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（1）索赔事件发生后28天内，向工程师发出索赔意向通知；</w:t>
      </w:r>
    </w:p>
    <w:p w14:paraId="542FBC04">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（2）发出索赔意向通知后28天内，向工程师提出延长工期和（或）补偿经济损失的索赔报告及有关资料；</w:t>
      </w:r>
    </w:p>
    <w:p w14:paraId="5F0DF7B0">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（3）工程师在收到承包人送交的索赔报告和有关资料后，于28天内给予答复，或要求承包人进一步补充索赔理由和证据；</w:t>
      </w:r>
    </w:p>
    <w:p w14:paraId="4297E417">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（4）工程师在收到承包人送交的索赔报告和有关资料后28天内未予答复或未对承包人作进一步要求，视为该项索赔已经认可；</w:t>
      </w:r>
    </w:p>
    <w:p w14:paraId="7050B3F1">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（5）当该索赔事件持续进行时，承包人应当阶段性向工程师发出索赔意向，在索赔事件终了后28天内，向工程师送交索赔的有关资料和最终索赔报告。索赔答复程序与（3）、（4）规定相同。</w:t>
      </w:r>
    </w:p>
    <w:p w14:paraId="261B60CA">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40.3承包人未能按合同约定履行自己的各项义务或发生错误，给发包人造成经济损失，发包人可按40.2款确定的时限向承包人提出索赔。</w:t>
      </w:r>
    </w:p>
    <w:p w14:paraId="2D9289A0">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41、争议</w:t>
      </w:r>
    </w:p>
    <w:p w14:paraId="0945532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14:paraId="008608C1">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41.2发生争议后，除非出现下列情况的，双方都应继续履行合同，保持施工连续，保护好已完工程：</w:t>
      </w:r>
    </w:p>
    <w:p w14:paraId="13C2638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（1）单方违约导致合同确已无法履行，双方协议停止施工；</w:t>
      </w:r>
    </w:p>
    <w:p w14:paraId="66646679">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（2）调解要求停止施工，且为双方接受；</w:t>
      </w:r>
    </w:p>
    <w:p w14:paraId="638AD33E">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（3）仲裁机构要求停止施工；</w:t>
      </w:r>
    </w:p>
    <w:p w14:paraId="4F13415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（4）法院要求停止施工。</w:t>
      </w:r>
    </w:p>
    <w:p w14:paraId="1EE85AFC">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十一、其他</w:t>
      </w:r>
    </w:p>
    <w:p w14:paraId="4F14FFD1">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42、工程分包</w:t>
      </w:r>
    </w:p>
    <w:p w14:paraId="7FA92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42.1承包人需要将专业工程或劳务进行分包的，应分包给具有相应资质的专业或劳务企业，并与分包企业签订分包合同。</w:t>
      </w:r>
    </w:p>
    <w:p w14:paraId="7342C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42.2承包人不得将其承包的工程转包给他人，也不得将其承包的工程以分包的名义转包给他人。</w:t>
      </w:r>
    </w:p>
    <w:p w14:paraId="5E543A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42.3工程分包不能解除承包人任何责任与义务。承包人应在分包场地派驻相应管理人员，保证本合同的履行。分包单位的任何违约行为或疏忽导致工程损害或给发包人造成其他损失，承包人承担连带责任。</w:t>
      </w:r>
    </w:p>
    <w:p w14:paraId="3B8E1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42.4分包工程价款由承包人与分包单位结算。发包人未经承包人同意不得以任何形式向分包单位支付各种工程款项。</w:t>
      </w:r>
    </w:p>
    <w:p w14:paraId="01517E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42.5  承包人应按时支付分包工程款及劳务费。若承包人不能按时支付时，发包人可将此部分款项从向承包人支付的工程款中扣出并直接支付给分包人和劳务人员。</w:t>
      </w:r>
    </w:p>
    <w:p w14:paraId="14DD8F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43、不可抗力</w:t>
      </w:r>
    </w:p>
    <w:p w14:paraId="35556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43.1  不可抗力包括因战争、动乱、空中飞行物体坠落或其他非发包人承包人责任造成的爆炸、火灾，以及专用条款约定的风、雨、雪、洪、震等自然灾害。</w:t>
      </w:r>
    </w:p>
    <w:p w14:paraId="109313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43.2  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14:paraId="74B2F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43.3  因不可抗力事件导致的费用及延误的工期由双方按以下方法分别承担：</w:t>
      </w:r>
    </w:p>
    <w:p w14:paraId="47738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（1）工程本身的损害、因工程损害导致第三人人员伤亡和财产损失以及运至施工场地用于施工的材料和待安装的设备的损害，由发包人承担；</w:t>
      </w:r>
    </w:p>
    <w:p w14:paraId="09F82AE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（2）发包人承包人人员伤亡由其所在单位负责，并承担相应费用；</w:t>
      </w:r>
    </w:p>
    <w:p w14:paraId="1439881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（3）承包人机械设备损坏及停工损失，由承包人承担；</w:t>
      </w:r>
    </w:p>
    <w:p w14:paraId="13D0FBA6">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（4）停工期间，承包人应工程师要求留在施工场地的必要的管理人员及保卫人员的费用由发包人承担；</w:t>
      </w:r>
    </w:p>
    <w:p w14:paraId="104C2A92">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（5）工程所需清理、修复费用，由发包人承担；</w:t>
      </w:r>
    </w:p>
    <w:p w14:paraId="42E01CC8">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（6）延误的工期相应顺延。</w:t>
      </w:r>
    </w:p>
    <w:p w14:paraId="6EA7658A">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43.4  因合同一方迟延履行合同后发生不可抗力的，不能免除迟延履行方的相应责任。</w:t>
      </w:r>
    </w:p>
    <w:p w14:paraId="5E47B505">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44、保险</w:t>
      </w:r>
    </w:p>
    <w:p w14:paraId="70B5F29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44.1  工程开工前，发包人为建设工程和施工现场内的自有人员及第三人人员生命财产办理保险，支付保险费用。</w:t>
      </w:r>
    </w:p>
    <w:p w14:paraId="5A1282A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44.2  发包人供应的运至施工场地内用于工程的材料设备，由发包人办理保险，并支付保险费用。</w:t>
      </w:r>
    </w:p>
    <w:p w14:paraId="584121E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p>
    <w:p w14:paraId="74F0FDC1">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44.3  发包人可以将有关保险事项委托承包人办理，费用由发包人承担。</w:t>
      </w:r>
    </w:p>
    <w:p w14:paraId="33995C3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44.4  承包人必须为施工场地内施工人员办理意外伤害保险和工伤保险，并为施工场地内的施工机械设备办理财产保险，支付保险费用。</w:t>
      </w:r>
    </w:p>
    <w:p w14:paraId="0336478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44.5  保险事故发生时，发包人承包人有责任尽力采取必要的措施，防止或者减少损失。</w:t>
      </w:r>
    </w:p>
    <w:p w14:paraId="1DA391E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44.6  具体投保内容和相关责任，发包人承包人在专用条款中约定。</w:t>
      </w:r>
    </w:p>
    <w:p w14:paraId="29A2E5AC">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45、担保</w:t>
      </w:r>
    </w:p>
    <w:p w14:paraId="50716D6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45.1  发包人承包人为了全面履行合同，应互相提供以下担保：</w:t>
      </w:r>
    </w:p>
    <w:p w14:paraId="0B137A20">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（1）发包人向承包人提供支付担保，按合同约定支付工程价款及履行合同约定的其他义务。</w:t>
      </w:r>
    </w:p>
    <w:p w14:paraId="1BABA1C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（2）承包人向发包人提供履约担保，按合同约定履行自己的各项义务。</w:t>
      </w:r>
    </w:p>
    <w:p w14:paraId="08BE362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45.2  一方违约后，另一方可要求提供担保的第三人承担相应责任。</w:t>
      </w:r>
    </w:p>
    <w:p w14:paraId="29F16532">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45.3  提供担保的内容、方式和相关责任，发包人承包人除在专用条款中约定外，被担保方与担保方还应签订担保合同，作为本合同附件。</w:t>
      </w:r>
    </w:p>
    <w:p w14:paraId="421E4DFF">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46、专利技术及特殊工艺</w:t>
      </w:r>
    </w:p>
    <w:p w14:paraId="46AD1480">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46.1  发包人要求使用专利技术或特殊工艺，应负责办理相应的申报手续，承担申报、试验、使用等费用；承包人提出使用专利技术或特殊工艺，应取得工程师认可，承包人负责办理申报手续并承担有关费用。</w:t>
      </w:r>
    </w:p>
    <w:p w14:paraId="5E189F0B">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46.2  擅自使用专利技术侵犯他人专利权的，责任者依法承担相应责任。</w:t>
      </w:r>
    </w:p>
    <w:p w14:paraId="231F8550">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47、文物和地下障碍物</w:t>
      </w:r>
    </w:p>
    <w:p w14:paraId="3E491BD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47.1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0D960595">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如发现后隐瞒不报，致使文物遭受破坏，责任者依法承担相应责任。</w:t>
      </w:r>
    </w:p>
    <w:p w14:paraId="3F10E8F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47.2施工中发现影响施工的地下障碍物时，承包人应于8小时内以书面形式通知工程师，同时提出处置方案，工程师收到处置方案后24小时内予以认可或提出修正</w:t>
      </w:r>
    </w:p>
    <w:p w14:paraId="5BE73C77">
      <w:pPr>
        <w:keepNext w:val="0"/>
        <w:keepLines w:val="0"/>
        <w:pageBreakBefore w:val="0"/>
        <w:widowControl w:val="0"/>
        <w:wordWrap/>
        <w:overflowPunct/>
        <w:topLinePunct w:val="0"/>
        <w:bidi w:val="0"/>
        <w:spacing w:line="360" w:lineRule="auto"/>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方案。发包人承担由此发生的费用，顺延延误的工期。</w:t>
      </w:r>
    </w:p>
    <w:p w14:paraId="6631B3C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所发现的地下障碍物有归属单位时，发包人应报请有关部门协同处置。</w:t>
      </w:r>
    </w:p>
    <w:p w14:paraId="30C65B6B">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48、合同解除</w:t>
      </w:r>
    </w:p>
    <w:p w14:paraId="087E6B27">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48.1  发包人承包人协商一致，可以解除合同。</w:t>
      </w:r>
    </w:p>
    <w:p w14:paraId="5A066C6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48.2  发生本通用条款第30.5款情况，停止施工超过56天，发包人仍不支付工程款（进度款），承包人有权解除合同。</w:t>
      </w:r>
    </w:p>
    <w:p w14:paraId="7CD87D2D">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48.3  发生本通用条款第42.2款禁止的情况，发包人有权解除合同。</w:t>
      </w:r>
    </w:p>
    <w:p w14:paraId="0AFA300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48.4  有下列情形之一的，发包人承包人可以解除合同：</w:t>
      </w:r>
    </w:p>
    <w:p w14:paraId="5ED4E2CE">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（1）因不可抗力致使合同无法履行；</w:t>
      </w:r>
    </w:p>
    <w:p w14:paraId="33E0DB32">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（2）因一方违约（包括因发包人原因造成工程停建或缓建）致使合同无法履行。</w:t>
      </w:r>
    </w:p>
    <w:p w14:paraId="21B3E7F0">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48.5  一方依据48.2、48.3、48.4款约定要求解除合同的，应以书面形式向对方发出解除合同的通知，并在发出通知前7天告知对方，通知到达对方时合同解除。对解除合同有争议的，按本通用条款第41条关于争议的约定处理。</w:t>
      </w:r>
    </w:p>
    <w:p w14:paraId="14B78036">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48.6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6316D0B2">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48.7  合同解除后，不影响双方在合同中约定的结算和清理条款的效力。</w:t>
      </w:r>
    </w:p>
    <w:p w14:paraId="10B8120E">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49、合同生效与终止</w:t>
      </w:r>
    </w:p>
    <w:p w14:paraId="62C0E7E3">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49.1  双方在协议书中约定合同生效方式。</w:t>
      </w:r>
    </w:p>
    <w:p w14:paraId="3576BCD2">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49.2  除本通用条款第38条外，发包人承包人履行合同全部义务，竣工结算价款支付完毕，承包人向发包人交付竣工工程后，本合同即告终止。</w:t>
      </w:r>
    </w:p>
    <w:p w14:paraId="5DF17831">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49.3  合同的权利义务终止后，发包人承包人应当遵循诚实信用原则，履行通知、协助、保密等义务。</w:t>
      </w:r>
    </w:p>
    <w:p w14:paraId="0DACA4DB">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
          <w:bCs/>
          <w:color w:val="000000"/>
          <w:kern w:val="0"/>
          <w:sz w:val="24"/>
          <w:szCs w:val="24"/>
          <w:u w:val="none"/>
        </w:rPr>
        <w:t>50、合同份数</w:t>
      </w:r>
    </w:p>
    <w:p w14:paraId="67E5955F">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50.1  本合同正本两份，具有同等效力，由发包人承包人分别保存一份。</w:t>
      </w:r>
    </w:p>
    <w:p w14:paraId="3C1406E4">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50.2  本合同副本份数，由双方根据需要在专用条款内约定。</w:t>
      </w:r>
    </w:p>
    <w:p w14:paraId="4DE6D8C7">
      <w:pPr>
        <w:keepNext w:val="0"/>
        <w:keepLines w:val="0"/>
        <w:pageBreakBefore w:val="0"/>
        <w:widowControl w:val="0"/>
        <w:wordWrap/>
        <w:overflowPunct/>
        <w:topLinePunct w:val="0"/>
        <w:bidi w:val="0"/>
        <w:spacing w:line="360" w:lineRule="auto"/>
        <w:ind w:firstLine="482" w:firstLineChars="200"/>
        <w:outlineLvl w:val="9"/>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51、补充条款</w:t>
      </w:r>
    </w:p>
    <w:p w14:paraId="775B609C">
      <w:pPr>
        <w:keepNext w:val="0"/>
        <w:keepLines w:val="0"/>
        <w:pageBreakBefore w:val="0"/>
        <w:widowControl w:val="0"/>
        <w:wordWrap/>
        <w:overflowPunct/>
        <w:topLinePunct w:val="0"/>
        <w:bidi w:val="0"/>
        <w:spacing w:line="360" w:lineRule="auto"/>
        <w:ind w:firstLine="480" w:firstLineChars="200"/>
        <w:outlineLvl w:val="9"/>
        <w:rPr>
          <w:rFonts w:hint="eastAsia" w:ascii="宋体" w:hAnsi="宋体" w:eastAsia="宋体" w:cs="宋体"/>
          <w:bCs/>
          <w:color w:val="000000"/>
          <w:kern w:val="0"/>
          <w:sz w:val="24"/>
          <w:szCs w:val="24"/>
          <w:u w:val="none"/>
        </w:rPr>
      </w:pPr>
      <w:r>
        <w:rPr>
          <w:rFonts w:hint="eastAsia" w:ascii="宋体" w:hAnsi="宋体" w:eastAsia="宋体" w:cs="宋体"/>
          <w:bCs/>
          <w:color w:val="000000"/>
          <w:kern w:val="0"/>
          <w:sz w:val="24"/>
          <w:szCs w:val="24"/>
          <w:u w:val="none"/>
        </w:rPr>
        <w:t>双方根据有关法律、行政法规规定，结合工程实际经协商一致后，可对本通用条款内容具体化、补充或修改，在专用条款内约定。</w:t>
      </w:r>
    </w:p>
    <w:p w14:paraId="6D4A19BB">
      <w:pPr>
        <w:keepNext w:val="0"/>
        <w:keepLines w:val="0"/>
        <w:pageBreakBefore w:val="0"/>
        <w:widowControl w:val="0"/>
        <w:wordWrap/>
        <w:overflowPunct/>
        <w:topLinePunct w:val="0"/>
        <w:bidi w:val="0"/>
        <w:spacing w:line="360" w:lineRule="auto"/>
        <w:outlineLvl w:val="9"/>
        <w:rPr>
          <w:rFonts w:hint="eastAsia" w:ascii="宋体" w:hAnsi="宋体" w:eastAsia="宋体" w:cs="宋体"/>
          <w:b/>
          <w:bCs/>
          <w:color w:val="000000"/>
          <w:kern w:val="0"/>
          <w:sz w:val="24"/>
          <w:szCs w:val="24"/>
          <w:u w:val="none"/>
        </w:rPr>
      </w:pPr>
    </w:p>
    <w:p w14:paraId="5DEBFC11">
      <w:pPr>
        <w:pStyle w:val="3"/>
        <w:bidi w:val="0"/>
        <w:jc w:val="center"/>
        <w:outlineLvl w:val="1"/>
        <w:rPr>
          <w:rFonts w:hint="eastAsia" w:ascii="宋体" w:hAnsi="宋体" w:eastAsia="宋体" w:cs="宋体"/>
          <w:sz w:val="30"/>
          <w:szCs w:val="30"/>
          <w:u w:val="none"/>
        </w:rPr>
      </w:pPr>
      <w:bookmarkStart w:id="426" w:name="_Toc7936"/>
      <w:bookmarkStart w:id="427" w:name="_Toc23690"/>
      <w:bookmarkStart w:id="428" w:name="_Toc5178"/>
      <w:r>
        <w:rPr>
          <w:rFonts w:hint="eastAsia" w:ascii="宋体" w:hAnsi="宋体" w:eastAsia="宋体" w:cs="宋体"/>
          <w:sz w:val="30"/>
          <w:szCs w:val="30"/>
          <w:u w:val="none"/>
        </w:rPr>
        <w:t>第三部分  专用条款</w:t>
      </w:r>
      <w:bookmarkEnd w:id="426"/>
      <w:bookmarkEnd w:id="427"/>
      <w:bookmarkEnd w:id="428"/>
    </w:p>
    <w:p w14:paraId="46B04CA3">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一、词语定义及合同文件</w:t>
      </w:r>
    </w:p>
    <w:p w14:paraId="2FC6DDBC">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1、合同文件及解释顺序</w:t>
      </w:r>
    </w:p>
    <w:p w14:paraId="1D795A2E">
      <w:pPr>
        <w:keepNext w:val="0"/>
        <w:keepLines w:val="0"/>
        <w:pageBreakBefore w:val="0"/>
        <w:widowControl w:val="0"/>
        <w:wordWrap/>
        <w:overflowPunct/>
        <w:topLinePunct w:val="0"/>
        <w:autoSpaceDE w:val="0"/>
        <w:autoSpaceDN w:val="0"/>
        <w:bidi w:val="0"/>
        <w:adjustRightInd w:val="0"/>
        <w:spacing w:line="360" w:lineRule="auto"/>
        <w:ind w:firstLine="456" w:firstLineChars="200"/>
        <w:jc w:val="left"/>
        <w:rPr>
          <w:rFonts w:hint="eastAsia" w:ascii="宋体" w:hAnsi="宋体" w:eastAsia="宋体" w:cs="宋体"/>
          <w:color w:val="000000"/>
          <w:sz w:val="24"/>
          <w:szCs w:val="24"/>
        </w:rPr>
      </w:pPr>
      <w:r>
        <w:rPr>
          <w:rFonts w:hint="eastAsia" w:ascii="宋体" w:hAnsi="宋体" w:eastAsia="宋体" w:cs="宋体"/>
          <w:color w:val="000000"/>
          <w:spacing w:val="-6"/>
          <w:kern w:val="0"/>
          <w:sz w:val="24"/>
          <w:szCs w:val="24"/>
          <w:u w:val="none"/>
        </w:rPr>
        <w:t>合同文件组成及解释顺序：</w:t>
      </w:r>
      <w:r>
        <w:rPr>
          <w:rFonts w:hint="eastAsia" w:ascii="宋体" w:hAnsi="宋体" w:eastAsia="宋体" w:cs="宋体"/>
          <w:color w:val="000000"/>
          <w:sz w:val="24"/>
          <w:szCs w:val="24"/>
        </w:rPr>
        <w:t>中标通知书；</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函；专用合同条款及其附件；通用合同条款；技术标准和要求；图纸；已标价工程量清单或预算书；其他合同文件。</w:t>
      </w:r>
    </w:p>
    <w:p w14:paraId="65D11BE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2、语言文字和适用法律、标准及规范</w:t>
      </w:r>
    </w:p>
    <w:p w14:paraId="558ED5AC">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59264" behindDoc="0" locked="0" layoutInCell="1" allowOverlap="1">
                <wp:simplePos x="0" y="0"/>
                <wp:positionH relativeFrom="column">
                  <wp:posOffset>2597150</wp:posOffset>
                </wp:positionH>
                <wp:positionV relativeFrom="paragraph">
                  <wp:posOffset>85090</wp:posOffset>
                </wp:positionV>
                <wp:extent cx="638175" cy="47625"/>
                <wp:effectExtent l="635" t="4445" r="1270" b="8890"/>
                <wp:wrapNone/>
                <wp:docPr id="11" name="直接箭头连接符 11"/>
                <wp:cNvGraphicFramePr/>
                <a:graphic xmlns:a="http://schemas.openxmlformats.org/drawingml/2006/main">
                  <a:graphicData uri="http://schemas.microsoft.com/office/word/2010/wordprocessingShape">
                    <wps:wsp>
                      <wps:cNvCnPr/>
                      <wps:spPr>
                        <a:xfrm flipV="1">
                          <a:off x="0" y="0"/>
                          <a:ext cx="638175" cy="476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4.5pt;margin-top:6.7pt;height:3.75pt;width:50.25pt;z-index:251659264;mso-width-relative:page;mso-height-relative:page;" filled="f" stroked="t" coordsize="21600,21600" o:gfxdata="UEsDBAoAAAAAAIdO4kAAAAAAAAAAAAAAAAAEAAAAZHJzL1BLAwQUAAAACACHTuJA8P4gNNcAAAAJ&#10;AQAADwAAAGRycy9kb3ducmV2LnhtbE2PwU7DMBBE70j8g7VI3KjdkpYmxOkBCcQBRWqhdzfeJoF4&#10;HWI3af+e5QTH0Yxm3uSbs+vEiENoPWmYzxQIpMrblmoNH+/Pd2sQIRqypvOEGi4YYFNcX+Ums36i&#10;LY67WAsuoZAZDU2MfSZlqBp0Jsx8j8Te0Q/ORJZDLe1gJi53nVwotZLOtMQLjenxqcHqa3dyGr7p&#10;4bJP5Lj+LMu4enl9qwnLSevbm7l6BBHxHP/C8IvP6FAw08GfyAbRaUhUyl8iG/cJCA4sVboEcdCw&#10;UCnIIpf/HxQ/UEsDBBQAAAAIAIdO4kBKWb0fBgIAAPsDAAAOAAAAZHJzL2Uyb0RvYy54bWytU72O&#10;EzEQ7pF4B8s92SSQ3LHK5oqEo0EQiZ/esb27lvwnjy+bvAQvgEQFVAfV9TwNHI/B2LsEOJoUuLDG&#10;nplv5vs8XlzsjSY7GUA5W9HJaEyJtNwJZZuKvn51+eCcEojMCqadlRU9SKAXy/v3Fp0v5dS1TgsZ&#10;CIJYKDtf0TZGXxYF8FYaBiPnpUVn7YJhEY+hKURgHaIbXUzH43nRuSB8cFwC4O26d9IBMZwC6Opa&#10;cbl2/MpIG3vUIDWLSAla5YEuc7d1LXl8UdcgI9EVRaYx71gE7W3ai+WClU1gvlV8aIGd0sIdToYp&#10;i0WPUGsWGbkK6h8oo3hw4Oo44s4UPZGsCLKYjO9o87JlXmYuKDX4o+jw/2D5890mECVwEiaUWGbw&#10;xW/f3Xx/+/H2y+dvH25+fH2f7OtPBP0oVuehxJyV3YThBH4TEvN9HQyptfJvECtrgezIPkt9OEot&#10;95FwvJw/PJ+czSjh6Hp0Np/OEnjRoyQ0HyA+lc6QZFQUYmCqaePKWYtv6kJfge2eQewTfyWkZG1J&#10;V9HHM0QlnOGM1jgbaBqPPME2uTtwWolLpXXKgNBsVzqQHUtzktfQ0F9hqciaQdvHZVcKY2UrmXhi&#10;BYkHjwJa/Dg0tWCkoERL/GfJypGRKX1KJGqhLUqSBO8lTtbWiUNWPt/jTGTRhvlNQ/fnOWf//rP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D+IDTXAAAACQEAAA8AAAAAAAAAAQAgAAAAIgAAAGRy&#10;cy9kb3ducmV2LnhtbFBLAQIUABQAAAAIAIdO4kBKWb0fBgIAAPsDAAAOAAAAAAAAAAEAIAAAACYB&#10;AABkcnMvZTJvRG9jLnhtbFBLBQYAAAAABgAGAFkBAACeBQ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3、本合同除使用汉语外，还使用</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语言文字。</w:t>
      </w:r>
    </w:p>
    <w:p w14:paraId="0868C057">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3.1适用法律和法规</w:t>
      </w:r>
    </w:p>
    <w:p w14:paraId="1E408AD6">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u w:val="none"/>
        </w:rPr>
        <w:t>需要明示的法律、行政法规：</w:t>
      </w:r>
      <w:r>
        <w:rPr>
          <w:rFonts w:hint="eastAsia" w:ascii="宋体" w:hAnsi="宋体" w:eastAsia="宋体" w:cs="宋体"/>
          <w:color w:val="000000"/>
          <w:spacing w:val="1"/>
          <w:kern w:val="0"/>
          <w:sz w:val="24"/>
          <w:szCs w:val="24"/>
          <w:u w:val="thick"/>
        </w:rPr>
        <w:t>《中华人民共和国建筑法》、《中华人民共和国</w:t>
      </w:r>
      <w:r>
        <w:rPr>
          <w:rFonts w:hint="eastAsia" w:ascii="宋体" w:hAnsi="宋体" w:eastAsia="宋体" w:cs="宋体"/>
          <w:color w:val="000000"/>
          <w:spacing w:val="1"/>
          <w:kern w:val="0"/>
          <w:sz w:val="24"/>
          <w:szCs w:val="24"/>
          <w:u w:val="thick"/>
          <w:lang w:val="en-US" w:eastAsia="zh-CN"/>
        </w:rPr>
        <w:t>民法典</w:t>
      </w:r>
      <w:r>
        <w:rPr>
          <w:rFonts w:hint="eastAsia" w:ascii="宋体" w:hAnsi="宋体" w:eastAsia="宋体" w:cs="宋体"/>
          <w:color w:val="000000"/>
          <w:spacing w:val="1"/>
          <w:kern w:val="0"/>
          <w:sz w:val="24"/>
          <w:szCs w:val="24"/>
          <w:u w:val="thick"/>
        </w:rPr>
        <w:t>》、《中华人民共和国招投标法》、《建设工程质量管理条例》、《建设工程安全管理条例》以及其他有关法律、行政法规</w:t>
      </w:r>
      <w:r>
        <w:rPr>
          <w:rFonts w:hint="eastAsia" w:ascii="宋体" w:hAnsi="宋体" w:eastAsia="宋体" w:cs="宋体"/>
          <w:color w:val="000000"/>
          <w:spacing w:val="1"/>
          <w:kern w:val="0"/>
          <w:sz w:val="24"/>
          <w:szCs w:val="24"/>
          <w:u w:val="thick"/>
          <w:lang w:val="en-US" w:eastAsia="zh-CN"/>
        </w:rPr>
        <w:t>等。</w:t>
      </w:r>
    </w:p>
    <w:p w14:paraId="4290EFED">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3.2适用标准、规范</w:t>
      </w:r>
    </w:p>
    <w:p w14:paraId="7B82207A">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适用标准、规范的名称：</w:t>
      </w:r>
      <w:r>
        <w:rPr>
          <w:rFonts w:hint="eastAsia" w:ascii="宋体" w:hAnsi="宋体" w:eastAsia="宋体" w:cs="宋体"/>
          <w:color w:val="000000"/>
          <w:spacing w:val="1"/>
          <w:kern w:val="0"/>
          <w:sz w:val="24"/>
          <w:szCs w:val="24"/>
          <w:u w:val="thick"/>
        </w:rPr>
        <w:t>执行国家建筑工程施工及验收规范标准以及材料设备所涉及的现行国家省市或行业的工程建设标准规范的要求。</w:t>
      </w:r>
    </w:p>
    <w:p w14:paraId="7783DB8A">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发包人提供标准、规范的时间：</w:t>
      </w:r>
      <w:r>
        <w:rPr>
          <w:rFonts w:hint="eastAsia" w:ascii="宋体" w:hAnsi="宋体" w:eastAsia="宋体" w:cs="宋体"/>
          <w:color w:val="000000"/>
          <w:spacing w:val="1"/>
          <w:kern w:val="0"/>
          <w:sz w:val="24"/>
          <w:szCs w:val="24"/>
          <w:u w:val="thick"/>
        </w:rPr>
        <w:t>由承包人自备</w:t>
      </w:r>
    </w:p>
    <w:p w14:paraId="2444C4AD">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国内没有相应标准、规范时的约定：</w:t>
      </w:r>
      <w:r>
        <w:rPr>
          <w:rFonts w:hint="eastAsia" w:ascii="宋体" w:hAnsi="宋体" w:eastAsia="宋体" w:cs="宋体"/>
          <w:color w:val="000000"/>
          <w:spacing w:val="1"/>
          <w:kern w:val="0"/>
          <w:sz w:val="24"/>
          <w:szCs w:val="24"/>
          <w:u w:val="thick"/>
        </w:rPr>
        <w:t>按照企业在技术监督局的备案标准，并经监理工程师和业主同意。</w:t>
      </w:r>
    </w:p>
    <w:p w14:paraId="1396FA8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4、图纸</w:t>
      </w:r>
    </w:p>
    <w:p w14:paraId="795AD88F">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4.1发包人向承包人提供图纸日期和套数：</w:t>
      </w:r>
      <w:r>
        <w:rPr>
          <w:rFonts w:hint="eastAsia" w:ascii="宋体" w:hAnsi="宋体" w:eastAsia="宋体" w:cs="宋体"/>
          <w:color w:val="000000"/>
          <w:spacing w:val="1"/>
          <w:kern w:val="0"/>
          <w:sz w:val="24"/>
          <w:szCs w:val="24"/>
          <w:u w:val="thick"/>
        </w:rPr>
        <w:t>在合同签订后5天内提供四套图纸（包含投标时的一份）。</w:t>
      </w:r>
    </w:p>
    <w:p w14:paraId="6D6685E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发包人对图纸的保密要求：</w:t>
      </w:r>
      <w:r>
        <w:rPr>
          <w:rFonts w:hint="eastAsia" w:ascii="宋体" w:hAnsi="宋体" w:eastAsia="宋体" w:cs="宋体"/>
          <w:color w:val="000000"/>
          <w:spacing w:val="1"/>
          <w:kern w:val="0"/>
          <w:sz w:val="24"/>
          <w:szCs w:val="24"/>
          <w:u w:val="thick"/>
        </w:rPr>
        <w:t>不得外借。</w:t>
      </w:r>
    </w:p>
    <w:p w14:paraId="7107FBB1">
      <w:pPr>
        <w:keepNext w:val="0"/>
        <w:keepLines w:val="0"/>
        <w:pageBreakBefore w:val="0"/>
        <w:widowControl w:val="0"/>
        <w:wordWrap/>
        <w:overflowPunct/>
        <w:topLinePunct w:val="0"/>
        <w:bidi w:val="0"/>
        <w:spacing w:line="360" w:lineRule="auto"/>
        <w:rPr>
          <w:rFonts w:hint="eastAsia" w:ascii="宋体" w:hAnsi="宋体" w:eastAsia="宋体" w:cs="宋体"/>
          <w:b/>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0288" behindDoc="0" locked="0" layoutInCell="1" allowOverlap="1">
                <wp:simplePos x="0" y="0"/>
                <wp:positionH relativeFrom="column">
                  <wp:posOffset>2354580</wp:posOffset>
                </wp:positionH>
                <wp:positionV relativeFrom="paragraph">
                  <wp:posOffset>65405</wp:posOffset>
                </wp:positionV>
                <wp:extent cx="571500" cy="85725"/>
                <wp:effectExtent l="635" t="4445" r="6985" b="16510"/>
                <wp:wrapNone/>
                <wp:docPr id="10" name="直接箭头连接符 10"/>
                <wp:cNvGraphicFramePr/>
                <a:graphic xmlns:a="http://schemas.openxmlformats.org/drawingml/2006/main">
                  <a:graphicData uri="http://schemas.microsoft.com/office/word/2010/wordprocessingShape">
                    <wps:wsp>
                      <wps:cNvCnPr/>
                      <wps:spPr>
                        <a:xfrm flipV="1">
                          <a:off x="0" y="0"/>
                          <a:ext cx="571500" cy="857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85.4pt;margin-top:5.15pt;height:6.75pt;width:45pt;z-index:251660288;mso-width-relative:page;mso-height-relative:page;" filled="f" stroked="t" coordsize="21600,21600" o:gfxdata="UEsDBAoAAAAAAIdO4kAAAAAAAAAAAAAAAAAEAAAAZHJzL1BLAwQUAAAACACHTuJA+eG9ctYAAAAJ&#10;AQAADwAAAGRycy9kb3ducmV2LnhtbE2PwU7DMBBE70j8g7VI3KjdpkqjEKcHJBAHFIkCdzfeJinx&#10;OsRu0v492xMcZ2c087bYnl0vJhxD50nDcqFAINXedtRo+Px4fshAhGjImt4TarhggG15e1OY3PqZ&#10;3nHaxUZwCYXcaGhjHHIpQ92iM2HhByT2Dn50JrIcG2lHM3O56+VKqVQ60xEvtGbApxbr793Jafih&#10;zeVrLafsWFUxfXl9awirWev7u6V6BBHxHP/CcMVndCiZae9PZIPoNSQbxeiRDZWA4MA6vR72GlZJ&#10;BrIs5P8Pyl9QSwMEFAAAAAgAh07iQDmmBFMEAgAA+wMAAA4AAABkcnMvZTJvRG9jLnhtbK1TvY4T&#10;MRDukXgHyz3ZJFK4Y5XNFQlHgyAScL3jn11L/pPHl01eghdAogIqoLqep+GOx2DsDQGOJgUurLFn&#10;5pv5Po/nFztryFZG0N41dDIaUyId90K7tqFvXl8+OqcEEnOCGe9kQ/cS6MXi4YN5H2o59Z03QkaC&#10;IA7qPjS0SynUVQW8k5bByAfp0Kl8tCzhMbaViKxHdGuq6Xj8uOp9FCF6LgHwdjU46QExngLoldJc&#10;rjy/ttKlATVKwxJSgk4HoIvSrVKSp5dKgUzENBSZprJjEbQ3ea8Wc1a3kYVO80ML7JQW7nGyTDss&#10;eoRascTIddT/QFnNowev0oh7Ww1EiiLIYjK+p82rjgVZuKDUEI6iw/+D5S+260i0wElASRyz+OJ3&#10;725u3368+/rl+4ebH9/eZ/vzJ4J+FKsPUGPO0q3j4QRhHTPznYqWKKPDFWIVLZAd2RWp90ep5S4R&#10;jpezs8lsjBU5us5nZ9NZBq8GlIwWIqRn0luSjYZCiky3XVp65/BNfRwqsO1zSEPir4ScbBzpG/pk&#10;hqiEM5xRhbOBpg3IE1xbugNvtLjUxuQMiO1maSLZsjwnZR0a+issF1kx6Ia44sphrO4kE0+dIGkf&#10;UECHH4fmFqwUlBiJ/yxbJTIxbU6JRC2MQ0my4IPE2dp4sS/Kl3uciSLaYX7z0P15Ltm//+z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nhvXLWAAAACQEAAA8AAAAAAAAAAQAgAAAAIgAAAGRycy9k&#10;b3ducmV2LnhtbFBLAQIUABQAAAAIAIdO4kA5pgRTBAIAAPsDAAAOAAAAAAAAAAEAIAAAACUBAABk&#10;cnMvZTJvRG9jLnhtbFBLBQYAAAAABgAGAFkBAACbBQ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使用国外图纸的要求及费用承担：          </w:t>
      </w:r>
    </w:p>
    <w:p w14:paraId="27D71E3B">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二、双方一般权利和义务</w:t>
      </w:r>
    </w:p>
    <w:p w14:paraId="0D992EA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5、工程师</w:t>
      </w:r>
    </w:p>
    <w:p w14:paraId="4C1D444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5.1监理单位委派的工程师</w:t>
      </w:r>
    </w:p>
    <w:p w14:paraId="0380E65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w:t>姓名：</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 xml:space="preserve"> 职务：</w:t>
      </w:r>
      <w:r>
        <w:rPr>
          <w:rFonts w:hint="eastAsia" w:ascii="宋体" w:hAnsi="宋体" w:eastAsia="宋体" w:cs="宋体"/>
          <w:color w:val="000000"/>
          <w:kern w:val="0"/>
          <w:sz w:val="24"/>
          <w:szCs w:val="24"/>
          <w:u w:val="thick"/>
        </w:rPr>
        <w:t xml:space="preserve">               </w:t>
      </w:r>
    </w:p>
    <w:p w14:paraId="58B93F9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w:t>发包人委托的职权：</w:t>
      </w:r>
      <w:r>
        <w:rPr>
          <w:rFonts w:hint="eastAsia" w:ascii="宋体" w:hAnsi="宋体" w:eastAsia="宋体" w:cs="宋体"/>
          <w:color w:val="000000"/>
          <w:spacing w:val="1"/>
          <w:kern w:val="0"/>
          <w:sz w:val="24"/>
          <w:szCs w:val="24"/>
          <w:u w:val="thick"/>
        </w:rPr>
        <w:t>施工过程的质量、进度、造价控制、安全、信息管理、施工过程中的组织协调以及竣工验收等工作。</w:t>
      </w:r>
    </w:p>
    <w:p w14:paraId="61E2043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需要取得发包人批准才能行使的职权：</w:t>
      </w:r>
      <w:r>
        <w:rPr>
          <w:rFonts w:hint="eastAsia" w:ascii="宋体" w:hAnsi="宋体" w:eastAsia="宋体" w:cs="宋体"/>
          <w:color w:val="000000"/>
          <w:spacing w:val="1"/>
          <w:kern w:val="0"/>
          <w:sz w:val="24"/>
          <w:szCs w:val="24"/>
          <w:u w:val="thick"/>
        </w:rPr>
        <w:t>重大工程洽商、设计变更、任何付款凭证等均需经业主同意。</w:t>
      </w:r>
    </w:p>
    <w:p w14:paraId="2CDA5016">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5.2发包人派驻的工程师</w:t>
      </w:r>
    </w:p>
    <w:p w14:paraId="20A17B0B">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w:t>姓名：</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职务：</w:t>
      </w:r>
      <w:r>
        <w:rPr>
          <w:rFonts w:hint="eastAsia" w:ascii="宋体" w:hAnsi="宋体" w:eastAsia="宋体" w:cs="宋体"/>
          <w:color w:val="000000"/>
          <w:kern w:val="0"/>
          <w:sz w:val="24"/>
          <w:szCs w:val="24"/>
          <w:u w:val="thick"/>
        </w:rPr>
        <w:t xml:space="preserve">               </w:t>
      </w:r>
    </w:p>
    <w:p w14:paraId="786F095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pacing w:val="1"/>
          <w:kern w:val="0"/>
          <w:sz w:val="24"/>
          <w:szCs w:val="24"/>
          <w:u w:val="thick"/>
        </w:rPr>
      </w:pPr>
      <w:r>
        <w:rPr>
          <w:rFonts w:hint="eastAsia" w:ascii="宋体" w:hAnsi="宋体" w:eastAsia="宋体" w:cs="宋体"/>
          <w:color w:val="000000"/>
          <w:kern w:val="0"/>
          <w:sz w:val="24"/>
          <w:szCs w:val="24"/>
          <w:u w:val="none"/>
        </w:rPr>
        <w:t>职权：</w:t>
      </w:r>
      <w:r>
        <w:rPr>
          <w:rFonts w:hint="eastAsia" w:ascii="宋体" w:hAnsi="宋体" w:eastAsia="宋体" w:cs="宋体"/>
          <w:color w:val="000000"/>
          <w:spacing w:val="1"/>
          <w:kern w:val="0"/>
          <w:sz w:val="24"/>
          <w:szCs w:val="24"/>
          <w:u w:val="thick"/>
        </w:rPr>
        <w:t>负责施工全过程的外部关系协调、处理往来文件，对工程进度、质量、造价进行管理。</w:t>
      </w:r>
    </w:p>
    <w:p w14:paraId="47D31C2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 xml:space="preserve">5.3不实行监理的，工程师的职权：          </w:t>
      </w:r>
    </w:p>
    <w:p w14:paraId="3FC5F2AB">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6、项目经理</w:t>
      </w:r>
    </w:p>
    <w:p w14:paraId="5A2CC3B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w:t>姓名：</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thick"/>
          <w:lang w:val="en-US" w:eastAsia="zh-CN"/>
        </w:rPr>
        <w:t xml:space="preserve">    </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 xml:space="preserve"> 职务：</w:t>
      </w:r>
      <w:r>
        <w:rPr>
          <w:rFonts w:hint="eastAsia" w:ascii="宋体" w:hAnsi="宋体" w:eastAsia="宋体" w:cs="宋体"/>
          <w:color w:val="000000"/>
          <w:kern w:val="0"/>
          <w:sz w:val="24"/>
          <w:szCs w:val="24"/>
          <w:u w:val="thick"/>
          <w:lang w:val="en-US" w:eastAsia="zh-CN"/>
        </w:rPr>
        <w:t xml:space="preserve">       </w:t>
      </w:r>
      <w:r>
        <w:rPr>
          <w:rFonts w:hint="eastAsia" w:ascii="宋体" w:hAnsi="宋体" w:eastAsia="宋体" w:cs="宋体"/>
          <w:color w:val="000000"/>
          <w:kern w:val="0"/>
          <w:sz w:val="24"/>
          <w:szCs w:val="24"/>
          <w:u w:val="thick"/>
        </w:rPr>
        <w:t xml:space="preserve">   </w:t>
      </w:r>
    </w:p>
    <w:p w14:paraId="6C252405">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 xml:space="preserve"> 职权：</w:t>
      </w:r>
      <w:r>
        <w:rPr>
          <w:rFonts w:hint="eastAsia" w:ascii="宋体" w:hAnsi="宋体" w:eastAsia="宋体" w:cs="宋体"/>
          <w:color w:val="000000"/>
          <w:sz w:val="24"/>
          <w:szCs w:val="24"/>
          <w:u w:val="none"/>
        </w:rPr>
        <w:t>项目经理必须坚守工地，每周工作日不少于5天，少1天罚款300元，外出必须取得监理和发包人的许可。</w:t>
      </w:r>
    </w:p>
    <w:p w14:paraId="6A9CEAC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7、发包人工作</w:t>
      </w:r>
    </w:p>
    <w:p w14:paraId="482257F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7.1发包人应按约定的时间和要求完成以下工作：</w:t>
      </w:r>
    </w:p>
    <w:p w14:paraId="7DE4103C">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spacing w:val="1"/>
          <w:kern w:val="0"/>
          <w:sz w:val="24"/>
          <w:szCs w:val="24"/>
          <w:u w:val="thick"/>
        </w:rPr>
      </w:pPr>
      <w:r>
        <w:rPr>
          <w:rFonts w:hint="eastAsia" w:ascii="宋体" w:hAnsi="宋体" w:eastAsia="宋体" w:cs="宋体"/>
          <w:color w:val="000000"/>
          <w:kern w:val="0"/>
          <w:sz w:val="24"/>
          <w:szCs w:val="24"/>
          <w:u w:val="none"/>
        </w:rPr>
        <w:t>（1）施工场地具备施工条件的要求及完成的时间：</w:t>
      </w:r>
      <w:r>
        <w:rPr>
          <w:rFonts w:hint="eastAsia" w:ascii="宋体" w:hAnsi="宋体" w:eastAsia="宋体" w:cs="宋体"/>
          <w:color w:val="000000"/>
          <w:spacing w:val="1"/>
          <w:kern w:val="0"/>
          <w:sz w:val="24"/>
          <w:szCs w:val="24"/>
          <w:u w:val="thick"/>
        </w:rPr>
        <w:t>工程开工前5日内。</w:t>
      </w:r>
    </w:p>
    <w:p w14:paraId="04F55572">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（2）将施工所需的水、电、电讯线路接至施工场地的时间、地点和供应要求：</w:t>
      </w:r>
    </w:p>
    <w:p w14:paraId="139C900C">
      <w:pPr>
        <w:keepNext w:val="0"/>
        <w:keepLines w:val="0"/>
        <w:pageBreakBefore w:val="0"/>
        <w:widowControl w:val="0"/>
        <w:wordWrap/>
        <w:overflowPunct/>
        <w:topLinePunct w:val="0"/>
        <w:bidi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spacing w:val="1"/>
          <w:kern w:val="0"/>
          <w:sz w:val="24"/>
          <w:szCs w:val="24"/>
          <w:u w:val="thick"/>
        </w:rPr>
        <w:t>施工用水、电、电讯线路由发包人于开工前提前预口至施工现场，开工前由承包人负责安装水电表。</w:t>
      </w:r>
    </w:p>
    <w:p w14:paraId="35C555F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pacing w:val="1"/>
          <w:kern w:val="0"/>
          <w:sz w:val="24"/>
          <w:szCs w:val="24"/>
          <w:u w:val="none"/>
        </w:rPr>
      </w:pPr>
      <w:r>
        <w:rPr>
          <w:rFonts w:hint="eastAsia" w:ascii="宋体" w:hAnsi="宋体" w:eastAsia="宋体" w:cs="宋体"/>
          <w:color w:val="000000"/>
          <w:kern w:val="0"/>
          <w:sz w:val="24"/>
          <w:szCs w:val="24"/>
          <w:u w:val="none"/>
        </w:rPr>
        <w:t>其计量和计价方法为：</w:t>
      </w:r>
      <w:r>
        <w:rPr>
          <w:rFonts w:hint="eastAsia" w:ascii="宋体" w:hAnsi="宋体" w:eastAsia="宋体" w:cs="宋体"/>
          <w:color w:val="000000"/>
          <w:spacing w:val="1"/>
          <w:kern w:val="0"/>
          <w:sz w:val="24"/>
          <w:szCs w:val="24"/>
          <w:u w:val="none"/>
        </w:rPr>
        <w:t>按表计实耗量向发包方交费。</w:t>
      </w:r>
    </w:p>
    <w:p w14:paraId="00C6D63E">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（3）施工场地与公共道路的通道开通时间和要求：</w:t>
      </w:r>
      <w:r>
        <w:rPr>
          <w:rFonts w:hint="eastAsia" w:ascii="宋体" w:hAnsi="宋体" w:eastAsia="宋体" w:cs="宋体"/>
          <w:color w:val="000000"/>
          <w:spacing w:val="1"/>
          <w:kern w:val="0"/>
          <w:sz w:val="24"/>
          <w:szCs w:val="24"/>
          <w:u w:val="thick"/>
        </w:rPr>
        <w:t>本工程施工现场周围道路畅通。</w:t>
      </w:r>
    </w:p>
    <w:p w14:paraId="125EBEFA">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（4）工程地质和地下管线资料的提供时间：</w:t>
      </w:r>
      <w:r>
        <w:rPr>
          <w:rFonts w:hint="eastAsia" w:ascii="宋体" w:hAnsi="宋体" w:eastAsia="宋体" w:cs="宋体"/>
          <w:color w:val="000000"/>
          <w:spacing w:val="1"/>
          <w:kern w:val="0"/>
          <w:sz w:val="24"/>
          <w:szCs w:val="24"/>
          <w:u w:val="thick"/>
        </w:rPr>
        <w:t>工程开工前5日内。</w:t>
      </w:r>
    </w:p>
    <w:p w14:paraId="7AB5DE07">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（5）由发包人办理的施工所需证件、批件的名称和完成时间：</w:t>
      </w:r>
      <w:r>
        <w:rPr>
          <w:rFonts w:hint="eastAsia" w:ascii="宋体" w:hAnsi="宋体" w:eastAsia="宋体" w:cs="宋体"/>
          <w:color w:val="000000"/>
          <w:spacing w:val="1"/>
          <w:kern w:val="0"/>
          <w:sz w:val="24"/>
          <w:szCs w:val="24"/>
          <w:u w:val="thick"/>
        </w:rPr>
        <w:t>工程开工前5日内完成。</w:t>
      </w:r>
    </w:p>
    <w:p w14:paraId="4657A472">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（6）水准点与座标控制点交验要求</w:t>
      </w:r>
      <w:r>
        <w:rPr>
          <w:rFonts w:hint="eastAsia" w:ascii="宋体" w:hAnsi="宋体" w:eastAsia="宋体" w:cs="宋体"/>
          <w:color w:val="000000"/>
          <w:kern w:val="0"/>
          <w:sz w:val="24"/>
          <w:szCs w:val="24"/>
        </w:rPr>
        <w:t>：</w:t>
      </w:r>
      <w:r>
        <w:rPr>
          <w:rFonts w:hint="eastAsia" w:ascii="宋体" w:hAnsi="宋体" w:eastAsia="宋体" w:cs="宋体"/>
          <w:color w:val="000000"/>
          <w:spacing w:val="1"/>
          <w:kern w:val="0"/>
          <w:sz w:val="24"/>
          <w:szCs w:val="24"/>
          <w:u w:val="thick"/>
        </w:rPr>
        <w:t>执行《通用条款》8.1.(6)款。发包人以书面形式交验，并于交付施工现场时，在现场实际交验，并作交验记录。</w:t>
      </w:r>
    </w:p>
    <w:p w14:paraId="7DC76A9A">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（7）图纸会审和设计交底时间：</w:t>
      </w:r>
      <w:r>
        <w:rPr>
          <w:rFonts w:hint="eastAsia" w:ascii="宋体" w:hAnsi="宋体" w:eastAsia="宋体" w:cs="宋体"/>
          <w:color w:val="000000"/>
          <w:spacing w:val="1"/>
          <w:kern w:val="0"/>
          <w:sz w:val="24"/>
          <w:szCs w:val="24"/>
          <w:u w:val="thick"/>
        </w:rPr>
        <w:t>工程开工前5日内。</w:t>
      </w:r>
    </w:p>
    <w:p w14:paraId="6E2BC398">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（8）协调处理施工场地周围地下管线和邻近建筑物、构筑物（含文物保护建筑）、古树名木的保护工作：</w:t>
      </w:r>
      <w:r>
        <w:rPr>
          <w:rFonts w:hint="eastAsia" w:ascii="宋体" w:hAnsi="宋体" w:eastAsia="宋体" w:cs="宋体"/>
          <w:color w:val="000000"/>
          <w:spacing w:val="1"/>
          <w:kern w:val="0"/>
          <w:sz w:val="24"/>
          <w:szCs w:val="24"/>
          <w:u w:val="thick"/>
        </w:rPr>
        <w:t>执行《通用条款》8.1.(8)款。</w:t>
      </w:r>
    </w:p>
    <w:p w14:paraId="0C716B33">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3360" behindDoc="0" locked="0" layoutInCell="1" allowOverlap="1">
                <wp:simplePos x="0" y="0"/>
                <wp:positionH relativeFrom="column">
                  <wp:posOffset>2754630</wp:posOffset>
                </wp:positionH>
                <wp:positionV relativeFrom="paragraph">
                  <wp:posOffset>372745</wp:posOffset>
                </wp:positionV>
                <wp:extent cx="800100" cy="76200"/>
                <wp:effectExtent l="635" t="4445" r="6985" b="10795"/>
                <wp:wrapNone/>
                <wp:docPr id="2" name="直接箭头连接符 2"/>
                <wp:cNvGraphicFramePr/>
                <a:graphic xmlns:a="http://schemas.openxmlformats.org/drawingml/2006/main">
                  <a:graphicData uri="http://schemas.microsoft.com/office/word/2010/wordprocessingShape">
                    <wps:wsp>
                      <wps:cNvCnPr/>
                      <wps:spPr>
                        <a:xfrm flipV="1">
                          <a:off x="0" y="0"/>
                          <a:ext cx="800100" cy="762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6.9pt;margin-top:29.35pt;height:6pt;width:63pt;z-index:251663360;mso-width-relative:page;mso-height-relative:page;" filled="f" stroked="t" coordsize="21600,21600" o:gfxdata="UEsDBAoAAAAAAIdO4kAAAAAAAAAAAAAAAAAEAAAAZHJzL1BLAwQUAAAACACHTuJACQge59gAAAAJ&#10;AQAADwAAAGRycy9kb3ducmV2LnhtbE2PwU7DMBBE70j8g7VI3Khd2jQhZNMDEogDitQCdzdekkC8&#10;DrGbtH+POcFxZ0czb4rtyfZiotF3jhGWCwWCuHam4wbh7fXxJgPhg2aje8eEcCYP2/LyotC5cTPv&#10;aNqHRsQQ9rlGaEMYcil93ZLVfuEG4vj7cKPVIZ5jI82o5xhue3mr1EZa3XFsaPVADy3VX/ujRfjm&#10;9Py+llP2WVVh8/T80jBVM+L11VLdgwh0Cn9m+MWP6FBGpoM7svGiR1ivVhE9ICRZCiIakuQuCgeE&#10;VKUgy0L+X1D+AFBLAwQUAAAACACHTuJAXK96JAQCAAD5AwAADgAAAGRycy9lMm9Eb2MueG1srVO9&#10;jhMxEO6ReAfLPdlcpDuOVTZXJBwNgpP46Se2d9eS/+TxZZOX4AWQqIAKqK7naeB4DMbeEOBoUrDF&#10;amzPfDPf58/zi601bKMiau8afjKZcqac8FK7ruGvXl4+OOcMEzgJxjvV8J1CfrG4f28+hFrNfO+N&#10;VJERiMN6CA3vUwp1VaHolQWc+KAcHbY+Wki0jF0lIwyEbk01m07PqsFHGaIXCpF2V+Mh3yPGYwB9&#10;22qhVl5cW+XSiBqVgUSUsNcB+aJM27ZKpOdtiyox03BimsqfmlC8zv9qMYe6ixB6LfYjwDEj3OFk&#10;QTtqeoBaQQJ2HfU/UFaL6NG3aSK8rUYiRRFicTK9o82LHoIqXEhqDAfR8f/Bimebq8i0bPiMMweW&#10;Lvz27c33Nx9uv3z+9v7mx9d3Of70kc2yVEPAmiqW7iruVxiuYua9baNlrdHhNXmqKEHc2LYIvTsI&#10;rbaJCdo8nxJZugJBRw/PyBUZvBpRMlqImJ4ob1kOGo4pgu76tPTO0Y36OHaAzVNMY+GvglxsHBsa&#10;/uh0dkoNgBzakjMotIFYouvKdOiNlpfamFyBsVsvTWQbyC4p336gv9JykxVgP+aVo5wGda9APnaS&#10;pV0g/Rw9G55HsEpyZhS9shyVzATaHJNJWhhHkmTBR4lztPZyV5Qv++SIItrevdlyf65L9e8Xu/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ge59gAAAAJAQAADwAAAAAAAAABACAAAAAiAAAAZHJz&#10;L2Rvd25yZXYueG1sUEsBAhQAFAAAAAgAh07iQFyveiQEAgAA+QMAAA4AAAAAAAAAAQAgAAAAJw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2336" behindDoc="0" locked="0" layoutInCell="1" allowOverlap="1">
                <wp:simplePos x="0" y="0"/>
                <wp:positionH relativeFrom="column">
                  <wp:posOffset>3049905</wp:posOffset>
                </wp:positionH>
                <wp:positionV relativeFrom="paragraph">
                  <wp:posOffset>77470</wp:posOffset>
                </wp:positionV>
                <wp:extent cx="800100" cy="76200"/>
                <wp:effectExtent l="635" t="4445" r="6985" b="10795"/>
                <wp:wrapNone/>
                <wp:docPr id="3" name="直接箭头连接符 3"/>
                <wp:cNvGraphicFramePr/>
                <a:graphic xmlns:a="http://schemas.openxmlformats.org/drawingml/2006/main">
                  <a:graphicData uri="http://schemas.microsoft.com/office/word/2010/wordprocessingShape">
                    <wps:wsp>
                      <wps:cNvCnPr/>
                      <wps:spPr>
                        <a:xfrm flipV="1">
                          <a:off x="0" y="0"/>
                          <a:ext cx="800100" cy="762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0.15pt;margin-top:6.1pt;height:6pt;width:63pt;z-index:251662336;mso-width-relative:page;mso-height-relative:page;" filled="f" stroked="t" coordsize="21600,21600" o:gfxdata="UEsDBAoAAAAAAIdO4kAAAAAAAAAAAAAAAAAEAAAAZHJzL1BLAwQUAAAACACHTuJAVezy4dYAAAAJ&#10;AQAADwAAAGRycy9kb3ducmV2LnhtbE2PwU7DMAyG70i8Q2QkbixZqUpVmu6ABOKAKrHBPWu8tqNx&#10;SpO129tjTnC0/0+/P5ebsxvEjFPoPWlYrxQIpMbbnloNH7vnuxxEiIasGTyhhgsG2FTXV6UprF/o&#10;HedtbAWXUCiMhi7GsZAyNB06E1Z+ROLs4CdnIo9TK+1kFi53g0yUyqQzPfGFzoz41GHztT05Dd/0&#10;cPlM5Zwf6zpmL69vLWG9aH17s1aPICKe4x8Mv/qsDhU77f2JbBCDhjRX94xykCQgGMhUxou9hiRN&#10;QFal/P9B9QNQSwMEFAAAAAgAh07iQLC0ZMMEAgAA+QMAAA4AAABkcnMvZTJvRG9jLnhtbK1TS44T&#10;MRDdI3EHy3vSmYxmGFrpzCJh2CCIxGfv+NNtyT+5POnkElwAiRWwAlaz5zQwHIOyuwkwbLKgF62y&#10;XfWq3vPz/HJnDdnKCNq7hp5MppRIx73Qrm3oq5dXDy4ogcScYMY72dC9BHq5uH9v3odaznznjZCR&#10;IIiDug8N7VIKdVUB76RlMPFBOjxUPlqWcBnbSkTWI7o11Ww6Pa96H0WInksA3F0Nh3REjMcAeqU0&#10;lyvPr610aUCN0rCElKDTAeiiTKuU5Om5UiATMQ1Fpqn8sQnGm/yvFnNWt5GFTvNxBHbMCHc4WaYd&#10;Nj1ArVhi5Drqf6Cs5tGDV2nCva0GIkURZHEyvaPNi44FWbig1BAOosP/g+XPtutItGjoKSWOWbzw&#10;27c33998uP3y+dv7mx9f3+X400dymqXqA9RYsXTrOK4grGPmvVPREmV0eI2eKkogN7IrQu8PQstd&#10;Ihw3L6ZIFq+A49HDc3RFBq8GlIwWIqQn0luSg4ZCiky3XVp65/BGfRw6sO1TSEPhr4JcbBzpG/ro&#10;bHaGDRg6VKEzMLQBWYJry3TgjRZX2phcAbHdLE0kW5ZdUr5xoL/ScpMVg27IK0c5jdWdZOKxEyTt&#10;A+rn8NnQPIKVghIj8ZXlqGQmps0xmaiFcShJFnyQOEcbL/ZF+bKPjiiije7NlvtzXap/v9j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s8uHWAAAACQEAAA8AAAAAAAAAAQAgAAAAIgAAAGRycy9k&#10;b3ducmV2LnhtbFBLAQIUABQAAAAIAIdO4kCwtGTDBAIAAPkDAAAOAAAAAAAAAAEAIAAAACUBAABk&#10;cnMvZTJvRG9jLnhtbFBLBQYAAAAABgAGAFkBAACbBQ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（9）双方约定发包人应做的其他工作：</w:t>
      </w:r>
      <w:r>
        <w:rPr>
          <w:rFonts w:hint="eastAsia" w:ascii="宋体" w:hAnsi="宋体" w:eastAsia="宋体" w:cs="宋体"/>
          <w:color w:val="000000"/>
          <w:spacing w:val="1"/>
          <w:kern w:val="0"/>
          <w:sz w:val="24"/>
          <w:szCs w:val="24"/>
          <w:u w:val="single"/>
        </w:rPr>
        <w:t xml:space="preserve">            </w:t>
      </w:r>
    </w:p>
    <w:p w14:paraId="0C63B231">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none"/>
        </w:rPr>
        <w:t>7.2发包人委托承包人办理的工作：</w:t>
      </w:r>
      <w:r>
        <w:rPr>
          <w:rFonts w:hint="eastAsia" w:ascii="宋体" w:hAnsi="宋体" w:eastAsia="宋体" w:cs="宋体"/>
          <w:color w:val="000000"/>
          <w:spacing w:val="1"/>
          <w:kern w:val="0"/>
          <w:sz w:val="24"/>
          <w:szCs w:val="24"/>
          <w:u w:val="single"/>
        </w:rPr>
        <w:t xml:space="preserve">            </w:t>
      </w:r>
    </w:p>
    <w:p w14:paraId="7B4D47D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8、承包人工作</w:t>
      </w:r>
    </w:p>
    <w:p w14:paraId="53AEE25C">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8.1承包人应按约定时间和要求，完成以下工作：</w:t>
      </w:r>
    </w:p>
    <w:p w14:paraId="19075E6B">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（1）需由设计资质等级和业务范围允许的承包人完成的设计文件提交时间：</w:t>
      </w:r>
      <w:r>
        <w:rPr>
          <w:rFonts w:hint="eastAsia" w:ascii="宋体" w:hAnsi="宋体" w:eastAsia="宋体" w:cs="宋体"/>
          <w:color w:val="000000"/>
          <w:spacing w:val="1"/>
          <w:kern w:val="0"/>
          <w:sz w:val="24"/>
          <w:szCs w:val="24"/>
          <w:u w:val="thick"/>
        </w:rPr>
        <w:t>每月25日向业主、监理单位报送三份《通用条款》9.1</w:t>
      </w:r>
      <w:r>
        <w:rPr>
          <w:rFonts w:hint="eastAsia" w:ascii="宋体" w:hAnsi="宋体" w:eastAsia="宋体" w:cs="宋体"/>
          <w:color w:val="000000"/>
          <w:sz w:val="24"/>
          <w:szCs w:val="24"/>
          <w:u w:val="thick"/>
        </w:rPr>
        <w:t>、</w:t>
      </w:r>
      <w:r>
        <w:rPr>
          <w:rFonts w:hint="eastAsia" w:ascii="宋体" w:hAnsi="宋体" w:eastAsia="宋体" w:cs="宋体"/>
          <w:color w:val="000000"/>
          <w:spacing w:val="1"/>
          <w:kern w:val="0"/>
          <w:sz w:val="24"/>
          <w:szCs w:val="24"/>
          <w:u w:val="thick"/>
        </w:rPr>
        <w:t>(2)款规定的报表。</w:t>
      </w:r>
    </w:p>
    <w:p w14:paraId="769CFD2F">
      <w:pPr>
        <w:keepNext w:val="0"/>
        <w:keepLines w:val="0"/>
        <w:pageBreakBefore w:val="0"/>
        <w:widowControl w:val="0"/>
        <w:wordWrap/>
        <w:overflowPunct/>
        <w:topLinePunct w:val="0"/>
        <w:bidi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1312" behindDoc="0" locked="0" layoutInCell="1" allowOverlap="1">
                <wp:simplePos x="0" y="0"/>
                <wp:positionH relativeFrom="column">
                  <wp:posOffset>3801110</wp:posOffset>
                </wp:positionH>
                <wp:positionV relativeFrom="paragraph">
                  <wp:posOffset>71755</wp:posOffset>
                </wp:positionV>
                <wp:extent cx="571500" cy="85725"/>
                <wp:effectExtent l="635" t="4445" r="6985" b="16510"/>
                <wp:wrapNone/>
                <wp:docPr id="4" name="直接箭头连接符 4"/>
                <wp:cNvGraphicFramePr/>
                <a:graphic xmlns:a="http://schemas.openxmlformats.org/drawingml/2006/main">
                  <a:graphicData uri="http://schemas.microsoft.com/office/word/2010/wordprocessingShape">
                    <wps:wsp>
                      <wps:cNvCnPr/>
                      <wps:spPr>
                        <a:xfrm flipV="1">
                          <a:off x="0" y="0"/>
                          <a:ext cx="571500" cy="857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99.3pt;margin-top:5.65pt;height:6.75pt;width:45pt;z-index:251661312;mso-width-relative:page;mso-height-relative:page;" filled="f" stroked="t" coordsize="21600,21600" o:gfxdata="UEsDBAoAAAAAAIdO4kAAAAAAAAAAAAAAAAAEAAAAZHJzL1BLAwQUAAAACACHTuJAb1cqctYAAAAJ&#10;AQAADwAAAGRycy9kb3ducmV2LnhtbE2PwU7DMAyG70i8Q2QkbiztGF0oTXdAAnFAlRjsnjWmLTRO&#10;abJ2e3u8Exzt/9Pvz8Xm6Hox4Rg6TxrSRQICqfa2o0bDx/vTjQIRoiFrek+o4YQBNuXlRWFy62d6&#10;w2kbG8ElFHKjoY1xyKUMdYvOhIUfkDj79KMzkcexkXY0M5e7Xi6TJJPOdMQXWjPgY4v19/bgNPzQ&#10;+rRbyUl9VVXMnl9eG8Jq1vr6Kk0eQEQ8xj8YzvqsDiU77f2BbBC9hrt7lTHKQXoLgoFMnRd7DcuV&#10;AlkW8v8H5S9QSwMEFAAAAAgAh07iQEviGYUFAgAA+QMAAA4AAABkcnMvZTJvRG9jLnhtbK1TvY4T&#10;MRDukXgHyz3ZJLpwxyqbKxKOBkEkfnrHP7uW/CePL5u8BC+ARAVUQHU9TwPHYzD2hgBHkwIX1tgz&#10;8818n8fzy501ZCsjaO8aOhmNKZGOe6Fd29BXL68eXFACiTnBjHeyoXsJ9HJx/968D7Wc+s4bISNB&#10;EAd1HxrapRTqqgLeSctg5IN06FQ+WpbwGNtKRNYjujXVdDx+WPU+ihA9lwB4uxqc9IAYTwH0Smku&#10;V55fW+nSgBqlYQkpQacD0EXpVinJ03OlQCZiGopMU9mxCNqbvFeLOavbyEKn+aEFdkoLdzhZph0W&#10;PUKtWGLkOup/oKzm0YNXacS9rQYiRRFkMRnf0eZFx4IsXFBqCEfR4f/B8mfbdSRaNPSMEscsPvjt&#10;25vvbz7cfvn87f3Nj6/vsv3pIznLUvUBasxYunU8nCCsY+a9U9ESZXR4jTNVlEBuZFeE3h+FlrtE&#10;OF7OziezMT4BR9fF7Hw6y+DVgJLRQoT0RHpLstFQSJHptktL7xy+qI9DBbZ9CmlI/JWQk40jfUMf&#10;zRCVcIYTqnAy0LQBWYJrS3fgjRZX2picAbHdLE0kW5anpKxDQ3+F5SIrBt0QV1w5jNWdZOKxEyTt&#10;A+rn8NvQ3IKVghIj8Zdlq0Qmps0pkaiFcShJFnyQOFsbL/ZF+XKPE1FEO0xvHrk/zyX7949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Vypy1gAAAAkBAAAPAAAAAAAAAAEAIAAAACIAAABkcnMv&#10;ZG93bnJldi54bWxQSwECFAAUAAAACACHTuJAS+IZhQUCAAD5AwAADgAAAAAAAAABACAAAAAlAQAA&#10;ZHJzL2Uyb0RvYy54bWxQSwUGAAAAAAYABgBZAQAAnAU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   （2）应提供计划、报表的名称及完成时间：</w:t>
      </w:r>
      <w:r>
        <w:rPr>
          <w:rFonts w:hint="eastAsia" w:ascii="宋体" w:hAnsi="宋体" w:eastAsia="宋体" w:cs="宋体"/>
          <w:color w:val="000000"/>
          <w:kern w:val="0"/>
          <w:sz w:val="24"/>
          <w:szCs w:val="24"/>
          <w:u w:val="thick"/>
        </w:rPr>
        <w:t xml:space="preserve">                             。</w:t>
      </w:r>
    </w:p>
    <w:p w14:paraId="1669CA92">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（3）承担施工安全保卫工作及非夜间施工照明的责任和要求：</w:t>
      </w:r>
      <w:r>
        <w:rPr>
          <w:rFonts w:hint="eastAsia" w:ascii="宋体" w:hAnsi="宋体" w:eastAsia="宋体" w:cs="宋体"/>
          <w:color w:val="000000"/>
          <w:spacing w:val="1"/>
          <w:kern w:val="0"/>
          <w:sz w:val="24"/>
          <w:szCs w:val="24"/>
          <w:u w:val="thick"/>
        </w:rPr>
        <w:t>执行《通用条款》9.1</w:t>
      </w:r>
      <w:r>
        <w:rPr>
          <w:rFonts w:hint="eastAsia" w:ascii="宋体" w:hAnsi="宋体" w:eastAsia="宋体" w:cs="宋体"/>
          <w:color w:val="000000"/>
          <w:sz w:val="24"/>
          <w:szCs w:val="24"/>
          <w:u w:val="thick"/>
        </w:rPr>
        <w:t>、</w:t>
      </w:r>
      <w:r>
        <w:rPr>
          <w:rFonts w:hint="eastAsia" w:ascii="宋体" w:hAnsi="宋体" w:eastAsia="宋体" w:cs="宋体"/>
          <w:color w:val="000000"/>
          <w:spacing w:val="1"/>
          <w:kern w:val="0"/>
          <w:sz w:val="24"/>
          <w:szCs w:val="24"/>
          <w:u w:val="thick"/>
        </w:rPr>
        <w:t>(3)款，费用已在措施费内计取。</w:t>
      </w:r>
    </w:p>
    <w:p w14:paraId="4A3B1804">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kern w:val="0"/>
          <w:sz w:val="24"/>
          <w:szCs w:val="24"/>
        </w:rPr>
      </w:pPr>
      <w:r>
        <w:rPr>
          <w:rFonts w:hint="eastAsia" w:ascii="宋体" w:hAnsi="宋体" w:eastAsia="宋体" w:cs="宋体"/>
          <w:color w:val="000000"/>
          <w:kern w:val="0"/>
          <w:sz w:val="24"/>
          <w:szCs w:val="24"/>
          <w:u w:val="none"/>
        </w:rPr>
        <w:t>（4）向发包人提供的办公和生活房屋及设施的要求：</w:t>
      </w:r>
      <w:r>
        <w:rPr>
          <w:rFonts w:hint="eastAsia" w:ascii="宋体" w:hAnsi="宋体" w:eastAsia="宋体" w:cs="宋体"/>
          <w:spacing w:val="1"/>
          <w:kern w:val="0"/>
          <w:sz w:val="24"/>
          <w:szCs w:val="24"/>
          <w:u w:val="thick"/>
        </w:rPr>
        <w:t>为甲方工地代表提供办公室1间，为现场监理提供办公室2间、不配备办公家具，费用已在措施费内计取。</w:t>
      </w:r>
    </w:p>
    <w:p w14:paraId="29124662">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（5）需承包人办理的有关施工场地交通、环卫和施工噪音管理等手续：</w:t>
      </w:r>
      <w:r>
        <w:rPr>
          <w:rFonts w:hint="eastAsia" w:ascii="宋体" w:hAnsi="宋体" w:eastAsia="宋体" w:cs="宋体"/>
          <w:color w:val="000000"/>
          <w:spacing w:val="1"/>
          <w:kern w:val="0"/>
          <w:sz w:val="24"/>
          <w:szCs w:val="24"/>
          <w:u w:val="thick"/>
        </w:rPr>
        <w:t>执行《通用条款》9.1、(5)款，费用在措施费内已计取。</w:t>
      </w:r>
    </w:p>
    <w:p w14:paraId="52A611F2">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thick"/>
        </w:rPr>
        <w:t>（6）已完工程成品保护的特殊要求及费用承担：</w:t>
      </w:r>
      <w:r>
        <w:rPr>
          <w:rFonts w:hint="eastAsia" w:ascii="宋体" w:hAnsi="宋体" w:eastAsia="宋体" w:cs="宋体"/>
          <w:color w:val="000000"/>
          <w:spacing w:val="1"/>
          <w:kern w:val="0"/>
          <w:sz w:val="24"/>
          <w:szCs w:val="24"/>
          <w:u w:val="thick"/>
        </w:rPr>
        <w:t>执行《通用条款》9.1、（6)款，由承包人承担费用，费用已在措施费内计取。</w:t>
      </w:r>
    </w:p>
    <w:p w14:paraId="0429452E">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（7）施工场地周围地下管线和邻近建筑物、构筑物（含文物保护建筑）、古树名木的保护要求及费用承担：</w:t>
      </w:r>
      <w:r>
        <w:rPr>
          <w:rFonts w:hint="eastAsia" w:ascii="宋体" w:hAnsi="宋体" w:eastAsia="宋体" w:cs="宋体"/>
          <w:color w:val="000000"/>
          <w:spacing w:val="1"/>
          <w:kern w:val="0"/>
          <w:sz w:val="24"/>
          <w:szCs w:val="24"/>
          <w:u w:val="thick"/>
        </w:rPr>
        <w:t>执行《通用条款》9. 1、（7)款。如因施工方法不当造成损失由承包方承担，文物和管网保护费用经监理工程师和甲方工地代表签认后由发包方承担。</w:t>
      </w:r>
    </w:p>
    <w:p w14:paraId="7C80240B">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kern w:val="0"/>
          <w:sz w:val="24"/>
          <w:szCs w:val="24"/>
          <w:u w:val="none"/>
        </w:rPr>
        <w:t>（8）施工场地清洁卫生的要求：</w:t>
      </w:r>
      <w:r>
        <w:rPr>
          <w:rFonts w:hint="eastAsia" w:ascii="宋体" w:hAnsi="宋体" w:eastAsia="宋体" w:cs="宋体"/>
          <w:color w:val="000000"/>
          <w:sz w:val="24"/>
          <w:szCs w:val="24"/>
          <w:u w:val="thick"/>
        </w:rPr>
        <w:t>必须符合当地政府对安全文明工地以及创建文明城市的要求，如发生因违反规定而造成的损失，该费用由承包人承担</w:t>
      </w:r>
    </w:p>
    <w:p w14:paraId="4327A519">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w:t>（9）双方约定承包人应做的其他工作：</w:t>
      </w:r>
      <w:r>
        <w:rPr>
          <w:rFonts w:hint="eastAsia" w:ascii="宋体" w:hAnsi="宋体" w:eastAsia="宋体" w:cs="宋体"/>
          <w:color w:val="000000"/>
          <w:spacing w:val="1"/>
          <w:kern w:val="0"/>
          <w:sz w:val="24"/>
          <w:szCs w:val="24"/>
          <w:u w:val="thick"/>
        </w:rPr>
        <w:t>本工程项目经理和技术负责人应常驻工地；为本项目其他标段的施工单位提供施工条件并</w:t>
      </w:r>
      <w:r>
        <w:rPr>
          <w:rFonts w:hint="eastAsia" w:ascii="宋体" w:hAnsi="宋体" w:eastAsia="宋体" w:cs="宋体"/>
          <w:color w:val="000000"/>
          <w:sz w:val="24"/>
          <w:szCs w:val="24"/>
          <w:u w:val="thick"/>
        </w:rPr>
        <w:t>负责与当地村民协调关系，处理相关问题等事宜。</w:t>
      </w:r>
    </w:p>
    <w:p w14:paraId="618B577C">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三、施工组织设计和工期</w:t>
      </w:r>
    </w:p>
    <w:p w14:paraId="0B6BAD63">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9、进度计划</w:t>
      </w:r>
    </w:p>
    <w:p w14:paraId="2554CC7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9.1承包人提供施工组织设计（施工方案）和进度计划的时间</w:t>
      </w:r>
      <w:r>
        <w:rPr>
          <w:rFonts w:hint="eastAsia" w:ascii="宋体" w:hAnsi="宋体" w:eastAsia="宋体" w:cs="宋体"/>
          <w:color w:val="000000"/>
          <w:kern w:val="0"/>
          <w:sz w:val="24"/>
          <w:szCs w:val="24"/>
        </w:rPr>
        <w:t>：</w:t>
      </w:r>
      <w:r>
        <w:rPr>
          <w:rFonts w:hint="eastAsia" w:ascii="宋体" w:hAnsi="宋体" w:eastAsia="宋体" w:cs="宋体"/>
          <w:color w:val="000000"/>
          <w:spacing w:val="1"/>
          <w:kern w:val="0"/>
          <w:sz w:val="24"/>
          <w:szCs w:val="24"/>
          <w:u w:val="thick"/>
        </w:rPr>
        <w:t>工程开工前10日内。</w:t>
      </w:r>
    </w:p>
    <w:p w14:paraId="5D63014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工程师确认的时间：</w:t>
      </w:r>
      <w:r>
        <w:rPr>
          <w:rFonts w:hint="eastAsia" w:ascii="宋体" w:hAnsi="宋体" w:eastAsia="宋体" w:cs="宋体"/>
          <w:color w:val="000000"/>
          <w:spacing w:val="1"/>
          <w:kern w:val="0"/>
          <w:sz w:val="24"/>
          <w:szCs w:val="24"/>
          <w:u w:val="none"/>
        </w:rPr>
        <w:t>5日内。</w:t>
      </w:r>
    </w:p>
    <w:p w14:paraId="523623C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4384" behindDoc="0" locked="0" layoutInCell="1" allowOverlap="1">
                <wp:simplePos x="0" y="0"/>
                <wp:positionH relativeFrom="column">
                  <wp:posOffset>2927985</wp:posOffset>
                </wp:positionH>
                <wp:positionV relativeFrom="paragraph">
                  <wp:posOffset>107950</wp:posOffset>
                </wp:positionV>
                <wp:extent cx="876300" cy="76200"/>
                <wp:effectExtent l="635" t="4445" r="6985" b="10795"/>
                <wp:wrapNone/>
                <wp:docPr id="5" name="直接箭头连接符 5"/>
                <wp:cNvGraphicFramePr/>
                <a:graphic xmlns:a="http://schemas.openxmlformats.org/drawingml/2006/main">
                  <a:graphicData uri="http://schemas.microsoft.com/office/word/2010/wordprocessingShape">
                    <wps:wsp>
                      <wps:cNvCnPr/>
                      <wps:spPr>
                        <a:xfrm flipV="1">
                          <a:off x="0" y="0"/>
                          <a:ext cx="876300" cy="762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30.55pt;margin-top:8.5pt;height:6pt;width:69pt;z-index:251664384;mso-width-relative:page;mso-height-relative:page;" filled="f" stroked="t" coordsize="21600,21600" o:gfxdata="UEsDBAoAAAAAAIdO4kAAAAAAAAAAAAAAAAAEAAAAZHJzL1BLAwQUAAAACACHTuJA3MFMBdcAAAAJ&#10;AQAADwAAAGRycy9kb3ducmV2LnhtbE2PwU7DMBBE70j8g7VI3KidqqRNGqcHJBAHFIkCdzfeJoF4&#10;HWI3af+e5QTHnXmanSl2Z9eLCcfQedKQLBQIpNrbjhoN72+PdxsQIRqypveEGi4YYFdeXxUmt36m&#10;V5z2sREcQiE3GtoYh1zKULfoTFj4AYm9ox+diXyOjbSjmTnc9XKpVCqd6Yg/tGbAhxbrr/3Jafim&#10;9eVjJafNZ1XF9On5pSGsZq1vbxK1BRHxHP9g+K3P1aHkTgd/IhtEr2GVJgmjbKx5EwP3WcbCQcMy&#10;UyDLQv5fUP4AUEsDBBQAAAAIAIdO4kCcc6ToBQIAAPkDAAAOAAAAZHJzL2Uyb0RvYy54bWytU0uO&#10;EzEQ3SNxB8t70pmgZIZWOrNIGDYIIvHZO/50W/JPLk86uQQXQGIFrIDV7DkNDMeg7A4Bhk0W9KJV&#10;tqte1Xt+nl/urCFbGUF719Cz0ZgS6bgX2rUNffXy6sEFJZCYE8x4Jxu6l0AvF/fvzftQy4nvvBEy&#10;EgRxUPehoV1Koa4q4J20DEY+SIeHykfLEi5jW4nIekS3ppqMx7Oq91GE6LkEwN3VcEgPiPEUQK+U&#10;5nLl+bWVLg2oURqWkBJ0OgBdlGmVkjw9VwpkIqahyDSVPzbBeJP/1WLO6jay0Gl+GIGdMsIdTpZp&#10;h02PUCuWGLmO+h8oq3n04FUacW+rgUhRBFmcje9o86JjQRYuKDWEo+jw/2D5s+06Ei0aOqXEMYsX&#10;fvv25vubD7dfPn97f/Pj67scf/pIplmqPkCNFUu3jocVhHXMvHcqWqKMDq/RU0UJ5EZ2Rej9UWi5&#10;S4Tj5sX57OEYr4Dj0fkMXZHBqwElo4UI6Yn0luSgoZAi022Xlt45vFEfhw5s+xTSUPirIBcbR/qG&#10;PppOkBFn6FCFzsDQBmQJri3TgTdaXGljcgXEdrM0kWxZdkn5DgP9lZabrBh0Q145ymms7iQTj50g&#10;aR9QP4fPhuYRrBSUGImvLEclMzFtTslELYxDSbLgg8Q52nixL8qXfXREEe3g3my5P9el+veLX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MFMBdcAAAAJAQAADwAAAAAAAAABACAAAAAiAAAAZHJz&#10;L2Rvd25yZXYueG1sUEsBAhQAFAAAAAgAh07iQJxzpOgFAgAA+Q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9.2群体工程中有关进度计划的要求： </w:t>
      </w:r>
      <w:r>
        <w:rPr>
          <w:rFonts w:hint="eastAsia" w:ascii="宋体" w:hAnsi="宋体" w:eastAsia="宋体" w:cs="宋体"/>
          <w:color w:val="000000"/>
          <w:kern w:val="0"/>
          <w:sz w:val="24"/>
          <w:szCs w:val="24"/>
          <w:u w:val="thick"/>
        </w:rPr>
        <w:t xml:space="preserve">             </w:t>
      </w:r>
    </w:p>
    <w:p w14:paraId="1694C9B4">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10、工期延误</w:t>
      </w:r>
    </w:p>
    <w:p w14:paraId="1BDED6EF">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10.1双方约定工期顺延的其他情况：</w:t>
      </w:r>
      <w:r>
        <w:rPr>
          <w:rFonts w:hint="eastAsia" w:ascii="宋体" w:hAnsi="宋体" w:eastAsia="宋体" w:cs="宋体"/>
          <w:color w:val="000000"/>
          <w:spacing w:val="1"/>
          <w:kern w:val="0"/>
          <w:sz w:val="24"/>
          <w:szCs w:val="24"/>
          <w:u w:val="thick"/>
        </w:rPr>
        <w:t>执行《通用条款》13条。</w:t>
      </w:r>
    </w:p>
    <w:p w14:paraId="6A0F82F3">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四、质量与检验</w:t>
      </w:r>
    </w:p>
    <w:p w14:paraId="7E76E6B3">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11、隐蔽工程和中间验收</w:t>
      </w:r>
    </w:p>
    <w:p w14:paraId="7A0B972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11.1双方约定中间验收部位：</w:t>
      </w:r>
      <w:r>
        <w:rPr>
          <w:rFonts w:hint="eastAsia" w:ascii="宋体" w:hAnsi="宋体" w:eastAsia="宋体" w:cs="宋体"/>
          <w:color w:val="000000"/>
          <w:spacing w:val="1"/>
          <w:kern w:val="0"/>
          <w:sz w:val="24"/>
          <w:szCs w:val="24"/>
          <w:u w:val="thick"/>
        </w:rPr>
        <w:t>隐蔽工程验收执行《通用条款》17条。</w:t>
      </w:r>
    </w:p>
    <w:p w14:paraId="7F7F4AC5">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71552" behindDoc="0" locked="0" layoutInCell="1" allowOverlap="1">
                <wp:simplePos x="0" y="0"/>
                <wp:positionH relativeFrom="column">
                  <wp:posOffset>3086100</wp:posOffset>
                </wp:positionH>
                <wp:positionV relativeFrom="paragraph">
                  <wp:posOffset>106680</wp:posOffset>
                </wp:positionV>
                <wp:extent cx="1028700" cy="76200"/>
                <wp:effectExtent l="635" t="4445" r="6985" b="10795"/>
                <wp:wrapNone/>
                <wp:docPr id="6" name="直接箭头连接符 6"/>
                <wp:cNvGraphicFramePr/>
                <a:graphic xmlns:a="http://schemas.openxmlformats.org/drawingml/2006/main">
                  <a:graphicData uri="http://schemas.microsoft.com/office/word/2010/wordprocessingShape">
                    <wps:wsp>
                      <wps:cNvCnPr/>
                      <wps:spPr>
                        <a:xfrm flipV="1">
                          <a:off x="0" y="0"/>
                          <a:ext cx="1028700" cy="762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3pt;margin-top:8.4pt;height:6pt;width:81pt;z-index:251671552;mso-width-relative:page;mso-height-relative:page;" filled="f" stroked="t" coordsize="21600,21600" o:gfxdata="UEsDBAoAAAAAAIdO4kAAAAAAAAAAAAAAAAAEAAAAZHJzL1BLAwQUAAAACACHTuJACJ61TdYAAAAJ&#10;AQAADwAAAGRycy9kb3ducmV2LnhtbE2PwU7DMBBE70j8g7VI3KjTKjJWiNMDEogDikSBuxsvSdp4&#10;HWI3af+e5QTHnRnNziu3Zz+IGafYBzKwXmUgkJrgemoNfLw/3WkQMVlydgiEBi4YYVtdX5W2cGGh&#10;N5x3qRVcQrGwBrqUxkLK2HTobVyFEYm9rzB5m/icWukmu3C5H+Qmy5T0tif+0NkRHztsjruTN/BN&#10;95fPXM76UNdJPb+8toT1YsztzTp7AJHwnP7C8Dufp0PFm/bhRC6KwUCuFbMkNhQjcEDlmoW9gY3W&#10;IKtS/ieofgBQSwMEFAAAAAgAh07iQN5ACRYGAgAA+gMAAA4AAABkcnMvZTJvRG9jLnhtbK1TzY7T&#10;MBC+I/EOlu80aaXtLlHTPbQsFwSV+Lm7jp1Y8p883qZ9CV4AiRNwgj3tnaeB5TEYO6HAcumBHKKx&#10;PfPNfJ8/Ly73RpOdCKCcrel0UlIiLHeNsm1NX7+6enRBCURmG6adFTU9CKCXy4cPFr2vxMx1Tjci&#10;EASxUPW+pl2MvioK4J0wDCbOC4uH0gXDIi5DWzSB9YhudDEry3nRu9D44LgAwN31cEhHxHAKoJNS&#10;cbF2/NoIGwfUIDSLSAk65YEu87RSCh5fSAkiEl1TZBrzH5tgvE3/YrlgVRuY7xQfR2CnjHCPk2HK&#10;YtMj1JpFRq6D+gfKKB4cOBkn3JliIJIVQRbT8p42LzvmReaCUoM/ig7/D5Y/320CUU1N55RYZvDC&#10;797dfn/78e7my7cPtz++vk/x509knqTqPVRYsbKbMK7Ab0LivZfBEKmVf4OeykogN7LPQh+OQot9&#10;JBw3p+Xs4rzEO+B4dj5HWyT0YoBJcD5AfCqcISmoKcTAVNvFlbMWr9SFoQXbPYM4FP4qSMXakr6m&#10;j89mZ9iAoUUlWgND45Em2DaPB06r5kppnSogtNuVDmTHkk3yNw70V1pqsmbQDXn5KKWxqhOseWIb&#10;Eg8eBbT4bmgawYiGEi3wmaUoZ0am9CmZqIW2KElSfNA4RVvXHLL0eR8tkUUb7Zs89+c6V/9+ss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J61TdYAAAAJAQAADwAAAAAAAAABACAAAAAiAAAAZHJz&#10;L2Rvd25yZXYueG1sUEsBAhQAFAAAAAgAh07iQN5ACRYGAgAA+gMAAA4AAAAAAAAAAQAgAAAAJQ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12、工程试车：  19.5试车费用的承担：              </w:t>
      </w:r>
    </w:p>
    <w:p w14:paraId="2F3D4252">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五、安全防护、文明施工</w:t>
      </w:r>
    </w:p>
    <w:p w14:paraId="7BEE920F">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b/>
          <w:color w:val="000000"/>
          <w:kern w:val="0"/>
          <w:sz w:val="24"/>
          <w:szCs w:val="24"/>
        </w:rPr>
      </w:pPr>
      <w:r>
        <w:rPr>
          <w:rFonts w:hint="eastAsia" w:ascii="宋体" w:hAnsi="宋体" w:eastAsia="宋体" w:cs="宋体"/>
          <w:bCs/>
          <w:color w:val="000000"/>
          <w:kern w:val="0"/>
          <w:sz w:val="24"/>
          <w:szCs w:val="24"/>
          <w:u w:val="none"/>
        </w:rPr>
        <w:t>13</w:t>
      </w:r>
      <w:r>
        <w:rPr>
          <w:rFonts w:hint="eastAsia" w:ascii="宋体" w:hAnsi="宋体" w:eastAsia="宋体" w:cs="宋体"/>
          <w:bCs/>
          <w:color w:val="000000"/>
          <w:kern w:val="0"/>
          <w:sz w:val="24"/>
          <w:szCs w:val="24"/>
        </w:rPr>
        <w:t>.</w:t>
      </w:r>
      <w:r>
        <w:rPr>
          <w:rFonts w:hint="eastAsia" w:ascii="宋体" w:hAnsi="宋体" w:eastAsia="宋体" w:cs="宋体"/>
          <w:bCs/>
          <w:color w:val="000000"/>
          <w:kern w:val="0"/>
          <w:sz w:val="24"/>
          <w:szCs w:val="24"/>
          <w:u w:val="thick"/>
        </w:rPr>
        <w:t>执行《通用条款》第五条全部条款和国家、省、市关于安全文明施工的要求规定。</w:t>
      </w:r>
    </w:p>
    <w:p w14:paraId="75252081">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六、合同价款</w:t>
      </w:r>
    </w:p>
    <w:p w14:paraId="71FE0494">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14、合同价款约定</w:t>
      </w:r>
    </w:p>
    <w:p w14:paraId="79CD2CE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14.1本合同价款采用</w:t>
      </w:r>
      <w:r>
        <w:rPr>
          <w:rFonts w:hint="eastAsia" w:ascii="宋体" w:hAnsi="宋体" w:eastAsia="宋体" w:cs="宋体"/>
          <w:color w:val="000000"/>
          <w:spacing w:val="1"/>
          <w:kern w:val="0"/>
          <w:sz w:val="24"/>
          <w:szCs w:val="24"/>
          <w:u w:val="none"/>
        </w:rPr>
        <w:t>综合单价</w:t>
      </w:r>
      <w:r>
        <w:rPr>
          <w:rFonts w:hint="eastAsia" w:ascii="宋体" w:hAnsi="宋体" w:eastAsia="宋体" w:cs="宋体"/>
          <w:color w:val="000000"/>
          <w:kern w:val="0"/>
          <w:sz w:val="24"/>
          <w:szCs w:val="24"/>
          <w:u w:val="none"/>
        </w:rPr>
        <w:t>方式确定。</w:t>
      </w:r>
    </w:p>
    <w:p w14:paraId="35E0454E">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（1）采用固定总价合同：</w:t>
      </w:r>
    </w:p>
    <w:p w14:paraId="04C3885B">
      <w:pPr>
        <w:keepNext w:val="0"/>
        <w:keepLines w:val="0"/>
        <w:pageBreakBefore w:val="0"/>
        <w:widowControl w:val="0"/>
        <w:wordWrap/>
        <w:overflowPunct/>
        <w:topLinePunct w:val="0"/>
        <w:autoSpaceDE w:val="0"/>
        <w:autoSpaceDN w:val="0"/>
        <w:bidi w:val="0"/>
        <w:adjustRightInd w:val="0"/>
        <w:spacing w:line="360" w:lineRule="auto"/>
        <w:ind w:firstLine="360" w:firstLineChars="150"/>
        <w:jc w:val="left"/>
        <w:rPr>
          <w:rFonts w:hint="eastAsia" w:ascii="宋体" w:hAnsi="宋体" w:eastAsia="宋体" w:cs="宋体"/>
          <w:color w:val="000000"/>
          <w:spacing w:val="1"/>
          <w:kern w:val="0"/>
          <w:sz w:val="24"/>
          <w:szCs w:val="24"/>
          <w:u w:val="thick"/>
        </w:rPr>
      </w:pPr>
      <w:r>
        <w:rPr>
          <w:rFonts w:hint="eastAsia" w:ascii="宋体" w:hAnsi="宋体" w:eastAsia="宋体" w:cs="宋体"/>
          <w:color w:val="000000"/>
          <w:kern w:val="0"/>
          <w:sz w:val="24"/>
          <w:szCs w:val="24"/>
          <w:u w:val="none"/>
        </w:rPr>
        <w:t>（2）采用固定综合单价合同，综合单价中包括的风险范围：</w:t>
      </w:r>
      <w:r>
        <w:rPr>
          <w:rFonts w:hint="eastAsia" w:ascii="宋体" w:hAnsi="宋体" w:eastAsia="宋体" w:cs="宋体"/>
          <w:color w:val="000000"/>
          <w:spacing w:val="1"/>
          <w:kern w:val="0"/>
          <w:sz w:val="24"/>
          <w:szCs w:val="24"/>
          <w:u w:val="thick"/>
        </w:rPr>
        <w:t>合同中确定的各项单价在工程实施中不因人工费、材料费、机械费社会价格浮动、气候条件的变化、承包方投标时漏报以及报价失误以及其他意外困难等因素而调整，钢材、商砼价格风险幅度控制在合同约定价格的±5%以内，超过±5%执行陕建发（2009）03号文件。</w:t>
      </w:r>
    </w:p>
    <w:p w14:paraId="641EA580">
      <w:pPr>
        <w:keepNext w:val="0"/>
        <w:keepLines w:val="0"/>
        <w:pageBreakBefore w:val="0"/>
        <w:widowControl w:val="0"/>
        <w:wordWrap/>
        <w:overflowPunct/>
        <w:topLinePunct w:val="0"/>
        <w:autoSpaceDE w:val="0"/>
        <w:autoSpaceDN w:val="0"/>
        <w:bidi w:val="0"/>
        <w:adjustRightInd w:val="0"/>
        <w:spacing w:line="360" w:lineRule="auto"/>
        <w:jc w:val="left"/>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u w:val="thick"/>
        </w:rPr>
        <w:t>各类风险费用的计算均己在综合单价中考虑。</w:t>
      </w:r>
    </w:p>
    <w:p w14:paraId="23EAAF2E">
      <w:pPr>
        <w:keepNext w:val="0"/>
        <w:keepLines w:val="0"/>
        <w:pageBreakBefore w:val="0"/>
        <w:widowControl w:val="0"/>
        <w:wordWrap/>
        <w:overflowPunct/>
        <w:topLinePunct w:val="0"/>
        <w:bidi w:val="0"/>
        <w:spacing w:line="360" w:lineRule="auto"/>
        <w:ind w:firstLine="484" w:firstLineChars="200"/>
        <w:rPr>
          <w:rFonts w:hint="eastAsia" w:ascii="宋体" w:hAnsi="宋体" w:eastAsia="宋体" w:cs="宋体"/>
          <w:color w:val="000000"/>
          <w:kern w:val="0"/>
          <w:sz w:val="24"/>
          <w:szCs w:val="24"/>
        </w:rPr>
      </w:pPr>
      <w:r>
        <w:rPr>
          <w:rFonts w:hint="eastAsia" w:ascii="宋体" w:hAnsi="宋体" w:eastAsia="宋体" w:cs="宋体"/>
          <w:color w:val="000000"/>
          <w:spacing w:val="1"/>
          <w:kern w:val="0"/>
          <w:sz w:val="24"/>
          <w:szCs w:val="24"/>
          <w:u w:val="none"/>
        </w:rPr>
        <w:t>风险范围以外合同价款调整方法：</w:t>
      </w:r>
      <w:r>
        <w:rPr>
          <w:rFonts w:hint="eastAsia" w:ascii="宋体" w:hAnsi="宋体" w:eastAsia="宋体" w:cs="宋体"/>
          <w:color w:val="000000"/>
          <w:spacing w:val="1"/>
          <w:kern w:val="0"/>
          <w:sz w:val="24"/>
          <w:szCs w:val="24"/>
          <w:u w:val="thick"/>
        </w:rPr>
        <w:t>因甲方设计变更应依照</w:t>
      </w:r>
      <w:r>
        <w:rPr>
          <w:rFonts w:hint="eastAsia" w:ascii="宋体" w:hAnsi="宋体" w:eastAsia="宋体" w:cs="宋体"/>
          <w:color w:val="000000"/>
          <w:spacing w:val="1"/>
          <w:kern w:val="0"/>
          <w:sz w:val="24"/>
          <w:szCs w:val="24"/>
          <w:u w:val="thick"/>
          <w:lang w:eastAsia="zh-CN"/>
        </w:rPr>
        <w:t>磋商文件</w:t>
      </w:r>
      <w:r>
        <w:rPr>
          <w:rFonts w:hint="eastAsia" w:ascii="宋体" w:hAnsi="宋体" w:eastAsia="宋体" w:cs="宋体"/>
          <w:color w:val="000000"/>
          <w:spacing w:val="1"/>
          <w:kern w:val="0"/>
          <w:sz w:val="24"/>
          <w:szCs w:val="24"/>
          <w:u w:val="thick"/>
        </w:rPr>
        <w:t xml:space="preserve">、答疑纪要、设计变更、现场签证、洽商文件，由发包人认质、认量，按照合同规定调整、结算。 </w:t>
      </w:r>
    </w:p>
    <w:p w14:paraId="3C322657">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15、合同价款调整</w:t>
      </w:r>
    </w:p>
    <w:p w14:paraId="736B0D9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5408" behindDoc="0" locked="0" layoutInCell="1" allowOverlap="1">
                <wp:simplePos x="0" y="0"/>
                <wp:positionH relativeFrom="column">
                  <wp:posOffset>3164205</wp:posOffset>
                </wp:positionH>
                <wp:positionV relativeFrom="paragraph">
                  <wp:posOffset>81915</wp:posOffset>
                </wp:positionV>
                <wp:extent cx="819150" cy="85725"/>
                <wp:effectExtent l="635" t="4445" r="3175" b="16510"/>
                <wp:wrapNone/>
                <wp:docPr id="7" name="直接箭头连接符 7"/>
                <wp:cNvGraphicFramePr/>
                <a:graphic xmlns:a="http://schemas.openxmlformats.org/drawingml/2006/main">
                  <a:graphicData uri="http://schemas.microsoft.com/office/word/2010/wordprocessingShape">
                    <wps:wsp>
                      <wps:cNvCnPr/>
                      <wps:spPr>
                        <a:xfrm flipV="1">
                          <a:off x="0" y="0"/>
                          <a:ext cx="819150" cy="857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9.15pt;margin-top:6.45pt;height:6.75pt;width:64.5pt;z-index:251665408;mso-width-relative:page;mso-height-relative:page;" filled="f" stroked="t" coordsize="21600,21600" o:gfxdata="UEsDBAoAAAAAAIdO4kAAAAAAAAAAAAAAAAAEAAAAZHJzL1BLAwQUAAAACACHTuJAe941BtcAAAAJ&#10;AQAADwAAAGRycy9kb3ducmV2LnhtbE2PwU6DQBCG7ya+w2ZMvNmlSChFlh6aaDwYEqvet+wItOws&#10;ZbfQvr3jSY8z/5d/vik2F9uLCUffOVKwXEQgkGpnOmoUfH48P2QgfNBkdO8IFVzRw6a8vSl0btxM&#10;7zjtQiO4hHyuFbQhDLmUvm7Rar9wAxJn3260OvA4NtKMeuZy28s4ilJpdUd8odUDblusj7uzVXCi&#10;1fUrkVN2qKqQvry+NYTVrNT93TJ6AhHwEv5g+NVndSjZae/OZLzoFSTr7JFRDuI1CAbSeMWLvYI4&#10;TUCWhfz/QfkDUEsDBBQAAAAIAIdO4kACx8vDBQIAAPkDAAAOAAAAZHJzL2Uyb0RvYy54bWytU72O&#10;EzEQ7pF4B8s92SRSSG6VzRUJR4MgEj+9Y3t3LflPHl82eQleAIkKqOCq63kaOB6DsXcJcDQpcGGN&#10;PTPfzPd5vLw8GE32MoBytqKT0ZgSabkTyjYVff3q6tGCEojMCqadlRU9SqCXq4cPlp0v5dS1TgsZ&#10;CIJYKDtf0TZGXxYF8FYaBiPnpUVn7YJhEY+hKURgHaIbXUzH48dF54LwwXEJgLeb3kkHxHAOoKtr&#10;xeXG8WsjbexRg9QsIiVolQe6yt3WteTxRV2DjERXFJnGvGMRtHdpL1ZLVjaB+VbxoQV2Tgv3OBmm&#10;LBY9QW1YZOQ6qH+gjOLBgavjiDtT9ESyIshiMr6nzcuWeZm5oNTgT6LD/4Plz/fbQJSo6JwSyww+&#10;+N272+9vP97dfPn24fbH1/fJ/vyJzJNUnYcSM9Z2G4YT+G1IvA91MKTWyr/BmcpKIDdyyEIfT0LL&#10;QyQcLxeTi8kMn4CjazGbT2cJvOhREpoPEJ9KZ0gyKgoxMNW0ce2sxRd1oa/A9s8g9om/ElKytqSr&#10;6MUMUQlnOKE1TgaaxiNLsE3uDpxW4kppnTIgNLu1DmTP0pTkNTT0V1gqsmHQ9nHZlcJY2UomnlhB&#10;4tGjfha/DU0tGCko0RJ/WbJyZGRKnxOJWmiLkiTBe4mTtXPimJXP9zgRWbRhetPI/XnO2b9/7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941BtcAAAAJAQAADwAAAAAAAAABACAAAAAiAAAAZHJz&#10;L2Rvd25yZXYueG1sUEsBAhQAFAAAAAgAh07iQALHy8MFAgAA+Q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15.1双方约定合同价款的其他调整因素：             </w:t>
      </w:r>
    </w:p>
    <w:p w14:paraId="243B9665">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kern w:val="0"/>
          <w:sz w:val="24"/>
          <w:szCs w:val="24"/>
          <w:highlight w:val="none"/>
          <w:u w:val="none"/>
        </w:rPr>
      </w:pPr>
      <w:r>
        <w:rPr>
          <w:rFonts w:hint="eastAsia" w:ascii="宋体" w:hAnsi="宋体" w:eastAsia="宋体" w:cs="宋体"/>
          <w:color w:val="000000"/>
          <w:kern w:val="0"/>
          <w:sz w:val="24"/>
          <w:szCs w:val="24"/>
          <w:u w:val="none"/>
        </w:rPr>
        <w:t>16、工程预付款</w:t>
      </w:r>
    </w:p>
    <w:p w14:paraId="302FF1B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pacing w:val="1"/>
          <w:kern w:val="0"/>
          <w:sz w:val="24"/>
          <w:szCs w:val="24"/>
          <w:highlight w:val="green"/>
          <w:u w:val="thick"/>
        </w:rPr>
      </w:pPr>
      <w:r>
        <w:rPr>
          <w:rFonts w:hint="eastAsia" w:ascii="宋体" w:hAnsi="宋体" w:eastAsia="宋体" w:cs="宋体"/>
          <w:kern w:val="0"/>
          <w:sz w:val="24"/>
          <w:szCs w:val="24"/>
          <w:highlight w:val="none"/>
          <w:u w:val="none"/>
        </w:rPr>
        <w:t>发包人向承包人预付工程款的时间和金额或占合同价款总额的比例：</w:t>
      </w:r>
      <w:r>
        <w:rPr>
          <w:rFonts w:hint="eastAsia" w:ascii="宋体" w:hAnsi="宋体" w:eastAsia="宋体" w:cs="宋体"/>
          <w:spacing w:val="1"/>
          <w:kern w:val="0"/>
          <w:sz w:val="24"/>
          <w:szCs w:val="24"/>
          <w:highlight w:val="none"/>
          <w:u w:val="thick"/>
          <w:lang w:val="en-US" w:eastAsia="zh-CN"/>
        </w:rPr>
        <w:t>/</w:t>
      </w:r>
    </w:p>
    <w:p w14:paraId="41B83F5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spacing w:val="1"/>
          <w:kern w:val="0"/>
          <w:sz w:val="24"/>
          <w:szCs w:val="24"/>
          <w:highlight w:val="none"/>
          <w:u w:val="thick"/>
        </w:rPr>
      </w:pPr>
      <w:r>
        <w:rPr>
          <w:rFonts w:hint="eastAsia" w:ascii="宋体" w:hAnsi="宋体" w:eastAsia="宋体" w:cs="宋体"/>
          <w:kern w:val="0"/>
          <w:sz w:val="24"/>
          <w:szCs w:val="24"/>
          <w:highlight w:val="none"/>
          <w:u w:val="none"/>
        </w:rPr>
        <w:t>扣回工程款的时间、比例：</w:t>
      </w:r>
      <w:r>
        <w:rPr>
          <w:rFonts w:hint="eastAsia" w:ascii="宋体" w:hAnsi="宋体" w:eastAsia="宋体" w:cs="宋体"/>
          <w:spacing w:val="1"/>
          <w:kern w:val="0"/>
          <w:sz w:val="24"/>
          <w:szCs w:val="24"/>
          <w:highlight w:val="none"/>
          <w:u w:val="thick"/>
          <w:lang w:val="en-US" w:eastAsia="zh-CN"/>
        </w:rPr>
        <w:t>/</w:t>
      </w:r>
      <w:r>
        <w:rPr>
          <w:rFonts w:hint="eastAsia" w:ascii="宋体" w:hAnsi="宋体" w:eastAsia="宋体" w:cs="宋体"/>
          <w:spacing w:val="1"/>
          <w:kern w:val="0"/>
          <w:sz w:val="24"/>
          <w:szCs w:val="24"/>
          <w:highlight w:val="none"/>
          <w:u w:val="thick"/>
        </w:rPr>
        <w:t>。</w:t>
      </w:r>
    </w:p>
    <w:p w14:paraId="32A0BE2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u w:val="none"/>
        </w:rPr>
        <w:t>预付安全防护、文明施工措施费用的比例和时间：</w:t>
      </w:r>
      <w:r>
        <w:rPr>
          <w:rFonts w:hint="eastAsia" w:ascii="宋体" w:hAnsi="宋体" w:eastAsia="宋体" w:cs="宋体"/>
          <w:spacing w:val="1"/>
          <w:kern w:val="0"/>
          <w:sz w:val="24"/>
          <w:szCs w:val="24"/>
          <w:highlight w:val="none"/>
          <w:u w:val="thick"/>
          <w:lang w:val="en-US" w:eastAsia="zh-CN"/>
        </w:rPr>
        <w:t>/</w:t>
      </w:r>
      <w:r>
        <w:rPr>
          <w:rFonts w:hint="eastAsia" w:ascii="宋体" w:hAnsi="宋体" w:eastAsia="宋体" w:cs="宋体"/>
          <w:spacing w:val="1"/>
          <w:kern w:val="0"/>
          <w:sz w:val="24"/>
          <w:szCs w:val="24"/>
          <w:highlight w:val="none"/>
          <w:u w:val="thick"/>
        </w:rPr>
        <w:t>。</w:t>
      </w:r>
    </w:p>
    <w:p w14:paraId="4104278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highlight w:val="none"/>
          <w:u w:val="none"/>
        </w:rPr>
      </w:pPr>
      <w:r>
        <w:rPr>
          <w:rFonts w:hint="eastAsia" w:ascii="宋体" w:hAnsi="宋体" w:eastAsia="宋体" w:cs="宋体"/>
          <w:color w:val="000000"/>
          <w:kern w:val="0"/>
          <w:sz w:val="24"/>
          <w:szCs w:val="24"/>
          <w:highlight w:val="none"/>
          <w:u w:val="none"/>
        </w:rPr>
        <w:t>17、工程量确认</w:t>
      </w:r>
    </w:p>
    <w:p w14:paraId="4C12E1C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none"/>
        </w:rPr>
        <w:t>17.1承包人向工程师提交已完工程量报告的时间：</w:t>
      </w:r>
      <w:r>
        <w:rPr>
          <w:rFonts w:hint="eastAsia" w:ascii="宋体" w:hAnsi="宋体" w:eastAsia="宋体" w:cs="宋体"/>
          <w:color w:val="000000"/>
          <w:spacing w:val="1"/>
          <w:kern w:val="0"/>
          <w:sz w:val="24"/>
          <w:szCs w:val="24"/>
          <w:highlight w:val="none"/>
          <w:u w:val="thick"/>
        </w:rPr>
        <w:t>每月25日。</w:t>
      </w:r>
    </w:p>
    <w:p w14:paraId="2D8C1D1F">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highlight w:val="none"/>
          <w:u w:val="none"/>
        </w:rPr>
      </w:pPr>
      <w:r>
        <w:rPr>
          <w:rFonts w:hint="eastAsia" w:ascii="宋体" w:hAnsi="宋体" w:eastAsia="宋体" w:cs="宋体"/>
          <w:color w:val="000000"/>
          <w:kern w:val="0"/>
          <w:sz w:val="24"/>
          <w:szCs w:val="24"/>
          <w:highlight w:val="none"/>
          <w:u w:val="none"/>
        </w:rPr>
        <w:t>18、工程进度款结算与支付</w:t>
      </w:r>
    </w:p>
    <w:p w14:paraId="6065EE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napToGrid w:val="0"/>
          <w:color w:val="0000FF"/>
          <w:spacing w:val="0"/>
          <w:kern w:val="0"/>
          <w:sz w:val="24"/>
          <w:szCs w:val="24"/>
          <w:highlight w:val="none"/>
          <w:u w:val="single"/>
          <w:lang w:val="en-US" w:eastAsia="zh-CN" w:bidi="ar-SA"/>
        </w:rPr>
      </w:pPr>
      <w:r>
        <w:rPr>
          <w:rFonts w:hint="eastAsia" w:ascii="宋体" w:hAnsi="宋体" w:eastAsia="宋体" w:cs="宋体"/>
          <w:color w:val="000000"/>
          <w:kern w:val="0"/>
          <w:sz w:val="24"/>
          <w:szCs w:val="24"/>
          <w:highlight w:val="none"/>
          <w:u w:val="none"/>
        </w:rPr>
        <w:t>双方约定的工程进度款支付的方式、时间和比例是</w:t>
      </w:r>
      <w:r>
        <w:rPr>
          <w:rFonts w:hint="eastAsia" w:ascii="宋体" w:hAnsi="宋体" w:eastAsia="宋体" w:cs="宋体"/>
          <w:color w:val="0000FF"/>
          <w:kern w:val="0"/>
          <w:sz w:val="24"/>
          <w:szCs w:val="24"/>
          <w:highlight w:val="none"/>
          <w:u w:val="none"/>
        </w:rPr>
        <w:t>：</w:t>
      </w:r>
      <w:r>
        <w:rPr>
          <w:rFonts w:hint="eastAsia" w:ascii="宋体" w:hAnsi="宋体" w:eastAsia="宋体" w:cs="宋体"/>
          <w:b w:val="0"/>
          <w:bCs w:val="0"/>
          <w:snapToGrid w:val="0"/>
          <w:color w:val="000000"/>
          <w:spacing w:val="0"/>
          <w:kern w:val="0"/>
          <w:sz w:val="24"/>
          <w:szCs w:val="24"/>
          <w:highlight w:val="none"/>
          <w:u w:val="single"/>
          <w:lang w:val="en-US" w:eastAsia="zh-CN" w:bidi="ar-SA"/>
        </w:rPr>
        <w:t>（1）、合同签订后10个工作日内支付合同总价款30%作为预付款;（2）、项目竣工验收合格后15个工作日内支付至合同金额的80%，（3）、待结算审计完成后15个工作日内支付至结算审计金额的97%（4）、其余3%作为保修金，质保期满无质量问题，发包人无息退还保修金。</w:t>
      </w:r>
    </w:p>
    <w:p w14:paraId="653DC3AD">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highlight w:val="none"/>
          <w:u w:val="none"/>
        </w:rPr>
      </w:pPr>
      <w:r>
        <w:rPr>
          <w:rFonts w:hint="eastAsia" w:ascii="宋体" w:hAnsi="宋体" w:eastAsia="宋体" w:cs="宋体"/>
          <w:b/>
          <w:color w:val="000000"/>
          <w:kern w:val="0"/>
          <w:sz w:val="24"/>
          <w:szCs w:val="24"/>
          <w:highlight w:val="none"/>
          <w:u w:val="none"/>
        </w:rPr>
        <w:t>七、材料设备供应</w:t>
      </w:r>
    </w:p>
    <w:p w14:paraId="13BAE1A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highlight w:val="none"/>
          <w:u w:val="none"/>
        </w:rPr>
      </w:pPr>
      <w:r>
        <w:rPr>
          <w:rFonts w:hint="eastAsia" w:ascii="宋体" w:hAnsi="宋体" w:eastAsia="宋体" w:cs="宋体"/>
          <w:color w:val="000000"/>
          <w:kern w:val="0"/>
          <w:sz w:val="24"/>
          <w:szCs w:val="24"/>
          <w:highlight w:val="none"/>
          <w:u w:val="none"/>
        </w:rPr>
        <w:t>19、发包人供应材料设备</w:t>
      </w:r>
    </w:p>
    <w:p w14:paraId="58E95E15">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highlight w:val="none"/>
          <w:u w:val="none"/>
        </w:rPr>
      </w:pPr>
      <w:r>
        <w:rPr>
          <w:rFonts w:hint="eastAsia" w:ascii="宋体" w:hAnsi="宋体" w:eastAsia="宋体" w:cs="宋体"/>
          <w:color w:val="000000"/>
          <w:kern w:val="0"/>
          <w:sz w:val="24"/>
          <w:szCs w:val="24"/>
          <w:highlight w:val="none"/>
          <w:u w:val="none"/>
        </w:rPr>
        <w:t>19.1发包人供应的材料设备与一览表不符时，双方约定发包人承担责任如下：</w:t>
      </w:r>
    </w:p>
    <w:p w14:paraId="34305834">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none"/>
          <w:u w:val="none"/>
        </w:rPr>
        <w:t>（1）材料设备单价与一览表不符：</w:t>
      </w:r>
      <w:r>
        <w:rPr>
          <w:rFonts w:hint="eastAsia" w:ascii="宋体" w:hAnsi="宋体" w:eastAsia="宋体" w:cs="宋体"/>
          <w:color w:val="000000"/>
          <w:kern w:val="0"/>
          <w:sz w:val="24"/>
          <w:szCs w:val="24"/>
          <w:highlight w:val="none"/>
          <w:u w:val="thick"/>
        </w:rPr>
        <w:t>由发包</w:t>
      </w:r>
      <w:r>
        <w:rPr>
          <w:rFonts w:hint="eastAsia" w:ascii="宋体" w:hAnsi="宋体" w:eastAsia="宋体" w:cs="宋体"/>
          <w:color w:val="000000"/>
          <w:kern w:val="0"/>
          <w:sz w:val="24"/>
          <w:szCs w:val="24"/>
          <w:u w:val="thick"/>
        </w:rPr>
        <w:t>人承担所有价差；</w:t>
      </w:r>
    </w:p>
    <w:p w14:paraId="5017A8C3">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（2）材料设备的品种、规格、型号、质量等级与一览表不符：</w:t>
      </w:r>
      <w:r>
        <w:rPr>
          <w:rFonts w:hint="eastAsia" w:ascii="宋体" w:hAnsi="宋体" w:eastAsia="宋体" w:cs="宋体"/>
          <w:color w:val="000000"/>
          <w:kern w:val="0"/>
          <w:sz w:val="24"/>
          <w:szCs w:val="24"/>
          <w:u w:val="thick"/>
        </w:rPr>
        <w:t>由发包人运出施工场地并重新采购；</w:t>
      </w:r>
    </w:p>
    <w:p w14:paraId="26FC713A">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9504" behindDoc="0" locked="0" layoutInCell="1" allowOverlap="1">
                <wp:simplePos x="0" y="0"/>
                <wp:positionH relativeFrom="column">
                  <wp:posOffset>2567940</wp:posOffset>
                </wp:positionH>
                <wp:positionV relativeFrom="paragraph">
                  <wp:posOffset>127000</wp:posOffset>
                </wp:positionV>
                <wp:extent cx="819150" cy="66675"/>
                <wp:effectExtent l="635" t="4445" r="3175" b="5080"/>
                <wp:wrapNone/>
                <wp:docPr id="8" name="直接箭头连接符 8"/>
                <wp:cNvGraphicFramePr/>
                <a:graphic xmlns:a="http://schemas.openxmlformats.org/drawingml/2006/main">
                  <a:graphicData uri="http://schemas.microsoft.com/office/word/2010/wordprocessingShape">
                    <wps:wsp>
                      <wps:cNvCnPr/>
                      <wps:spPr>
                        <a:xfrm flipV="1">
                          <a:off x="0" y="0"/>
                          <a:ext cx="819150" cy="66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2.2pt;margin-top:10pt;height:5.25pt;width:64.5pt;z-index:251669504;mso-width-relative:page;mso-height-relative:page;" filled="f" stroked="t" coordsize="21600,21600" o:gfxdata="UEsDBAoAAAAAAIdO4kAAAAAAAAAAAAAAAAAEAAAAZHJzL1BLAwQUAAAACACHTuJA9luxVdYAAAAJ&#10;AQAADwAAAGRycy9kb3ducmV2LnhtbE2PwU7DMAyG70i8Q2QkbiwZ7cZU6u6ABOKAKjHgnrWmLTRO&#10;abJ2e3vMiR1tf/r/z/n26Ho10Rg6zwjLhQFFXPm64wbh/e3xZgMqRMu17T0TwokCbIvLi9xmtZ/5&#10;laZdbJSEcMgsQhvjkGkdqpacDQs/EMvt04/ORhnHRtejnSXc9frWmLV2tmNpaO1ADy1V37uDQ/jh&#10;u9NHqqfNV1nG9dPzS8NUzojXV0tzDyrSMf7D8Kcv6lCI094fuA6qR0hNmgqKIDWgBFgliSz2CIlZ&#10;gS5yff5B8QtQSwMEFAAAAAgAh07iQH+p1E4GAgAA+QMAAA4AAABkcnMvZTJvRG9jLnhtbK1TvY4T&#10;MRDukXgHyz3ZJFJCbpXNFQlHgyASP71je3ct+U8eXzZ5CV4AiQqo4KrreRo4HoOxdwlwNCnYYjX2&#10;zHwz3zfj5eXBaLKXAZSzFZ2MxpRIy51Qtqno61dXjxaUQGRWMO2srOhRAr1cPXyw7Hwpp651WshA&#10;EMRC2fmKtjH6siiAt9IwGDkvLTprFwyLeAxNIQLrEN3oYjoez4vOBeGD4xIAbze9kw6I4RxAV9eK&#10;y43j10ba2KMGqVlEStAqD3SVu61ryeOLugYZia4oMo35j0XQ3qV/sVqysgnMt4oPLbBzWrjHyTBl&#10;segJasMiI9dB/QNlFA8OXB1H3JmiJ5IVQRaT8T1tXrbMy8wFpQZ/Eh3+Hyx/vt8GokRFceyWGRz4&#10;3bvb728/3t18+fbh9sfX98n+/IksklSdhxIz1nYbhhP4bUi8D3UwpNbKv8GdykogN3LIQh9PQstD&#10;JBwvF5OLyQxHwNE1n88fzxJ40aMkNB8gPpXOkGRUFGJgqmnj2lmLE3Whr8D2zyD2ib8SUrK2pKvo&#10;xWw6wwIMN7TGzUDTeGQJtsndgdNKXCmtUwaEZrfWgexZ2pL8DQ39FZaKbBi0fVx2pTBWtpKJJ1aQ&#10;ePSon8VnQ1MLRgpKtMRXlqwcGZnS50SiFtqiJEnwXuJk7Zw4ZuXzPW5EFm3Y3rRyf55z9u8Xu/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luxVdYAAAAJAQAADwAAAAAAAAABACAAAAAiAAAAZHJz&#10;L2Rvd25yZXYueG1sUEsBAhQAFAAAAAgAh07iQH+p1E4GAgAA+QMAAA4AAAAAAAAAAQAgAAAAJQ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（3）承包人可代为调剂串换的材料：</w:t>
      </w:r>
      <w:r>
        <w:rPr>
          <w:rFonts w:hint="eastAsia" w:ascii="宋体" w:hAnsi="宋体" w:eastAsia="宋体" w:cs="宋体"/>
          <w:color w:val="000000"/>
          <w:kern w:val="0"/>
          <w:sz w:val="24"/>
          <w:szCs w:val="24"/>
        </w:rPr>
        <w:t xml:space="preserve">              </w:t>
      </w:r>
    </w:p>
    <w:p w14:paraId="4DF567DE">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（4）到货地点与一览表不符：</w:t>
      </w:r>
      <w:r>
        <w:rPr>
          <w:rFonts w:hint="eastAsia" w:ascii="宋体" w:hAnsi="宋体" w:eastAsia="宋体" w:cs="宋体"/>
          <w:color w:val="000000"/>
          <w:kern w:val="0"/>
          <w:sz w:val="24"/>
          <w:szCs w:val="24"/>
          <w:u w:val="thick"/>
        </w:rPr>
        <w:t>发包人负责运至一览表指定地点；</w:t>
      </w:r>
    </w:p>
    <w:p w14:paraId="45D8C50D">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（5）供应数量与一览表不符：</w:t>
      </w:r>
      <w:r>
        <w:rPr>
          <w:rFonts w:hint="eastAsia" w:ascii="宋体" w:hAnsi="宋体" w:eastAsia="宋体" w:cs="宋体"/>
          <w:color w:val="000000"/>
          <w:kern w:val="0"/>
          <w:sz w:val="24"/>
          <w:szCs w:val="24"/>
        </w:rPr>
        <w:t>由发包人补齐，多于一览表约定数量时，发包人负责将多出部分运出施工场地；</w:t>
      </w:r>
    </w:p>
    <w:p w14:paraId="74879669">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（6）到货时间与一览表不符：</w:t>
      </w:r>
      <w:r>
        <w:rPr>
          <w:rFonts w:hint="eastAsia" w:ascii="宋体" w:hAnsi="宋体" w:eastAsia="宋体" w:cs="宋体"/>
          <w:color w:val="000000"/>
          <w:kern w:val="0"/>
          <w:sz w:val="24"/>
          <w:szCs w:val="24"/>
          <w:u w:val="thick"/>
        </w:rPr>
        <w:t>由发包人承担因此发生的保管费用；到货时间迟于一览表约定的供应时间，发包人赔偿由此造成的承包人损失，造成工期延误的，相应顺延工期；</w:t>
      </w:r>
    </w:p>
    <w:p w14:paraId="153C8AFB">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72576" behindDoc="0" locked="0" layoutInCell="1" allowOverlap="1">
                <wp:simplePos x="0" y="0"/>
                <wp:positionH relativeFrom="column">
                  <wp:posOffset>2710180</wp:posOffset>
                </wp:positionH>
                <wp:positionV relativeFrom="paragraph">
                  <wp:posOffset>104140</wp:posOffset>
                </wp:positionV>
                <wp:extent cx="819150" cy="66675"/>
                <wp:effectExtent l="635" t="4445" r="3175" b="5080"/>
                <wp:wrapNone/>
                <wp:docPr id="15" name="直接箭头连接符 15"/>
                <wp:cNvGraphicFramePr/>
                <a:graphic xmlns:a="http://schemas.openxmlformats.org/drawingml/2006/main">
                  <a:graphicData uri="http://schemas.microsoft.com/office/word/2010/wordprocessingShape">
                    <wps:wsp>
                      <wps:cNvCnPr/>
                      <wps:spPr>
                        <a:xfrm flipV="1">
                          <a:off x="0" y="0"/>
                          <a:ext cx="819150" cy="66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3.4pt;margin-top:8.2pt;height:5.25pt;width:64.5pt;z-index:251672576;mso-width-relative:page;mso-height-relative:page;" filled="f" stroked="t" coordsize="21600,21600" o:gfxdata="UEsDBAoAAAAAAIdO4kAAAAAAAAAAAAAAAAAEAAAAZHJzL1BLAwQUAAAACACHTuJA1FW7GdcAAAAJ&#10;AQAADwAAAGRycy9kb3ducmV2LnhtbE2PwU7DMBBE70j8g7VI3KjTKDElxOkBCcQBRaLA3Y2XJBCv&#10;Q+wm7d+znOhxdkYzb8vt0Q1ixin0njSsVwkIpMbbnloN72+PNxsQIRqyZvCEGk4YYFtdXpSmsH6h&#10;V5x3sRVcQqEwGroYx0LK0HToTFj5EYm9Tz85E1lOrbSTWbjcDTJNEiWd6YkXOjPiQ4fN9+7gNPzQ&#10;7ekjk/Pmq66jenp+aQnrRevrq3VyDyLiMf6H4Q+f0aFipr0/kA1i0JClitEjGyoDwYE8z/mw15Cq&#10;O5BVKc8/qH4BUEsDBBQAAAAIAIdO4kC9bQh8CAIAAPsDAAAOAAAAZHJzL2Uyb0RvYy54bWytU0uO&#10;EzEQ3SNxB8t70kmkhJlWOrNIGDYIIvHZO/50W/JPLk86uQQXQGIFrGBWs+c0MByDsjsEGDazoBet&#10;ssv1qt7z8+Jibw3ZyQjau4ZORmNKpONeaNc29PWry0dnlEBiTjDjnWzoQQK9WD58sOhDLae+80bI&#10;SBDEQd2HhnYphbqqgHfSMhj5IB0mlY+WJVzGthKR9YhuTTUdj+dV76MI0XMJgLvrIUmPiPE+gF4p&#10;zeXa8ysrXRpQozQsISXodAC6LNMqJXl6oRTIRExDkWkqf2yC8Tb/q+WC1W1kodP8OAK7zwh3OFmm&#10;HTY9Qa1ZYuQq6n+grObRg1dpxL2tBiJFEWQxGd/R5mXHgixcUGoIJ9Hh/8Hy57tNJFqgE2aUOGbx&#10;xm/f3Xx/+/H2+su3Dzc/vr7P8edPBPMoVh+gxpqV28TjCsImZuZ7FS1RRoc3iFW0QHZkX6Q+nKSW&#10;+0Q4bp5NziczvASOqfl8/riAVwNKRgsR0lPpLclBQyFFptsurbxzeKc+Dh3Y7hkknAMLfxXkYuNI&#10;39Dz2RQpcYYeVegNDG1AnuDaMh14o8WlNiZXQGy3KxPJjmWflC+zRdy/juUmawbdcK6kBgd1kokn&#10;TpB0CCigw4dD8whWCkqMxHeWIwRkdWLa3OcktjYOJ8iCDxLnaOvFoShf9tETZcajf7Pp/lyX6t9v&#10;dv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FW7GdcAAAAJAQAADwAAAAAAAAABACAAAAAiAAAA&#10;ZHJzL2Rvd25yZXYueG1sUEsBAhQAFAAAAAgAh07iQL1tCHwIAgAA+wMAAA4AAAAAAAAAAQAgAAAA&#10;JgEAAGRycy9lMm9Eb2MueG1sUEsFBgAAAAAGAAYAWQEAAKA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19.2发包人供应材料设备的结算方法：</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 xml:space="preserve"> 。</w:t>
      </w:r>
    </w:p>
    <w:p w14:paraId="04272611">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20、承包人采购材料设备</w:t>
      </w:r>
    </w:p>
    <w:p w14:paraId="3C8DB07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20.1承包人采购材料设备的约定：</w:t>
      </w:r>
      <w:r>
        <w:rPr>
          <w:rFonts w:hint="eastAsia" w:ascii="宋体" w:hAnsi="宋体" w:eastAsia="宋体" w:cs="宋体"/>
          <w:color w:val="000000"/>
          <w:sz w:val="24"/>
          <w:szCs w:val="24"/>
          <w:u w:val="thick"/>
        </w:rPr>
        <w:t>由发包人指定价的材料设备须经发包人认质认价后方可采购，同时执行《通用条款》第32条；钢材为八大钢厂产品。</w:t>
      </w:r>
    </w:p>
    <w:p w14:paraId="727FEC85">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八、工程变更</w:t>
      </w:r>
    </w:p>
    <w:p w14:paraId="22692991">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21、确定变更价格：</w:t>
      </w:r>
    </w:p>
    <w:p w14:paraId="0EBA8244">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21.1本工程除施工图纸发生变更、发包人下达的变更通知、经发包人认可的由监理工程师发出的变更指令、发包人指定价材料认质认价单以及不可抗力事件发生的现场签证或洽商文件外，不再发生变更费用，如承包人更改施工方法，而引起费用增加时，其费用概由承包人负责。</w:t>
      </w:r>
    </w:p>
    <w:p w14:paraId="4B148C44">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21.2清单中未列项目的零星工程发生时，工程量以实际签证量为准，单价若合同中没有相同或相似价格时，按</w:t>
      </w:r>
      <w:r>
        <w:rPr>
          <w:rFonts w:hint="eastAsia" w:ascii="宋体" w:hAnsi="宋体" w:eastAsia="宋体" w:cs="宋体"/>
          <w:color w:val="000000"/>
          <w:sz w:val="24"/>
          <w:szCs w:val="24"/>
          <w:u w:val="none"/>
          <w:lang w:eastAsia="zh-CN"/>
        </w:rPr>
        <w:t>磋商文件</w:t>
      </w:r>
      <w:r>
        <w:rPr>
          <w:rFonts w:hint="eastAsia" w:ascii="宋体" w:hAnsi="宋体" w:eastAsia="宋体" w:cs="宋体"/>
          <w:color w:val="000000"/>
          <w:sz w:val="24"/>
          <w:szCs w:val="24"/>
          <w:u w:val="none"/>
        </w:rPr>
        <w:t>编制标底综合单价的原则计价，并按原中标价同原标底价相比下浮相同比例后确定结算单价。其余情况执行《通用条款》第31条有关条款。</w:t>
      </w:r>
    </w:p>
    <w:p w14:paraId="2D5BD01F">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21.3确定变更价款：</w:t>
      </w:r>
    </w:p>
    <w:p w14:paraId="725313C4">
      <w:pPr>
        <w:keepNext w:val="0"/>
        <w:keepLines w:val="0"/>
        <w:pageBreakBefore w:val="0"/>
        <w:widowControl w:val="0"/>
        <w:wordWrap/>
        <w:overflowPunct/>
        <w:topLinePunct w:val="0"/>
        <w:bidi w:val="0"/>
        <w:spacing w:line="36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    在本工程施工过程中，若发生设计变更，承包人在工程变更确定后14天内，提出变更工程价款的报告，逾期不承担。</w:t>
      </w:r>
    </w:p>
    <w:p w14:paraId="6603416D">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九、竣工验收与结算</w:t>
      </w:r>
    </w:p>
    <w:p w14:paraId="7020281A">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22.1承包人提供竣工图的约定：</w:t>
      </w:r>
      <w:r>
        <w:rPr>
          <w:rFonts w:hint="eastAsia" w:ascii="宋体" w:hAnsi="宋体" w:eastAsia="宋体" w:cs="宋体"/>
          <w:color w:val="000000"/>
          <w:spacing w:val="1"/>
          <w:kern w:val="0"/>
          <w:sz w:val="24"/>
          <w:szCs w:val="24"/>
          <w:u w:val="thick"/>
        </w:rPr>
        <w:t>竣工验收后一个月内，交竣工图及工程全部竣工资料文件三套。</w:t>
      </w:r>
    </w:p>
    <w:p w14:paraId="5575E745">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22.2中间交工工程的范围和竣工时间：</w:t>
      </w:r>
    </w:p>
    <w:p w14:paraId="678ACEBD">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23、竣工结算</w:t>
      </w:r>
    </w:p>
    <w:p w14:paraId="4B7A3120">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承包人提交竣工结算申请单的期限：</w:t>
      </w:r>
      <w:r>
        <w:rPr>
          <w:rFonts w:hint="eastAsia" w:ascii="宋体" w:hAnsi="宋体" w:eastAsia="宋体" w:cs="宋体"/>
          <w:color w:val="000000"/>
          <w:sz w:val="24"/>
          <w:szCs w:val="24"/>
          <w:highlight w:val="none"/>
          <w:u w:val="single"/>
        </w:rPr>
        <w:t xml:space="preserve"> 工程竣工验收合格后30天内</w:t>
      </w:r>
      <w:r>
        <w:rPr>
          <w:rFonts w:hint="eastAsia" w:ascii="宋体" w:hAnsi="宋体" w:eastAsia="宋体" w:cs="宋体"/>
          <w:color w:val="000000"/>
          <w:sz w:val="24"/>
          <w:szCs w:val="24"/>
          <w:highlight w:val="none"/>
        </w:rPr>
        <w:t>。</w:t>
      </w:r>
    </w:p>
    <w:p w14:paraId="0A5B4944">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竣工结算申请单应包括的内容：</w:t>
      </w:r>
      <w:r>
        <w:rPr>
          <w:rFonts w:hint="eastAsia" w:ascii="宋体" w:hAnsi="宋体" w:eastAsia="宋体" w:cs="宋体"/>
          <w:color w:val="000000"/>
          <w:sz w:val="24"/>
          <w:szCs w:val="24"/>
          <w:highlight w:val="none"/>
          <w:u w:val="single"/>
        </w:rPr>
        <w:t>按照本项目工程资料整编内容及《建设工程资料整编规范》的要求向发包人提供叁套完整竣工资料</w:t>
      </w:r>
      <w:r>
        <w:rPr>
          <w:rFonts w:hint="eastAsia" w:ascii="宋体" w:hAnsi="宋体" w:eastAsia="宋体" w:cs="宋体"/>
          <w:color w:val="000000"/>
          <w:sz w:val="24"/>
          <w:szCs w:val="24"/>
          <w:highlight w:val="none"/>
        </w:rPr>
        <w:t>。</w:t>
      </w:r>
    </w:p>
    <w:p w14:paraId="065395DA">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竣工结算审核</w:t>
      </w:r>
    </w:p>
    <w:p w14:paraId="595F10F4">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发包人审批竣工付款申请单的期限：</w:t>
      </w:r>
      <w:r>
        <w:rPr>
          <w:rFonts w:hint="eastAsia" w:ascii="宋体" w:hAnsi="宋体" w:eastAsia="宋体" w:cs="宋体"/>
          <w:color w:val="000000"/>
          <w:sz w:val="24"/>
          <w:szCs w:val="24"/>
          <w:highlight w:val="none"/>
          <w:u w:val="single"/>
        </w:rPr>
        <w:t>以接到竣工结算报告和完整的竣工结算资料之日起20个工作日内</w:t>
      </w:r>
      <w:r>
        <w:rPr>
          <w:rFonts w:hint="eastAsia" w:ascii="宋体" w:hAnsi="宋体" w:eastAsia="宋体" w:cs="宋体"/>
          <w:color w:val="000000"/>
          <w:sz w:val="24"/>
          <w:szCs w:val="24"/>
          <w:highlight w:val="none"/>
        </w:rPr>
        <w:t>。</w:t>
      </w:r>
    </w:p>
    <w:p w14:paraId="4BDC302D">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发包人完成竣工付款的期限：</w:t>
      </w:r>
      <w:r>
        <w:rPr>
          <w:rFonts w:hint="eastAsia" w:ascii="宋体" w:hAnsi="宋体" w:eastAsia="宋体" w:cs="宋体"/>
          <w:color w:val="000000"/>
          <w:sz w:val="24"/>
          <w:szCs w:val="24"/>
          <w:highlight w:val="none"/>
          <w:u w:val="single"/>
        </w:rPr>
        <w:t xml:space="preserve"> 竣工结算审核完成后14日内</w:t>
      </w:r>
      <w:r>
        <w:rPr>
          <w:rFonts w:hint="eastAsia" w:ascii="宋体" w:hAnsi="宋体" w:eastAsia="宋体" w:cs="宋体"/>
          <w:color w:val="000000"/>
          <w:sz w:val="24"/>
          <w:szCs w:val="24"/>
          <w:highlight w:val="none"/>
        </w:rPr>
        <w:t>。</w:t>
      </w:r>
    </w:p>
    <w:p w14:paraId="7BB0D7A7">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关于竣工付款证书异议部分复核的方式和程序：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14:paraId="61ADB5D2">
      <w:pPr>
        <w:keepNext w:val="0"/>
        <w:keepLines w:val="0"/>
        <w:pageBreakBefore w:val="0"/>
        <w:widowControl w:val="0"/>
        <w:kinsoku/>
        <w:wordWrap/>
        <w:overflowPunct/>
        <w:topLinePunct w:val="0"/>
        <w:bidi w:val="0"/>
        <w:snapToGrid/>
        <w:spacing w:after="120" w:line="360" w:lineRule="auto"/>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最终结清</w:t>
      </w:r>
    </w:p>
    <w:p w14:paraId="151E825C">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最终结清申请单</w:t>
      </w:r>
    </w:p>
    <w:p w14:paraId="2EF8BDCF">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sz w:val="24"/>
          <w:szCs w:val="24"/>
          <w:highlight w:val="none"/>
          <w:u w:val="single"/>
        </w:rPr>
        <w:t xml:space="preserve">     叁份    </w:t>
      </w:r>
      <w:r>
        <w:rPr>
          <w:rFonts w:hint="eastAsia" w:ascii="宋体" w:hAnsi="宋体" w:eastAsia="宋体" w:cs="宋体"/>
          <w:color w:val="000000"/>
          <w:sz w:val="24"/>
          <w:szCs w:val="24"/>
          <w:highlight w:val="none"/>
        </w:rPr>
        <w:t>。</w:t>
      </w:r>
    </w:p>
    <w:p w14:paraId="5CADA2A2">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sz w:val="24"/>
          <w:szCs w:val="24"/>
          <w:highlight w:val="none"/>
          <w:u w:val="single"/>
        </w:rPr>
        <w:t>承包人应在缺陷责任期终止后7天内</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 xml:space="preserve"> </w:t>
      </w:r>
    </w:p>
    <w:p w14:paraId="430F8D9E">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最终结清证书和支付</w:t>
      </w:r>
    </w:p>
    <w:p w14:paraId="4AC172A0">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4"/>
          <w:highlight w:val="none"/>
          <w:u w:val="single"/>
        </w:rPr>
        <w:t>发包人应在收到承包人提交的最终结清申请单后14天内</w:t>
      </w:r>
      <w:r>
        <w:rPr>
          <w:rFonts w:hint="eastAsia" w:ascii="宋体" w:hAnsi="宋体" w:eastAsia="宋体" w:cs="宋体"/>
          <w:color w:val="000000"/>
          <w:sz w:val="24"/>
          <w:szCs w:val="24"/>
          <w:highlight w:val="none"/>
        </w:rPr>
        <w:t>。</w:t>
      </w:r>
    </w:p>
    <w:p w14:paraId="613047EE">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（2）发包人完成支付的期限：</w:t>
      </w:r>
      <w:r>
        <w:rPr>
          <w:rFonts w:hint="eastAsia" w:ascii="宋体" w:hAnsi="宋体" w:eastAsia="宋体" w:cs="宋体"/>
          <w:color w:val="000000"/>
          <w:sz w:val="24"/>
          <w:szCs w:val="24"/>
          <w:highlight w:val="none"/>
          <w:u w:val="single"/>
        </w:rPr>
        <w:t>发包人应在颁发最终结清证书后7天内完成支付</w:t>
      </w:r>
      <w:r>
        <w:rPr>
          <w:rFonts w:hint="eastAsia" w:ascii="宋体" w:hAnsi="宋体" w:eastAsia="宋体" w:cs="宋体"/>
          <w:color w:val="000000"/>
          <w:sz w:val="24"/>
          <w:szCs w:val="24"/>
          <w:highlight w:val="none"/>
        </w:rPr>
        <w:t>。</w:t>
      </w:r>
    </w:p>
    <w:p w14:paraId="6820362E">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十、违约、索赔和争议</w:t>
      </w:r>
    </w:p>
    <w:p w14:paraId="76E6A417">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24、违约</w:t>
      </w:r>
    </w:p>
    <w:p w14:paraId="3A5CACFC">
      <w:pPr>
        <w:keepNext w:val="0"/>
        <w:keepLines w:val="0"/>
        <w:pageBreakBefore w:val="0"/>
        <w:widowControl w:val="0"/>
        <w:wordWrap/>
        <w:overflowPunct/>
        <w:topLinePunct w:val="0"/>
        <w:bidi w:val="0"/>
        <w:spacing w:line="360" w:lineRule="auto"/>
        <w:ind w:firstLine="448" w:firstLineChars="200"/>
        <w:rPr>
          <w:rFonts w:hint="eastAsia" w:ascii="宋体" w:hAnsi="宋体" w:eastAsia="宋体" w:cs="宋体"/>
          <w:color w:val="000000"/>
          <w:spacing w:val="-8"/>
          <w:kern w:val="0"/>
          <w:sz w:val="24"/>
          <w:szCs w:val="24"/>
          <w:u w:val="none"/>
        </w:rPr>
      </w:pPr>
      <w:r>
        <w:rPr>
          <w:rFonts w:hint="eastAsia" w:ascii="宋体" w:hAnsi="宋体" w:eastAsia="宋体" w:cs="宋体"/>
          <w:color w:val="000000"/>
          <w:spacing w:val="-8"/>
          <w:kern w:val="0"/>
          <w:sz w:val="24"/>
          <w:szCs w:val="24"/>
          <w:u w:val="none"/>
        </w:rPr>
        <w:t>24.1本合同中关于发包人违约的具体责任如下：</w:t>
      </w:r>
    </w:p>
    <w:p w14:paraId="681C22DF">
      <w:pPr>
        <w:keepNext w:val="0"/>
        <w:keepLines w:val="0"/>
        <w:pageBreakBefore w:val="0"/>
        <w:widowControl w:val="0"/>
        <w:wordWrap/>
        <w:overflowPunct/>
        <w:topLinePunct w:val="0"/>
        <w:bidi w:val="0"/>
        <w:spacing w:line="360" w:lineRule="auto"/>
        <w:ind w:firstLine="448" w:firstLineChars="200"/>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u w:val="none"/>
        </w:rPr>
        <w:t>本合同通用条款第28.1条约定发包人违约应承担的违约责任：</w:t>
      </w:r>
      <w:r>
        <w:rPr>
          <w:rFonts w:hint="eastAsia" w:ascii="宋体" w:hAnsi="宋体" w:eastAsia="宋体" w:cs="宋体"/>
          <w:color w:val="000000"/>
          <w:spacing w:val="-8"/>
          <w:sz w:val="24"/>
          <w:szCs w:val="24"/>
          <w:u w:val="thick"/>
        </w:rPr>
        <w:t>执行《通用条款》第39.1条。</w:t>
      </w:r>
    </w:p>
    <w:p w14:paraId="516D0D18">
      <w:pPr>
        <w:keepNext w:val="0"/>
        <w:keepLines w:val="0"/>
        <w:pageBreakBefore w:val="0"/>
        <w:widowControl w:val="0"/>
        <w:wordWrap/>
        <w:overflowPunct/>
        <w:topLinePunct w:val="0"/>
        <w:bidi w:val="0"/>
        <w:spacing w:line="360" w:lineRule="auto"/>
        <w:ind w:firstLine="448" w:firstLineChars="200"/>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u w:val="none"/>
        </w:rPr>
        <w:t>本合同通用条款第30.5款约定发包人违约应承担的违约责任：</w:t>
      </w:r>
      <w:r>
        <w:rPr>
          <w:rFonts w:hint="eastAsia" w:ascii="宋体" w:hAnsi="宋体" w:eastAsia="宋体" w:cs="宋体"/>
          <w:color w:val="000000"/>
          <w:spacing w:val="-8"/>
          <w:sz w:val="24"/>
          <w:szCs w:val="24"/>
          <w:u w:val="thick"/>
        </w:rPr>
        <w:t>执行《通用条款》第39.1条。</w:t>
      </w:r>
    </w:p>
    <w:p w14:paraId="126CA703">
      <w:pPr>
        <w:keepNext w:val="0"/>
        <w:keepLines w:val="0"/>
        <w:pageBreakBefore w:val="0"/>
        <w:widowControl w:val="0"/>
        <w:wordWrap/>
        <w:overflowPunct/>
        <w:topLinePunct w:val="0"/>
        <w:bidi w:val="0"/>
        <w:spacing w:line="360" w:lineRule="auto"/>
        <w:ind w:firstLine="448" w:firstLineChars="200"/>
        <w:rPr>
          <w:rFonts w:hint="eastAsia" w:ascii="宋体" w:hAnsi="宋体" w:eastAsia="宋体" w:cs="宋体"/>
          <w:color w:val="000000"/>
          <w:spacing w:val="-8"/>
          <w:sz w:val="24"/>
          <w:szCs w:val="24"/>
          <w:u w:val="thick"/>
        </w:rPr>
      </w:pPr>
      <w:r>
        <w:rPr>
          <w:rFonts w:hint="eastAsia" w:ascii="宋体" w:hAnsi="宋体" w:eastAsia="宋体" w:cs="宋体"/>
          <w:color w:val="000000"/>
          <w:spacing w:val="-8"/>
          <w:kern w:val="0"/>
          <w:sz w:val="24"/>
          <w:szCs w:val="24"/>
          <w:u w:val="none"/>
        </w:rPr>
        <w:t>本合同通用条款第37.6款约定发包人违约应承担的违约责任：</w:t>
      </w:r>
      <w:r>
        <w:rPr>
          <w:rFonts w:hint="eastAsia" w:ascii="宋体" w:hAnsi="宋体" w:eastAsia="宋体" w:cs="宋体"/>
          <w:color w:val="000000"/>
          <w:spacing w:val="-8"/>
          <w:sz w:val="24"/>
          <w:szCs w:val="24"/>
          <w:u w:val="thick"/>
        </w:rPr>
        <w:t>执行《通用条款》第39.1条。</w:t>
      </w:r>
    </w:p>
    <w:p w14:paraId="46B2AB97">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70528" behindDoc="0" locked="0" layoutInCell="1" allowOverlap="1">
                <wp:simplePos x="0" y="0"/>
                <wp:positionH relativeFrom="column">
                  <wp:posOffset>2707005</wp:posOffset>
                </wp:positionH>
                <wp:positionV relativeFrom="paragraph">
                  <wp:posOffset>76200</wp:posOffset>
                </wp:positionV>
                <wp:extent cx="914400" cy="66675"/>
                <wp:effectExtent l="635" t="4445" r="14605" b="5080"/>
                <wp:wrapNone/>
                <wp:docPr id="9" name="直接箭头连接符 9"/>
                <wp:cNvGraphicFramePr/>
                <a:graphic xmlns:a="http://schemas.openxmlformats.org/drawingml/2006/main">
                  <a:graphicData uri="http://schemas.microsoft.com/office/word/2010/wordprocessingShape">
                    <wps:wsp>
                      <wps:cNvCnPr/>
                      <wps:spPr>
                        <a:xfrm flipV="1">
                          <a:off x="0" y="0"/>
                          <a:ext cx="914400" cy="66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3.15pt;margin-top:6pt;height:5.25pt;width:72pt;z-index:251670528;mso-width-relative:page;mso-height-relative:page;" filled="f" stroked="t" coordsize="21600,21600" o:gfxdata="UEsDBAoAAAAAAIdO4kAAAAAAAAAAAAAAAAAEAAAAZHJzL1BLAwQUAAAACACHTuJAXW2vpdYAAAAJ&#10;AQAADwAAAGRycy9kb3ducmV2LnhtbE2PwU7DMBBE70j8g7VI3Khd06ZViNMDEogDikSBuxsvSSBe&#10;h9hN2r9nOcFxZ55mZ4rdyfdiwjF2gQwsFwoEUh1cR42Bt9eHmy2ImCw52wdCA2eMsCsvLwqbuzDT&#10;C0771AgOoZhbA21KQy5lrFv0Ni7CgMTeRxi9TXyOjXSjnTnc91IrlUlvO+IPrR3wvsX6a3/0Br5p&#10;c35fyWn7WVUpe3x6bgir2Zjrq6W6A5HwlP5g+K3P1aHkTodwJBdFb2Cls1tG2dC8iYH1RrFwMKD1&#10;GmRZyP8Lyh9QSwMEFAAAAAgAh07iQOvgScoFAgAA+QMAAA4AAABkcnMvZTJvRG9jLnhtbK1TvY4T&#10;MRDukXgHyz3ZTXQJZJXNFQlHgyASP71je3ct+U8eXzZ5CV4AiQqogOp6ngaOx2DsDQGOJgUurLFn&#10;5pv5Po8Xl3ujyU4GUM7WdDwqKZGWO6FsW9NXL68ePKIEIrOCaWdlTQ8S6OXy/r1F7ys5cZ3TQgaC&#10;IBaq3te0i9FXRQG8k4bByHlp0dm4YFjEY2gLEViP6EYXk7KcFb0LwgfHJQDergcnPSKGcwBd0ygu&#10;145fG2njgBqkZhEpQac80GXutmkkj8+bBmQkuqbINOYdi6C9TXuxXLCqDcx3ih9bYOe0cIeTYcpi&#10;0RPUmkVGroP6B8ooHhy4Jo64M8VAJCuCLMblHW1edMzLzAWlBn8SHf4fLH+22wSiRE3nlFhm8MFv&#10;3958f/Ph9svnb+9vfnx9l+xPH8k8SdV7qDBjZTfheAK/CYn3vgmGNFr51zhTWQnkRvZZ6MNJaLmP&#10;hOPlfHxxUeITcHTNZrOH0wReDCgJzQeIT6QzJBk1hRiYaru4ctbii7owVGC7pxCHxF8JKVlb0mOJ&#10;6WSKBRhOaIOTgabxyBJsm7sDp5W4UlqnDAjtdqUD2bE0JXkdG/orLBVZM+iGuOxKYazqJBOPrSDx&#10;4FE/i9+GphaMFJRoib8sWTkyMqXPiUQttEVJkuCDxMnaOnHIyud7nIgs2nF608j9ec7Zv3/s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ba+l1gAAAAkBAAAPAAAAAAAAAAEAIAAAACIAAABkcnMv&#10;ZG93bnJldi54bWxQSwECFAAUAAAACACHTuJA6+BJygUCAAD5AwAADgAAAAAAAAABACAAAAAlAQAA&#10;ZHJzL2Uyb0RvYy54bWxQSwUGAAAAAAYABgBZAQAAnAU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双方约定的发包人其他违约责任：               </w:t>
      </w:r>
    </w:p>
    <w:p w14:paraId="31C71F01">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7456" behindDoc="0" locked="0" layoutInCell="1" allowOverlap="1">
                <wp:simplePos x="0" y="0"/>
                <wp:positionH relativeFrom="column">
                  <wp:posOffset>3611880</wp:posOffset>
                </wp:positionH>
                <wp:positionV relativeFrom="paragraph">
                  <wp:posOffset>96520</wp:posOffset>
                </wp:positionV>
                <wp:extent cx="914400" cy="66675"/>
                <wp:effectExtent l="635" t="4445" r="14605" b="5080"/>
                <wp:wrapNone/>
                <wp:docPr id="12" name="直接箭头连接符 12"/>
                <wp:cNvGraphicFramePr/>
                <a:graphic xmlns:a="http://schemas.openxmlformats.org/drawingml/2006/main">
                  <a:graphicData uri="http://schemas.microsoft.com/office/word/2010/wordprocessingShape">
                    <wps:wsp>
                      <wps:cNvCnPr/>
                      <wps:spPr>
                        <a:xfrm flipV="1">
                          <a:off x="0" y="0"/>
                          <a:ext cx="914400" cy="66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84.4pt;margin-top:7.6pt;height:5.25pt;width:72pt;z-index:251667456;mso-width-relative:page;mso-height-relative:page;" filled="f" stroked="t" coordsize="21600,21600" o:gfxdata="UEsDBAoAAAAAAIdO4kAAAAAAAAAAAAAAAAAEAAAAZHJzL1BLAwQUAAAACACHTuJAY142tNcAAAAJ&#10;AQAADwAAAGRycy9kb3ducmV2LnhtbE2PzU7DMBCE70i8g7VI3KiTiPwoxOkBCcQBRaLA3Y23SUq8&#10;DrGbtG/PcoLj7Ixmvq22ZzuKBWc/OFIQbyIQSK0zA3UKPt6f7goQPmgyenSECi7oYVtfX1W6NG6l&#10;N1x2oRNcQr7UCvoQplJK3/Zotd+4CYm9g5utDiznTppZr1xuR5lEUSatHogXej3hY4/t1+5kFXxT&#10;fvm8l0txbJqQPb+8doTNqtTtTRw9gAh4Dn9h+MVndKiZae9OZLwYFaRZweiBjTQBwYE8TviwV5Ck&#10;Oci6kv8/qH8AUEsDBBQAAAAIAIdO4kAK8ziyBQIAAPsDAAAOAAAAZHJzL2Uyb0RvYy54bWytU72O&#10;EzEQ7pF4B8s92SS6BFhlc0XC0SA4iZ/e8c+uJf/J48smL8ELIFEBFUd1PU8Dx2Mw9oYAR5MCF9bY&#10;M/PNfJ/Hi/OdNWQrI2jvGjoZjSmRjnuhXdvQ168uHjyiBBJzghnvZEP3Euj58v69RR9qOfWdN0JG&#10;giAO6j40tEsp1FUFvJOWwcgH6dCpfLQs4TG2lYisR3Rrqul4PK96H0WInksAvF0PTnpAjKcAeqU0&#10;l2vPr6x0aUCN0rCElKDTAeiydKuU5OmFUiATMQ1FpqnsWATtTd6r5YLVbWSh0/zQAjulhTucLNMO&#10;ix6h1iwxchX1P1BW8+jBqzTi3lYDkaIIspiM72jzsmNBFi4oNYSj6PD/YPnz7WUkWuAkTClxzOKL&#10;3767+f724+2X628fbn58fZ/tz58I+lGsPkCNOSt3GQ8nCJcxM9+paIkyOrxBrKIFsiO7IvX+KLXc&#10;JcLx8vHk7GyMj8DRNZ/PH84yeDWgZLQQIT2V3pJsNBRSZLrt0so7h2/q41CBbZ9BGhJ/JeRk40iP&#10;JWbTGRZgOKMKZwNNG5AnuLZ0B95ocaGNyRkQ283KRLJleU7KOjT0V1gusmbQDXHFlcNY3UkmnjhB&#10;0j6ggA4/Ds0tWCkoMRL/WbZKZGLanBKJWhiHkmTBB4mztfFiX5Qv9zgTRbTD/Oah+/Ncsn//2e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142tNcAAAAJAQAADwAAAAAAAAABACAAAAAiAAAAZHJz&#10;L2Rvd25yZXYueG1sUEsBAhQAFAAAAAgAh07iQArzOLIFAgAA+w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24.2本合同中关于承包人违约的具体责任如下：</w:t>
      </w:r>
    </w:p>
    <w:p w14:paraId="3E19A57D">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本合同通用条款第14.2款约定承包人违约承担的违约责任</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spacing w:val="1"/>
          <w:kern w:val="0"/>
          <w:sz w:val="24"/>
          <w:szCs w:val="24"/>
          <w:u w:val="thick"/>
        </w:rPr>
        <w:t>承包方工期每拖后一天按2000元处罚，赔偿限额为合同价的2%。</w:t>
      </w:r>
    </w:p>
    <w:p w14:paraId="267D216A">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本合同通用条款第15.1款约定承包人违约应承担的违约责任：</w:t>
      </w:r>
      <w:r>
        <w:rPr>
          <w:rFonts w:hint="eastAsia" w:ascii="宋体" w:hAnsi="宋体" w:eastAsia="宋体" w:cs="宋体"/>
          <w:color w:val="000000"/>
          <w:spacing w:val="1"/>
          <w:kern w:val="0"/>
          <w:sz w:val="24"/>
          <w:szCs w:val="24"/>
          <w:u w:val="thick"/>
        </w:rPr>
        <w:t>承包方按合同价的2%承担违约金外，另按国务院279号</w:t>
      </w:r>
      <w:r>
        <w:rPr>
          <w:rFonts w:hint="eastAsia" w:ascii="宋体" w:hAnsi="宋体" w:eastAsia="宋体" w:cs="宋体"/>
          <w:color w:val="000000"/>
          <w:sz w:val="24"/>
          <w:szCs w:val="24"/>
          <w:u w:val="thick"/>
        </w:rPr>
        <w:t>令《建设工程质量管理条例》</w:t>
      </w:r>
      <w:r>
        <w:rPr>
          <w:rFonts w:hint="eastAsia" w:ascii="宋体" w:hAnsi="宋体" w:eastAsia="宋体" w:cs="宋体"/>
          <w:color w:val="000000"/>
          <w:spacing w:val="1"/>
          <w:kern w:val="0"/>
          <w:sz w:val="24"/>
          <w:szCs w:val="24"/>
          <w:u w:val="thick"/>
        </w:rPr>
        <w:t>有关规定处理。</w:t>
      </w:r>
    </w:p>
    <w:p w14:paraId="1672F6A0">
      <w:pPr>
        <w:keepNext w:val="0"/>
        <w:keepLines w:val="0"/>
        <w:pageBreakBefore w:val="0"/>
        <w:widowControl w:val="0"/>
        <w:wordWrap/>
        <w:overflowPunct/>
        <w:topLinePunct w:val="0"/>
        <w:bidi w:val="0"/>
        <w:spacing w:line="360" w:lineRule="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6432" behindDoc="0" locked="0" layoutInCell="1" allowOverlap="1">
                <wp:simplePos x="0" y="0"/>
                <wp:positionH relativeFrom="column">
                  <wp:posOffset>2707005</wp:posOffset>
                </wp:positionH>
                <wp:positionV relativeFrom="paragraph">
                  <wp:posOffset>77470</wp:posOffset>
                </wp:positionV>
                <wp:extent cx="914400" cy="66675"/>
                <wp:effectExtent l="635" t="4445" r="14605" b="5080"/>
                <wp:wrapNone/>
                <wp:docPr id="13" name="直接箭头连接符 13"/>
                <wp:cNvGraphicFramePr/>
                <a:graphic xmlns:a="http://schemas.openxmlformats.org/drawingml/2006/main">
                  <a:graphicData uri="http://schemas.microsoft.com/office/word/2010/wordprocessingShape">
                    <wps:wsp>
                      <wps:cNvCnPr/>
                      <wps:spPr>
                        <a:xfrm flipV="1">
                          <a:off x="0" y="0"/>
                          <a:ext cx="914400" cy="66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3.15pt;margin-top:6.1pt;height:5.25pt;width:72pt;z-index:251666432;mso-width-relative:page;mso-height-relative:page;" filled="f" stroked="t" coordsize="21600,21600" o:gfxdata="UEsDBAoAAAAAAIdO4kAAAAAAAAAAAAAAAAAEAAAAZHJzL1BLAwQUAAAACACHTuJAx8SLINYAAAAJ&#10;AQAADwAAAGRycy9kb3ducmV2LnhtbE2PwU7DMAyG70i8Q2QkbixdGO3UNd0BCcQBVWLAPWtM29E4&#10;pcna7e0xJ3a0/0+/Pxfbk+vFhGPoPGlYLhIQSLW3HTUaPt6f7tYgQjRkTe8JNZwxwLa8vipMbv1M&#10;bzjtYiO4hEJuNLQxDrmUoW7RmbDwAxJnX350JvI4NtKOZuZy10uVJKl0piO+0JoBH1usv3dHp+GH&#10;svPnSk7rQ1XF9PnltSGsZq1vb5bJBkTEU/yH4U+f1aFkp70/kg2i17BS6T2jHCgFgoGHLOHFXoNS&#10;GciykJcflL9QSwMEFAAAAAgAh07iQL4E7kQFAgAA+wMAAA4AAABkcnMvZTJvRG9jLnhtbK1TvY4T&#10;MRDukXgHyz3ZJFwCrLK5IuFoEJzET+/4Z9eS/+TxZZOX4AWQqIAKqK7naeB4DMbeEOBoUuDCGntm&#10;vpnv83hxvrOGbGUE7V1DJ6MxJdJxL7RrG/rq5cW9h5RAYk4w451s6F4CPV/evbPoQy2nvvNGyEgQ&#10;xEHdh4Z2KYW6qoB30jIY+SAdOpWPliU8xrYSkfWIbk01HY/nVe+jCNFzCYC368FJD4jxFECvlOZy&#10;7fmVlS4NqFEalpASdDoAXZZulZI8PVcKZCKmocg0lR2LoL3Je7VcsLqNLHSaH1pgp7Rwi5Nl2mHR&#10;I9SaJUauov4HymoePXiVRtzbaiBSFEEWk/EtbV50LMjCBaWGcBQd/h8sf7a9jEQLnIT7lDhm8cVv&#10;3l5/f/Ph5svnb++vf3x9l+1PHwn6Uaw+QI05K3cZDycIlzEz36loiTI6vEasogWyI7si9f4otdwl&#10;wvHy0eTsbIyPwNE1n88fzDJ4NaBktBAhPZHekmw0FFJkuu3SyjuHb+rjUIFtn0IaEn8l5GTjSI8l&#10;ZtMZFmA4owpnA00bkCe4tnQH3mhxoY3JGRDbzcpEsmV5Tso6NPRXWC6yZtANccWVw1jdSSYeO0HS&#10;PqCADj8OzS1YKSgxEv9ZtkpkYtqcEolaGIeSZMEHibO18WJflC/3OBNFtMP85qH781yyf//Z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xIsg1gAAAAkBAAAPAAAAAAAAAAEAIAAAACIAAABkcnMv&#10;ZG93bnJldi54bWxQSwECFAAUAAAACACHTuJAvgTuRAUCAAD7AwAADgAAAAAAAAABACAAAAAlAQAA&#10;ZHJzL2Uyb0RvYy54bWxQSwUGAAAAAAYABgBZAQAAnAU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    双方约定的承包人其他违约责任：</w:t>
      </w:r>
      <w:r>
        <w:rPr>
          <w:rFonts w:hint="eastAsia" w:ascii="宋体" w:hAnsi="宋体" w:eastAsia="宋体" w:cs="宋体"/>
          <w:color w:val="000000"/>
          <w:kern w:val="0"/>
          <w:sz w:val="24"/>
          <w:szCs w:val="24"/>
          <w:u w:val="single"/>
        </w:rPr>
        <w:t xml:space="preserve">               </w:t>
      </w:r>
    </w:p>
    <w:p w14:paraId="0ABD149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25、争议</w:t>
      </w:r>
    </w:p>
    <w:p w14:paraId="2BC14BF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25.1双方当事人约定，在履行合同过程中产生争议时：</w:t>
      </w:r>
    </w:p>
    <w:p w14:paraId="28CCABDB">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（1）</w:t>
      </w:r>
      <w:r>
        <w:rPr>
          <w:rFonts w:hint="eastAsia" w:ascii="宋体" w:hAnsi="宋体" w:eastAsia="宋体" w:cs="宋体"/>
          <w:color w:val="000000"/>
          <w:kern w:val="0"/>
          <w:sz w:val="24"/>
          <w:szCs w:val="24"/>
          <w:u w:val="thick"/>
        </w:rPr>
        <w:t>请</w:t>
      </w:r>
      <w:r>
        <w:rPr>
          <w:rFonts w:hint="eastAsia" w:ascii="宋体" w:hAnsi="宋体" w:eastAsia="宋体" w:cs="宋体"/>
          <w:color w:val="000000"/>
          <w:sz w:val="24"/>
          <w:szCs w:val="24"/>
          <w:u w:val="thick"/>
        </w:rPr>
        <w:t>合同主管部门和造价主管部门</w:t>
      </w:r>
      <w:r>
        <w:rPr>
          <w:rFonts w:hint="eastAsia" w:ascii="宋体" w:hAnsi="宋体" w:eastAsia="宋体" w:cs="宋体"/>
          <w:color w:val="000000"/>
          <w:kern w:val="0"/>
          <w:sz w:val="24"/>
          <w:szCs w:val="24"/>
          <w:u w:val="none"/>
        </w:rPr>
        <w:t>调解；</w:t>
      </w:r>
    </w:p>
    <w:p w14:paraId="63BA6EFD">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（2）合同争议调解不成的，按下列</w:t>
      </w:r>
      <w:r>
        <w:rPr>
          <w:rFonts w:hint="eastAsia" w:ascii="宋体" w:hAnsi="宋体" w:eastAsia="宋体" w:cs="宋体"/>
          <w:color w:val="000000"/>
          <w:kern w:val="0"/>
          <w:sz w:val="24"/>
          <w:szCs w:val="24"/>
          <w:lang w:val="en-US" w:eastAsia="zh-CN"/>
        </w:rPr>
        <w:t xml:space="preserve">   2）   </w:t>
      </w:r>
      <w:r>
        <w:rPr>
          <w:rFonts w:hint="eastAsia" w:ascii="宋体" w:hAnsi="宋体" w:eastAsia="宋体" w:cs="宋体"/>
          <w:color w:val="000000"/>
          <w:kern w:val="0"/>
          <w:sz w:val="24"/>
          <w:szCs w:val="24"/>
          <w:u w:val="none"/>
        </w:rPr>
        <w:t>方式解决：</w:t>
      </w:r>
    </w:p>
    <w:p w14:paraId="3C07F2EA">
      <w:pPr>
        <w:keepNext w:val="0"/>
        <w:keepLines w:val="0"/>
        <w:pageBreakBefore w:val="0"/>
        <w:widowControl w:val="0"/>
        <w:wordWrap/>
        <w:overflowPunct/>
        <w:topLinePunct w:val="0"/>
        <w:bidi w:val="0"/>
        <w:spacing w:line="360" w:lineRule="auto"/>
        <w:ind w:firstLine="720" w:firstLineChars="3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 xml:space="preserve"> 1）提交</w:t>
      </w:r>
      <w:r>
        <w:rPr>
          <w:rFonts w:hint="eastAsia" w:ascii="宋体" w:hAnsi="宋体" w:eastAsia="宋体" w:cs="宋体"/>
          <w:color w:val="000000"/>
          <w:sz w:val="24"/>
          <w:szCs w:val="24"/>
          <w:u w:val="none"/>
        </w:rPr>
        <w:t>西安</w:t>
      </w:r>
      <w:r>
        <w:rPr>
          <w:rFonts w:hint="eastAsia" w:ascii="宋体" w:hAnsi="宋体" w:eastAsia="宋体" w:cs="宋体"/>
          <w:color w:val="000000"/>
          <w:kern w:val="0"/>
          <w:sz w:val="24"/>
          <w:szCs w:val="24"/>
          <w:u w:val="none"/>
        </w:rPr>
        <w:t>仲裁委员会申请仲裁；</w:t>
      </w:r>
    </w:p>
    <w:p w14:paraId="19BB7594">
      <w:pPr>
        <w:keepNext w:val="0"/>
        <w:keepLines w:val="0"/>
        <w:pageBreakBefore w:val="0"/>
        <w:widowControl w:val="0"/>
        <w:wordWrap/>
        <w:overflowPunct/>
        <w:topLinePunct w:val="0"/>
        <w:bidi w:val="0"/>
        <w:spacing w:line="360" w:lineRule="auto"/>
        <w:ind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 xml:space="preserve"> 2）依法向 </w:t>
      </w:r>
      <w:r>
        <w:rPr>
          <w:rFonts w:hint="eastAsia" w:ascii="宋体" w:hAnsi="宋体" w:eastAsia="宋体" w:cs="宋体"/>
          <w:color w:val="000000"/>
          <w:kern w:val="0"/>
          <w:sz w:val="24"/>
          <w:szCs w:val="24"/>
          <w:u w:val="thick"/>
        </w:rPr>
        <w:t xml:space="preserve"> 临潼区 </w:t>
      </w:r>
      <w:r>
        <w:rPr>
          <w:rFonts w:hint="eastAsia" w:ascii="宋体" w:hAnsi="宋体" w:eastAsia="宋体" w:cs="宋体"/>
          <w:color w:val="000000"/>
          <w:kern w:val="0"/>
          <w:sz w:val="24"/>
          <w:szCs w:val="24"/>
          <w:u w:val="none"/>
        </w:rPr>
        <w:t>人民法院提起诉讼。</w:t>
      </w:r>
    </w:p>
    <w:p w14:paraId="522DB13C">
      <w:pPr>
        <w:keepNext w:val="0"/>
        <w:keepLines w:val="0"/>
        <w:pageBreakBefore w:val="0"/>
        <w:widowControl w:val="0"/>
        <w:wordWrap/>
        <w:overflowPunct/>
        <w:topLinePunct w:val="0"/>
        <w:bidi w:val="0"/>
        <w:spacing w:line="360" w:lineRule="auto"/>
        <w:ind w:firstLine="482" w:firstLineChars="200"/>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十一、其他</w:t>
      </w:r>
    </w:p>
    <w:p w14:paraId="677A6E4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26、工程分包</w:t>
      </w:r>
    </w:p>
    <w:p w14:paraId="5C01C61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 xml:space="preserve">26.1本工程发包人同意承包人分包的专业工程：              </w:t>
      </w:r>
    </w:p>
    <w:p w14:paraId="7697EDB4">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 xml:space="preserve">分包施工单位为：              </w:t>
      </w:r>
    </w:p>
    <w:p w14:paraId="7F6C41DF">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27、不可抗力</w:t>
      </w:r>
    </w:p>
    <w:p w14:paraId="7491212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27.1双方关于不可抗力的约定：</w:t>
      </w:r>
      <w:r>
        <w:rPr>
          <w:rFonts w:hint="eastAsia" w:ascii="宋体" w:hAnsi="宋体" w:eastAsia="宋体" w:cs="宋体"/>
          <w:color w:val="000000"/>
          <w:spacing w:val="1"/>
          <w:kern w:val="0"/>
          <w:sz w:val="24"/>
          <w:szCs w:val="24"/>
          <w:u w:val="thick"/>
        </w:rPr>
        <w:t>执行《通用条款》第43条。</w:t>
      </w:r>
    </w:p>
    <w:p w14:paraId="1860A27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28、保险</w:t>
      </w:r>
    </w:p>
    <w:p w14:paraId="3E50F90A">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28.1本工程双方约定投保内容如下：</w:t>
      </w:r>
    </w:p>
    <w:p w14:paraId="52B44ED6">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（1）发包人投保内容：</w:t>
      </w:r>
      <w:r>
        <w:rPr>
          <w:rFonts w:hint="eastAsia" w:ascii="宋体" w:hAnsi="宋体" w:eastAsia="宋体" w:cs="宋体"/>
          <w:color w:val="000000"/>
          <w:spacing w:val="1"/>
          <w:kern w:val="0"/>
          <w:sz w:val="24"/>
          <w:szCs w:val="24"/>
          <w:u w:val="thick"/>
        </w:rPr>
        <w:t>执行《通用条款》第44.1、44.2、44.3条。</w:t>
      </w:r>
    </w:p>
    <w:p w14:paraId="3ED1F46C">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（2）承包人投保内容：</w:t>
      </w:r>
      <w:r>
        <w:rPr>
          <w:rFonts w:hint="eastAsia" w:ascii="宋体" w:hAnsi="宋体" w:eastAsia="宋体" w:cs="宋体"/>
          <w:color w:val="000000"/>
          <w:spacing w:val="1"/>
          <w:kern w:val="0"/>
          <w:sz w:val="24"/>
          <w:szCs w:val="24"/>
          <w:u w:val="thick"/>
        </w:rPr>
        <w:t>执行《通用条款》第44.4条。</w:t>
      </w:r>
    </w:p>
    <w:p w14:paraId="612BE53E">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29、担保</w:t>
      </w:r>
    </w:p>
    <w:p w14:paraId="177577D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29.1本工程双方约定担保事项如下：</w:t>
      </w:r>
    </w:p>
    <w:p w14:paraId="256CB48C">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（1）发包人向承包人提供支付担保，担保方式为：</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thick"/>
          <w:lang w:val="en-US" w:eastAsia="zh-CN"/>
        </w:rPr>
        <w:t>/</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 xml:space="preserve"> ，</w:t>
      </w:r>
    </w:p>
    <w:p w14:paraId="2E0B3A38">
      <w:pPr>
        <w:keepNext w:val="0"/>
        <w:keepLines w:val="0"/>
        <w:pageBreakBefore w:val="0"/>
        <w:widowControl w:val="0"/>
        <w:wordWrap/>
        <w:overflowPunct/>
        <w:topLinePunct w:val="0"/>
        <w:bidi w:val="0"/>
        <w:spacing w:line="360" w:lineRule="auto"/>
        <w:rPr>
          <w:rFonts w:hint="eastAsia" w:ascii="宋体" w:hAnsi="宋体" w:eastAsia="宋体" w:cs="宋体"/>
          <w:color w:val="000000"/>
          <w:kern w:val="0"/>
          <w:sz w:val="24"/>
          <w:szCs w:val="24"/>
          <w:u w:val="thick"/>
        </w:rPr>
      </w:pPr>
      <w:r>
        <w:rPr>
          <w:rFonts w:hint="eastAsia" w:ascii="宋体" w:hAnsi="宋体" w:eastAsia="宋体" w:cs="宋体"/>
          <w:color w:val="000000"/>
          <w:kern w:val="0"/>
          <w:sz w:val="24"/>
          <w:szCs w:val="24"/>
          <w:u w:val="none"/>
        </w:rPr>
        <w:t>担保金额：</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thick"/>
          <w:lang w:val="en-US" w:eastAsia="zh-CN"/>
        </w:rPr>
        <w:t>/</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，担保有效期：</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thick"/>
          <w:lang w:val="en-US" w:eastAsia="zh-CN"/>
        </w:rPr>
        <w:t>/</w:t>
      </w:r>
      <w:r>
        <w:rPr>
          <w:rFonts w:hint="eastAsia" w:ascii="宋体" w:hAnsi="宋体" w:eastAsia="宋体" w:cs="宋体"/>
          <w:color w:val="000000"/>
          <w:kern w:val="0"/>
          <w:sz w:val="24"/>
          <w:szCs w:val="24"/>
          <w:u w:val="thick"/>
        </w:rPr>
        <w:t xml:space="preserve">     </w:t>
      </w:r>
    </w:p>
    <w:p w14:paraId="402997D3">
      <w:pPr>
        <w:keepNext w:val="0"/>
        <w:keepLines w:val="0"/>
        <w:pageBreakBefore w:val="0"/>
        <w:widowControl w:val="0"/>
        <w:wordWrap/>
        <w:overflowPunct/>
        <w:topLinePunct w:val="0"/>
        <w:bidi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 xml:space="preserve">   （2）承包人向发包人提供履约担保，担保方式为：</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thick"/>
          <w:lang w:val="en-US" w:eastAsia="zh-CN"/>
        </w:rPr>
        <w:t>/</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，担保金额：</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thick"/>
          <w:lang w:val="en-US" w:eastAsia="zh-CN"/>
        </w:rPr>
        <w:t>/</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，担保有效期：</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thick"/>
          <w:lang w:val="en-US" w:eastAsia="zh-CN"/>
        </w:rPr>
        <w:t>/</w:t>
      </w:r>
      <w:r>
        <w:rPr>
          <w:rFonts w:hint="eastAsia" w:ascii="宋体" w:hAnsi="宋体" w:eastAsia="宋体" w:cs="宋体"/>
          <w:color w:val="000000"/>
          <w:kern w:val="0"/>
          <w:sz w:val="24"/>
          <w:szCs w:val="24"/>
          <w:u w:val="thick"/>
        </w:rPr>
        <w:t xml:space="preserve">     </w:t>
      </w:r>
      <w:r>
        <w:rPr>
          <w:rFonts w:hint="eastAsia" w:ascii="宋体" w:hAnsi="宋体" w:eastAsia="宋体" w:cs="宋体"/>
          <w:color w:val="000000"/>
          <w:kern w:val="0"/>
          <w:sz w:val="24"/>
          <w:szCs w:val="24"/>
          <w:u w:val="none"/>
        </w:rPr>
        <w:t>。</w:t>
      </w:r>
    </w:p>
    <w:p w14:paraId="23239843">
      <w:pPr>
        <w:keepNext w:val="0"/>
        <w:keepLines w:val="0"/>
        <w:pageBreakBefore w:val="0"/>
        <w:widowControl w:val="0"/>
        <w:wordWrap/>
        <w:overflowPunct/>
        <w:topLinePunct w:val="0"/>
        <w:bidi w:val="0"/>
        <w:spacing w:line="360" w:lineRule="auto"/>
        <w:ind w:firstLine="360" w:firstLineChars="15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mc:AlternateContent>
          <mc:Choice Requires="wps">
            <w:drawing>
              <wp:anchor distT="0" distB="0" distL="114300" distR="114300" simplePos="0" relativeHeight="251668480" behindDoc="0" locked="0" layoutInCell="1" allowOverlap="1">
                <wp:simplePos x="0" y="0"/>
                <wp:positionH relativeFrom="column">
                  <wp:posOffset>2573655</wp:posOffset>
                </wp:positionH>
                <wp:positionV relativeFrom="paragraph">
                  <wp:posOffset>88265</wp:posOffset>
                </wp:positionV>
                <wp:extent cx="914400" cy="66675"/>
                <wp:effectExtent l="635" t="4445" r="14605" b="5080"/>
                <wp:wrapNone/>
                <wp:docPr id="16" name="直接箭头连接符 16"/>
                <wp:cNvGraphicFramePr/>
                <a:graphic xmlns:a="http://schemas.openxmlformats.org/drawingml/2006/main">
                  <a:graphicData uri="http://schemas.microsoft.com/office/word/2010/wordprocessingShape">
                    <wps:wsp>
                      <wps:cNvCnPr/>
                      <wps:spPr>
                        <a:xfrm flipV="1">
                          <a:off x="0" y="0"/>
                          <a:ext cx="914400" cy="66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2.65pt;margin-top:6.95pt;height:5.25pt;width:72pt;z-index:251668480;mso-width-relative:page;mso-height-relative:page;" filled="f" stroked="t" coordsize="21600,21600" o:gfxdata="UEsDBAoAAAAAAIdO4kAAAAAAAAAAAAAAAAAEAAAAZHJzL1BLAwQUAAAACACHTuJAXjUE+tcAAAAJ&#10;AQAADwAAAGRycy9kb3ducmV2LnhtbE2PwU7DMAyG70i8Q2QkbizZlo2tNN0BCcQBVWLAPWtMW2ic&#10;0mTt9vaYExzt/9Pvz/nu5Dsx4hDbQAbmMwUCqQqupdrA2+vDzQZETJac7QKhgTNG2BWXF7nNXJjo&#10;Bcd9qgWXUMysgSalPpMyVg16G2ehR+LsIwzeJh6HWrrBTlzuO7lQai29bYkvNLbH+warr/3RG/im&#10;2/O7luPmsyzT+vHpuSYsJ2Our+bqDkTCU/qD4Vef1aFgp0M4kouiM6DVaskoB8stCAZWesuLg4GF&#10;1iCLXP7/oPgBUEsDBBQAAAAIAIdO4kBYIYHfBQIAAPsDAAAOAAAAZHJzL2Uyb0RvYy54bWytU72O&#10;EzEQ7pF4B8s92SS6BFhlc0XC0SA4iZ/e8c+uJf/J48smL8ELIFEBFUd1PU8Dx2Mw9oYAR5MCF9bY&#10;M/PNfJ/Hi/OdNWQrI2jvGjoZjSmRjnuhXdvQ168uHjyiBBJzghnvZEP3Euj58v69RR9qOfWdN0JG&#10;giAO6j40tEsp1FUFvJOWwcgH6dCpfLQs4TG2lYisR3Rrqul4PK96H0WInksAvF0PTnpAjKcAeqU0&#10;l2vPr6x0aUCN0rCElKDTAeiydKuU5OmFUiATMQ1FpqnsWATtTd6r5YLVbWSh0/zQAjulhTucLNMO&#10;ix6h1iwxchX1P1BW8+jBqzTi3lYDkaIIspiM72jzsmNBFi4oNYSj6PD/YPnz7WUkWuAkzClxzOKL&#10;3767+f724+2X628fbn58fZ/tz58I+lGsPkCNOSt3GQ8nCJcxM9+paIkyOrxBrKIFsiO7IvX+KLXc&#10;JcLx8vHk7GyMj8DRNZ/PH84yeDWgZLQQIT2V3pJsNBRSZLrt0so7h2/q41CBbZ9BGhJ/JeRk40iP&#10;JWbTGRZgOKMKZwNNG5AnuLZ0B95ocaGNyRkQ283KRLJleU7KOjT0V1gusmbQDXHFlcNY3UkmnjhB&#10;0j6ggA4/Ds0tWCkoMRL/WbZKZGLanBKJWhiHkmTBB4mztfFiX5Qv9zgTRbTD/Oah+/Ncsn//2e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jUE+tcAAAAJAQAADwAAAAAAAAABACAAAAAiAAAAZHJz&#10;L2Rvd25yZXYueG1sUEsBAhQAFAAAAAgAh07iQFghgd8FAgAA+w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color w:val="000000"/>
          <w:kern w:val="0"/>
          <w:sz w:val="24"/>
          <w:szCs w:val="24"/>
          <w:u w:val="none"/>
        </w:rPr>
        <w:t xml:space="preserve">（3）双方约定的其他担保事项：              </w:t>
      </w:r>
    </w:p>
    <w:p w14:paraId="149FF257">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30、合同份数</w:t>
      </w:r>
    </w:p>
    <w:p w14:paraId="55F75670">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rPr>
        <w:t>30.1双方约定合同副本份数：</w:t>
      </w:r>
      <w:r>
        <w:rPr>
          <w:rFonts w:hint="eastAsia" w:ascii="宋体" w:hAnsi="宋体" w:eastAsia="宋体" w:cs="宋体"/>
          <w:color w:val="000000"/>
          <w:spacing w:val="1"/>
          <w:kern w:val="0"/>
          <w:sz w:val="24"/>
          <w:szCs w:val="24"/>
          <w:u w:val="thick"/>
        </w:rPr>
        <w:t>正本</w:t>
      </w:r>
      <w:r>
        <w:rPr>
          <w:rFonts w:hint="eastAsia" w:ascii="宋体" w:hAnsi="宋体" w:eastAsia="宋体" w:cs="宋体"/>
          <w:color w:val="000000"/>
          <w:spacing w:val="1"/>
          <w:kern w:val="0"/>
          <w:sz w:val="24"/>
          <w:szCs w:val="24"/>
          <w:u w:val="thick"/>
          <w:lang w:val="en-US" w:eastAsia="zh-CN"/>
        </w:rPr>
        <w:t>贰</w:t>
      </w:r>
      <w:r>
        <w:rPr>
          <w:rFonts w:hint="eastAsia" w:ascii="宋体" w:hAnsi="宋体" w:eastAsia="宋体" w:cs="宋体"/>
          <w:color w:val="000000"/>
          <w:spacing w:val="1"/>
          <w:kern w:val="0"/>
          <w:sz w:val="24"/>
          <w:szCs w:val="24"/>
          <w:u w:val="thick"/>
        </w:rPr>
        <w:t>份，副本</w:t>
      </w:r>
      <w:r>
        <w:rPr>
          <w:rFonts w:hint="eastAsia" w:ascii="宋体" w:hAnsi="宋体" w:eastAsia="宋体" w:cs="宋体"/>
          <w:color w:val="000000"/>
          <w:spacing w:val="1"/>
          <w:kern w:val="0"/>
          <w:sz w:val="24"/>
          <w:szCs w:val="24"/>
          <w:u w:val="thick"/>
          <w:lang w:val="en-US" w:eastAsia="zh-CN"/>
        </w:rPr>
        <w:t xml:space="preserve">  </w:t>
      </w:r>
      <w:r>
        <w:rPr>
          <w:rFonts w:hint="eastAsia" w:ascii="宋体" w:hAnsi="宋体" w:eastAsia="宋体" w:cs="宋体"/>
          <w:color w:val="000000"/>
          <w:spacing w:val="1"/>
          <w:kern w:val="0"/>
          <w:sz w:val="24"/>
          <w:szCs w:val="24"/>
          <w:u w:val="thick"/>
        </w:rPr>
        <w:t>份。双方各持正本</w:t>
      </w:r>
      <w:r>
        <w:rPr>
          <w:rFonts w:hint="eastAsia" w:ascii="宋体" w:hAnsi="宋体" w:eastAsia="宋体" w:cs="宋体"/>
          <w:color w:val="000000"/>
          <w:spacing w:val="1"/>
          <w:kern w:val="0"/>
          <w:sz w:val="24"/>
          <w:szCs w:val="24"/>
          <w:u w:val="thick"/>
          <w:lang w:val="en-US" w:eastAsia="zh-CN"/>
        </w:rPr>
        <w:t>壹</w:t>
      </w:r>
      <w:r>
        <w:rPr>
          <w:rFonts w:hint="eastAsia" w:ascii="宋体" w:hAnsi="宋体" w:eastAsia="宋体" w:cs="宋体"/>
          <w:color w:val="000000"/>
          <w:spacing w:val="1"/>
          <w:kern w:val="0"/>
          <w:sz w:val="24"/>
          <w:szCs w:val="24"/>
          <w:u w:val="thick"/>
        </w:rPr>
        <w:t>份，副本</w:t>
      </w:r>
      <w:r>
        <w:rPr>
          <w:rFonts w:hint="eastAsia" w:ascii="宋体" w:hAnsi="宋体" w:eastAsia="宋体" w:cs="宋体"/>
          <w:color w:val="000000"/>
          <w:spacing w:val="1"/>
          <w:kern w:val="0"/>
          <w:sz w:val="24"/>
          <w:szCs w:val="24"/>
          <w:u w:val="thick"/>
          <w:lang w:val="en-US" w:eastAsia="zh-CN"/>
        </w:rPr>
        <w:t xml:space="preserve">  </w:t>
      </w:r>
      <w:r>
        <w:rPr>
          <w:rFonts w:hint="eastAsia" w:ascii="宋体" w:hAnsi="宋体" w:eastAsia="宋体" w:cs="宋体"/>
          <w:color w:val="000000"/>
          <w:spacing w:val="1"/>
          <w:kern w:val="0"/>
          <w:sz w:val="24"/>
          <w:szCs w:val="24"/>
          <w:u w:val="thick"/>
        </w:rPr>
        <w:t>份。</w:t>
      </w:r>
    </w:p>
    <w:p w14:paraId="25BF9B78">
      <w:pPr>
        <w:keepNext w:val="0"/>
        <w:keepLines w:val="0"/>
        <w:pageBreakBefore w:val="0"/>
        <w:widowControl w:val="0"/>
        <w:numPr>
          <w:ilvl w:val="0"/>
          <w:numId w:val="7"/>
        </w:numPr>
        <w:wordWrap/>
        <w:overflowPunct/>
        <w:topLinePunct w:val="0"/>
        <w:bidi w:val="0"/>
        <w:spacing w:line="360" w:lineRule="auto"/>
        <w:ind w:firstLine="480" w:firstLineChars="2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补充条款</w:t>
      </w:r>
    </w:p>
    <w:p w14:paraId="5C5BBF1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b/>
          <w:color w:val="000000"/>
          <w:sz w:val="24"/>
          <w:szCs w:val="24"/>
          <w:u w:val="thick"/>
        </w:rPr>
      </w:pPr>
      <w:r>
        <w:rPr>
          <w:rFonts w:hint="eastAsia" w:ascii="宋体" w:hAnsi="宋体" w:eastAsia="宋体" w:cs="宋体"/>
          <w:color w:val="000000"/>
          <w:kern w:val="0"/>
          <w:sz w:val="24"/>
          <w:szCs w:val="24"/>
          <w:u w:val="none"/>
        </w:rPr>
        <w:t>31.1</w:t>
      </w:r>
      <w:r>
        <w:rPr>
          <w:rFonts w:hint="eastAsia" w:ascii="宋体" w:hAnsi="宋体" w:eastAsia="宋体" w:cs="宋体"/>
          <w:color w:val="000000"/>
          <w:sz w:val="24"/>
          <w:szCs w:val="24"/>
          <w:u w:val="thick"/>
        </w:rPr>
        <w:t>承包人招聘的农民工工资，当承包人申报当期进度款计划时应一并报发包人，发包人有权监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资表复印一份加盖公章交发包人备案。农民工工资除按月发放外，其劳务费余下部分应按照劳务分包合同付款办法支付。承包人若未支付，发包人有权在工程款结算期间用其余款支付农民工劳务费（其中承包人必须确保逢年过节、孩子开学时向农民工发放工资）。</w:t>
      </w:r>
    </w:p>
    <w:p w14:paraId="2B83499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31.2</w:t>
      </w:r>
      <w:r>
        <w:rPr>
          <w:rFonts w:hint="eastAsia" w:ascii="宋体" w:hAnsi="宋体" w:eastAsia="宋体" w:cs="宋体"/>
          <w:color w:val="000000"/>
          <w:sz w:val="24"/>
          <w:szCs w:val="24"/>
          <w:u w:val="thick"/>
        </w:rPr>
        <w:t>中标人签订合同前必须到当地劳动和社会保障局缴纳农民工工资支付保证金。</w:t>
      </w:r>
    </w:p>
    <w:p w14:paraId="4D29233C">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31.3</w:t>
      </w:r>
      <w:r>
        <w:rPr>
          <w:rFonts w:hint="eastAsia" w:ascii="宋体" w:hAnsi="宋体" w:eastAsia="宋体" w:cs="宋体"/>
          <w:color w:val="000000"/>
          <w:sz w:val="24"/>
          <w:szCs w:val="24"/>
          <w:u w:val="thick"/>
        </w:rPr>
        <w:t>本工程竣工后，应免费将施工现场周围和施工单位生活区周围清除干净</w:t>
      </w:r>
      <w:r>
        <w:rPr>
          <w:rFonts w:hint="eastAsia" w:ascii="宋体" w:hAnsi="宋体" w:eastAsia="宋体" w:cs="宋体"/>
          <w:color w:val="000000"/>
          <w:sz w:val="24"/>
          <w:szCs w:val="24"/>
          <w:u w:val="thick"/>
          <w:lang w:eastAsia="zh-CN"/>
        </w:rPr>
        <w:t>，</w:t>
      </w:r>
      <w:r>
        <w:rPr>
          <w:rFonts w:hint="eastAsia" w:ascii="宋体" w:hAnsi="宋体" w:eastAsia="宋体" w:cs="宋体"/>
          <w:color w:val="000000"/>
          <w:sz w:val="24"/>
          <w:szCs w:val="24"/>
          <w:u w:val="thick"/>
        </w:rPr>
        <w:t>无</w:t>
      </w:r>
      <w:r>
        <w:rPr>
          <w:rFonts w:hint="eastAsia" w:ascii="宋体" w:hAnsi="宋体" w:eastAsia="宋体" w:cs="宋体"/>
          <w:color w:val="000000"/>
          <w:sz w:val="24"/>
          <w:szCs w:val="24"/>
          <w:u w:val="thick"/>
          <w:lang w:eastAsia="zh-CN"/>
        </w:rPr>
        <w:t>施工</w:t>
      </w:r>
      <w:r>
        <w:rPr>
          <w:rFonts w:hint="eastAsia" w:ascii="宋体" w:hAnsi="宋体" w:eastAsia="宋体" w:cs="宋体"/>
          <w:color w:val="000000"/>
          <w:sz w:val="24"/>
          <w:szCs w:val="24"/>
          <w:u w:val="thick"/>
        </w:rPr>
        <w:t>垃圾、无坑池渠沟、无掩埋的硬化道路和垃圾，场地整洁。否则发包人不予支付工程款（如承包人对以上问题没有进行处理，发包人将另行安排人员处理，其费用将从剩余工程款中扣除）。</w:t>
      </w:r>
    </w:p>
    <w:p w14:paraId="1C782657">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31.4</w:t>
      </w:r>
      <w:r>
        <w:rPr>
          <w:rFonts w:hint="eastAsia" w:ascii="宋体" w:hAnsi="宋体" w:eastAsia="宋体" w:cs="宋体"/>
          <w:color w:val="000000"/>
          <w:sz w:val="24"/>
          <w:szCs w:val="24"/>
          <w:u w:val="thick"/>
        </w:rPr>
        <w:t>必须达到市级安全文明工地验收标准和卫生城市标准，严格按安全文明工地和卫生城市标准施工，设立专用垃圾场，不得在施工区内任意堆放或乱倒垃圾，定期将建筑垃圾清理外运。</w:t>
      </w:r>
    </w:p>
    <w:p w14:paraId="0D0E71CA">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31.5</w:t>
      </w:r>
      <w:r>
        <w:rPr>
          <w:rFonts w:hint="eastAsia" w:ascii="宋体" w:hAnsi="宋体" w:eastAsia="宋体" w:cs="宋体"/>
          <w:color w:val="000000"/>
          <w:sz w:val="24"/>
          <w:szCs w:val="24"/>
          <w:u w:val="thick"/>
        </w:rPr>
        <w:t>施工过程中，资料和工程进度必须同步。每月发包人管理人员对施工进度和资料进行检查，出现问题限期整改，否则每次罚款300元人民币。在工程竣工验收前，承包人要按规定将竣工资料交监理工程师验收，由监理工程师出具相应证明后，发包人方可组织验收。</w:t>
      </w:r>
    </w:p>
    <w:p w14:paraId="6D0F4163">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31.6</w:t>
      </w:r>
      <w:r>
        <w:rPr>
          <w:rFonts w:hint="eastAsia" w:ascii="宋体" w:hAnsi="宋体" w:eastAsia="宋体" w:cs="宋体"/>
          <w:color w:val="000000"/>
          <w:sz w:val="24"/>
          <w:szCs w:val="24"/>
          <w:u w:val="thick"/>
        </w:rPr>
        <w:t>安全管理人员必须持证上岗，并负责检查现场和施工人员安全情况，如监理工程师和发包人管理人员发现有不安全因素存在，经指出仍未纠正的每次罚款300元人民币；出现安全事故，施工单位自负。</w:t>
      </w:r>
    </w:p>
    <w:p w14:paraId="05C60943">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31.7</w:t>
      </w:r>
      <w:r>
        <w:rPr>
          <w:rFonts w:hint="eastAsia" w:ascii="宋体" w:hAnsi="宋体" w:eastAsia="宋体" w:cs="宋体"/>
          <w:color w:val="000000"/>
          <w:sz w:val="24"/>
          <w:szCs w:val="24"/>
          <w:u w:val="thick"/>
        </w:rPr>
        <w:t>现场用电必须按照发包人要求，采用三相五线制，一机一闸必须带漏电保护。如施工现场出现用电漏电或短路跳闸，造成停电、影响发包人用电，每次罚款1000元并承担由此造成的所有损失。</w:t>
      </w:r>
    </w:p>
    <w:p w14:paraId="4C063CA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31.8</w:t>
      </w:r>
      <w:r>
        <w:rPr>
          <w:rFonts w:hint="eastAsia" w:ascii="宋体" w:hAnsi="宋体" w:eastAsia="宋体" w:cs="宋体"/>
          <w:color w:val="000000"/>
          <w:sz w:val="24"/>
          <w:szCs w:val="24"/>
          <w:u w:val="thick"/>
        </w:rPr>
        <w:t>承包单位的到位人员及设备配置必须和投标书施工组织设计所列人员及设备配置相符，否则视为中标人违约。视情节罚款500－2000元。</w:t>
      </w:r>
    </w:p>
    <w:p w14:paraId="5362CBDF">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31.9</w:t>
      </w:r>
      <w:r>
        <w:rPr>
          <w:rFonts w:hint="eastAsia" w:ascii="宋体" w:hAnsi="宋体" w:eastAsia="宋体" w:cs="宋体"/>
          <w:color w:val="000000"/>
          <w:sz w:val="24"/>
          <w:szCs w:val="24"/>
          <w:u w:val="thick"/>
        </w:rPr>
        <w:t>定期检查安全文明施工费支付情况及使用情况，并对照建设工程安全防护、文明施工措施清单作出报表，在每期付款后10日内由甲乙双方签字盖章向西安市建设工程质量安全监督站临潼分站汇报。</w:t>
      </w:r>
    </w:p>
    <w:p w14:paraId="544C6043">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31.10</w:t>
      </w:r>
      <w:r>
        <w:rPr>
          <w:rFonts w:hint="eastAsia" w:ascii="宋体" w:hAnsi="宋体" w:eastAsia="宋体" w:cs="宋体"/>
          <w:color w:val="000000"/>
          <w:sz w:val="24"/>
          <w:szCs w:val="24"/>
          <w:u w:val="thick"/>
        </w:rPr>
        <w:t>承包人负责办理安全文明建筑工地施工期间市容环境卫生责任书，并计入项目费用。</w:t>
      </w:r>
    </w:p>
    <w:p w14:paraId="33018A77">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31.11</w:t>
      </w:r>
      <w:r>
        <w:rPr>
          <w:rFonts w:hint="eastAsia" w:ascii="宋体" w:hAnsi="宋体" w:eastAsia="宋体" w:cs="宋体"/>
          <w:color w:val="000000"/>
          <w:sz w:val="24"/>
          <w:szCs w:val="24"/>
          <w:u w:val="thick"/>
        </w:rPr>
        <w:t>材料进场时必须附有质量检验合格报告，报监理工程师批准后方可进场。</w:t>
      </w:r>
    </w:p>
    <w:p w14:paraId="22D6FE42">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31.12</w:t>
      </w:r>
      <w:r>
        <w:rPr>
          <w:rFonts w:hint="eastAsia" w:ascii="宋体" w:hAnsi="宋体" w:eastAsia="宋体" w:cs="宋体"/>
          <w:color w:val="000000"/>
          <w:sz w:val="24"/>
          <w:szCs w:val="24"/>
          <w:u w:val="thick"/>
        </w:rPr>
        <w:t>工程竣工后，应及时向甲方提供竣工资料和结算情况，同时书面向甲方提出项目竣工验收申请。</w:t>
      </w:r>
    </w:p>
    <w:p w14:paraId="2434D1CA">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31.13</w:t>
      </w:r>
      <w:r>
        <w:rPr>
          <w:rFonts w:hint="eastAsia" w:ascii="宋体" w:hAnsi="宋体" w:eastAsia="宋体" w:cs="宋体"/>
          <w:color w:val="000000"/>
          <w:sz w:val="24"/>
          <w:szCs w:val="24"/>
          <w:u w:val="thick"/>
        </w:rPr>
        <w:t>中标单位与发包人签订施工合同时必须采用陕西省建设厅与陕西省工商行政管理局制定的示范文本。</w:t>
      </w:r>
    </w:p>
    <w:p w14:paraId="1BB2FDAD">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31.14</w:t>
      </w:r>
      <w:r>
        <w:rPr>
          <w:rFonts w:hint="eastAsia" w:ascii="宋体" w:hAnsi="宋体" w:eastAsia="宋体" w:cs="宋体"/>
          <w:color w:val="000000"/>
          <w:sz w:val="24"/>
          <w:szCs w:val="24"/>
          <w:u w:val="thick"/>
        </w:rPr>
        <w:t>凡使用不合格材料或施工质量不符合设计要求的，监理人员及发包人工地代表有权责令承包人返工，若承包人不愿返工，发包人有权另请第三方返修，其费用从承包人工程费用中扣除。</w:t>
      </w:r>
    </w:p>
    <w:p w14:paraId="7AAC712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31.15</w:t>
      </w:r>
      <w:r>
        <w:rPr>
          <w:rFonts w:hint="eastAsia" w:ascii="宋体" w:hAnsi="宋体" w:eastAsia="宋体" w:cs="宋体"/>
          <w:color w:val="000000"/>
          <w:sz w:val="24"/>
          <w:szCs w:val="24"/>
          <w:u w:val="thick"/>
        </w:rPr>
        <w:t>承包人严重违反合同规定，对本工程将会造成或已经造成无法弥补的损失时，监理人员和发包人有权下达停工令，承包人不得拒绝执行，由此发生的费用和工期延长，责任和损失由承包人承担。</w:t>
      </w:r>
    </w:p>
    <w:p w14:paraId="0F4368F9">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31.16</w:t>
      </w:r>
      <w:r>
        <w:rPr>
          <w:rFonts w:hint="eastAsia" w:ascii="宋体" w:hAnsi="宋体" w:eastAsia="宋体" w:cs="宋体"/>
          <w:color w:val="000000"/>
          <w:sz w:val="24"/>
          <w:szCs w:val="24"/>
          <w:u w:val="thick"/>
        </w:rPr>
        <w:t>本工程的各项工序要严格执行国家有关施工规范和工程质量验收评定标准。</w:t>
      </w:r>
    </w:p>
    <w:p w14:paraId="657F3351">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31.17</w:t>
      </w:r>
      <w:r>
        <w:rPr>
          <w:rFonts w:hint="eastAsia" w:ascii="宋体" w:hAnsi="宋体" w:eastAsia="宋体" w:cs="宋体"/>
          <w:color w:val="000000"/>
          <w:sz w:val="24"/>
          <w:szCs w:val="24"/>
          <w:u w:val="thick"/>
        </w:rPr>
        <w:t>承包人在施工过程中，如发生质量事故，应及时报告监理和发包人，一般的质量事故处理报送监理、发包人备案，重大的质量事故处理应经发包人、监理、设计单位、质检部门共同研究处理方案，并经设计单位签字认可后，承包人方可实施，其经济损失和工期延误，均由承包人承担。</w:t>
      </w:r>
    </w:p>
    <w:p w14:paraId="2FAAB4B3">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31.18</w:t>
      </w:r>
      <w:r>
        <w:rPr>
          <w:rFonts w:hint="eastAsia" w:ascii="宋体" w:hAnsi="宋体" w:eastAsia="宋体" w:cs="宋体"/>
          <w:color w:val="000000"/>
          <w:sz w:val="24"/>
          <w:szCs w:val="24"/>
          <w:u w:val="thick"/>
        </w:rPr>
        <w:t>开工前发包人必须与承包人签订廉政建设合同。</w:t>
      </w:r>
    </w:p>
    <w:p w14:paraId="254161F8">
      <w:pPr>
        <w:keepNext w:val="0"/>
        <w:keepLines w:val="0"/>
        <w:pageBreakBefore w:val="0"/>
        <w:widowControl w:val="0"/>
        <w:wordWrap/>
        <w:overflowPunct/>
        <w:topLinePunct w:val="0"/>
        <w:bidi w:val="0"/>
        <w:spacing w:line="360" w:lineRule="auto"/>
        <w:ind w:firstLine="480" w:firstLineChars="200"/>
        <w:rPr>
          <w:rFonts w:hint="eastAsia" w:ascii="宋体" w:hAnsi="宋体" w:eastAsia="宋体" w:cs="宋体"/>
          <w:color w:val="000000"/>
          <w:sz w:val="24"/>
          <w:szCs w:val="24"/>
          <w:u w:val="thick"/>
        </w:rPr>
      </w:pPr>
      <w:r>
        <w:rPr>
          <w:rFonts w:hint="eastAsia" w:ascii="宋体" w:hAnsi="宋体" w:eastAsia="宋体" w:cs="宋体"/>
          <w:color w:val="000000"/>
          <w:sz w:val="24"/>
          <w:szCs w:val="24"/>
          <w:u w:val="none"/>
        </w:rPr>
        <w:t>31.19</w:t>
      </w:r>
      <w:r>
        <w:rPr>
          <w:rFonts w:hint="eastAsia" w:ascii="宋体" w:hAnsi="宋体" w:eastAsia="宋体" w:cs="宋体"/>
          <w:color w:val="000000"/>
          <w:sz w:val="24"/>
          <w:szCs w:val="24"/>
          <w:u w:val="thick"/>
        </w:rPr>
        <w:t>发包人和承包人若有其它的补充条款，在签订施工合同或者合同履行期内约定。</w:t>
      </w:r>
    </w:p>
    <w:p w14:paraId="488AE6F2">
      <w:pPr>
        <w:keepNext w:val="0"/>
        <w:keepLines w:val="0"/>
        <w:pageBreakBefore w:val="0"/>
        <w:widowControl w:val="0"/>
        <w:wordWrap/>
        <w:overflowPunct/>
        <w:topLinePunct w:val="0"/>
        <w:bidi w:val="0"/>
        <w:spacing w:line="360" w:lineRule="auto"/>
        <w:rPr>
          <w:rFonts w:hint="eastAsia" w:ascii="宋体" w:hAnsi="宋体" w:eastAsia="宋体" w:cs="宋体"/>
          <w:color w:val="000000"/>
          <w:kern w:val="0"/>
          <w:sz w:val="24"/>
          <w:szCs w:val="24"/>
          <w:u w:val="none"/>
        </w:rPr>
      </w:pPr>
    </w:p>
    <w:p w14:paraId="6F13A191">
      <w:pPr>
        <w:keepNext w:val="0"/>
        <w:keepLines w:val="0"/>
        <w:pageBreakBefore w:val="0"/>
        <w:widowControl w:val="0"/>
        <w:wordWrap/>
        <w:overflowPunct/>
        <w:topLinePunct w:val="0"/>
        <w:bidi w:val="0"/>
        <w:spacing w:line="360" w:lineRule="auto"/>
        <w:rPr>
          <w:rFonts w:hint="eastAsia" w:ascii="宋体" w:hAnsi="宋体" w:eastAsia="宋体" w:cs="宋体"/>
          <w:color w:val="000000"/>
          <w:kern w:val="0"/>
          <w:sz w:val="24"/>
          <w:szCs w:val="24"/>
          <w:u w:val="none"/>
        </w:rPr>
        <w:sectPr>
          <w:pgSz w:w="11905" w:h="16838"/>
          <w:pgMar w:top="1440" w:right="1440" w:bottom="1440" w:left="1440" w:header="850" w:footer="992" w:gutter="0"/>
          <w:pgNumType w:fmt="decimal"/>
          <w:cols w:space="0" w:num="1"/>
          <w:rtlGutter w:val="0"/>
          <w:docGrid w:type="lines" w:linePitch="332" w:charSpace="0"/>
        </w:sectPr>
      </w:pPr>
    </w:p>
    <w:p w14:paraId="39600A7E">
      <w:pPr>
        <w:keepNext w:val="0"/>
        <w:keepLines w:val="0"/>
        <w:pageBreakBefore w:val="0"/>
        <w:widowControl w:val="0"/>
        <w:wordWrap/>
        <w:overflowPunct/>
        <w:topLinePunct w:val="0"/>
        <w:bidi w:val="0"/>
        <w:spacing w:line="360" w:lineRule="auto"/>
        <w:rPr>
          <w:rFonts w:hint="eastAsia" w:ascii="宋体" w:hAnsi="宋体" w:eastAsia="宋体" w:cs="宋体"/>
          <w:b/>
          <w:bCs/>
          <w:color w:val="000000"/>
          <w:sz w:val="44"/>
          <w:szCs w:val="44"/>
          <w:u w:val="none"/>
        </w:rPr>
      </w:pPr>
      <w:r>
        <w:rPr>
          <w:rFonts w:hint="eastAsia" w:ascii="宋体" w:hAnsi="宋体" w:eastAsia="宋体" w:cs="宋体"/>
          <w:b/>
          <w:bCs/>
          <w:color w:val="000000"/>
          <w:kern w:val="0"/>
          <w:sz w:val="44"/>
          <w:szCs w:val="44"/>
          <w:u w:val="none"/>
        </w:rPr>
        <w:t>附件1：</w:t>
      </w:r>
      <w:r>
        <w:rPr>
          <w:rFonts w:hint="eastAsia" w:ascii="宋体" w:hAnsi="宋体" w:eastAsia="宋体" w:cs="宋体"/>
          <w:b/>
          <w:bCs/>
          <w:color w:val="000000"/>
          <w:sz w:val="44"/>
          <w:szCs w:val="44"/>
          <w:u w:val="none"/>
        </w:rPr>
        <w:t>工程质量保修书</w:t>
      </w:r>
    </w:p>
    <w:p w14:paraId="71D3501D">
      <w:pPr>
        <w:keepNext w:val="0"/>
        <w:keepLines w:val="0"/>
        <w:pageBreakBefore w:val="0"/>
        <w:widowControl w:val="0"/>
        <w:wordWrap/>
        <w:overflowPunct/>
        <w:topLinePunct w:val="0"/>
        <w:bidi w:val="0"/>
        <w:spacing w:line="360" w:lineRule="auto"/>
        <w:ind w:firstLine="56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工程质量保修书</w:t>
      </w:r>
    </w:p>
    <w:p w14:paraId="00809D3F">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发包人（全称）：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w:t>
      </w:r>
    </w:p>
    <w:p w14:paraId="445A958B">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承包人（全称）：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 xml:space="preserve">    </w:t>
      </w:r>
    </w:p>
    <w:p w14:paraId="57A35A51">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u w:val="none"/>
        </w:rPr>
        <w:t>发包人和承包人根据《中华人民共和国建筑法》和《建设工程质量管理条例》，经协商一致就</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（工程全称）签订工程质量保修书。</w:t>
      </w:r>
    </w:p>
    <w:p w14:paraId="539A0036">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一、工程质量保修范围和内容</w:t>
      </w:r>
    </w:p>
    <w:p w14:paraId="1F2168FD">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承包人在质量保修期内，按照有关法律规定和合同约定，承担工程质量保修责任。</w:t>
      </w:r>
    </w:p>
    <w:p w14:paraId="5890EEDB">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u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1544FBC">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二、质量保修期</w:t>
      </w:r>
    </w:p>
    <w:p w14:paraId="61DCDC35">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根据《建设工程质量管理条例》及有关规定，工程的质量保修期如下：</w:t>
      </w:r>
    </w:p>
    <w:p w14:paraId="74557523">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1．地基基础工程和主体结构工程为设计文件规定的工程合理使用年限；</w:t>
      </w:r>
    </w:p>
    <w:p w14:paraId="3616DBF6">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2．屋面防水工程、有防水要求的卫生间、房间和外墙面的防渗为</w:t>
      </w:r>
      <w:r>
        <w:rPr>
          <w:rFonts w:hint="eastAsia" w:ascii="宋体" w:hAnsi="宋体" w:eastAsia="宋体" w:cs="宋体"/>
          <w:color w:val="000000"/>
          <w:sz w:val="24"/>
          <w:szCs w:val="24"/>
          <w:u w:val="single"/>
          <w:lang w:val="en-US" w:eastAsia="zh-CN"/>
        </w:rPr>
        <w:t xml:space="preserve"> 5  </w:t>
      </w:r>
      <w:r>
        <w:rPr>
          <w:rFonts w:hint="eastAsia" w:ascii="宋体" w:hAnsi="宋体" w:eastAsia="宋体" w:cs="宋体"/>
          <w:color w:val="000000"/>
          <w:sz w:val="24"/>
          <w:szCs w:val="24"/>
          <w:u w:val="none"/>
        </w:rPr>
        <w:t>年；</w:t>
      </w:r>
    </w:p>
    <w:p w14:paraId="7C71242C">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u w:val="none"/>
        </w:rPr>
        <w:t>3．装修工程为</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u w:val="none"/>
        </w:rPr>
        <w:t>年；</w:t>
      </w:r>
    </w:p>
    <w:p w14:paraId="5FC75398">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u w:val="none"/>
        </w:rPr>
        <w:t>4．电气管线、给排水管道、设备安装工程为</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u w:val="none"/>
        </w:rPr>
        <w:t>年；</w:t>
      </w:r>
    </w:p>
    <w:p w14:paraId="6D8140A0">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5．供热与供冷系统为</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u w:val="none"/>
        </w:rPr>
        <w:t>个采暖期、供冷期；</w:t>
      </w:r>
    </w:p>
    <w:p w14:paraId="156B421F">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u w:val="none"/>
        </w:rPr>
        <w:t>6．住宅小区内的给排水设施、道路等配套工程为</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u w:val="none"/>
        </w:rPr>
        <w:t>年；</w:t>
      </w:r>
    </w:p>
    <w:p w14:paraId="0D2C8773">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u w:val="none"/>
        </w:rPr>
        <w:t>7．其他项目保修期限约定如</w:t>
      </w:r>
      <w:r>
        <w:rPr>
          <w:rFonts w:hint="eastAsia" w:ascii="宋体" w:hAnsi="宋体" w:eastAsia="宋体" w:cs="宋体"/>
          <w:color w:val="000000"/>
          <w:sz w:val="24"/>
          <w:szCs w:val="24"/>
          <w:highlight w:val="none"/>
          <w:u w:val="none"/>
        </w:rPr>
        <w:t>下：</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 xml:space="preserve">年。 </w:t>
      </w:r>
    </w:p>
    <w:p w14:paraId="3A98F3B2">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质量保修期自工程竣工验收合格之日起计算。</w:t>
      </w:r>
    </w:p>
    <w:p w14:paraId="0927FD04">
      <w:pPr>
        <w:keepNext w:val="0"/>
        <w:keepLines w:val="0"/>
        <w:pageBreakBefore w:val="0"/>
        <w:widowControl w:val="0"/>
        <w:wordWrap/>
        <w:overflowPunct/>
        <w:topLinePunct w:val="0"/>
        <w:bidi w:val="0"/>
        <w:spacing w:line="360" w:lineRule="auto"/>
        <w:ind w:firstLine="720" w:firstLineChars="30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u w:val="single"/>
          <w:lang w:val="en-US" w:eastAsia="zh-CN"/>
        </w:rPr>
        <w:t>本项目质量保修期为一年。</w:t>
      </w:r>
    </w:p>
    <w:p w14:paraId="641E0A49">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三、缺陷责任期</w:t>
      </w:r>
    </w:p>
    <w:p w14:paraId="03812899">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工程缺陷责任期为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12 </w:t>
      </w:r>
      <w:r>
        <w:rPr>
          <w:rFonts w:hint="eastAsia" w:ascii="宋体" w:hAnsi="宋体" w:eastAsia="宋体" w:cs="宋体"/>
          <w:color w:val="000000"/>
          <w:sz w:val="24"/>
          <w:szCs w:val="24"/>
          <w:highlight w:val="none"/>
          <w:u w:val="none"/>
        </w:rPr>
        <w:t>个月，缺陷责任期自工程通过竣工验收之日起计算。单位工程先于全部工程进行验收，单位工程缺陷责任期自单位工程验收合格之日起算。</w:t>
      </w:r>
    </w:p>
    <w:p w14:paraId="63A78A1F">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none"/>
        </w:rPr>
        <w:t>缺陷责任期终止后，发包人应退还剩余的质量保证金。</w:t>
      </w:r>
    </w:p>
    <w:p w14:paraId="740FB022">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四、质量保修责任</w:t>
      </w:r>
    </w:p>
    <w:p w14:paraId="3AA04D0D">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1．属于保修范围、内容的项目，承包人应当在接到保修通知之日起7天内派人保修。承包人不在约定期限内派人保修的，发包人可以委托他人修理。</w:t>
      </w:r>
    </w:p>
    <w:p w14:paraId="244B2228">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2．发生紧急事故需抢修的，承包人在接到事故通知后，应当立即到达事故现场抢修。</w:t>
      </w:r>
    </w:p>
    <w:p w14:paraId="143E52DD">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8AF495">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u w:val="none"/>
        </w:rPr>
        <w:t>4．质量保修完成后，由发包人组织验收。</w:t>
      </w:r>
    </w:p>
    <w:p w14:paraId="3D023EE3">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五、保修费用</w:t>
      </w:r>
    </w:p>
    <w:p w14:paraId="34F799FE">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保修费用由造成质量缺陷的责任方承担。</w:t>
      </w:r>
    </w:p>
    <w:p w14:paraId="3478E20C">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u w:val="none"/>
        </w:rPr>
        <w:t>六、双方约定的其他工程质量保修事项：</w:t>
      </w:r>
      <w:r>
        <w:rPr>
          <w:rFonts w:hint="eastAsia" w:ascii="宋体" w:hAnsi="宋体" w:eastAsia="宋体" w:cs="宋体"/>
          <w:color w:val="000000"/>
          <w:sz w:val="24"/>
          <w:szCs w:val="24"/>
          <w:u w:val="single"/>
        </w:rPr>
        <w:t xml:space="preserve">  无  </w:t>
      </w:r>
    </w:p>
    <w:p w14:paraId="2C4EDCD6">
      <w:pPr>
        <w:keepNext w:val="0"/>
        <w:keepLines w:val="0"/>
        <w:pageBreakBefore w:val="0"/>
        <w:widowControl w:val="0"/>
        <w:wordWrap/>
        <w:overflowPunct/>
        <w:topLinePunct w:val="0"/>
        <w:bidi w:val="0"/>
        <w:spacing w:line="360" w:lineRule="auto"/>
        <w:ind w:firstLine="56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工程质量保修书由发包人、承包人在工程竣工验收前共同签署，作为施工合同附件，其有效期限至保修期满。</w:t>
      </w:r>
    </w:p>
    <w:p w14:paraId="28989FFE">
      <w:pPr>
        <w:pStyle w:val="9"/>
        <w:keepNext w:val="0"/>
        <w:keepLines w:val="0"/>
        <w:pageBreakBefore w:val="0"/>
        <w:widowControl w:val="0"/>
        <w:wordWrap/>
        <w:overflowPunct/>
        <w:topLinePunct w:val="0"/>
        <w:bidi w:val="0"/>
        <w:rPr>
          <w:rFonts w:hint="eastAsia" w:ascii="宋体" w:hAnsi="宋体" w:eastAsia="宋体" w:cs="宋体"/>
          <w:sz w:val="24"/>
          <w:szCs w:val="24"/>
        </w:rPr>
      </w:pPr>
    </w:p>
    <w:tbl>
      <w:tblPr>
        <w:tblStyle w:val="19"/>
        <w:tblW w:w="0" w:type="auto"/>
        <w:tblInd w:w="250" w:type="dxa"/>
        <w:tblLayout w:type="fixed"/>
        <w:tblCellMar>
          <w:top w:w="0" w:type="dxa"/>
          <w:left w:w="108" w:type="dxa"/>
          <w:bottom w:w="0" w:type="dxa"/>
          <w:right w:w="108" w:type="dxa"/>
        </w:tblCellMar>
      </w:tblPr>
      <w:tblGrid>
        <w:gridCol w:w="4663"/>
        <w:gridCol w:w="4789"/>
      </w:tblGrid>
      <w:tr w14:paraId="055A8C94">
        <w:tblPrEx>
          <w:tblCellMar>
            <w:top w:w="0" w:type="dxa"/>
            <w:left w:w="108" w:type="dxa"/>
            <w:bottom w:w="0" w:type="dxa"/>
            <w:right w:w="108" w:type="dxa"/>
          </w:tblCellMar>
        </w:tblPrEx>
        <w:trPr>
          <w:trHeight w:val="2615" w:hRule="atLeast"/>
        </w:trPr>
        <w:tc>
          <w:tcPr>
            <w:tcW w:w="4663" w:type="dxa"/>
            <w:noWrap w:val="0"/>
            <w:vAlign w:val="top"/>
          </w:tcPr>
          <w:p w14:paraId="163D9B81">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rPr>
              <w:t>发包人</w:t>
            </w:r>
            <w:r>
              <w:rPr>
                <w:rFonts w:hint="eastAsia" w:ascii="宋体" w:hAnsi="宋体" w:eastAsia="宋体" w:cs="宋体"/>
                <w:color w:val="000000"/>
                <w:sz w:val="24"/>
                <w:szCs w:val="24"/>
                <w:u w:val="single"/>
                <w:lang w:val="en-US" w:eastAsia="zh-CN"/>
              </w:rPr>
              <w:t xml:space="preserve">：                       </w:t>
            </w:r>
          </w:p>
          <w:p w14:paraId="7CD7FFC8">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（公章)</w:t>
            </w:r>
          </w:p>
          <w:p w14:paraId="3193D26E">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法定代表人</w:t>
            </w:r>
          </w:p>
          <w:p w14:paraId="61B5CE86">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或授权代表</w:t>
            </w:r>
            <w:r>
              <w:rPr>
                <w:rFonts w:hint="eastAsia" w:ascii="宋体" w:hAnsi="宋体" w:eastAsia="宋体" w:cs="宋体"/>
                <w:color w:val="000000"/>
                <w:sz w:val="24"/>
                <w:szCs w:val="24"/>
                <w:u w:val="none"/>
              </w:rPr>
              <w:t>（签字</w:t>
            </w:r>
            <w:r>
              <w:rPr>
                <w:rFonts w:hint="eastAsia" w:ascii="宋体" w:hAnsi="宋体" w:eastAsia="宋体" w:cs="宋体"/>
                <w:color w:val="000000"/>
                <w:sz w:val="24"/>
                <w:szCs w:val="24"/>
                <w:u w:val="none"/>
                <w:lang w:val="en-US" w:eastAsia="zh-CN"/>
              </w:rPr>
              <w:t>或盖章</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single"/>
              </w:rPr>
              <w:t xml:space="preserve">           </w:t>
            </w:r>
          </w:p>
          <w:p w14:paraId="52C62A5D">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val="en-US" w:eastAsia="zh-CN"/>
              </w:rPr>
              <w:t>日期：</w:t>
            </w:r>
          </w:p>
        </w:tc>
        <w:tc>
          <w:tcPr>
            <w:tcW w:w="4789" w:type="dxa"/>
            <w:noWrap w:val="0"/>
            <w:vAlign w:val="top"/>
          </w:tcPr>
          <w:p w14:paraId="3362255A">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rPr>
              <w:t>承包人：</w:t>
            </w:r>
            <w:r>
              <w:rPr>
                <w:rFonts w:hint="eastAsia" w:ascii="宋体" w:hAnsi="宋体" w:eastAsia="宋体" w:cs="宋体"/>
                <w:color w:val="000000"/>
                <w:sz w:val="24"/>
                <w:szCs w:val="24"/>
                <w:u w:val="single"/>
                <w:lang w:val="en-US" w:eastAsia="zh-CN"/>
              </w:rPr>
              <w:t xml:space="preserve">                      </w:t>
            </w:r>
          </w:p>
          <w:p w14:paraId="69EB46A9">
            <w:pPr>
              <w:keepNext w:val="0"/>
              <w:keepLines w:val="0"/>
              <w:pageBreakBefore w:val="0"/>
              <w:widowControl w:val="0"/>
              <w:wordWrap/>
              <w:overflowPunct/>
              <w:topLinePunct w:val="0"/>
              <w:bidi w:val="0"/>
              <w:spacing w:line="360" w:lineRule="auto"/>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(公章)</w:t>
            </w:r>
          </w:p>
          <w:p w14:paraId="6666C8A6">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法定代表人</w:t>
            </w:r>
          </w:p>
          <w:p w14:paraId="55661DB9">
            <w:pPr>
              <w:keepNext w:val="0"/>
              <w:keepLines w:val="0"/>
              <w:pageBreakBefore w:val="0"/>
              <w:widowControl w:val="0"/>
              <w:wordWrap/>
              <w:overflowPunct/>
              <w:topLinePunct w:val="0"/>
              <w:bidi w:val="0"/>
              <w:spacing w:line="360" w:lineRule="auto"/>
              <w:ind w:firstLine="0" w:firstLineChars="0"/>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或授权代表</w:t>
            </w:r>
            <w:r>
              <w:rPr>
                <w:rFonts w:hint="eastAsia" w:ascii="宋体" w:hAnsi="宋体" w:eastAsia="宋体" w:cs="宋体"/>
                <w:color w:val="000000"/>
                <w:sz w:val="24"/>
                <w:szCs w:val="24"/>
                <w:u w:val="none"/>
              </w:rPr>
              <w:t>（签字</w:t>
            </w:r>
            <w:r>
              <w:rPr>
                <w:rFonts w:hint="eastAsia" w:ascii="宋体" w:hAnsi="宋体" w:eastAsia="宋体" w:cs="宋体"/>
                <w:color w:val="000000"/>
                <w:sz w:val="24"/>
                <w:szCs w:val="24"/>
                <w:u w:val="none"/>
                <w:lang w:val="en-US" w:eastAsia="zh-CN"/>
              </w:rPr>
              <w:t>或盖章</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single"/>
              </w:rPr>
              <w:t xml:space="preserve">           </w:t>
            </w:r>
          </w:p>
          <w:p w14:paraId="07298443">
            <w:pPr>
              <w:keepNext w:val="0"/>
              <w:keepLines w:val="0"/>
              <w:pageBreakBefore w:val="0"/>
              <w:widowControl w:val="0"/>
              <w:wordWrap/>
              <w:overflowPunct/>
              <w:topLinePunct w:val="0"/>
              <w:bidi w:val="0"/>
              <w:spacing w:line="360" w:lineRule="auto"/>
              <w:ind w:firstLine="0" w:firstLineChars="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none"/>
                <w:lang w:val="en-US" w:eastAsia="zh-CN"/>
              </w:rPr>
              <w:t>日期：</w:t>
            </w:r>
          </w:p>
        </w:tc>
      </w:tr>
    </w:tbl>
    <w:p w14:paraId="3352BF78">
      <w:pPr>
        <w:keepNext w:val="0"/>
        <w:keepLines w:val="0"/>
        <w:pageBreakBefore w:val="0"/>
        <w:widowControl w:val="0"/>
        <w:wordWrap/>
        <w:overflowPunct/>
        <w:topLinePunct w:val="0"/>
        <w:bidi w:val="0"/>
        <w:rPr>
          <w:rFonts w:hint="eastAsia" w:ascii="宋体" w:hAnsi="宋体" w:eastAsia="宋体" w:cs="宋体"/>
          <w:sz w:val="21"/>
          <w:szCs w:val="21"/>
        </w:rPr>
      </w:pPr>
    </w:p>
    <w:p w14:paraId="11DFEE36">
      <w:pPr>
        <w:pStyle w:val="2"/>
        <w:tabs>
          <w:tab w:val="left" w:pos="1921"/>
        </w:tabs>
        <w:spacing w:before="22"/>
        <w:ind w:left="114"/>
        <w:jc w:val="center"/>
        <w:outlineLvl w:val="0"/>
        <w:rPr>
          <w:rFonts w:hint="eastAsia" w:ascii="宋体" w:hAnsi="宋体" w:eastAsia="宋体" w:cs="宋体"/>
        </w:rPr>
        <w:sectPr>
          <w:footerReference r:id="rId14" w:type="default"/>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51B5B1DC">
      <w:pPr>
        <w:pStyle w:val="2"/>
        <w:tabs>
          <w:tab w:val="left" w:pos="1921"/>
        </w:tabs>
        <w:spacing w:before="22"/>
        <w:ind w:left="114"/>
        <w:jc w:val="center"/>
        <w:outlineLvl w:val="0"/>
        <w:rPr>
          <w:rFonts w:hint="eastAsia" w:ascii="宋体" w:hAnsi="宋体" w:eastAsia="宋体" w:cs="宋体"/>
        </w:rPr>
      </w:pPr>
      <w:bookmarkStart w:id="429" w:name="_Toc28736"/>
      <w:bookmarkStart w:id="430" w:name="_Toc20220"/>
      <w:bookmarkStart w:id="431" w:name="_Toc31804"/>
      <w:bookmarkStart w:id="432" w:name="_Toc10900"/>
      <w:bookmarkStart w:id="433" w:name="_Toc24802"/>
      <w:bookmarkStart w:id="434" w:name="_Toc7866"/>
      <w:bookmarkStart w:id="435" w:name="_Toc26239"/>
      <w:r>
        <w:rPr>
          <w:rFonts w:hint="eastAsia" w:ascii="宋体" w:hAnsi="宋体" w:eastAsia="宋体" w:cs="宋体"/>
        </w:rPr>
        <w:t>第</w:t>
      </w:r>
      <w:r>
        <w:rPr>
          <w:rFonts w:hint="eastAsia" w:ascii="宋体" w:hAnsi="宋体" w:eastAsia="宋体" w:cs="宋体"/>
          <w:lang w:eastAsia="zh-CN"/>
        </w:rPr>
        <w:t>六</w:t>
      </w:r>
      <w:r>
        <w:rPr>
          <w:rFonts w:hint="eastAsia" w:ascii="宋体" w:hAnsi="宋体" w:eastAsia="宋体" w:cs="宋体"/>
        </w:rPr>
        <w:t>部分</w:t>
      </w:r>
      <w:r>
        <w:rPr>
          <w:rFonts w:hint="eastAsia" w:ascii="宋体" w:hAnsi="宋体" w:eastAsia="宋体" w:cs="宋体"/>
          <w:lang w:val="en-US" w:eastAsia="zh-CN"/>
        </w:rPr>
        <w:t xml:space="preserve">  </w:t>
      </w:r>
      <w:r>
        <w:rPr>
          <w:rFonts w:hint="eastAsia" w:ascii="宋体" w:hAnsi="宋体" w:eastAsia="宋体" w:cs="宋体"/>
        </w:rPr>
        <w:t>响应文件格式</w:t>
      </w:r>
      <w:bookmarkEnd w:id="405"/>
      <w:bookmarkEnd w:id="406"/>
      <w:bookmarkEnd w:id="407"/>
      <w:bookmarkEnd w:id="429"/>
      <w:bookmarkEnd w:id="430"/>
      <w:bookmarkEnd w:id="431"/>
      <w:bookmarkEnd w:id="432"/>
      <w:bookmarkEnd w:id="433"/>
      <w:bookmarkEnd w:id="434"/>
      <w:bookmarkEnd w:id="435"/>
    </w:p>
    <w:p w14:paraId="55E72FEB">
      <w:pPr>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hint="eastAsia" w:ascii="宋体" w:hAnsi="宋体" w:eastAsia="宋体" w:cs="宋体"/>
          <w:b/>
          <w:sz w:val="44"/>
        </w:rPr>
      </w:pPr>
      <w:r>
        <w:rPr>
          <w:rFonts w:hint="eastAsia" w:ascii="宋体" w:hAnsi="宋体" w:eastAsia="宋体" w:cs="宋体"/>
          <w:b/>
          <w:sz w:val="44"/>
        </w:rPr>
        <w:t>（封面）</w:t>
      </w:r>
    </w:p>
    <w:p w14:paraId="55AAA202">
      <w:pPr>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left"/>
        <w:textAlignment w:val="auto"/>
        <w:outlineLvl w:val="9"/>
        <w:rPr>
          <w:rFonts w:hint="eastAsia" w:ascii="宋体" w:hAnsi="宋体" w:eastAsia="宋体" w:cs="宋体"/>
          <w:b/>
          <w:bCs/>
          <w:highlight w:val="none"/>
          <w:lang w:val="en-US" w:eastAsia="zh-CN"/>
        </w:rPr>
      </w:pPr>
      <w:bookmarkStart w:id="436" w:name="_Toc26094"/>
      <w:r>
        <w:rPr>
          <w:rFonts w:hint="eastAsia" w:ascii="宋体" w:hAnsi="宋体" w:eastAsia="宋体" w:cs="宋体"/>
          <w:b/>
          <w:bCs/>
          <w:highlight w:val="none"/>
        </w:rPr>
        <w:t>采购项目编号：</w:t>
      </w:r>
      <w:r>
        <w:rPr>
          <w:rFonts w:hint="eastAsia" w:ascii="宋体" w:hAnsi="宋体" w:eastAsia="宋体" w:cs="宋体"/>
          <w:b/>
          <w:bCs/>
          <w:highlight w:val="none"/>
          <w:lang w:val="en-US" w:eastAsia="zh-CN"/>
        </w:rPr>
        <w:t>ZXGJLTFGS-2025-0</w:t>
      </w:r>
      <w:bookmarkEnd w:id="436"/>
      <w:r>
        <w:rPr>
          <w:rFonts w:hint="eastAsia" w:ascii="宋体" w:hAnsi="宋体" w:eastAsia="宋体" w:cs="宋体"/>
          <w:b/>
          <w:bCs/>
          <w:highlight w:val="none"/>
          <w:lang w:val="en-US" w:eastAsia="zh-CN"/>
        </w:rPr>
        <w:t>22</w:t>
      </w:r>
    </w:p>
    <w:p w14:paraId="0DEB708E">
      <w:pPr>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hint="eastAsia" w:ascii="宋体" w:hAnsi="宋体" w:eastAsia="宋体" w:cs="宋体"/>
          <w:b/>
          <w:sz w:val="44"/>
          <w:lang w:eastAsia="zh-CN"/>
        </w:rPr>
      </w:pPr>
    </w:p>
    <w:p w14:paraId="02F9EC64">
      <w:pPr>
        <w:pStyle w:val="9"/>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hint="eastAsia" w:ascii="宋体" w:hAnsi="宋体" w:eastAsia="宋体" w:cs="宋体"/>
          <w:b/>
          <w:sz w:val="36"/>
        </w:rPr>
      </w:pPr>
      <w:r>
        <w:rPr>
          <w:rFonts w:hint="eastAsia" w:ascii="宋体" w:hAnsi="宋体" w:eastAsia="宋体" w:cs="宋体"/>
          <w:b/>
          <w:sz w:val="44"/>
          <w:lang w:eastAsia="zh-CN"/>
        </w:rPr>
        <w:t>仁宗街办仁宗村水毁重建项目</w:t>
      </w:r>
    </w:p>
    <w:p w14:paraId="73D770E4">
      <w:pPr>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hint="eastAsia" w:ascii="宋体" w:hAnsi="宋体" w:eastAsia="宋体" w:cs="宋体"/>
          <w:b/>
          <w:sz w:val="48"/>
        </w:rPr>
      </w:pPr>
    </w:p>
    <w:p w14:paraId="1EFB67BE">
      <w:pPr>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hint="eastAsia" w:ascii="宋体" w:hAnsi="宋体" w:eastAsia="宋体" w:cs="宋体"/>
          <w:b/>
          <w:sz w:val="48"/>
        </w:rPr>
      </w:pPr>
      <w:r>
        <w:rPr>
          <w:rFonts w:hint="eastAsia" w:ascii="宋体" w:hAnsi="宋体" w:eastAsia="宋体" w:cs="宋体"/>
          <w:b/>
          <w:sz w:val="48"/>
        </w:rPr>
        <w:t>磋商响应文件</w:t>
      </w:r>
    </w:p>
    <w:p w14:paraId="373A6CB7">
      <w:pPr>
        <w:spacing w:before="211"/>
        <w:ind w:right="809"/>
        <w:jc w:val="center"/>
        <w:rPr>
          <w:rFonts w:hint="eastAsia" w:ascii="宋体" w:hAnsi="宋体" w:eastAsia="宋体" w:cs="宋体"/>
          <w:b/>
          <w:sz w:val="32"/>
        </w:rPr>
      </w:pPr>
      <w:r>
        <w:rPr>
          <w:rFonts w:hint="eastAsia" w:ascii="宋体" w:hAnsi="宋体" w:eastAsia="宋体" w:cs="宋体"/>
          <w:b/>
          <w:w w:val="95"/>
          <w:sz w:val="32"/>
        </w:rPr>
        <w:t>（</w:t>
      </w:r>
      <w:r>
        <w:rPr>
          <w:rFonts w:hint="eastAsia" w:ascii="宋体" w:hAnsi="宋体" w:eastAsia="宋体" w:cs="宋体"/>
          <w:b/>
          <w:w w:val="95"/>
          <w:sz w:val="30"/>
        </w:rPr>
        <w:t>正本/副本</w:t>
      </w:r>
      <w:r>
        <w:rPr>
          <w:rFonts w:hint="eastAsia" w:ascii="宋体" w:hAnsi="宋体" w:eastAsia="宋体" w:cs="宋体"/>
          <w:b/>
          <w:w w:val="95"/>
          <w:sz w:val="32"/>
        </w:rPr>
        <w:t>）</w:t>
      </w:r>
    </w:p>
    <w:p w14:paraId="1DFBF882">
      <w:pPr>
        <w:pStyle w:val="9"/>
        <w:rPr>
          <w:rFonts w:hint="eastAsia" w:ascii="宋体" w:hAnsi="宋体" w:eastAsia="宋体" w:cs="宋体"/>
          <w:b/>
          <w:sz w:val="32"/>
        </w:rPr>
      </w:pPr>
    </w:p>
    <w:p w14:paraId="05A24B4A">
      <w:pPr>
        <w:pStyle w:val="9"/>
        <w:keepNext w:val="0"/>
        <w:keepLines w:val="0"/>
        <w:pageBreakBefore w:val="0"/>
        <w:widowControl w:val="0"/>
        <w:kinsoku/>
        <w:wordWrap/>
        <w:overflowPunct/>
        <w:topLinePunct w:val="0"/>
        <w:autoSpaceDE w:val="0"/>
        <w:autoSpaceDN w:val="0"/>
        <w:bidi w:val="0"/>
        <w:adjustRightInd/>
        <w:snapToGrid/>
        <w:spacing w:before="0"/>
        <w:ind w:right="0" w:firstLine="723" w:firstLineChars="200"/>
        <w:textAlignment w:val="auto"/>
        <w:rPr>
          <w:rFonts w:hint="eastAsia" w:ascii="宋体" w:hAnsi="宋体" w:eastAsia="宋体" w:cs="宋体"/>
          <w:b/>
          <w:sz w:val="36"/>
        </w:rPr>
      </w:pPr>
    </w:p>
    <w:p w14:paraId="39110986">
      <w:pPr>
        <w:keepNext w:val="0"/>
        <w:keepLines w:val="0"/>
        <w:pageBreakBefore w:val="0"/>
        <w:widowControl w:val="0"/>
        <w:tabs>
          <w:tab w:val="left" w:pos="4678"/>
          <w:tab w:val="left" w:pos="5382"/>
          <w:tab w:val="left" w:pos="6956"/>
        </w:tabs>
        <w:kinsoku/>
        <w:wordWrap/>
        <w:overflowPunct/>
        <w:topLinePunct w:val="0"/>
        <w:autoSpaceDE w:val="0"/>
        <w:autoSpaceDN w:val="0"/>
        <w:bidi w:val="0"/>
        <w:adjustRightInd/>
        <w:snapToGrid/>
        <w:spacing w:before="0" w:line="609" w:lineRule="auto"/>
        <w:ind w:right="0"/>
        <w:jc w:val="both"/>
        <w:textAlignment w:val="auto"/>
        <w:outlineLvl w:val="9"/>
        <w:rPr>
          <w:rFonts w:hint="eastAsia" w:ascii="宋体" w:hAnsi="宋体" w:eastAsia="宋体" w:cs="宋体"/>
        </w:rPr>
      </w:pPr>
    </w:p>
    <w:p w14:paraId="065D4E34">
      <w:pPr>
        <w:keepNext w:val="0"/>
        <w:keepLines w:val="0"/>
        <w:pageBreakBefore w:val="0"/>
        <w:widowControl w:val="0"/>
        <w:tabs>
          <w:tab w:val="left" w:pos="4678"/>
          <w:tab w:val="left" w:pos="5382"/>
          <w:tab w:val="left" w:pos="6956"/>
        </w:tabs>
        <w:kinsoku/>
        <w:wordWrap/>
        <w:overflowPunct/>
        <w:topLinePunct w:val="0"/>
        <w:autoSpaceDE w:val="0"/>
        <w:autoSpaceDN w:val="0"/>
        <w:bidi w:val="0"/>
        <w:adjustRightInd/>
        <w:snapToGrid/>
        <w:spacing w:before="0" w:line="609" w:lineRule="auto"/>
        <w:ind w:right="0"/>
        <w:jc w:val="both"/>
        <w:textAlignment w:val="auto"/>
        <w:outlineLvl w:val="9"/>
        <w:rPr>
          <w:rFonts w:hint="eastAsia" w:ascii="宋体" w:hAnsi="宋体" w:eastAsia="宋体" w:cs="宋体"/>
        </w:rPr>
      </w:pPr>
    </w:p>
    <w:p w14:paraId="3F24A989">
      <w:pPr>
        <w:keepNext w:val="0"/>
        <w:keepLines w:val="0"/>
        <w:pageBreakBefore w:val="0"/>
        <w:widowControl w:val="0"/>
        <w:tabs>
          <w:tab w:val="left" w:pos="4678"/>
          <w:tab w:val="left" w:pos="5382"/>
          <w:tab w:val="left" w:pos="6956"/>
        </w:tabs>
        <w:kinsoku/>
        <w:wordWrap/>
        <w:overflowPunct/>
        <w:topLinePunct w:val="0"/>
        <w:autoSpaceDE w:val="0"/>
        <w:autoSpaceDN w:val="0"/>
        <w:bidi w:val="0"/>
        <w:adjustRightInd/>
        <w:snapToGrid/>
        <w:spacing w:before="0" w:line="609" w:lineRule="auto"/>
        <w:ind w:left="0" w:leftChars="0" w:right="0" w:firstLine="480" w:firstLineChars="200"/>
        <w:jc w:val="center"/>
        <w:textAlignment w:val="auto"/>
        <w:outlineLvl w:val="9"/>
        <w:rPr>
          <w:rFonts w:hint="eastAsia" w:ascii="宋体" w:hAnsi="宋体" w:eastAsia="宋体" w:cs="宋体"/>
        </w:rPr>
      </w:pPr>
    </w:p>
    <w:p w14:paraId="6ECCBC22">
      <w:pPr>
        <w:keepNext w:val="0"/>
        <w:keepLines w:val="0"/>
        <w:pageBreakBefore w:val="0"/>
        <w:widowControl w:val="0"/>
        <w:tabs>
          <w:tab w:val="left" w:pos="4678"/>
          <w:tab w:val="left" w:pos="5382"/>
          <w:tab w:val="left" w:pos="6956"/>
        </w:tabs>
        <w:kinsoku/>
        <w:wordWrap/>
        <w:overflowPunct/>
        <w:topLinePunct w:val="0"/>
        <w:autoSpaceDE w:val="0"/>
        <w:autoSpaceDN w:val="0"/>
        <w:bidi w:val="0"/>
        <w:adjustRightInd/>
        <w:snapToGrid/>
        <w:spacing w:before="0" w:line="609" w:lineRule="auto"/>
        <w:ind w:left="0" w:leftChars="0" w:right="0" w:firstLine="562" w:firstLineChars="200"/>
        <w:jc w:val="center"/>
        <w:textAlignment w:val="auto"/>
        <w:outlineLvl w:val="9"/>
        <w:rPr>
          <w:rFonts w:hint="eastAsia" w:ascii="宋体" w:hAnsi="宋体" w:eastAsia="宋体" w:cs="宋体"/>
          <w:b/>
          <w:bCs/>
          <w:spacing w:val="-15"/>
          <w:sz w:val="28"/>
          <w:szCs w:val="28"/>
        </w:rPr>
      </w:pPr>
      <w:r>
        <w:rPr>
          <w:rFonts w:hint="eastAsia" w:ascii="宋体" w:hAnsi="宋体" w:eastAsia="宋体" w:cs="宋体"/>
          <w:b/>
          <w:bCs/>
          <w:sz w:val="28"/>
          <w:szCs w:val="28"/>
        </w:rPr>
        <w:t>供应商名称：</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rPr>
        <w:tab/>
      </w:r>
      <w:r>
        <w:rPr>
          <w:rFonts w:hint="eastAsia" w:ascii="宋体" w:hAnsi="宋体" w:eastAsia="宋体" w:cs="宋体"/>
          <w:b/>
          <w:bCs/>
          <w:sz w:val="28"/>
          <w:szCs w:val="28"/>
        </w:rPr>
        <w:t>（公章</w:t>
      </w:r>
      <w:r>
        <w:rPr>
          <w:rFonts w:hint="eastAsia" w:ascii="宋体" w:hAnsi="宋体" w:eastAsia="宋体" w:cs="宋体"/>
          <w:b/>
          <w:bCs/>
          <w:spacing w:val="-15"/>
          <w:sz w:val="28"/>
          <w:szCs w:val="28"/>
        </w:rPr>
        <w:t>）</w:t>
      </w:r>
    </w:p>
    <w:p w14:paraId="20FA7EA0">
      <w:pPr>
        <w:pStyle w:val="9"/>
        <w:ind w:firstLine="1255" w:firstLineChars="500"/>
        <w:rPr>
          <w:rFonts w:hint="eastAsia" w:ascii="宋体" w:hAnsi="宋体" w:eastAsia="宋体" w:cs="宋体"/>
          <w:lang w:eastAsia="zh-CN"/>
        </w:rPr>
      </w:pPr>
      <w:r>
        <w:rPr>
          <w:rFonts w:hint="eastAsia" w:ascii="宋体" w:hAnsi="宋体" w:eastAsia="宋体" w:cs="宋体"/>
          <w:b/>
          <w:bCs/>
          <w:spacing w:val="-15"/>
          <w:sz w:val="28"/>
          <w:szCs w:val="28"/>
          <w:lang w:eastAsia="zh-CN"/>
        </w:rPr>
        <w:t>法定代表人或授权委托人：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ab/>
      </w:r>
      <w:r>
        <w:rPr>
          <w:rFonts w:hint="eastAsia" w:ascii="宋体" w:hAnsi="宋体" w:eastAsia="宋体" w:cs="宋体"/>
          <w:b/>
          <w:bCs/>
          <w:sz w:val="28"/>
          <w:szCs w:val="28"/>
        </w:rPr>
        <w:t>（</w:t>
      </w:r>
      <w:r>
        <w:rPr>
          <w:rFonts w:hint="eastAsia" w:ascii="宋体" w:hAnsi="宋体" w:eastAsia="宋体" w:cs="宋体"/>
          <w:b/>
          <w:bCs/>
          <w:sz w:val="28"/>
          <w:szCs w:val="28"/>
          <w:lang w:eastAsia="zh-CN"/>
        </w:rPr>
        <w:t>签字或盖</w:t>
      </w:r>
      <w:r>
        <w:rPr>
          <w:rFonts w:hint="eastAsia" w:ascii="宋体" w:hAnsi="宋体" w:eastAsia="宋体" w:cs="宋体"/>
          <w:b/>
          <w:bCs/>
          <w:sz w:val="28"/>
          <w:szCs w:val="28"/>
        </w:rPr>
        <w:t>章</w:t>
      </w:r>
      <w:r>
        <w:rPr>
          <w:rFonts w:hint="eastAsia" w:ascii="宋体" w:hAnsi="宋体" w:eastAsia="宋体" w:cs="宋体"/>
          <w:b/>
          <w:bCs/>
          <w:spacing w:val="-15"/>
          <w:sz w:val="28"/>
          <w:szCs w:val="28"/>
        </w:rPr>
        <w:t>）</w:t>
      </w:r>
    </w:p>
    <w:p w14:paraId="5C9A444D">
      <w:pPr>
        <w:keepNext w:val="0"/>
        <w:keepLines w:val="0"/>
        <w:pageBreakBefore w:val="0"/>
        <w:widowControl w:val="0"/>
        <w:tabs>
          <w:tab w:val="left" w:pos="4678"/>
          <w:tab w:val="left" w:pos="5382"/>
          <w:tab w:val="left" w:pos="6956"/>
        </w:tabs>
        <w:kinsoku/>
        <w:wordWrap/>
        <w:overflowPunct/>
        <w:topLinePunct w:val="0"/>
        <w:autoSpaceDE w:val="0"/>
        <w:autoSpaceDN w:val="0"/>
        <w:bidi w:val="0"/>
        <w:adjustRightInd/>
        <w:snapToGrid/>
        <w:spacing w:before="0" w:line="609" w:lineRule="auto"/>
        <w:ind w:left="0" w:leftChars="0" w:right="0" w:firstLine="562" w:firstLineChars="200"/>
        <w:jc w:val="center"/>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日</w:t>
      </w:r>
    </w:p>
    <w:p w14:paraId="1139E3B7">
      <w:pPr>
        <w:spacing w:after="0" w:line="609" w:lineRule="auto"/>
        <w:rPr>
          <w:rFonts w:hint="eastAsia" w:ascii="宋体" w:hAnsi="宋体" w:eastAsia="宋体" w:cs="宋体"/>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A54DAAE">
      <w:pPr>
        <w:pStyle w:val="9"/>
        <w:spacing w:line="20" w:lineRule="exact"/>
        <w:ind w:left="349"/>
        <w:rPr>
          <w:rFonts w:hint="eastAsia" w:ascii="宋体" w:hAnsi="宋体" w:eastAsia="宋体" w:cs="宋体"/>
          <w:sz w:val="2"/>
        </w:rPr>
      </w:pPr>
    </w:p>
    <w:p w14:paraId="1EFA330A">
      <w:pPr>
        <w:pStyle w:val="9"/>
        <w:spacing w:before="10"/>
        <w:jc w:val="center"/>
        <w:rPr>
          <w:rFonts w:hint="eastAsia" w:ascii="宋体" w:hAnsi="宋体" w:eastAsia="宋体" w:cs="宋体"/>
          <w:b w:val="0"/>
          <w:bCs/>
          <w:sz w:val="36"/>
          <w:szCs w:val="36"/>
          <w:lang w:val="en-US" w:eastAsia="zh-CN"/>
        </w:rPr>
      </w:pPr>
      <w:r>
        <w:rPr>
          <w:rFonts w:hint="eastAsia" w:ascii="宋体" w:hAnsi="宋体" w:eastAsia="宋体" w:cs="宋体"/>
          <w:b w:val="0"/>
          <w:bCs/>
          <w:sz w:val="36"/>
          <w:szCs w:val="36"/>
          <w:lang w:val="en-US" w:eastAsia="zh-CN"/>
        </w:rPr>
        <w:t>目录</w:t>
      </w:r>
    </w:p>
    <w:sdt>
      <w:sdtPr>
        <w:rPr>
          <w:rFonts w:hint="eastAsia" w:ascii="宋体" w:hAnsi="宋体" w:eastAsia="宋体" w:cs="宋体"/>
          <w:sz w:val="21"/>
          <w:szCs w:val="22"/>
          <w:lang w:val="zh-CN" w:eastAsia="zh-CN" w:bidi="zh-CN"/>
        </w:rPr>
        <w:id w:val="147469073"/>
        <w15:color w:val="DBDBDB"/>
        <w:docPartObj>
          <w:docPartGallery w:val="Table of Contents"/>
          <w:docPartUnique/>
        </w:docPartObj>
      </w:sdtPr>
      <w:sdtEndPr>
        <w:rPr>
          <w:rFonts w:hint="eastAsia" w:ascii="宋体" w:hAnsi="宋体" w:eastAsia="宋体" w:cs="宋体"/>
          <w:sz w:val="21"/>
          <w:szCs w:val="22"/>
          <w:lang w:val="zh-CN" w:eastAsia="zh-CN" w:bidi="zh-CN"/>
        </w:rPr>
      </w:sdtEndPr>
      <w:sdtContent>
        <w:p w14:paraId="7BD5CD11">
          <w:pPr>
            <w:spacing w:before="0" w:beforeLines="0" w:after="0" w:afterLines="0" w:line="240" w:lineRule="auto"/>
            <w:ind w:left="0" w:leftChars="0" w:right="0" w:rightChars="0" w:firstLine="0" w:firstLineChars="0"/>
            <w:jc w:val="center"/>
            <w:rPr>
              <w:rFonts w:hint="eastAsia" w:ascii="宋体" w:hAnsi="宋体" w:eastAsia="宋体" w:cs="宋体"/>
            </w:rPr>
          </w:pPr>
        </w:p>
        <w:p w14:paraId="58D668AA">
          <w:pPr>
            <w:rPr>
              <w:rFonts w:hint="eastAsia" w:ascii="宋体" w:hAnsi="宋体" w:eastAsia="宋体" w:cs="宋体"/>
            </w:rPr>
          </w:pPr>
        </w:p>
      </w:sdtContent>
    </w:sdt>
    <w:p w14:paraId="0E04E70A">
      <w:pPr>
        <w:pStyle w:val="9"/>
        <w:numPr>
          <w:ilvl w:val="0"/>
          <w:numId w:val="8"/>
        </w:numPr>
        <w:rPr>
          <w:rFonts w:hint="eastAsia" w:ascii="宋体" w:hAnsi="宋体" w:eastAsia="宋体" w:cs="宋体"/>
          <w:lang w:eastAsia="zh-CN"/>
        </w:rPr>
      </w:pPr>
      <w:r>
        <w:rPr>
          <w:rFonts w:hint="eastAsia" w:ascii="宋体" w:hAnsi="宋体" w:eastAsia="宋体" w:cs="宋体"/>
          <w:lang w:eastAsia="zh-CN"/>
        </w:rPr>
        <w:t>磋商响应函</w:t>
      </w:r>
    </w:p>
    <w:p w14:paraId="3D489809">
      <w:pPr>
        <w:pStyle w:val="9"/>
        <w:numPr>
          <w:ilvl w:val="0"/>
          <w:numId w:val="8"/>
        </w:numPr>
        <w:ind w:left="0" w:leftChars="0" w:firstLine="480" w:firstLineChars="200"/>
        <w:rPr>
          <w:rFonts w:hint="eastAsia" w:ascii="宋体" w:hAnsi="宋体" w:eastAsia="宋体" w:cs="宋体"/>
          <w:lang w:eastAsia="zh-CN"/>
        </w:rPr>
      </w:pPr>
      <w:r>
        <w:rPr>
          <w:rFonts w:hint="eastAsia" w:ascii="宋体" w:hAnsi="宋体" w:eastAsia="宋体" w:cs="宋体"/>
          <w:lang w:eastAsia="zh-CN"/>
        </w:rPr>
        <w:t>磋商报价表</w:t>
      </w:r>
    </w:p>
    <w:p w14:paraId="5162C857">
      <w:pPr>
        <w:pStyle w:val="9"/>
        <w:numPr>
          <w:ilvl w:val="0"/>
          <w:numId w:val="8"/>
        </w:numPr>
        <w:ind w:left="0" w:leftChars="0" w:firstLine="480" w:firstLineChars="200"/>
        <w:rPr>
          <w:rFonts w:hint="eastAsia" w:ascii="宋体" w:hAnsi="宋体" w:eastAsia="宋体" w:cs="宋体"/>
          <w:lang w:eastAsia="zh-CN"/>
        </w:rPr>
      </w:pPr>
      <w:r>
        <w:rPr>
          <w:rFonts w:hint="eastAsia" w:ascii="宋体" w:hAnsi="宋体" w:eastAsia="宋体" w:cs="宋体"/>
          <w:lang w:eastAsia="zh-CN"/>
        </w:rPr>
        <w:t>商务偏离表</w:t>
      </w:r>
    </w:p>
    <w:p w14:paraId="67D41203">
      <w:pPr>
        <w:pStyle w:val="9"/>
        <w:numPr>
          <w:ilvl w:val="0"/>
          <w:numId w:val="8"/>
        </w:numPr>
        <w:ind w:left="0" w:leftChars="0" w:firstLine="480" w:firstLineChars="200"/>
        <w:rPr>
          <w:rFonts w:hint="eastAsia" w:ascii="宋体" w:hAnsi="宋体" w:eastAsia="宋体" w:cs="宋体"/>
          <w:lang w:eastAsia="zh-CN"/>
        </w:rPr>
      </w:pPr>
      <w:r>
        <w:rPr>
          <w:rFonts w:hint="eastAsia" w:ascii="宋体" w:hAnsi="宋体" w:eastAsia="宋体" w:cs="宋体"/>
          <w:lang w:eastAsia="zh-CN"/>
        </w:rPr>
        <w:t>资格证明文件</w:t>
      </w:r>
    </w:p>
    <w:p w14:paraId="62470C63">
      <w:pPr>
        <w:numPr>
          <w:ilvl w:val="0"/>
          <w:numId w:val="8"/>
        </w:numPr>
        <w:ind w:left="0" w:leftChars="0" w:firstLine="480" w:firstLineChars="200"/>
        <w:rPr>
          <w:rFonts w:hint="eastAsia" w:ascii="宋体" w:hAnsi="宋体" w:eastAsia="宋体" w:cs="宋体"/>
          <w:lang w:eastAsia="zh-CN"/>
        </w:rPr>
      </w:pPr>
      <w:r>
        <w:rPr>
          <w:rFonts w:hint="eastAsia" w:ascii="宋体" w:hAnsi="宋体" w:eastAsia="宋体" w:cs="宋体"/>
          <w:lang w:eastAsia="zh-CN"/>
        </w:rPr>
        <w:t>磋商方案说明</w:t>
      </w:r>
    </w:p>
    <w:p w14:paraId="5139D7C7">
      <w:pPr>
        <w:numPr>
          <w:ilvl w:val="0"/>
          <w:numId w:val="8"/>
        </w:numPr>
        <w:ind w:left="0" w:leftChars="0" w:firstLine="480" w:firstLineChars="200"/>
        <w:rPr>
          <w:rFonts w:hint="eastAsia" w:ascii="宋体" w:hAnsi="宋体" w:eastAsia="宋体" w:cs="宋体"/>
          <w:lang w:eastAsia="zh-CN"/>
        </w:rPr>
      </w:pPr>
      <w:r>
        <w:rPr>
          <w:rFonts w:hint="eastAsia" w:ascii="宋体" w:hAnsi="宋体" w:eastAsia="宋体" w:cs="宋体"/>
          <w:lang w:eastAsia="zh-CN"/>
        </w:rPr>
        <w:t>类似项目业绩一览表</w:t>
      </w:r>
    </w:p>
    <w:p w14:paraId="4BA6CB60">
      <w:pPr>
        <w:pStyle w:val="9"/>
        <w:numPr>
          <w:ilvl w:val="0"/>
          <w:numId w:val="8"/>
        </w:numPr>
        <w:ind w:left="0" w:leftChars="0" w:firstLine="480" w:firstLineChars="200"/>
        <w:rPr>
          <w:rFonts w:hint="eastAsia" w:ascii="宋体" w:hAnsi="宋体" w:eastAsia="宋体" w:cs="宋体"/>
          <w:lang w:eastAsia="zh-CN"/>
        </w:rPr>
      </w:pPr>
      <w:r>
        <w:rPr>
          <w:rFonts w:hint="eastAsia" w:ascii="宋体" w:hAnsi="宋体" w:eastAsia="宋体" w:cs="宋体"/>
          <w:lang w:eastAsia="zh-CN"/>
        </w:rPr>
        <w:t>供应商承诺书</w:t>
      </w:r>
    </w:p>
    <w:p w14:paraId="2B4A2A89">
      <w:pPr>
        <w:rPr>
          <w:rFonts w:hint="eastAsia" w:ascii="宋体" w:hAnsi="宋体" w:eastAsia="宋体" w:cs="宋体"/>
          <w:lang w:eastAsia="zh-CN"/>
        </w:rPr>
      </w:pPr>
      <w:r>
        <w:rPr>
          <w:rFonts w:hint="eastAsia" w:ascii="宋体" w:hAnsi="宋体" w:eastAsia="宋体" w:cs="宋体"/>
          <w:lang w:val="en-US" w:eastAsia="zh-CN"/>
        </w:rPr>
        <w:t>八</w:t>
      </w:r>
      <w:r>
        <w:rPr>
          <w:rFonts w:hint="eastAsia" w:ascii="宋体" w:hAnsi="宋体" w:eastAsia="宋体" w:cs="宋体"/>
          <w:lang w:eastAsia="zh-CN"/>
        </w:rPr>
        <w:t>、供应商认为有必要补充说明的事项</w:t>
      </w:r>
    </w:p>
    <w:p w14:paraId="2794D5C9">
      <w:pPr>
        <w:widowControl w:val="0"/>
        <w:numPr>
          <w:ilvl w:val="0"/>
          <w:numId w:val="0"/>
        </w:numPr>
        <w:autoSpaceDE w:val="0"/>
        <w:autoSpaceDN w:val="0"/>
        <w:spacing w:before="0" w:after="0" w:line="360" w:lineRule="auto"/>
        <w:ind w:right="0" w:rightChars="0"/>
        <w:jc w:val="left"/>
        <w:rPr>
          <w:rFonts w:hint="eastAsia" w:ascii="宋体" w:hAnsi="宋体" w:eastAsia="宋体" w:cs="宋体"/>
          <w:lang w:eastAsia="zh-CN"/>
        </w:rPr>
      </w:pPr>
    </w:p>
    <w:p w14:paraId="2C32C697">
      <w:pPr>
        <w:pStyle w:val="9"/>
        <w:rPr>
          <w:rFonts w:hint="eastAsia" w:ascii="宋体" w:hAnsi="宋体" w:eastAsia="宋体" w:cs="宋体"/>
          <w:lang w:eastAsia="zh-CN"/>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5BFBF343">
      <w:pPr>
        <w:pStyle w:val="9"/>
        <w:spacing w:line="20" w:lineRule="exact"/>
        <w:ind w:left="349"/>
        <w:rPr>
          <w:rFonts w:hint="eastAsia" w:ascii="宋体" w:hAnsi="宋体" w:eastAsia="宋体" w:cs="宋体"/>
          <w:sz w:val="2"/>
        </w:rPr>
      </w:pPr>
    </w:p>
    <w:p w14:paraId="639B7E35">
      <w:pPr>
        <w:pStyle w:val="3"/>
        <w:tabs>
          <w:tab w:val="left" w:pos="1712"/>
        </w:tabs>
        <w:spacing w:before="0"/>
        <w:ind w:left="0" w:leftChars="0" w:firstLine="0" w:firstLineChars="0"/>
        <w:jc w:val="center"/>
        <w:rPr>
          <w:rFonts w:hint="eastAsia" w:ascii="宋体" w:hAnsi="宋体" w:eastAsia="宋体" w:cs="宋体"/>
          <w:b/>
          <w:sz w:val="48"/>
        </w:rPr>
      </w:pPr>
      <w:bookmarkStart w:id="437" w:name="_bookmark5"/>
      <w:bookmarkEnd w:id="437"/>
      <w:bookmarkStart w:id="438" w:name="附件1  磋商响应函"/>
      <w:bookmarkEnd w:id="438"/>
      <w:bookmarkStart w:id="439" w:name="_Toc24948"/>
      <w:bookmarkStart w:id="440" w:name="_Toc12855"/>
      <w:bookmarkStart w:id="441" w:name="_Toc3648"/>
      <w:bookmarkStart w:id="442" w:name="_Toc26079"/>
      <w:bookmarkStart w:id="443" w:name="_Toc29084"/>
      <w:r>
        <w:rPr>
          <w:rFonts w:hint="eastAsia" w:ascii="宋体" w:hAnsi="宋体" w:eastAsia="宋体" w:cs="宋体"/>
          <w:lang w:eastAsia="zh-CN"/>
        </w:rPr>
        <w:t>一、</w:t>
      </w:r>
      <w:r>
        <w:rPr>
          <w:rFonts w:hint="eastAsia" w:ascii="宋体" w:hAnsi="宋体" w:eastAsia="宋体" w:cs="宋体"/>
        </w:rPr>
        <w:t>磋商响应函</w:t>
      </w:r>
      <w:bookmarkEnd w:id="439"/>
      <w:bookmarkEnd w:id="440"/>
      <w:bookmarkEnd w:id="441"/>
      <w:bookmarkEnd w:id="442"/>
      <w:bookmarkEnd w:id="443"/>
    </w:p>
    <w:p w14:paraId="26858C9D">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sz w:val="31"/>
          <w:lang w:val="en-US"/>
        </w:rPr>
      </w:pPr>
      <w:r>
        <w:rPr>
          <w:rFonts w:hint="eastAsia" w:ascii="宋体" w:hAnsi="宋体" w:eastAsia="宋体" w:cs="宋体"/>
        </w:rPr>
        <w:t>致：</w:t>
      </w:r>
      <w:r>
        <w:rPr>
          <w:rFonts w:hint="eastAsia" w:ascii="宋体" w:hAnsi="宋体" w:eastAsia="宋体" w:cs="宋体"/>
          <w:u w:val="single"/>
          <w:lang w:val="en-US" w:eastAsia="zh-CN"/>
        </w:rPr>
        <w:t xml:space="preserve">     （采购人名称）        </w:t>
      </w:r>
      <w:r>
        <w:rPr>
          <w:rFonts w:hint="eastAsia" w:ascii="宋体" w:hAnsi="宋体" w:eastAsia="宋体" w:cs="宋体"/>
          <w:lang w:val="en-US" w:eastAsia="zh-CN"/>
        </w:rPr>
        <w:t xml:space="preserve">  </w:t>
      </w:r>
    </w:p>
    <w:p w14:paraId="44C609D4">
      <w:pPr>
        <w:pStyle w:val="9"/>
        <w:keepNext w:val="0"/>
        <w:keepLines w:val="0"/>
        <w:pageBreakBefore w:val="0"/>
        <w:widowControl w:val="0"/>
        <w:tabs>
          <w:tab w:val="left" w:pos="8499"/>
        </w:tabs>
        <w:kinsoku/>
        <w:wordWrap/>
        <w:overflowPunct/>
        <w:topLinePunct w:val="0"/>
        <w:autoSpaceDE w:val="0"/>
        <w:autoSpaceDN w:val="0"/>
        <w:bidi w:val="0"/>
        <w:adjustRightInd/>
        <w:snapToGrid/>
        <w:spacing w:before="0" w:line="360" w:lineRule="auto"/>
        <w:ind w:left="0" w:right="0" w:firstLine="540"/>
        <w:jc w:val="left"/>
        <w:textAlignment w:val="auto"/>
        <w:rPr>
          <w:rFonts w:hint="eastAsia" w:ascii="宋体" w:hAnsi="宋体" w:eastAsia="宋体" w:cs="宋体"/>
        </w:rPr>
      </w:pPr>
      <w:r>
        <w:rPr>
          <w:rFonts w:hint="eastAsia" w:ascii="宋体" w:hAnsi="宋体" w:eastAsia="宋体" w:cs="宋体"/>
        </w:rPr>
        <w:t>根据</w:t>
      </w:r>
      <w:r>
        <w:rPr>
          <w:rFonts w:hint="eastAsia" w:ascii="宋体" w:hAnsi="宋体" w:eastAsia="宋体" w:cs="宋体"/>
          <w:u w:val="single"/>
        </w:rPr>
        <w:t>采购项目名称、采购项目编号</w:t>
      </w:r>
      <w:r>
        <w:rPr>
          <w:rFonts w:hint="eastAsia" w:ascii="宋体" w:hAnsi="宋体" w:eastAsia="宋体" w:cs="宋体"/>
          <w:spacing w:val="13"/>
          <w:u w:val="single"/>
        </w:rPr>
        <w:t xml:space="preserve"> </w:t>
      </w:r>
      <w:r>
        <w:rPr>
          <w:rFonts w:hint="eastAsia" w:ascii="宋体" w:hAnsi="宋体" w:eastAsia="宋体" w:cs="宋体"/>
        </w:rPr>
        <w:t>的竞争性磋商文件，签字代表</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spacing w:val="-16"/>
          <w:u w:val="single"/>
        </w:rPr>
        <w:t>全</w:t>
      </w:r>
      <w:r>
        <w:rPr>
          <w:rFonts w:hint="eastAsia" w:ascii="宋体" w:hAnsi="宋体" w:eastAsia="宋体" w:cs="宋体"/>
          <w:spacing w:val="-220"/>
          <w:u w:val="single"/>
        </w:rPr>
        <w:t>名</w:t>
      </w:r>
      <w:r>
        <w:rPr>
          <w:rFonts w:hint="eastAsia" w:ascii="宋体" w:hAnsi="宋体" w:eastAsia="宋体" w:cs="宋体"/>
          <w:u w:val="single"/>
        </w:rPr>
        <w:t>、职务)</w:t>
      </w:r>
      <w:r>
        <w:rPr>
          <w:rFonts w:hint="eastAsia" w:ascii="宋体" w:hAnsi="宋体" w:eastAsia="宋体" w:cs="宋体"/>
        </w:rPr>
        <w:t>经正式授权并代表</w:t>
      </w:r>
      <w:r>
        <w:rPr>
          <w:rFonts w:hint="eastAsia" w:ascii="宋体" w:hAnsi="宋体" w:eastAsia="宋体" w:cs="宋体"/>
          <w:spacing w:val="-1"/>
          <w:u w:val="single"/>
        </w:rPr>
        <w:t xml:space="preserve"> </w:t>
      </w:r>
      <w:r>
        <w:rPr>
          <w:rFonts w:hint="eastAsia" w:ascii="宋体" w:hAnsi="宋体" w:eastAsia="宋体" w:cs="宋体"/>
          <w:u w:val="single"/>
        </w:rPr>
        <w:t>(供应商名称)</w:t>
      </w:r>
      <w:r>
        <w:rPr>
          <w:rFonts w:hint="eastAsia" w:ascii="宋体" w:hAnsi="宋体" w:eastAsia="宋体" w:cs="宋体"/>
        </w:rPr>
        <w:t>提交响应文件。</w:t>
      </w:r>
    </w:p>
    <w:p w14:paraId="6ED3FBC4">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据此函，签字代表宣布同意如下：</w:t>
      </w:r>
    </w:p>
    <w:p w14:paraId="663EDF14">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9"/>
        <w:rPr>
          <w:rFonts w:hint="eastAsia" w:ascii="宋体" w:hAnsi="宋体" w:eastAsia="宋体" w:cs="宋体"/>
        </w:rPr>
      </w:pPr>
      <w:bookmarkStart w:id="444" w:name="_Toc32285"/>
      <w:r>
        <w:rPr>
          <w:rFonts w:hint="eastAsia" w:ascii="宋体" w:hAnsi="宋体" w:eastAsia="宋体" w:cs="宋体"/>
        </w:rPr>
        <w:t>1、供应商将按磋商文件的规定履行合同责任和义务;</w:t>
      </w:r>
      <w:bookmarkEnd w:id="444"/>
    </w:p>
    <w:p w14:paraId="560872E7">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40" w:firstLineChars="200"/>
        <w:jc w:val="left"/>
        <w:textAlignment w:val="auto"/>
        <w:outlineLvl w:val="9"/>
        <w:rPr>
          <w:rFonts w:hint="eastAsia" w:ascii="宋体" w:hAnsi="宋体" w:eastAsia="宋体" w:cs="宋体"/>
          <w:sz w:val="24"/>
        </w:rPr>
      </w:pPr>
      <w:r>
        <w:rPr>
          <w:rFonts w:hint="eastAsia" w:ascii="宋体" w:hAnsi="宋体" w:eastAsia="宋体" w:cs="宋体"/>
          <w:spacing w:val="-10"/>
          <w:w w:val="100"/>
          <w:sz w:val="24"/>
          <w:szCs w:val="24"/>
          <w:lang w:val="zh-CN" w:eastAsia="zh-CN" w:bidi="zh-CN"/>
        </w:rPr>
        <w:t>2、</w:t>
      </w:r>
      <w:r>
        <w:rPr>
          <w:rFonts w:hint="eastAsia" w:ascii="宋体" w:hAnsi="宋体" w:eastAsia="宋体" w:cs="宋体"/>
          <w:sz w:val="24"/>
        </w:rPr>
        <w:t>供应商已详细审查全部磋商文件，包括修改文件（如有的话）</w:t>
      </w:r>
      <w:r>
        <w:rPr>
          <w:rFonts w:hint="eastAsia" w:ascii="宋体" w:hAnsi="宋体" w:eastAsia="宋体" w:cs="宋体"/>
          <w:spacing w:val="-2"/>
          <w:sz w:val="24"/>
        </w:rPr>
        <w:t>以及全部参</w:t>
      </w:r>
      <w:r>
        <w:rPr>
          <w:rFonts w:hint="eastAsia" w:ascii="宋体" w:hAnsi="宋体" w:eastAsia="宋体" w:cs="宋体"/>
          <w:sz w:val="24"/>
        </w:rPr>
        <w:t>考资料和有关附件。我们完全理解并同意放弃对这方面有不明及误解的权利；</w:t>
      </w:r>
    </w:p>
    <w:p w14:paraId="53BC28A3">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40" w:firstLineChars="200"/>
        <w:jc w:val="left"/>
        <w:textAlignment w:val="auto"/>
        <w:outlineLvl w:val="9"/>
        <w:rPr>
          <w:rFonts w:hint="eastAsia" w:ascii="宋体" w:hAnsi="宋体" w:eastAsia="宋体" w:cs="宋体"/>
          <w:sz w:val="24"/>
        </w:rPr>
      </w:pPr>
      <w:r>
        <w:rPr>
          <w:rFonts w:hint="eastAsia" w:ascii="宋体" w:hAnsi="宋体" w:eastAsia="宋体" w:cs="宋体"/>
          <w:spacing w:val="-10"/>
          <w:w w:val="100"/>
          <w:sz w:val="24"/>
          <w:szCs w:val="24"/>
          <w:lang w:val="zh-CN" w:eastAsia="zh-CN" w:bidi="zh-CN"/>
        </w:rPr>
        <w:t>3、</w:t>
      </w:r>
      <w:r>
        <w:rPr>
          <w:rFonts w:hint="eastAsia" w:ascii="宋体" w:hAnsi="宋体" w:eastAsia="宋体" w:cs="宋体"/>
          <w:spacing w:val="-3"/>
          <w:sz w:val="24"/>
        </w:rPr>
        <w:t>磋商报价自</w:t>
      </w:r>
      <w:r>
        <w:rPr>
          <w:rFonts w:hint="eastAsia" w:ascii="宋体" w:hAnsi="宋体" w:eastAsia="宋体" w:cs="宋体"/>
          <w:spacing w:val="-3"/>
          <w:sz w:val="24"/>
          <w:lang w:eastAsia="zh-CN"/>
        </w:rPr>
        <w:t>磋商</w:t>
      </w:r>
      <w:r>
        <w:rPr>
          <w:rFonts w:hint="eastAsia" w:ascii="宋体" w:hAnsi="宋体" w:eastAsia="宋体" w:cs="宋体"/>
          <w:spacing w:val="-3"/>
          <w:sz w:val="24"/>
        </w:rPr>
        <w:t>截止之日起有效期为</w:t>
      </w:r>
      <w:r>
        <w:rPr>
          <w:rFonts w:hint="eastAsia" w:ascii="宋体" w:hAnsi="宋体" w:eastAsia="宋体" w:cs="宋体"/>
          <w:sz w:val="24"/>
          <w:u w:val="single"/>
          <w:lang w:val="en-US" w:eastAsia="zh-CN"/>
        </w:rPr>
        <w:t xml:space="preserve">    </w:t>
      </w:r>
      <w:r>
        <w:rPr>
          <w:rFonts w:hint="eastAsia" w:ascii="宋体" w:hAnsi="宋体" w:eastAsia="宋体" w:cs="宋体"/>
          <w:spacing w:val="-10"/>
          <w:sz w:val="24"/>
        </w:rPr>
        <w:t>个日历天</w:t>
      </w:r>
      <w:r>
        <w:rPr>
          <w:rFonts w:hint="eastAsia" w:ascii="宋体" w:hAnsi="宋体" w:eastAsia="宋体" w:cs="宋体"/>
          <w:spacing w:val="-10"/>
          <w:sz w:val="24"/>
          <w:lang w:eastAsia="zh-CN"/>
        </w:rPr>
        <w:t>（不少于</w:t>
      </w:r>
      <w:r>
        <w:rPr>
          <w:rFonts w:hint="eastAsia" w:ascii="宋体" w:hAnsi="宋体" w:eastAsia="宋体" w:cs="宋体"/>
          <w:spacing w:val="-10"/>
          <w:sz w:val="24"/>
          <w:lang w:val="en-US" w:eastAsia="zh-CN"/>
        </w:rPr>
        <w:t>90个日历天</w:t>
      </w:r>
      <w:r>
        <w:rPr>
          <w:rFonts w:hint="eastAsia" w:ascii="宋体" w:hAnsi="宋体" w:eastAsia="宋体" w:cs="宋体"/>
          <w:spacing w:val="-10"/>
          <w:sz w:val="24"/>
          <w:lang w:eastAsia="zh-CN"/>
        </w:rPr>
        <w:t>）</w:t>
      </w:r>
      <w:r>
        <w:rPr>
          <w:rFonts w:hint="eastAsia" w:ascii="宋体" w:hAnsi="宋体" w:eastAsia="宋体" w:cs="宋体"/>
          <w:spacing w:val="-10"/>
          <w:sz w:val="24"/>
        </w:rPr>
        <w:t>；</w:t>
      </w:r>
    </w:p>
    <w:p w14:paraId="59696D83">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40" w:firstLineChars="200"/>
        <w:jc w:val="left"/>
        <w:textAlignment w:val="auto"/>
        <w:outlineLvl w:val="9"/>
        <w:rPr>
          <w:rFonts w:hint="eastAsia" w:ascii="宋体" w:hAnsi="宋体" w:eastAsia="宋体" w:cs="宋体"/>
          <w:sz w:val="24"/>
        </w:rPr>
      </w:pPr>
      <w:r>
        <w:rPr>
          <w:rFonts w:hint="eastAsia" w:ascii="宋体" w:hAnsi="宋体" w:eastAsia="宋体" w:cs="宋体"/>
          <w:spacing w:val="-10"/>
          <w:w w:val="100"/>
          <w:sz w:val="24"/>
          <w:szCs w:val="24"/>
          <w:lang w:val="zh-CN" w:eastAsia="zh-CN" w:bidi="zh-CN"/>
        </w:rPr>
        <w:t>4、</w:t>
      </w:r>
      <w:r>
        <w:rPr>
          <w:rFonts w:hint="eastAsia" w:ascii="宋体" w:hAnsi="宋体" w:eastAsia="宋体" w:cs="宋体"/>
          <w:spacing w:val="-1"/>
          <w:sz w:val="24"/>
        </w:rPr>
        <w:t>供应商同意提供按照贵方可能要求的与其报价有关的一切数据或资料，完</w:t>
      </w:r>
      <w:r>
        <w:rPr>
          <w:rFonts w:hint="eastAsia" w:ascii="宋体" w:hAnsi="宋体" w:eastAsia="宋体" w:cs="宋体"/>
          <w:sz w:val="24"/>
        </w:rPr>
        <w:t>全理解贵方不一定要接受最低价的磋商报价或收到的任何磋商报价。</w:t>
      </w:r>
    </w:p>
    <w:p w14:paraId="08D8FE22">
      <w:pPr>
        <w:pStyle w:val="23"/>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40" w:firstLineChars="200"/>
        <w:jc w:val="left"/>
        <w:textAlignment w:val="auto"/>
        <w:outlineLvl w:val="9"/>
        <w:rPr>
          <w:rFonts w:hint="eastAsia" w:ascii="宋体" w:hAnsi="宋体" w:eastAsia="宋体" w:cs="宋体"/>
          <w:sz w:val="24"/>
        </w:rPr>
      </w:pPr>
      <w:r>
        <w:rPr>
          <w:rFonts w:hint="eastAsia" w:ascii="宋体" w:hAnsi="宋体" w:eastAsia="宋体" w:cs="宋体"/>
          <w:spacing w:val="-10"/>
          <w:w w:val="100"/>
          <w:sz w:val="24"/>
          <w:szCs w:val="24"/>
          <w:lang w:val="zh-CN" w:eastAsia="zh-CN" w:bidi="zh-CN"/>
        </w:rPr>
        <w:t>5、</w:t>
      </w:r>
      <w:r>
        <w:rPr>
          <w:rFonts w:hint="eastAsia" w:ascii="宋体" w:hAnsi="宋体" w:eastAsia="宋体" w:cs="宋体"/>
          <w:spacing w:val="-4"/>
          <w:sz w:val="24"/>
        </w:rPr>
        <w:t>我方承诺，若我方中标将按照磋商文件的要求在领取成交通知书时向采购代</w:t>
      </w:r>
      <w:r>
        <w:rPr>
          <w:rFonts w:hint="eastAsia" w:ascii="宋体" w:hAnsi="宋体" w:eastAsia="宋体" w:cs="宋体"/>
          <w:sz w:val="24"/>
        </w:rPr>
        <w:t>理机构交纳足额的招标代理服务费。</w:t>
      </w:r>
    </w:p>
    <w:p w14:paraId="3445C5EA">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40" w:firstLineChars="200"/>
        <w:jc w:val="left"/>
        <w:textAlignment w:val="auto"/>
        <w:outlineLvl w:val="9"/>
        <w:rPr>
          <w:rFonts w:hint="eastAsia" w:ascii="宋体" w:hAnsi="宋体" w:eastAsia="宋体" w:cs="宋体"/>
          <w:spacing w:val="-1"/>
          <w:sz w:val="24"/>
        </w:rPr>
      </w:pPr>
      <w:bookmarkStart w:id="445" w:name="_Toc27484"/>
      <w:r>
        <w:rPr>
          <w:rFonts w:hint="eastAsia" w:ascii="宋体" w:hAnsi="宋体" w:eastAsia="宋体" w:cs="宋体"/>
          <w:spacing w:val="-10"/>
          <w:w w:val="100"/>
          <w:sz w:val="24"/>
          <w:szCs w:val="24"/>
          <w:lang w:val="zh-CN" w:eastAsia="zh-CN" w:bidi="zh-CN"/>
        </w:rPr>
        <w:t>6、</w:t>
      </w:r>
      <w:r>
        <w:rPr>
          <w:rFonts w:hint="eastAsia" w:ascii="宋体" w:hAnsi="宋体" w:eastAsia="宋体" w:cs="宋体"/>
          <w:spacing w:val="-1"/>
          <w:sz w:val="24"/>
        </w:rPr>
        <w:t>与本磋商有关的一切正式往来通讯请寄：</w:t>
      </w:r>
      <w:bookmarkEnd w:id="445"/>
      <w:r>
        <w:rPr>
          <w:rFonts w:hint="eastAsia" w:ascii="宋体" w:hAnsi="宋体" w:eastAsia="宋体" w:cs="宋体"/>
          <w:spacing w:val="-1"/>
          <w:sz w:val="24"/>
        </w:rPr>
        <w:t xml:space="preserve"> </w:t>
      </w:r>
    </w:p>
    <w:p w14:paraId="6E902C68">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地址：</w:t>
      </w:r>
    </w:p>
    <w:p w14:paraId="2F2CC702">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
        <w:jc w:val="left"/>
        <w:textAlignment w:val="auto"/>
        <w:rPr>
          <w:rFonts w:hint="eastAsia" w:ascii="宋体" w:hAnsi="宋体" w:eastAsia="宋体" w:cs="宋体"/>
          <w:lang w:val="en-US" w:eastAsia="zh-CN"/>
        </w:rPr>
      </w:pPr>
      <w:r>
        <w:rPr>
          <w:rFonts w:hint="eastAsia" w:ascii="宋体" w:hAnsi="宋体" w:eastAsia="宋体" w:cs="宋体"/>
        </w:rPr>
        <w:t xml:space="preserve">邮编： </w:t>
      </w:r>
      <w:r>
        <w:rPr>
          <w:rFonts w:hint="eastAsia" w:ascii="宋体" w:hAnsi="宋体" w:eastAsia="宋体" w:cs="宋体"/>
          <w:lang w:val="en-US" w:eastAsia="zh-CN"/>
        </w:rPr>
        <w:t xml:space="preserve">       </w:t>
      </w:r>
    </w:p>
    <w:p w14:paraId="4760CD79">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
        <w:jc w:val="left"/>
        <w:textAlignment w:val="auto"/>
        <w:rPr>
          <w:rFonts w:hint="eastAsia" w:ascii="宋体" w:hAnsi="宋体" w:eastAsia="宋体" w:cs="宋体"/>
          <w:lang w:val="en-US" w:eastAsia="zh-CN"/>
        </w:rPr>
      </w:pPr>
      <w:r>
        <w:rPr>
          <w:rFonts w:hint="eastAsia" w:ascii="宋体" w:hAnsi="宋体" w:eastAsia="宋体" w:cs="宋体"/>
        </w:rPr>
        <w:t xml:space="preserve">电话： </w:t>
      </w:r>
      <w:r>
        <w:rPr>
          <w:rFonts w:hint="eastAsia" w:ascii="宋体" w:hAnsi="宋体" w:eastAsia="宋体" w:cs="宋体"/>
          <w:lang w:val="en-US" w:eastAsia="zh-CN"/>
        </w:rPr>
        <w:t xml:space="preserve">        </w:t>
      </w:r>
    </w:p>
    <w:p w14:paraId="7AD1D8C2">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
        <w:jc w:val="left"/>
        <w:textAlignment w:val="auto"/>
        <w:rPr>
          <w:rFonts w:hint="eastAsia" w:ascii="宋体" w:hAnsi="宋体" w:eastAsia="宋体" w:cs="宋体"/>
        </w:rPr>
      </w:pPr>
      <w:r>
        <w:rPr>
          <w:rFonts w:hint="eastAsia" w:ascii="宋体" w:hAnsi="宋体" w:eastAsia="宋体" w:cs="宋体"/>
        </w:rPr>
        <w:t>传真：</w:t>
      </w:r>
    </w:p>
    <w:p w14:paraId="1580F6B3">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p>
    <w:p w14:paraId="1E2F99CA">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p>
    <w:p w14:paraId="0EFBF3F9">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p>
    <w:p w14:paraId="0CBF0F0A">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5972522E">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outlineLvl w:val="9"/>
        <w:rPr>
          <w:rFonts w:hint="eastAsia" w:ascii="宋体" w:hAnsi="宋体" w:eastAsia="宋体" w:cs="宋体"/>
          <w:u w:val="none"/>
          <w:lang w:eastAsia="zh-CN"/>
        </w:rPr>
      </w:pPr>
      <w:r>
        <w:rPr>
          <w:rFonts w:hint="eastAsia" w:ascii="宋体" w:hAnsi="宋体" w:eastAsia="宋体" w:cs="宋体"/>
          <w:spacing w:val="-17"/>
        </w:rPr>
        <w:t xml:space="preserve"> </w:t>
      </w:r>
      <w:bookmarkStart w:id="446" w:name="_Toc18230"/>
      <w:bookmarkStart w:id="447" w:name="_Toc19927"/>
      <w:r>
        <w:rPr>
          <w:rFonts w:hint="eastAsia" w:ascii="宋体" w:hAnsi="宋体" w:eastAsia="宋体" w:cs="宋体"/>
        </w:rPr>
        <w:t>法定代表人或被授权人</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none"/>
          <w:lang w:eastAsia="zh-CN"/>
        </w:rPr>
        <w:t>（签字或盖章）</w:t>
      </w:r>
      <w:bookmarkEnd w:id="446"/>
      <w:bookmarkEnd w:id="447"/>
    </w:p>
    <w:p w14:paraId="71E3DC5F">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0937E0E5">
      <w:pPr>
        <w:spacing w:after="0" w:line="364" w:lineRule="auto"/>
        <w:rPr>
          <w:rFonts w:hint="eastAsia" w:ascii="宋体" w:hAnsi="宋体" w:eastAsia="宋体" w:cs="宋体"/>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18E2F328">
      <w:pPr>
        <w:pStyle w:val="3"/>
        <w:numPr>
          <w:ilvl w:val="0"/>
          <w:numId w:val="9"/>
        </w:numPr>
        <w:tabs>
          <w:tab w:val="left" w:pos="1712"/>
        </w:tabs>
        <w:ind w:left="0" w:leftChars="0" w:firstLine="0" w:firstLineChars="0"/>
        <w:jc w:val="center"/>
        <w:rPr>
          <w:rFonts w:hint="eastAsia" w:ascii="宋体" w:hAnsi="宋体" w:eastAsia="宋体" w:cs="宋体"/>
        </w:rPr>
      </w:pPr>
      <w:bookmarkStart w:id="448" w:name="_bookmark6"/>
      <w:bookmarkEnd w:id="448"/>
      <w:bookmarkStart w:id="449" w:name="附件2  磋商报价表"/>
      <w:bookmarkEnd w:id="449"/>
      <w:bookmarkStart w:id="450" w:name="_Toc4969"/>
      <w:bookmarkStart w:id="451" w:name="_Toc6517"/>
      <w:bookmarkStart w:id="452" w:name="_Toc19786"/>
      <w:bookmarkStart w:id="453" w:name="_Toc30764"/>
      <w:bookmarkStart w:id="454" w:name="_Toc17811"/>
      <w:r>
        <w:rPr>
          <w:rFonts w:hint="eastAsia" w:ascii="宋体" w:hAnsi="宋体" w:eastAsia="宋体" w:cs="宋体"/>
        </w:rPr>
        <w:t>磋商报价表</w:t>
      </w:r>
      <w:bookmarkEnd w:id="450"/>
      <w:bookmarkEnd w:id="451"/>
      <w:bookmarkEnd w:id="452"/>
      <w:bookmarkEnd w:id="453"/>
      <w:bookmarkEnd w:id="454"/>
    </w:p>
    <w:p w14:paraId="15DA75EB">
      <w:pPr>
        <w:numPr>
          <w:ilvl w:val="0"/>
          <w:numId w:val="0"/>
        </w:numPr>
        <w:ind w:leftChars="200" w:right="0" w:rightChars="0"/>
        <w:outlineLvl w:val="1"/>
        <w:rPr>
          <w:rFonts w:hint="eastAsia" w:ascii="宋体" w:hAnsi="宋体" w:eastAsia="宋体" w:cs="宋体"/>
          <w:b/>
          <w:bCs/>
          <w:sz w:val="28"/>
          <w:szCs w:val="28"/>
          <w:lang w:val="en-US" w:eastAsia="zh-CN"/>
        </w:rPr>
      </w:pPr>
      <w:bookmarkStart w:id="455" w:name="_Toc15426"/>
      <w:bookmarkStart w:id="456" w:name="_Toc6013"/>
      <w:bookmarkStart w:id="457" w:name="_Toc27845"/>
      <w:r>
        <w:rPr>
          <w:rFonts w:hint="eastAsia" w:ascii="宋体" w:hAnsi="宋体" w:eastAsia="宋体" w:cs="宋体"/>
          <w:b/>
          <w:bCs/>
          <w:sz w:val="28"/>
          <w:szCs w:val="28"/>
          <w:lang w:val="en-US" w:eastAsia="zh-CN"/>
        </w:rPr>
        <w:t>2.1报价一览表</w:t>
      </w:r>
      <w:bookmarkEnd w:id="455"/>
      <w:bookmarkEnd w:id="456"/>
      <w:bookmarkEnd w:id="457"/>
    </w:p>
    <w:p w14:paraId="7528E77F">
      <w:pPr>
        <w:pStyle w:val="9"/>
        <w:rPr>
          <w:rFonts w:hint="eastAsia" w:ascii="宋体" w:hAnsi="宋体" w:eastAsia="宋体" w:cs="宋体"/>
          <w:b/>
          <w:sz w:val="20"/>
        </w:rPr>
      </w:pPr>
    </w:p>
    <w:tbl>
      <w:tblPr>
        <w:tblStyle w:val="19"/>
        <w:tblW w:w="0" w:type="auto"/>
        <w:tblInd w:w="27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699"/>
        <w:gridCol w:w="6022"/>
      </w:tblGrid>
      <w:tr w14:paraId="17AF4E0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24" w:hRule="atLeast"/>
        </w:trPr>
        <w:tc>
          <w:tcPr>
            <w:tcW w:w="2699" w:type="dxa"/>
            <w:tcBorders>
              <w:bottom w:val="single" w:color="000000" w:sz="6" w:space="0"/>
              <w:right w:val="single" w:color="000000" w:sz="6" w:space="0"/>
            </w:tcBorders>
            <w:vAlign w:val="center"/>
          </w:tcPr>
          <w:p w14:paraId="65F7006A">
            <w:pPr>
              <w:pStyle w:val="24"/>
              <w:ind w:left="0" w:leftChars="0" w:right="594" w:firstLine="0" w:firstLineChars="0"/>
              <w:jc w:val="center"/>
              <w:rPr>
                <w:rFonts w:hint="eastAsia" w:ascii="宋体" w:hAnsi="宋体" w:eastAsia="宋体" w:cs="宋体"/>
                <w:sz w:val="24"/>
              </w:rPr>
            </w:pPr>
            <w:r>
              <w:rPr>
                <w:rFonts w:hint="eastAsia" w:ascii="宋体" w:hAnsi="宋体" w:eastAsia="宋体" w:cs="宋体"/>
                <w:sz w:val="24"/>
              </w:rPr>
              <w:t>采购项目名称</w:t>
            </w:r>
          </w:p>
        </w:tc>
        <w:tc>
          <w:tcPr>
            <w:tcW w:w="6022" w:type="dxa"/>
            <w:tcBorders>
              <w:left w:val="single" w:color="000000" w:sz="6" w:space="0"/>
              <w:bottom w:val="single" w:color="000000" w:sz="6" w:space="0"/>
            </w:tcBorders>
            <w:vAlign w:val="center"/>
          </w:tcPr>
          <w:p w14:paraId="1FBD4B76">
            <w:pPr>
              <w:pStyle w:val="24"/>
              <w:jc w:val="center"/>
              <w:rPr>
                <w:rFonts w:hint="eastAsia" w:ascii="宋体" w:hAnsi="宋体" w:eastAsia="宋体" w:cs="宋体"/>
                <w:sz w:val="24"/>
              </w:rPr>
            </w:pPr>
          </w:p>
        </w:tc>
      </w:tr>
      <w:tr w14:paraId="6D05225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77" w:hRule="atLeast"/>
        </w:trPr>
        <w:tc>
          <w:tcPr>
            <w:tcW w:w="2699" w:type="dxa"/>
            <w:tcBorders>
              <w:top w:val="single" w:color="000000" w:sz="6" w:space="0"/>
              <w:bottom w:val="single" w:color="000000" w:sz="6" w:space="0"/>
              <w:right w:val="single" w:color="000000" w:sz="6" w:space="0"/>
            </w:tcBorders>
            <w:vAlign w:val="center"/>
          </w:tcPr>
          <w:p w14:paraId="18BD69FA">
            <w:pPr>
              <w:pStyle w:val="24"/>
              <w:ind w:left="0" w:leftChars="0" w:right="594" w:firstLine="0" w:firstLineChars="0"/>
              <w:jc w:val="center"/>
              <w:rPr>
                <w:rFonts w:hint="eastAsia" w:ascii="宋体" w:hAnsi="宋体" w:eastAsia="宋体" w:cs="宋体"/>
                <w:sz w:val="24"/>
              </w:rPr>
            </w:pPr>
            <w:r>
              <w:rPr>
                <w:rFonts w:hint="eastAsia" w:ascii="宋体" w:hAnsi="宋体" w:eastAsia="宋体" w:cs="宋体"/>
                <w:sz w:val="24"/>
              </w:rPr>
              <w:t>采购项目编号</w:t>
            </w:r>
          </w:p>
        </w:tc>
        <w:tc>
          <w:tcPr>
            <w:tcW w:w="6022" w:type="dxa"/>
            <w:tcBorders>
              <w:top w:val="single" w:color="000000" w:sz="6" w:space="0"/>
              <w:left w:val="single" w:color="000000" w:sz="6" w:space="0"/>
              <w:bottom w:val="single" w:color="000000" w:sz="6" w:space="0"/>
            </w:tcBorders>
            <w:vAlign w:val="center"/>
          </w:tcPr>
          <w:p w14:paraId="07D25973">
            <w:pPr>
              <w:pStyle w:val="24"/>
              <w:jc w:val="center"/>
              <w:rPr>
                <w:rFonts w:hint="eastAsia" w:ascii="宋体" w:hAnsi="宋体" w:eastAsia="宋体" w:cs="宋体"/>
                <w:sz w:val="24"/>
              </w:rPr>
            </w:pPr>
          </w:p>
        </w:tc>
      </w:tr>
      <w:tr w14:paraId="34AA75F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035" w:hRule="atLeast"/>
        </w:trPr>
        <w:tc>
          <w:tcPr>
            <w:tcW w:w="2699" w:type="dxa"/>
            <w:tcBorders>
              <w:top w:val="single" w:color="000000" w:sz="6" w:space="0"/>
              <w:bottom w:val="single" w:color="000000" w:sz="6" w:space="0"/>
              <w:right w:val="single" w:color="000000" w:sz="6" w:space="0"/>
            </w:tcBorders>
            <w:vAlign w:val="center"/>
          </w:tcPr>
          <w:p w14:paraId="43D4DB87">
            <w:pPr>
              <w:pStyle w:val="24"/>
              <w:spacing w:before="206"/>
              <w:ind w:left="0" w:leftChars="0" w:firstLine="0" w:firstLineChars="0"/>
              <w:jc w:val="center"/>
              <w:rPr>
                <w:rFonts w:hint="eastAsia" w:ascii="宋体" w:hAnsi="宋体" w:eastAsia="宋体" w:cs="宋体"/>
                <w:sz w:val="24"/>
              </w:rPr>
            </w:pPr>
            <w:r>
              <w:rPr>
                <w:rFonts w:hint="eastAsia" w:ascii="宋体" w:hAnsi="宋体" w:eastAsia="宋体" w:cs="宋体"/>
                <w:sz w:val="24"/>
              </w:rPr>
              <w:t>磋商报价</w:t>
            </w:r>
            <w:r>
              <w:rPr>
                <w:rFonts w:hint="eastAsia" w:ascii="宋体" w:hAnsi="宋体" w:eastAsia="宋体" w:cs="宋体"/>
                <w:sz w:val="24"/>
                <w:lang w:eastAsia="zh-CN"/>
              </w:rPr>
              <w:t>：</w:t>
            </w:r>
            <w:r>
              <w:rPr>
                <w:rFonts w:hint="eastAsia" w:ascii="宋体" w:hAnsi="宋体" w:eastAsia="宋体" w:cs="宋体"/>
                <w:sz w:val="24"/>
              </w:rPr>
              <w:t>元（人民币）</w:t>
            </w:r>
          </w:p>
        </w:tc>
        <w:tc>
          <w:tcPr>
            <w:tcW w:w="6022" w:type="dxa"/>
            <w:tcBorders>
              <w:top w:val="single" w:color="000000" w:sz="6" w:space="0"/>
              <w:left w:val="single" w:color="000000" w:sz="6" w:space="0"/>
              <w:bottom w:val="single" w:color="000000" w:sz="6" w:space="0"/>
            </w:tcBorders>
            <w:vAlign w:val="center"/>
          </w:tcPr>
          <w:p w14:paraId="397A554D">
            <w:pPr>
              <w:pStyle w:val="24"/>
              <w:spacing w:before="2" w:line="362" w:lineRule="auto"/>
              <w:ind w:left="0" w:leftChars="0" w:right="4681" w:firstLine="0" w:firstLineChars="0"/>
              <w:jc w:val="center"/>
              <w:rPr>
                <w:rFonts w:hint="eastAsia" w:ascii="宋体" w:hAnsi="宋体" w:eastAsia="宋体" w:cs="宋体"/>
                <w:sz w:val="24"/>
              </w:rPr>
            </w:pPr>
            <w:r>
              <w:rPr>
                <w:rFonts w:hint="eastAsia" w:ascii="宋体" w:hAnsi="宋体" w:eastAsia="宋体" w:cs="宋体"/>
                <w:sz w:val="24"/>
              </w:rPr>
              <w:t>小写金额： 大写金额：</w:t>
            </w:r>
          </w:p>
        </w:tc>
      </w:tr>
      <w:tr w14:paraId="5A28078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996" w:hRule="atLeast"/>
        </w:trPr>
        <w:tc>
          <w:tcPr>
            <w:tcW w:w="2699" w:type="dxa"/>
            <w:tcBorders>
              <w:top w:val="single" w:color="000000" w:sz="6" w:space="0"/>
              <w:bottom w:val="single" w:color="000000" w:sz="6" w:space="0"/>
              <w:right w:val="single" w:color="000000" w:sz="6" w:space="0"/>
            </w:tcBorders>
            <w:vAlign w:val="center"/>
          </w:tcPr>
          <w:p w14:paraId="19229998">
            <w:pPr>
              <w:pStyle w:val="24"/>
              <w:ind w:left="0" w:leftChars="0" w:right="594" w:firstLine="0" w:firstLineChars="0"/>
              <w:jc w:val="center"/>
              <w:rPr>
                <w:rFonts w:hint="eastAsia" w:ascii="宋体" w:hAnsi="宋体" w:eastAsia="宋体" w:cs="宋体"/>
                <w:sz w:val="24"/>
                <w:lang w:eastAsia="zh-CN"/>
              </w:rPr>
            </w:pPr>
            <w:r>
              <w:rPr>
                <w:rFonts w:hint="eastAsia" w:ascii="宋体" w:hAnsi="宋体" w:eastAsia="宋体" w:cs="宋体"/>
                <w:sz w:val="24"/>
                <w:lang w:val="en-US" w:eastAsia="zh-CN"/>
              </w:rPr>
              <w:t>工期</w:t>
            </w:r>
          </w:p>
        </w:tc>
        <w:tc>
          <w:tcPr>
            <w:tcW w:w="6022" w:type="dxa"/>
            <w:tcBorders>
              <w:top w:val="single" w:color="000000" w:sz="6" w:space="0"/>
              <w:left w:val="single" w:color="000000" w:sz="6" w:space="0"/>
              <w:bottom w:val="single" w:color="000000" w:sz="6" w:space="0"/>
            </w:tcBorders>
            <w:vAlign w:val="center"/>
          </w:tcPr>
          <w:p w14:paraId="216CB2EE">
            <w:pPr>
              <w:pStyle w:val="24"/>
              <w:jc w:val="center"/>
              <w:rPr>
                <w:rFonts w:hint="eastAsia" w:ascii="宋体" w:hAnsi="宋体" w:eastAsia="宋体" w:cs="宋体"/>
                <w:sz w:val="24"/>
              </w:rPr>
            </w:pPr>
          </w:p>
        </w:tc>
      </w:tr>
      <w:tr w14:paraId="6603DCC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996" w:hRule="atLeast"/>
        </w:trPr>
        <w:tc>
          <w:tcPr>
            <w:tcW w:w="2699" w:type="dxa"/>
            <w:tcBorders>
              <w:top w:val="single" w:color="000000" w:sz="6" w:space="0"/>
              <w:right w:val="single" w:color="000000" w:sz="6" w:space="0"/>
            </w:tcBorders>
            <w:vAlign w:val="center"/>
          </w:tcPr>
          <w:p w14:paraId="5079490B">
            <w:pPr>
              <w:pStyle w:val="24"/>
              <w:ind w:left="0" w:leftChars="0" w:right="594"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施工地点</w:t>
            </w:r>
          </w:p>
        </w:tc>
        <w:tc>
          <w:tcPr>
            <w:tcW w:w="6022" w:type="dxa"/>
            <w:tcBorders>
              <w:top w:val="single" w:color="000000" w:sz="6" w:space="0"/>
              <w:left w:val="single" w:color="000000" w:sz="6" w:space="0"/>
            </w:tcBorders>
            <w:vAlign w:val="center"/>
          </w:tcPr>
          <w:p w14:paraId="74D397A0">
            <w:pPr>
              <w:pStyle w:val="24"/>
              <w:jc w:val="center"/>
              <w:rPr>
                <w:rFonts w:hint="eastAsia" w:ascii="宋体" w:hAnsi="宋体" w:eastAsia="宋体" w:cs="宋体"/>
                <w:sz w:val="24"/>
              </w:rPr>
            </w:pPr>
          </w:p>
        </w:tc>
      </w:tr>
    </w:tbl>
    <w:p w14:paraId="2B9C484C">
      <w:pPr>
        <w:pStyle w:val="9"/>
        <w:rPr>
          <w:rFonts w:hint="eastAsia" w:ascii="宋体" w:hAnsi="宋体" w:eastAsia="宋体" w:cs="宋体"/>
          <w:b/>
          <w:sz w:val="20"/>
        </w:rPr>
      </w:pPr>
    </w:p>
    <w:p w14:paraId="7B700BC4">
      <w:pPr>
        <w:pStyle w:val="9"/>
        <w:spacing w:before="67" w:line="360" w:lineRule="auto"/>
        <w:ind w:left="356"/>
        <w:rPr>
          <w:rFonts w:hint="eastAsia" w:ascii="宋体" w:hAnsi="宋体" w:eastAsia="宋体" w:cs="宋体"/>
        </w:rPr>
      </w:pPr>
      <w:r>
        <w:rPr>
          <w:rFonts w:hint="eastAsia" w:ascii="宋体" w:hAnsi="宋体" w:eastAsia="宋体" w:cs="宋体"/>
        </w:rPr>
        <w:t>备注：</w:t>
      </w:r>
    </w:p>
    <w:p w14:paraId="71861FEB">
      <w:pPr>
        <w:pStyle w:val="9"/>
        <w:spacing w:before="160" w:line="360" w:lineRule="auto"/>
        <w:ind w:left="356"/>
        <w:outlineLvl w:val="9"/>
        <w:rPr>
          <w:rFonts w:hint="eastAsia" w:ascii="宋体" w:hAnsi="宋体" w:eastAsia="宋体" w:cs="宋体"/>
        </w:rPr>
      </w:pPr>
      <w:bookmarkStart w:id="458" w:name="_Toc24239"/>
      <w:r>
        <w:rPr>
          <w:rFonts w:hint="eastAsia" w:ascii="宋体" w:hAnsi="宋体" w:eastAsia="宋体" w:cs="宋体"/>
        </w:rPr>
        <w:t>1、供应商报价不能超出采购预算</w:t>
      </w:r>
      <w:r>
        <w:rPr>
          <w:rFonts w:hint="eastAsia" w:ascii="宋体" w:hAnsi="宋体" w:eastAsia="宋体" w:cs="宋体"/>
          <w:lang w:val="en-US" w:eastAsia="zh-CN"/>
        </w:rPr>
        <w:t>及最高限价</w:t>
      </w:r>
      <w:r>
        <w:rPr>
          <w:rFonts w:hint="eastAsia" w:ascii="宋体" w:hAnsi="宋体" w:eastAsia="宋体" w:cs="宋体"/>
        </w:rPr>
        <w:t>，超出采购预算</w:t>
      </w:r>
      <w:r>
        <w:rPr>
          <w:rFonts w:hint="eastAsia" w:ascii="宋体" w:hAnsi="宋体" w:eastAsia="宋体" w:cs="宋体"/>
          <w:lang w:val="en-US" w:eastAsia="zh-CN"/>
        </w:rPr>
        <w:t>及最高限价的</w:t>
      </w:r>
      <w:r>
        <w:rPr>
          <w:rFonts w:hint="eastAsia" w:ascii="宋体" w:hAnsi="宋体" w:eastAsia="宋体" w:cs="宋体"/>
        </w:rPr>
        <w:t>视为无效报价。</w:t>
      </w:r>
      <w:bookmarkEnd w:id="458"/>
    </w:p>
    <w:p w14:paraId="3456912D">
      <w:pPr>
        <w:pStyle w:val="9"/>
        <w:spacing w:before="161" w:line="360" w:lineRule="auto"/>
        <w:ind w:left="356"/>
        <w:rPr>
          <w:rFonts w:hint="eastAsia" w:ascii="宋体" w:hAnsi="宋体" w:eastAsia="宋体" w:cs="宋体"/>
        </w:rPr>
      </w:pPr>
      <w:r>
        <w:rPr>
          <w:rFonts w:hint="eastAsia" w:ascii="宋体" w:hAnsi="宋体" w:eastAsia="宋体" w:cs="宋体"/>
        </w:rPr>
        <w:t>2、供应商报价精确到小数点后两位，大小写不一致时，以大写为准；</w:t>
      </w:r>
    </w:p>
    <w:p w14:paraId="0FEE31FA">
      <w:pPr>
        <w:pStyle w:val="9"/>
        <w:spacing w:before="158" w:line="360" w:lineRule="auto"/>
        <w:ind w:left="356"/>
        <w:rPr>
          <w:rFonts w:hint="eastAsia" w:ascii="宋体" w:hAnsi="宋体" w:eastAsia="宋体" w:cs="宋体"/>
        </w:rPr>
      </w:pPr>
      <w:r>
        <w:rPr>
          <w:rFonts w:hint="eastAsia" w:ascii="宋体" w:hAnsi="宋体" w:eastAsia="宋体" w:cs="宋体"/>
        </w:rPr>
        <w:t>3、本表所列各项数据与响应文件其他地方表述不一致时，以本表为准。</w:t>
      </w:r>
    </w:p>
    <w:p w14:paraId="445FE76E">
      <w:pPr>
        <w:pStyle w:val="9"/>
        <w:rPr>
          <w:rFonts w:hint="eastAsia" w:ascii="宋体" w:hAnsi="宋体" w:eastAsia="宋体" w:cs="宋体"/>
        </w:rPr>
      </w:pPr>
    </w:p>
    <w:p w14:paraId="16220531">
      <w:pPr>
        <w:pStyle w:val="9"/>
        <w:rPr>
          <w:rFonts w:hint="eastAsia" w:ascii="宋体" w:hAnsi="宋体" w:eastAsia="宋体" w:cs="宋体"/>
        </w:rPr>
      </w:pPr>
    </w:p>
    <w:p w14:paraId="395A6FF1">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39DAE498">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outlineLvl w:val="9"/>
        <w:rPr>
          <w:rFonts w:hint="eastAsia" w:ascii="宋体" w:hAnsi="宋体" w:eastAsia="宋体" w:cs="宋体"/>
          <w:u w:val="none"/>
          <w:lang w:eastAsia="zh-CN"/>
        </w:rPr>
      </w:pPr>
      <w:r>
        <w:rPr>
          <w:rFonts w:hint="eastAsia" w:ascii="宋体" w:hAnsi="宋体" w:eastAsia="宋体" w:cs="宋体"/>
          <w:spacing w:val="-17"/>
        </w:rPr>
        <w:t xml:space="preserve"> </w:t>
      </w:r>
      <w:bookmarkStart w:id="459" w:name="_Toc14579"/>
      <w:bookmarkStart w:id="460" w:name="_Toc14394"/>
      <w:r>
        <w:rPr>
          <w:rFonts w:hint="eastAsia" w:ascii="宋体" w:hAnsi="宋体" w:eastAsia="宋体" w:cs="宋体"/>
        </w:rPr>
        <w:t>法定代表人或被授权人</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none"/>
          <w:lang w:eastAsia="zh-CN"/>
        </w:rPr>
        <w:t>（签字或盖章）</w:t>
      </w:r>
      <w:bookmarkEnd w:id="459"/>
      <w:bookmarkEnd w:id="460"/>
    </w:p>
    <w:p w14:paraId="0114048F">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6A5690DD">
      <w:pPr>
        <w:spacing w:after="0"/>
        <w:rPr>
          <w:rFonts w:hint="eastAsia" w:ascii="宋体" w:hAnsi="宋体" w:eastAsia="宋体" w:cs="宋体"/>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E42DAE2">
      <w:pPr>
        <w:pStyle w:val="3"/>
        <w:bidi w:val="0"/>
        <w:ind w:left="0" w:leftChars="0" w:firstLine="0" w:firstLineChars="0"/>
        <w:jc w:val="left"/>
        <w:outlineLvl w:val="1"/>
        <w:rPr>
          <w:rFonts w:hint="eastAsia" w:ascii="宋体" w:hAnsi="宋体" w:eastAsia="宋体" w:cs="宋体"/>
          <w:sz w:val="28"/>
          <w:szCs w:val="28"/>
          <w:lang w:val="en-US" w:eastAsia="zh-CN"/>
        </w:rPr>
      </w:pPr>
      <w:bookmarkStart w:id="461" w:name="附件3  商务偏离表"/>
      <w:bookmarkEnd w:id="461"/>
      <w:bookmarkStart w:id="462" w:name="最终报价一览表"/>
      <w:bookmarkEnd w:id="462"/>
      <w:bookmarkStart w:id="463" w:name="_Toc4447"/>
      <w:bookmarkStart w:id="464" w:name="_Toc26579"/>
      <w:bookmarkStart w:id="465" w:name="_Toc19417"/>
      <w:bookmarkStart w:id="466" w:name="_Toc21200"/>
      <w:bookmarkStart w:id="467" w:name="_Toc4034"/>
      <w:r>
        <w:rPr>
          <w:rFonts w:hint="eastAsia" w:ascii="宋体" w:hAnsi="宋体" w:eastAsia="宋体" w:cs="宋体"/>
          <w:sz w:val="28"/>
          <w:szCs w:val="28"/>
          <w:lang w:val="en-US" w:eastAsia="zh-CN"/>
        </w:rPr>
        <w:t>2.2已标价工程量清单</w:t>
      </w:r>
      <w:bookmarkEnd w:id="463"/>
      <w:bookmarkEnd w:id="464"/>
      <w:bookmarkEnd w:id="465"/>
    </w:p>
    <w:p w14:paraId="279CC6D4">
      <w:pPr>
        <w:rPr>
          <w:rFonts w:hint="eastAsia" w:ascii="宋体" w:hAnsi="宋体" w:eastAsia="宋体" w:cs="宋体"/>
          <w:sz w:val="28"/>
          <w:szCs w:val="28"/>
          <w:lang w:val="en-US" w:eastAsia="zh-CN"/>
        </w:rPr>
      </w:pPr>
    </w:p>
    <w:p w14:paraId="51875CE3">
      <w:pPr>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以广联达导出格式为准）</w:t>
      </w:r>
    </w:p>
    <w:p w14:paraId="1EB5BA84">
      <w:pPr>
        <w:rPr>
          <w:rFonts w:hint="eastAsia" w:ascii="宋体" w:hAnsi="宋体" w:eastAsia="宋体" w:cs="宋体"/>
          <w:lang w:val="en-US" w:eastAsia="zh-CN"/>
        </w:rPr>
      </w:pPr>
    </w:p>
    <w:p w14:paraId="31F6050D">
      <w:pPr>
        <w:rPr>
          <w:rFonts w:hint="eastAsia" w:ascii="宋体" w:hAnsi="宋体" w:eastAsia="宋体" w:cs="宋体"/>
          <w:lang w:val="en-US" w:eastAsia="zh-CN"/>
        </w:rPr>
      </w:pPr>
    </w:p>
    <w:p w14:paraId="72A1718E">
      <w:pPr>
        <w:rPr>
          <w:rFonts w:hint="eastAsia" w:ascii="宋体" w:hAnsi="宋体" w:eastAsia="宋体" w:cs="宋体"/>
          <w:lang w:val="en-US" w:eastAsia="zh-CN"/>
        </w:rPr>
      </w:pPr>
    </w:p>
    <w:p w14:paraId="438A341E">
      <w:pPr>
        <w:rPr>
          <w:rFonts w:hint="eastAsia" w:ascii="宋体" w:hAnsi="宋体" w:eastAsia="宋体" w:cs="宋体"/>
          <w:lang w:val="en-US" w:eastAsia="zh-CN"/>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lang w:val="en-US" w:eastAsia="zh-CN"/>
        </w:rPr>
        <w:t>......</w:t>
      </w:r>
    </w:p>
    <w:p w14:paraId="09013E2E">
      <w:pPr>
        <w:pStyle w:val="3"/>
        <w:bidi w:val="0"/>
        <w:ind w:left="0" w:leftChars="0" w:firstLine="0" w:firstLineChars="0"/>
        <w:jc w:val="center"/>
        <w:rPr>
          <w:rFonts w:hint="eastAsia" w:ascii="宋体" w:hAnsi="宋体" w:eastAsia="宋体" w:cs="宋体"/>
          <w:b/>
          <w:sz w:val="44"/>
        </w:rPr>
      </w:pPr>
      <w:bookmarkStart w:id="468" w:name="_Toc16302"/>
      <w:bookmarkStart w:id="469" w:name="_Toc14040"/>
      <w:bookmarkStart w:id="470" w:name="_Toc6435"/>
      <w:r>
        <w:rPr>
          <w:rFonts w:hint="eastAsia" w:ascii="宋体" w:hAnsi="宋体" w:eastAsia="宋体" w:cs="宋体"/>
          <w:lang w:eastAsia="zh-CN"/>
        </w:rPr>
        <w:t>三、</w:t>
      </w:r>
      <w:r>
        <w:rPr>
          <w:rFonts w:hint="eastAsia" w:ascii="宋体" w:hAnsi="宋体" w:eastAsia="宋体" w:cs="宋体"/>
          <w:highlight w:val="none"/>
        </w:rPr>
        <w:t>商务偏离表</w:t>
      </w:r>
      <w:bookmarkEnd w:id="466"/>
      <w:bookmarkEnd w:id="467"/>
      <w:bookmarkEnd w:id="468"/>
      <w:bookmarkEnd w:id="469"/>
      <w:bookmarkEnd w:id="470"/>
    </w:p>
    <w:p w14:paraId="235A06ED">
      <w:pPr>
        <w:pStyle w:val="9"/>
        <w:tabs>
          <w:tab w:val="left" w:pos="4316"/>
        </w:tabs>
        <w:ind w:left="356"/>
        <w:rPr>
          <w:rFonts w:hint="eastAsia" w:ascii="宋体" w:hAnsi="宋体" w:eastAsia="宋体" w:cs="宋体"/>
          <w:u w:val="single"/>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p>
    <w:p w14:paraId="3E7E1D0E">
      <w:pPr>
        <w:pStyle w:val="9"/>
        <w:tabs>
          <w:tab w:val="left" w:pos="4316"/>
        </w:tabs>
        <w:ind w:left="356"/>
        <w:rPr>
          <w:rFonts w:hint="eastAsia" w:ascii="宋体" w:hAnsi="宋体" w:eastAsia="宋体" w:cs="宋体"/>
        </w:rPr>
      </w:pPr>
      <w:r>
        <w:rPr>
          <w:rFonts w:hint="eastAsia" w:ascii="宋体" w:hAnsi="宋体" w:eastAsia="宋体" w:cs="宋体"/>
        </w:rPr>
        <w:t>采购项目编号：</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p>
    <w:p w14:paraId="09E2349D">
      <w:pPr>
        <w:pStyle w:val="9"/>
        <w:spacing w:before="4"/>
        <w:rPr>
          <w:rFonts w:hint="eastAsia" w:ascii="宋体" w:hAnsi="宋体" w:eastAsia="宋体" w:cs="宋体"/>
          <w:sz w:val="12"/>
        </w:rPr>
      </w:pPr>
    </w:p>
    <w:tbl>
      <w:tblPr>
        <w:tblStyle w:val="19"/>
        <w:tblW w:w="0" w:type="auto"/>
        <w:tblInd w:w="2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9"/>
        <w:gridCol w:w="2791"/>
        <w:gridCol w:w="2575"/>
        <w:gridCol w:w="1098"/>
        <w:gridCol w:w="1709"/>
      </w:tblGrid>
      <w:tr w14:paraId="236B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19" w:type="dxa"/>
          </w:tcPr>
          <w:p w14:paraId="1CBAC194">
            <w:pPr>
              <w:pStyle w:val="25"/>
              <w:bidi w:val="0"/>
              <w:rPr>
                <w:rFonts w:hint="eastAsia" w:ascii="宋体" w:hAnsi="宋体" w:eastAsia="宋体" w:cs="宋体"/>
              </w:rPr>
            </w:pPr>
            <w:r>
              <w:rPr>
                <w:rFonts w:hint="eastAsia" w:ascii="宋体" w:hAnsi="宋体" w:eastAsia="宋体" w:cs="宋体"/>
              </w:rPr>
              <w:t>序号</w:t>
            </w:r>
          </w:p>
        </w:tc>
        <w:tc>
          <w:tcPr>
            <w:tcW w:w="2791" w:type="dxa"/>
          </w:tcPr>
          <w:p w14:paraId="728C955A">
            <w:pPr>
              <w:pStyle w:val="25"/>
              <w:bidi w:val="0"/>
              <w:rPr>
                <w:rFonts w:hint="eastAsia" w:ascii="宋体" w:hAnsi="宋体" w:eastAsia="宋体" w:cs="宋体"/>
              </w:rPr>
            </w:pPr>
            <w:r>
              <w:rPr>
                <w:rFonts w:hint="eastAsia" w:ascii="宋体" w:hAnsi="宋体" w:eastAsia="宋体" w:cs="宋体"/>
              </w:rPr>
              <w:t>磋商文件商务要求</w:t>
            </w:r>
          </w:p>
        </w:tc>
        <w:tc>
          <w:tcPr>
            <w:tcW w:w="2575" w:type="dxa"/>
          </w:tcPr>
          <w:p w14:paraId="7316366D">
            <w:pPr>
              <w:pStyle w:val="25"/>
              <w:bidi w:val="0"/>
              <w:rPr>
                <w:rFonts w:hint="eastAsia" w:ascii="宋体" w:hAnsi="宋体" w:eastAsia="宋体" w:cs="宋体"/>
              </w:rPr>
            </w:pPr>
            <w:r>
              <w:rPr>
                <w:rFonts w:hint="eastAsia" w:ascii="宋体" w:hAnsi="宋体" w:eastAsia="宋体" w:cs="宋体"/>
              </w:rPr>
              <w:t>响应文件商务响应</w:t>
            </w:r>
          </w:p>
        </w:tc>
        <w:tc>
          <w:tcPr>
            <w:tcW w:w="1098" w:type="dxa"/>
          </w:tcPr>
          <w:p w14:paraId="4EDE5F7F">
            <w:pPr>
              <w:pStyle w:val="25"/>
              <w:bidi w:val="0"/>
              <w:rPr>
                <w:rFonts w:hint="eastAsia" w:ascii="宋体" w:hAnsi="宋体" w:eastAsia="宋体" w:cs="宋体"/>
              </w:rPr>
            </w:pPr>
            <w:r>
              <w:rPr>
                <w:rFonts w:hint="eastAsia" w:ascii="宋体" w:hAnsi="宋体" w:eastAsia="宋体" w:cs="宋体"/>
              </w:rPr>
              <w:t>偏离</w:t>
            </w:r>
          </w:p>
        </w:tc>
        <w:tc>
          <w:tcPr>
            <w:tcW w:w="1709" w:type="dxa"/>
          </w:tcPr>
          <w:p w14:paraId="1570D50E">
            <w:pPr>
              <w:pStyle w:val="25"/>
              <w:bidi w:val="0"/>
              <w:rPr>
                <w:rFonts w:hint="eastAsia" w:ascii="宋体" w:hAnsi="宋体" w:eastAsia="宋体" w:cs="宋体"/>
              </w:rPr>
            </w:pPr>
            <w:r>
              <w:rPr>
                <w:rFonts w:hint="eastAsia" w:ascii="宋体" w:hAnsi="宋体" w:eastAsia="宋体" w:cs="宋体"/>
              </w:rPr>
              <w:t>说明</w:t>
            </w:r>
          </w:p>
        </w:tc>
      </w:tr>
      <w:tr w14:paraId="212E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19" w:type="dxa"/>
          </w:tcPr>
          <w:p w14:paraId="33848F78">
            <w:pPr>
              <w:pStyle w:val="25"/>
              <w:bidi w:val="0"/>
              <w:rPr>
                <w:rFonts w:hint="eastAsia" w:ascii="宋体" w:hAnsi="宋体" w:eastAsia="宋体" w:cs="宋体"/>
              </w:rPr>
            </w:pPr>
          </w:p>
        </w:tc>
        <w:tc>
          <w:tcPr>
            <w:tcW w:w="2791" w:type="dxa"/>
          </w:tcPr>
          <w:p w14:paraId="1F17483E">
            <w:pPr>
              <w:pStyle w:val="25"/>
              <w:bidi w:val="0"/>
              <w:rPr>
                <w:rFonts w:hint="eastAsia" w:ascii="宋体" w:hAnsi="宋体" w:eastAsia="宋体" w:cs="宋体"/>
              </w:rPr>
            </w:pPr>
          </w:p>
        </w:tc>
        <w:tc>
          <w:tcPr>
            <w:tcW w:w="2575" w:type="dxa"/>
          </w:tcPr>
          <w:p w14:paraId="1789BE1F">
            <w:pPr>
              <w:pStyle w:val="25"/>
              <w:bidi w:val="0"/>
              <w:rPr>
                <w:rFonts w:hint="eastAsia" w:ascii="宋体" w:hAnsi="宋体" w:eastAsia="宋体" w:cs="宋体"/>
              </w:rPr>
            </w:pPr>
          </w:p>
        </w:tc>
        <w:tc>
          <w:tcPr>
            <w:tcW w:w="1098" w:type="dxa"/>
          </w:tcPr>
          <w:p w14:paraId="773A62CE">
            <w:pPr>
              <w:pStyle w:val="25"/>
              <w:bidi w:val="0"/>
              <w:rPr>
                <w:rFonts w:hint="eastAsia" w:ascii="宋体" w:hAnsi="宋体" w:eastAsia="宋体" w:cs="宋体"/>
              </w:rPr>
            </w:pPr>
          </w:p>
        </w:tc>
        <w:tc>
          <w:tcPr>
            <w:tcW w:w="1709" w:type="dxa"/>
          </w:tcPr>
          <w:p w14:paraId="1F69E8BF">
            <w:pPr>
              <w:pStyle w:val="25"/>
              <w:bidi w:val="0"/>
              <w:rPr>
                <w:rFonts w:hint="eastAsia" w:ascii="宋体" w:hAnsi="宋体" w:eastAsia="宋体" w:cs="宋体"/>
              </w:rPr>
            </w:pPr>
          </w:p>
        </w:tc>
      </w:tr>
      <w:tr w14:paraId="12B6D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619" w:type="dxa"/>
          </w:tcPr>
          <w:p w14:paraId="080A4791">
            <w:pPr>
              <w:pStyle w:val="25"/>
              <w:bidi w:val="0"/>
              <w:rPr>
                <w:rFonts w:hint="eastAsia" w:ascii="宋体" w:hAnsi="宋体" w:eastAsia="宋体" w:cs="宋体"/>
              </w:rPr>
            </w:pPr>
          </w:p>
        </w:tc>
        <w:tc>
          <w:tcPr>
            <w:tcW w:w="2791" w:type="dxa"/>
          </w:tcPr>
          <w:p w14:paraId="7E7F2A4D">
            <w:pPr>
              <w:pStyle w:val="25"/>
              <w:bidi w:val="0"/>
              <w:rPr>
                <w:rFonts w:hint="eastAsia" w:ascii="宋体" w:hAnsi="宋体" w:eastAsia="宋体" w:cs="宋体"/>
              </w:rPr>
            </w:pPr>
          </w:p>
        </w:tc>
        <w:tc>
          <w:tcPr>
            <w:tcW w:w="2575" w:type="dxa"/>
          </w:tcPr>
          <w:p w14:paraId="0289834A">
            <w:pPr>
              <w:pStyle w:val="25"/>
              <w:bidi w:val="0"/>
              <w:rPr>
                <w:rFonts w:hint="eastAsia" w:ascii="宋体" w:hAnsi="宋体" w:eastAsia="宋体" w:cs="宋体"/>
              </w:rPr>
            </w:pPr>
          </w:p>
        </w:tc>
        <w:tc>
          <w:tcPr>
            <w:tcW w:w="1098" w:type="dxa"/>
          </w:tcPr>
          <w:p w14:paraId="03D8CA2C">
            <w:pPr>
              <w:pStyle w:val="25"/>
              <w:bidi w:val="0"/>
              <w:rPr>
                <w:rFonts w:hint="eastAsia" w:ascii="宋体" w:hAnsi="宋体" w:eastAsia="宋体" w:cs="宋体"/>
              </w:rPr>
            </w:pPr>
          </w:p>
        </w:tc>
        <w:tc>
          <w:tcPr>
            <w:tcW w:w="1709" w:type="dxa"/>
          </w:tcPr>
          <w:p w14:paraId="11B5DCD7">
            <w:pPr>
              <w:pStyle w:val="25"/>
              <w:bidi w:val="0"/>
              <w:rPr>
                <w:rFonts w:hint="eastAsia" w:ascii="宋体" w:hAnsi="宋体" w:eastAsia="宋体" w:cs="宋体"/>
              </w:rPr>
            </w:pPr>
          </w:p>
        </w:tc>
      </w:tr>
      <w:tr w14:paraId="5D7E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19" w:type="dxa"/>
          </w:tcPr>
          <w:p w14:paraId="0BBFC37B">
            <w:pPr>
              <w:pStyle w:val="25"/>
              <w:bidi w:val="0"/>
              <w:rPr>
                <w:rFonts w:hint="eastAsia" w:ascii="宋体" w:hAnsi="宋体" w:eastAsia="宋体" w:cs="宋体"/>
              </w:rPr>
            </w:pPr>
          </w:p>
        </w:tc>
        <w:tc>
          <w:tcPr>
            <w:tcW w:w="2791" w:type="dxa"/>
          </w:tcPr>
          <w:p w14:paraId="3A6B3863">
            <w:pPr>
              <w:pStyle w:val="25"/>
              <w:bidi w:val="0"/>
              <w:rPr>
                <w:rFonts w:hint="eastAsia" w:ascii="宋体" w:hAnsi="宋体" w:eastAsia="宋体" w:cs="宋体"/>
              </w:rPr>
            </w:pPr>
          </w:p>
        </w:tc>
        <w:tc>
          <w:tcPr>
            <w:tcW w:w="2575" w:type="dxa"/>
          </w:tcPr>
          <w:p w14:paraId="306D7197">
            <w:pPr>
              <w:pStyle w:val="25"/>
              <w:bidi w:val="0"/>
              <w:rPr>
                <w:rFonts w:hint="eastAsia" w:ascii="宋体" w:hAnsi="宋体" w:eastAsia="宋体" w:cs="宋体"/>
              </w:rPr>
            </w:pPr>
          </w:p>
        </w:tc>
        <w:tc>
          <w:tcPr>
            <w:tcW w:w="1098" w:type="dxa"/>
          </w:tcPr>
          <w:p w14:paraId="18B28746">
            <w:pPr>
              <w:pStyle w:val="25"/>
              <w:bidi w:val="0"/>
              <w:rPr>
                <w:rFonts w:hint="eastAsia" w:ascii="宋体" w:hAnsi="宋体" w:eastAsia="宋体" w:cs="宋体"/>
              </w:rPr>
            </w:pPr>
          </w:p>
        </w:tc>
        <w:tc>
          <w:tcPr>
            <w:tcW w:w="1709" w:type="dxa"/>
          </w:tcPr>
          <w:p w14:paraId="439D12B0">
            <w:pPr>
              <w:pStyle w:val="25"/>
              <w:bidi w:val="0"/>
              <w:rPr>
                <w:rFonts w:hint="eastAsia" w:ascii="宋体" w:hAnsi="宋体" w:eastAsia="宋体" w:cs="宋体"/>
              </w:rPr>
            </w:pPr>
          </w:p>
        </w:tc>
      </w:tr>
      <w:tr w14:paraId="2A50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19" w:type="dxa"/>
          </w:tcPr>
          <w:p w14:paraId="61D5D17B">
            <w:pPr>
              <w:pStyle w:val="25"/>
              <w:bidi w:val="0"/>
              <w:rPr>
                <w:rFonts w:hint="eastAsia" w:ascii="宋体" w:hAnsi="宋体" w:eastAsia="宋体" w:cs="宋体"/>
              </w:rPr>
            </w:pPr>
          </w:p>
        </w:tc>
        <w:tc>
          <w:tcPr>
            <w:tcW w:w="2791" w:type="dxa"/>
          </w:tcPr>
          <w:p w14:paraId="53CA8C1E">
            <w:pPr>
              <w:pStyle w:val="25"/>
              <w:bidi w:val="0"/>
              <w:rPr>
                <w:rFonts w:hint="eastAsia" w:ascii="宋体" w:hAnsi="宋体" w:eastAsia="宋体" w:cs="宋体"/>
              </w:rPr>
            </w:pPr>
          </w:p>
        </w:tc>
        <w:tc>
          <w:tcPr>
            <w:tcW w:w="2575" w:type="dxa"/>
          </w:tcPr>
          <w:p w14:paraId="001F1773">
            <w:pPr>
              <w:pStyle w:val="25"/>
              <w:bidi w:val="0"/>
              <w:rPr>
                <w:rFonts w:hint="eastAsia" w:ascii="宋体" w:hAnsi="宋体" w:eastAsia="宋体" w:cs="宋体"/>
              </w:rPr>
            </w:pPr>
          </w:p>
        </w:tc>
        <w:tc>
          <w:tcPr>
            <w:tcW w:w="1098" w:type="dxa"/>
          </w:tcPr>
          <w:p w14:paraId="7A1A56E9">
            <w:pPr>
              <w:pStyle w:val="25"/>
              <w:bidi w:val="0"/>
              <w:rPr>
                <w:rFonts w:hint="eastAsia" w:ascii="宋体" w:hAnsi="宋体" w:eastAsia="宋体" w:cs="宋体"/>
              </w:rPr>
            </w:pPr>
          </w:p>
        </w:tc>
        <w:tc>
          <w:tcPr>
            <w:tcW w:w="1709" w:type="dxa"/>
          </w:tcPr>
          <w:p w14:paraId="64C2440B">
            <w:pPr>
              <w:pStyle w:val="25"/>
              <w:bidi w:val="0"/>
              <w:rPr>
                <w:rFonts w:hint="eastAsia" w:ascii="宋体" w:hAnsi="宋体" w:eastAsia="宋体" w:cs="宋体"/>
              </w:rPr>
            </w:pPr>
          </w:p>
        </w:tc>
      </w:tr>
      <w:tr w14:paraId="45F1B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19" w:type="dxa"/>
          </w:tcPr>
          <w:p w14:paraId="59D35F14">
            <w:pPr>
              <w:pStyle w:val="25"/>
              <w:bidi w:val="0"/>
              <w:rPr>
                <w:rFonts w:hint="eastAsia" w:ascii="宋体" w:hAnsi="宋体" w:eastAsia="宋体" w:cs="宋体"/>
              </w:rPr>
            </w:pPr>
          </w:p>
        </w:tc>
        <w:tc>
          <w:tcPr>
            <w:tcW w:w="2791" w:type="dxa"/>
          </w:tcPr>
          <w:p w14:paraId="57BA2F8F">
            <w:pPr>
              <w:pStyle w:val="25"/>
              <w:bidi w:val="0"/>
              <w:rPr>
                <w:rFonts w:hint="eastAsia" w:ascii="宋体" w:hAnsi="宋体" w:eastAsia="宋体" w:cs="宋体"/>
              </w:rPr>
            </w:pPr>
          </w:p>
        </w:tc>
        <w:tc>
          <w:tcPr>
            <w:tcW w:w="2575" w:type="dxa"/>
          </w:tcPr>
          <w:p w14:paraId="1C65014F">
            <w:pPr>
              <w:pStyle w:val="25"/>
              <w:bidi w:val="0"/>
              <w:rPr>
                <w:rFonts w:hint="eastAsia" w:ascii="宋体" w:hAnsi="宋体" w:eastAsia="宋体" w:cs="宋体"/>
              </w:rPr>
            </w:pPr>
          </w:p>
        </w:tc>
        <w:tc>
          <w:tcPr>
            <w:tcW w:w="1098" w:type="dxa"/>
          </w:tcPr>
          <w:p w14:paraId="1211B41F">
            <w:pPr>
              <w:pStyle w:val="25"/>
              <w:bidi w:val="0"/>
              <w:rPr>
                <w:rFonts w:hint="eastAsia" w:ascii="宋体" w:hAnsi="宋体" w:eastAsia="宋体" w:cs="宋体"/>
              </w:rPr>
            </w:pPr>
          </w:p>
        </w:tc>
        <w:tc>
          <w:tcPr>
            <w:tcW w:w="1709" w:type="dxa"/>
          </w:tcPr>
          <w:p w14:paraId="58F5B0F6">
            <w:pPr>
              <w:pStyle w:val="25"/>
              <w:bidi w:val="0"/>
              <w:rPr>
                <w:rFonts w:hint="eastAsia" w:ascii="宋体" w:hAnsi="宋体" w:eastAsia="宋体" w:cs="宋体"/>
              </w:rPr>
            </w:pPr>
          </w:p>
        </w:tc>
      </w:tr>
      <w:tr w14:paraId="4FDC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19" w:type="dxa"/>
          </w:tcPr>
          <w:p w14:paraId="1F34FE4A">
            <w:pPr>
              <w:pStyle w:val="25"/>
              <w:bidi w:val="0"/>
              <w:rPr>
                <w:rFonts w:hint="eastAsia" w:ascii="宋体" w:hAnsi="宋体" w:eastAsia="宋体" w:cs="宋体"/>
              </w:rPr>
            </w:pPr>
          </w:p>
        </w:tc>
        <w:tc>
          <w:tcPr>
            <w:tcW w:w="2791" w:type="dxa"/>
          </w:tcPr>
          <w:p w14:paraId="205A34A3">
            <w:pPr>
              <w:pStyle w:val="25"/>
              <w:bidi w:val="0"/>
              <w:rPr>
                <w:rFonts w:hint="eastAsia" w:ascii="宋体" w:hAnsi="宋体" w:eastAsia="宋体" w:cs="宋体"/>
              </w:rPr>
            </w:pPr>
          </w:p>
        </w:tc>
        <w:tc>
          <w:tcPr>
            <w:tcW w:w="2575" w:type="dxa"/>
          </w:tcPr>
          <w:p w14:paraId="77B3876B">
            <w:pPr>
              <w:pStyle w:val="25"/>
              <w:bidi w:val="0"/>
              <w:rPr>
                <w:rFonts w:hint="eastAsia" w:ascii="宋体" w:hAnsi="宋体" w:eastAsia="宋体" w:cs="宋体"/>
              </w:rPr>
            </w:pPr>
          </w:p>
        </w:tc>
        <w:tc>
          <w:tcPr>
            <w:tcW w:w="1098" w:type="dxa"/>
          </w:tcPr>
          <w:p w14:paraId="5B1F4E33">
            <w:pPr>
              <w:pStyle w:val="25"/>
              <w:bidi w:val="0"/>
              <w:rPr>
                <w:rFonts w:hint="eastAsia" w:ascii="宋体" w:hAnsi="宋体" w:eastAsia="宋体" w:cs="宋体"/>
              </w:rPr>
            </w:pPr>
          </w:p>
        </w:tc>
        <w:tc>
          <w:tcPr>
            <w:tcW w:w="1709" w:type="dxa"/>
          </w:tcPr>
          <w:p w14:paraId="4EA4586D">
            <w:pPr>
              <w:pStyle w:val="25"/>
              <w:bidi w:val="0"/>
              <w:rPr>
                <w:rFonts w:hint="eastAsia" w:ascii="宋体" w:hAnsi="宋体" w:eastAsia="宋体" w:cs="宋体"/>
              </w:rPr>
            </w:pPr>
          </w:p>
        </w:tc>
      </w:tr>
    </w:tbl>
    <w:p w14:paraId="1FEDE7FC">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r>
        <w:rPr>
          <w:rFonts w:hint="eastAsia" w:ascii="宋体" w:hAnsi="宋体" w:eastAsia="宋体" w:cs="宋体"/>
        </w:rPr>
        <w:t>注：1.本表只填写磋商响应文件中与磋商文件有偏离（包括正偏离和负偏离）的内</w:t>
      </w:r>
      <w:r>
        <w:rPr>
          <w:rFonts w:hint="eastAsia" w:ascii="宋体" w:hAnsi="宋体" w:eastAsia="宋体" w:cs="宋体"/>
          <w:spacing w:val="-10"/>
        </w:rPr>
        <w:t>容，磋商响应文件中商务条款响应与</w:t>
      </w:r>
      <w:r>
        <w:rPr>
          <w:rFonts w:hint="eastAsia" w:ascii="宋体" w:hAnsi="宋体" w:eastAsia="宋体" w:cs="宋体"/>
          <w:spacing w:val="-10"/>
          <w:lang w:eastAsia="zh-CN"/>
        </w:rPr>
        <w:t>磋商</w:t>
      </w:r>
      <w:r>
        <w:rPr>
          <w:rFonts w:hint="eastAsia" w:ascii="宋体" w:hAnsi="宋体" w:eastAsia="宋体" w:cs="宋体"/>
          <w:spacing w:val="-10"/>
        </w:rPr>
        <w:t xml:space="preserve">文件要求完全一致的，不用在此表中列出， </w:t>
      </w:r>
      <w:r>
        <w:rPr>
          <w:rFonts w:hint="eastAsia" w:ascii="宋体" w:hAnsi="宋体" w:eastAsia="宋体" w:cs="宋体"/>
        </w:rPr>
        <w:t>但必须提交空白表。</w:t>
      </w:r>
    </w:p>
    <w:p w14:paraId="7188F477">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r>
        <w:rPr>
          <w:rFonts w:hint="eastAsia" w:ascii="宋体" w:hAnsi="宋体" w:eastAsia="宋体" w:cs="宋体"/>
        </w:rPr>
        <w:t>2.供应商必须据实填写，不得虚假响应，否则将取消其磋商或成交资格，并按有关规定进</w:t>
      </w:r>
      <w:r>
        <w:rPr>
          <w:rFonts w:hint="eastAsia" w:ascii="宋体" w:hAnsi="宋体" w:cs="宋体"/>
          <w:lang w:val="en-US" w:eastAsia="zh-CN"/>
        </w:rPr>
        <w:t>行</w:t>
      </w:r>
      <w:r>
        <w:rPr>
          <w:rFonts w:hint="eastAsia" w:ascii="宋体" w:hAnsi="宋体" w:eastAsia="宋体" w:cs="宋体"/>
        </w:rPr>
        <w:t>处罚。</w:t>
      </w:r>
    </w:p>
    <w:p w14:paraId="715177F4">
      <w:pPr>
        <w:pStyle w:val="9"/>
        <w:rPr>
          <w:rFonts w:hint="eastAsia" w:ascii="宋体" w:hAnsi="宋体" w:eastAsia="宋体" w:cs="宋体"/>
        </w:rPr>
      </w:pPr>
    </w:p>
    <w:p w14:paraId="7F518551">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7B2112D4">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outlineLvl w:val="9"/>
        <w:rPr>
          <w:rFonts w:hint="eastAsia" w:ascii="宋体" w:hAnsi="宋体" w:eastAsia="宋体" w:cs="宋体"/>
          <w:u w:val="none"/>
          <w:lang w:eastAsia="zh-CN"/>
        </w:rPr>
      </w:pPr>
      <w:r>
        <w:rPr>
          <w:rFonts w:hint="eastAsia" w:ascii="宋体" w:hAnsi="宋体" w:eastAsia="宋体" w:cs="宋体"/>
          <w:spacing w:val="-17"/>
        </w:rPr>
        <w:t xml:space="preserve"> </w:t>
      </w:r>
      <w:bookmarkStart w:id="471" w:name="_Toc32492"/>
      <w:r>
        <w:rPr>
          <w:rFonts w:hint="eastAsia" w:ascii="宋体" w:hAnsi="宋体" w:eastAsia="宋体" w:cs="宋体"/>
        </w:rPr>
        <w:t>法定代表人或被授权人</w:t>
      </w:r>
      <w:r>
        <w:rPr>
          <w:rFonts w:hint="eastAsia" w:ascii="宋体" w:hAnsi="宋体" w:eastAsia="宋体" w:cs="宋体"/>
          <w:lang w:eastAsia="zh-CN"/>
        </w:rPr>
        <w:t>：</w:t>
      </w:r>
      <w:r>
        <w:rPr>
          <w:rFonts w:hint="eastAsia" w:ascii="宋体" w:hAnsi="宋体" w:eastAsia="宋体" w:cs="宋体"/>
          <w:u w:val="single"/>
        </w:rPr>
        <w:t xml:space="preserve"> </w:t>
      </w:r>
      <w:bookmarkStart w:id="573" w:name="_GoBack"/>
      <w:bookmarkEnd w:id="573"/>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none"/>
          <w:lang w:eastAsia="zh-CN"/>
        </w:rPr>
        <w:t>（签字或盖章）</w:t>
      </w:r>
      <w:bookmarkEnd w:id="471"/>
    </w:p>
    <w:p w14:paraId="5C4518C2">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662BF7F3">
      <w:pPr>
        <w:spacing w:after="0"/>
        <w:rPr>
          <w:rFonts w:hint="eastAsia" w:ascii="宋体" w:hAnsi="宋体" w:eastAsia="宋体" w:cs="宋体"/>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BBF6673">
      <w:pPr>
        <w:pStyle w:val="3"/>
        <w:numPr>
          <w:ilvl w:val="0"/>
          <w:numId w:val="0"/>
        </w:numPr>
        <w:spacing w:before="61"/>
        <w:ind w:leftChars="200" w:right="0" w:rightChars="0"/>
        <w:rPr>
          <w:rFonts w:hint="eastAsia" w:ascii="宋体" w:hAnsi="宋体" w:eastAsia="宋体" w:cs="宋体"/>
          <w:lang w:eastAsia="zh-CN"/>
        </w:rPr>
      </w:pPr>
      <w:bookmarkStart w:id="472" w:name="_bookmark9"/>
      <w:bookmarkEnd w:id="472"/>
      <w:bookmarkStart w:id="473" w:name="_Toc22185"/>
      <w:bookmarkStart w:id="474" w:name="_Toc29291"/>
      <w:bookmarkStart w:id="475" w:name="_Toc908"/>
      <w:bookmarkStart w:id="476" w:name="_Toc14659"/>
      <w:bookmarkStart w:id="477" w:name="_Toc16408"/>
      <w:r>
        <w:rPr>
          <w:rFonts w:hint="eastAsia" w:ascii="宋体" w:hAnsi="宋体" w:eastAsia="宋体" w:cs="宋体"/>
          <w:lang w:eastAsia="zh-CN"/>
        </w:rPr>
        <w:t>四、资格证明文件</w:t>
      </w:r>
      <w:bookmarkEnd w:id="473"/>
      <w:bookmarkEnd w:id="474"/>
      <w:bookmarkEnd w:id="475"/>
      <w:bookmarkEnd w:id="476"/>
      <w:bookmarkEnd w:id="477"/>
    </w:p>
    <w:p w14:paraId="1C5A551E">
      <w:pPr>
        <w:keepNext w:val="0"/>
        <w:keepLines w:val="0"/>
        <w:pageBreakBefore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bidi="ar-SA"/>
        </w:rPr>
      </w:pPr>
    </w:p>
    <w:p w14:paraId="0D5532CA">
      <w:pPr>
        <w:bidi w:val="0"/>
        <w:ind w:left="0" w:leftChars="0" w:firstLine="0" w:firstLineChars="0"/>
        <w:outlineLvl w:val="9"/>
        <w:rPr>
          <w:rFonts w:hint="eastAsia" w:ascii="宋体" w:hAnsi="宋体" w:eastAsia="宋体" w:cs="宋体"/>
          <w:b/>
          <w:bCs/>
          <w:sz w:val="24"/>
          <w:szCs w:val="22"/>
          <w:lang w:val="en-US" w:eastAsia="zh-CN" w:bidi="zh-CN"/>
        </w:rPr>
      </w:pPr>
      <w:r>
        <w:rPr>
          <w:rFonts w:hint="eastAsia" w:ascii="宋体" w:hAnsi="宋体" w:eastAsia="宋体" w:cs="宋体"/>
          <w:b/>
          <w:bCs/>
          <w:sz w:val="24"/>
          <w:szCs w:val="22"/>
          <w:lang w:val="en-US" w:eastAsia="zh-CN" w:bidi="zh-CN"/>
        </w:rPr>
        <w:t>（一）满足《中华人民共和国政府采购法》第二十二条规定;</w:t>
      </w:r>
    </w:p>
    <w:p w14:paraId="60025353">
      <w:pPr>
        <w:numPr>
          <w:ilvl w:val="0"/>
          <w:numId w:val="0"/>
        </w:numPr>
        <w:bidi w:val="0"/>
        <w:ind w:left="0" w:leftChars="0" w:right="0" w:rightChars="0" w:firstLine="480" w:firstLineChars="20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1.有效的主体资格证明：提供合格有效的法人或者其他组织的营业执照等证明文件，自然人的身份证明；供应商是法人或其他组织的应提供营业执照等证明文件，供应商是自然人的应提供有效的自然人身份证明；</w:t>
      </w:r>
    </w:p>
    <w:p w14:paraId="4B82CBF1">
      <w:pPr>
        <w:numPr>
          <w:ilvl w:val="0"/>
          <w:numId w:val="0"/>
        </w:numPr>
        <w:bidi w:val="0"/>
        <w:ind w:left="0" w:leftChars="0" w:right="0" w:rightChars="0" w:firstLine="480" w:firstLineChars="20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2.</w:t>
      </w:r>
      <w:r>
        <w:rPr>
          <w:rFonts w:hint="eastAsia" w:ascii="宋体" w:hAnsi="宋体" w:eastAsia="宋体" w:cs="宋体"/>
          <w:sz w:val="24"/>
          <w:szCs w:val="22"/>
          <w:lang w:val="en-US" w:eastAsia="zh-Hans" w:bidi="zh-CN"/>
        </w:rPr>
        <w:t>财务状况报告：</w:t>
      </w:r>
      <w:r>
        <w:rPr>
          <w:rFonts w:hint="eastAsia" w:ascii="宋体" w:hAnsi="宋体" w:eastAsia="宋体" w:cs="宋体"/>
          <w:sz w:val="24"/>
          <w:szCs w:val="22"/>
          <w:lang w:val="en-US" w:eastAsia="zh-CN" w:bidi="zh-CN"/>
        </w:rPr>
        <w:t>提供2024年度具有财务审计资质的单位出具的财务报告（成立时间至开标时间不足一年的可提供成立后任意时段的资产负债表）或开标前六个月内基本存款账户开户银行出具的资信证明（附开户许可证或基本存款账户信息）或信用担保机构出具的投标担保函。</w:t>
      </w:r>
    </w:p>
    <w:p w14:paraId="4B3A5890">
      <w:pPr>
        <w:numPr>
          <w:ilvl w:val="0"/>
          <w:numId w:val="0"/>
        </w:numPr>
        <w:bidi w:val="0"/>
        <w:ind w:left="0" w:leftChars="0" w:right="0" w:rightChars="0" w:firstLine="480" w:firstLineChars="20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3.税收缴纳证明：提供自2024年12月01日至磋商截止日已缴纳的任意一个月的纳税证明或完税证明，依法免税的单位应提供相关证明材料；</w:t>
      </w:r>
    </w:p>
    <w:p w14:paraId="02CD30E4">
      <w:pPr>
        <w:numPr>
          <w:ilvl w:val="0"/>
          <w:numId w:val="0"/>
        </w:numPr>
        <w:bidi w:val="0"/>
        <w:ind w:left="0" w:leftChars="0" w:right="0" w:rightChars="0" w:firstLine="480" w:firstLineChars="20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4.社会保障资金缴纳证明：提供自2024年12月01日至磋商截止日已缴存的任意一个月的社会保障资金缴存单据或社保机构开具的社会保险参保缴费情况证明，依法不需要缴纳社会保障资金的单位应提供相关证明材料；</w:t>
      </w:r>
    </w:p>
    <w:p w14:paraId="4F8123F1">
      <w:pPr>
        <w:numPr>
          <w:ilvl w:val="0"/>
          <w:numId w:val="0"/>
        </w:numPr>
        <w:bidi w:val="0"/>
        <w:ind w:left="0" w:leftChars="0" w:right="0" w:rightChars="0" w:firstLine="480" w:firstLineChars="20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5.提供具有履行本合同所必需的设备和专业技术能力的承诺；</w:t>
      </w:r>
    </w:p>
    <w:p w14:paraId="33FB419C">
      <w:pPr>
        <w:numPr>
          <w:ilvl w:val="0"/>
          <w:numId w:val="0"/>
        </w:numPr>
        <w:bidi w:val="0"/>
        <w:ind w:left="0" w:leftChars="0" w:right="0" w:rightChars="0" w:firstLine="480" w:firstLineChars="20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6.参加政府采购活动前3年内，在经营活动中没有重大违法记录的书面声明；</w:t>
      </w:r>
    </w:p>
    <w:p w14:paraId="3B4A4B84">
      <w:pPr>
        <w:pStyle w:val="30"/>
        <w:spacing w:line="360" w:lineRule="auto"/>
        <w:rPr>
          <w:rFonts w:hint="eastAsia" w:ascii="宋体" w:hAnsi="宋体" w:eastAsia="宋体" w:cs="宋体"/>
          <w:b/>
          <w:bCs/>
          <w:sz w:val="24"/>
          <w:szCs w:val="22"/>
          <w:lang w:val="en-US" w:eastAsia="zh-CN" w:bidi="zh-CN"/>
        </w:rPr>
      </w:pPr>
      <w:r>
        <w:rPr>
          <w:rFonts w:hint="eastAsia" w:ascii="宋体" w:hAnsi="宋体" w:eastAsia="宋体" w:cs="宋体"/>
          <w:b/>
          <w:bCs/>
          <w:sz w:val="24"/>
          <w:szCs w:val="22"/>
          <w:lang w:val="en-US" w:eastAsia="zh-CN" w:bidi="zh-CN"/>
        </w:rPr>
        <w:t>（二）落实政府采购政策需满足的资格要求：</w:t>
      </w:r>
    </w:p>
    <w:p w14:paraId="6F8804AC">
      <w:pPr>
        <w:pStyle w:val="30"/>
        <w:spacing w:line="360" w:lineRule="auto"/>
        <w:ind w:left="48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本项目为专门面向中小企业项目，供应商应为中型企业或小型、微型企业或监狱企业或残疾人福利性单位。（提供相关证明文件或承诺函）</w:t>
      </w:r>
    </w:p>
    <w:p w14:paraId="64A586EB">
      <w:pPr>
        <w:pStyle w:val="30"/>
        <w:spacing w:line="360" w:lineRule="auto"/>
        <w:rPr>
          <w:rFonts w:hint="eastAsia" w:ascii="宋体" w:hAnsi="宋体" w:eastAsia="宋体" w:cs="宋体"/>
          <w:b/>
          <w:bCs/>
          <w:sz w:val="24"/>
          <w:szCs w:val="22"/>
          <w:lang w:val="en-US" w:eastAsia="zh-CN" w:bidi="zh-CN"/>
        </w:rPr>
      </w:pPr>
      <w:r>
        <w:rPr>
          <w:rFonts w:hint="eastAsia" w:ascii="宋体" w:hAnsi="宋体" w:eastAsia="宋体" w:cs="宋体"/>
          <w:b/>
          <w:bCs/>
          <w:sz w:val="24"/>
          <w:szCs w:val="22"/>
          <w:lang w:val="en-US" w:eastAsia="zh-CN" w:bidi="zh-CN"/>
        </w:rPr>
        <w:t>（三）本项目的特定资格要求：</w:t>
      </w:r>
    </w:p>
    <w:p w14:paraId="2535F452">
      <w:pPr>
        <w:pStyle w:val="3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1.法定代表人授权书或身份证明：提供法定代表人授权书（附法定代表人、被授权人身份证复印件）（法定代表人直接参加磋商，须提供法定代表人身份证明）；非法人单位参照执行；</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2.供应商资质要求：供应商须具备建设行政主管部门颁发的市政公用工程施工总承包三级（含三级）以上资质，且具备有效的安全生产许可证；</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3.拟派项目经理具备市政公用工程二级及以上注册建造师证书和安全生产考核合格证（B证），在本单位注册且无在建工程（提供无在建工程承诺书）；</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4.供应商及拟派项目经理基本信息应在“陕西省住房和城乡建设厅网站（http://js.shaanxi.gov.cn/）陕西省建筑市场监管与诚信信息发布平台”可查询；</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5.供应商不得为“信用中国 (www.creditchina.gov.cn)”中列入失信被执行人和重大税收违法失信主体的供应商，不得为“中国政府采购网(www.ccgp.gov.cn)”政府采购严重违法失信行为记录名单中被财政部门禁止参加政府采购活动的供应商；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sz w:val="24"/>
          <w:szCs w:val="22"/>
          <w:lang w:val="en-US" w:eastAsia="zh-CN" w:bidi="zh-CN"/>
        </w:rPr>
        <w:br w:type="textWrapping"/>
      </w:r>
      <w:r>
        <w:rPr>
          <w:rFonts w:hint="eastAsia" w:ascii="宋体" w:hAnsi="宋体" w:eastAsia="宋体" w:cs="宋体"/>
          <w:sz w:val="24"/>
          <w:szCs w:val="22"/>
          <w:lang w:val="en-US" w:eastAsia="zh-CN" w:bidi="zh-CN"/>
        </w:rPr>
        <w:t xml:space="preserve">   6.单位负责人为同一人或者存在直接控股、管理关系的不同供应商，不得参加同一合同项下的政府采购活动。</w:t>
      </w:r>
    </w:p>
    <w:p w14:paraId="738BF82A">
      <w:pPr>
        <w:numPr>
          <w:ilvl w:val="0"/>
          <w:numId w:val="0"/>
        </w:numPr>
        <w:ind w:left="0" w:leftChars="0" w:right="0" w:rightChars="0" w:firstLine="480" w:firstLineChars="200"/>
        <w:rPr>
          <w:rFonts w:hint="eastAsia" w:ascii="宋体" w:hAnsi="宋体" w:eastAsia="宋体" w:cs="宋体"/>
          <w:color w:val="FF0000"/>
        </w:rPr>
      </w:pPr>
    </w:p>
    <w:p w14:paraId="44743176">
      <w:pPr>
        <w:numPr>
          <w:ilvl w:val="0"/>
          <w:numId w:val="0"/>
        </w:numPr>
        <w:ind w:left="0" w:leftChars="0" w:right="0" w:rightChars="0" w:firstLine="482" w:firstLineChars="200"/>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lang w:val="en-US" w:eastAsia="zh-CN" w:bidi="zh-CN"/>
        </w:rPr>
        <w:t>注：</w:t>
      </w:r>
      <w:r>
        <w:rPr>
          <w:rFonts w:hint="eastAsia" w:ascii="宋体" w:hAnsi="宋体" w:eastAsia="宋体" w:cs="宋体"/>
          <w:b w:val="0"/>
          <w:bCs w:val="0"/>
          <w:sz w:val="24"/>
          <w:szCs w:val="24"/>
          <w:lang w:val="zh-CN" w:eastAsia="zh-CN" w:bidi="zh-CN"/>
        </w:rPr>
        <w:t>①</w:t>
      </w:r>
      <w:r>
        <w:rPr>
          <w:rFonts w:hint="eastAsia" w:ascii="宋体" w:hAnsi="宋体" w:eastAsia="宋体" w:cs="宋体"/>
          <w:b w:val="0"/>
          <w:bCs w:val="0"/>
          <w:sz w:val="24"/>
          <w:szCs w:val="24"/>
          <w:highlight w:val="none"/>
          <w:lang w:eastAsia="zh-CN"/>
        </w:rPr>
        <w:t>以上要求为必备资格条件，提供相关证书复印件或扫描件并加盖公章，有一项不满足的视为无效磋商；未给定格式的承诺书，格式自拟。</w:t>
      </w:r>
    </w:p>
    <w:p w14:paraId="05E2A363">
      <w:pPr>
        <w:bidi w:val="0"/>
        <w:ind w:left="0" w:leftChars="0" w:firstLine="480" w:firstLineChars="200"/>
        <w:outlineLvl w:val="9"/>
        <w:rPr>
          <w:rFonts w:hint="eastAsia" w:ascii="宋体" w:hAnsi="宋体" w:eastAsia="宋体" w:cs="宋体"/>
          <w:b/>
          <w:bCs/>
          <w:sz w:val="24"/>
          <w:szCs w:val="24"/>
          <w:lang w:val="en-US" w:eastAsia="zh-CN" w:bidi="zh-CN"/>
        </w:rPr>
      </w:pPr>
      <w:r>
        <w:rPr>
          <w:rFonts w:hint="eastAsia" w:ascii="宋体" w:hAnsi="宋体" w:eastAsia="宋体" w:cs="宋体"/>
          <w:b w:val="0"/>
          <w:bCs w:val="0"/>
          <w:sz w:val="24"/>
          <w:szCs w:val="24"/>
          <w:lang w:val="en-US" w:eastAsia="zh-CN" w:bidi="zh-CN"/>
        </w:rPr>
        <w:t>②根据临财函〔2025〕199号《关于扩大政府采购供应商基本资格条件承诺制试点工作范围的通知》，本项目可以对《中华人民共和国政府采购法实施条例》的相关材料进行简化</w:t>
      </w:r>
      <w:r>
        <w:rPr>
          <w:rFonts w:hint="eastAsia" w:ascii="宋体" w:hAnsi="宋体" w:eastAsia="宋体" w:cs="宋体"/>
          <w:b/>
          <w:bCs/>
          <w:sz w:val="24"/>
          <w:szCs w:val="24"/>
          <w:lang w:val="en-US" w:eastAsia="zh-CN" w:bidi="zh-CN"/>
        </w:rPr>
        <w:t>【</w:t>
      </w:r>
      <w:r>
        <w:rPr>
          <w:rFonts w:hint="eastAsia" w:ascii="宋体" w:hAnsi="宋体" w:eastAsia="宋体" w:cs="宋体"/>
          <w:b/>
          <w:bCs/>
          <w:sz w:val="24"/>
          <w:szCs w:val="22"/>
          <w:lang w:val="en-US" w:eastAsia="zh-CN" w:bidi="zh-CN"/>
        </w:rPr>
        <w:t>（一）满足《中华人民共和国政府采购法》第二十二条规定中“第2至6条”及</w:t>
      </w:r>
      <w:r>
        <w:rPr>
          <w:rFonts w:hint="eastAsia" w:ascii="宋体" w:hAnsi="宋体" w:eastAsia="宋体" w:cs="宋体"/>
          <w:b/>
          <w:bCs/>
          <w:sz w:val="24"/>
          <w:szCs w:val="24"/>
          <w:lang w:val="en-US" w:eastAsia="zh-CN"/>
        </w:rPr>
        <w:t>（三）</w:t>
      </w:r>
      <w:r>
        <w:rPr>
          <w:rFonts w:hint="eastAsia" w:ascii="宋体" w:hAnsi="宋体" w:eastAsia="宋体" w:cs="宋体"/>
          <w:b/>
          <w:bCs/>
          <w:sz w:val="24"/>
          <w:szCs w:val="22"/>
          <w:lang w:val="en-US" w:eastAsia="zh-CN" w:bidi="zh-CN"/>
        </w:rPr>
        <w:t>本项目的特定资格</w:t>
      </w:r>
      <w:r>
        <w:rPr>
          <w:rFonts w:hint="eastAsia" w:ascii="宋体" w:hAnsi="宋体" w:eastAsia="宋体" w:cs="宋体"/>
          <w:b/>
          <w:bCs/>
          <w:sz w:val="24"/>
          <w:szCs w:val="24"/>
        </w:rPr>
        <w:t>要求</w:t>
      </w:r>
      <w:r>
        <w:rPr>
          <w:rFonts w:hint="eastAsia" w:ascii="宋体" w:hAnsi="宋体" w:eastAsia="宋体" w:cs="宋体"/>
          <w:b/>
          <w:bCs/>
          <w:sz w:val="24"/>
          <w:szCs w:val="24"/>
          <w:lang w:val="en-US" w:eastAsia="zh-CN"/>
        </w:rPr>
        <w:t>中第“4”、“5”条相关内容】</w:t>
      </w:r>
      <w:r>
        <w:rPr>
          <w:rFonts w:hint="eastAsia" w:ascii="宋体" w:hAnsi="宋体" w:eastAsia="宋体" w:cs="宋体"/>
          <w:b/>
          <w:bCs/>
          <w:sz w:val="24"/>
          <w:szCs w:val="24"/>
          <w:lang w:val="en-US" w:eastAsia="zh-CN" w:bidi="zh-CN"/>
        </w:rPr>
        <w:t>。</w:t>
      </w:r>
    </w:p>
    <w:p w14:paraId="139D9020">
      <w:pPr>
        <w:pStyle w:val="30"/>
        <w:spacing w:line="360" w:lineRule="auto"/>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b w:val="0"/>
          <w:bCs w:val="0"/>
          <w:sz w:val="24"/>
          <w:szCs w:val="24"/>
          <w:lang w:val="en-US" w:eastAsia="zh-CN" w:bidi="zh-CN"/>
        </w:rPr>
        <w:t>简化后，供应商只需以书面形式提供规定格式的《基本资格条件承诺函》，供应商未提供基本资格条件承诺函的，应当按照《中华人民共和国政府采购法》及其实施条例的相关规定提供相应的证明材料。供应商须对承诺内容的真实性负责。采购人可以在中标(成交)结果公告后、签订政府采购合同前，核实中标(成交)供应商所作信用承诺事项的真实性。</w:t>
      </w:r>
    </w:p>
    <w:p w14:paraId="455FD681">
      <w:pPr>
        <w:pStyle w:val="30"/>
        <w:spacing w:line="360" w:lineRule="auto"/>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b w:val="0"/>
          <w:bCs w:val="0"/>
          <w:sz w:val="24"/>
          <w:szCs w:val="24"/>
          <w:lang w:val="en-US" w:eastAsia="zh-CN" w:bidi="zh-CN"/>
        </w:rPr>
        <w:t>供应商应对其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52850991">
      <w:pPr>
        <w:numPr>
          <w:ilvl w:val="0"/>
          <w:numId w:val="0"/>
        </w:numPr>
        <w:ind w:left="0" w:leftChars="0" w:right="0" w:rightChars="0" w:firstLine="480" w:firstLineChars="200"/>
        <w:rPr>
          <w:rFonts w:hint="eastAsia" w:ascii="宋体" w:hAnsi="宋体" w:eastAsia="宋体" w:cs="宋体"/>
          <w:lang w:eastAsia="zh-CN"/>
        </w:rPr>
      </w:pPr>
      <w:r>
        <w:rPr>
          <w:rFonts w:hint="eastAsia" w:ascii="宋体" w:hAnsi="宋体" w:eastAsia="宋体" w:cs="宋体"/>
        </w:rPr>
        <w:br w:type="page"/>
      </w:r>
    </w:p>
    <w:p w14:paraId="06800937">
      <w:pPr>
        <w:pStyle w:val="4"/>
        <w:bidi w:val="0"/>
        <w:ind w:left="0" w:leftChars="0" w:firstLine="0" w:firstLineChars="0"/>
        <w:jc w:val="left"/>
        <w:rPr>
          <w:rFonts w:hint="eastAsia" w:ascii="宋体" w:hAnsi="宋体" w:eastAsia="宋体" w:cs="宋体"/>
        </w:rPr>
      </w:pPr>
      <w:bookmarkStart w:id="478" w:name="_Toc22189"/>
      <w:bookmarkStart w:id="479" w:name="_Toc16487"/>
      <w:bookmarkStart w:id="480" w:name="_Toc23762"/>
      <w:bookmarkStart w:id="481" w:name="_Toc25403"/>
      <w:r>
        <w:rPr>
          <w:rFonts w:hint="eastAsia" w:ascii="宋体" w:hAnsi="宋体" w:eastAsia="宋体" w:cs="宋体"/>
        </w:rPr>
        <w:t>附件</w:t>
      </w:r>
      <w:bookmarkStart w:id="482" w:name="附件6  供应商资格证明文件"/>
      <w:bookmarkEnd w:id="482"/>
      <w:bookmarkStart w:id="483" w:name="_bookmark10"/>
      <w:bookmarkEnd w:id="483"/>
      <w:r>
        <w:rPr>
          <w:rFonts w:hint="eastAsia" w:ascii="宋体" w:hAnsi="宋体" w:eastAsia="宋体" w:cs="宋体"/>
          <w:lang w:val="en-US" w:eastAsia="zh-CN"/>
        </w:rPr>
        <w:t>1：</w:t>
      </w:r>
      <w:r>
        <w:rPr>
          <w:rFonts w:hint="eastAsia" w:ascii="宋体" w:hAnsi="宋体" w:eastAsia="宋体" w:cs="宋体"/>
        </w:rPr>
        <w:t>法定代表人身份证明/法定代表人授权书</w:t>
      </w:r>
      <w:bookmarkEnd w:id="478"/>
      <w:bookmarkEnd w:id="479"/>
      <w:bookmarkEnd w:id="480"/>
      <w:bookmarkEnd w:id="481"/>
    </w:p>
    <w:p w14:paraId="21F06014">
      <w:pPr>
        <w:adjustRightInd w:val="0"/>
        <w:snapToGrid w:val="0"/>
        <w:spacing w:line="360" w:lineRule="auto"/>
        <w:jc w:val="center"/>
        <w:outlineLvl w:val="2"/>
        <w:rPr>
          <w:rFonts w:hint="eastAsia" w:ascii="宋体" w:hAnsi="宋体" w:eastAsia="宋体" w:cs="宋体"/>
          <w:b/>
          <w:sz w:val="32"/>
          <w:szCs w:val="32"/>
        </w:rPr>
      </w:pPr>
      <w:bookmarkStart w:id="484" w:name="_Toc22434"/>
      <w:bookmarkStart w:id="485" w:name="_Toc6194"/>
      <w:bookmarkStart w:id="486" w:name="_Toc27481"/>
      <w:bookmarkStart w:id="487" w:name="_Toc22754"/>
      <w:r>
        <w:rPr>
          <w:rFonts w:hint="eastAsia" w:ascii="宋体" w:hAnsi="宋体" w:eastAsia="宋体" w:cs="宋体"/>
          <w:b/>
          <w:sz w:val="32"/>
          <w:szCs w:val="32"/>
        </w:rPr>
        <w:t>（1）法定代表人身份证明</w:t>
      </w:r>
      <w:bookmarkEnd w:id="484"/>
      <w:bookmarkEnd w:id="485"/>
      <w:bookmarkEnd w:id="486"/>
      <w:bookmarkEnd w:id="487"/>
    </w:p>
    <w:p w14:paraId="0335D044">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lang w:eastAsia="zh-CN"/>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733646FF">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14:paraId="7F3BD9AF">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5ECCE65">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经营期限：</w:t>
      </w:r>
      <w:r>
        <w:rPr>
          <w:rFonts w:hint="eastAsia" w:ascii="宋体" w:hAnsi="宋体" w:eastAsia="宋体" w:cs="宋体"/>
          <w:kern w:val="0"/>
          <w:sz w:val="24"/>
          <w:szCs w:val="24"/>
          <w:u w:val="single"/>
        </w:rPr>
        <w:t xml:space="preserve">                  </w:t>
      </w:r>
    </w:p>
    <w:p w14:paraId="7032CAFE">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lang w:eastAsia="zh-CN"/>
        </w:rPr>
        <w:t>供应商</w:t>
      </w:r>
      <w:r>
        <w:rPr>
          <w:rFonts w:hint="eastAsia" w:ascii="宋体" w:hAnsi="宋体" w:eastAsia="宋体" w:cs="宋体"/>
          <w:kern w:val="0"/>
          <w:sz w:val="24"/>
          <w:szCs w:val="24"/>
        </w:rPr>
        <w:t>名称）的法定代表人。</w:t>
      </w:r>
    </w:p>
    <w:p w14:paraId="6A06C155">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5524E833">
      <w:pPr>
        <w:autoSpaceDE w:val="0"/>
        <w:autoSpaceDN w:val="0"/>
        <w:adjustRightInd w:val="0"/>
        <w:snapToGrid w:val="0"/>
        <w:spacing w:before="120" w:before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附：法定代表人身份证复印件</w:t>
      </w:r>
    </w:p>
    <w:tbl>
      <w:tblPr>
        <w:tblStyle w:val="19"/>
        <w:tblW w:w="0" w:type="auto"/>
        <w:jc w:val="center"/>
        <w:tblLayout w:type="fixed"/>
        <w:tblCellMar>
          <w:top w:w="0" w:type="dxa"/>
          <w:left w:w="108" w:type="dxa"/>
          <w:bottom w:w="0" w:type="dxa"/>
          <w:right w:w="108" w:type="dxa"/>
        </w:tblCellMar>
      </w:tblPr>
      <w:tblGrid>
        <w:gridCol w:w="4804"/>
      </w:tblGrid>
      <w:tr w14:paraId="51971EF5">
        <w:tblPrEx>
          <w:tblCellMar>
            <w:top w:w="0" w:type="dxa"/>
            <w:left w:w="108" w:type="dxa"/>
            <w:bottom w:w="0" w:type="dxa"/>
            <w:right w:w="108" w:type="dxa"/>
          </w:tblCellMar>
        </w:tblPrEx>
        <w:trPr>
          <w:trHeight w:val="2818" w:hRule="atLeast"/>
          <w:jc w:val="center"/>
        </w:trPr>
        <w:tc>
          <w:tcPr>
            <w:tcW w:w="4804" w:type="dxa"/>
            <w:tcBorders>
              <w:top w:val="single" w:color="auto" w:sz="6" w:space="0"/>
              <w:left w:val="single" w:color="auto" w:sz="6" w:space="0"/>
              <w:bottom w:val="single" w:color="auto" w:sz="6" w:space="0"/>
              <w:right w:val="single" w:color="auto" w:sz="6" w:space="0"/>
            </w:tcBorders>
            <w:noWrap w:val="0"/>
            <w:vAlign w:val="center"/>
          </w:tcPr>
          <w:p w14:paraId="772C2D07">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w:t>
            </w:r>
          </w:p>
          <w:p w14:paraId="7D2CD173">
            <w:pPr>
              <w:spacing w:line="360"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正</w:t>
            </w:r>
            <w:r>
              <w:rPr>
                <w:rFonts w:hint="eastAsia" w:ascii="宋体" w:hAnsi="宋体" w:eastAsia="宋体" w:cs="宋体"/>
                <w:sz w:val="24"/>
                <w:szCs w:val="24"/>
              </w:rPr>
              <w:t>反</w:t>
            </w:r>
            <w:r>
              <w:rPr>
                <w:rFonts w:hint="eastAsia" w:ascii="宋体" w:hAnsi="宋体" w:eastAsia="宋体" w:cs="宋体"/>
                <w:sz w:val="24"/>
                <w:szCs w:val="24"/>
                <w:lang w:val="zh-CN"/>
              </w:rPr>
              <w:t>面复印件</w:t>
            </w:r>
          </w:p>
        </w:tc>
      </w:tr>
    </w:tbl>
    <w:p w14:paraId="144DF7FC">
      <w:pPr>
        <w:autoSpaceDE w:val="0"/>
        <w:autoSpaceDN w:val="0"/>
        <w:adjustRightInd w:val="0"/>
        <w:snapToGrid w:val="0"/>
        <w:spacing w:before="120" w:before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注：仅限法定代表人参加</w:t>
      </w:r>
      <w:r>
        <w:rPr>
          <w:rFonts w:hint="eastAsia" w:ascii="宋体" w:hAnsi="宋体" w:eastAsia="宋体" w:cs="宋体"/>
          <w:sz w:val="24"/>
          <w:szCs w:val="24"/>
          <w:lang w:val="en-US" w:eastAsia="zh-CN"/>
        </w:rPr>
        <w:t>磋商</w:t>
      </w:r>
      <w:r>
        <w:rPr>
          <w:rFonts w:hint="eastAsia" w:ascii="宋体" w:hAnsi="宋体" w:eastAsia="宋体" w:cs="宋体"/>
          <w:sz w:val="24"/>
          <w:szCs w:val="24"/>
        </w:rPr>
        <w:t>时提供。</w:t>
      </w:r>
    </w:p>
    <w:p w14:paraId="61B5FB84">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p>
    <w:p w14:paraId="5C5C2CF0">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5276E64B">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2A3EC838">
      <w:pPr>
        <w:rPr>
          <w:rFonts w:hint="eastAsia" w:ascii="宋体" w:hAnsi="宋体" w:eastAsia="宋体" w:cs="宋体"/>
          <w:b/>
          <w:sz w:val="32"/>
          <w:szCs w:val="32"/>
        </w:rPr>
      </w:pPr>
      <w:r>
        <w:rPr>
          <w:rFonts w:hint="eastAsia" w:ascii="宋体" w:hAnsi="宋体" w:eastAsia="宋体" w:cs="宋体"/>
          <w:b/>
          <w:sz w:val="32"/>
          <w:szCs w:val="32"/>
        </w:rPr>
        <w:br w:type="page"/>
      </w:r>
    </w:p>
    <w:p w14:paraId="1AAC1041">
      <w:pPr>
        <w:adjustRightInd w:val="0"/>
        <w:snapToGrid w:val="0"/>
        <w:spacing w:line="360" w:lineRule="auto"/>
        <w:jc w:val="center"/>
        <w:outlineLvl w:val="2"/>
        <w:rPr>
          <w:rFonts w:hint="eastAsia" w:ascii="宋体" w:hAnsi="宋体" w:eastAsia="宋体" w:cs="宋体"/>
          <w:b/>
          <w:sz w:val="44"/>
          <w:szCs w:val="44"/>
        </w:rPr>
      </w:pPr>
      <w:bookmarkStart w:id="488" w:name="_Toc6167"/>
      <w:bookmarkStart w:id="489" w:name="_Toc7664"/>
      <w:bookmarkStart w:id="490" w:name="_Toc31839"/>
      <w:bookmarkStart w:id="491" w:name="_Toc17644"/>
      <w:r>
        <w:rPr>
          <w:rFonts w:hint="eastAsia" w:ascii="宋体" w:hAnsi="宋体" w:eastAsia="宋体" w:cs="宋体"/>
          <w:b/>
          <w:sz w:val="32"/>
          <w:szCs w:val="32"/>
        </w:rPr>
        <w:t>（2）法定代表人委托授权书</w:t>
      </w:r>
      <w:bookmarkEnd w:id="488"/>
      <w:bookmarkEnd w:id="489"/>
      <w:bookmarkEnd w:id="490"/>
      <w:bookmarkEnd w:id="491"/>
    </w:p>
    <w:p w14:paraId="71F46D59">
      <w:pPr>
        <w:numPr>
          <w:ins w:id="0" w:author="听说" w:date=""/>
        </w:numPr>
        <w:spacing w:line="360" w:lineRule="auto"/>
        <w:ind w:left="0" w:leftChars="0" w:firstLine="0" w:firstLineChars="0"/>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eastAsia="zh-CN"/>
        </w:rPr>
        <w:t>采购人</w:t>
      </w:r>
      <w:r>
        <w:rPr>
          <w:rFonts w:hint="eastAsia" w:ascii="宋体" w:hAnsi="宋体" w:eastAsia="宋体" w:cs="宋体"/>
          <w:spacing w:val="4"/>
          <w:sz w:val="24"/>
          <w:szCs w:val="24"/>
          <w:u w:val="single"/>
        </w:rPr>
        <w:t>名称）    ：</w:t>
      </w:r>
    </w:p>
    <w:p w14:paraId="1500CA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 xml:space="preserve">      （工商行政管理局名称）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（姓名）</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（被授权人姓名）</w:t>
      </w:r>
      <w:r>
        <w:rPr>
          <w:rFonts w:hint="eastAsia" w:ascii="宋体" w:hAnsi="宋体" w:eastAsia="宋体" w:cs="宋体"/>
          <w:sz w:val="24"/>
          <w:szCs w:val="24"/>
        </w:rPr>
        <w:t>为我方合法委托代理人。代理人根据授权，以我方名义签署、澄清、说明、递交、撤回、修改</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及项目编号</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响应文件</w:t>
      </w:r>
      <w:r>
        <w:rPr>
          <w:rFonts w:hint="eastAsia" w:ascii="宋体" w:hAnsi="宋体" w:eastAsia="宋体" w:cs="宋体"/>
          <w:sz w:val="24"/>
          <w:szCs w:val="24"/>
        </w:rPr>
        <w:t>、签订合同和处理有关事宜，其法律后果由我方承担。</w:t>
      </w:r>
    </w:p>
    <w:p w14:paraId="402F0E12">
      <w:pPr>
        <w:autoSpaceDE w:val="0"/>
        <w:autoSpaceDN w:val="0"/>
        <w:adjustRightInd w:val="0"/>
        <w:spacing w:line="360" w:lineRule="auto"/>
        <w:ind w:firstLine="630"/>
        <w:rPr>
          <w:rFonts w:hint="eastAsia" w:ascii="宋体" w:hAnsi="宋体" w:eastAsia="宋体" w:cs="宋体"/>
          <w:sz w:val="24"/>
          <w:szCs w:val="24"/>
        </w:rPr>
      </w:pPr>
      <w:r>
        <w:rPr>
          <w:rFonts w:hint="eastAsia" w:ascii="宋体" w:hAnsi="宋体" w:eastAsia="宋体" w:cs="宋体"/>
          <w:sz w:val="24"/>
          <w:szCs w:val="24"/>
        </w:rPr>
        <w:t>代理人无转委托权。</w:t>
      </w:r>
    </w:p>
    <w:p w14:paraId="7D9F8E59">
      <w:pPr>
        <w:autoSpaceDE w:val="0"/>
        <w:autoSpaceDN w:val="0"/>
        <w:adjustRightInd w:val="0"/>
        <w:spacing w:line="360" w:lineRule="auto"/>
        <w:ind w:firstLine="630"/>
        <w:rPr>
          <w:rFonts w:hint="eastAsia" w:ascii="宋体" w:hAnsi="宋体" w:eastAsia="宋体" w:cs="宋体"/>
          <w:sz w:val="24"/>
          <w:szCs w:val="24"/>
        </w:rPr>
      </w:pPr>
      <w:r>
        <w:rPr>
          <w:rFonts w:hint="eastAsia" w:ascii="宋体" w:hAnsi="宋体" w:eastAsia="宋体" w:cs="宋体"/>
          <w:sz w:val="24"/>
          <w:szCs w:val="24"/>
        </w:rPr>
        <w:t>本授权书有效期为自</w:t>
      </w:r>
      <w:r>
        <w:rPr>
          <w:rFonts w:hint="eastAsia" w:ascii="宋体" w:hAnsi="宋体" w:eastAsia="宋体" w:cs="宋体"/>
          <w:sz w:val="24"/>
          <w:szCs w:val="24"/>
          <w:lang w:val="en-US" w:eastAsia="zh-CN"/>
        </w:rPr>
        <w:t>磋商截止之日</w:t>
      </w:r>
      <w:r>
        <w:rPr>
          <w:rFonts w:hint="eastAsia" w:ascii="宋体" w:hAnsi="宋体" w:eastAsia="宋体" w:cs="宋体"/>
          <w:sz w:val="24"/>
          <w:szCs w:val="24"/>
        </w:rPr>
        <w:t>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w:t>
      </w:r>
      <w:r>
        <w:rPr>
          <w:rFonts w:hint="eastAsia" w:ascii="宋体" w:hAnsi="宋体" w:eastAsia="宋体" w:cs="宋体"/>
          <w:sz w:val="24"/>
          <w:szCs w:val="24"/>
          <w:lang w:eastAsia="zh-CN"/>
        </w:rPr>
        <w:t>天</w:t>
      </w:r>
      <w:r>
        <w:rPr>
          <w:rFonts w:hint="eastAsia" w:ascii="宋体" w:hAnsi="宋体" w:eastAsia="宋体" w:cs="宋体"/>
          <w:sz w:val="24"/>
          <w:szCs w:val="24"/>
        </w:rPr>
        <w:t>。</w:t>
      </w:r>
    </w:p>
    <w:p w14:paraId="7ECCAAB7">
      <w:pPr>
        <w:autoSpaceDE w:val="0"/>
        <w:autoSpaceDN w:val="0"/>
        <w:adjustRightInd w:val="0"/>
        <w:spacing w:line="360" w:lineRule="auto"/>
        <w:ind w:firstLine="630"/>
        <w:rPr>
          <w:rFonts w:hint="eastAsia" w:ascii="宋体" w:hAnsi="宋体" w:eastAsia="宋体" w:cs="宋体"/>
          <w:sz w:val="24"/>
          <w:szCs w:val="24"/>
        </w:rPr>
      </w:pPr>
      <w:r>
        <w:rPr>
          <w:rFonts w:hint="eastAsia" w:ascii="宋体" w:hAnsi="宋体" w:eastAsia="宋体" w:cs="宋体"/>
          <w:sz w:val="24"/>
          <w:szCs w:val="24"/>
          <w:lang w:val="zh-CN"/>
        </w:rPr>
        <w:t>说明：本授权有效期与响应文件有效期保持一致（</w:t>
      </w:r>
      <w:r>
        <w:rPr>
          <w:rFonts w:hint="eastAsia" w:ascii="宋体" w:hAnsi="宋体" w:eastAsia="宋体" w:cs="宋体"/>
          <w:sz w:val="24"/>
          <w:szCs w:val="24"/>
        </w:rPr>
        <w:t>自</w:t>
      </w:r>
      <w:r>
        <w:rPr>
          <w:rFonts w:hint="eastAsia" w:ascii="宋体" w:hAnsi="宋体" w:eastAsia="宋体" w:cs="宋体"/>
          <w:sz w:val="24"/>
          <w:szCs w:val="24"/>
          <w:lang w:val="en-US" w:eastAsia="zh-CN"/>
        </w:rPr>
        <w:t>磋商截止</w:t>
      </w:r>
      <w:r>
        <w:rPr>
          <w:rFonts w:hint="eastAsia" w:ascii="宋体" w:hAnsi="宋体" w:eastAsia="宋体" w:cs="宋体"/>
          <w:sz w:val="24"/>
          <w:szCs w:val="24"/>
        </w:rPr>
        <w:t>之日起不少于90</w:t>
      </w:r>
      <w:r>
        <w:rPr>
          <w:rFonts w:hint="eastAsia" w:ascii="宋体" w:hAnsi="宋体" w:eastAsia="宋体" w:cs="宋体"/>
          <w:sz w:val="24"/>
          <w:szCs w:val="24"/>
          <w:lang w:val="en-US" w:eastAsia="zh-CN"/>
        </w:rPr>
        <w:t>日历天</w:t>
      </w:r>
      <w:r>
        <w:rPr>
          <w:rFonts w:hint="eastAsia" w:ascii="宋体" w:hAnsi="宋体" w:eastAsia="宋体" w:cs="宋体"/>
          <w:sz w:val="24"/>
          <w:szCs w:val="24"/>
          <w:lang w:val="zh-CN"/>
        </w:rPr>
        <w:t>），仅限授权代表参加</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时提供。</w:t>
      </w:r>
    </w:p>
    <w:p w14:paraId="4921A0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      章） </w:t>
      </w:r>
    </w:p>
    <w:p w14:paraId="5188CD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26A315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13F0FA8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bl>
      <w:tblPr>
        <w:tblStyle w:val="19"/>
        <w:tblpPr w:leftFromText="180" w:rightFromText="180" w:vertAnchor="text" w:horzAnchor="page" w:tblpX="1521" w:tblpY="4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4618"/>
      </w:tblGrid>
      <w:tr w14:paraId="7E61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618" w:type="dxa"/>
            <w:noWrap w:val="0"/>
            <w:vAlign w:val="center"/>
          </w:tcPr>
          <w:p w14:paraId="1B78ED6E">
            <w:pPr>
              <w:jc w:val="center"/>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法定代表人身份证复印件</w:t>
            </w:r>
          </w:p>
          <w:p w14:paraId="02F8B5F4">
            <w:pPr>
              <w:jc w:val="center"/>
              <w:rPr>
                <w:rFonts w:hint="eastAsia" w:ascii="宋体" w:hAnsi="宋体" w:eastAsia="宋体" w:cs="宋体"/>
                <w:bCs/>
                <w:sz w:val="24"/>
                <w:szCs w:val="24"/>
              </w:rPr>
            </w:pPr>
            <w:r>
              <w:rPr>
                <w:rFonts w:hint="eastAsia" w:ascii="宋体" w:hAnsi="宋体" w:eastAsia="宋体" w:cs="宋体"/>
                <w:sz w:val="24"/>
                <w:szCs w:val="24"/>
                <w:lang w:val="zh-CN"/>
              </w:rPr>
              <w:t>（正反两面）</w:t>
            </w:r>
          </w:p>
        </w:tc>
        <w:tc>
          <w:tcPr>
            <w:tcW w:w="4618" w:type="dxa"/>
            <w:noWrap w:val="0"/>
            <w:vAlign w:val="center"/>
          </w:tcPr>
          <w:p w14:paraId="2989DF49">
            <w:pPr>
              <w:jc w:val="center"/>
              <w:rPr>
                <w:rFonts w:hint="eastAsia" w:ascii="宋体" w:hAnsi="宋体" w:eastAsia="宋体" w:cs="宋体"/>
                <w:sz w:val="24"/>
                <w:szCs w:val="24"/>
                <w:lang w:val="zh-CN"/>
              </w:rPr>
            </w:pPr>
            <w:r>
              <w:rPr>
                <w:rFonts w:hint="eastAsia" w:ascii="宋体" w:hAnsi="宋体" w:eastAsia="宋体" w:cs="宋体"/>
                <w:sz w:val="24"/>
                <w:szCs w:val="24"/>
                <w:lang w:val="zh-CN"/>
              </w:rPr>
              <w:t>授权代表身份证复印件</w:t>
            </w:r>
          </w:p>
          <w:p w14:paraId="45927ED6">
            <w:pPr>
              <w:widowControl/>
              <w:jc w:val="center"/>
              <w:rPr>
                <w:rFonts w:hint="eastAsia" w:ascii="宋体" w:hAnsi="宋体" w:eastAsia="宋体" w:cs="宋体"/>
                <w:bCs/>
                <w:sz w:val="24"/>
                <w:szCs w:val="24"/>
              </w:rPr>
            </w:pPr>
            <w:r>
              <w:rPr>
                <w:rFonts w:hint="eastAsia" w:ascii="宋体" w:hAnsi="宋体" w:eastAsia="宋体" w:cs="宋体"/>
                <w:sz w:val="24"/>
                <w:szCs w:val="24"/>
                <w:lang w:val="zh-CN"/>
              </w:rPr>
              <w:t>（正反两面）</w:t>
            </w:r>
          </w:p>
        </w:tc>
      </w:tr>
    </w:tbl>
    <w:p w14:paraId="4AA73598">
      <w:pPr>
        <w:spacing w:before="120" w:beforeLines="50" w:line="360" w:lineRule="auto"/>
        <w:rPr>
          <w:rFonts w:hint="eastAsia" w:ascii="宋体" w:hAnsi="宋体" w:eastAsia="宋体" w:cs="宋体"/>
          <w:b/>
          <w:sz w:val="28"/>
          <w:szCs w:val="28"/>
        </w:rPr>
      </w:pPr>
      <w:r>
        <w:rPr>
          <w:rFonts w:hint="eastAsia" w:ascii="宋体" w:hAnsi="宋体" w:eastAsia="宋体" w:cs="宋体"/>
          <w:sz w:val="32"/>
        </w:rPr>
        <w:br w:type="page"/>
      </w:r>
    </w:p>
    <w:p w14:paraId="31F423E7">
      <w:pPr>
        <w:spacing w:after="0" w:line="364" w:lineRule="auto"/>
        <w:rPr>
          <w:rFonts w:hint="eastAsia" w:ascii="宋体" w:hAnsi="宋体" w:eastAsia="宋体" w:cs="宋体"/>
        </w:rPr>
        <w:sectPr>
          <w:footerReference r:id="rId15" w:type="default"/>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492" w:name="_bookmark11"/>
      <w:bookmarkEnd w:id="492"/>
      <w:bookmarkStart w:id="493" w:name="具有履行合同所必需的设备和专业技术能力（格式）"/>
      <w:bookmarkEnd w:id="493"/>
    </w:p>
    <w:p w14:paraId="004A0D09">
      <w:pPr>
        <w:pStyle w:val="4"/>
        <w:ind w:left="0" w:leftChars="0" w:firstLine="0" w:firstLineChars="0"/>
        <w:outlineLvl w:val="2"/>
        <w:rPr>
          <w:rFonts w:hint="eastAsia" w:ascii="宋体" w:hAnsi="宋体" w:eastAsia="宋体" w:cs="宋体"/>
        </w:rPr>
      </w:pPr>
      <w:bookmarkStart w:id="494" w:name="_bookmark12"/>
      <w:bookmarkEnd w:id="494"/>
      <w:bookmarkStart w:id="495" w:name="供应商满足政府采购相关优惠政策的声明或证明材料"/>
      <w:bookmarkEnd w:id="495"/>
      <w:bookmarkStart w:id="496" w:name="_Toc16580"/>
      <w:bookmarkStart w:id="497" w:name="_Toc12750"/>
      <w:bookmarkStart w:id="498" w:name="_Toc15713"/>
      <w:bookmarkStart w:id="499" w:name="_Toc18792"/>
      <w:r>
        <w:rPr>
          <w:rFonts w:hint="eastAsia" w:ascii="宋体" w:hAnsi="宋体" w:eastAsia="宋体" w:cs="宋体"/>
          <w:lang w:eastAsia="zh-CN"/>
        </w:rPr>
        <w:t>附件</w:t>
      </w:r>
      <w:r>
        <w:rPr>
          <w:rFonts w:hint="eastAsia" w:ascii="宋体" w:hAnsi="宋体" w:eastAsia="宋体" w:cs="宋体"/>
          <w:lang w:val="en-US" w:eastAsia="zh-CN"/>
        </w:rPr>
        <w:t>2：</w:t>
      </w:r>
      <w:r>
        <w:rPr>
          <w:rFonts w:hint="eastAsia" w:ascii="宋体" w:hAnsi="宋体" w:eastAsia="宋体" w:cs="宋体"/>
        </w:rPr>
        <w:t>具有履行合同所必需的设备和专业技术能力</w:t>
      </w:r>
      <w:r>
        <w:rPr>
          <w:rFonts w:hint="eastAsia" w:ascii="宋体" w:hAnsi="宋体" w:eastAsia="宋体" w:cs="宋体"/>
          <w:lang w:eastAsia="zh-CN"/>
        </w:rPr>
        <w:t>的承诺</w:t>
      </w:r>
      <w:r>
        <w:rPr>
          <w:rFonts w:hint="eastAsia" w:ascii="宋体" w:hAnsi="宋体" w:eastAsia="宋体" w:cs="宋体"/>
        </w:rPr>
        <w:t>（格式）</w:t>
      </w:r>
      <w:bookmarkEnd w:id="496"/>
      <w:bookmarkEnd w:id="497"/>
      <w:bookmarkEnd w:id="498"/>
      <w:bookmarkEnd w:id="499"/>
    </w:p>
    <w:p w14:paraId="0D8D7131">
      <w:pPr>
        <w:pStyle w:val="9"/>
        <w:rPr>
          <w:rFonts w:hint="eastAsia" w:ascii="宋体" w:hAnsi="宋体" w:eastAsia="宋体" w:cs="宋体"/>
          <w:b/>
          <w:sz w:val="28"/>
        </w:rPr>
      </w:pPr>
    </w:p>
    <w:p w14:paraId="1A00DAD3">
      <w:pPr>
        <w:pStyle w:val="9"/>
        <w:spacing w:before="12"/>
        <w:rPr>
          <w:rFonts w:hint="eastAsia" w:ascii="宋体" w:hAnsi="宋体" w:eastAsia="宋体" w:cs="宋体"/>
          <w:b/>
          <w:sz w:val="22"/>
        </w:rPr>
      </w:pPr>
    </w:p>
    <w:p w14:paraId="5842F973">
      <w:pPr>
        <w:pStyle w:val="9"/>
        <w:tabs>
          <w:tab w:val="left" w:pos="1491"/>
          <w:tab w:val="left" w:pos="3612"/>
        </w:tabs>
        <w:ind w:left="0" w:leftChars="0" w:firstLine="0" w:firstLineChars="0"/>
        <w:rPr>
          <w:rFonts w:hint="eastAsia" w:ascii="宋体" w:hAnsi="宋体" w:eastAsia="宋体" w:cs="宋体"/>
        </w:rPr>
      </w:pPr>
      <w:r>
        <w:rPr>
          <w:rFonts w:hint="eastAsia" w:ascii="宋体" w:hAnsi="宋体" w:eastAsia="宋体" w:cs="宋体"/>
          <w:spacing w:val="7"/>
        </w:rPr>
        <w:t>致</w:t>
      </w:r>
      <w:r>
        <w:rPr>
          <w:rFonts w:hint="eastAsia" w:ascii="宋体" w:hAnsi="宋体" w:eastAsia="宋体" w:cs="宋体"/>
          <w:spacing w:val="9"/>
        </w:rPr>
        <w:t>：</w:t>
      </w:r>
      <w:r>
        <w:rPr>
          <w:rFonts w:hint="eastAsia" w:ascii="宋体" w:hAnsi="宋体" w:eastAsia="宋体" w:cs="宋体"/>
          <w:spacing w:val="9"/>
          <w:u w:val="single"/>
        </w:rPr>
        <w:t xml:space="preserve"> </w:t>
      </w:r>
      <w:r>
        <w:rPr>
          <w:rFonts w:hint="eastAsia" w:ascii="宋体" w:hAnsi="宋体" w:eastAsia="宋体" w:cs="宋体"/>
          <w:spacing w:val="9"/>
          <w:u w:val="single"/>
        </w:rPr>
        <w:tab/>
      </w:r>
      <w:r>
        <w:rPr>
          <w:rFonts w:hint="eastAsia" w:ascii="宋体" w:hAnsi="宋体" w:eastAsia="宋体" w:cs="宋体"/>
          <w:spacing w:val="7"/>
          <w:u w:val="single"/>
        </w:rPr>
        <w:t>（</w:t>
      </w:r>
      <w:r>
        <w:rPr>
          <w:rFonts w:hint="eastAsia" w:ascii="宋体" w:hAnsi="宋体" w:eastAsia="宋体" w:cs="宋体"/>
          <w:spacing w:val="9"/>
          <w:u w:val="single"/>
        </w:rPr>
        <w:t>采</w:t>
      </w:r>
      <w:r>
        <w:rPr>
          <w:rFonts w:hint="eastAsia" w:ascii="宋体" w:hAnsi="宋体" w:eastAsia="宋体" w:cs="宋体"/>
          <w:spacing w:val="7"/>
          <w:u w:val="single"/>
        </w:rPr>
        <w:t>购人</w:t>
      </w:r>
      <w:r>
        <w:rPr>
          <w:rFonts w:hint="eastAsia" w:ascii="宋体" w:hAnsi="宋体" w:eastAsia="宋体" w:cs="宋体"/>
          <w:spacing w:val="9"/>
          <w:u w:val="single"/>
        </w:rPr>
        <w:t>名</w:t>
      </w:r>
      <w:r>
        <w:rPr>
          <w:rFonts w:hint="eastAsia" w:ascii="宋体" w:hAnsi="宋体" w:eastAsia="宋体" w:cs="宋体"/>
          <w:spacing w:val="7"/>
          <w:u w:val="single"/>
        </w:rPr>
        <w:t>称</w:t>
      </w:r>
      <w:r>
        <w:rPr>
          <w:rFonts w:hint="eastAsia" w:ascii="宋体" w:hAnsi="宋体" w:eastAsia="宋体" w:cs="宋体"/>
          <w:u w:val="single"/>
        </w:rPr>
        <w:t>）</w:t>
      </w:r>
      <w:r>
        <w:rPr>
          <w:rFonts w:hint="eastAsia" w:ascii="宋体" w:hAnsi="宋体" w:eastAsia="宋体" w:cs="宋体"/>
          <w:u w:val="single"/>
        </w:rPr>
        <w:tab/>
      </w:r>
    </w:p>
    <w:p w14:paraId="750F2FF9">
      <w:pPr>
        <w:pStyle w:val="9"/>
        <w:spacing w:before="1"/>
        <w:rPr>
          <w:rFonts w:hint="eastAsia" w:ascii="宋体" w:hAnsi="宋体" w:eastAsia="宋体" w:cs="宋体"/>
          <w:color w:val="FF0000"/>
          <w:sz w:val="31"/>
        </w:rPr>
      </w:pPr>
    </w:p>
    <w:p w14:paraId="66926AC4">
      <w:pPr>
        <w:spacing w:before="312" w:beforeLines="100" w:after="156" w:afterLines="50" w:line="360" w:lineRule="auto"/>
        <w:ind w:firstLine="508" w:firstLineChars="200"/>
        <w:rPr>
          <w:rFonts w:hint="eastAsia" w:ascii="宋体" w:hAnsi="宋体" w:eastAsia="宋体" w:cs="宋体"/>
          <w:spacing w:val="5"/>
          <w:sz w:val="24"/>
          <w:szCs w:val="24"/>
        </w:rPr>
      </w:pPr>
      <w:r>
        <w:rPr>
          <w:rFonts w:hint="eastAsia" w:ascii="宋体" w:hAnsi="宋体" w:eastAsia="宋体" w:cs="宋体"/>
          <w:spacing w:val="7"/>
          <w:sz w:val="24"/>
          <w:szCs w:val="24"/>
          <w:u w:val="single"/>
        </w:rPr>
        <w:t>（供应商名称）</w:t>
      </w:r>
      <w:r>
        <w:rPr>
          <w:rFonts w:hint="eastAsia" w:ascii="宋体" w:hAnsi="宋体" w:eastAsia="宋体" w:cs="宋体"/>
          <w:spacing w:val="7"/>
          <w:sz w:val="24"/>
          <w:szCs w:val="24"/>
        </w:rPr>
        <w:t>于</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u w:val="single"/>
          <w:lang w:val="en-US" w:eastAsia="zh-CN"/>
        </w:rPr>
        <w:t xml:space="preserve">   </w:t>
      </w:r>
      <w:r>
        <w:rPr>
          <w:rFonts w:hint="eastAsia" w:ascii="宋体" w:hAnsi="宋体" w:eastAsia="宋体" w:cs="宋体"/>
          <w:spacing w:val="7"/>
          <w:sz w:val="24"/>
          <w:szCs w:val="24"/>
        </w:rPr>
        <w:t>年</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7"/>
          <w:sz w:val="24"/>
          <w:szCs w:val="24"/>
        </w:rPr>
        <w:t>月</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u w:val="single"/>
        </w:rPr>
        <w:t xml:space="preserve"> </w:t>
      </w:r>
      <w:r>
        <w:rPr>
          <w:rFonts w:hint="eastAsia" w:ascii="宋体" w:hAnsi="宋体" w:eastAsia="宋体" w:cs="宋体"/>
          <w:spacing w:val="7"/>
          <w:sz w:val="24"/>
          <w:szCs w:val="24"/>
        </w:rPr>
        <w:t>日在中华人民共和国境内</w:t>
      </w:r>
      <w:r>
        <w:rPr>
          <w:rFonts w:hint="eastAsia" w:ascii="宋体" w:hAnsi="宋体" w:eastAsia="宋体" w:cs="宋体"/>
          <w:spacing w:val="7"/>
          <w:sz w:val="24"/>
          <w:szCs w:val="24"/>
          <w:u w:val="single"/>
        </w:rPr>
        <w:t>（详细注册地址</w:t>
      </w:r>
      <w:r>
        <w:rPr>
          <w:rFonts w:hint="eastAsia" w:ascii="宋体" w:hAnsi="宋体" w:eastAsia="宋体" w:cs="宋体"/>
          <w:sz w:val="24"/>
          <w:szCs w:val="24"/>
          <w:u w:val="single"/>
        </w:rPr>
        <w:t xml:space="preserve">） </w:t>
      </w:r>
      <w:r>
        <w:rPr>
          <w:rFonts w:hint="eastAsia" w:ascii="宋体" w:hAnsi="宋体" w:eastAsia="宋体" w:cs="宋体"/>
          <w:spacing w:val="7"/>
          <w:sz w:val="24"/>
          <w:szCs w:val="24"/>
        </w:rPr>
        <w:t>合法注册并经营，公司主营业务为</w:t>
      </w:r>
      <w:r>
        <w:rPr>
          <w:rFonts w:hint="eastAsia" w:ascii="宋体" w:hAnsi="宋体" w:eastAsia="宋体" w:cs="宋体"/>
          <w:spacing w:val="7"/>
          <w:sz w:val="24"/>
          <w:szCs w:val="24"/>
          <w:u w:val="single"/>
        </w:rPr>
        <w:t>（</w:t>
      </w:r>
      <w:r>
        <w:rPr>
          <w:rFonts w:hint="eastAsia" w:ascii="宋体" w:hAnsi="宋体" w:eastAsia="宋体" w:cs="宋体"/>
          <w:spacing w:val="7"/>
          <w:sz w:val="24"/>
          <w:szCs w:val="24"/>
          <w:u w:val="single"/>
          <w:lang w:val="en-US" w:eastAsia="zh-CN"/>
        </w:rPr>
        <w:t xml:space="preserve">        </w:t>
      </w:r>
      <w:r>
        <w:rPr>
          <w:rFonts w:hint="eastAsia" w:ascii="宋体" w:hAnsi="宋体" w:eastAsia="宋体" w:cs="宋体"/>
          <w:spacing w:val="7"/>
          <w:sz w:val="24"/>
          <w:szCs w:val="24"/>
          <w:u w:val="single"/>
        </w:rPr>
        <w:t>）</w:t>
      </w:r>
      <w:r>
        <w:rPr>
          <w:rFonts w:hint="eastAsia" w:ascii="宋体" w:hAnsi="宋体" w:eastAsia="宋体" w:cs="宋体"/>
          <w:spacing w:val="5"/>
          <w:sz w:val="24"/>
          <w:szCs w:val="24"/>
        </w:rPr>
        <w:t>。</w:t>
      </w:r>
    </w:p>
    <w:p w14:paraId="03112D32">
      <w:pPr>
        <w:spacing w:before="312" w:beforeLines="100" w:after="156" w:afterLines="50" w:line="360" w:lineRule="auto"/>
        <w:ind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本公司郑重承诺，具有履行本合同所必需的设备和专业技术能力。</w:t>
      </w:r>
    </w:p>
    <w:p w14:paraId="61CB04C1">
      <w:pPr>
        <w:pStyle w:val="9"/>
        <w:rPr>
          <w:rFonts w:hint="eastAsia" w:ascii="宋体" w:hAnsi="宋体" w:eastAsia="宋体" w:cs="宋体"/>
          <w:color w:val="FF0000"/>
        </w:rPr>
      </w:pPr>
    </w:p>
    <w:p w14:paraId="346E6E21">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color w:val="auto"/>
          <w:spacing w:val="-17"/>
        </w:rPr>
      </w:pPr>
      <w:r>
        <w:rPr>
          <w:rFonts w:hint="eastAsia" w:ascii="宋体" w:hAnsi="宋体" w:eastAsia="宋体" w:cs="宋体"/>
          <w:color w:val="auto"/>
        </w:rPr>
        <w:t>供应商名称：</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rPr>
        <w:t>（公章</w:t>
      </w:r>
      <w:r>
        <w:rPr>
          <w:rFonts w:hint="eastAsia" w:ascii="宋体" w:hAnsi="宋体" w:eastAsia="宋体" w:cs="宋体"/>
          <w:color w:val="auto"/>
          <w:spacing w:val="-17"/>
        </w:rPr>
        <w:t>）</w:t>
      </w:r>
    </w:p>
    <w:p w14:paraId="1A73B954">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color w:val="auto"/>
          <w:u w:val="none"/>
          <w:lang w:eastAsia="zh-CN"/>
        </w:rPr>
      </w:pPr>
      <w:r>
        <w:rPr>
          <w:rFonts w:hint="eastAsia" w:ascii="宋体" w:hAnsi="宋体" w:eastAsia="宋体" w:cs="宋体"/>
          <w:color w:val="auto"/>
          <w:spacing w:val="-17"/>
        </w:rPr>
        <w:t xml:space="preserve"> </w:t>
      </w:r>
      <w:r>
        <w:rPr>
          <w:rFonts w:hint="eastAsia" w:ascii="宋体" w:hAnsi="宋体" w:eastAsia="宋体" w:cs="宋体"/>
          <w:color w:val="auto"/>
        </w:rPr>
        <w:t>法定代表人或被授权人</w:t>
      </w:r>
      <w:r>
        <w:rPr>
          <w:rFonts w:hint="eastAsia" w:ascii="宋体" w:hAnsi="宋体" w:eastAsia="宋体" w:cs="宋体"/>
          <w:color w:val="auto"/>
          <w:lang w:eastAsia="zh-CN"/>
        </w:rPr>
        <w:t>：</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none"/>
          <w:lang w:eastAsia="zh-CN"/>
        </w:rPr>
        <w:t>（签字或盖章）</w:t>
      </w:r>
    </w:p>
    <w:p w14:paraId="0BC12A9C">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日</w:t>
      </w:r>
    </w:p>
    <w:p w14:paraId="17BF7D11">
      <w:pPr>
        <w:rPr>
          <w:rFonts w:hint="eastAsia" w:ascii="宋体" w:hAnsi="宋体" w:eastAsia="宋体" w:cs="宋体"/>
          <w:color w:val="auto"/>
          <w:spacing w:val="-9"/>
          <w:lang w:eastAsia="zh-CN"/>
        </w:rPr>
      </w:pPr>
      <w:bookmarkStart w:id="500" w:name="_bookmark13"/>
      <w:bookmarkEnd w:id="500"/>
      <w:bookmarkStart w:id="501" w:name="_Toc3468"/>
      <w:r>
        <w:rPr>
          <w:rFonts w:hint="eastAsia" w:ascii="宋体" w:hAnsi="宋体" w:eastAsia="宋体" w:cs="宋体"/>
          <w:color w:val="auto"/>
          <w:spacing w:val="-9"/>
          <w:lang w:eastAsia="zh-CN"/>
        </w:rPr>
        <w:br w:type="page"/>
      </w:r>
    </w:p>
    <w:p w14:paraId="42B8E90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outlineLvl w:val="2"/>
        <w:rPr>
          <w:rFonts w:hint="eastAsia" w:ascii="宋体" w:hAnsi="宋体" w:eastAsia="宋体" w:cs="宋体"/>
        </w:rPr>
      </w:pPr>
      <w:bookmarkStart w:id="502" w:name="_Toc27081"/>
      <w:bookmarkStart w:id="503" w:name="_Toc8983"/>
      <w:bookmarkStart w:id="504" w:name="_Toc26455"/>
      <w:r>
        <w:rPr>
          <w:rFonts w:hint="eastAsia" w:ascii="宋体" w:hAnsi="宋体" w:eastAsia="宋体" w:cs="宋体"/>
          <w:spacing w:val="-9"/>
          <w:lang w:eastAsia="zh-CN"/>
        </w:rPr>
        <w:t>附件</w:t>
      </w:r>
      <w:r>
        <w:rPr>
          <w:rFonts w:hint="eastAsia" w:ascii="宋体" w:hAnsi="宋体" w:eastAsia="宋体" w:cs="宋体"/>
          <w:spacing w:val="-9"/>
          <w:lang w:val="en-US" w:eastAsia="zh-CN"/>
        </w:rPr>
        <w:t>3：</w:t>
      </w:r>
      <w:r>
        <w:rPr>
          <w:rFonts w:hint="eastAsia" w:ascii="宋体" w:hAnsi="宋体" w:eastAsia="宋体" w:cs="宋体"/>
          <w:spacing w:val="-9"/>
        </w:rPr>
        <w:t xml:space="preserve">参加政府采购活动前 </w:t>
      </w:r>
      <w:r>
        <w:rPr>
          <w:rFonts w:hint="eastAsia" w:ascii="宋体" w:hAnsi="宋体" w:eastAsia="宋体" w:cs="宋体"/>
        </w:rPr>
        <w:t>3</w:t>
      </w:r>
      <w:r>
        <w:rPr>
          <w:rFonts w:hint="eastAsia" w:ascii="宋体" w:hAnsi="宋体" w:eastAsia="宋体" w:cs="宋体"/>
          <w:spacing w:val="-10"/>
        </w:rPr>
        <w:t xml:space="preserve"> 年内在经营活动中没有重大违法纪录的书面声明（格式）</w:t>
      </w:r>
      <w:bookmarkEnd w:id="501"/>
      <w:bookmarkEnd w:id="502"/>
      <w:bookmarkEnd w:id="503"/>
      <w:bookmarkEnd w:id="504"/>
    </w:p>
    <w:p w14:paraId="6F4C50C7">
      <w:pPr>
        <w:pStyle w:val="9"/>
        <w:keepNext w:val="0"/>
        <w:keepLines w:val="0"/>
        <w:pageBreakBefore w:val="0"/>
        <w:widowControl w:val="0"/>
        <w:tabs>
          <w:tab w:val="left" w:pos="1496"/>
          <w:tab w:val="left" w:pos="4016"/>
        </w:tabs>
        <w:kinsoku/>
        <w:wordWrap/>
        <w:overflowPunct/>
        <w:topLinePunct w:val="0"/>
        <w:autoSpaceDE w:val="0"/>
        <w:autoSpaceDN w:val="0"/>
        <w:bidi w:val="0"/>
        <w:adjustRightInd w:val="0"/>
        <w:snapToGrid/>
        <w:spacing w:before="0" w:line="360" w:lineRule="auto"/>
        <w:ind w:left="0" w:leftChars="0" w:right="0" w:firstLine="0" w:firstLineChars="0"/>
        <w:textAlignment w:val="auto"/>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（采购人）：</w:t>
      </w:r>
    </w:p>
    <w:p w14:paraId="05FE2A8B">
      <w:pPr>
        <w:pStyle w:val="9"/>
        <w:keepNext w:val="0"/>
        <w:keepLines w:val="0"/>
        <w:pageBreakBefore w:val="0"/>
        <w:widowControl w:val="0"/>
        <w:tabs>
          <w:tab w:val="left" w:pos="4256"/>
          <w:tab w:val="left" w:pos="6896"/>
        </w:tabs>
        <w:kinsoku/>
        <w:wordWrap/>
        <w:overflowPunct/>
        <w:topLinePunct w:val="0"/>
        <w:autoSpaceDE w:val="0"/>
        <w:autoSpaceDN w:val="0"/>
        <w:bidi w:val="0"/>
        <w:adjustRightInd w:val="0"/>
        <w:snapToGrid/>
        <w:spacing w:before="0" w:line="360" w:lineRule="auto"/>
        <w:ind w:left="0" w:right="0" w:firstLine="420"/>
        <w:textAlignment w:val="auto"/>
        <w:rPr>
          <w:rFonts w:hint="eastAsia" w:ascii="宋体" w:hAnsi="宋体" w:eastAsia="宋体" w:cs="宋体"/>
        </w:rPr>
      </w:pPr>
      <w:r>
        <w:rPr>
          <w:rFonts w:hint="eastAsia" w:ascii="宋体" w:hAnsi="宋体" w:eastAsia="宋体" w:cs="宋体"/>
        </w:rPr>
        <w:t>我方作为项目名称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）的供应商，在</w:t>
      </w:r>
      <w:r>
        <w:rPr>
          <w:rFonts w:hint="eastAsia" w:ascii="宋体" w:hAnsi="宋体" w:eastAsia="宋体" w:cs="宋体"/>
          <w:spacing w:val="-17"/>
        </w:rPr>
        <w:t>此</w:t>
      </w:r>
      <w:r>
        <w:rPr>
          <w:rFonts w:hint="eastAsia" w:ascii="宋体" w:hAnsi="宋体" w:eastAsia="宋体" w:cs="宋体"/>
        </w:rPr>
        <w:t>郑重声明：</w:t>
      </w:r>
    </w:p>
    <w:p w14:paraId="7EBABD2B">
      <w:pPr>
        <w:pStyle w:val="9"/>
        <w:keepNext w:val="0"/>
        <w:keepLines w:val="0"/>
        <w:pageBreakBefore w:val="0"/>
        <w:widowControl w:val="0"/>
        <w:tabs>
          <w:tab w:val="left" w:pos="7376"/>
        </w:tabs>
        <w:kinsoku/>
        <w:wordWrap/>
        <w:overflowPunct/>
        <w:topLinePunct w:val="0"/>
        <w:autoSpaceDE w:val="0"/>
        <w:autoSpaceDN w:val="0"/>
        <w:bidi w:val="0"/>
        <w:adjustRightInd w:val="0"/>
        <w:snapToGrid/>
        <w:spacing w:before="0" w:line="360" w:lineRule="auto"/>
        <w:ind w:left="0" w:right="0"/>
        <w:textAlignment w:val="auto"/>
        <w:rPr>
          <w:rFonts w:hint="eastAsia" w:ascii="宋体" w:hAnsi="宋体" w:eastAsia="宋体" w:cs="宋体"/>
        </w:rPr>
      </w:pPr>
      <w:r>
        <w:rPr>
          <w:rFonts w:hint="eastAsia" w:ascii="宋体" w:hAnsi="宋体" w:eastAsia="宋体" w:cs="宋体"/>
        </w:rPr>
        <w:t>1、在参加本次政府采购活动前</w:t>
      </w:r>
      <w:r>
        <w:rPr>
          <w:rFonts w:hint="eastAsia" w:ascii="宋体" w:hAnsi="宋体" w:eastAsia="宋体" w:cs="宋体"/>
          <w:spacing w:val="-61"/>
        </w:rPr>
        <w:t xml:space="preserve"> </w:t>
      </w:r>
      <w:r>
        <w:rPr>
          <w:rFonts w:hint="eastAsia" w:ascii="宋体" w:hAnsi="宋体" w:eastAsia="宋体" w:cs="宋体"/>
        </w:rPr>
        <w:t>3</w:t>
      </w:r>
      <w:r>
        <w:rPr>
          <w:rFonts w:hint="eastAsia" w:ascii="宋体" w:hAnsi="宋体" w:eastAsia="宋体" w:cs="宋体"/>
          <w:spacing w:val="-60"/>
        </w:rPr>
        <w:t xml:space="preserve"> </w:t>
      </w:r>
      <w:r>
        <w:rPr>
          <w:rFonts w:hint="eastAsia" w:ascii="宋体" w:hAnsi="宋体" w:eastAsia="宋体" w:cs="宋体"/>
        </w:rPr>
        <w:t>年内的经营活动中</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（填“没有”或“有”）</w:t>
      </w:r>
      <w:r>
        <w:rPr>
          <w:rFonts w:hint="eastAsia" w:ascii="宋体" w:hAnsi="宋体" w:eastAsia="宋体" w:cs="宋体"/>
          <w:spacing w:val="-3"/>
        </w:rPr>
        <w:t xml:space="preserve">重大违法记录。供应商在参加政府采购活动前 </w:t>
      </w:r>
      <w:r>
        <w:rPr>
          <w:rFonts w:hint="eastAsia" w:ascii="宋体" w:hAnsi="宋体" w:eastAsia="宋体" w:cs="宋体"/>
        </w:rPr>
        <w:t>3</w:t>
      </w:r>
      <w:r>
        <w:rPr>
          <w:rFonts w:hint="eastAsia" w:ascii="宋体" w:hAnsi="宋体" w:eastAsia="宋体" w:cs="宋体"/>
          <w:spacing w:val="-9"/>
        </w:rPr>
        <w:t xml:space="preserve"> 年内因违法经营被禁</w:t>
      </w:r>
      <w:r>
        <w:rPr>
          <w:rFonts w:hint="eastAsia" w:ascii="宋体" w:hAnsi="宋体" w:eastAsia="宋体" w:cs="宋体"/>
          <w:spacing w:val="-1"/>
        </w:rPr>
        <w:t>止在一定期限内参加政府采购活动，期限届满的，可以参加政府采购活动，但应</w:t>
      </w:r>
      <w:r>
        <w:rPr>
          <w:rFonts w:hint="eastAsia" w:ascii="宋体" w:hAnsi="宋体" w:eastAsia="宋体" w:cs="宋体"/>
        </w:rPr>
        <w:t>提供期限届满的证明材料。</w:t>
      </w:r>
    </w:p>
    <w:p w14:paraId="67661802">
      <w:pPr>
        <w:pStyle w:val="9"/>
        <w:keepNext w:val="0"/>
        <w:keepLines w:val="0"/>
        <w:pageBreakBefore w:val="0"/>
        <w:widowControl w:val="0"/>
        <w:tabs>
          <w:tab w:val="left" w:pos="3776"/>
        </w:tabs>
        <w:kinsoku/>
        <w:wordWrap/>
        <w:overflowPunct/>
        <w:topLinePunct w:val="0"/>
        <w:autoSpaceDE w:val="0"/>
        <w:autoSpaceDN w:val="0"/>
        <w:bidi w:val="0"/>
        <w:adjustRightInd w:val="0"/>
        <w:snapToGrid/>
        <w:spacing w:before="0" w:line="360" w:lineRule="auto"/>
        <w:ind w:left="0" w:right="0" w:firstLine="420"/>
        <w:textAlignment w:val="auto"/>
        <w:rPr>
          <w:rFonts w:hint="eastAsia" w:ascii="宋体" w:hAnsi="宋体" w:eastAsia="宋体" w:cs="宋体"/>
        </w:rPr>
      </w:pPr>
      <w:r>
        <w:rPr>
          <w:rFonts w:hint="eastAsia" w:ascii="宋体" w:hAnsi="宋体" w:eastAsia="宋体" w:cs="宋体"/>
        </w:rPr>
        <w:t>2、我方</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（填“未被列入”或“被列入”）失信被执行</w:t>
      </w:r>
      <w:r>
        <w:rPr>
          <w:rFonts w:hint="eastAsia" w:ascii="宋体" w:hAnsi="宋体" w:eastAsia="宋体" w:cs="宋体"/>
          <w:spacing w:val="-17"/>
        </w:rPr>
        <w:t>人</w:t>
      </w:r>
      <w:r>
        <w:rPr>
          <w:rFonts w:hint="eastAsia" w:ascii="宋体" w:hAnsi="宋体" w:eastAsia="宋体" w:cs="宋体"/>
        </w:rPr>
        <w:t>名单。</w:t>
      </w:r>
    </w:p>
    <w:p w14:paraId="3B1604DB">
      <w:pPr>
        <w:pStyle w:val="9"/>
        <w:keepNext w:val="0"/>
        <w:keepLines w:val="0"/>
        <w:pageBreakBefore w:val="0"/>
        <w:widowControl w:val="0"/>
        <w:tabs>
          <w:tab w:val="left" w:pos="3776"/>
        </w:tabs>
        <w:kinsoku/>
        <w:wordWrap/>
        <w:overflowPunct/>
        <w:topLinePunct w:val="0"/>
        <w:autoSpaceDE w:val="0"/>
        <w:autoSpaceDN w:val="0"/>
        <w:bidi w:val="0"/>
        <w:adjustRightInd w:val="0"/>
        <w:snapToGrid/>
        <w:spacing w:before="0" w:line="360" w:lineRule="auto"/>
        <w:ind w:left="0" w:right="0" w:firstLine="420"/>
        <w:textAlignment w:val="auto"/>
        <w:rPr>
          <w:rFonts w:hint="eastAsia" w:ascii="宋体" w:hAnsi="宋体" w:eastAsia="宋体" w:cs="宋体"/>
        </w:rPr>
      </w:pPr>
      <w:r>
        <w:rPr>
          <w:rFonts w:hint="eastAsia" w:ascii="宋体" w:hAnsi="宋体" w:eastAsia="宋体" w:cs="宋体"/>
        </w:rPr>
        <w:t>3、我方</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（填“未被列入”或“被列入”）重大税收违</w:t>
      </w:r>
      <w:r>
        <w:rPr>
          <w:rFonts w:hint="eastAsia" w:ascii="宋体" w:hAnsi="宋体" w:eastAsia="宋体" w:cs="宋体"/>
          <w:spacing w:val="-17"/>
        </w:rPr>
        <w:t>法</w:t>
      </w:r>
      <w:r>
        <w:rPr>
          <w:rFonts w:hint="eastAsia" w:ascii="宋体" w:hAnsi="宋体" w:eastAsia="宋体" w:cs="宋体"/>
          <w:spacing w:val="-17"/>
          <w:lang w:eastAsia="zh-CN"/>
        </w:rPr>
        <w:t>失信主体</w:t>
      </w:r>
      <w:r>
        <w:rPr>
          <w:rFonts w:hint="eastAsia" w:ascii="宋体" w:hAnsi="宋体" w:eastAsia="宋体" w:cs="宋体"/>
        </w:rPr>
        <w:t>名单。</w:t>
      </w:r>
    </w:p>
    <w:p w14:paraId="192F75B3">
      <w:pPr>
        <w:pStyle w:val="9"/>
        <w:keepNext w:val="0"/>
        <w:keepLines w:val="0"/>
        <w:pageBreakBefore w:val="0"/>
        <w:widowControl w:val="0"/>
        <w:tabs>
          <w:tab w:val="left" w:pos="3776"/>
        </w:tabs>
        <w:kinsoku/>
        <w:wordWrap/>
        <w:overflowPunct/>
        <w:topLinePunct w:val="0"/>
        <w:autoSpaceDE w:val="0"/>
        <w:autoSpaceDN w:val="0"/>
        <w:bidi w:val="0"/>
        <w:adjustRightInd w:val="0"/>
        <w:snapToGrid/>
        <w:spacing w:before="0" w:line="360" w:lineRule="auto"/>
        <w:ind w:left="0" w:right="0" w:firstLine="420"/>
        <w:textAlignment w:val="auto"/>
        <w:rPr>
          <w:rFonts w:hint="eastAsia" w:ascii="宋体" w:hAnsi="宋体" w:eastAsia="宋体" w:cs="宋体"/>
        </w:rPr>
      </w:pPr>
      <w:r>
        <w:rPr>
          <w:rFonts w:hint="eastAsia" w:ascii="宋体" w:hAnsi="宋体" w:eastAsia="宋体" w:cs="宋体"/>
        </w:rPr>
        <w:t>4、我方</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（填“未被列入”或“被列入”）政府采购严</w:t>
      </w:r>
      <w:r>
        <w:rPr>
          <w:rFonts w:hint="eastAsia" w:ascii="宋体" w:hAnsi="宋体" w:eastAsia="宋体" w:cs="宋体"/>
          <w:spacing w:val="-17"/>
        </w:rPr>
        <w:t>重</w:t>
      </w:r>
      <w:r>
        <w:rPr>
          <w:rFonts w:hint="eastAsia" w:ascii="宋体" w:hAnsi="宋体" w:eastAsia="宋体" w:cs="宋体"/>
        </w:rPr>
        <w:t>违法失信行为记录名单。</w:t>
      </w:r>
    </w:p>
    <w:p w14:paraId="4D60DFDC">
      <w:pPr>
        <w:pStyle w:val="9"/>
        <w:keepNext w:val="0"/>
        <w:keepLines w:val="0"/>
        <w:pageBreakBefore w:val="0"/>
        <w:widowControl w:val="0"/>
        <w:kinsoku/>
        <w:wordWrap/>
        <w:overflowPunct/>
        <w:topLinePunct w:val="0"/>
        <w:autoSpaceDE w:val="0"/>
        <w:autoSpaceDN w:val="0"/>
        <w:bidi w:val="0"/>
        <w:adjustRightInd w:val="0"/>
        <w:snapToGrid/>
        <w:spacing w:before="0" w:line="360" w:lineRule="auto"/>
        <w:ind w:left="0" w:right="0" w:firstLine="420"/>
        <w:textAlignment w:val="auto"/>
        <w:rPr>
          <w:rFonts w:hint="eastAsia" w:ascii="宋体" w:hAnsi="宋体" w:eastAsia="宋体" w:cs="宋体"/>
        </w:rPr>
      </w:pPr>
      <w:r>
        <w:rPr>
          <w:rFonts w:hint="eastAsia" w:ascii="宋体" w:hAnsi="宋体" w:eastAsia="宋体" w:cs="宋体"/>
          <w:spacing w:val="-8"/>
        </w:rPr>
        <w:t>如有不实，我方将无条件地退出本项目的采购活动，并遵照《政府采购法》有</w:t>
      </w:r>
      <w:r>
        <w:rPr>
          <w:rFonts w:hint="eastAsia" w:ascii="宋体" w:hAnsi="宋体" w:eastAsia="宋体" w:cs="宋体"/>
        </w:rPr>
        <w:t>关“提供虚假材料的规定”接受处罚。</w:t>
      </w:r>
    </w:p>
    <w:p w14:paraId="41094419">
      <w:pPr>
        <w:pStyle w:val="9"/>
        <w:keepNext w:val="0"/>
        <w:keepLines w:val="0"/>
        <w:pageBreakBefore w:val="0"/>
        <w:widowControl w:val="0"/>
        <w:kinsoku/>
        <w:wordWrap/>
        <w:overflowPunct/>
        <w:topLinePunct w:val="0"/>
        <w:autoSpaceDE w:val="0"/>
        <w:autoSpaceDN w:val="0"/>
        <w:bidi w:val="0"/>
        <w:adjustRightInd w:val="0"/>
        <w:snapToGrid/>
        <w:spacing w:before="0" w:line="360" w:lineRule="auto"/>
        <w:ind w:left="0" w:right="0"/>
        <w:textAlignment w:val="auto"/>
        <w:rPr>
          <w:rFonts w:hint="eastAsia" w:ascii="宋体" w:hAnsi="宋体" w:eastAsia="宋体" w:cs="宋体"/>
        </w:rPr>
      </w:pPr>
      <w:r>
        <w:rPr>
          <w:rFonts w:hint="eastAsia" w:ascii="宋体" w:hAnsi="宋体" w:eastAsia="宋体" w:cs="宋体"/>
        </w:rPr>
        <w:t>特此声明。</w:t>
      </w:r>
    </w:p>
    <w:p w14:paraId="27CB50F0">
      <w:pPr>
        <w:pStyle w:val="9"/>
        <w:keepNext w:val="0"/>
        <w:keepLines w:val="0"/>
        <w:pageBreakBefore w:val="0"/>
        <w:widowControl w:val="0"/>
        <w:kinsoku/>
        <w:wordWrap/>
        <w:overflowPunct/>
        <w:topLinePunct w:val="0"/>
        <w:autoSpaceDE w:val="0"/>
        <w:autoSpaceDN w:val="0"/>
        <w:bidi w:val="0"/>
        <w:adjustRightInd w:val="0"/>
        <w:snapToGrid/>
        <w:spacing w:before="0" w:line="360" w:lineRule="auto"/>
        <w:ind w:left="0" w:right="0"/>
        <w:textAlignment w:val="auto"/>
        <w:rPr>
          <w:rFonts w:hint="eastAsia" w:ascii="宋体" w:hAnsi="宋体" w:eastAsia="宋体" w:cs="宋体"/>
        </w:rPr>
      </w:pPr>
    </w:p>
    <w:p w14:paraId="32ED6ED0">
      <w:pPr>
        <w:pStyle w:val="9"/>
        <w:rPr>
          <w:rFonts w:hint="eastAsia" w:ascii="宋体" w:hAnsi="宋体" w:eastAsia="宋体" w:cs="宋体"/>
          <w:sz w:val="23"/>
        </w:rPr>
      </w:pPr>
    </w:p>
    <w:p w14:paraId="3A54812F">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0DE49EC7">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outlineLvl w:val="9"/>
        <w:rPr>
          <w:rFonts w:hint="eastAsia" w:ascii="宋体" w:hAnsi="宋体" w:eastAsia="宋体" w:cs="宋体"/>
          <w:u w:val="none"/>
          <w:lang w:eastAsia="zh-CN"/>
        </w:rPr>
      </w:pPr>
      <w:r>
        <w:rPr>
          <w:rFonts w:hint="eastAsia" w:ascii="宋体" w:hAnsi="宋体" w:eastAsia="宋体" w:cs="宋体"/>
          <w:spacing w:val="-17"/>
        </w:rPr>
        <w:t xml:space="preserve"> </w:t>
      </w:r>
      <w:bookmarkStart w:id="505" w:name="_Toc21801"/>
      <w:bookmarkStart w:id="506" w:name="_Toc11962"/>
      <w:r>
        <w:rPr>
          <w:rFonts w:hint="eastAsia" w:ascii="宋体" w:hAnsi="宋体" w:eastAsia="宋体" w:cs="宋体"/>
        </w:rPr>
        <w:t>法定代表人或被授权人</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none"/>
          <w:lang w:eastAsia="zh-CN"/>
        </w:rPr>
        <w:t>（签字或盖章）</w:t>
      </w:r>
      <w:bookmarkEnd w:id="505"/>
      <w:bookmarkEnd w:id="506"/>
    </w:p>
    <w:p w14:paraId="7DBF246D">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07E5380B">
      <w:pPr>
        <w:rPr>
          <w:rFonts w:hint="eastAsia" w:ascii="宋体" w:hAnsi="宋体" w:eastAsia="宋体" w:cs="宋体"/>
        </w:rPr>
      </w:pPr>
      <w:r>
        <w:rPr>
          <w:rFonts w:hint="eastAsia" w:ascii="宋体" w:hAnsi="宋体" w:eastAsia="宋体" w:cs="宋体"/>
        </w:rPr>
        <w:br w:type="page"/>
      </w:r>
    </w:p>
    <w:p w14:paraId="433523C2">
      <w:pPr>
        <w:ind w:left="0" w:leftChars="0" w:firstLine="0" w:firstLineChars="0"/>
        <w:outlineLvl w:val="2"/>
        <w:rPr>
          <w:rFonts w:hint="eastAsia" w:ascii="宋体" w:hAnsi="宋体" w:eastAsia="宋体" w:cs="宋体"/>
          <w:b/>
          <w:bCs/>
          <w:spacing w:val="-9"/>
          <w:sz w:val="30"/>
          <w:szCs w:val="30"/>
          <w:lang w:val="en-US" w:eastAsia="zh-CN" w:bidi="zh-CN"/>
        </w:rPr>
      </w:pPr>
      <w:bookmarkStart w:id="507" w:name="_Toc25819"/>
      <w:bookmarkStart w:id="508" w:name="_Toc15319"/>
      <w:bookmarkStart w:id="509" w:name="_Toc28968"/>
      <w:bookmarkStart w:id="510" w:name="_Toc16617"/>
      <w:r>
        <w:rPr>
          <w:rFonts w:hint="eastAsia" w:ascii="宋体" w:hAnsi="宋体" w:eastAsia="宋体" w:cs="宋体"/>
          <w:b/>
          <w:bCs/>
          <w:spacing w:val="-9"/>
          <w:sz w:val="30"/>
          <w:szCs w:val="30"/>
          <w:lang w:val="en-US" w:eastAsia="zh-CN" w:bidi="zh-CN"/>
        </w:rPr>
        <w:t>附件4：基本资格条件承诺函(格式）</w:t>
      </w:r>
      <w:bookmarkEnd w:id="507"/>
      <w:bookmarkEnd w:id="508"/>
      <w:bookmarkEnd w:id="509"/>
    </w:p>
    <w:p w14:paraId="7AF82DCD">
      <w:pPr>
        <w:ind w:left="0" w:leftChars="0" w:firstLine="0" w:firstLineChars="0"/>
        <w:jc w:val="center"/>
        <w:rPr>
          <w:rFonts w:hint="eastAsia" w:ascii="宋体" w:hAnsi="宋体" w:eastAsia="宋体" w:cs="宋体"/>
          <w:sz w:val="21"/>
          <w:szCs w:val="21"/>
          <w:lang w:val="en-US" w:eastAsia="zh-CN"/>
        </w:rPr>
      </w:pPr>
    </w:p>
    <w:p w14:paraId="607724B2">
      <w:pPr>
        <w:ind w:left="0" w:leftChars="0" w:firstLine="0" w:firstLineChars="0"/>
        <w:rPr>
          <w:rFonts w:hint="eastAsia" w:ascii="宋体" w:hAnsi="宋体" w:eastAsia="宋体" w:cs="宋体"/>
          <w:sz w:val="21"/>
          <w:szCs w:val="21"/>
          <w:lang w:val="en-US" w:eastAsia="zh-CN"/>
        </w:rPr>
      </w:pPr>
    </w:p>
    <w:p w14:paraId="2D57F056">
      <w:pPr>
        <w:spacing w:line="58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中昕国际项目管理有限公司</w:t>
      </w:r>
      <w:r>
        <w:rPr>
          <w:rFonts w:hint="eastAsia" w:ascii="宋体" w:hAnsi="宋体" w:eastAsia="宋体" w:cs="宋体"/>
          <w:sz w:val="24"/>
          <w:szCs w:val="24"/>
        </w:rPr>
        <w:t>(采购代理机构名称):</w:t>
      </w:r>
    </w:p>
    <w:p w14:paraId="430CF116">
      <w:pPr>
        <w:ind w:left="0" w:leftChars="0" w:firstLine="240" w:firstLineChars="100"/>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供应商</w:t>
      </w:r>
      <w:r>
        <w:rPr>
          <w:rFonts w:hint="eastAsia" w:ascii="宋体" w:hAnsi="宋体" w:eastAsia="宋体" w:cs="宋体"/>
          <w:sz w:val="24"/>
          <w:szCs w:val="24"/>
          <w:u w:val="single"/>
        </w:rPr>
        <w:t>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郑重承诺:</w:t>
      </w:r>
    </w:p>
    <w:p w14:paraId="1A34AEFF">
      <w:pPr>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1.我方具有良好的商业信誉和健全的财务会计制度，具有履行合同所必需的设备和专业技术能力，具有依法缴纳税收和社会保障资金的良好记录，参加本项目采购活动前三年内在经营活动中无重大违法记录。</w:t>
      </w:r>
    </w:p>
    <w:p w14:paraId="117AB9B0">
      <w:pPr>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2.我方未列入在信用中国网站(www.creditchina.gov.cn)“失信被执行人”、“</w:t>
      </w:r>
      <w:r>
        <w:rPr>
          <w:rFonts w:hint="eastAsia" w:ascii="宋体" w:hAnsi="宋体" w:eastAsia="宋体" w:cs="宋体"/>
          <w:b w:val="0"/>
          <w:bCs w:val="0"/>
          <w:sz w:val="24"/>
          <w:szCs w:val="24"/>
          <w:lang w:val="en-US" w:eastAsia="zh-CN"/>
        </w:rPr>
        <w:t>重大</w:t>
      </w:r>
      <w:r>
        <w:rPr>
          <w:rFonts w:hint="eastAsia" w:ascii="宋体" w:hAnsi="宋体" w:eastAsia="宋体" w:cs="宋体"/>
          <w:b w:val="0"/>
          <w:bCs w:val="0"/>
          <w:sz w:val="24"/>
          <w:szCs w:val="24"/>
        </w:rPr>
        <w:t>税收违法失信主体</w:t>
      </w:r>
      <w:r>
        <w:rPr>
          <w:rFonts w:hint="eastAsia" w:ascii="宋体" w:hAnsi="宋体" w:eastAsia="宋体" w:cs="宋体"/>
          <w:sz w:val="24"/>
          <w:szCs w:val="24"/>
          <w:lang w:val="en-US" w:eastAsia="zh-CN"/>
        </w:rPr>
        <w:t>名单</w:t>
      </w:r>
      <w:r>
        <w:rPr>
          <w:rFonts w:hint="eastAsia" w:ascii="宋体" w:hAnsi="宋体" w:eastAsia="宋体" w:cs="宋体"/>
          <w:sz w:val="24"/>
          <w:szCs w:val="24"/>
        </w:rPr>
        <w:t>”中，也未列入中国政府采购网(www.ccgp.gov.cn)“政府采购严重违法失信行为记录名单”中。</w:t>
      </w:r>
    </w:p>
    <w:p w14:paraId="669F00C8">
      <w:pPr>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sz w:val="24"/>
          <w:szCs w:val="24"/>
          <w:u w:val="none"/>
          <w:lang w:val="en-US" w:eastAsia="zh-CN"/>
        </w:rPr>
        <w:t>供应商</w:t>
      </w:r>
      <w:r>
        <w:rPr>
          <w:rFonts w:hint="eastAsia" w:ascii="宋体" w:hAnsi="宋体" w:eastAsia="宋体" w:cs="宋体"/>
          <w:sz w:val="24"/>
          <w:szCs w:val="24"/>
        </w:rPr>
        <w:t>基本资格条件。</w:t>
      </w:r>
    </w:p>
    <w:p w14:paraId="529E9F44">
      <w:pPr>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我方对以上承诺负全部法律责任</w:t>
      </w:r>
      <w:r>
        <w:rPr>
          <w:rFonts w:hint="eastAsia" w:ascii="宋体" w:hAnsi="宋体" w:eastAsia="宋体" w:cs="宋体"/>
          <w:sz w:val="24"/>
          <w:szCs w:val="24"/>
          <w:lang w:eastAsia="zh-CN"/>
        </w:rPr>
        <w:t>。</w:t>
      </w:r>
    </w:p>
    <w:p w14:paraId="05A67E7A">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0964D3C">
      <w:pPr>
        <w:keepNext w:val="0"/>
        <w:keepLines w:val="0"/>
        <w:pageBreakBefore w:val="0"/>
        <w:widowControl w:val="0"/>
        <w:kinsoku/>
        <w:wordWrap/>
        <w:overflowPunct/>
        <w:topLinePunct w:val="0"/>
        <w:autoSpaceDE w:val="0"/>
        <w:autoSpaceDN w:val="0"/>
        <w:bidi w:val="0"/>
        <w:adjustRightInd/>
        <w:snapToGrid/>
        <w:ind w:left="0" w:leftChars="0" w:firstLine="1680" w:firstLineChars="700"/>
        <w:textAlignment w:val="auto"/>
        <w:rPr>
          <w:rFonts w:hint="eastAsia" w:ascii="宋体" w:hAnsi="宋体" w:eastAsia="宋体" w:cs="宋体"/>
          <w:sz w:val="24"/>
          <w:szCs w:val="24"/>
        </w:rPr>
      </w:pPr>
    </w:p>
    <w:p w14:paraId="1A89B5E7">
      <w:pPr>
        <w:keepNext w:val="0"/>
        <w:keepLines w:val="0"/>
        <w:pageBreakBefore w:val="0"/>
        <w:widowControl w:val="0"/>
        <w:kinsoku/>
        <w:wordWrap/>
        <w:overflowPunct/>
        <w:topLinePunct w:val="0"/>
        <w:autoSpaceDE w:val="0"/>
        <w:autoSpaceDN w:val="0"/>
        <w:bidi w:val="0"/>
        <w:adjustRightInd/>
        <w:snapToGrid/>
        <w:ind w:left="0" w:leftChars="0" w:firstLine="1680" w:firstLineChars="700"/>
        <w:textAlignment w:val="auto"/>
        <w:rPr>
          <w:rFonts w:hint="eastAsia" w:ascii="宋体" w:hAnsi="宋体" w:eastAsia="宋体" w:cs="宋体"/>
          <w:sz w:val="24"/>
          <w:szCs w:val="24"/>
        </w:rPr>
      </w:pPr>
    </w:p>
    <w:p w14:paraId="1310B81F">
      <w:pPr>
        <w:keepNext w:val="0"/>
        <w:keepLines w:val="0"/>
        <w:pageBreakBefore w:val="0"/>
        <w:widowControl w:val="0"/>
        <w:kinsoku/>
        <w:wordWrap/>
        <w:overflowPunct/>
        <w:topLinePunct w:val="0"/>
        <w:autoSpaceDE w:val="0"/>
        <w:autoSpaceDN w:val="0"/>
        <w:bidi w:val="0"/>
        <w:adjustRightInd/>
        <w:snapToGrid/>
        <w:ind w:left="0" w:leftChars="0" w:firstLine="1680" w:firstLineChars="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614D814E">
      <w:pPr>
        <w:keepNext w:val="0"/>
        <w:keepLines w:val="0"/>
        <w:pageBreakBefore w:val="0"/>
        <w:widowControl w:val="0"/>
        <w:kinsoku/>
        <w:wordWrap/>
        <w:overflowPunct/>
        <w:topLinePunct w:val="0"/>
        <w:autoSpaceDE w:val="0"/>
        <w:autoSpaceDN w:val="0"/>
        <w:bidi w:val="0"/>
        <w:adjustRightInd/>
        <w:snapToGrid/>
        <w:ind w:left="0" w:leftChars="0" w:firstLine="1680" w:firstLineChars="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法定代表人或授权代表(签字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4A8D96D3">
      <w:pPr>
        <w:keepNext w:val="0"/>
        <w:keepLines w:val="0"/>
        <w:pageBreakBefore w:val="0"/>
        <w:widowControl w:val="0"/>
        <w:kinsoku/>
        <w:wordWrap/>
        <w:overflowPunct/>
        <w:topLinePunct w:val="0"/>
        <w:autoSpaceDE w:val="0"/>
        <w:autoSpaceDN w:val="0"/>
        <w:bidi w:val="0"/>
        <w:adjustRightInd/>
        <w:snapToGrid/>
        <w:ind w:left="0" w:leftChars="0" w:firstLine="2640" w:firstLineChars="110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9153F32">
      <w:pPr>
        <w:ind w:left="0" w:leftChars="0" w:firstLine="0" w:firstLineChars="0"/>
        <w:outlineLvl w:val="2"/>
        <w:rPr>
          <w:rFonts w:hint="eastAsia" w:ascii="宋体" w:hAnsi="宋体" w:eastAsia="宋体" w:cs="宋体"/>
          <w:b/>
          <w:bCs/>
          <w:spacing w:val="-9"/>
          <w:sz w:val="30"/>
          <w:szCs w:val="30"/>
          <w:lang w:val="en-US" w:eastAsia="zh-CN" w:bidi="zh-CN"/>
        </w:rPr>
      </w:pPr>
      <w:bookmarkStart w:id="511" w:name="_Toc12754"/>
      <w:bookmarkStart w:id="512" w:name="_Toc26212"/>
      <w:bookmarkStart w:id="513" w:name="_Toc28404"/>
      <w:bookmarkStart w:id="514" w:name="_Toc10138"/>
      <w:r>
        <w:rPr>
          <w:rFonts w:hint="eastAsia" w:ascii="宋体" w:hAnsi="宋体" w:eastAsia="宋体" w:cs="宋体"/>
          <w:b/>
          <w:bCs/>
          <w:spacing w:val="-9"/>
          <w:sz w:val="30"/>
          <w:szCs w:val="30"/>
          <w:lang w:val="en-US" w:eastAsia="zh-CN" w:bidi="zh-CN"/>
        </w:rPr>
        <w:t>附件5：供应商企业关系关联承诺书</w:t>
      </w:r>
      <w:bookmarkEnd w:id="511"/>
      <w:bookmarkEnd w:id="512"/>
      <w:bookmarkEnd w:id="513"/>
      <w:bookmarkEnd w:id="514"/>
    </w:p>
    <w:p w14:paraId="1D81CBD0">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在本项目</w:t>
      </w:r>
      <w:r>
        <w:rPr>
          <w:rFonts w:hint="eastAsia" w:ascii="宋体" w:hAnsi="宋体" w:eastAsia="宋体" w:cs="宋体"/>
          <w:sz w:val="24"/>
          <w:szCs w:val="24"/>
          <w:lang w:eastAsia="zh-CN"/>
        </w:rPr>
        <w:t>磋商</w:t>
      </w:r>
      <w:r>
        <w:rPr>
          <w:rFonts w:hint="eastAsia" w:ascii="宋体" w:hAnsi="宋体" w:eastAsia="宋体" w:cs="宋体"/>
          <w:sz w:val="24"/>
          <w:szCs w:val="24"/>
        </w:rPr>
        <w:t>中，不存在与其它</w:t>
      </w:r>
      <w:r>
        <w:rPr>
          <w:rFonts w:hint="eastAsia" w:ascii="宋体" w:hAnsi="宋体" w:eastAsia="宋体" w:cs="宋体"/>
          <w:sz w:val="24"/>
          <w:szCs w:val="24"/>
          <w:lang w:eastAsia="zh-CN"/>
        </w:rPr>
        <w:t>供应商</w:t>
      </w:r>
      <w:r>
        <w:rPr>
          <w:rFonts w:hint="eastAsia" w:ascii="宋体" w:hAnsi="宋体" w:eastAsia="宋体" w:cs="宋体"/>
          <w:sz w:val="24"/>
          <w:szCs w:val="24"/>
        </w:rPr>
        <w:t>负责人为同一人，有控股、管理等关联关系承诺。</w:t>
      </w:r>
    </w:p>
    <w:p w14:paraId="6E2C6151">
      <w:pPr>
        <w:autoSpaceDE w:val="0"/>
        <w:autoSpaceDN w:val="0"/>
        <w:adjustRightInd w:val="0"/>
        <w:spacing w:line="360" w:lineRule="auto"/>
        <w:ind w:firstLine="480" w:firstLineChars="200"/>
        <w:outlineLvl w:val="9"/>
        <w:rPr>
          <w:rFonts w:hint="eastAsia" w:ascii="宋体" w:hAnsi="宋体" w:eastAsia="宋体" w:cs="宋体"/>
          <w:sz w:val="24"/>
          <w:szCs w:val="24"/>
        </w:rPr>
      </w:pPr>
      <w:bookmarkStart w:id="515" w:name="_Toc20836"/>
      <w:r>
        <w:rPr>
          <w:rFonts w:hint="eastAsia" w:ascii="宋体" w:hAnsi="宋体" w:eastAsia="宋体" w:cs="宋体"/>
          <w:sz w:val="24"/>
          <w:szCs w:val="24"/>
        </w:rPr>
        <w:t>1.管理关系说明：</w:t>
      </w:r>
      <w:bookmarkEnd w:id="515"/>
    </w:p>
    <w:p w14:paraId="6A4B6170">
      <w:pPr>
        <w:autoSpaceDE w:val="0"/>
        <w:autoSpaceDN w:val="0"/>
        <w:adjustRightInd w:val="0"/>
        <w:spacing w:line="360" w:lineRule="auto"/>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我单位管理的具有独立法人的下属单位：</w:t>
      </w:r>
      <w:r>
        <w:rPr>
          <w:rFonts w:hint="eastAsia" w:ascii="宋体" w:hAnsi="宋体" w:eastAsia="宋体" w:cs="宋体"/>
          <w:sz w:val="24"/>
          <w:szCs w:val="24"/>
          <w:u w:val="single"/>
        </w:rPr>
        <w:t xml:space="preserve">      </w:t>
      </w:r>
      <w:r>
        <w:rPr>
          <w:rFonts w:hint="eastAsia" w:ascii="宋体" w:hAnsi="宋体" w:eastAsia="宋体" w:cs="宋体"/>
          <w:sz w:val="24"/>
          <w:szCs w:val="24"/>
        </w:rPr>
        <w:t>(没有填无)。</w:t>
      </w:r>
    </w:p>
    <w:p w14:paraId="1291D913">
      <w:pPr>
        <w:autoSpaceDE w:val="0"/>
        <w:autoSpaceDN w:val="0"/>
        <w:adjustRightIn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我单位的上级管理单位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(没有填无)。</w:t>
      </w:r>
    </w:p>
    <w:p w14:paraId="26904688">
      <w:pPr>
        <w:autoSpaceDE w:val="0"/>
        <w:autoSpaceDN w:val="0"/>
        <w:adjustRightInd w:val="0"/>
        <w:spacing w:line="360" w:lineRule="auto"/>
        <w:ind w:firstLine="480" w:firstLineChars="200"/>
        <w:outlineLvl w:val="9"/>
        <w:rPr>
          <w:rFonts w:hint="eastAsia" w:ascii="宋体" w:hAnsi="宋体" w:eastAsia="宋体" w:cs="宋体"/>
          <w:sz w:val="24"/>
          <w:szCs w:val="24"/>
        </w:rPr>
      </w:pPr>
      <w:bookmarkStart w:id="516" w:name="_Toc29375"/>
      <w:r>
        <w:rPr>
          <w:rFonts w:hint="eastAsia" w:ascii="宋体" w:hAnsi="宋体" w:eastAsia="宋体" w:cs="宋体"/>
          <w:sz w:val="24"/>
          <w:szCs w:val="24"/>
        </w:rPr>
        <w:t>2.股权关系说明：</w:t>
      </w:r>
      <w:bookmarkEnd w:id="516"/>
    </w:p>
    <w:p w14:paraId="0C05625B">
      <w:pPr>
        <w:autoSpaceDE w:val="0"/>
        <w:autoSpaceDN w:val="0"/>
        <w:adjustRightIn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我单位控股的单位</w:t>
      </w:r>
      <w:r>
        <w:rPr>
          <w:rFonts w:hint="eastAsia" w:ascii="宋体" w:hAnsi="宋体" w:eastAsia="宋体" w:cs="宋体"/>
          <w:sz w:val="24"/>
          <w:szCs w:val="24"/>
          <w:u w:val="single"/>
        </w:rPr>
        <w:t xml:space="preserve">          </w:t>
      </w:r>
      <w:r>
        <w:rPr>
          <w:rFonts w:hint="eastAsia" w:ascii="宋体" w:hAnsi="宋体" w:eastAsia="宋体" w:cs="宋体"/>
          <w:sz w:val="24"/>
          <w:szCs w:val="24"/>
        </w:rPr>
        <w:t>(没有填无) 。</w:t>
      </w:r>
    </w:p>
    <w:p w14:paraId="25732175">
      <w:pPr>
        <w:autoSpaceDE w:val="0"/>
        <w:autoSpaceDN w:val="0"/>
        <w:adjustRightIn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(没有填无)被</w:t>
      </w:r>
      <w:r>
        <w:rPr>
          <w:rFonts w:hint="eastAsia" w:ascii="宋体" w:hAnsi="宋体" w:eastAsia="宋体" w:cs="宋体"/>
          <w:sz w:val="24"/>
          <w:szCs w:val="24"/>
          <w:u w:val="single"/>
        </w:rPr>
        <w:t xml:space="preserve">   （控股单位全称）  </w:t>
      </w:r>
      <w:r>
        <w:rPr>
          <w:rFonts w:hint="eastAsia" w:ascii="宋体" w:hAnsi="宋体" w:eastAsia="宋体" w:cs="宋体"/>
          <w:sz w:val="24"/>
          <w:szCs w:val="24"/>
        </w:rPr>
        <w:t>单位控股。</w:t>
      </w:r>
    </w:p>
    <w:p w14:paraId="6EB1080F">
      <w:pPr>
        <w:autoSpaceDE w:val="0"/>
        <w:autoSpaceDN w:val="0"/>
        <w:adjustRightInd w:val="0"/>
        <w:spacing w:line="360" w:lineRule="auto"/>
        <w:ind w:firstLine="480" w:firstLineChars="200"/>
        <w:outlineLvl w:val="9"/>
        <w:rPr>
          <w:rFonts w:hint="eastAsia" w:ascii="宋体" w:hAnsi="宋体" w:eastAsia="宋体" w:cs="宋体"/>
          <w:sz w:val="24"/>
          <w:szCs w:val="24"/>
        </w:rPr>
      </w:pPr>
      <w:bookmarkStart w:id="517" w:name="_Toc18149"/>
      <w:r>
        <w:rPr>
          <w:rFonts w:hint="eastAsia" w:ascii="宋体" w:hAnsi="宋体" w:eastAsia="宋体" w:cs="宋体"/>
          <w:sz w:val="24"/>
          <w:szCs w:val="24"/>
        </w:rPr>
        <w:t>3.单位负责人：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(没有填无)。</w:t>
      </w:r>
      <w:bookmarkEnd w:id="517"/>
    </w:p>
    <w:p w14:paraId="193C9B80">
      <w:pPr>
        <w:autoSpaceDE w:val="0"/>
        <w:autoSpaceDN w:val="0"/>
        <w:adjustRightIn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（是或否） 为本采购项目提供过整体设计、规范编制或者项目管理、监理、检测等服务的</w:t>
      </w:r>
      <w:r>
        <w:rPr>
          <w:rFonts w:hint="eastAsia" w:ascii="宋体" w:hAnsi="宋体" w:eastAsia="宋体" w:cs="宋体"/>
          <w:sz w:val="24"/>
          <w:szCs w:val="24"/>
          <w:lang w:eastAsia="zh-CN"/>
        </w:rPr>
        <w:t>供应商</w:t>
      </w:r>
      <w:r>
        <w:rPr>
          <w:rFonts w:hint="eastAsia" w:ascii="宋体" w:hAnsi="宋体" w:eastAsia="宋体" w:cs="宋体"/>
          <w:sz w:val="24"/>
          <w:szCs w:val="24"/>
        </w:rPr>
        <w:t>。</w:t>
      </w:r>
    </w:p>
    <w:p w14:paraId="297F237C">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三、其他与本项目有关的利害关系说明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(没有填无)。</w:t>
      </w:r>
    </w:p>
    <w:p w14:paraId="064BC736">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我单位承诺以上说明真实有效，无虚假内容或隐瞒。</w:t>
      </w:r>
    </w:p>
    <w:p w14:paraId="75274200">
      <w:pPr>
        <w:autoSpaceDE w:val="0"/>
        <w:autoSpaceDN w:val="0"/>
        <w:adjustRightInd w:val="0"/>
        <w:spacing w:line="288" w:lineRule="auto"/>
        <w:rPr>
          <w:rFonts w:hint="eastAsia" w:ascii="宋体" w:hAnsi="宋体" w:eastAsia="宋体" w:cs="宋体"/>
          <w:sz w:val="24"/>
          <w:szCs w:val="24"/>
        </w:rPr>
      </w:pPr>
    </w:p>
    <w:p w14:paraId="41B8FB15">
      <w:pPr>
        <w:autoSpaceDE w:val="0"/>
        <w:autoSpaceDN w:val="0"/>
        <w:adjustRightInd w:val="0"/>
        <w:spacing w:line="288" w:lineRule="auto"/>
        <w:jc w:val="center"/>
        <w:rPr>
          <w:rFonts w:hint="eastAsia" w:ascii="宋体" w:hAnsi="宋体" w:eastAsia="宋体" w:cs="宋体"/>
          <w:b/>
          <w:sz w:val="24"/>
          <w:szCs w:val="24"/>
        </w:rPr>
      </w:pPr>
    </w:p>
    <w:p w14:paraId="04D49057">
      <w:pPr>
        <w:pStyle w:val="9"/>
        <w:rPr>
          <w:rFonts w:hint="eastAsia" w:ascii="宋体" w:hAnsi="宋体" w:eastAsia="宋体" w:cs="宋体"/>
          <w:b/>
          <w:sz w:val="24"/>
          <w:szCs w:val="24"/>
        </w:rPr>
      </w:pPr>
    </w:p>
    <w:p w14:paraId="7F38F422">
      <w:pPr>
        <w:rPr>
          <w:rFonts w:hint="eastAsia" w:ascii="宋体" w:hAnsi="宋体" w:eastAsia="宋体" w:cs="宋体"/>
          <w:b/>
          <w:sz w:val="24"/>
          <w:szCs w:val="24"/>
        </w:rPr>
      </w:pPr>
    </w:p>
    <w:p w14:paraId="15409D37">
      <w:pPr>
        <w:pStyle w:val="9"/>
        <w:rPr>
          <w:rFonts w:hint="eastAsia" w:ascii="宋体" w:hAnsi="宋体" w:eastAsia="宋体" w:cs="宋体"/>
        </w:rPr>
      </w:pPr>
    </w:p>
    <w:p w14:paraId="0A1E1490">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p>
    <w:p w14:paraId="7E16A119">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2D603B68">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outlineLvl w:val="9"/>
        <w:rPr>
          <w:rFonts w:hint="eastAsia" w:ascii="宋体" w:hAnsi="宋体" w:eastAsia="宋体" w:cs="宋体"/>
          <w:u w:val="none"/>
          <w:lang w:eastAsia="zh-CN"/>
        </w:rPr>
      </w:pPr>
      <w:r>
        <w:rPr>
          <w:rFonts w:hint="eastAsia" w:ascii="宋体" w:hAnsi="宋体" w:eastAsia="宋体" w:cs="宋体"/>
          <w:spacing w:val="-17"/>
        </w:rPr>
        <w:t xml:space="preserve"> </w:t>
      </w:r>
      <w:bookmarkStart w:id="518" w:name="_Toc7847"/>
      <w:bookmarkStart w:id="519" w:name="_Toc14467"/>
      <w:r>
        <w:rPr>
          <w:rFonts w:hint="eastAsia" w:ascii="宋体" w:hAnsi="宋体" w:eastAsia="宋体" w:cs="宋体"/>
        </w:rPr>
        <w:t>法定代表人或被授权人</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none"/>
          <w:lang w:eastAsia="zh-CN"/>
        </w:rPr>
        <w:t>（签字或盖章）</w:t>
      </w:r>
      <w:bookmarkEnd w:id="518"/>
      <w:bookmarkEnd w:id="519"/>
    </w:p>
    <w:p w14:paraId="3DEE33A2">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5FF63EFA">
      <w:pPr>
        <w:pStyle w:val="4"/>
        <w:spacing w:before="84"/>
        <w:ind w:left="0" w:right="804"/>
        <w:jc w:val="center"/>
        <w:outlineLvl w:val="2"/>
        <w:rPr>
          <w:rFonts w:hint="eastAsia" w:ascii="宋体" w:hAnsi="宋体" w:eastAsia="宋体" w:cs="宋体"/>
        </w:rPr>
      </w:pPr>
      <w:r>
        <w:rPr>
          <w:rFonts w:hint="eastAsia" w:ascii="宋体" w:hAnsi="宋体" w:eastAsia="宋体" w:cs="宋体"/>
          <w:sz w:val="32"/>
          <w:u w:val="single"/>
        </w:rPr>
        <w:br w:type="page"/>
      </w:r>
      <w:bookmarkStart w:id="520" w:name="_Toc10308"/>
      <w:bookmarkStart w:id="521" w:name="_Toc3068"/>
      <w:bookmarkStart w:id="522" w:name="_Toc13882"/>
      <w:r>
        <w:rPr>
          <w:rFonts w:hint="eastAsia" w:ascii="宋体" w:hAnsi="宋体" w:eastAsia="宋体" w:cs="宋体"/>
          <w:lang w:eastAsia="zh-CN"/>
        </w:rPr>
        <w:t>附件</w:t>
      </w:r>
      <w:r>
        <w:rPr>
          <w:rFonts w:hint="eastAsia" w:ascii="宋体" w:hAnsi="宋体" w:eastAsia="宋体" w:cs="宋体"/>
          <w:lang w:val="en-US" w:eastAsia="zh-CN"/>
        </w:rPr>
        <w:t>6：</w:t>
      </w:r>
      <w:r>
        <w:rPr>
          <w:rFonts w:hint="eastAsia" w:ascii="宋体" w:hAnsi="宋体" w:eastAsia="宋体" w:cs="宋体"/>
        </w:rPr>
        <w:t>供应商满足政府采购相关优惠政策的声明或证明材料</w:t>
      </w:r>
      <w:bookmarkEnd w:id="510"/>
      <w:bookmarkEnd w:id="520"/>
      <w:bookmarkEnd w:id="521"/>
      <w:bookmarkEnd w:id="522"/>
    </w:p>
    <w:p w14:paraId="432AE681">
      <w:pPr>
        <w:pStyle w:val="9"/>
        <w:spacing w:before="77" w:line="221" w:lineRule="auto"/>
        <w:ind w:left="0" w:leftChars="0" w:firstLine="0" w:firstLineChars="0"/>
        <w:jc w:val="center"/>
        <w:outlineLvl w:val="9"/>
        <w:rPr>
          <w:rFonts w:hint="eastAsia" w:ascii="宋体" w:hAnsi="宋体" w:eastAsia="宋体" w:cs="宋体"/>
          <w:b/>
          <w:bCs/>
          <w:sz w:val="30"/>
          <w:szCs w:val="30"/>
        </w:rPr>
      </w:pPr>
      <w:r>
        <w:rPr>
          <w:rFonts w:hint="eastAsia" w:ascii="宋体" w:hAnsi="宋体" w:eastAsia="宋体" w:cs="宋体"/>
          <w:b/>
          <w:bCs/>
          <w:spacing w:val="-4"/>
          <w:sz w:val="30"/>
          <w:szCs w:val="30"/>
        </w:rPr>
        <w:t>中小企业声明函</w:t>
      </w:r>
    </w:p>
    <w:p w14:paraId="6ADC6C48">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rPr>
      </w:pPr>
      <w:r>
        <w:rPr>
          <w:rFonts w:hint="eastAsia" w:ascii="宋体" w:hAnsi="宋体" w:eastAsia="宋体" w:cs="宋体"/>
          <w:spacing w:val="2"/>
        </w:rPr>
        <w:t>本公司（联合体）郑重声明，根据《政府采购促进中小企业发展管理办法》</w:t>
      </w:r>
      <w:r>
        <w:rPr>
          <w:rFonts w:hint="eastAsia" w:ascii="宋体" w:hAnsi="宋体" w:eastAsia="宋体" w:cs="宋体"/>
          <w:spacing w:val="1"/>
        </w:rPr>
        <w:t>（财库﹝2020﹞46 号）的规</w:t>
      </w:r>
      <w:r>
        <w:rPr>
          <w:rFonts w:hint="eastAsia" w:ascii="宋体" w:hAnsi="宋体" w:eastAsia="宋体" w:cs="宋体"/>
          <w:spacing w:val="-1"/>
        </w:rPr>
        <w:t>定，本公司（联合体）参加</w:t>
      </w:r>
      <w:r>
        <w:rPr>
          <w:rFonts w:hint="eastAsia" w:ascii="宋体" w:hAnsi="宋体" w:eastAsia="宋体" w:cs="宋体"/>
          <w:spacing w:val="103"/>
          <w:u w:val="single" w:color="222222"/>
        </w:rPr>
        <w:t xml:space="preserve"> </w:t>
      </w:r>
      <w:r>
        <w:rPr>
          <w:rFonts w:hint="eastAsia" w:ascii="宋体" w:hAnsi="宋体" w:eastAsia="宋体" w:cs="宋体"/>
          <w:spacing w:val="-1"/>
          <w:u w:val="single" w:color="222222"/>
        </w:rPr>
        <w:t>{采购单位名称}</w:t>
      </w:r>
      <w:r>
        <w:rPr>
          <w:rFonts w:hint="eastAsia" w:ascii="宋体" w:hAnsi="宋体" w:eastAsia="宋体" w:cs="宋体"/>
          <w:spacing w:val="73"/>
          <w:u w:val="single" w:color="222222"/>
        </w:rPr>
        <w:t xml:space="preserve"> </w:t>
      </w:r>
      <w:r>
        <w:rPr>
          <w:rFonts w:hint="eastAsia" w:ascii="宋体" w:hAnsi="宋体" w:eastAsia="宋体" w:cs="宋体"/>
          <w:spacing w:val="-1"/>
        </w:rPr>
        <w:t>的</w:t>
      </w:r>
      <w:r>
        <w:rPr>
          <w:rFonts w:hint="eastAsia" w:ascii="宋体" w:hAnsi="宋体" w:eastAsia="宋体" w:cs="宋体"/>
          <w:spacing w:val="91"/>
          <w:u w:val="single" w:color="222222"/>
        </w:rPr>
        <w:t xml:space="preserve"> </w:t>
      </w:r>
      <w:r>
        <w:rPr>
          <w:rFonts w:hint="eastAsia" w:ascii="宋体" w:hAnsi="宋体" w:eastAsia="宋体" w:cs="宋体"/>
          <w:spacing w:val="-1"/>
          <w:u w:val="single" w:color="222222"/>
        </w:rPr>
        <w:t>{项目名称}</w:t>
      </w:r>
      <w:r>
        <w:rPr>
          <w:rFonts w:hint="eastAsia" w:ascii="宋体" w:hAnsi="宋体" w:eastAsia="宋体" w:cs="宋体"/>
          <w:spacing w:val="56"/>
          <w:w w:val="101"/>
          <w:u w:val="single" w:color="222222"/>
        </w:rPr>
        <w:t xml:space="preserve"> </w:t>
      </w:r>
      <w:r>
        <w:rPr>
          <w:rFonts w:hint="eastAsia" w:ascii="宋体" w:hAnsi="宋体" w:eastAsia="宋体" w:cs="宋体"/>
          <w:spacing w:val="-1"/>
        </w:rPr>
        <w:t>采购活动，工程的施工单位全部为符合政策要求</w:t>
      </w:r>
      <w:r>
        <w:rPr>
          <w:rFonts w:hint="eastAsia" w:ascii="宋体" w:hAnsi="宋体" w:eastAsia="宋体" w:cs="宋体"/>
          <w:spacing w:val="1"/>
        </w:rPr>
        <w:t>的中小企业。相关企业（含联合体中的中小企业、签订分包意向协议的中小企业）的具体情况如下：</w:t>
      </w:r>
    </w:p>
    <w:p w14:paraId="0E4D1B1F">
      <w:pPr>
        <w:pStyle w:val="9"/>
        <w:spacing w:before="236" w:line="373" w:lineRule="auto"/>
        <w:ind w:left="7" w:right="1" w:firstLine="391"/>
        <w:rPr>
          <w:rFonts w:hint="eastAsia" w:ascii="宋体" w:hAnsi="宋体" w:eastAsia="宋体" w:cs="宋体"/>
        </w:rPr>
      </w:pPr>
      <w:r>
        <w:rPr>
          <w:rFonts w:hint="eastAsia" w:ascii="宋体" w:hAnsi="宋体" w:eastAsia="宋体" w:cs="宋体"/>
          <w:spacing w:val="-2"/>
        </w:rPr>
        <w:t>1.</w:t>
      </w:r>
      <w:r>
        <w:rPr>
          <w:rFonts w:hint="eastAsia" w:ascii="宋体" w:hAnsi="宋体" w:eastAsia="宋体" w:cs="宋体"/>
          <w:spacing w:val="95"/>
          <w:w w:val="101"/>
          <w:u w:val="single" w:color="222222"/>
        </w:rPr>
        <w:t xml:space="preserve"> </w:t>
      </w:r>
      <w:r>
        <w:rPr>
          <w:rFonts w:hint="eastAsia" w:ascii="宋体" w:hAnsi="宋体" w:eastAsia="宋体" w:cs="宋体"/>
          <w:spacing w:val="-2"/>
          <w:u w:val="single" w:color="222222"/>
        </w:rPr>
        <w:t>{标的名称}</w:t>
      </w:r>
      <w:r>
        <w:rPr>
          <w:rFonts w:hint="eastAsia" w:ascii="宋体" w:hAnsi="宋体" w:eastAsia="宋体" w:cs="宋体"/>
          <w:spacing w:val="49"/>
          <w:u w:val="single" w:color="222222"/>
        </w:rPr>
        <w:t xml:space="preserve"> </w:t>
      </w:r>
      <w:r>
        <w:rPr>
          <w:rFonts w:hint="eastAsia" w:ascii="宋体" w:hAnsi="宋体" w:eastAsia="宋体" w:cs="宋体"/>
          <w:spacing w:val="25"/>
        </w:rPr>
        <w:t xml:space="preserve"> </w:t>
      </w:r>
      <w:r>
        <w:rPr>
          <w:rFonts w:hint="eastAsia" w:ascii="宋体" w:hAnsi="宋体" w:eastAsia="宋体" w:cs="宋体"/>
          <w:spacing w:val="-2"/>
        </w:rPr>
        <w:t xml:space="preserve">，属 于 </w:t>
      </w:r>
      <w:r>
        <w:rPr>
          <w:rFonts w:hint="eastAsia" w:ascii="宋体" w:hAnsi="宋体" w:eastAsia="宋体" w:cs="宋体"/>
          <w:spacing w:val="-2"/>
          <w:u w:val="single" w:color="222222"/>
        </w:rPr>
        <w:t xml:space="preserve">  {采购文件中明确的所属行业}</w:t>
      </w:r>
      <w:r>
        <w:rPr>
          <w:rFonts w:hint="eastAsia" w:ascii="宋体" w:hAnsi="宋体" w:eastAsia="宋体" w:cs="宋体"/>
          <w:spacing w:val="60"/>
          <w:u w:val="single" w:color="222222"/>
        </w:rPr>
        <w:t xml:space="preserve"> </w:t>
      </w:r>
      <w:r>
        <w:rPr>
          <w:rFonts w:hint="eastAsia" w:ascii="宋体" w:hAnsi="宋体" w:eastAsia="宋体" w:cs="宋体"/>
          <w:spacing w:val="-2"/>
        </w:rPr>
        <w:t>行业；承建企业为</w:t>
      </w:r>
      <w:r>
        <w:rPr>
          <w:rFonts w:hint="eastAsia" w:ascii="宋体" w:hAnsi="宋体" w:eastAsia="宋体" w:cs="宋体"/>
          <w:spacing w:val="-94"/>
        </w:rPr>
        <w:t xml:space="preserve"> </w:t>
      </w:r>
      <w:r>
        <w:rPr>
          <w:rFonts w:hint="eastAsia" w:ascii="宋体" w:hAnsi="宋体" w:eastAsia="宋体" w:cs="宋体"/>
          <w:spacing w:val="1"/>
          <w:u w:val="single" w:color="222222"/>
        </w:rPr>
        <w:t xml:space="preserve">   </w:t>
      </w:r>
      <w:r>
        <w:rPr>
          <w:rFonts w:hint="eastAsia" w:ascii="宋体" w:hAnsi="宋体" w:eastAsia="宋体" w:cs="宋体"/>
          <w:spacing w:val="-71"/>
        </w:rPr>
        <w:t xml:space="preserve"> </w:t>
      </w:r>
      <w:r>
        <w:rPr>
          <w:rFonts w:hint="eastAsia" w:ascii="宋体" w:hAnsi="宋体" w:eastAsia="宋体" w:cs="宋体"/>
          <w:spacing w:val="-2"/>
        </w:rPr>
        <w:t xml:space="preserve">，从业人员 </w:t>
      </w:r>
      <w:r>
        <w:rPr>
          <w:rFonts w:hint="eastAsia" w:ascii="宋体" w:hAnsi="宋体" w:eastAsia="宋体" w:cs="宋体"/>
          <w:spacing w:val="-2"/>
          <w:u w:val="single" w:color="222222"/>
        </w:rPr>
        <w:t xml:space="preserve">   </w:t>
      </w:r>
      <w:r>
        <w:rPr>
          <w:rFonts w:hint="eastAsia" w:ascii="宋体" w:hAnsi="宋体" w:eastAsia="宋体" w:cs="宋体"/>
          <w:spacing w:val="-86"/>
        </w:rPr>
        <w:t xml:space="preserve"> </w:t>
      </w:r>
      <w:r>
        <w:rPr>
          <w:rFonts w:hint="eastAsia" w:ascii="宋体" w:hAnsi="宋体" w:eastAsia="宋体" w:cs="宋体"/>
          <w:spacing w:val="-2"/>
        </w:rPr>
        <w:t>人，营业</w:t>
      </w:r>
      <w:r>
        <w:rPr>
          <w:rFonts w:hint="eastAsia" w:ascii="宋体" w:hAnsi="宋体" w:eastAsia="宋体" w:cs="宋体"/>
          <w:spacing w:val="-1"/>
        </w:rPr>
        <w:t>收入为</w:t>
      </w:r>
      <w:r>
        <w:rPr>
          <w:rFonts w:hint="eastAsia" w:ascii="宋体" w:hAnsi="宋体" w:eastAsia="宋体" w:cs="宋体"/>
          <w:spacing w:val="-82"/>
        </w:rPr>
        <w:t xml:space="preserve"> </w:t>
      </w:r>
      <w:r>
        <w:rPr>
          <w:rFonts w:hint="eastAsia" w:ascii="宋体" w:hAnsi="宋体" w:eastAsia="宋体" w:cs="宋体"/>
          <w:spacing w:val="1"/>
          <w:u w:val="single" w:color="222222"/>
        </w:rPr>
        <w:t xml:space="preserve">   </w:t>
      </w:r>
      <w:r>
        <w:rPr>
          <w:rFonts w:hint="eastAsia" w:ascii="宋体" w:hAnsi="宋体" w:eastAsia="宋体" w:cs="宋体"/>
          <w:spacing w:val="-83"/>
        </w:rPr>
        <w:t xml:space="preserve"> </w:t>
      </w:r>
      <w:r>
        <w:rPr>
          <w:rFonts w:hint="eastAsia" w:ascii="宋体" w:hAnsi="宋体" w:eastAsia="宋体" w:cs="宋体"/>
          <w:spacing w:val="-1"/>
        </w:rPr>
        <w:t>万元，资产总额为</w:t>
      </w:r>
      <w:r>
        <w:rPr>
          <w:rFonts w:hint="eastAsia" w:ascii="宋体" w:hAnsi="宋体" w:eastAsia="宋体" w:cs="宋体"/>
          <w:spacing w:val="-93"/>
        </w:rPr>
        <w:t xml:space="preserve"> </w:t>
      </w:r>
      <w:r>
        <w:rPr>
          <w:rFonts w:hint="eastAsia" w:ascii="宋体" w:hAnsi="宋体" w:eastAsia="宋体" w:cs="宋体"/>
          <w:spacing w:val="1"/>
          <w:u w:val="single" w:color="222222"/>
        </w:rPr>
        <w:t xml:space="preserve">   </w:t>
      </w:r>
      <w:r>
        <w:rPr>
          <w:rFonts w:hint="eastAsia" w:ascii="宋体" w:hAnsi="宋体" w:eastAsia="宋体" w:cs="宋体"/>
          <w:spacing w:val="-83"/>
        </w:rPr>
        <w:t xml:space="preserve"> </w:t>
      </w:r>
      <w:r>
        <w:rPr>
          <w:rFonts w:hint="eastAsia" w:ascii="宋体" w:hAnsi="宋体" w:eastAsia="宋体" w:cs="宋体"/>
          <w:spacing w:val="-1"/>
        </w:rPr>
        <w:t>万元，属于</w:t>
      </w:r>
      <w:r>
        <w:rPr>
          <w:rFonts w:hint="eastAsia" w:ascii="宋体" w:hAnsi="宋体" w:eastAsia="宋体" w:cs="宋体"/>
          <w:spacing w:val="-94"/>
        </w:rPr>
        <w:t xml:space="preserve"> </w:t>
      </w:r>
      <w:r>
        <w:rPr>
          <w:rFonts w:hint="eastAsia" w:ascii="宋体" w:hAnsi="宋体" w:eastAsia="宋体" w:cs="宋体"/>
          <w:spacing w:val="-1"/>
          <w:u w:val="single" w:color="222222"/>
        </w:rPr>
        <w:t xml:space="preserve"> </w:t>
      </w:r>
      <w:r>
        <w:rPr>
          <w:rFonts w:hint="eastAsia" w:ascii="宋体" w:hAnsi="宋体" w:eastAsia="宋体" w:cs="宋体"/>
          <w:spacing w:val="-1"/>
          <w:u w:val="single" w:color="222222"/>
          <w:lang w:val="en-US" w:eastAsia="zh-CN"/>
        </w:rPr>
        <w:t xml:space="preserve">    </w:t>
      </w:r>
      <w:r>
        <w:rPr>
          <w:rFonts w:hint="eastAsia" w:ascii="宋体" w:hAnsi="宋体" w:eastAsia="宋体" w:cs="宋体"/>
          <w:spacing w:val="-1"/>
          <w:u w:val="single" w:color="222222"/>
          <w:lang w:eastAsia="zh-CN"/>
        </w:rPr>
        <w:t>（</w:t>
      </w:r>
      <w:r>
        <w:rPr>
          <w:rFonts w:hint="eastAsia" w:ascii="宋体" w:hAnsi="宋体" w:eastAsia="宋体" w:cs="宋体"/>
          <w:spacing w:val="-1"/>
          <w:u w:val="single" w:color="222222"/>
          <w:lang w:val="en-US" w:eastAsia="zh-CN"/>
        </w:rPr>
        <w:t>中型/小型/微型企业）</w:t>
      </w:r>
      <w:r>
        <w:rPr>
          <w:rFonts w:hint="eastAsia" w:ascii="宋体" w:hAnsi="宋体" w:eastAsia="宋体" w:cs="宋体"/>
          <w:spacing w:val="-1"/>
          <w:u w:val="single" w:color="222222"/>
        </w:rPr>
        <w:t xml:space="preserve">  </w:t>
      </w:r>
      <w:r>
        <w:rPr>
          <w:rFonts w:hint="eastAsia" w:ascii="宋体" w:hAnsi="宋体" w:eastAsia="宋体" w:cs="宋体"/>
          <w:spacing w:val="-1"/>
        </w:rPr>
        <w:t>；</w:t>
      </w:r>
    </w:p>
    <w:p w14:paraId="6B29B40D">
      <w:pPr>
        <w:pStyle w:val="9"/>
        <w:spacing w:line="373" w:lineRule="auto"/>
        <w:ind w:left="2" w:right="1" w:firstLine="404"/>
        <w:rPr>
          <w:rFonts w:hint="eastAsia" w:ascii="宋体" w:hAnsi="宋体" w:eastAsia="宋体" w:cs="宋体"/>
        </w:rPr>
      </w:pPr>
      <w:r>
        <w:rPr>
          <w:rFonts w:hint="eastAsia" w:ascii="宋体" w:hAnsi="宋体" w:eastAsia="宋体" w:cs="宋体"/>
          <w:spacing w:val="1"/>
        </w:rPr>
        <w:t>以上企业，不属于大企业的分支机构，不存在控股股东为大企业的情形，也不存在与大企业的负责人为同一</w:t>
      </w:r>
      <w:r>
        <w:rPr>
          <w:rFonts w:hint="eastAsia" w:ascii="宋体" w:hAnsi="宋体" w:eastAsia="宋体" w:cs="宋体"/>
          <w:spacing w:val="-1"/>
        </w:rPr>
        <w:t>人的情形。</w:t>
      </w:r>
    </w:p>
    <w:p w14:paraId="473C6ECD">
      <w:pPr>
        <w:pStyle w:val="9"/>
        <w:spacing w:line="220" w:lineRule="auto"/>
        <w:ind w:left="385"/>
        <w:rPr>
          <w:rFonts w:hint="eastAsia" w:ascii="宋体" w:hAnsi="宋体" w:eastAsia="宋体" w:cs="宋体"/>
        </w:rPr>
      </w:pPr>
      <w:r>
        <w:rPr>
          <w:rFonts w:hint="eastAsia" w:ascii="宋体" w:hAnsi="宋体" w:eastAsia="宋体" w:cs="宋体"/>
          <w:spacing w:val="2"/>
        </w:rPr>
        <w:t>本企业对上述声明内容的真实性负责。如有虚</w:t>
      </w:r>
      <w:r>
        <w:rPr>
          <w:rFonts w:hint="eastAsia" w:ascii="宋体" w:hAnsi="宋体" w:eastAsia="宋体" w:cs="宋体"/>
          <w:spacing w:val="1"/>
        </w:rPr>
        <w:t>假，将依法承担相应责任。</w:t>
      </w:r>
    </w:p>
    <w:p w14:paraId="0144637C">
      <w:pPr>
        <w:spacing w:line="250" w:lineRule="auto"/>
        <w:rPr>
          <w:rFonts w:hint="eastAsia" w:ascii="宋体" w:hAnsi="宋体" w:eastAsia="宋体" w:cs="宋体"/>
          <w:sz w:val="21"/>
        </w:rPr>
      </w:pPr>
    </w:p>
    <w:p w14:paraId="42EA9F9F">
      <w:pPr>
        <w:spacing w:line="250" w:lineRule="auto"/>
        <w:rPr>
          <w:rFonts w:hint="eastAsia" w:ascii="宋体" w:hAnsi="宋体" w:eastAsia="宋体" w:cs="宋体"/>
          <w:sz w:val="21"/>
        </w:rPr>
      </w:pPr>
    </w:p>
    <w:p w14:paraId="4E70A16C">
      <w:pPr>
        <w:spacing w:line="250" w:lineRule="auto"/>
        <w:rPr>
          <w:rFonts w:hint="eastAsia" w:ascii="宋体" w:hAnsi="宋体" w:eastAsia="宋体" w:cs="宋体"/>
          <w:sz w:val="21"/>
        </w:rPr>
      </w:pPr>
    </w:p>
    <w:p w14:paraId="7281F328">
      <w:pPr>
        <w:spacing w:line="250" w:lineRule="auto"/>
        <w:rPr>
          <w:rFonts w:hint="eastAsia" w:ascii="宋体" w:hAnsi="宋体" w:eastAsia="宋体" w:cs="宋体"/>
          <w:sz w:val="21"/>
        </w:rPr>
      </w:pPr>
    </w:p>
    <w:p w14:paraId="466AB73A">
      <w:pPr>
        <w:pStyle w:val="9"/>
        <w:tabs>
          <w:tab w:val="left" w:pos="7422"/>
        </w:tabs>
        <w:ind w:left="3462"/>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u w:val="single"/>
          <w:lang w:eastAsia="zh-CN"/>
        </w:rPr>
        <w:t>公</w:t>
      </w:r>
      <w:r>
        <w:rPr>
          <w:rFonts w:hint="eastAsia" w:ascii="宋体" w:hAnsi="宋体" w:eastAsia="宋体" w:cs="宋体"/>
          <w:u w:val="single"/>
        </w:rPr>
        <w:t>章）</w:t>
      </w:r>
    </w:p>
    <w:p w14:paraId="4505C46B">
      <w:pPr>
        <w:pStyle w:val="9"/>
        <w:spacing w:before="1"/>
        <w:rPr>
          <w:rFonts w:hint="eastAsia" w:ascii="宋体" w:hAnsi="宋体" w:eastAsia="宋体" w:cs="宋体"/>
          <w:sz w:val="23"/>
        </w:rPr>
      </w:pPr>
    </w:p>
    <w:p w14:paraId="17E5BAFA">
      <w:pPr>
        <w:pStyle w:val="9"/>
        <w:tabs>
          <w:tab w:val="left" w:pos="4196"/>
          <w:tab w:val="left" w:pos="5756"/>
          <w:tab w:val="left" w:pos="6836"/>
          <w:tab w:val="left" w:pos="8036"/>
        </w:tabs>
        <w:spacing w:before="74"/>
        <w:ind w:left="3476"/>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0B7F6B3D">
      <w:pPr>
        <w:spacing w:line="242" w:lineRule="auto"/>
        <w:rPr>
          <w:rFonts w:hint="eastAsia" w:ascii="宋体" w:hAnsi="宋体" w:eastAsia="宋体" w:cs="宋体"/>
          <w:sz w:val="21"/>
        </w:rPr>
      </w:pPr>
    </w:p>
    <w:p w14:paraId="7D55D3CB">
      <w:pPr>
        <w:pStyle w:val="9"/>
        <w:spacing w:before="62" w:line="226" w:lineRule="auto"/>
        <w:rPr>
          <w:rFonts w:hint="eastAsia" w:ascii="宋体" w:hAnsi="宋体" w:eastAsia="宋体" w:cs="宋体"/>
        </w:rPr>
      </w:pPr>
      <w:r>
        <w:rPr>
          <w:rFonts w:hint="eastAsia" w:ascii="宋体" w:hAnsi="宋体" w:eastAsia="宋体" w:cs="宋体"/>
          <w:spacing w:val="-4"/>
        </w:rPr>
        <w:t>注：</w:t>
      </w:r>
    </w:p>
    <w:p w14:paraId="36F776B9">
      <w:pPr>
        <w:pStyle w:val="9"/>
        <w:spacing w:before="153" w:line="297" w:lineRule="auto"/>
        <w:ind w:left="2" w:right="97" w:firstLine="396"/>
        <w:rPr>
          <w:rFonts w:hint="eastAsia" w:ascii="宋体" w:hAnsi="宋体" w:eastAsia="宋体" w:cs="宋体"/>
        </w:rPr>
      </w:pPr>
      <w:r>
        <w:rPr>
          <w:rFonts w:hint="eastAsia" w:ascii="宋体" w:hAnsi="宋体" w:eastAsia="宋体" w:cs="宋体"/>
          <w:spacing w:val="2"/>
        </w:rPr>
        <w:t>1、供应商根据《工业和信息化部、国家统计局、国家</w:t>
      </w:r>
      <w:r>
        <w:rPr>
          <w:rFonts w:hint="eastAsia" w:ascii="宋体" w:hAnsi="宋体" w:eastAsia="宋体" w:cs="宋体"/>
          <w:spacing w:val="1"/>
        </w:rPr>
        <w:t>发展和改革委员会、财政部关于印发中小企业划型标</w:t>
      </w:r>
      <w:r>
        <w:rPr>
          <w:rFonts w:hint="eastAsia" w:ascii="宋体" w:hAnsi="宋体" w:eastAsia="宋体" w:cs="宋体"/>
          <w:spacing w:val="2"/>
        </w:rPr>
        <w:t>准规定的通知》（工信部联企业〔2011〕300号）规定，</w:t>
      </w:r>
      <w:r>
        <w:rPr>
          <w:rFonts w:hint="eastAsia" w:ascii="宋体" w:hAnsi="宋体" w:eastAsia="宋体" w:cs="宋体"/>
          <w:spacing w:val="1"/>
        </w:rPr>
        <w:t>结合自身实际，确定对应的中小企业划型。</w:t>
      </w:r>
    </w:p>
    <w:p w14:paraId="575F45D5">
      <w:pPr>
        <w:pStyle w:val="9"/>
        <w:spacing w:before="157" w:line="297" w:lineRule="auto"/>
        <w:ind w:right="289" w:firstLine="387"/>
        <w:rPr>
          <w:rFonts w:hint="eastAsia" w:ascii="宋体" w:hAnsi="宋体" w:eastAsia="宋体" w:cs="宋体"/>
        </w:rPr>
      </w:pPr>
      <w:r>
        <w:rPr>
          <w:rFonts w:hint="eastAsia" w:ascii="宋体" w:hAnsi="宋体" w:eastAsia="宋体" w:cs="宋体"/>
          <w:spacing w:val="2"/>
        </w:rPr>
        <w:t>2、从业人员、营业收入、资产总额填报上一年度数据，无上一年度数据的新成</w:t>
      </w:r>
      <w:r>
        <w:rPr>
          <w:rFonts w:hint="eastAsia" w:ascii="宋体" w:hAnsi="宋体" w:eastAsia="宋体" w:cs="宋体"/>
          <w:spacing w:val="1"/>
        </w:rPr>
        <w:t>立企业从业人员、营业收</w:t>
      </w:r>
      <w:r>
        <w:rPr>
          <w:rFonts w:hint="eastAsia" w:ascii="宋体" w:hAnsi="宋体" w:eastAsia="宋体" w:cs="宋体"/>
          <w:spacing w:val="2"/>
        </w:rPr>
        <w:t>入、资产总额均填0，根据提交响应文件时的</w:t>
      </w:r>
      <w:r>
        <w:rPr>
          <w:rFonts w:hint="eastAsia" w:ascii="宋体" w:hAnsi="宋体" w:eastAsia="宋体" w:cs="宋体"/>
          <w:spacing w:val="1"/>
        </w:rPr>
        <w:t>实际情况填写企业类型。</w:t>
      </w:r>
    </w:p>
    <w:p w14:paraId="317FA087">
      <w:pPr>
        <w:pStyle w:val="9"/>
        <w:spacing w:before="156" w:line="221" w:lineRule="auto"/>
        <w:rPr>
          <w:rFonts w:hint="eastAsia" w:ascii="宋体" w:hAnsi="宋体" w:eastAsia="宋体" w:cs="宋体"/>
        </w:rPr>
      </w:pPr>
      <w:r>
        <w:rPr>
          <w:rFonts w:hint="eastAsia" w:ascii="宋体" w:hAnsi="宋体" w:eastAsia="宋体" w:cs="宋体"/>
          <w:spacing w:val="1"/>
        </w:rPr>
        <w:t>3、供应商</w:t>
      </w:r>
      <w:r>
        <w:rPr>
          <w:rFonts w:hint="eastAsia" w:ascii="宋体" w:hAnsi="宋体" w:eastAsia="宋体" w:cs="宋体"/>
          <w:spacing w:val="1"/>
          <w:lang w:val="en-US" w:eastAsia="zh-CN"/>
        </w:rPr>
        <w:t>未填报此</w:t>
      </w:r>
      <w:r>
        <w:rPr>
          <w:rFonts w:hint="eastAsia" w:ascii="宋体" w:hAnsi="宋体" w:eastAsia="宋体" w:cs="宋体"/>
          <w:spacing w:val="1"/>
        </w:rPr>
        <w:t>声明</w:t>
      </w:r>
      <w:r>
        <w:rPr>
          <w:rFonts w:hint="eastAsia" w:ascii="宋体" w:hAnsi="宋体" w:eastAsia="宋体" w:cs="宋体"/>
          <w:spacing w:val="1"/>
          <w:lang w:val="en-US" w:eastAsia="zh-CN"/>
        </w:rPr>
        <w:t>的，视为无效磋商</w:t>
      </w:r>
      <w:r>
        <w:rPr>
          <w:rFonts w:hint="eastAsia" w:ascii="宋体" w:hAnsi="宋体" w:eastAsia="宋体" w:cs="宋体"/>
          <w:spacing w:val="1"/>
        </w:rPr>
        <w:t>。</w:t>
      </w:r>
    </w:p>
    <w:p w14:paraId="10E52376">
      <w:pPr>
        <w:spacing w:before="43"/>
        <w:ind w:left="0" w:leftChars="0" w:firstLine="0" w:firstLineChars="0"/>
        <w:jc w:val="center"/>
        <w:outlineLvl w:val="9"/>
        <w:rPr>
          <w:rFonts w:hint="eastAsia" w:ascii="宋体" w:hAnsi="宋体" w:eastAsia="宋体" w:cs="宋体"/>
          <w:b/>
          <w:bCs/>
        </w:rPr>
      </w:pPr>
      <w:r>
        <w:rPr>
          <w:rFonts w:hint="eastAsia" w:ascii="宋体" w:hAnsi="宋体" w:eastAsia="宋体" w:cs="宋体"/>
          <w:b/>
          <w:bCs/>
        </w:rPr>
        <w:t>监狱企业声明函（若有）</w:t>
      </w:r>
    </w:p>
    <w:p w14:paraId="1DFB2527">
      <w:pPr>
        <w:pStyle w:val="9"/>
        <w:rPr>
          <w:rFonts w:hint="eastAsia" w:ascii="宋体" w:hAnsi="宋体" w:eastAsia="宋体" w:cs="宋体"/>
          <w:b/>
        </w:rPr>
      </w:pPr>
    </w:p>
    <w:p w14:paraId="5F6DFC19">
      <w:pPr>
        <w:pStyle w:val="9"/>
        <w:spacing w:before="7"/>
        <w:rPr>
          <w:rFonts w:hint="eastAsia" w:ascii="宋体" w:hAnsi="宋体" w:eastAsia="宋体" w:cs="宋体"/>
          <w:b/>
          <w:sz w:val="19"/>
        </w:rPr>
      </w:pPr>
    </w:p>
    <w:p w14:paraId="5EBD2F48">
      <w:pPr>
        <w:tabs>
          <w:tab w:val="left" w:pos="1923"/>
        </w:tabs>
        <w:spacing w:before="1"/>
        <w:ind w:left="0" w:leftChars="0" w:right="0" w:firstLine="0" w:firstLineChars="0"/>
        <w:jc w:val="left"/>
        <w:rPr>
          <w:rFonts w:hint="eastAsia" w:ascii="宋体" w:hAnsi="宋体" w:eastAsia="宋体" w:cs="宋体"/>
          <w:b/>
          <w:sz w:val="24"/>
        </w:rPr>
      </w:pPr>
      <w:r>
        <w:rPr>
          <w:rFonts w:hint="eastAsia" w:ascii="宋体" w:hAnsi="宋体" w:eastAsia="宋体" w:cs="宋体"/>
          <w:b/>
          <w:sz w:val="24"/>
        </w:rPr>
        <w:t>致：</w:t>
      </w:r>
      <w:r>
        <w:rPr>
          <w:rFonts w:hint="eastAsia" w:ascii="宋体" w:hAnsi="宋体" w:eastAsia="宋体" w:cs="宋体"/>
          <w:b/>
          <w:sz w:val="24"/>
          <w:u w:val="single"/>
        </w:rPr>
        <w:t xml:space="preserve"> </w:t>
      </w:r>
      <w:r>
        <w:rPr>
          <w:rFonts w:hint="eastAsia" w:ascii="宋体" w:hAnsi="宋体" w:eastAsia="宋体" w:cs="宋体"/>
          <w:b/>
          <w:sz w:val="24"/>
          <w:u w:val="single"/>
        </w:rPr>
        <w:tab/>
      </w:r>
      <w:r>
        <w:rPr>
          <w:rFonts w:hint="eastAsia" w:ascii="宋体" w:hAnsi="宋体" w:eastAsia="宋体" w:cs="宋体"/>
          <w:b/>
          <w:sz w:val="24"/>
          <w:u w:val="single"/>
        </w:rPr>
        <w:t>（采购人）</w:t>
      </w:r>
    </w:p>
    <w:p w14:paraId="5F07B1E5">
      <w:pPr>
        <w:pStyle w:val="9"/>
        <w:keepNext w:val="0"/>
        <w:keepLines w:val="0"/>
        <w:pageBreakBefore w:val="0"/>
        <w:widowControl w:val="0"/>
        <w:tabs>
          <w:tab w:val="left" w:pos="2276"/>
          <w:tab w:val="left" w:pos="3716"/>
        </w:tabs>
        <w:kinsoku/>
        <w:wordWrap/>
        <w:overflowPunct/>
        <w:topLinePunct w:val="0"/>
        <w:autoSpaceDE w:val="0"/>
        <w:autoSpaceDN w:val="0"/>
        <w:bidi w:val="0"/>
        <w:adjustRightInd/>
        <w:snapToGrid/>
        <w:spacing w:before="0" w:line="360" w:lineRule="auto"/>
        <w:ind w:left="0" w:right="0" w:firstLine="480"/>
        <w:jc w:val="both"/>
        <w:textAlignment w:val="auto"/>
        <w:rPr>
          <w:rFonts w:hint="eastAsia" w:ascii="宋体" w:hAnsi="宋体" w:eastAsia="宋体" w:cs="宋体"/>
        </w:rPr>
      </w:pPr>
      <w:r>
        <w:rPr>
          <w:rFonts w:hint="eastAsia" w:ascii="宋体" w:hAnsi="宋体" w:eastAsia="宋体" w:cs="宋体"/>
        </w:rPr>
        <w:t>本单位郑重声明，根据《财政部司法部关于政府采购支持监狱企业发展有关问题的通知》（财库〔2014〕68</w:t>
      </w:r>
      <w:r>
        <w:rPr>
          <w:rFonts w:hint="eastAsia" w:ascii="宋体" w:hAnsi="宋体" w:eastAsia="宋体" w:cs="宋体"/>
          <w:spacing w:val="-60"/>
        </w:rPr>
        <w:t xml:space="preserve"> </w:t>
      </w:r>
      <w:r>
        <w:rPr>
          <w:rFonts w:hint="eastAsia" w:ascii="宋体" w:hAnsi="宋体" w:eastAsia="宋体" w:cs="宋体"/>
        </w:rPr>
        <w:t>号）的规定，本单位为符合条件的监狱企业，</w:t>
      </w:r>
      <w:r>
        <w:rPr>
          <w:rFonts w:hint="eastAsia" w:ascii="宋体" w:hAnsi="宋体" w:eastAsia="宋体" w:cs="宋体"/>
          <w:spacing w:val="-17"/>
        </w:rPr>
        <w:t>且</w:t>
      </w:r>
      <w:r>
        <w:rPr>
          <w:rFonts w:hint="eastAsia" w:ascii="宋体" w:hAnsi="宋体" w:eastAsia="宋体" w:cs="宋体"/>
        </w:rPr>
        <w:t>本单位参加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项目采购活动提供本单位制造的货物（由本单位承担工程/提供服务）。</w:t>
      </w:r>
    </w:p>
    <w:p w14:paraId="568FBEE9">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p>
    <w:p w14:paraId="04020EFB">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2431D52A">
      <w:pPr>
        <w:pStyle w:val="9"/>
        <w:rPr>
          <w:rFonts w:hint="eastAsia" w:ascii="宋体" w:hAnsi="宋体" w:eastAsia="宋体" w:cs="宋体"/>
        </w:rPr>
      </w:pPr>
    </w:p>
    <w:p w14:paraId="7C1C5CA8">
      <w:pPr>
        <w:pStyle w:val="9"/>
        <w:rPr>
          <w:rFonts w:hint="eastAsia" w:ascii="宋体" w:hAnsi="宋体" w:eastAsia="宋体" w:cs="宋体"/>
        </w:rPr>
      </w:pPr>
    </w:p>
    <w:p w14:paraId="58D0038E">
      <w:pPr>
        <w:pStyle w:val="9"/>
        <w:ind w:left="0" w:leftChars="0" w:firstLine="0" w:firstLineChars="0"/>
        <w:rPr>
          <w:rFonts w:hint="eastAsia" w:ascii="宋体" w:hAnsi="宋体" w:eastAsia="宋体" w:cs="宋体"/>
        </w:rPr>
      </w:pPr>
    </w:p>
    <w:p w14:paraId="083573E7">
      <w:pPr>
        <w:pStyle w:val="9"/>
        <w:spacing w:before="4"/>
        <w:rPr>
          <w:rFonts w:hint="eastAsia" w:ascii="宋体" w:hAnsi="宋体" w:eastAsia="宋体" w:cs="宋体"/>
          <w:sz w:val="23"/>
        </w:rPr>
      </w:pPr>
    </w:p>
    <w:p w14:paraId="0B7FB49D">
      <w:pPr>
        <w:pStyle w:val="9"/>
        <w:tabs>
          <w:tab w:val="left" w:pos="7422"/>
        </w:tabs>
        <w:ind w:left="3462"/>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u w:val="single"/>
          <w:lang w:eastAsia="zh-CN"/>
        </w:rPr>
        <w:t>公</w:t>
      </w:r>
      <w:r>
        <w:rPr>
          <w:rFonts w:hint="eastAsia" w:ascii="宋体" w:hAnsi="宋体" w:eastAsia="宋体" w:cs="宋体"/>
          <w:u w:val="single"/>
        </w:rPr>
        <w:t>章）</w:t>
      </w:r>
    </w:p>
    <w:p w14:paraId="54C38033">
      <w:pPr>
        <w:pStyle w:val="9"/>
        <w:spacing w:before="1"/>
        <w:rPr>
          <w:rFonts w:hint="eastAsia" w:ascii="宋体" w:hAnsi="宋体" w:eastAsia="宋体" w:cs="宋体"/>
          <w:sz w:val="23"/>
        </w:rPr>
      </w:pPr>
    </w:p>
    <w:p w14:paraId="14F97070">
      <w:pPr>
        <w:pStyle w:val="9"/>
        <w:tabs>
          <w:tab w:val="left" w:pos="4196"/>
          <w:tab w:val="left" w:pos="5756"/>
          <w:tab w:val="left" w:pos="6836"/>
          <w:tab w:val="left" w:pos="8036"/>
        </w:tabs>
        <w:spacing w:before="74"/>
        <w:ind w:left="3476"/>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40BDAFEB">
      <w:pPr>
        <w:pStyle w:val="9"/>
        <w:rPr>
          <w:rFonts w:hint="eastAsia" w:ascii="宋体" w:hAnsi="宋体" w:eastAsia="宋体" w:cs="宋体"/>
          <w:sz w:val="26"/>
        </w:rPr>
      </w:pPr>
    </w:p>
    <w:p w14:paraId="45516152">
      <w:pPr>
        <w:pStyle w:val="9"/>
        <w:rPr>
          <w:rFonts w:hint="eastAsia" w:ascii="宋体" w:hAnsi="宋体" w:eastAsia="宋体" w:cs="宋体"/>
          <w:sz w:val="26"/>
        </w:rPr>
      </w:pPr>
    </w:p>
    <w:p w14:paraId="6AF79C7D">
      <w:pPr>
        <w:pStyle w:val="9"/>
        <w:rPr>
          <w:rFonts w:hint="eastAsia" w:ascii="宋体" w:hAnsi="宋体" w:eastAsia="宋体" w:cs="宋体"/>
          <w:b/>
          <w:bCs/>
          <w:sz w:val="26"/>
        </w:rPr>
      </w:pPr>
    </w:p>
    <w:p w14:paraId="1B8323E8">
      <w:pPr>
        <w:pStyle w:val="9"/>
        <w:rPr>
          <w:rFonts w:hint="eastAsia" w:ascii="宋体" w:hAnsi="宋体" w:eastAsia="宋体" w:cs="宋体"/>
          <w:b/>
          <w:bCs/>
          <w:sz w:val="25"/>
        </w:rPr>
      </w:pPr>
    </w:p>
    <w:p w14:paraId="2A9C3641">
      <w:pPr>
        <w:bidi w:val="0"/>
        <w:rPr>
          <w:rFonts w:hint="eastAsia" w:ascii="宋体" w:hAnsi="宋体" w:eastAsia="宋体" w:cs="宋体"/>
        </w:rPr>
      </w:pPr>
      <w:r>
        <w:rPr>
          <w:rFonts w:hint="eastAsia" w:ascii="宋体" w:hAnsi="宋体" w:eastAsia="宋体" w:cs="宋体"/>
        </w:rPr>
        <w:t>注：1、供应商若不是监狱企业，可不填写此函；</w:t>
      </w:r>
    </w:p>
    <w:p w14:paraId="1B8EF13E">
      <w:pPr>
        <w:bidi w:val="0"/>
        <w:rPr>
          <w:rFonts w:hint="eastAsia" w:ascii="宋体" w:hAnsi="宋体" w:eastAsia="宋体" w:cs="宋体"/>
        </w:rPr>
      </w:pPr>
      <w:r>
        <w:rPr>
          <w:rFonts w:hint="eastAsia" w:ascii="宋体" w:hAnsi="宋体" w:eastAsia="宋体" w:cs="宋体"/>
        </w:rPr>
        <w:t>2、监狱企业参加政府采购活动时，应当提供由省级以上监狱管理局、戒毒管理局（含新疆生产建设兵团）出具的属于监狱企业的证明文件。</w:t>
      </w:r>
    </w:p>
    <w:p w14:paraId="6D8F3871">
      <w:pPr>
        <w:bidi w:val="0"/>
        <w:rPr>
          <w:rFonts w:hint="eastAsia" w:ascii="宋体" w:hAnsi="宋体" w:eastAsia="宋体" w:cs="宋体"/>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16B01574">
      <w:pPr>
        <w:spacing w:before="43"/>
        <w:ind w:left="2802" w:right="0" w:firstLine="0"/>
        <w:jc w:val="left"/>
        <w:rPr>
          <w:rFonts w:hint="eastAsia" w:ascii="宋体" w:hAnsi="宋体" w:eastAsia="宋体" w:cs="宋体"/>
          <w:b/>
          <w:sz w:val="24"/>
        </w:rPr>
      </w:pPr>
      <w:bookmarkStart w:id="523" w:name="_bookmark15"/>
      <w:bookmarkEnd w:id="523"/>
      <w:r>
        <w:rPr>
          <w:rFonts w:hint="eastAsia" w:ascii="宋体" w:hAnsi="宋体" w:eastAsia="宋体" w:cs="宋体"/>
          <w:b/>
          <w:sz w:val="24"/>
        </w:rPr>
        <w:t>残疾人福利性单位声明函（若有）</w:t>
      </w:r>
    </w:p>
    <w:p w14:paraId="7EC07281">
      <w:pPr>
        <w:pStyle w:val="9"/>
        <w:rPr>
          <w:rFonts w:hint="eastAsia" w:ascii="宋体" w:hAnsi="宋体" w:eastAsia="宋体" w:cs="宋体"/>
          <w:b/>
        </w:rPr>
      </w:pPr>
    </w:p>
    <w:p w14:paraId="7950C21F">
      <w:pPr>
        <w:pStyle w:val="9"/>
        <w:spacing w:before="7"/>
        <w:rPr>
          <w:rFonts w:hint="eastAsia" w:ascii="宋体" w:hAnsi="宋体" w:eastAsia="宋体" w:cs="宋体"/>
          <w:b/>
          <w:sz w:val="31"/>
        </w:rPr>
      </w:pPr>
    </w:p>
    <w:p w14:paraId="7C720F73">
      <w:pPr>
        <w:keepNext w:val="0"/>
        <w:keepLines w:val="0"/>
        <w:pageBreakBefore w:val="0"/>
        <w:widowControl w:val="0"/>
        <w:tabs>
          <w:tab w:val="left" w:pos="1923"/>
        </w:tabs>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sz w:val="24"/>
        </w:rPr>
      </w:pPr>
      <w:r>
        <w:rPr>
          <w:rFonts w:hint="eastAsia" w:ascii="宋体" w:hAnsi="宋体" w:eastAsia="宋体" w:cs="宋体"/>
          <w:b/>
          <w:sz w:val="24"/>
        </w:rPr>
        <w:t>致：</w:t>
      </w:r>
      <w:r>
        <w:rPr>
          <w:rFonts w:hint="eastAsia" w:ascii="宋体" w:hAnsi="宋体" w:eastAsia="宋体" w:cs="宋体"/>
          <w:b/>
          <w:sz w:val="24"/>
          <w:u w:val="single"/>
        </w:rPr>
        <w:t xml:space="preserve"> </w:t>
      </w:r>
      <w:r>
        <w:rPr>
          <w:rFonts w:hint="eastAsia" w:ascii="宋体" w:hAnsi="宋体" w:eastAsia="宋体" w:cs="宋体"/>
          <w:b/>
          <w:sz w:val="24"/>
          <w:u w:val="single"/>
        </w:rPr>
        <w:tab/>
      </w:r>
      <w:r>
        <w:rPr>
          <w:rFonts w:hint="eastAsia" w:ascii="宋体" w:hAnsi="宋体" w:eastAsia="宋体" w:cs="宋体"/>
          <w:b/>
          <w:sz w:val="24"/>
          <w:u w:val="single"/>
        </w:rPr>
        <w:t>（采购人）</w:t>
      </w:r>
    </w:p>
    <w:p w14:paraId="4B74FD45">
      <w:pPr>
        <w:pStyle w:val="9"/>
        <w:keepNext w:val="0"/>
        <w:keepLines w:val="0"/>
        <w:pageBreakBefore w:val="0"/>
        <w:widowControl w:val="0"/>
        <w:tabs>
          <w:tab w:val="left" w:pos="4916"/>
          <w:tab w:val="left" w:pos="6356"/>
        </w:tabs>
        <w:kinsoku/>
        <w:wordWrap/>
        <w:overflowPunct/>
        <w:topLinePunct w:val="0"/>
        <w:autoSpaceDE w:val="0"/>
        <w:autoSpaceDN w:val="0"/>
        <w:bidi w:val="0"/>
        <w:adjustRightInd/>
        <w:snapToGrid/>
        <w:spacing w:before="0" w:line="360" w:lineRule="auto"/>
        <w:ind w:left="0" w:right="0" w:firstLine="480"/>
        <w:jc w:val="both"/>
        <w:textAlignment w:val="auto"/>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w:t>
      </w:r>
      <w:r>
        <w:rPr>
          <w:rFonts w:hint="eastAsia" w:ascii="宋体" w:hAnsi="宋体" w:eastAsia="宋体" w:cs="宋体"/>
          <w:spacing w:val="-60"/>
        </w:rPr>
        <w:t xml:space="preserve"> </w:t>
      </w:r>
      <w:r>
        <w:rPr>
          <w:rFonts w:hint="eastAsia" w:ascii="宋体" w:hAnsi="宋体" w:eastAsia="宋体" w:cs="宋体"/>
        </w:rPr>
        <w:t>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项目采购活动提供本单位制造的货</w:t>
      </w:r>
      <w:r>
        <w:rPr>
          <w:rFonts w:hint="eastAsia" w:ascii="宋体" w:hAnsi="宋体" w:eastAsia="宋体" w:cs="宋体"/>
          <w:spacing w:val="-5"/>
        </w:rPr>
        <w:t>物</w:t>
      </w:r>
      <w:r>
        <w:rPr>
          <w:rFonts w:hint="eastAsia" w:ascii="宋体" w:hAnsi="宋体" w:eastAsia="宋体" w:cs="宋体"/>
        </w:rPr>
        <w:t>（由本单位承担工程/提供服务</w:t>
      </w:r>
      <w:r>
        <w:rPr>
          <w:rFonts w:hint="eastAsia" w:ascii="宋体" w:hAnsi="宋体" w:eastAsia="宋体" w:cs="宋体"/>
          <w:spacing w:val="-5"/>
        </w:rPr>
        <w:t>），</w:t>
      </w:r>
      <w:r>
        <w:rPr>
          <w:rFonts w:hint="eastAsia" w:ascii="宋体" w:hAnsi="宋体" w:eastAsia="宋体" w:cs="宋体"/>
        </w:rPr>
        <w:t>或者提供其他残疾人福利性单</w:t>
      </w:r>
      <w:r>
        <w:rPr>
          <w:rFonts w:hint="eastAsia" w:ascii="宋体" w:hAnsi="宋体" w:eastAsia="宋体" w:cs="宋体"/>
          <w:spacing w:val="-16"/>
        </w:rPr>
        <w:t>位</w:t>
      </w:r>
      <w:r>
        <w:rPr>
          <w:rFonts w:hint="eastAsia" w:ascii="宋体" w:hAnsi="宋体" w:eastAsia="宋体" w:cs="宋体"/>
        </w:rPr>
        <w:t>制造的货物（不包括使用非残疾人福利性单位注册商标的货物）。</w:t>
      </w:r>
    </w:p>
    <w:p w14:paraId="2C00AFFE">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p>
    <w:p w14:paraId="4C49CCC3">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48CDD49F">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p>
    <w:p w14:paraId="6AECB6ED">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rPr>
      </w:pPr>
    </w:p>
    <w:p w14:paraId="7CBAB613">
      <w:pPr>
        <w:pStyle w:val="9"/>
        <w:tabs>
          <w:tab w:val="left" w:pos="7422"/>
        </w:tabs>
        <w:ind w:left="3462"/>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u w:val="single"/>
          <w:lang w:eastAsia="zh-CN"/>
        </w:rPr>
        <w:t>公</w:t>
      </w:r>
      <w:r>
        <w:rPr>
          <w:rFonts w:hint="eastAsia" w:ascii="宋体" w:hAnsi="宋体" w:eastAsia="宋体" w:cs="宋体"/>
          <w:u w:val="single"/>
        </w:rPr>
        <w:t>章）</w:t>
      </w:r>
    </w:p>
    <w:p w14:paraId="694C89C7">
      <w:pPr>
        <w:pStyle w:val="9"/>
        <w:spacing w:before="1"/>
        <w:rPr>
          <w:rFonts w:hint="eastAsia" w:ascii="宋体" w:hAnsi="宋体" w:eastAsia="宋体" w:cs="宋体"/>
          <w:sz w:val="23"/>
        </w:rPr>
      </w:pPr>
    </w:p>
    <w:p w14:paraId="397CC7F8">
      <w:pPr>
        <w:pStyle w:val="9"/>
        <w:tabs>
          <w:tab w:val="left" w:pos="4196"/>
          <w:tab w:val="left" w:pos="5756"/>
          <w:tab w:val="left" w:pos="6836"/>
          <w:tab w:val="left" w:pos="8036"/>
        </w:tabs>
        <w:spacing w:before="74"/>
        <w:ind w:left="3476"/>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4C417BDF">
      <w:pPr>
        <w:pStyle w:val="9"/>
        <w:rPr>
          <w:rFonts w:hint="eastAsia" w:ascii="宋体" w:hAnsi="宋体" w:eastAsia="宋体" w:cs="宋体"/>
          <w:sz w:val="26"/>
        </w:rPr>
      </w:pPr>
    </w:p>
    <w:p w14:paraId="783B7365">
      <w:pPr>
        <w:pStyle w:val="9"/>
        <w:rPr>
          <w:rFonts w:hint="eastAsia" w:ascii="宋体" w:hAnsi="宋体" w:eastAsia="宋体" w:cs="宋体"/>
          <w:sz w:val="26"/>
        </w:rPr>
      </w:pPr>
    </w:p>
    <w:p w14:paraId="02A2A9C1">
      <w:pPr>
        <w:pStyle w:val="9"/>
        <w:spacing w:before="9"/>
        <w:rPr>
          <w:rFonts w:hint="eastAsia" w:ascii="宋体" w:hAnsi="宋体" w:eastAsia="宋体" w:cs="宋体"/>
          <w:sz w:val="34"/>
        </w:rPr>
      </w:pPr>
    </w:p>
    <w:p w14:paraId="787D8946">
      <w:pPr>
        <w:bidi w:val="0"/>
        <w:rPr>
          <w:rFonts w:hint="eastAsia" w:ascii="宋体" w:hAnsi="宋体" w:eastAsia="宋体" w:cs="宋体"/>
        </w:rPr>
      </w:pPr>
      <w:r>
        <w:rPr>
          <w:rFonts w:hint="eastAsia" w:ascii="宋体" w:hAnsi="宋体" w:eastAsia="宋体" w:cs="宋体"/>
        </w:rPr>
        <w:t>注：1、非残疾人福利性单位此声明函可不填写；</w:t>
      </w:r>
    </w:p>
    <w:p w14:paraId="3D508501">
      <w:pPr>
        <w:bidi w:val="0"/>
        <w:rPr>
          <w:rFonts w:hint="eastAsia" w:ascii="宋体" w:hAnsi="宋体" w:eastAsia="宋体" w:cs="宋体"/>
        </w:rPr>
      </w:pPr>
      <w:r>
        <w:rPr>
          <w:rFonts w:hint="eastAsia" w:ascii="宋体" w:hAnsi="宋体" w:eastAsia="宋体" w:cs="宋体"/>
        </w:rPr>
        <w:t>2、供应商提供的《残疾人福利性单位声明函》必须真实有效，如果被举报经查实出具虚假声明函的，将被取消</w:t>
      </w:r>
      <w:r>
        <w:rPr>
          <w:rFonts w:hint="eastAsia" w:ascii="宋体" w:hAnsi="宋体" w:eastAsia="宋体" w:cs="宋体"/>
          <w:lang w:eastAsia="zh-CN"/>
        </w:rPr>
        <w:t>磋商</w:t>
      </w:r>
      <w:r>
        <w:rPr>
          <w:rFonts w:hint="eastAsia" w:ascii="宋体" w:hAnsi="宋体" w:eastAsia="宋体" w:cs="宋体"/>
        </w:rPr>
        <w:t>资格，并按有关规定予以处理。</w:t>
      </w:r>
    </w:p>
    <w:p w14:paraId="1B1595B0">
      <w:pPr>
        <w:spacing w:after="0" w:line="405" w:lineRule="auto"/>
        <w:jc w:val="left"/>
        <w:rPr>
          <w:rFonts w:hint="eastAsia" w:ascii="宋体" w:hAnsi="宋体" w:eastAsia="宋体" w:cs="宋体"/>
          <w:sz w:val="24"/>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4B501AA">
      <w:pPr>
        <w:pStyle w:val="3"/>
        <w:numPr>
          <w:ilvl w:val="0"/>
          <w:numId w:val="0"/>
        </w:numPr>
        <w:spacing w:before="61"/>
        <w:ind w:leftChars="200" w:right="0" w:rightChars="0"/>
        <w:rPr>
          <w:rFonts w:hint="eastAsia" w:ascii="宋体" w:hAnsi="宋体" w:eastAsia="宋体" w:cs="宋体"/>
          <w:lang w:eastAsia="zh-CN"/>
        </w:rPr>
      </w:pPr>
      <w:bookmarkStart w:id="524" w:name="_Toc30848"/>
      <w:bookmarkStart w:id="525" w:name="_Toc22756"/>
      <w:bookmarkStart w:id="526" w:name="_Toc13591"/>
      <w:bookmarkStart w:id="527" w:name="_Toc3736"/>
      <w:bookmarkStart w:id="528" w:name="_Toc32137"/>
      <w:r>
        <w:rPr>
          <w:rFonts w:hint="eastAsia" w:ascii="宋体" w:hAnsi="宋体" w:eastAsia="宋体" w:cs="宋体"/>
          <w:lang w:val="zh-CN" w:eastAsia="zh-CN"/>
        </w:rPr>
        <w:t>五、</w:t>
      </w:r>
      <w:r>
        <w:rPr>
          <w:rFonts w:hint="eastAsia" w:ascii="宋体" w:hAnsi="宋体" w:eastAsia="宋体" w:cs="宋体"/>
          <w:lang w:eastAsia="zh-CN"/>
        </w:rPr>
        <w:t>磋商方案说明</w:t>
      </w:r>
      <w:bookmarkEnd w:id="524"/>
      <w:bookmarkEnd w:id="525"/>
      <w:bookmarkEnd w:id="526"/>
      <w:bookmarkEnd w:id="527"/>
      <w:bookmarkEnd w:id="528"/>
    </w:p>
    <w:p w14:paraId="4D3AAE3F">
      <w:pPr>
        <w:pStyle w:val="26"/>
        <w:ind w:firstLine="640"/>
        <w:jc w:val="center"/>
        <w:rPr>
          <w:rFonts w:hint="eastAsia" w:ascii="宋体" w:hAnsi="宋体" w:eastAsia="宋体" w:cs="宋体"/>
          <w:b/>
          <w:bCs/>
          <w:sz w:val="24"/>
          <w:szCs w:val="24"/>
        </w:rPr>
      </w:pPr>
      <w:r>
        <w:rPr>
          <w:rFonts w:hint="eastAsia" w:ascii="宋体" w:hAnsi="宋体" w:eastAsia="宋体" w:cs="宋体"/>
          <w:sz w:val="32"/>
          <w:szCs w:val="32"/>
        </w:rPr>
        <w:t xml:space="preserve"> </w:t>
      </w:r>
      <w:r>
        <w:rPr>
          <w:rFonts w:hint="eastAsia" w:ascii="宋体" w:hAnsi="宋体" w:eastAsia="宋体" w:cs="宋体"/>
          <w:sz w:val="24"/>
          <w:szCs w:val="24"/>
        </w:rPr>
        <w:t>格式自定，参照</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部分《</w:t>
      </w:r>
      <w:r>
        <w:rPr>
          <w:rFonts w:hint="eastAsia" w:ascii="宋体" w:hAnsi="宋体" w:eastAsia="宋体" w:cs="宋体"/>
          <w:sz w:val="24"/>
          <w:szCs w:val="24"/>
          <w:lang w:eastAsia="zh-CN"/>
        </w:rPr>
        <w:t>评审办法</w:t>
      </w:r>
      <w:r>
        <w:rPr>
          <w:rFonts w:hint="eastAsia" w:ascii="宋体" w:hAnsi="宋体" w:eastAsia="宋体" w:cs="宋体"/>
          <w:sz w:val="24"/>
          <w:szCs w:val="24"/>
        </w:rPr>
        <w:t>》各条款的要求，结合第</w:t>
      </w:r>
      <w:r>
        <w:rPr>
          <w:rFonts w:hint="eastAsia" w:ascii="宋体" w:hAnsi="宋体" w:eastAsia="宋体" w:cs="宋体"/>
          <w:sz w:val="24"/>
          <w:szCs w:val="24"/>
          <w:lang w:eastAsia="zh-CN"/>
        </w:rPr>
        <w:t>四</w:t>
      </w:r>
      <w:r>
        <w:rPr>
          <w:rFonts w:hint="eastAsia" w:ascii="宋体" w:hAnsi="宋体" w:eastAsia="宋体" w:cs="宋体"/>
          <w:sz w:val="24"/>
          <w:szCs w:val="24"/>
        </w:rPr>
        <w:t>部分《</w:t>
      </w:r>
      <w:r>
        <w:rPr>
          <w:rFonts w:hint="eastAsia" w:ascii="宋体" w:hAnsi="宋体" w:eastAsia="宋体" w:cs="宋体"/>
          <w:sz w:val="24"/>
          <w:szCs w:val="24"/>
          <w:lang w:eastAsia="zh-CN"/>
        </w:rPr>
        <w:t>采购</w:t>
      </w:r>
      <w:r>
        <w:rPr>
          <w:rFonts w:hint="eastAsia" w:ascii="宋体" w:hAnsi="宋体" w:eastAsia="宋体" w:cs="宋体"/>
          <w:sz w:val="24"/>
          <w:szCs w:val="24"/>
        </w:rPr>
        <w:t>内容及要求》编制</w:t>
      </w:r>
      <w:r>
        <w:rPr>
          <w:rFonts w:hint="eastAsia" w:ascii="宋体" w:hAnsi="宋体" w:eastAsia="宋体" w:cs="宋体"/>
          <w:sz w:val="24"/>
          <w:szCs w:val="24"/>
          <w:lang w:eastAsia="zh-CN"/>
        </w:rPr>
        <w:t>磋商</w:t>
      </w:r>
      <w:r>
        <w:rPr>
          <w:rFonts w:hint="eastAsia" w:ascii="宋体" w:hAnsi="宋体" w:eastAsia="宋体" w:cs="宋体"/>
          <w:sz w:val="24"/>
          <w:szCs w:val="24"/>
        </w:rPr>
        <w:t>方案。</w:t>
      </w:r>
    </w:p>
    <w:p w14:paraId="1FFFB78D">
      <w:pPr>
        <w:numPr>
          <w:ilvl w:val="0"/>
          <w:numId w:val="0"/>
        </w:numPr>
        <w:ind w:leftChars="200" w:right="0" w:rightChars="0"/>
        <w:rPr>
          <w:rFonts w:hint="eastAsia" w:ascii="宋体" w:hAnsi="宋体" w:eastAsia="宋体" w:cs="宋体"/>
          <w:lang w:eastAsia="zh-CN"/>
        </w:rPr>
      </w:pPr>
    </w:p>
    <w:p w14:paraId="4B826EEC">
      <w:pPr>
        <w:rPr>
          <w:rFonts w:hint="eastAsia" w:ascii="宋体" w:hAnsi="宋体" w:eastAsia="宋体" w:cs="宋体"/>
          <w:lang w:eastAsia="zh-CN"/>
        </w:rPr>
      </w:pPr>
      <w:r>
        <w:rPr>
          <w:rFonts w:hint="eastAsia" w:ascii="宋体" w:hAnsi="宋体" w:eastAsia="宋体" w:cs="宋体"/>
          <w:lang w:eastAsia="zh-CN"/>
        </w:rPr>
        <w:br w:type="page"/>
      </w:r>
    </w:p>
    <w:p w14:paraId="17A1ABDB">
      <w:pPr>
        <w:pStyle w:val="3"/>
        <w:bidi w:val="0"/>
        <w:ind w:left="0" w:leftChars="0" w:firstLine="0" w:firstLineChars="0"/>
        <w:jc w:val="center"/>
        <w:rPr>
          <w:rFonts w:hint="eastAsia" w:ascii="宋体" w:hAnsi="宋体" w:eastAsia="宋体" w:cs="宋体"/>
          <w:sz w:val="36"/>
          <w:szCs w:val="36"/>
        </w:rPr>
      </w:pPr>
      <w:bookmarkStart w:id="529" w:name="_Toc7754"/>
      <w:bookmarkStart w:id="530" w:name="_Toc4934"/>
      <w:bookmarkStart w:id="531" w:name="_Toc4891"/>
      <w:bookmarkStart w:id="532" w:name="_Toc19383"/>
      <w:bookmarkStart w:id="533" w:name="_Toc17224"/>
      <w:r>
        <w:rPr>
          <w:rFonts w:hint="eastAsia" w:ascii="宋体" w:hAnsi="宋体" w:eastAsia="宋体" w:cs="宋体"/>
          <w:sz w:val="36"/>
          <w:szCs w:val="36"/>
          <w:lang w:val="en-US" w:eastAsia="zh-CN"/>
        </w:rPr>
        <w:t>六</w:t>
      </w:r>
      <w:r>
        <w:rPr>
          <w:rFonts w:hint="eastAsia" w:ascii="宋体" w:hAnsi="宋体" w:eastAsia="宋体" w:cs="宋体"/>
          <w:sz w:val="36"/>
          <w:szCs w:val="36"/>
          <w:lang w:eastAsia="zh-CN"/>
        </w:rPr>
        <w:t>、</w:t>
      </w:r>
      <w:r>
        <w:rPr>
          <w:rFonts w:hint="eastAsia" w:ascii="宋体" w:hAnsi="宋体" w:eastAsia="宋体" w:cs="宋体"/>
          <w:sz w:val="36"/>
          <w:szCs w:val="36"/>
        </w:rPr>
        <w:t>类似项目业绩一览表</w:t>
      </w:r>
      <w:bookmarkEnd w:id="529"/>
      <w:bookmarkEnd w:id="530"/>
      <w:bookmarkEnd w:id="531"/>
      <w:bookmarkEnd w:id="532"/>
      <w:bookmarkEnd w:id="533"/>
    </w:p>
    <w:p w14:paraId="347A09BA">
      <w:pPr>
        <w:pStyle w:val="9"/>
        <w:spacing w:before="5"/>
        <w:rPr>
          <w:rFonts w:hint="eastAsia" w:ascii="宋体" w:hAnsi="宋体" w:eastAsia="宋体" w:cs="宋体"/>
          <w:b/>
          <w:sz w:val="44"/>
        </w:rPr>
      </w:pPr>
    </w:p>
    <w:p w14:paraId="3CCDB1F5">
      <w:pPr>
        <w:pStyle w:val="9"/>
        <w:tabs>
          <w:tab w:val="left" w:pos="4316"/>
        </w:tabs>
        <w:ind w:left="356"/>
        <w:rPr>
          <w:rFonts w:hint="eastAsia" w:ascii="宋体" w:hAnsi="宋体" w:eastAsia="宋体" w:cs="宋体"/>
          <w:lang w:val="en-US" w:eastAsia="zh-CN"/>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采购项目编号：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14:paraId="6EA3456F">
      <w:pPr>
        <w:pStyle w:val="9"/>
        <w:spacing w:before="4"/>
        <w:rPr>
          <w:rFonts w:hint="eastAsia" w:ascii="宋体" w:hAnsi="宋体" w:eastAsia="宋体" w:cs="宋体"/>
          <w:sz w:val="12"/>
        </w:rPr>
      </w:pPr>
    </w:p>
    <w:tbl>
      <w:tblPr>
        <w:tblStyle w:val="19"/>
        <w:tblW w:w="90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084"/>
        <w:gridCol w:w="2053"/>
        <w:gridCol w:w="2011"/>
        <w:gridCol w:w="1783"/>
      </w:tblGrid>
      <w:tr w14:paraId="6C4CB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58" w:type="dxa"/>
            <w:noWrap w:val="0"/>
            <w:vAlign w:val="center"/>
          </w:tcPr>
          <w:p w14:paraId="39F14CAB">
            <w:pPr>
              <w:pStyle w:val="25"/>
              <w:bidi w:val="0"/>
              <w:rPr>
                <w:rFonts w:hint="eastAsia" w:ascii="宋体" w:hAnsi="宋体" w:eastAsia="宋体" w:cs="宋体"/>
                <w:lang w:eastAsia="zh-CN"/>
              </w:rPr>
            </w:pPr>
            <w:r>
              <w:rPr>
                <w:rFonts w:hint="eastAsia" w:ascii="宋体" w:hAnsi="宋体" w:eastAsia="宋体" w:cs="宋体"/>
                <w:lang w:val="en-US" w:eastAsia="zh-CN"/>
              </w:rPr>
              <w:t>序号</w:t>
            </w:r>
          </w:p>
        </w:tc>
        <w:tc>
          <w:tcPr>
            <w:tcW w:w="2084" w:type="dxa"/>
            <w:noWrap w:val="0"/>
            <w:vAlign w:val="center"/>
          </w:tcPr>
          <w:p w14:paraId="131E13FF">
            <w:pPr>
              <w:pStyle w:val="25"/>
              <w:bidi w:val="0"/>
              <w:rPr>
                <w:rFonts w:hint="eastAsia" w:ascii="宋体" w:hAnsi="宋体" w:eastAsia="宋体" w:cs="宋体"/>
              </w:rPr>
            </w:pPr>
            <w:r>
              <w:rPr>
                <w:rFonts w:hint="eastAsia" w:ascii="宋体" w:hAnsi="宋体" w:eastAsia="宋体" w:cs="宋体"/>
              </w:rPr>
              <w:t>用户名称</w:t>
            </w:r>
          </w:p>
        </w:tc>
        <w:tc>
          <w:tcPr>
            <w:tcW w:w="2053" w:type="dxa"/>
            <w:noWrap w:val="0"/>
            <w:vAlign w:val="center"/>
          </w:tcPr>
          <w:p w14:paraId="69419501">
            <w:pPr>
              <w:pStyle w:val="25"/>
              <w:bidi w:val="0"/>
              <w:rPr>
                <w:rFonts w:hint="eastAsia" w:ascii="宋体" w:hAnsi="宋体" w:eastAsia="宋体" w:cs="宋体"/>
              </w:rPr>
            </w:pPr>
            <w:r>
              <w:rPr>
                <w:rFonts w:hint="eastAsia" w:ascii="宋体" w:hAnsi="宋体" w:eastAsia="宋体" w:cs="宋体"/>
              </w:rPr>
              <w:t>项目名称</w:t>
            </w:r>
          </w:p>
        </w:tc>
        <w:tc>
          <w:tcPr>
            <w:tcW w:w="2011" w:type="dxa"/>
            <w:noWrap w:val="0"/>
            <w:vAlign w:val="center"/>
          </w:tcPr>
          <w:p w14:paraId="1AF07043">
            <w:pPr>
              <w:pStyle w:val="25"/>
              <w:bidi w:val="0"/>
              <w:rPr>
                <w:rFonts w:hint="eastAsia" w:ascii="宋体" w:hAnsi="宋体" w:eastAsia="宋体" w:cs="宋体"/>
                <w:lang w:val="en-US" w:eastAsia="zh-CN"/>
              </w:rPr>
            </w:pPr>
            <w:r>
              <w:rPr>
                <w:rFonts w:hint="eastAsia" w:ascii="宋体" w:hAnsi="宋体" w:eastAsia="宋体" w:cs="宋体"/>
                <w:lang w:val="en-US" w:eastAsia="zh-CN"/>
              </w:rPr>
              <w:t>合同签订时间</w:t>
            </w:r>
          </w:p>
        </w:tc>
        <w:tc>
          <w:tcPr>
            <w:tcW w:w="1783" w:type="dxa"/>
            <w:noWrap w:val="0"/>
            <w:vAlign w:val="center"/>
          </w:tcPr>
          <w:p w14:paraId="62EF0FB2">
            <w:pPr>
              <w:pStyle w:val="25"/>
              <w:bidi w:val="0"/>
              <w:rPr>
                <w:rFonts w:hint="eastAsia" w:ascii="宋体" w:hAnsi="宋体" w:eastAsia="宋体" w:cs="宋体"/>
              </w:rPr>
            </w:pPr>
            <w:r>
              <w:rPr>
                <w:rFonts w:hint="eastAsia" w:ascii="宋体" w:hAnsi="宋体" w:eastAsia="宋体" w:cs="宋体"/>
              </w:rPr>
              <w:t>备注</w:t>
            </w:r>
          </w:p>
        </w:tc>
      </w:tr>
      <w:tr w14:paraId="0FFB0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00FCAE2A">
            <w:pPr>
              <w:pStyle w:val="25"/>
              <w:bidi w:val="0"/>
              <w:rPr>
                <w:rFonts w:hint="eastAsia" w:ascii="宋体" w:hAnsi="宋体" w:eastAsia="宋体" w:cs="宋体"/>
              </w:rPr>
            </w:pPr>
          </w:p>
        </w:tc>
        <w:tc>
          <w:tcPr>
            <w:tcW w:w="2084" w:type="dxa"/>
            <w:noWrap w:val="0"/>
            <w:vAlign w:val="top"/>
          </w:tcPr>
          <w:p w14:paraId="017904C9">
            <w:pPr>
              <w:pStyle w:val="25"/>
              <w:bidi w:val="0"/>
              <w:rPr>
                <w:rFonts w:hint="eastAsia" w:ascii="宋体" w:hAnsi="宋体" w:eastAsia="宋体" w:cs="宋体"/>
              </w:rPr>
            </w:pPr>
          </w:p>
        </w:tc>
        <w:tc>
          <w:tcPr>
            <w:tcW w:w="2053" w:type="dxa"/>
            <w:noWrap w:val="0"/>
            <w:vAlign w:val="top"/>
          </w:tcPr>
          <w:p w14:paraId="03E5F398">
            <w:pPr>
              <w:pStyle w:val="25"/>
              <w:bidi w:val="0"/>
              <w:rPr>
                <w:rFonts w:hint="eastAsia" w:ascii="宋体" w:hAnsi="宋体" w:eastAsia="宋体" w:cs="宋体"/>
              </w:rPr>
            </w:pPr>
          </w:p>
        </w:tc>
        <w:tc>
          <w:tcPr>
            <w:tcW w:w="2011" w:type="dxa"/>
            <w:noWrap w:val="0"/>
            <w:vAlign w:val="top"/>
          </w:tcPr>
          <w:p w14:paraId="56D13FC0">
            <w:pPr>
              <w:pStyle w:val="25"/>
              <w:bidi w:val="0"/>
              <w:rPr>
                <w:rFonts w:hint="eastAsia" w:ascii="宋体" w:hAnsi="宋体" w:eastAsia="宋体" w:cs="宋体"/>
              </w:rPr>
            </w:pPr>
          </w:p>
        </w:tc>
        <w:tc>
          <w:tcPr>
            <w:tcW w:w="1783" w:type="dxa"/>
            <w:noWrap w:val="0"/>
            <w:vAlign w:val="top"/>
          </w:tcPr>
          <w:p w14:paraId="3DF88EAF">
            <w:pPr>
              <w:pStyle w:val="25"/>
              <w:bidi w:val="0"/>
              <w:rPr>
                <w:rFonts w:hint="eastAsia" w:ascii="宋体" w:hAnsi="宋体" w:eastAsia="宋体" w:cs="宋体"/>
              </w:rPr>
            </w:pPr>
          </w:p>
        </w:tc>
      </w:tr>
      <w:tr w14:paraId="5B73E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6E13F48B">
            <w:pPr>
              <w:pStyle w:val="25"/>
              <w:bidi w:val="0"/>
              <w:rPr>
                <w:rFonts w:hint="eastAsia" w:ascii="宋体" w:hAnsi="宋体" w:eastAsia="宋体" w:cs="宋体"/>
              </w:rPr>
            </w:pPr>
          </w:p>
        </w:tc>
        <w:tc>
          <w:tcPr>
            <w:tcW w:w="2084" w:type="dxa"/>
            <w:noWrap w:val="0"/>
            <w:vAlign w:val="top"/>
          </w:tcPr>
          <w:p w14:paraId="38107898">
            <w:pPr>
              <w:pStyle w:val="25"/>
              <w:bidi w:val="0"/>
              <w:rPr>
                <w:rFonts w:hint="eastAsia" w:ascii="宋体" w:hAnsi="宋体" w:eastAsia="宋体" w:cs="宋体"/>
              </w:rPr>
            </w:pPr>
          </w:p>
        </w:tc>
        <w:tc>
          <w:tcPr>
            <w:tcW w:w="2053" w:type="dxa"/>
            <w:noWrap w:val="0"/>
            <w:vAlign w:val="top"/>
          </w:tcPr>
          <w:p w14:paraId="3C30D43C">
            <w:pPr>
              <w:pStyle w:val="25"/>
              <w:bidi w:val="0"/>
              <w:rPr>
                <w:rFonts w:hint="eastAsia" w:ascii="宋体" w:hAnsi="宋体" w:eastAsia="宋体" w:cs="宋体"/>
              </w:rPr>
            </w:pPr>
          </w:p>
        </w:tc>
        <w:tc>
          <w:tcPr>
            <w:tcW w:w="2011" w:type="dxa"/>
            <w:noWrap w:val="0"/>
            <w:vAlign w:val="top"/>
          </w:tcPr>
          <w:p w14:paraId="7F1EDC10">
            <w:pPr>
              <w:pStyle w:val="25"/>
              <w:bidi w:val="0"/>
              <w:rPr>
                <w:rFonts w:hint="eastAsia" w:ascii="宋体" w:hAnsi="宋体" w:eastAsia="宋体" w:cs="宋体"/>
              </w:rPr>
            </w:pPr>
          </w:p>
        </w:tc>
        <w:tc>
          <w:tcPr>
            <w:tcW w:w="1783" w:type="dxa"/>
            <w:noWrap w:val="0"/>
            <w:vAlign w:val="top"/>
          </w:tcPr>
          <w:p w14:paraId="3F43E21A">
            <w:pPr>
              <w:pStyle w:val="25"/>
              <w:bidi w:val="0"/>
              <w:rPr>
                <w:rFonts w:hint="eastAsia" w:ascii="宋体" w:hAnsi="宋体" w:eastAsia="宋体" w:cs="宋体"/>
              </w:rPr>
            </w:pPr>
          </w:p>
        </w:tc>
      </w:tr>
      <w:tr w14:paraId="69007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58" w:type="dxa"/>
            <w:noWrap w:val="0"/>
            <w:vAlign w:val="top"/>
          </w:tcPr>
          <w:p w14:paraId="1CA8E525">
            <w:pPr>
              <w:pStyle w:val="25"/>
              <w:bidi w:val="0"/>
              <w:rPr>
                <w:rFonts w:hint="eastAsia" w:ascii="宋体" w:hAnsi="宋体" w:eastAsia="宋体" w:cs="宋体"/>
              </w:rPr>
            </w:pPr>
          </w:p>
        </w:tc>
        <w:tc>
          <w:tcPr>
            <w:tcW w:w="2084" w:type="dxa"/>
            <w:noWrap w:val="0"/>
            <w:vAlign w:val="top"/>
          </w:tcPr>
          <w:p w14:paraId="6F81B58C">
            <w:pPr>
              <w:pStyle w:val="25"/>
              <w:bidi w:val="0"/>
              <w:rPr>
                <w:rFonts w:hint="eastAsia" w:ascii="宋体" w:hAnsi="宋体" w:eastAsia="宋体" w:cs="宋体"/>
              </w:rPr>
            </w:pPr>
          </w:p>
        </w:tc>
        <w:tc>
          <w:tcPr>
            <w:tcW w:w="2053" w:type="dxa"/>
            <w:noWrap w:val="0"/>
            <w:vAlign w:val="top"/>
          </w:tcPr>
          <w:p w14:paraId="715B2D04">
            <w:pPr>
              <w:pStyle w:val="25"/>
              <w:bidi w:val="0"/>
              <w:rPr>
                <w:rFonts w:hint="eastAsia" w:ascii="宋体" w:hAnsi="宋体" w:eastAsia="宋体" w:cs="宋体"/>
              </w:rPr>
            </w:pPr>
          </w:p>
        </w:tc>
        <w:tc>
          <w:tcPr>
            <w:tcW w:w="2011" w:type="dxa"/>
            <w:noWrap w:val="0"/>
            <w:vAlign w:val="top"/>
          </w:tcPr>
          <w:p w14:paraId="1F1DAF1E">
            <w:pPr>
              <w:pStyle w:val="25"/>
              <w:bidi w:val="0"/>
              <w:rPr>
                <w:rFonts w:hint="eastAsia" w:ascii="宋体" w:hAnsi="宋体" w:eastAsia="宋体" w:cs="宋体"/>
              </w:rPr>
            </w:pPr>
          </w:p>
        </w:tc>
        <w:tc>
          <w:tcPr>
            <w:tcW w:w="1783" w:type="dxa"/>
            <w:noWrap w:val="0"/>
            <w:vAlign w:val="top"/>
          </w:tcPr>
          <w:p w14:paraId="486EAABF">
            <w:pPr>
              <w:pStyle w:val="25"/>
              <w:bidi w:val="0"/>
              <w:rPr>
                <w:rFonts w:hint="eastAsia" w:ascii="宋体" w:hAnsi="宋体" w:eastAsia="宋体" w:cs="宋体"/>
              </w:rPr>
            </w:pPr>
          </w:p>
        </w:tc>
      </w:tr>
      <w:tr w14:paraId="3FFE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522E64A1">
            <w:pPr>
              <w:pStyle w:val="25"/>
              <w:bidi w:val="0"/>
              <w:rPr>
                <w:rFonts w:hint="eastAsia" w:ascii="宋体" w:hAnsi="宋体" w:eastAsia="宋体" w:cs="宋体"/>
              </w:rPr>
            </w:pPr>
          </w:p>
        </w:tc>
        <w:tc>
          <w:tcPr>
            <w:tcW w:w="2084" w:type="dxa"/>
            <w:noWrap w:val="0"/>
            <w:vAlign w:val="top"/>
          </w:tcPr>
          <w:p w14:paraId="5966FD00">
            <w:pPr>
              <w:pStyle w:val="25"/>
              <w:bidi w:val="0"/>
              <w:rPr>
                <w:rFonts w:hint="eastAsia" w:ascii="宋体" w:hAnsi="宋体" w:eastAsia="宋体" w:cs="宋体"/>
              </w:rPr>
            </w:pPr>
          </w:p>
        </w:tc>
        <w:tc>
          <w:tcPr>
            <w:tcW w:w="2053" w:type="dxa"/>
            <w:noWrap w:val="0"/>
            <w:vAlign w:val="top"/>
          </w:tcPr>
          <w:p w14:paraId="6C7CEEBA">
            <w:pPr>
              <w:pStyle w:val="25"/>
              <w:bidi w:val="0"/>
              <w:rPr>
                <w:rFonts w:hint="eastAsia" w:ascii="宋体" w:hAnsi="宋体" w:eastAsia="宋体" w:cs="宋体"/>
              </w:rPr>
            </w:pPr>
          </w:p>
        </w:tc>
        <w:tc>
          <w:tcPr>
            <w:tcW w:w="2011" w:type="dxa"/>
            <w:noWrap w:val="0"/>
            <w:vAlign w:val="top"/>
          </w:tcPr>
          <w:p w14:paraId="1762BB72">
            <w:pPr>
              <w:pStyle w:val="25"/>
              <w:bidi w:val="0"/>
              <w:rPr>
                <w:rFonts w:hint="eastAsia" w:ascii="宋体" w:hAnsi="宋体" w:eastAsia="宋体" w:cs="宋体"/>
              </w:rPr>
            </w:pPr>
          </w:p>
        </w:tc>
        <w:tc>
          <w:tcPr>
            <w:tcW w:w="1783" w:type="dxa"/>
            <w:noWrap w:val="0"/>
            <w:vAlign w:val="top"/>
          </w:tcPr>
          <w:p w14:paraId="2D8CBABF">
            <w:pPr>
              <w:pStyle w:val="25"/>
              <w:bidi w:val="0"/>
              <w:rPr>
                <w:rFonts w:hint="eastAsia" w:ascii="宋体" w:hAnsi="宋体" w:eastAsia="宋体" w:cs="宋体"/>
              </w:rPr>
            </w:pPr>
          </w:p>
        </w:tc>
      </w:tr>
      <w:tr w14:paraId="2E047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27068949">
            <w:pPr>
              <w:pStyle w:val="25"/>
              <w:bidi w:val="0"/>
              <w:rPr>
                <w:rFonts w:hint="eastAsia" w:ascii="宋体" w:hAnsi="宋体" w:eastAsia="宋体" w:cs="宋体"/>
              </w:rPr>
            </w:pPr>
          </w:p>
        </w:tc>
        <w:tc>
          <w:tcPr>
            <w:tcW w:w="2084" w:type="dxa"/>
            <w:noWrap w:val="0"/>
            <w:vAlign w:val="top"/>
          </w:tcPr>
          <w:p w14:paraId="360AE83B">
            <w:pPr>
              <w:pStyle w:val="25"/>
              <w:bidi w:val="0"/>
              <w:rPr>
                <w:rFonts w:hint="eastAsia" w:ascii="宋体" w:hAnsi="宋体" w:eastAsia="宋体" w:cs="宋体"/>
              </w:rPr>
            </w:pPr>
          </w:p>
        </w:tc>
        <w:tc>
          <w:tcPr>
            <w:tcW w:w="2053" w:type="dxa"/>
            <w:noWrap w:val="0"/>
            <w:vAlign w:val="top"/>
          </w:tcPr>
          <w:p w14:paraId="572F9234">
            <w:pPr>
              <w:pStyle w:val="25"/>
              <w:bidi w:val="0"/>
              <w:rPr>
                <w:rFonts w:hint="eastAsia" w:ascii="宋体" w:hAnsi="宋体" w:eastAsia="宋体" w:cs="宋体"/>
              </w:rPr>
            </w:pPr>
          </w:p>
        </w:tc>
        <w:tc>
          <w:tcPr>
            <w:tcW w:w="2011" w:type="dxa"/>
            <w:noWrap w:val="0"/>
            <w:vAlign w:val="top"/>
          </w:tcPr>
          <w:p w14:paraId="53C8D721">
            <w:pPr>
              <w:pStyle w:val="25"/>
              <w:bidi w:val="0"/>
              <w:rPr>
                <w:rFonts w:hint="eastAsia" w:ascii="宋体" w:hAnsi="宋体" w:eastAsia="宋体" w:cs="宋体"/>
              </w:rPr>
            </w:pPr>
          </w:p>
        </w:tc>
        <w:tc>
          <w:tcPr>
            <w:tcW w:w="1783" w:type="dxa"/>
            <w:noWrap w:val="0"/>
            <w:vAlign w:val="top"/>
          </w:tcPr>
          <w:p w14:paraId="1CB24C20">
            <w:pPr>
              <w:pStyle w:val="25"/>
              <w:bidi w:val="0"/>
              <w:rPr>
                <w:rFonts w:hint="eastAsia" w:ascii="宋体" w:hAnsi="宋体" w:eastAsia="宋体" w:cs="宋体"/>
              </w:rPr>
            </w:pPr>
          </w:p>
        </w:tc>
      </w:tr>
      <w:tr w14:paraId="0FD26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58" w:type="dxa"/>
            <w:noWrap w:val="0"/>
            <w:vAlign w:val="top"/>
          </w:tcPr>
          <w:p w14:paraId="6C1133B8">
            <w:pPr>
              <w:pStyle w:val="25"/>
              <w:bidi w:val="0"/>
              <w:rPr>
                <w:rFonts w:hint="eastAsia" w:ascii="宋体" w:hAnsi="宋体" w:eastAsia="宋体" w:cs="宋体"/>
              </w:rPr>
            </w:pPr>
          </w:p>
        </w:tc>
        <w:tc>
          <w:tcPr>
            <w:tcW w:w="2084" w:type="dxa"/>
            <w:noWrap w:val="0"/>
            <w:vAlign w:val="top"/>
          </w:tcPr>
          <w:p w14:paraId="00A5AB74">
            <w:pPr>
              <w:pStyle w:val="25"/>
              <w:bidi w:val="0"/>
              <w:rPr>
                <w:rFonts w:hint="eastAsia" w:ascii="宋体" w:hAnsi="宋体" w:eastAsia="宋体" w:cs="宋体"/>
              </w:rPr>
            </w:pPr>
          </w:p>
        </w:tc>
        <w:tc>
          <w:tcPr>
            <w:tcW w:w="2053" w:type="dxa"/>
            <w:noWrap w:val="0"/>
            <w:vAlign w:val="top"/>
          </w:tcPr>
          <w:p w14:paraId="1ACB4B72">
            <w:pPr>
              <w:pStyle w:val="25"/>
              <w:bidi w:val="0"/>
              <w:rPr>
                <w:rFonts w:hint="eastAsia" w:ascii="宋体" w:hAnsi="宋体" w:eastAsia="宋体" w:cs="宋体"/>
              </w:rPr>
            </w:pPr>
          </w:p>
        </w:tc>
        <w:tc>
          <w:tcPr>
            <w:tcW w:w="2011" w:type="dxa"/>
            <w:noWrap w:val="0"/>
            <w:vAlign w:val="top"/>
          </w:tcPr>
          <w:p w14:paraId="071C1635">
            <w:pPr>
              <w:pStyle w:val="25"/>
              <w:bidi w:val="0"/>
              <w:rPr>
                <w:rFonts w:hint="eastAsia" w:ascii="宋体" w:hAnsi="宋体" w:eastAsia="宋体" w:cs="宋体"/>
              </w:rPr>
            </w:pPr>
          </w:p>
        </w:tc>
        <w:tc>
          <w:tcPr>
            <w:tcW w:w="1783" w:type="dxa"/>
            <w:noWrap w:val="0"/>
            <w:vAlign w:val="top"/>
          </w:tcPr>
          <w:p w14:paraId="1244ECE3">
            <w:pPr>
              <w:pStyle w:val="25"/>
              <w:bidi w:val="0"/>
              <w:rPr>
                <w:rFonts w:hint="eastAsia" w:ascii="宋体" w:hAnsi="宋体" w:eastAsia="宋体" w:cs="宋体"/>
              </w:rPr>
            </w:pPr>
          </w:p>
        </w:tc>
      </w:tr>
      <w:tr w14:paraId="149E9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688296AB">
            <w:pPr>
              <w:pStyle w:val="25"/>
              <w:bidi w:val="0"/>
              <w:rPr>
                <w:rFonts w:hint="eastAsia" w:ascii="宋体" w:hAnsi="宋体" w:eastAsia="宋体" w:cs="宋体"/>
              </w:rPr>
            </w:pPr>
          </w:p>
        </w:tc>
        <w:tc>
          <w:tcPr>
            <w:tcW w:w="2084" w:type="dxa"/>
            <w:noWrap w:val="0"/>
            <w:vAlign w:val="top"/>
          </w:tcPr>
          <w:p w14:paraId="1CCF55E6">
            <w:pPr>
              <w:pStyle w:val="25"/>
              <w:bidi w:val="0"/>
              <w:rPr>
                <w:rFonts w:hint="eastAsia" w:ascii="宋体" w:hAnsi="宋体" w:eastAsia="宋体" w:cs="宋体"/>
              </w:rPr>
            </w:pPr>
          </w:p>
        </w:tc>
        <w:tc>
          <w:tcPr>
            <w:tcW w:w="2053" w:type="dxa"/>
            <w:noWrap w:val="0"/>
            <w:vAlign w:val="top"/>
          </w:tcPr>
          <w:p w14:paraId="46A7FEA4">
            <w:pPr>
              <w:pStyle w:val="25"/>
              <w:bidi w:val="0"/>
              <w:rPr>
                <w:rFonts w:hint="eastAsia" w:ascii="宋体" w:hAnsi="宋体" w:eastAsia="宋体" w:cs="宋体"/>
              </w:rPr>
            </w:pPr>
          </w:p>
        </w:tc>
        <w:tc>
          <w:tcPr>
            <w:tcW w:w="2011" w:type="dxa"/>
            <w:noWrap w:val="0"/>
            <w:vAlign w:val="top"/>
          </w:tcPr>
          <w:p w14:paraId="6B58D60D">
            <w:pPr>
              <w:pStyle w:val="25"/>
              <w:bidi w:val="0"/>
              <w:rPr>
                <w:rFonts w:hint="eastAsia" w:ascii="宋体" w:hAnsi="宋体" w:eastAsia="宋体" w:cs="宋体"/>
              </w:rPr>
            </w:pPr>
          </w:p>
        </w:tc>
        <w:tc>
          <w:tcPr>
            <w:tcW w:w="1783" w:type="dxa"/>
            <w:noWrap w:val="0"/>
            <w:vAlign w:val="top"/>
          </w:tcPr>
          <w:p w14:paraId="6798E780">
            <w:pPr>
              <w:pStyle w:val="25"/>
              <w:bidi w:val="0"/>
              <w:rPr>
                <w:rFonts w:hint="eastAsia" w:ascii="宋体" w:hAnsi="宋体" w:eastAsia="宋体" w:cs="宋体"/>
              </w:rPr>
            </w:pPr>
          </w:p>
        </w:tc>
      </w:tr>
      <w:tr w14:paraId="6CEC2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0FE33841">
            <w:pPr>
              <w:pStyle w:val="25"/>
              <w:bidi w:val="0"/>
              <w:rPr>
                <w:rFonts w:hint="eastAsia" w:ascii="宋体" w:hAnsi="宋体" w:eastAsia="宋体" w:cs="宋体"/>
              </w:rPr>
            </w:pPr>
          </w:p>
        </w:tc>
        <w:tc>
          <w:tcPr>
            <w:tcW w:w="2084" w:type="dxa"/>
            <w:noWrap w:val="0"/>
            <w:vAlign w:val="top"/>
          </w:tcPr>
          <w:p w14:paraId="6E843472">
            <w:pPr>
              <w:pStyle w:val="25"/>
              <w:bidi w:val="0"/>
              <w:rPr>
                <w:rFonts w:hint="eastAsia" w:ascii="宋体" w:hAnsi="宋体" w:eastAsia="宋体" w:cs="宋体"/>
              </w:rPr>
            </w:pPr>
          </w:p>
        </w:tc>
        <w:tc>
          <w:tcPr>
            <w:tcW w:w="2053" w:type="dxa"/>
            <w:noWrap w:val="0"/>
            <w:vAlign w:val="top"/>
          </w:tcPr>
          <w:p w14:paraId="7E5E73C4">
            <w:pPr>
              <w:pStyle w:val="25"/>
              <w:bidi w:val="0"/>
              <w:rPr>
                <w:rFonts w:hint="eastAsia" w:ascii="宋体" w:hAnsi="宋体" w:eastAsia="宋体" w:cs="宋体"/>
              </w:rPr>
            </w:pPr>
          </w:p>
        </w:tc>
        <w:tc>
          <w:tcPr>
            <w:tcW w:w="2011" w:type="dxa"/>
            <w:noWrap w:val="0"/>
            <w:vAlign w:val="top"/>
          </w:tcPr>
          <w:p w14:paraId="1001FB32">
            <w:pPr>
              <w:pStyle w:val="25"/>
              <w:bidi w:val="0"/>
              <w:rPr>
                <w:rFonts w:hint="eastAsia" w:ascii="宋体" w:hAnsi="宋体" w:eastAsia="宋体" w:cs="宋体"/>
              </w:rPr>
            </w:pPr>
          </w:p>
        </w:tc>
        <w:tc>
          <w:tcPr>
            <w:tcW w:w="1783" w:type="dxa"/>
            <w:noWrap w:val="0"/>
            <w:vAlign w:val="top"/>
          </w:tcPr>
          <w:p w14:paraId="12D6740B">
            <w:pPr>
              <w:pStyle w:val="25"/>
              <w:bidi w:val="0"/>
              <w:rPr>
                <w:rFonts w:hint="eastAsia" w:ascii="宋体" w:hAnsi="宋体" w:eastAsia="宋体" w:cs="宋体"/>
              </w:rPr>
            </w:pPr>
          </w:p>
        </w:tc>
      </w:tr>
      <w:tr w14:paraId="02156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3593AB3D">
            <w:pPr>
              <w:pStyle w:val="25"/>
              <w:bidi w:val="0"/>
              <w:rPr>
                <w:rFonts w:hint="eastAsia" w:ascii="宋体" w:hAnsi="宋体" w:eastAsia="宋体" w:cs="宋体"/>
              </w:rPr>
            </w:pPr>
          </w:p>
        </w:tc>
        <w:tc>
          <w:tcPr>
            <w:tcW w:w="2084" w:type="dxa"/>
            <w:noWrap w:val="0"/>
            <w:vAlign w:val="top"/>
          </w:tcPr>
          <w:p w14:paraId="726E7C6C">
            <w:pPr>
              <w:pStyle w:val="25"/>
              <w:bidi w:val="0"/>
              <w:rPr>
                <w:rFonts w:hint="eastAsia" w:ascii="宋体" w:hAnsi="宋体" w:eastAsia="宋体" w:cs="宋体"/>
              </w:rPr>
            </w:pPr>
          </w:p>
        </w:tc>
        <w:tc>
          <w:tcPr>
            <w:tcW w:w="2053" w:type="dxa"/>
            <w:noWrap w:val="0"/>
            <w:vAlign w:val="top"/>
          </w:tcPr>
          <w:p w14:paraId="37DB0C85">
            <w:pPr>
              <w:pStyle w:val="25"/>
              <w:bidi w:val="0"/>
              <w:rPr>
                <w:rFonts w:hint="eastAsia" w:ascii="宋体" w:hAnsi="宋体" w:eastAsia="宋体" w:cs="宋体"/>
              </w:rPr>
            </w:pPr>
          </w:p>
        </w:tc>
        <w:tc>
          <w:tcPr>
            <w:tcW w:w="2011" w:type="dxa"/>
            <w:noWrap w:val="0"/>
            <w:vAlign w:val="top"/>
          </w:tcPr>
          <w:p w14:paraId="47B8CD56">
            <w:pPr>
              <w:pStyle w:val="25"/>
              <w:bidi w:val="0"/>
              <w:rPr>
                <w:rFonts w:hint="eastAsia" w:ascii="宋体" w:hAnsi="宋体" w:eastAsia="宋体" w:cs="宋体"/>
              </w:rPr>
            </w:pPr>
          </w:p>
        </w:tc>
        <w:tc>
          <w:tcPr>
            <w:tcW w:w="1783" w:type="dxa"/>
            <w:noWrap w:val="0"/>
            <w:vAlign w:val="top"/>
          </w:tcPr>
          <w:p w14:paraId="63CEDB5E">
            <w:pPr>
              <w:pStyle w:val="25"/>
              <w:bidi w:val="0"/>
              <w:rPr>
                <w:rFonts w:hint="eastAsia" w:ascii="宋体" w:hAnsi="宋体" w:eastAsia="宋体" w:cs="宋体"/>
              </w:rPr>
            </w:pPr>
          </w:p>
        </w:tc>
      </w:tr>
      <w:tr w14:paraId="4D8A4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211F1A5C">
            <w:pPr>
              <w:pStyle w:val="25"/>
              <w:bidi w:val="0"/>
              <w:rPr>
                <w:rFonts w:hint="eastAsia" w:ascii="宋体" w:hAnsi="宋体" w:eastAsia="宋体" w:cs="宋体"/>
              </w:rPr>
            </w:pPr>
          </w:p>
        </w:tc>
        <w:tc>
          <w:tcPr>
            <w:tcW w:w="2084" w:type="dxa"/>
            <w:noWrap w:val="0"/>
            <w:vAlign w:val="top"/>
          </w:tcPr>
          <w:p w14:paraId="02512B09">
            <w:pPr>
              <w:pStyle w:val="25"/>
              <w:bidi w:val="0"/>
              <w:rPr>
                <w:rFonts w:hint="eastAsia" w:ascii="宋体" w:hAnsi="宋体" w:eastAsia="宋体" w:cs="宋体"/>
              </w:rPr>
            </w:pPr>
          </w:p>
        </w:tc>
        <w:tc>
          <w:tcPr>
            <w:tcW w:w="2053" w:type="dxa"/>
            <w:noWrap w:val="0"/>
            <w:vAlign w:val="top"/>
          </w:tcPr>
          <w:p w14:paraId="35D8C3B1">
            <w:pPr>
              <w:pStyle w:val="25"/>
              <w:bidi w:val="0"/>
              <w:rPr>
                <w:rFonts w:hint="eastAsia" w:ascii="宋体" w:hAnsi="宋体" w:eastAsia="宋体" w:cs="宋体"/>
              </w:rPr>
            </w:pPr>
          </w:p>
        </w:tc>
        <w:tc>
          <w:tcPr>
            <w:tcW w:w="2011" w:type="dxa"/>
            <w:noWrap w:val="0"/>
            <w:vAlign w:val="top"/>
          </w:tcPr>
          <w:p w14:paraId="5C0DF274">
            <w:pPr>
              <w:pStyle w:val="25"/>
              <w:bidi w:val="0"/>
              <w:rPr>
                <w:rFonts w:hint="eastAsia" w:ascii="宋体" w:hAnsi="宋体" w:eastAsia="宋体" w:cs="宋体"/>
              </w:rPr>
            </w:pPr>
          </w:p>
        </w:tc>
        <w:tc>
          <w:tcPr>
            <w:tcW w:w="1783" w:type="dxa"/>
            <w:noWrap w:val="0"/>
            <w:vAlign w:val="top"/>
          </w:tcPr>
          <w:p w14:paraId="37987E74">
            <w:pPr>
              <w:pStyle w:val="25"/>
              <w:bidi w:val="0"/>
              <w:rPr>
                <w:rFonts w:hint="eastAsia" w:ascii="宋体" w:hAnsi="宋体" w:eastAsia="宋体" w:cs="宋体"/>
              </w:rPr>
            </w:pPr>
          </w:p>
        </w:tc>
      </w:tr>
      <w:tr w14:paraId="676A2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noWrap w:val="0"/>
            <w:vAlign w:val="top"/>
          </w:tcPr>
          <w:p w14:paraId="13E55D3D">
            <w:pPr>
              <w:pStyle w:val="25"/>
              <w:bidi w:val="0"/>
              <w:rPr>
                <w:rFonts w:hint="eastAsia" w:ascii="宋体" w:hAnsi="宋体" w:eastAsia="宋体" w:cs="宋体"/>
              </w:rPr>
            </w:pPr>
          </w:p>
        </w:tc>
        <w:tc>
          <w:tcPr>
            <w:tcW w:w="2084" w:type="dxa"/>
            <w:noWrap w:val="0"/>
            <w:vAlign w:val="top"/>
          </w:tcPr>
          <w:p w14:paraId="3B2D0C1F">
            <w:pPr>
              <w:pStyle w:val="25"/>
              <w:bidi w:val="0"/>
              <w:rPr>
                <w:rFonts w:hint="eastAsia" w:ascii="宋体" w:hAnsi="宋体" w:eastAsia="宋体" w:cs="宋体"/>
              </w:rPr>
            </w:pPr>
          </w:p>
        </w:tc>
        <w:tc>
          <w:tcPr>
            <w:tcW w:w="2053" w:type="dxa"/>
            <w:noWrap w:val="0"/>
            <w:vAlign w:val="top"/>
          </w:tcPr>
          <w:p w14:paraId="6F4E3202">
            <w:pPr>
              <w:pStyle w:val="25"/>
              <w:bidi w:val="0"/>
              <w:rPr>
                <w:rFonts w:hint="eastAsia" w:ascii="宋体" w:hAnsi="宋体" w:eastAsia="宋体" w:cs="宋体"/>
              </w:rPr>
            </w:pPr>
          </w:p>
        </w:tc>
        <w:tc>
          <w:tcPr>
            <w:tcW w:w="2011" w:type="dxa"/>
            <w:noWrap w:val="0"/>
            <w:vAlign w:val="top"/>
          </w:tcPr>
          <w:p w14:paraId="45775264">
            <w:pPr>
              <w:pStyle w:val="25"/>
              <w:bidi w:val="0"/>
              <w:rPr>
                <w:rFonts w:hint="eastAsia" w:ascii="宋体" w:hAnsi="宋体" w:eastAsia="宋体" w:cs="宋体"/>
              </w:rPr>
            </w:pPr>
          </w:p>
        </w:tc>
        <w:tc>
          <w:tcPr>
            <w:tcW w:w="1783" w:type="dxa"/>
            <w:noWrap w:val="0"/>
            <w:vAlign w:val="top"/>
          </w:tcPr>
          <w:p w14:paraId="15CF4140">
            <w:pPr>
              <w:pStyle w:val="25"/>
              <w:bidi w:val="0"/>
              <w:rPr>
                <w:rFonts w:hint="eastAsia" w:ascii="宋体" w:hAnsi="宋体" w:eastAsia="宋体" w:cs="宋体"/>
              </w:rPr>
            </w:pPr>
          </w:p>
        </w:tc>
      </w:tr>
      <w:tr w14:paraId="23405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58" w:type="dxa"/>
            <w:noWrap w:val="0"/>
            <w:vAlign w:val="top"/>
          </w:tcPr>
          <w:p w14:paraId="7C580E08">
            <w:pPr>
              <w:pStyle w:val="25"/>
              <w:bidi w:val="0"/>
              <w:rPr>
                <w:rFonts w:hint="eastAsia" w:ascii="宋体" w:hAnsi="宋体" w:eastAsia="宋体" w:cs="宋体"/>
              </w:rPr>
            </w:pPr>
          </w:p>
        </w:tc>
        <w:tc>
          <w:tcPr>
            <w:tcW w:w="2084" w:type="dxa"/>
            <w:noWrap w:val="0"/>
            <w:vAlign w:val="top"/>
          </w:tcPr>
          <w:p w14:paraId="0688ADAD">
            <w:pPr>
              <w:pStyle w:val="25"/>
              <w:bidi w:val="0"/>
              <w:rPr>
                <w:rFonts w:hint="eastAsia" w:ascii="宋体" w:hAnsi="宋体" w:eastAsia="宋体" w:cs="宋体"/>
              </w:rPr>
            </w:pPr>
          </w:p>
        </w:tc>
        <w:tc>
          <w:tcPr>
            <w:tcW w:w="2053" w:type="dxa"/>
            <w:noWrap w:val="0"/>
            <w:vAlign w:val="top"/>
          </w:tcPr>
          <w:p w14:paraId="41DB5E40">
            <w:pPr>
              <w:pStyle w:val="25"/>
              <w:bidi w:val="0"/>
              <w:rPr>
                <w:rFonts w:hint="eastAsia" w:ascii="宋体" w:hAnsi="宋体" w:eastAsia="宋体" w:cs="宋体"/>
              </w:rPr>
            </w:pPr>
          </w:p>
        </w:tc>
        <w:tc>
          <w:tcPr>
            <w:tcW w:w="2011" w:type="dxa"/>
            <w:noWrap w:val="0"/>
            <w:vAlign w:val="top"/>
          </w:tcPr>
          <w:p w14:paraId="6C72025F">
            <w:pPr>
              <w:pStyle w:val="25"/>
              <w:bidi w:val="0"/>
              <w:rPr>
                <w:rFonts w:hint="eastAsia" w:ascii="宋体" w:hAnsi="宋体" w:eastAsia="宋体" w:cs="宋体"/>
              </w:rPr>
            </w:pPr>
          </w:p>
        </w:tc>
        <w:tc>
          <w:tcPr>
            <w:tcW w:w="1783" w:type="dxa"/>
            <w:noWrap w:val="0"/>
            <w:vAlign w:val="top"/>
          </w:tcPr>
          <w:p w14:paraId="30A98FEF">
            <w:pPr>
              <w:pStyle w:val="25"/>
              <w:bidi w:val="0"/>
              <w:rPr>
                <w:rFonts w:hint="eastAsia" w:ascii="宋体" w:hAnsi="宋体" w:eastAsia="宋体" w:cs="宋体"/>
              </w:rPr>
            </w:pPr>
          </w:p>
        </w:tc>
      </w:tr>
      <w:tr w14:paraId="69282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089" w:type="dxa"/>
            <w:gridSpan w:val="5"/>
            <w:noWrap w:val="0"/>
            <w:vAlign w:val="top"/>
          </w:tcPr>
          <w:p w14:paraId="6E3E17E5">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rPr>
            </w:pPr>
            <w:r>
              <w:rPr>
                <w:rFonts w:hint="eastAsia" w:ascii="宋体" w:hAnsi="宋体" w:eastAsia="宋体" w:cs="宋体"/>
                <w:sz w:val="21"/>
                <w:szCs w:val="21"/>
              </w:rPr>
              <w:t>说明：</w:t>
            </w:r>
            <w:r>
              <w:rPr>
                <w:rFonts w:hint="eastAsia" w:ascii="宋体" w:hAnsi="宋体" w:eastAsia="宋体" w:cs="宋体"/>
                <w:sz w:val="21"/>
                <w:szCs w:val="21"/>
                <w:lang w:val="en-US" w:eastAsia="zh-CN"/>
              </w:rPr>
              <w:t>提供</w:t>
            </w: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1日</w:t>
            </w:r>
            <w:r>
              <w:rPr>
                <w:rFonts w:hint="eastAsia" w:ascii="宋体" w:hAnsi="宋体" w:eastAsia="宋体" w:cs="宋体"/>
                <w:sz w:val="21"/>
                <w:szCs w:val="21"/>
              </w:rPr>
              <w:t>至截标时间前</w:t>
            </w:r>
            <w:r>
              <w:rPr>
                <w:rFonts w:hint="eastAsia" w:ascii="宋体" w:hAnsi="宋体" w:eastAsia="宋体" w:cs="宋体"/>
                <w:sz w:val="21"/>
                <w:szCs w:val="21"/>
                <w:lang w:val="en-US" w:eastAsia="zh-CN"/>
              </w:rPr>
              <w:t>类似</w:t>
            </w:r>
            <w:r>
              <w:rPr>
                <w:rFonts w:hint="eastAsia" w:ascii="宋体" w:hAnsi="宋体" w:eastAsia="宋体" w:cs="宋体"/>
                <w:sz w:val="21"/>
                <w:szCs w:val="21"/>
              </w:rPr>
              <w:t>项目业绩（以合同或中标通知书为准，须在磋商响应文件中附以上证明材料的扫描件加盖单位公章，弄虚作假者，取消其成交资格。</w:t>
            </w:r>
          </w:p>
        </w:tc>
      </w:tr>
    </w:tbl>
    <w:p w14:paraId="3E36F344">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p>
    <w:p w14:paraId="6A8C6FE0">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3872C335">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outlineLvl w:val="9"/>
        <w:rPr>
          <w:rFonts w:hint="eastAsia" w:ascii="宋体" w:hAnsi="宋体" w:eastAsia="宋体" w:cs="宋体"/>
          <w:u w:val="none"/>
          <w:lang w:eastAsia="zh-CN"/>
        </w:rPr>
      </w:pPr>
      <w:r>
        <w:rPr>
          <w:rFonts w:hint="eastAsia" w:ascii="宋体" w:hAnsi="宋体" w:eastAsia="宋体" w:cs="宋体"/>
          <w:spacing w:val="-17"/>
        </w:rPr>
        <w:t xml:space="preserve"> </w:t>
      </w:r>
      <w:bookmarkStart w:id="534" w:name="_Toc27294"/>
      <w:r>
        <w:rPr>
          <w:rFonts w:hint="eastAsia" w:ascii="宋体" w:hAnsi="宋体" w:eastAsia="宋体" w:cs="宋体"/>
        </w:rPr>
        <w:t>法定代表人或被授权人</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none"/>
          <w:lang w:eastAsia="zh-CN"/>
        </w:rPr>
        <w:t>（签字或盖章）</w:t>
      </w:r>
      <w:bookmarkEnd w:id="534"/>
    </w:p>
    <w:p w14:paraId="7EA810DE">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56B426F1">
      <w:pPr>
        <w:pStyle w:val="9"/>
        <w:spacing w:before="7"/>
        <w:rPr>
          <w:rFonts w:hint="eastAsia" w:ascii="宋体" w:hAnsi="宋体" w:eastAsia="宋体" w:cs="宋体"/>
          <w:sz w:val="9"/>
        </w:rPr>
      </w:pPr>
    </w:p>
    <w:p w14:paraId="5D64009D">
      <w:pPr>
        <w:autoSpaceDE w:val="0"/>
        <w:autoSpaceDN w:val="0"/>
        <w:adjustRightInd w:val="0"/>
        <w:ind w:left="0" w:leftChars="0" w:firstLine="0" w:firstLineChars="0"/>
        <w:jc w:val="center"/>
        <w:outlineLvl w:val="1"/>
        <w:rPr>
          <w:rFonts w:hint="eastAsia" w:ascii="宋体" w:hAnsi="宋体" w:eastAsia="宋体" w:cs="宋体"/>
          <w:b/>
          <w:bCs/>
          <w:sz w:val="36"/>
          <w:szCs w:val="36"/>
          <w:lang w:val="en-US" w:eastAsia="zh-CN"/>
        </w:rPr>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535" w:name="_Toc27665"/>
      <w:bookmarkStart w:id="536" w:name="_Toc18766"/>
      <w:bookmarkStart w:id="537" w:name="_Toc518057474"/>
      <w:bookmarkStart w:id="538" w:name="_Toc13052"/>
      <w:bookmarkStart w:id="539" w:name="_Toc23967"/>
      <w:bookmarkStart w:id="540" w:name="_Toc15727"/>
      <w:bookmarkStart w:id="541" w:name="_Toc4985"/>
      <w:bookmarkStart w:id="542" w:name="_Toc28205"/>
      <w:bookmarkStart w:id="543" w:name="_Toc26484"/>
      <w:bookmarkStart w:id="544" w:name="_Toc22225"/>
      <w:bookmarkStart w:id="545" w:name="_Toc25087"/>
      <w:bookmarkStart w:id="546" w:name="_Toc25113"/>
      <w:bookmarkStart w:id="547" w:name="_Toc9933"/>
      <w:bookmarkStart w:id="548" w:name="_Toc26200"/>
    </w:p>
    <w:p w14:paraId="7F4CD866">
      <w:pPr>
        <w:autoSpaceDE w:val="0"/>
        <w:autoSpaceDN w:val="0"/>
        <w:adjustRightInd w:val="0"/>
        <w:ind w:left="0" w:leftChars="0" w:firstLine="0" w:firstLineChars="0"/>
        <w:jc w:val="center"/>
        <w:outlineLvl w:val="1"/>
        <w:rPr>
          <w:rFonts w:hint="eastAsia" w:ascii="宋体" w:hAnsi="宋体" w:eastAsia="宋体" w:cs="宋体"/>
          <w:b/>
          <w:bCs/>
          <w:sz w:val="36"/>
          <w:szCs w:val="36"/>
        </w:rPr>
      </w:pPr>
      <w:bookmarkStart w:id="549" w:name="_Toc6542"/>
      <w:bookmarkStart w:id="550" w:name="_Toc15321"/>
      <w:bookmarkStart w:id="551" w:name="_Toc4993"/>
      <w:r>
        <w:rPr>
          <w:rFonts w:hint="eastAsia" w:ascii="宋体" w:hAnsi="宋体" w:eastAsia="宋体" w:cs="宋体"/>
          <w:b/>
          <w:bCs/>
          <w:sz w:val="36"/>
          <w:szCs w:val="36"/>
          <w:lang w:val="en-US" w:eastAsia="zh-CN"/>
        </w:rPr>
        <w:t>七</w:t>
      </w:r>
      <w:r>
        <w:rPr>
          <w:rFonts w:hint="eastAsia" w:ascii="宋体" w:hAnsi="宋体" w:eastAsia="宋体" w:cs="宋体"/>
          <w:b/>
          <w:bCs/>
          <w:sz w:val="36"/>
          <w:szCs w:val="36"/>
        </w:rPr>
        <w: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hint="eastAsia" w:ascii="宋体" w:hAnsi="宋体" w:eastAsia="宋体" w:cs="宋体"/>
          <w:b/>
          <w:bCs/>
          <w:sz w:val="36"/>
          <w:szCs w:val="36"/>
          <w:lang w:val="en-US" w:eastAsia="zh-CN"/>
        </w:rPr>
        <w:t>供应商</w:t>
      </w:r>
      <w:r>
        <w:rPr>
          <w:rFonts w:hint="eastAsia" w:ascii="宋体" w:hAnsi="宋体" w:eastAsia="宋体" w:cs="宋体"/>
          <w:b/>
          <w:bCs/>
          <w:sz w:val="36"/>
          <w:szCs w:val="36"/>
        </w:rPr>
        <w:t>拒绝政府采购领域商业贿赂承诺书</w:t>
      </w:r>
      <w:bookmarkEnd w:id="549"/>
      <w:bookmarkEnd w:id="550"/>
      <w:bookmarkEnd w:id="551"/>
    </w:p>
    <w:p w14:paraId="7BC0AD32">
      <w:pPr>
        <w:autoSpaceDE w:val="0"/>
        <w:autoSpaceDN w:val="0"/>
        <w:adjustRightInd w:val="0"/>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为响应党中央、国务院关于治理政府采购领域商业贿赂行为的号召，我公司在此庄严承诺：</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一、在参与政府采购活动中遵纪守法、诚信经营、公平竞标。</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二、不向政府采购人、采购代理机构和政府采购评审专家进行任何形式的商业贿赂以谋取交易机会。</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三、不向政府采购代理机构和采购人提供虚假资质证明文件或采用虚假应标方式参与政府采购市场竞争并谋取中标、成交。</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四、不采取“围标、陪标”等商业欺诈手段获得政府采购订单。</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五、不采取不正当手段诋毁、排挤其他供应商。</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六、不在提供货物和服务时“偷梁换柱、以次充好”损害采购人的合法权益。</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七、不与采购人、采购代理机构、政府采购评审专家或其它供应商恶意串通，进行质疑和投诉，维护政府采购市场秩序。</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八、尊重和接受政府采购监督管理部门的监督和政府采购代理机构招标采购要求，承担因违约行为给采购人造成的损失。</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 xml:space="preserve">    九、不发生其他有悖于政府采购公开、公平、公正和诚实守信原则的行为。                                    </w:t>
      </w:r>
    </w:p>
    <w:p w14:paraId="1D435AA9">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p>
    <w:p w14:paraId="382793EE">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pacing w:val="-17"/>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（公章</w:t>
      </w:r>
      <w:r>
        <w:rPr>
          <w:rFonts w:hint="eastAsia" w:ascii="宋体" w:hAnsi="宋体" w:eastAsia="宋体" w:cs="宋体"/>
          <w:spacing w:val="-17"/>
        </w:rPr>
        <w:t>）</w:t>
      </w:r>
    </w:p>
    <w:p w14:paraId="03A31C94">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u w:val="none"/>
          <w:lang w:eastAsia="zh-CN"/>
        </w:rPr>
      </w:pPr>
      <w:r>
        <w:rPr>
          <w:rFonts w:hint="eastAsia" w:ascii="宋体" w:hAnsi="宋体" w:eastAsia="宋体" w:cs="宋体"/>
          <w:spacing w:val="-17"/>
        </w:rPr>
        <w:t xml:space="preserve"> </w:t>
      </w:r>
      <w:r>
        <w:rPr>
          <w:rFonts w:hint="eastAsia" w:ascii="宋体" w:hAnsi="宋体" w:eastAsia="宋体" w:cs="宋体"/>
        </w:rPr>
        <w:t>法定代表人或被授权人</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none"/>
          <w:lang w:eastAsia="zh-CN"/>
        </w:rPr>
        <w:t>（签字或盖章）</w:t>
      </w:r>
    </w:p>
    <w:p w14:paraId="5350C075">
      <w:pPr>
        <w:pStyle w:val="9"/>
        <w:keepNext w:val="0"/>
        <w:keepLines w:val="0"/>
        <w:pageBreakBefore w:val="0"/>
        <w:widowControl w:val="0"/>
        <w:tabs>
          <w:tab w:val="left" w:pos="2036"/>
          <w:tab w:val="left" w:pos="2636"/>
          <w:tab w:val="left" w:pos="3236"/>
          <w:tab w:val="left" w:pos="4556"/>
        </w:tabs>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6937B9D4">
      <w:pPr>
        <w:adjustRightInd w:val="0"/>
        <w:snapToGrid w:val="0"/>
        <w:jc w:val="center"/>
        <w:outlineLvl w:val="1"/>
        <w:rPr>
          <w:rFonts w:hint="eastAsia" w:ascii="宋体" w:hAnsi="宋体" w:eastAsia="宋体" w:cs="宋体"/>
          <w:b/>
          <w:bCs/>
          <w:sz w:val="36"/>
          <w:szCs w:val="36"/>
        </w:rPr>
      </w:pPr>
      <w:r>
        <w:rPr>
          <w:rFonts w:hint="eastAsia" w:ascii="宋体" w:hAnsi="宋体" w:eastAsia="宋体" w:cs="宋体"/>
          <w:sz w:val="32"/>
          <w:u w:val="single"/>
        </w:rPr>
        <w:br w:type="page"/>
      </w:r>
      <w:bookmarkStart w:id="552" w:name="_Toc11189"/>
      <w:bookmarkStart w:id="553" w:name="_Toc704"/>
      <w:bookmarkStart w:id="554" w:name="_Toc21516"/>
      <w:bookmarkStart w:id="555" w:name="_Toc518057475"/>
      <w:bookmarkStart w:id="556" w:name="_Toc22493"/>
      <w:bookmarkStart w:id="557" w:name="_Toc475451806"/>
      <w:bookmarkStart w:id="558" w:name="_Toc17921"/>
      <w:bookmarkStart w:id="559" w:name="_Toc9719"/>
      <w:bookmarkStart w:id="560" w:name="_Toc11269"/>
      <w:bookmarkStart w:id="561" w:name="_Toc4457"/>
      <w:bookmarkStart w:id="562" w:name="_Toc5485"/>
      <w:bookmarkStart w:id="563" w:name="_Toc20962"/>
      <w:bookmarkStart w:id="564" w:name="_Toc24274"/>
      <w:bookmarkStart w:id="565" w:name="_Toc15080"/>
      <w:bookmarkStart w:id="566" w:name="_Toc473056009"/>
      <w:bookmarkStart w:id="567" w:name="_Toc475451559"/>
      <w:bookmarkStart w:id="568" w:name="_Toc24921"/>
      <w:bookmarkStart w:id="569" w:name="_Toc9086"/>
      <w:bookmarkStart w:id="570" w:name="_Toc12324"/>
      <w:bookmarkStart w:id="571" w:name="_Toc3620"/>
      <w:bookmarkStart w:id="572" w:name="_Toc16912"/>
      <w:r>
        <w:rPr>
          <w:rFonts w:hint="eastAsia" w:ascii="宋体" w:hAnsi="宋体" w:eastAsia="宋体" w:cs="宋体"/>
          <w:b/>
          <w:bCs/>
          <w:sz w:val="36"/>
          <w:szCs w:val="36"/>
          <w:u w:val="none"/>
          <w:lang w:val="en-US" w:eastAsia="zh-CN"/>
        </w:rPr>
        <w:t>八</w:t>
      </w:r>
      <w:r>
        <w:rPr>
          <w:rFonts w:hint="eastAsia" w:ascii="宋体" w:hAnsi="宋体" w:eastAsia="宋体" w:cs="宋体"/>
          <w:b/>
          <w:bCs/>
          <w:sz w:val="36"/>
          <w:szCs w:val="36"/>
        </w:rPr>
        <w:t>、</w:t>
      </w:r>
      <w:r>
        <w:rPr>
          <w:rFonts w:hint="eastAsia" w:ascii="宋体" w:hAnsi="宋体" w:eastAsia="宋体" w:cs="宋体"/>
          <w:b/>
          <w:bCs/>
          <w:sz w:val="36"/>
          <w:szCs w:val="36"/>
          <w:lang w:eastAsia="zh-CN"/>
        </w:rPr>
        <w:t>供应商</w:t>
      </w:r>
      <w:r>
        <w:rPr>
          <w:rFonts w:hint="eastAsia" w:ascii="宋体" w:hAnsi="宋体" w:eastAsia="宋体" w:cs="宋体"/>
          <w:b/>
          <w:bCs/>
          <w:sz w:val="36"/>
          <w:szCs w:val="36"/>
        </w:rPr>
        <w:t>认为有必要补充说明的事项</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ABCFC00">
      <w:pPr>
        <w:pStyle w:val="2"/>
        <w:bidi w:val="0"/>
        <w:jc w:val="left"/>
        <w:outlineLvl w:val="9"/>
        <w:rPr>
          <w:rFonts w:hint="eastAsia" w:ascii="宋体" w:hAnsi="宋体" w:eastAsia="宋体" w:cs="宋体"/>
          <w:lang w:eastAsia="zh-CN"/>
        </w:rPr>
      </w:pPr>
    </w:p>
    <w:p w14:paraId="6623A31D">
      <w:pPr>
        <w:pStyle w:val="9"/>
        <w:spacing w:line="484" w:lineRule="auto"/>
        <w:ind w:left="356" w:right="1267" w:firstLine="480"/>
        <w:jc w:val="both"/>
        <w:rPr>
          <w:rFonts w:hint="eastAsia" w:ascii="宋体" w:hAnsi="宋体" w:eastAsia="宋体" w:cs="宋体"/>
        </w:rPr>
      </w:pPr>
    </w:p>
    <w:sectPr>
      <w:pgSz w:w="11905" w:h="16838"/>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035D">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0967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350967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FA2D">
    <w:pPr>
      <w:pStyle w:val="9"/>
      <w:spacing w:line="14" w:lineRule="auto"/>
      <w:rPr>
        <w:sz w:val="20"/>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8756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5487567">
                    <w:pPr>
                      <w:pStyle w:val="1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1102360</wp:posOffset>
              </wp:positionH>
              <wp:positionV relativeFrom="page">
                <wp:posOffset>9769475</wp:posOffset>
              </wp:positionV>
              <wp:extent cx="1397000" cy="1397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397000" cy="139700"/>
                      </a:xfrm>
                      <a:prstGeom prst="rect">
                        <a:avLst/>
                      </a:prstGeom>
                      <a:noFill/>
                      <a:ln>
                        <a:noFill/>
                      </a:ln>
                    </wps:spPr>
                    <wps:txbx>
                      <w:txbxContent>
                        <w:p w14:paraId="53508D61">
                          <w:pPr>
                            <w:spacing w:before="0" w:line="220" w:lineRule="exact"/>
                            <w:ind w:left="20" w:right="0" w:firstLine="0"/>
                            <w:jc w:val="left"/>
                            <w:rPr>
                              <w:sz w:val="18"/>
                            </w:rPr>
                          </w:pPr>
                        </w:p>
                      </w:txbxContent>
                    </wps:txbx>
                    <wps:bodyPr lIns="0" tIns="0" rIns="0" bIns="0" upright="1"/>
                  </wps:wsp>
                </a:graphicData>
              </a:graphic>
            </wp:anchor>
          </w:drawing>
        </mc:Choice>
        <mc:Fallback>
          <w:pict>
            <v:shape id="文本框 10" o:spid="_x0000_s1026" o:spt="202" type="#_x0000_t202" style="position:absolute;left:0pt;margin-left:86.8pt;margin-top:769.25pt;height:11pt;width:110pt;mso-position-horizontal-relative:page;mso-position-vertical-relative:page;z-index:-251657216;mso-width-relative:page;mso-height-relative:page;" filled="f" stroked="f" coordsize="21600,21600" o:gfxdata="UEsDBAoAAAAAAIdO4kAAAAAAAAAAAAAAAAAEAAAAZHJzL1BLAwQUAAAACACHTuJA8UdOxdkAAAAN&#10;AQAADwAAAGRycy9kb3ducmV2LnhtbE2PzU7DMBCE70i8g7WVuFG7RAltGqdCCE5IiDQcODqxm1iN&#10;1yF2f3h7Nie47cyOZr8tdlc3sLOZgvUoYbUUwAy2XlvsJHzWr/drYCEq1GrwaCT8mAC78vamULn2&#10;F6zMeR87RiUYciWhj3HMOQ9tb5wKSz8apN3BT05FklPH9aQuVO4G/iBExp2ySBd6NZrn3rTH/clJ&#10;ePrC6sV+vzcf1aGydb0R+JYdpbxbrMQWWDTX+BeGGZ/QoSSmxp9QBzaQfkwyitKQJusUGEWSzWw1&#10;s5WJFHhZ8P9flL9QSwMEFAAAAAgAh07iQMb5w+21AQAAdAMAAA4AAABkcnMvZTJvRG9jLnhtbK1T&#10;S44TMRDdI3EHy3vSnSDxaaUz0igahIQAaeAAjttOW7JdlstJdy4AN2DFhj3nyjkou/OBYTOL2bjr&#10;51f1XrmXN6OzbK8iGvAtn89qzpSX0Bm/bfnXL3cv3nCGSfhOWPCq5QeF/Gb1/NlyCI1aQA+2U5ER&#10;iMdmCC3vUwpNVaHslRM4g6A8JTVEJxK5cVt1UQyE7my1qOtX1QCxCxGkQqToekryE2J8DCBobaRa&#10;g9w55dOEGpUViShhbwLyVZlWayXTJ61RJWZbTkxTOakJ2Zt8VqulaLZRhN7I0wjiMSM84OSE8dT0&#10;ArUWSbBdNP9BOSMjIOg0k+CqiUhRhFjM6wfa3PciqMKFpMZwER2fDlZ+3H+OzHQtX9DevXC08eOP&#10;78efv4+/vrF5EWgI2FDdfaDKNN7CSM8mC5fjSMHMe9TR5S8xYpQneQ8XedWYmMyXXr59XdeUkpSb&#10;nAxTXW+HiOmdAsey0fJI6yuqiv0HTFPpuSQ383BnrC0rtP6fAGHmSHUdMVtp3IynuTfQHYiOfe9J&#10;zPwwzkY8G5uzsQvRbHsap5AukLSMMvfp4eRt/+2XxtefZf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UdOxdkAAAANAQAADwAAAAAAAAABACAAAAAiAAAAZHJzL2Rvd25yZXYueG1sUEsBAhQAFAAA&#10;AAgAh07iQMb5w+21AQAAdAMAAA4AAAAAAAAAAQAgAAAAKAEAAGRycy9lMm9Eb2MueG1sUEsFBgAA&#10;AAAGAAYAWQEAAE8FAAAAAA==&#10;">
              <v:fill on="f" focussize="0,0"/>
              <v:stroke on="f"/>
              <v:imagedata o:title=""/>
              <o:lock v:ext="edit" aspectratio="f"/>
              <v:textbox inset="0mm,0mm,0mm,0mm">
                <w:txbxContent>
                  <w:p w14:paraId="53508D61">
                    <w:pPr>
                      <w:spacing w:before="0" w:line="220" w:lineRule="exact"/>
                      <w:ind w:left="20" w:right="0" w:firstLine="0"/>
                      <w:jc w:val="left"/>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17E9">
    <w:pPr>
      <w:pStyle w:val="9"/>
      <w:spacing w:line="14" w:lineRule="auto"/>
      <w:rPr>
        <w:sz w:val="20"/>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E117E">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22E117E">
                    <w:pPr>
                      <w:pStyle w:val="14"/>
                    </w:pPr>
                    <w:r>
                      <w:fldChar w:fldCharType="begin"/>
                    </w:r>
                    <w:r>
                      <w:instrText xml:space="preserve"> PAGE  \* MERGEFORMAT </w:instrText>
                    </w:r>
                    <w:r>
                      <w:fldChar w:fldCharType="separate"/>
                    </w:r>
                    <w:r>
                      <w:t>12</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1102360</wp:posOffset>
              </wp:positionH>
              <wp:positionV relativeFrom="page">
                <wp:posOffset>9769475</wp:posOffset>
              </wp:positionV>
              <wp:extent cx="1397000" cy="139700"/>
              <wp:effectExtent l="0" t="0" r="0" b="0"/>
              <wp:wrapNone/>
              <wp:docPr id="31" name="文本框 13"/>
              <wp:cNvGraphicFramePr/>
              <a:graphic xmlns:a="http://schemas.openxmlformats.org/drawingml/2006/main">
                <a:graphicData uri="http://schemas.microsoft.com/office/word/2010/wordprocessingShape">
                  <wps:wsp>
                    <wps:cNvSpPr txBox="1"/>
                    <wps:spPr>
                      <a:xfrm>
                        <a:off x="0" y="0"/>
                        <a:ext cx="1397000" cy="139700"/>
                      </a:xfrm>
                      <a:prstGeom prst="rect">
                        <a:avLst/>
                      </a:prstGeom>
                      <a:noFill/>
                      <a:ln>
                        <a:noFill/>
                      </a:ln>
                    </wps:spPr>
                    <wps:txbx>
                      <w:txbxContent>
                        <w:p w14:paraId="2F3D9807">
                          <w:pPr>
                            <w:spacing w:before="0" w:line="220" w:lineRule="exact"/>
                            <w:ind w:left="20" w:right="0" w:firstLine="0"/>
                            <w:jc w:val="left"/>
                            <w:rPr>
                              <w:sz w:val="18"/>
                            </w:rPr>
                          </w:pPr>
                        </w:p>
                      </w:txbxContent>
                    </wps:txbx>
                    <wps:bodyPr lIns="0" tIns="0" rIns="0" bIns="0" upright="1"/>
                  </wps:wsp>
                </a:graphicData>
              </a:graphic>
            </wp:anchor>
          </w:drawing>
        </mc:Choice>
        <mc:Fallback>
          <w:pict>
            <v:shape id="文本框 13" o:spid="_x0000_s1026" o:spt="202" type="#_x0000_t202" style="position:absolute;left:0pt;margin-left:86.8pt;margin-top:769.25pt;height:11pt;width:110pt;mso-position-horizontal-relative:page;mso-position-vertical-relative:page;z-index:-251656192;mso-width-relative:page;mso-height-relative:page;" filled="f" stroked="f" coordsize="21600,21600" o:gfxdata="UEsDBAoAAAAAAIdO4kAAAAAAAAAAAAAAAAAEAAAAZHJzL1BLAwQUAAAACACHTuJA8UdOxdkAAAAN&#10;AQAADwAAAGRycy9kb3ducmV2LnhtbE2PzU7DMBCE70i8g7WVuFG7RAltGqdCCE5IiDQcODqxm1iN&#10;1yF2f3h7Nie47cyOZr8tdlc3sLOZgvUoYbUUwAy2XlvsJHzWr/drYCEq1GrwaCT8mAC78vamULn2&#10;F6zMeR87RiUYciWhj3HMOQ9tb5wKSz8apN3BT05FklPH9aQuVO4G/iBExp2ySBd6NZrn3rTH/clJ&#10;ePrC6sV+vzcf1aGydb0R+JYdpbxbrMQWWDTX+BeGGZ/QoSSmxp9QBzaQfkwyitKQJusUGEWSzWw1&#10;s5WJFHhZ8P9flL9QSwMEFAAAAAgAh07iQPOfSAi3AQAAdAMAAA4AAABkcnMvZTJvRG9jLnhtbK1T&#10;S27bMBDdF8gdCO5ryjHQtILlAIWRoECRFkhzAJoiLQL8YUhb8gXaG3TVTfc9l8/RIWU5bbLJIhtq&#10;fnwz7w21vB6sIXsJUXvX0PmsokQ64Vvttg19+Hbz9j0lMXHXcuOdbOhBRnq9uniz7EMtL33nTSuB&#10;IIiLdR8a2qUUasai6KTlceaDdJhUHixP6MKWtcB7RLeGXVbVO9Z7aAN4IWPE6HpM0hMivATQK6WF&#10;XHuxs9KlERWk4QkpxU6HSFdlWqWkSF+UijIR01BkmsqJTdDe5JOtlrzeAg+dFqcR+EtGeMLJcu2w&#10;6RlqzRMnO9DPoKwW4KNXaSa8ZSORogiymFdPtLnveJCFC0odw1n0+Hqw4m7/FYhuG7qYU+K4xY0f&#10;f/44/vpz/P2dzBdZoD7EGuvuA1am4aMf8NlM8YjBzHtQYPMXGRHMo7yHs7xySETkS4sPV1WFKYG5&#10;0ckw7PF2gJhupbckGw0FXF9Rle8/xzSWTiW5mfM32piyQuP+CyBmjrA8+jhittKwGU58Nr49IB3z&#10;yaGY+WFMBkzGZjJ2AfS2w3EK6QKJyyhznx5O3va/fmn8+LO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R07F2QAAAA0BAAAPAAAAAAAAAAEAIAAAACIAAABkcnMvZG93bnJldi54bWxQSwECFAAU&#10;AAAACACHTuJA859ICLcBAAB0AwAADgAAAAAAAAABACAAAAAoAQAAZHJzL2Uyb0RvYy54bWxQSwUG&#10;AAAAAAYABgBZAQAAUQUAAAAA&#10;">
              <v:fill on="f" focussize="0,0"/>
              <v:stroke on="f"/>
              <v:imagedata o:title=""/>
              <o:lock v:ext="edit" aspectratio="f"/>
              <v:textbox inset="0mm,0mm,0mm,0mm">
                <w:txbxContent>
                  <w:p w14:paraId="2F3D9807">
                    <w:pPr>
                      <w:spacing w:before="0" w:line="220" w:lineRule="exact"/>
                      <w:ind w:left="20" w:right="0" w:firstLine="0"/>
                      <w:jc w:val="left"/>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6143">
    <w:pPr>
      <w:pStyle w:val="14"/>
      <w:tabs>
        <w:tab w:val="left" w:pos="5438"/>
        <w:tab w:val="clear" w:pos="4153"/>
      </w:tabs>
      <w:jc w:val="left"/>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4792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5947924">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F2C7">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DF6F4">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A0DF6F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4BAC">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D9BB3">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BD9BB3">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1A551">
    <w:pPr>
      <w:pStyle w:val="14"/>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97DE3">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3E97DE3">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924D">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94257">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994257">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CD7C">
    <w:pPr>
      <w:pStyle w:val="15"/>
      <w:pBdr>
        <w:bottom w:val="none" w:color="auto" w:sz="0" w:space="1"/>
      </w:pBdr>
      <w:ind w:left="0" w:leftChars="0" w:firstLine="0" w:firstLineChars="0"/>
      <w:jc w:val="lef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E2D3">
    <w:pPr>
      <w:pStyle w:val="15"/>
      <w:pBdr>
        <w:bottom w:val="none" w:color="auto" w:sz="0" w:space="1"/>
      </w:pBdr>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B90C">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multilevel"/>
    <w:tmpl w:val="DCBA6B53"/>
    <w:lvl w:ilvl="0" w:tentative="0">
      <w:start w:val="25"/>
      <w:numFmt w:val="decimal"/>
      <w:lvlText w:val="%1"/>
      <w:lvlJc w:val="left"/>
      <w:pPr>
        <w:ind w:left="356" w:hanging="600"/>
        <w:jc w:val="left"/>
      </w:pPr>
      <w:rPr>
        <w:rFonts w:hint="default"/>
        <w:lang w:val="zh-CN" w:eastAsia="zh-CN" w:bidi="zh-CN"/>
      </w:rPr>
    </w:lvl>
    <w:lvl w:ilvl="1" w:tentative="0">
      <w:start w:val="1"/>
      <w:numFmt w:val="decimal"/>
      <w:lvlText w:val="%1.%2"/>
      <w:lvlJc w:val="left"/>
      <w:pPr>
        <w:ind w:left="356" w:hanging="600"/>
        <w:jc w:val="left"/>
      </w:pPr>
      <w:rPr>
        <w:rFonts w:hint="default" w:ascii="仿宋" w:hAnsi="仿宋" w:eastAsia="仿宋" w:cs="仿宋"/>
        <w:spacing w:val="-16"/>
        <w:w w:val="100"/>
        <w:sz w:val="24"/>
        <w:szCs w:val="24"/>
        <w:lang w:val="zh-CN" w:eastAsia="zh-CN" w:bidi="zh-CN"/>
      </w:rPr>
    </w:lvl>
    <w:lvl w:ilvl="2" w:tentative="0">
      <w:start w:val="0"/>
      <w:numFmt w:val="bullet"/>
      <w:lvlText w:val="•"/>
      <w:lvlJc w:val="left"/>
      <w:pPr>
        <w:ind w:left="2293" w:hanging="600"/>
      </w:pPr>
      <w:rPr>
        <w:rFonts w:hint="default"/>
        <w:lang w:val="zh-CN" w:eastAsia="zh-CN" w:bidi="zh-CN"/>
      </w:rPr>
    </w:lvl>
    <w:lvl w:ilvl="3" w:tentative="0">
      <w:start w:val="0"/>
      <w:numFmt w:val="bullet"/>
      <w:lvlText w:val="•"/>
      <w:lvlJc w:val="left"/>
      <w:pPr>
        <w:ind w:left="3259" w:hanging="600"/>
      </w:pPr>
      <w:rPr>
        <w:rFonts w:hint="default"/>
        <w:lang w:val="zh-CN" w:eastAsia="zh-CN" w:bidi="zh-CN"/>
      </w:rPr>
    </w:lvl>
    <w:lvl w:ilvl="4" w:tentative="0">
      <w:start w:val="0"/>
      <w:numFmt w:val="bullet"/>
      <w:lvlText w:val="•"/>
      <w:lvlJc w:val="left"/>
      <w:pPr>
        <w:ind w:left="4226" w:hanging="600"/>
      </w:pPr>
      <w:rPr>
        <w:rFonts w:hint="default"/>
        <w:lang w:val="zh-CN" w:eastAsia="zh-CN" w:bidi="zh-CN"/>
      </w:rPr>
    </w:lvl>
    <w:lvl w:ilvl="5" w:tentative="0">
      <w:start w:val="0"/>
      <w:numFmt w:val="bullet"/>
      <w:lvlText w:val="•"/>
      <w:lvlJc w:val="left"/>
      <w:pPr>
        <w:ind w:left="5193" w:hanging="600"/>
      </w:pPr>
      <w:rPr>
        <w:rFonts w:hint="default"/>
        <w:lang w:val="zh-CN" w:eastAsia="zh-CN" w:bidi="zh-CN"/>
      </w:rPr>
    </w:lvl>
    <w:lvl w:ilvl="6" w:tentative="0">
      <w:start w:val="0"/>
      <w:numFmt w:val="bullet"/>
      <w:lvlText w:val="•"/>
      <w:lvlJc w:val="left"/>
      <w:pPr>
        <w:ind w:left="6159" w:hanging="600"/>
      </w:pPr>
      <w:rPr>
        <w:rFonts w:hint="default"/>
        <w:lang w:val="zh-CN" w:eastAsia="zh-CN" w:bidi="zh-CN"/>
      </w:rPr>
    </w:lvl>
    <w:lvl w:ilvl="7" w:tentative="0">
      <w:start w:val="0"/>
      <w:numFmt w:val="bullet"/>
      <w:lvlText w:val="•"/>
      <w:lvlJc w:val="left"/>
      <w:pPr>
        <w:ind w:left="7126" w:hanging="600"/>
      </w:pPr>
      <w:rPr>
        <w:rFonts w:hint="default"/>
        <w:lang w:val="zh-CN" w:eastAsia="zh-CN" w:bidi="zh-CN"/>
      </w:rPr>
    </w:lvl>
    <w:lvl w:ilvl="8" w:tentative="0">
      <w:start w:val="0"/>
      <w:numFmt w:val="bullet"/>
      <w:lvlText w:val="•"/>
      <w:lvlJc w:val="left"/>
      <w:pPr>
        <w:ind w:left="8092" w:hanging="600"/>
      </w:pPr>
      <w:rPr>
        <w:rFonts w:hint="default"/>
        <w:lang w:val="zh-CN" w:eastAsia="zh-CN" w:bidi="zh-CN"/>
      </w:rPr>
    </w:lvl>
  </w:abstractNum>
  <w:abstractNum w:abstractNumId="1">
    <w:nsid w:val="EB605395"/>
    <w:multiLevelType w:val="singleLevel"/>
    <w:tmpl w:val="EB605395"/>
    <w:lvl w:ilvl="0" w:tentative="0">
      <w:start w:val="1"/>
      <w:numFmt w:val="decimal"/>
      <w:suff w:val="nothing"/>
      <w:lvlText w:val="（%1）"/>
      <w:lvlJc w:val="left"/>
    </w:lvl>
  </w:abstractNum>
  <w:abstractNum w:abstractNumId="2">
    <w:nsid w:val="F4B5D9F5"/>
    <w:multiLevelType w:val="multilevel"/>
    <w:tmpl w:val="F4B5D9F5"/>
    <w:lvl w:ilvl="0" w:tentative="0">
      <w:start w:val="23"/>
      <w:numFmt w:val="decimal"/>
      <w:lvlText w:val="%1"/>
      <w:lvlJc w:val="left"/>
      <w:pPr>
        <w:ind w:left="356" w:hanging="600"/>
        <w:jc w:val="left"/>
      </w:pPr>
      <w:rPr>
        <w:rFonts w:hint="default"/>
        <w:lang w:val="zh-CN" w:eastAsia="zh-CN" w:bidi="zh-CN"/>
      </w:rPr>
    </w:lvl>
    <w:lvl w:ilvl="1" w:tentative="0">
      <w:start w:val="1"/>
      <w:numFmt w:val="decimal"/>
      <w:lvlText w:val="%1.%2"/>
      <w:lvlJc w:val="left"/>
      <w:pPr>
        <w:ind w:left="356" w:hanging="600"/>
        <w:jc w:val="left"/>
      </w:pPr>
      <w:rPr>
        <w:rFonts w:hint="default" w:ascii="仿宋" w:hAnsi="仿宋" w:eastAsia="仿宋" w:cs="仿宋"/>
        <w:spacing w:val="-15"/>
        <w:w w:val="100"/>
        <w:sz w:val="24"/>
        <w:szCs w:val="24"/>
        <w:lang w:val="zh-CN" w:eastAsia="zh-CN" w:bidi="zh-CN"/>
      </w:rPr>
    </w:lvl>
    <w:lvl w:ilvl="2" w:tentative="0">
      <w:start w:val="0"/>
      <w:numFmt w:val="bullet"/>
      <w:lvlText w:val="•"/>
      <w:lvlJc w:val="left"/>
      <w:pPr>
        <w:ind w:left="2293" w:hanging="600"/>
      </w:pPr>
      <w:rPr>
        <w:rFonts w:hint="default"/>
        <w:lang w:val="zh-CN" w:eastAsia="zh-CN" w:bidi="zh-CN"/>
      </w:rPr>
    </w:lvl>
    <w:lvl w:ilvl="3" w:tentative="0">
      <w:start w:val="0"/>
      <w:numFmt w:val="bullet"/>
      <w:lvlText w:val="•"/>
      <w:lvlJc w:val="left"/>
      <w:pPr>
        <w:ind w:left="3259" w:hanging="600"/>
      </w:pPr>
      <w:rPr>
        <w:rFonts w:hint="default"/>
        <w:lang w:val="zh-CN" w:eastAsia="zh-CN" w:bidi="zh-CN"/>
      </w:rPr>
    </w:lvl>
    <w:lvl w:ilvl="4" w:tentative="0">
      <w:start w:val="0"/>
      <w:numFmt w:val="bullet"/>
      <w:lvlText w:val="•"/>
      <w:lvlJc w:val="left"/>
      <w:pPr>
        <w:ind w:left="4226" w:hanging="600"/>
      </w:pPr>
      <w:rPr>
        <w:rFonts w:hint="default"/>
        <w:lang w:val="zh-CN" w:eastAsia="zh-CN" w:bidi="zh-CN"/>
      </w:rPr>
    </w:lvl>
    <w:lvl w:ilvl="5" w:tentative="0">
      <w:start w:val="0"/>
      <w:numFmt w:val="bullet"/>
      <w:lvlText w:val="•"/>
      <w:lvlJc w:val="left"/>
      <w:pPr>
        <w:ind w:left="5193" w:hanging="600"/>
      </w:pPr>
      <w:rPr>
        <w:rFonts w:hint="default"/>
        <w:lang w:val="zh-CN" w:eastAsia="zh-CN" w:bidi="zh-CN"/>
      </w:rPr>
    </w:lvl>
    <w:lvl w:ilvl="6" w:tentative="0">
      <w:start w:val="0"/>
      <w:numFmt w:val="bullet"/>
      <w:lvlText w:val="•"/>
      <w:lvlJc w:val="left"/>
      <w:pPr>
        <w:ind w:left="6159" w:hanging="600"/>
      </w:pPr>
      <w:rPr>
        <w:rFonts w:hint="default"/>
        <w:lang w:val="zh-CN" w:eastAsia="zh-CN" w:bidi="zh-CN"/>
      </w:rPr>
    </w:lvl>
    <w:lvl w:ilvl="7" w:tentative="0">
      <w:start w:val="0"/>
      <w:numFmt w:val="bullet"/>
      <w:lvlText w:val="•"/>
      <w:lvlJc w:val="left"/>
      <w:pPr>
        <w:ind w:left="7126" w:hanging="600"/>
      </w:pPr>
      <w:rPr>
        <w:rFonts w:hint="default"/>
        <w:lang w:val="zh-CN" w:eastAsia="zh-CN" w:bidi="zh-CN"/>
      </w:rPr>
    </w:lvl>
    <w:lvl w:ilvl="8" w:tentative="0">
      <w:start w:val="0"/>
      <w:numFmt w:val="bullet"/>
      <w:lvlText w:val="•"/>
      <w:lvlJc w:val="left"/>
      <w:pPr>
        <w:ind w:left="8092" w:hanging="600"/>
      </w:pPr>
      <w:rPr>
        <w:rFonts w:hint="default"/>
        <w:lang w:val="zh-CN" w:eastAsia="zh-CN" w:bidi="zh-CN"/>
      </w:rPr>
    </w:lvl>
  </w:abstractNum>
  <w:abstractNum w:abstractNumId="3">
    <w:nsid w:val="2481E4CA"/>
    <w:multiLevelType w:val="singleLevel"/>
    <w:tmpl w:val="2481E4CA"/>
    <w:lvl w:ilvl="0" w:tentative="0">
      <w:start w:val="1"/>
      <w:numFmt w:val="decimal"/>
      <w:lvlText w:val="%1."/>
      <w:lvlJc w:val="left"/>
      <w:pPr>
        <w:tabs>
          <w:tab w:val="left" w:pos="312"/>
        </w:tabs>
      </w:pPr>
    </w:lvl>
  </w:abstractNum>
  <w:abstractNum w:abstractNumId="4">
    <w:nsid w:val="24ECD3A0"/>
    <w:multiLevelType w:val="singleLevel"/>
    <w:tmpl w:val="24ECD3A0"/>
    <w:lvl w:ilvl="0" w:tentative="0">
      <w:start w:val="1"/>
      <w:numFmt w:val="decimal"/>
      <w:suff w:val="nothing"/>
      <w:lvlText w:val="（%1）"/>
      <w:lvlJc w:val="left"/>
    </w:lvl>
  </w:abstractNum>
  <w:abstractNum w:abstractNumId="5">
    <w:nsid w:val="25B654F3"/>
    <w:multiLevelType w:val="multilevel"/>
    <w:tmpl w:val="25B654F3"/>
    <w:lvl w:ilvl="0" w:tentative="0">
      <w:start w:val="1"/>
      <w:numFmt w:val="decimal"/>
      <w:lvlText w:val="%1."/>
      <w:lvlJc w:val="left"/>
      <w:pPr>
        <w:ind w:left="719" w:hanging="363"/>
        <w:jc w:val="left"/>
      </w:pPr>
      <w:rPr>
        <w:rFonts w:hint="default" w:ascii="仿宋" w:hAnsi="仿宋" w:eastAsia="仿宋" w:cs="仿宋"/>
        <w:b/>
        <w:bCs/>
        <w:spacing w:val="0"/>
        <w:w w:val="99"/>
        <w:sz w:val="24"/>
        <w:szCs w:val="24"/>
        <w:lang w:val="zh-CN" w:eastAsia="zh-CN" w:bidi="zh-CN"/>
      </w:rPr>
    </w:lvl>
    <w:lvl w:ilvl="1" w:tentative="0">
      <w:start w:val="1"/>
      <w:numFmt w:val="decimal"/>
      <w:lvlText w:val="%1.%2"/>
      <w:lvlJc w:val="left"/>
      <w:pPr>
        <w:ind w:left="836"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07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080" w:hanging="720"/>
      </w:pPr>
      <w:rPr>
        <w:rFonts w:hint="default"/>
        <w:lang w:val="zh-CN" w:eastAsia="zh-CN" w:bidi="zh-CN"/>
      </w:rPr>
    </w:lvl>
    <w:lvl w:ilvl="4" w:tentative="0">
      <w:start w:val="0"/>
      <w:numFmt w:val="bullet"/>
      <w:lvlText w:val="•"/>
      <w:lvlJc w:val="left"/>
      <w:pPr>
        <w:ind w:left="3500" w:hanging="720"/>
      </w:pPr>
      <w:rPr>
        <w:rFonts w:hint="default"/>
        <w:lang w:val="zh-CN" w:eastAsia="zh-CN" w:bidi="zh-CN"/>
      </w:rPr>
    </w:lvl>
    <w:lvl w:ilvl="5" w:tentative="0">
      <w:start w:val="0"/>
      <w:numFmt w:val="bullet"/>
      <w:lvlText w:val="•"/>
      <w:lvlJc w:val="left"/>
      <w:pPr>
        <w:ind w:left="4587" w:hanging="720"/>
      </w:pPr>
      <w:rPr>
        <w:rFonts w:hint="default"/>
        <w:lang w:val="zh-CN" w:eastAsia="zh-CN" w:bidi="zh-CN"/>
      </w:rPr>
    </w:lvl>
    <w:lvl w:ilvl="6" w:tentative="0">
      <w:start w:val="0"/>
      <w:numFmt w:val="bullet"/>
      <w:lvlText w:val="•"/>
      <w:lvlJc w:val="left"/>
      <w:pPr>
        <w:ind w:left="5675" w:hanging="720"/>
      </w:pPr>
      <w:rPr>
        <w:rFonts w:hint="default"/>
        <w:lang w:val="zh-CN" w:eastAsia="zh-CN" w:bidi="zh-CN"/>
      </w:rPr>
    </w:lvl>
    <w:lvl w:ilvl="7" w:tentative="0">
      <w:start w:val="0"/>
      <w:numFmt w:val="bullet"/>
      <w:lvlText w:val="•"/>
      <w:lvlJc w:val="left"/>
      <w:pPr>
        <w:ind w:left="6763" w:hanging="720"/>
      </w:pPr>
      <w:rPr>
        <w:rFonts w:hint="default"/>
        <w:lang w:val="zh-CN" w:eastAsia="zh-CN" w:bidi="zh-CN"/>
      </w:rPr>
    </w:lvl>
    <w:lvl w:ilvl="8" w:tentative="0">
      <w:start w:val="0"/>
      <w:numFmt w:val="bullet"/>
      <w:lvlText w:val="•"/>
      <w:lvlJc w:val="left"/>
      <w:pPr>
        <w:ind w:left="7850" w:hanging="720"/>
      </w:pPr>
      <w:rPr>
        <w:rFonts w:hint="default"/>
        <w:lang w:val="zh-CN" w:eastAsia="zh-CN" w:bidi="zh-CN"/>
      </w:rPr>
    </w:lvl>
  </w:abstractNum>
  <w:abstractNum w:abstractNumId="6">
    <w:nsid w:val="4D04E20A"/>
    <w:multiLevelType w:val="singleLevel"/>
    <w:tmpl w:val="4D04E20A"/>
    <w:lvl w:ilvl="0" w:tentative="0">
      <w:start w:val="1"/>
      <w:numFmt w:val="chineseCounting"/>
      <w:suff w:val="nothing"/>
      <w:lvlText w:val="%1、"/>
      <w:lvlJc w:val="left"/>
      <w:rPr>
        <w:rFonts w:hint="eastAsia"/>
      </w:rPr>
    </w:lvl>
  </w:abstractNum>
  <w:abstractNum w:abstractNumId="7">
    <w:nsid w:val="53266E36"/>
    <w:multiLevelType w:val="singleLevel"/>
    <w:tmpl w:val="53266E36"/>
    <w:lvl w:ilvl="0" w:tentative="0">
      <w:start w:val="31"/>
      <w:numFmt w:val="decimal"/>
      <w:suff w:val="nothing"/>
      <w:lvlText w:val="%1、"/>
      <w:lvlJc w:val="left"/>
    </w:lvl>
  </w:abstractNum>
  <w:abstractNum w:abstractNumId="8">
    <w:nsid w:val="74647F25"/>
    <w:multiLevelType w:val="singleLevel"/>
    <w:tmpl w:val="74647F25"/>
    <w:lvl w:ilvl="0" w:tentative="0">
      <w:start w:val="2"/>
      <w:numFmt w:val="chineseCounting"/>
      <w:suff w:val="nothing"/>
      <w:lvlText w:val="%1、"/>
      <w:lvlJc w:val="left"/>
      <w:rPr>
        <w:rFonts w:hint="eastAsia"/>
      </w:r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7"/>
  </w:num>
  <w:num w:numId="8">
    <w:abstractNumId w:val="6"/>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听说">
    <w15:presenceInfo w15:providerId="WPS Office" w15:userId="3494975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720"/>
  <w:drawingGridHorizontalSpacing w:val="240"/>
  <w:drawingGridVerticalSpacing w:val="166"/>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OWJhNzYzYTBmNjA0NmZlMjQ3MDgwOTNhMjhhYjMifQ=="/>
  </w:docVars>
  <w:rsids>
    <w:rsidRoot w:val="00000000"/>
    <w:rsid w:val="0139540B"/>
    <w:rsid w:val="05A36244"/>
    <w:rsid w:val="063D6F1D"/>
    <w:rsid w:val="08056997"/>
    <w:rsid w:val="089D4136"/>
    <w:rsid w:val="0BB023D2"/>
    <w:rsid w:val="0C122745"/>
    <w:rsid w:val="0D074274"/>
    <w:rsid w:val="0F7F6343"/>
    <w:rsid w:val="0FAC2C2F"/>
    <w:rsid w:val="144931CD"/>
    <w:rsid w:val="150F76A7"/>
    <w:rsid w:val="167D1E90"/>
    <w:rsid w:val="17683A50"/>
    <w:rsid w:val="18E211A5"/>
    <w:rsid w:val="1F5C3DB2"/>
    <w:rsid w:val="21BB43D2"/>
    <w:rsid w:val="24F92F4B"/>
    <w:rsid w:val="251018AA"/>
    <w:rsid w:val="252979A8"/>
    <w:rsid w:val="2561234F"/>
    <w:rsid w:val="25733D33"/>
    <w:rsid w:val="25C02408"/>
    <w:rsid w:val="29A84037"/>
    <w:rsid w:val="2AAB46FD"/>
    <w:rsid w:val="2AB7650F"/>
    <w:rsid w:val="2C877E1F"/>
    <w:rsid w:val="2D0C5F8C"/>
    <w:rsid w:val="2D6818BC"/>
    <w:rsid w:val="2DE52038"/>
    <w:rsid w:val="33845323"/>
    <w:rsid w:val="34F33242"/>
    <w:rsid w:val="38013BB4"/>
    <w:rsid w:val="3AF91BBF"/>
    <w:rsid w:val="3B0B5B76"/>
    <w:rsid w:val="3BCF197B"/>
    <w:rsid w:val="3BD413C1"/>
    <w:rsid w:val="44AF2276"/>
    <w:rsid w:val="45DD420F"/>
    <w:rsid w:val="49BA174B"/>
    <w:rsid w:val="4B4418E1"/>
    <w:rsid w:val="4B46598C"/>
    <w:rsid w:val="4DD64745"/>
    <w:rsid w:val="4F412739"/>
    <w:rsid w:val="55931ABA"/>
    <w:rsid w:val="56084EDE"/>
    <w:rsid w:val="56313643"/>
    <w:rsid w:val="566C0F27"/>
    <w:rsid w:val="57070095"/>
    <w:rsid w:val="579A7154"/>
    <w:rsid w:val="579E4A30"/>
    <w:rsid w:val="57C914C0"/>
    <w:rsid w:val="58884C78"/>
    <w:rsid w:val="5959311B"/>
    <w:rsid w:val="5A441653"/>
    <w:rsid w:val="5BF46A15"/>
    <w:rsid w:val="6279018F"/>
    <w:rsid w:val="65555DEC"/>
    <w:rsid w:val="689D3219"/>
    <w:rsid w:val="69AD6E37"/>
    <w:rsid w:val="6C3A5B21"/>
    <w:rsid w:val="6C983716"/>
    <w:rsid w:val="6D01317F"/>
    <w:rsid w:val="7090152D"/>
    <w:rsid w:val="72783E03"/>
    <w:rsid w:val="743438CC"/>
    <w:rsid w:val="758A4F78"/>
    <w:rsid w:val="7C970BF6"/>
    <w:rsid w:val="7FF968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360" w:lineRule="auto"/>
      <w:ind w:left="0" w:right="0" w:firstLine="1446" w:firstLineChars="200"/>
      <w:jc w:val="left"/>
    </w:pPr>
    <w:rPr>
      <w:rFonts w:ascii="仿宋" w:hAnsi="仿宋" w:eastAsia="宋体" w:cs="仿宋"/>
      <w:sz w:val="24"/>
      <w:szCs w:val="22"/>
      <w:lang w:val="zh-CN" w:eastAsia="zh-CN" w:bidi="zh-CN"/>
    </w:rPr>
  </w:style>
  <w:style w:type="paragraph" w:styleId="2">
    <w:name w:val="heading 1"/>
    <w:basedOn w:val="1"/>
    <w:next w:val="1"/>
    <w:qFormat/>
    <w:uiPriority w:val="1"/>
    <w:pPr>
      <w:spacing w:before="1"/>
      <w:ind w:right="807"/>
      <w:jc w:val="center"/>
      <w:outlineLvl w:val="0"/>
    </w:pPr>
    <w:rPr>
      <w:rFonts w:eastAsia="宋体"/>
      <w:b/>
      <w:bCs/>
      <w:sz w:val="36"/>
      <w:szCs w:val="44"/>
    </w:rPr>
  </w:style>
  <w:style w:type="paragraph" w:styleId="3">
    <w:name w:val="heading 2"/>
    <w:basedOn w:val="1"/>
    <w:next w:val="1"/>
    <w:qFormat/>
    <w:uiPriority w:val="1"/>
    <w:pPr>
      <w:spacing w:before="49"/>
      <w:ind w:left="356"/>
      <w:jc w:val="center"/>
      <w:outlineLvl w:val="1"/>
    </w:pPr>
    <w:rPr>
      <w:rFonts w:eastAsia="宋体"/>
      <w:b/>
      <w:bCs/>
      <w:sz w:val="36"/>
      <w:szCs w:val="36"/>
    </w:rPr>
  </w:style>
  <w:style w:type="paragraph" w:styleId="4">
    <w:name w:val="heading 3"/>
    <w:basedOn w:val="1"/>
    <w:next w:val="1"/>
    <w:qFormat/>
    <w:uiPriority w:val="1"/>
    <w:pPr>
      <w:ind w:right="0" w:firstLine="0" w:firstLineChars="0"/>
      <w:jc w:val="left"/>
      <w:outlineLvl w:val="2"/>
    </w:pPr>
    <w:rPr>
      <w:rFonts w:eastAsia="宋体"/>
      <w:b/>
      <w:bCs/>
      <w:sz w:val="28"/>
      <w:szCs w:val="32"/>
    </w:rPr>
  </w:style>
  <w:style w:type="paragraph" w:styleId="5">
    <w:name w:val="heading 4"/>
    <w:basedOn w:val="1"/>
    <w:next w:val="1"/>
    <w:qFormat/>
    <w:uiPriority w:val="1"/>
    <w:pPr>
      <w:spacing w:before="44"/>
      <w:ind w:left="2334"/>
      <w:outlineLvl w:val="4"/>
    </w:pPr>
    <w:rPr>
      <w:rFonts w:ascii="仿宋" w:hAnsi="仿宋" w:eastAsia="仿宋" w:cs="仿宋"/>
      <w:b/>
      <w:bCs/>
      <w:sz w:val="28"/>
      <w:szCs w:val="28"/>
      <w:lang w:val="zh-CN" w:eastAsia="zh-CN" w:bidi="zh-CN"/>
    </w:rPr>
  </w:style>
  <w:style w:type="paragraph" w:styleId="6">
    <w:name w:val="heading 5"/>
    <w:basedOn w:val="1"/>
    <w:next w:val="1"/>
    <w:qFormat/>
    <w:uiPriority w:val="1"/>
    <w:pPr>
      <w:ind w:left="356"/>
      <w:outlineLvl w:val="5"/>
    </w:pPr>
    <w:rPr>
      <w:rFonts w:ascii="楷体" w:hAnsi="楷体" w:eastAsia="楷体" w:cs="楷体"/>
      <w:sz w:val="28"/>
      <w:szCs w:val="28"/>
      <w:lang w:val="zh-CN" w:eastAsia="zh-CN" w:bidi="zh-CN"/>
    </w:rPr>
  </w:style>
  <w:style w:type="paragraph" w:styleId="7">
    <w:name w:val="heading 6"/>
    <w:basedOn w:val="1"/>
    <w:next w:val="1"/>
    <w:qFormat/>
    <w:uiPriority w:val="1"/>
    <w:pPr>
      <w:ind w:left="356"/>
      <w:outlineLvl w:val="5"/>
    </w:pPr>
    <w:rPr>
      <w:rFonts w:eastAsia="宋体"/>
      <w:b/>
      <w:bCs/>
      <w:szCs w:val="24"/>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99"/>
    <w:pPr>
      <w:jc w:val="left"/>
    </w:pPr>
  </w:style>
  <w:style w:type="paragraph" w:styleId="9">
    <w:name w:val="Body Text"/>
    <w:basedOn w:val="1"/>
    <w:qFormat/>
    <w:uiPriority w:val="1"/>
    <w:pPr>
      <w:spacing w:line="360" w:lineRule="auto"/>
    </w:pPr>
    <w:rPr>
      <w:sz w:val="24"/>
      <w:szCs w:val="24"/>
    </w:rPr>
  </w:style>
  <w:style w:type="paragraph" w:styleId="10">
    <w:name w:val="index 4"/>
    <w:basedOn w:val="1"/>
    <w:next w:val="1"/>
    <w:unhideWhenUsed/>
    <w:qFormat/>
    <w:uiPriority w:val="99"/>
    <w:pPr>
      <w:ind w:left="428" w:firstLine="140"/>
    </w:p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cs="Courier New"/>
      <w:szCs w:val="21"/>
    </w:rPr>
  </w:style>
  <w:style w:type="paragraph" w:styleId="13">
    <w:name w:val="Date"/>
    <w:basedOn w:val="1"/>
    <w:next w:val="1"/>
    <w:qFormat/>
    <w:uiPriority w:val="99"/>
    <w:pPr>
      <w:ind w:left="100" w:leftChars="25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1"/>
    <w:pPr>
      <w:spacing w:before="124"/>
      <w:ind w:left="356"/>
    </w:pPr>
    <w:rPr>
      <w:rFonts w:ascii="仿宋" w:hAnsi="仿宋" w:eastAsia="仿宋" w:cs="仿宋"/>
      <w:b/>
      <w:bCs/>
      <w:sz w:val="22"/>
      <w:szCs w:val="22"/>
      <w:lang w:val="zh-CN" w:eastAsia="zh-CN" w:bidi="zh-CN"/>
    </w:rPr>
  </w:style>
  <w:style w:type="paragraph" w:styleId="17">
    <w:name w:val="toc 2"/>
    <w:basedOn w:val="1"/>
    <w:next w:val="1"/>
    <w:qFormat/>
    <w:uiPriority w:val="1"/>
    <w:pPr>
      <w:spacing w:before="124"/>
      <w:ind w:left="356"/>
    </w:pPr>
    <w:rPr>
      <w:rFonts w:ascii="仿宋" w:hAnsi="仿宋" w:eastAsia="仿宋" w:cs="仿宋"/>
      <w:b/>
      <w:bCs/>
      <w:sz w:val="20"/>
      <w:szCs w:val="20"/>
      <w:lang w:val="zh-CN" w:eastAsia="zh-CN" w:bidi="zh-CN"/>
    </w:rPr>
  </w:style>
  <w:style w:type="paragraph" w:styleId="18">
    <w:name w:val="Normal (Web)"/>
    <w:basedOn w:val="1"/>
    <w:unhideWhenUsed/>
    <w:qFormat/>
    <w:uiPriority w:val="99"/>
    <w:pPr>
      <w:spacing w:before="100" w:beforeAutospacing="1" w:after="100" w:afterAutospacing="1"/>
      <w:jc w:val="left"/>
    </w:pPr>
    <w:rPr>
      <w:rFonts w:cs="Times New Roman"/>
      <w:kern w:val="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356"/>
    </w:pPr>
    <w:rPr>
      <w:rFonts w:ascii="仿宋" w:hAnsi="仿宋" w:eastAsia="仿宋" w:cs="仿宋"/>
      <w:lang w:val="zh-CN" w:eastAsia="zh-CN" w:bidi="zh-CN"/>
    </w:rPr>
  </w:style>
  <w:style w:type="paragraph" w:customStyle="1" w:styleId="24">
    <w:name w:val="Table Paragraph"/>
    <w:basedOn w:val="1"/>
    <w:qFormat/>
    <w:uiPriority w:val="1"/>
    <w:rPr>
      <w:rFonts w:ascii="仿宋" w:hAnsi="仿宋" w:eastAsia="仿宋" w:cs="仿宋"/>
      <w:lang w:val="zh-CN" w:eastAsia="zh-CN" w:bidi="zh-CN"/>
    </w:rPr>
  </w:style>
  <w:style w:type="paragraph" w:customStyle="1" w:styleId="25">
    <w:name w:val="表格"/>
    <w:basedOn w:val="1"/>
    <w:qFormat/>
    <w:uiPriority w:val="0"/>
    <w:pPr>
      <w:widowControl/>
      <w:pBdr>
        <w:top w:val="none" w:color="auto" w:sz="0" w:space="0"/>
        <w:left w:val="none" w:color="auto" w:sz="0" w:space="0"/>
        <w:bottom w:val="none" w:color="auto" w:sz="0" w:space="0"/>
        <w:right w:val="none" w:color="auto" w:sz="0" w:space="0"/>
      </w:pBdr>
      <w:autoSpaceDE/>
      <w:autoSpaceDN/>
      <w:ind w:firstLine="0" w:firstLineChars="0"/>
      <w:jc w:val="center"/>
      <w:outlineLvl w:val="9"/>
    </w:pPr>
    <w:rPr>
      <w:rFonts w:hint="eastAsia" w:ascii="宋体" w:hAnsi="宋体" w:eastAsia="宋体" w:cs="宋体"/>
      <w:color w:val="auto"/>
      <w:sz w:val="21"/>
      <w:szCs w:val="21"/>
      <w:shd w:val="clear" w:fill="FFFFFF"/>
      <w:lang w:val="en-US"/>
    </w:rPr>
  </w:style>
  <w:style w:type="paragraph" w:customStyle="1" w:styleId="26">
    <w:name w:val="正文自定"/>
    <w:basedOn w:val="1"/>
    <w:qFormat/>
    <w:uiPriority w:val="0"/>
    <w:pPr>
      <w:tabs>
        <w:tab w:val="left" w:pos="7665"/>
      </w:tabs>
      <w:spacing w:line="360" w:lineRule="auto"/>
      <w:ind w:firstLine="200" w:firstLineChars="200"/>
    </w:pPr>
    <w:rPr>
      <w:rFonts w:ascii="宋体"/>
      <w:sz w:val="24"/>
      <w:szCs w:val="24"/>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23680</Words>
  <Characters>25289</Characters>
  <TotalTime>25</TotalTime>
  <ScaleCrop>false</ScaleCrop>
  <LinksUpToDate>false</LinksUpToDate>
  <CharactersWithSpaces>26697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2023-05-29T02:29:00Z</dcterms:created>
  <dc:creator>赵世忠</dc:creator>
  <cp:lastModifiedBy>听说</cp:lastModifiedBy>
  <cp:lastPrinted>2023-05-30T00:35:00Z</cp:lastPrinted>
  <dcterms:modified xsi:type="dcterms:W3CDTF">2026-01-04T01:40:55Z</dcterms:modified>
  <dc:title>市地税税收宣传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WPS 文字</vt:lpwstr>
  </property>
  <property fmtid="{D5CDD505-2E9C-101B-9397-08002B2CF9AE}" pid="4" name="LastSaved">
    <vt:filetime>2023-05-29T00:00:00Z</vt:filetime>
  </property>
  <property fmtid="{D5CDD505-2E9C-101B-9397-08002B2CF9AE}" pid="5" name="KSOProductBuildVer">
    <vt:lpwstr>2052-12.1.0.24034</vt:lpwstr>
  </property>
  <property fmtid="{D5CDD505-2E9C-101B-9397-08002B2CF9AE}" pid="6" name="ICV">
    <vt:lpwstr>280252345D5441DFAEBC1E047216A346_13</vt:lpwstr>
  </property>
  <property fmtid="{D5CDD505-2E9C-101B-9397-08002B2CF9AE}" pid="7" name="KSOTemplateDocerSaveRecord">
    <vt:lpwstr>eyJoZGlkIjoiOGZhYzAwOThiZWRhYzVmOWVmZDY0ZjZlODRlY2U0NDYiLCJ1c2VySWQiOiIyMzk1NjAwNDMifQ==</vt:lpwstr>
  </property>
</Properties>
</file>