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9A7245">
      <w:pPr>
        <w:spacing w:before="140" w:line="225" w:lineRule="auto"/>
        <w:rPr>
          <w:rFonts w:hint="default" w:ascii="宋体" w:hAnsi="宋体" w:eastAsia="宋体" w:cs="宋体"/>
          <w:sz w:val="31"/>
          <w:szCs w:val="31"/>
          <w:lang w:eastAsia="zh-CN"/>
        </w:rPr>
      </w:pPr>
      <w:bookmarkStart w:id="0" w:name="_Toc23258603"/>
      <w:r>
        <w:rPr>
          <w:rFonts w:ascii="宋体" w:hAnsi="宋体" w:eastAsia="宋体" w:cs="宋体"/>
          <w:spacing w:val="15"/>
          <w:sz w:val="31"/>
          <w:szCs w:val="31"/>
          <w14:textOutline w14:w="5793" w14:cap="sq" w14:cmpd="sng">
            <w14:solidFill>
              <w14:srgbClr w14:val="000000"/>
            </w14:solidFill>
            <w14:prstDash w14:val="solid"/>
            <w14:bevel/>
          </w14:textOutline>
        </w:rPr>
        <w:t>项</w:t>
      </w:r>
      <w:r>
        <w:rPr>
          <w:rFonts w:ascii="宋体" w:hAnsi="宋体" w:eastAsia="宋体" w:cs="宋体"/>
          <w:spacing w:val="10"/>
          <w:sz w:val="31"/>
          <w:szCs w:val="31"/>
          <w14:textOutline w14:w="5793" w14:cap="sq" w14:cmpd="sng">
            <w14:solidFill>
              <w14:srgbClr w14:val="000000"/>
            </w14:solidFill>
            <w14:prstDash w14:val="solid"/>
            <w14:bevel/>
          </w14:textOutline>
        </w:rPr>
        <w:t>目编号：</w:t>
      </w:r>
      <w:r>
        <w:rPr>
          <w:rFonts w:hint="eastAsia" w:ascii="宋体" w:hAnsi="宋体" w:cs="宋体"/>
          <w:sz w:val="31"/>
          <w:szCs w:val="31"/>
          <w:lang w:eastAsia="zh-CN"/>
          <w14:textOutline w14:w="5793" w14:cap="sq" w14:cmpd="sng">
            <w14:solidFill>
              <w14:srgbClr w14:val="000000"/>
            </w14:solidFill>
            <w14:prstDash w14:val="solid"/>
            <w14:bevel/>
          </w14:textOutline>
        </w:rPr>
        <w:t>XSCG-AK2025026</w:t>
      </w:r>
    </w:p>
    <w:p w14:paraId="0453E473">
      <w:pPr>
        <w:spacing w:line="266" w:lineRule="auto"/>
        <w:rPr>
          <w:rFonts w:ascii="Arial"/>
          <w:sz w:val="21"/>
        </w:rPr>
      </w:pPr>
    </w:p>
    <w:p w14:paraId="529343E3">
      <w:pPr>
        <w:spacing w:line="266" w:lineRule="auto"/>
        <w:rPr>
          <w:rFonts w:ascii="Arial"/>
          <w:sz w:val="21"/>
        </w:rPr>
      </w:pPr>
    </w:p>
    <w:p w14:paraId="59FA418E">
      <w:pPr>
        <w:spacing w:line="267" w:lineRule="auto"/>
        <w:rPr>
          <w:rFonts w:ascii="Arial"/>
          <w:sz w:val="21"/>
        </w:rPr>
      </w:pPr>
    </w:p>
    <w:p w14:paraId="66B63069">
      <w:pPr>
        <w:spacing w:before="153" w:line="223" w:lineRule="auto"/>
        <w:jc w:val="center"/>
        <w:rPr>
          <w:rFonts w:ascii="Arial"/>
          <w:spacing w:val="0"/>
          <w:sz w:val="44"/>
          <w:szCs w:val="44"/>
        </w:rPr>
      </w:pPr>
      <w:r>
        <w:rPr>
          <w:rFonts w:hint="eastAsia" w:ascii="宋体" w:hAnsi="宋体" w:cs="宋体"/>
          <w:spacing w:val="0"/>
          <w:sz w:val="44"/>
          <w:szCs w:val="44"/>
          <w:lang w:eastAsia="zh-CN"/>
          <w14:textOutline w14:w="8717" w14:cap="sq" w14:cmpd="sng">
            <w14:solidFill>
              <w14:srgbClr w14:val="000000"/>
            </w14:solidFill>
            <w14:prstDash w14:val="solid"/>
            <w14:bevel/>
          </w14:textOutline>
        </w:rPr>
        <w:t>安康市中心医院医疗质量管理平台采购项目</w:t>
      </w:r>
    </w:p>
    <w:p w14:paraId="6453E93F">
      <w:pPr>
        <w:spacing w:line="250" w:lineRule="auto"/>
        <w:rPr>
          <w:rFonts w:ascii="Arial"/>
          <w:sz w:val="21"/>
        </w:rPr>
      </w:pPr>
    </w:p>
    <w:p w14:paraId="7C9B9838">
      <w:pPr>
        <w:spacing w:line="3365" w:lineRule="exact"/>
        <w:ind w:firstLine="2836"/>
        <w:textAlignment w:val="center"/>
        <w:rPr>
          <w:rFonts w:ascii="Arial"/>
          <w:sz w:val="21"/>
        </w:rPr>
      </w:pPr>
      <w:r>
        <w:drawing>
          <wp:inline distT="0" distB="0" distL="0" distR="0">
            <wp:extent cx="2136140" cy="2136140"/>
            <wp:effectExtent l="0" t="0" r="16510" b="1651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2"/>
                    <a:stretch>
                      <a:fillRect/>
                    </a:stretch>
                  </pic:blipFill>
                  <pic:spPr>
                    <a:xfrm>
                      <a:off x="0" y="0"/>
                      <a:ext cx="2136647" cy="2136648"/>
                    </a:xfrm>
                    <a:prstGeom prst="rect">
                      <a:avLst/>
                    </a:prstGeom>
                  </pic:spPr>
                </pic:pic>
              </a:graphicData>
            </a:graphic>
          </wp:inline>
        </w:drawing>
      </w:r>
    </w:p>
    <w:p w14:paraId="41C76CD1">
      <w:pPr>
        <w:spacing w:line="248" w:lineRule="auto"/>
        <w:rPr>
          <w:rFonts w:ascii="Arial"/>
          <w:sz w:val="21"/>
        </w:rPr>
      </w:pPr>
    </w:p>
    <w:p w14:paraId="61D5BD91">
      <w:pPr>
        <w:spacing w:line="249" w:lineRule="auto"/>
        <w:rPr>
          <w:rFonts w:ascii="Arial"/>
          <w:sz w:val="21"/>
        </w:rPr>
      </w:pPr>
    </w:p>
    <w:p w14:paraId="60BCB560">
      <w:pPr>
        <w:spacing w:before="231" w:line="222" w:lineRule="auto"/>
        <w:jc w:val="center"/>
        <w:rPr>
          <w:rFonts w:hint="default" w:ascii="宋体" w:hAnsi="宋体" w:eastAsia="宋体" w:cs="宋体"/>
          <w:sz w:val="71"/>
          <w:szCs w:val="71"/>
          <w:lang w:val="en-US" w:eastAsia="zh-CN"/>
        </w:rPr>
      </w:pPr>
      <w:r>
        <w:rPr>
          <w:rFonts w:hint="eastAsia" w:ascii="宋体" w:hAnsi="宋体" w:eastAsia="宋体" w:cs="宋体"/>
          <w:spacing w:val="8"/>
          <w:sz w:val="71"/>
          <w:szCs w:val="71"/>
          <w:lang w:val="en-US" w:eastAsia="zh-CN"/>
          <w14:textOutline w14:w="13075" w14:cap="sq" w14:cmpd="sng">
            <w14:solidFill>
              <w14:srgbClr w14:val="000000"/>
            </w14:solidFill>
            <w14:prstDash w14:val="solid"/>
            <w14:bevel/>
          </w14:textOutline>
        </w:rPr>
        <w:t>招标文件</w:t>
      </w:r>
    </w:p>
    <w:p w14:paraId="7219001E">
      <w:pPr>
        <w:spacing w:line="256" w:lineRule="auto"/>
        <w:rPr>
          <w:rFonts w:ascii="Arial"/>
          <w:sz w:val="21"/>
        </w:rPr>
      </w:pPr>
    </w:p>
    <w:p w14:paraId="7409AF45">
      <w:pPr>
        <w:spacing w:line="257" w:lineRule="auto"/>
        <w:rPr>
          <w:rFonts w:ascii="Arial"/>
          <w:sz w:val="21"/>
        </w:rPr>
      </w:pPr>
    </w:p>
    <w:p w14:paraId="451AABF8">
      <w:pPr>
        <w:spacing w:before="95" w:line="225" w:lineRule="auto"/>
        <w:ind w:left="624"/>
        <w:rPr>
          <w:rFonts w:ascii="宋体" w:hAnsi="宋体" w:eastAsia="宋体" w:cs="宋体"/>
          <w:sz w:val="29"/>
          <w:szCs w:val="29"/>
        </w:rPr>
      </w:pPr>
      <w:r>
        <w:rPr>
          <w:rFonts w:ascii="宋体" w:hAnsi="宋体" w:eastAsia="宋体" w:cs="宋体"/>
          <w:spacing w:val="8"/>
          <w:sz w:val="29"/>
          <w:szCs w:val="29"/>
          <w14:textOutline w14:w="5448" w14:cap="sq" w14:cmpd="sng">
            <w14:solidFill>
              <w14:srgbClr w14:val="000000"/>
            </w14:solidFill>
            <w14:prstDash w14:val="solid"/>
            <w14:bevel/>
          </w14:textOutline>
        </w:rPr>
        <w:t>采</w:t>
      </w:r>
      <w:r>
        <w:rPr>
          <w:rFonts w:hint="eastAsia" w:ascii="宋体" w:hAnsi="宋体" w:eastAsia="宋体" w:cs="宋体"/>
          <w:spacing w:val="8"/>
          <w:sz w:val="29"/>
          <w:szCs w:val="29"/>
          <w:lang w:val="en-US" w:eastAsia="zh-CN"/>
          <w14:textOutline w14:w="5448" w14:cap="sq" w14:cmpd="sng">
            <w14:solidFill>
              <w14:srgbClr w14:val="000000"/>
            </w14:solidFill>
            <w14:prstDash w14:val="solid"/>
            <w14:bevel/>
          </w14:textOutline>
        </w:rPr>
        <w:t xml:space="preserve">   </w:t>
      </w:r>
      <w:r>
        <w:rPr>
          <w:rFonts w:ascii="宋体" w:hAnsi="宋体" w:eastAsia="宋体" w:cs="宋体"/>
          <w:spacing w:val="8"/>
          <w:sz w:val="29"/>
          <w:szCs w:val="29"/>
          <w14:textOutline w14:w="5448" w14:cap="sq" w14:cmpd="sng">
            <w14:solidFill>
              <w14:srgbClr w14:val="000000"/>
            </w14:solidFill>
            <w14:prstDash w14:val="solid"/>
            <w14:bevel/>
          </w14:textOutline>
        </w:rPr>
        <w:t>购</w:t>
      </w:r>
      <w:r>
        <w:rPr>
          <w:rFonts w:hint="eastAsia" w:ascii="宋体" w:hAnsi="宋体" w:eastAsia="宋体" w:cs="宋体"/>
          <w:spacing w:val="8"/>
          <w:sz w:val="29"/>
          <w:szCs w:val="29"/>
          <w:lang w:val="en-US" w:eastAsia="zh-CN"/>
          <w14:textOutline w14:w="5448" w14:cap="sq" w14:cmpd="sng">
            <w14:solidFill>
              <w14:srgbClr w14:val="000000"/>
            </w14:solidFill>
            <w14:prstDash w14:val="solid"/>
            <w14:bevel/>
          </w14:textOutline>
        </w:rPr>
        <w:t xml:space="preserve">  </w:t>
      </w:r>
      <w:r>
        <w:rPr>
          <w:rFonts w:ascii="宋体" w:hAnsi="宋体" w:eastAsia="宋体" w:cs="宋体"/>
          <w:spacing w:val="8"/>
          <w:sz w:val="29"/>
          <w:szCs w:val="29"/>
          <w14:textOutline w14:w="5448" w14:cap="sq" w14:cmpd="sng">
            <w14:solidFill>
              <w14:srgbClr w14:val="000000"/>
            </w14:solidFill>
            <w14:prstDash w14:val="solid"/>
            <w14:bevel/>
          </w14:textOutline>
        </w:rPr>
        <w:t>人：</w:t>
      </w:r>
      <w:r>
        <w:rPr>
          <w:rFonts w:hint="eastAsia" w:ascii="宋体" w:hAnsi="宋体" w:eastAsia="宋体" w:cs="宋体"/>
          <w:spacing w:val="8"/>
          <w:sz w:val="29"/>
          <w:szCs w:val="29"/>
          <w:lang w:val="en-US" w:eastAsia="zh-CN"/>
          <w14:textOutline w14:w="5448" w14:cap="sq" w14:cmpd="sng">
            <w14:solidFill>
              <w14:srgbClr w14:val="000000"/>
            </w14:solidFill>
            <w14:prstDash w14:val="solid"/>
            <w14:bevel/>
          </w14:textOutline>
        </w:rPr>
        <w:t xml:space="preserve"> </w:t>
      </w:r>
      <w:r>
        <w:rPr>
          <w:rFonts w:hint="eastAsia" w:ascii="宋体" w:hAnsi="宋体" w:cs="宋体"/>
          <w:spacing w:val="8"/>
          <w:sz w:val="29"/>
          <w:szCs w:val="29"/>
          <w:u w:val="single" w:color="auto"/>
          <w:lang w:val="en-US" w:eastAsia="zh-CN"/>
          <w14:textOutline w14:w="5448" w14:cap="sq" w14:cmpd="sng">
            <w14:solidFill>
              <w14:srgbClr w14:val="000000"/>
            </w14:solidFill>
            <w14:prstDash w14:val="solid"/>
            <w14:bevel/>
          </w14:textOutline>
        </w:rPr>
        <w:t>安康市中心医院</w:t>
      </w:r>
      <w:r>
        <w:rPr>
          <w:rFonts w:ascii="宋体" w:hAnsi="宋体" w:eastAsia="宋体" w:cs="宋体"/>
          <w:spacing w:val="8"/>
          <w:sz w:val="29"/>
          <w:szCs w:val="29"/>
        </w:rPr>
        <w:t xml:space="preserve"> </w:t>
      </w:r>
      <w:r>
        <w:rPr>
          <w:rFonts w:ascii="宋体" w:hAnsi="宋体" w:eastAsia="宋体" w:cs="宋体"/>
          <w:spacing w:val="8"/>
          <w:sz w:val="29"/>
          <w:szCs w:val="29"/>
          <w14:textOutline w14:w="5448" w14:cap="sq" w14:cmpd="sng">
            <w14:solidFill>
              <w14:srgbClr w14:val="000000"/>
            </w14:solidFill>
            <w14:prstDash w14:val="solid"/>
            <w14:bevel/>
          </w14:textOutline>
        </w:rPr>
        <w:t>(盖单位章)</w:t>
      </w:r>
    </w:p>
    <w:p w14:paraId="29B380FC">
      <w:pPr>
        <w:spacing w:line="265" w:lineRule="auto"/>
        <w:rPr>
          <w:rFonts w:ascii="Arial"/>
          <w:sz w:val="21"/>
        </w:rPr>
      </w:pPr>
    </w:p>
    <w:p w14:paraId="25241D5A">
      <w:pPr>
        <w:spacing w:line="265" w:lineRule="auto"/>
        <w:rPr>
          <w:rFonts w:ascii="Arial"/>
          <w:sz w:val="21"/>
        </w:rPr>
      </w:pPr>
    </w:p>
    <w:p w14:paraId="563E1D06">
      <w:pPr>
        <w:spacing w:before="95" w:line="224" w:lineRule="auto"/>
        <w:ind w:left="624"/>
        <w:rPr>
          <w:rFonts w:ascii="宋体" w:hAnsi="宋体" w:eastAsia="宋体" w:cs="宋体"/>
          <w:sz w:val="29"/>
          <w:szCs w:val="29"/>
        </w:rPr>
      </w:pPr>
      <w:r>
        <w:rPr>
          <w:rFonts w:ascii="宋体" w:hAnsi="宋体" w:eastAsia="宋体" w:cs="宋体"/>
          <w:spacing w:val="18"/>
          <w:sz w:val="29"/>
          <w:szCs w:val="29"/>
          <w14:textOutline w14:w="5448" w14:cap="sq" w14:cmpd="sng">
            <w14:solidFill>
              <w14:srgbClr w14:val="000000"/>
            </w14:solidFill>
            <w14:prstDash w14:val="solid"/>
            <w14:bevel/>
          </w14:textOutline>
        </w:rPr>
        <w:t>采</w:t>
      </w:r>
      <w:r>
        <w:rPr>
          <w:rFonts w:ascii="宋体" w:hAnsi="宋体" w:eastAsia="宋体" w:cs="宋体"/>
          <w:spacing w:val="12"/>
          <w:sz w:val="29"/>
          <w:szCs w:val="29"/>
          <w14:textOutline w14:w="5448" w14:cap="sq" w14:cmpd="sng">
            <w14:solidFill>
              <w14:srgbClr w14:val="000000"/>
            </w14:solidFill>
            <w14:prstDash w14:val="solid"/>
            <w14:bevel/>
          </w14:textOutline>
        </w:rPr>
        <w:t>购</w:t>
      </w:r>
      <w:r>
        <w:rPr>
          <w:rFonts w:ascii="宋体" w:hAnsi="宋体" w:eastAsia="宋体" w:cs="宋体"/>
          <w:spacing w:val="9"/>
          <w:sz w:val="29"/>
          <w:szCs w:val="29"/>
          <w14:textOutline w14:w="5448" w14:cap="sq" w14:cmpd="sng">
            <w14:solidFill>
              <w14:srgbClr w14:val="000000"/>
            </w14:solidFill>
            <w14:prstDash w14:val="solid"/>
            <w14:bevel/>
          </w14:textOutline>
        </w:rPr>
        <w:t>代理机构：</w:t>
      </w:r>
      <w:r>
        <w:rPr>
          <w:rFonts w:ascii="宋体" w:hAnsi="宋体" w:eastAsia="宋体" w:cs="宋体"/>
          <w:spacing w:val="9"/>
          <w:sz w:val="29"/>
          <w:szCs w:val="29"/>
          <w:u w:val="single" w:color="auto"/>
          <w14:textOutline w14:w="5448" w14:cap="sq" w14:cmpd="sng">
            <w14:solidFill>
              <w14:srgbClr w14:val="000000"/>
            </w14:solidFill>
            <w14:prstDash w14:val="solid"/>
            <w14:bevel/>
          </w14:textOutline>
        </w:rPr>
        <w:t>安康市兴盛工程造价咨询有限公司</w:t>
      </w:r>
      <w:r>
        <w:rPr>
          <w:rFonts w:ascii="宋体" w:hAnsi="宋体" w:eastAsia="宋体" w:cs="宋体"/>
          <w:spacing w:val="9"/>
          <w:sz w:val="29"/>
          <w:szCs w:val="29"/>
        </w:rPr>
        <w:t xml:space="preserve"> </w:t>
      </w:r>
      <w:r>
        <w:rPr>
          <w:rFonts w:ascii="宋体" w:hAnsi="宋体" w:eastAsia="宋体" w:cs="宋体"/>
          <w:spacing w:val="9"/>
          <w:sz w:val="29"/>
          <w:szCs w:val="29"/>
          <w14:textOutline w14:w="5448" w14:cap="sq" w14:cmpd="sng">
            <w14:solidFill>
              <w14:srgbClr w14:val="000000"/>
            </w14:solidFill>
            <w14:prstDash w14:val="solid"/>
            <w14:bevel/>
          </w14:textOutline>
        </w:rPr>
        <w:t>(盖单位章)</w:t>
      </w:r>
    </w:p>
    <w:p w14:paraId="34A0C5D9"/>
    <w:p w14:paraId="43126AA6"/>
    <w:p w14:paraId="28450C14">
      <w:pPr>
        <w:spacing w:before="95" w:line="224" w:lineRule="auto"/>
        <w:ind w:left="624"/>
        <w:jc w:val="center"/>
        <w:rPr>
          <w:rFonts w:ascii="宋体" w:hAnsi="宋体"/>
          <w:sz w:val="48"/>
          <w:szCs w:val="36"/>
        </w:rPr>
      </w:pPr>
      <w:r>
        <w:rPr>
          <w:rFonts w:ascii="宋体" w:hAnsi="宋体" w:eastAsia="宋体" w:cs="宋体"/>
          <w:spacing w:val="12"/>
          <w:sz w:val="29"/>
          <w:szCs w:val="29"/>
          <w14:textOutline w14:w="5448" w14:cap="sq" w14:cmpd="sng">
            <w14:solidFill>
              <w14:srgbClr w14:val="000000"/>
            </w14:solidFill>
            <w14:prstDash w14:val="solid"/>
            <w14:bevel/>
          </w14:textOutline>
        </w:rPr>
        <w:t>二〇二</w:t>
      </w:r>
      <w:r>
        <w:rPr>
          <w:rFonts w:hint="eastAsia" w:ascii="宋体" w:hAnsi="宋体" w:cs="宋体"/>
          <w:spacing w:val="12"/>
          <w:sz w:val="29"/>
          <w:szCs w:val="29"/>
          <w:lang w:val="en-US" w:eastAsia="zh-CN"/>
          <w14:textOutline w14:w="5448" w14:cap="sq" w14:cmpd="sng">
            <w14:solidFill>
              <w14:srgbClr w14:val="000000"/>
            </w14:solidFill>
            <w14:prstDash w14:val="solid"/>
            <w14:bevel/>
          </w14:textOutline>
        </w:rPr>
        <w:t>五</w:t>
      </w:r>
      <w:r>
        <w:rPr>
          <w:rFonts w:ascii="宋体" w:hAnsi="宋体" w:eastAsia="宋体" w:cs="宋体"/>
          <w:spacing w:val="12"/>
          <w:sz w:val="29"/>
          <w:szCs w:val="29"/>
          <w14:textOutline w14:w="5448" w14:cap="sq" w14:cmpd="sng">
            <w14:solidFill>
              <w14:srgbClr w14:val="000000"/>
            </w14:solidFill>
            <w14:prstDash w14:val="solid"/>
            <w14:bevel/>
          </w14:textOutline>
        </w:rPr>
        <w:t>年</w:t>
      </w:r>
      <w:r>
        <w:rPr>
          <w:rFonts w:hint="eastAsia" w:ascii="宋体" w:hAnsi="宋体" w:cs="宋体"/>
          <w:spacing w:val="12"/>
          <w:sz w:val="29"/>
          <w:szCs w:val="29"/>
          <w:lang w:val="en-US" w:eastAsia="zh-CN"/>
          <w14:textOutline w14:w="5448" w14:cap="sq" w14:cmpd="sng">
            <w14:solidFill>
              <w14:srgbClr w14:val="000000"/>
            </w14:solidFill>
            <w14:prstDash w14:val="solid"/>
            <w14:bevel/>
          </w14:textOutline>
        </w:rPr>
        <w:t>十二</w:t>
      </w:r>
      <w:r>
        <w:rPr>
          <w:rFonts w:ascii="宋体" w:hAnsi="宋体" w:eastAsia="宋体" w:cs="宋体"/>
          <w:spacing w:val="12"/>
          <w:sz w:val="29"/>
          <w:szCs w:val="29"/>
          <w14:textOutline w14:w="5448" w14:cap="sq" w14:cmpd="sng">
            <w14:solidFill>
              <w14:srgbClr w14:val="000000"/>
            </w14:solidFill>
            <w14:prstDash w14:val="solid"/>
            <w14:bevel/>
          </w14:textOutline>
        </w:rPr>
        <w:t>月</w:t>
      </w:r>
    </w:p>
    <w:p w14:paraId="470A7D0D">
      <w:pPr>
        <w:spacing w:line="360" w:lineRule="auto"/>
        <w:jc w:val="center"/>
        <w:rPr>
          <w:rFonts w:ascii="宋体" w:hAnsi="宋体"/>
          <w:sz w:val="48"/>
          <w:szCs w:val="36"/>
        </w:rPr>
      </w:pPr>
    </w:p>
    <w:p w14:paraId="6FD51599">
      <w:pPr>
        <w:spacing w:line="360" w:lineRule="auto"/>
        <w:jc w:val="center"/>
        <w:rPr>
          <w:rFonts w:ascii="宋体" w:hAnsi="宋体"/>
          <w:sz w:val="48"/>
          <w:szCs w:val="36"/>
        </w:rPr>
      </w:pPr>
    </w:p>
    <w:p w14:paraId="33974AD3">
      <w:pPr>
        <w:spacing w:line="360" w:lineRule="auto"/>
        <w:jc w:val="center"/>
        <w:rPr>
          <w:rFonts w:ascii="宋体" w:hAnsi="宋体"/>
          <w:sz w:val="48"/>
          <w:szCs w:val="36"/>
        </w:rPr>
      </w:pPr>
    </w:p>
    <w:p w14:paraId="6398EB8C">
      <w:pPr>
        <w:spacing w:line="360" w:lineRule="auto"/>
        <w:jc w:val="center"/>
        <w:rPr>
          <w:rFonts w:ascii="宋体" w:hAnsi="宋体"/>
          <w:sz w:val="48"/>
          <w:szCs w:val="36"/>
        </w:rPr>
      </w:pPr>
    </w:p>
    <w:p w14:paraId="40EA7051">
      <w:pPr>
        <w:spacing w:line="360" w:lineRule="auto"/>
        <w:jc w:val="center"/>
        <w:rPr>
          <w:rFonts w:ascii="宋体" w:hAnsi="宋体"/>
          <w:sz w:val="48"/>
          <w:szCs w:val="36"/>
        </w:rPr>
      </w:pPr>
    </w:p>
    <w:p w14:paraId="221160D7">
      <w:pPr>
        <w:spacing w:line="360" w:lineRule="auto"/>
        <w:jc w:val="center"/>
        <w:rPr>
          <w:rFonts w:ascii="宋体" w:hAnsi="宋体"/>
          <w:sz w:val="48"/>
          <w:szCs w:val="36"/>
        </w:rPr>
      </w:pPr>
    </w:p>
    <w:p w14:paraId="19606444">
      <w:pPr>
        <w:spacing w:line="360" w:lineRule="auto"/>
        <w:jc w:val="center"/>
        <w:rPr>
          <w:rFonts w:ascii="宋体" w:hAnsi="宋体"/>
          <w:sz w:val="48"/>
          <w:szCs w:val="36"/>
        </w:rPr>
      </w:pPr>
    </w:p>
    <w:p w14:paraId="7E5E833A">
      <w:pPr>
        <w:spacing w:line="360" w:lineRule="auto"/>
        <w:jc w:val="center"/>
        <w:rPr>
          <w:rFonts w:ascii="宋体" w:hAnsi="宋体"/>
          <w:sz w:val="48"/>
          <w:szCs w:val="36"/>
        </w:rPr>
      </w:pPr>
    </w:p>
    <w:p w14:paraId="33AE4999">
      <w:pPr>
        <w:spacing w:line="360" w:lineRule="auto"/>
        <w:jc w:val="center"/>
        <w:rPr>
          <w:rFonts w:ascii="宋体" w:hAnsi="宋体"/>
          <w:sz w:val="48"/>
          <w:szCs w:val="36"/>
        </w:rPr>
      </w:pPr>
    </w:p>
    <w:p w14:paraId="4D5CDD23">
      <w:pPr>
        <w:spacing w:line="360" w:lineRule="auto"/>
        <w:jc w:val="center"/>
        <w:rPr>
          <w:rFonts w:ascii="宋体" w:hAnsi="宋体"/>
          <w:sz w:val="48"/>
          <w:szCs w:val="36"/>
        </w:rPr>
      </w:pPr>
    </w:p>
    <w:p w14:paraId="6E9A21C4">
      <w:pPr>
        <w:spacing w:line="360" w:lineRule="auto"/>
        <w:jc w:val="center"/>
        <w:rPr>
          <w:rFonts w:ascii="宋体" w:hAnsi="宋体"/>
          <w:sz w:val="48"/>
          <w:szCs w:val="36"/>
        </w:rPr>
      </w:pPr>
    </w:p>
    <w:p w14:paraId="3EED0F97">
      <w:pPr>
        <w:spacing w:line="360" w:lineRule="auto"/>
        <w:jc w:val="center"/>
        <w:rPr>
          <w:rFonts w:ascii="宋体" w:hAnsi="宋体"/>
          <w:sz w:val="48"/>
          <w:szCs w:val="36"/>
        </w:rPr>
      </w:pPr>
    </w:p>
    <w:p w14:paraId="728A1774">
      <w:pPr>
        <w:spacing w:line="360" w:lineRule="auto"/>
        <w:jc w:val="center"/>
        <w:rPr>
          <w:rFonts w:ascii="宋体" w:hAnsi="宋体"/>
          <w:sz w:val="48"/>
          <w:szCs w:val="36"/>
        </w:rPr>
      </w:pPr>
    </w:p>
    <w:p w14:paraId="5BD8B15A">
      <w:pPr>
        <w:spacing w:line="360" w:lineRule="auto"/>
        <w:jc w:val="center"/>
        <w:rPr>
          <w:rFonts w:ascii="宋体" w:hAnsi="宋体"/>
          <w:sz w:val="48"/>
          <w:szCs w:val="36"/>
        </w:rPr>
      </w:pPr>
    </w:p>
    <w:p w14:paraId="4EDFC750">
      <w:pPr>
        <w:spacing w:line="360" w:lineRule="auto"/>
        <w:jc w:val="center"/>
        <w:rPr>
          <w:rFonts w:ascii="宋体" w:hAnsi="宋体"/>
          <w:sz w:val="48"/>
          <w:szCs w:val="36"/>
        </w:rPr>
      </w:pPr>
    </w:p>
    <w:p w14:paraId="794B95A2">
      <w:pPr>
        <w:spacing w:line="360" w:lineRule="auto"/>
        <w:jc w:val="center"/>
        <w:rPr>
          <w:rFonts w:ascii="宋体" w:hAnsi="宋体"/>
          <w:sz w:val="48"/>
          <w:szCs w:val="36"/>
        </w:rPr>
      </w:pPr>
    </w:p>
    <w:p w14:paraId="36775F7F">
      <w:pPr>
        <w:spacing w:line="360" w:lineRule="auto"/>
        <w:jc w:val="center"/>
        <w:rPr>
          <w:rFonts w:ascii="宋体" w:hAnsi="宋体"/>
          <w:sz w:val="48"/>
          <w:szCs w:val="36"/>
        </w:rPr>
      </w:pPr>
    </w:p>
    <w:p w14:paraId="107C5FF4">
      <w:pPr>
        <w:spacing w:line="360" w:lineRule="auto"/>
        <w:jc w:val="center"/>
        <w:rPr>
          <w:rFonts w:ascii="宋体" w:hAnsi="宋体"/>
          <w:sz w:val="48"/>
          <w:szCs w:val="36"/>
        </w:rPr>
      </w:pPr>
    </w:p>
    <w:p w14:paraId="11377FD2">
      <w:pPr>
        <w:spacing w:line="360" w:lineRule="auto"/>
        <w:jc w:val="center"/>
        <w:rPr>
          <w:rFonts w:ascii="宋体" w:hAnsi="宋体"/>
          <w:sz w:val="48"/>
          <w:szCs w:val="36"/>
        </w:rPr>
      </w:pPr>
    </w:p>
    <w:p w14:paraId="6343D77D">
      <w:pPr>
        <w:spacing w:line="360" w:lineRule="auto"/>
        <w:jc w:val="center"/>
        <w:rPr>
          <w:rFonts w:ascii="宋体" w:hAnsi="宋体"/>
          <w:sz w:val="48"/>
          <w:szCs w:val="36"/>
        </w:rPr>
      </w:pPr>
    </w:p>
    <w:p w14:paraId="17A2FD1F">
      <w:pPr>
        <w:spacing w:line="360" w:lineRule="auto"/>
        <w:jc w:val="center"/>
        <w:rPr>
          <w:rFonts w:ascii="宋体" w:hAnsi="宋体"/>
          <w:sz w:val="48"/>
          <w:szCs w:val="36"/>
        </w:rPr>
      </w:pPr>
    </w:p>
    <w:p w14:paraId="504DF35B">
      <w:pPr>
        <w:spacing w:line="360" w:lineRule="auto"/>
        <w:jc w:val="center"/>
        <w:rPr>
          <w:rFonts w:ascii="宋体" w:hAnsi="宋体"/>
          <w:sz w:val="48"/>
          <w:szCs w:val="36"/>
        </w:rPr>
      </w:pPr>
    </w:p>
    <w:p w14:paraId="24672F14">
      <w:pPr>
        <w:spacing w:line="360" w:lineRule="auto"/>
        <w:jc w:val="both"/>
        <w:rPr>
          <w:rFonts w:ascii="宋体" w:hAnsi="宋体"/>
          <w:sz w:val="48"/>
          <w:szCs w:val="36"/>
        </w:rPr>
      </w:pPr>
    </w:p>
    <w:p w14:paraId="0F02EE99">
      <w:pPr>
        <w:spacing w:line="360" w:lineRule="auto"/>
        <w:jc w:val="center"/>
        <w:rPr>
          <w:rFonts w:hint="eastAsia"/>
          <w:b/>
          <w:bCs/>
          <w:sz w:val="28"/>
          <w:szCs w:val="36"/>
        </w:rPr>
      </w:pPr>
      <w:r>
        <w:rPr>
          <w:rFonts w:ascii="宋体" w:hAnsi="宋体"/>
          <w:sz w:val="48"/>
          <w:szCs w:val="36"/>
        </w:rPr>
        <w:tab/>
      </w:r>
      <w:bookmarkStart w:id="1" w:name="_Toc38441518"/>
      <w:r>
        <w:rPr>
          <w:rFonts w:hint="eastAsia"/>
          <w:b/>
          <w:bCs/>
          <w:sz w:val="28"/>
          <w:szCs w:val="36"/>
        </w:rPr>
        <w:t>特别提醒</w:t>
      </w:r>
    </w:p>
    <w:p w14:paraId="17F2F278">
      <w:pPr>
        <w:spacing w:line="360" w:lineRule="auto"/>
        <w:rPr>
          <w:rFonts w:hint="eastAsia"/>
        </w:rPr>
      </w:pPr>
      <w:r>
        <w:rPr>
          <w:rFonts w:hint="eastAsia"/>
        </w:rPr>
        <w:t>安康市公共资源交易平台全流程电子化、政府采购项目内容</w:t>
      </w:r>
    </w:p>
    <w:p w14:paraId="404065C7">
      <w:pPr>
        <w:spacing w:line="360" w:lineRule="auto"/>
        <w:ind w:firstLine="420" w:firstLineChars="200"/>
        <w:outlineLvl w:val="1"/>
        <w:rPr>
          <w:rFonts w:hint="eastAsia"/>
        </w:rPr>
      </w:pPr>
      <w:r>
        <w:rPr>
          <w:rFonts w:hint="eastAsia"/>
        </w:rPr>
        <w:t>一、关于需要特别提醒供应商的内容</w:t>
      </w:r>
    </w:p>
    <w:p w14:paraId="3BB3C51B">
      <w:pPr>
        <w:spacing w:line="360" w:lineRule="auto"/>
        <w:ind w:firstLine="420" w:firstLineChars="200"/>
        <w:rPr>
          <w:rFonts w:hint="eastAsia"/>
        </w:rPr>
      </w:pPr>
      <w:r>
        <w:rPr>
          <w:rFonts w:hint="eastAsia"/>
        </w:rPr>
        <w:t>1、本项目</w:t>
      </w:r>
      <w:r>
        <w:rPr>
          <w:rFonts w:hint="eastAsia"/>
          <w:lang w:eastAsia="zh-CN"/>
        </w:rPr>
        <w:t>采用电子化投标及远程不见面开标方式</w:t>
      </w:r>
      <w:r>
        <w:rPr>
          <w:rFonts w:hint="eastAsia"/>
          <w:lang w:val="en-US" w:eastAsia="zh-CN"/>
        </w:rPr>
        <w:t>（无需提供纸质版文件，无需到开标现场）</w:t>
      </w:r>
      <w:r>
        <w:rPr>
          <w:rFonts w:hint="eastAsia"/>
        </w:rPr>
        <w:t>。开标时请务必携带数字认证证书，如因供应商自身原因未携带数字认证证书造成无法解密</w:t>
      </w:r>
      <w:r>
        <w:rPr>
          <w:rFonts w:hint="eastAsia"/>
          <w:lang w:eastAsia="zh-CN"/>
        </w:rPr>
        <w:t>投标文件</w:t>
      </w:r>
      <w:r>
        <w:rPr>
          <w:rFonts w:hint="eastAsia"/>
        </w:rPr>
        <w:t>，按无效投标对待。</w:t>
      </w:r>
    </w:p>
    <w:p w14:paraId="39316533">
      <w:pPr>
        <w:spacing w:line="360" w:lineRule="auto"/>
        <w:ind w:firstLine="420" w:firstLineChars="200"/>
        <w:rPr>
          <w:rFonts w:hint="eastAsia"/>
        </w:rPr>
      </w:pPr>
      <w:r>
        <w:rPr>
          <w:rFonts w:hint="eastAsia"/>
        </w:rPr>
        <w:t>2、电子开标、评标无法进行时，</w:t>
      </w:r>
      <w:r>
        <w:rPr>
          <w:rFonts w:hint="eastAsia"/>
          <w:lang w:eastAsia="zh-CN"/>
        </w:rPr>
        <w:t>按照《安康</w:t>
      </w:r>
      <w:r>
        <w:rPr>
          <w:rFonts w:hint="eastAsia"/>
        </w:rPr>
        <w:t>市公共资源交易</w:t>
      </w:r>
      <w:r>
        <w:rPr>
          <w:rFonts w:hint="eastAsia"/>
          <w:lang w:eastAsia="zh-CN"/>
        </w:rPr>
        <w:t>平台电子化交易</w:t>
      </w:r>
      <w:r>
        <w:rPr>
          <w:rFonts w:hint="eastAsia"/>
        </w:rPr>
        <w:t>应急</w:t>
      </w:r>
      <w:r>
        <w:rPr>
          <w:rFonts w:hint="eastAsia"/>
          <w:lang w:eastAsia="zh-CN"/>
        </w:rPr>
        <w:t>处置管理办法</w:t>
      </w:r>
      <w:r>
        <w:rPr>
          <w:rFonts w:hint="eastAsia"/>
          <w:lang w:val="en-US" w:eastAsia="zh-CN"/>
        </w:rPr>
        <w:t>(试行)</w:t>
      </w:r>
      <w:r>
        <w:rPr>
          <w:rFonts w:hint="eastAsia"/>
          <w:lang w:eastAsia="zh-CN"/>
        </w:rPr>
        <w:t>》规定执行</w:t>
      </w:r>
      <w:r>
        <w:rPr>
          <w:rFonts w:hint="eastAsia"/>
        </w:rPr>
        <w:t>。</w:t>
      </w:r>
    </w:p>
    <w:p w14:paraId="6B61AA4D">
      <w:pPr>
        <w:spacing w:line="360" w:lineRule="auto"/>
        <w:ind w:firstLine="420" w:firstLineChars="200"/>
        <w:outlineLvl w:val="2"/>
        <w:rPr>
          <w:rFonts w:hint="eastAsia" w:eastAsia="宋体"/>
          <w:lang w:eastAsia="zh-CN"/>
        </w:rPr>
      </w:pPr>
      <w:r>
        <w:rPr>
          <w:rFonts w:hint="eastAsia"/>
        </w:rPr>
        <w:t>3、制作电子</w:t>
      </w:r>
      <w:r>
        <w:rPr>
          <w:rFonts w:hint="eastAsia"/>
          <w:lang w:eastAsia="zh-CN"/>
        </w:rPr>
        <w:t>投标文件</w:t>
      </w:r>
    </w:p>
    <w:p w14:paraId="0B4A3725">
      <w:pPr>
        <w:spacing w:line="360" w:lineRule="auto"/>
        <w:ind w:firstLine="420" w:firstLineChars="200"/>
        <w:rPr>
          <w:rFonts w:hint="eastAsia"/>
        </w:rPr>
      </w:pPr>
      <w:r>
        <w:rPr>
          <w:rFonts w:hint="eastAsia"/>
        </w:rPr>
        <w:t>投标供应商须在“全国公共资源交易中心平台（陕西省）（http://www.sxggzyjy.cn/）”的“服务指南”栏目“下载专区”中，免费下载“陕西省公共资源交易平台政府采购电子标书制作工具(V8.0.0.2)”，并升级至最新版本，使用该客户端制作电子</w:t>
      </w:r>
      <w:r>
        <w:rPr>
          <w:rFonts w:hint="eastAsia"/>
          <w:lang w:eastAsia="zh-CN"/>
        </w:rPr>
        <w:t>投标文件</w:t>
      </w:r>
      <w:r>
        <w:rPr>
          <w:rFonts w:hint="eastAsia"/>
        </w:rPr>
        <w:t>，制作扩展名为“.SXSTF”的电子</w:t>
      </w:r>
      <w:r>
        <w:rPr>
          <w:rFonts w:hint="eastAsia"/>
          <w:lang w:eastAsia="zh-CN"/>
        </w:rPr>
        <w:t>投标文件</w:t>
      </w:r>
      <w:r>
        <w:rPr>
          <w:rFonts w:hint="eastAsia"/>
        </w:rPr>
        <w:t>。”</w:t>
      </w:r>
    </w:p>
    <w:p w14:paraId="69CEE49A">
      <w:pPr>
        <w:spacing w:line="360" w:lineRule="auto"/>
        <w:ind w:firstLine="420" w:firstLineChars="200"/>
        <w:outlineLvl w:val="2"/>
        <w:rPr>
          <w:rFonts w:hint="eastAsia" w:eastAsia="宋体"/>
          <w:lang w:eastAsia="zh-CN"/>
        </w:rPr>
      </w:pPr>
      <w:r>
        <w:rPr>
          <w:rFonts w:hint="eastAsia"/>
        </w:rPr>
        <w:t>4、递交电子</w:t>
      </w:r>
      <w:r>
        <w:rPr>
          <w:rFonts w:hint="eastAsia"/>
          <w:lang w:eastAsia="zh-CN"/>
        </w:rPr>
        <w:t>投标文件</w:t>
      </w:r>
    </w:p>
    <w:p w14:paraId="74137DDB">
      <w:pPr>
        <w:spacing w:line="360" w:lineRule="auto"/>
        <w:ind w:firstLine="420" w:firstLineChars="200"/>
        <w:rPr>
          <w:rFonts w:hint="eastAsia"/>
        </w:rPr>
      </w:pPr>
      <w:r>
        <w:rPr>
          <w:rFonts w:hint="eastAsia"/>
        </w:rPr>
        <w:t>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lang w:eastAsia="zh-CN"/>
        </w:rPr>
        <w:t>投标文件</w:t>
      </w:r>
      <w:r>
        <w:rPr>
          <w:rFonts w:hint="eastAsia"/>
        </w:rPr>
        <w:t>。上传成功后，电子化平台将予以记录。</w:t>
      </w:r>
    </w:p>
    <w:p w14:paraId="61B09B52">
      <w:pPr>
        <w:spacing w:line="360" w:lineRule="auto"/>
        <w:ind w:firstLine="420" w:firstLineChars="200"/>
        <w:outlineLvl w:val="1"/>
        <w:rPr>
          <w:rFonts w:hint="eastAsia"/>
        </w:rPr>
      </w:pPr>
      <w:r>
        <w:rPr>
          <w:rFonts w:hint="eastAsia"/>
        </w:rPr>
        <w:t>二、关于报名</w:t>
      </w:r>
    </w:p>
    <w:p w14:paraId="4A600E21">
      <w:pPr>
        <w:spacing w:line="360" w:lineRule="auto"/>
        <w:ind w:firstLine="420" w:firstLineChars="200"/>
        <w:rPr>
          <w:rFonts w:hint="eastAsia"/>
        </w:rPr>
      </w:pPr>
      <w:r>
        <w:rPr>
          <w:rFonts w:hint="eastAsia"/>
        </w:rPr>
        <w:t>1、购买须知：使用捆绑省交易平台的CA锁登录电子交易平台，通过政府采购系统企业端进入，点击我要投标，完善相关投标信息；</w:t>
      </w:r>
    </w:p>
    <w:p w14:paraId="53109967">
      <w:pPr>
        <w:spacing w:line="360" w:lineRule="auto"/>
        <w:ind w:firstLine="420" w:firstLineChars="200"/>
        <w:rPr>
          <w:rFonts w:hint="eastAsia"/>
        </w:rPr>
      </w:pPr>
      <w:r>
        <w:rPr>
          <w:rFonts w:hint="eastAsia"/>
          <w:lang w:val="en-US" w:eastAsia="zh-CN"/>
        </w:rPr>
        <w:t>2</w:t>
      </w:r>
      <w:r>
        <w:rPr>
          <w:rFonts w:hint="eastAsia"/>
        </w:rPr>
        <w:t>、未完成网上投标成功的或未经采购代理公司缴费确认或未在规定时间内在平台上下载文件的，无法完成后续流程；</w:t>
      </w:r>
    </w:p>
    <w:p w14:paraId="474C8D84">
      <w:pPr>
        <w:spacing w:line="360" w:lineRule="auto"/>
        <w:ind w:firstLine="420" w:firstLineChars="200"/>
        <w:rPr>
          <w:rFonts w:hint="eastAsia"/>
        </w:rPr>
      </w:pPr>
      <w:r>
        <w:rPr>
          <w:rFonts w:hint="eastAsia"/>
          <w:lang w:val="en-US" w:eastAsia="zh-CN"/>
        </w:rPr>
        <w:t>3</w:t>
      </w:r>
      <w:r>
        <w:rPr>
          <w:rFonts w:hint="eastAsia"/>
        </w:rPr>
        <w:t>、本项目</w:t>
      </w:r>
      <w:r>
        <w:rPr>
          <w:rFonts w:hint="eastAsia"/>
          <w:lang w:eastAsia="zh-CN"/>
        </w:rPr>
        <w:t>采用电子化投标及远程不见面开标方式</w:t>
      </w:r>
      <w:r>
        <w:rPr>
          <w:rFonts w:hint="eastAsia"/>
          <w:lang w:val="en-US" w:eastAsia="zh-CN"/>
        </w:rPr>
        <w:t>（无需提供纸质版文件，无需到开标现场）</w:t>
      </w:r>
      <w:r>
        <w:rPr>
          <w:rFonts w:hint="eastAsia"/>
        </w:rPr>
        <w:t>的方式，相关操作流程详见全国公共资源交易平台（陕西省）网站[服务指南-下载专区]中的《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w:t>
      </w:r>
      <w:r>
        <w:rPr>
          <w:rFonts w:hint="eastAsia"/>
          <w:lang w:eastAsia="zh-CN"/>
        </w:rPr>
        <w:t>投标文件</w:t>
      </w:r>
      <w:r>
        <w:rPr>
          <w:rFonts w:hint="eastAsia"/>
        </w:rPr>
        <w:t>（*.SXSTF），上传成功后，电子化平台将予以记录。</w:t>
      </w:r>
    </w:p>
    <w:p w14:paraId="7912AC96">
      <w:pPr>
        <w:spacing w:line="360" w:lineRule="auto"/>
        <w:ind w:firstLine="420" w:firstLineChars="200"/>
        <w:rPr>
          <w:rFonts w:hint="eastAsia"/>
        </w:rPr>
      </w:pPr>
      <w:r>
        <w:rPr>
          <w:rFonts w:hint="eastAsia"/>
        </w:rPr>
        <w:t>（2）</w:t>
      </w:r>
      <w:r>
        <w:rPr>
          <w:rFonts w:hint="eastAsia"/>
          <w:lang w:val="en-US" w:eastAsia="zh-CN"/>
        </w:rPr>
        <w:t xml:space="preserve"> </w:t>
      </w:r>
      <w:r>
        <w:rPr>
          <w:rFonts w:hint="eastAsia"/>
        </w:rPr>
        <w:t>本项目</w:t>
      </w:r>
      <w:r>
        <w:rPr>
          <w:rFonts w:hint="eastAsia"/>
          <w:lang w:eastAsia="zh-CN"/>
        </w:rPr>
        <w:t>招标投标</w:t>
      </w:r>
      <w:r>
        <w:rPr>
          <w:rFonts w:hint="eastAsia"/>
        </w:rPr>
        <w:t>采用电子化</w:t>
      </w:r>
      <w:r>
        <w:rPr>
          <w:rFonts w:hint="eastAsia"/>
          <w:lang w:val="en-US" w:eastAsia="zh-CN"/>
        </w:rPr>
        <w:t>投标及远程不见面开标</w:t>
      </w:r>
      <w:r>
        <w:rPr>
          <w:rFonts w:hint="eastAsia"/>
        </w:rPr>
        <w:t>方式</w:t>
      </w:r>
      <w:r>
        <w:rPr>
          <w:rFonts w:hint="eastAsia"/>
          <w:lang w:eastAsia="zh-CN"/>
        </w:rPr>
        <w:t>进行，</w:t>
      </w:r>
      <w:r>
        <w:rPr>
          <w:rFonts w:hint="eastAsia"/>
          <w:lang w:val="en-US" w:eastAsia="zh-CN"/>
        </w:rPr>
        <w:t>（无需提供纸质版文件，无需到开标现场）</w:t>
      </w:r>
      <w:r>
        <w:rPr>
          <w:rFonts w:hint="eastAsia"/>
        </w:rPr>
        <w:t>。</w:t>
      </w:r>
    </w:p>
    <w:p w14:paraId="0245DB8B">
      <w:pPr>
        <w:spacing w:line="360" w:lineRule="auto"/>
        <w:ind w:firstLine="420" w:firstLineChars="200"/>
        <w:outlineLvl w:val="2"/>
        <w:rPr>
          <w:rFonts w:hint="eastAsia"/>
        </w:rPr>
      </w:pPr>
      <w:r>
        <w:rPr>
          <w:rFonts w:hint="eastAsia"/>
        </w:rPr>
        <w:t>2.文件开启与解密</w:t>
      </w:r>
    </w:p>
    <w:p w14:paraId="04991642">
      <w:pPr>
        <w:spacing w:line="360" w:lineRule="auto"/>
        <w:ind w:firstLine="420" w:firstLineChars="200"/>
        <w:rPr>
          <w:rFonts w:hint="eastAsia"/>
        </w:rPr>
      </w:pPr>
      <w:r>
        <w:rPr>
          <w:rFonts w:hint="eastAsia"/>
        </w:rPr>
        <w:t>（</w:t>
      </w:r>
      <w:r>
        <w:rPr>
          <w:rFonts w:hint="eastAsia"/>
          <w:lang w:val="en-US" w:eastAsia="zh-CN"/>
        </w:rPr>
        <w:t>1</w:t>
      </w:r>
      <w:r>
        <w:rPr>
          <w:rFonts w:hint="eastAsia"/>
        </w:rPr>
        <w:t>）开标时，供应商须使用电子</w:t>
      </w:r>
      <w:r>
        <w:rPr>
          <w:rFonts w:hint="eastAsia"/>
          <w:lang w:eastAsia="zh-CN"/>
        </w:rPr>
        <w:t>投标文件</w:t>
      </w:r>
      <w:r>
        <w:rPr>
          <w:rFonts w:hint="eastAsia"/>
        </w:rPr>
        <w:t>加密时所用的数字认证证书（CA锁）在</w:t>
      </w:r>
      <w:r>
        <w:rPr>
          <w:rFonts w:hint="eastAsia"/>
          <w:lang w:val="en-US" w:eastAsia="zh-CN"/>
        </w:rPr>
        <w:t>各自办公场所</w:t>
      </w:r>
      <w:r>
        <w:rPr>
          <w:rFonts w:hint="eastAsia"/>
        </w:rPr>
        <w:t>的</w:t>
      </w:r>
      <w:r>
        <w:rPr>
          <w:rFonts w:hint="eastAsia"/>
          <w:lang w:eastAsia="zh-CN"/>
        </w:rPr>
        <w:t>电脑上</w:t>
      </w:r>
      <w:r>
        <w:rPr>
          <w:rFonts w:hint="eastAsia"/>
        </w:rPr>
        <w:t>自行解密电子</w:t>
      </w:r>
      <w:r>
        <w:rPr>
          <w:rFonts w:hint="eastAsia"/>
          <w:lang w:eastAsia="zh-CN"/>
        </w:rPr>
        <w:t>投标文件</w:t>
      </w:r>
      <w:r>
        <w:rPr>
          <w:rFonts w:hint="eastAsia"/>
        </w:rPr>
        <w:t>。涉及到二次报价的，一定携带主锁报价，只有主锁才有签章功能，二次报价才能完成。</w:t>
      </w:r>
    </w:p>
    <w:p w14:paraId="676701F4">
      <w:pPr>
        <w:spacing w:line="360" w:lineRule="auto"/>
        <w:ind w:firstLine="420" w:firstLineChars="200"/>
        <w:rPr>
          <w:rFonts w:hint="eastAsia"/>
        </w:rPr>
      </w:pPr>
      <w:r>
        <w:rPr>
          <w:rFonts w:hint="eastAsia"/>
        </w:rPr>
        <w:t>（</w:t>
      </w:r>
      <w:r>
        <w:rPr>
          <w:rFonts w:hint="eastAsia"/>
          <w:lang w:val="en-US" w:eastAsia="zh-CN"/>
        </w:rPr>
        <w:t>2</w:t>
      </w:r>
      <w:r>
        <w:rPr>
          <w:rFonts w:hint="eastAsia"/>
        </w:rPr>
        <w:t>）电子开标、评标无法进行时，</w:t>
      </w:r>
      <w:r>
        <w:rPr>
          <w:rFonts w:hint="eastAsia"/>
          <w:lang w:eastAsia="zh-CN"/>
        </w:rPr>
        <w:t>按照《安康</w:t>
      </w:r>
      <w:r>
        <w:rPr>
          <w:rFonts w:hint="eastAsia"/>
        </w:rPr>
        <w:t>市公共资源交易</w:t>
      </w:r>
      <w:r>
        <w:rPr>
          <w:rFonts w:hint="eastAsia"/>
          <w:lang w:eastAsia="zh-CN"/>
        </w:rPr>
        <w:t>平台电子化交易</w:t>
      </w:r>
      <w:r>
        <w:rPr>
          <w:rFonts w:hint="eastAsia"/>
        </w:rPr>
        <w:t>应急</w:t>
      </w:r>
      <w:r>
        <w:rPr>
          <w:rFonts w:hint="eastAsia"/>
          <w:lang w:eastAsia="zh-CN"/>
        </w:rPr>
        <w:t>处置管理办法</w:t>
      </w:r>
      <w:r>
        <w:rPr>
          <w:rFonts w:hint="eastAsia"/>
          <w:lang w:val="en-US" w:eastAsia="zh-CN"/>
        </w:rPr>
        <w:t>(试行)</w:t>
      </w:r>
      <w:r>
        <w:rPr>
          <w:rFonts w:hint="eastAsia"/>
          <w:lang w:eastAsia="zh-CN"/>
        </w:rPr>
        <w:t>》规定执行</w:t>
      </w:r>
      <w:r>
        <w:rPr>
          <w:rFonts w:hint="eastAsia"/>
        </w:rPr>
        <w:t>。</w:t>
      </w:r>
    </w:p>
    <w:p w14:paraId="0344FD81">
      <w:pPr>
        <w:spacing w:line="360" w:lineRule="auto"/>
        <w:ind w:firstLine="420" w:firstLineChars="200"/>
        <w:rPr>
          <w:rFonts w:hint="eastAsia"/>
        </w:rPr>
      </w:pPr>
      <w:r>
        <w:rPr>
          <w:rFonts w:hint="eastAsia"/>
        </w:rPr>
        <w:t>（</w:t>
      </w:r>
      <w:r>
        <w:rPr>
          <w:rFonts w:hint="eastAsia"/>
          <w:lang w:val="en-US" w:eastAsia="zh-CN"/>
        </w:rPr>
        <w:t>3</w:t>
      </w:r>
      <w:r>
        <w:rPr>
          <w:rFonts w:hint="eastAsia"/>
        </w:rPr>
        <w:t>）编制</w:t>
      </w:r>
      <w:r>
        <w:rPr>
          <w:rFonts w:hint="eastAsia"/>
          <w:lang w:eastAsia="zh-CN"/>
        </w:rPr>
        <w:t>的</w:t>
      </w:r>
      <w:r>
        <w:rPr>
          <w:rFonts w:hint="eastAsia"/>
        </w:rPr>
        <w:t>电子</w:t>
      </w:r>
      <w:r>
        <w:rPr>
          <w:rFonts w:hint="eastAsia"/>
          <w:lang w:eastAsia="zh-CN"/>
        </w:rPr>
        <w:t>投标文件</w:t>
      </w:r>
      <w:r>
        <w:rPr>
          <w:rFonts w:hint="eastAsia"/>
        </w:rPr>
        <w:t>，</w:t>
      </w:r>
      <w:r>
        <w:rPr>
          <w:rFonts w:hint="eastAsia"/>
          <w:lang w:eastAsia="zh-CN"/>
        </w:rPr>
        <w:t>须</w:t>
      </w:r>
      <w:r>
        <w:rPr>
          <w:rFonts w:hint="eastAsia"/>
        </w:rPr>
        <w:t>使用数字认证证书（CA）对电子</w:t>
      </w:r>
      <w:r>
        <w:rPr>
          <w:rFonts w:hint="eastAsia"/>
          <w:lang w:eastAsia="zh-CN"/>
        </w:rPr>
        <w:t>投标文件</w:t>
      </w:r>
      <w:r>
        <w:rPr>
          <w:rFonts w:hint="eastAsia"/>
        </w:rPr>
        <w:t>进行签署、加密、递交及开标时解密等相关操作。</w:t>
      </w:r>
      <w:r>
        <w:rPr>
          <w:rFonts w:hint="eastAsia"/>
          <w:lang w:val="en-US" w:eastAsia="zh-CN"/>
        </w:rPr>
        <w:t>响应文件中签名不能采用机打签名方式，应采用手写方式，</w:t>
      </w:r>
      <w:r>
        <w:rPr>
          <w:rFonts w:hint="eastAsia"/>
        </w:rPr>
        <w:t>因此导致废标或未中标，</w:t>
      </w:r>
      <w:r>
        <w:rPr>
          <w:rFonts w:hint="eastAsia"/>
          <w:lang w:eastAsia="zh-CN"/>
        </w:rPr>
        <w:t>投标供应商</w:t>
      </w:r>
      <w:r>
        <w:rPr>
          <w:rFonts w:hint="eastAsia"/>
        </w:rPr>
        <w:t>自行承担责任。</w:t>
      </w:r>
    </w:p>
    <w:p w14:paraId="4BF91BDB">
      <w:pPr>
        <w:spacing w:line="360" w:lineRule="auto"/>
        <w:ind w:firstLine="420" w:firstLineChars="200"/>
        <w:rPr>
          <w:rFonts w:hint="eastAsia"/>
        </w:rPr>
      </w:pPr>
      <w:r>
        <w:rPr>
          <w:rFonts w:hint="eastAsia"/>
        </w:rPr>
        <w:t>（</w:t>
      </w:r>
      <w:r>
        <w:rPr>
          <w:rFonts w:hint="eastAsia"/>
          <w:lang w:val="en-US" w:eastAsia="zh-CN"/>
        </w:rPr>
        <w:t>4</w:t>
      </w:r>
      <w:r>
        <w:rPr>
          <w:rFonts w:hint="eastAsia"/>
        </w:rPr>
        <w:t>）在开标环节出现下列情况之一的，其电子</w:t>
      </w:r>
      <w:r>
        <w:rPr>
          <w:rFonts w:hint="eastAsia"/>
          <w:lang w:eastAsia="zh-CN"/>
        </w:rPr>
        <w:t>投标文件</w:t>
      </w:r>
      <w:r>
        <w:rPr>
          <w:rFonts w:hint="eastAsia"/>
        </w:rPr>
        <w:t>视为无效文件：</w:t>
      </w:r>
    </w:p>
    <w:p w14:paraId="75115569">
      <w:pPr>
        <w:spacing w:line="360" w:lineRule="auto"/>
        <w:ind w:firstLine="420" w:firstLineChars="200"/>
        <w:rPr>
          <w:rFonts w:hint="eastAsia"/>
        </w:rPr>
      </w:pPr>
      <w:r>
        <w:rPr>
          <w:rFonts w:hint="eastAsia"/>
        </w:rPr>
        <w:t>a.供应商拒绝对电子</w:t>
      </w:r>
      <w:r>
        <w:rPr>
          <w:rFonts w:hint="eastAsia"/>
          <w:lang w:eastAsia="zh-CN"/>
        </w:rPr>
        <w:t>投标文件</w:t>
      </w:r>
      <w:r>
        <w:rPr>
          <w:rFonts w:hint="eastAsia"/>
        </w:rPr>
        <w:t>进行解密的；</w:t>
      </w:r>
    </w:p>
    <w:p w14:paraId="18E34BF6">
      <w:pPr>
        <w:spacing w:line="360" w:lineRule="auto"/>
        <w:ind w:firstLine="420" w:firstLineChars="200"/>
        <w:rPr>
          <w:rFonts w:hint="eastAsia"/>
        </w:rPr>
      </w:pPr>
      <w:r>
        <w:rPr>
          <w:rFonts w:hint="eastAsia"/>
        </w:rPr>
        <w:t>b.因供应商自身原因（如未带CA锁、或所带CA锁与制作电子</w:t>
      </w:r>
      <w:r>
        <w:rPr>
          <w:rFonts w:hint="eastAsia"/>
          <w:lang w:eastAsia="zh-CN"/>
        </w:rPr>
        <w:t>投标文件</w:t>
      </w:r>
      <w:r>
        <w:rPr>
          <w:rFonts w:hint="eastAsia"/>
        </w:rPr>
        <w:t>使用的CA锁不一致、或沿用旧版</w:t>
      </w:r>
      <w:r>
        <w:rPr>
          <w:rFonts w:hint="eastAsia"/>
          <w:lang w:eastAsia="zh-CN"/>
        </w:rPr>
        <w:t>招标文件</w:t>
      </w:r>
      <w:r>
        <w:rPr>
          <w:rFonts w:hint="eastAsia"/>
        </w:rPr>
        <w:t>编制</w:t>
      </w:r>
      <w:r>
        <w:rPr>
          <w:rFonts w:hint="eastAsia"/>
          <w:lang w:eastAsia="zh-CN"/>
        </w:rPr>
        <w:t>投标文件</w:t>
      </w:r>
      <w:r>
        <w:rPr>
          <w:rFonts w:hint="eastAsia"/>
        </w:rPr>
        <w:t>等情形），导致在规定时间内无法解密</w:t>
      </w:r>
      <w:r>
        <w:rPr>
          <w:rFonts w:hint="eastAsia"/>
          <w:lang w:eastAsia="zh-CN"/>
        </w:rPr>
        <w:t>投标文件</w:t>
      </w:r>
      <w:r>
        <w:rPr>
          <w:rFonts w:hint="eastAsia"/>
        </w:rPr>
        <w:t>的；</w:t>
      </w:r>
    </w:p>
    <w:p w14:paraId="35DE43FB">
      <w:pPr>
        <w:spacing w:line="360" w:lineRule="auto"/>
        <w:ind w:firstLine="420" w:firstLineChars="200"/>
        <w:rPr>
          <w:rFonts w:hint="eastAsia"/>
        </w:rPr>
      </w:pPr>
      <w:r>
        <w:rPr>
          <w:rFonts w:hint="eastAsia"/>
        </w:rPr>
        <w:t>c.上传的电子</w:t>
      </w:r>
      <w:r>
        <w:rPr>
          <w:rFonts w:hint="eastAsia"/>
          <w:lang w:eastAsia="zh-CN"/>
        </w:rPr>
        <w:t>投标文件</w:t>
      </w:r>
      <w:r>
        <w:rPr>
          <w:rFonts w:hint="eastAsia"/>
        </w:rPr>
        <w:t>无法打开的；</w:t>
      </w:r>
    </w:p>
    <w:p w14:paraId="74BC9673">
      <w:pPr>
        <w:spacing w:line="360" w:lineRule="auto"/>
        <w:ind w:firstLine="420" w:firstLineChars="200"/>
        <w:rPr>
          <w:rFonts w:hint="eastAsia"/>
        </w:rPr>
      </w:pPr>
      <w:r>
        <w:rPr>
          <w:rFonts w:hint="eastAsia"/>
        </w:rPr>
        <w:t>d.政府采购法律法规规定的其他无效情形。</w:t>
      </w:r>
    </w:p>
    <w:p w14:paraId="7DC41B4A">
      <w:pPr>
        <w:spacing w:line="360" w:lineRule="auto"/>
        <w:ind w:firstLine="420" w:firstLineChars="200"/>
        <w:outlineLvl w:val="3"/>
        <w:rPr>
          <w:rFonts w:hint="eastAsia"/>
        </w:rPr>
      </w:pPr>
      <w:r>
        <w:rPr>
          <w:rFonts w:hint="eastAsia"/>
        </w:rPr>
        <w:t>（</w:t>
      </w:r>
      <w:r>
        <w:rPr>
          <w:rFonts w:hint="eastAsia"/>
          <w:lang w:val="en-US" w:eastAsia="zh-CN"/>
        </w:rPr>
        <w:t>5</w:t>
      </w:r>
      <w:r>
        <w:rPr>
          <w:rFonts w:hint="eastAsia"/>
        </w:rPr>
        <w:t>）特殊情形下的应急处置</w:t>
      </w:r>
    </w:p>
    <w:p w14:paraId="6068865E">
      <w:pPr>
        <w:adjustRightInd w:val="0"/>
        <w:snapToGrid w:val="0"/>
        <w:spacing w:line="360" w:lineRule="auto"/>
        <w:jc w:val="center"/>
        <w:rPr>
          <w:rFonts w:ascii="宋体" w:hAnsi="宋体"/>
          <w:sz w:val="48"/>
          <w:szCs w:val="36"/>
        </w:rPr>
      </w:pPr>
      <w:r>
        <w:rPr>
          <w:rFonts w:hint="eastAsia"/>
        </w:rPr>
        <w:t>在开标、评审过程中，如因停电、断网、电子化系统故障等特殊原因导致电子化开、评标无法正常进行时，</w:t>
      </w:r>
      <w:r>
        <w:rPr>
          <w:rFonts w:hint="eastAsia"/>
          <w:lang w:val="en-US" w:eastAsia="zh-CN"/>
        </w:rPr>
        <w:t xml:space="preserve"> </w:t>
      </w:r>
      <w:r>
        <w:rPr>
          <w:rFonts w:hint="eastAsia"/>
          <w:lang w:eastAsia="zh-CN"/>
        </w:rPr>
        <w:t>按照《安康</w:t>
      </w:r>
      <w:r>
        <w:rPr>
          <w:rFonts w:hint="eastAsia"/>
        </w:rPr>
        <w:t>市公共资源交易</w:t>
      </w:r>
      <w:r>
        <w:rPr>
          <w:rFonts w:hint="eastAsia"/>
          <w:lang w:eastAsia="zh-CN"/>
        </w:rPr>
        <w:t>平台电子化交易</w:t>
      </w:r>
      <w:r>
        <w:rPr>
          <w:rFonts w:hint="eastAsia"/>
        </w:rPr>
        <w:t>应急</w:t>
      </w:r>
      <w:r>
        <w:rPr>
          <w:rFonts w:hint="eastAsia"/>
          <w:lang w:eastAsia="zh-CN"/>
        </w:rPr>
        <w:t>处置管理办法</w:t>
      </w:r>
      <w:r>
        <w:rPr>
          <w:rFonts w:hint="eastAsia"/>
          <w:lang w:val="en-US" w:eastAsia="zh-CN"/>
        </w:rPr>
        <w:t>(试行)</w:t>
      </w:r>
      <w:r>
        <w:rPr>
          <w:rFonts w:hint="eastAsia"/>
          <w:lang w:eastAsia="zh-CN"/>
        </w:rPr>
        <w:t>》规定执行。</w:t>
      </w:r>
    </w:p>
    <w:p w14:paraId="1D67A318"/>
    <w:p w14:paraId="04771B31">
      <w:pPr>
        <w:pStyle w:val="2"/>
        <w:tabs>
          <w:tab w:val="center" w:pos="4535"/>
          <w:tab w:val="left" w:pos="6489"/>
        </w:tabs>
        <w:spacing w:before="0" w:after="0" w:line="360" w:lineRule="auto"/>
        <w:jc w:val="center"/>
        <w:rPr>
          <w:rFonts w:hint="eastAsia" w:ascii="宋体" w:hAnsi="宋体"/>
          <w:sz w:val="48"/>
          <w:szCs w:val="36"/>
        </w:rPr>
      </w:pPr>
      <w:bookmarkStart w:id="2" w:name="_Toc10218"/>
    </w:p>
    <w:p w14:paraId="4A2E7BB7">
      <w:pPr>
        <w:pStyle w:val="2"/>
        <w:tabs>
          <w:tab w:val="center" w:pos="4535"/>
          <w:tab w:val="left" w:pos="6489"/>
        </w:tabs>
        <w:spacing w:before="0" w:after="0" w:line="360" w:lineRule="auto"/>
        <w:jc w:val="center"/>
        <w:rPr>
          <w:rFonts w:hint="eastAsia" w:ascii="宋体" w:hAnsi="宋体"/>
          <w:sz w:val="48"/>
          <w:szCs w:val="36"/>
        </w:rPr>
      </w:pPr>
    </w:p>
    <w:p w14:paraId="78579A18">
      <w:pPr>
        <w:rPr>
          <w:rFonts w:hint="eastAsia" w:ascii="宋体" w:hAnsi="宋体"/>
          <w:sz w:val="48"/>
          <w:szCs w:val="36"/>
        </w:rPr>
      </w:pPr>
    </w:p>
    <w:p w14:paraId="2E366AA5">
      <w:pPr>
        <w:rPr>
          <w:rFonts w:hint="eastAsia" w:ascii="宋体" w:hAnsi="宋体"/>
          <w:sz w:val="48"/>
          <w:szCs w:val="36"/>
        </w:rPr>
      </w:pPr>
    </w:p>
    <w:p w14:paraId="1ED091EF">
      <w:pPr>
        <w:rPr>
          <w:rFonts w:hint="eastAsia"/>
        </w:rPr>
      </w:pPr>
    </w:p>
    <w:p w14:paraId="67EC18F0">
      <w:pPr>
        <w:pStyle w:val="2"/>
        <w:tabs>
          <w:tab w:val="center" w:pos="4535"/>
          <w:tab w:val="left" w:pos="6489"/>
        </w:tabs>
        <w:spacing w:before="0" w:after="0" w:line="360" w:lineRule="auto"/>
        <w:jc w:val="center"/>
        <w:rPr>
          <w:rFonts w:ascii="宋体" w:hAnsi="宋体"/>
          <w:sz w:val="48"/>
          <w:szCs w:val="36"/>
        </w:rPr>
      </w:pPr>
      <w:r>
        <w:rPr>
          <w:rFonts w:hint="eastAsia" w:ascii="宋体" w:hAnsi="宋体"/>
          <w:sz w:val="48"/>
          <w:szCs w:val="36"/>
        </w:rPr>
        <w:t>目  录</w:t>
      </w:r>
      <w:bookmarkEnd w:id="1"/>
      <w:bookmarkEnd w:id="2"/>
    </w:p>
    <w:p w14:paraId="62495AAC"/>
    <w:p w14:paraId="715049CD">
      <w:pPr>
        <w:pStyle w:val="29"/>
        <w:tabs>
          <w:tab w:val="right" w:leader="dot" w:pos="9070"/>
        </w:tabs>
      </w:pPr>
      <w:r>
        <w:rPr>
          <w:rFonts w:asciiTheme="minorEastAsia" w:hAnsiTheme="minorEastAsia" w:eastAsiaTheme="minorEastAsia"/>
          <w:sz w:val="32"/>
          <w:szCs w:val="30"/>
        </w:rPr>
        <w:fldChar w:fldCharType="begin"/>
      </w:r>
      <w:r>
        <w:rPr>
          <w:rFonts w:asciiTheme="minorEastAsia" w:hAnsiTheme="minorEastAsia" w:eastAsiaTheme="minorEastAsia"/>
          <w:sz w:val="32"/>
          <w:szCs w:val="30"/>
        </w:rPr>
        <w:instrText xml:space="preserve"> </w:instrText>
      </w:r>
      <w:r>
        <w:rPr>
          <w:rFonts w:hint="eastAsia" w:asciiTheme="minorEastAsia" w:hAnsiTheme="minorEastAsia" w:eastAsiaTheme="minorEastAsia"/>
          <w:sz w:val="32"/>
          <w:szCs w:val="30"/>
        </w:rPr>
        <w:instrText xml:space="preserve">TOC \o "1-1" \h \z \u</w:instrText>
      </w:r>
      <w:r>
        <w:rPr>
          <w:rFonts w:asciiTheme="minorEastAsia" w:hAnsiTheme="minorEastAsia" w:eastAsiaTheme="minorEastAsia"/>
          <w:sz w:val="32"/>
          <w:szCs w:val="30"/>
        </w:rPr>
        <w:instrText xml:space="preserve"> </w:instrText>
      </w:r>
      <w:r>
        <w:rPr>
          <w:rFonts w:asciiTheme="minorEastAsia" w:hAnsiTheme="minorEastAsia" w:eastAsiaTheme="minorEastAsia"/>
          <w:sz w:val="32"/>
          <w:szCs w:val="30"/>
        </w:rPr>
        <w:fldChar w:fldCharType="separate"/>
      </w:r>
    </w:p>
    <w:p w14:paraId="41B76ADD">
      <w:pPr>
        <w:pStyle w:val="29"/>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_Toc19575 </w:instrText>
      </w:r>
      <w:r>
        <w:rPr>
          <w:rFonts w:hint="eastAsia" w:ascii="宋体" w:hAnsi="宋体" w:eastAsia="宋体" w:cs="宋体"/>
          <w:sz w:val="32"/>
          <w:szCs w:val="32"/>
        </w:rPr>
        <w:fldChar w:fldCharType="separate"/>
      </w:r>
      <w:r>
        <w:rPr>
          <w:rFonts w:hint="eastAsia" w:ascii="宋体" w:hAnsi="宋体" w:eastAsia="宋体" w:cs="宋体"/>
          <w:sz w:val="32"/>
          <w:szCs w:val="32"/>
        </w:rPr>
        <w:t>第一章 招标公告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_Toc19575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558C083A">
      <w:pPr>
        <w:pStyle w:val="29"/>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_Toc3493 </w:instrText>
      </w:r>
      <w:r>
        <w:rPr>
          <w:rFonts w:hint="eastAsia" w:ascii="宋体" w:hAnsi="宋体" w:eastAsia="宋体" w:cs="宋体"/>
          <w:sz w:val="32"/>
          <w:szCs w:val="32"/>
        </w:rPr>
        <w:fldChar w:fldCharType="separate"/>
      </w:r>
      <w:r>
        <w:rPr>
          <w:rFonts w:hint="eastAsia" w:ascii="宋体" w:hAnsi="宋体" w:eastAsia="宋体" w:cs="宋体"/>
          <w:sz w:val="32"/>
          <w:szCs w:val="32"/>
        </w:rPr>
        <w:t>第二章 投标人须知前附表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_Toc3493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DA0B924">
      <w:pPr>
        <w:pStyle w:val="29"/>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_Toc9546 </w:instrText>
      </w:r>
      <w:r>
        <w:rPr>
          <w:rFonts w:hint="eastAsia" w:ascii="宋体" w:hAnsi="宋体" w:eastAsia="宋体" w:cs="宋体"/>
          <w:sz w:val="32"/>
          <w:szCs w:val="32"/>
        </w:rPr>
        <w:fldChar w:fldCharType="separate"/>
      </w:r>
      <w:r>
        <w:rPr>
          <w:rFonts w:hint="eastAsia" w:ascii="宋体" w:hAnsi="宋体" w:eastAsia="宋体" w:cs="宋体"/>
          <w:sz w:val="32"/>
          <w:szCs w:val="32"/>
        </w:rPr>
        <w:t>第三章 投标人须知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_Toc9546 \h </w:instrText>
      </w:r>
      <w:r>
        <w:rPr>
          <w:rFonts w:hint="eastAsia" w:ascii="宋体" w:hAnsi="宋体" w:eastAsia="宋体" w:cs="宋体"/>
          <w:sz w:val="32"/>
          <w:szCs w:val="32"/>
        </w:rPr>
        <w:fldChar w:fldCharType="separate"/>
      </w:r>
      <w:r>
        <w:rPr>
          <w:rFonts w:hint="eastAsia" w:ascii="宋体" w:hAnsi="宋体" w:eastAsia="宋体" w:cs="宋体"/>
          <w:sz w:val="32"/>
          <w:szCs w:val="32"/>
        </w:rPr>
        <w:t>13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CC606A5">
      <w:pPr>
        <w:pStyle w:val="29"/>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_Toc21955 </w:instrText>
      </w:r>
      <w:r>
        <w:rPr>
          <w:rFonts w:hint="eastAsia" w:ascii="宋体" w:hAnsi="宋体" w:eastAsia="宋体" w:cs="宋体"/>
          <w:sz w:val="32"/>
          <w:szCs w:val="32"/>
        </w:rPr>
        <w:fldChar w:fldCharType="separate"/>
      </w:r>
      <w:r>
        <w:rPr>
          <w:rFonts w:hint="eastAsia" w:ascii="宋体" w:hAnsi="宋体" w:eastAsia="宋体" w:cs="宋体"/>
          <w:bCs/>
          <w:kern w:val="44"/>
          <w:sz w:val="32"/>
          <w:szCs w:val="32"/>
          <w:lang w:val="en-US" w:eastAsia="zh-CN" w:bidi="ar-SA"/>
        </w:rPr>
        <w:t>第四章 采购内容及说明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_Toc21955 \h </w:instrText>
      </w:r>
      <w:r>
        <w:rPr>
          <w:rFonts w:hint="eastAsia" w:ascii="宋体" w:hAnsi="宋体" w:eastAsia="宋体" w:cs="宋体"/>
          <w:sz w:val="32"/>
          <w:szCs w:val="32"/>
        </w:rPr>
        <w:fldChar w:fldCharType="separate"/>
      </w:r>
      <w:r>
        <w:rPr>
          <w:rFonts w:hint="eastAsia" w:ascii="宋体" w:hAnsi="宋体" w:eastAsia="宋体" w:cs="宋体"/>
          <w:sz w:val="32"/>
          <w:szCs w:val="32"/>
        </w:rPr>
        <w:t>33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2EFEC690">
      <w:pPr>
        <w:pStyle w:val="29"/>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_Toc848 </w:instrText>
      </w:r>
      <w:r>
        <w:rPr>
          <w:rFonts w:hint="eastAsia" w:ascii="宋体" w:hAnsi="宋体" w:eastAsia="宋体" w:cs="宋体"/>
          <w:sz w:val="32"/>
          <w:szCs w:val="32"/>
        </w:rPr>
        <w:fldChar w:fldCharType="separate"/>
      </w:r>
      <w:r>
        <w:rPr>
          <w:rFonts w:hint="eastAsia" w:ascii="宋体" w:hAnsi="宋体" w:eastAsia="宋体" w:cs="宋体"/>
          <w:sz w:val="32"/>
          <w:szCs w:val="32"/>
          <w:lang w:val="en-US" w:eastAsia="zh-CN"/>
        </w:rPr>
        <w:t xml:space="preserve">第五章 </w:t>
      </w:r>
      <w:r>
        <w:rPr>
          <w:rFonts w:hint="eastAsia" w:ascii="宋体" w:hAnsi="宋体" w:eastAsia="宋体" w:cs="宋体"/>
          <w:sz w:val="32"/>
          <w:szCs w:val="32"/>
        </w:rPr>
        <w:t>合同</w:t>
      </w:r>
      <w:r>
        <w:rPr>
          <w:rFonts w:hint="eastAsia" w:ascii="宋体" w:hAnsi="宋体" w:eastAsia="宋体" w:cs="宋体"/>
          <w:sz w:val="32"/>
          <w:szCs w:val="32"/>
          <w:lang w:val="en-US" w:eastAsia="zh-CN"/>
        </w:rPr>
        <w:t>文本（仅供参考）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_Toc848 \h </w:instrText>
      </w:r>
      <w:r>
        <w:rPr>
          <w:rFonts w:hint="eastAsia" w:ascii="宋体" w:hAnsi="宋体" w:eastAsia="宋体" w:cs="宋体"/>
          <w:sz w:val="32"/>
          <w:szCs w:val="32"/>
        </w:rPr>
        <w:fldChar w:fldCharType="separate"/>
      </w:r>
      <w:r>
        <w:rPr>
          <w:rFonts w:hint="eastAsia" w:ascii="宋体" w:hAnsi="宋体" w:eastAsia="宋体" w:cs="宋体"/>
          <w:sz w:val="32"/>
          <w:szCs w:val="32"/>
        </w:rPr>
        <w:t>41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0A81AF94">
      <w:pPr>
        <w:pStyle w:val="29"/>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_Toc3628 </w:instrText>
      </w:r>
      <w:r>
        <w:rPr>
          <w:rFonts w:hint="eastAsia" w:ascii="宋体" w:hAnsi="宋体" w:eastAsia="宋体" w:cs="宋体"/>
          <w:sz w:val="32"/>
          <w:szCs w:val="32"/>
        </w:rPr>
        <w:fldChar w:fldCharType="separate"/>
      </w:r>
      <w:r>
        <w:rPr>
          <w:rFonts w:hint="eastAsia" w:ascii="宋体" w:hAnsi="宋体" w:eastAsia="宋体" w:cs="宋体"/>
          <w:sz w:val="32"/>
          <w:szCs w:val="32"/>
        </w:rPr>
        <w:t>第六章 投标文件（格式）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_Toc3628 \h </w:instrText>
      </w:r>
      <w:r>
        <w:rPr>
          <w:rFonts w:hint="eastAsia" w:ascii="宋体" w:hAnsi="宋体" w:eastAsia="宋体" w:cs="宋体"/>
          <w:sz w:val="32"/>
          <w:szCs w:val="32"/>
        </w:rPr>
        <w:fldChar w:fldCharType="separate"/>
      </w:r>
      <w:r>
        <w:rPr>
          <w:rFonts w:hint="eastAsia" w:ascii="宋体" w:hAnsi="宋体" w:eastAsia="宋体" w:cs="宋体"/>
          <w:sz w:val="32"/>
          <w:szCs w:val="32"/>
        </w:rPr>
        <w:t>44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7BBD2980">
      <w:pPr>
        <w:spacing w:line="480" w:lineRule="auto"/>
      </w:pPr>
      <w:r>
        <w:rPr>
          <w:rFonts w:asciiTheme="minorEastAsia" w:hAnsiTheme="minorEastAsia" w:eastAsiaTheme="minorEastAsia"/>
          <w:szCs w:val="30"/>
        </w:rPr>
        <w:fldChar w:fldCharType="end"/>
      </w:r>
    </w:p>
    <w:p w14:paraId="52004BB1"/>
    <w:p w14:paraId="0D5C59E8">
      <w:pPr>
        <w:spacing w:line="360" w:lineRule="exact"/>
      </w:pPr>
    </w:p>
    <w:p w14:paraId="173B9E93">
      <w:pPr>
        <w:tabs>
          <w:tab w:val="left" w:pos="6983"/>
        </w:tabs>
        <w:bidi w:val="0"/>
        <w:jc w:val="left"/>
        <w:rPr>
          <w:rFonts w:ascii="Times New Roman" w:hAnsi="Times New Roman" w:eastAsia="宋体" w:cs="Times New Roman"/>
          <w:kern w:val="2"/>
          <w:sz w:val="21"/>
          <w:szCs w:val="22"/>
          <w:lang w:val="en-US" w:eastAsia="zh-CN" w:bidi="ar-SA"/>
        </w:rPr>
        <w:sectPr>
          <w:headerReference r:id="rId4" w:type="first"/>
          <w:footerReference r:id="rId6" w:type="first"/>
          <w:headerReference r:id="rId3" w:type="default"/>
          <w:footerReference r:id="rId5" w:type="default"/>
          <w:pgSz w:w="11906" w:h="16838"/>
          <w:pgMar w:top="1247" w:right="1417" w:bottom="1247" w:left="1417" w:header="850" w:footer="992" w:gutter="0"/>
          <w:pgNumType w:fmt="decimal" w:start="1"/>
          <w:cols w:space="0" w:num="1"/>
          <w:titlePg/>
          <w:rtlGutter w:val="0"/>
          <w:docGrid w:type="lines" w:linePitch="326" w:charSpace="0"/>
        </w:sectPr>
      </w:pPr>
      <w:r>
        <w:rPr>
          <w:rFonts w:hint="eastAsia" w:cs="Times New Roman"/>
          <w:kern w:val="2"/>
          <w:sz w:val="21"/>
          <w:szCs w:val="22"/>
          <w:lang w:val="en-US" w:eastAsia="zh-CN" w:bidi="ar-SA"/>
        </w:rPr>
        <w:tab/>
      </w:r>
    </w:p>
    <w:p w14:paraId="23963817">
      <w:pPr>
        <w:pStyle w:val="2"/>
        <w:spacing w:before="0" w:after="0" w:line="500" w:lineRule="exact"/>
        <w:jc w:val="center"/>
        <w:rPr>
          <w:rFonts w:ascii="宋体" w:hAnsi="宋体"/>
          <w:sz w:val="36"/>
          <w:szCs w:val="36"/>
        </w:rPr>
      </w:pPr>
      <w:bookmarkStart w:id="3" w:name="_Toc19575"/>
      <w:bookmarkStart w:id="4" w:name="_Toc26541320"/>
      <w:r>
        <w:rPr>
          <w:rFonts w:hint="eastAsia" w:ascii="宋体" w:hAnsi="宋体"/>
          <w:sz w:val="36"/>
          <w:szCs w:val="36"/>
        </w:rPr>
        <w:t xml:space="preserve">第一章 </w:t>
      </w:r>
      <w:bookmarkStart w:id="5" w:name="OLE_LINK1"/>
      <w:r>
        <w:rPr>
          <w:rFonts w:hint="eastAsia" w:ascii="宋体" w:hAnsi="宋体"/>
          <w:sz w:val="36"/>
          <w:szCs w:val="36"/>
        </w:rPr>
        <w:t>招标公告</w:t>
      </w:r>
      <w:bookmarkEnd w:id="0"/>
      <w:bookmarkEnd w:id="3"/>
      <w:bookmarkEnd w:id="4"/>
    </w:p>
    <w:bookmarkEnd w:id="5"/>
    <w:p w14:paraId="1028F454">
      <w:pPr>
        <w:pStyle w:val="129"/>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
          <w:sz w:val="24"/>
          <w:szCs w:val="24"/>
        </w:rPr>
        <w:t>项目概况</w:t>
      </w:r>
    </w:p>
    <w:p w14:paraId="7C297866">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医疗质量管理平台采购项目招标项目的潜在投标人应在全国公共资源交易平台（陕西省.安康市）获取招标文件，并于 2026年01月05日 14时00分 （北京时间）前递交投标文件。</w:t>
      </w:r>
    </w:p>
    <w:p w14:paraId="4F016128">
      <w:pPr>
        <w:pStyle w:val="129"/>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一、项目基本情况</w:t>
      </w:r>
    </w:p>
    <w:p w14:paraId="3E51055C">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项目编号：XSCG--AK2025026</w:t>
      </w:r>
    </w:p>
    <w:p w14:paraId="48A89C4A">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项目名称：医疗质量管理平台采购项目</w:t>
      </w:r>
    </w:p>
    <w:p w14:paraId="2E3FF080">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采购方式：公开招标</w:t>
      </w:r>
    </w:p>
    <w:p w14:paraId="0A2A13C4">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预算金额：2,010,000.00元</w:t>
      </w:r>
    </w:p>
    <w:p w14:paraId="6410AAC5">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74FDC405">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合同包1(安康市中心医院医疗质量管理平台采购项目):</w:t>
      </w:r>
    </w:p>
    <w:p w14:paraId="2FA87730">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合同包预算金额：2,010,000.00元</w:t>
      </w:r>
    </w:p>
    <w:p w14:paraId="75518810">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合同包最高限价：2,010,000.00元</w:t>
      </w:r>
    </w:p>
    <w:tbl>
      <w:tblPr>
        <w:tblStyle w:val="42"/>
        <w:tblW w:w="0" w:type="auto"/>
        <w:tblInd w:w="4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1371"/>
        <w:gridCol w:w="1371"/>
        <w:gridCol w:w="1376"/>
        <w:gridCol w:w="1375"/>
        <w:gridCol w:w="1656"/>
      </w:tblGrid>
      <w:tr w14:paraId="2DBD6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9" w:type="dxa"/>
            <w:vAlign w:val="center"/>
          </w:tcPr>
          <w:p w14:paraId="3726C732">
            <w:pPr>
              <w:pStyle w:val="1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371" w:type="dxa"/>
            <w:vAlign w:val="center"/>
          </w:tcPr>
          <w:p w14:paraId="021A2F25">
            <w:pPr>
              <w:pStyle w:val="1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品目名称</w:t>
            </w:r>
          </w:p>
        </w:tc>
        <w:tc>
          <w:tcPr>
            <w:tcW w:w="1371" w:type="dxa"/>
            <w:vAlign w:val="center"/>
          </w:tcPr>
          <w:p w14:paraId="6E70F394">
            <w:pPr>
              <w:pStyle w:val="1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w:t>
            </w:r>
          </w:p>
        </w:tc>
        <w:tc>
          <w:tcPr>
            <w:tcW w:w="1376" w:type="dxa"/>
            <w:vAlign w:val="center"/>
          </w:tcPr>
          <w:p w14:paraId="2D4E6EB5">
            <w:pPr>
              <w:pStyle w:val="1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1375" w:type="dxa"/>
            <w:vAlign w:val="center"/>
          </w:tcPr>
          <w:p w14:paraId="1FB2BFC1">
            <w:pPr>
              <w:pStyle w:val="1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技术规格、参数及要求</w:t>
            </w:r>
          </w:p>
        </w:tc>
        <w:tc>
          <w:tcPr>
            <w:tcW w:w="1656" w:type="dxa"/>
            <w:vAlign w:val="center"/>
          </w:tcPr>
          <w:p w14:paraId="3E9DCC5C">
            <w:pPr>
              <w:pStyle w:val="1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品目预算(元)</w:t>
            </w:r>
          </w:p>
        </w:tc>
      </w:tr>
      <w:tr w14:paraId="7E1ED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9" w:type="dxa"/>
            <w:vAlign w:val="center"/>
          </w:tcPr>
          <w:p w14:paraId="265408E5">
            <w:pPr>
              <w:pStyle w:val="1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371" w:type="dxa"/>
            <w:vAlign w:val="center"/>
          </w:tcPr>
          <w:p w14:paraId="5EACD504">
            <w:pPr>
              <w:pStyle w:val="1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其他计算机软件</w:t>
            </w:r>
          </w:p>
        </w:tc>
        <w:tc>
          <w:tcPr>
            <w:tcW w:w="1371" w:type="dxa"/>
            <w:vAlign w:val="center"/>
          </w:tcPr>
          <w:p w14:paraId="50E8530D">
            <w:pPr>
              <w:pStyle w:val="1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医疗质量管理平台</w:t>
            </w:r>
          </w:p>
        </w:tc>
        <w:tc>
          <w:tcPr>
            <w:tcW w:w="1376" w:type="dxa"/>
            <w:vAlign w:val="center"/>
          </w:tcPr>
          <w:p w14:paraId="4C4A87AB">
            <w:pPr>
              <w:pStyle w:val="1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1(套)</w:t>
            </w:r>
          </w:p>
        </w:tc>
        <w:tc>
          <w:tcPr>
            <w:tcW w:w="1375" w:type="dxa"/>
            <w:vAlign w:val="center"/>
          </w:tcPr>
          <w:p w14:paraId="7BA6D4C9">
            <w:pPr>
              <w:pStyle w:val="1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详见采购文件</w:t>
            </w:r>
          </w:p>
        </w:tc>
        <w:tc>
          <w:tcPr>
            <w:tcW w:w="1656" w:type="dxa"/>
            <w:vAlign w:val="center"/>
          </w:tcPr>
          <w:p w14:paraId="0756B760">
            <w:pPr>
              <w:pStyle w:val="1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2,010,000.00</w:t>
            </w:r>
          </w:p>
        </w:tc>
      </w:tr>
    </w:tbl>
    <w:p w14:paraId="4322554C">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本合同包不接受联合体投标</w:t>
      </w:r>
    </w:p>
    <w:p w14:paraId="58AC2729">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合同履行期限：合同签订5个工作日内工程师驻场实施，项目交付时间为90天。</w:t>
      </w:r>
    </w:p>
    <w:p w14:paraId="03AE2044">
      <w:pPr>
        <w:pStyle w:val="129"/>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二、申请人的资格要求：</w:t>
      </w:r>
    </w:p>
    <w:p w14:paraId="72922FB4">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2C2F3ACF">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145EA9D1">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合同包1(安康市中心医院医疗质量管理平台采购项目)落实政府采购政策需满足的资格要求如下:</w:t>
      </w:r>
    </w:p>
    <w:p w14:paraId="4C6681A8">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（1）《政府采购促进中小企业发展管理办法》（财库〔2020〕46号）；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（2）《财政部司法部关于政府采购支持监狱企业发展有关问题的通知》（财库〔2014〕68号）；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（3）《财政部民政部中国残疾人联合会关于促进残疾人就业政府采购政策的通知》（财库〔2017〕141号）；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（4）《财政部 国务院扶贫办关于运用政府采购政策支持脱贫攻坚的通知》（财库〔2019〕27号）；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（5）陕西省财政厅关于印发《陕西省中小企业政府采购信用融资办法》（陕财办采〔2018〕23号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（6）其他需要落实的政府采购政策。</w:t>
      </w:r>
    </w:p>
    <w:p w14:paraId="3D7D9E4F">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73EE6548">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合同包1(安康市中心医院医疗质量管理平台采购项目)特定资格要求如下:</w:t>
      </w:r>
    </w:p>
    <w:p w14:paraId="70C0AB06">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（1）投标人须具有独立承担民事责任能力的法人、其他组织或自然人，并出具合法有效的营业执照或事业单位法人证书等国家规定的相关证明，自然人参与的提供其身份证明文件;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（2）投标人应授权合法的人员参加投标全过程，其中法定代表人直接参加投标的，须出具法人身份证，并与营业执照上信息一致；法定代表人授权代表参加投标的，须出具法定代表人授权书及授权代表身份证;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（3）良好的商业信誉：投标人必须拥有良好的商业信誉（投标截止日前三个月内基本开户银行出具的资信证明或2024年投标人的财务报表扫描件（包括资产负债表、现金流量表、利润表）；</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（4）税收缴纳证明：提供投标截止日前一年内已缴纳的至少一个月的纳税证明或完税证明（任意税种），依法免税的单位应提供相关证明材料;</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（5）社会保障资金缴纳证明：提供投标截止日前一年内已缴存的至少一个月的社会保障资金缴存单据或社保机构开具的社会保险参保缴费情况证明，依法不需要缴纳社会保障资金的单位应提供相关证明材料；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投标人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 活动的供应商。可提供网页查询截图或报告并加盖供应商公章，查询时间应为报名开始至投标截止时间之前。如相关失信记录已失效，供应商需提供相关证明资料，最终结果以网查为准。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（7）投标人须出具参加政府采购活动前3年内在经营活动中没有重大违法记录的书面声明（格式自拟）。</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（8）投标人具备履行合同所必需的设备和专业技术能力的承诺书（格式自拟）。</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（9）本项目不接受联合体投标（格式自拟）。</w:t>
      </w:r>
    </w:p>
    <w:p w14:paraId="0A47FDF7">
      <w:pPr>
        <w:pStyle w:val="129"/>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三、获取招标文件</w:t>
      </w:r>
    </w:p>
    <w:p w14:paraId="6F7B71B3">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2025年12月10日 至 2025年12月16日 ，每天上午 08:00:00 至 12:00:00 ，下午 12:00:00 至 18:00:00 （北京时间）</w:t>
      </w:r>
    </w:p>
    <w:p w14:paraId="1BF95EE0">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途径：全国公共资源交易平台（陕西省.安康市）</w:t>
      </w:r>
    </w:p>
    <w:p w14:paraId="6FFDB3A7">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方式：在线获取</w:t>
      </w:r>
    </w:p>
    <w:p w14:paraId="53B6EC13">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 0元</w:t>
      </w:r>
    </w:p>
    <w:p w14:paraId="3CA5A87D">
      <w:pPr>
        <w:pStyle w:val="129"/>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四、提交投标文件截止时间、开标时间和地点</w:t>
      </w:r>
    </w:p>
    <w:p w14:paraId="549093F1">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2026年01月05日 14时00分00秒 （北京时间）</w:t>
      </w:r>
    </w:p>
    <w:p w14:paraId="60E99EB3">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提交投标文件地点：全国公共资源交易平台（陕西省.安康市）</w:t>
      </w:r>
    </w:p>
    <w:p w14:paraId="6CAA838A">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开标地点：全国公共资源交易平台（陕西省.安康市）不见面开标系统</w:t>
      </w:r>
    </w:p>
    <w:p w14:paraId="20BFA7E2">
      <w:pPr>
        <w:pStyle w:val="129"/>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五、公告期限</w:t>
      </w:r>
    </w:p>
    <w:p w14:paraId="59DE1125">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自本公告发布之日起5个工作日。</w:t>
      </w:r>
    </w:p>
    <w:p w14:paraId="70CCD9E8">
      <w:pPr>
        <w:pStyle w:val="129"/>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六、其他补充事宜</w:t>
      </w:r>
    </w:p>
    <w:p w14:paraId="4A55841B">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采用电子化投标及远程不见面开标方式报名须知：1、使用捆绑省交易平台的CA锁登录电子交易平台，通过政府采购系统企业端进入，点击我要投标，完善相关投标信息。2、本项目采用电子化投标方式（不见面开标系统），不提供纸质投标文件，相关操作流程详见全国公共资源交易平台（陕西省）网站[服务指 南-下载专区]中的《陕西省公共资源交易中心政府采购项目投标指南》；3、电子招标文件技术支持：400928009 5、4009980000。4、请各投标人下载招标文件后，按照陕西省财政厅《关于政府采购供应商注册登记有关事项的通知》要求，通过陕西省政府采购网注册登记加入陕西省政府采购供应商库。</w:t>
      </w:r>
    </w:p>
    <w:p w14:paraId="4FBC3E7E">
      <w:pPr>
        <w:pStyle w:val="129"/>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七、对本次招标提出询问，请按以下方式联系。</w:t>
      </w:r>
    </w:p>
    <w:p w14:paraId="217FE5F8">
      <w:pPr>
        <w:pStyle w:val="129"/>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1.采购人信息</w:t>
      </w:r>
    </w:p>
    <w:p w14:paraId="2DF4CEB8">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名称：安康市中心医院</w:t>
      </w:r>
    </w:p>
    <w:p w14:paraId="6C354082">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地址：金州南路85号</w:t>
      </w:r>
    </w:p>
    <w:p w14:paraId="0DCE4AAD">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联系方式：0915-3284303</w:t>
      </w:r>
    </w:p>
    <w:p w14:paraId="3AC2F4DE">
      <w:pPr>
        <w:pStyle w:val="129"/>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2.采购代理机构信息</w:t>
      </w:r>
    </w:p>
    <w:p w14:paraId="2BB87A3D">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名称：安康市兴盛工程造价咨询有限公司</w:t>
      </w:r>
    </w:p>
    <w:p w14:paraId="5D4F0B6C">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地址：陕西省安康市汉滨区大桥路鑫街口公寓4楼</w:t>
      </w:r>
    </w:p>
    <w:p w14:paraId="272FA024">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联系方式：15229550225</w:t>
      </w:r>
    </w:p>
    <w:p w14:paraId="14A8EE7E">
      <w:pPr>
        <w:pStyle w:val="129"/>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3.项目联系方式</w:t>
      </w:r>
    </w:p>
    <w:p w14:paraId="081DFD52">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项目联系人：张梦婕</w:t>
      </w:r>
    </w:p>
    <w:p w14:paraId="3DF2581E">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电话：15229550225</w:t>
      </w:r>
    </w:p>
    <w:p w14:paraId="73C97E84">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安康市兴盛工程造价咨询有限公司</w:t>
      </w:r>
    </w:p>
    <w:p w14:paraId="0DC7EAE9">
      <w:pPr>
        <w:pStyle w:val="129"/>
        <w:keepNext w:val="0"/>
        <w:keepLines w:val="0"/>
        <w:pageBreakBefore w:val="0"/>
        <w:widowControl/>
        <w:kinsoku/>
        <w:wordWrap/>
        <w:overflowPunct/>
        <w:topLinePunct w:val="0"/>
        <w:autoSpaceDE/>
        <w:autoSpaceDN/>
        <w:bidi w:val="0"/>
        <w:adjustRightInd/>
        <w:snapToGrid/>
        <w:spacing w:line="360" w:lineRule="auto"/>
        <w:ind w:left="0" w:firstLine="480" w:firstLineChars="200"/>
        <w:jc w:val="right"/>
        <w:textAlignment w:val="auto"/>
        <w:outlineLvl w:val="9"/>
        <w:rPr>
          <w:rFonts w:hint="eastAsia" w:asciiTheme="minorEastAsia" w:hAnsiTheme="minorEastAsia" w:eastAsiaTheme="minorEastAsia" w:cstheme="minorEastAsia"/>
        </w:rPr>
      </w:pPr>
      <w:r>
        <w:rPr>
          <w:rFonts w:hint="eastAsia" w:asciiTheme="minorEastAsia" w:hAnsiTheme="minorEastAsia" w:cstheme="minorEastAsia"/>
          <w:sz w:val="24"/>
          <w:szCs w:val="24"/>
          <w:lang w:val="en-US" w:eastAsia="zh-CN"/>
        </w:rPr>
        <w:t>2025年12月9日</w:t>
      </w:r>
      <w:r>
        <w:rPr>
          <w:rFonts w:hint="eastAsia" w:asciiTheme="minorEastAsia" w:hAnsiTheme="minorEastAsia" w:eastAsiaTheme="minorEastAsia" w:cstheme="minorEastAsia"/>
        </w:rPr>
        <w:br w:type="textWrapping"/>
      </w:r>
      <w:bookmarkStart w:id="6" w:name="_Toc386388995"/>
      <w:bookmarkStart w:id="7" w:name="_Toc358364316"/>
      <w:bookmarkStart w:id="8" w:name="_Toc380336722"/>
      <w:bookmarkStart w:id="9" w:name="_Toc358893502"/>
      <w:bookmarkStart w:id="10" w:name="_Toc347478673"/>
    </w:p>
    <w:p w14:paraId="45E5340C">
      <w:pPr>
        <w:pStyle w:val="129"/>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outlineLvl w:val="9"/>
        <w:rPr>
          <w:rFonts w:hint="eastAsia" w:asciiTheme="minorEastAsia" w:hAnsiTheme="minorEastAsia" w:eastAsiaTheme="minorEastAsia" w:cstheme="minorEastAsia"/>
        </w:rPr>
      </w:pPr>
    </w:p>
    <w:p w14:paraId="52BDB04C">
      <w:pPr>
        <w:pStyle w:val="129"/>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outlineLvl w:val="9"/>
        <w:rPr>
          <w:rFonts w:hint="eastAsia" w:asciiTheme="minorEastAsia" w:hAnsiTheme="minorEastAsia" w:eastAsiaTheme="minorEastAsia" w:cstheme="minorEastAsia"/>
        </w:rPr>
      </w:pPr>
    </w:p>
    <w:p w14:paraId="2B7C7BFC">
      <w:pPr>
        <w:pStyle w:val="129"/>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outlineLvl w:val="9"/>
        <w:rPr>
          <w:rFonts w:hint="eastAsia" w:asciiTheme="minorEastAsia" w:hAnsiTheme="minorEastAsia" w:eastAsiaTheme="minorEastAsia" w:cstheme="minorEastAsia"/>
        </w:rPr>
      </w:pPr>
    </w:p>
    <w:p w14:paraId="0232B7CF">
      <w:pPr>
        <w:pStyle w:val="129"/>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outlineLvl w:val="9"/>
        <w:rPr>
          <w:rFonts w:hint="eastAsia" w:asciiTheme="minorEastAsia" w:hAnsiTheme="minorEastAsia" w:eastAsiaTheme="minorEastAsia" w:cstheme="minorEastAsia"/>
        </w:rPr>
      </w:pPr>
    </w:p>
    <w:p w14:paraId="1B354891">
      <w:pPr>
        <w:pStyle w:val="129"/>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outlineLvl w:val="9"/>
        <w:rPr>
          <w:rFonts w:hint="eastAsia" w:asciiTheme="minorEastAsia" w:hAnsiTheme="minorEastAsia" w:eastAsiaTheme="minorEastAsia" w:cstheme="minorEastAsia"/>
        </w:rPr>
      </w:pPr>
    </w:p>
    <w:p w14:paraId="215E7B0A">
      <w:pPr>
        <w:pStyle w:val="129"/>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outlineLvl w:val="9"/>
        <w:rPr>
          <w:rFonts w:hint="eastAsia" w:asciiTheme="minorEastAsia" w:hAnsiTheme="minorEastAsia" w:eastAsiaTheme="minorEastAsia" w:cstheme="minorEastAsia"/>
        </w:rPr>
      </w:pPr>
    </w:p>
    <w:p w14:paraId="56E3682B">
      <w:pPr>
        <w:pStyle w:val="129"/>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outlineLvl w:val="9"/>
        <w:rPr>
          <w:rFonts w:hint="eastAsia" w:asciiTheme="minorEastAsia" w:hAnsiTheme="minorEastAsia" w:eastAsiaTheme="minorEastAsia" w:cstheme="minorEastAsia"/>
        </w:rPr>
      </w:pPr>
    </w:p>
    <w:p w14:paraId="42E42117">
      <w:pPr>
        <w:pStyle w:val="129"/>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outlineLvl w:val="9"/>
        <w:rPr>
          <w:rFonts w:hint="eastAsia" w:asciiTheme="minorEastAsia" w:hAnsiTheme="minorEastAsia" w:eastAsiaTheme="minorEastAsia" w:cstheme="minorEastAsia"/>
        </w:rPr>
      </w:pPr>
    </w:p>
    <w:p w14:paraId="664E9EC9">
      <w:pPr>
        <w:pStyle w:val="129"/>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outlineLvl w:val="9"/>
        <w:rPr>
          <w:rFonts w:hint="eastAsia" w:asciiTheme="minorEastAsia" w:hAnsiTheme="minorEastAsia" w:eastAsiaTheme="minorEastAsia" w:cstheme="minorEastAsia"/>
        </w:rPr>
      </w:pPr>
    </w:p>
    <w:p w14:paraId="49300615">
      <w:pPr>
        <w:pStyle w:val="129"/>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outlineLvl w:val="9"/>
        <w:rPr>
          <w:rFonts w:hint="eastAsia" w:asciiTheme="minorEastAsia" w:hAnsiTheme="minorEastAsia" w:eastAsiaTheme="minorEastAsia" w:cstheme="minorEastAsia"/>
        </w:rPr>
      </w:pPr>
    </w:p>
    <w:p w14:paraId="3CC7B966">
      <w:pPr>
        <w:pStyle w:val="129"/>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outlineLvl w:val="9"/>
        <w:rPr>
          <w:rFonts w:hint="eastAsia" w:asciiTheme="minorEastAsia" w:hAnsiTheme="minorEastAsia" w:eastAsiaTheme="minorEastAsia" w:cstheme="minorEastAsia"/>
        </w:rPr>
      </w:pPr>
    </w:p>
    <w:p w14:paraId="358A6AE7">
      <w:pPr>
        <w:pStyle w:val="129"/>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outlineLvl w:val="9"/>
        <w:rPr>
          <w:rFonts w:hint="eastAsia" w:asciiTheme="minorEastAsia" w:hAnsiTheme="minorEastAsia" w:eastAsiaTheme="minorEastAsia" w:cstheme="minorEastAsia"/>
        </w:rPr>
      </w:pPr>
    </w:p>
    <w:p w14:paraId="2E20068D">
      <w:pPr>
        <w:pStyle w:val="129"/>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outlineLvl w:val="9"/>
        <w:rPr>
          <w:rFonts w:hint="eastAsia" w:asciiTheme="minorEastAsia" w:hAnsiTheme="minorEastAsia" w:eastAsiaTheme="minorEastAsia" w:cstheme="minorEastAsia"/>
        </w:rPr>
      </w:pPr>
    </w:p>
    <w:p w14:paraId="052C0EDE">
      <w:pPr>
        <w:pStyle w:val="129"/>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outlineLvl w:val="9"/>
        <w:rPr>
          <w:rFonts w:hint="eastAsia" w:asciiTheme="minorEastAsia" w:hAnsiTheme="minorEastAsia" w:eastAsiaTheme="minorEastAsia" w:cstheme="minorEastAsia"/>
        </w:rPr>
      </w:pPr>
    </w:p>
    <w:p w14:paraId="60E32C81">
      <w:pPr>
        <w:pStyle w:val="129"/>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outlineLvl w:val="9"/>
        <w:rPr>
          <w:rFonts w:hint="eastAsia" w:asciiTheme="minorEastAsia" w:hAnsiTheme="minorEastAsia" w:eastAsiaTheme="minorEastAsia" w:cstheme="minorEastAsia"/>
        </w:rPr>
      </w:pPr>
    </w:p>
    <w:p w14:paraId="4878B029">
      <w:pPr>
        <w:pStyle w:val="129"/>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outlineLvl w:val="9"/>
        <w:rPr>
          <w:rFonts w:hint="eastAsia" w:asciiTheme="minorEastAsia" w:hAnsiTheme="minorEastAsia" w:eastAsiaTheme="minorEastAsia" w:cstheme="minorEastAsia"/>
        </w:rPr>
      </w:pPr>
    </w:p>
    <w:p w14:paraId="64E947B9">
      <w:pPr>
        <w:pStyle w:val="129"/>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outlineLvl w:val="9"/>
        <w:rPr>
          <w:rFonts w:hint="eastAsia" w:asciiTheme="minorEastAsia" w:hAnsiTheme="minorEastAsia" w:eastAsiaTheme="minorEastAsia" w:cstheme="minorEastAsia"/>
        </w:rPr>
      </w:pPr>
    </w:p>
    <w:p w14:paraId="722DB458">
      <w:pPr>
        <w:pStyle w:val="2"/>
        <w:spacing w:before="0" w:after="0" w:line="500" w:lineRule="exact"/>
        <w:jc w:val="center"/>
        <w:rPr>
          <w:rFonts w:ascii="宋体" w:hAnsi="宋体"/>
          <w:sz w:val="36"/>
          <w:szCs w:val="36"/>
        </w:rPr>
      </w:pPr>
      <w:bookmarkStart w:id="11" w:name="_Toc23258604"/>
      <w:bookmarkStart w:id="12" w:name="_Toc3493"/>
      <w:bookmarkStart w:id="13" w:name="_Toc26541321"/>
      <w:r>
        <w:rPr>
          <w:rFonts w:hint="eastAsia" w:ascii="宋体" w:hAnsi="宋体"/>
          <w:sz w:val="36"/>
          <w:szCs w:val="36"/>
        </w:rPr>
        <w:t>第二章 投标人须知前附表</w:t>
      </w:r>
      <w:bookmarkEnd w:id="6"/>
      <w:bookmarkEnd w:id="7"/>
      <w:bookmarkEnd w:id="8"/>
      <w:bookmarkEnd w:id="9"/>
      <w:bookmarkEnd w:id="11"/>
      <w:bookmarkEnd w:id="12"/>
      <w:bookmarkEnd w:id="13"/>
    </w:p>
    <w:tbl>
      <w:tblPr>
        <w:tblStyle w:val="42"/>
        <w:tblW w:w="9585" w:type="dxa"/>
        <w:jc w:val="center"/>
        <w:tblLayout w:type="fixed"/>
        <w:tblCellMar>
          <w:top w:w="0" w:type="dxa"/>
          <w:left w:w="108" w:type="dxa"/>
          <w:bottom w:w="0" w:type="dxa"/>
          <w:right w:w="108" w:type="dxa"/>
        </w:tblCellMar>
      </w:tblPr>
      <w:tblGrid>
        <w:gridCol w:w="704"/>
        <w:gridCol w:w="1701"/>
        <w:gridCol w:w="7180"/>
      </w:tblGrid>
      <w:tr w14:paraId="4BE6A213">
        <w:tblPrEx>
          <w:tblCellMar>
            <w:top w:w="0" w:type="dxa"/>
            <w:left w:w="108" w:type="dxa"/>
            <w:bottom w:w="0" w:type="dxa"/>
            <w:right w:w="108" w:type="dxa"/>
          </w:tblCellMar>
        </w:tblPrEx>
        <w:trPr>
          <w:trHeight w:val="30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DA7FB3">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序号</w:t>
            </w:r>
          </w:p>
        </w:tc>
        <w:tc>
          <w:tcPr>
            <w:tcW w:w="1701" w:type="dxa"/>
            <w:tcBorders>
              <w:top w:val="single" w:color="000000" w:sz="4" w:space="0"/>
              <w:left w:val="nil"/>
              <w:bottom w:val="single" w:color="000000" w:sz="4" w:space="0"/>
              <w:right w:val="single" w:color="auto" w:sz="4" w:space="0"/>
            </w:tcBorders>
            <w:vAlign w:val="center"/>
          </w:tcPr>
          <w:p w14:paraId="07741CA9">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2E916845">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编列内容</w:t>
            </w:r>
          </w:p>
        </w:tc>
      </w:tr>
      <w:tr w14:paraId="0C05E630">
        <w:tblPrEx>
          <w:tblCellMar>
            <w:top w:w="0" w:type="dxa"/>
            <w:left w:w="108" w:type="dxa"/>
            <w:bottom w:w="0" w:type="dxa"/>
            <w:right w:w="108" w:type="dxa"/>
          </w:tblCellMar>
        </w:tblPrEx>
        <w:trPr>
          <w:trHeight w:val="26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9C13E5E">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3B64F93E">
            <w:pPr>
              <w:keepNext w:val="0"/>
              <w:keepLines w:val="0"/>
              <w:widowControl/>
              <w:suppressLineNumbers w:val="0"/>
              <w:spacing w:before="0" w:beforeAutospacing="0" w:after="0" w:afterAutospacing="0" w:line="440" w:lineRule="exact"/>
              <w:ind w:left="19" w:right="0" w:hanging="19"/>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66C67B8E">
            <w:pPr>
              <w:keepNext w:val="0"/>
              <w:keepLines w:val="0"/>
              <w:widowControl/>
              <w:suppressLineNumbers w:val="0"/>
              <w:spacing w:before="0" w:beforeAutospacing="0" w:after="0" w:afterAutospacing="0" w:line="440" w:lineRule="exact"/>
              <w:ind w:left="19" w:right="0" w:hanging="19"/>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安康市中心医院</w:t>
            </w:r>
          </w:p>
        </w:tc>
      </w:tr>
      <w:tr w14:paraId="32AC43EC">
        <w:tblPrEx>
          <w:tblCellMar>
            <w:top w:w="0" w:type="dxa"/>
            <w:left w:w="108" w:type="dxa"/>
            <w:bottom w:w="0" w:type="dxa"/>
            <w:right w:w="108" w:type="dxa"/>
          </w:tblCellMar>
        </w:tblPrEx>
        <w:trPr>
          <w:trHeight w:val="40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AE11DF1">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54A24CBB">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1BA866DF">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安康市兴盛工程造价咨询有限公司</w:t>
            </w:r>
          </w:p>
        </w:tc>
      </w:tr>
      <w:tr w14:paraId="57B5B855">
        <w:tblPrEx>
          <w:tblCellMar>
            <w:top w:w="0" w:type="dxa"/>
            <w:left w:w="108" w:type="dxa"/>
            <w:bottom w:w="0" w:type="dxa"/>
            <w:right w:w="108" w:type="dxa"/>
          </w:tblCellMar>
        </w:tblPrEx>
        <w:trPr>
          <w:trHeight w:val="436" w:hRule="atLeast"/>
          <w:jc w:val="center"/>
        </w:trPr>
        <w:tc>
          <w:tcPr>
            <w:tcW w:w="704" w:type="dxa"/>
            <w:vMerge w:val="restart"/>
            <w:tcBorders>
              <w:top w:val="single" w:color="000000" w:sz="4" w:space="0"/>
              <w:left w:val="single" w:color="000000" w:sz="4" w:space="0"/>
              <w:right w:val="single" w:color="000000" w:sz="4" w:space="0"/>
            </w:tcBorders>
            <w:vAlign w:val="center"/>
          </w:tcPr>
          <w:p w14:paraId="4BC0A288">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29D69B4F">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06467C18">
            <w:pPr>
              <w:keepNext w:val="0"/>
              <w:keepLines w:val="0"/>
              <w:widowControl/>
              <w:suppressLineNumbers w:val="0"/>
              <w:spacing w:before="0" w:beforeAutospacing="0" w:after="0" w:afterAutospacing="0" w:line="440" w:lineRule="exact"/>
              <w:ind w:left="19" w:right="0" w:hanging="19"/>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安康市中心医院医疗质量管理平台采购项目   </w:t>
            </w:r>
          </w:p>
        </w:tc>
      </w:tr>
      <w:tr w14:paraId="137B9393">
        <w:tblPrEx>
          <w:tblCellMar>
            <w:top w:w="0" w:type="dxa"/>
            <w:left w:w="108" w:type="dxa"/>
            <w:bottom w:w="0" w:type="dxa"/>
            <w:right w:w="108" w:type="dxa"/>
          </w:tblCellMar>
        </w:tblPrEx>
        <w:trPr>
          <w:trHeight w:val="473" w:hRule="atLeast"/>
          <w:jc w:val="center"/>
        </w:trPr>
        <w:tc>
          <w:tcPr>
            <w:tcW w:w="704" w:type="dxa"/>
            <w:vMerge w:val="continue"/>
            <w:tcBorders>
              <w:left w:val="single" w:color="000000" w:sz="4" w:space="0"/>
              <w:right w:val="single" w:color="000000" w:sz="4" w:space="0"/>
            </w:tcBorders>
            <w:vAlign w:val="center"/>
          </w:tcPr>
          <w:p w14:paraId="4CD1BB34">
            <w:pPr>
              <w:keepNext w:val="0"/>
              <w:keepLines w:val="0"/>
              <w:widowControl/>
              <w:suppressLineNumbers w:val="0"/>
              <w:spacing w:before="0" w:beforeAutospacing="0" w:after="0" w:afterAutospacing="0" w:line="440" w:lineRule="exact"/>
              <w:ind w:left="0" w:right="0"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right w:val="single" w:color="auto" w:sz="4" w:space="0"/>
            </w:tcBorders>
            <w:vAlign w:val="center"/>
          </w:tcPr>
          <w:p w14:paraId="46974C47">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项目编号</w:t>
            </w:r>
          </w:p>
        </w:tc>
        <w:tc>
          <w:tcPr>
            <w:tcW w:w="7180" w:type="dxa"/>
            <w:tcBorders>
              <w:top w:val="single" w:color="000000" w:sz="4" w:space="0"/>
              <w:left w:val="single" w:color="auto" w:sz="4" w:space="0"/>
              <w:right w:val="single" w:color="000000" w:sz="4" w:space="0"/>
            </w:tcBorders>
            <w:vAlign w:val="center"/>
          </w:tcPr>
          <w:p w14:paraId="04AAE911">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 xml:space="preserve">XSCG-AK2025026 </w:t>
            </w:r>
          </w:p>
        </w:tc>
      </w:tr>
      <w:tr w14:paraId="3DB39E0C">
        <w:tblPrEx>
          <w:tblCellMar>
            <w:top w:w="0" w:type="dxa"/>
            <w:left w:w="108" w:type="dxa"/>
            <w:bottom w:w="0" w:type="dxa"/>
            <w:right w:w="108" w:type="dxa"/>
          </w:tblCellMar>
        </w:tblPrEx>
        <w:trPr>
          <w:trHeight w:val="654" w:hRule="atLeast"/>
          <w:jc w:val="center"/>
        </w:trPr>
        <w:tc>
          <w:tcPr>
            <w:tcW w:w="704" w:type="dxa"/>
            <w:tcBorders>
              <w:top w:val="single" w:color="000000" w:sz="4" w:space="0"/>
              <w:left w:val="single" w:color="000000" w:sz="4" w:space="0"/>
              <w:bottom w:val="single" w:color="auto" w:sz="4" w:space="0"/>
              <w:right w:val="single" w:color="000000" w:sz="4" w:space="0"/>
            </w:tcBorders>
            <w:vAlign w:val="center"/>
          </w:tcPr>
          <w:p w14:paraId="16C78C82">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2DC90471">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71A68B78">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1、投标人所报的价格应考虑到可能发生的所有与完成本项目相关服务及履行合同义务有关的一切费用。</w:t>
            </w:r>
          </w:p>
          <w:p w14:paraId="3561E401">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2、投标人必须对所投项目进行完整报价，不接受（将拒绝）只对部分服务进行报价的投标。</w:t>
            </w:r>
          </w:p>
        </w:tc>
      </w:tr>
      <w:tr w14:paraId="0A554B1E">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177FBF5">
            <w:pPr>
              <w:keepNext w:val="0"/>
              <w:keepLines w:val="0"/>
              <w:widowControl/>
              <w:numPr>
                <w:ilvl w:val="0"/>
                <w:numId w:val="2"/>
              </w:numPr>
              <w:suppressLineNumbers w:val="0"/>
              <w:spacing w:before="0" w:beforeAutospacing="0" w:after="0" w:afterAutospacing="0" w:line="440" w:lineRule="exact"/>
              <w:ind w:left="635" w:leftChars="0" w:right="0" w:hanging="425" w:firstLineChars="0"/>
              <w:rPr>
                <w:rFonts w:hint="eastAsia" w:asciiTheme="minorEastAsia" w:hAnsiTheme="minorEastAsia" w:eastAsiaTheme="minorEastAsia" w:cstheme="minorEastAsia"/>
                <w:kern w:val="0"/>
                <w:sz w:val="22"/>
                <w:szCs w:val="22"/>
              </w:rPr>
            </w:pPr>
          </w:p>
        </w:tc>
        <w:tc>
          <w:tcPr>
            <w:tcW w:w="1701" w:type="dxa"/>
            <w:tcBorders>
              <w:top w:val="single" w:color="000000" w:sz="4" w:space="0"/>
              <w:left w:val="single" w:color="auto" w:sz="4" w:space="0"/>
              <w:bottom w:val="single" w:color="auto" w:sz="4" w:space="0"/>
              <w:right w:val="single" w:color="auto" w:sz="4" w:space="0"/>
            </w:tcBorders>
            <w:vAlign w:val="center"/>
          </w:tcPr>
          <w:p w14:paraId="1A384B27">
            <w:pPr>
              <w:keepNext w:val="0"/>
              <w:keepLines w:val="0"/>
              <w:widowControl/>
              <w:suppressLineNumbers w:val="0"/>
              <w:spacing w:before="0" w:beforeAutospacing="0" w:after="0" w:afterAutospacing="0" w:line="440" w:lineRule="exact"/>
              <w:ind w:left="0" w:right="0" w:firstLine="220" w:firstLineChars="10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lang w:val="en-US" w:eastAsia="zh-CN"/>
              </w:rPr>
              <w:t>供货</w:t>
            </w:r>
            <w:r>
              <w:rPr>
                <w:rFonts w:hint="eastAsia" w:asciiTheme="minorEastAsia" w:hAnsiTheme="minorEastAsia" w:eastAsiaTheme="minorEastAsia" w:cstheme="minorEastAsia"/>
                <w:kern w:val="0"/>
                <w:sz w:val="22"/>
                <w:szCs w:val="22"/>
              </w:rPr>
              <w:t>期限</w:t>
            </w:r>
          </w:p>
        </w:tc>
        <w:tc>
          <w:tcPr>
            <w:tcW w:w="7180" w:type="dxa"/>
            <w:tcBorders>
              <w:top w:val="single" w:color="000000" w:sz="4" w:space="0"/>
              <w:left w:val="single" w:color="auto" w:sz="4" w:space="0"/>
              <w:bottom w:val="single" w:color="auto" w:sz="4" w:space="0"/>
              <w:right w:val="single" w:color="000000" w:sz="4" w:space="0"/>
            </w:tcBorders>
            <w:vAlign w:val="center"/>
          </w:tcPr>
          <w:p w14:paraId="193B4CCB">
            <w:pPr>
              <w:pStyle w:val="76"/>
              <w:keepNext w:val="0"/>
              <w:keepLines w:val="0"/>
              <w:pageBreakBefore w:val="0"/>
              <w:numPr>
                <w:ilvl w:val="0"/>
                <w:numId w:val="0"/>
              </w:numPr>
              <w:suppressLineNumbers w:val="0"/>
              <w:kinsoku/>
              <w:wordWrap/>
              <w:topLinePunct w:val="0"/>
              <w:autoSpaceDE/>
              <w:autoSpaceDN/>
              <w:bidi w:val="0"/>
              <w:spacing w:before="0" w:beforeAutospacing="0" w:after="0" w:afterAutospacing="0" w:line="480" w:lineRule="exact"/>
              <w:ind w:left="0" w:right="0"/>
              <w:textAlignment w:val="auto"/>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bidi="ar-SA"/>
              </w:rPr>
              <w:t>合同签订5个工作日内工程师驻场实施，项目交付时间为90天</w:t>
            </w:r>
          </w:p>
        </w:tc>
      </w:tr>
      <w:tr w14:paraId="45A4B5A8">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A4ED39B">
            <w:pPr>
              <w:keepNext w:val="0"/>
              <w:keepLines w:val="0"/>
              <w:widowControl/>
              <w:numPr>
                <w:ilvl w:val="0"/>
                <w:numId w:val="2"/>
              </w:numPr>
              <w:suppressLineNumbers w:val="0"/>
              <w:spacing w:before="0" w:beforeAutospacing="0" w:after="0" w:afterAutospacing="0" w:line="440" w:lineRule="exact"/>
              <w:ind w:left="635" w:leftChars="0" w:right="0" w:hanging="425" w:firstLineChars="0"/>
              <w:rPr>
                <w:rFonts w:hint="eastAsia" w:asciiTheme="minorEastAsia" w:hAnsiTheme="minorEastAsia" w:eastAsiaTheme="minorEastAsia" w:cstheme="minorEastAsia"/>
                <w:kern w:val="0"/>
                <w:sz w:val="22"/>
                <w:szCs w:val="22"/>
              </w:rPr>
            </w:pPr>
          </w:p>
        </w:tc>
        <w:tc>
          <w:tcPr>
            <w:tcW w:w="1701" w:type="dxa"/>
            <w:tcBorders>
              <w:top w:val="single" w:color="000000" w:sz="4" w:space="0"/>
              <w:left w:val="single" w:color="auto" w:sz="4" w:space="0"/>
              <w:bottom w:val="single" w:color="auto" w:sz="4" w:space="0"/>
              <w:right w:val="single" w:color="auto" w:sz="4" w:space="0"/>
            </w:tcBorders>
            <w:vAlign w:val="center"/>
          </w:tcPr>
          <w:p w14:paraId="28981ECC">
            <w:pPr>
              <w:keepNext w:val="0"/>
              <w:keepLines w:val="0"/>
              <w:widowControl/>
              <w:suppressLineNumbers w:val="0"/>
              <w:spacing w:before="0" w:beforeAutospacing="0" w:after="0" w:afterAutospacing="0" w:line="440" w:lineRule="exact"/>
              <w:ind w:left="0" w:right="0" w:firstLine="220" w:firstLineChars="10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质保期</w:t>
            </w:r>
          </w:p>
        </w:tc>
        <w:tc>
          <w:tcPr>
            <w:tcW w:w="7180" w:type="dxa"/>
            <w:tcBorders>
              <w:top w:val="single" w:color="000000" w:sz="4" w:space="0"/>
              <w:left w:val="single" w:color="auto" w:sz="4" w:space="0"/>
              <w:bottom w:val="single" w:color="auto" w:sz="4" w:space="0"/>
              <w:right w:val="single" w:color="000000" w:sz="4" w:space="0"/>
            </w:tcBorders>
            <w:vAlign w:val="center"/>
          </w:tcPr>
          <w:p w14:paraId="16BC7C6F">
            <w:pPr>
              <w:keepNext w:val="0"/>
              <w:keepLines w:val="0"/>
              <w:widowControl/>
              <w:suppressLineNumbers w:val="0"/>
              <w:spacing w:before="0" w:beforeAutospacing="0" w:after="0" w:afterAutospacing="0" w:line="440" w:lineRule="exact"/>
              <w:ind w:left="0" w:right="0"/>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项目完工正式通过验收后3年</w:t>
            </w:r>
          </w:p>
        </w:tc>
      </w:tr>
      <w:tr w14:paraId="595F84E6">
        <w:tblPrEx>
          <w:tblCellMar>
            <w:top w:w="0" w:type="dxa"/>
            <w:left w:w="108" w:type="dxa"/>
            <w:bottom w:w="0" w:type="dxa"/>
            <w:right w:w="108" w:type="dxa"/>
          </w:tblCellMar>
        </w:tblPrEx>
        <w:trPr>
          <w:trHeight w:val="465"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552289E8">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5AEB47A3">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031640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lang w:val="en-US" w:eastAsia="zh-CN" w:bidi="ar-SA"/>
              </w:rPr>
              <w:t>（1）合同付款方式为分期支付。</w:t>
            </w:r>
          </w:p>
          <w:p w14:paraId="4512B1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lang w:val="en-US" w:eastAsia="zh-CN" w:bidi="ar-SA"/>
              </w:rPr>
              <w:t>（2）软件系统安装调试完毕上线一个月内，甲方向乙方支付本合同总金额的60%的款项。</w:t>
            </w:r>
          </w:p>
          <w:p w14:paraId="4E4D70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lang w:val="en-US" w:eastAsia="zh-CN" w:bidi="ar-SA"/>
              </w:rPr>
              <w:t>（3）项目验收通过后，凭验收报告支付至合同总金额的90%。</w:t>
            </w:r>
          </w:p>
          <w:p w14:paraId="502D2C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lang w:val="en-US" w:eastAsia="zh-CN" w:bidi="ar-SA"/>
              </w:rPr>
              <w:t>（4）依据售后服务的情况，无遗留问题，支付合同总金额的剩余款项。</w:t>
            </w:r>
          </w:p>
          <w:p w14:paraId="04B9E8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kern w:val="0"/>
                <w:sz w:val="22"/>
                <w:szCs w:val="22"/>
                <w:lang w:val="en-US" w:eastAsia="zh-CN" w:bidi="ar-SA"/>
              </w:rPr>
              <w:t>（5）如乙方未提供发票或提供的发票不符合要求，甲方有权拒绝付款。</w:t>
            </w:r>
          </w:p>
        </w:tc>
      </w:tr>
      <w:tr w14:paraId="4869B40A">
        <w:tblPrEx>
          <w:tblCellMar>
            <w:top w:w="0" w:type="dxa"/>
            <w:left w:w="108" w:type="dxa"/>
            <w:bottom w:w="0" w:type="dxa"/>
            <w:right w:w="108" w:type="dxa"/>
          </w:tblCellMar>
        </w:tblPrEx>
        <w:trPr>
          <w:trHeight w:val="538" w:hRule="atLeast"/>
          <w:jc w:val="center"/>
        </w:trPr>
        <w:tc>
          <w:tcPr>
            <w:tcW w:w="704" w:type="dxa"/>
            <w:tcBorders>
              <w:top w:val="single" w:color="000000" w:sz="4" w:space="0"/>
              <w:left w:val="single" w:color="000000" w:sz="4" w:space="0"/>
              <w:right w:val="single" w:color="000000" w:sz="4" w:space="0"/>
            </w:tcBorders>
            <w:vAlign w:val="center"/>
          </w:tcPr>
          <w:p w14:paraId="3E02617A">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right w:val="single" w:color="auto" w:sz="4" w:space="0"/>
            </w:tcBorders>
            <w:vAlign w:val="center"/>
          </w:tcPr>
          <w:p w14:paraId="73F841C4">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0B55DB96">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本项目不设置投标保证金</w:t>
            </w:r>
          </w:p>
        </w:tc>
      </w:tr>
      <w:tr w14:paraId="6359BEED">
        <w:tblPrEx>
          <w:tblCellMar>
            <w:top w:w="0" w:type="dxa"/>
            <w:left w:w="108" w:type="dxa"/>
            <w:bottom w:w="0" w:type="dxa"/>
            <w:right w:w="108" w:type="dxa"/>
          </w:tblCellMar>
        </w:tblPrEx>
        <w:trPr>
          <w:trHeight w:val="4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45EF50">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1137B1D3">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19702CB6">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投标文件递交截止时间起算，投标有效期为90日历天。</w:t>
            </w:r>
          </w:p>
        </w:tc>
      </w:tr>
      <w:tr w14:paraId="42DD3679">
        <w:tblPrEx>
          <w:tblCellMar>
            <w:top w:w="0" w:type="dxa"/>
            <w:left w:w="108" w:type="dxa"/>
            <w:bottom w:w="0" w:type="dxa"/>
            <w:right w:w="108" w:type="dxa"/>
          </w:tblCellMar>
        </w:tblPrEx>
        <w:trPr>
          <w:trHeight w:val="62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F6011B6">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430C102D">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投标文件制作</w:t>
            </w:r>
          </w:p>
        </w:tc>
        <w:tc>
          <w:tcPr>
            <w:tcW w:w="7180" w:type="dxa"/>
            <w:tcBorders>
              <w:top w:val="single" w:color="000000" w:sz="4" w:space="0"/>
              <w:left w:val="single" w:color="auto" w:sz="4" w:space="0"/>
              <w:bottom w:val="single" w:color="000000" w:sz="4" w:space="0"/>
              <w:right w:val="single" w:color="000000" w:sz="4" w:space="0"/>
            </w:tcBorders>
            <w:vAlign w:val="center"/>
          </w:tcPr>
          <w:p w14:paraId="09A3ADA5">
            <w:pPr>
              <w:keepNext w:val="0"/>
              <w:keepLines w:val="0"/>
              <w:widowControl/>
              <w:suppressLineNumbers w:val="0"/>
              <w:spacing w:before="0" w:beforeAutospacing="0" w:after="0" w:afterAutospacing="0" w:line="440" w:lineRule="exact"/>
              <w:ind w:left="0" w:right="0"/>
              <w:jc w:val="both"/>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lang w:val="en-US" w:eastAsia="zh-CN"/>
              </w:rPr>
              <w:t>本项目采用电子化投标的方式投标(不见面开标方式) ，上传加密的电子投标文件（*.SXSTF），电子化平台将予以记录</w:t>
            </w:r>
          </w:p>
        </w:tc>
      </w:tr>
      <w:tr w14:paraId="59D2146A">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right w:val="single" w:color="000000" w:sz="4" w:space="0"/>
            </w:tcBorders>
            <w:vAlign w:val="center"/>
          </w:tcPr>
          <w:p w14:paraId="0621FFA6">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right w:val="single" w:color="auto" w:sz="4" w:space="0"/>
            </w:tcBorders>
            <w:vAlign w:val="center"/>
          </w:tcPr>
          <w:p w14:paraId="797A481B">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资格证明文件</w:t>
            </w:r>
          </w:p>
          <w:p w14:paraId="088818EE">
            <w:pPr>
              <w:pStyle w:val="12"/>
              <w:keepNext w:val="0"/>
              <w:keepLines w:val="0"/>
              <w:suppressLineNumbers w:val="0"/>
              <w:spacing w:before="0" w:beforeAutospacing="0" w:after="0" w:afterAutospacing="0"/>
              <w:ind w:left="0" w:right="0"/>
              <w:rPr>
                <w:rFonts w:hint="default" w:eastAsia="宋体"/>
                <w:lang w:val="en-US" w:eastAsia="zh-CN"/>
              </w:rPr>
            </w:pPr>
          </w:p>
        </w:tc>
        <w:tc>
          <w:tcPr>
            <w:tcW w:w="7180" w:type="dxa"/>
            <w:tcBorders>
              <w:top w:val="single" w:color="000000" w:sz="4" w:space="0"/>
              <w:left w:val="single" w:color="auto" w:sz="4" w:space="0"/>
              <w:right w:val="single" w:color="000000" w:sz="4" w:space="0"/>
            </w:tcBorders>
            <w:vAlign w:val="center"/>
          </w:tcPr>
          <w:p w14:paraId="342ADA2D">
            <w:pPr>
              <w:pStyle w:val="12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jc w:val="both"/>
              <w:textAlignment w:val="auto"/>
              <w:outlineLvl w:val="9"/>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cstheme="minorEastAsia"/>
                <w:kern w:val="0"/>
                <w:sz w:val="22"/>
                <w:szCs w:val="22"/>
                <w:lang w:val="en-US" w:eastAsia="zh-CN" w:bidi="ar-SA"/>
              </w:rPr>
              <w:t>（1）</w:t>
            </w:r>
            <w:r>
              <w:rPr>
                <w:rFonts w:hint="eastAsia" w:asciiTheme="minorEastAsia" w:hAnsiTheme="minorEastAsia" w:eastAsiaTheme="minorEastAsia" w:cstheme="minorEastAsia"/>
                <w:kern w:val="0"/>
                <w:sz w:val="22"/>
                <w:szCs w:val="22"/>
                <w:lang w:val="en-US" w:eastAsia="zh-CN" w:bidi="ar-SA"/>
              </w:rPr>
              <w:t>投标人须具有独立承担民事责任能力的法人、其他组织或自然人，并出具合法有效的营业执照或事业单位法人证书等国家规定的相关证明，自然人参与的提供其身份证明文件;</w:t>
            </w:r>
            <w:r>
              <w:rPr>
                <w:rFonts w:hint="eastAsia" w:asciiTheme="minorEastAsia" w:hAnsiTheme="minorEastAsia" w:eastAsiaTheme="minorEastAsia" w:cstheme="minorEastAsia"/>
                <w:kern w:val="0"/>
                <w:sz w:val="22"/>
                <w:szCs w:val="22"/>
                <w:lang w:val="en-US" w:eastAsia="zh-CN" w:bidi="ar-SA"/>
              </w:rPr>
              <w:br w:type="textWrapping"/>
            </w:r>
            <w:r>
              <w:rPr>
                <w:rFonts w:hint="eastAsia" w:asciiTheme="minorEastAsia" w:hAnsiTheme="minorEastAsia" w:eastAsiaTheme="minorEastAsia" w:cstheme="minorEastAsia"/>
                <w:kern w:val="0"/>
                <w:sz w:val="22"/>
                <w:szCs w:val="22"/>
                <w:lang w:val="en-US" w:eastAsia="zh-CN" w:bidi="ar-SA"/>
              </w:rPr>
              <w:t>（2）投标人应授权合法的人员参加投标全过程，其中法定代表人直接参加投标的，须出具法人身份证，并与营业执照上信息一致；法定代表人授权代表参加投标的，须出具法定代表人授权书及授权代表身份证;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Theme="minorEastAsia" w:hAnsiTheme="minorEastAsia" w:eastAsiaTheme="minorEastAsia" w:cstheme="minorEastAsia"/>
                <w:kern w:val="0"/>
                <w:sz w:val="22"/>
                <w:szCs w:val="22"/>
                <w:lang w:val="en-US" w:eastAsia="zh-CN" w:bidi="ar-SA"/>
              </w:rPr>
              <w:br w:type="textWrapping"/>
            </w:r>
            <w:r>
              <w:rPr>
                <w:rFonts w:hint="eastAsia" w:asciiTheme="minorEastAsia" w:hAnsiTheme="minorEastAsia" w:eastAsiaTheme="minorEastAsia" w:cstheme="minorEastAsia"/>
                <w:kern w:val="0"/>
                <w:sz w:val="22"/>
                <w:szCs w:val="22"/>
                <w:lang w:val="en-US" w:eastAsia="zh-CN" w:bidi="ar-SA"/>
              </w:rPr>
              <w:t>（3）良好的商业信誉：投标人必须拥有良好的商业信誉（投标截止日前三个月内基本开户银行出具的资信证明或2024年投标人的财务报表扫描件（包括资产负债表、现金流量表、利润表）；</w:t>
            </w:r>
            <w:r>
              <w:rPr>
                <w:rFonts w:hint="eastAsia" w:asciiTheme="minorEastAsia" w:hAnsiTheme="minorEastAsia" w:eastAsiaTheme="minorEastAsia" w:cstheme="minorEastAsia"/>
                <w:kern w:val="0"/>
                <w:sz w:val="22"/>
                <w:szCs w:val="22"/>
                <w:lang w:val="en-US" w:eastAsia="zh-CN" w:bidi="ar-SA"/>
              </w:rPr>
              <w:br w:type="textWrapping"/>
            </w:r>
            <w:r>
              <w:rPr>
                <w:rFonts w:hint="eastAsia" w:asciiTheme="minorEastAsia" w:hAnsiTheme="minorEastAsia" w:eastAsiaTheme="minorEastAsia" w:cstheme="minorEastAsia"/>
                <w:kern w:val="0"/>
                <w:sz w:val="22"/>
                <w:szCs w:val="22"/>
                <w:lang w:val="en-US" w:eastAsia="zh-CN" w:bidi="ar-SA"/>
              </w:rPr>
              <w:t>（4）税收缴纳证明：提供投标截止日前一年内已缴纳的至少一个月的纳税证明或完税证明（任意税种），依法免税的单位应提供相关证明材料;</w:t>
            </w:r>
            <w:r>
              <w:rPr>
                <w:rFonts w:hint="eastAsia" w:asciiTheme="minorEastAsia" w:hAnsiTheme="minorEastAsia" w:eastAsiaTheme="minorEastAsia" w:cstheme="minorEastAsia"/>
                <w:kern w:val="0"/>
                <w:sz w:val="22"/>
                <w:szCs w:val="22"/>
                <w:lang w:val="en-US" w:eastAsia="zh-CN" w:bidi="ar-SA"/>
              </w:rPr>
              <w:br w:type="textWrapping"/>
            </w:r>
            <w:r>
              <w:rPr>
                <w:rFonts w:hint="eastAsia" w:asciiTheme="minorEastAsia" w:hAnsiTheme="minorEastAsia" w:eastAsiaTheme="minorEastAsia" w:cstheme="minorEastAsia"/>
                <w:kern w:val="0"/>
                <w:sz w:val="22"/>
                <w:szCs w:val="22"/>
                <w:lang w:val="en-US" w:eastAsia="zh-CN" w:bidi="ar-SA"/>
              </w:rPr>
              <w:t>（5）社会保障资金缴纳证明：提供投标截止日前一年内已缴存的至少一个月的社会保障资金缴存单据或社保机构开具的社会保险参保缴费情况证明，依法不需要缴纳社会保障资金的单位应提供相关证明材料；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kern w:val="0"/>
                <w:sz w:val="22"/>
                <w:szCs w:val="22"/>
                <w:lang w:val="en-US" w:eastAsia="zh-CN" w:bidi="ar-SA"/>
              </w:rPr>
              <w:br w:type="textWrapping"/>
            </w:r>
            <w:r>
              <w:rPr>
                <w:rFonts w:hint="eastAsia" w:asciiTheme="minorEastAsia" w:hAnsiTheme="minorEastAsia" w:eastAsiaTheme="minorEastAsia" w:cstheme="minorEastAsia"/>
                <w:kern w:val="0"/>
                <w:sz w:val="22"/>
                <w:szCs w:val="22"/>
                <w:lang w:val="en-US" w:eastAsia="zh-CN" w:bidi="ar-SA"/>
              </w:rPr>
              <w:t>（6）投标人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 活动的供应商。可提供网页查询截图或报告并加盖供应商公章，查询时间应为报名开始至投标截止时间之前。如相关失信记录已失效，供应商需提供相关证明资料，最终结果以网查为准。</w:t>
            </w:r>
            <w:r>
              <w:rPr>
                <w:rFonts w:hint="eastAsia" w:asciiTheme="minorEastAsia" w:hAnsiTheme="minorEastAsia" w:eastAsiaTheme="minorEastAsia" w:cstheme="minorEastAsia"/>
                <w:kern w:val="0"/>
                <w:sz w:val="22"/>
                <w:szCs w:val="22"/>
                <w:lang w:val="en-US" w:eastAsia="zh-CN" w:bidi="ar-SA"/>
              </w:rPr>
              <w:br w:type="textWrapping"/>
            </w:r>
            <w:r>
              <w:rPr>
                <w:rFonts w:hint="eastAsia" w:asciiTheme="minorEastAsia" w:hAnsiTheme="minorEastAsia" w:eastAsiaTheme="minorEastAsia" w:cstheme="minorEastAsia"/>
                <w:kern w:val="0"/>
                <w:sz w:val="22"/>
                <w:szCs w:val="22"/>
                <w:lang w:val="en-US" w:eastAsia="zh-CN" w:bidi="ar-SA"/>
              </w:rPr>
              <w:t>（7）投标人须出具参加政府采购活动前3年内在经营活动中没有重大违法记录的书面声明（格式自拟）。</w:t>
            </w:r>
            <w:r>
              <w:rPr>
                <w:rFonts w:hint="eastAsia" w:asciiTheme="minorEastAsia" w:hAnsiTheme="minorEastAsia" w:eastAsiaTheme="minorEastAsia" w:cstheme="minorEastAsia"/>
                <w:kern w:val="0"/>
                <w:sz w:val="22"/>
                <w:szCs w:val="22"/>
                <w:lang w:val="en-US" w:eastAsia="zh-CN" w:bidi="ar-SA"/>
              </w:rPr>
              <w:br w:type="textWrapping"/>
            </w:r>
            <w:r>
              <w:rPr>
                <w:rFonts w:hint="eastAsia" w:asciiTheme="minorEastAsia" w:hAnsiTheme="minorEastAsia" w:eastAsiaTheme="minorEastAsia" w:cstheme="minorEastAsia"/>
                <w:kern w:val="0"/>
                <w:sz w:val="22"/>
                <w:szCs w:val="22"/>
                <w:lang w:val="en-US" w:eastAsia="zh-CN" w:bidi="ar-SA"/>
              </w:rPr>
              <w:t>（8）投标人具备履行合同所必需的设备和专业技术能力的承诺书（格式自拟）。</w:t>
            </w:r>
          </w:p>
          <w:p w14:paraId="40237F41">
            <w:pPr>
              <w:pStyle w:val="12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jc w:val="both"/>
              <w:textAlignment w:val="auto"/>
              <w:outlineLvl w:val="9"/>
              <w:rPr>
                <w:rFonts w:hint="default" w:ascii="宋体" w:hAnsi="宋体"/>
                <w:kern w:val="0"/>
                <w:sz w:val="24"/>
                <w:szCs w:val="24"/>
              </w:rPr>
            </w:pPr>
            <w:r>
              <w:rPr>
                <w:rFonts w:hint="eastAsia" w:asciiTheme="minorEastAsia" w:hAnsiTheme="minorEastAsia" w:eastAsiaTheme="minorEastAsia" w:cstheme="minorEastAsia"/>
                <w:kern w:val="0"/>
                <w:sz w:val="22"/>
                <w:szCs w:val="22"/>
                <w:lang w:val="en-US" w:eastAsia="zh-CN" w:bidi="ar-SA"/>
              </w:rPr>
              <w:t>（</w:t>
            </w:r>
            <w:r>
              <w:rPr>
                <w:rFonts w:hint="eastAsia" w:asciiTheme="minorEastAsia" w:hAnsiTheme="minorEastAsia" w:cstheme="minorEastAsia"/>
                <w:kern w:val="0"/>
                <w:sz w:val="22"/>
                <w:szCs w:val="22"/>
                <w:lang w:val="en-US" w:eastAsia="zh-CN" w:bidi="ar-SA"/>
              </w:rPr>
              <w:t>9</w:t>
            </w:r>
            <w:r>
              <w:rPr>
                <w:rFonts w:hint="eastAsia" w:asciiTheme="minorEastAsia" w:hAnsiTheme="minorEastAsia" w:eastAsiaTheme="minorEastAsia" w:cstheme="minorEastAsia"/>
                <w:kern w:val="0"/>
                <w:sz w:val="22"/>
                <w:szCs w:val="22"/>
                <w:lang w:val="en-US" w:eastAsia="zh-CN" w:bidi="ar-SA"/>
              </w:rPr>
              <w:t>）本项目不接受联合体投标（格式自拟）。</w:t>
            </w:r>
          </w:p>
        </w:tc>
      </w:tr>
      <w:tr w14:paraId="5FB40AEF">
        <w:tblPrEx>
          <w:tblCellMar>
            <w:top w:w="0" w:type="dxa"/>
            <w:left w:w="108" w:type="dxa"/>
            <w:bottom w:w="0" w:type="dxa"/>
            <w:right w:w="108" w:type="dxa"/>
          </w:tblCellMar>
        </w:tblPrEx>
        <w:trPr>
          <w:trHeight w:val="58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A4F65E">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12</w:t>
            </w:r>
          </w:p>
        </w:tc>
        <w:tc>
          <w:tcPr>
            <w:tcW w:w="1701" w:type="dxa"/>
            <w:tcBorders>
              <w:top w:val="single" w:color="000000" w:sz="4" w:space="0"/>
              <w:left w:val="nil"/>
              <w:bottom w:val="single" w:color="000000" w:sz="4" w:space="0"/>
              <w:right w:val="single" w:color="auto" w:sz="4" w:space="0"/>
            </w:tcBorders>
            <w:vAlign w:val="center"/>
          </w:tcPr>
          <w:p w14:paraId="2D0373A6">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default" w:asciiTheme="minorEastAsia" w:hAnsiTheme="minorEastAsia" w:eastAsiaTheme="minorEastAsia" w:cstheme="minorEastAsia"/>
                <w:kern w:val="0"/>
                <w:sz w:val="22"/>
                <w:szCs w:val="22"/>
                <w:lang w:val="en-US" w:eastAsia="zh-CN"/>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4CDD528F">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公开招标</w:t>
            </w:r>
          </w:p>
        </w:tc>
      </w:tr>
      <w:tr w14:paraId="57A0DFF2">
        <w:tblPrEx>
          <w:tblCellMar>
            <w:top w:w="0" w:type="dxa"/>
            <w:left w:w="108" w:type="dxa"/>
            <w:bottom w:w="0" w:type="dxa"/>
            <w:right w:w="108" w:type="dxa"/>
          </w:tblCellMar>
        </w:tblPrEx>
        <w:trPr>
          <w:trHeight w:val="52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5B2AC76">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13</w:t>
            </w:r>
          </w:p>
        </w:tc>
        <w:tc>
          <w:tcPr>
            <w:tcW w:w="1701" w:type="dxa"/>
            <w:tcBorders>
              <w:top w:val="single" w:color="000000" w:sz="4" w:space="0"/>
              <w:left w:val="nil"/>
              <w:bottom w:val="single" w:color="000000" w:sz="4" w:space="0"/>
              <w:right w:val="single" w:color="auto" w:sz="4" w:space="0"/>
            </w:tcBorders>
            <w:vAlign w:val="center"/>
          </w:tcPr>
          <w:p w14:paraId="039CA985">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322A72D2">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综合评分法</w:t>
            </w:r>
          </w:p>
        </w:tc>
      </w:tr>
      <w:tr w14:paraId="1E31481B">
        <w:tblPrEx>
          <w:tblCellMar>
            <w:top w:w="0" w:type="dxa"/>
            <w:left w:w="108" w:type="dxa"/>
            <w:bottom w:w="0" w:type="dxa"/>
            <w:right w:w="108"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48DC4BD">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5B9CE722">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74DCF094">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投标截止时间结束后参加投标的供应商不足三家的，除采购任务取消情形外，招标采购单位应当报告财政管理部门，由财政管理部门按照以下原则处理：</w:t>
            </w:r>
          </w:p>
          <w:p w14:paraId="389E419A">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（1）招标文件没有不合理条款、招标公告时间及程序符合规定的，同意采取竞争性谈判、询价或者单一来源方式采购；</w:t>
            </w:r>
          </w:p>
          <w:p w14:paraId="398B7B92">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（2）招标文件存在不合理条款的，招标公告时间及程序不符合规定的，应予废标，并责成招标采购单位依法重新招标。</w:t>
            </w:r>
          </w:p>
          <w:p w14:paraId="5D6186D7">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在评标期间，出现符合专业条件的供应商或者对招标文件作出实质响应的供应商不足三家情形的，可以比照前款规定执行。</w:t>
            </w:r>
          </w:p>
        </w:tc>
      </w:tr>
      <w:tr w14:paraId="315FEE68">
        <w:tblPrEx>
          <w:tblCellMar>
            <w:top w:w="0" w:type="dxa"/>
            <w:left w:w="108" w:type="dxa"/>
            <w:bottom w:w="0" w:type="dxa"/>
            <w:right w:w="108" w:type="dxa"/>
          </w:tblCellMar>
        </w:tblPrEx>
        <w:trPr>
          <w:trHeight w:val="123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49C497">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ED1DA6A">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开标</w:t>
            </w:r>
            <w:r>
              <w:rPr>
                <w:rFonts w:hint="default" w:asciiTheme="minorEastAsia" w:hAnsiTheme="minorEastAsia" w:eastAsiaTheme="minorEastAsia" w:cstheme="minorEastAsia"/>
                <w:kern w:val="0"/>
                <w:sz w:val="22"/>
                <w:szCs w:val="22"/>
                <w:lang w:val="en-US" w:eastAsia="zh-CN"/>
              </w:rPr>
              <w:t>时间</w:t>
            </w:r>
            <w:r>
              <w:rPr>
                <w:rFonts w:hint="eastAsia" w:asciiTheme="minorEastAsia" w:hAnsiTheme="minorEastAsia" w:eastAsiaTheme="minorEastAsia" w:cstheme="minorEastAsia"/>
                <w:kern w:val="0"/>
                <w:sz w:val="22"/>
                <w:szCs w:val="22"/>
                <w:lang w:val="en-US" w:eastAsia="zh-CN"/>
              </w:rPr>
              <w:t>、</w:t>
            </w:r>
          </w:p>
          <w:p w14:paraId="74EAB93F">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default" w:asciiTheme="minorEastAsia" w:hAnsiTheme="minorEastAsia" w:eastAsiaTheme="minorEastAsia" w:cstheme="minorEastAsia"/>
                <w:kern w:val="0"/>
                <w:sz w:val="22"/>
                <w:szCs w:val="22"/>
                <w:lang w:val="en-US" w:eastAsia="zh-CN"/>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11F5F32A">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开标时间：  2026年1月5日14时00分00秒</w:t>
            </w:r>
          </w:p>
          <w:p w14:paraId="364C5D56">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开标地点：本项目采用电子化投标的方式投标(不见面开标系统)</w:t>
            </w:r>
          </w:p>
          <w:p w14:paraId="779F8919">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（如有变动，另行通知）。</w:t>
            </w:r>
          </w:p>
        </w:tc>
      </w:tr>
      <w:tr w14:paraId="373AE92D">
        <w:tblPrEx>
          <w:tblCellMar>
            <w:top w:w="0" w:type="dxa"/>
            <w:left w:w="108" w:type="dxa"/>
            <w:bottom w:w="0" w:type="dxa"/>
            <w:right w:w="108" w:type="dxa"/>
          </w:tblCellMar>
        </w:tblPrEx>
        <w:trPr>
          <w:trHeight w:val="56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F0F4138">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tcPr>
          <w:p w14:paraId="65B1D647">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投标</w:t>
            </w:r>
            <w:r>
              <w:rPr>
                <w:rFonts w:hint="default" w:asciiTheme="minorEastAsia" w:hAnsiTheme="minorEastAsia" w:eastAsiaTheme="minorEastAsia" w:cstheme="minorEastAsia"/>
                <w:kern w:val="0"/>
                <w:sz w:val="22"/>
                <w:szCs w:val="22"/>
                <w:lang w:val="en-US" w:eastAsia="zh-CN"/>
              </w:rPr>
              <w:t>文件</w:t>
            </w:r>
          </w:p>
          <w:p w14:paraId="32FF1E39">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default" w:asciiTheme="minorEastAsia" w:hAnsiTheme="minorEastAsia" w:eastAsiaTheme="minorEastAsia" w:cstheme="minorEastAsia"/>
                <w:kern w:val="0"/>
                <w:sz w:val="22"/>
                <w:szCs w:val="22"/>
                <w:lang w:val="en-US" w:eastAsia="zh-CN"/>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7E864338">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2026年1月5日14时00分00秒 止</w:t>
            </w:r>
          </w:p>
        </w:tc>
      </w:tr>
      <w:tr w14:paraId="4B2C36CB">
        <w:tblPrEx>
          <w:tblCellMar>
            <w:top w:w="0" w:type="dxa"/>
            <w:left w:w="108" w:type="dxa"/>
            <w:bottom w:w="0" w:type="dxa"/>
            <w:right w:w="108" w:type="dxa"/>
          </w:tblCellMar>
        </w:tblPrEx>
        <w:trPr>
          <w:trHeight w:val="61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1B6F16C">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nil"/>
              <w:bottom w:val="single" w:color="000000" w:sz="4" w:space="0"/>
              <w:right w:val="single" w:color="auto" w:sz="4" w:space="0"/>
            </w:tcBorders>
            <w:vAlign w:val="center"/>
          </w:tcPr>
          <w:p w14:paraId="7E1FD863">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3765DBFD">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根据《中华人民共和国政府采购法》、《中华人民共和国政府采购法实施条例》等有关法律规定组建评标小组。</w:t>
            </w:r>
          </w:p>
        </w:tc>
      </w:tr>
      <w:tr w14:paraId="59BD546E">
        <w:tblPrEx>
          <w:tblCellMar>
            <w:top w:w="0" w:type="dxa"/>
            <w:left w:w="108" w:type="dxa"/>
            <w:bottom w:w="0" w:type="dxa"/>
            <w:right w:w="108" w:type="dxa"/>
          </w:tblCellMar>
        </w:tblPrEx>
        <w:trPr>
          <w:trHeight w:val="2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07E5546">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tcPr>
          <w:p w14:paraId="46116561">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p>
          <w:p w14:paraId="68DCA713">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勘查</w:t>
            </w:r>
          </w:p>
        </w:tc>
        <w:tc>
          <w:tcPr>
            <w:tcW w:w="7180" w:type="dxa"/>
            <w:tcBorders>
              <w:top w:val="single" w:color="000000" w:sz="4" w:space="0"/>
              <w:left w:val="single" w:color="000000" w:sz="4" w:space="0"/>
              <w:bottom w:val="single" w:color="000000" w:sz="4" w:space="0"/>
              <w:right w:val="single" w:color="000000" w:sz="4" w:space="0"/>
            </w:tcBorders>
          </w:tcPr>
          <w:p w14:paraId="3A4DBD9A">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1.采购代理机构不组织统一现场勘察，由供应商自行安排。</w:t>
            </w:r>
          </w:p>
          <w:p w14:paraId="4D0F8791">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2.供应商勘察现场发生的一切费用自理，并自行负责在勘察现场发生的人员伤亡和财产损失。</w:t>
            </w:r>
          </w:p>
        </w:tc>
      </w:tr>
      <w:tr w14:paraId="56D55542">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501F4E1">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05DF2A4">
            <w:pPr>
              <w:keepNext w:val="0"/>
              <w:keepLines w:val="0"/>
              <w:widowControl/>
              <w:suppressLineNumbers w:val="0"/>
              <w:tabs>
                <w:tab w:val="left" w:pos="1620"/>
              </w:tabs>
              <w:snapToGrid w:val="0"/>
              <w:spacing w:before="0" w:beforeAutospacing="0" w:after="0" w:afterAutospacing="0" w:line="460" w:lineRule="exact"/>
              <w:ind w:left="0" w:leftChars="0" w:right="0" w:rightChars="0"/>
              <w:jc w:val="center"/>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答疑</w:t>
            </w:r>
          </w:p>
        </w:tc>
        <w:tc>
          <w:tcPr>
            <w:tcW w:w="7180" w:type="dxa"/>
            <w:tcBorders>
              <w:top w:val="single" w:color="000000" w:sz="4" w:space="0"/>
              <w:left w:val="single" w:color="000000" w:sz="4" w:space="0"/>
              <w:bottom w:val="single" w:color="000000" w:sz="4" w:space="0"/>
              <w:right w:val="single" w:color="000000" w:sz="4" w:space="0"/>
            </w:tcBorders>
            <w:vAlign w:val="top"/>
          </w:tcPr>
          <w:p w14:paraId="530579B4">
            <w:pPr>
              <w:keepNext w:val="0"/>
              <w:keepLines w:val="0"/>
              <w:widowControl/>
              <w:suppressLineNumbers w:val="0"/>
              <w:tabs>
                <w:tab w:val="left" w:pos="1620"/>
              </w:tabs>
              <w:snapToGrid w:val="0"/>
              <w:spacing w:before="0" w:beforeAutospacing="0" w:after="0" w:afterAutospacing="0" w:line="460" w:lineRule="exact"/>
              <w:ind w:left="0" w:leftChars="0" w:right="0" w:rightChars="0"/>
              <w:jc w:val="left"/>
              <w:rPr>
                <w:rFonts w:hint="default" w:asciiTheme="minorEastAsia" w:hAnsiTheme="minorEastAsia" w:eastAsiaTheme="minorEastAsia" w:cstheme="minorEastAsia"/>
                <w:kern w:val="0"/>
                <w:sz w:val="22"/>
                <w:szCs w:val="22"/>
                <w:lang w:val="en-US" w:eastAsia="zh-CN"/>
              </w:rPr>
            </w:pPr>
            <w:r>
              <w:rPr>
                <w:rFonts w:hint="default" w:asciiTheme="minorEastAsia" w:hAnsiTheme="minorEastAsia" w:eastAsiaTheme="minorEastAsia" w:cstheme="minorEastAsia"/>
                <w:kern w:val="0"/>
                <w:sz w:val="22"/>
                <w:szCs w:val="22"/>
                <w:lang w:val="en-US" w:eastAsia="zh-CN"/>
              </w:rPr>
              <w:t xml:space="preserve">如有疑问，投标人需书面提出，经采购人收集问题后，统一答疑。 </w:t>
            </w:r>
          </w:p>
        </w:tc>
      </w:tr>
      <w:tr w14:paraId="3365D987">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EEE6980">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6DC1A57">
            <w:pPr>
              <w:keepNext w:val="0"/>
              <w:keepLines w:val="0"/>
              <w:widowControl/>
              <w:suppressLineNumbers w:val="0"/>
              <w:tabs>
                <w:tab w:val="left" w:pos="1620"/>
              </w:tabs>
              <w:snapToGrid w:val="0"/>
              <w:spacing w:before="0" w:beforeAutospacing="0" w:after="0" w:afterAutospacing="0" w:line="460" w:lineRule="exact"/>
              <w:ind w:left="0" w:leftChars="0" w:right="0" w:rightChars="0"/>
              <w:jc w:val="center"/>
              <w:rPr>
                <w:rFonts w:hint="eastAsia" w:asciiTheme="minorEastAsia" w:hAnsiTheme="minorEastAsia" w:eastAsiaTheme="minorEastAsia" w:cstheme="minorEastAsia"/>
                <w:kern w:val="0"/>
                <w:sz w:val="22"/>
                <w:szCs w:val="22"/>
                <w:lang w:val="en-US" w:eastAsia="zh-CN"/>
              </w:rPr>
            </w:pPr>
            <w:r>
              <w:rPr>
                <w:rFonts w:hint="default" w:asciiTheme="minorEastAsia" w:hAnsiTheme="minorEastAsia" w:eastAsiaTheme="minorEastAsia" w:cstheme="minorEastAsia"/>
                <w:kern w:val="0"/>
                <w:sz w:val="22"/>
                <w:szCs w:val="22"/>
                <w:lang w:val="en-US" w:eastAsia="zh-CN"/>
              </w:rPr>
              <w:t>本项目是否</w:t>
            </w:r>
            <w:r>
              <w:rPr>
                <w:rFonts w:hint="eastAsia" w:asciiTheme="minorEastAsia" w:hAnsiTheme="minorEastAsia" w:eastAsiaTheme="minorEastAsia" w:cstheme="minorEastAsia"/>
                <w:kern w:val="0"/>
                <w:sz w:val="22"/>
                <w:szCs w:val="22"/>
                <w:lang w:val="en-US" w:eastAsia="zh-CN"/>
              </w:rPr>
              <w:t>专门面向中小企业采购</w:t>
            </w:r>
          </w:p>
        </w:tc>
        <w:tc>
          <w:tcPr>
            <w:tcW w:w="7180" w:type="dxa"/>
            <w:tcBorders>
              <w:top w:val="single" w:color="000000" w:sz="4" w:space="0"/>
              <w:left w:val="single" w:color="000000" w:sz="4" w:space="0"/>
              <w:bottom w:val="single" w:color="000000" w:sz="4" w:space="0"/>
              <w:right w:val="single" w:color="000000" w:sz="4" w:space="0"/>
            </w:tcBorders>
            <w:vAlign w:val="center"/>
          </w:tcPr>
          <w:p w14:paraId="698C6A5F">
            <w:pPr>
              <w:keepNext w:val="0"/>
              <w:keepLines w:val="0"/>
              <w:widowControl/>
              <w:suppressLineNumbers w:val="0"/>
              <w:tabs>
                <w:tab w:val="left" w:pos="1620"/>
              </w:tabs>
              <w:snapToGrid w:val="0"/>
              <w:spacing w:before="0" w:beforeAutospacing="0" w:after="0" w:afterAutospacing="0" w:line="460" w:lineRule="exact"/>
              <w:ind w:left="0" w:leftChars="0" w:right="0" w:rightChars="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w:t>
            </w:r>
            <w:r>
              <w:rPr>
                <w:rFonts w:hint="default" w:asciiTheme="minorEastAsia" w:hAnsiTheme="minorEastAsia" w:eastAsiaTheme="minorEastAsia" w:cstheme="minorEastAsia"/>
                <w:kern w:val="0"/>
                <w:sz w:val="22"/>
                <w:szCs w:val="22"/>
                <w:lang w:val="en-US" w:eastAsia="zh-CN"/>
              </w:rPr>
              <w:t xml:space="preserve">是 </w:t>
            </w:r>
            <w:r>
              <w:rPr>
                <w:rFonts w:hint="eastAsia" w:asciiTheme="minorEastAsia" w:hAnsiTheme="minorEastAsia" w:eastAsiaTheme="minorEastAsia" w:cstheme="minorEastAsia"/>
                <w:kern w:val="0"/>
                <w:sz w:val="22"/>
                <w:szCs w:val="22"/>
                <w:lang w:val="en-US" w:eastAsia="zh-CN"/>
              </w:rPr>
              <w:t xml:space="preserve"> </w:t>
            </w:r>
            <w:bookmarkStart w:id="168" w:name="_GoBack"/>
            <w:bookmarkEnd w:id="168"/>
            <w:r>
              <w:rPr>
                <w:rFonts w:hint="eastAsia" w:asciiTheme="minorEastAsia" w:hAnsiTheme="minorEastAsia" w:eastAsiaTheme="minorEastAsia" w:cstheme="minorEastAsia"/>
                <w:kern w:val="0"/>
                <w:sz w:val="22"/>
                <w:szCs w:val="22"/>
                <w:lang w:val="en-US" w:eastAsia="zh-CN"/>
              </w:rPr>
              <w:t>☑否</w:t>
            </w:r>
          </w:p>
        </w:tc>
      </w:tr>
      <w:tr w14:paraId="27A75B55">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39CE5A">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83928DF">
            <w:pPr>
              <w:keepNext w:val="0"/>
              <w:keepLines w:val="0"/>
              <w:widowControl/>
              <w:suppressLineNumbers w:val="0"/>
              <w:tabs>
                <w:tab w:val="left" w:pos="1620"/>
              </w:tabs>
              <w:snapToGrid w:val="0"/>
              <w:spacing w:before="0" w:beforeAutospacing="0" w:after="0" w:afterAutospacing="0" w:line="460" w:lineRule="exact"/>
              <w:ind w:left="0" w:leftChars="0" w:right="0" w:rightChars="0"/>
              <w:jc w:val="left"/>
              <w:rPr>
                <w:rFonts w:hint="eastAsia" w:asciiTheme="minorEastAsia" w:hAnsiTheme="minorEastAsia" w:eastAsiaTheme="minorEastAsia" w:cstheme="minorEastAsia"/>
                <w:b w:val="0"/>
                <w:bCs w:val="0"/>
                <w:kern w:val="0"/>
                <w:sz w:val="22"/>
                <w:szCs w:val="22"/>
                <w:lang w:val="en-US" w:eastAsia="zh-CN"/>
              </w:rPr>
            </w:pPr>
            <w:r>
              <w:rPr>
                <w:rFonts w:hint="default" w:asciiTheme="minorEastAsia" w:hAnsiTheme="minorEastAsia" w:eastAsiaTheme="minorEastAsia" w:cstheme="minorEastAsia"/>
                <w:b w:val="0"/>
                <w:bCs w:val="0"/>
                <w:kern w:val="0"/>
                <w:sz w:val="22"/>
                <w:szCs w:val="22"/>
                <w:lang w:val="en-US" w:eastAsia="zh-CN"/>
              </w:rPr>
              <w:t>本项目所属</w:t>
            </w:r>
            <w:r>
              <w:rPr>
                <w:rFonts w:hint="eastAsia" w:asciiTheme="minorEastAsia" w:hAnsiTheme="minorEastAsia" w:eastAsiaTheme="minorEastAsia" w:cstheme="minorEastAsia"/>
                <w:b w:val="0"/>
                <w:bCs w:val="0"/>
                <w:kern w:val="0"/>
                <w:sz w:val="22"/>
                <w:szCs w:val="22"/>
                <w:lang w:val="en-US" w:eastAsia="zh-CN"/>
              </w:rPr>
              <w:t>行业及项目属性</w:t>
            </w:r>
          </w:p>
        </w:tc>
        <w:tc>
          <w:tcPr>
            <w:tcW w:w="7180" w:type="dxa"/>
            <w:tcBorders>
              <w:top w:val="single" w:color="000000" w:sz="4" w:space="0"/>
              <w:left w:val="single" w:color="000000" w:sz="4" w:space="0"/>
              <w:bottom w:val="single" w:color="000000" w:sz="4" w:space="0"/>
              <w:right w:val="single" w:color="000000" w:sz="4" w:space="0"/>
            </w:tcBorders>
            <w:vAlign w:val="top"/>
          </w:tcPr>
          <w:p w14:paraId="0AB3959D">
            <w:pPr>
              <w:keepNext w:val="0"/>
              <w:keepLines w:val="0"/>
              <w:widowControl/>
              <w:suppressLineNumbers w:val="0"/>
              <w:tabs>
                <w:tab w:val="left" w:pos="1620"/>
              </w:tabs>
              <w:snapToGrid w:val="0"/>
              <w:spacing w:before="0" w:beforeAutospacing="0" w:after="0" w:afterAutospacing="0" w:line="460" w:lineRule="exact"/>
              <w:ind w:left="0" w:leftChars="0" w:right="0" w:rightChars="0"/>
              <w:jc w:val="left"/>
              <w:rPr>
                <w:rFonts w:hint="default" w:asciiTheme="minorEastAsia" w:hAnsiTheme="minorEastAsia" w:eastAsiaTheme="minorEastAsia" w:cstheme="minorEastAsia"/>
                <w:b w:val="0"/>
                <w:bCs w:val="0"/>
                <w:kern w:val="0"/>
                <w:sz w:val="22"/>
                <w:szCs w:val="22"/>
                <w:lang w:val="en-US" w:eastAsia="zh-CN"/>
              </w:rPr>
            </w:pPr>
            <w:r>
              <w:rPr>
                <w:rFonts w:hint="default" w:asciiTheme="minorEastAsia" w:hAnsiTheme="minorEastAsia" w:eastAsiaTheme="minorEastAsia" w:cstheme="minorEastAsia"/>
                <w:b w:val="0"/>
                <w:bCs w:val="0"/>
                <w:kern w:val="0"/>
                <w:sz w:val="22"/>
                <w:szCs w:val="22"/>
                <w:lang w:val="en-US" w:eastAsia="zh-CN"/>
              </w:rPr>
              <w:t>所属行业：</w:t>
            </w:r>
            <w:r>
              <w:rPr>
                <w:rFonts w:hint="eastAsia" w:asciiTheme="minorEastAsia" w:hAnsiTheme="minorEastAsia" w:eastAsiaTheme="minorEastAsia" w:cstheme="minorEastAsia"/>
                <w:b w:val="0"/>
                <w:bCs w:val="0"/>
                <w:kern w:val="0"/>
                <w:sz w:val="22"/>
                <w:szCs w:val="22"/>
                <w:lang w:val="en-US" w:eastAsia="zh-CN"/>
              </w:rPr>
              <w:t>工业</w:t>
            </w:r>
          </w:p>
          <w:p w14:paraId="19F22D41">
            <w:pPr>
              <w:keepNext w:val="0"/>
              <w:keepLines w:val="0"/>
              <w:widowControl/>
              <w:suppressLineNumbers w:val="0"/>
              <w:tabs>
                <w:tab w:val="left" w:pos="1620"/>
              </w:tabs>
              <w:snapToGrid w:val="0"/>
              <w:spacing w:before="0" w:beforeAutospacing="0" w:after="0" w:afterAutospacing="0" w:line="460" w:lineRule="exact"/>
              <w:ind w:left="0" w:leftChars="0" w:right="0" w:rightChars="0"/>
              <w:jc w:val="left"/>
              <w:rPr>
                <w:rFonts w:hint="default"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项目属性：货物类</w:t>
            </w:r>
          </w:p>
        </w:tc>
      </w:tr>
      <w:bookmarkEnd w:id="10"/>
    </w:tbl>
    <w:p w14:paraId="66E63CCB">
      <w:pPr>
        <w:widowControl/>
        <w:jc w:val="left"/>
        <w:rPr>
          <w:rFonts w:ascii="宋体" w:hAnsi="宋体"/>
          <w:b/>
          <w:bCs/>
          <w:kern w:val="44"/>
          <w:sz w:val="36"/>
          <w:szCs w:val="36"/>
        </w:rPr>
      </w:pPr>
      <w:r>
        <w:rPr>
          <w:rFonts w:ascii="宋体" w:hAnsi="宋体"/>
          <w:sz w:val="36"/>
          <w:szCs w:val="36"/>
        </w:rPr>
        <w:br w:type="page"/>
      </w:r>
    </w:p>
    <w:p w14:paraId="3DFC0C24">
      <w:pPr>
        <w:pStyle w:val="2"/>
        <w:spacing w:before="0" w:after="0" w:line="480" w:lineRule="exact"/>
        <w:jc w:val="center"/>
        <w:rPr>
          <w:rFonts w:ascii="宋体" w:hAnsi="宋体"/>
          <w:sz w:val="36"/>
          <w:szCs w:val="36"/>
        </w:rPr>
      </w:pPr>
      <w:bookmarkStart w:id="14" w:name="_Toc9546"/>
      <w:bookmarkStart w:id="15" w:name="_Toc26541322"/>
      <w:bookmarkStart w:id="16" w:name="_Toc23258605"/>
      <w:r>
        <w:rPr>
          <w:rFonts w:hint="eastAsia" w:ascii="宋体" w:hAnsi="宋体"/>
          <w:sz w:val="36"/>
          <w:szCs w:val="36"/>
        </w:rPr>
        <w:t>第三章 投标人须知</w:t>
      </w:r>
      <w:bookmarkEnd w:id="14"/>
      <w:bookmarkEnd w:id="15"/>
      <w:bookmarkEnd w:id="16"/>
    </w:p>
    <w:p w14:paraId="5A65A88E">
      <w:pPr>
        <w:pStyle w:val="3"/>
        <w:spacing w:before="0" w:after="0" w:line="480" w:lineRule="exact"/>
        <w:jc w:val="center"/>
      </w:pPr>
      <w:bookmarkStart w:id="17" w:name="_Toc23258606"/>
      <w:bookmarkStart w:id="18" w:name="_Toc26541323"/>
      <w:r>
        <w:rPr>
          <w:rFonts w:hint="eastAsia"/>
        </w:rPr>
        <w:t>一、总则</w:t>
      </w:r>
      <w:bookmarkEnd w:id="17"/>
      <w:bookmarkEnd w:id="18"/>
    </w:p>
    <w:p w14:paraId="4B761C32">
      <w:pPr>
        <w:autoSpaceDE w:val="0"/>
        <w:autoSpaceDN w:val="0"/>
        <w:adjustRightInd w:val="0"/>
        <w:spacing w:line="360" w:lineRule="auto"/>
        <w:rPr>
          <w:rFonts w:ascii="宋体" w:hAnsi="宋体"/>
          <w:b/>
          <w:sz w:val="24"/>
          <w:szCs w:val="24"/>
        </w:rPr>
      </w:pPr>
      <w:bookmarkStart w:id="19" w:name="_Toc311415573"/>
      <w:bookmarkStart w:id="20" w:name="_Toc358364321"/>
      <w:bookmarkStart w:id="21" w:name="_Toc409689049"/>
      <w:bookmarkStart w:id="22" w:name="_Toc380336727"/>
      <w:r>
        <w:rPr>
          <w:rFonts w:ascii="宋体" w:hAnsi="宋体"/>
          <w:b/>
          <w:sz w:val="24"/>
          <w:szCs w:val="24"/>
        </w:rPr>
        <w:t>1</w:t>
      </w:r>
      <w:r>
        <w:rPr>
          <w:rFonts w:hint="eastAsia" w:ascii="宋体" w:hAnsi="宋体"/>
          <w:b/>
          <w:sz w:val="24"/>
          <w:szCs w:val="24"/>
        </w:rPr>
        <w:t>、 适用范围</w:t>
      </w:r>
    </w:p>
    <w:p w14:paraId="2AD53C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en-US" w:eastAsia="zh-CN" w:bidi="ar-SA"/>
        </w:rPr>
        <w:t xml:space="preserve">1.1 本项目采购人、采购代理机构、供应商、评标委员会的相关行为均受《中华人民共和国政府采购法》、《中华人民共和国政府采购法实施条例》、《政府采购货物和服务招标投标管理办法（财政部第87号令）》 及本项目本级和上级财政部门政府采购有关规定的约束和保护。 </w:t>
      </w:r>
    </w:p>
    <w:p w14:paraId="3C05A3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en-US" w:eastAsia="zh-CN" w:bidi="ar-SA"/>
        </w:rPr>
        <w:t>1.2 本招标文件适用于本项目的所有采购程序和环节（法律、法规另有规定的，从其规定）。</w:t>
      </w:r>
    </w:p>
    <w:p w14:paraId="7906073A">
      <w:pPr>
        <w:autoSpaceDE w:val="0"/>
        <w:autoSpaceDN w:val="0"/>
        <w:adjustRightInd w:val="0"/>
        <w:spacing w:line="360" w:lineRule="auto"/>
        <w:rPr>
          <w:rFonts w:hint="eastAsia" w:ascii="宋体" w:hAnsi="宋体" w:eastAsia="宋体"/>
          <w:b/>
          <w:sz w:val="24"/>
          <w:szCs w:val="24"/>
          <w:lang w:eastAsia="zh-CN"/>
        </w:rPr>
      </w:pPr>
      <w:r>
        <w:rPr>
          <w:rFonts w:ascii="宋体" w:hAnsi="宋体"/>
          <w:b/>
          <w:sz w:val="24"/>
          <w:szCs w:val="24"/>
        </w:rPr>
        <w:t>2.</w:t>
      </w:r>
      <w:r>
        <w:rPr>
          <w:rFonts w:hint="eastAsia" w:ascii="宋体" w:hAnsi="宋体"/>
          <w:b/>
          <w:sz w:val="24"/>
          <w:szCs w:val="24"/>
          <w:lang w:val="en-US" w:eastAsia="zh-CN"/>
        </w:rPr>
        <w:t>定义</w:t>
      </w:r>
    </w:p>
    <w:p w14:paraId="33315F9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2.1“采购人”是指依法进行采购的国家机关、事业单位、团体组织。</w:t>
      </w:r>
    </w:p>
    <w:p w14:paraId="018B3A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2.2“采购代理机构”是指政府采购集中采购机构和集中采购机构以外的采购代理机构。</w:t>
      </w:r>
    </w:p>
    <w:p w14:paraId="69FF7F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2.3“供应商”是指向采购人提供货物、工程或者服务的法人、其他组织或者自然人。</w:t>
      </w:r>
    </w:p>
    <w:p w14:paraId="30E100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2.4“货物”是指各种形态和种类的物品，包括原材料、燃料、设备、产品等。</w:t>
      </w:r>
    </w:p>
    <w:p w14:paraId="3AEC27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2.5“竞标”是指按照本项目</w:t>
      </w:r>
      <w:r>
        <w:rPr>
          <w:rFonts w:hint="eastAsia" w:asciiTheme="minorEastAsia" w:hAnsiTheme="minorEastAsia" w:eastAsiaTheme="minorEastAsia" w:cstheme="minorEastAsia"/>
          <w:color w:val="000000"/>
          <w:kern w:val="0"/>
          <w:sz w:val="24"/>
          <w:szCs w:val="24"/>
          <w:lang w:val="en-US" w:eastAsia="zh-CN" w:bidi="ar-SA"/>
        </w:rPr>
        <w:t>招标公告</w:t>
      </w:r>
      <w:r>
        <w:rPr>
          <w:rFonts w:hint="eastAsia" w:asciiTheme="minorEastAsia" w:hAnsiTheme="minorEastAsia" w:eastAsiaTheme="minorEastAsia" w:cstheme="minorEastAsia"/>
          <w:color w:val="000000"/>
          <w:kern w:val="0"/>
          <w:sz w:val="24"/>
          <w:szCs w:val="24"/>
          <w:lang w:val="zh-CN" w:eastAsia="zh-CN" w:bidi="ar-SA"/>
        </w:rPr>
        <w:t>规定的方式供应商获取</w:t>
      </w:r>
      <w:r>
        <w:rPr>
          <w:rFonts w:hint="eastAsia" w:asciiTheme="minorEastAsia" w:hAnsiTheme="minorEastAsia" w:eastAsiaTheme="minorEastAsia" w:cstheme="minorEastAsia"/>
          <w:color w:val="000000"/>
          <w:kern w:val="0"/>
          <w:sz w:val="24"/>
          <w:szCs w:val="24"/>
          <w:lang w:val="en-US" w:eastAsia="zh-CN" w:bidi="ar-SA"/>
        </w:rPr>
        <w:t>招标文件</w:t>
      </w:r>
      <w:r>
        <w:rPr>
          <w:rFonts w:hint="eastAsia" w:asciiTheme="minorEastAsia" w:hAnsiTheme="minorEastAsia" w:eastAsiaTheme="minorEastAsia" w:cstheme="minorEastAsia"/>
          <w:color w:val="000000"/>
          <w:kern w:val="0"/>
          <w:sz w:val="24"/>
          <w:szCs w:val="24"/>
          <w:lang w:val="zh-CN" w:eastAsia="zh-CN" w:bidi="ar-SA"/>
        </w:rPr>
        <w:t>、提交响应文件并希望获得标的的行为。</w:t>
      </w:r>
    </w:p>
    <w:p w14:paraId="177E85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2.6“售后服务” 是指包含但不限于供应商须承担的备品备件、包装、运输、装卸、保险、货到就位以及安装、调试、培训、保修和其他类似的义务。</w:t>
      </w:r>
    </w:p>
    <w:p w14:paraId="3415344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2.7“书面形式”是指合同书、信件和数据电文（包括电报、电传、传真、电子数据交换和电子邮件）等可以有形地表现所载内容的形式。</w:t>
      </w:r>
    </w:p>
    <w:p w14:paraId="4BD757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2.8“响应文件”是指：供应商根据本</w:t>
      </w:r>
      <w:r>
        <w:rPr>
          <w:rFonts w:hint="eastAsia" w:asciiTheme="minorEastAsia" w:hAnsiTheme="minorEastAsia" w:eastAsiaTheme="minorEastAsia" w:cstheme="minorEastAsia"/>
          <w:color w:val="000000"/>
          <w:kern w:val="0"/>
          <w:sz w:val="24"/>
          <w:szCs w:val="24"/>
          <w:lang w:val="en-US" w:eastAsia="zh-CN" w:bidi="ar-SA"/>
        </w:rPr>
        <w:t>招标文件</w:t>
      </w:r>
      <w:r>
        <w:rPr>
          <w:rFonts w:hint="eastAsia" w:asciiTheme="minorEastAsia" w:hAnsiTheme="minorEastAsia" w:eastAsiaTheme="minorEastAsia" w:cstheme="minorEastAsia"/>
          <w:color w:val="000000"/>
          <w:kern w:val="0"/>
          <w:sz w:val="24"/>
          <w:szCs w:val="24"/>
          <w:lang w:val="zh-CN" w:eastAsia="zh-CN" w:bidi="ar-SA"/>
        </w:rPr>
        <w:t>要求，编制包含资格证明、报价、商务技术等所有内容的文件。</w:t>
      </w:r>
    </w:p>
    <w:p w14:paraId="365A10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2.9 “实质性要求”是指采购需求中带“★”的条款或者不能负偏离的条款或者已经指明不满足按响应文件按无效处理的条款。</w:t>
      </w:r>
    </w:p>
    <w:p w14:paraId="63822C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2.10“正偏离”，是指响应文件对招标文件“采购需求”中有关条款作出优于条款要求并有利于采购人的响应情形。</w:t>
      </w:r>
    </w:p>
    <w:p w14:paraId="3CF23DB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2.11“负偏离”，是指响应文件对招标文件“采购需求”中有关条款作出的响应不满足条款要求，导致采购人要求不能得到满足的情形。</w:t>
      </w:r>
    </w:p>
    <w:p w14:paraId="3456D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2.12“允许负偏离的条款”是指采购需求中的不属于“实质性要求”的条款。</w:t>
      </w:r>
    </w:p>
    <w:p w14:paraId="4299FA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2.13“</w:t>
      </w:r>
      <w:r>
        <w:rPr>
          <w:rFonts w:hint="eastAsia" w:asciiTheme="minorEastAsia" w:hAnsiTheme="minorEastAsia" w:eastAsiaTheme="minorEastAsia" w:cstheme="minorEastAsia"/>
          <w:color w:val="000000"/>
          <w:kern w:val="0"/>
          <w:sz w:val="24"/>
          <w:szCs w:val="24"/>
          <w:lang w:val="en-US" w:eastAsia="zh-CN" w:bidi="ar-SA"/>
        </w:rPr>
        <w:t>投标</w:t>
      </w:r>
      <w:r>
        <w:rPr>
          <w:rFonts w:hint="eastAsia" w:asciiTheme="minorEastAsia" w:hAnsiTheme="minorEastAsia" w:eastAsiaTheme="minorEastAsia" w:cstheme="minorEastAsia"/>
          <w:color w:val="000000"/>
          <w:kern w:val="0"/>
          <w:sz w:val="24"/>
          <w:szCs w:val="24"/>
          <w:lang w:val="zh-CN" w:eastAsia="zh-CN" w:bidi="ar-SA"/>
        </w:rPr>
        <w:t>报价”是指供应商提交的响应文件中的竞标报价。</w:t>
      </w:r>
    </w:p>
    <w:p w14:paraId="4665832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b/>
          <w:sz w:val="24"/>
          <w:szCs w:val="24"/>
        </w:rPr>
      </w:pPr>
      <w:r>
        <w:rPr>
          <w:rFonts w:ascii="宋体" w:hAnsi="宋体"/>
          <w:b/>
          <w:sz w:val="24"/>
          <w:szCs w:val="24"/>
        </w:rPr>
        <w:t>3.</w:t>
      </w:r>
      <w:r>
        <w:rPr>
          <w:rFonts w:hint="eastAsia" w:ascii="宋体" w:hAnsi="宋体"/>
          <w:b/>
          <w:sz w:val="24"/>
          <w:szCs w:val="24"/>
        </w:rPr>
        <w:t xml:space="preserve"> 投标人资格要求</w:t>
      </w:r>
    </w:p>
    <w:p w14:paraId="30D2C0F6">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3.1 投标人应具备的资格条件：见投标人须知前附表。</w:t>
      </w:r>
    </w:p>
    <w:p w14:paraId="557EF93F">
      <w:pPr>
        <w:spacing w:line="360" w:lineRule="auto"/>
        <w:rPr>
          <w:rFonts w:ascii="宋体" w:hAnsi="宋体"/>
          <w:b/>
          <w:sz w:val="24"/>
          <w:szCs w:val="24"/>
        </w:rPr>
      </w:pPr>
      <w:r>
        <w:rPr>
          <w:rFonts w:ascii="宋体" w:hAnsi="宋体"/>
          <w:b/>
          <w:sz w:val="24"/>
          <w:szCs w:val="24"/>
        </w:rPr>
        <w:t>4</w:t>
      </w:r>
      <w:r>
        <w:rPr>
          <w:rFonts w:hint="eastAsia" w:ascii="宋体" w:hAnsi="宋体"/>
          <w:b/>
          <w:sz w:val="24"/>
          <w:szCs w:val="24"/>
        </w:rPr>
        <w:t>．合格的投标人</w:t>
      </w:r>
      <w:bookmarkEnd w:id="19"/>
    </w:p>
    <w:p w14:paraId="7519B701">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bookmarkStart w:id="23" w:name="_Toc311415575"/>
      <w:r>
        <w:rPr>
          <w:rFonts w:hint="eastAsia" w:asciiTheme="minorEastAsia" w:hAnsiTheme="minorEastAsia" w:eastAsiaTheme="minorEastAsia" w:cstheme="minorEastAsia"/>
          <w:color w:val="000000"/>
          <w:kern w:val="0"/>
          <w:sz w:val="24"/>
          <w:szCs w:val="24"/>
          <w:lang w:val="zh-CN" w:eastAsia="zh-CN" w:bidi="ar-SA"/>
        </w:rPr>
        <w:t>4.1依照《中华人民共和国公司法》注册、符合《中华人民共和国政府采购法》第二十二条要求具备的条件、并具备国家规定的相关该行业必备资质，有能力提供本次招标采购货物和服务的制造商或授权投标人。</w:t>
      </w:r>
    </w:p>
    <w:p w14:paraId="51EDFBB6">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4.2投标人如有下列情形之一的按</w:t>
      </w:r>
      <w:r>
        <w:rPr>
          <w:rFonts w:hint="eastAsia" w:asciiTheme="minorEastAsia" w:hAnsiTheme="minorEastAsia" w:eastAsiaTheme="minorEastAsia" w:cstheme="minorEastAsia"/>
          <w:color w:val="000000"/>
          <w:kern w:val="0"/>
          <w:sz w:val="24"/>
          <w:szCs w:val="24"/>
          <w:lang w:val="en-US" w:eastAsia="zh-CN" w:bidi="ar-SA"/>
        </w:rPr>
        <w:t>无效投标</w:t>
      </w:r>
      <w:r>
        <w:rPr>
          <w:rFonts w:hint="eastAsia" w:asciiTheme="minorEastAsia" w:hAnsiTheme="minorEastAsia" w:eastAsiaTheme="minorEastAsia" w:cstheme="minorEastAsia"/>
          <w:color w:val="000000"/>
          <w:kern w:val="0"/>
          <w:sz w:val="24"/>
          <w:szCs w:val="24"/>
          <w:lang w:val="zh-CN" w:eastAsia="zh-CN" w:bidi="ar-SA"/>
        </w:rPr>
        <w:t>处理：</w:t>
      </w:r>
    </w:p>
    <w:p w14:paraId="1A0B2CDA">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（1）为招标人不具有独立法人资格的附属机构（单位）；</w:t>
      </w:r>
    </w:p>
    <w:p w14:paraId="4929C96E">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（2）为本招标项目提供采购代理服务的；</w:t>
      </w:r>
    </w:p>
    <w:p w14:paraId="68412E3C">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（3）与本招标项目的采购代理机构同为一个法定代表人的；</w:t>
      </w:r>
    </w:p>
    <w:p w14:paraId="5ADD1458">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（4）与本招标项目采购代理机构相互控股或参股的；</w:t>
      </w:r>
    </w:p>
    <w:p w14:paraId="3F4F5D14">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（5）与本招标项目采购代理机构相互任职或工作的；</w:t>
      </w:r>
    </w:p>
    <w:p w14:paraId="214C6B99">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（6）被责令停业的；</w:t>
      </w:r>
    </w:p>
    <w:p w14:paraId="25AFBCF2">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（7）被暂停或取消投标资格的；</w:t>
      </w:r>
    </w:p>
    <w:p w14:paraId="2C89EC24">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（8）被省级或招标项目备案地司法部门或财政监管部门作行政处罚（或不良行为记录），但不在其行政处罚期（或不良行为记录期）内的除外。</w:t>
      </w:r>
    </w:p>
    <w:p w14:paraId="7DEABC2E">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5、费用承担</w:t>
      </w:r>
    </w:p>
    <w:p w14:paraId="03B141D6">
      <w:pPr>
        <w:pStyle w:val="15"/>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投标人准备和参加投标活动发生的费用自理。</w:t>
      </w:r>
    </w:p>
    <w:p w14:paraId="0B54CB72">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6、保密</w:t>
      </w:r>
    </w:p>
    <w:p w14:paraId="007541BA">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参与政府采购活动的各方应对招标文件和投标文件中的商业和技术等秘密保密，否则应承担相应的法律责任。</w:t>
      </w:r>
    </w:p>
    <w:p w14:paraId="651B5242">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7、语言文字</w:t>
      </w:r>
    </w:p>
    <w:p w14:paraId="739257D9">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招标文件和投标文件使用的语言文字为中文。专业术语使用外文的，应附有中文注释。</w:t>
      </w:r>
    </w:p>
    <w:p w14:paraId="7D991F6D">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 计量单位</w:t>
      </w:r>
    </w:p>
    <w:p w14:paraId="02B820B8">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所有计量均采用中华人民共和国法定计量单位。</w:t>
      </w:r>
    </w:p>
    <w:p w14:paraId="1E42DF5E">
      <w:pPr>
        <w:spacing w:line="360" w:lineRule="auto"/>
        <w:rPr>
          <w:rFonts w:ascii="宋体" w:hAnsi="宋体"/>
          <w:b/>
          <w:sz w:val="24"/>
          <w:szCs w:val="24"/>
        </w:rPr>
      </w:pPr>
      <w:r>
        <w:rPr>
          <w:rFonts w:ascii="宋体" w:hAnsi="宋体"/>
          <w:b/>
          <w:sz w:val="24"/>
          <w:szCs w:val="24"/>
        </w:rPr>
        <w:t>9</w:t>
      </w:r>
      <w:r>
        <w:rPr>
          <w:rFonts w:hint="eastAsia" w:ascii="宋体" w:hAnsi="宋体"/>
          <w:b/>
          <w:sz w:val="24"/>
          <w:szCs w:val="24"/>
        </w:rPr>
        <w:t>、响应和偏差</w:t>
      </w:r>
    </w:p>
    <w:p w14:paraId="333F2951">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9.1、投标文件应对招标文件的实质性要求和条件作出满足性或更有利于采购人的响应，否则投标人的投标按无效处理。</w:t>
      </w:r>
    </w:p>
    <w:p w14:paraId="5EB0880B">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9.2、投标人应根据招标文件的要求提供详细的技术支持资料、服务计划等内容对招标文件作出响应。</w:t>
      </w:r>
    </w:p>
    <w:p w14:paraId="2D8EF5F5">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9.3、投标文件对招标文件的全部偏差，均应在投标文件的商务和技术偏差表中列明，除列明的内容外，视为投标人响应招标文件的全部要求。</w:t>
      </w:r>
    </w:p>
    <w:bookmarkEnd w:id="23"/>
    <w:p w14:paraId="2488B5E1">
      <w:pPr>
        <w:pStyle w:val="3"/>
        <w:spacing w:before="0" w:after="0" w:line="415" w:lineRule="auto"/>
        <w:jc w:val="center"/>
      </w:pPr>
      <w:bookmarkStart w:id="24" w:name="_Toc26541324"/>
      <w:bookmarkStart w:id="25" w:name="_Toc23258607"/>
      <w:r>
        <w:rPr>
          <w:rFonts w:hint="eastAsia"/>
        </w:rPr>
        <w:t>二、招标文件</w:t>
      </w:r>
      <w:bookmarkEnd w:id="24"/>
      <w:bookmarkEnd w:id="25"/>
    </w:p>
    <w:p w14:paraId="5765A045">
      <w:pPr>
        <w:spacing w:line="360" w:lineRule="auto"/>
        <w:rPr>
          <w:rFonts w:ascii="宋体" w:hAnsi="宋体"/>
          <w:b/>
          <w:sz w:val="24"/>
          <w:szCs w:val="24"/>
        </w:rPr>
      </w:pPr>
      <w:bookmarkStart w:id="26" w:name="_Toc311415577"/>
      <w:r>
        <w:rPr>
          <w:rFonts w:ascii="宋体" w:hAnsi="宋体"/>
          <w:b/>
          <w:sz w:val="24"/>
          <w:szCs w:val="24"/>
        </w:rPr>
        <w:t>10</w:t>
      </w:r>
      <w:r>
        <w:rPr>
          <w:rFonts w:hint="eastAsia" w:ascii="宋体" w:hAnsi="宋体"/>
          <w:b/>
          <w:sz w:val="24"/>
          <w:szCs w:val="24"/>
        </w:rPr>
        <w:t>、招标文件的构成</w:t>
      </w:r>
      <w:bookmarkEnd w:id="26"/>
    </w:p>
    <w:p w14:paraId="1D0005FE">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10.1招标文件用以阐明所需提供的货物及服务、采购、投标程序和合同条件。招标文件包括：</w:t>
      </w:r>
    </w:p>
    <w:p w14:paraId="7877A2AB">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（1）招标公告</w:t>
      </w:r>
    </w:p>
    <w:p w14:paraId="769A63EC">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（2）投标人须知前附表</w:t>
      </w:r>
    </w:p>
    <w:p w14:paraId="0934658A">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（3）投标人须知</w:t>
      </w:r>
    </w:p>
    <w:p w14:paraId="6E0A9A3B">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（4）采购内容及说明</w:t>
      </w:r>
    </w:p>
    <w:p w14:paraId="5A46B9A4">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（5）合同主要条款</w:t>
      </w:r>
    </w:p>
    <w:p w14:paraId="493328D3">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（6）投标文件格式</w:t>
      </w:r>
    </w:p>
    <w:p w14:paraId="0D348053">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10.2投标人应认真阅读招标文件中所有的事项、格式、条款和规范等要求。如果投标人没有按照招标文件要求提交全部资料，或者投标文件没有对招标文件在各方面都做出实质性响应，由此带来的不利于投标人的评标结果，其风险由投标人承担。</w:t>
      </w:r>
    </w:p>
    <w:p w14:paraId="3883C8A1">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10.3招标文件的获取：招标采购公告发布后，有意向的投标人应从采购代理机构</w:t>
      </w:r>
      <w:r>
        <w:rPr>
          <w:rFonts w:hint="eastAsia" w:asciiTheme="minorEastAsia" w:hAnsiTheme="minorEastAsia" w:eastAsiaTheme="minorEastAsia" w:cstheme="minorEastAsia"/>
          <w:sz w:val="24"/>
          <w:szCs w:val="24"/>
          <w:lang w:val="en-US" w:eastAsia="zh-CN"/>
        </w:rPr>
        <w:t>获取</w:t>
      </w:r>
      <w:r>
        <w:rPr>
          <w:rFonts w:hint="eastAsia" w:asciiTheme="minorEastAsia" w:hAnsiTheme="minorEastAsia" w:eastAsiaTheme="minorEastAsia" w:cstheme="minorEastAsia"/>
          <w:sz w:val="24"/>
          <w:szCs w:val="24"/>
        </w:rPr>
        <w:t>招标文件，招标文件一经</w:t>
      </w:r>
      <w:r>
        <w:rPr>
          <w:rFonts w:hint="eastAsia" w:asciiTheme="minorEastAsia" w:hAnsiTheme="minorEastAsia" w:eastAsiaTheme="minorEastAsia" w:cstheme="minorEastAsia"/>
          <w:sz w:val="24"/>
          <w:szCs w:val="24"/>
          <w:lang w:val="en-US" w:eastAsia="zh-CN"/>
        </w:rPr>
        <w:t>发出</w:t>
      </w:r>
      <w:r>
        <w:rPr>
          <w:rFonts w:hint="eastAsia" w:asciiTheme="minorEastAsia" w:hAnsiTheme="minorEastAsia" w:eastAsiaTheme="minorEastAsia" w:cstheme="minorEastAsia"/>
          <w:sz w:val="24"/>
          <w:szCs w:val="24"/>
        </w:rPr>
        <w:t>，一律不退，仅作为本次招标使用。</w:t>
      </w:r>
    </w:p>
    <w:p w14:paraId="01B0770B">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10.4本招标文件的解释权归</w:t>
      </w:r>
      <w:r>
        <w:rPr>
          <w:rFonts w:hint="eastAsia" w:asciiTheme="minorEastAsia" w:hAnsiTheme="minorEastAsia" w:eastAsiaTheme="minorEastAsia" w:cstheme="minorEastAsia"/>
          <w:sz w:val="24"/>
          <w:szCs w:val="24"/>
          <w:lang w:eastAsia="zh-CN"/>
        </w:rPr>
        <w:t>安康市兴盛工程造价咨询有限公司</w:t>
      </w:r>
      <w:r>
        <w:rPr>
          <w:rFonts w:hint="eastAsia" w:asciiTheme="minorEastAsia" w:hAnsiTheme="minorEastAsia" w:eastAsiaTheme="minorEastAsia" w:cstheme="minorEastAsia"/>
          <w:sz w:val="24"/>
          <w:szCs w:val="24"/>
        </w:rPr>
        <w:t>。</w:t>
      </w:r>
    </w:p>
    <w:p w14:paraId="7D4A601F">
      <w:pPr>
        <w:spacing w:line="360" w:lineRule="auto"/>
        <w:ind w:firstLine="482" w:firstLineChars="200"/>
        <w:rPr>
          <w:rFonts w:ascii="宋体" w:hAnsi="宋体"/>
          <w:b/>
          <w:sz w:val="24"/>
          <w:szCs w:val="24"/>
        </w:rPr>
      </w:pPr>
      <w:bookmarkStart w:id="27" w:name="_Toc311415578"/>
      <w:r>
        <w:rPr>
          <w:rFonts w:ascii="宋体" w:hAnsi="宋体"/>
          <w:b/>
          <w:sz w:val="24"/>
          <w:szCs w:val="24"/>
        </w:rPr>
        <w:t>11</w:t>
      </w:r>
      <w:r>
        <w:rPr>
          <w:rFonts w:hint="eastAsia" w:ascii="宋体" w:hAnsi="宋体"/>
          <w:b/>
          <w:sz w:val="24"/>
          <w:szCs w:val="24"/>
        </w:rPr>
        <w:t>、招标文件的澄清</w:t>
      </w:r>
      <w:bookmarkEnd w:id="27"/>
    </w:p>
    <w:p w14:paraId="477982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ascii="宋体" w:hAnsi="宋体"/>
          <w:sz w:val="24"/>
          <w:szCs w:val="24"/>
        </w:rPr>
        <w:t>11.1</w:t>
      </w:r>
      <w:r>
        <w:rPr>
          <w:rFonts w:hint="eastAsia" w:ascii="宋体" w:hAnsi="宋体"/>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6A35CA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ascii="宋体" w:hAnsi="宋体"/>
          <w:sz w:val="24"/>
          <w:szCs w:val="24"/>
        </w:rPr>
        <w:t>11.2</w:t>
      </w:r>
      <w:r>
        <w:rPr>
          <w:rFonts w:hint="eastAsia" w:ascii="宋体" w:hAnsi="宋体"/>
          <w:sz w:val="24"/>
          <w:szCs w:val="24"/>
        </w:rPr>
        <w:t>对于在规定时间内收到的投标人依法提出的询问或者质疑，</w:t>
      </w:r>
      <w:r>
        <w:rPr>
          <w:rFonts w:ascii="宋体" w:hAnsi="宋体"/>
          <w:sz w:val="24"/>
          <w:szCs w:val="24"/>
        </w:rPr>
        <w:t>采购代理机构将</w:t>
      </w:r>
      <w:r>
        <w:rPr>
          <w:rFonts w:hint="eastAsia" w:ascii="宋体" w:hAnsi="宋体"/>
          <w:sz w:val="24"/>
          <w:szCs w:val="24"/>
        </w:rPr>
        <w:t>按程序及时做出答复，若对招标文件做出实质性变动，则按照相关规定延长投标截止时间。</w:t>
      </w:r>
    </w:p>
    <w:p w14:paraId="421A0F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ascii="宋体" w:hAnsi="宋体"/>
          <w:sz w:val="24"/>
          <w:szCs w:val="24"/>
        </w:rPr>
        <w:t>11.3</w:t>
      </w:r>
      <w:r>
        <w:rPr>
          <w:rFonts w:hint="eastAsia" w:ascii="宋体" w:hAnsi="宋体"/>
          <w:sz w:val="24"/>
          <w:szCs w:val="24"/>
        </w:rPr>
        <w:t>投标人提出质疑应当有明确的请求和必要的证明材料。</w:t>
      </w:r>
    </w:p>
    <w:p w14:paraId="3F680BC8">
      <w:pPr>
        <w:spacing w:line="360" w:lineRule="auto"/>
        <w:ind w:firstLine="482" w:firstLineChars="200"/>
        <w:rPr>
          <w:rFonts w:ascii="宋体" w:hAnsi="宋体"/>
          <w:b/>
          <w:sz w:val="24"/>
          <w:szCs w:val="24"/>
        </w:rPr>
      </w:pPr>
      <w:bookmarkStart w:id="28" w:name="_Toc311415579"/>
      <w:r>
        <w:rPr>
          <w:rFonts w:ascii="宋体" w:hAnsi="宋体"/>
          <w:b/>
          <w:sz w:val="24"/>
          <w:szCs w:val="24"/>
        </w:rPr>
        <w:t>12</w:t>
      </w:r>
      <w:r>
        <w:rPr>
          <w:rFonts w:hint="eastAsia" w:ascii="宋体" w:hAnsi="宋体"/>
          <w:b/>
          <w:sz w:val="24"/>
          <w:szCs w:val="24"/>
        </w:rPr>
        <w:t>、招标文件的修改</w:t>
      </w:r>
      <w:bookmarkEnd w:id="28"/>
    </w:p>
    <w:p w14:paraId="5349BA9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12.1招标采购单位如果对已发出的招标文件进行</w:t>
      </w:r>
      <w:r>
        <w:rPr>
          <w:rFonts w:hint="eastAsia" w:ascii="宋体" w:hAnsi="宋体"/>
          <w:sz w:val="24"/>
          <w:szCs w:val="24"/>
        </w:rPr>
        <w:t>必要的澄清或者</w:t>
      </w:r>
      <w:r>
        <w:rPr>
          <w:rFonts w:ascii="宋体" w:hAnsi="宋体"/>
          <w:sz w:val="24"/>
          <w:szCs w:val="24"/>
        </w:rPr>
        <w:t>修改，将在招标文件要求提交投标文件截止时间</w:t>
      </w:r>
      <w:r>
        <w:rPr>
          <w:rFonts w:hint="eastAsia" w:ascii="宋体" w:hAnsi="宋体"/>
          <w:sz w:val="24"/>
          <w:szCs w:val="24"/>
        </w:rPr>
        <w:t>15</w:t>
      </w:r>
      <w:r>
        <w:rPr>
          <w:rFonts w:ascii="宋体" w:hAnsi="宋体"/>
          <w:sz w:val="24"/>
          <w:szCs w:val="24"/>
        </w:rPr>
        <w:t>日前，</w:t>
      </w:r>
      <w:r>
        <w:rPr>
          <w:rFonts w:hint="eastAsia" w:ascii="宋体" w:hAnsi="宋体"/>
          <w:sz w:val="24"/>
          <w:szCs w:val="24"/>
        </w:rPr>
        <w:t>不足15日的，顺延提交投标文件的截止时间，</w:t>
      </w:r>
      <w:r>
        <w:rPr>
          <w:rFonts w:ascii="宋体" w:hAnsi="宋体"/>
          <w:sz w:val="24"/>
          <w:szCs w:val="24"/>
        </w:rPr>
        <w:t>在发布招标公告的财政部门指定媒体上</w:t>
      </w:r>
      <w:r>
        <w:rPr>
          <w:rFonts w:hint="eastAsia" w:ascii="宋体" w:hAnsi="宋体"/>
          <w:sz w:val="24"/>
          <w:szCs w:val="24"/>
        </w:rPr>
        <w:t>由采购代理机构</w:t>
      </w:r>
      <w:r>
        <w:rPr>
          <w:rFonts w:ascii="宋体" w:hAnsi="宋体"/>
          <w:sz w:val="24"/>
          <w:szCs w:val="24"/>
        </w:rPr>
        <w:t>发布变更公告，并以书面形式通知所有</w:t>
      </w:r>
      <w:r>
        <w:rPr>
          <w:rFonts w:hint="eastAsia" w:ascii="宋体" w:hAnsi="宋体"/>
          <w:sz w:val="24"/>
          <w:szCs w:val="24"/>
          <w:lang w:val="en-US" w:eastAsia="zh-CN"/>
        </w:rPr>
        <w:t>获取</w:t>
      </w:r>
      <w:r>
        <w:rPr>
          <w:rFonts w:ascii="宋体" w:hAnsi="宋体"/>
          <w:sz w:val="24"/>
          <w:szCs w:val="24"/>
        </w:rPr>
        <w:t>招标文件的单位。该澄清或者修改的内容为招标文件的组成部分。</w:t>
      </w:r>
    </w:p>
    <w:p w14:paraId="21BA43B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12.2</w:t>
      </w:r>
      <w:r>
        <w:rPr>
          <w:rFonts w:hint="eastAsia" w:ascii="宋体" w:hAnsi="宋体"/>
          <w:sz w:val="24"/>
          <w:szCs w:val="24"/>
        </w:rPr>
        <w:t>招标文件的修改书将构成招标文件的一部分，对采购人和投标人都具有约束力。</w:t>
      </w:r>
    </w:p>
    <w:p w14:paraId="76D3CA83">
      <w:pPr>
        <w:spacing w:line="500" w:lineRule="exact"/>
        <w:ind w:firstLine="480" w:firstLineChars="200"/>
        <w:rPr>
          <w:rFonts w:ascii="宋体" w:hAnsi="宋体"/>
          <w:sz w:val="24"/>
          <w:szCs w:val="24"/>
        </w:rPr>
      </w:pPr>
      <w:r>
        <w:rPr>
          <w:rFonts w:ascii="宋体" w:hAnsi="宋体"/>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sz w:val="24"/>
          <w:szCs w:val="24"/>
          <w:lang w:val="en-US" w:eastAsia="zh-CN"/>
        </w:rPr>
        <w:t>获取</w:t>
      </w:r>
      <w:r>
        <w:rPr>
          <w:rFonts w:ascii="宋体" w:hAnsi="宋体"/>
          <w:sz w:val="24"/>
          <w:szCs w:val="24"/>
        </w:rPr>
        <w:t>招标文件的单位。</w:t>
      </w:r>
    </w:p>
    <w:p w14:paraId="56D19377">
      <w:pPr>
        <w:pStyle w:val="3"/>
        <w:spacing w:before="0" w:after="0" w:line="480" w:lineRule="exact"/>
        <w:jc w:val="center"/>
        <w:rPr>
          <w:rFonts w:hint="default" w:eastAsia="宋体"/>
          <w:lang w:val="en-US" w:eastAsia="zh-CN"/>
        </w:rPr>
      </w:pPr>
      <w:bookmarkStart w:id="29" w:name="_Toc26541325"/>
      <w:bookmarkStart w:id="30" w:name="_Toc23258608"/>
      <w:r>
        <w:rPr>
          <w:rFonts w:hint="eastAsia"/>
        </w:rPr>
        <w:t>三、投标文件</w:t>
      </w:r>
      <w:bookmarkEnd w:id="29"/>
      <w:bookmarkEnd w:id="30"/>
      <w:r>
        <w:rPr>
          <w:rFonts w:hint="eastAsia"/>
          <w:lang w:val="en-US" w:eastAsia="zh-CN"/>
        </w:rPr>
        <w:t>的编制</w:t>
      </w:r>
    </w:p>
    <w:p w14:paraId="7128F699">
      <w:pPr>
        <w:spacing w:line="360" w:lineRule="auto"/>
        <w:ind w:firstLine="482" w:firstLineChars="200"/>
        <w:rPr>
          <w:rFonts w:ascii="宋体" w:hAnsi="宋体"/>
          <w:b/>
          <w:sz w:val="24"/>
          <w:szCs w:val="24"/>
        </w:rPr>
      </w:pPr>
      <w:bookmarkStart w:id="31" w:name="_Toc311415581"/>
      <w:r>
        <w:rPr>
          <w:rFonts w:ascii="宋体" w:hAnsi="宋体"/>
          <w:b/>
          <w:sz w:val="24"/>
          <w:szCs w:val="24"/>
        </w:rPr>
        <w:t>13</w:t>
      </w:r>
      <w:r>
        <w:rPr>
          <w:rFonts w:hint="eastAsia" w:ascii="宋体" w:hAnsi="宋体"/>
          <w:b/>
          <w:sz w:val="24"/>
          <w:szCs w:val="24"/>
        </w:rPr>
        <w:t>、投标文件编制的原则</w:t>
      </w:r>
      <w:bookmarkEnd w:id="31"/>
    </w:p>
    <w:p w14:paraId="3FE70DE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13.1</w:t>
      </w:r>
      <w:r>
        <w:rPr>
          <w:rFonts w:hint="eastAsia" w:ascii="宋体" w:hAnsi="宋体"/>
          <w:sz w:val="24"/>
          <w:szCs w:val="24"/>
        </w:rPr>
        <w:t xml:space="preserve">投标人应在认真阅读招标文件所有内容的基础上，按照招标文件的要求编制完整的投标文件。招标文件中对投标文件格式有要求的，应按格式编制并逐项填写内容，不准有空项；无相应内容可填的项应填写“无”、“没有相应指标”等明确的回答文字。投标文件中留有空项的或没有按格式制作的，将被视为不完整响应的投标文件，其投标将有可能被拒绝。 </w:t>
      </w:r>
    </w:p>
    <w:p w14:paraId="30ADC39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13.2</w:t>
      </w:r>
      <w:r>
        <w:rPr>
          <w:rFonts w:hint="eastAsia" w:ascii="宋体" w:hAnsi="宋体"/>
          <w:sz w:val="24"/>
          <w:szCs w:val="24"/>
        </w:rPr>
        <w:t>投标人必须保证投标文件所提供的全部资料真实可靠，并接受对其中任何资料进一步审查的要求。</w:t>
      </w:r>
    </w:p>
    <w:p w14:paraId="400BB204">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ascii="宋体" w:hAnsi="宋体"/>
          <w:sz w:val="24"/>
          <w:szCs w:val="24"/>
        </w:rPr>
      </w:pPr>
      <w:r>
        <w:rPr>
          <w:rFonts w:ascii="宋体" w:hAnsi="宋体"/>
          <w:sz w:val="24"/>
          <w:szCs w:val="24"/>
        </w:rPr>
        <w:t>13.3</w:t>
      </w:r>
      <w:r>
        <w:rPr>
          <w:rFonts w:hint="eastAsia" w:ascii="宋体" w:hAnsi="宋体"/>
          <w:sz w:val="24"/>
          <w:szCs w:val="24"/>
        </w:rPr>
        <w:t>投标文件须对招标文件中的内容做出实质性和完整性的响应，否则其投标将被视为无效投标。</w:t>
      </w:r>
    </w:p>
    <w:p w14:paraId="3EB8411D">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sz w:val="24"/>
          <w:szCs w:val="28"/>
        </w:rPr>
      </w:pPr>
      <w:r>
        <w:rPr>
          <w:rFonts w:hint="eastAsia" w:ascii="宋体" w:hAnsi="宋体"/>
          <w:sz w:val="24"/>
          <w:szCs w:val="24"/>
        </w:rPr>
        <w:t>13.4</w:t>
      </w:r>
      <w:r>
        <w:rPr>
          <w:rFonts w:hint="eastAsia" w:ascii="宋体" w:hAnsi="宋体" w:cs="宋体"/>
          <w:sz w:val="24"/>
          <w:szCs w:val="28"/>
        </w:rPr>
        <w:t>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66004220">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sz w:val="24"/>
          <w:szCs w:val="28"/>
        </w:rPr>
      </w:pPr>
      <w:r>
        <w:rPr>
          <w:rFonts w:ascii="宋体" w:hAnsi="宋体" w:cs="宋体"/>
          <w:sz w:val="24"/>
          <w:szCs w:val="28"/>
        </w:rPr>
        <w:t>13.5</w:t>
      </w:r>
      <w:r>
        <w:rPr>
          <w:rFonts w:hint="eastAsia" w:ascii="宋体" w:hAnsi="宋体" w:cs="宋体"/>
          <w:sz w:val="24"/>
          <w:szCs w:val="28"/>
        </w:rPr>
        <w:t>采购人享有本项目在实施过程中产生的知识成果及知识产权。</w:t>
      </w:r>
    </w:p>
    <w:p w14:paraId="29B0C31F">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sz w:val="24"/>
          <w:szCs w:val="28"/>
        </w:rPr>
      </w:pPr>
      <w:r>
        <w:rPr>
          <w:rFonts w:ascii="宋体" w:hAnsi="宋体" w:cs="宋体"/>
          <w:sz w:val="24"/>
          <w:szCs w:val="28"/>
        </w:rPr>
        <w:t>13.6</w:t>
      </w:r>
      <w:r>
        <w:rPr>
          <w:rFonts w:hint="eastAsia" w:ascii="宋体" w:hAnsi="宋体" w:cs="宋体"/>
          <w:sz w:val="24"/>
          <w:szCs w:val="28"/>
        </w:rPr>
        <w:t>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589D8210">
      <w:pPr>
        <w:pStyle w:val="15"/>
        <w:keepNext w:val="0"/>
        <w:keepLines w:val="0"/>
        <w:pageBreakBefore w:val="0"/>
        <w:widowControl w:val="0"/>
        <w:kinsoku/>
        <w:wordWrap/>
        <w:topLinePunct w:val="0"/>
        <w:bidi w:val="0"/>
        <w:spacing w:line="360" w:lineRule="auto"/>
        <w:ind w:firstLine="480" w:firstLineChars="200"/>
        <w:textAlignment w:val="auto"/>
        <w:rPr>
          <w:kern w:val="2"/>
          <w:sz w:val="24"/>
          <w:szCs w:val="28"/>
          <w:lang w:val="en-US" w:bidi="ar-SA"/>
        </w:rPr>
      </w:pPr>
      <w:r>
        <w:rPr>
          <w:kern w:val="2"/>
          <w:sz w:val="24"/>
          <w:szCs w:val="28"/>
          <w:lang w:val="en-US" w:bidi="ar-SA"/>
        </w:rPr>
        <w:t xml:space="preserve">13.7 </w:t>
      </w:r>
      <w:r>
        <w:rPr>
          <w:rFonts w:hint="eastAsia"/>
          <w:kern w:val="2"/>
          <w:sz w:val="24"/>
          <w:szCs w:val="28"/>
          <w:lang w:val="en-US" w:bidi="ar-SA"/>
        </w:rPr>
        <w:t>如供应商所不拥有的知识产权，则在投标报价中必须包括合法获取该知识产权的相关费用。</w:t>
      </w:r>
    </w:p>
    <w:p w14:paraId="603F86BA">
      <w:pPr>
        <w:snapToGrid w:val="0"/>
        <w:spacing w:line="440" w:lineRule="exact"/>
        <w:rPr>
          <w:rFonts w:ascii="宋体" w:hAnsi="宋体" w:cs="宋体"/>
          <w:b/>
          <w:color w:val="000000"/>
          <w:kern w:val="0"/>
          <w:sz w:val="24"/>
          <w:szCs w:val="24"/>
        </w:rPr>
      </w:pPr>
      <w:r>
        <w:rPr>
          <w:rFonts w:ascii="宋体" w:hAnsi="宋体" w:cs="宋体"/>
          <w:b/>
          <w:color w:val="000000"/>
          <w:kern w:val="0"/>
          <w:sz w:val="24"/>
          <w:szCs w:val="24"/>
        </w:rPr>
        <w:t>14</w:t>
      </w:r>
      <w:r>
        <w:rPr>
          <w:rFonts w:hint="eastAsia" w:ascii="宋体" w:hAnsi="宋体" w:cs="宋体"/>
          <w:b/>
          <w:color w:val="000000"/>
          <w:kern w:val="0"/>
          <w:sz w:val="24"/>
          <w:szCs w:val="24"/>
        </w:rPr>
        <w:t>、投标文件构成和格式</w:t>
      </w:r>
    </w:p>
    <w:p w14:paraId="2E8609BB">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投标人应按照第六部分提供的格式编写投标文件，不得缺少招标文件要求填写的表格或提交的资料。</w:t>
      </w:r>
    </w:p>
    <w:bookmarkEnd w:id="20"/>
    <w:bookmarkEnd w:id="21"/>
    <w:bookmarkEnd w:id="22"/>
    <w:p w14:paraId="535E53DF">
      <w:pPr>
        <w:spacing w:line="360" w:lineRule="auto"/>
        <w:ind w:firstLine="482" w:firstLineChars="200"/>
        <w:rPr>
          <w:rFonts w:ascii="宋体" w:hAnsi="宋体"/>
          <w:b/>
          <w:sz w:val="24"/>
          <w:szCs w:val="24"/>
        </w:rPr>
      </w:pPr>
      <w:bookmarkStart w:id="32" w:name="_Toc311415586"/>
      <w:bookmarkStart w:id="33" w:name="_Toc380336738"/>
      <w:bookmarkStart w:id="34" w:name="_Toc409689060"/>
      <w:bookmarkStart w:id="35" w:name="_Toc358364332"/>
      <w:r>
        <w:rPr>
          <w:rFonts w:ascii="宋体" w:hAnsi="宋体"/>
          <w:b/>
          <w:sz w:val="24"/>
          <w:szCs w:val="24"/>
        </w:rPr>
        <w:t>15</w:t>
      </w:r>
      <w:r>
        <w:rPr>
          <w:rFonts w:hint="eastAsia" w:ascii="宋体" w:hAnsi="宋体"/>
          <w:b/>
          <w:sz w:val="24"/>
          <w:szCs w:val="24"/>
        </w:rPr>
        <w:t>、投标报价</w:t>
      </w:r>
      <w:bookmarkEnd w:id="32"/>
    </w:p>
    <w:bookmarkEnd w:id="33"/>
    <w:bookmarkEnd w:id="34"/>
    <w:bookmarkEnd w:id="35"/>
    <w:p w14:paraId="3AAD407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15.1</w:t>
      </w:r>
      <w:r>
        <w:rPr>
          <w:rFonts w:hint="eastAsia" w:ascii="宋体" w:hAnsi="宋体"/>
          <w:sz w:val="24"/>
          <w:szCs w:val="24"/>
        </w:rPr>
        <w:t>“报价表”填写时应注意下列要求：</w:t>
      </w:r>
    </w:p>
    <w:p w14:paraId="63CBE00E">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（1）本项目的投标报价应结合市场自主报价并承担风险；</w:t>
      </w:r>
    </w:p>
    <w:p w14:paraId="1F9C82B5">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（2）投标报价依据现行及省级有关规定并结合市场情况填报投标报价；</w:t>
      </w:r>
    </w:p>
    <w:p w14:paraId="4F76258D">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（3）各投标人应在投标文件中标明分项报价；  </w:t>
      </w:r>
    </w:p>
    <w:p w14:paraId="17A19A9B">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w:t>
      </w:r>
      <w:bookmarkStart w:id="36" w:name="_Toc347478689"/>
      <w:bookmarkEnd w:id="36"/>
      <w:bookmarkStart w:id="37" w:name="_Toc30437"/>
      <w:bookmarkEnd w:id="37"/>
      <w:bookmarkStart w:id="38" w:name="_Toc311415587"/>
      <w:bookmarkStart w:id="39" w:name="_Toc409689061"/>
      <w:bookmarkStart w:id="40" w:name="_Toc358364333"/>
      <w:bookmarkStart w:id="41" w:name="_Toc380336739"/>
      <w:r>
        <w:rPr>
          <w:rFonts w:hint="eastAsia" w:ascii="宋体" w:hAnsi="宋体"/>
          <w:sz w:val="24"/>
          <w:szCs w:val="24"/>
        </w:rPr>
        <w:t>）凡因投标人对招标阅读不深、理解不透、误解、疏漏、或因市场行情了解不清造成的后果和风险均由各投标人自负；</w:t>
      </w:r>
    </w:p>
    <w:p w14:paraId="5446CDB7">
      <w:pPr>
        <w:pStyle w:val="12"/>
        <w:keepNext w:val="0"/>
        <w:keepLines w:val="0"/>
        <w:pageBreakBefore w:val="0"/>
        <w:widowControl w:val="0"/>
        <w:kinsoku/>
        <w:wordWrap/>
        <w:topLinePunct w:val="0"/>
        <w:autoSpaceDE/>
        <w:autoSpaceDN/>
        <w:bidi w:val="0"/>
        <w:adjustRightInd w:val="0"/>
        <w:spacing w:line="360" w:lineRule="auto"/>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w:t>
      </w:r>
      <w:r>
        <w:rPr>
          <w:rFonts w:hint="eastAsia"/>
        </w:rPr>
        <w:t>投标人应在投标文件中的投标报价表（唱标报告）上，填写</w:t>
      </w:r>
      <w:r>
        <w:rPr>
          <w:rFonts w:hint="eastAsia"/>
          <w:lang w:eastAsia="zh-CN"/>
        </w:rPr>
        <w:t>优惠率</w:t>
      </w:r>
      <w:r>
        <w:rPr>
          <w:rFonts w:hint="eastAsia"/>
        </w:rPr>
        <w:t>，标明</w:t>
      </w:r>
      <w:r>
        <w:rPr>
          <w:rFonts w:hint="eastAsia"/>
          <w:lang w:eastAsia="zh-CN"/>
        </w:rPr>
        <w:t>服务期</w:t>
      </w:r>
      <w:r>
        <w:rPr>
          <w:rFonts w:hint="eastAsia"/>
        </w:rPr>
        <w:t>等项，任何有选择的报价采购代理机构不予接受。</w:t>
      </w:r>
    </w:p>
    <w:p w14:paraId="73446910">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15.2 </w:t>
      </w:r>
      <w:r>
        <w:rPr>
          <w:rFonts w:hint="eastAsia" w:ascii="宋体" w:hAnsi="宋体"/>
          <w:sz w:val="24"/>
          <w:szCs w:val="24"/>
        </w:rPr>
        <w:t>最低报价不作为中标的唯一条件。</w:t>
      </w:r>
    </w:p>
    <w:p w14:paraId="77EB702E">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16</w:t>
      </w:r>
      <w:r>
        <w:rPr>
          <w:rFonts w:hint="eastAsia" w:ascii="宋体" w:hAnsi="宋体"/>
          <w:b/>
          <w:sz w:val="24"/>
          <w:szCs w:val="24"/>
        </w:rPr>
        <w:t>、投标货币</w:t>
      </w:r>
      <w:bookmarkEnd w:id="38"/>
    </w:p>
    <w:p w14:paraId="03D8C129">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投标应以人民币报价。任何包含非人民币报价的投标</w:t>
      </w:r>
      <w:r>
        <w:rPr>
          <w:rFonts w:hint="eastAsia" w:ascii="宋体" w:hAnsi="宋体"/>
          <w:sz w:val="24"/>
          <w:szCs w:val="24"/>
        </w:rPr>
        <w:t>均按照无效投标处理</w:t>
      </w:r>
      <w:r>
        <w:rPr>
          <w:rFonts w:ascii="宋体" w:hAnsi="宋体"/>
          <w:sz w:val="24"/>
          <w:szCs w:val="24"/>
        </w:rPr>
        <w:t>。</w:t>
      </w:r>
    </w:p>
    <w:p w14:paraId="33A097B0">
      <w:pPr>
        <w:spacing w:line="360" w:lineRule="auto"/>
        <w:ind w:firstLine="482" w:firstLineChars="200"/>
        <w:rPr>
          <w:rFonts w:ascii="宋体" w:hAnsi="宋体"/>
          <w:b/>
          <w:sz w:val="24"/>
          <w:szCs w:val="24"/>
        </w:rPr>
      </w:pPr>
      <w:bookmarkStart w:id="42" w:name="_Toc311415588"/>
      <w:r>
        <w:rPr>
          <w:rFonts w:ascii="宋体" w:hAnsi="宋体"/>
          <w:b/>
          <w:sz w:val="24"/>
          <w:szCs w:val="24"/>
        </w:rPr>
        <w:t>17</w:t>
      </w:r>
      <w:r>
        <w:rPr>
          <w:rFonts w:hint="eastAsia" w:ascii="宋体" w:hAnsi="宋体"/>
          <w:b/>
          <w:sz w:val="24"/>
          <w:szCs w:val="24"/>
        </w:rPr>
        <w:t>、投标人资格的证明文件</w:t>
      </w:r>
      <w:bookmarkEnd w:id="42"/>
    </w:p>
    <w:p w14:paraId="0C6CD3CD">
      <w:pPr>
        <w:spacing w:line="360" w:lineRule="auto"/>
        <w:ind w:firstLine="480" w:firstLineChars="200"/>
        <w:rPr>
          <w:rFonts w:ascii="宋体" w:hAnsi="宋体"/>
          <w:sz w:val="24"/>
          <w:szCs w:val="24"/>
        </w:rPr>
      </w:pPr>
      <w:r>
        <w:rPr>
          <w:rFonts w:ascii="宋体" w:hAnsi="宋体"/>
          <w:sz w:val="24"/>
          <w:szCs w:val="24"/>
        </w:rPr>
        <w:t>17.1</w:t>
      </w:r>
      <w:r>
        <w:rPr>
          <w:rFonts w:hint="eastAsia" w:ascii="宋体" w:hAnsi="宋体"/>
          <w:sz w:val="24"/>
          <w:szCs w:val="24"/>
        </w:rPr>
        <w:t>投标人</w:t>
      </w:r>
      <w:r>
        <w:rPr>
          <w:rFonts w:ascii="宋体" w:hAnsi="宋体"/>
          <w:sz w:val="24"/>
          <w:szCs w:val="24"/>
        </w:rPr>
        <w:t>须</w:t>
      </w:r>
      <w:r>
        <w:rPr>
          <w:rFonts w:hint="eastAsia" w:ascii="宋体" w:hAnsi="宋体"/>
          <w:sz w:val="24"/>
          <w:szCs w:val="24"/>
        </w:rPr>
        <w:t>按招标文件要求，</w:t>
      </w:r>
      <w:r>
        <w:rPr>
          <w:rFonts w:ascii="宋体" w:hAnsi="宋体"/>
          <w:sz w:val="24"/>
          <w:szCs w:val="24"/>
        </w:rPr>
        <w:t>提</w:t>
      </w:r>
      <w:r>
        <w:rPr>
          <w:rFonts w:hint="eastAsia" w:ascii="宋体" w:hAnsi="宋体"/>
          <w:sz w:val="24"/>
          <w:szCs w:val="24"/>
        </w:rPr>
        <w:t>供</w:t>
      </w:r>
      <w:r>
        <w:rPr>
          <w:rFonts w:ascii="宋体" w:hAnsi="宋体"/>
          <w:sz w:val="24"/>
          <w:szCs w:val="24"/>
        </w:rPr>
        <w:t>资格</w:t>
      </w:r>
      <w:r>
        <w:rPr>
          <w:rFonts w:hint="eastAsia" w:ascii="宋体" w:hAnsi="宋体"/>
          <w:sz w:val="24"/>
          <w:szCs w:val="24"/>
        </w:rPr>
        <w:t>证明文件，未按要求提供或提供不全的，其投标按照无效投标处理。</w:t>
      </w:r>
    </w:p>
    <w:p w14:paraId="1862E0E4">
      <w:pPr>
        <w:spacing w:line="360" w:lineRule="auto"/>
        <w:ind w:firstLine="480" w:firstLineChars="200"/>
        <w:rPr>
          <w:rFonts w:ascii="宋体" w:hAnsi="宋体"/>
          <w:sz w:val="24"/>
          <w:szCs w:val="24"/>
        </w:rPr>
      </w:pPr>
      <w:r>
        <w:rPr>
          <w:rFonts w:ascii="宋体" w:hAnsi="宋体"/>
          <w:sz w:val="24"/>
          <w:szCs w:val="24"/>
        </w:rPr>
        <w:t>17.2</w:t>
      </w:r>
      <w:r>
        <w:rPr>
          <w:rFonts w:hint="eastAsia" w:ascii="宋体" w:hAnsi="宋体"/>
          <w:sz w:val="24"/>
          <w:szCs w:val="24"/>
        </w:rPr>
        <w:t>如果招标文件有要求统一格式的，必须按统一格式提供，未按要求提供的，其投标按照无效投标处理。</w:t>
      </w:r>
    </w:p>
    <w:p w14:paraId="0CA517D8">
      <w:pPr>
        <w:spacing w:line="360" w:lineRule="auto"/>
        <w:ind w:firstLine="480" w:firstLineChars="200"/>
        <w:rPr>
          <w:rFonts w:ascii="宋体" w:hAnsi="宋体"/>
          <w:sz w:val="24"/>
          <w:szCs w:val="24"/>
        </w:rPr>
      </w:pPr>
      <w:r>
        <w:rPr>
          <w:rFonts w:ascii="宋体" w:hAnsi="宋体"/>
          <w:sz w:val="24"/>
          <w:szCs w:val="24"/>
        </w:rPr>
        <w:t>17.3</w:t>
      </w:r>
      <w:r>
        <w:rPr>
          <w:rFonts w:hint="eastAsia" w:ascii="宋体" w:hAnsi="宋体"/>
          <w:sz w:val="24"/>
          <w:szCs w:val="24"/>
        </w:rPr>
        <w:t>资格证明文件有效期从开标之日起算不得少于投标文件有效期。</w:t>
      </w:r>
    </w:p>
    <w:bookmarkEnd w:id="39"/>
    <w:bookmarkEnd w:id="40"/>
    <w:bookmarkEnd w:id="41"/>
    <w:p w14:paraId="10BFF6C8">
      <w:pPr>
        <w:numPr>
          <w:ilvl w:val="0"/>
          <w:numId w:val="3"/>
        </w:numPr>
        <w:spacing w:line="360" w:lineRule="auto"/>
        <w:ind w:firstLine="482" w:firstLineChars="200"/>
        <w:rPr>
          <w:rFonts w:hint="eastAsia" w:ascii="宋体" w:hAnsi="宋体"/>
          <w:b/>
          <w:sz w:val="24"/>
          <w:szCs w:val="24"/>
        </w:rPr>
      </w:pPr>
      <w:bookmarkStart w:id="43" w:name="_Toc311415590"/>
      <w:r>
        <w:rPr>
          <w:rFonts w:hint="eastAsia" w:ascii="宋体" w:hAnsi="宋体"/>
          <w:b/>
          <w:sz w:val="24"/>
          <w:szCs w:val="24"/>
        </w:rPr>
        <w:t>投标保证金</w:t>
      </w:r>
      <w:bookmarkEnd w:id="43"/>
    </w:p>
    <w:p w14:paraId="00190078">
      <w:pPr>
        <w:spacing w:line="360" w:lineRule="auto"/>
        <w:ind w:firstLine="480" w:firstLineChars="200"/>
        <w:rPr>
          <w:rFonts w:hint="default" w:ascii="宋体" w:hAnsi="宋体"/>
          <w:sz w:val="24"/>
          <w:szCs w:val="24"/>
          <w:lang w:val="en-US" w:eastAsia="zh-CN"/>
        </w:rPr>
      </w:pPr>
      <w:r>
        <w:rPr>
          <w:rFonts w:hint="eastAsia" w:ascii="宋体" w:hAnsi="宋体"/>
          <w:sz w:val="24"/>
          <w:szCs w:val="24"/>
          <w:lang w:val="en-US" w:eastAsia="zh-CN"/>
        </w:rPr>
        <w:t>本项目不设置投标保证金</w:t>
      </w:r>
    </w:p>
    <w:p w14:paraId="2731ACD0">
      <w:pPr>
        <w:spacing w:line="360" w:lineRule="auto"/>
        <w:ind w:firstLine="482" w:firstLineChars="200"/>
        <w:rPr>
          <w:rFonts w:ascii="宋体" w:hAnsi="宋体"/>
          <w:sz w:val="24"/>
          <w:szCs w:val="24"/>
        </w:rPr>
      </w:pPr>
      <w:bookmarkStart w:id="44" w:name="_Toc311415591"/>
      <w:r>
        <w:rPr>
          <w:rFonts w:ascii="宋体" w:hAnsi="宋体"/>
          <w:b/>
          <w:sz w:val="24"/>
          <w:szCs w:val="24"/>
        </w:rPr>
        <w:t>19</w:t>
      </w:r>
      <w:r>
        <w:rPr>
          <w:rFonts w:hint="eastAsia" w:ascii="宋体" w:hAnsi="宋体"/>
          <w:b/>
          <w:sz w:val="24"/>
          <w:szCs w:val="24"/>
        </w:rPr>
        <w:t>、投标有效期</w:t>
      </w:r>
      <w:bookmarkEnd w:id="44"/>
    </w:p>
    <w:p w14:paraId="16AB2D1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19.1</w:t>
      </w:r>
      <w:r>
        <w:rPr>
          <w:rFonts w:hint="eastAsia" w:ascii="宋体" w:hAnsi="宋体"/>
          <w:sz w:val="24"/>
          <w:szCs w:val="24"/>
        </w:rPr>
        <w:t>投标文件递交截止时间起算，投标有效期为90日历天。投标文件的有效期比本须知规定的有效期短的，</w:t>
      </w:r>
      <w:r>
        <w:rPr>
          <w:rFonts w:ascii="宋体" w:hAnsi="宋体"/>
          <w:sz w:val="24"/>
          <w:szCs w:val="24"/>
        </w:rPr>
        <w:t>将</w:t>
      </w:r>
      <w:r>
        <w:rPr>
          <w:rFonts w:hint="eastAsia" w:ascii="宋体" w:hAnsi="宋体"/>
          <w:sz w:val="24"/>
          <w:szCs w:val="24"/>
        </w:rPr>
        <w:t>按照无效投标处理</w:t>
      </w:r>
      <w:r>
        <w:rPr>
          <w:rFonts w:ascii="宋体" w:hAnsi="宋体"/>
          <w:sz w:val="24"/>
          <w:szCs w:val="24"/>
        </w:rPr>
        <w:t>。</w:t>
      </w:r>
    </w:p>
    <w:p w14:paraId="07209591">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19.2</w:t>
      </w:r>
      <w:r>
        <w:rPr>
          <w:rFonts w:hint="eastAsia" w:ascii="宋体" w:hAnsi="宋体"/>
          <w:sz w:val="24"/>
          <w:szCs w:val="24"/>
        </w:rPr>
        <w:t>在特殊情况下，在原投标有效期期满之前，采购人可征得投标人同意延长投标有效期。这种要求与答复均应为书面形式提交。</w:t>
      </w:r>
    </w:p>
    <w:p w14:paraId="06801D9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19.3 </w:t>
      </w:r>
      <w:r>
        <w:rPr>
          <w:rFonts w:hint="eastAsia" w:ascii="宋体" w:hAnsi="宋体"/>
          <w:sz w:val="24"/>
          <w:szCs w:val="24"/>
        </w:rPr>
        <w:t>中标供应商投标文件有效期自动延长至合同执行完毕。</w:t>
      </w:r>
    </w:p>
    <w:p w14:paraId="15B183F7">
      <w:pPr>
        <w:spacing w:line="360" w:lineRule="auto"/>
        <w:ind w:firstLine="482" w:firstLineChars="200"/>
        <w:rPr>
          <w:rFonts w:hint="eastAsia" w:ascii="宋体" w:hAnsi="宋体" w:eastAsia="宋体"/>
          <w:b/>
          <w:sz w:val="24"/>
          <w:szCs w:val="24"/>
          <w:lang w:val="en-US" w:eastAsia="zh-CN"/>
        </w:rPr>
      </w:pPr>
      <w:bookmarkStart w:id="45" w:name="_Toc311415595"/>
      <w:r>
        <w:rPr>
          <w:rFonts w:ascii="宋体" w:hAnsi="宋体"/>
          <w:b/>
          <w:sz w:val="24"/>
          <w:szCs w:val="24"/>
        </w:rPr>
        <w:t>20</w:t>
      </w:r>
      <w:r>
        <w:rPr>
          <w:rFonts w:hint="eastAsia" w:ascii="宋体" w:hAnsi="宋体"/>
          <w:b/>
          <w:sz w:val="24"/>
          <w:szCs w:val="24"/>
        </w:rPr>
        <w:t>、投标文件的</w:t>
      </w:r>
      <w:r>
        <w:rPr>
          <w:rFonts w:hint="eastAsia" w:ascii="宋体" w:hAnsi="宋体"/>
          <w:b/>
          <w:sz w:val="24"/>
          <w:szCs w:val="24"/>
          <w:lang w:val="en-US" w:eastAsia="zh-CN"/>
        </w:rPr>
        <w:t>制作</w:t>
      </w:r>
    </w:p>
    <w:p w14:paraId="2B6C721D">
      <w:pPr>
        <w:adjustRightInd w:val="0"/>
        <w:snapToGrid w:val="0"/>
        <w:spacing w:line="460" w:lineRule="exact"/>
        <w:ind w:firstLine="442" w:firstLineChars="200"/>
        <w:outlineLvl w:val="0"/>
        <w:rPr>
          <w:rFonts w:ascii="宋体" w:hAnsi="宋体" w:cs="宋体"/>
          <w:snapToGrid w:val="0"/>
          <w:sz w:val="22"/>
          <w:szCs w:val="22"/>
        </w:rPr>
      </w:pPr>
      <w:bookmarkStart w:id="46" w:name="_Toc170980541"/>
      <w:bookmarkStart w:id="47" w:name="_Toc167591133"/>
      <w:bookmarkStart w:id="48" w:name="_Toc167849349"/>
      <w:bookmarkStart w:id="49" w:name="_Toc169838521"/>
      <w:bookmarkStart w:id="50" w:name="_Toc170980443"/>
      <w:bookmarkStart w:id="51" w:name="_Toc245658523"/>
      <w:bookmarkStart w:id="52" w:name="_Toc169846765"/>
      <w:bookmarkStart w:id="53" w:name="_Toc207897905"/>
      <w:bookmarkStart w:id="54" w:name="_Toc245176654"/>
      <w:bookmarkStart w:id="55" w:name="_Toc167591319"/>
      <w:bookmarkStart w:id="56" w:name="_Toc175032426"/>
      <w:bookmarkStart w:id="57" w:name="_Toc244623580"/>
      <w:bookmarkStart w:id="58" w:name="_Toc167591032"/>
      <w:bookmarkStart w:id="59" w:name="_Toc208337153"/>
      <w:bookmarkStart w:id="60" w:name="_Toc167591481"/>
      <w:bookmarkStart w:id="61" w:name="_Toc169846862"/>
      <w:bookmarkStart w:id="62" w:name="_Toc175033581"/>
      <w:bookmarkStart w:id="63" w:name="_Toc154482468"/>
      <w:bookmarkStart w:id="64" w:name="_Toc173549967"/>
      <w:bookmarkStart w:id="65" w:name="_Toc167590764"/>
      <w:bookmarkStart w:id="66" w:name="_Toc245657542"/>
      <w:bookmarkStart w:id="67" w:name="_Toc536429322"/>
      <w:bookmarkStart w:id="68" w:name="_Toc3565"/>
      <w:bookmarkStart w:id="69" w:name="_Toc536429375"/>
      <w:bookmarkStart w:id="70" w:name="_Toc536202305"/>
      <w:bookmarkStart w:id="71" w:name="_Toc536202382"/>
      <w:bookmarkStart w:id="72" w:name="_Toc4747"/>
      <w:bookmarkStart w:id="73" w:name="_Toc19543339"/>
      <w:bookmarkStart w:id="74" w:name="_Toc3736"/>
      <w:r>
        <w:rPr>
          <w:rFonts w:hint="eastAsia" w:ascii="宋体" w:hAnsi="宋体"/>
          <w:b/>
          <w:sz w:val="22"/>
          <w:szCs w:val="22"/>
          <w:u w:val="single"/>
          <w:lang w:val="en-US" w:eastAsia="zh-CN"/>
        </w:rPr>
        <w:t>注：</w:t>
      </w:r>
      <w:r>
        <w:rPr>
          <w:rFonts w:hint="eastAsia" w:ascii="宋体" w:hAnsi="宋体"/>
          <w:b/>
          <w:sz w:val="22"/>
          <w:szCs w:val="22"/>
          <w:u w:val="single"/>
        </w:rPr>
        <w:t>安康市公共资源交易平台全流程电子化政府采购项目内容（此项内容请着重阅读）</w:t>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79525C08">
      <w:pPr>
        <w:autoSpaceDE w:val="0"/>
        <w:autoSpaceDN w:val="0"/>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.1关于需要特别提醒供应商的内容</w:t>
      </w:r>
    </w:p>
    <w:p w14:paraId="66746F63">
      <w:pPr>
        <w:autoSpaceDE w:val="0"/>
        <w:autoSpaceDN w:val="0"/>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本项目采用电子化投标的方式投标(不见面开标方式)，供应商须使用数字认证证书对电子</w:t>
      </w:r>
      <w:r>
        <w:rPr>
          <w:rFonts w:hint="eastAsia" w:asciiTheme="minorEastAsia" w:hAnsiTheme="minorEastAsia" w:eastAsiaTheme="minorEastAsia" w:cstheme="minorEastAsia"/>
          <w:sz w:val="24"/>
          <w:szCs w:val="24"/>
          <w:lang w:eastAsia="zh-CN"/>
        </w:rPr>
        <w:t>投标文件</w:t>
      </w:r>
      <w:r>
        <w:rPr>
          <w:rFonts w:hint="eastAsia" w:asciiTheme="minorEastAsia" w:hAnsiTheme="minorEastAsia" w:eastAsiaTheme="minorEastAsia" w:cstheme="minorEastAsia"/>
          <w:sz w:val="24"/>
          <w:szCs w:val="24"/>
        </w:rPr>
        <w:t>进行签章、加密、递交及开标时解密等相关招投标事宜。开标时请务必携带数字认证证书，如因供应商自身原因未携带数字认证证书造成无法解密</w:t>
      </w:r>
      <w:r>
        <w:rPr>
          <w:rFonts w:hint="eastAsia" w:asciiTheme="minorEastAsia" w:hAnsiTheme="minorEastAsia" w:eastAsiaTheme="minorEastAsia" w:cstheme="minorEastAsia"/>
          <w:sz w:val="24"/>
          <w:szCs w:val="24"/>
          <w:lang w:eastAsia="zh-CN"/>
        </w:rPr>
        <w:t>投标文件</w:t>
      </w:r>
      <w:r>
        <w:rPr>
          <w:rFonts w:hint="eastAsia" w:asciiTheme="minorEastAsia" w:hAnsiTheme="minorEastAsia" w:eastAsiaTheme="minorEastAsia" w:cstheme="minorEastAsia"/>
          <w:sz w:val="24"/>
          <w:szCs w:val="24"/>
        </w:rPr>
        <w:t>，按无效投标对待。</w:t>
      </w:r>
    </w:p>
    <w:p w14:paraId="34EAB78B">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.2制作电子</w:t>
      </w:r>
      <w:r>
        <w:rPr>
          <w:rFonts w:hint="eastAsia" w:asciiTheme="minorEastAsia" w:hAnsiTheme="minorEastAsia" w:eastAsiaTheme="minorEastAsia" w:cstheme="minorEastAsia"/>
          <w:color w:val="000000"/>
          <w:sz w:val="24"/>
          <w:szCs w:val="24"/>
          <w:lang w:eastAsia="zh-CN"/>
        </w:rPr>
        <w:t>投标文件</w:t>
      </w:r>
    </w:p>
    <w:p w14:paraId="710291FC">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投标供应商须在“全国公共资源交易中心平台（陕西省）（http://www.sxggzyjy.cn/）”的“服务指南”栏目“下载专区”中，免费下载“陕西省公共资源交易平台政府采购电子标书制作工具(V</w:t>
      </w:r>
      <w:r>
        <w:rPr>
          <w:rFonts w:hint="eastAsia" w:asciiTheme="minorEastAsia" w:hAnsiTheme="minorEastAsia" w:eastAsiaTheme="minorEastAsia" w:cstheme="minorEastAsia"/>
          <w:color w:val="000000"/>
          <w:sz w:val="24"/>
          <w:szCs w:val="24"/>
          <w:lang w:eastAsia="zh-CN"/>
        </w:rPr>
        <w:t>8.0.1.06</w:t>
      </w:r>
      <w:r>
        <w:rPr>
          <w:rFonts w:hint="eastAsia" w:asciiTheme="minorEastAsia" w:hAnsiTheme="minorEastAsia" w:eastAsiaTheme="minorEastAsia" w:cstheme="minorEastAsia"/>
          <w:color w:val="000000"/>
          <w:sz w:val="24"/>
          <w:szCs w:val="24"/>
        </w:rPr>
        <w:t>)”，并下载新驱动，更新新的编标工具。使用该客户端制作电子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，制作扩展名为“.SXSTF”的电子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w:t>
      </w:r>
    </w:p>
    <w:p w14:paraId="1BCE45E7">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.3关于</w:t>
      </w:r>
      <w:r>
        <w:rPr>
          <w:rFonts w:hint="eastAsia" w:asciiTheme="minorEastAsia" w:hAnsiTheme="minorEastAsia" w:eastAsiaTheme="minorEastAsia" w:cstheme="minorEastAsia"/>
          <w:color w:val="000000"/>
          <w:sz w:val="24"/>
          <w:szCs w:val="24"/>
          <w:lang w:val="en-US" w:eastAsia="zh-CN"/>
        </w:rPr>
        <w:t>投标</w:t>
      </w:r>
    </w:p>
    <w:p w14:paraId="6074C2C0">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.3.1</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rPr>
        <w:t>须知：使用捆绑省交易平台的CA锁登录电子交易平台，通过政府采购系统企业端进入，点击我要投标，完善相关投标信息；</w:t>
      </w:r>
    </w:p>
    <w:p w14:paraId="40317682">
      <w:pPr>
        <w:autoSpaceDE w:val="0"/>
        <w:autoSpaceDN w:val="0"/>
        <w:spacing w:line="440" w:lineRule="exact"/>
        <w:ind w:firstLine="480" w:firstLineChars="200"/>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.3.2投标单位须在</w:t>
      </w:r>
      <w:r>
        <w:rPr>
          <w:rFonts w:hint="eastAsia" w:asciiTheme="minorEastAsia" w:hAnsiTheme="minorEastAsia" w:eastAsiaTheme="minorEastAsia" w:cstheme="minorEastAsia"/>
          <w:sz w:val="24"/>
          <w:szCs w:val="24"/>
          <w:lang w:eastAsia="zh-CN"/>
        </w:rPr>
        <w:t>招标文件</w:t>
      </w:r>
      <w:r>
        <w:rPr>
          <w:rFonts w:hint="eastAsia" w:asciiTheme="minorEastAsia" w:hAnsiTheme="minorEastAsia" w:eastAsiaTheme="minorEastAsia" w:cstheme="minorEastAsia"/>
          <w:sz w:val="24"/>
          <w:szCs w:val="24"/>
        </w:rPr>
        <w:t>获取时间内将网上报名成功回执单、单位介绍信、委托人身份证复印件加盖原色公章(扫描为一个PDF文档）发送至采购代理机构邮箱</w:t>
      </w:r>
      <w:r>
        <w:rPr>
          <w:rFonts w:hint="eastAsia" w:asciiTheme="minorEastAsia" w:hAnsiTheme="minorEastAsia" w:eastAsiaTheme="minorEastAsia" w:cstheme="minorEastAsia"/>
          <w:sz w:val="24"/>
          <w:szCs w:val="24"/>
          <w:lang w:val="en-US" w:eastAsia="zh-CN"/>
        </w:rPr>
        <w:t>529559291</w:t>
      </w:r>
      <w:r>
        <w:rPr>
          <w:rFonts w:hint="eastAsia" w:asciiTheme="minorEastAsia" w:hAnsiTheme="minorEastAsia" w:eastAsiaTheme="minorEastAsia" w:cstheme="minorEastAsia"/>
          <w:sz w:val="24"/>
          <w:szCs w:val="24"/>
        </w:rPr>
        <w:t>@qq.com</w:t>
      </w:r>
      <w:r>
        <w:rPr>
          <w:rFonts w:hint="eastAsia" w:asciiTheme="minorEastAsia" w:hAnsiTheme="minorEastAsia" w:eastAsiaTheme="minorEastAsia" w:cstheme="minorEastAsia"/>
          <w:sz w:val="24"/>
          <w:szCs w:val="24"/>
          <w:lang w:eastAsia="zh-CN"/>
        </w:rPr>
        <w:t>。</w:t>
      </w:r>
    </w:p>
    <w:p w14:paraId="15F2682F">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.3.3</w:t>
      </w:r>
      <w:r>
        <w:rPr>
          <w:rFonts w:hint="eastAsia" w:asciiTheme="minorEastAsia" w:hAnsiTheme="minorEastAsia" w:eastAsiaTheme="minorEastAsia" w:cstheme="minorEastAsia"/>
          <w:color w:val="000000"/>
          <w:sz w:val="24"/>
          <w:szCs w:val="24"/>
        </w:rPr>
        <w:t>本项目采用电子化投标及不见面开标系统，相关操作流程详见全国公共资源交易平台（陕西省）网站[服务指南-下载专区]中的《陕西省公共资源交易中心政府采购项目投标指南》；</w:t>
      </w:r>
    </w:p>
    <w:p w14:paraId="2DED74A7">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电子</w:t>
      </w:r>
      <w:r>
        <w:rPr>
          <w:rFonts w:hint="eastAsia" w:asciiTheme="minorEastAsia" w:hAnsiTheme="minorEastAsia" w:eastAsiaTheme="minorEastAsia" w:cstheme="minorEastAsia"/>
          <w:color w:val="000000"/>
          <w:sz w:val="24"/>
          <w:szCs w:val="24"/>
          <w:lang w:val="en-US" w:eastAsia="zh-CN"/>
        </w:rPr>
        <w:t>招标</w:t>
      </w:r>
      <w:r>
        <w:rPr>
          <w:rFonts w:hint="eastAsia" w:asciiTheme="minorEastAsia" w:hAnsiTheme="minorEastAsia" w:eastAsiaTheme="minorEastAsia" w:cstheme="minorEastAsia"/>
          <w:color w:val="000000"/>
          <w:sz w:val="24"/>
          <w:szCs w:val="24"/>
        </w:rPr>
        <w:t>文件技术支持：4009280095、4009980000。</w:t>
      </w:r>
    </w:p>
    <w:p w14:paraId="2E300D07">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.4关于文件的制作和签名</w:t>
      </w:r>
    </w:p>
    <w:p w14:paraId="2016E200">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编制电子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时，应使用最新发布的电子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及专用制作工具进行编制。并使用数字认证证书（CA）对电子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进行签署、加密、递交及开标时解密等相关操作。</w:t>
      </w:r>
    </w:p>
    <w:p w14:paraId="6DA46D94">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.4.1电子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下载</w:t>
      </w:r>
    </w:p>
    <w:p w14:paraId="2106FB88">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供应商登录全国公共资源交易平台（陕西省）网站[电子交易平台-企业端]后，在[我的项目]中点击“项目流程-交易文件下载”下载电子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（*.SXSZF）;</w:t>
      </w:r>
    </w:p>
    <w:p w14:paraId="57037AFA">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注意：该项目如有变更文件，则应点击“项目流程&gt;答疑文件下载”下载更新后的电子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（*.SXSCF），使用旧版电子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制作的电子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，系统将拒绝接收。</w:t>
      </w:r>
    </w:p>
    <w:p w14:paraId="7DD18569">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.4.2电子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需要使用专用软件打开</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浏览</w:t>
      </w:r>
    </w:p>
    <w:p w14:paraId="050942FD">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供应商登录全国公共资源交易平台（陕西省）网站[服务指南-下载专区]免费下载《陕西省公共资源交易平台政府采购电子标书制作工具(V8.0.0.2)下载网址：</w:t>
      </w:r>
    </w:p>
    <w:p w14:paraId="0B893A04">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http://www.sxggzyjy.cn/fwzn/004003/20180827/c8c8fb15-a7cc-4011-a244-806289d7cf3b.html，下载新驱动，使用该客户端可以打开电子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。软件操作手册详见全国公共资源交易平台（陕西省）网站[服务指南-下载专区]中的《陕西省公共资源交易（政府采购类）</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制作软件操作手册》,下载网址：</w:t>
      </w:r>
    </w:p>
    <w:p w14:paraId="6E0567C9">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http://www.sxggzyjy.cn/fwzn/004003/20170821/c3afa05b-f5e6-4e64-9fb0-e397ef73413d.html；</w:t>
      </w:r>
    </w:p>
    <w:p w14:paraId="39A049DB">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.4.3制作电子</w:t>
      </w:r>
      <w:r>
        <w:rPr>
          <w:rFonts w:hint="eastAsia" w:asciiTheme="minorEastAsia" w:hAnsiTheme="minorEastAsia" w:eastAsiaTheme="minorEastAsia" w:cstheme="minorEastAsia"/>
          <w:color w:val="000000"/>
          <w:sz w:val="24"/>
          <w:szCs w:val="24"/>
          <w:lang w:eastAsia="zh-CN"/>
        </w:rPr>
        <w:t>投标文件</w:t>
      </w:r>
    </w:p>
    <w:p w14:paraId="2A50D464">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同样需要使用上述软件，下载新驱动，更新新的编标工具进行编制。在编制过程中，如有技术性问题，请先翻阅操作手册或致电软件开发商，技术支持热线：4009280095、4009980000。</w:t>
      </w:r>
    </w:p>
    <w:p w14:paraId="673AE683">
      <w:pPr>
        <w:pStyle w:val="3"/>
        <w:spacing w:before="0" w:after="0" w:line="480" w:lineRule="exact"/>
        <w:jc w:val="center"/>
        <w:rPr>
          <w:rFonts w:hint="eastAsia"/>
        </w:rPr>
      </w:pPr>
    </w:p>
    <w:p w14:paraId="5C8556E8">
      <w:pPr>
        <w:rPr>
          <w:rFonts w:hint="eastAsia"/>
        </w:rPr>
      </w:pPr>
    </w:p>
    <w:p w14:paraId="3A46FFEE">
      <w:pPr>
        <w:pStyle w:val="3"/>
        <w:spacing w:before="0" w:after="0" w:line="480" w:lineRule="exact"/>
        <w:jc w:val="center"/>
        <w:rPr>
          <w:rFonts w:hint="eastAsia" w:ascii="宋体" w:hAnsi="宋体" w:eastAsia="宋体"/>
          <w:b/>
          <w:sz w:val="24"/>
          <w:szCs w:val="24"/>
          <w:lang w:val="en-US" w:eastAsia="zh-CN"/>
        </w:rPr>
      </w:pPr>
      <w:r>
        <w:rPr>
          <w:rFonts w:hint="eastAsia"/>
        </w:rPr>
        <w:t>四、响应文件的递交</w:t>
      </w:r>
      <w:bookmarkEnd w:id="67"/>
      <w:bookmarkEnd w:id="68"/>
      <w:bookmarkEnd w:id="69"/>
      <w:bookmarkEnd w:id="70"/>
      <w:bookmarkEnd w:id="71"/>
      <w:bookmarkEnd w:id="72"/>
      <w:bookmarkEnd w:id="73"/>
      <w:r>
        <w:rPr>
          <w:rFonts w:hint="eastAsia"/>
          <w:lang w:val="en-US" w:eastAsia="zh-CN"/>
        </w:rPr>
        <w:t>与</w:t>
      </w:r>
      <w:r>
        <w:rPr>
          <w:rFonts w:hint="eastAsia"/>
        </w:rPr>
        <w:t>开启</w:t>
      </w:r>
      <w:bookmarkEnd w:id="74"/>
    </w:p>
    <w:p w14:paraId="0D11DC52">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lang w:val="en-US" w:eastAsia="zh-CN"/>
        </w:rPr>
        <w:t>21、投标</w:t>
      </w:r>
      <w:r>
        <w:rPr>
          <w:rFonts w:hint="eastAsia" w:ascii="宋体" w:hAnsi="宋体" w:eastAsia="宋体"/>
          <w:b/>
          <w:sz w:val="24"/>
          <w:szCs w:val="24"/>
        </w:rPr>
        <w:t>文件递交</w:t>
      </w:r>
    </w:p>
    <w:p w14:paraId="7C6FA5B5">
      <w:pPr>
        <w:autoSpaceDE w:val="0"/>
        <w:autoSpaceDN w:val="0"/>
        <w:spacing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21.1文件递交</w:t>
      </w:r>
    </w:p>
    <w:p w14:paraId="7C2826B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w:t>
      </w:r>
      <w:r>
        <w:rPr>
          <w:rFonts w:hint="eastAsia" w:ascii="宋体" w:hAnsi="宋体" w:eastAsia="宋体" w:cs="宋体"/>
          <w:sz w:val="24"/>
          <w:szCs w:val="24"/>
          <w:lang w:eastAsia="zh-CN"/>
        </w:rPr>
        <w:t>投标文件</w:t>
      </w:r>
      <w:r>
        <w:rPr>
          <w:rFonts w:hint="eastAsia" w:ascii="宋体" w:hAnsi="宋体" w:eastAsia="宋体" w:cs="宋体"/>
          <w:sz w:val="24"/>
          <w:szCs w:val="24"/>
        </w:rPr>
        <w:t>可于提交</w:t>
      </w:r>
      <w:r>
        <w:rPr>
          <w:rFonts w:hint="eastAsia" w:ascii="宋体" w:hAnsi="宋体" w:eastAsia="宋体" w:cs="宋体"/>
          <w:sz w:val="24"/>
          <w:szCs w:val="24"/>
          <w:lang w:eastAsia="zh-CN"/>
        </w:rPr>
        <w:t>投标文件</w:t>
      </w:r>
      <w:r>
        <w:rPr>
          <w:rFonts w:hint="eastAsia" w:ascii="宋体" w:hAnsi="宋体" w:eastAsia="宋体" w:cs="宋体"/>
          <w:sz w:val="24"/>
          <w:szCs w:val="24"/>
        </w:rPr>
        <w:t>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w:t>
      </w:r>
      <w:r>
        <w:rPr>
          <w:rFonts w:hint="eastAsia" w:ascii="宋体" w:hAnsi="宋体" w:eastAsia="宋体" w:cs="宋体"/>
          <w:sz w:val="24"/>
          <w:szCs w:val="24"/>
          <w:lang w:eastAsia="zh-CN"/>
        </w:rPr>
        <w:t>投标文件</w:t>
      </w:r>
      <w:r>
        <w:rPr>
          <w:rFonts w:hint="eastAsia" w:ascii="宋体" w:hAnsi="宋体" w:eastAsia="宋体" w:cs="宋体"/>
          <w:sz w:val="24"/>
          <w:szCs w:val="24"/>
        </w:rPr>
        <w:t>（*.SXSTF），上传成功后，电子化平台将予以记录。</w:t>
      </w:r>
    </w:p>
    <w:p w14:paraId="0086092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21.2文件开启与解密</w:t>
      </w:r>
    </w:p>
    <w:p w14:paraId="2D3636C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时，供应商须携带使用电子投标响应文件加密时所用的数字认证证书（CA主锁）在全国公共资源交易平台（陕西省.安康市）自行解密电子投标响应文件（系统默认解密时长为60分钟），供应商需在解密时间规定内完成标书解密。所有供应商解密完成后由开标人员将响应文件导入开评标系统。</w:t>
      </w:r>
    </w:p>
    <w:p w14:paraId="07C1C7E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.3在开标环节出现下列情况之一的，其电子</w:t>
      </w:r>
      <w:r>
        <w:rPr>
          <w:rFonts w:hint="eastAsia" w:ascii="宋体" w:hAnsi="宋体" w:eastAsia="宋体" w:cs="宋体"/>
          <w:sz w:val="24"/>
          <w:szCs w:val="24"/>
          <w:lang w:eastAsia="zh-CN"/>
        </w:rPr>
        <w:t>投标文件</w:t>
      </w:r>
      <w:r>
        <w:rPr>
          <w:rFonts w:hint="eastAsia" w:ascii="宋体" w:hAnsi="宋体" w:eastAsia="宋体" w:cs="宋体"/>
          <w:sz w:val="24"/>
          <w:szCs w:val="24"/>
        </w:rPr>
        <w:t>视为无效文件：</w:t>
      </w:r>
    </w:p>
    <w:p w14:paraId="7DF1F55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（1）供应商拒绝对电子</w:t>
      </w:r>
      <w:r>
        <w:rPr>
          <w:rFonts w:hint="eastAsia" w:ascii="宋体" w:hAnsi="宋体" w:eastAsia="宋体" w:cs="宋体"/>
          <w:sz w:val="24"/>
          <w:szCs w:val="24"/>
          <w:lang w:eastAsia="zh-CN"/>
        </w:rPr>
        <w:t>投标文件</w:t>
      </w:r>
      <w:r>
        <w:rPr>
          <w:rFonts w:hint="eastAsia" w:ascii="宋体" w:hAnsi="宋体" w:eastAsia="宋体" w:cs="宋体"/>
          <w:sz w:val="24"/>
          <w:szCs w:val="24"/>
        </w:rPr>
        <w:t>进行解密的；</w:t>
      </w:r>
    </w:p>
    <w:p w14:paraId="1DA0E1A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（2）因供应商自身原因导致在规定时间内无法解密</w:t>
      </w:r>
      <w:r>
        <w:rPr>
          <w:rFonts w:hint="eastAsia" w:ascii="宋体" w:hAnsi="宋体" w:eastAsia="宋体" w:cs="宋体"/>
          <w:sz w:val="24"/>
          <w:szCs w:val="24"/>
          <w:lang w:eastAsia="zh-CN"/>
        </w:rPr>
        <w:t>投标文件</w:t>
      </w:r>
      <w:r>
        <w:rPr>
          <w:rFonts w:hint="eastAsia" w:ascii="宋体" w:hAnsi="宋体" w:eastAsia="宋体" w:cs="宋体"/>
          <w:sz w:val="24"/>
          <w:szCs w:val="24"/>
        </w:rPr>
        <w:t>的；</w:t>
      </w:r>
    </w:p>
    <w:p w14:paraId="4C18963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（3）上传的电子</w:t>
      </w:r>
      <w:r>
        <w:rPr>
          <w:rFonts w:hint="eastAsia" w:ascii="宋体" w:hAnsi="宋体" w:eastAsia="宋体" w:cs="宋体"/>
          <w:sz w:val="24"/>
          <w:szCs w:val="24"/>
          <w:lang w:eastAsia="zh-CN"/>
        </w:rPr>
        <w:t>投标文件</w:t>
      </w:r>
      <w:r>
        <w:rPr>
          <w:rFonts w:hint="eastAsia" w:ascii="宋体" w:hAnsi="宋体" w:eastAsia="宋体" w:cs="宋体"/>
          <w:sz w:val="24"/>
          <w:szCs w:val="24"/>
        </w:rPr>
        <w:t>无法打开的；</w:t>
      </w:r>
    </w:p>
    <w:p w14:paraId="00B4608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（4）政府采购法律法规规定的其他无效情形。</w:t>
      </w:r>
    </w:p>
    <w:p w14:paraId="7E77269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.4 关于不见面开标系统</w:t>
      </w:r>
    </w:p>
    <w:p w14:paraId="56C36EC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（1）采购代理机构组织不见面开标、评审工作，开标整个过程接受监督部门的监督。</w:t>
      </w:r>
    </w:p>
    <w:p w14:paraId="06B8E31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（2）采购代理机构在规定的时间和地点组织远程不见面开标，投标人无须委派代表出席开标现场。</w:t>
      </w:r>
    </w:p>
    <w:p w14:paraId="4B6A938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不见面开标系统：打开页面网址（http://219.145.206.209/BidOpeningHall/bidopeninghallaction/hall/login）选择点击右上角“登录”，在左侧选择“投标人”身份，插入 CA 锁登录，输入密码后，点击“登录”，投标人登录之后可以看到当前投标人今日开标项目：1、选择要开标的项目，点击进入，页面首先阅读开标流程，点击“我已阅读” 进入开标大厅，点击“取消”返回项目列表页面。</w:t>
      </w:r>
    </w:p>
    <w:p w14:paraId="7D3F5E4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（4）开标签到：投标人等待开标时需要签到，等候开标。请在开标前完成签到，开标时间到了之后就不能签到；点击页面上“签到”按钮进行签到，开标前 60 分钟可以签到。签到成功之后，按钮灰化，无需再次签到，同时第一个座位图右下角出现绿色√。</w:t>
      </w:r>
    </w:p>
    <w:p w14:paraId="44BD184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（5）开标时，供应商须使用电子</w:t>
      </w:r>
      <w:r>
        <w:rPr>
          <w:rFonts w:hint="eastAsia" w:ascii="宋体" w:hAnsi="宋体" w:eastAsia="宋体" w:cs="宋体"/>
          <w:sz w:val="24"/>
          <w:szCs w:val="24"/>
          <w:lang w:eastAsia="zh-CN"/>
        </w:rPr>
        <w:t>投标文件</w:t>
      </w:r>
      <w:r>
        <w:rPr>
          <w:rFonts w:hint="eastAsia" w:ascii="宋体" w:hAnsi="宋体" w:eastAsia="宋体" w:cs="宋体"/>
          <w:sz w:val="24"/>
          <w:szCs w:val="24"/>
        </w:rPr>
        <w:t>加密时所用的数字认证证书（CA 锁）在自备电脑上自行远程解密电子文件，系统默认解密时长为 60 分钟（如在规定时间内未解密文件，视为无效文件），供应商需在解密时间规定内完成文件解密。所有供应商解密完成后由工作人员将响应文件导入开评标系统。</w:t>
      </w:r>
    </w:p>
    <w:p w14:paraId="2E6330D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05794B2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w:t>
      </w:r>
    </w:p>
    <w:p w14:paraId="349507C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sz w:val="22"/>
          <w:szCs w:val="22"/>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"https://download.bqpoint.com/download/downloaddetail.html?SourceFrom=Down&amp;amp;SoftGuid=55aa4e06-c384-4005-bcb9-48932d410fd4%E9%94%9B%E5%A4%88%E2%82%AC%3F"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https://download.bqpoint.com/download/downloaddetail.html?SourceFrom=Down&amp;</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SoftGuid=55aa4e06-c384-4005-bcb9-48932d410fd4）。</w:t>
      </w:r>
    </w:p>
    <w:p w14:paraId="25F9527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）建议投标人在开标前半小时登录不见面开标大厅，并及时签到（开标前 60 分钟即可签到），遇到问题及时联系客服 4009280095。及时关注右侧公告及互动栏目信息。</w:t>
      </w:r>
    </w:p>
    <w:p w14:paraId="6EBBC59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lang w:eastAsia="zh-CN"/>
        </w:rPr>
        <w:t>.5特殊情形下的应急处置</w:t>
      </w:r>
    </w:p>
    <w:p w14:paraId="76EBD8D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开标、评审过程中，如因停电、断网、电子化系统故障等特殊原因导致电子化开、评标无法正常进行时，代理机构应及时与公共资源交易中心工作人员联系，故障在2小时内可修复的，可延续电子开标评标流程；2小时内无法修复的，由采购人根据《安康市公共资源交易平台电子化交易应急处置管理办法（试行）》的通知选择处理方法。</w:t>
      </w:r>
    </w:p>
    <w:p w14:paraId="1988B13A">
      <w:pPr>
        <w:pStyle w:val="15"/>
        <w:rPr>
          <w:lang w:val="en-US" w:bidi="ar-SA"/>
        </w:rPr>
      </w:pPr>
    </w:p>
    <w:bookmarkEnd w:id="45"/>
    <w:p w14:paraId="25ABE291">
      <w:pPr>
        <w:pStyle w:val="3"/>
        <w:spacing w:before="0" w:after="0" w:line="415" w:lineRule="auto"/>
        <w:jc w:val="center"/>
      </w:pPr>
      <w:bookmarkStart w:id="75" w:name="_Toc23258609"/>
      <w:bookmarkStart w:id="76" w:name="_Toc26541326"/>
      <w:r>
        <w:rPr>
          <w:rFonts w:hint="eastAsia"/>
        </w:rPr>
        <w:t>五、开标、评标、定标</w:t>
      </w:r>
      <w:bookmarkEnd w:id="75"/>
      <w:bookmarkEnd w:id="76"/>
    </w:p>
    <w:p w14:paraId="06DB2D75">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23</w:t>
      </w:r>
      <w:r>
        <w:rPr>
          <w:rFonts w:hint="eastAsia" w:ascii="宋体" w:hAnsi="宋体"/>
          <w:b/>
          <w:sz w:val="24"/>
          <w:szCs w:val="24"/>
        </w:rPr>
        <w:t>、开标</w:t>
      </w:r>
    </w:p>
    <w:p w14:paraId="73C51957">
      <w:pPr>
        <w:overflowPunct w:val="0"/>
        <w:adjustRightInd w:val="0"/>
        <w:snapToGrid w:val="0"/>
        <w:spacing w:line="360" w:lineRule="auto"/>
        <w:ind w:firstLine="480" w:firstLineChars="200"/>
        <w:rPr>
          <w:rFonts w:ascii="宋体" w:hAnsi="宋体"/>
          <w:sz w:val="24"/>
          <w:szCs w:val="24"/>
        </w:rPr>
      </w:pPr>
      <w:bookmarkStart w:id="77" w:name="_Toc311415599"/>
      <w:r>
        <w:rPr>
          <w:rFonts w:ascii="宋体" w:hAnsi="宋体"/>
          <w:sz w:val="24"/>
          <w:szCs w:val="24"/>
        </w:rPr>
        <w:t>23.1采购代理机构在</w:t>
      </w:r>
      <w:r>
        <w:rPr>
          <w:rFonts w:hint="eastAsia" w:ascii="宋体" w:hAnsi="宋体"/>
          <w:sz w:val="24"/>
          <w:szCs w:val="24"/>
        </w:rPr>
        <w:t>招标文件</w:t>
      </w:r>
      <w:r>
        <w:rPr>
          <w:rFonts w:ascii="宋体" w:hAnsi="宋体"/>
          <w:sz w:val="24"/>
          <w:szCs w:val="24"/>
        </w:rPr>
        <w:t>规定的时间和地点组织公开开标。</w:t>
      </w:r>
    </w:p>
    <w:p w14:paraId="1F788EC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23.2</w:t>
      </w:r>
      <w:r>
        <w:rPr>
          <w:rFonts w:hint="eastAsia" w:ascii="宋体" w:hAnsi="宋体"/>
          <w:sz w:val="24"/>
          <w:szCs w:val="24"/>
        </w:rPr>
        <w:t>开标仪式由采购代理机构主持，采购人代表及有关人员参加。</w:t>
      </w:r>
    </w:p>
    <w:p w14:paraId="0524DB06">
      <w:pPr>
        <w:overflowPunct w:val="0"/>
        <w:adjustRightInd w:val="0"/>
        <w:snapToGrid w:val="0"/>
        <w:spacing w:line="360" w:lineRule="auto"/>
        <w:ind w:firstLine="480" w:firstLineChars="200"/>
        <w:rPr>
          <w:rFonts w:hint="default" w:ascii="宋体" w:hAnsi="宋体" w:eastAsia="宋体"/>
          <w:sz w:val="24"/>
          <w:szCs w:val="24"/>
          <w:lang w:val="en-US" w:eastAsia="zh-CN"/>
        </w:rPr>
      </w:pPr>
      <w:r>
        <w:rPr>
          <w:rFonts w:ascii="宋体" w:hAnsi="宋体"/>
          <w:sz w:val="24"/>
          <w:szCs w:val="24"/>
        </w:rPr>
        <w:t>23.3</w:t>
      </w:r>
      <w:r>
        <w:rPr>
          <w:rFonts w:hint="eastAsia" w:ascii="宋体" w:hAnsi="宋体"/>
          <w:sz w:val="24"/>
          <w:szCs w:val="24"/>
        </w:rPr>
        <w:t>投标人应派法定代表人或者授权代表</w:t>
      </w:r>
      <w:r>
        <w:rPr>
          <w:rFonts w:hint="eastAsia" w:ascii="宋体" w:hAnsi="宋体"/>
          <w:sz w:val="24"/>
          <w:szCs w:val="24"/>
          <w:lang w:val="en-US" w:eastAsia="zh-CN"/>
        </w:rPr>
        <w:t>在远程不见面系统上进行签到、解密。</w:t>
      </w:r>
    </w:p>
    <w:p w14:paraId="7B05881C">
      <w:pPr>
        <w:spacing w:line="440" w:lineRule="exact"/>
        <w:ind w:firstLine="480" w:firstLineChars="200"/>
        <w:rPr>
          <w:rFonts w:ascii="宋体" w:hAnsi="宋体" w:cs="宋体"/>
          <w:bCs/>
          <w:color w:val="000000"/>
          <w:sz w:val="24"/>
          <w:szCs w:val="24"/>
        </w:rPr>
      </w:pPr>
      <w:r>
        <w:rPr>
          <w:rFonts w:ascii="宋体" w:hAnsi="宋体"/>
          <w:sz w:val="24"/>
          <w:szCs w:val="24"/>
        </w:rPr>
        <w:t>23.5</w:t>
      </w:r>
      <w:r>
        <w:rPr>
          <w:rFonts w:hint="eastAsia" w:ascii="宋体" w:hAnsi="宋体"/>
          <w:sz w:val="24"/>
          <w:szCs w:val="24"/>
        </w:rPr>
        <w:t>经确认无误后，宣读投标人名称、投标报价和投标文件的其它主要内容</w:t>
      </w:r>
      <w:r>
        <w:rPr>
          <w:rFonts w:hint="eastAsia" w:ascii="宋体" w:hAnsi="宋体" w:cs="宋体"/>
          <w:bCs/>
          <w:color w:val="000000"/>
          <w:sz w:val="24"/>
          <w:szCs w:val="24"/>
        </w:rPr>
        <w:t>。</w:t>
      </w:r>
    </w:p>
    <w:p w14:paraId="53B6B9AF">
      <w:pPr>
        <w:spacing w:line="440" w:lineRule="exact"/>
        <w:ind w:firstLine="480" w:firstLineChars="200"/>
        <w:rPr>
          <w:rFonts w:ascii="宋体" w:hAnsi="宋体"/>
          <w:sz w:val="24"/>
          <w:szCs w:val="24"/>
        </w:rPr>
      </w:pPr>
      <w:r>
        <w:rPr>
          <w:rFonts w:hint="eastAsia" w:ascii="宋体" w:hAnsi="宋体"/>
          <w:sz w:val="24"/>
          <w:szCs w:val="24"/>
        </w:rPr>
        <w:t>23.</w:t>
      </w:r>
      <w:r>
        <w:rPr>
          <w:rFonts w:hint="eastAsia" w:ascii="宋体" w:hAnsi="宋体"/>
          <w:sz w:val="24"/>
          <w:szCs w:val="24"/>
          <w:lang w:val="en-US" w:eastAsia="zh-CN"/>
        </w:rPr>
        <w:t>6</w:t>
      </w:r>
      <w:r>
        <w:rPr>
          <w:rFonts w:hint="eastAsia" w:ascii="宋体" w:hAnsi="宋体"/>
          <w:sz w:val="24"/>
          <w:szCs w:val="24"/>
        </w:rPr>
        <w:t>由采购人查验投标人必备资格文件，未通过审查的按</w:t>
      </w:r>
      <w:r>
        <w:rPr>
          <w:rFonts w:hint="eastAsia" w:ascii="宋体" w:hAnsi="宋体"/>
          <w:sz w:val="24"/>
          <w:szCs w:val="24"/>
          <w:lang w:val="en-US" w:eastAsia="zh-CN"/>
        </w:rPr>
        <w:t>无效文件</w:t>
      </w:r>
      <w:r>
        <w:rPr>
          <w:rFonts w:hint="eastAsia" w:ascii="宋体" w:hAnsi="宋体"/>
          <w:sz w:val="24"/>
          <w:szCs w:val="24"/>
        </w:rPr>
        <w:t>处理。</w:t>
      </w:r>
    </w:p>
    <w:p w14:paraId="72D6D767">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3.</w:t>
      </w:r>
      <w:r>
        <w:rPr>
          <w:rFonts w:hint="eastAsia" w:ascii="宋体" w:hAnsi="宋体" w:cs="宋体"/>
          <w:color w:val="000000"/>
          <w:sz w:val="24"/>
          <w:szCs w:val="24"/>
          <w:lang w:val="en-US" w:eastAsia="zh-CN"/>
        </w:rPr>
        <w:t>7</w:t>
      </w:r>
      <w:r>
        <w:rPr>
          <w:rFonts w:hint="eastAsia" w:ascii="宋体" w:hAnsi="宋体" w:cs="宋体"/>
          <w:color w:val="000000"/>
          <w:sz w:val="24"/>
          <w:szCs w:val="24"/>
        </w:rPr>
        <w:t>采购代理机构对开标过程进行摄像、文字记录，并存档备查。</w:t>
      </w:r>
    </w:p>
    <w:p w14:paraId="50D476EB">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24</w:t>
      </w:r>
      <w:r>
        <w:rPr>
          <w:rFonts w:hint="eastAsia" w:ascii="宋体" w:hAnsi="宋体"/>
          <w:b/>
          <w:sz w:val="24"/>
          <w:szCs w:val="24"/>
        </w:rPr>
        <w:t>、采购人或采购代理机构</w:t>
      </w:r>
    </w:p>
    <w:p w14:paraId="0111B2A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24.1核对评审专家身份和采购人代表授权函，对评审专家在政府采购活动中的职责履行情况予以记录，并及时将有关违法违规行为向财政部门报告；</w:t>
      </w:r>
    </w:p>
    <w:p w14:paraId="2B07047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24.2宣布评标纪律；</w:t>
      </w:r>
    </w:p>
    <w:p w14:paraId="6016FD3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3</w:t>
      </w:r>
      <w:r>
        <w:rPr>
          <w:rFonts w:ascii="宋体" w:hAnsi="宋体"/>
          <w:sz w:val="24"/>
          <w:szCs w:val="24"/>
        </w:rPr>
        <w:t>公布投标人名单，告知评审专家应当回避的情形；</w:t>
      </w:r>
    </w:p>
    <w:p w14:paraId="1DD74D7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.4</w:t>
      </w:r>
      <w:r>
        <w:rPr>
          <w:rFonts w:ascii="宋体" w:hAnsi="宋体"/>
          <w:sz w:val="24"/>
          <w:szCs w:val="24"/>
        </w:rPr>
        <w:t>组织评标委员会推选评标组长，采购人代表不得担任组长；</w:t>
      </w:r>
    </w:p>
    <w:p w14:paraId="06F082D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.5</w:t>
      </w:r>
      <w:r>
        <w:rPr>
          <w:rFonts w:ascii="宋体" w:hAnsi="宋体"/>
          <w:sz w:val="24"/>
          <w:szCs w:val="24"/>
        </w:rPr>
        <w:t>根据评标委员会的要求介绍政府采购相关政策法规、招标文件</w:t>
      </w:r>
      <w:r>
        <w:rPr>
          <w:rFonts w:hint="eastAsia" w:ascii="宋体" w:hAnsi="宋体"/>
          <w:sz w:val="24"/>
          <w:szCs w:val="24"/>
        </w:rPr>
        <w:t>；</w:t>
      </w:r>
    </w:p>
    <w:p w14:paraId="37A53C1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.6依法对投标人的资格进行审查；</w:t>
      </w:r>
    </w:p>
    <w:p w14:paraId="4CB5BE8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.7依法维</w:t>
      </w:r>
      <w:r>
        <w:rPr>
          <w:rFonts w:ascii="宋体" w:hAnsi="宋体"/>
          <w:sz w:val="24"/>
          <w:szCs w:val="24"/>
        </w:rPr>
        <w:t>护评标秩序，监督评标委员会依照招标文件规定的评标程序、方法和标准进行独立评审，及时制止和纠正采购人代表、评审专家的倾向性言论或者违法违规行为；</w:t>
      </w:r>
    </w:p>
    <w:p w14:paraId="30B95AF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.8核</w:t>
      </w:r>
      <w:r>
        <w:rPr>
          <w:rFonts w:ascii="宋体" w:hAnsi="宋体"/>
          <w:sz w:val="24"/>
          <w:szCs w:val="24"/>
        </w:rPr>
        <w:t>对评标结果</w:t>
      </w:r>
      <w:r>
        <w:rPr>
          <w:rFonts w:hint="eastAsia" w:ascii="宋体" w:hAnsi="宋体"/>
          <w:sz w:val="24"/>
          <w:szCs w:val="24"/>
        </w:rPr>
        <w:t>，</w:t>
      </w:r>
      <w:r>
        <w:rPr>
          <w:rFonts w:ascii="宋体" w:hAnsi="宋体"/>
          <w:sz w:val="24"/>
          <w:szCs w:val="24"/>
        </w:rPr>
        <w:t>有分值汇总计算错误的</w:t>
      </w:r>
      <w:r>
        <w:rPr>
          <w:rFonts w:hint="eastAsia" w:ascii="宋体" w:hAnsi="宋体"/>
          <w:sz w:val="24"/>
          <w:szCs w:val="24"/>
        </w:rPr>
        <w:t>、</w:t>
      </w:r>
      <w:r>
        <w:rPr>
          <w:rFonts w:ascii="宋体" w:hAnsi="宋体"/>
          <w:sz w:val="24"/>
          <w:szCs w:val="24"/>
        </w:rPr>
        <w:t>分项评分超出评分标准范围的</w:t>
      </w:r>
      <w:r>
        <w:rPr>
          <w:rFonts w:hint="eastAsia" w:ascii="宋体" w:hAnsi="宋体"/>
          <w:sz w:val="24"/>
          <w:szCs w:val="24"/>
        </w:rPr>
        <w:t>、</w:t>
      </w:r>
      <w:r>
        <w:rPr>
          <w:rFonts w:ascii="宋体" w:hAnsi="宋体"/>
          <w:sz w:val="24"/>
          <w:szCs w:val="24"/>
        </w:rPr>
        <w:t>评标委员会成员对客观评审因素评分不一致的</w:t>
      </w:r>
      <w:r>
        <w:rPr>
          <w:rFonts w:hint="eastAsia" w:ascii="宋体" w:hAnsi="宋体"/>
          <w:sz w:val="24"/>
          <w:szCs w:val="24"/>
        </w:rPr>
        <w:t>、</w:t>
      </w:r>
      <w:r>
        <w:rPr>
          <w:rFonts w:ascii="宋体" w:hAnsi="宋体"/>
          <w:sz w:val="24"/>
          <w:szCs w:val="24"/>
        </w:rPr>
        <w:t>经评标委员会认定评分畸高、畸低的</w:t>
      </w:r>
      <w:r>
        <w:rPr>
          <w:rFonts w:hint="eastAsia" w:ascii="宋体" w:hAnsi="宋体"/>
          <w:sz w:val="24"/>
          <w:szCs w:val="24"/>
        </w:rPr>
        <w:t>，</w:t>
      </w:r>
      <w:r>
        <w:rPr>
          <w:rFonts w:ascii="宋体" w:hAnsi="宋体"/>
          <w:sz w:val="24"/>
          <w:szCs w:val="24"/>
        </w:rPr>
        <w:t>要求评标委员会复核或者书面说明理由</w:t>
      </w:r>
      <w:r>
        <w:rPr>
          <w:rFonts w:hint="eastAsia" w:ascii="宋体" w:hAnsi="宋体"/>
          <w:sz w:val="24"/>
          <w:szCs w:val="24"/>
        </w:rPr>
        <w:t>。</w:t>
      </w:r>
      <w:r>
        <w:rPr>
          <w:rFonts w:ascii="宋体" w:hAnsi="宋体"/>
          <w:sz w:val="24"/>
          <w:szCs w:val="24"/>
        </w:rPr>
        <w:t>评标委员会拒绝的，应予记录并向本级财政部门报告；</w:t>
      </w:r>
    </w:p>
    <w:p w14:paraId="03A7D4D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.9</w:t>
      </w:r>
      <w:r>
        <w:rPr>
          <w:rFonts w:ascii="宋体" w:hAnsi="宋体"/>
          <w:sz w:val="24"/>
          <w:szCs w:val="24"/>
        </w:rPr>
        <w:t>与评标有关的其他事项</w:t>
      </w:r>
      <w:r>
        <w:rPr>
          <w:rFonts w:hint="eastAsia" w:ascii="宋体" w:hAnsi="宋体"/>
          <w:sz w:val="24"/>
          <w:szCs w:val="24"/>
        </w:rPr>
        <w:t>。</w:t>
      </w:r>
    </w:p>
    <w:p w14:paraId="07BC1FD7">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25</w:t>
      </w:r>
      <w:r>
        <w:rPr>
          <w:rFonts w:hint="eastAsia" w:ascii="宋体" w:hAnsi="宋体"/>
          <w:b/>
          <w:sz w:val="24"/>
          <w:szCs w:val="24"/>
        </w:rPr>
        <w:t>、评标委员会</w:t>
      </w:r>
      <w:bookmarkEnd w:id="77"/>
    </w:p>
    <w:p w14:paraId="3F99AF0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.1 采购人将根据本次招标项目的特点，参照《中华人民共和国政府采购法》等有关规定组建评标委员会；</w:t>
      </w:r>
    </w:p>
    <w:p w14:paraId="0521699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.2 评标委员会成员由采购人及评审专家组成，负责评标活动。专家人选在专家库中随机抽取，</w:t>
      </w:r>
      <w:r>
        <w:rPr>
          <w:rFonts w:ascii="宋体" w:hAnsi="宋体"/>
          <w:sz w:val="24"/>
          <w:szCs w:val="24"/>
        </w:rPr>
        <w:t>其中评审专家不得少于成员总数的三分之二</w:t>
      </w:r>
      <w:r>
        <w:rPr>
          <w:rFonts w:hint="eastAsia" w:ascii="宋体" w:hAnsi="宋体"/>
          <w:sz w:val="24"/>
          <w:szCs w:val="24"/>
        </w:rPr>
        <w:t>；</w:t>
      </w:r>
    </w:p>
    <w:p w14:paraId="6DCBC7C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.3评审专家从省级以上财政部门设立的政府采购评审专家库中，通过随机方式抽取评审专家；</w:t>
      </w:r>
    </w:p>
    <w:p w14:paraId="0531884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.4 评标委员会成员对各投标人投标文件进行</w:t>
      </w:r>
      <w:r>
        <w:rPr>
          <w:rFonts w:ascii="宋体" w:hAnsi="宋体"/>
          <w:sz w:val="24"/>
          <w:szCs w:val="24"/>
        </w:rPr>
        <w:t>审查、评价投标文件是否符合招标文件的商务、技术等实质性要求；</w:t>
      </w:r>
    </w:p>
    <w:p w14:paraId="27CD3FC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.5</w:t>
      </w:r>
      <w:r>
        <w:rPr>
          <w:rFonts w:ascii="宋体" w:hAnsi="宋体"/>
          <w:sz w:val="24"/>
          <w:szCs w:val="24"/>
        </w:rPr>
        <w:t>要求投标人对投标文件有关事项作出澄清或者说明；</w:t>
      </w:r>
    </w:p>
    <w:p w14:paraId="776231C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.6</w:t>
      </w:r>
      <w:r>
        <w:rPr>
          <w:rFonts w:ascii="宋体" w:hAnsi="宋体"/>
          <w:sz w:val="24"/>
          <w:szCs w:val="24"/>
        </w:rPr>
        <w:t>对投标文件进行比较和评价；</w:t>
      </w:r>
    </w:p>
    <w:p w14:paraId="7A4C07C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.7</w:t>
      </w:r>
      <w:r>
        <w:rPr>
          <w:rFonts w:ascii="宋体" w:hAnsi="宋体"/>
          <w:sz w:val="24"/>
          <w:szCs w:val="24"/>
        </w:rPr>
        <w:t>确定中标候选人名单，</w:t>
      </w:r>
      <w:r>
        <w:rPr>
          <w:rFonts w:hint="eastAsia" w:ascii="宋体" w:hAnsi="宋体"/>
          <w:sz w:val="24"/>
          <w:szCs w:val="24"/>
        </w:rPr>
        <w:t>或</w:t>
      </w:r>
      <w:r>
        <w:rPr>
          <w:rFonts w:ascii="宋体" w:hAnsi="宋体"/>
          <w:sz w:val="24"/>
          <w:szCs w:val="24"/>
        </w:rPr>
        <w:t>根据采购人委托直接确定中标人；</w:t>
      </w:r>
    </w:p>
    <w:p w14:paraId="77E1BA4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.8</w:t>
      </w:r>
      <w:r>
        <w:rPr>
          <w:rFonts w:ascii="宋体" w:hAnsi="宋体"/>
          <w:sz w:val="24"/>
          <w:szCs w:val="24"/>
        </w:rPr>
        <w:t>向采购人、采购代理机构或者有关部门报告评标中发现的违法行为</w:t>
      </w:r>
      <w:r>
        <w:rPr>
          <w:rFonts w:hint="eastAsia" w:ascii="宋体" w:hAnsi="宋体"/>
          <w:sz w:val="24"/>
          <w:szCs w:val="24"/>
        </w:rPr>
        <w:t>（如果有）；</w:t>
      </w:r>
    </w:p>
    <w:p w14:paraId="03152BA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.9评标委员会有权对整个招标过程中出现的一切问题，根据《中华人民共和国政府采购法》和《政府采购货物和服务招标管理办法》的规定，本着公开、公平、公正的原则，进行处理。</w:t>
      </w:r>
    </w:p>
    <w:p w14:paraId="4B2A52F7">
      <w:pPr>
        <w:overflowPunct w:val="0"/>
        <w:adjustRightInd w:val="0"/>
        <w:snapToGrid w:val="0"/>
        <w:spacing w:line="360" w:lineRule="auto"/>
        <w:ind w:firstLine="482" w:firstLineChars="200"/>
        <w:rPr>
          <w:rFonts w:ascii="宋体" w:hAnsi="宋体"/>
          <w:sz w:val="24"/>
          <w:szCs w:val="24"/>
        </w:rPr>
      </w:pPr>
      <w:bookmarkStart w:id="78" w:name="_Toc311415601"/>
      <w:bookmarkStart w:id="79" w:name="_Toc311415600"/>
      <w:r>
        <w:rPr>
          <w:rFonts w:ascii="宋体" w:hAnsi="宋体"/>
          <w:b/>
          <w:sz w:val="24"/>
          <w:szCs w:val="24"/>
        </w:rPr>
        <w:t>26</w:t>
      </w:r>
      <w:r>
        <w:rPr>
          <w:rFonts w:hint="eastAsia" w:ascii="宋体" w:hAnsi="宋体"/>
          <w:b/>
          <w:sz w:val="24"/>
          <w:szCs w:val="24"/>
        </w:rPr>
        <w:t>、投标文件的初审</w:t>
      </w:r>
      <w:bookmarkEnd w:id="78"/>
    </w:p>
    <w:p w14:paraId="1BF4C0A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.1投标文件的资格性审查：依据法律法规和招标文件的规定，对投标人按照招标文件中投标人须知前附表第十</w:t>
      </w:r>
      <w:r>
        <w:rPr>
          <w:rFonts w:hint="eastAsia" w:ascii="宋体" w:hAnsi="宋体"/>
          <w:sz w:val="24"/>
          <w:szCs w:val="24"/>
          <w:lang w:val="en-US" w:eastAsia="zh-CN"/>
        </w:rPr>
        <w:t>一</w:t>
      </w:r>
      <w:r>
        <w:rPr>
          <w:rFonts w:hint="eastAsia" w:ascii="宋体" w:hAnsi="宋体"/>
          <w:sz w:val="24"/>
          <w:szCs w:val="24"/>
        </w:rPr>
        <w:t>条要求进行资格审查，以确保投标人是否具备相应的投标资格，任意一条不符合要求的，按无效投标处理。</w:t>
      </w:r>
    </w:p>
    <w:p w14:paraId="00190C4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sz w:val="24"/>
          <w:szCs w:val="24"/>
          <w:lang w:val="zh-CN"/>
        </w:rPr>
        <w:t>，</w:t>
      </w:r>
      <w:r>
        <w:rPr>
          <w:rFonts w:ascii="宋体" w:hAnsi="宋体"/>
          <w:sz w:val="24"/>
          <w:szCs w:val="24"/>
        </w:rPr>
        <w:t>应包含以下内容：</w:t>
      </w:r>
    </w:p>
    <w:tbl>
      <w:tblPr>
        <w:tblStyle w:val="4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61"/>
        <w:gridCol w:w="3765"/>
        <w:gridCol w:w="1005"/>
        <w:gridCol w:w="1495"/>
      </w:tblGrid>
      <w:tr w14:paraId="15F8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240AB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36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F9FB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4A20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7767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C185F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5117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206BD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1</w:t>
            </w:r>
          </w:p>
        </w:tc>
        <w:tc>
          <w:tcPr>
            <w:tcW w:w="2361" w:type="dxa"/>
            <w:tcBorders>
              <w:top w:val="single" w:color="auto" w:sz="4" w:space="0"/>
              <w:left w:val="single" w:color="auto" w:sz="4" w:space="0"/>
              <w:bottom w:val="single" w:color="auto" w:sz="4" w:space="0"/>
              <w:right w:val="single" w:color="auto" w:sz="4" w:space="0"/>
            </w:tcBorders>
            <w:vAlign w:val="top"/>
          </w:tcPr>
          <w:p w14:paraId="4701C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投标文件封面、投标函、法定代表人委托授权书三处的项目名称、项目编号、标段</w:t>
            </w:r>
          </w:p>
        </w:tc>
        <w:tc>
          <w:tcPr>
            <w:tcW w:w="3765" w:type="dxa"/>
            <w:tcBorders>
              <w:top w:val="single" w:color="auto" w:sz="4" w:space="0"/>
              <w:left w:val="single" w:color="auto" w:sz="4" w:space="0"/>
              <w:bottom w:val="single" w:color="auto" w:sz="4" w:space="0"/>
              <w:right w:val="single" w:color="auto" w:sz="4" w:space="0"/>
            </w:tcBorders>
            <w:vAlign w:val="center"/>
          </w:tcPr>
          <w:p w14:paraId="2977A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5" w:type="dxa"/>
            <w:tcBorders>
              <w:top w:val="single" w:color="auto" w:sz="4" w:space="0"/>
              <w:left w:val="single" w:color="auto" w:sz="4" w:space="0"/>
              <w:bottom w:val="single" w:color="auto" w:sz="4" w:space="0"/>
              <w:right w:val="single" w:color="auto" w:sz="4" w:space="0"/>
            </w:tcBorders>
            <w:vAlign w:val="top"/>
          </w:tcPr>
          <w:p w14:paraId="00FA5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496D9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0B2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3614C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2</w:t>
            </w:r>
          </w:p>
        </w:tc>
        <w:tc>
          <w:tcPr>
            <w:tcW w:w="2361" w:type="dxa"/>
            <w:tcBorders>
              <w:top w:val="single" w:color="auto" w:sz="4" w:space="0"/>
              <w:left w:val="single" w:color="auto" w:sz="4" w:space="0"/>
              <w:bottom w:val="single" w:color="auto" w:sz="4" w:space="0"/>
              <w:right w:val="single" w:color="auto" w:sz="4" w:space="0"/>
            </w:tcBorders>
            <w:vAlign w:val="center"/>
          </w:tcPr>
          <w:p w14:paraId="7C313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投标文件签署、盖章</w:t>
            </w:r>
          </w:p>
        </w:tc>
        <w:tc>
          <w:tcPr>
            <w:tcW w:w="3765" w:type="dxa"/>
            <w:tcBorders>
              <w:top w:val="single" w:color="auto" w:sz="4" w:space="0"/>
              <w:left w:val="single" w:color="auto" w:sz="4" w:space="0"/>
              <w:bottom w:val="single" w:color="auto" w:sz="4" w:space="0"/>
              <w:right w:val="single" w:color="auto" w:sz="4" w:space="0"/>
            </w:tcBorders>
            <w:vAlign w:val="top"/>
          </w:tcPr>
          <w:p w14:paraId="6F1E1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均按招标文件要求签字、盖章。</w:t>
            </w:r>
          </w:p>
          <w:p w14:paraId="3A012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vAlign w:val="top"/>
          </w:tcPr>
          <w:p w14:paraId="6A1F2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635EF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83E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3C0D2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3</w:t>
            </w:r>
          </w:p>
        </w:tc>
        <w:tc>
          <w:tcPr>
            <w:tcW w:w="2361" w:type="dxa"/>
            <w:tcBorders>
              <w:top w:val="single" w:color="auto" w:sz="4" w:space="0"/>
              <w:left w:val="single" w:color="auto" w:sz="4" w:space="0"/>
              <w:bottom w:val="single" w:color="auto" w:sz="4" w:space="0"/>
              <w:right w:val="single" w:color="auto" w:sz="4" w:space="0"/>
            </w:tcBorders>
            <w:vAlign w:val="center"/>
          </w:tcPr>
          <w:p w14:paraId="3101E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eastAsia="宋体" w:cs="宋体"/>
                <w:bCs/>
                <w:color w:val="auto"/>
                <w:kern w:val="0"/>
                <w:sz w:val="24"/>
                <w:szCs w:val="24"/>
                <w:highlight w:val="none"/>
              </w:rPr>
              <w:t>投标文件组成</w:t>
            </w:r>
          </w:p>
        </w:tc>
        <w:tc>
          <w:tcPr>
            <w:tcW w:w="3765" w:type="dxa"/>
            <w:tcBorders>
              <w:top w:val="single" w:color="auto" w:sz="4" w:space="0"/>
              <w:left w:val="single" w:color="auto" w:sz="4" w:space="0"/>
              <w:bottom w:val="single" w:color="auto" w:sz="4" w:space="0"/>
              <w:right w:val="single" w:color="auto" w:sz="4" w:space="0"/>
            </w:tcBorders>
            <w:vAlign w:val="top"/>
          </w:tcPr>
          <w:p w14:paraId="5DC5C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投标文件应包含以下内容：</w:t>
            </w:r>
          </w:p>
          <w:p w14:paraId="5F1D5CFB">
            <w:pPr>
              <w:pStyle w:val="27"/>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一、投标函</w:t>
            </w:r>
          </w:p>
          <w:p w14:paraId="34620749">
            <w:pPr>
              <w:pStyle w:val="27"/>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二、投标</w:t>
            </w:r>
            <w:r>
              <w:rPr>
                <w:rFonts w:hint="eastAsia" w:ascii="宋体" w:hAnsi="宋体" w:eastAsia="宋体" w:cs="宋体"/>
                <w:b w:val="0"/>
                <w:bCs w:val="0"/>
                <w:color w:val="auto"/>
                <w:kern w:val="0"/>
                <w:sz w:val="24"/>
                <w:szCs w:val="24"/>
                <w:highlight w:val="none"/>
                <w:lang w:val="en-US" w:eastAsia="zh-CN"/>
              </w:rPr>
              <w:t>一览</w:t>
            </w:r>
            <w:r>
              <w:rPr>
                <w:rFonts w:hint="eastAsia" w:ascii="宋体" w:hAnsi="宋体" w:eastAsia="宋体" w:cs="宋体"/>
                <w:b w:val="0"/>
                <w:bCs w:val="0"/>
                <w:color w:val="auto"/>
                <w:kern w:val="0"/>
                <w:sz w:val="24"/>
                <w:szCs w:val="24"/>
                <w:highlight w:val="none"/>
              </w:rPr>
              <w:t>表</w:t>
            </w:r>
          </w:p>
          <w:p w14:paraId="19032F42">
            <w:pPr>
              <w:pStyle w:val="27"/>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三 、资格证明文件</w:t>
            </w:r>
          </w:p>
          <w:p w14:paraId="09D51541">
            <w:pPr>
              <w:pStyle w:val="27"/>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四、技术商务偏离表</w:t>
            </w:r>
          </w:p>
          <w:p w14:paraId="1F1A44A6">
            <w:pPr>
              <w:pStyle w:val="27"/>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五、投标方案</w:t>
            </w:r>
          </w:p>
          <w:p w14:paraId="6E48E511">
            <w:pPr>
              <w:pStyle w:val="27"/>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bCs/>
                <w:color w:val="auto"/>
                <w:kern w:val="0"/>
                <w:sz w:val="24"/>
                <w:szCs w:val="24"/>
                <w:highlight w:val="red"/>
              </w:rPr>
            </w:pPr>
            <w:r>
              <w:rPr>
                <w:rFonts w:hint="eastAsia" w:ascii="宋体" w:hAnsi="宋体" w:eastAsia="宋体" w:cs="宋体"/>
                <w:b w:val="0"/>
                <w:bCs w:val="0"/>
                <w:color w:val="auto"/>
                <w:kern w:val="0"/>
                <w:sz w:val="24"/>
                <w:szCs w:val="24"/>
                <w:highlight w:val="none"/>
                <w:lang w:val="en-US" w:eastAsia="zh-CN"/>
              </w:rPr>
              <w:t>六</w:t>
            </w:r>
            <w:r>
              <w:rPr>
                <w:rFonts w:hint="eastAsia" w:ascii="宋体" w:hAnsi="宋体" w:eastAsia="宋体" w:cs="宋体"/>
                <w:b w:val="0"/>
                <w:bCs w:val="0"/>
                <w:color w:val="auto"/>
                <w:kern w:val="0"/>
                <w:sz w:val="24"/>
                <w:szCs w:val="24"/>
                <w:highlight w:val="none"/>
              </w:rPr>
              <w:t>、采购服务机构拒绝政府采购领域商业贿赂承诺书</w:t>
            </w:r>
          </w:p>
        </w:tc>
        <w:tc>
          <w:tcPr>
            <w:tcW w:w="1005" w:type="dxa"/>
            <w:tcBorders>
              <w:top w:val="single" w:color="auto" w:sz="4" w:space="0"/>
              <w:left w:val="single" w:color="auto" w:sz="4" w:space="0"/>
              <w:bottom w:val="single" w:color="auto" w:sz="4" w:space="0"/>
              <w:right w:val="single" w:color="auto" w:sz="4" w:space="0"/>
            </w:tcBorders>
            <w:vAlign w:val="top"/>
          </w:tcPr>
          <w:p w14:paraId="10477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2D827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806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1DCC0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4</w:t>
            </w:r>
          </w:p>
        </w:tc>
        <w:tc>
          <w:tcPr>
            <w:tcW w:w="2361" w:type="dxa"/>
            <w:tcBorders>
              <w:top w:val="single" w:color="auto" w:sz="4" w:space="0"/>
              <w:left w:val="single" w:color="auto" w:sz="4" w:space="0"/>
              <w:bottom w:val="single" w:color="auto" w:sz="4" w:space="0"/>
              <w:right w:val="single" w:color="auto" w:sz="4" w:space="0"/>
            </w:tcBorders>
            <w:vAlign w:val="center"/>
          </w:tcPr>
          <w:p w14:paraId="7EE73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0A05D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36646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158A1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55D3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5DBF8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5</w:t>
            </w:r>
          </w:p>
        </w:tc>
        <w:tc>
          <w:tcPr>
            <w:tcW w:w="2361" w:type="dxa"/>
            <w:tcBorders>
              <w:top w:val="single" w:color="auto" w:sz="4" w:space="0"/>
              <w:left w:val="single" w:color="auto" w:sz="4" w:space="0"/>
              <w:bottom w:val="single" w:color="auto" w:sz="4" w:space="0"/>
              <w:right w:val="single" w:color="auto" w:sz="4" w:space="0"/>
            </w:tcBorders>
            <w:vAlign w:val="center"/>
          </w:tcPr>
          <w:p w14:paraId="0F002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投标报价</w:t>
            </w:r>
          </w:p>
        </w:tc>
        <w:tc>
          <w:tcPr>
            <w:tcW w:w="3765" w:type="dxa"/>
            <w:tcBorders>
              <w:top w:val="single" w:color="auto" w:sz="4" w:space="0"/>
              <w:left w:val="single" w:color="auto" w:sz="4" w:space="0"/>
              <w:bottom w:val="single" w:color="auto" w:sz="4" w:space="0"/>
              <w:right w:val="single" w:color="auto" w:sz="4" w:space="0"/>
            </w:tcBorders>
            <w:vAlign w:val="top"/>
          </w:tcPr>
          <w:p w14:paraId="6158D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（1）投标报价符合唯一性要求：</w:t>
            </w:r>
          </w:p>
          <w:p w14:paraId="3382D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112A4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vAlign w:val="top"/>
          </w:tcPr>
          <w:p w14:paraId="53832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0A507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6BF1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6CED0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6</w:t>
            </w:r>
          </w:p>
        </w:tc>
        <w:tc>
          <w:tcPr>
            <w:tcW w:w="2361" w:type="dxa"/>
            <w:tcBorders>
              <w:top w:val="single" w:color="auto" w:sz="4" w:space="0"/>
              <w:left w:val="single" w:color="auto" w:sz="4" w:space="0"/>
              <w:bottom w:val="single" w:color="auto" w:sz="4" w:space="0"/>
              <w:right w:val="single" w:color="auto" w:sz="4" w:space="0"/>
            </w:tcBorders>
            <w:vAlign w:val="center"/>
          </w:tcPr>
          <w:p w14:paraId="51AE1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3A3BE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vAlign w:val="top"/>
          </w:tcPr>
          <w:p w14:paraId="7C28B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4CD69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057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3FF59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361" w:type="dxa"/>
            <w:tcBorders>
              <w:top w:val="single" w:color="auto" w:sz="4" w:space="0"/>
              <w:left w:val="single" w:color="auto" w:sz="4" w:space="0"/>
              <w:bottom w:val="single" w:color="auto" w:sz="4" w:space="0"/>
              <w:right w:val="single" w:color="auto" w:sz="4" w:space="0"/>
            </w:tcBorders>
            <w:vAlign w:val="center"/>
          </w:tcPr>
          <w:p w14:paraId="305D8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65" w:type="dxa"/>
            <w:tcBorders>
              <w:top w:val="single" w:color="auto" w:sz="4" w:space="0"/>
              <w:left w:val="single" w:color="auto" w:sz="4" w:space="0"/>
              <w:bottom w:val="single" w:color="auto" w:sz="4" w:space="0"/>
              <w:right w:val="single" w:color="auto" w:sz="4" w:space="0"/>
            </w:tcBorders>
            <w:vAlign w:val="center"/>
          </w:tcPr>
          <w:p w14:paraId="0CD30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完整响应招标文件合同主要条款。</w:t>
            </w:r>
          </w:p>
        </w:tc>
        <w:tc>
          <w:tcPr>
            <w:tcW w:w="1005" w:type="dxa"/>
            <w:tcBorders>
              <w:top w:val="single" w:color="auto" w:sz="4" w:space="0"/>
              <w:left w:val="single" w:color="auto" w:sz="4" w:space="0"/>
              <w:bottom w:val="single" w:color="auto" w:sz="4" w:space="0"/>
              <w:right w:val="single" w:color="auto" w:sz="4" w:space="0"/>
            </w:tcBorders>
            <w:vAlign w:val="top"/>
          </w:tcPr>
          <w:p w14:paraId="1B684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017F9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97C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1FDBE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评标小组</w:t>
            </w:r>
            <w:r>
              <w:rPr>
                <w:rFonts w:hint="eastAsia" w:ascii="宋体" w:hAnsi="宋体" w:eastAsia="宋体" w:cs="宋体"/>
                <w:b/>
                <w:bCs/>
                <w:color w:val="auto"/>
                <w:kern w:val="0"/>
                <w:sz w:val="24"/>
                <w:szCs w:val="24"/>
                <w:highlight w:val="none"/>
              </w:rPr>
              <w:t>成员：（签字或盖章）</w:t>
            </w:r>
          </w:p>
        </w:tc>
      </w:tr>
    </w:tbl>
    <w:p w14:paraId="54188FF9">
      <w:pPr>
        <w:keepNext w:val="0"/>
        <w:keepLines w:val="0"/>
        <w:pageBreakBefore w:val="0"/>
        <w:widowControl w:val="0"/>
        <w:kinsoku/>
        <w:wordWrap/>
        <w:overflowPunct/>
        <w:topLinePunct w:val="0"/>
        <w:autoSpaceDE/>
        <w:autoSpaceDN/>
        <w:bidi w:val="0"/>
        <w:adjustRightInd/>
        <w:snapToGrid/>
        <w:spacing w:line="360" w:lineRule="auto"/>
        <w:ind w:firstLine="646"/>
        <w:textAlignment w:val="auto"/>
        <w:rPr>
          <w:rFonts w:hint="eastAsia" w:ascii="宋体" w:hAnsi="宋体"/>
          <w:sz w:val="24"/>
          <w:szCs w:val="24"/>
        </w:rPr>
      </w:pPr>
      <w:r>
        <w:rPr>
          <w:rFonts w:hint="eastAsia" w:ascii="宋体" w:hAnsi="宋体"/>
          <w:sz w:val="24"/>
          <w:szCs w:val="24"/>
          <w:lang w:val="en-US" w:eastAsia="zh-CN"/>
        </w:rPr>
        <w:t>26.2.1</w:t>
      </w:r>
      <w:r>
        <w:rPr>
          <w:rFonts w:hint="eastAsia" w:ascii="宋体" w:hAnsi="宋体"/>
          <w:sz w:val="24"/>
          <w:szCs w:val="24"/>
        </w:rPr>
        <w:t>通过对投标人及投标文件的符合性审查，出现下列情况者，按无效标处理：</w:t>
      </w:r>
    </w:p>
    <w:p w14:paraId="03FA2171">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）投标文件的</w:t>
      </w:r>
      <w:r>
        <w:rPr>
          <w:rFonts w:hint="eastAsia" w:ascii="宋体" w:hAnsi="宋体"/>
          <w:sz w:val="24"/>
          <w:szCs w:val="24"/>
        </w:rPr>
        <w:t>组成</w:t>
      </w:r>
      <w:r>
        <w:rPr>
          <w:rFonts w:ascii="宋体" w:hAnsi="宋体"/>
          <w:sz w:val="24"/>
          <w:szCs w:val="24"/>
        </w:rPr>
        <w:t>缺少其中一项或某项达不到招标文件要求的；</w:t>
      </w:r>
    </w:p>
    <w:p w14:paraId="7D53D96A">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（2）投标人没有经过正常渠道</w:t>
      </w:r>
      <w:r>
        <w:rPr>
          <w:rFonts w:hint="eastAsia" w:ascii="宋体" w:hAnsi="宋体"/>
          <w:sz w:val="24"/>
          <w:szCs w:val="24"/>
          <w:lang w:val="en-US" w:eastAsia="zh-CN"/>
        </w:rPr>
        <w:t>获取</w:t>
      </w:r>
      <w:r>
        <w:rPr>
          <w:rFonts w:hint="eastAsia" w:ascii="宋体" w:hAnsi="宋体"/>
          <w:sz w:val="24"/>
          <w:szCs w:val="24"/>
        </w:rPr>
        <w:t>标书或投标人的名称与登记</w:t>
      </w:r>
      <w:r>
        <w:rPr>
          <w:rFonts w:hint="eastAsia" w:ascii="宋体" w:hAnsi="宋体"/>
          <w:sz w:val="24"/>
          <w:szCs w:val="24"/>
          <w:lang w:val="en-US" w:eastAsia="zh-CN"/>
        </w:rPr>
        <w:t>下载</w:t>
      </w:r>
      <w:r>
        <w:rPr>
          <w:rFonts w:hint="eastAsia" w:ascii="宋体" w:hAnsi="宋体"/>
          <w:sz w:val="24"/>
          <w:szCs w:val="24"/>
        </w:rPr>
        <w:t>招标文件单位的名称不符的；</w:t>
      </w:r>
    </w:p>
    <w:p w14:paraId="5BBD1EFF">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投标人投标报价超出采购预算金额或者最高限价的</w:t>
      </w:r>
      <w:r>
        <w:rPr>
          <w:rFonts w:ascii="宋体" w:hAnsi="宋体"/>
          <w:sz w:val="24"/>
          <w:szCs w:val="24"/>
        </w:rPr>
        <w:t>；</w:t>
      </w:r>
    </w:p>
    <w:p w14:paraId="5E55FB22">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）投标文件未按招标文件要求签署、盖章的；</w:t>
      </w:r>
    </w:p>
    <w:p w14:paraId="4E73BA50">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rPr>
        <w:t>投标有效期不足的；</w:t>
      </w:r>
    </w:p>
    <w:p w14:paraId="3137AFA3">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rPr>
        <w:t>投标内容出现漏项或数量与要求不符的，出现重大负偏离；</w:t>
      </w:r>
    </w:p>
    <w:p w14:paraId="130EA78A">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7</w:t>
      </w:r>
      <w:r>
        <w:rPr>
          <w:rFonts w:ascii="宋体" w:hAnsi="宋体"/>
          <w:sz w:val="24"/>
          <w:szCs w:val="24"/>
        </w:rPr>
        <w:t>）</w:t>
      </w:r>
      <w:r>
        <w:rPr>
          <w:rFonts w:hint="eastAsia" w:ascii="宋体" w:hAnsi="宋体"/>
          <w:sz w:val="24"/>
          <w:szCs w:val="24"/>
        </w:rPr>
        <w:t>规定不接受选择方案和选择报价（包括交叉折扣）的，投标人提供了选择方案和/或选择报价的（包括交叉折扣）；</w:t>
      </w:r>
    </w:p>
    <w:p w14:paraId="7E7D4EF9">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投标人的报价明显低于其他通过符合性审查投标人的报价，有可能影响服务质量或不能诚信履约的，应当要求其在评标现场合理的时间内提供书面说明，必要时提交相关证明材料；投标人不能证明其报价合理性的；</w:t>
      </w:r>
    </w:p>
    <w:p w14:paraId="57E4669C">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）提供虚假证明，开具虚假资质，出现虚假应答，除按无效标处理外，还进行相应的处罚；</w:t>
      </w:r>
    </w:p>
    <w:p w14:paraId="08F84D3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）投标人串通投标的；</w:t>
      </w:r>
    </w:p>
    <w:p w14:paraId="401D9B43">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11</w:t>
      </w:r>
      <w:r>
        <w:rPr>
          <w:rFonts w:hint="eastAsia" w:ascii="宋体" w:hAnsi="宋体"/>
          <w:sz w:val="24"/>
          <w:szCs w:val="24"/>
        </w:rPr>
        <w:t>）投标人有违法违规行为的；</w:t>
      </w:r>
    </w:p>
    <w:p w14:paraId="4BF892E7">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12</w:t>
      </w:r>
      <w:r>
        <w:rPr>
          <w:rFonts w:hint="eastAsia" w:ascii="宋体" w:hAnsi="宋体"/>
          <w:sz w:val="24"/>
          <w:szCs w:val="24"/>
        </w:rPr>
        <w:t>）投标文件含有采购人不能接受的附加条件的；</w:t>
      </w:r>
    </w:p>
    <w:p w14:paraId="4BB7FD94">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13</w:t>
      </w:r>
      <w:r>
        <w:rPr>
          <w:rFonts w:hint="eastAsia" w:ascii="宋体" w:hAnsi="宋体"/>
          <w:sz w:val="24"/>
          <w:szCs w:val="24"/>
        </w:rPr>
        <w:t>）投标文件不符合招标文件其他要求的；</w:t>
      </w:r>
    </w:p>
    <w:p w14:paraId="42BDFD95">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14</w:t>
      </w:r>
      <w:r>
        <w:rPr>
          <w:rFonts w:hint="eastAsia" w:ascii="宋体" w:hAnsi="宋体"/>
          <w:sz w:val="24"/>
          <w:szCs w:val="24"/>
        </w:rPr>
        <w:t>）其他法律法规规定的</w:t>
      </w:r>
      <w:r>
        <w:rPr>
          <w:rFonts w:hint="eastAsia" w:ascii="宋体" w:hAnsi="宋体"/>
          <w:sz w:val="24"/>
          <w:szCs w:val="24"/>
          <w:lang w:val="en-US" w:eastAsia="zh-CN"/>
        </w:rPr>
        <w:t>无效标</w:t>
      </w:r>
      <w:r>
        <w:rPr>
          <w:rFonts w:hint="eastAsia" w:ascii="宋体" w:hAnsi="宋体"/>
          <w:sz w:val="24"/>
          <w:szCs w:val="24"/>
        </w:rPr>
        <w:t>情况。</w:t>
      </w:r>
    </w:p>
    <w:p w14:paraId="0312DDD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26.2.</w:t>
      </w:r>
      <w:r>
        <w:rPr>
          <w:rFonts w:hint="eastAsia" w:ascii="宋体" w:hAnsi="宋体"/>
          <w:sz w:val="24"/>
          <w:szCs w:val="24"/>
          <w:lang w:val="en-US" w:eastAsia="zh-CN"/>
        </w:rPr>
        <w:t>2</w:t>
      </w:r>
      <w:r>
        <w:rPr>
          <w:rFonts w:hint="eastAsia" w:ascii="宋体" w:hAnsi="宋体"/>
          <w:sz w:val="24"/>
          <w:szCs w:val="24"/>
        </w:rPr>
        <w:t>开标时，响应文件中出现下列情况，修正原则为：</w:t>
      </w:r>
    </w:p>
    <w:p w14:paraId="6224C2D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（1）投标文件中投标报价表内容与投标文件中明细内容不一致的，以投标报价表为准；</w:t>
      </w:r>
    </w:p>
    <w:p w14:paraId="44EA8671">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（2）大写金额和小写金额不一致的，以大写金额为准；</w:t>
      </w:r>
    </w:p>
    <w:p w14:paraId="02D35E5C">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（3）单价金额小数点或者百分比有明显错位的，以投标报价表的总价为准，并修改单价；</w:t>
      </w:r>
    </w:p>
    <w:p w14:paraId="4F872BFD">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（4）总价金额与按单价汇总金额不一致的，以单价金额计算结果为准； </w:t>
      </w:r>
    </w:p>
    <w:p w14:paraId="5F24C0FE">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（5）投标文件正本与副本不一致的，以正本为准；</w:t>
      </w:r>
    </w:p>
    <w:p w14:paraId="0FCB5702">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（6）多处内容交叉不符时，以评标小组评审结果为准；</w:t>
      </w:r>
    </w:p>
    <w:p w14:paraId="4C997A3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（7）文字与图表不符的，以文字为准。</w:t>
      </w:r>
    </w:p>
    <w:p w14:paraId="2B4AD81F">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69903804">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27</w:t>
      </w:r>
      <w:r>
        <w:rPr>
          <w:rFonts w:hint="eastAsia" w:ascii="宋体" w:hAnsi="宋体"/>
          <w:b/>
          <w:sz w:val="24"/>
          <w:szCs w:val="24"/>
        </w:rPr>
        <w:t>、投标文件的澄清</w:t>
      </w:r>
      <w:bookmarkEnd w:id="79"/>
    </w:p>
    <w:p w14:paraId="7C6415DC">
      <w:pPr>
        <w:spacing w:line="360" w:lineRule="auto"/>
        <w:ind w:firstLine="480" w:firstLineChars="200"/>
        <w:rPr>
          <w:rFonts w:ascii="宋体" w:hAnsi="宋体"/>
          <w:sz w:val="24"/>
          <w:szCs w:val="24"/>
        </w:rPr>
      </w:pPr>
      <w:r>
        <w:rPr>
          <w:rFonts w:ascii="宋体" w:hAnsi="宋体"/>
          <w:sz w:val="24"/>
          <w:szCs w:val="24"/>
        </w:rPr>
        <w:t>27.1对于投标文件中含义不明确、同类问题表述不一致或者有明显文字和计算错误的内容，评标委员会要求投标人作出必要的澄清、说明或者补正。</w:t>
      </w:r>
    </w:p>
    <w:p w14:paraId="4E19EC14">
      <w:pPr>
        <w:spacing w:line="360" w:lineRule="auto"/>
        <w:ind w:firstLine="480" w:firstLineChars="200"/>
        <w:rPr>
          <w:rFonts w:ascii="宋体" w:hAnsi="宋体"/>
          <w:sz w:val="24"/>
          <w:szCs w:val="24"/>
        </w:rPr>
      </w:pPr>
      <w:r>
        <w:rPr>
          <w:rFonts w:ascii="宋体" w:hAnsi="宋体"/>
          <w:sz w:val="24"/>
          <w:szCs w:val="24"/>
        </w:rPr>
        <w:t>27.2投标人的澄清、说明或者补正应当采用书面形式，由法定代表人或其授权的代表签字。投标人的澄清、说明或者补正不得超出投标文件的范围或者改变投标文件的实质性内容。</w:t>
      </w:r>
    </w:p>
    <w:p w14:paraId="6DD4AA1C">
      <w:pPr>
        <w:overflowPunct w:val="0"/>
        <w:adjustRightInd w:val="0"/>
        <w:snapToGrid w:val="0"/>
        <w:spacing w:line="360" w:lineRule="auto"/>
        <w:ind w:firstLine="482" w:firstLineChars="200"/>
        <w:rPr>
          <w:rFonts w:ascii="宋体" w:hAnsi="宋体"/>
          <w:b/>
          <w:sz w:val="24"/>
          <w:szCs w:val="24"/>
        </w:rPr>
      </w:pPr>
      <w:bookmarkStart w:id="80" w:name="_Toc311415604"/>
      <w:r>
        <w:rPr>
          <w:rFonts w:ascii="宋体" w:hAnsi="宋体"/>
          <w:b/>
          <w:sz w:val="24"/>
          <w:szCs w:val="24"/>
        </w:rPr>
        <w:t>28</w:t>
      </w:r>
      <w:r>
        <w:rPr>
          <w:rFonts w:hint="eastAsia" w:ascii="宋体" w:hAnsi="宋体"/>
          <w:b/>
          <w:sz w:val="24"/>
          <w:szCs w:val="24"/>
        </w:rPr>
        <w:t>、评标原则及主要方法</w:t>
      </w:r>
      <w:bookmarkEnd w:id="80"/>
    </w:p>
    <w:p w14:paraId="3233518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28.1</w:t>
      </w:r>
      <w:r>
        <w:rPr>
          <w:rFonts w:hint="eastAsia" w:ascii="宋体" w:hAnsi="宋体"/>
          <w:sz w:val="24"/>
          <w:szCs w:val="24"/>
        </w:rPr>
        <w:t>评标委员会将遵循公平、公正和择优的原则，对所有投标人的投标文件评审，都采用相同的程序和标准；</w:t>
      </w:r>
    </w:p>
    <w:p w14:paraId="0A0E16BB">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28.2</w:t>
      </w:r>
      <w:r>
        <w:rPr>
          <w:rFonts w:hint="eastAsia" w:ascii="宋体" w:hAnsi="宋体"/>
          <w:sz w:val="24"/>
          <w:szCs w:val="24"/>
        </w:rPr>
        <w:t>评审过程的保密：在投标文件的评审、比较、中标候选人推荐以及授予合同的过程中，投标人向采购人和评标委员会施加影响的任何行为，都将会导致其报价被拒绝；</w:t>
      </w:r>
    </w:p>
    <w:p w14:paraId="7214A71A">
      <w:pPr>
        <w:overflowPunct w:val="0"/>
        <w:adjustRightInd w:val="0"/>
        <w:snapToGrid w:val="0"/>
        <w:spacing w:line="360" w:lineRule="auto"/>
        <w:ind w:firstLine="480" w:firstLineChars="200"/>
        <w:rPr>
          <w:rFonts w:hint="eastAsia" w:ascii="宋体" w:hAnsi="宋体"/>
          <w:sz w:val="24"/>
          <w:szCs w:val="24"/>
          <w:lang w:val="en-US" w:eastAsia="zh-CN"/>
        </w:rPr>
      </w:pPr>
      <w:r>
        <w:rPr>
          <w:rFonts w:ascii="宋体" w:hAnsi="宋体"/>
          <w:sz w:val="24"/>
          <w:szCs w:val="24"/>
        </w:rPr>
        <w:t>28.3</w:t>
      </w:r>
      <w:r>
        <w:rPr>
          <w:rFonts w:hint="eastAsia" w:ascii="宋体" w:hAnsi="宋体"/>
          <w:sz w:val="24"/>
          <w:szCs w:val="24"/>
        </w:rPr>
        <w:t>评标原则和办法：</w:t>
      </w:r>
    </w:p>
    <w:p w14:paraId="3C8364E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综合评分法：</w:t>
      </w:r>
      <w:r>
        <w:rPr>
          <w:rFonts w:ascii="宋体" w:hAnsi="宋体"/>
          <w:sz w:val="24"/>
          <w:szCs w:val="24"/>
        </w:rPr>
        <w:t>是指投标文件满足招标文件全部实质性要求，且按照评审因素的量化指标评审得分最高的投标人为中标候选人的评标方法。</w:t>
      </w:r>
    </w:p>
    <w:p w14:paraId="5CDC42D4">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具体评审因素</w:t>
      </w:r>
      <w:r>
        <w:rPr>
          <w:rFonts w:ascii="宋体" w:hAnsi="宋体"/>
          <w:sz w:val="24"/>
          <w:szCs w:val="24"/>
        </w:rPr>
        <w:t>量化指标</w:t>
      </w:r>
      <w:r>
        <w:rPr>
          <w:rFonts w:hint="eastAsia" w:ascii="宋体" w:hAnsi="宋体"/>
          <w:sz w:val="24"/>
          <w:szCs w:val="24"/>
        </w:rPr>
        <w:t>和分值如下：</w:t>
      </w:r>
    </w:p>
    <w:tbl>
      <w:tblPr>
        <w:tblStyle w:val="42"/>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919"/>
        <w:gridCol w:w="7554"/>
      </w:tblGrid>
      <w:tr w14:paraId="2DB1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22E3F3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评标</w:t>
            </w:r>
          </w:p>
          <w:p w14:paraId="2A05B7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因素</w:t>
            </w:r>
          </w:p>
        </w:tc>
        <w:tc>
          <w:tcPr>
            <w:tcW w:w="919" w:type="dxa"/>
            <w:tcBorders>
              <w:top w:val="single" w:color="auto" w:sz="4" w:space="0"/>
              <w:left w:val="single" w:color="auto" w:sz="4" w:space="0"/>
              <w:right w:val="single" w:color="auto" w:sz="4" w:space="0"/>
            </w:tcBorders>
            <w:noWrap w:val="0"/>
            <w:vAlign w:val="center"/>
          </w:tcPr>
          <w:p w14:paraId="53BB99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权值%</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6A6B44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评价要素</w:t>
            </w:r>
          </w:p>
        </w:tc>
      </w:tr>
      <w:tr w14:paraId="5219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51605F7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textAlignment w:val="auto"/>
              <w:rPr>
                <w:rFonts w:hint="eastAsia" w:ascii="宋体" w:hAnsi="宋体" w:eastAsia="宋体" w:cs="宋体"/>
                <w:color w:val="auto"/>
                <w:spacing w:val="4"/>
                <w:kern w:val="2"/>
                <w:sz w:val="22"/>
                <w:szCs w:val="22"/>
                <w:lang w:val="zh-CN" w:eastAsia="zh-CN" w:bidi="ar-SA"/>
              </w:rPr>
            </w:pPr>
            <w:r>
              <w:rPr>
                <w:rFonts w:hint="eastAsia" w:ascii="宋体" w:hAnsi="宋体" w:eastAsia="宋体" w:cs="宋体"/>
                <w:color w:val="auto"/>
                <w:spacing w:val="4"/>
                <w:kern w:val="2"/>
                <w:sz w:val="22"/>
                <w:szCs w:val="22"/>
                <w:lang w:val="zh-CN" w:eastAsia="zh-CN" w:bidi="ar-SA"/>
              </w:rPr>
              <w:t>价格</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793789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textAlignment w:val="auto"/>
              <w:rPr>
                <w:rFonts w:hint="eastAsia" w:ascii="宋体" w:hAnsi="宋体" w:eastAsia="宋体" w:cs="宋体"/>
                <w:color w:val="auto"/>
                <w:spacing w:val="4"/>
                <w:kern w:val="2"/>
                <w:sz w:val="22"/>
                <w:szCs w:val="22"/>
                <w:lang w:val="zh-CN" w:eastAsia="zh-CN" w:bidi="ar-SA"/>
              </w:rPr>
            </w:pPr>
            <w:r>
              <w:rPr>
                <w:rFonts w:hint="eastAsia" w:ascii="宋体" w:hAnsi="宋体" w:eastAsia="宋体" w:cs="宋体"/>
                <w:color w:val="auto"/>
                <w:spacing w:val="4"/>
                <w:kern w:val="2"/>
                <w:sz w:val="22"/>
                <w:szCs w:val="22"/>
                <w:lang w:val="zh-CN" w:eastAsia="zh-CN" w:bidi="ar-SA"/>
              </w:rPr>
              <w:t>3</w:t>
            </w:r>
            <w:r>
              <w:rPr>
                <w:rFonts w:hint="eastAsia" w:ascii="宋体" w:hAnsi="宋体" w:eastAsia="宋体" w:cs="宋体"/>
                <w:color w:val="auto"/>
                <w:spacing w:val="4"/>
                <w:kern w:val="2"/>
                <w:sz w:val="22"/>
                <w:szCs w:val="22"/>
                <w:lang w:val="en-US" w:eastAsia="zh-CN" w:bidi="ar-SA"/>
              </w:rPr>
              <w:t>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1EAD3E2C">
            <w:pPr>
              <w:keepNext w:val="0"/>
              <w:keepLines w:val="0"/>
              <w:suppressLineNumbers w:val="0"/>
              <w:spacing w:before="0" w:beforeAutospacing="0" w:after="0" w:afterAutospacing="0" w:line="440" w:lineRule="exact"/>
              <w:ind w:left="0" w:right="0" w:firstLine="411" w:firstLineChars="196"/>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满足招标文件要求且投标价格最低的投标报价为评标基准价，其价格分为满分。其他投标投标人的价格分统一按照下列公式计算：报价得分=(评审基准价／最终报价)×30</w:t>
            </w:r>
          </w:p>
          <w:p w14:paraId="6400DEDB">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经评标小组一致认定某个供应商的报价明显低于其他通过符合性审查供应商的报价，有可能影响服务质量和不能诚信履约的，应要求该供应商在评标现场合理的时间内提供书面说明，必要时提交相关证明材料；供应商不能证明其报价合理的，评标小组将其作为无效投标处理。</w:t>
            </w:r>
          </w:p>
          <w:p w14:paraId="632E2928">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2、投标报价不完整的，不进入评标标准价的计算，本项得0分。</w:t>
            </w:r>
          </w:p>
        </w:tc>
      </w:tr>
      <w:tr w14:paraId="5FB1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3EFC784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textAlignment w:val="auto"/>
              <w:rPr>
                <w:rFonts w:hint="eastAsia" w:ascii="宋体" w:hAnsi="宋体" w:eastAsia="宋体" w:cs="宋体"/>
                <w:color w:val="auto"/>
                <w:spacing w:val="4"/>
                <w:kern w:val="2"/>
                <w:sz w:val="22"/>
                <w:szCs w:val="22"/>
                <w:lang w:val="zh-CN" w:eastAsia="zh-CN" w:bidi="ar-SA"/>
              </w:rPr>
            </w:pPr>
            <w:r>
              <w:rPr>
                <w:rFonts w:hint="eastAsia" w:ascii="宋体" w:hAnsi="宋体" w:eastAsia="宋体" w:cs="宋体"/>
                <w:color w:val="auto"/>
                <w:spacing w:val="4"/>
                <w:kern w:val="2"/>
                <w:sz w:val="22"/>
                <w:szCs w:val="22"/>
                <w:lang w:val="en-US" w:eastAsia="zh-CN" w:bidi="ar-SA"/>
              </w:rPr>
              <w:t>技术参数响应情况</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2D59E5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textAlignment w:val="auto"/>
              <w:rPr>
                <w:rFonts w:hint="eastAsia" w:ascii="宋体" w:hAnsi="宋体" w:eastAsia="宋体" w:cs="宋体"/>
                <w:color w:val="auto"/>
                <w:spacing w:val="4"/>
                <w:kern w:val="2"/>
                <w:sz w:val="22"/>
                <w:szCs w:val="22"/>
                <w:lang w:val="zh-CN" w:eastAsia="zh-CN" w:bidi="ar-SA"/>
              </w:rPr>
            </w:pPr>
            <w:r>
              <w:rPr>
                <w:rFonts w:hint="eastAsia" w:ascii="宋体" w:hAnsi="宋体" w:eastAsia="宋体" w:cs="宋体"/>
                <w:color w:val="auto"/>
                <w:spacing w:val="4"/>
                <w:kern w:val="2"/>
                <w:sz w:val="22"/>
                <w:szCs w:val="22"/>
                <w:lang w:val="en-US" w:eastAsia="zh-CN" w:bidi="ar-SA"/>
              </w:rPr>
              <w:t>20分</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645F3948">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系统满足采购文件技术要求中所有系统功能，全部满足得 20 分。标记为“★”的参数为关键参数，出现负偏离的扣2分。非“★”项技术参数，一项不满足扣 1 分，扣完为止。</w:t>
            </w:r>
          </w:p>
        </w:tc>
      </w:tr>
      <w:tr w14:paraId="3C25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626450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textAlignment w:val="auto"/>
              <w:rPr>
                <w:rFonts w:hint="eastAsia" w:ascii="宋体" w:hAnsi="宋体" w:eastAsia="宋体" w:cs="宋体"/>
                <w:color w:val="auto"/>
                <w:spacing w:val="4"/>
                <w:kern w:val="2"/>
                <w:sz w:val="22"/>
                <w:szCs w:val="22"/>
                <w:lang w:val="en-US" w:eastAsia="zh-CN" w:bidi="ar-SA"/>
              </w:rPr>
            </w:pPr>
            <w:r>
              <w:rPr>
                <w:rFonts w:hint="eastAsia" w:ascii="宋体" w:hAnsi="宋体" w:eastAsia="宋体" w:cs="宋体"/>
                <w:color w:val="auto"/>
                <w:spacing w:val="4"/>
                <w:kern w:val="2"/>
                <w:sz w:val="22"/>
                <w:szCs w:val="22"/>
                <w:lang w:val="en-US" w:eastAsia="zh-CN" w:bidi="ar-SA"/>
              </w:rPr>
              <w:t>架构设计方案</w:t>
            </w:r>
          </w:p>
          <w:p w14:paraId="40DF145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textAlignment w:val="auto"/>
              <w:rPr>
                <w:rFonts w:hint="eastAsia" w:ascii="宋体" w:hAnsi="宋体" w:eastAsia="宋体" w:cs="宋体"/>
                <w:color w:val="auto"/>
                <w:spacing w:val="4"/>
                <w:kern w:val="2"/>
                <w:sz w:val="22"/>
                <w:szCs w:val="22"/>
                <w:lang w:val="zh-CN" w:eastAsia="zh-CN" w:bidi="ar-SA"/>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023DB29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textAlignment w:val="auto"/>
              <w:rPr>
                <w:rFonts w:hint="default" w:ascii="宋体" w:hAnsi="宋体" w:eastAsia="宋体" w:cs="宋体"/>
                <w:color w:val="auto"/>
                <w:spacing w:val="4"/>
                <w:kern w:val="2"/>
                <w:sz w:val="22"/>
                <w:szCs w:val="22"/>
                <w:lang w:val="en-US" w:eastAsia="zh-CN" w:bidi="ar-SA"/>
              </w:rPr>
            </w:pPr>
            <w:r>
              <w:rPr>
                <w:rFonts w:hint="eastAsia" w:ascii="宋体" w:hAnsi="宋体" w:eastAsia="宋体" w:cs="宋体"/>
                <w:color w:val="auto"/>
                <w:spacing w:val="4"/>
                <w:kern w:val="2"/>
                <w:sz w:val="22"/>
                <w:szCs w:val="22"/>
                <w:lang w:val="en-US" w:eastAsia="zh-CN" w:bidi="ar-SA"/>
              </w:rPr>
              <w:t>10分</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2E96D217">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根据供应商提供的项目整体解决方案，从供应商对需求的理解以及总体设计全面性、整体技术和架构的先进性、开放性；整体方案是否可行并具备可落地性、可扩展性，由评标小组依据响应情况评分。</w:t>
            </w:r>
          </w:p>
          <w:p w14:paraId="08767B2F">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提供了项目技术方案，对用户需求理解透彻，方案针对性强，详细描述各模块的功能及实现技术方案，对项目建设总体框架的设计和描述先进、合理、完整、可行。技术方案可行且具有较高的科学性、先进性、可靠性、成熟性、合理性和扩展性，得 6.1-10 分。</w:t>
            </w:r>
          </w:p>
          <w:p w14:paraId="1135951A">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（2）提供了项目技术方案，详细描述了各模块的功能以及实现的技术方案，基本满足项目要求，得 2.1-6 分。</w:t>
            </w:r>
          </w:p>
          <w:p w14:paraId="26251244">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（3）提供了项目技术方案，方案功能模块说明不明确。技术方案对本项目针对性不强，稍微满足项目要求，得 0-2 分。</w:t>
            </w:r>
          </w:p>
        </w:tc>
      </w:tr>
      <w:tr w14:paraId="591C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4D35AE33">
            <w:pPr>
              <w:keepNext w:val="0"/>
              <w:keepLines w:val="0"/>
              <w:suppressLineNumbers w:val="0"/>
              <w:spacing w:before="0" w:beforeAutospacing="0" w:after="0" w:afterAutospacing="0" w:line="440" w:lineRule="exact"/>
              <w:ind w:left="0" w:right="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实施方案</w:t>
            </w:r>
          </w:p>
          <w:p w14:paraId="61EF18D7">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zh-CN" w:eastAsia="zh-CN"/>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507E1B3">
            <w:pPr>
              <w:keepNext w:val="0"/>
              <w:keepLines w:val="0"/>
              <w:suppressLineNumbers w:val="0"/>
              <w:spacing w:before="0" w:beforeAutospacing="0" w:after="0" w:afterAutospacing="0" w:line="440" w:lineRule="exact"/>
              <w:ind w:left="0" w:right="0"/>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10分</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1E57C640">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供应商项目组织实施方案的科学性、合理性、规范性和可操作性，包括安装调试、系统集成、试运行、测试、系统培训、验收等内容，以及组织机构、工作时间进度表、工作程序和步骤、管理和协调方法等。 </w:t>
            </w:r>
          </w:p>
          <w:p w14:paraId="30D8F0FE">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(1)对工作的重点及难点理解较深刻、分析较准确、总体实施方案清晰明了、与其他系统对接详细、有细致项目进度和测试方案、有验收方案、能够详细且精准的描述出经常出现的各种问题及处理方案，得 </w:t>
            </w:r>
            <w:r>
              <w:rPr>
                <w:rFonts w:hint="eastAsia" w:ascii="宋体" w:hAnsi="宋体" w:cs="宋体"/>
                <w:kern w:val="0"/>
                <w:sz w:val="21"/>
                <w:szCs w:val="21"/>
                <w:lang w:val="en-US" w:eastAsia="zh-CN"/>
              </w:rPr>
              <w:t>5.1-</w:t>
            </w:r>
            <w:r>
              <w:rPr>
                <w:rFonts w:hint="eastAsia" w:ascii="宋体" w:hAnsi="宋体" w:eastAsia="宋体" w:cs="宋体"/>
                <w:kern w:val="0"/>
                <w:sz w:val="21"/>
                <w:szCs w:val="21"/>
                <w:lang w:val="en-US" w:eastAsia="zh-CN"/>
              </w:rPr>
              <w:t xml:space="preserve">10 分； </w:t>
            </w:r>
          </w:p>
          <w:p w14:paraId="78F70A47">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(2)有对工作的重点及难点一定程度的理解与分析，总体实施方案一般、与其他系统对接有简单描述有项目进度、有简单验收方案对经常出现的各种问题及处理方案的描述较为具体，得</w:t>
            </w:r>
            <w:r>
              <w:rPr>
                <w:rFonts w:hint="eastAsia" w:ascii="宋体" w:hAnsi="宋体" w:cs="宋体"/>
                <w:kern w:val="0"/>
                <w:sz w:val="21"/>
                <w:szCs w:val="21"/>
                <w:lang w:val="en-US" w:eastAsia="zh-CN"/>
              </w:rPr>
              <w:t>3.1-</w:t>
            </w:r>
            <w:r>
              <w:rPr>
                <w:rFonts w:hint="eastAsia" w:ascii="宋体" w:hAnsi="宋体" w:eastAsia="宋体" w:cs="宋体"/>
                <w:kern w:val="0"/>
                <w:sz w:val="21"/>
                <w:szCs w:val="21"/>
                <w:lang w:val="en-US" w:eastAsia="zh-CN"/>
              </w:rPr>
              <w:t xml:space="preserve">5 分； </w:t>
            </w:r>
          </w:p>
          <w:p w14:paraId="7FF56939">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(3)对工作的重点及难点理解不足、分析不全面、实施方案总体实施方案不完善、项目进度不清晰、对经常出现的各种问题及处理方案的描述不具体，得</w:t>
            </w:r>
            <w:r>
              <w:rPr>
                <w:rFonts w:hint="eastAsia" w:ascii="宋体" w:hAnsi="宋体" w:cs="宋体"/>
                <w:kern w:val="0"/>
                <w:sz w:val="21"/>
                <w:szCs w:val="21"/>
                <w:lang w:val="en-US" w:eastAsia="zh-CN"/>
              </w:rPr>
              <w:t>0-</w:t>
            </w:r>
            <w:r>
              <w:rPr>
                <w:rFonts w:hint="eastAsia" w:ascii="宋体" w:hAnsi="宋体" w:eastAsia="宋体" w:cs="宋体"/>
                <w:kern w:val="0"/>
                <w:sz w:val="21"/>
                <w:szCs w:val="21"/>
                <w:lang w:val="en-US" w:eastAsia="zh-CN"/>
              </w:rPr>
              <w:t xml:space="preserve"> 3分。</w:t>
            </w:r>
          </w:p>
        </w:tc>
      </w:tr>
      <w:tr w14:paraId="0C83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1BB58F0C">
            <w:pPr>
              <w:keepNext w:val="0"/>
              <w:keepLines w:val="0"/>
              <w:suppressLineNumbers w:val="0"/>
              <w:spacing w:before="0" w:beforeAutospacing="0" w:after="0" w:afterAutospacing="0" w:line="440" w:lineRule="exact"/>
              <w:ind w:left="0" w:right="0"/>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售后服务能力</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2D9027CD">
            <w:pPr>
              <w:keepNext w:val="0"/>
              <w:keepLines w:val="0"/>
              <w:suppressLineNumbers w:val="0"/>
              <w:spacing w:before="0" w:beforeAutospacing="0" w:after="0" w:afterAutospacing="0" w:line="440" w:lineRule="exact"/>
              <w:ind w:left="0" w:right="0"/>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10分</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03DA3BF1">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eastAsia="zh-CN"/>
              </w:rPr>
              <w:t>根据各供应商的售后服务承诺、维护响应计划进行评分，包括具体的售后服务内容、故障响应时间、响应方式时间评分。</w:t>
            </w:r>
          </w:p>
          <w:p w14:paraId="3D885DFA">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eastAsia="zh-CN"/>
              </w:rPr>
              <w:t>（1）完全满足或优于采购文件售后服务要求，提供完整且详细的售后服务方案，有服务响应体系，满足或优于采购文件售后服务要求的质保期、服务响应时间的得</w:t>
            </w:r>
            <w:r>
              <w:rPr>
                <w:rFonts w:hint="eastAsia" w:ascii="宋体" w:hAnsi="宋体" w:cs="宋体"/>
                <w:kern w:val="0"/>
                <w:sz w:val="21"/>
                <w:szCs w:val="21"/>
                <w:lang w:val="en-US" w:eastAsia="zh-CN"/>
              </w:rPr>
              <w:t>6.1-</w:t>
            </w:r>
            <w:r>
              <w:rPr>
                <w:rFonts w:hint="eastAsia" w:ascii="宋体" w:hAnsi="宋体" w:eastAsia="宋体" w:cs="宋体"/>
                <w:kern w:val="0"/>
                <w:sz w:val="21"/>
                <w:szCs w:val="21"/>
                <w:lang w:val="zh-CN" w:eastAsia="zh-CN"/>
              </w:rPr>
              <w:t xml:space="preserve"> 10 分；</w:t>
            </w:r>
          </w:p>
          <w:p w14:paraId="615A9EEC">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eastAsia="zh-CN"/>
              </w:rPr>
              <w:t>（2）能够满足采购文件售后服务要求，提供满足要求的售后服务方案和服务响应体系、提供满足要求的售后服务方案，有服务响应体系，采购文件售后服务要求的质保期、服务响应时间、服务响应方式得</w:t>
            </w:r>
            <w:r>
              <w:rPr>
                <w:rFonts w:hint="eastAsia" w:ascii="宋体" w:hAnsi="宋体" w:cs="宋体"/>
                <w:kern w:val="0"/>
                <w:sz w:val="21"/>
                <w:szCs w:val="21"/>
                <w:lang w:val="en-US" w:eastAsia="zh-CN"/>
              </w:rPr>
              <w:t>2.1-</w:t>
            </w:r>
            <w:r>
              <w:rPr>
                <w:rFonts w:hint="eastAsia" w:ascii="宋体" w:hAnsi="宋体" w:eastAsia="宋体" w:cs="宋体"/>
                <w:kern w:val="0"/>
                <w:sz w:val="21"/>
                <w:szCs w:val="21"/>
                <w:lang w:val="zh-CN" w:eastAsia="zh-CN"/>
              </w:rPr>
              <w:t xml:space="preserve"> 6 分；</w:t>
            </w:r>
          </w:p>
          <w:p w14:paraId="1BD5B279">
            <w:pPr>
              <w:keepNext w:val="0"/>
              <w:keepLines w:val="0"/>
              <w:suppressLineNumbers w:val="0"/>
              <w:spacing w:before="0" w:beforeAutospacing="0" w:after="0" w:afterAutospacing="0" w:line="440" w:lineRule="exact"/>
              <w:ind w:left="0" w:right="0" w:firstLine="411" w:firstLineChars="196"/>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zh-CN" w:eastAsia="zh-CN"/>
              </w:rPr>
              <w:t xml:space="preserve">（3）基本满足采购文件售后服务要求、提供基本的售后服务方案，有基本的服务响应体系，有基本的售后服务要求的质保期、服务响应时间、服务响应方式得 </w:t>
            </w:r>
            <w:r>
              <w:rPr>
                <w:rFonts w:hint="eastAsia" w:ascii="宋体" w:hAnsi="宋体" w:cs="宋体"/>
                <w:kern w:val="0"/>
                <w:sz w:val="21"/>
                <w:szCs w:val="21"/>
                <w:lang w:val="en-US" w:eastAsia="zh-CN"/>
              </w:rPr>
              <w:t>0-</w:t>
            </w:r>
            <w:r>
              <w:rPr>
                <w:rFonts w:hint="eastAsia" w:ascii="宋体" w:hAnsi="宋体" w:eastAsia="宋体" w:cs="宋体"/>
                <w:kern w:val="0"/>
                <w:sz w:val="21"/>
                <w:szCs w:val="21"/>
                <w:lang w:val="zh-CN" w:eastAsia="zh-CN"/>
              </w:rPr>
              <w:t>2 分；</w:t>
            </w:r>
          </w:p>
        </w:tc>
      </w:tr>
      <w:tr w14:paraId="3873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38A79DB1">
            <w:pPr>
              <w:keepNext w:val="0"/>
              <w:keepLines w:val="0"/>
              <w:suppressLineNumbers w:val="0"/>
              <w:spacing w:before="0" w:beforeAutospacing="0" w:after="0" w:afterAutospacing="0" w:line="440" w:lineRule="exact"/>
              <w:ind w:left="0" w:right="0"/>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质量保证</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BD4CE47">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6分</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40148E90">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投标产品性能稳定，质量可靠，所有产品无假货、水货、翻新货且无产权纠纷，来源渠道合法，符合使用需求，提供产品证明材料（佐证材料包括但不限于：产品说明书、产品认证证书、厂家产品授权以及产品售后服务承诺函等）。证明材料充分、有效，能够充分满足项目质量要求得4.1-6分；证明材料较为充分、有效，能够基本满足项目质量要求得：1-4分；不能满足项目质量要求或未提供资料不计分。</w:t>
            </w:r>
          </w:p>
        </w:tc>
      </w:tr>
      <w:tr w14:paraId="582F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3A4E37C8">
            <w:pPr>
              <w:keepNext w:val="0"/>
              <w:keepLines w:val="0"/>
              <w:suppressLineNumbers w:val="0"/>
              <w:spacing w:before="0" w:beforeAutospacing="0" w:after="0" w:afterAutospacing="0" w:line="440" w:lineRule="exact"/>
              <w:ind w:left="0" w:right="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履约能力</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52105612">
            <w:pPr>
              <w:keepNext w:val="0"/>
              <w:keepLines w:val="0"/>
              <w:suppressLineNumbers w:val="0"/>
              <w:spacing w:before="0" w:beforeAutospacing="0" w:after="0" w:afterAutospacing="0" w:line="440" w:lineRule="exact"/>
              <w:ind w:left="0" w:right="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8分</w:t>
            </w:r>
          </w:p>
        </w:tc>
        <w:tc>
          <w:tcPr>
            <w:tcW w:w="7554" w:type="dxa"/>
            <w:tcBorders>
              <w:top w:val="single" w:color="auto" w:sz="4" w:space="0"/>
              <w:left w:val="single" w:color="auto" w:sz="4" w:space="0"/>
              <w:bottom w:val="single" w:color="auto" w:sz="4" w:space="0"/>
              <w:right w:val="single" w:color="auto" w:sz="4" w:space="0"/>
            </w:tcBorders>
            <w:noWrap w:val="0"/>
            <w:vAlign w:val="top"/>
          </w:tcPr>
          <w:p w14:paraId="528F4D83">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 xml:space="preserve">1.负责本项目的实施项目经理具有信息系统项目管理师证书、网络与信息安全应急人员技术 I 级证书、CISP 注册信息安全工程师证书，每具备一项得 1 分，满分 3 分； </w:t>
            </w:r>
          </w:p>
          <w:p w14:paraId="693EF456">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 xml:space="preserve">2.负责本项目的售后服务经理具有 IT 服务项目经理证书、售后服务高级管理师证书，每具备一项得 1 分，满分 2 分。 </w:t>
            </w:r>
          </w:p>
          <w:p w14:paraId="7D541F52">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 xml:space="preserve">3.项目组团队人员中具有软件设计师、系统架构师、系统集成项目管理工程师等认证，每提供 1 人得 1 分，满分 3 分。 </w:t>
            </w:r>
          </w:p>
          <w:p w14:paraId="4A92FF9A">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注：响应文件提供人员认证证书、供应商聘用人员的证明材料，证书应当为不同人员的，一人多证的仅按一证计算。</w:t>
            </w:r>
          </w:p>
        </w:tc>
      </w:tr>
      <w:tr w14:paraId="32BD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145B66B8">
            <w:pPr>
              <w:keepNext w:val="0"/>
              <w:keepLines w:val="0"/>
              <w:suppressLineNumbers w:val="0"/>
              <w:spacing w:before="0" w:beforeAutospacing="0" w:after="0" w:afterAutospacing="0" w:line="440" w:lineRule="exact"/>
              <w:ind w:left="0" w:right="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zh-CN" w:eastAsia="zh-CN"/>
              </w:rPr>
              <w:t>业绩</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ED14B42">
            <w:pPr>
              <w:keepNext w:val="0"/>
              <w:keepLines w:val="0"/>
              <w:suppressLineNumbers w:val="0"/>
              <w:spacing w:before="0" w:beforeAutospacing="0" w:after="0" w:afterAutospacing="0" w:line="440" w:lineRule="exact"/>
              <w:ind w:left="0" w:right="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6分</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6D85561B">
            <w:pPr>
              <w:keepNext w:val="0"/>
              <w:keepLines w:val="0"/>
              <w:suppressLineNumbers w:val="0"/>
              <w:spacing w:before="0" w:beforeAutospacing="0" w:after="0" w:afterAutospacing="0" w:line="440" w:lineRule="exact"/>
              <w:ind w:left="0" w:right="0" w:firstLine="411" w:firstLineChars="196"/>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提供202</w:t>
            </w:r>
            <w:r>
              <w:rPr>
                <w:rFonts w:hint="eastAsia" w:ascii="宋体" w:hAnsi="宋体" w:cs="宋体"/>
                <w:kern w:val="0"/>
                <w:sz w:val="21"/>
                <w:szCs w:val="21"/>
                <w:lang w:val="en-US" w:eastAsia="zh-CN"/>
              </w:rPr>
              <w:t>2</w:t>
            </w:r>
            <w:r>
              <w:rPr>
                <w:rFonts w:hint="eastAsia" w:ascii="宋体" w:hAnsi="宋体" w:eastAsia="宋体" w:cs="宋体"/>
                <w:kern w:val="0"/>
                <w:sz w:val="21"/>
                <w:szCs w:val="21"/>
                <w:lang w:val="en-US" w:eastAsia="zh-CN"/>
              </w:rPr>
              <w:t>年1月1日以来类似业绩</w:t>
            </w:r>
            <w:r>
              <w:rPr>
                <w:rFonts w:hint="eastAsia" w:ascii="宋体" w:hAnsi="宋体" w:cs="宋体"/>
                <w:kern w:val="0"/>
                <w:sz w:val="21"/>
                <w:szCs w:val="21"/>
                <w:lang w:val="en-US" w:eastAsia="zh-CN"/>
              </w:rPr>
              <w:t>（三级医院业绩）</w:t>
            </w:r>
            <w:r>
              <w:rPr>
                <w:rFonts w:hint="eastAsia" w:ascii="宋体" w:hAnsi="宋体" w:eastAsia="宋体" w:cs="宋体"/>
                <w:kern w:val="0"/>
                <w:sz w:val="21"/>
                <w:szCs w:val="21"/>
                <w:lang w:val="en-US" w:eastAsia="zh-CN"/>
              </w:rPr>
              <w:t>证明材料（以采购合同为依据）。每出具一个业绩得2分，满分6分。</w:t>
            </w:r>
          </w:p>
        </w:tc>
      </w:tr>
      <w:tr w14:paraId="5D42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9339" w:type="dxa"/>
            <w:gridSpan w:val="3"/>
            <w:tcBorders>
              <w:top w:val="single" w:color="auto" w:sz="4" w:space="0"/>
              <w:left w:val="single" w:color="auto" w:sz="4" w:space="0"/>
              <w:bottom w:val="single" w:color="auto" w:sz="4" w:space="0"/>
              <w:right w:val="single" w:color="auto" w:sz="4" w:space="0"/>
            </w:tcBorders>
            <w:noWrap w:val="0"/>
            <w:vAlign w:val="center"/>
          </w:tcPr>
          <w:p w14:paraId="7001B3C6">
            <w:pPr>
              <w:keepNext w:val="0"/>
              <w:keepLines w:val="0"/>
              <w:suppressLineNumbers w:val="0"/>
              <w:spacing w:before="0" w:beforeAutospacing="0" w:after="0" w:afterAutospacing="0" w:line="440" w:lineRule="exact"/>
              <w:ind w:left="0" w:right="0" w:firstLine="413" w:firstLineChars="196"/>
              <w:rPr>
                <w:rFonts w:hint="eastAsia" w:ascii="宋体" w:hAnsi="宋体" w:eastAsia="宋体" w:cs="宋体"/>
                <w:kern w:val="0"/>
                <w:sz w:val="21"/>
                <w:szCs w:val="21"/>
                <w:lang w:val="en-US" w:eastAsia="zh-CN"/>
              </w:rPr>
            </w:pPr>
            <w:r>
              <w:rPr>
                <w:rFonts w:hint="eastAsia" w:ascii="宋体" w:hAnsi="宋体" w:eastAsia="宋体" w:cs="宋体"/>
                <w:b/>
                <w:bCs/>
                <w:color w:val="000000"/>
                <w:sz w:val="21"/>
                <w:szCs w:val="21"/>
              </w:rPr>
              <w:t>注：若投标人提供虚假资料，一经查实，如若成交，取消其成交资格，并报主管部门予以通报并进行相应处罚 。</w:t>
            </w:r>
          </w:p>
        </w:tc>
      </w:tr>
    </w:tbl>
    <w:p w14:paraId="55B093EC">
      <w:pPr>
        <w:pStyle w:val="35"/>
        <w:rPr>
          <w:rFonts w:hint="eastAsia" w:ascii="宋体" w:hAnsi="宋体"/>
          <w:sz w:val="24"/>
          <w:szCs w:val="24"/>
        </w:rPr>
      </w:pPr>
    </w:p>
    <w:p w14:paraId="69E7697B">
      <w:pPr>
        <w:spacing w:line="360" w:lineRule="auto"/>
        <w:rPr>
          <w:rFonts w:ascii="宋体" w:hAnsi="宋体"/>
          <w:b/>
          <w:sz w:val="24"/>
          <w:szCs w:val="24"/>
        </w:rPr>
      </w:pPr>
      <w:r>
        <w:rPr>
          <w:rFonts w:hint="eastAsia" w:ascii="宋体" w:hAnsi="宋体"/>
          <w:b/>
          <w:sz w:val="24"/>
          <w:szCs w:val="24"/>
        </w:rPr>
        <w:t>备注：</w:t>
      </w:r>
    </w:p>
    <w:p w14:paraId="3559BB54">
      <w:pPr>
        <w:spacing w:line="360" w:lineRule="auto"/>
        <w:ind w:firstLine="480" w:firstLineChars="200"/>
        <w:rPr>
          <w:rFonts w:ascii="宋体" w:hAnsi="宋体"/>
          <w:sz w:val="24"/>
          <w:szCs w:val="24"/>
        </w:rPr>
      </w:pPr>
      <w:r>
        <w:rPr>
          <w:rFonts w:hint="eastAsia" w:ascii="宋体" w:hAnsi="宋体"/>
          <w:sz w:val="24"/>
          <w:szCs w:val="24"/>
        </w:rPr>
        <w:t>1) 以上各项打分均由评标委员会独立评分，评分相邻两档之间的得分，归属于较低一档,两档之间可取小数点进行打分，按评审后综合得分由高到低推荐一至三名中标候选人。</w:t>
      </w:r>
    </w:p>
    <w:p w14:paraId="0320C482">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 xml:space="preserve"> 评标委员会认为投标人的报价明显低于其他通过符合性审查投标人的报价，有可能影响</w:t>
      </w:r>
      <w:r>
        <w:rPr>
          <w:rFonts w:hint="eastAsia" w:ascii="宋体" w:hAnsi="宋体"/>
          <w:sz w:val="24"/>
          <w:szCs w:val="24"/>
        </w:rPr>
        <w:t>服务</w:t>
      </w:r>
      <w:r>
        <w:rPr>
          <w:rFonts w:ascii="宋体" w:hAnsi="宋体"/>
          <w:sz w:val="24"/>
          <w:szCs w:val="24"/>
        </w:rPr>
        <w:t>质量或者不能诚信履约的，应当要求其在评标现场合理的时间内提供书面说明，必要时提交相关证明材料；投标人不能证明其报价合理性的，评标委员会应当将其作为无效投标处理。</w:t>
      </w:r>
    </w:p>
    <w:p w14:paraId="019D4774">
      <w:pPr>
        <w:spacing w:line="360" w:lineRule="auto"/>
        <w:ind w:firstLine="480" w:firstLineChars="200"/>
        <w:rPr>
          <w:rFonts w:ascii="宋体" w:hAnsi="宋体"/>
          <w:sz w:val="24"/>
          <w:szCs w:val="24"/>
        </w:rPr>
      </w:pPr>
      <w:r>
        <w:rPr>
          <w:rFonts w:hint="eastAsia" w:ascii="宋体" w:hAnsi="宋体"/>
          <w:sz w:val="24"/>
          <w:szCs w:val="24"/>
        </w:rPr>
        <w:t>3)若出现综合得分并列时，</w:t>
      </w:r>
      <w:r>
        <w:rPr>
          <w:rFonts w:ascii="宋体" w:hAnsi="宋体"/>
          <w:sz w:val="24"/>
          <w:szCs w:val="24"/>
        </w:rPr>
        <w:t>按投标报价由低到高顺序排列。得分且投标报价相同的并列。投标文件满足招标文件全部实质性要求，且按照评审因素的量化指标评审得分最高的投标人为排名第一的中标候选人。</w:t>
      </w:r>
    </w:p>
    <w:p w14:paraId="3C91240C">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数字均保留两位小数，第三位“四舍五入”。</w:t>
      </w:r>
    </w:p>
    <w:p w14:paraId="26EDBAC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pP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0D2D585">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 评审时，投标人符合投标人须知33条采购政策的按照采购政策执行。</w:t>
      </w:r>
    </w:p>
    <w:p w14:paraId="3243232F">
      <w:pPr>
        <w:spacing w:line="360" w:lineRule="auto"/>
        <w:ind w:firstLine="480" w:firstLineChars="200"/>
        <w:rPr>
          <w:rFonts w:ascii="宋体" w:hAnsi="宋体"/>
          <w:sz w:val="24"/>
          <w:szCs w:val="24"/>
        </w:rPr>
      </w:pPr>
      <w:r>
        <w:rPr>
          <w:rFonts w:ascii="宋体" w:hAnsi="宋体"/>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1EBBD152">
      <w:pPr>
        <w:adjustRightInd w:val="0"/>
        <w:snapToGrid w:val="0"/>
        <w:spacing w:line="360" w:lineRule="auto"/>
        <w:ind w:firstLine="482" w:firstLineChars="200"/>
        <w:rPr>
          <w:rFonts w:ascii="宋体" w:hAnsi="宋体"/>
          <w:sz w:val="24"/>
          <w:szCs w:val="24"/>
        </w:rPr>
      </w:pPr>
      <w:bookmarkStart w:id="81" w:name="_Toc409689064"/>
      <w:bookmarkStart w:id="82" w:name="_Toc380336742"/>
      <w:bookmarkStart w:id="83" w:name="_Toc358364336"/>
      <w:r>
        <w:rPr>
          <w:rFonts w:ascii="宋体" w:hAnsi="宋体"/>
          <w:b/>
          <w:sz w:val="24"/>
          <w:szCs w:val="24"/>
        </w:rPr>
        <w:t>29</w:t>
      </w:r>
      <w:r>
        <w:rPr>
          <w:rFonts w:hint="eastAsia" w:ascii="宋体" w:hAnsi="宋体"/>
          <w:b/>
          <w:sz w:val="24"/>
          <w:szCs w:val="24"/>
        </w:rPr>
        <w:t>、定标</w:t>
      </w:r>
    </w:p>
    <w:p w14:paraId="2F042A43">
      <w:pPr>
        <w:adjustRightInd w:val="0"/>
        <w:snapToGrid w:val="0"/>
        <w:spacing w:line="360" w:lineRule="auto"/>
        <w:ind w:firstLine="480" w:firstLineChars="200"/>
        <w:rPr>
          <w:rFonts w:ascii="宋体" w:hAnsi="宋体"/>
          <w:sz w:val="24"/>
          <w:szCs w:val="24"/>
        </w:rPr>
      </w:pPr>
      <w:r>
        <w:rPr>
          <w:rFonts w:ascii="宋体" w:hAnsi="宋体"/>
          <w:sz w:val="24"/>
          <w:szCs w:val="24"/>
        </w:rPr>
        <w:t>29.1</w:t>
      </w:r>
      <w:r>
        <w:rPr>
          <w:rFonts w:hint="eastAsia" w:ascii="宋体" w:hAnsi="宋体"/>
          <w:sz w:val="24"/>
          <w:szCs w:val="24"/>
        </w:rPr>
        <w:t>采购代理机构应当在评标结束后2个工作日内，将评标报告送采购人定标。</w:t>
      </w:r>
    </w:p>
    <w:p w14:paraId="0BA06212">
      <w:pPr>
        <w:adjustRightInd w:val="0"/>
        <w:snapToGrid w:val="0"/>
        <w:spacing w:line="360" w:lineRule="auto"/>
        <w:ind w:firstLine="480" w:firstLineChars="200"/>
        <w:rPr>
          <w:rFonts w:ascii="宋体" w:hAnsi="宋体"/>
          <w:sz w:val="24"/>
          <w:szCs w:val="24"/>
        </w:rPr>
      </w:pPr>
      <w:r>
        <w:rPr>
          <w:rFonts w:ascii="宋体" w:hAnsi="宋体"/>
          <w:sz w:val="24"/>
          <w:szCs w:val="24"/>
        </w:rPr>
        <w:t>29.2采购人应当自收到评标报告之日起</w:t>
      </w:r>
      <w:r>
        <w:rPr>
          <w:rFonts w:hint="eastAsia" w:ascii="宋体" w:hAnsi="宋体"/>
          <w:sz w:val="24"/>
          <w:szCs w:val="24"/>
        </w:rPr>
        <w:t>5</w:t>
      </w:r>
      <w:r>
        <w:rPr>
          <w:rFonts w:ascii="宋体" w:hAnsi="宋体"/>
          <w:sz w:val="24"/>
          <w:szCs w:val="24"/>
        </w:rPr>
        <w:t>个工作日内，在评标报告确定的中标候选人名单中按顺序确定中标人</w:t>
      </w:r>
      <w:r>
        <w:rPr>
          <w:rFonts w:hint="eastAsia" w:ascii="宋体" w:hAnsi="宋体"/>
          <w:sz w:val="24"/>
          <w:szCs w:val="24"/>
        </w:rPr>
        <w:t>，复函采购代理机构。</w:t>
      </w:r>
    </w:p>
    <w:p w14:paraId="0F53A805">
      <w:pPr>
        <w:adjustRightInd w:val="0"/>
        <w:snapToGrid w:val="0"/>
        <w:spacing w:line="360" w:lineRule="auto"/>
        <w:ind w:firstLine="480" w:firstLineChars="200"/>
        <w:rPr>
          <w:rFonts w:hint="eastAsia" w:ascii="宋体" w:hAnsi="宋体" w:eastAsia="宋体"/>
          <w:sz w:val="24"/>
          <w:szCs w:val="24"/>
          <w:lang w:eastAsia="zh-CN"/>
        </w:rPr>
      </w:pPr>
      <w:r>
        <w:rPr>
          <w:rFonts w:ascii="宋体" w:hAnsi="宋体"/>
          <w:sz w:val="24"/>
          <w:szCs w:val="24"/>
        </w:rPr>
        <w:t>29.3</w:t>
      </w:r>
      <w:r>
        <w:rPr>
          <w:rFonts w:hint="eastAsia" w:ascii="宋体" w:hAnsi="宋体"/>
          <w:sz w:val="24"/>
          <w:szCs w:val="24"/>
        </w:rPr>
        <w:t>采购代理机构在采购人确定中标单位2个工作日内，在省级以上财政部门指定的媒体上公告</w:t>
      </w:r>
      <w:r>
        <w:rPr>
          <w:rFonts w:ascii="ˎ̥" w:hAnsi="ˎ̥"/>
          <w:sz w:val="24"/>
          <w:szCs w:val="24"/>
        </w:rPr>
        <w:t>中标结果</w:t>
      </w:r>
      <w:r>
        <w:rPr>
          <w:rFonts w:hint="eastAsia" w:ascii="ˎ̥" w:hAnsi="ˎ̥"/>
          <w:sz w:val="24"/>
          <w:szCs w:val="24"/>
          <w:lang w:val="en-US" w:eastAsia="zh-CN"/>
        </w:rPr>
        <w:t>并</w:t>
      </w:r>
      <w:r>
        <w:rPr>
          <w:rFonts w:hint="eastAsia" w:ascii="宋体" w:hAnsi="宋体"/>
          <w:sz w:val="24"/>
          <w:szCs w:val="24"/>
        </w:rPr>
        <w:t>向中标供应商发出《中标通知书》</w:t>
      </w:r>
      <w:r>
        <w:rPr>
          <w:rFonts w:hint="eastAsia" w:ascii="宋体" w:hAnsi="宋体"/>
          <w:sz w:val="24"/>
          <w:szCs w:val="24"/>
          <w:lang w:eastAsia="zh-CN"/>
        </w:rPr>
        <w:t>。</w:t>
      </w:r>
    </w:p>
    <w:p w14:paraId="03026227">
      <w:pPr>
        <w:spacing w:line="420" w:lineRule="exact"/>
        <w:ind w:firstLine="482" w:firstLineChars="200"/>
        <w:rPr>
          <w:rFonts w:ascii="宋体" w:hAnsi="宋体"/>
          <w:b/>
          <w:sz w:val="24"/>
          <w:szCs w:val="24"/>
        </w:rPr>
      </w:pPr>
      <w:bookmarkStart w:id="84" w:name="_Toc152045575"/>
      <w:bookmarkStart w:id="85" w:name="_Toc144974543"/>
      <w:bookmarkStart w:id="86" w:name="_Toc152042351"/>
      <w:bookmarkStart w:id="87" w:name="_Toc296590983"/>
      <w:bookmarkStart w:id="88" w:name="_Toc246996962"/>
      <w:bookmarkStart w:id="89" w:name="_Toc179632593"/>
      <w:bookmarkStart w:id="90" w:name="_Toc247085733"/>
      <w:bookmarkStart w:id="91" w:name="_Toc246996219"/>
      <w:bookmarkStart w:id="92" w:name="_Toc296602462"/>
      <w:bookmarkStart w:id="93" w:name="_Toc311415614"/>
      <w:r>
        <w:rPr>
          <w:rFonts w:ascii="宋体" w:hAnsi="宋体"/>
          <w:b/>
          <w:sz w:val="24"/>
          <w:szCs w:val="24"/>
        </w:rPr>
        <w:t>30</w:t>
      </w:r>
      <w:r>
        <w:rPr>
          <w:rFonts w:hint="eastAsia" w:ascii="宋体" w:hAnsi="宋体"/>
          <w:b/>
          <w:sz w:val="24"/>
          <w:szCs w:val="24"/>
        </w:rPr>
        <w:t>、签订合同</w:t>
      </w:r>
    </w:p>
    <w:p w14:paraId="5AD05DB0">
      <w:pPr>
        <w:spacing w:line="360" w:lineRule="auto"/>
        <w:ind w:firstLine="480" w:firstLineChars="200"/>
        <w:rPr>
          <w:rFonts w:ascii="宋体" w:hAnsi="宋体"/>
          <w:sz w:val="24"/>
          <w:szCs w:val="24"/>
        </w:rPr>
      </w:pPr>
      <w:r>
        <w:rPr>
          <w:rFonts w:ascii="宋体" w:hAnsi="宋体"/>
          <w:sz w:val="24"/>
          <w:szCs w:val="24"/>
        </w:rPr>
        <w:t>30.1</w:t>
      </w:r>
      <w:r>
        <w:rPr>
          <w:rFonts w:hint="eastAsia" w:ascii="宋体" w:hAnsi="宋体"/>
          <w:sz w:val="24"/>
          <w:szCs w:val="24"/>
        </w:rPr>
        <w:t>成交后，成交供应商在收到成交通知书后三十（30）个日历日内，应按招标文件的要求与采购人洽谈合同条款，并签订供货合同，同时送监督机构备案，招标文件及成交供应商的投标文件均作为合同的组成部分；</w:t>
      </w:r>
    </w:p>
    <w:p w14:paraId="514F19A5">
      <w:pPr>
        <w:spacing w:line="360" w:lineRule="auto"/>
        <w:ind w:firstLine="480" w:firstLineChars="200"/>
        <w:rPr>
          <w:rFonts w:ascii="宋体" w:hAnsi="宋体"/>
          <w:sz w:val="24"/>
          <w:szCs w:val="24"/>
        </w:rPr>
      </w:pPr>
      <w:r>
        <w:rPr>
          <w:rFonts w:ascii="宋体" w:hAnsi="宋体"/>
          <w:sz w:val="24"/>
          <w:szCs w:val="24"/>
        </w:rPr>
        <w:t>30.2</w:t>
      </w:r>
      <w:r>
        <w:rPr>
          <w:rFonts w:hint="eastAsia" w:ascii="宋体" w:hAnsi="宋体"/>
          <w:sz w:val="24"/>
          <w:szCs w:val="24"/>
        </w:rPr>
        <w:t>采购人不得向成交供应商提出超出招标文件以外的任何要求作为签订合同的条件，不得与成交供应商订立背离招标文件确定的合同文本以及采购服务要求实质性内容的协议。</w:t>
      </w:r>
    </w:p>
    <w:p w14:paraId="51C337D1">
      <w:pPr>
        <w:spacing w:line="360" w:lineRule="auto"/>
        <w:ind w:firstLine="480" w:firstLineChars="200"/>
        <w:rPr>
          <w:rFonts w:ascii="宋体" w:hAnsi="宋体"/>
          <w:sz w:val="24"/>
          <w:szCs w:val="24"/>
        </w:rPr>
      </w:pPr>
      <w:r>
        <w:rPr>
          <w:rFonts w:ascii="宋体" w:hAnsi="宋体"/>
          <w:sz w:val="24"/>
          <w:szCs w:val="24"/>
        </w:rPr>
        <w:t>30.3</w:t>
      </w:r>
      <w:r>
        <w:rPr>
          <w:rFonts w:hint="eastAsia" w:ascii="宋体" w:hAnsi="宋体"/>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31FC4F27">
      <w:pPr>
        <w:spacing w:line="360" w:lineRule="auto"/>
        <w:ind w:firstLine="480" w:firstLineChars="200"/>
        <w:rPr>
          <w:rFonts w:ascii="宋体" w:hAnsi="宋体"/>
          <w:sz w:val="24"/>
          <w:szCs w:val="24"/>
        </w:rPr>
      </w:pPr>
      <w:r>
        <w:rPr>
          <w:rFonts w:ascii="宋体" w:hAnsi="宋体"/>
          <w:sz w:val="24"/>
          <w:szCs w:val="24"/>
        </w:rPr>
        <w:t>30.4</w:t>
      </w:r>
      <w:r>
        <w:rPr>
          <w:rFonts w:hint="eastAsia" w:ascii="宋体" w:hAnsi="宋体"/>
          <w:sz w:val="24"/>
          <w:szCs w:val="24"/>
        </w:rPr>
        <w:t>政府采购合同在执行过程中，确需修改、变更时，应当按照相应的审核批准程序办理。</w:t>
      </w:r>
    </w:p>
    <w:p w14:paraId="32778D8D">
      <w:pPr>
        <w:spacing w:line="360" w:lineRule="auto"/>
        <w:ind w:firstLine="480" w:firstLineChars="200"/>
        <w:rPr>
          <w:rFonts w:ascii="宋体" w:hAnsi="宋体"/>
          <w:sz w:val="24"/>
          <w:szCs w:val="24"/>
        </w:rPr>
      </w:pPr>
      <w:r>
        <w:rPr>
          <w:rFonts w:ascii="宋体" w:hAnsi="宋体"/>
          <w:sz w:val="24"/>
          <w:szCs w:val="24"/>
        </w:rPr>
        <w:t xml:space="preserve">30.5 </w:t>
      </w:r>
      <w:r>
        <w:rPr>
          <w:rFonts w:hint="eastAsia" w:ascii="宋体" w:hAnsi="宋体"/>
          <w:sz w:val="24"/>
          <w:szCs w:val="24"/>
        </w:rPr>
        <w:t>招标文件、投标文件、澄清等为政府采购合同的组成部分，具有同等法律效力。</w:t>
      </w:r>
    </w:p>
    <w:p w14:paraId="2B6452F3">
      <w:pPr>
        <w:spacing w:line="360" w:lineRule="auto"/>
        <w:ind w:firstLine="480" w:firstLineChars="200"/>
        <w:rPr>
          <w:rFonts w:ascii="宋体" w:hAnsi="宋体"/>
          <w:sz w:val="24"/>
          <w:szCs w:val="24"/>
        </w:rPr>
      </w:pPr>
      <w:r>
        <w:rPr>
          <w:rFonts w:ascii="宋体" w:hAnsi="宋体"/>
          <w:sz w:val="24"/>
          <w:szCs w:val="24"/>
        </w:rPr>
        <w:t>30.6</w:t>
      </w:r>
      <w:r>
        <w:rPr>
          <w:rFonts w:hint="eastAsia" w:ascii="宋体" w:hAnsi="宋体"/>
          <w:sz w:val="24"/>
          <w:szCs w:val="24"/>
        </w:rPr>
        <w:t>政府采购管理部门在合同履行期间以及履行期后，可以随时检查项目的执行情况，对采购标准、采购内容进行调查核实，并对发现的问题进行处理。</w:t>
      </w:r>
    </w:p>
    <w:p w14:paraId="3A795193">
      <w:pPr>
        <w:pStyle w:val="3"/>
        <w:spacing w:before="0" w:after="0" w:line="420" w:lineRule="exact"/>
        <w:jc w:val="center"/>
        <w:rPr>
          <w:highlight w:val="none"/>
        </w:rPr>
      </w:pPr>
      <w:bookmarkStart w:id="94" w:name="_Toc23258610"/>
      <w:bookmarkStart w:id="95" w:name="_Toc26541327"/>
      <w:r>
        <w:rPr>
          <w:rFonts w:hint="eastAsia"/>
          <w:highlight w:val="none"/>
        </w:rPr>
        <w:t>六、代理服务费</w:t>
      </w:r>
      <w:bookmarkEnd w:id="94"/>
      <w:bookmarkEnd w:id="95"/>
    </w:p>
    <w:bookmarkEnd w:id="84"/>
    <w:bookmarkEnd w:id="85"/>
    <w:bookmarkEnd w:id="86"/>
    <w:bookmarkEnd w:id="87"/>
    <w:bookmarkEnd w:id="88"/>
    <w:bookmarkEnd w:id="89"/>
    <w:bookmarkEnd w:id="90"/>
    <w:bookmarkEnd w:id="91"/>
    <w:bookmarkEnd w:id="92"/>
    <w:p w14:paraId="6A2135E1">
      <w:pPr>
        <w:spacing w:line="420" w:lineRule="exact"/>
        <w:ind w:firstLine="482" w:firstLineChars="200"/>
        <w:rPr>
          <w:rFonts w:ascii="宋体" w:hAnsi="宋体"/>
          <w:b/>
          <w:sz w:val="24"/>
          <w:szCs w:val="24"/>
        </w:rPr>
      </w:pPr>
      <w:bookmarkStart w:id="96" w:name="_Toc144974546"/>
      <w:r>
        <w:rPr>
          <w:rFonts w:ascii="宋体" w:hAnsi="宋体"/>
          <w:b/>
          <w:sz w:val="24"/>
          <w:szCs w:val="24"/>
        </w:rPr>
        <w:t>31</w:t>
      </w:r>
      <w:r>
        <w:rPr>
          <w:rFonts w:hint="eastAsia" w:ascii="宋体" w:hAnsi="宋体"/>
          <w:b/>
          <w:sz w:val="24"/>
          <w:szCs w:val="24"/>
        </w:rPr>
        <w:t>、代理服务费</w:t>
      </w:r>
    </w:p>
    <w:bookmarkEnd w:id="96"/>
    <w:p w14:paraId="0A728932">
      <w:pPr>
        <w:spacing w:line="360" w:lineRule="auto"/>
        <w:ind w:firstLine="600" w:firstLineChars="250"/>
        <w:rPr>
          <w:rFonts w:ascii="宋体" w:hAnsi="宋体"/>
          <w:sz w:val="24"/>
          <w:szCs w:val="24"/>
        </w:rPr>
      </w:pPr>
      <w:r>
        <w:rPr>
          <w:rFonts w:ascii="宋体" w:hAnsi="宋体"/>
          <w:sz w:val="24"/>
          <w:szCs w:val="24"/>
        </w:rPr>
        <w:t>31.1</w:t>
      </w:r>
      <w:r>
        <w:rPr>
          <w:rFonts w:hint="eastAsia" w:ascii="宋体" w:hAnsi="宋体"/>
          <w:sz w:val="24"/>
          <w:szCs w:val="24"/>
        </w:rPr>
        <w:t xml:space="preserve"> 中标人：需先缴纳足额服务费，凭借转账凭证前来领取中标通知书。</w:t>
      </w:r>
    </w:p>
    <w:p w14:paraId="05F0C8DC">
      <w:pPr>
        <w:spacing w:line="360" w:lineRule="auto"/>
        <w:ind w:firstLine="600" w:firstLineChars="250"/>
        <w:rPr>
          <w:rFonts w:hint="eastAsia" w:ascii="宋体" w:hAnsi="宋体" w:eastAsia="宋体"/>
          <w:sz w:val="24"/>
          <w:szCs w:val="24"/>
          <w:lang w:eastAsia="zh-CN"/>
        </w:rPr>
      </w:pPr>
      <w:r>
        <w:rPr>
          <w:rFonts w:ascii="宋体" w:hAnsi="宋体"/>
          <w:sz w:val="24"/>
          <w:szCs w:val="24"/>
        </w:rPr>
        <w:t>31.2</w:t>
      </w:r>
      <w:r>
        <w:rPr>
          <w:rFonts w:hint="eastAsia" w:ascii="宋体" w:hAnsi="宋体"/>
          <w:sz w:val="24"/>
          <w:szCs w:val="24"/>
        </w:rPr>
        <w:t xml:space="preserve"> 中标服务费参照国家发展与改革委员会颁发的《招标代理服务收费管理暂行办法》（计价格[2002]1980号）和（发改办价格[2003]857号）规定标准计取，招标代理服务收费按差额定率累进法计算。</w:t>
      </w:r>
    </w:p>
    <w:p w14:paraId="55360B21">
      <w:pPr>
        <w:pStyle w:val="3"/>
        <w:spacing w:before="0" w:after="0" w:line="400" w:lineRule="exact"/>
        <w:jc w:val="center"/>
      </w:pPr>
      <w:bookmarkStart w:id="97" w:name="_Toc23258611"/>
      <w:bookmarkStart w:id="98" w:name="_Toc26541328"/>
      <w:r>
        <w:rPr>
          <w:rFonts w:hint="eastAsia"/>
        </w:rPr>
        <w:t>七</w:t>
      </w:r>
      <w:r>
        <w:t>、</w:t>
      </w:r>
      <w:r>
        <w:rPr>
          <w:rFonts w:hint="eastAsia"/>
        </w:rPr>
        <w:t>质疑、投诉</w:t>
      </w:r>
      <w:bookmarkEnd w:id="97"/>
      <w:bookmarkEnd w:id="98"/>
    </w:p>
    <w:p w14:paraId="2BD20B8D">
      <w:pPr>
        <w:spacing w:line="400" w:lineRule="exact"/>
        <w:ind w:firstLine="482" w:firstLineChars="200"/>
        <w:rPr>
          <w:rFonts w:ascii="宋体" w:hAnsi="宋体"/>
          <w:b/>
          <w:snapToGrid w:val="0"/>
          <w:sz w:val="24"/>
          <w:szCs w:val="24"/>
        </w:rPr>
      </w:pPr>
      <w:r>
        <w:rPr>
          <w:rFonts w:ascii="宋体" w:hAnsi="宋体"/>
          <w:b/>
          <w:snapToGrid w:val="0"/>
          <w:sz w:val="24"/>
          <w:szCs w:val="24"/>
        </w:rPr>
        <w:t>32</w:t>
      </w:r>
      <w:r>
        <w:rPr>
          <w:rFonts w:hint="eastAsia" w:ascii="宋体" w:hAnsi="宋体"/>
          <w:b/>
          <w:snapToGrid w:val="0"/>
          <w:sz w:val="24"/>
          <w:szCs w:val="24"/>
        </w:rPr>
        <w:t>、质疑、</w:t>
      </w:r>
      <w:r>
        <w:rPr>
          <w:rFonts w:ascii="宋体" w:hAnsi="宋体"/>
          <w:b/>
          <w:snapToGrid w:val="0"/>
          <w:sz w:val="24"/>
          <w:szCs w:val="24"/>
        </w:rPr>
        <w:t>投诉</w:t>
      </w:r>
    </w:p>
    <w:p w14:paraId="2A6264F0">
      <w:pPr>
        <w:spacing w:line="360" w:lineRule="auto"/>
        <w:ind w:firstLine="480" w:firstLineChars="200"/>
        <w:rPr>
          <w:rFonts w:ascii="宋体" w:hAnsi="宋体"/>
          <w:sz w:val="24"/>
          <w:szCs w:val="24"/>
        </w:rPr>
      </w:pPr>
      <w:r>
        <w:rPr>
          <w:rFonts w:hint="eastAsia" w:ascii="宋体" w:hAnsi="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7EB2B35D">
      <w:pPr>
        <w:spacing w:line="360" w:lineRule="auto"/>
        <w:ind w:firstLine="480" w:firstLineChars="200"/>
        <w:rPr>
          <w:rFonts w:ascii="宋体" w:hAnsi="宋体"/>
          <w:sz w:val="24"/>
          <w:szCs w:val="24"/>
        </w:rPr>
      </w:pPr>
      <w:r>
        <w:rPr>
          <w:rFonts w:ascii="宋体" w:hAnsi="宋体"/>
          <w:sz w:val="24"/>
          <w:szCs w:val="24"/>
        </w:rPr>
        <w:t>32.1</w:t>
      </w:r>
      <w:r>
        <w:rPr>
          <w:rFonts w:hint="eastAsia" w:ascii="宋体" w:hAnsi="宋体"/>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760F88F0">
      <w:pPr>
        <w:spacing w:line="360" w:lineRule="auto"/>
        <w:ind w:firstLine="480" w:firstLineChars="200"/>
        <w:rPr>
          <w:rFonts w:ascii="宋体" w:hAnsi="宋体"/>
          <w:sz w:val="24"/>
          <w:szCs w:val="24"/>
        </w:rPr>
      </w:pPr>
      <w:r>
        <w:rPr>
          <w:rFonts w:hint="eastAsia" w:ascii="宋体" w:hAnsi="宋体"/>
          <w:sz w:val="24"/>
          <w:szCs w:val="24"/>
        </w:rPr>
        <w:t>（1）对采购文件提出质疑的，为收到采购文件之日或者采购文件公告期限届满之日；</w:t>
      </w:r>
    </w:p>
    <w:p w14:paraId="06E61F8A">
      <w:pPr>
        <w:spacing w:line="360" w:lineRule="auto"/>
        <w:ind w:firstLine="480" w:firstLineChars="200"/>
        <w:rPr>
          <w:rFonts w:ascii="宋体" w:hAnsi="宋体"/>
          <w:sz w:val="24"/>
          <w:szCs w:val="24"/>
        </w:rPr>
      </w:pPr>
      <w:r>
        <w:rPr>
          <w:rFonts w:hint="eastAsia" w:ascii="宋体" w:hAnsi="宋体"/>
          <w:sz w:val="24"/>
          <w:szCs w:val="24"/>
        </w:rPr>
        <w:t>（2）对采购过程提出质疑的，为各采购程序环节结束之日；</w:t>
      </w:r>
    </w:p>
    <w:p w14:paraId="4D2B693C">
      <w:pPr>
        <w:spacing w:line="360" w:lineRule="auto"/>
        <w:ind w:firstLine="480" w:firstLineChars="200"/>
        <w:rPr>
          <w:rFonts w:ascii="宋体" w:hAnsi="宋体"/>
          <w:sz w:val="24"/>
          <w:szCs w:val="24"/>
        </w:rPr>
      </w:pPr>
      <w:r>
        <w:rPr>
          <w:rFonts w:hint="eastAsia" w:ascii="宋体" w:hAnsi="宋体"/>
          <w:sz w:val="24"/>
          <w:szCs w:val="24"/>
        </w:rPr>
        <w:t>（3）对中标或者成交结果提出质疑的，为中标或者成交结果公告期限届满之日。</w:t>
      </w:r>
    </w:p>
    <w:p w14:paraId="55BC5B42">
      <w:pPr>
        <w:spacing w:line="360" w:lineRule="auto"/>
        <w:ind w:firstLine="480" w:firstLineChars="200"/>
        <w:rPr>
          <w:rFonts w:ascii="宋体" w:hAnsi="宋体"/>
          <w:sz w:val="24"/>
          <w:szCs w:val="24"/>
        </w:rPr>
      </w:pPr>
      <w:r>
        <w:rPr>
          <w:rFonts w:ascii="宋体" w:hAnsi="宋体"/>
          <w:sz w:val="24"/>
          <w:szCs w:val="24"/>
        </w:rPr>
        <w:t>32.2</w:t>
      </w:r>
      <w:r>
        <w:rPr>
          <w:rFonts w:hint="eastAsia" w:ascii="宋体" w:hAnsi="宋体"/>
          <w:sz w:val="24"/>
          <w:szCs w:val="24"/>
        </w:rPr>
        <w:t>供应商应当在法定质疑期内一次性提出针对同一采购程序环节的质疑。</w:t>
      </w:r>
    </w:p>
    <w:p w14:paraId="08919A9B">
      <w:pPr>
        <w:spacing w:line="360" w:lineRule="auto"/>
        <w:ind w:firstLine="480" w:firstLineChars="200"/>
        <w:rPr>
          <w:rFonts w:ascii="宋体" w:hAnsi="宋体"/>
          <w:sz w:val="24"/>
          <w:szCs w:val="24"/>
        </w:rPr>
      </w:pPr>
      <w:r>
        <w:rPr>
          <w:rFonts w:ascii="宋体" w:hAnsi="宋体"/>
          <w:sz w:val="24"/>
          <w:szCs w:val="24"/>
        </w:rPr>
        <w:t>32.3</w:t>
      </w:r>
      <w:r>
        <w:rPr>
          <w:rFonts w:hint="eastAsia" w:ascii="宋体" w:hAnsi="宋体"/>
          <w:sz w:val="24"/>
          <w:szCs w:val="24"/>
        </w:rPr>
        <w:t>质疑函应当包括下列主要内容：</w:t>
      </w:r>
    </w:p>
    <w:p w14:paraId="717E3036">
      <w:pPr>
        <w:spacing w:line="360" w:lineRule="auto"/>
        <w:ind w:firstLine="480" w:firstLineChars="200"/>
        <w:rPr>
          <w:rFonts w:ascii="宋体" w:hAnsi="宋体"/>
          <w:sz w:val="24"/>
          <w:szCs w:val="24"/>
        </w:rPr>
      </w:pPr>
      <w:r>
        <w:rPr>
          <w:rFonts w:hint="eastAsia" w:ascii="宋体" w:hAnsi="宋体"/>
          <w:sz w:val="24"/>
          <w:szCs w:val="24"/>
        </w:rPr>
        <w:t>（1）供应商的姓名或者名称、地址、邮编、联系人及联系电话；</w:t>
      </w:r>
    </w:p>
    <w:p w14:paraId="732FD274">
      <w:pPr>
        <w:spacing w:line="360" w:lineRule="auto"/>
        <w:ind w:firstLine="480" w:firstLineChars="200"/>
        <w:rPr>
          <w:rFonts w:ascii="宋体" w:hAnsi="宋体"/>
          <w:sz w:val="24"/>
          <w:szCs w:val="24"/>
        </w:rPr>
      </w:pPr>
      <w:r>
        <w:rPr>
          <w:rFonts w:hint="eastAsia" w:ascii="宋体" w:hAnsi="宋体"/>
          <w:sz w:val="24"/>
          <w:szCs w:val="24"/>
        </w:rPr>
        <w:t>（2）质疑项目的名称、编号；</w:t>
      </w:r>
    </w:p>
    <w:p w14:paraId="374F719A">
      <w:pPr>
        <w:spacing w:line="360" w:lineRule="auto"/>
        <w:ind w:firstLine="480" w:firstLineChars="200"/>
        <w:rPr>
          <w:rFonts w:ascii="宋体" w:hAnsi="宋体"/>
          <w:sz w:val="24"/>
          <w:szCs w:val="24"/>
        </w:rPr>
      </w:pPr>
      <w:r>
        <w:rPr>
          <w:rFonts w:hint="eastAsia" w:ascii="宋体" w:hAnsi="宋体"/>
          <w:sz w:val="24"/>
          <w:szCs w:val="24"/>
        </w:rPr>
        <w:t>（3）具体、明确的质疑事项和与质疑事项相关的请求；</w:t>
      </w:r>
    </w:p>
    <w:p w14:paraId="4401E0D8">
      <w:pPr>
        <w:spacing w:line="360" w:lineRule="auto"/>
        <w:ind w:firstLine="480" w:firstLineChars="200"/>
        <w:rPr>
          <w:rFonts w:ascii="宋体" w:hAnsi="宋体"/>
          <w:sz w:val="24"/>
          <w:szCs w:val="24"/>
        </w:rPr>
      </w:pPr>
      <w:r>
        <w:rPr>
          <w:rFonts w:hint="eastAsia" w:ascii="宋体" w:hAnsi="宋体"/>
          <w:sz w:val="24"/>
          <w:szCs w:val="24"/>
        </w:rPr>
        <w:t>（4）事实依据；</w:t>
      </w:r>
    </w:p>
    <w:p w14:paraId="3F8AA778">
      <w:pPr>
        <w:spacing w:line="360" w:lineRule="auto"/>
        <w:ind w:firstLine="480" w:firstLineChars="200"/>
        <w:rPr>
          <w:rFonts w:ascii="宋体" w:hAnsi="宋体"/>
          <w:sz w:val="24"/>
          <w:szCs w:val="24"/>
        </w:rPr>
      </w:pPr>
      <w:r>
        <w:rPr>
          <w:rFonts w:hint="eastAsia" w:ascii="宋体" w:hAnsi="宋体"/>
          <w:sz w:val="24"/>
          <w:szCs w:val="24"/>
        </w:rPr>
        <w:t>（5）必要的法律依据；</w:t>
      </w:r>
    </w:p>
    <w:p w14:paraId="13FC1A6C">
      <w:pPr>
        <w:spacing w:line="360" w:lineRule="auto"/>
        <w:ind w:firstLine="480" w:firstLineChars="200"/>
        <w:rPr>
          <w:rFonts w:ascii="宋体" w:hAnsi="宋体"/>
          <w:sz w:val="24"/>
          <w:szCs w:val="24"/>
        </w:rPr>
      </w:pPr>
      <w:r>
        <w:rPr>
          <w:rFonts w:hint="eastAsia" w:ascii="宋体" w:hAnsi="宋体"/>
          <w:sz w:val="24"/>
          <w:szCs w:val="24"/>
        </w:rPr>
        <w:t>（6）提出质疑的日期。</w:t>
      </w:r>
    </w:p>
    <w:p w14:paraId="2AD9C094">
      <w:pPr>
        <w:spacing w:line="360" w:lineRule="auto"/>
        <w:ind w:firstLine="480" w:firstLineChars="200"/>
        <w:rPr>
          <w:rFonts w:ascii="宋体" w:hAnsi="宋体"/>
          <w:sz w:val="24"/>
          <w:szCs w:val="24"/>
        </w:rPr>
      </w:pPr>
      <w:r>
        <w:rPr>
          <w:rFonts w:ascii="宋体" w:hAnsi="宋体"/>
          <w:sz w:val="24"/>
          <w:szCs w:val="24"/>
        </w:rPr>
        <w:t>32.4</w:t>
      </w:r>
      <w:r>
        <w:rPr>
          <w:rFonts w:hint="eastAsia" w:ascii="宋体" w:hAnsi="宋体"/>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7EDA00A5">
      <w:pPr>
        <w:spacing w:line="360" w:lineRule="auto"/>
        <w:ind w:firstLine="480" w:firstLineChars="200"/>
        <w:rPr>
          <w:rFonts w:ascii="宋体" w:hAnsi="宋体"/>
          <w:sz w:val="24"/>
          <w:szCs w:val="24"/>
        </w:rPr>
      </w:pPr>
      <w:r>
        <w:rPr>
          <w:rFonts w:ascii="宋体" w:hAnsi="宋体"/>
          <w:sz w:val="24"/>
          <w:szCs w:val="24"/>
        </w:rPr>
        <w:t>32.5</w:t>
      </w:r>
      <w:r>
        <w:rPr>
          <w:rFonts w:hint="eastAsia" w:ascii="宋体" w:hAnsi="宋体"/>
          <w:sz w:val="24"/>
          <w:szCs w:val="24"/>
        </w:rPr>
        <w:t>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68BDDE18">
      <w:pPr>
        <w:spacing w:line="360" w:lineRule="auto"/>
        <w:ind w:firstLine="480" w:firstLineChars="200"/>
        <w:rPr>
          <w:rFonts w:ascii="宋体" w:hAnsi="宋体"/>
          <w:sz w:val="24"/>
          <w:szCs w:val="24"/>
        </w:rPr>
      </w:pPr>
      <w:r>
        <w:rPr>
          <w:rFonts w:ascii="宋体" w:hAnsi="宋体"/>
          <w:sz w:val="24"/>
          <w:szCs w:val="24"/>
        </w:rPr>
        <w:t>32.6</w:t>
      </w:r>
      <w:r>
        <w:rPr>
          <w:rFonts w:hint="eastAsia" w:ascii="宋体" w:hAnsi="宋体"/>
          <w:sz w:val="24"/>
          <w:szCs w:val="24"/>
        </w:rPr>
        <w:t xml:space="preserve">质疑函接收方式：由自然人本人或法定代表人或者其授权代表携带书面原件及身份证明原件到现场递交，否则不予受理 。 </w:t>
      </w:r>
    </w:p>
    <w:p w14:paraId="28E701FE">
      <w:pPr>
        <w:spacing w:line="360" w:lineRule="auto"/>
        <w:ind w:firstLine="480" w:firstLineChars="200"/>
        <w:rPr>
          <w:rFonts w:hint="eastAsia" w:ascii="宋体" w:hAnsi="宋体" w:eastAsia="宋体"/>
          <w:sz w:val="24"/>
          <w:szCs w:val="24"/>
          <w:lang w:eastAsia="zh-CN"/>
        </w:rPr>
      </w:pPr>
      <w:r>
        <w:rPr>
          <w:rFonts w:ascii="宋体" w:hAnsi="宋体"/>
          <w:sz w:val="24"/>
          <w:szCs w:val="24"/>
        </w:rPr>
        <w:t>32.7</w:t>
      </w:r>
      <w:r>
        <w:rPr>
          <w:rFonts w:hint="eastAsia" w:ascii="宋体" w:hAnsi="宋体"/>
          <w:sz w:val="24"/>
          <w:szCs w:val="24"/>
        </w:rPr>
        <w:t>质疑受理部门：</w:t>
      </w:r>
      <w:r>
        <w:rPr>
          <w:rFonts w:hint="eastAsia" w:ascii="宋体" w:hAnsi="宋体"/>
          <w:sz w:val="24"/>
          <w:szCs w:val="24"/>
          <w:lang w:eastAsia="zh-CN"/>
        </w:rPr>
        <w:t>安康市兴盛工程造价咨询有限公司</w:t>
      </w:r>
    </w:p>
    <w:p w14:paraId="0E9B249C">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 xml:space="preserve">   质疑受理电话：</w:t>
      </w:r>
      <w:r>
        <w:rPr>
          <w:rFonts w:hint="eastAsia" w:ascii="宋体" w:hAnsi="宋体"/>
          <w:sz w:val="24"/>
          <w:szCs w:val="24"/>
          <w:lang w:val="en-US" w:eastAsia="zh-CN"/>
        </w:rPr>
        <w:t>15229550225</w:t>
      </w:r>
    </w:p>
    <w:p w14:paraId="32047056">
      <w:pPr>
        <w:spacing w:line="360" w:lineRule="auto"/>
        <w:ind w:firstLine="480" w:firstLineChars="200"/>
        <w:rPr>
          <w:rFonts w:hint="eastAsia" w:ascii="宋体" w:hAnsi="宋体"/>
          <w:sz w:val="24"/>
          <w:szCs w:val="24"/>
          <w:lang w:eastAsia="zh-CN"/>
        </w:rPr>
      </w:pPr>
      <w:r>
        <w:rPr>
          <w:rFonts w:ascii="宋体" w:hAnsi="宋体"/>
          <w:sz w:val="24"/>
          <w:szCs w:val="24"/>
        </w:rPr>
        <w:t>32.8</w:t>
      </w:r>
      <w:r>
        <w:rPr>
          <w:rFonts w:hint="eastAsia" w:ascii="宋体" w:hAnsi="宋体"/>
          <w:sz w:val="24"/>
          <w:szCs w:val="24"/>
        </w:rPr>
        <w:t>提交质疑函地点：</w:t>
      </w:r>
      <w:r>
        <w:rPr>
          <w:rFonts w:hint="eastAsia" w:ascii="宋体" w:hAnsi="宋体"/>
          <w:sz w:val="24"/>
          <w:szCs w:val="24"/>
          <w:lang w:eastAsia="zh-CN"/>
        </w:rPr>
        <w:t>安康市汉滨区大桥路4号鑫街口410室</w:t>
      </w:r>
    </w:p>
    <w:p w14:paraId="1F0D8882">
      <w:pPr>
        <w:spacing w:line="360" w:lineRule="auto"/>
        <w:ind w:firstLine="480" w:firstLineChars="200"/>
        <w:rPr>
          <w:rFonts w:ascii="宋体" w:hAnsi="宋体"/>
          <w:sz w:val="24"/>
          <w:szCs w:val="24"/>
        </w:rPr>
      </w:pPr>
      <w:r>
        <w:rPr>
          <w:rFonts w:ascii="宋体" w:hAnsi="宋体"/>
          <w:sz w:val="24"/>
          <w:szCs w:val="24"/>
        </w:rPr>
        <w:t>32.9</w:t>
      </w:r>
      <w:r>
        <w:rPr>
          <w:rFonts w:hint="eastAsia" w:ascii="宋体" w:hAnsi="宋体"/>
          <w:sz w:val="24"/>
          <w:szCs w:val="24"/>
        </w:rPr>
        <w:t>本次采购活动中，采购代理机构对质疑函回复的书面文件的送达方式为现场取件。</w:t>
      </w:r>
    </w:p>
    <w:p w14:paraId="08543E2A">
      <w:pPr>
        <w:spacing w:line="360" w:lineRule="auto"/>
        <w:ind w:firstLine="480" w:firstLineChars="200"/>
        <w:rPr>
          <w:rFonts w:ascii="宋体" w:hAnsi="宋体"/>
          <w:sz w:val="24"/>
          <w:szCs w:val="24"/>
        </w:rPr>
      </w:pPr>
      <w:r>
        <w:rPr>
          <w:rFonts w:hint="eastAsia" w:ascii="宋体" w:hAnsi="宋体"/>
          <w:sz w:val="24"/>
          <w:szCs w:val="24"/>
        </w:rPr>
        <w:t>如所质疑的问题比较复杂，采购人或者采购代理机构在规定的答复时间内无法回复，应事先告知提出质疑的供应商，同时向同级政府采购监督管理部门报告。</w:t>
      </w:r>
    </w:p>
    <w:p w14:paraId="5C6BA324">
      <w:pPr>
        <w:spacing w:line="360" w:lineRule="auto"/>
        <w:ind w:firstLine="480" w:firstLineChars="200"/>
        <w:rPr>
          <w:rFonts w:ascii="宋体" w:hAnsi="宋体"/>
          <w:sz w:val="24"/>
          <w:szCs w:val="24"/>
        </w:rPr>
      </w:pPr>
      <w:r>
        <w:rPr>
          <w:rFonts w:ascii="宋体" w:hAnsi="宋体"/>
          <w:sz w:val="24"/>
          <w:szCs w:val="24"/>
        </w:rPr>
        <w:t>32.10</w:t>
      </w:r>
      <w:r>
        <w:rPr>
          <w:rFonts w:hint="eastAsia" w:ascii="宋体" w:hAnsi="宋体"/>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7F9F4AEB">
      <w:pPr>
        <w:spacing w:line="360" w:lineRule="auto"/>
        <w:ind w:firstLine="480" w:firstLineChars="200"/>
        <w:rPr>
          <w:rFonts w:hint="eastAsia" w:ascii="宋体" w:hAnsi="宋体" w:eastAsia="宋体"/>
          <w:sz w:val="24"/>
          <w:szCs w:val="24"/>
          <w:lang w:eastAsia="zh-CN"/>
        </w:rPr>
      </w:pPr>
      <w:r>
        <w:rPr>
          <w:rFonts w:ascii="宋体" w:hAnsi="宋体"/>
          <w:sz w:val="24"/>
          <w:szCs w:val="24"/>
        </w:rPr>
        <w:t>32.11</w:t>
      </w:r>
      <w:r>
        <w:rPr>
          <w:rFonts w:hint="eastAsia" w:ascii="宋体" w:hAnsi="宋体"/>
          <w:sz w:val="24"/>
          <w:szCs w:val="24"/>
        </w:rPr>
        <w:t xml:space="preserve"> 质疑函应当使用中文。质疑函范本详见财政部制定的范本</w:t>
      </w:r>
      <w:r>
        <w:rPr>
          <w:rFonts w:hint="eastAsia" w:ascii="宋体" w:hAnsi="宋体"/>
          <w:sz w:val="24"/>
          <w:szCs w:val="24"/>
          <w:lang w:eastAsia="zh-CN"/>
        </w:rPr>
        <w:t>。</w:t>
      </w:r>
    </w:p>
    <w:p w14:paraId="6580F189">
      <w:pPr>
        <w:pStyle w:val="3"/>
        <w:spacing w:before="0" w:after="0" w:line="400" w:lineRule="exact"/>
        <w:jc w:val="center"/>
      </w:pPr>
      <w:bookmarkStart w:id="99" w:name="_Toc23258612"/>
      <w:bookmarkStart w:id="100" w:name="_Toc26541329"/>
      <w:r>
        <w:rPr>
          <w:rFonts w:hint="eastAsia"/>
        </w:rPr>
        <w:t>八、采购政策</w:t>
      </w:r>
      <w:bookmarkEnd w:id="99"/>
      <w:bookmarkEnd w:id="100"/>
    </w:p>
    <w:p w14:paraId="24B48E40">
      <w:pPr>
        <w:spacing w:line="400" w:lineRule="exact"/>
        <w:rPr>
          <w:rFonts w:ascii="宋体" w:hAnsi="宋体"/>
          <w:b/>
          <w:snapToGrid w:val="0"/>
          <w:sz w:val="24"/>
          <w:szCs w:val="24"/>
        </w:rPr>
      </w:pPr>
      <w:r>
        <w:rPr>
          <w:rFonts w:ascii="宋体" w:hAnsi="宋体"/>
          <w:b/>
          <w:snapToGrid w:val="0"/>
          <w:sz w:val="24"/>
          <w:szCs w:val="24"/>
        </w:rPr>
        <w:t>33</w:t>
      </w:r>
      <w:r>
        <w:rPr>
          <w:rFonts w:hint="eastAsia" w:ascii="宋体" w:hAnsi="宋体"/>
          <w:b/>
          <w:snapToGrid w:val="0"/>
          <w:sz w:val="24"/>
          <w:szCs w:val="24"/>
        </w:rPr>
        <w:t>.采购政策</w:t>
      </w:r>
    </w:p>
    <w:p w14:paraId="25E281F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2842238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依据</w:t>
      </w:r>
      <w:r>
        <w:rPr>
          <w:rFonts w:hint="eastAsia" w:ascii="宋体" w:hAnsi="宋体" w:eastAsia="宋体" w:cs="宋体"/>
          <w:i w:val="0"/>
          <w:iCs w:val="0"/>
          <w:caps w:val="0"/>
          <w:color w:val="333333"/>
          <w:spacing w:val="0"/>
          <w:sz w:val="24"/>
          <w:szCs w:val="24"/>
          <w:shd w:val="clear" w:fill="FFFFFF"/>
        </w:rPr>
        <w:t>《政府采购促进中小企业发展管理办法》（财库〔2020〕46号）的有关规定，</w:t>
      </w:r>
      <w:r>
        <w:rPr>
          <w:rFonts w:hint="eastAsia" w:ascii="宋体" w:hAnsi="宋体" w:eastAsia="宋体" w:cs="宋体"/>
          <w:i w:val="0"/>
          <w:iCs w:val="0"/>
          <w:caps w:val="0"/>
          <w:color w:val="333333"/>
          <w:spacing w:val="0"/>
          <w:sz w:val="24"/>
          <w:szCs w:val="24"/>
          <w:shd w:val="clear" w:fill="FFFFFF"/>
          <w:lang w:val="en-US" w:eastAsia="zh-CN"/>
        </w:rPr>
        <w:t>在政府采购活动中投标人为</w:t>
      </w:r>
      <w:r>
        <w:rPr>
          <w:rFonts w:hint="eastAsia" w:ascii="宋体" w:hAnsi="宋体" w:eastAsia="宋体" w:cs="宋体"/>
          <w:i w:val="0"/>
          <w:iCs w:val="0"/>
          <w:caps w:val="0"/>
          <w:color w:val="333333"/>
          <w:spacing w:val="0"/>
          <w:sz w:val="24"/>
          <w:szCs w:val="24"/>
          <w:shd w:val="clear" w:fill="FFFFFF"/>
        </w:rPr>
        <w:t>小型和微型企业</w:t>
      </w:r>
      <w:r>
        <w:rPr>
          <w:rFonts w:hint="eastAsia" w:ascii="宋体" w:hAnsi="宋体" w:eastAsia="宋体" w:cs="宋体"/>
          <w:i w:val="0"/>
          <w:iCs w:val="0"/>
          <w:caps w:val="0"/>
          <w:color w:val="333333"/>
          <w:spacing w:val="0"/>
          <w:sz w:val="24"/>
          <w:szCs w:val="24"/>
          <w:shd w:val="clear" w:fill="FFFFFF"/>
          <w:lang w:val="en-US" w:eastAsia="zh-CN"/>
        </w:rPr>
        <w:t>的，</w:t>
      </w:r>
      <w:r>
        <w:rPr>
          <w:rFonts w:hint="eastAsia" w:ascii="宋体" w:hAnsi="宋体" w:eastAsia="宋体" w:cs="宋体"/>
          <w:i w:val="0"/>
          <w:iCs w:val="0"/>
          <w:caps w:val="0"/>
          <w:color w:val="333333"/>
          <w:spacing w:val="0"/>
          <w:sz w:val="24"/>
          <w:szCs w:val="24"/>
          <w:shd w:val="clear" w:fill="FFFFFF"/>
        </w:rPr>
        <w:t>对价格给予</w:t>
      </w:r>
      <w:r>
        <w:rPr>
          <w:rFonts w:hint="eastAsia" w:ascii="宋体" w:hAnsi="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%的价格扣除，用扣除后的价格参与评标</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所投</w:t>
      </w:r>
      <w:r>
        <w:rPr>
          <w:rFonts w:hint="eastAsia" w:ascii="宋体" w:hAnsi="宋体" w:eastAsia="宋体" w:cs="宋体"/>
          <w:i w:val="0"/>
          <w:iCs w:val="0"/>
          <w:caps w:val="0"/>
          <w:color w:val="333333"/>
          <w:spacing w:val="0"/>
          <w:sz w:val="24"/>
          <w:szCs w:val="24"/>
          <w:shd w:val="clear" w:fill="FFFFFF"/>
        </w:rPr>
        <w:t>的货物</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承</w:t>
      </w:r>
      <w:r>
        <w:rPr>
          <w:rFonts w:hint="eastAsia" w:ascii="宋体" w:hAnsi="宋体" w:eastAsia="宋体" w:cs="宋体"/>
          <w:i w:val="0"/>
          <w:iCs w:val="0"/>
          <w:caps w:val="0"/>
          <w:color w:val="333333"/>
          <w:spacing w:val="0"/>
          <w:sz w:val="24"/>
          <w:szCs w:val="24"/>
          <w:shd w:val="clear" w:fill="FFFFFF"/>
          <w:lang w:val="en-US" w:eastAsia="zh-CN"/>
        </w:rPr>
        <w:t>建</w:t>
      </w:r>
      <w:r>
        <w:rPr>
          <w:rFonts w:hint="eastAsia" w:ascii="宋体" w:hAnsi="宋体" w:eastAsia="宋体" w:cs="宋体"/>
          <w:i w:val="0"/>
          <w:iCs w:val="0"/>
          <w:caps w:val="0"/>
          <w:color w:val="333333"/>
          <w:spacing w:val="0"/>
          <w:sz w:val="24"/>
          <w:szCs w:val="24"/>
          <w:shd w:val="clear" w:fill="FFFFFF"/>
        </w:rPr>
        <w:t>的工程</w:t>
      </w:r>
      <w:r>
        <w:rPr>
          <w:rFonts w:hint="eastAsia" w:ascii="宋体" w:hAnsi="宋体" w:eastAsia="宋体" w:cs="宋体"/>
          <w:i w:val="0"/>
          <w:iCs w:val="0"/>
          <w:caps w:val="0"/>
          <w:color w:val="333333"/>
          <w:spacing w:val="0"/>
          <w:sz w:val="24"/>
          <w:szCs w:val="24"/>
          <w:shd w:val="clear" w:fill="FFFFFF"/>
          <w:lang w:val="en-US" w:eastAsia="zh-CN"/>
        </w:rPr>
        <w:t>/承接的</w:t>
      </w:r>
      <w:r>
        <w:rPr>
          <w:rFonts w:hint="eastAsia" w:ascii="宋体" w:hAnsi="宋体" w:eastAsia="宋体" w:cs="宋体"/>
          <w:i w:val="0"/>
          <w:iCs w:val="0"/>
          <w:caps w:val="0"/>
          <w:color w:val="333333"/>
          <w:spacing w:val="0"/>
          <w:sz w:val="24"/>
          <w:szCs w:val="24"/>
          <w:shd w:val="clear" w:fill="FFFFFF"/>
        </w:rPr>
        <w:t>服务</w:t>
      </w:r>
      <w:r>
        <w:rPr>
          <w:rFonts w:hint="eastAsia" w:ascii="宋体" w:hAnsi="宋体" w:eastAsia="宋体" w:cs="宋体"/>
          <w:i w:val="0"/>
          <w:iCs w:val="0"/>
          <w:caps w:val="0"/>
          <w:color w:val="333333"/>
          <w:spacing w:val="0"/>
          <w:sz w:val="24"/>
          <w:szCs w:val="24"/>
          <w:shd w:val="clear" w:fill="FFFFFF"/>
          <w:lang w:val="en-US" w:eastAsia="zh-CN"/>
        </w:rPr>
        <w:t>由</w:t>
      </w:r>
      <w:r>
        <w:rPr>
          <w:rFonts w:hint="eastAsia" w:ascii="宋体" w:hAnsi="宋体" w:eastAsia="宋体" w:cs="宋体"/>
          <w:i w:val="0"/>
          <w:iCs w:val="0"/>
          <w:caps w:val="0"/>
          <w:color w:val="333333"/>
          <w:spacing w:val="0"/>
          <w:sz w:val="24"/>
          <w:szCs w:val="24"/>
          <w:shd w:val="clear" w:fill="FFFFFF"/>
        </w:rPr>
        <w:t>小型和微型</w:t>
      </w:r>
      <w:r>
        <w:rPr>
          <w:rFonts w:hint="eastAsia" w:ascii="宋体" w:hAnsi="宋体" w:eastAsia="宋体" w:cs="宋体"/>
          <w:i w:val="0"/>
          <w:iCs w:val="0"/>
          <w:caps w:val="0"/>
          <w:color w:val="333333"/>
          <w:spacing w:val="0"/>
          <w:sz w:val="24"/>
          <w:szCs w:val="24"/>
          <w:shd w:val="clear" w:fill="FFFFFF"/>
          <w:lang w:val="en-US" w:eastAsia="zh-CN"/>
        </w:rPr>
        <w:t>提供</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w:t>
      </w:r>
    </w:p>
    <w:p w14:paraId="6789A68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（2）根据财政部、司法部联合下发的《关于政府采购支持监狱企业发展有关问题的通知》（财库〔2014〕68号）的规定，监狱企业视同小型、微型企业。评标时，对监狱企业给与</w:t>
      </w:r>
      <w:r>
        <w:rPr>
          <w:rFonts w:hint="eastAsia" w:ascii="宋体" w:hAnsi="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%的价格扣除，用扣除后的价格参与评审；</w:t>
      </w:r>
    </w:p>
    <w:p w14:paraId="16A2C67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460D0B80">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w:t>
      </w:r>
      <w:r>
        <w:rPr>
          <w:rFonts w:hint="eastAsia" w:ascii="宋体" w:hAnsi="宋体"/>
          <w:sz w:val="24"/>
          <w:szCs w:val="24"/>
          <w:lang w:eastAsia="zh-CN"/>
        </w:rPr>
        <w:t>优惠</w:t>
      </w:r>
      <w:r>
        <w:rPr>
          <w:rFonts w:hint="eastAsia" w:ascii="宋体" w:hAnsi="宋体"/>
          <w:sz w:val="24"/>
          <w:szCs w:val="24"/>
        </w:rPr>
        <w:t>，但不影响投标文件的有效性,对既属于监狱企业、福利企业，同时又满足中小微企业规定的投标单位，其价格</w:t>
      </w:r>
      <w:r>
        <w:rPr>
          <w:rFonts w:hint="eastAsia" w:ascii="宋体" w:hAnsi="宋体"/>
          <w:sz w:val="24"/>
          <w:szCs w:val="24"/>
          <w:lang w:eastAsia="zh-CN"/>
        </w:rPr>
        <w:t>优惠</w:t>
      </w:r>
      <w:r>
        <w:rPr>
          <w:rFonts w:hint="eastAsia" w:ascii="宋体" w:hAnsi="宋体"/>
          <w:sz w:val="24"/>
          <w:szCs w:val="24"/>
        </w:rPr>
        <w:t>仅适用一次。</w:t>
      </w:r>
    </w:p>
    <w:p w14:paraId="68AEA1AD">
      <w:pPr>
        <w:spacing w:line="360" w:lineRule="auto"/>
        <w:ind w:firstLine="480" w:firstLineChars="200"/>
        <w:rPr>
          <w:rFonts w:ascii="宋体" w:hAnsi="宋体"/>
          <w:sz w:val="24"/>
          <w:szCs w:val="24"/>
        </w:rPr>
      </w:pPr>
      <w:r>
        <w:rPr>
          <w:rFonts w:hint="eastAsia" w:ascii="宋体" w:hAnsi="宋体"/>
          <w:sz w:val="24"/>
          <w:szCs w:val="24"/>
        </w:rPr>
        <w:t>(4) ①根据财政部、国家发展改革委《关于印发〈节能产品政府采购实施意见〉的通知》（财库〔2004〕185号）所投产品属于节能产品政府采购清单所列产品，在技术、服务同等的条件下，应当优先采用清单中的节能产品；</w:t>
      </w:r>
    </w:p>
    <w:p w14:paraId="11855A32">
      <w:pPr>
        <w:spacing w:line="360" w:lineRule="auto"/>
        <w:ind w:firstLine="480" w:firstLineChars="200"/>
        <w:rPr>
          <w:rFonts w:ascii="宋体" w:hAnsi="宋体"/>
          <w:sz w:val="24"/>
          <w:szCs w:val="24"/>
        </w:rPr>
      </w:pPr>
      <w:r>
        <w:rPr>
          <w:rFonts w:hint="eastAsia" w:ascii="宋体" w:hAnsi="宋体"/>
          <w:sz w:val="24"/>
          <w:szCs w:val="24"/>
        </w:rPr>
        <w:t>②所投产品为“环境标志产品政府采购清单”所列产品，在性能、技术、服务等指标同等的条件下，应当优先采用；</w:t>
      </w:r>
    </w:p>
    <w:p w14:paraId="1B73B6EA">
      <w:pPr>
        <w:spacing w:line="360" w:lineRule="auto"/>
        <w:ind w:firstLine="480" w:firstLineChars="200"/>
        <w:rPr>
          <w:rFonts w:ascii="宋体" w:hAnsi="宋体"/>
          <w:sz w:val="24"/>
          <w:szCs w:val="24"/>
        </w:rPr>
      </w:pPr>
      <w:r>
        <w:rPr>
          <w:rFonts w:hint="eastAsia" w:ascii="宋体" w:hAnsi="宋体"/>
          <w:sz w:val="24"/>
          <w:szCs w:val="24"/>
        </w:rPr>
        <w:t>③节能产品根据《国务院办公厅关于建立政府强制采购节能产品制度的通知》（国办发（2007）51号的规定，以中国政府采购网（http://www.ccgp.gov.cn/）公布的最新一期节能产品政府采购清单为准；</w:t>
      </w:r>
    </w:p>
    <w:p w14:paraId="5D206D87">
      <w:pPr>
        <w:spacing w:line="360" w:lineRule="auto"/>
        <w:ind w:firstLine="480" w:firstLineChars="200"/>
        <w:rPr>
          <w:rFonts w:ascii="宋体" w:hAnsi="宋体"/>
          <w:sz w:val="24"/>
          <w:szCs w:val="24"/>
        </w:rPr>
      </w:pPr>
      <w:r>
        <w:rPr>
          <w:rFonts w:hint="eastAsia" w:ascii="宋体" w:hAnsi="宋体"/>
          <w:sz w:val="24"/>
          <w:szCs w:val="24"/>
        </w:rPr>
        <w:t>④环境标志产品根据《环境标志产品政府采购实施的意见》（财库[2006]90号）的规定，以中国政府采购网（http://www.ccgp.gov.cn/）公布的最新一期环境标志产品政府采购清单为准；</w:t>
      </w:r>
    </w:p>
    <w:p w14:paraId="6C6FA0E9">
      <w:pPr>
        <w:spacing w:line="360" w:lineRule="auto"/>
        <w:ind w:firstLine="480" w:firstLineChars="200"/>
        <w:rPr>
          <w:rFonts w:ascii="宋体" w:hAnsi="宋体"/>
          <w:sz w:val="24"/>
          <w:szCs w:val="24"/>
        </w:rPr>
      </w:pPr>
      <w:r>
        <w:rPr>
          <w:rFonts w:hint="eastAsia" w:ascii="宋体" w:hAnsi="宋体"/>
          <w:sz w:val="24"/>
          <w:szCs w:val="24"/>
        </w:rPr>
        <w:t>⑤若节能、环保、环境标志清单内的产品仅是构成投标产品的部件、组件或零件的，则该投标产品不享受鼓励优惠政策；</w:t>
      </w:r>
    </w:p>
    <w:p w14:paraId="2457BEDB">
      <w:pPr>
        <w:ind w:firstLine="480" w:firstLineChars="200"/>
        <w:rPr>
          <w:rFonts w:ascii="Calibri" w:hAnsi="Calibri"/>
        </w:rPr>
      </w:pPr>
      <w:r>
        <w:rPr>
          <w:rFonts w:hint="eastAsia" w:ascii="宋体" w:hAnsi="宋体"/>
          <w:sz w:val="24"/>
          <w:szCs w:val="24"/>
        </w:rPr>
        <w:t>（6）</w:t>
      </w:r>
      <w:r>
        <w:rPr>
          <w:rFonts w:ascii="宋体" w:hAnsi="宋体"/>
          <w:sz w:val="24"/>
          <w:szCs w:val="24"/>
        </w:rPr>
        <w:t>关于信用记录的查询和使用</w:t>
      </w:r>
    </w:p>
    <w:p w14:paraId="7A5CDBE8">
      <w:pPr>
        <w:spacing w:line="360" w:lineRule="auto"/>
        <w:ind w:firstLine="480" w:firstLineChars="200"/>
        <w:rPr>
          <w:rFonts w:ascii="宋体" w:hAnsi="宋体"/>
          <w:sz w:val="24"/>
          <w:szCs w:val="24"/>
        </w:rPr>
      </w:pPr>
      <w:r>
        <w:rPr>
          <w:rFonts w:hint="eastAsia" w:ascii="宋体" w:hAnsi="宋体"/>
          <w:sz w:val="24"/>
          <w:szCs w:val="24"/>
        </w:rPr>
        <w:t>1、采购人将在</w:t>
      </w:r>
      <w:r>
        <w:rPr>
          <w:rFonts w:ascii="宋体" w:hAnsi="宋体"/>
          <w:sz w:val="24"/>
          <w:szCs w:val="24"/>
        </w:rPr>
        <w:t>资格审查</w:t>
      </w:r>
      <w:r>
        <w:rPr>
          <w:rFonts w:hint="eastAsia" w:ascii="宋体" w:hAnsi="宋体"/>
          <w:sz w:val="24"/>
          <w:szCs w:val="24"/>
        </w:rPr>
        <w:t>阶段通过【</w:t>
      </w:r>
      <w:r>
        <w:fldChar w:fldCharType="begin"/>
      </w:r>
      <w:r>
        <w:instrText xml:space="preserve"> HYPERLINK "http://www.creditchina.gov.cn" </w:instrText>
      </w:r>
      <w:r>
        <w:fldChar w:fldCharType="separate"/>
      </w:r>
      <w:r>
        <w:rPr>
          <w:rFonts w:hint="eastAsia" w:ascii="宋体" w:hAnsi="宋体"/>
          <w:sz w:val="24"/>
          <w:szCs w:val="24"/>
        </w:rPr>
        <w:t>信用中国</w:t>
      </w:r>
      <w:r>
        <w:rPr>
          <w:rFonts w:hint="eastAsia" w:ascii="宋体" w:hAnsi="宋体"/>
          <w:sz w:val="24"/>
          <w:szCs w:val="24"/>
        </w:rPr>
        <w:fldChar w:fldCharType="end"/>
      </w:r>
      <w:r>
        <w:rPr>
          <w:rFonts w:hint="eastAsia" w:ascii="宋体" w:hAnsi="宋体"/>
          <w:sz w:val="24"/>
          <w:szCs w:val="24"/>
        </w:rPr>
        <w:t>（www.creditchina.gov.cn）】、【</w:t>
      </w:r>
      <w:r>
        <w:fldChar w:fldCharType="begin"/>
      </w:r>
      <w:r>
        <w:instrText xml:space="preserve"> HYPERLINK "http://www.ccgp.gov.cn/cr/list" </w:instrText>
      </w:r>
      <w:r>
        <w:fldChar w:fldCharType="separate"/>
      </w:r>
      <w:r>
        <w:rPr>
          <w:rFonts w:hint="eastAsia" w:ascii="宋体" w:hAnsi="宋体"/>
          <w:sz w:val="24"/>
          <w:szCs w:val="24"/>
        </w:rPr>
        <w:t>中国政府采购网</w:t>
      </w:r>
      <w:r>
        <w:rPr>
          <w:rFonts w:hint="eastAsia" w:ascii="宋体" w:hAnsi="宋体"/>
          <w:sz w:val="24"/>
          <w:szCs w:val="24"/>
        </w:rPr>
        <w:fldChar w:fldCharType="end"/>
      </w:r>
      <w:r>
        <w:rPr>
          <w:rFonts w:hint="eastAsia" w:ascii="宋体" w:hAnsi="宋体"/>
          <w:sz w:val="24"/>
          <w:szCs w:val="24"/>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4A26E435">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、投标人在参加政府采购活动前3年内因违法经营被禁止在一定期限内参加政府采购活动，期限届满的，可以参加政府采购活动的，但投标人应提供相关证明材料；</w:t>
      </w:r>
    </w:p>
    <w:p w14:paraId="4AC91489">
      <w:pPr>
        <w:spacing w:line="360" w:lineRule="auto"/>
        <w:ind w:firstLine="480" w:firstLineChars="200"/>
        <w:rPr>
          <w:rFonts w:ascii="宋体" w:hAnsi="宋体"/>
          <w:sz w:val="24"/>
          <w:szCs w:val="24"/>
        </w:rPr>
      </w:pPr>
      <w:r>
        <w:rPr>
          <w:rFonts w:ascii="宋体" w:hAnsi="宋体"/>
          <w:sz w:val="24"/>
          <w:szCs w:val="24"/>
        </w:rPr>
        <w:t>3、信用记录查询的截止时点为“</w:t>
      </w:r>
      <w:r>
        <w:rPr>
          <w:rFonts w:hint="eastAsia" w:ascii="宋体" w:hAnsi="宋体"/>
          <w:sz w:val="24"/>
          <w:szCs w:val="24"/>
        </w:rPr>
        <w:t>招标文件发售之日起至投标截止日前</w:t>
      </w:r>
      <w:r>
        <w:rPr>
          <w:rFonts w:ascii="宋体" w:hAnsi="宋体"/>
          <w:sz w:val="24"/>
          <w:szCs w:val="24"/>
        </w:rPr>
        <w:t>”。</w:t>
      </w:r>
      <w:r>
        <w:rPr>
          <w:rFonts w:hint="eastAsia" w:ascii="宋体" w:hAnsi="宋体"/>
          <w:sz w:val="24"/>
          <w:szCs w:val="24"/>
        </w:rPr>
        <w:t>信用记录查询的结果，将以纸质截图或将截图保存至电子介质的形式留存。投标人未如实填报《投标人书面声明函》的，视为“投标人提供虚假材料谋取中标、成交的”行为。</w:t>
      </w:r>
      <w:bookmarkEnd w:id="81"/>
      <w:bookmarkEnd w:id="82"/>
      <w:bookmarkEnd w:id="83"/>
      <w:bookmarkEnd w:id="93"/>
    </w:p>
    <w:p w14:paraId="7348AE7C">
      <w:pPr>
        <w:pStyle w:val="3"/>
        <w:spacing w:before="0" w:after="0" w:line="440" w:lineRule="exact"/>
        <w:jc w:val="center"/>
      </w:pPr>
      <w:bookmarkStart w:id="101" w:name="_Toc23258613"/>
      <w:bookmarkStart w:id="102" w:name="_Toc26541330"/>
      <w:r>
        <w:rPr>
          <w:rFonts w:hint="eastAsia"/>
        </w:rPr>
        <w:t>九</w:t>
      </w:r>
      <w:r>
        <w:t>、</w:t>
      </w:r>
      <w:r>
        <w:rPr>
          <w:rFonts w:hint="eastAsia"/>
        </w:rPr>
        <w:t>其它事项</w:t>
      </w:r>
      <w:bookmarkEnd w:id="101"/>
      <w:bookmarkEnd w:id="102"/>
    </w:p>
    <w:p w14:paraId="2317D39B">
      <w:pPr>
        <w:spacing w:line="440" w:lineRule="exact"/>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34</w:t>
      </w:r>
      <w:r>
        <w:rPr>
          <w:rFonts w:hint="eastAsia" w:ascii="宋体" w:hAnsi="宋体"/>
          <w:b/>
          <w:color w:val="000000" w:themeColor="text1"/>
          <w:sz w:val="24"/>
          <w:szCs w:val="24"/>
          <w14:textFill>
            <w14:solidFill>
              <w14:schemeClr w14:val="tx1"/>
            </w14:solidFill>
          </w14:textFill>
        </w:rPr>
        <w:t>、其它事项</w:t>
      </w:r>
    </w:p>
    <w:p w14:paraId="011E4BD2">
      <w:pPr>
        <w:spacing w:line="360" w:lineRule="auto"/>
        <w:ind w:firstLine="240" w:firstLineChars="1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34.1</w:t>
      </w:r>
      <w:r>
        <w:rPr>
          <w:rFonts w:hint="eastAsia" w:ascii="宋体" w:hAnsi="宋体"/>
          <w:color w:val="000000" w:themeColor="text1"/>
          <w:sz w:val="24"/>
          <w:szCs w:val="24"/>
          <w14:textFill>
            <w14:solidFill>
              <w14:schemeClr w14:val="tx1"/>
            </w14:solidFill>
          </w14:textFill>
        </w:rPr>
        <w:t>投标截止时间结束后参加投标的供应商不足三家的，除采购任务取消情形外，招标采购单位应当报告财政管理部门，由财政管理部门按照以下原则处理：</w:t>
      </w:r>
    </w:p>
    <w:p w14:paraId="75C1FE6B">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（1）招标文件没有不合理条款、招标公告时间及程序符合规定的，同意采取竞争性谈判、询价或者单一来源方式采购；</w:t>
      </w:r>
    </w:p>
    <w:p w14:paraId="7C33F60E">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（2）招标文件存在不合理条款的，招标公告时间及程序不符合规定的，应予废标，并责成招标采购单位依法重新招标。</w:t>
      </w:r>
    </w:p>
    <w:p w14:paraId="562E52BA">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在评标期间，出现符合专业条件的供应商或者对招标文件作出实质响应的供应商不足三家情形的，可以比照前款规定执行。</w:t>
      </w:r>
    </w:p>
    <w:p w14:paraId="503383D6">
      <w:pPr>
        <w:spacing w:line="360" w:lineRule="auto"/>
        <w:ind w:firstLine="240" w:firstLineChars="1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34.2 </w:t>
      </w:r>
      <w:r>
        <w:rPr>
          <w:rFonts w:hint="eastAsia" w:ascii="宋体" w:hAnsi="宋体"/>
          <w:color w:val="000000" w:themeColor="text1"/>
          <w:sz w:val="24"/>
          <w:szCs w:val="24"/>
          <w14:textFill>
            <w14:solidFill>
              <w14:schemeClr w14:val="tx1"/>
            </w14:solidFill>
          </w14:textFill>
        </w:rPr>
        <w:t>中标或者成交供应商拒绝与采购人签订合同的，采购人可以按照评审报告推荐的中标或者成交候选单位名单排序，确定下一候选人为中标或者成交供应商，也可以重新开展政府采购活动。</w:t>
      </w:r>
    </w:p>
    <w:p w14:paraId="589458DD">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br w:type="page"/>
      </w:r>
    </w:p>
    <w:p w14:paraId="62537DB5">
      <w:pPr>
        <w:pStyle w:val="2"/>
        <w:tabs>
          <w:tab w:val="left" w:pos="305"/>
          <w:tab w:val="center" w:pos="4598"/>
        </w:tabs>
        <w:spacing w:before="240" w:after="240" w:line="360" w:lineRule="auto"/>
        <w:jc w:val="both"/>
        <w:rPr>
          <w:rFonts w:hint="eastAsia" w:ascii="宋体" w:hAnsi="宋体" w:cs="Times New Roman"/>
          <w:b/>
          <w:bCs/>
          <w:color w:val="000000" w:themeColor="text1"/>
          <w:kern w:val="44"/>
          <w:sz w:val="44"/>
          <w:szCs w:val="44"/>
          <w:lang w:val="en-US" w:eastAsia="zh-CN" w:bidi="ar-SA"/>
          <w14:textFill>
            <w14:solidFill>
              <w14:schemeClr w14:val="tx1"/>
            </w14:solidFill>
          </w14:textFill>
        </w:rPr>
      </w:pPr>
      <w:bookmarkStart w:id="103" w:name="_Toc26541331"/>
      <w:bookmarkStart w:id="104" w:name="_Toc23258614"/>
      <w:bookmarkStart w:id="105" w:name="_Toc53"/>
      <w:bookmarkStart w:id="106" w:name="_Toc484198838"/>
      <w:bookmarkStart w:id="107" w:name="_Toc21955"/>
      <w:r>
        <w:rPr>
          <w:rFonts w:hint="eastAsia" w:ascii="宋体" w:hAnsi="宋体" w:cs="Times New Roman"/>
          <w:b/>
          <w:bCs/>
          <w:color w:val="000000" w:themeColor="text1"/>
          <w:kern w:val="44"/>
          <w:sz w:val="44"/>
          <w:szCs w:val="44"/>
          <w:lang w:val="en-US" w:eastAsia="zh-CN" w:bidi="ar-SA"/>
          <w14:textFill>
            <w14:solidFill>
              <w14:schemeClr w14:val="tx1"/>
            </w14:solidFill>
          </w14:textFill>
        </w:rPr>
        <w:t xml:space="preserve">         </w:t>
      </w:r>
      <w:r>
        <w:rPr>
          <w:rFonts w:hint="eastAsia" w:ascii="宋体" w:hAnsi="宋体" w:eastAsia="宋体" w:cs="Times New Roman"/>
          <w:b/>
          <w:bCs/>
          <w:color w:val="000000" w:themeColor="text1"/>
          <w:kern w:val="44"/>
          <w:sz w:val="44"/>
          <w:szCs w:val="44"/>
          <w:lang w:val="en-US" w:eastAsia="zh-CN" w:bidi="ar-SA"/>
          <w14:textFill>
            <w14:solidFill>
              <w14:schemeClr w14:val="tx1"/>
            </w14:solidFill>
          </w14:textFill>
        </w:rPr>
        <w:t>第四章 采购内容及说明</w:t>
      </w:r>
      <w:bookmarkEnd w:id="103"/>
      <w:bookmarkEnd w:id="104"/>
      <w:bookmarkEnd w:id="105"/>
      <w:bookmarkEnd w:id="106"/>
      <w:bookmarkEnd w:id="107"/>
    </w:p>
    <w:p w14:paraId="1CFCA2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2"/>
          <w:szCs w:val="22"/>
          <w:lang w:val="en-US" w:eastAsia="zh-CN"/>
        </w:rPr>
      </w:pPr>
      <w:bookmarkStart w:id="108" w:name="_Toc484890084"/>
      <w:bookmarkStart w:id="109" w:name="_Toc26541332"/>
      <w:bookmarkStart w:id="110" w:name="_Toc23258621"/>
      <w:r>
        <w:rPr>
          <w:rFonts w:hint="eastAsia" w:ascii="宋体" w:hAnsi="宋体" w:eastAsia="宋体" w:cs="宋体"/>
          <w:b/>
          <w:bCs/>
          <w:color w:val="auto"/>
          <w:kern w:val="2"/>
          <w:sz w:val="22"/>
          <w:szCs w:val="22"/>
          <w:lang w:val="en-US" w:eastAsia="zh-CN"/>
        </w:rPr>
        <w:t>一、总体要求</w:t>
      </w:r>
    </w:p>
    <w:p w14:paraId="747E73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firstLineChars="200"/>
        <w:jc w:val="both"/>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1.1系统设计必须遵循国家相关法律、法规及医院信息平台相关标准与规范，尤其是计算机信息系统安全、智慧管理、电子病历评级、互联互通的有关标准要求。</w:t>
      </w:r>
    </w:p>
    <w:p w14:paraId="6F7505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firstLineChars="200"/>
        <w:jc w:val="both"/>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1.2供应商所作的需求分析和系统设计应完全满足我院的系统建设需求。</w:t>
      </w:r>
    </w:p>
    <w:p w14:paraId="61C320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firstLineChars="200"/>
        <w:jc w:val="both"/>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1.3供应商必须有针对本项目的质量保证体系和组织，并制订质量保证计划。</w:t>
      </w:r>
    </w:p>
    <w:p w14:paraId="545EED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firstLineChars="200"/>
        <w:jc w:val="both"/>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1.4供应商应根据项目建设的具体内容和整体工期要求，提交切实可行的项目工作计划。</w:t>
      </w:r>
    </w:p>
    <w:p w14:paraId="50105B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firstLineChars="200"/>
        <w:jc w:val="both"/>
        <w:textAlignment w:val="auto"/>
        <w:rPr>
          <w:rFonts w:hint="default" w:ascii="宋体" w:hAnsi="宋体" w:eastAsia="宋体" w:cs="宋体"/>
          <w:bCs w:val="0"/>
          <w:color w:val="auto"/>
          <w:kern w:val="2"/>
          <w:sz w:val="21"/>
          <w:szCs w:val="21"/>
          <w:lang w:val="en-US" w:eastAsia="zh-CN" w:bidi="ar-SA"/>
        </w:rPr>
      </w:pPr>
      <w:r>
        <w:rPr>
          <w:rFonts w:hint="eastAsia" w:ascii="宋体" w:hAnsi="宋体" w:cs="宋体"/>
          <w:bCs w:val="0"/>
          <w:color w:val="auto"/>
          <w:kern w:val="2"/>
          <w:sz w:val="21"/>
          <w:szCs w:val="21"/>
          <w:lang w:val="en-US" w:eastAsia="zh-CN" w:bidi="ar-SA"/>
        </w:rPr>
        <w:t>1.5设计方案符合业务流程，不是停留理论框架，而是切实可行，并具有成功案例。</w:t>
      </w:r>
    </w:p>
    <w:p w14:paraId="501430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firstLineChars="200"/>
        <w:jc w:val="both"/>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1.</w:t>
      </w:r>
      <w:r>
        <w:rPr>
          <w:rFonts w:hint="eastAsia" w:ascii="宋体" w:hAnsi="宋体" w:cs="宋体"/>
          <w:bCs w:val="0"/>
          <w:color w:val="auto"/>
          <w:kern w:val="2"/>
          <w:sz w:val="21"/>
          <w:szCs w:val="21"/>
          <w:lang w:val="en-US" w:eastAsia="zh-CN" w:bidi="ar-SA"/>
        </w:rPr>
        <w:t>6</w:t>
      </w:r>
      <w:r>
        <w:rPr>
          <w:rFonts w:hint="eastAsia" w:ascii="宋体" w:hAnsi="宋体" w:eastAsia="宋体" w:cs="宋体"/>
          <w:bCs w:val="0"/>
          <w:color w:val="auto"/>
          <w:kern w:val="2"/>
          <w:sz w:val="21"/>
          <w:szCs w:val="21"/>
          <w:lang w:val="en-US" w:eastAsia="zh-CN" w:bidi="ar-SA"/>
        </w:rPr>
        <w:t>供应商应具备现场二次开发的能力。</w:t>
      </w:r>
    </w:p>
    <w:p w14:paraId="67355FB6">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2"/>
          <w:szCs w:val="22"/>
          <w:lang w:val="en-US" w:eastAsia="zh-CN"/>
        </w:rPr>
      </w:pPr>
      <w:r>
        <w:rPr>
          <w:rFonts w:hint="eastAsia" w:ascii="宋体" w:hAnsi="宋体" w:eastAsia="宋体" w:cs="宋体"/>
          <w:b/>
          <w:bCs/>
          <w:color w:val="auto"/>
          <w:kern w:val="2"/>
          <w:sz w:val="22"/>
          <w:szCs w:val="22"/>
          <w:lang w:val="en-US" w:eastAsia="zh-CN"/>
        </w:rPr>
        <w:t>软件功能要求</w:t>
      </w:r>
    </w:p>
    <w:p w14:paraId="50CC11E0">
      <w:pPr>
        <w:keepNext w:val="0"/>
        <w:keepLines w:val="0"/>
        <w:pageBreakBefore w:val="0"/>
        <w:numPr>
          <w:ilvl w:val="0"/>
          <w:numId w:val="0"/>
        </w:numPr>
        <w:kinsoku/>
        <w:wordWrap/>
        <w:overflowPunct/>
        <w:topLinePunct w:val="0"/>
        <w:bidi w:val="0"/>
        <w:spacing w:line="520" w:lineRule="exact"/>
        <w:ind w:firstLine="420" w:firstLineChars="20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2.1软件功能模块清单：</w:t>
      </w:r>
    </w:p>
    <w:tbl>
      <w:tblPr>
        <w:tblStyle w:val="42"/>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7674"/>
      </w:tblGrid>
      <w:tr w14:paraId="7693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45" w:type="dxa"/>
            <w:noWrap w:val="0"/>
            <w:vAlign w:val="center"/>
          </w:tcPr>
          <w:p w14:paraId="71F03B3C">
            <w:pPr>
              <w:pStyle w:val="18"/>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序号</w:t>
            </w:r>
          </w:p>
        </w:tc>
        <w:tc>
          <w:tcPr>
            <w:tcW w:w="7674" w:type="dxa"/>
            <w:noWrap w:val="0"/>
            <w:vAlign w:val="center"/>
          </w:tcPr>
          <w:p w14:paraId="63691314">
            <w:pPr>
              <w:pStyle w:val="18"/>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功能名称</w:t>
            </w:r>
          </w:p>
        </w:tc>
      </w:tr>
      <w:tr w14:paraId="0E8F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45" w:type="dxa"/>
            <w:noWrap w:val="0"/>
            <w:vAlign w:val="center"/>
          </w:tcPr>
          <w:p w14:paraId="53486522">
            <w:pPr>
              <w:pStyle w:val="18"/>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1</w:t>
            </w:r>
          </w:p>
        </w:tc>
        <w:tc>
          <w:tcPr>
            <w:tcW w:w="7674" w:type="dxa"/>
            <w:noWrap w:val="0"/>
            <w:vAlign w:val="center"/>
          </w:tcPr>
          <w:p w14:paraId="69345B37">
            <w:pPr>
              <w:keepNext w:val="0"/>
              <w:keepLines w:val="0"/>
              <w:numPr>
                <w:ilvl w:val="0"/>
                <w:numId w:val="0"/>
              </w:numPr>
              <w:suppressLineNumbers w:val="0"/>
              <w:spacing w:before="0" w:beforeAutospacing="0" w:after="0" w:afterAutospacing="0" w:line="520" w:lineRule="exact"/>
              <w:ind w:left="0" w:leftChars="0" w:right="0" w:rightChars="0" w:firstLine="0" w:firstLineChars="0"/>
              <w:jc w:val="center"/>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医疗风险预警系统</w:t>
            </w:r>
          </w:p>
        </w:tc>
      </w:tr>
      <w:tr w14:paraId="306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45" w:type="dxa"/>
            <w:noWrap w:val="0"/>
            <w:vAlign w:val="center"/>
          </w:tcPr>
          <w:p w14:paraId="59A5CC19">
            <w:pPr>
              <w:pStyle w:val="18"/>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2</w:t>
            </w:r>
          </w:p>
        </w:tc>
        <w:tc>
          <w:tcPr>
            <w:tcW w:w="7674" w:type="dxa"/>
            <w:noWrap w:val="0"/>
            <w:vAlign w:val="center"/>
          </w:tcPr>
          <w:p w14:paraId="7786B4C3">
            <w:pPr>
              <w:keepNext w:val="0"/>
              <w:keepLines w:val="0"/>
              <w:numPr>
                <w:ilvl w:val="0"/>
                <w:numId w:val="0"/>
              </w:numPr>
              <w:suppressLineNumbers w:val="0"/>
              <w:spacing w:before="0" w:beforeAutospacing="0" w:after="0" w:afterAutospacing="0" w:line="520" w:lineRule="exact"/>
              <w:ind w:left="0" w:leftChars="0" w:right="0" w:rightChars="0" w:firstLine="0" w:firstLineChars="0"/>
              <w:jc w:val="center"/>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智慧医务管理系统</w:t>
            </w:r>
          </w:p>
        </w:tc>
      </w:tr>
      <w:tr w14:paraId="4C93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45" w:type="dxa"/>
            <w:noWrap w:val="0"/>
            <w:vAlign w:val="center"/>
          </w:tcPr>
          <w:p w14:paraId="2641458E">
            <w:pPr>
              <w:pStyle w:val="18"/>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3</w:t>
            </w:r>
          </w:p>
        </w:tc>
        <w:tc>
          <w:tcPr>
            <w:tcW w:w="7674" w:type="dxa"/>
            <w:noWrap w:val="0"/>
            <w:vAlign w:val="center"/>
          </w:tcPr>
          <w:p w14:paraId="25AED426">
            <w:pPr>
              <w:keepNext w:val="0"/>
              <w:keepLines w:val="0"/>
              <w:numPr>
                <w:ilvl w:val="0"/>
                <w:numId w:val="0"/>
              </w:numPr>
              <w:suppressLineNumbers w:val="0"/>
              <w:spacing w:before="0" w:beforeAutospacing="0" w:after="0" w:afterAutospacing="0" w:line="520" w:lineRule="exact"/>
              <w:ind w:left="0" w:leftChars="0" w:right="0" w:rightChars="0" w:firstLine="0" w:firstLineChars="0"/>
              <w:jc w:val="center"/>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医疗质量考核系统</w:t>
            </w:r>
          </w:p>
        </w:tc>
      </w:tr>
      <w:tr w14:paraId="5240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45" w:type="dxa"/>
            <w:noWrap w:val="0"/>
            <w:vAlign w:val="center"/>
          </w:tcPr>
          <w:p w14:paraId="45A627CC">
            <w:pPr>
              <w:pStyle w:val="18"/>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4</w:t>
            </w:r>
          </w:p>
        </w:tc>
        <w:tc>
          <w:tcPr>
            <w:tcW w:w="7674" w:type="dxa"/>
            <w:noWrap w:val="0"/>
            <w:vAlign w:val="center"/>
          </w:tcPr>
          <w:p w14:paraId="745E8F0B">
            <w:pPr>
              <w:keepNext w:val="0"/>
              <w:keepLines w:val="0"/>
              <w:numPr>
                <w:ilvl w:val="0"/>
                <w:numId w:val="0"/>
              </w:numPr>
              <w:suppressLineNumbers w:val="0"/>
              <w:spacing w:before="0" w:beforeAutospacing="0" w:after="0" w:afterAutospacing="0" w:line="520" w:lineRule="exact"/>
              <w:ind w:left="0" w:leftChars="0" w:right="0" w:rightChars="0" w:firstLine="0" w:firstLineChars="0"/>
              <w:jc w:val="center"/>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VTE疾病预警系统</w:t>
            </w:r>
          </w:p>
        </w:tc>
      </w:tr>
    </w:tbl>
    <w:p w14:paraId="62BA9476">
      <w:pPr>
        <w:keepNext w:val="0"/>
        <w:keepLines w:val="0"/>
        <w:numPr>
          <w:ilvl w:val="0"/>
          <w:numId w:val="0"/>
        </w:numPr>
        <w:suppressLineNumbers w:val="0"/>
        <w:spacing w:before="0" w:beforeAutospacing="0" w:after="0" w:afterAutospacing="0" w:line="360" w:lineRule="auto"/>
        <w:ind w:leftChars="200" w:right="0" w:rightChars="0"/>
        <w:rPr>
          <w:rFonts w:hint="eastAsia" w:asciiTheme="minorEastAsia" w:hAnsiTheme="minorEastAsia" w:eastAsiaTheme="minorEastAsia" w:cstheme="minorEastAsia"/>
          <w:sz w:val="21"/>
          <w:szCs w:val="21"/>
          <w:lang w:val="en-US" w:eastAsia="zh-CN"/>
        </w:rPr>
      </w:pPr>
    </w:p>
    <w:p w14:paraId="4566C639">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2.2 软件功能模块详细需求（带“★”号条款为重要参数）</w:t>
      </w:r>
    </w:p>
    <w:tbl>
      <w:tblPr>
        <w:tblStyle w:val="42"/>
        <w:tblpPr w:leftFromText="180" w:rightFromText="180" w:vertAnchor="text" w:tblpXSpec="center" w:tblpY="1"/>
        <w:tblOverlap w:val="never"/>
        <w:tblW w:w="9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8"/>
        <w:gridCol w:w="28"/>
        <w:gridCol w:w="1963"/>
        <w:gridCol w:w="6783"/>
      </w:tblGrid>
      <w:tr w14:paraId="167B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4" w:hRule="atLeast"/>
          <w:tblHeader/>
        </w:trPr>
        <w:tc>
          <w:tcPr>
            <w:tcW w:w="97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8DADD1">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
                <w:bCs w:val="0"/>
                <w:sz w:val="24"/>
                <w:szCs w:val="24"/>
                <w:lang w:val="en-US"/>
              </w:rPr>
            </w:pPr>
            <w:r>
              <w:rPr>
                <w:rFonts w:hint="eastAsia" w:ascii="仿宋" w:hAnsi="仿宋" w:eastAsia="仿宋" w:cs="仿宋"/>
                <w:b/>
                <w:bCs w:val="0"/>
                <w:kern w:val="2"/>
                <w:sz w:val="24"/>
                <w:szCs w:val="24"/>
                <w:lang w:val="en-US" w:eastAsia="zh-CN" w:bidi="ar"/>
              </w:rPr>
              <w:t>医疗质量管理平台</w:t>
            </w:r>
          </w:p>
        </w:tc>
      </w:tr>
      <w:tr w14:paraId="36DA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7FEA0994">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
                <w:bCs w:val="0"/>
                <w:sz w:val="24"/>
                <w:szCs w:val="24"/>
                <w:lang w:val="en-US"/>
              </w:rPr>
            </w:pPr>
            <w:r>
              <w:rPr>
                <w:rFonts w:hint="eastAsia" w:ascii="仿宋" w:hAnsi="仿宋" w:eastAsia="仿宋" w:cs="仿宋"/>
                <w:b/>
                <w:bCs w:val="0"/>
                <w:kern w:val="2"/>
                <w:sz w:val="24"/>
                <w:szCs w:val="24"/>
                <w:lang w:val="en-US" w:eastAsia="zh-CN" w:bidi="ar"/>
              </w:rPr>
              <w:t>序号</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12B6A1">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
                <w:bCs w:val="0"/>
                <w:sz w:val="24"/>
                <w:szCs w:val="24"/>
                <w:lang w:val="en-US"/>
              </w:rPr>
            </w:pPr>
            <w:r>
              <w:rPr>
                <w:rFonts w:hint="eastAsia" w:ascii="仿宋" w:hAnsi="仿宋" w:eastAsia="仿宋" w:cs="仿宋"/>
                <w:b/>
                <w:bCs w:val="0"/>
                <w:kern w:val="2"/>
                <w:sz w:val="24"/>
                <w:szCs w:val="24"/>
                <w:lang w:val="en-US" w:eastAsia="zh-CN" w:bidi="ar"/>
              </w:rPr>
              <w:t>功能模块</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2A1BD826">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
                <w:bCs w:val="0"/>
                <w:sz w:val="24"/>
                <w:szCs w:val="24"/>
                <w:lang w:val="en-US"/>
              </w:rPr>
            </w:pPr>
            <w:r>
              <w:rPr>
                <w:rFonts w:hint="eastAsia" w:ascii="仿宋" w:hAnsi="仿宋" w:eastAsia="仿宋" w:cs="仿宋"/>
                <w:b/>
                <w:bCs w:val="0"/>
                <w:kern w:val="2"/>
                <w:sz w:val="24"/>
                <w:szCs w:val="24"/>
                <w:lang w:val="en-US" w:eastAsia="zh-CN" w:bidi="ar"/>
              </w:rPr>
              <w:t>功能要求</w:t>
            </w:r>
          </w:p>
        </w:tc>
      </w:tr>
      <w:tr w14:paraId="563D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A189441">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
                <w:bCs w:val="0"/>
                <w:color w:val="000000"/>
                <w:sz w:val="24"/>
                <w:szCs w:val="24"/>
                <w:lang w:val="en-US"/>
              </w:rPr>
            </w:pPr>
            <w:r>
              <w:rPr>
                <w:rFonts w:hint="eastAsia" w:ascii="仿宋" w:hAnsi="仿宋" w:eastAsia="仿宋" w:cs="仿宋"/>
                <w:b/>
                <w:bCs w:val="0"/>
                <w:color w:val="000000"/>
                <w:kern w:val="2"/>
                <w:sz w:val="24"/>
                <w:szCs w:val="24"/>
                <w:lang w:val="en-US" w:eastAsia="zh-CN" w:bidi="ar"/>
              </w:rPr>
              <w:t>1</w:t>
            </w:r>
          </w:p>
        </w:tc>
        <w:tc>
          <w:tcPr>
            <w:tcW w:w="87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85475E">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4"/>
                <w:szCs w:val="24"/>
                <w:lang w:val="en-US"/>
              </w:rPr>
            </w:pPr>
            <w:r>
              <w:rPr>
                <w:rFonts w:hint="eastAsia" w:ascii="仿宋" w:hAnsi="仿宋" w:eastAsia="仿宋" w:cs="仿宋"/>
                <w:b/>
                <w:bCs w:val="0"/>
                <w:kern w:val="2"/>
                <w:sz w:val="24"/>
                <w:szCs w:val="24"/>
                <w:lang w:val="en-US" w:eastAsia="zh-CN" w:bidi="ar"/>
              </w:rPr>
              <w:t>医疗风险预警系统</w:t>
            </w:r>
          </w:p>
        </w:tc>
      </w:tr>
      <w:tr w14:paraId="3EE1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1DE86D09">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sz w:val="24"/>
                <w:szCs w:val="24"/>
                <w:lang w:val="en-US"/>
              </w:rPr>
            </w:pPr>
            <w:r>
              <w:rPr>
                <w:rFonts w:hint="eastAsia" w:ascii="仿宋" w:hAnsi="仿宋" w:eastAsia="仿宋" w:cs="仿宋"/>
                <w:bCs/>
                <w:kern w:val="2"/>
                <w:sz w:val="24"/>
                <w:szCs w:val="24"/>
                <w:lang w:val="en-US" w:eastAsia="zh-CN" w:bidi="ar"/>
              </w:rPr>
              <w:t>1.1</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74BA25">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sz w:val="24"/>
                <w:szCs w:val="24"/>
                <w:lang w:val="en-US"/>
              </w:rPr>
            </w:pPr>
            <w:r>
              <w:rPr>
                <w:rFonts w:hint="eastAsia" w:ascii="仿宋" w:hAnsi="仿宋" w:eastAsia="仿宋" w:cs="仿宋"/>
                <w:color w:val="000000"/>
                <w:kern w:val="2"/>
                <w:sz w:val="24"/>
                <w:szCs w:val="24"/>
                <w:lang w:val="en-US" w:eastAsia="zh-CN" w:bidi="ar"/>
              </w:rPr>
              <w:t>预警管理</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5BEFEDC2">
            <w:pPr>
              <w:keepNext w:val="0"/>
              <w:keepLines w:val="0"/>
              <w:widowControl w:val="0"/>
              <w:suppressLineNumbers w:val="0"/>
              <w:spacing w:before="0" w:beforeAutospacing="0" w:after="0" w:afterAutospacing="0"/>
              <w:ind w:left="0" w:right="0"/>
              <w:jc w:val="both"/>
              <w:rPr>
                <w:rFonts w:hint="eastAsia" w:ascii="仿宋" w:hAnsi="仿宋" w:eastAsia="仿宋" w:cs="仿宋"/>
                <w:bCs/>
                <w:sz w:val="24"/>
                <w:szCs w:val="24"/>
                <w:lang w:val="en-US"/>
              </w:rPr>
            </w:pPr>
            <w:r>
              <w:rPr>
                <w:rFonts w:hint="eastAsia" w:ascii="仿宋" w:hAnsi="仿宋" w:eastAsia="仿宋" w:cs="仿宋"/>
                <w:color w:val="000000"/>
                <w:kern w:val="2"/>
                <w:sz w:val="24"/>
                <w:szCs w:val="24"/>
                <w:lang w:val="en-US" w:eastAsia="zh-CN" w:bidi="ar"/>
              </w:rPr>
              <w:t>支持构建由风险预警模</w:t>
            </w:r>
            <w:r>
              <w:rPr>
                <w:rFonts w:hint="eastAsia" w:ascii="仿宋" w:hAnsi="仿宋" w:eastAsia="仿宋" w:cs="仿宋"/>
                <w:color w:val="000000"/>
                <w:kern w:val="2"/>
                <w:sz w:val="24"/>
                <w:szCs w:val="24"/>
                <w:highlight w:val="none"/>
                <w:lang w:val="en-US" w:eastAsia="zh-CN" w:bidi="ar"/>
              </w:rPr>
              <w:t>型、预警分数、</w:t>
            </w:r>
            <w:r>
              <w:rPr>
                <w:rFonts w:hint="eastAsia" w:ascii="仿宋" w:hAnsi="仿宋" w:eastAsia="仿宋" w:cs="仿宋"/>
                <w:color w:val="000000"/>
                <w:kern w:val="2"/>
                <w:sz w:val="24"/>
                <w:szCs w:val="24"/>
                <w:lang w:val="en-US" w:eastAsia="zh-CN" w:bidi="ar"/>
              </w:rPr>
              <w:t>预警级别组成的风险预警体系，可通过预警结果及临床反馈机制构建医疗安全质量管理PDCA循环，支持根据预警阈值将预警级别展示，可将当前页面信息导出为excel表格文件。支持依据科室检索方式展示科室预警通知</w:t>
            </w:r>
            <w:r>
              <w:rPr>
                <w:rFonts w:hint="eastAsia" w:ascii="仿宋" w:hAnsi="仿宋" w:eastAsia="仿宋" w:cs="仿宋"/>
                <w:color w:val="000000"/>
                <w:kern w:val="2"/>
                <w:sz w:val="24"/>
                <w:szCs w:val="24"/>
                <w:highlight w:val="none"/>
                <w:lang w:val="en-US" w:eastAsia="zh-CN" w:bidi="ar"/>
              </w:rPr>
              <w:t>，通过至少两种以上方式进行通知预警（包括短信、电脑弹窗等）人对应的预警级别通知信息。可根据各个科室情况调整对应通</w:t>
            </w:r>
            <w:r>
              <w:rPr>
                <w:rFonts w:hint="eastAsia" w:ascii="仿宋" w:hAnsi="仿宋" w:eastAsia="仿宋" w:cs="仿宋"/>
                <w:color w:val="000000"/>
                <w:kern w:val="2"/>
                <w:sz w:val="24"/>
                <w:szCs w:val="24"/>
                <w:lang w:val="en-US" w:eastAsia="zh-CN" w:bidi="ar"/>
              </w:rPr>
              <w:t>知人的预警级别通知信息。</w:t>
            </w:r>
          </w:p>
        </w:tc>
      </w:tr>
      <w:tr w14:paraId="2917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751E1F2B">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sz w:val="24"/>
                <w:szCs w:val="24"/>
                <w:lang w:val="en-US"/>
              </w:rPr>
            </w:pPr>
            <w:r>
              <w:rPr>
                <w:rFonts w:hint="eastAsia" w:ascii="仿宋" w:hAnsi="仿宋" w:eastAsia="仿宋" w:cs="仿宋"/>
                <w:bCs/>
                <w:kern w:val="2"/>
                <w:sz w:val="24"/>
                <w:szCs w:val="24"/>
                <w:lang w:val="en-US" w:eastAsia="zh-CN" w:bidi="ar"/>
              </w:rPr>
              <w:t>1.2</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9E1A94">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预警事件追踪</w:t>
            </w:r>
          </w:p>
          <w:p w14:paraId="07505094">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color w:val="000000"/>
                <w:kern w:val="2"/>
                <w:sz w:val="24"/>
                <w:szCs w:val="24"/>
                <w:lang w:val="en-US" w:eastAsia="zh-CN" w:bidi="ar"/>
              </w:rPr>
            </w:pPr>
            <w:r>
              <w:rPr>
                <w:rFonts w:hint="eastAsia" w:ascii="仿宋" w:hAnsi="仿宋" w:eastAsia="仿宋" w:cs="仿宋"/>
                <w:spacing w:val="20"/>
                <w:kern w:val="2"/>
                <w:sz w:val="32"/>
                <w:szCs w:val="32"/>
                <w:highlight w:val="none"/>
                <w:lang w:val="en-US" w:eastAsia="zh-CN" w:bidi="ar-SA"/>
              </w:rPr>
              <w:t>★</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6B90A3C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展示患者风险预警信息，信息包括患者姓名、性别、住院号、出生日期、入院日期、预警级别、科室名称、病区名称等。</w:t>
            </w:r>
          </w:p>
          <w:p w14:paraId="5CB3F5E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Cs/>
                <w:sz w:val="24"/>
                <w:szCs w:val="24"/>
                <w:lang w:val="en-US"/>
              </w:rPr>
            </w:pPr>
            <w:r>
              <w:rPr>
                <w:rFonts w:hint="eastAsia" w:ascii="仿宋" w:hAnsi="仿宋" w:eastAsia="仿宋" w:cs="仿宋"/>
                <w:color w:val="000000"/>
                <w:kern w:val="2"/>
                <w:sz w:val="24"/>
                <w:szCs w:val="24"/>
                <w:lang w:val="en-US" w:eastAsia="zh-CN" w:bidi="ar"/>
              </w:rPr>
              <w:t>可查看患者风控画像及患者闭环处理流程。可根据流程反馈记录情况提交当前患者的最终预警处理方案，进行记录存档。</w:t>
            </w:r>
          </w:p>
        </w:tc>
      </w:tr>
      <w:tr w14:paraId="02B8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750F800">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sz w:val="24"/>
                <w:szCs w:val="24"/>
                <w:lang w:val="en-US"/>
              </w:rPr>
            </w:pPr>
            <w:r>
              <w:rPr>
                <w:rFonts w:hint="eastAsia" w:ascii="仿宋" w:hAnsi="仿宋" w:eastAsia="仿宋" w:cs="仿宋"/>
                <w:bCs/>
                <w:kern w:val="2"/>
                <w:sz w:val="24"/>
                <w:szCs w:val="24"/>
                <w:lang w:val="en-US" w:eastAsia="zh-CN" w:bidi="ar"/>
              </w:rPr>
              <w:t>1.3</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D74917">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sz w:val="24"/>
                <w:szCs w:val="24"/>
                <w:lang w:val="en-US"/>
              </w:rPr>
            </w:pPr>
            <w:r>
              <w:rPr>
                <w:rFonts w:hint="eastAsia" w:ascii="仿宋" w:hAnsi="仿宋" w:eastAsia="仿宋" w:cs="仿宋"/>
                <w:color w:val="000000"/>
                <w:kern w:val="2"/>
                <w:sz w:val="24"/>
                <w:szCs w:val="24"/>
                <w:lang w:val="en-US" w:eastAsia="zh-CN" w:bidi="ar"/>
              </w:rPr>
              <w:t>风控分析</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62375F9A">
            <w:pPr>
              <w:keepNext w:val="0"/>
              <w:keepLines w:val="0"/>
              <w:widowControl w:val="0"/>
              <w:suppressLineNumbers w:val="0"/>
              <w:spacing w:before="0" w:beforeAutospacing="0" w:after="0" w:afterAutospacing="0"/>
              <w:ind w:left="0" w:right="0" w:firstLine="480" w:firstLineChars="200"/>
              <w:jc w:val="both"/>
              <w:rPr>
                <w:rFonts w:hint="default" w:ascii="仿宋" w:hAnsi="仿宋" w:eastAsia="仿宋" w:cs="仿宋"/>
                <w:bCs/>
                <w:sz w:val="24"/>
                <w:szCs w:val="24"/>
                <w:lang w:val="en-US"/>
              </w:rPr>
            </w:pPr>
            <w:r>
              <w:rPr>
                <w:rFonts w:hint="eastAsia" w:ascii="仿宋" w:hAnsi="仿宋" w:eastAsia="仿宋" w:cs="仿宋"/>
                <w:color w:val="000000"/>
                <w:kern w:val="2"/>
                <w:sz w:val="24"/>
                <w:szCs w:val="24"/>
                <w:lang w:val="en-US" w:eastAsia="zh-CN" w:bidi="ar"/>
              </w:rPr>
              <w:t>分类别、分级别科室和全院的分控分析以各类图表进行展示。</w:t>
            </w:r>
          </w:p>
        </w:tc>
      </w:tr>
      <w:tr w14:paraId="123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C21007D">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sz w:val="24"/>
                <w:szCs w:val="24"/>
                <w:lang w:val="en-US"/>
              </w:rPr>
            </w:pPr>
            <w:r>
              <w:rPr>
                <w:rFonts w:hint="eastAsia" w:ascii="仿宋" w:hAnsi="仿宋" w:eastAsia="仿宋" w:cs="仿宋"/>
                <w:bCs/>
                <w:kern w:val="2"/>
                <w:sz w:val="24"/>
                <w:szCs w:val="24"/>
                <w:lang w:val="en-US" w:eastAsia="zh-CN" w:bidi="ar"/>
              </w:rPr>
              <w:t>1.4</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128D03">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统计功能</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392BA8A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Cs/>
                <w:sz w:val="24"/>
                <w:szCs w:val="24"/>
                <w:lang w:val="en-US"/>
              </w:rPr>
            </w:pPr>
            <w:r>
              <w:rPr>
                <w:rFonts w:hint="eastAsia" w:ascii="仿宋" w:hAnsi="仿宋" w:eastAsia="仿宋" w:cs="仿宋"/>
                <w:color w:val="000000"/>
                <w:kern w:val="2"/>
                <w:sz w:val="24"/>
                <w:szCs w:val="24"/>
                <w:lang w:val="en-US" w:eastAsia="zh-CN" w:bidi="ar"/>
              </w:rPr>
              <w:t>主动监测负性指标，支持以各类形式查询展现负性指标如手术并发症、告病重、告病危患者的科室分布。支持对死亡患者从医疗安全及风险评估视角进行统计分析，回顾死亡患者的医疗风险评估等级及预警处理记录。</w:t>
            </w:r>
          </w:p>
        </w:tc>
      </w:tr>
      <w:tr w14:paraId="477A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29B5C741">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sz w:val="24"/>
                <w:szCs w:val="24"/>
                <w:lang w:val="en-US"/>
              </w:rPr>
            </w:pPr>
            <w:r>
              <w:rPr>
                <w:rFonts w:hint="eastAsia" w:ascii="仿宋" w:hAnsi="仿宋" w:eastAsia="仿宋" w:cs="仿宋"/>
                <w:bCs/>
                <w:kern w:val="2"/>
                <w:sz w:val="24"/>
                <w:szCs w:val="24"/>
                <w:lang w:val="en-US" w:eastAsia="zh-CN" w:bidi="ar"/>
              </w:rPr>
              <w:t>1.5</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2376E3">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lang w:val="en-US" w:eastAsia="zh-CN" w:bidi="ar"/>
              </w:rPr>
              <w:t>特殊关注患者</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2226EF7A">
            <w:pPr>
              <w:keepNext w:val="0"/>
              <w:keepLines w:val="0"/>
              <w:widowControl w:val="0"/>
              <w:suppressLineNumbers w:val="0"/>
              <w:spacing w:before="0" w:beforeAutospacing="0" w:after="0" w:afterAutospacing="0"/>
              <w:ind w:left="0" w:right="0" w:firstLine="440"/>
              <w:jc w:val="both"/>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lang w:val="en-US" w:eastAsia="zh-CN" w:bidi="ar"/>
              </w:rPr>
              <w:t>支持将风险评估模型反馈的特殊关注患者（如在院投诉、投诉再入院患者、短期再入院、特殊疾病等）在科室首页展示，展示内容包括包括床位号、病人姓名、命中指标等。</w:t>
            </w:r>
          </w:p>
        </w:tc>
      </w:tr>
      <w:tr w14:paraId="1750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771EA382">
            <w:pPr>
              <w:keepNext w:val="0"/>
              <w:keepLines w:val="0"/>
              <w:widowControl w:val="0"/>
              <w:suppressLineNumbers w:val="0"/>
              <w:spacing w:before="0" w:beforeAutospacing="0" w:after="0" w:afterAutospacing="0" w:line="400" w:lineRule="exact"/>
              <w:ind w:left="0" w:right="0"/>
              <w:jc w:val="center"/>
              <w:rPr>
                <w:rFonts w:hint="default" w:ascii="仿宋" w:hAnsi="仿宋" w:eastAsia="仿宋" w:cs="仿宋"/>
                <w:bCs/>
                <w:kern w:val="2"/>
                <w:sz w:val="24"/>
                <w:szCs w:val="24"/>
                <w:lang w:val="en-US" w:eastAsia="zh-CN" w:bidi="ar"/>
              </w:rPr>
            </w:pPr>
            <w:r>
              <w:rPr>
                <w:rFonts w:hint="eastAsia" w:ascii="仿宋" w:hAnsi="仿宋" w:eastAsia="仿宋" w:cs="仿宋"/>
                <w:bCs/>
                <w:kern w:val="2"/>
                <w:sz w:val="24"/>
                <w:szCs w:val="24"/>
                <w:lang w:val="en-US" w:eastAsia="zh-CN" w:bidi="ar"/>
              </w:rPr>
              <w:t>1.6</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F6DB5D">
            <w:pPr>
              <w:keepNext w:val="0"/>
              <w:keepLines w:val="0"/>
              <w:widowControl w:val="0"/>
              <w:suppressLineNumbers w:val="0"/>
              <w:spacing w:before="0" w:beforeAutospacing="0" w:after="0" w:afterAutospacing="0" w:line="400" w:lineRule="exact"/>
              <w:ind w:left="0" w:leftChars="0" w:right="0" w:rightChars="0"/>
              <w:jc w:val="center"/>
              <w:rPr>
                <w:rFonts w:hint="eastAsia" w:ascii="仿宋" w:hAnsi="仿宋" w:eastAsia="仿宋" w:cs="仿宋"/>
                <w:color w:val="000000"/>
                <w:kern w:val="2"/>
                <w:sz w:val="24"/>
                <w:szCs w:val="24"/>
                <w:lang w:val="en-US" w:eastAsia="zh-CN" w:bidi="ar"/>
              </w:rPr>
            </w:pPr>
            <w:r>
              <w:rPr>
                <w:rFonts w:hint="eastAsia" w:ascii="仿宋" w:hAnsi="仿宋" w:eastAsia="仿宋" w:cs="仿宋"/>
                <w:bCs/>
                <w:kern w:val="2"/>
                <w:sz w:val="24"/>
                <w:szCs w:val="24"/>
                <w:lang w:val="en-US" w:eastAsia="zh-CN" w:bidi="ar"/>
              </w:rPr>
              <w:t>新增投诉</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top"/>
          </w:tcPr>
          <w:p w14:paraId="1DB04076">
            <w:pPr>
              <w:keepNext w:val="0"/>
              <w:keepLines w:val="0"/>
              <w:widowControl w:val="0"/>
              <w:suppressLineNumbers w:val="0"/>
              <w:spacing w:before="0" w:beforeAutospacing="0" w:after="0" w:afterAutospacing="0"/>
              <w:ind w:left="0" w:leftChars="0" w:right="0" w:rightChars="0" w:firstLine="480" w:firstLineChars="200"/>
              <w:jc w:val="both"/>
              <w:rPr>
                <w:rFonts w:hint="eastAsia" w:ascii="仿宋" w:hAnsi="仿宋" w:eastAsia="仿宋" w:cs="仿宋"/>
                <w:color w:val="000000"/>
                <w:kern w:val="2"/>
                <w:sz w:val="24"/>
                <w:szCs w:val="24"/>
                <w:lang w:val="en-US" w:eastAsia="zh-CN" w:bidi="ar"/>
              </w:rPr>
            </w:pPr>
            <w:r>
              <w:rPr>
                <w:rFonts w:hint="eastAsia" w:ascii="仿宋" w:hAnsi="仿宋" w:eastAsia="仿宋" w:cs="仿宋"/>
                <w:bCs/>
                <w:kern w:val="2"/>
                <w:sz w:val="24"/>
                <w:szCs w:val="24"/>
                <w:lang w:val="en-US" w:eastAsia="zh-CN" w:bidi="ar"/>
              </w:rPr>
              <w:t>支持分别由</w:t>
            </w:r>
            <w:r>
              <w:rPr>
                <w:rFonts w:hint="eastAsia" w:ascii="仿宋" w:hAnsi="仿宋" w:eastAsia="仿宋" w:cs="仿宋"/>
                <w:bCs/>
                <w:kern w:val="2"/>
                <w:sz w:val="24"/>
                <w:szCs w:val="24"/>
                <w:highlight w:val="none"/>
                <w:lang w:val="en-US" w:eastAsia="zh-CN" w:bidi="ar"/>
              </w:rPr>
              <w:t>医院投诉管理部门</w:t>
            </w:r>
            <w:r>
              <w:rPr>
                <w:rFonts w:hint="eastAsia" w:ascii="仿宋" w:hAnsi="仿宋" w:eastAsia="仿宋" w:cs="仿宋"/>
                <w:bCs/>
                <w:kern w:val="2"/>
                <w:sz w:val="24"/>
                <w:szCs w:val="24"/>
                <w:lang w:val="en-US" w:eastAsia="zh-CN" w:bidi="ar"/>
              </w:rPr>
              <w:t>对于新增投诉单进行信息化录入；支持住院患者输入病历号自动获取手机号、身份证、住址；同一表单可以派发给多个投诉科室；投诉原因分为三个等级并且仅可选择。</w:t>
            </w:r>
          </w:p>
        </w:tc>
      </w:tr>
      <w:tr w14:paraId="0AAA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DC3BB27">
            <w:pPr>
              <w:keepNext w:val="0"/>
              <w:keepLines w:val="0"/>
              <w:widowControl w:val="0"/>
              <w:suppressLineNumbers w:val="0"/>
              <w:spacing w:before="0" w:beforeAutospacing="0" w:after="0" w:afterAutospacing="0" w:line="400" w:lineRule="exact"/>
              <w:ind w:left="0" w:right="0"/>
              <w:jc w:val="center"/>
              <w:rPr>
                <w:rFonts w:hint="default" w:ascii="仿宋" w:hAnsi="仿宋" w:eastAsia="仿宋" w:cs="仿宋"/>
                <w:bCs/>
                <w:kern w:val="2"/>
                <w:sz w:val="24"/>
                <w:szCs w:val="24"/>
                <w:lang w:val="en-US" w:eastAsia="zh-CN" w:bidi="ar"/>
              </w:rPr>
            </w:pPr>
            <w:r>
              <w:rPr>
                <w:rFonts w:hint="eastAsia" w:ascii="仿宋" w:hAnsi="仿宋" w:eastAsia="仿宋" w:cs="仿宋"/>
                <w:bCs/>
                <w:kern w:val="2"/>
                <w:sz w:val="24"/>
                <w:szCs w:val="24"/>
                <w:lang w:val="en-US" w:eastAsia="zh-CN" w:bidi="ar"/>
              </w:rPr>
              <w:t>1.7</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AA0F73">
            <w:pPr>
              <w:keepNext w:val="0"/>
              <w:keepLines w:val="0"/>
              <w:widowControl w:val="0"/>
              <w:suppressLineNumbers w:val="0"/>
              <w:spacing w:before="0" w:beforeAutospacing="0" w:after="0" w:afterAutospacing="0" w:line="400" w:lineRule="exact"/>
              <w:ind w:left="0" w:leftChars="0" w:right="0" w:rightChars="0"/>
              <w:jc w:val="center"/>
              <w:rPr>
                <w:rFonts w:hint="eastAsia" w:ascii="仿宋" w:hAnsi="仿宋" w:eastAsia="仿宋" w:cs="仿宋"/>
                <w:color w:val="000000"/>
                <w:kern w:val="2"/>
                <w:sz w:val="24"/>
                <w:szCs w:val="24"/>
                <w:lang w:val="en-US" w:eastAsia="zh-CN" w:bidi="ar"/>
              </w:rPr>
            </w:pPr>
            <w:r>
              <w:rPr>
                <w:rFonts w:hint="eastAsia" w:ascii="仿宋" w:hAnsi="仿宋" w:eastAsia="仿宋" w:cs="仿宋"/>
                <w:bCs/>
                <w:kern w:val="2"/>
                <w:sz w:val="24"/>
                <w:szCs w:val="24"/>
                <w:lang w:val="en-US" w:eastAsia="zh-CN" w:bidi="ar"/>
              </w:rPr>
              <w:t>投诉中心</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top"/>
          </w:tcPr>
          <w:p w14:paraId="157CA5C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color w:val="000000"/>
                <w:kern w:val="2"/>
                <w:sz w:val="24"/>
                <w:szCs w:val="24"/>
                <w:lang w:val="en-US" w:eastAsia="zh-CN" w:bidi="ar"/>
              </w:rPr>
            </w:pPr>
            <w:r>
              <w:rPr>
                <w:rFonts w:hint="eastAsia" w:ascii="仿宋" w:hAnsi="仿宋" w:eastAsia="仿宋" w:cs="仿宋"/>
                <w:bCs/>
                <w:kern w:val="2"/>
                <w:sz w:val="24"/>
                <w:szCs w:val="24"/>
                <w:lang w:val="en-US" w:eastAsia="zh-CN" w:bidi="ar"/>
              </w:rPr>
              <w:t>支持对于正在发生的投诉事件进行管理，被派发的科室可以对投诉案件进行反馈，同时对于被派发多个科室的投诉案件，科室之间无法查看其他科室回复的信息。</w:t>
            </w:r>
          </w:p>
        </w:tc>
      </w:tr>
      <w:tr w14:paraId="6727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7B28FA0">
            <w:pPr>
              <w:keepNext w:val="0"/>
              <w:keepLines w:val="0"/>
              <w:widowControl w:val="0"/>
              <w:suppressLineNumbers w:val="0"/>
              <w:spacing w:before="0" w:beforeAutospacing="0" w:after="0" w:afterAutospacing="0" w:line="400" w:lineRule="exact"/>
              <w:ind w:left="0" w:right="0"/>
              <w:jc w:val="center"/>
              <w:rPr>
                <w:rFonts w:hint="default" w:ascii="仿宋" w:hAnsi="仿宋" w:eastAsia="仿宋" w:cs="仿宋"/>
                <w:bCs/>
                <w:kern w:val="2"/>
                <w:sz w:val="24"/>
                <w:szCs w:val="24"/>
                <w:lang w:val="en-US" w:eastAsia="zh-CN" w:bidi="ar"/>
              </w:rPr>
            </w:pPr>
            <w:r>
              <w:rPr>
                <w:rFonts w:hint="eastAsia" w:ascii="仿宋" w:hAnsi="仿宋" w:eastAsia="仿宋" w:cs="仿宋"/>
                <w:bCs/>
                <w:kern w:val="2"/>
                <w:sz w:val="24"/>
                <w:szCs w:val="24"/>
                <w:lang w:val="en-US" w:eastAsia="zh-CN" w:bidi="ar"/>
              </w:rPr>
              <w:t>1.8</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4C5F30">
            <w:pPr>
              <w:keepNext w:val="0"/>
              <w:keepLines w:val="0"/>
              <w:widowControl w:val="0"/>
              <w:suppressLineNumbers w:val="0"/>
              <w:spacing w:before="0" w:beforeAutospacing="0" w:after="0" w:afterAutospacing="0" w:line="400" w:lineRule="exact"/>
              <w:ind w:left="0" w:leftChars="0" w:right="0" w:rightChars="0"/>
              <w:jc w:val="center"/>
              <w:rPr>
                <w:rFonts w:hint="eastAsia" w:ascii="仿宋" w:hAnsi="仿宋" w:eastAsia="仿宋" w:cs="仿宋"/>
                <w:color w:val="000000"/>
                <w:kern w:val="2"/>
                <w:sz w:val="24"/>
                <w:szCs w:val="24"/>
                <w:lang w:val="en-US" w:eastAsia="zh-CN" w:bidi="ar"/>
              </w:rPr>
            </w:pPr>
            <w:r>
              <w:rPr>
                <w:rFonts w:hint="eastAsia" w:ascii="仿宋" w:hAnsi="仿宋" w:eastAsia="仿宋" w:cs="仿宋"/>
                <w:bCs/>
                <w:kern w:val="2"/>
                <w:sz w:val="24"/>
                <w:szCs w:val="24"/>
                <w:lang w:val="en-US" w:eastAsia="zh-CN" w:bidi="ar"/>
              </w:rPr>
              <w:t>事件追踪</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top"/>
          </w:tcPr>
          <w:p w14:paraId="304DD37D">
            <w:pPr>
              <w:keepNext w:val="0"/>
              <w:keepLines w:val="0"/>
              <w:widowControl w:val="0"/>
              <w:suppressLineNumbers w:val="0"/>
              <w:spacing w:before="0" w:beforeAutospacing="0" w:after="0" w:afterAutospacing="0"/>
              <w:ind w:left="0" w:leftChars="0" w:right="0" w:rightChars="0" w:firstLine="480" w:firstLineChars="200"/>
              <w:jc w:val="both"/>
              <w:rPr>
                <w:rFonts w:hint="eastAsia" w:ascii="仿宋" w:hAnsi="仿宋" w:eastAsia="仿宋" w:cs="仿宋"/>
                <w:color w:val="000000"/>
                <w:kern w:val="2"/>
                <w:sz w:val="24"/>
                <w:szCs w:val="24"/>
                <w:lang w:val="en-US" w:eastAsia="zh-CN" w:bidi="ar"/>
              </w:rPr>
            </w:pPr>
            <w:r>
              <w:rPr>
                <w:rFonts w:hint="eastAsia" w:ascii="仿宋" w:hAnsi="仿宋" w:eastAsia="仿宋" w:cs="仿宋"/>
                <w:bCs/>
                <w:kern w:val="2"/>
                <w:sz w:val="24"/>
                <w:szCs w:val="24"/>
                <w:lang w:val="en-US" w:eastAsia="zh-CN" w:bidi="ar"/>
              </w:rPr>
              <w:t>支持</w:t>
            </w:r>
            <w:r>
              <w:rPr>
                <w:rFonts w:hint="eastAsia" w:ascii="仿宋" w:hAnsi="仿宋" w:eastAsia="仿宋" w:cs="仿宋"/>
                <w:bCs/>
                <w:kern w:val="2"/>
                <w:sz w:val="24"/>
                <w:szCs w:val="24"/>
                <w:highlight w:val="none"/>
                <w:lang w:val="en-US" w:eastAsia="zh-CN" w:bidi="ar"/>
              </w:rPr>
              <w:t>医院投诉管理部门</w:t>
            </w:r>
            <w:r>
              <w:rPr>
                <w:rFonts w:hint="eastAsia" w:ascii="仿宋" w:hAnsi="仿宋" w:eastAsia="仿宋" w:cs="仿宋"/>
                <w:bCs/>
                <w:kern w:val="2"/>
                <w:sz w:val="24"/>
                <w:szCs w:val="24"/>
                <w:lang w:val="en-US" w:eastAsia="zh-CN" w:bidi="ar"/>
              </w:rPr>
              <w:t>查看各投诉事件的处理进度，对重要紧急、即将超时、已超时的案件进行督促处理。按相关流程自动转接处理。</w:t>
            </w:r>
          </w:p>
        </w:tc>
      </w:tr>
      <w:tr w14:paraId="6569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7A211AA">
            <w:pPr>
              <w:keepNext w:val="0"/>
              <w:keepLines w:val="0"/>
              <w:widowControl w:val="0"/>
              <w:suppressLineNumbers w:val="0"/>
              <w:spacing w:before="0" w:beforeAutospacing="0" w:after="0" w:afterAutospacing="0" w:line="400" w:lineRule="exact"/>
              <w:ind w:left="0" w:right="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1.9</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4879F5">
            <w:pPr>
              <w:keepNext w:val="0"/>
              <w:keepLines w:val="0"/>
              <w:widowControl w:val="0"/>
              <w:suppressLineNumbers w:val="0"/>
              <w:spacing w:before="0" w:beforeAutospacing="0" w:after="0" w:afterAutospacing="0" w:line="400" w:lineRule="exact"/>
              <w:ind w:left="0" w:leftChars="0" w:right="0" w:rightChars="0"/>
              <w:jc w:val="center"/>
              <w:rPr>
                <w:rFonts w:hint="eastAsia" w:ascii="仿宋" w:hAnsi="仿宋" w:eastAsia="仿宋" w:cs="仿宋"/>
                <w:bCs/>
                <w:sz w:val="24"/>
                <w:szCs w:val="24"/>
                <w:lang w:val="en-US"/>
              </w:rPr>
            </w:pPr>
            <w:r>
              <w:rPr>
                <w:rFonts w:hint="eastAsia" w:ascii="仿宋" w:hAnsi="仿宋" w:eastAsia="仿宋" w:cs="仿宋"/>
                <w:bCs/>
                <w:kern w:val="2"/>
                <w:sz w:val="24"/>
                <w:szCs w:val="24"/>
                <w:lang w:val="en-US" w:eastAsia="zh-CN" w:bidi="ar"/>
              </w:rPr>
              <w:t>在院投诉</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top"/>
          </w:tcPr>
          <w:p w14:paraId="23413571">
            <w:pPr>
              <w:keepNext w:val="0"/>
              <w:keepLines w:val="0"/>
              <w:widowControl w:val="0"/>
              <w:suppressLineNumbers w:val="0"/>
              <w:spacing w:before="0" w:beforeAutospacing="0" w:after="0" w:afterAutospacing="0"/>
              <w:ind w:left="0" w:leftChars="0" w:right="0" w:rightChars="0" w:firstLine="480" w:firstLineChars="200"/>
              <w:jc w:val="both"/>
              <w:rPr>
                <w:rFonts w:hint="eastAsia" w:ascii="仿宋" w:hAnsi="仿宋" w:eastAsia="仿宋" w:cs="仿宋"/>
                <w:color w:val="000000"/>
                <w:sz w:val="24"/>
                <w:szCs w:val="24"/>
                <w:lang w:val="en-US"/>
              </w:rPr>
            </w:pPr>
            <w:r>
              <w:rPr>
                <w:rFonts w:hint="eastAsia" w:ascii="仿宋" w:hAnsi="仿宋" w:eastAsia="仿宋" w:cs="仿宋"/>
                <w:bCs/>
                <w:kern w:val="2"/>
                <w:sz w:val="24"/>
                <w:szCs w:val="24"/>
                <w:lang w:val="en-US" w:eastAsia="zh-CN" w:bidi="ar"/>
              </w:rPr>
              <w:t>支持对正在住院患者发起的投诉事件进行预警展示，及时提醒至临床一线及</w:t>
            </w:r>
            <w:r>
              <w:rPr>
                <w:rFonts w:hint="eastAsia" w:ascii="仿宋" w:hAnsi="仿宋" w:eastAsia="仿宋" w:cs="仿宋"/>
                <w:bCs/>
                <w:kern w:val="2"/>
                <w:sz w:val="24"/>
                <w:szCs w:val="24"/>
                <w:highlight w:val="none"/>
                <w:lang w:val="en-US" w:eastAsia="zh-CN" w:bidi="ar"/>
              </w:rPr>
              <w:t>医院投诉管理部门</w:t>
            </w:r>
            <w:r>
              <w:rPr>
                <w:rFonts w:hint="eastAsia" w:ascii="仿宋" w:hAnsi="仿宋" w:eastAsia="仿宋" w:cs="仿宋"/>
                <w:bCs/>
                <w:kern w:val="2"/>
                <w:sz w:val="24"/>
                <w:szCs w:val="24"/>
                <w:lang w:val="en-US" w:eastAsia="zh-CN" w:bidi="ar"/>
              </w:rPr>
              <w:t>，在院投诉数据同时能在预警系统展示。</w:t>
            </w:r>
          </w:p>
        </w:tc>
      </w:tr>
      <w:tr w14:paraId="3670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4E7C66B">
            <w:pPr>
              <w:keepNext w:val="0"/>
              <w:keepLines w:val="0"/>
              <w:widowControl w:val="0"/>
              <w:suppressLineNumbers w:val="0"/>
              <w:spacing w:before="0" w:beforeAutospacing="0" w:after="0" w:afterAutospacing="0" w:line="400" w:lineRule="exact"/>
              <w:ind w:left="0" w:leftChars="0" w:right="0" w:rightChars="0"/>
              <w:jc w:val="cente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
              </w:rPr>
              <w:t>1.10</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ABA7F7">
            <w:pPr>
              <w:keepNext w:val="0"/>
              <w:keepLines w:val="0"/>
              <w:widowControl w:val="0"/>
              <w:suppressLineNumbers w:val="0"/>
              <w:spacing w:before="0" w:beforeAutospacing="0" w:after="0" w:afterAutospacing="0" w:line="400" w:lineRule="exact"/>
              <w:ind w:left="0" w:leftChars="0" w:right="0" w:rightChars="0"/>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
              </w:rPr>
              <w:t>重复投诉</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top"/>
          </w:tcPr>
          <w:p w14:paraId="6672FC5B">
            <w:pPr>
              <w:keepNext w:val="0"/>
              <w:keepLines w:val="0"/>
              <w:widowControl w:val="0"/>
              <w:suppressLineNumbers w:val="0"/>
              <w:spacing w:before="0" w:beforeAutospacing="0" w:after="0" w:afterAutospacing="0"/>
              <w:ind w:left="0" w:leftChars="0" w:right="0" w:rightChars="0" w:firstLine="480" w:firstLineChars="200"/>
              <w:jc w:val="both"/>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
              </w:rPr>
              <w:t>对于发生重复多次投诉的患者，在再入院时进行预警展示，及时提醒医院投诉管理部门，避免发生类似纠纷事件。</w:t>
            </w:r>
          </w:p>
        </w:tc>
      </w:tr>
      <w:tr w14:paraId="43FE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A8CFD2B">
            <w:pPr>
              <w:keepNext w:val="0"/>
              <w:keepLines w:val="0"/>
              <w:widowControl w:val="0"/>
              <w:suppressLineNumbers w:val="0"/>
              <w:spacing w:before="0" w:beforeAutospacing="0" w:after="0" w:afterAutospacing="0" w:line="400" w:lineRule="exact"/>
              <w:ind w:left="0" w:leftChars="0" w:right="0" w:rightChars="0"/>
              <w:jc w:val="center"/>
              <w:rPr>
                <w:rFonts w:hint="default" w:ascii="仿宋" w:hAnsi="仿宋" w:eastAsia="仿宋" w:cs="仿宋"/>
                <w:bCs/>
                <w:color w:val="000000"/>
                <w:kern w:val="2"/>
                <w:sz w:val="24"/>
                <w:szCs w:val="24"/>
                <w:lang w:val="en-US" w:eastAsia="zh-CN" w:bidi="ar-SA"/>
              </w:rPr>
            </w:pPr>
            <w:r>
              <w:rPr>
                <w:rFonts w:hint="eastAsia" w:ascii="仿宋" w:hAnsi="仿宋" w:eastAsia="仿宋" w:cs="仿宋"/>
                <w:bCs/>
                <w:kern w:val="2"/>
                <w:sz w:val="24"/>
                <w:szCs w:val="24"/>
                <w:lang w:val="en-US" w:eastAsia="zh-CN" w:bidi="ar"/>
              </w:rPr>
              <w:t>1.11</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9A22F2">
            <w:pPr>
              <w:keepNext w:val="0"/>
              <w:keepLines w:val="0"/>
              <w:widowControl w:val="0"/>
              <w:suppressLineNumbers w:val="0"/>
              <w:spacing w:before="0" w:beforeAutospacing="0" w:after="0" w:afterAutospacing="0" w:line="400" w:lineRule="exact"/>
              <w:ind w:left="0" w:leftChars="0" w:right="0" w:rightChars="0"/>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
              </w:rPr>
              <w:t>投诉原因分析</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top"/>
          </w:tcPr>
          <w:p w14:paraId="78E2B39E">
            <w:pPr>
              <w:keepNext w:val="0"/>
              <w:keepLines w:val="0"/>
              <w:widowControl w:val="0"/>
              <w:suppressLineNumbers w:val="0"/>
              <w:spacing w:before="0" w:beforeAutospacing="0" w:after="0" w:afterAutospacing="0"/>
              <w:ind w:left="0" w:leftChars="0" w:right="0" w:rightChars="0" w:firstLine="480" w:firstLineChars="200"/>
              <w:jc w:val="both"/>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
              </w:rPr>
              <w:t>支持使用统计图形从医院投诉管理部门对科室投诉量和全院投诉案件、投诉就医环节、投诉原因进行统计，统计数据可以一键导出。</w:t>
            </w:r>
          </w:p>
        </w:tc>
      </w:tr>
      <w:tr w14:paraId="046C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CDEA11B">
            <w:pPr>
              <w:keepNext w:val="0"/>
              <w:keepLines w:val="0"/>
              <w:widowControl w:val="0"/>
              <w:suppressLineNumbers w:val="0"/>
              <w:spacing w:before="0" w:beforeAutospacing="0" w:after="0" w:afterAutospacing="0" w:line="400" w:lineRule="exact"/>
              <w:ind w:left="0" w:leftChars="0" w:right="0" w:rightChars="0"/>
              <w:jc w:val="cente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
              </w:rPr>
              <w:t>1.12</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F1234F">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kern w:val="2"/>
                <w:sz w:val="24"/>
                <w:szCs w:val="24"/>
                <w:highlight w:val="none"/>
                <w:lang w:val="en-US" w:eastAsia="zh-CN" w:bidi="ar"/>
              </w:rPr>
            </w:pPr>
            <w:r>
              <w:rPr>
                <w:rFonts w:hint="eastAsia" w:ascii="仿宋" w:hAnsi="仿宋" w:eastAsia="仿宋" w:cs="仿宋"/>
                <w:bCs/>
                <w:kern w:val="2"/>
                <w:sz w:val="24"/>
                <w:szCs w:val="24"/>
                <w:highlight w:val="none"/>
                <w:lang w:val="en-US" w:eastAsia="zh-CN" w:bidi="ar"/>
              </w:rPr>
              <w:t>各类投诉归档</w:t>
            </w:r>
          </w:p>
          <w:p w14:paraId="6B0FD0E4">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kern w:val="2"/>
                <w:sz w:val="24"/>
                <w:szCs w:val="24"/>
                <w:highlight w:val="none"/>
                <w:lang w:val="en-US" w:eastAsia="zh-CN" w:bidi="ar"/>
              </w:rPr>
            </w:pPr>
            <w:r>
              <w:rPr>
                <w:rFonts w:hint="eastAsia" w:ascii="仿宋" w:hAnsi="仿宋" w:eastAsia="仿宋" w:cs="仿宋"/>
                <w:spacing w:val="20"/>
                <w:kern w:val="2"/>
                <w:sz w:val="32"/>
                <w:szCs w:val="32"/>
                <w:highlight w:val="none"/>
                <w:lang w:val="en-US" w:eastAsia="zh-CN" w:bidi="ar-SA"/>
              </w:rPr>
              <w:t>★</w:t>
            </w:r>
          </w:p>
          <w:p w14:paraId="38E54718">
            <w:pPr>
              <w:keepNext w:val="0"/>
              <w:keepLines w:val="0"/>
              <w:widowControl w:val="0"/>
              <w:suppressLineNumbers w:val="0"/>
              <w:spacing w:before="0" w:beforeAutospacing="0" w:after="0" w:afterAutospacing="0" w:line="400" w:lineRule="exact"/>
              <w:ind w:left="0" w:leftChars="0" w:right="0" w:rightChars="0"/>
              <w:jc w:val="center"/>
              <w:rPr>
                <w:rFonts w:hint="eastAsia" w:ascii="仿宋" w:hAnsi="仿宋" w:eastAsia="仿宋" w:cs="仿宋"/>
                <w:bCs/>
                <w:kern w:val="2"/>
                <w:sz w:val="24"/>
                <w:szCs w:val="24"/>
                <w:highlight w:val="none"/>
                <w:lang w:val="en-US" w:eastAsia="zh-CN" w:bidi="ar-SA"/>
              </w:rPr>
            </w:pPr>
          </w:p>
        </w:tc>
        <w:tc>
          <w:tcPr>
            <w:tcW w:w="6783" w:type="dxa"/>
            <w:tcBorders>
              <w:top w:val="single" w:color="auto" w:sz="4" w:space="0"/>
              <w:left w:val="single" w:color="auto" w:sz="4" w:space="0"/>
              <w:bottom w:val="single" w:color="auto" w:sz="4" w:space="0"/>
              <w:right w:val="single" w:color="auto" w:sz="4" w:space="0"/>
            </w:tcBorders>
            <w:shd w:val="clear" w:color="auto" w:fill="auto"/>
            <w:vAlign w:val="top"/>
          </w:tcPr>
          <w:p w14:paraId="270C8E16">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Cs/>
                <w:kern w:val="2"/>
                <w:sz w:val="24"/>
                <w:szCs w:val="24"/>
                <w:highlight w:val="none"/>
                <w:lang w:val="en-US" w:eastAsia="zh-CN" w:bidi="ar"/>
              </w:rPr>
            </w:pPr>
            <w:r>
              <w:rPr>
                <w:rFonts w:hint="eastAsia" w:ascii="仿宋" w:hAnsi="仿宋" w:eastAsia="仿宋" w:cs="仿宋"/>
                <w:bCs/>
                <w:kern w:val="2"/>
                <w:sz w:val="24"/>
                <w:szCs w:val="24"/>
                <w:highlight w:val="none"/>
                <w:lang w:val="en-US" w:eastAsia="zh-CN" w:bidi="ar"/>
              </w:rPr>
              <w:t>支持对于已处理完成的投诉案件进行自动化归档管理，支持医院投诉管理部门查阅管理并导出。</w:t>
            </w:r>
          </w:p>
          <w:p w14:paraId="4C1CF18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Cs/>
                <w:sz w:val="24"/>
                <w:szCs w:val="24"/>
                <w:highlight w:val="none"/>
                <w:lang w:val="en-US"/>
              </w:rPr>
            </w:pPr>
            <w:r>
              <w:rPr>
                <w:rFonts w:hint="eastAsia" w:ascii="仿宋" w:hAnsi="仿宋" w:eastAsia="仿宋" w:cs="仿宋"/>
                <w:bCs/>
                <w:kern w:val="2"/>
                <w:sz w:val="24"/>
                <w:szCs w:val="24"/>
                <w:highlight w:val="none"/>
                <w:lang w:val="en-US" w:eastAsia="zh-CN" w:bidi="ar"/>
              </w:rPr>
              <w:t>支持对进入司法程序的案件进行录入，存储案件资料，支持对法务案件类型等进行汇总统计分析。</w:t>
            </w:r>
          </w:p>
          <w:p w14:paraId="7BA7614A">
            <w:pPr>
              <w:keepNext w:val="0"/>
              <w:keepLines w:val="0"/>
              <w:widowControl w:val="0"/>
              <w:suppressLineNumbers w:val="0"/>
              <w:spacing w:before="0" w:beforeAutospacing="0" w:after="0" w:afterAutospacing="0"/>
              <w:ind w:left="0" w:leftChars="0" w:right="0" w:rightChars="0" w:firstLine="480" w:firstLineChars="200"/>
              <w:jc w:val="both"/>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
              </w:rPr>
              <w:t>支持对进入调解程序的案件进行录入，存储案件资料，支持对各科室调解金额等进行汇总统计分析。</w:t>
            </w:r>
          </w:p>
        </w:tc>
      </w:tr>
      <w:tr w14:paraId="40EE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76CA2913">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sz w:val="24"/>
                <w:szCs w:val="24"/>
                <w:lang w:val="en-US"/>
              </w:rPr>
            </w:pPr>
            <w:r>
              <w:rPr>
                <w:rFonts w:hint="eastAsia" w:ascii="仿宋" w:hAnsi="仿宋" w:eastAsia="仿宋" w:cs="仿宋"/>
                <w:b/>
                <w:bCs w:val="0"/>
                <w:color w:val="000000"/>
                <w:kern w:val="2"/>
                <w:sz w:val="24"/>
                <w:szCs w:val="24"/>
                <w:lang w:val="en-US" w:eastAsia="zh-CN" w:bidi="ar"/>
              </w:rPr>
              <w:t>2</w:t>
            </w:r>
          </w:p>
        </w:tc>
        <w:tc>
          <w:tcPr>
            <w:tcW w:w="87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DC658B">
            <w:pPr>
              <w:keepNext w:val="0"/>
              <w:keepLines w:val="0"/>
              <w:widowControl w:val="0"/>
              <w:suppressLineNumbers w:val="0"/>
              <w:spacing w:before="0" w:beforeAutospacing="0" w:after="0" w:afterAutospacing="0"/>
              <w:ind w:left="0" w:right="0" w:firstLine="482" w:firstLineChars="200"/>
              <w:jc w:val="center"/>
              <w:rPr>
                <w:rFonts w:hint="eastAsia" w:ascii="仿宋" w:hAnsi="仿宋" w:eastAsia="仿宋" w:cs="仿宋"/>
                <w:b/>
                <w:bCs/>
                <w:sz w:val="24"/>
                <w:szCs w:val="24"/>
                <w:lang w:val="en-US"/>
              </w:rPr>
            </w:pPr>
            <w:r>
              <w:rPr>
                <w:rFonts w:hint="eastAsia" w:ascii="仿宋" w:hAnsi="仿宋" w:eastAsia="仿宋" w:cs="仿宋"/>
                <w:b/>
                <w:bCs/>
                <w:color w:val="000000"/>
                <w:kern w:val="2"/>
                <w:sz w:val="24"/>
                <w:szCs w:val="24"/>
                <w:lang w:val="en-US" w:eastAsia="zh-CN" w:bidi="ar"/>
              </w:rPr>
              <w:t>智慧医务管理系统</w:t>
            </w:r>
          </w:p>
        </w:tc>
      </w:tr>
      <w:tr w14:paraId="6F5E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D448F1C">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sz w:val="24"/>
                <w:szCs w:val="24"/>
                <w:lang w:val="en-US"/>
              </w:rPr>
            </w:pPr>
            <w:r>
              <w:rPr>
                <w:rFonts w:hint="eastAsia" w:ascii="仿宋" w:hAnsi="仿宋" w:eastAsia="仿宋" w:cs="仿宋"/>
                <w:bCs/>
                <w:kern w:val="2"/>
                <w:sz w:val="24"/>
                <w:szCs w:val="24"/>
                <w:lang w:val="en-US" w:eastAsia="zh-CN" w:bidi="ar"/>
              </w:rPr>
              <w:t>2.1</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7B9F29">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医师档案</w:t>
            </w:r>
          </w:p>
          <w:p w14:paraId="10A85784">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spacing w:val="20"/>
                <w:kern w:val="2"/>
                <w:sz w:val="32"/>
                <w:szCs w:val="32"/>
                <w:highlight w:val="none"/>
                <w:lang w:val="en-US" w:eastAsia="zh-CN" w:bidi="ar-SA"/>
              </w:rPr>
              <w:t>★</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4C8FFBFE">
            <w:pPr>
              <w:keepNext w:val="0"/>
              <w:keepLines w:val="0"/>
              <w:widowControl w:val="0"/>
              <w:suppressLineNumbers w:val="0"/>
              <w:spacing w:before="0" w:beforeAutospacing="0" w:after="0" w:afterAutospacing="0"/>
              <w:ind w:left="0" w:right="0" w:firstLine="480" w:firstLineChars="200"/>
              <w:jc w:val="both"/>
              <w:rPr>
                <w:rFonts w:hint="default" w:ascii="仿宋" w:hAnsi="仿宋" w:eastAsia="仿宋" w:cs="仿宋"/>
                <w:bCs/>
                <w:sz w:val="24"/>
                <w:szCs w:val="24"/>
                <w:lang w:val="en-US"/>
              </w:rPr>
            </w:pPr>
            <w:r>
              <w:rPr>
                <w:rFonts w:hint="eastAsia" w:ascii="仿宋" w:hAnsi="仿宋" w:eastAsia="仿宋" w:cs="仿宋"/>
                <w:color w:val="000000"/>
                <w:kern w:val="2"/>
                <w:sz w:val="24"/>
                <w:szCs w:val="24"/>
                <w:lang w:val="en-US" w:eastAsia="zh-CN" w:bidi="ar"/>
              </w:rPr>
              <w:t>展示医务</w:t>
            </w:r>
            <w:r>
              <w:rPr>
                <w:rFonts w:hint="eastAsia" w:ascii="仿宋" w:hAnsi="仿宋" w:eastAsia="仿宋" w:cs="仿宋"/>
                <w:color w:val="000000"/>
                <w:kern w:val="2"/>
                <w:sz w:val="24"/>
                <w:szCs w:val="24"/>
                <w:highlight w:val="none"/>
                <w:lang w:val="en-US" w:eastAsia="zh-CN" w:bidi="ar"/>
              </w:rPr>
              <w:t>人员</w:t>
            </w:r>
            <w:r>
              <w:rPr>
                <w:rFonts w:hint="eastAsia" w:ascii="仿宋" w:hAnsi="仿宋" w:eastAsia="仿宋" w:cs="仿宋"/>
                <w:color w:val="000000"/>
                <w:kern w:val="2"/>
                <w:sz w:val="24"/>
                <w:szCs w:val="24"/>
                <w:lang w:val="en-US" w:eastAsia="zh-CN" w:bidi="ar"/>
              </w:rPr>
              <w:t>基本信息包括：头像、科室、职称、学位、学历、工作经历、教育经历和各类资质授权的申请。支持医师个人上传证件，有审核流程，对过期的证件和资质授权有提醒功能。新技术新项目开展情况、手术级别授权、检查检验分级授权关联和一键导出各类统计表单。有个人、科室及医院能力展示统计表单。</w:t>
            </w:r>
          </w:p>
        </w:tc>
      </w:tr>
      <w:tr w14:paraId="6433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1465BA42">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sz w:val="24"/>
                <w:szCs w:val="24"/>
                <w:lang w:val="en-US"/>
              </w:rPr>
            </w:pPr>
            <w:r>
              <w:rPr>
                <w:rFonts w:hint="eastAsia" w:ascii="仿宋" w:hAnsi="仿宋" w:eastAsia="仿宋" w:cs="仿宋"/>
                <w:bCs/>
                <w:kern w:val="2"/>
                <w:sz w:val="24"/>
                <w:szCs w:val="24"/>
                <w:lang w:val="en-US" w:eastAsia="zh-CN" w:bidi="ar"/>
              </w:rPr>
              <w:t>2.2</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38888E">
            <w:pPr>
              <w:keepNext w:val="0"/>
              <w:keepLines w:val="0"/>
              <w:widowControl w:val="0"/>
              <w:suppressLineNumbers w:val="0"/>
              <w:spacing w:before="0" w:beforeAutospacing="0" w:after="0" w:afterAutospacing="0" w:line="400" w:lineRule="exact"/>
              <w:ind w:left="0" w:right="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新技术新项目</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7F38FA03">
            <w:pPr>
              <w:keepNext w:val="0"/>
              <w:keepLines w:val="0"/>
              <w:widowControl w:val="0"/>
              <w:suppressLineNumbers w:val="0"/>
              <w:spacing w:before="0" w:beforeAutospacing="0" w:after="0" w:afterAutospacing="0"/>
              <w:ind w:left="0" w:right="0" w:firstLine="480" w:firstLineChars="200"/>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包括</w:t>
            </w:r>
            <w:r>
              <w:rPr>
                <w:rFonts w:hint="eastAsia" w:ascii="仿宋" w:hAnsi="仿宋" w:eastAsia="仿宋" w:cs="仿宋"/>
                <w:bCs/>
                <w:sz w:val="24"/>
                <w:szCs w:val="24"/>
                <w:lang w:val="en-US"/>
              </w:rPr>
              <w:t>申请</w:t>
            </w:r>
            <w:r>
              <w:rPr>
                <w:rFonts w:hint="eastAsia" w:ascii="仿宋" w:hAnsi="仿宋" w:eastAsia="仿宋" w:cs="仿宋"/>
                <w:bCs/>
                <w:sz w:val="24"/>
                <w:szCs w:val="24"/>
                <w:lang w:val="en-US" w:eastAsia="zh-CN"/>
              </w:rPr>
              <w:t>、开展、延期、终止和转常规流程。</w:t>
            </w:r>
          </w:p>
          <w:p w14:paraId="0749FB3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申请：</w:t>
            </w:r>
            <w:r>
              <w:rPr>
                <w:rFonts w:hint="eastAsia" w:ascii="仿宋" w:hAnsi="仿宋" w:eastAsia="仿宋" w:cs="仿宋"/>
                <w:bCs/>
                <w:sz w:val="24"/>
                <w:szCs w:val="24"/>
                <w:lang w:val="en-US"/>
              </w:rPr>
              <w:t>包含新技术</w:t>
            </w:r>
            <w:r>
              <w:rPr>
                <w:rFonts w:hint="eastAsia" w:ascii="仿宋" w:hAnsi="仿宋" w:eastAsia="仿宋" w:cs="仿宋"/>
                <w:bCs/>
                <w:sz w:val="24"/>
                <w:szCs w:val="24"/>
                <w:lang w:val="en-US" w:eastAsia="zh-CN"/>
              </w:rPr>
              <w:t>和</w:t>
            </w:r>
            <w:r>
              <w:rPr>
                <w:rFonts w:hint="eastAsia" w:ascii="仿宋" w:hAnsi="仿宋" w:eastAsia="仿宋" w:cs="仿宋"/>
                <w:bCs/>
                <w:sz w:val="24"/>
                <w:szCs w:val="24"/>
                <w:lang w:val="en-US"/>
              </w:rPr>
              <w:t>新项目的申请，支持按照</w:t>
            </w:r>
            <w:r>
              <w:rPr>
                <w:rFonts w:hint="eastAsia" w:ascii="仿宋" w:hAnsi="仿宋" w:eastAsia="仿宋" w:cs="仿宋"/>
                <w:bCs/>
                <w:sz w:val="24"/>
                <w:szCs w:val="24"/>
                <w:lang w:val="en-US" w:eastAsia="zh-CN"/>
              </w:rPr>
              <w:t>不同</w:t>
            </w:r>
            <w:r>
              <w:rPr>
                <w:rFonts w:hint="eastAsia" w:ascii="仿宋" w:hAnsi="仿宋" w:eastAsia="仿宋" w:cs="仿宋"/>
                <w:bCs/>
                <w:sz w:val="24"/>
                <w:szCs w:val="24"/>
                <w:lang w:val="en-US"/>
              </w:rPr>
              <w:t>维度进行划分，进行管理。审批按照流程不同分类常规准入审批、简易准入审批、快速审批三个审批流程。</w:t>
            </w:r>
          </w:p>
          <w:p w14:paraId="49B79BF8">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rPr>
              <w:t>开展</w:t>
            </w:r>
            <w:r>
              <w:rPr>
                <w:rFonts w:hint="eastAsia" w:ascii="仿宋" w:hAnsi="仿宋" w:eastAsia="仿宋" w:cs="仿宋"/>
                <w:bCs/>
                <w:sz w:val="24"/>
                <w:szCs w:val="24"/>
                <w:lang w:val="en-US" w:eastAsia="zh-CN"/>
              </w:rPr>
              <w:t>：</w:t>
            </w:r>
            <w:r>
              <w:rPr>
                <w:rFonts w:hint="eastAsia" w:ascii="仿宋" w:hAnsi="仿宋" w:eastAsia="仿宋" w:cs="仿宋"/>
                <w:bCs/>
                <w:sz w:val="24"/>
                <w:szCs w:val="24"/>
                <w:lang w:val="en-US"/>
              </w:rPr>
              <w:t>登记开展过程中的临床应用记录，并每隔一段时间会对该技术进行阶段评价。</w:t>
            </w:r>
          </w:p>
          <w:p w14:paraId="2C08698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rPr>
              <w:t>延期</w:t>
            </w:r>
            <w:r>
              <w:rPr>
                <w:rFonts w:hint="eastAsia" w:ascii="仿宋" w:hAnsi="仿宋" w:eastAsia="仿宋" w:cs="仿宋"/>
                <w:bCs/>
                <w:sz w:val="24"/>
                <w:szCs w:val="24"/>
                <w:lang w:val="en-US" w:eastAsia="zh-CN"/>
              </w:rPr>
              <w:t>：</w:t>
            </w:r>
            <w:r>
              <w:rPr>
                <w:rFonts w:hint="eastAsia" w:ascii="仿宋" w:hAnsi="仿宋" w:eastAsia="仿宋" w:cs="仿宋"/>
                <w:bCs/>
                <w:sz w:val="24"/>
                <w:szCs w:val="24"/>
                <w:lang w:val="en-US"/>
              </w:rPr>
              <w:t>对未在规定时间内完成的新技术新项目，登记延期申请，审批通过后将其定位为延期。可多次申请。</w:t>
            </w:r>
          </w:p>
          <w:p w14:paraId="7B61370E">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Cs/>
                <w:sz w:val="24"/>
                <w:szCs w:val="24"/>
                <w:lang w:val="en-US"/>
              </w:rPr>
            </w:pPr>
            <w:r>
              <w:rPr>
                <w:rFonts w:hint="eastAsia" w:ascii="仿宋" w:hAnsi="仿宋" w:eastAsia="仿宋" w:cs="仿宋"/>
                <w:bCs/>
                <w:sz w:val="24"/>
                <w:szCs w:val="24"/>
                <w:lang w:val="en-US"/>
              </w:rPr>
              <w:t>终止</w:t>
            </w:r>
            <w:r>
              <w:rPr>
                <w:rFonts w:hint="eastAsia" w:ascii="仿宋" w:hAnsi="仿宋" w:eastAsia="仿宋" w:cs="仿宋"/>
                <w:bCs/>
                <w:sz w:val="24"/>
                <w:szCs w:val="24"/>
                <w:lang w:val="en-US" w:eastAsia="zh-CN"/>
              </w:rPr>
              <w:t>：</w:t>
            </w:r>
            <w:r>
              <w:rPr>
                <w:rFonts w:hint="eastAsia" w:ascii="仿宋" w:hAnsi="仿宋" w:eastAsia="仿宋" w:cs="仿宋"/>
                <w:bCs/>
                <w:sz w:val="24"/>
                <w:szCs w:val="24"/>
                <w:lang w:val="en-US"/>
              </w:rPr>
              <w:t>对未成熟或稳定的项目、技术，记录相关终止条件与原因，经审批后终止该新技术新项目。</w:t>
            </w:r>
          </w:p>
          <w:p w14:paraId="20F0F514">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Cs/>
                <w:sz w:val="24"/>
                <w:szCs w:val="24"/>
                <w:lang w:val="en-US"/>
              </w:rPr>
            </w:pPr>
            <w:r>
              <w:rPr>
                <w:rFonts w:hint="eastAsia" w:ascii="仿宋" w:hAnsi="仿宋" w:eastAsia="仿宋" w:cs="仿宋"/>
                <w:bCs/>
                <w:sz w:val="24"/>
                <w:szCs w:val="24"/>
                <w:lang w:val="en-US"/>
              </w:rPr>
              <w:t>转常规</w:t>
            </w:r>
            <w:r>
              <w:rPr>
                <w:rFonts w:hint="eastAsia" w:ascii="仿宋" w:hAnsi="仿宋" w:eastAsia="仿宋" w:cs="仿宋"/>
                <w:bCs/>
                <w:sz w:val="24"/>
                <w:szCs w:val="24"/>
                <w:lang w:val="en-US" w:eastAsia="zh-CN"/>
              </w:rPr>
              <w:t>：</w:t>
            </w:r>
            <w:r>
              <w:rPr>
                <w:rFonts w:hint="eastAsia" w:ascii="仿宋" w:hAnsi="仿宋" w:eastAsia="仿宋" w:cs="仿宋"/>
                <w:bCs/>
                <w:sz w:val="24"/>
                <w:szCs w:val="24"/>
                <w:lang w:val="en-US"/>
              </w:rPr>
              <w:t>记录成熟或稳定的新技术新项目开展的实际情况、效果评价，以及上传或导出相关附件。实现将新技术新项目增加到手术目录或形成一个新的手术提供给医师申请授权。</w:t>
            </w:r>
          </w:p>
          <w:p w14:paraId="48F198C2">
            <w:pPr>
              <w:keepNext w:val="0"/>
              <w:keepLines w:val="0"/>
              <w:widowControl w:val="0"/>
              <w:suppressLineNumbers w:val="0"/>
              <w:spacing w:before="0" w:beforeAutospacing="0" w:after="0" w:afterAutospacing="0"/>
              <w:ind w:left="0" w:right="0" w:firstLine="480" w:firstLineChars="200"/>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统计展示量表：</w:t>
            </w:r>
            <w:r>
              <w:rPr>
                <w:rFonts w:hint="eastAsia" w:ascii="仿宋" w:hAnsi="仿宋" w:eastAsia="仿宋" w:cs="仿宋"/>
                <w:kern w:val="2"/>
                <w:sz w:val="24"/>
                <w:szCs w:val="24"/>
                <w:lang w:val="en-US" w:eastAsia="zh-CN" w:bidi="ar"/>
              </w:rPr>
              <w:t>展示所有项目本年度开展例数及对应手术操作详情和不良事件例数，统计不良事件占比。各科室项目类别统计、全院或科室新技术新项目状态统计。</w:t>
            </w:r>
          </w:p>
        </w:tc>
      </w:tr>
      <w:tr w14:paraId="6A6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58" w:type="dxa"/>
            <w:tcBorders>
              <w:top w:val="single" w:color="auto" w:sz="4" w:space="0"/>
              <w:left w:val="single" w:color="auto" w:sz="4" w:space="0"/>
              <w:right w:val="single" w:color="auto" w:sz="4" w:space="0"/>
            </w:tcBorders>
            <w:shd w:val="clear" w:color="auto" w:fill="auto"/>
            <w:vAlign w:val="center"/>
          </w:tcPr>
          <w:p w14:paraId="330B2E6D">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kern w:val="2"/>
                <w:sz w:val="24"/>
                <w:szCs w:val="24"/>
                <w:highlight w:val="none"/>
                <w:lang w:val="en-US" w:eastAsia="zh-CN" w:bidi="ar"/>
              </w:rPr>
            </w:pPr>
            <w:r>
              <w:rPr>
                <w:rFonts w:hint="eastAsia" w:ascii="仿宋" w:hAnsi="仿宋" w:eastAsia="仿宋" w:cs="仿宋"/>
                <w:bCs/>
                <w:kern w:val="2"/>
                <w:sz w:val="24"/>
                <w:szCs w:val="24"/>
                <w:highlight w:val="none"/>
                <w:lang w:val="en-US" w:eastAsia="zh-CN" w:bidi="ar"/>
              </w:rPr>
              <w:t>2.3</w:t>
            </w:r>
          </w:p>
          <w:p w14:paraId="1454D1C2">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sz w:val="24"/>
                <w:szCs w:val="24"/>
                <w:highlight w:val="none"/>
                <w:lang w:val="en-US"/>
              </w:rPr>
            </w:pPr>
          </w:p>
        </w:tc>
        <w:tc>
          <w:tcPr>
            <w:tcW w:w="1991" w:type="dxa"/>
            <w:gridSpan w:val="2"/>
            <w:tcBorders>
              <w:top w:val="single" w:color="auto" w:sz="4" w:space="0"/>
              <w:left w:val="single" w:color="auto" w:sz="4" w:space="0"/>
              <w:right w:val="single" w:color="auto" w:sz="4" w:space="0"/>
            </w:tcBorders>
            <w:shd w:val="clear" w:color="auto" w:fill="auto"/>
            <w:vAlign w:val="center"/>
          </w:tcPr>
          <w:p w14:paraId="0928AF5F">
            <w:pPr>
              <w:keepNext w:val="0"/>
              <w:keepLines w:val="0"/>
              <w:widowControl w:val="0"/>
              <w:suppressLineNumbers w:val="0"/>
              <w:spacing w:before="0" w:beforeAutospacing="0" w:after="0" w:afterAutospacing="0" w:line="400" w:lineRule="exact"/>
              <w:ind w:left="0" w:right="0"/>
              <w:jc w:val="center"/>
              <w:rPr>
                <w:rFonts w:hint="default"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科室培训</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top"/>
          </w:tcPr>
          <w:p w14:paraId="5A653C9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有内置</w:t>
            </w:r>
            <w:r>
              <w:rPr>
                <w:rFonts w:hint="eastAsia" w:ascii="仿宋" w:hAnsi="仿宋" w:eastAsia="仿宋" w:cs="仿宋"/>
                <w:sz w:val="24"/>
                <w:szCs w:val="24"/>
                <w:highlight w:val="none"/>
                <w:lang w:val="en-US"/>
              </w:rPr>
              <w:t>题库包括题库元数据新增、修改、删除等，</w:t>
            </w:r>
            <w:r>
              <w:rPr>
                <w:rFonts w:hint="eastAsia" w:ascii="仿宋" w:hAnsi="仿宋" w:eastAsia="仿宋" w:cs="仿宋"/>
                <w:sz w:val="24"/>
                <w:szCs w:val="24"/>
                <w:highlight w:val="none"/>
                <w:lang w:val="en-US" w:eastAsia="zh-CN"/>
              </w:rPr>
              <w:t>各</w:t>
            </w:r>
            <w:r>
              <w:rPr>
                <w:rFonts w:hint="eastAsia" w:ascii="仿宋" w:hAnsi="仿宋" w:eastAsia="仿宋" w:cs="仿宋"/>
                <w:sz w:val="24"/>
                <w:szCs w:val="24"/>
                <w:highlight w:val="none"/>
                <w:lang w:val="en-US"/>
              </w:rPr>
              <w:t>题库下可以按需添加题目。</w:t>
            </w:r>
          </w:p>
          <w:p w14:paraId="6090A39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试卷</w:t>
            </w:r>
            <w:r>
              <w:rPr>
                <w:rFonts w:hint="eastAsia" w:ascii="仿宋" w:hAnsi="仿宋" w:eastAsia="仿宋" w:cs="仿宋"/>
                <w:sz w:val="24"/>
                <w:szCs w:val="24"/>
                <w:highlight w:val="none"/>
                <w:lang w:val="en-US" w:eastAsia="zh-CN"/>
              </w:rPr>
              <w:t>可以</w:t>
            </w:r>
            <w:r>
              <w:rPr>
                <w:rFonts w:hint="eastAsia" w:ascii="仿宋" w:hAnsi="仿宋" w:eastAsia="仿宋" w:cs="仿宋"/>
                <w:sz w:val="24"/>
                <w:szCs w:val="24"/>
                <w:highlight w:val="none"/>
                <w:lang w:val="en-US"/>
              </w:rPr>
              <w:t>分类管理:按不同的维度对试卷进行分类，方便管理。</w:t>
            </w:r>
          </w:p>
          <w:p w14:paraId="7CEBC9A4">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在线考试包括考试发布，考生可以通过在线考试界面，领取试卷，答题和提交试卷。考试提交后成绩结果即时统计公布，考生可查看结果明细，包括答题得分情况，答案解释等。</w:t>
            </w:r>
          </w:p>
          <w:p w14:paraId="6B0A9022">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支持在线课程，医师可以在线浏览、学习，方便医生随时随地的进行培训。</w:t>
            </w:r>
          </w:p>
        </w:tc>
      </w:tr>
      <w:tr w14:paraId="3E5A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AB3727A">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87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A20533">
            <w:pPr>
              <w:keepNext w:val="0"/>
              <w:keepLines w:val="0"/>
              <w:widowControl w:val="0"/>
              <w:suppressLineNumbers w:val="0"/>
              <w:spacing w:before="0" w:beforeAutospacing="0" w:after="0" w:afterAutospacing="0"/>
              <w:ind w:left="0" w:right="0" w:firstLine="482"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医疗质量考核系统</w:t>
            </w:r>
          </w:p>
        </w:tc>
      </w:tr>
      <w:tr w14:paraId="34B3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F602981">
            <w:pPr>
              <w:keepNext w:val="0"/>
              <w:keepLines w:val="0"/>
              <w:widowControl w:val="0"/>
              <w:suppressLineNumbers w:val="0"/>
              <w:spacing w:before="0" w:beforeAutospacing="0" w:after="0" w:afterAutospacing="0"/>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3.1</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066C8E">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医疗质量管理知识库</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4F169790">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支持构建医疗质量管理知识库，知识库内容应涵盖医院质量管理细则、各类规章制度，并满足如下功能需求：</w:t>
            </w:r>
          </w:p>
          <w:p w14:paraId="31502E10">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重点指标颜色标记、数据类指标可与现信息数据监测关联抓取；</w:t>
            </w:r>
          </w:p>
          <w:p w14:paraId="4FBEFE7A">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支持管理权限人员对知识库条款进行变更或调整；</w:t>
            </w:r>
          </w:p>
          <w:p w14:paraId="314089BC">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支持体现制度检查要点、扣分标准；</w:t>
            </w:r>
          </w:p>
          <w:p w14:paraId="5381A6F6">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支持医院管理人员自定义维护。</w:t>
            </w:r>
          </w:p>
        </w:tc>
      </w:tr>
      <w:tr w14:paraId="7B00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9D626FA">
            <w:pPr>
              <w:keepNext w:val="0"/>
              <w:keepLines w:val="0"/>
              <w:widowControl w:val="0"/>
              <w:suppressLineNumbers w:val="0"/>
              <w:spacing w:before="0" w:beforeAutospacing="0" w:after="0" w:afterAutospacing="0"/>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5171B7">
            <w:pPr>
              <w:keepNext w:val="0"/>
              <w:keepLines w:val="0"/>
              <w:widowControl w:val="0"/>
              <w:suppressLineNumbers w:val="0"/>
              <w:spacing w:before="0" w:beforeAutospacing="0" w:after="0" w:afterAutospacing="0"/>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指标配置</w:t>
            </w:r>
          </w:p>
          <w:p w14:paraId="279EB020">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eastAsia="zh-CN"/>
              </w:rPr>
            </w:pP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5CAE79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建立医疗质量评价指标体系，按基础-环节-终末全面质量管理模型，形成从院级、科级到个人组成的三级组织管理评价指标体系。其中，基础质量评价指标可包括组织体系、制度保障、职责履行；环节质量评价指标可包括医疗核心制度督查、优质服务、医疗文书、护理管理、院感控制等；终末质量可包括服务能力、服务质量、医患关系、服务效能等。</w:t>
            </w:r>
          </w:p>
          <w:p w14:paraId="036923E4">
            <w:pPr>
              <w:keepNext w:val="0"/>
              <w:keepLines w:val="0"/>
              <w:widowControl w:val="0"/>
              <w:suppressLineNumbers w:val="0"/>
              <w:spacing w:before="0" w:beforeAutospacing="0" w:after="0" w:afterAutospacing="0"/>
              <w:ind w:left="0" w:right="0" w:firstLine="480" w:firstLineChars="20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核心制度35项质量指标的监测与HIS端口对接，直接提取相应指标，能分别对临床各科室和全院数据进行展示。</w:t>
            </w:r>
          </w:p>
        </w:tc>
      </w:tr>
      <w:tr w14:paraId="56ED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C81A88A">
            <w:pPr>
              <w:keepNext w:val="0"/>
              <w:keepLines w:val="0"/>
              <w:widowControl w:val="0"/>
              <w:suppressLineNumbers w:val="0"/>
              <w:spacing w:before="0" w:beforeAutospacing="0" w:after="0" w:afterAutospacing="0"/>
              <w:ind w:left="0" w:right="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5A847B">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病历质控</w:t>
            </w:r>
          </w:p>
          <w:p w14:paraId="0C81578B">
            <w:pPr>
              <w:keepNext w:val="0"/>
              <w:keepLines w:val="0"/>
              <w:widowControl w:val="0"/>
              <w:suppressLineNumbers w:val="0"/>
              <w:spacing w:before="0" w:beforeAutospacing="0" w:after="0" w:afterAutospacing="0"/>
              <w:ind w:left="0" w:right="0" w:firstLine="480" w:firstLineChars="20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06AFE7A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对病历完整性和逻辑性进行质控，出院时自动拦截不完整病历。</w:t>
            </w:r>
          </w:p>
          <w:p w14:paraId="0A9B0609">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实施时限质控，有整改情况反馈，并生成报表。</w:t>
            </w:r>
          </w:p>
          <w:p w14:paraId="150F38CA">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针对病历内各模块内容要求进行内涵质控，如内容是否规范，异常检查检验结果是否分析处理。</w:t>
            </w:r>
          </w:p>
          <w:p w14:paraId="0586A3FC">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有风险预警功能，如提交前预警缺项，超时前预警时限。</w:t>
            </w:r>
          </w:p>
        </w:tc>
      </w:tr>
      <w:tr w14:paraId="06AC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085C33">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w:t>
            </w:r>
          </w:p>
          <w:p w14:paraId="1FEB97DC">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C4B066">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医疗质量督查</w:t>
            </w:r>
          </w:p>
          <w:p w14:paraId="6F20694F">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3026AE8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支持制定医疗质量现场检查模板和检查内容，分为定期现场检查、临时现场检查、专项现场检查，支持移动端和PC端；可对现场检查发现的各类问题进行快速记录、扣分、拍照、生成扣分原因；在完成检查后可将检查不合格项发送消息给各科主任要求其组织整改，整改完成后，可以填写整改措施、整改建议、上传整改照片，医院管理部门可以随时查看各科室的检查情况和整改情况。</w:t>
            </w:r>
          </w:p>
        </w:tc>
      </w:tr>
      <w:tr w14:paraId="10EC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2FF3048E">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sz w:val="24"/>
                <w:szCs w:val="24"/>
                <w:highlight w:val="none"/>
                <w:lang w:val="en-US"/>
              </w:rPr>
            </w:pPr>
            <w:r>
              <w:rPr>
                <w:rFonts w:hint="eastAsia" w:ascii="仿宋" w:hAnsi="仿宋" w:eastAsia="仿宋" w:cs="仿宋"/>
                <w:bCs/>
                <w:kern w:val="2"/>
                <w:sz w:val="24"/>
                <w:szCs w:val="24"/>
                <w:highlight w:val="none"/>
                <w:lang w:val="en-US" w:eastAsia="zh-CN" w:bidi="ar"/>
              </w:rPr>
              <w:t>3.4</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F40DFF">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sz w:val="24"/>
                <w:szCs w:val="24"/>
                <w:highlight w:val="none"/>
                <w:lang w:val="en-US"/>
              </w:rPr>
            </w:pPr>
            <w:r>
              <w:rPr>
                <w:rFonts w:hint="eastAsia" w:ascii="仿宋" w:hAnsi="仿宋" w:eastAsia="仿宋" w:cs="仿宋"/>
                <w:bCs/>
                <w:kern w:val="2"/>
                <w:sz w:val="24"/>
                <w:szCs w:val="24"/>
                <w:highlight w:val="none"/>
                <w:lang w:val="en-US" w:eastAsia="zh-CN" w:bidi="ar"/>
              </w:rPr>
              <w:t>评价反馈</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4DB0F34E">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Cs/>
                <w:sz w:val="24"/>
                <w:szCs w:val="24"/>
                <w:highlight w:val="none"/>
                <w:lang w:val="en-US"/>
              </w:rPr>
            </w:pPr>
            <w:r>
              <w:rPr>
                <w:rFonts w:hint="eastAsia" w:ascii="仿宋" w:hAnsi="仿宋" w:eastAsia="仿宋" w:cs="仿宋"/>
                <w:bCs/>
                <w:kern w:val="2"/>
                <w:sz w:val="24"/>
                <w:szCs w:val="24"/>
                <w:highlight w:val="none"/>
                <w:lang w:val="en-US" w:eastAsia="zh-CN" w:bidi="ar"/>
              </w:rPr>
              <w:t>各科室可通过系统对检查结果进行线上反馈；管理部门查看后，可对各科室反馈的情况进行评价处理，支持对结果反馈以及反馈回复的情况进行记录并归档。</w:t>
            </w:r>
          </w:p>
        </w:tc>
      </w:tr>
      <w:tr w14:paraId="73A8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3D9EC19">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sz w:val="24"/>
                <w:szCs w:val="24"/>
                <w:highlight w:val="none"/>
                <w:lang w:val="en-US"/>
              </w:rPr>
            </w:pPr>
            <w:r>
              <w:rPr>
                <w:rFonts w:hint="eastAsia" w:ascii="仿宋" w:hAnsi="仿宋" w:eastAsia="仿宋" w:cs="仿宋"/>
                <w:bCs/>
                <w:kern w:val="2"/>
                <w:sz w:val="24"/>
                <w:szCs w:val="24"/>
                <w:highlight w:val="none"/>
                <w:lang w:val="en-US" w:eastAsia="zh-CN" w:bidi="ar"/>
              </w:rPr>
              <w:t>3.5</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757D85">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sz w:val="24"/>
                <w:szCs w:val="24"/>
                <w:highlight w:val="none"/>
                <w:lang w:val="en-US"/>
              </w:rPr>
            </w:pPr>
            <w:r>
              <w:rPr>
                <w:rFonts w:hint="eastAsia" w:ascii="仿宋" w:hAnsi="仿宋" w:eastAsia="仿宋" w:cs="仿宋"/>
                <w:bCs/>
                <w:kern w:val="2"/>
                <w:sz w:val="24"/>
                <w:szCs w:val="24"/>
                <w:highlight w:val="none"/>
                <w:lang w:val="en-US" w:eastAsia="zh-CN" w:bidi="ar"/>
              </w:rPr>
              <w:t>数据分析</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0DA634C6">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Cs/>
                <w:sz w:val="24"/>
                <w:szCs w:val="24"/>
                <w:highlight w:val="none"/>
                <w:lang w:val="en-US"/>
              </w:rPr>
            </w:pPr>
            <w:r>
              <w:rPr>
                <w:rFonts w:hint="eastAsia" w:ascii="仿宋" w:hAnsi="仿宋" w:eastAsia="仿宋" w:cs="仿宋"/>
                <w:bCs/>
                <w:kern w:val="2"/>
                <w:sz w:val="24"/>
                <w:szCs w:val="24"/>
                <w:highlight w:val="none"/>
                <w:lang w:val="en-US" w:eastAsia="zh-CN" w:bidi="ar"/>
              </w:rPr>
              <w:t>支持对督查后的数据和报告进行横向或同期对比分析，分析展示扣分原因及改进情况，对量化指标取全院中位值进行对比，部分专科质量监测指标可参考评审细则相关规定。</w:t>
            </w:r>
          </w:p>
        </w:tc>
      </w:tr>
      <w:tr w14:paraId="525A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7D24C1AA">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sz w:val="24"/>
                <w:szCs w:val="24"/>
                <w:highlight w:val="none"/>
                <w:lang w:val="en-US"/>
              </w:rPr>
            </w:pPr>
            <w:r>
              <w:rPr>
                <w:rFonts w:hint="eastAsia" w:ascii="仿宋" w:hAnsi="仿宋" w:eastAsia="仿宋" w:cs="仿宋"/>
                <w:bCs/>
                <w:kern w:val="2"/>
                <w:sz w:val="24"/>
                <w:szCs w:val="24"/>
                <w:highlight w:val="none"/>
                <w:lang w:val="en-US" w:eastAsia="zh-CN" w:bidi="ar"/>
              </w:rPr>
              <w:t>3.6</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8ABC17">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color w:val="000000"/>
                <w:sz w:val="24"/>
                <w:szCs w:val="24"/>
                <w:highlight w:val="none"/>
                <w:lang w:val="en-US"/>
              </w:rPr>
            </w:pPr>
            <w:r>
              <w:rPr>
                <w:rFonts w:hint="eastAsia" w:ascii="仿宋" w:hAnsi="仿宋" w:eastAsia="仿宋" w:cs="仿宋"/>
                <w:kern w:val="2"/>
                <w:sz w:val="24"/>
                <w:szCs w:val="24"/>
                <w:highlight w:val="none"/>
                <w:lang w:val="en-US" w:eastAsia="zh-CN" w:bidi="ar"/>
              </w:rPr>
              <w:t>医疗工作简报管理</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5BFD869B">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Cs/>
                <w:sz w:val="24"/>
                <w:szCs w:val="24"/>
                <w:highlight w:val="none"/>
                <w:lang w:val="en-US"/>
              </w:rPr>
            </w:pPr>
            <w:r>
              <w:rPr>
                <w:rFonts w:hint="eastAsia" w:ascii="仿宋" w:hAnsi="仿宋" w:eastAsia="仿宋" w:cs="仿宋"/>
                <w:kern w:val="2"/>
                <w:sz w:val="24"/>
                <w:szCs w:val="24"/>
                <w:highlight w:val="none"/>
                <w:lang w:val="en-US" w:eastAsia="zh-CN" w:bidi="ar"/>
              </w:rPr>
              <w:t>支持根据医院医疗工作简报模板自定义简报格式、内容，与HIS系统对接，自动提取简报所需数据，自动生成医疗工作简报内容，支持导出PDF。可按科室生成质控报告，含缺陷类型，缺陷率，整改率等指标。</w:t>
            </w:r>
          </w:p>
        </w:tc>
      </w:tr>
      <w:tr w14:paraId="35DD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B73C854">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
                <w:bCs w:val="0"/>
                <w:sz w:val="24"/>
                <w:szCs w:val="24"/>
                <w:lang w:val="en-US"/>
              </w:rPr>
            </w:pPr>
            <w:r>
              <w:rPr>
                <w:rFonts w:hint="eastAsia" w:ascii="仿宋" w:hAnsi="仿宋" w:eastAsia="仿宋" w:cs="仿宋"/>
                <w:b/>
                <w:bCs w:val="0"/>
                <w:kern w:val="2"/>
                <w:sz w:val="24"/>
                <w:szCs w:val="24"/>
                <w:lang w:val="en-US" w:eastAsia="zh-CN" w:bidi="ar"/>
              </w:rPr>
              <w:t>4</w:t>
            </w:r>
          </w:p>
        </w:tc>
        <w:tc>
          <w:tcPr>
            <w:tcW w:w="87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A167AB">
            <w:pPr>
              <w:keepNext w:val="0"/>
              <w:keepLines w:val="0"/>
              <w:widowControl w:val="0"/>
              <w:suppressLineNumbers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b/>
                <w:bCs w:val="0"/>
                <w:kern w:val="2"/>
                <w:sz w:val="24"/>
                <w:szCs w:val="24"/>
                <w:lang w:val="en-US" w:eastAsia="zh-CN" w:bidi="ar"/>
              </w:rPr>
              <w:t>VTE风险智能评估系统</w:t>
            </w:r>
          </w:p>
        </w:tc>
      </w:tr>
      <w:tr w14:paraId="7A88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23C8A5">
            <w:pPr>
              <w:keepNext w:val="0"/>
              <w:keepLines w:val="0"/>
              <w:widowControl w:val="0"/>
              <w:suppressLineNumbers w:val="0"/>
              <w:spacing w:before="0" w:beforeAutospacing="0" w:after="0" w:afterAutospacing="0"/>
              <w:ind w:left="0" w:right="0" w:firstLine="240" w:firstLineChars="100"/>
              <w:jc w:val="both"/>
              <w:rPr>
                <w:rFonts w:hint="eastAsia" w:ascii="仿宋" w:hAnsi="仿宋" w:eastAsia="仿宋" w:cs="仿宋"/>
                <w:b/>
                <w:bCs w:val="0"/>
                <w:sz w:val="24"/>
                <w:szCs w:val="24"/>
                <w:lang w:val="en-US"/>
              </w:rPr>
            </w:pPr>
            <w:r>
              <w:rPr>
                <w:rFonts w:hint="eastAsia" w:ascii="仿宋" w:hAnsi="仿宋" w:eastAsia="仿宋" w:cs="仿宋"/>
                <w:kern w:val="0"/>
                <w:sz w:val="24"/>
                <w:szCs w:val="24"/>
                <w:lang w:val="en-US" w:eastAsia="zh-CN" w:bidi="ar"/>
              </w:rPr>
              <w:t>4.1</w:t>
            </w:r>
          </w:p>
        </w:tc>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14:paraId="218683D8">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4"/>
                <w:szCs w:val="24"/>
                <w:lang w:val="en-US"/>
              </w:rPr>
            </w:pPr>
            <w:r>
              <w:rPr>
                <w:rFonts w:hint="eastAsia" w:ascii="仿宋" w:hAnsi="仿宋" w:eastAsia="仿宋" w:cs="仿宋"/>
                <w:kern w:val="2"/>
                <w:sz w:val="24"/>
                <w:szCs w:val="24"/>
                <w:lang w:val="en-US" w:eastAsia="zh-CN" w:bidi="ar"/>
              </w:rPr>
              <w:t>VTE防治知识库</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27189783">
            <w:pPr>
              <w:keepNext w:val="0"/>
              <w:keepLines w:val="0"/>
              <w:widowControl w:val="0"/>
              <w:suppressLineNumbers w:val="0"/>
              <w:tabs>
                <w:tab w:val="left" w:pos="603"/>
              </w:tabs>
              <w:spacing w:before="0" w:beforeAutospacing="0" w:after="0" w:afterAutospacing="0"/>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支持基础数据标准化，并从医院既有业务系统进行基础数据同步。如果医院既有业务系统无相关基础数据，则要求采用统一的标准和规范</w:t>
            </w:r>
          </w:p>
          <w:p w14:paraId="3806DCE5">
            <w:pPr>
              <w:keepNext w:val="0"/>
              <w:keepLines w:val="0"/>
              <w:widowControl w:val="0"/>
              <w:suppressLineNumbers w:val="0"/>
              <w:tabs>
                <w:tab w:val="left" w:pos="603"/>
              </w:tabs>
              <w:spacing w:before="0" w:beforeAutospacing="0" w:after="0" w:afterAutospacing="0"/>
              <w:ind w:left="0" w:right="0" w:firstLine="480" w:firstLineChars="200"/>
              <w:jc w:val="both"/>
              <w:rPr>
                <w:rFonts w:hint="eastAsia" w:ascii="仿宋" w:hAnsi="仿宋" w:eastAsia="仿宋" w:cs="仿宋"/>
                <w:b/>
                <w:bCs w:val="0"/>
                <w:sz w:val="24"/>
                <w:szCs w:val="24"/>
                <w:lang w:val="en-US"/>
              </w:rPr>
            </w:pPr>
            <w:r>
              <w:rPr>
                <w:rFonts w:hint="eastAsia" w:ascii="仿宋" w:hAnsi="仿宋" w:eastAsia="仿宋" w:cs="仿宋"/>
                <w:kern w:val="2"/>
                <w:sz w:val="24"/>
                <w:szCs w:val="24"/>
                <w:lang w:val="en-US" w:eastAsia="zh-CN" w:bidi="ar"/>
              </w:rPr>
              <w:t>支持提供VTE防控体系所需的各类评分量表，设置评分表推荐规则，量表评估项目可根据院内实际情况进行定制化修改。</w:t>
            </w:r>
          </w:p>
        </w:tc>
      </w:tr>
      <w:tr w14:paraId="78BB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2" w:hRule="atLeast"/>
        </w:trPr>
        <w:tc>
          <w:tcPr>
            <w:tcW w:w="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5B1006">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4.2</w:t>
            </w:r>
          </w:p>
          <w:p w14:paraId="4D630232">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4"/>
                <w:szCs w:val="24"/>
                <w:lang w:val="en-US"/>
              </w:rPr>
            </w:pPr>
          </w:p>
        </w:tc>
        <w:tc>
          <w:tcPr>
            <w:tcW w:w="1963" w:type="dxa"/>
            <w:tcBorders>
              <w:top w:val="single" w:color="auto" w:sz="4" w:space="0"/>
              <w:left w:val="single" w:color="auto" w:sz="4" w:space="0"/>
              <w:right w:val="single" w:color="auto" w:sz="4" w:space="0"/>
            </w:tcBorders>
            <w:shd w:val="clear" w:color="auto" w:fill="auto"/>
            <w:vAlign w:val="center"/>
          </w:tcPr>
          <w:p w14:paraId="69057ED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val="en-US" w:eastAsia="zh-CN" w:bidi="ar"/>
              </w:rPr>
            </w:pPr>
            <w:bookmarkStart w:id="111" w:name="_Toc48560358"/>
            <w:r>
              <w:rPr>
                <w:rFonts w:hint="eastAsia" w:ascii="仿宋" w:hAnsi="仿宋" w:eastAsia="仿宋" w:cs="仿宋"/>
                <w:kern w:val="2"/>
                <w:sz w:val="24"/>
                <w:szCs w:val="24"/>
                <w:lang w:val="en-US" w:eastAsia="zh-CN" w:bidi="ar"/>
              </w:rPr>
              <w:t>智能评估</w:t>
            </w:r>
            <w:bookmarkEnd w:id="111"/>
            <w:bookmarkStart w:id="112" w:name="_Toc48560359"/>
            <w:r>
              <w:rPr>
                <w:rFonts w:hint="eastAsia" w:ascii="仿宋" w:hAnsi="仿宋" w:eastAsia="仿宋" w:cs="仿宋"/>
                <w:kern w:val="2"/>
                <w:sz w:val="24"/>
                <w:szCs w:val="24"/>
                <w:lang w:val="en-US" w:eastAsia="zh-CN" w:bidi="ar"/>
              </w:rPr>
              <w:t>防治</w:t>
            </w:r>
            <w:bookmarkEnd w:id="112"/>
          </w:p>
          <w:p w14:paraId="1960D0D5">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bCs/>
                <w:kern w:val="2"/>
                <w:sz w:val="24"/>
                <w:szCs w:val="24"/>
                <w:highlight w:val="none"/>
                <w:lang w:val="en-US" w:eastAsia="zh-CN" w:bidi="ar"/>
              </w:rPr>
            </w:pPr>
            <w:r>
              <w:rPr>
                <w:rFonts w:hint="eastAsia" w:ascii="仿宋" w:hAnsi="仿宋" w:eastAsia="仿宋" w:cs="仿宋"/>
                <w:spacing w:val="20"/>
                <w:kern w:val="2"/>
                <w:sz w:val="32"/>
                <w:szCs w:val="32"/>
                <w:highlight w:val="none"/>
                <w:lang w:val="en-US" w:eastAsia="zh-CN" w:bidi="ar-SA"/>
              </w:rPr>
              <w:t>★</w:t>
            </w:r>
          </w:p>
          <w:p w14:paraId="5199FF5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val="en-US" w:eastAsia="zh-CN" w:bidi="ar"/>
              </w:rPr>
            </w:pPr>
          </w:p>
          <w:p w14:paraId="2F9B836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val="en-US" w:eastAsia="zh-CN" w:bidi="ar"/>
              </w:rPr>
            </w:pPr>
          </w:p>
        </w:tc>
        <w:tc>
          <w:tcPr>
            <w:tcW w:w="6783" w:type="dxa"/>
            <w:tcBorders>
              <w:top w:val="single" w:color="auto" w:sz="4" w:space="0"/>
              <w:left w:val="single" w:color="auto" w:sz="4" w:space="0"/>
              <w:right w:val="single" w:color="auto" w:sz="4" w:space="0"/>
            </w:tcBorders>
            <w:shd w:val="clear" w:color="auto" w:fill="auto"/>
            <w:vAlign w:val="center"/>
          </w:tcPr>
          <w:p w14:paraId="2E33AF0E">
            <w:pPr>
              <w:keepNext w:val="0"/>
              <w:keepLines w:val="0"/>
              <w:widowControl w:val="0"/>
              <w:suppressLineNumbers w:val="0"/>
              <w:tabs>
                <w:tab w:val="left" w:pos="603"/>
              </w:tabs>
              <w:spacing w:before="0" w:beforeAutospacing="0" w:after="0" w:afterAutospacing="0"/>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支持结合患者住院期间的病历资料、用药情况、检查检验报告等信息，自动进行患者的VTE风险评估；</w:t>
            </w:r>
          </w:p>
          <w:p w14:paraId="7E714896">
            <w:pPr>
              <w:keepNext w:val="0"/>
              <w:keepLines w:val="0"/>
              <w:widowControl w:val="0"/>
              <w:suppressLineNumbers w:val="0"/>
              <w:tabs>
                <w:tab w:val="left" w:pos="603"/>
              </w:tabs>
              <w:spacing w:before="0" w:beforeAutospacing="0" w:after="0" w:afterAutospacing="0"/>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支持护士根据系统自动评估结果及患者实际情况进行基础评估；</w:t>
            </w:r>
          </w:p>
          <w:p w14:paraId="556852FB">
            <w:pPr>
              <w:keepNext w:val="0"/>
              <w:keepLines w:val="0"/>
              <w:widowControl w:val="0"/>
              <w:suppressLineNumbers w:val="0"/>
              <w:tabs>
                <w:tab w:val="left" w:pos="603"/>
              </w:tabs>
              <w:spacing w:before="0" w:beforeAutospacing="0" w:after="0" w:afterAutospacing="0"/>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支持医生根据系统自动评估结果及护士评估结果，对患者进行基础评估。医生也可直接跳过护士直接进行评估；</w:t>
            </w:r>
          </w:p>
          <w:p w14:paraId="6EA8412C">
            <w:pPr>
              <w:keepNext w:val="0"/>
              <w:keepLines w:val="0"/>
              <w:widowControl w:val="0"/>
              <w:suppressLineNumbers w:val="0"/>
              <w:tabs>
                <w:tab w:val="left" w:pos="603"/>
              </w:tabs>
              <w:spacing w:before="0" w:beforeAutospacing="0" w:after="0" w:afterAutospacing="0"/>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当人机评分不一致时，系统对不一致的地方进行提醒并可查看系统评分的原始依据；</w:t>
            </w:r>
          </w:p>
          <w:p w14:paraId="237F230C">
            <w:pPr>
              <w:keepNext w:val="0"/>
              <w:keepLines w:val="0"/>
              <w:widowControl w:val="0"/>
              <w:suppressLineNumbers w:val="0"/>
              <w:tabs>
                <w:tab w:val="left" w:pos="603"/>
              </w:tabs>
              <w:spacing w:before="0" w:beforeAutospacing="0" w:after="0" w:afterAutospacing="0"/>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支持VTE风险评估为中高危患者，根据患者所在科室类型，智能推荐进行内科或外科出血风险评估；</w:t>
            </w:r>
          </w:p>
          <w:p w14:paraId="090D7CD0">
            <w:pPr>
              <w:keepNext w:val="0"/>
              <w:keepLines w:val="0"/>
              <w:widowControl w:val="0"/>
              <w:suppressLineNumbers w:val="0"/>
              <w:spacing w:before="0" w:beforeAutospacing="0" w:after="0" w:afterAutospacing="0"/>
              <w:ind w:left="0" w:right="0" w:firstLine="48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支持根据患者诊疗过程的节点将评估分成：入院评估、转科评估、手术前评估、手术后评估、病情变化评估、出院评估；</w:t>
            </w:r>
          </w:p>
          <w:p w14:paraId="7989408A">
            <w:pPr>
              <w:keepNext w:val="0"/>
              <w:keepLines w:val="0"/>
              <w:widowControl w:val="0"/>
              <w:suppressLineNumbers w:val="0"/>
              <w:spacing w:before="0" w:beforeAutospacing="0" w:after="0" w:afterAutospacing="0"/>
              <w:ind w:left="0" w:right="0"/>
              <w:jc w:val="left"/>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支持将评估节点与患者的诊疗过程相结合并以时间轴的形式进行展示，直观展示VTE评估的及时性。</w:t>
            </w:r>
          </w:p>
          <w:p w14:paraId="7DFCF1CF">
            <w:pPr>
              <w:keepNext w:val="0"/>
              <w:keepLines w:val="0"/>
              <w:widowControl w:val="0"/>
              <w:suppressLineNumbers w:val="0"/>
              <w:tabs>
                <w:tab w:val="left" w:pos="603"/>
              </w:tabs>
              <w:spacing w:before="0" w:beforeAutospacing="0" w:after="0" w:afterAutospacing="0"/>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评估完成时需自动生成评估报告单，报告单包括各个量表的评估结果、评估节点以及推荐防治措施；</w:t>
            </w:r>
          </w:p>
          <w:p w14:paraId="5316E51A">
            <w:pPr>
              <w:keepNext w:val="0"/>
              <w:keepLines w:val="0"/>
              <w:widowControl w:val="0"/>
              <w:suppressLineNumbers w:val="0"/>
              <w:tabs>
                <w:tab w:val="left" w:pos="603"/>
              </w:tabs>
              <w:spacing w:before="0" w:beforeAutospacing="0" w:after="0" w:afterAutospacing="0"/>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评估报告单需要在电子病历中生成，并由医生签字确认后评估流程结束，护士也可在护理病历中查看评估结果；</w:t>
            </w:r>
          </w:p>
          <w:p w14:paraId="273B29B8">
            <w:pPr>
              <w:keepNext w:val="0"/>
              <w:keepLines w:val="0"/>
              <w:widowControl w:val="0"/>
              <w:suppressLineNumbers w:val="0"/>
              <w:tabs>
                <w:tab w:val="left" w:pos="603"/>
              </w:tabs>
              <w:spacing w:before="0" w:beforeAutospacing="0" w:after="0" w:afterAutospacing="0"/>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如果患者结果为中高出血风险时，医生在给该患者下达抗凝药物医嘱，需提示该患者存在出血风险慎用抗凝药物，医生在知晓患者风险后才可下达抗凝药物医嘱；</w:t>
            </w:r>
          </w:p>
          <w:p w14:paraId="37F0DE46">
            <w:pPr>
              <w:keepNext w:val="0"/>
              <w:keepLines w:val="0"/>
              <w:widowControl w:val="0"/>
              <w:suppressLineNumbers w:val="0"/>
              <w:tabs>
                <w:tab w:val="left" w:pos="603"/>
              </w:tabs>
              <w:spacing w:before="0" w:beforeAutospacing="0" w:after="0" w:afterAutospacing="0"/>
              <w:ind w:left="0" w:right="0" w:firstLine="480" w:firstLineChars="200"/>
              <w:jc w:val="both"/>
              <w:rPr>
                <w:rFonts w:hint="eastAsia" w:ascii="仿宋" w:hAnsi="仿宋" w:eastAsia="仿宋" w:cs="仿宋"/>
                <w:b/>
                <w:bCs w:val="0"/>
                <w:sz w:val="24"/>
                <w:szCs w:val="24"/>
                <w:lang w:val="en-US"/>
              </w:rPr>
            </w:pPr>
            <w:r>
              <w:rPr>
                <w:rFonts w:hint="eastAsia" w:ascii="仿宋" w:hAnsi="仿宋" w:eastAsia="仿宋" w:cs="仿宋"/>
                <w:kern w:val="2"/>
                <w:sz w:val="24"/>
                <w:szCs w:val="24"/>
                <w:lang w:val="en-US" w:eastAsia="zh-CN" w:bidi="ar"/>
              </w:rPr>
              <w:t>支持对监测指标和VTE发生率进行实时动态追踪和统计分析，提醒医生对未按规范防治的高危患者及时采取补救措施进行防治、避免和减少因未及时防治而导致的VTE发生率及致死率。</w:t>
            </w:r>
          </w:p>
        </w:tc>
      </w:tr>
      <w:tr w14:paraId="31C6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9153F9">
            <w:pPr>
              <w:keepNext w:val="0"/>
              <w:keepLines w:val="0"/>
              <w:widowControl w:val="0"/>
              <w:suppressLineNumbers w:val="0"/>
              <w:spacing w:before="0" w:beforeAutospacing="0" w:after="0" w:afterAutospacing="0"/>
              <w:ind w:left="0" w:right="0"/>
              <w:jc w:val="center"/>
              <w:rPr>
                <w:rFonts w:hint="default" w:ascii="仿宋" w:hAnsi="仿宋" w:eastAsia="仿宋" w:cs="仿宋"/>
                <w:b/>
                <w:bCs w:val="0"/>
                <w:sz w:val="24"/>
                <w:szCs w:val="24"/>
                <w:lang w:val="en-US"/>
              </w:rPr>
            </w:pPr>
            <w:r>
              <w:rPr>
                <w:rFonts w:hint="eastAsia" w:ascii="仿宋" w:hAnsi="仿宋" w:eastAsia="仿宋" w:cs="仿宋"/>
                <w:kern w:val="0"/>
                <w:sz w:val="24"/>
                <w:szCs w:val="24"/>
                <w:lang w:val="en-US" w:eastAsia="zh-CN" w:bidi="ar"/>
              </w:rPr>
              <w:t>4.3</w:t>
            </w:r>
          </w:p>
        </w:tc>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14:paraId="1C01CABB">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4"/>
                <w:szCs w:val="24"/>
                <w:lang w:val="en-US"/>
              </w:rPr>
            </w:pPr>
            <w:r>
              <w:rPr>
                <w:rFonts w:hint="eastAsia" w:ascii="仿宋" w:hAnsi="仿宋" w:eastAsia="仿宋" w:cs="仿宋"/>
                <w:kern w:val="2"/>
                <w:sz w:val="24"/>
                <w:szCs w:val="24"/>
                <w:lang w:val="en-US" w:eastAsia="zh-CN" w:bidi="ar"/>
              </w:rPr>
              <w:t>智能评估预警</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023D81A8">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支持患者入院后通过风险评估、早期预防、动态风险评估等事前提醒、事中干预、事后回溯的闭环式预警质控，协助医院减少因认识不足和缺乏必要预防措施而导致的不良后果；</w:t>
            </w:r>
          </w:p>
          <w:p w14:paraId="1E09E5B7">
            <w:pPr>
              <w:keepNext w:val="0"/>
              <w:keepLines w:val="0"/>
              <w:widowControl w:val="0"/>
              <w:suppressLineNumbers w:val="0"/>
              <w:tabs>
                <w:tab w:val="left" w:pos="603"/>
              </w:tabs>
              <w:spacing w:before="0" w:beforeAutospacing="0" w:after="0" w:afterAutospacing="0"/>
              <w:ind w:left="0" w:right="0" w:firstLine="480" w:firstLineChars="200"/>
              <w:jc w:val="both"/>
              <w:rPr>
                <w:rFonts w:hint="default" w:ascii="仿宋" w:hAnsi="仿宋" w:eastAsia="仿宋" w:cs="仿宋"/>
                <w:sz w:val="24"/>
                <w:szCs w:val="24"/>
                <w:lang w:val="en-US"/>
              </w:rPr>
            </w:pPr>
            <w:r>
              <w:rPr>
                <w:rFonts w:hint="eastAsia" w:ascii="仿宋" w:hAnsi="仿宋" w:eastAsia="仿宋" w:cs="仿宋"/>
                <w:kern w:val="2"/>
                <w:sz w:val="24"/>
                <w:szCs w:val="24"/>
                <w:lang w:val="en-US" w:eastAsia="zh-CN" w:bidi="ar"/>
              </w:rPr>
              <w:t>支持对于系统评估为中高风险的患者，如果医生未及时完成VTE风险评估，系统需自动标记该患者并提醒医护人员尽快完成评估及防治措施，引导医生做出相应处置，未处理的自动拦截。</w:t>
            </w:r>
          </w:p>
          <w:p w14:paraId="3E955006">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b/>
                <w:bCs w:val="0"/>
                <w:sz w:val="24"/>
                <w:szCs w:val="24"/>
                <w:lang w:val="en-US"/>
              </w:rPr>
            </w:pPr>
            <w:r>
              <w:rPr>
                <w:rFonts w:hint="eastAsia" w:ascii="仿宋" w:hAnsi="仿宋" w:eastAsia="仿宋" w:cs="仿宋"/>
                <w:kern w:val="2"/>
                <w:sz w:val="24"/>
                <w:szCs w:val="24"/>
                <w:lang w:val="en-US" w:eastAsia="zh-CN" w:bidi="ar"/>
              </w:rPr>
              <w:t>支持如出现VTE相关的高危诊断，发现其他高风险等有禁忌情况发生时，系统需对相对应的情况进行预判断，自动警示相应医生开具医嘱的合理性，避免出现加重病情或发生并发症的风险。</w:t>
            </w:r>
          </w:p>
        </w:tc>
      </w:tr>
      <w:tr w14:paraId="5BAB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97EA6">
            <w:pPr>
              <w:keepNext w:val="0"/>
              <w:keepLines w:val="0"/>
              <w:widowControl w:val="0"/>
              <w:suppressLineNumbers w:val="0"/>
              <w:spacing w:before="0" w:beforeAutospacing="0" w:after="0" w:afterAutospacing="0"/>
              <w:ind w:left="0" w:right="0"/>
              <w:jc w:val="center"/>
              <w:rPr>
                <w:rFonts w:hint="default" w:ascii="仿宋" w:hAnsi="仿宋" w:eastAsia="仿宋" w:cs="仿宋"/>
                <w:b/>
                <w:bCs w:val="0"/>
                <w:sz w:val="24"/>
                <w:szCs w:val="24"/>
                <w:lang w:val="en-US"/>
              </w:rPr>
            </w:pPr>
            <w:r>
              <w:rPr>
                <w:rFonts w:hint="eastAsia" w:ascii="仿宋" w:hAnsi="仿宋" w:eastAsia="仿宋" w:cs="仿宋"/>
                <w:kern w:val="0"/>
                <w:sz w:val="24"/>
                <w:szCs w:val="24"/>
                <w:lang w:val="en-US" w:eastAsia="zh-CN" w:bidi="ar"/>
              </w:rPr>
              <w:t>4.4</w:t>
            </w:r>
          </w:p>
        </w:tc>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14:paraId="21DA6B0F">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4"/>
                <w:szCs w:val="24"/>
                <w:lang w:val="en-US"/>
              </w:rPr>
            </w:pPr>
            <w:r>
              <w:rPr>
                <w:rFonts w:hint="eastAsia" w:ascii="仿宋" w:hAnsi="仿宋" w:eastAsia="仿宋" w:cs="仿宋"/>
                <w:kern w:val="2"/>
                <w:sz w:val="24"/>
                <w:szCs w:val="24"/>
                <w:lang w:val="en-US" w:eastAsia="zh-CN" w:bidi="ar"/>
              </w:rPr>
              <w:t>VTE防治统计分析</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5085069A">
            <w:pPr>
              <w:keepNext w:val="0"/>
              <w:keepLines w:val="0"/>
              <w:widowControl w:val="0"/>
              <w:suppressLineNumbers w:val="0"/>
              <w:tabs>
                <w:tab w:val="left" w:pos="603"/>
              </w:tabs>
              <w:spacing w:before="0" w:beforeAutospacing="0" w:after="0" w:afterAutospacing="0"/>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支持记录患者在院内动态评估结果，提供历次评估得分的趋势分析图。支持通过不同颜色进行风险级别划分，供医务人员分析患者的评估结果变化趋势；</w:t>
            </w:r>
          </w:p>
          <w:p w14:paraId="1E0598DA">
            <w:pPr>
              <w:keepNext w:val="0"/>
              <w:keepLines w:val="0"/>
              <w:widowControl w:val="0"/>
              <w:suppressLineNumbers w:val="0"/>
              <w:tabs>
                <w:tab w:val="left" w:pos="603"/>
              </w:tabs>
              <w:spacing w:before="0" w:beforeAutospacing="0" w:after="0" w:afterAutospacing="0"/>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提供基于VTE防控指南所需并结合医院实际的VTE防控质控体系，提供基于VTE防控指南所需并结合医院实际数据利用分析和指标监测体系并可导出；</w:t>
            </w:r>
          </w:p>
          <w:p w14:paraId="54E05FBC">
            <w:pPr>
              <w:keepNext w:val="0"/>
              <w:keepLines w:val="0"/>
              <w:widowControl w:val="0"/>
              <w:suppressLineNumbers w:val="0"/>
              <w:tabs>
                <w:tab w:val="left" w:pos="603"/>
              </w:tabs>
              <w:spacing w:before="0" w:beforeAutospacing="0" w:after="0" w:afterAutospacing="0"/>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支持进行按照全院、科室的VTE防治情况多维度实时监测和VTE的风险评估情况、出血风险评估情况、风险评估率走势、预防措施等情况，便于监控患者的VTE实时防治情况。根据患者VTE在院期间的评估，预防，治疗及结局不同阶段绘制患者流向图；</w:t>
            </w:r>
          </w:p>
          <w:p w14:paraId="0E62AC8E">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b/>
                <w:bCs w:val="0"/>
                <w:sz w:val="24"/>
                <w:szCs w:val="24"/>
                <w:lang w:val="en-US"/>
              </w:rPr>
            </w:pPr>
            <w:r>
              <w:rPr>
                <w:rFonts w:hint="eastAsia" w:ascii="仿宋" w:hAnsi="仿宋" w:eastAsia="仿宋" w:cs="仿宋"/>
                <w:kern w:val="2"/>
                <w:sz w:val="24"/>
                <w:szCs w:val="24"/>
                <w:lang w:val="en-US" w:eastAsia="zh-CN" w:bidi="ar"/>
              </w:rPr>
              <w:t>支持提供VTE统计相关的各类统计报表（如住院患者VTE评估率、中高危患者规范化预防率、院内VTE发生率）。</w:t>
            </w:r>
          </w:p>
        </w:tc>
      </w:tr>
      <w:tr w14:paraId="34FB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88E938">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5</w:t>
            </w:r>
          </w:p>
        </w:tc>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14:paraId="27E72BE5">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数据对接</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2D42A722">
            <w:pPr>
              <w:keepNext w:val="0"/>
              <w:keepLines w:val="0"/>
              <w:suppressLineNumbers w:val="0"/>
              <w:spacing w:before="0" w:beforeAutospacing="0" w:after="0" w:afterAutospacing="0"/>
              <w:ind w:left="0" w:right="0"/>
              <w:rPr>
                <w:rFonts w:hint="eastAsia" w:ascii="仿宋" w:hAnsi="仿宋" w:eastAsia="仿宋" w:cs="仿宋"/>
                <w:b/>
                <w:bCs/>
                <w:kern w:val="2"/>
                <w:sz w:val="24"/>
                <w:szCs w:val="24"/>
                <w:lang w:val="en-US" w:eastAsia="zh-CN" w:bidi="ar"/>
              </w:rPr>
            </w:pPr>
            <w:r>
              <w:rPr>
                <w:rFonts w:hint="eastAsia" w:ascii="仿宋" w:hAnsi="仿宋" w:eastAsia="仿宋" w:cs="仿宋"/>
                <w:color w:val="auto"/>
                <w:sz w:val="24"/>
                <w:szCs w:val="24"/>
                <w:lang w:val="en-US" w:eastAsia="zh-CN"/>
              </w:rPr>
              <w:t>乙方要按照甲方实际需求完成与医院现有的（CA认证、HIS、电子病历、检查检验、手术麻醉、集成平台等）系统对接并支付第三方所需接口费用；</w:t>
            </w:r>
          </w:p>
        </w:tc>
      </w:tr>
      <w:tr w14:paraId="388D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8769F8">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6</w:t>
            </w:r>
          </w:p>
        </w:tc>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14:paraId="74A55598">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维保</w:t>
            </w:r>
          </w:p>
        </w:tc>
        <w:tc>
          <w:tcPr>
            <w:tcW w:w="6783" w:type="dxa"/>
            <w:tcBorders>
              <w:top w:val="single" w:color="auto" w:sz="4" w:space="0"/>
              <w:left w:val="single" w:color="auto" w:sz="4" w:space="0"/>
              <w:bottom w:val="single" w:color="auto" w:sz="4" w:space="0"/>
              <w:right w:val="single" w:color="auto" w:sz="4" w:space="0"/>
            </w:tcBorders>
            <w:shd w:val="clear" w:color="auto" w:fill="auto"/>
            <w:vAlign w:val="center"/>
          </w:tcPr>
          <w:p w14:paraId="56C06E4E">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val="en-US" w:eastAsia="zh-CN" w:bidi="ar"/>
              </w:rPr>
            </w:pPr>
            <w:r>
              <w:rPr>
                <w:rFonts w:hint="eastAsia" w:ascii="仿宋" w:hAnsi="仿宋" w:eastAsia="仿宋" w:cs="仿宋"/>
                <w:b w:val="0"/>
                <w:bCs w:val="0"/>
                <w:kern w:val="2"/>
                <w:sz w:val="24"/>
                <w:szCs w:val="24"/>
                <w:lang w:val="en-US" w:eastAsia="zh-CN" w:bidi="ar"/>
              </w:rPr>
              <w:t>验收合格之日起三年内免费提供维保服务。维保期内接口对接免费。</w:t>
            </w:r>
          </w:p>
        </w:tc>
      </w:tr>
    </w:tbl>
    <w:p w14:paraId="15E93900">
      <w:pPr>
        <w:keepNext w:val="0"/>
        <w:keepLines w:val="0"/>
        <w:pageBreakBefore w:val="0"/>
        <w:kinsoku/>
        <w:wordWrap/>
        <w:overflowPunct/>
        <w:topLinePunct w:val="0"/>
        <w:bidi w:val="0"/>
        <w:spacing w:line="520" w:lineRule="exact"/>
        <w:rPr>
          <w:rFonts w:hint="eastAsia" w:ascii="仿宋" w:hAnsi="仿宋" w:eastAsia="仿宋" w:cs="Times New Roman"/>
          <w:color w:val="auto"/>
          <w:kern w:val="2"/>
          <w:sz w:val="32"/>
          <w:szCs w:val="32"/>
          <w:lang w:val="en-US" w:eastAsia="zh-CN" w:bidi="ar-SA"/>
        </w:rPr>
      </w:pPr>
    </w:p>
    <w:p w14:paraId="42A6A9B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kern w:val="2"/>
          <w:sz w:val="22"/>
          <w:szCs w:val="22"/>
          <w:lang w:val="en-US" w:eastAsia="zh-CN"/>
        </w:rPr>
      </w:pPr>
      <w:r>
        <w:rPr>
          <w:rFonts w:hint="eastAsia" w:ascii="宋体" w:hAnsi="宋体" w:eastAsia="宋体" w:cs="宋体"/>
          <w:b/>
          <w:bCs/>
          <w:color w:val="auto"/>
          <w:kern w:val="2"/>
          <w:sz w:val="22"/>
          <w:szCs w:val="22"/>
          <w:lang w:val="en-US" w:eastAsia="zh-CN"/>
        </w:rPr>
        <w:t>注：供应商必须自行为其竞标产品侵犯他人的知识产权或者专利成果的行为承担相应法律责任</w:t>
      </w:r>
    </w:p>
    <w:p w14:paraId="0A9D45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2"/>
          <w:szCs w:val="22"/>
          <w:lang w:val="en-US" w:eastAsia="zh-CN"/>
        </w:rPr>
      </w:pPr>
      <w:bookmarkStart w:id="113" w:name="_Toc848"/>
      <w:r>
        <w:rPr>
          <w:rFonts w:hint="eastAsia" w:ascii="宋体" w:hAnsi="宋体" w:eastAsia="宋体" w:cs="宋体"/>
          <w:b/>
          <w:bCs/>
          <w:color w:val="auto"/>
          <w:kern w:val="2"/>
          <w:sz w:val="22"/>
          <w:szCs w:val="22"/>
          <w:lang w:val="en-US" w:eastAsia="zh-CN"/>
        </w:rPr>
        <w:t>三、技术要求：</w:t>
      </w:r>
    </w:p>
    <w:p w14:paraId="07B30E5C">
      <w:pPr>
        <w:keepNext w:val="0"/>
        <w:keepLines w:val="0"/>
        <w:pageBreakBefore w:val="0"/>
        <w:widowControl w:val="0"/>
        <w:suppressLineNumbers w:val="0"/>
        <w:tabs>
          <w:tab w:val="left" w:pos="603"/>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（1）无用户并发数限制，无装机点位数限制。</w:t>
      </w:r>
    </w:p>
    <w:p w14:paraId="74568960">
      <w:pPr>
        <w:keepNext w:val="0"/>
        <w:keepLines w:val="0"/>
        <w:pageBreakBefore w:val="0"/>
        <w:widowControl w:val="0"/>
        <w:suppressLineNumbers w:val="0"/>
        <w:tabs>
          <w:tab w:val="left" w:pos="603"/>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（2）厂商具备现场二次开发的能力。</w:t>
      </w:r>
    </w:p>
    <w:p w14:paraId="08256EF2">
      <w:pPr>
        <w:keepNext w:val="0"/>
        <w:keepLines w:val="0"/>
        <w:pageBreakBefore w:val="0"/>
        <w:widowControl w:val="0"/>
        <w:suppressLineNumbers w:val="0"/>
        <w:tabs>
          <w:tab w:val="left" w:pos="603"/>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（3）系统需实现全院信息的完整共享，能根甲方需要与院内现有的（CA认证、HIS、电子病历、检查检验、手术麻醉、集成平台等）系统对接并支付第三方所需接口费用。</w:t>
      </w:r>
    </w:p>
    <w:p w14:paraId="48F3B8DB">
      <w:pPr>
        <w:keepNext w:val="0"/>
        <w:keepLines w:val="0"/>
        <w:pageBreakBefore w:val="0"/>
        <w:widowControl w:val="0"/>
        <w:suppressLineNumbers w:val="0"/>
        <w:tabs>
          <w:tab w:val="left" w:pos="603"/>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（4）数据备份：要有完备的数据备份方案；</w:t>
      </w:r>
    </w:p>
    <w:p w14:paraId="63AD1983">
      <w:pPr>
        <w:keepNext w:val="0"/>
        <w:keepLines w:val="0"/>
        <w:pageBreakBefore w:val="0"/>
        <w:widowControl w:val="0"/>
        <w:suppressLineNumbers w:val="0"/>
        <w:tabs>
          <w:tab w:val="left" w:pos="603"/>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kern w:val="2"/>
          <w:sz w:val="24"/>
          <w:szCs w:val="24"/>
          <w:lang w:val="en-US" w:eastAsia="zh-CN" w:bidi="ar-SA"/>
        </w:rPr>
      </w:pPr>
      <w:r>
        <w:rPr>
          <w:rFonts w:hint="eastAsia" w:asciiTheme="minorEastAsia" w:hAnsiTheme="minorEastAsia" w:eastAsiaTheme="minorEastAsia" w:cstheme="minorEastAsia"/>
          <w:color w:val="auto"/>
          <w:kern w:val="2"/>
          <w:sz w:val="21"/>
          <w:szCs w:val="21"/>
          <w:lang w:val="en-US" w:eastAsia="zh-CN" w:bidi="ar-SA"/>
        </w:rPr>
        <w:t>（5）无版权纠纷，符合等保2.0要求，在质保期内免费升级。</w:t>
      </w:r>
    </w:p>
    <w:p w14:paraId="5939432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2"/>
          <w:szCs w:val="22"/>
          <w:lang w:val="en-US" w:eastAsia="zh-CN"/>
        </w:rPr>
      </w:pPr>
      <w:r>
        <w:rPr>
          <w:rFonts w:hint="eastAsia" w:ascii="宋体" w:hAnsi="宋体" w:eastAsia="宋体" w:cs="宋体"/>
          <w:b/>
          <w:bCs/>
          <w:color w:val="auto"/>
          <w:kern w:val="2"/>
          <w:sz w:val="22"/>
          <w:szCs w:val="22"/>
          <w:lang w:val="en-US" w:eastAsia="zh-CN"/>
        </w:rPr>
        <w:t>四、商务要求：</w:t>
      </w:r>
    </w:p>
    <w:p w14:paraId="29A130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4.1项目实施、培训及售后要求</w:t>
      </w:r>
    </w:p>
    <w:p w14:paraId="2B6676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4.1.1项目交付时间为90天。</w:t>
      </w:r>
    </w:p>
    <w:p w14:paraId="7872EE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4.1.2项目实施管理要求</w:t>
      </w:r>
    </w:p>
    <w:p w14:paraId="4DB47D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结合医院实际情况，拟定详细的系统实施计划，含测试、试运行、培训及上线计划。承诺保证在合同规定时间内上线及上线系统的基本平稳。</w:t>
      </w:r>
    </w:p>
    <w:p w14:paraId="3F39A8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4.1.3人员培训要求</w:t>
      </w:r>
    </w:p>
    <w:p w14:paraId="16962F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培训对象包括系统管理员、管理人员、操作员。系统管理员培训内容为系统中涉及的相关技术内容；管理人员培训内容为系统流程和相关管理思想；操作员为系统的操作培训。</w:t>
      </w:r>
    </w:p>
    <w:p w14:paraId="461DA1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 xml:space="preserve">4.1.4售后服务要求 </w:t>
      </w:r>
    </w:p>
    <w:p w14:paraId="4563DF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（1）免费送货上门、安装调试合格、技术培训。</w:t>
      </w:r>
    </w:p>
    <w:p w14:paraId="1032C2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（2）在使用过程中若产品发生质量问题或故障，在接到采购人通知后30分钟内响应，需要上门服务的须24个小时内到达故障现场处理，一般故障处理时限不超过36小时。</w:t>
      </w:r>
    </w:p>
    <w:p w14:paraId="417778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（3）提供7*24小时系统故障电话响应。</w:t>
      </w:r>
    </w:p>
    <w:p w14:paraId="15AFFE1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（4）售后服务期限：</w:t>
      </w:r>
    </w:p>
    <w:p w14:paraId="68556A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验收合格后三年内免费提供维保服务。三年后服务费原则上不高于成交价的5%。服务期内免费提供软件系统功能完善和升级方面的及时支持服务，每月定期完成系统动态维护与更新，并根据国家、省、市卫健委政策、医院管理需求及时调整更新规则并完善系统功能，免费与院内系统对接。</w:t>
      </w:r>
    </w:p>
    <w:p w14:paraId="1358ABCA">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2"/>
          <w:szCs w:val="22"/>
          <w:lang w:val="en-US" w:eastAsia="zh-CN"/>
        </w:rPr>
      </w:pPr>
      <w:r>
        <w:rPr>
          <w:rFonts w:hint="eastAsia" w:ascii="宋体" w:hAnsi="宋体" w:eastAsia="宋体" w:cs="宋体"/>
          <w:b/>
          <w:bCs/>
          <w:color w:val="auto"/>
          <w:kern w:val="2"/>
          <w:sz w:val="22"/>
          <w:szCs w:val="22"/>
          <w:lang w:val="en-US" w:eastAsia="zh-CN"/>
        </w:rPr>
        <w:t>付款比例及方式：</w:t>
      </w:r>
    </w:p>
    <w:p w14:paraId="57543F35">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合同付款方式为分期支付。</w:t>
      </w:r>
    </w:p>
    <w:p w14:paraId="4C4C0156">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default"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软件系统安装调试完毕上线一个月内，甲方向乙方支付本合同总金额的60%的款项。</w:t>
      </w:r>
    </w:p>
    <w:p w14:paraId="6FA2BEC9">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default"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项目验收通过后，凭验收报告支付至合同总金额的90%。</w:t>
      </w:r>
    </w:p>
    <w:p w14:paraId="5D1F5786">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default" w:ascii="宋体" w:hAnsi="宋体" w:eastAsia="宋体" w:cs="宋体"/>
          <w:bCs w:val="0"/>
          <w:color w:val="auto"/>
          <w:kern w:val="2"/>
          <w:sz w:val="21"/>
          <w:szCs w:val="21"/>
          <w:lang w:val="en-US" w:eastAsia="zh-CN" w:bidi="ar-SA"/>
        </w:rPr>
      </w:pPr>
      <w:r>
        <w:rPr>
          <w:rFonts w:hint="eastAsia" w:ascii="宋体" w:hAnsi="宋体" w:eastAsia="宋体" w:cs="宋体"/>
          <w:bCs w:val="0"/>
          <w:color w:val="auto"/>
          <w:kern w:val="2"/>
          <w:sz w:val="21"/>
          <w:szCs w:val="21"/>
          <w:lang w:val="en-US" w:eastAsia="zh-CN" w:bidi="ar-SA"/>
        </w:rPr>
        <w:t>依据售后服务的情况，无遗留问题，支付合同总金额的剩余款项。</w:t>
      </w:r>
    </w:p>
    <w:p w14:paraId="11A34768">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default" w:ascii="宋体" w:hAnsi="宋体" w:eastAsia="宋体" w:cs="宋体"/>
          <w:bCs w:val="0"/>
          <w:color w:val="auto"/>
          <w:kern w:val="2"/>
          <w:sz w:val="21"/>
          <w:szCs w:val="21"/>
          <w:lang w:val="en-US" w:eastAsia="zh-CN" w:bidi="ar-SA"/>
        </w:rPr>
      </w:pPr>
      <w:r>
        <w:rPr>
          <w:rFonts w:hint="eastAsia" w:ascii="宋体" w:hAnsi="宋体" w:cs="宋体"/>
          <w:bCs w:val="0"/>
          <w:color w:val="auto"/>
          <w:kern w:val="2"/>
          <w:sz w:val="21"/>
          <w:szCs w:val="21"/>
          <w:lang w:val="en-US" w:eastAsia="zh-CN" w:bidi="ar-SA"/>
        </w:rPr>
        <w:t>如乙方未提供发票或提供的发票不符合要求，甲方有权拒绝付款。</w:t>
      </w:r>
    </w:p>
    <w:p w14:paraId="68549EB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b/>
          <w:bCs/>
          <w:color w:val="auto"/>
          <w:kern w:val="2"/>
          <w:sz w:val="22"/>
          <w:szCs w:val="22"/>
          <w:lang w:val="en-US" w:eastAsia="zh-CN"/>
        </w:rPr>
        <w:t>六、交货地点：安康市中心医院</w:t>
      </w:r>
    </w:p>
    <w:p w14:paraId="1F0CD6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2"/>
          <w:szCs w:val="22"/>
          <w:lang w:val="en-US" w:eastAsia="zh-CN"/>
        </w:rPr>
      </w:pPr>
      <w:r>
        <w:rPr>
          <w:rFonts w:hint="eastAsia" w:ascii="宋体" w:hAnsi="宋体" w:eastAsia="宋体" w:cs="宋体"/>
          <w:b/>
          <w:bCs/>
          <w:color w:val="auto"/>
          <w:kern w:val="2"/>
          <w:sz w:val="22"/>
          <w:szCs w:val="22"/>
          <w:lang w:val="en-US" w:eastAsia="zh-CN"/>
        </w:rPr>
        <w:t>七、违约责任</w:t>
      </w:r>
    </w:p>
    <w:p w14:paraId="5BAD51C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val="0"/>
          <w:color w:val="auto"/>
          <w:kern w:val="2"/>
          <w:sz w:val="22"/>
          <w:szCs w:val="22"/>
          <w:lang w:val="en-US" w:eastAsia="zh-CN"/>
        </w:rPr>
      </w:pPr>
      <w:r>
        <w:rPr>
          <w:rFonts w:hint="eastAsia" w:ascii="宋体" w:hAnsi="宋体" w:eastAsia="宋体" w:cs="宋体"/>
          <w:bCs w:val="0"/>
          <w:color w:val="auto"/>
          <w:kern w:val="2"/>
          <w:sz w:val="22"/>
          <w:szCs w:val="22"/>
          <w:lang w:val="en-US" w:eastAsia="zh-CN"/>
        </w:rPr>
        <w:t>1.按《中华人民共和国民法典》中的相关条款执行。</w:t>
      </w:r>
    </w:p>
    <w:p w14:paraId="0C1323E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val="0"/>
          <w:color w:val="auto"/>
          <w:kern w:val="2"/>
          <w:sz w:val="22"/>
          <w:szCs w:val="22"/>
          <w:lang w:val="en-US" w:eastAsia="zh-CN"/>
        </w:rPr>
      </w:pPr>
      <w:r>
        <w:rPr>
          <w:rFonts w:hint="eastAsia" w:ascii="宋体" w:hAnsi="宋体" w:eastAsia="宋体" w:cs="宋体"/>
          <w:bCs w:val="0"/>
          <w:color w:val="auto"/>
          <w:kern w:val="2"/>
          <w:sz w:val="22"/>
          <w:szCs w:val="22"/>
          <w:lang w:val="en-US" w:eastAsia="zh-CN"/>
        </w:rPr>
        <w:t>2.未经采购人同意，出现随意变动实施人员或后期提供服务跟进不到位等问题的，采购人有权终止合同。</w:t>
      </w:r>
    </w:p>
    <w:p w14:paraId="2FC1C0F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imes New Roman" w:hAnsi="Times New Roman" w:eastAsia="宋体" w:cs="Times New Roman"/>
          <w:color w:val="auto"/>
          <w:lang w:val="en-US" w:eastAsia="zh-CN"/>
        </w:rPr>
      </w:pPr>
      <w:r>
        <w:rPr>
          <w:rFonts w:hint="eastAsia" w:ascii="宋体" w:hAnsi="宋体" w:eastAsia="宋体" w:cs="宋体"/>
          <w:bCs w:val="0"/>
          <w:color w:val="auto"/>
          <w:kern w:val="2"/>
          <w:sz w:val="22"/>
          <w:szCs w:val="22"/>
          <w:lang w:val="en-US" w:eastAsia="zh-CN"/>
        </w:rPr>
        <w:t>3.未按合同要求提供服务或服务质量不能满足采购人要求，采购人有权终止合同，同时报请政府采购管理部门对其违约行为进行追究。</w:t>
      </w:r>
    </w:p>
    <w:p w14:paraId="373FF159">
      <w:pPr>
        <w:pStyle w:val="2"/>
        <w:jc w:val="center"/>
        <w:rPr>
          <w:rFonts w:hint="eastAsia" w:ascii="Times New Roman" w:hAnsi="Times New Roman" w:eastAsia="宋体" w:cs="Times New Roman"/>
          <w:color w:val="auto"/>
          <w:lang w:val="en-US" w:eastAsia="zh-CN"/>
        </w:rPr>
      </w:pPr>
    </w:p>
    <w:p w14:paraId="1ABCB9BA">
      <w:pPr>
        <w:rPr>
          <w:rFonts w:hint="eastAsia" w:ascii="Times New Roman" w:hAnsi="Times New Roman" w:eastAsia="宋体" w:cs="Times New Roman"/>
          <w:color w:val="auto"/>
          <w:lang w:val="en-US" w:eastAsia="zh-CN"/>
        </w:rPr>
      </w:pPr>
    </w:p>
    <w:p w14:paraId="6E46B5D5">
      <w:pPr>
        <w:rPr>
          <w:rFonts w:hint="eastAsia" w:ascii="Times New Roman" w:hAnsi="Times New Roman" w:eastAsia="宋体" w:cs="Times New Roman"/>
          <w:color w:val="auto"/>
          <w:lang w:val="en-US" w:eastAsia="zh-CN"/>
        </w:rPr>
      </w:pPr>
    </w:p>
    <w:p w14:paraId="35F1D716">
      <w:pPr>
        <w:rPr>
          <w:rFonts w:hint="eastAsia" w:ascii="Times New Roman" w:hAnsi="Times New Roman" w:eastAsia="宋体" w:cs="Times New Roman"/>
          <w:color w:val="auto"/>
          <w:lang w:val="en-US" w:eastAsia="zh-CN"/>
        </w:rPr>
      </w:pPr>
    </w:p>
    <w:p w14:paraId="119AA443">
      <w:pPr>
        <w:rPr>
          <w:rFonts w:hint="eastAsia" w:ascii="Times New Roman" w:hAnsi="Times New Roman" w:eastAsia="宋体" w:cs="Times New Roman"/>
          <w:color w:val="auto"/>
          <w:lang w:val="en-US" w:eastAsia="zh-CN"/>
        </w:rPr>
      </w:pPr>
    </w:p>
    <w:p w14:paraId="3DEE1BFB">
      <w:pPr>
        <w:rPr>
          <w:rFonts w:hint="eastAsia" w:ascii="Times New Roman" w:hAnsi="Times New Roman" w:eastAsia="宋体" w:cs="Times New Roman"/>
          <w:color w:val="auto"/>
          <w:lang w:val="en-US" w:eastAsia="zh-CN"/>
        </w:rPr>
      </w:pPr>
    </w:p>
    <w:p w14:paraId="5E9576F1">
      <w:pPr>
        <w:rPr>
          <w:rFonts w:hint="eastAsia" w:ascii="Times New Roman" w:hAnsi="Times New Roman" w:eastAsia="宋体" w:cs="Times New Roman"/>
          <w:color w:val="auto"/>
          <w:lang w:val="en-US" w:eastAsia="zh-CN"/>
        </w:rPr>
      </w:pPr>
    </w:p>
    <w:p w14:paraId="64063CDC">
      <w:pPr>
        <w:rPr>
          <w:rFonts w:hint="eastAsia" w:ascii="Times New Roman" w:hAnsi="Times New Roman" w:eastAsia="宋体" w:cs="Times New Roman"/>
          <w:color w:val="auto"/>
          <w:lang w:val="en-US" w:eastAsia="zh-CN"/>
        </w:rPr>
      </w:pPr>
    </w:p>
    <w:p w14:paraId="769656D6">
      <w:pPr>
        <w:rPr>
          <w:rFonts w:hint="eastAsia" w:ascii="Times New Roman" w:hAnsi="Times New Roman" w:eastAsia="宋体" w:cs="Times New Roman"/>
          <w:color w:val="auto"/>
          <w:lang w:val="en-US" w:eastAsia="zh-CN"/>
        </w:rPr>
      </w:pPr>
    </w:p>
    <w:p w14:paraId="45022B72">
      <w:pPr>
        <w:rPr>
          <w:rFonts w:hint="eastAsia" w:ascii="Times New Roman" w:hAnsi="Times New Roman" w:eastAsia="宋体" w:cs="Times New Roman"/>
          <w:color w:val="auto"/>
          <w:lang w:val="en-US" w:eastAsia="zh-CN"/>
        </w:rPr>
      </w:pPr>
    </w:p>
    <w:p w14:paraId="181666CC">
      <w:pPr>
        <w:rPr>
          <w:rFonts w:hint="eastAsia" w:ascii="Times New Roman" w:hAnsi="Times New Roman" w:eastAsia="宋体" w:cs="Times New Roman"/>
          <w:color w:val="auto"/>
          <w:lang w:val="en-US" w:eastAsia="zh-CN"/>
        </w:rPr>
      </w:pPr>
    </w:p>
    <w:p w14:paraId="464841CC">
      <w:pPr>
        <w:pStyle w:val="2"/>
        <w:jc w:val="center"/>
        <w:rPr>
          <w:rFonts w:ascii="宋体" w:hAnsi="宋体" w:cs="宋体"/>
          <w:b/>
          <w:bCs/>
          <w:sz w:val="24"/>
          <w:szCs w:val="24"/>
        </w:rPr>
      </w:pPr>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合同</w:t>
      </w:r>
      <w:r>
        <w:rPr>
          <w:rFonts w:hint="eastAsia" w:ascii="Times New Roman" w:hAnsi="Times New Roman" w:eastAsia="宋体" w:cs="Times New Roman"/>
          <w:color w:val="auto"/>
          <w:lang w:val="en-US" w:eastAsia="zh-CN"/>
        </w:rPr>
        <w:t>文本（仅供参考）</w:t>
      </w:r>
      <w:bookmarkEnd w:id="113"/>
    </w:p>
    <w:p w14:paraId="7D0A3C0E">
      <w:pPr>
        <w:keepNext w:val="0"/>
        <w:keepLines w:val="0"/>
        <w:pageBreakBefore w:val="0"/>
        <w:tabs>
          <w:tab w:val="left" w:pos="735"/>
        </w:tabs>
        <w:kinsoku/>
        <w:wordWrap/>
        <w:overflowPunct/>
        <w:topLinePunct w:val="0"/>
        <w:autoSpaceDE w:val="0"/>
        <w:autoSpaceDN w:val="0"/>
        <w:bidi w:val="0"/>
        <w:adjustRightInd w:val="0"/>
        <w:snapToGrid w:val="0"/>
        <w:spacing w:line="520" w:lineRule="exact"/>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合同模版：</w:t>
      </w:r>
      <w:r>
        <w:rPr>
          <w:rFonts w:hint="eastAsia" w:ascii="宋体" w:hAnsi="宋体"/>
          <w:b/>
          <w:sz w:val="24"/>
          <w:lang w:val="zh-CN"/>
        </w:rPr>
        <w:t>（此合同只作为参考，最终合同以采购人给出的合同定稿为准。）</w:t>
      </w:r>
    </w:p>
    <w:p w14:paraId="502F942C">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合同编号：</w:t>
      </w:r>
      <w:r>
        <w:rPr>
          <w:rFonts w:hint="eastAsia" w:ascii="仿宋_GB2312" w:hAnsi="仿宋_GB2312" w:eastAsia="仿宋_GB2312" w:cs="仿宋_GB2312"/>
          <w:sz w:val="32"/>
          <w:szCs w:val="32"/>
          <w:lang w:val="en-US" w:eastAsia="zh-CN"/>
        </w:rPr>
        <w:t>XXK-2025-XX</w:t>
      </w:r>
    </w:p>
    <w:p w14:paraId="7834AB79"/>
    <w:p w14:paraId="1F361CC1"/>
    <w:p w14:paraId="0F3E52C0"/>
    <w:p w14:paraId="4E572D6B"/>
    <w:p w14:paraId="43F8FA21"/>
    <w:p w14:paraId="4E10D497"/>
    <w:p w14:paraId="5CC5CDBD"/>
    <w:p w14:paraId="6A708C78"/>
    <w:p w14:paraId="52C031D0">
      <w:pPr>
        <w:jc w:val="center"/>
        <w:rPr>
          <w:rFonts w:ascii="仿宋_GB2312" w:hAnsi="仿宋_GB2312" w:eastAsia="仿宋_GB2312" w:cs="仿宋_GB2312"/>
          <w:b/>
          <w:bCs/>
          <w:sz w:val="72"/>
          <w:szCs w:val="72"/>
        </w:rPr>
      </w:pPr>
      <w:r>
        <w:rPr>
          <w:rFonts w:hint="eastAsia" w:ascii="仿宋_GB2312" w:hAnsi="仿宋_GB2312" w:eastAsia="仿宋_GB2312" w:cs="仿宋_GB2312"/>
          <w:b/>
          <w:bCs/>
          <w:sz w:val="72"/>
          <w:szCs w:val="72"/>
        </w:rPr>
        <w:t>安康市中心医院</w:t>
      </w:r>
    </w:p>
    <w:p w14:paraId="4CD8E580">
      <w:pPr>
        <w:jc w:val="center"/>
        <w:outlineLvl w:val="0"/>
        <w:rPr>
          <w:rFonts w:hint="default" w:ascii="仿宋_GB2312" w:hAnsi="仿宋_GB2312" w:eastAsia="仿宋_GB2312" w:cs="仿宋_GB2312"/>
          <w:b/>
          <w:bCs/>
          <w:sz w:val="72"/>
          <w:szCs w:val="72"/>
          <w:lang w:val="en-US" w:eastAsia="zh-CN"/>
        </w:rPr>
      </w:pPr>
      <w:r>
        <w:rPr>
          <w:rFonts w:hint="eastAsia" w:ascii="仿宋_GB2312" w:hAnsi="仿宋_GB2312" w:eastAsia="仿宋_GB2312" w:cs="仿宋_GB2312"/>
          <w:b/>
          <w:bCs/>
          <w:sz w:val="72"/>
          <w:szCs w:val="72"/>
          <w:lang w:val="en-US" w:eastAsia="zh-CN"/>
        </w:rPr>
        <w:t>xxxxx</w:t>
      </w:r>
    </w:p>
    <w:p w14:paraId="128D961F">
      <w:pPr>
        <w:jc w:val="center"/>
        <w:outlineLvl w:val="0"/>
        <w:rPr>
          <w:rFonts w:ascii="仿宋_GB2312" w:hAnsi="仿宋_GB2312" w:eastAsia="仿宋_GB2312" w:cs="仿宋_GB2312"/>
          <w:b/>
          <w:bCs/>
          <w:sz w:val="72"/>
          <w:szCs w:val="72"/>
        </w:rPr>
      </w:pPr>
      <w:r>
        <w:rPr>
          <w:rFonts w:hint="eastAsia" w:ascii="仿宋_GB2312" w:hAnsi="仿宋_GB2312" w:eastAsia="仿宋_GB2312" w:cs="仿宋_GB2312"/>
          <w:b/>
          <w:bCs/>
          <w:sz w:val="72"/>
          <w:szCs w:val="72"/>
          <w:lang w:eastAsia="zh-CN"/>
        </w:rPr>
        <w:t>项目</w:t>
      </w:r>
      <w:r>
        <w:rPr>
          <w:rFonts w:hint="eastAsia" w:ascii="仿宋_GB2312" w:hAnsi="仿宋_GB2312" w:eastAsia="仿宋_GB2312" w:cs="仿宋_GB2312"/>
          <w:b/>
          <w:bCs/>
          <w:sz w:val="72"/>
          <w:szCs w:val="72"/>
        </w:rPr>
        <w:t>合同书</w:t>
      </w:r>
    </w:p>
    <w:p w14:paraId="7D5F16C7">
      <w:pPr>
        <w:jc w:val="center"/>
        <w:rPr>
          <w:rFonts w:ascii="仿宋_GB2312" w:hAnsi="仿宋_GB2312" w:eastAsia="仿宋_GB2312" w:cs="仿宋_GB2312"/>
          <w:sz w:val="48"/>
          <w:szCs w:val="48"/>
        </w:rPr>
      </w:pPr>
    </w:p>
    <w:p w14:paraId="15B1FCEE">
      <w:pPr>
        <w:rPr>
          <w:rFonts w:ascii="仿宋_GB2312" w:hAnsi="仿宋_GB2312" w:eastAsia="仿宋_GB2312" w:cs="仿宋_GB2312"/>
          <w:sz w:val="32"/>
          <w:szCs w:val="32"/>
        </w:rPr>
      </w:pPr>
    </w:p>
    <w:p w14:paraId="08DCCA4A">
      <w:pPr>
        <w:rPr>
          <w:rFonts w:ascii="仿宋_GB2312" w:hAnsi="仿宋_GB2312" w:eastAsia="仿宋_GB2312" w:cs="仿宋_GB2312"/>
          <w:sz w:val="32"/>
          <w:szCs w:val="32"/>
        </w:rPr>
      </w:pPr>
    </w:p>
    <w:p w14:paraId="0BEF1462">
      <w:pPr>
        <w:rPr>
          <w:rFonts w:ascii="仿宋_GB2312" w:hAnsi="仿宋_GB2312" w:eastAsia="仿宋_GB2312" w:cs="仿宋_GB2312"/>
          <w:sz w:val="32"/>
          <w:szCs w:val="32"/>
        </w:rPr>
      </w:pPr>
      <w:r>
        <w:rPr>
          <w:rFonts w:hint="eastAsia" w:ascii="仿宋_GB2312" w:hAnsi="仿宋_GB2312" w:eastAsia="仿宋_GB2312" w:cs="仿宋_GB2312"/>
          <w:sz w:val="32"/>
          <w:szCs w:val="32"/>
        </w:rPr>
        <w:t>甲</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方：安康市中心医院</w:t>
      </w:r>
    </w:p>
    <w:p w14:paraId="7413E75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方：</w:t>
      </w:r>
    </w:p>
    <w:p w14:paraId="623BE896">
      <w:pPr>
        <w:rPr>
          <w:rFonts w:ascii="仿宋_GB2312" w:hAnsi="仿宋_GB2312" w:eastAsia="仿宋_GB2312" w:cs="仿宋_GB2312"/>
          <w:sz w:val="32"/>
          <w:szCs w:val="32"/>
        </w:rPr>
      </w:pPr>
      <w:r>
        <w:rPr>
          <w:rFonts w:hint="eastAsia" w:ascii="仿宋_GB2312" w:hAnsi="仿宋_GB2312" w:eastAsia="仿宋_GB2312" w:cs="仿宋_GB2312"/>
          <w:sz w:val="32"/>
          <w:szCs w:val="32"/>
        </w:rPr>
        <w:t>签订地点：安康市中心医院</w:t>
      </w:r>
    </w:p>
    <w:p w14:paraId="76FDB5AB">
      <w:pPr>
        <w:rPr>
          <w:rFonts w:ascii="仿宋_GB2312" w:hAnsi="仿宋_GB2312" w:eastAsia="仿宋_GB2312" w:cs="仿宋_GB2312"/>
          <w:sz w:val="32"/>
          <w:szCs w:val="32"/>
        </w:rPr>
      </w:pPr>
      <w:r>
        <w:rPr>
          <w:rFonts w:hint="eastAsia" w:ascii="仿宋_GB2312" w:hAnsi="仿宋_GB2312" w:eastAsia="仿宋_GB2312" w:cs="仿宋_GB2312"/>
          <w:sz w:val="32"/>
          <w:szCs w:val="32"/>
        </w:rPr>
        <w:t>签订时间：   年   月   日</w:t>
      </w:r>
    </w:p>
    <w:p w14:paraId="2E22EBC5">
      <w:pPr>
        <w:autoSpaceDE w:val="0"/>
        <w:autoSpaceDN w:val="0"/>
        <w:adjustRightInd w:val="0"/>
        <w:ind w:firstLine="2240" w:firstLineChars="700"/>
        <w:rPr>
          <w:rFonts w:hint="eastAsia" w:ascii="仿宋" w:hAnsi="仿宋" w:eastAsia="仿宋" w:cs="黑体"/>
          <w:bCs/>
          <w:sz w:val="32"/>
          <w:szCs w:val="32"/>
        </w:rPr>
      </w:pPr>
    </w:p>
    <w:p w14:paraId="13D1273F">
      <w:pPr>
        <w:snapToGrid w:val="0"/>
        <w:spacing w:line="360" w:lineRule="auto"/>
        <w:ind w:firstLine="1155" w:firstLineChars="550"/>
        <w:rPr>
          <w:rFonts w:hint="eastAsia" w:ascii="仿宋" w:hAnsi="仿宋" w:eastAsia="仿宋" w:cs="黑体"/>
          <w:bCs/>
        </w:rPr>
      </w:pPr>
    </w:p>
    <w:p w14:paraId="397490C0">
      <w:pPr>
        <w:snapToGrid w:val="0"/>
        <w:spacing w:line="360" w:lineRule="auto"/>
        <w:ind w:firstLine="1155" w:firstLineChars="550"/>
        <w:rPr>
          <w:rFonts w:hint="eastAsia" w:ascii="仿宋" w:hAnsi="仿宋" w:eastAsia="仿宋" w:cs="黑体"/>
          <w:bCs/>
        </w:rPr>
      </w:pPr>
    </w:p>
    <w:p w14:paraId="4F3073B9">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注：本合同条款仅供参考，甲乙双方应根据实际情况进行编写。</w:t>
      </w:r>
    </w:p>
    <w:bookmarkEnd w:id="108"/>
    <w:bookmarkEnd w:id="109"/>
    <w:bookmarkEnd w:id="110"/>
    <w:p w14:paraId="3A37FDA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eastAsia="zh-CN"/>
        </w:rPr>
      </w:pPr>
      <w:bookmarkStart w:id="114" w:name="_Toc3628"/>
      <w:bookmarkStart w:id="115" w:name="_Toc23258622"/>
      <w:bookmarkStart w:id="116" w:name="_Toc26541333"/>
      <w:bookmarkStart w:id="117" w:name="_Toc5094"/>
      <w:bookmarkStart w:id="118" w:name="_Toc484890086"/>
      <w:bookmarkStart w:id="119" w:name="_Toc528240831"/>
      <w:r>
        <w:rPr>
          <w:rFonts w:hint="eastAsia" w:asciiTheme="minorEastAsia" w:hAnsiTheme="minorEastAsia" w:eastAsiaTheme="minorEastAsia" w:cstheme="minorEastAsia"/>
          <w:sz w:val="24"/>
          <w:szCs w:val="24"/>
          <w:lang w:eastAsia="zh-CN"/>
        </w:rPr>
        <w:t>依据《中华人民共和国政府采购法》、《中华人民共和国</w:t>
      </w:r>
      <w:r>
        <w:rPr>
          <w:rFonts w:hint="eastAsia" w:asciiTheme="minorEastAsia" w:hAnsiTheme="minorEastAsia" w:eastAsiaTheme="minorEastAsia" w:cstheme="minorEastAsia"/>
          <w:sz w:val="24"/>
          <w:szCs w:val="24"/>
          <w:lang w:val="en-US" w:eastAsia="zh-CN"/>
        </w:rPr>
        <w:t>民法典</w:t>
      </w:r>
      <w:r>
        <w:rPr>
          <w:rFonts w:hint="eastAsia" w:asciiTheme="minorEastAsia" w:hAnsiTheme="minorEastAsia" w:eastAsiaTheme="minorEastAsia" w:cstheme="minorEastAsia"/>
          <w:sz w:val="24"/>
          <w:szCs w:val="24"/>
          <w:lang w:eastAsia="zh-CN"/>
        </w:rPr>
        <w:t>》及其他有关法律、法规之规定，在公开</w:t>
      </w:r>
      <w:r>
        <w:rPr>
          <w:rFonts w:hint="eastAsia" w:asciiTheme="minorEastAsia" w:hAnsiTheme="minorEastAsia" w:eastAsiaTheme="minorEastAsia" w:cstheme="minorEastAsia"/>
          <w:sz w:val="24"/>
          <w:szCs w:val="24"/>
          <w:lang w:val="en-US" w:eastAsia="zh-CN"/>
        </w:rPr>
        <w:t>采购的</w:t>
      </w:r>
      <w:r>
        <w:rPr>
          <w:rFonts w:hint="eastAsia" w:asciiTheme="minorEastAsia" w:hAnsiTheme="minorEastAsia" w:eastAsiaTheme="minorEastAsia" w:cstheme="minorEastAsia"/>
          <w:sz w:val="24"/>
          <w:szCs w:val="24"/>
          <w:lang w:eastAsia="zh-CN"/>
        </w:rPr>
        <w:t>基础上，根据中标结果，甲、乙双方签订安康市中心医院</w:t>
      </w:r>
      <w:r>
        <w:rPr>
          <w:rFonts w:hint="eastAsia" w:asciiTheme="minorEastAsia" w:hAnsiTheme="minorEastAsia" w:eastAsiaTheme="minorEastAsia" w:cstheme="minorEastAsia"/>
          <w:sz w:val="24"/>
          <w:szCs w:val="24"/>
          <w:lang w:val="en-US" w:eastAsia="zh-CN"/>
        </w:rPr>
        <w:t>XXXXXXXXX（项目编号：XXK-2025-XX）</w:t>
      </w:r>
      <w:r>
        <w:rPr>
          <w:rFonts w:hint="eastAsia" w:asciiTheme="minorEastAsia" w:hAnsiTheme="minorEastAsia" w:eastAsiaTheme="minorEastAsia" w:cstheme="minorEastAsia"/>
          <w:sz w:val="24"/>
          <w:szCs w:val="24"/>
          <w:lang w:eastAsia="zh-CN"/>
        </w:rPr>
        <w:t>合同。</w:t>
      </w:r>
    </w:p>
    <w:p w14:paraId="08FD31CC">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一、合同内容：</w:t>
      </w:r>
      <w:r>
        <w:rPr>
          <w:rFonts w:hint="eastAsia" w:asciiTheme="minorEastAsia" w:hAnsiTheme="minorEastAsia" w:eastAsiaTheme="minorEastAsia" w:cstheme="minorEastAsia"/>
          <w:sz w:val="24"/>
          <w:szCs w:val="24"/>
          <w:lang w:val="en-US" w:eastAsia="zh-CN"/>
        </w:rPr>
        <w:t>XXX项目</w:t>
      </w:r>
      <w:r>
        <w:rPr>
          <w:rFonts w:hint="eastAsia" w:asciiTheme="minorEastAsia" w:hAnsiTheme="minorEastAsia" w:eastAsiaTheme="minorEastAsia" w:cstheme="minorEastAsia"/>
          <w:sz w:val="24"/>
          <w:szCs w:val="24"/>
        </w:rPr>
        <w:t>（后附</w:t>
      </w:r>
      <w:r>
        <w:rPr>
          <w:rFonts w:hint="eastAsia" w:asciiTheme="minorEastAsia" w:hAnsiTheme="minorEastAsia" w:eastAsiaTheme="minorEastAsia" w:cstheme="minorEastAsia"/>
          <w:sz w:val="24"/>
          <w:szCs w:val="24"/>
          <w:lang w:val="en-US" w:eastAsia="zh-CN"/>
        </w:rPr>
        <w:t>软件功能说明</w:t>
      </w:r>
      <w:r>
        <w:rPr>
          <w:rFonts w:hint="eastAsia" w:asciiTheme="minorEastAsia" w:hAnsiTheme="minorEastAsia" w:eastAsiaTheme="minorEastAsia" w:cstheme="minorEastAsia"/>
          <w:sz w:val="24"/>
          <w:szCs w:val="24"/>
        </w:rPr>
        <w:t>）。</w:t>
      </w:r>
    </w:p>
    <w:p w14:paraId="636408CB">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二、合同总价格：大</w:t>
      </w:r>
      <w:r>
        <w:rPr>
          <w:rFonts w:hint="eastAsia" w:asciiTheme="minorEastAsia" w:hAnsiTheme="minorEastAsia" w:eastAsiaTheme="minorEastAsia" w:cstheme="minorEastAsia"/>
          <w:sz w:val="24"/>
          <w:szCs w:val="24"/>
          <w:lang w:eastAsia="zh-CN"/>
        </w:rPr>
        <w:t>写：</w:t>
      </w:r>
      <w:r>
        <w:rPr>
          <w:rFonts w:hint="eastAsia" w:asciiTheme="minorEastAsia" w:hAnsiTheme="minorEastAsia" w:eastAsiaTheme="minorEastAsia" w:cstheme="minorEastAsia"/>
          <w:sz w:val="24"/>
          <w:szCs w:val="24"/>
          <w:lang w:val="en-US" w:eastAsia="zh-CN"/>
        </w:rPr>
        <w:t xml:space="preserve">XX </w:t>
      </w:r>
      <w:r>
        <w:rPr>
          <w:rFonts w:hint="eastAsia" w:asciiTheme="minorEastAsia" w:hAnsiTheme="minorEastAsia" w:eastAsiaTheme="minorEastAsia" w:cstheme="minorEastAsia"/>
          <w:sz w:val="24"/>
          <w:szCs w:val="24"/>
          <w:lang w:eastAsia="zh-CN"/>
        </w:rPr>
        <w:t>；</w:t>
      </w:r>
    </w:p>
    <w:p w14:paraId="04823FC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lang w:val="en-US" w:eastAsia="zh-CN"/>
        </w:rPr>
        <w:t xml:space="preserve">  XX元整</w:t>
      </w:r>
      <w:r>
        <w:rPr>
          <w:rFonts w:hint="eastAsia" w:asciiTheme="minorEastAsia" w:hAnsiTheme="minorEastAsia" w:eastAsiaTheme="minorEastAsia" w:cstheme="minorEastAsia"/>
          <w:sz w:val="24"/>
          <w:szCs w:val="24"/>
        </w:rPr>
        <w:t>（包括运杂费、保险费、搬运费、税费、安装费、调试费、培训费等</w:t>
      </w:r>
      <w:r>
        <w:rPr>
          <w:rFonts w:hint="eastAsia" w:asciiTheme="minorEastAsia" w:hAnsiTheme="minorEastAsia" w:eastAsiaTheme="minorEastAsia" w:cstheme="minorEastAsia"/>
          <w:sz w:val="24"/>
          <w:szCs w:val="24"/>
          <w:lang w:eastAsia="zh-CN"/>
        </w:rPr>
        <w:t>一切费用，一次包死，不受市场价变化的影响，不受实际数量变化的影响</w:t>
      </w:r>
      <w:r>
        <w:rPr>
          <w:rFonts w:hint="eastAsia" w:asciiTheme="minorEastAsia" w:hAnsiTheme="minorEastAsia" w:eastAsiaTheme="minorEastAsia" w:cstheme="minorEastAsia"/>
          <w:sz w:val="24"/>
          <w:szCs w:val="24"/>
        </w:rPr>
        <w:t>）。</w:t>
      </w:r>
    </w:p>
    <w:p w14:paraId="3F8A33AB">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6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付款方式：</w:t>
      </w:r>
    </w:p>
    <w:p w14:paraId="314443AC">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合同付款方式为分期支付。</w:t>
      </w:r>
    </w:p>
    <w:p w14:paraId="3948DA8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2、软件系统安装调试完毕上线一个月内，甲方向乙方支付本合同总金额的60%的款项。</w:t>
      </w:r>
    </w:p>
    <w:p w14:paraId="2B4BA5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3、项目验收通过后，凭验收报告支付至合同总金额的90%。</w:t>
      </w:r>
    </w:p>
    <w:p w14:paraId="48C889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4、依据售后服务的情况，无遗留问题，支付合同总金额的剩余款项。</w:t>
      </w:r>
    </w:p>
    <w:p w14:paraId="0078B2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5、如乙方未提供发票或提供的发票不符合要求，甲方有权拒绝付款。</w:t>
      </w:r>
    </w:p>
    <w:p w14:paraId="41A5AA5C">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firstLine="6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交货时间和地点：</w:t>
      </w:r>
    </w:p>
    <w:p w14:paraId="23E2A7E8">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left="64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交货时间：合同签订</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个工作日内工程师驻场实施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lang w:val="en-US" w:eastAsia="zh-CN" w:bidi="ar-SA"/>
        </w:rPr>
        <w:t>项目交付时间为90天。</w:t>
      </w:r>
    </w:p>
    <w:p w14:paraId="4871B8EF">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left="64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交货地点：安康市中心医院</w:t>
      </w:r>
      <w:r>
        <w:rPr>
          <w:rFonts w:hint="eastAsia" w:asciiTheme="minorEastAsia" w:hAnsiTheme="minorEastAsia" w:eastAsiaTheme="minorEastAsia" w:cstheme="minorEastAsia"/>
          <w:color w:val="auto"/>
          <w:sz w:val="24"/>
          <w:szCs w:val="24"/>
          <w:lang w:eastAsia="zh-CN"/>
        </w:rPr>
        <w:t>指定</w:t>
      </w:r>
      <w:r>
        <w:rPr>
          <w:rFonts w:hint="eastAsia" w:asciiTheme="minorEastAsia" w:hAnsiTheme="minorEastAsia" w:eastAsiaTheme="minorEastAsia" w:cstheme="minorEastAsia"/>
          <w:color w:val="auto"/>
          <w:sz w:val="24"/>
          <w:szCs w:val="24"/>
        </w:rPr>
        <w:t>地点。</w:t>
      </w:r>
    </w:p>
    <w:p w14:paraId="57DB862C">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firstLine="6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质量要求：软件功能符合招标文件的要求，亦满足医院所提其他的个性化需求。</w:t>
      </w:r>
    </w:p>
    <w:p w14:paraId="1DE50CF0">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firstLine="6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w:t>
      </w:r>
    </w:p>
    <w:p w14:paraId="73A49AC2">
      <w:pPr>
        <w:keepNext w:val="0"/>
        <w:keepLines w:val="0"/>
        <w:pageBreakBefore w:val="0"/>
        <w:kinsoku/>
        <w:wordWrap/>
        <w:overflowPunct/>
        <w:topLinePunct w:val="0"/>
        <w:bidi w:val="0"/>
        <w:spacing w:line="520" w:lineRule="exact"/>
        <w:ind w:firstLine="480" w:firstLineChars="200"/>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1、免费送货上门、安装调试合格、技术培训。</w:t>
      </w:r>
    </w:p>
    <w:p w14:paraId="3B8DA670">
      <w:pPr>
        <w:keepNext w:val="0"/>
        <w:keepLines w:val="0"/>
        <w:pageBreakBefore w:val="0"/>
        <w:kinsoku/>
        <w:wordWrap/>
        <w:overflowPunct/>
        <w:topLinePunct w:val="0"/>
        <w:bidi w:val="0"/>
        <w:spacing w:line="520" w:lineRule="exact"/>
        <w:ind w:firstLine="480" w:firstLineChars="200"/>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2、在使用过程中若产品发生质量问题或故障，在接到采购人通知后30分钟内响应，需要上门服务的须24个小时内到达故障现场处理，一般故障处理时限不超过36小时。</w:t>
      </w:r>
    </w:p>
    <w:p w14:paraId="633422F3">
      <w:pPr>
        <w:keepNext w:val="0"/>
        <w:keepLines w:val="0"/>
        <w:pageBreakBefore w:val="0"/>
        <w:kinsoku/>
        <w:wordWrap/>
        <w:overflowPunct/>
        <w:topLinePunct w:val="0"/>
        <w:bidi w:val="0"/>
        <w:spacing w:line="520" w:lineRule="exact"/>
        <w:ind w:firstLine="480" w:firstLineChars="200"/>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3、提供7*24小时系统故障电话响应。</w:t>
      </w:r>
    </w:p>
    <w:p w14:paraId="3B1717AB">
      <w:pPr>
        <w:keepNext w:val="0"/>
        <w:keepLines w:val="0"/>
        <w:pageBreakBefore w:val="0"/>
        <w:kinsoku/>
        <w:wordWrap/>
        <w:overflowPunct/>
        <w:topLinePunct w:val="0"/>
        <w:bidi w:val="0"/>
        <w:spacing w:line="520" w:lineRule="exact"/>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4、售后服务期限</w:t>
      </w:r>
      <w:r>
        <w:rPr>
          <w:rFonts w:hint="eastAsia" w:asciiTheme="minorEastAsia" w:hAnsiTheme="minorEastAsia" w:eastAsiaTheme="minorEastAsia" w:cstheme="minorEastAsia"/>
          <w:color w:val="auto"/>
          <w:kern w:val="2"/>
          <w:sz w:val="24"/>
          <w:szCs w:val="24"/>
          <w:lang w:val="en-US" w:eastAsia="zh-CN" w:bidi="ar-SA"/>
        </w:rPr>
        <w:t>：验收合格后三年内免费提供维保服务。三年后服务费原则上不高于成交价的5%。服务期内免费提供软件系统功能完善和升级方面的及时支持服务，每月定期完成系统动态维护与更新，并根据国家、省、市卫健委政策、医院管理需求及时调整更新规则并完善系统功能，免费与院内系统对接。</w:t>
      </w:r>
    </w:p>
    <w:p w14:paraId="0ECCE282">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firstLine="6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甲方的责任和义务</w:t>
      </w:r>
    </w:p>
    <w:p w14:paraId="363FCC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(1)甲方有权及时了解和监督项目的进展情况。</w:t>
      </w:r>
    </w:p>
    <w:p w14:paraId="17B06DE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(2)甲方应向乙方提供完成项目所必需的资料和工作条件。</w:t>
      </w:r>
    </w:p>
    <w:p w14:paraId="07CD7A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(3)甲方应当按照合同约定向乙方支付合同价款。</w:t>
      </w:r>
    </w:p>
    <w:p w14:paraId="635BFC6F">
      <w:pPr>
        <w:pStyle w:val="32"/>
        <w:keepNext w:val="0"/>
        <w:keepLines w:val="0"/>
        <w:pageBreakBefore w:val="0"/>
        <w:widowControl w:val="0"/>
        <w:tabs>
          <w:tab w:val="left" w:pos="900"/>
        </w:tabs>
        <w:kinsoku/>
        <w:wordWrap/>
        <w:overflowPunct/>
        <w:topLinePunct w:val="0"/>
        <w:autoSpaceDE/>
        <w:autoSpaceDN/>
        <w:bidi w:val="0"/>
        <w:adjustRightInd/>
        <w:snapToGrid/>
        <w:spacing w:line="52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八、乙方的责任和义务</w:t>
      </w:r>
    </w:p>
    <w:p w14:paraId="442F12F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(1)乙方有权按照本合同约定收取合同价款。</w:t>
      </w:r>
    </w:p>
    <w:p w14:paraId="31C98AE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(2)乙方有权要求甲方提供软件开发所必需的资料和支持。</w:t>
      </w:r>
    </w:p>
    <w:p w14:paraId="1C75903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w:t>
      </w:r>
      <w:r>
        <w:rPr>
          <w:rFonts w:hint="eastAsia" w:asciiTheme="minorEastAsia" w:hAnsiTheme="minorEastAsia" w:eastAsiaTheme="minorEastAsia" w:cstheme="minorEastAsia"/>
          <w:color w:val="auto"/>
          <w:kern w:val="2"/>
          <w:sz w:val="24"/>
          <w:szCs w:val="24"/>
          <w:lang w:val="en-US" w:eastAsia="zh-CN" w:bidi="ar-SA"/>
        </w:rPr>
        <w:t>试、</w:t>
      </w:r>
      <w:r>
        <w:rPr>
          <w:rFonts w:hint="eastAsia" w:asciiTheme="minorEastAsia" w:hAnsiTheme="minorEastAsia" w:eastAsiaTheme="minorEastAsia" w:cstheme="minorEastAsia"/>
          <w:color w:val="auto"/>
          <w:sz w:val="24"/>
          <w:szCs w:val="24"/>
          <w:lang w:val="en-US" w:eastAsia="zh-CN"/>
        </w:rPr>
        <w:t>测试、验收、运行、维护和培训的需要。</w:t>
      </w:r>
    </w:p>
    <w:p w14:paraId="74071E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(4)乙方应派遣身体健康、有工作经验和相应技能的技术人员到甲方现场提供开发实施、安装、调试、测试、试运行、维护及培训等技术服务，该技术服务费用包括在合同价格内。</w:t>
      </w:r>
    </w:p>
    <w:p w14:paraId="14EFBF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14:paraId="479B49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(6)在售后服务期内，乙方应负责免费向甲方提供与软件有关新的或改进的运行经验、技术开发和安全方面的所有资料及信息，且负责对本合同项下的软件进行免费更新、升级。</w:t>
      </w:r>
    </w:p>
    <w:p w14:paraId="41C397C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(7)乙方保证其所交付软件产品及服务不存在任何权利瑕疵，如任何第三方就乙方交付的软件产品及服务向甲方提起侵权索赔，乙方应负责与第三方交涉，并承担由此引起的一切法律责任，相关费用由乙方承担。</w:t>
      </w:r>
    </w:p>
    <w:p w14:paraId="4BF931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14:paraId="3D4150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（9）乙方保证和医院有关的技术信息和资料，不得透露给第三方。</w:t>
      </w:r>
    </w:p>
    <w:p w14:paraId="368C654C">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九、验收</w:t>
      </w:r>
    </w:p>
    <w:p w14:paraId="21665769">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1、采购人组织对供应商履约的验收。采购人可以邀请第三方机构或抽取的陕西省专家库专家参与验收。参与验收的第三方机构或抽取的陕西省专家库专家参与验收意见作为验收书的参考资料一并存档。</w:t>
      </w:r>
    </w:p>
    <w:p w14:paraId="0B682A7A">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2、验收方成员应当在验收书上签名，并承担相应的法律责任。如果发现与合同中要求不符，供应商须承担由此发生的一切损失和费用，并接受相应的处理。</w:t>
      </w:r>
    </w:p>
    <w:p w14:paraId="34B8FEB4">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B3CC489">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C50232F">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十、争议解决办法：</w:t>
      </w:r>
    </w:p>
    <w:p w14:paraId="3D2A0804">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双方当事人因履行本合同所产生的一切争议，应先行协商解决，协商不成，任何一方可向当地仲裁委员会申请仲裁或向当地人民法院起诉。</w:t>
      </w:r>
    </w:p>
    <w:p w14:paraId="5F1DB39F">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、不可抗力</w:t>
      </w:r>
    </w:p>
    <w:p w14:paraId="1EB02586">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1.如合同双方中任何一方由于不可抗力，如：地震、水灾、台风、战争和其他双方都认为的不可抗力原因而无法按期履行合同。由双方协商确定后，合同执行的时间做相应延期。</w:t>
      </w:r>
    </w:p>
    <w:p w14:paraId="1348F525">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2.受影响方应尽快将所发生的不可抗力事故的情况以电话或传真通知另一方，并在不可抗力发生天内尽快用传真和挂号信将有关权威机构出具的证明文件提交另一方确认。</w:t>
      </w:r>
    </w:p>
    <w:p w14:paraId="61076FDF">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3.当不可抗力事故终止或事故消除后，受阻方应尽快用传真或电传通知对方关于不可抗力形势的解除并以挂号信加以确认，并继续履行合同。</w:t>
      </w:r>
    </w:p>
    <w:p w14:paraId="1ABAC2BE">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4.如果不可抗力阻碍合同的履行超过天，双方就合同的进一步履行问题进行讨论并达成一致意见。</w:t>
      </w:r>
    </w:p>
    <w:p w14:paraId="7268E92B">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、其它：</w:t>
      </w:r>
    </w:p>
    <w:p w14:paraId="43E78B46">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1、本合同经双方代表签字加盖单位公章或合同专用章生效。</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与本合同具有同等法律效应。</w:t>
      </w:r>
    </w:p>
    <w:p w14:paraId="3884DF0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2、本合同如有未</w:t>
      </w:r>
      <w:r>
        <w:rPr>
          <w:rFonts w:hint="eastAsia" w:asciiTheme="minorEastAsia" w:hAnsiTheme="minorEastAsia" w:eastAsiaTheme="minorEastAsia" w:cstheme="minorEastAsia"/>
          <w:sz w:val="24"/>
          <w:szCs w:val="24"/>
          <w:lang w:eastAsia="zh-CN"/>
        </w:rPr>
        <w:t>尽事宜由双方协商解</w:t>
      </w:r>
      <w:r>
        <w:rPr>
          <w:rFonts w:hint="eastAsia" w:asciiTheme="minorEastAsia" w:hAnsiTheme="minorEastAsia" w:eastAsiaTheme="minorEastAsia" w:cstheme="minorEastAsia"/>
          <w:sz w:val="24"/>
          <w:szCs w:val="24"/>
        </w:rPr>
        <w:t>决，如双方协商一致或签订补充协议，补充协议与本合同具有同等法律效力。</w:t>
      </w:r>
    </w:p>
    <w:p w14:paraId="07C1304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z w:val="24"/>
          <w:szCs w:val="24"/>
        </w:rPr>
        <w:t>3、本合同一式</w:t>
      </w:r>
      <w:r>
        <w:rPr>
          <w:rFonts w:hint="eastAsia" w:asciiTheme="minorEastAsia" w:hAnsiTheme="minorEastAsia" w:eastAsiaTheme="minorEastAsia" w:cstheme="minorEastAsia"/>
          <w:color w:val="auto"/>
          <w:sz w:val="24"/>
          <w:szCs w:val="24"/>
          <w:lang w:val="en-US" w:eastAsia="zh-CN"/>
        </w:rPr>
        <w:t>贰</w:t>
      </w:r>
      <w:r>
        <w:rPr>
          <w:rFonts w:hint="eastAsia" w:asciiTheme="minorEastAsia" w:hAnsiTheme="minorEastAsia" w:eastAsiaTheme="minorEastAsia" w:cstheme="minorEastAsia"/>
          <w:color w:val="auto"/>
          <w:sz w:val="24"/>
          <w:szCs w:val="24"/>
        </w:rPr>
        <w:t>份，双方各持</w:t>
      </w:r>
      <w:r>
        <w:rPr>
          <w:rFonts w:hint="eastAsia" w:asciiTheme="minorEastAsia" w:hAnsiTheme="minorEastAsia" w:eastAsiaTheme="minorEastAsia" w:cstheme="minorEastAsia"/>
          <w:color w:val="auto"/>
          <w:sz w:val="24"/>
          <w:szCs w:val="24"/>
          <w:lang w:val="en-US" w:eastAsia="zh-CN"/>
        </w:rPr>
        <w:t>壹</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lang w:eastAsia="zh-CN"/>
        </w:rPr>
        <w:t>投标文件和本合同</w:t>
      </w:r>
      <w:r>
        <w:rPr>
          <w:rFonts w:hint="eastAsia" w:asciiTheme="minorEastAsia" w:hAnsiTheme="minorEastAsia" w:eastAsiaTheme="minorEastAsia" w:cstheme="minorEastAsia"/>
          <w:color w:val="auto"/>
          <w:sz w:val="24"/>
          <w:szCs w:val="24"/>
        </w:rPr>
        <w:t>具有同等法律效力，双方签字盖章后生效。</w:t>
      </w:r>
    </w:p>
    <w:tbl>
      <w:tblPr>
        <w:tblStyle w:val="42"/>
        <w:tblpPr w:leftFromText="180" w:rightFromText="180" w:vertAnchor="text" w:horzAnchor="page" w:tblpXSpec="center" w:tblpY="320"/>
        <w:tblOverlap w:val="never"/>
        <w:tblW w:w="9821" w:type="dxa"/>
        <w:jc w:val="center"/>
        <w:tblLayout w:type="fixed"/>
        <w:tblCellMar>
          <w:top w:w="0" w:type="dxa"/>
          <w:left w:w="0" w:type="dxa"/>
          <w:bottom w:w="0" w:type="dxa"/>
          <w:right w:w="0" w:type="dxa"/>
        </w:tblCellMar>
      </w:tblPr>
      <w:tblGrid>
        <w:gridCol w:w="1815"/>
        <w:gridCol w:w="3090"/>
        <w:gridCol w:w="1350"/>
        <w:gridCol w:w="3566"/>
      </w:tblGrid>
      <w:tr w14:paraId="4747F5A2">
        <w:tblPrEx>
          <w:tblCellMar>
            <w:top w:w="0" w:type="dxa"/>
            <w:left w:w="0" w:type="dxa"/>
            <w:bottom w:w="0" w:type="dxa"/>
            <w:right w:w="0" w:type="dxa"/>
          </w:tblCellMar>
        </w:tblPrEx>
        <w:trPr>
          <w:trHeight w:val="600" w:hRule="atLeast"/>
          <w:jc w:val="center"/>
        </w:trPr>
        <w:tc>
          <w:tcPr>
            <w:tcW w:w="1815" w:type="dxa"/>
            <w:tcBorders>
              <w:top w:val="nil"/>
              <w:left w:val="nil"/>
              <w:bottom w:val="nil"/>
              <w:right w:val="nil"/>
            </w:tcBorders>
            <w:noWrap w:val="0"/>
            <w:tcMar>
              <w:top w:w="15" w:type="dxa"/>
              <w:left w:w="15" w:type="dxa"/>
              <w:right w:w="15" w:type="dxa"/>
            </w:tcMar>
            <w:vAlign w:val="center"/>
          </w:tcPr>
          <w:p w14:paraId="589A2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甲方（章）：</w:t>
            </w:r>
          </w:p>
        </w:tc>
        <w:tc>
          <w:tcPr>
            <w:tcW w:w="3090" w:type="dxa"/>
            <w:tcBorders>
              <w:top w:val="nil"/>
              <w:left w:val="nil"/>
              <w:bottom w:val="nil"/>
              <w:right w:val="nil"/>
            </w:tcBorders>
            <w:noWrap w:val="0"/>
            <w:tcMar>
              <w:top w:w="15" w:type="dxa"/>
              <w:left w:w="15" w:type="dxa"/>
              <w:right w:w="15" w:type="dxa"/>
            </w:tcMar>
            <w:vAlign w:val="center"/>
          </w:tcPr>
          <w:p w14:paraId="1061E4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安康市中心医院</w:t>
            </w:r>
          </w:p>
        </w:tc>
        <w:tc>
          <w:tcPr>
            <w:tcW w:w="1350" w:type="dxa"/>
            <w:tcBorders>
              <w:top w:val="nil"/>
              <w:left w:val="nil"/>
              <w:bottom w:val="nil"/>
              <w:right w:val="nil"/>
            </w:tcBorders>
            <w:noWrap w:val="0"/>
            <w:tcMar>
              <w:top w:w="15" w:type="dxa"/>
              <w:left w:w="15" w:type="dxa"/>
              <w:right w:w="15" w:type="dxa"/>
            </w:tcMar>
            <w:vAlign w:val="center"/>
          </w:tcPr>
          <w:p w14:paraId="3CD2C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乙方（章）：</w:t>
            </w:r>
          </w:p>
        </w:tc>
        <w:tc>
          <w:tcPr>
            <w:tcW w:w="3566" w:type="dxa"/>
            <w:tcBorders>
              <w:top w:val="nil"/>
              <w:left w:val="nil"/>
              <w:bottom w:val="nil"/>
              <w:right w:val="nil"/>
            </w:tcBorders>
            <w:noWrap w:val="0"/>
            <w:tcMar>
              <w:top w:w="15" w:type="dxa"/>
              <w:left w:w="15" w:type="dxa"/>
              <w:right w:w="15" w:type="dxa"/>
            </w:tcMar>
            <w:vAlign w:val="center"/>
          </w:tcPr>
          <w:p w14:paraId="19FAD211">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kern w:val="2"/>
                <w:sz w:val="24"/>
                <w:szCs w:val="24"/>
                <w:lang w:val="en-US" w:eastAsia="zh-CN" w:bidi="ar-SA"/>
              </w:rPr>
            </w:pPr>
          </w:p>
        </w:tc>
      </w:tr>
      <w:tr w14:paraId="0C964606">
        <w:tblPrEx>
          <w:tblCellMar>
            <w:top w:w="0" w:type="dxa"/>
            <w:left w:w="0" w:type="dxa"/>
            <w:bottom w:w="0" w:type="dxa"/>
            <w:right w:w="0" w:type="dxa"/>
          </w:tblCellMar>
        </w:tblPrEx>
        <w:trPr>
          <w:trHeight w:val="504" w:hRule="atLeast"/>
          <w:jc w:val="center"/>
        </w:trPr>
        <w:tc>
          <w:tcPr>
            <w:tcW w:w="1815" w:type="dxa"/>
            <w:tcBorders>
              <w:top w:val="nil"/>
              <w:left w:val="nil"/>
              <w:bottom w:val="nil"/>
              <w:right w:val="nil"/>
            </w:tcBorders>
            <w:noWrap w:val="0"/>
            <w:tcMar>
              <w:top w:w="15" w:type="dxa"/>
              <w:left w:w="15" w:type="dxa"/>
              <w:right w:w="15" w:type="dxa"/>
            </w:tcMar>
            <w:vAlign w:val="center"/>
          </w:tcPr>
          <w:p w14:paraId="67A96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开 户 行：</w:t>
            </w:r>
          </w:p>
        </w:tc>
        <w:tc>
          <w:tcPr>
            <w:tcW w:w="3090" w:type="dxa"/>
            <w:tcBorders>
              <w:top w:val="nil"/>
              <w:left w:val="nil"/>
              <w:bottom w:val="nil"/>
              <w:right w:val="nil"/>
            </w:tcBorders>
            <w:noWrap w:val="0"/>
            <w:tcMar>
              <w:top w:w="15" w:type="dxa"/>
              <w:left w:w="15" w:type="dxa"/>
              <w:right w:w="15" w:type="dxa"/>
            </w:tcMar>
            <w:vAlign w:val="center"/>
          </w:tcPr>
          <w:p w14:paraId="75DBAD87">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中国农业银行安康市江北支行营业部 </w:t>
            </w:r>
          </w:p>
        </w:tc>
        <w:tc>
          <w:tcPr>
            <w:tcW w:w="1350" w:type="dxa"/>
            <w:tcBorders>
              <w:top w:val="nil"/>
              <w:left w:val="nil"/>
              <w:bottom w:val="nil"/>
              <w:right w:val="nil"/>
            </w:tcBorders>
            <w:noWrap w:val="0"/>
            <w:tcMar>
              <w:top w:w="15" w:type="dxa"/>
              <w:left w:w="15" w:type="dxa"/>
              <w:right w:w="15" w:type="dxa"/>
            </w:tcMar>
            <w:vAlign w:val="center"/>
          </w:tcPr>
          <w:p w14:paraId="148D4B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开 户 行：</w:t>
            </w:r>
          </w:p>
        </w:tc>
        <w:tc>
          <w:tcPr>
            <w:tcW w:w="3566" w:type="dxa"/>
            <w:tcBorders>
              <w:top w:val="nil"/>
              <w:left w:val="nil"/>
              <w:bottom w:val="nil"/>
              <w:right w:val="nil"/>
            </w:tcBorders>
            <w:noWrap w:val="0"/>
            <w:tcMar>
              <w:top w:w="15" w:type="dxa"/>
              <w:left w:w="15" w:type="dxa"/>
              <w:right w:w="15" w:type="dxa"/>
            </w:tcMar>
            <w:vAlign w:val="center"/>
          </w:tcPr>
          <w:p w14:paraId="37E34F8D">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kern w:val="2"/>
                <w:sz w:val="24"/>
                <w:szCs w:val="24"/>
                <w:lang w:val="en-US" w:eastAsia="zh-CN" w:bidi="ar-SA"/>
              </w:rPr>
            </w:pPr>
          </w:p>
        </w:tc>
      </w:tr>
      <w:tr w14:paraId="60B436E6">
        <w:tblPrEx>
          <w:tblCellMar>
            <w:top w:w="0" w:type="dxa"/>
            <w:left w:w="0" w:type="dxa"/>
            <w:bottom w:w="0" w:type="dxa"/>
            <w:right w:w="0" w:type="dxa"/>
          </w:tblCellMar>
        </w:tblPrEx>
        <w:trPr>
          <w:trHeight w:val="483" w:hRule="atLeast"/>
          <w:jc w:val="center"/>
        </w:trPr>
        <w:tc>
          <w:tcPr>
            <w:tcW w:w="1815" w:type="dxa"/>
            <w:tcBorders>
              <w:top w:val="nil"/>
              <w:left w:val="nil"/>
              <w:bottom w:val="nil"/>
              <w:right w:val="nil"/>
            </w:tcBorders>
            <w:noWrap w:val="0"/>
            <w:tcMar>
              <w:top w:w="15" w:type="dxa"/>
              <w:left w:w="15" w:type="dxa"/>
              <w:right w:w="15" w:type="dxa"/>
            </w:tcMar>
            <w:vAlign w:val="center"/>
          </w:tcPr>
          <w:p w14:paraId="6B9A85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纳税人识别号：</w:t>
            </w:r>
          </w:p>
        </w:tc>
        <w:tc>
          <w:tcPr>
            <w:tcW w:w="3090" w:type="dxa"/>
            <w:tcBorders>
              <w:top w:val="nil"/>
              <w:left w:val="nil"/>
              <w:bottom w:val="nil"/>
              <w:right w:val="nil"/>
            </w:tcBorders>
            <w:noWrap w:val="0"/>
            <w:tcMar>
              <w:top w:w="15" w:type="dxa"/>
              <w:left w:w="15" w:type="dxa"/>
              <w:right w:w="15" w:type="dxa"/>
            </w:tcMar>
            <w:vAlign w:val="center"/>
          </w:tcPr>
          <w:p w14:paraId="3FE1A9E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12610900436135176R</w:t>
            </w:r>
          </w:p>
        </w:tc>
        <w:tc>
          <w:tcPr>
            <w:tcW w:w="1350" w:type="dxa"/>
            <w:tcBorders>
              <w:top w:val="nil"/>
              <w:left w:val="nil"/>
              <w:bottom w:val="nil"/>
              <w:right w:val="nil"/>
            </w:tcBorders>
            <w:noWrap w:val="0"/>
            <w:tcMar>
              <w:top w:w="15" w:type="dxa"/>
              <w:left w:w="15" w:type="dxa"/>
              <w:right w:w="15" w:type="dxa"/>
            </w:tcMar>
            <w:vAlign w:val="center"/>
          </w:tcPr>
          <w:p w14:paraId="4A02F4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账    号：</w:t>
            </w:r>
          </w:p>
        </w:tc>
        <w:tc>
          <w:tcPr>
            <w:tcW w:w="3566" w:type="dxa"/>
            <w:tcBorders>
              <w:top w:val="nil"/>
              <w:left w:val="nil"/>
              <w:bottom w:val="nil"/>
              <w:right w:val="nil"/>
            </w:tcBorders>
            <w:noWrap w:val="0"/>
            <w:tcMar>
              <w:top w:w="15" w:type="dxa"/>
              <w:left w:w="15" w:type="dxa"/>
              <w:right w:w="15" w:type="dxa"/>
            </w:tcMar>
            <w:vAlign w:val="center"/>
          </w:tcPr>
          <w:p w14:paraId="51103BCD">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kern w:val="2"/>
                <w:sz w:val="24"/>
                <w:szCs w:val="24"/>
                <w:lang w:val="en-US" w:eastAsia="zh-CN" w:bidi="ar-SA"/>
              </w:rPr>
            </w:pPr>
          </w:p>
        </w:tc>
      </w:tr>
      <w:tr w14:paraId="126A5678">
        <w:tblPrEx>
          <w:tblCellMar>
            <w:top w:w="0" w:type="dxa"/>
            <w:left w:w="0" w:type="dxa"/>
            <w:bottom w:w="0" w:type="dxa"/>
            <w:right w:w="0" w:type="dxa"/>
          </w:tblCellMar>
        </w:tblPrEx>
        <w:trPr>
          <w:trHeight w:val="564" w:hRule="atLeast"/>
          <w:jc w:val="center"/>
        </w:trPr>
        <w:tc>
          <w:tcPr>
            <w:tcW w:w="1815" w:type="dxa"/>
            <w:tcBorders>
              <w:top w:val="nil"/>
              <w:left w:val="nil"/>
              <w:bottom w:val="nil"/>
              <w:right w:val="nil"/>
            </w:tcBorders>
            <w:noWrap w:val="0"/>
            <w:tcMar>
              <w:top w:w="15" w:type="dxa"/>
              <w:left w:w="15" w:type="dxa"/>
              <w:right w:w="15" w:type="dxa"/>
            </w:tcMar>
            <w:vAlign w:val="center"/>
          </w:tcPr>
          <w:p w14:paraId="1C3C6D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地    址：</w:t>
            </w:r>
          </w:p>
        </w:tc>
        <w:tc>
          <w:tcPr>
            <w:tcW w:w="3090" w:type="dxa"/>
            <w:tcBorders>
              <w:top w:val="nil"/>
              <w:left w:val="nil"/>
              <w:bottom w:val="nil"/>
              <w:right w:val="nil"/>
            </w:tcBorders>
            <w:noWrap w:val="0"/>
            <w:tcMar>
              <w:top w:w="15" w:type="dxa"/>
              <w:left w:w="15" w:type="dxa"/>
              <w:right w:w="15" w:type="dxa"/>
            </w:tcMar>
            <w:vAlign w:val="center"/>
          </w:tcPr>
          <w:p w14:paraId="188A441E">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安康市汉滨区金州南路85号</w:t>
            </w:r>
          </w:p>
        </w:tc>
        <w:tc>
          <w:tcPr>
            <w:tcW w:w="1350" w:type="dxa"/>
            <w:tcBorders>
              <w:top w:val="nil"/>
              <w:left w:val="nil"/>
              <w:bottom w:val="nil"/>
              <w:right w:val="nil"/>
            </w:tcBorders>
            <w:noWrap w:val="0"/>
            <w:tcMar>
              <w:top w:w="15" w:type="dxa"/>
              <w:left w:w="15" w:type="dxa"/>
              <w:right w:w="15" w:type="dxa"/>
            </w:tcMar>
            <w:vAlign w:val="top"/>
          </w:tcPr>
          <w:p w14:paraId="274C9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地    址：</w:t>
            </w:r>
          </w:p>
          <w:p w14:paraId="636AE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outlineLvl w:val="9"/>
              <w:rPr>
                <w:rFonts w:hint="eastAsia" w:asciiTheme="minorEastAsia" w:hAnsiTheme="minorEastAsia" w:eastAsiaTheme="minorEastAsia" w:cstheme="minorEastAsia"/>
                <w:b/>
                <w:bCs/>
                <w:sz w:val="24"/>
                <w:szCs w:val="24"/>
                <w:lang w:val="en-US" w:eastAsia="zh-CN"/>
              </w:rPr>
            </w:pPr>
          </w:p>
        </w:tc>
        <w:tc>
          <w:tcPr>
            <w:tcW w:w="3566" w:type="dxa"/>
            <w:tcBorders>
              <w:top w:val="nil"/>
              <w:left w:val="nil"/>
              <w:bottom w:val="nil"/>
              <w:right w:val="nil"/>
            </w:tcBorders>
            <w:noWrap w:val="0"/>
            <w:tcMar>
              <w:top w:w="15" w:type="dxa"/>
              <w:left w:w="15" w:type="dxa"/>
              <w:right w:w="15" w:type="dxa"/>
            </w:tcMar>
            <w:vAlign w:val="top"/>
          </w:tcPr>
          <w:p w14:paraId="06131551">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120" w:rightChars="0"/>
              <w:rPr>
                <w:rFonts w:hint="eastAsia" w:asciiTheme="minorEastAsia" w:hAnsiTheme="minorEastAsia" w:eastAsiaTheme="minorEastAsia" w:cstheme="minorEastAsia"/>
                <w:kern w:val="2"/>
                <w:sz w:val="24"/>
                <w:szCs w:val="24"/>
                <w:lang w:val="en-US" w:eastAsia="zh-CN" w:bidi="ar-SA"/>
              </w:rPr>
            </w:pPr>
          </w:p>
        </w:tc>
      </w:tr>
      <w:tr w14:paraId="4EE54842">
        <w:tblPrEx>
          <w:tblCellMar>
            <w:top w:w="0" w:type="dxa"/>
            <w:left w:w="0" w:type="dxa"/>
            <w:bottom w:w="0" w:type="dxa"/>
            <w:right w:w="0" w:type="dxa"/>
          </w:tblCellMar>
        </w:tblPrEx>
        <w:trPr>
          <w:trHeight w:val="786" w:hRule="atLeast"/>
          <w:jc w:val="center"/>
        </w:trPr>
        <w:tc>
          <w:tcPr>
            <w:tcW w:w="1815" w:type="dxa"/>
            <w:tcBorders>
              <w:top w:val="nil"/>
              <w:left w:val="nil"/>
              <w:bottom w:val="nil"/>
              <w:right w:val="nil"/>
            </w:tcBorders>
            <w:noWrap w:val="0"/>
            <w:tcMar>
              <w:top w:w="15" w:type="dxa"/>
              <w:left w:w="15" w:type="dxa"/>
              <w:right w:w="15" w:type="dxa"/>
            </w:tcMar>
            <w:vAlign w:val="center"/>
          </w:tcPr>
          <w:p w14:paraId="199604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法人代表：</w:t>
            </w:r>
          </w:p>
        </w:tc>
        <w:tc>
          <w:tcPr>
            <w:tcW w:w="3090" w:type="dxa"/>
            <w:tcBorders>
              <w:top w:val="nil"/>
              <w:left w:val="nil"/>
              <w:bottom w:val="nil"/>
              <w:right w:val="nil"/>
            </w:tcBorders>
            <w:noWrap w:val="0"/>
            <w:tcMar>
              <w:top w:w="15" w:type="dxa"/>
              <w:left w:w="15" w:type="dxa"/>
              <w:right w:w="15" w:type="dxa"/>
            </w:tcMar>
            <w:vAlign w:val="center"/>
          </w:tcPr>
          <w:p w14:paraId="37E101B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kern w:val="2"/>
                <w:sz w:val="24"/>
                <w:szCs w:val="24"/>
                <w:lang w:val="en-US" w:eastAsia="zh-CN" w:bidi="ar-SA"/>
              </w:rPr>
            </w:pPr>
          </w:p>
          <w:p w14:paraId="04173D4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kern w:val="2"/>
                <w:sz w:val="24"/>
                <w:szCs w:val="24"/>
                <w:lang w:val="en-US" w:eastAsia="zh-CN" w:bidi="ar-SA"/>
              </w:rPr>
            </w:pPr>
          </w:p>
          <w:p w14:paraId="7790BDD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kern w:val="2"/>
                <w:sz w:val="24"/>
                <w:szCs w:val="24"/>
                <w:lang w:val="en-US" w:eastAsia="zh-CN" w:bidi="ar-SA"/>
              </w:rPr>
            </w:pPr>
          </w:p>
        </w:tc>
        <w:tc>
          <w:tcPr>
            <w:tcW w:w="1350" w:type="dxa"/>
            <w:tcBorders>
              <w:top w:val="nil"/>
              <w:left w:val="nil"/>
              <w:bottom w:val="nil"/>
              <w:right w:val="nil"/>
            </w:tcBorders>
            <w:noWrap w:val="0"/>
            <w:tcMar>
              <w:top w:w="15" w:type="dxa"/>
              <w:left w:w="15" w:type="dxa"/>
              <w:right w:w="15" w:type="dxa"/>
            </w:tcMar>
            <w:vAlign w:val="center"/>
          </w:tcPr>
          <w:p w14:paraId="045E0A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联系电话：</w:t>
            </w:r>
          </w:p>
        </w:tc>
        <w:tc>
          <w:tcPr>
            <w:tcW w:w="3566" w:type="dxa"/>
            <w:tcBorders>
              <w:top w:val="nil"/>
              <w:left w:val="nil"/>
              <w:bottom w:val="nil"/>
              <w:right w:val="nil"/>
            </w:tcBorders>
            <w:noWrap w:val="0"/>
            <w:tcMar>
              <w:top w:w="15" w:type="dxa"/>
              <w:left w:w="15" w:type="dxa"/>
              <w:right w:w="15" w:type="dxa"/>
            </w:tcMar>
            <w:vAlign w:val="center"/>
          </w:tcPr>
          <w:p w14:paraId="69BD3974">
            <w:pPr>
              <w:keepNext w:val="0"/>
              <w:keepLines w:val="0"/>
              <w:suppressLineNumbers w:val="0"/>
              <w:spacing w:before="0" w:beforeAutospacing="0" w:after="40" w:afterAutospacing="0" w:line="482" w:lineRule="exact"/>
              <w:ind w:left="0" w:right="0"/>
              <w:rPr>
                <w:rFonts w:hint="eastAsia" w:asciiTheme="minorEastAsia" w:hAnsiTheme="minorEastAsia" w:eastAsiaTheme="minorEastAsia" w:cstheme="minorEastAsia"/>
                <w:kern w:val="2"/>
                <w:sz w:val="24"/>
                <w:szCs w:val="24"/>
                <w:lang w:val="en-US" w:eastAsia="zh-CN" w:bidi="ar-SA"/>
              </w:rPr>
            </w:pPr>
          </w:p>
        </w:tc>
      </w:tr>
      <w:tr w14:paraId="7CB67A29">
        <w:tblPrEx>
          <w:tblCellMar>
            <w:top w:w="0" w:type="dxa"/>
            <w:left w:w="0" w:type="dxa"/>
            <w:bottom w:w="0" w:type="dxa"/>
            <w:right w:w="0" w:type="dxa"/>
          </w:tblCellMar>
        </w:tblPrEx>
        <w:trPr>
          <w:trHeight w:val="454" w:hRule="atLeast"/>
          <w:jc w:val="center"/>
        </w:trPr>
        <w:tc>
          <w:tcPr>
            <w:tcW w:w="1815" w:type="dxa"/>
            <w:tcBorders>
              <w:top w:val="nil"/>
              <w:left w:val="nil"/>
              <w:bottom w:val="nil"/>
              <w:right w:val="nil"/>
            </w:tcBorders>
            <w:noWrap w:val="0"/>
            <w:tcMar>
              <w:top w:w="15" w:type="dxa"/>
              <w:left w:w="15" w:type="dxa"/>
              <w:right w:w="15" w:type="dxa"/>
            </w:tcMar>
            <w:vAlign w:val="top"/>
          </w:tcPr>
          <w:p w14:paraId="20A7FB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委 托 人：</w:t>
            </w:r>
          </w:p>
        </w:tc>
        <w:tc>
          <w:tcPr>
            <w:tcW w:w="3090" w:type="dxa"/>
            <w:tcBorders>
              <w:top w:val="nil"/>
              <w:left w:val="nil"/>
              <w:bottom w:val="nil"/>
              <w:right w:val="nil"/>
            </w:tcBorders>
            <w:noWrap w:val="0"/>
            <w:tcMar>
              <w:top w:w="15" w:type="dxa"/>
              <w:left w:w="15" w:type="dxa"/>
              <w:right w:w="15" w:type="dxa"/>
            </w:tcMar>
            <w:vAlign w:val="top"/>
          </w:tcPr>
          <w:p w14:paraId="12E5F7B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kern w:val="2"/>
                <w:sz w:val="24"/>
                <w:szCs w:val="24"/>
                <w:lang w:val="en-US" w:eastAsia="zh-CN" w:bidi="ar-SA"/>
              </w:rPr>
            </w:pPr>
          </w:p>
          <w:p w14:paraId="48DF1C8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kern w:val="2"/>
                <w:sz w:val="24"/>
                <w:szCs w:val="24"/>
                <w:lang w:val="en-US" w:eastAsia="zh-CN" w:bidi="ar-SA"/>
              </w:rPr>
            </w:pPr>
          </w:p>
          <w:p w14:paraId="2895027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kern w:val="2"/>
                <w:sz w:val="24"/>
                <w:szCs w:val="24"/>
                <w:lang w:val="en-US" w:eastAsia="zh-CN" w:bidi="ar-SA"/>
              </w:rPr>
            </w:pPr>
          </w:p>
          <w:p w14:paraId="67CDD02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kern w:val="2"/>
                <w:sz w:val="24"/>
                <w:szCs w:val="24"/>
                <w:lang w:val="en-US" w:eastAsia="zh-CN" w:bidi="ar-SA"/>
              </w:rPr>
            </w:pPr>
          </w:p>
        </w:tc>
        <w:tc>
          <w:tcPr>
            <w:tcW w:w="1350" w:type="dxa"/>
            <w:tcBorders>
              <w:top w:val="nil"/>
              <w:left w:val="nil"/>
              <w:bottom w:val="nil"/>
              <w:right w:val="nil"/>
            </w:tcBorders>
            <w:noWrap w:val="0"/>
            <w:tcMar>
              <w:top w:w="15" w:type="dxa"/>
              <w:left w:w="15" w:type="dxa"/>
              <w:right w:w="15" w:type="dxa"/>
            </w:tcMar>
            <w:vAlign w:val="top"/>
          </w:tcPr>
          <w:p w14:paraId="3A94ED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法人代表：</w:t>
            </w:r>
          </w:p>
        </w:tc>
        <w:tc>
          <w:tcPr>
            <w:tcW w:w="3566" w:type="dxa"/>
            <w:tcBorders>
              <w:top w:val="nil"/>
              <w:left w:val="nil"/>
              <w:bottom w:val="nil"/>
              <w:right w:val="nil"/>
            </w:tcBorders>
            <w:noWrap w:val="0"/>
            <w:tcMar>
              <w:top w:w="15" w:type="dxa"/>
              <w:left w:w="15" w:type="dxa"/>
              <w:right w:w="15" w:type="dxa"/>
            </w:tcMar>
            <w:vAlign w:val="top"/>
          </w:tcPr>
          <w:p w14:paraId="088CF021">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120"/>
              <w:rPr>
                <w:rFonts w:hint="eastAsia" w:asciiTheme="minorEastAsia" w:hAnsiTheme="minorEastAsia" w:eastAsiaTheme="minorEastAsia" w:cstheme="minorEastAsia"/>
                <w:kern w:val="2"/>
                <w:sz w:val="24"/>
                <w:szCs w:val="24"/>
                <w:lang w:val="en-US" w:eastAsia="zh-CN" w:bidi="ar-SA"/>
              </w:rPr>
            </w:pPr>
          </w:p>
        </w:tc>
      </w:tr>
    </w:tbl>
    <w:p w14:paraId="6AA4D5AF">
      <w:pPr>
        <w:rPr>
          <w:rFonts w:hint="eastAsia"/>
        </w:rPr>
      </w:pPr>
    </w:p>
    <w:p w14:paraId="76D55D86">
      <w:pPr>
        <w:rPr>
          <w:rFonts w:hint="eastAsia"/>
        </w:rPr>
      </w:pPr>
    </w:p>
    <w:p w14:paraId="3A519491">
      <w:pPr>
        <w:pStyle w:val="2"/>
        <w:jc w:val="center"/>
        <w:rPr>
          <w:rFonts w:hint="eastAsia"/>
        </w:rPr>
      </w:pPr>
    </w:p>
    <w:p w14:paraId="3F1F9C98">
      <w:pPr>
        <w:pStyle w:val="2"/>
        <w:jc w:val="center"/>
      </w:pPr>
      <w:r>
        <w:rPr>
          <w:rFonts w:hint="eastAsia"/>
        </w:rPr>
        <w:t>第六章 投标文件（格式）</w:t>
      </w:r>
      <w:bookmarkEnd w:id="114"/>
      <w:bookmarkEnd w:id="115"/>
      <w:bookmarkEnd w:id="116"/>
      <w:bookmarkEnd w:id="117"/>
    </w:p>
    <w:p w14:paraId="44BA349D">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2FE07EEC"/>
    <w:p w14:paraId="27EA34D5">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lang w:val="en-US" w:eastAsia="zh-CN"/>
        </w:rPr>
        <w:t>项目</w:t>
      </w:r>
      <w:r>
        <w:rPr>
          <w:rFonts w:hint="eastAsia" w:ascii="宋体" w:hAnsi="宋体" w:cs="宋体"/>
          <w:b/>
          <w:bCs/>
          <w:kern w:val="44"/>
          <w:sz w:val="32"/>
          <w:szCs w:val="32"/>
        </w:rPr>
        <w:t>编号:</w:t>
      </w:r>
      <w:r>
        <w:rPr>
          <w:rFonts w:hint="eastAsia" w:cs="仿宋" w:asciiTheme="minorEastAsia" w:hAnsiTheme="minorEastAsia" w:eastAsiaTheme="minorEastAsia"/>
          <w:bCs/>
          <w:sz w:val="32"/>
          <w:szCs w:val="32"/>
        </w:rPr>
        <w:t xml:space="preserve"> </w:t>
      </w:r>
    </w:p>
    <w:p w14:paraId="15375708">
      <w:pPr>
        <w:spacing w:line="480" w:lineRule="exact"/>
        <w:rPr>
          <w:rFonts w:ascii="宋体" w:hAnsi="宋体"/>
          <w:b/>
          <w:sz w:val="180"/>
          <w:szCs w:val="48"/>
        </w:rPr>
      </w:pPr>
    </w:p>
    <w:p w14:paraId="7770574E">
      <w:pPr>
        <w:spacing w:line="480" w:lineRule="exact"/>
        <w:rPr>
          <w:rFonts w:ascii="宋体" w:hAnsi="宋体"/>
          <w:b/>
          <w:sz w:val="180"/>
          <w:szCs w:val="48"/>
        </w:rPr>
      </w:pPr>
    </w:p>
    <w:p w14:paraId="4B03BD18">
      <w:pPr>
        <w:spacing w:line="480" w:lineRule="exact"/>
        <w:rPr>
          <w:rFonts w:ascii="宋体" w:hAnsi="宋体"/>
          <w:b/>
          <w:sz w:val="180"/>
          <w:szCs w:val="48"/>
        </w:rPr>
      </w:pPr>
    </w:p>
    <w:p w14:paraId="02EE315A">
      <w:pPr>
        <w:spacing w:line="480" w:lineRule="exact"/>
        <w:rPr>
          <w:rFonts w:ascii="宋体" w:hAnsi="宋体"/>
          <w:b/>
          <w:sz w:val="180"/>
          <w:szCs w:val="48"/>
        </w:rPr>
      </w:pPr>
    </w:p>
    <w:p w14:paraId="5BA822D2">
      <w:pPr>
        <w:pStyle w:val="50"/>
        <w:keepNext w:val="0"/>
        <w:keepLines w:val="0"/>
        <w:pageBreakBefore w:val="0"/>
        <w:kinsoku/>
        <w:wordWrap/>
        <w:overflowPunct/>
        <w:topLinePunct w:val="0"/>
        <w:autoSpaceDE/>
        <w:autoSpaceDN/>
        <w:bidi w:val="0"/>
        <w:adjustRightInd/>
        <w:spacing w:line="360" w:lineRule="auto"/>
        <w:ind w:firstLine="1325" w:firstLineChars="300"/>
        <w:textAlignment w:val="auto"/>
        <w:outlineLvl w:val="9"/>
        <w:rPr>
          <w:rFonts w:hint="eastAsia" w:ascii="宋体" w:hAnsi="宋体" w:eastAsia="宋体" w:cs="Times New Roman"/>
          <w:b/>
          <w:sz w:val="44"/>
          <w:szCs w:val="20"/>
          <w:lang w:eastAsia="zh-CN"/>
        </w:rPr>
      </w:pPr>
      <w:r>
        <w:rPr>
          <w:rFonts w:hint="eastAsia" w:ascii="宋体" w:hAnsi="宋体" w:cs="Times New Roman"/>
          <w:b/>
          <w:sz w:val="44"/>
          <w:szCs w:val="20"/>
          <w:lang w:val="en-US" w:eastAsia="zh-CN"/>
        </w:rPr>
        <w:t xml:space="preserve"> </w:t>
      </w:r>
      <w:r>
        <w:rPr>
          <w:rFonts w:hint="eastAsia" w:ascii="宋体" w:hAnsi="宋体" w:cs="Times New Roman"/>
          <w:b/>
          <w:sz w:val="44"/>
          <w:szCs w:val="20"/>
          <w:u w:val="single"/>
          <w:lang w:val="en-US" w:eastAsia="zh-CN"/>
        </w:rPr>
        <w:t xml:space="preserve">                       </w:t>
      </w:r>
      <w:r>
        <w:rPr>
          <w:rFonts w:hint="eastAsia" w:ascii="宋体" w:hAnsi="宋体" w:cs="Times New Roman"/>
          <w:b/>
          <w:sz w:val="44"/>
          <w:szCs w:val="20"/>
          <w:lang w:val="en-US" w:eastAsia="zh-CN"/>
        </w:rPr>
        <w:t xml:space="preserve"> </w:t>
      </w:r>
      <w:r>
        <w:rPr>
          <w:rFonts w:hint="eastAsia" w:ascii="宋体" w:hAnsi="宋体" w:eastAsia="宋体" w:cs="Times New Roman"/>
          <w:b/>
          <w:sz w:val="44"/>
          <w:szCs w:val="20"/>
          <w:lang w:eastAsia="zh-CN"/>
        </w:rPr>
        <w:t>项目</w:t>
      </w:r>
    </w:p>
    <w:p w14:paraId="11A379C0">
      <w:pPr>
        <w:pStyle w:val="50"/>
        <w:keepNext w:val="0"/>
        <w:keepLines w:val="0"/>
        <w:pageBreakBefore w:val="0"/>
        <w:kinsoku/>
        <w:wordWrap/>
        <w:overflowPunct/>
        <w:topLinePunct w:val="0"/>
        <w:autoSpaceDE/>
        <w:autoSpaceDN/>
        <w:bidi w:val="0"/>
        <w:adjustRightInd/>
        <w:spacing w:line="360" w:lineRule="auto"/>
        <w:ind w:left="3970" w:leftChars="418" w:hanging="3092" w:hangingChars="700"/>
        <w:textAlignment w:val="auto"/>
        <w:outlineLvl w:val="9"/>
        <w:rPr>
          <w:rFonts w:hint="eastAsia" w:ascii="宋体" w:hAnsi="宋体" w:eastAsia="宋体" w:cs="Times New Roman"/>
          <w:b/>
          <w:sz w:val="44"/>
          <w:szCs w:val="20"/>
          <w:lang w:eastAsia="zh-CN"/>
        </w:rPr>
      </w:pPr>
    </w:p>
    <w:p w14:paraId="72AA6585">
      <w:pPr>
        <w:pStyle w:val="50"/>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outlineLvl w:val="9"/>
        <w:rPr>
          <w:rFonts w:hint="eastAsia" w:ascii="宋体" w:hAnsi="宋体" w:cs="Times New Roman"/>
          <w:b/>
          <w:sz w:val="44"/>
          <w:szCs w:val="20"/>
          <w:lang w:val="en-US" w:eastAsia="zh-CN"/>
        </w:rPr>
      </w:pPr>
      <w:r>
        <w:rPr>
          <w:rFonts w:hint="eastAsia" w:ascii="宋体" w:hAnsi="宋体" w:cs="Times New Roman"/>
          <w:b/>
          <w:sz w:val="44"/>
          <w:szCs w:val="20"/>
          <w:lang w:val="en-US" w:eastAsia="zh-CN"/>
        </w:rPr>
        <w:t>（正/副本）</w:t>
      </w:r>
    </w:p>
    <w:p w14:paraId="69360D63"/>
    <w:p w14:paraId="2DE0023B">
      <w:pPr>
        <w:pStyle w:val="15"/>
        <w:rPr>
          <w:lang w:val="en-US" w:bidi="ar-SA"/>
        </w:rPr>
      </w:pPr>
    </w:p>
    <w:p w14:paraId="4CF8BD73">
      <w:pPr>
        <w:spacing w:line="360" w:lineRule="auto"/>
        <w:jc w:val="center"/>
        <w:rPr>
          <w:rFonts w:ascii="宋体" w:hAnsi="宋体"/>
          <w:b/>
          <w:sz w:val="28"/>
          <w:szCs w:val="28"/>
        </w:rPr>
      </w:pPr>
      <w:r>
        <w:rPr>
          <w:rFonts w:hint="eastAsia" w:ascii="宋体" w:hAnsi="宋体"/>
          <w:sz w:val="72"/>
          <w:szCs w:val="72"/>
        </w:rPr>
        <w:t>投标文件</w:t>
      </w:r>
    </w:p>
    <w:p w14:paraId="79259933">
      <w:pPr>
        <w:spacing w:line="360" w:lineRule="auto"/>
        <w:rPr>
          <w:rFonts w:ascii="宋体" w:hAnsi="宋体"/>
          <w:b/>
          <w:sz w:val="28"/>
          <w:szCs w:val="28"/>
        </w:rPr>
      </w:pPr>
    </w:p>
    <w:p w14:paraId="457055B2">
      <w:pPr>
        <w:spacing w:line="360" w:lineRule="auto"/>
        <w:jc w:val="center"/>
        <w:rPr>
          <w:rFonts w:ascii="宋体" w:hAnsi="宋体"/>
          <w:b/>
          <w:sz w:val="28"/>
          <w:szCs w:val="28"/>
        </w:rPr>
      </w:pPr>
    </w:p>
    <w:p w14:paraId="6542D479">
      <w:pPr>
        <w:widowControl/>
        <w:spacing w:line="360" w:lineRule="auto"/>
        <w:ind w:left="199" w:leftChars="95" w:firstLine="360" w:firstLineChars="150"/>
        <w:rPr>
          <w:rFonts w:ascii="宋体" w:hAnsi="宋体"/>
          <w:sz w:val="24"/>
          <w:szCs w:val="24"/>
        </w:rPr>
      </w:pPr>
    </w:p>
    <w:p w14:paraId="1964AE46">
      <w:pPr>
        <w:widowControl/>
        <w:spacing w:line="360" w:lineRule="auto"/>
        <w:ind w:left="199" w:leftChars="95" w:firstLine="360" w:firstLineChars="150"/>
        <w:rPr>
          <w:rFonts w:ascii="宋体" w:hAnsi="宋体"/>
          <w:sz w:val="24"/>
          <w:szCs w:val="24"/>
        </w:rPr>
      </w:pPr>
    </w:p>
    <w:p w14:paraId="63B14100">
      <w:pPr>
        <w:widowControl/>
        <w:spacing w:line="360" w:lineRule="auto"/>
        <w:ind w:left="199" w:leftChars="95" w:firstLine="360" w:firstLineChars="150"/>
        <w:rPr>
          <w:rFonts w:ascii="宋体" w:hAnsi="宋体"/>
          <w:sz w:val="24"/>
          <w:szCs w:val="24"/>
          <w:u w:val="single"/>
        </w:rPr>
      </w:pPr>
    </w:p>
    <w:p w14:paraId="5C7CAD0D">
      <w:pPr>
        <w:snapToGrid w:val="0"/>
        <w:spacing w:line="360" w:lineRule="auto"/>
        <w:ind w:firstLine="640" w:firstLineChars="200"/>
        <w:jc w:val="left"/>
        <w:rPr>
          <w:rFonts w:ascii="宋体"/>
          <w:sz w:val="32"/>
          <w:szCs w:val="32"/>
          <w:u w:val="single"/>
        </w:rPr>
      </w:pPr>
      <w:r>
        <w:rPr>
          <w:rFonts w:hint="eastAsia" w:ascii="宋体" w:hAnsi="宋体" w:cs="宋体"/>
          <w:sz w:val="32"/>
          <w:szCs w:val="32"/>
          <w:lang w:val="zh-CN"/>
        </w:rPr>
        <w:t>供应商（单位名称及公章）：</w:t>
      </w:r>
      <w:r>
        <w:rPr>
          <w:rFonts w:hint="eastAsia" w:ascii="宋体" w:hAnsi="宋体" w:cs="宋体"/>
          <w:sz w:val="24"/>
          <w:szCs w:val="24"/>
        </w:rPr>
        <w:t>____________________________</w:t>
      </w:r>
    </w:p>
    <w:p w14:paraId="1AB6E302">
      <w:pPr>
        <w:snapToGrid w:val="0"/>
        <w:spacing w:line="360" w:lineRule="auto"/>
        <w:ind w:firstLine="640" w:firstLineChars="200"/>
        <w:jc w:val="left"/>
      </w:pPr>
      <w:r>
        <w:rPr>
          <w:rFonts w:hint="eastAsia" w:ascii="宋体" w:hAnsi="宋体" w:cs="宋体"/>
          <w:sz w:val="32"/>
          <w:szCs w:val="32"/>
          <w:lang w:val="zh-CN"/>
        </w:rPr>
        <w:t>法定代表人</w:t>
      </w:r>
      <w:r>
        <w:rPr>
          <w:rFonts w:hint="eastAsia" w:ascii="宋体" w:hAnsi="宋体" w:cs="宋体"/>
          <w:sz w:val="32"/>
          <w:szCs w:val="32"/>
          <w:lang w:val="en-US" w:eastAsia="zh-CN"/>
        </w:rPr>
        <w:t>或</w:t>
      </w:r>
      <w:r>
        <w:rPr>
          <w:rFonts w:hint="eastAsia" w:ascii="宋体" w:hAnsi="宋体" w:cs="宋体"/>
          <w:sz w:val="32"/>
          <w:szCs w:val="32"/>
          <w:lang w:val="zh-CN"/>
        </w:rPr>
        <w:t>被授权人（签字或盖章）：</w:t>
      </w:r>
      <w:r>
        <w:rPr>
          <w:rFonts w:hint="eastAsia" w:ascii="宋体" w:hAnsi="宋体" w:cs="宋体"/>
          <w:sz w:val="24"/>
          <w:szCs w:val="24"/>
        </w:rPr>
        <w:t>__________________</w:t>
      </w:r>
    </w:p>
    <w:p w14:paraId="135AB6D0">
      <w:pPr>
        <w:snapToGrid w:val="0"/>
        <w:spacing w:line="360" w:lineRule="auto"/>
        <w:ind w:firstLine="640" w:firstLineChars="200"/>
        <w:jc w:val="left"/>
        <w:rPr>
          <w:rFonts w:ascii="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24"/>
          <w:szCs w:val="24"/>
        </w:rPr>
        <w:t>________________________________________________________</w:t>
      </w:r>
    </w:p>
    <w:p w14:paraId="3AB3CC56">
      <w:pPr>
        <w:widowControl/>
        <w:ind w:firstLine="2400" w:firstLineChars="250"/>
        <w:jc w:val="left"/>
        <w:rPr>
          <w:rFonts w:hint="eastAsia"/>
          <w:sz w:val="96"/>
        </w:rPr>
      </w:pPr>
    </w:p>
    <w:p w14:paraId="3865DA78">
      <w:pPr>
        <w:widowControl/>
        <w:ind w:firstLine="2400" w:firstLineChars="250"/>
        <w:jc w:val="left"/>
        <w:rPr>
          <w:sz w:val="96"/>
        </w:rPr>
      </w:pPr>
      <w:r>
        <w:rPr>
          <w:rFonts w:hint="eastAsia"/>
          <w:sz w:val="96"/>
        </w:rPr>
        <w:t>目   录</w:t>
      </w:r>
    </w:p>
    <w:p w14:paraId="5FB07535">
      <w:pPr>
        <w:widowControl/>
        <w:jc w:val="left"/>
        <w:rPr>
          <w:sz w:val="36"/>
        </w:rPr>
      </w:pPr>
    </w:p>
    <w:p w14:paraId="21D695B0">
      <w:pPr>
        <w:pageBreakBefore w:val="0"/>
        <w:widowControl/>
        <w:kinsoku/>
        <w:wordWrap/>
        <w:overflowPunct/>
        <w:topLinePunct w:val="0"/>
        <w:autoSpaceDE/>
        <w:autoSpaceDN/>
        <w:bidi w:val="0"/>
        <w:adjustRightInd/>
        <w:snapToGrid/>
        <w:spacing w:line="720" w:lineRule="auto"/>
        <w:ind w:firstLine="320" w:firstLineChars="100"/>
        <w:jc w:val="left"/>
        <w:textAlignment w:val="auto"/>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一、投标函</w:t>
      </w:r>
    </w:p>
    <w:p w14:paraId="5B3408BD">
      <w:pPr>
        <w:pageBreakBefore w:val="0"/>
        <w:widowControl/>
        <w:kinsoku/>
        <w:wordWrap/>
        <w:overflowPunct/>
        <w:topLinePunct w:val="0"/>
        <w:autoSpaceDE/>
        <w:autoSpaceDN/>
        <w:bidi w:val="0"/>
        <w:adjustRightInd/>
        <w:snapToGrid/>
        <w:spacing w:line="720" w:lineRule="auto"/>
        <w:ind w:firstLine="320" w:firstLineChars="100"/>
        <w:jc w:val="left"/>
        <w:textAlignment w:val="auto"/>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二、投标</w:t>
      </w:r>
      <w:r>
        <w:rPr>
          <w:rFonts w:hint="eastAsia" w:cs="仿宋" w:asciiTheme="minorEastAsia" w:hAnsiTheme="minorEastAsia" w:eastAsiaTheme="minorEastAsia"/>
          <w:bCs/>
          <w:sz w:val="32"/>
          <w:szCs w:val="28"/>
          <w:lang w:val="en-US" w:eastAsia="zh-CN"/>
        </w:rPr>
        <w:t>一览</w:t>
      </w:r>
      <w:r>
        <w:rPr>
          <w:rFonts w:hint="eastAsia" w:cs="仿宋" w:asciiTheme="minorEastAsia" w:hAnsiTheme="minorEastAsia" w:eastAsiaTheme="minorEastAsia"/>
          <w:bCs/>
          <w:sz w:val="32"/>
          <w:szCs w:val="28"/>
        </w:rPr>
        <w:t>表</w:t>
      </w:r>
    </w:p>
    <w:p w14:paraId="6FA9AAA5">
      <w:pPr>
        <w:pStyle w:val="3"/>
        <w:pageBreakBefore w:val="0"/>
        <w:kinsoku/>
        <w:wordWrap/>
        <w:overflowPunct/>
        <w:topLinePunct w:val="0"/>
        <w:autoSpaceDE/>
        <w:autoSpaceDN/>
        <w:bidi w:val="0"/>
        <w:adjustRightInd/>
        <w:snapToGrid/>
        <w:spacing w:line="720" w:lineRule="auto"/>
        <w:ind w:firstLine="320" w:firstLineChars="100"/>
        <w:jc w:val="left"/>
        <w:textAlignment w:val="auto"/>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三、资格证明文件</w:t>
      </w:r>
    </w:p>
    <w:p w14:paraId="4ECFA6AA">
      <w:pPr>
        <w:pStyle w:val="3"/>
        <w:pageBreakBefore w:val="0"/>
        <w:numPr>
          <w:ilvl w:val="0"/>
          <w:numId w:val="0"/>
        </w:numPr>
        <w:kinsoku/>
        <w:wordWrap/>
        <w:overflowPunct/>
        <w:topLinePunct w:val="0"/>
        <w:autoSpaceDE/>
        <w:autoSpaceDN/>
        <w:bidi w:val="0"/>
        <w:adjustRightInd/>
        <w:snapToGrid/>
        <w:spacing w:line="720" w:lineRule="auto"/>
        <w:ind w:firstLine="320" w:firstLineChars="100"/>
        <w:jc w:val="left"/>
        <w:textAlignment w:val="auto"/>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四、技术商务偏离表</w:t>
      </w:r>
    </w:p>
    <w:p w14:paraId="7F6D7CA2">
      <w:pPr>
        <w:pStyle w:val="3"/>
        <w:pageBreakBefore w:val="0"/>
        <w:numPr>
          <w:ilvl w:val="0"/>
          <w:numId w:val="0"/>
        </w:numPr>
        <w:kinsoku/>
        <w:wordWrap/>
        <w:overflowPunct/>
        <w:topLinePunct w:val="0"/>
        <w:autoSpaceDE/>
        <w:autoSpaceDN/>
        <w:bidi w:val="0"/>
        <w:adjustRightInd/>
        <w:snapToGrid/>
        <w:spacing w:line="720" w:lineRule="auto"/>
        <w:ind w:firstLine="320" w:firstLineChars="100"/>
        <w:jc w:val="left"/>
        <w:textAlignment w:val="auto"/>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五、投标方案</w:t>
      </w:r>
    </w:p>
    <w:p w14:paraId="03E441F5">
      <w:pPr>
        <w:pageBreakBefore w:val="0"/>
        <w:widowControl/>
        <w:kinsoku/>
        <w:wordWrap/>
        <w:overflowPunct/>
        <w:topLinePunct w:val="0"/>
        <w:autoSpaceDE/>
        <w:autoSpaceDN/>
        <w:bidi w:val="0"/>
        <w:adjustRightInd/>
        <w:snapToGrid/>
        <w:spacing w:line="720" w:lineRule="auto"/>
        <w:ind w:firstLine="320" w:firstLineChars="100"/>
        <w:jc w:val="left"/>
        <w:textAlignment w:val="auto"/>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lang w:val="en-US" w:eastAsia="zh-CN"/>
        </w:rPr>
        <w:t>六</w:t>
      </w:r>
      <w:r>
        <w:rPr>
          <w:rFonts w:hint="eastAsia" w:cs="仿宋" w:asciiTheme="minorEastAsia" w:hAnsiTheme="minorEastAsia" w:eastAsiaTheme="minorEastAsia"/>
          <w:bCs/>
          <w:sz w:val="32"/>
          <w:szCs w:val="28"/>
        </w:rPr>
        <w:t>、采购服务机构拒绝政府采购领域商业贿赂承诺书</w:t>
      </w:r>
    </w:p>
    <w:p w14:paraId="4BE148F6">
      <w:pPr>
        <w:widowControl/>
        <w:spacing w:line="360" w:lineRule="auto"/>
        <w:jc w:val="left"/>
        <w:rPr>
          <w:rFonts w:ascii="Calibri Light" w:hAnsi="Calibri Light"/>
          <w:b/>
          <w:bCs/>
          <w:sz w:val="36"/>
          <w:szCs w:val="32"/>
        </w:rPr>
      </w:pPr>
      <w:r>
        <w:rPr>
          <w:sz w:val="22"/>
        </w:rPr>
        <w:br w:type="page"/>
      </w:r>
    </w:p>
    <w:p w14:paraId="1E450207">
      <w:pPr>
        <w:pStyle w:val="3"/>
        <w:ind w:firstLine="482" w:firstLineChars="150"/>
        <w:jc w:val="center"/>
      </w:pPr>
      <w:bookmarkStart w:id="120" w:name="_Toc26541334"/>
      <w:bookmarkStart w:id="121" w:name="_Toc23258623"/>
      <w:r>
        <w:rPr>
          <w:rFonts w:hint="eastAsia"/>
        </w:rPr>
        <w:t>一、投标函</w:t>
      </w:r>
      <w:bookmarkEnd w:id="118"/>
      <w:bookmarkEnd w:id="119"/>
      <w:bookmarkEnd w:id="120"/>
      <w:bookmarkEnd w:id="121"/>
    </w:p>
    <w:p w14:paraId="237D62DF">
      <w:pPr>
        <w:spacing w:line="360" w:lineRule="auto"/>
        <w:rPr>
          <w:rFonts w:hint="eastAsia" w:ascii="宋体" w:hAnsi="宋体" w:eastAsia="宋体"/>
          <w:sz w:val="24"/>
          <w:szCs w:val="24"/>
          <w:u w:val="single"/>
          <w:lang w:eastAsia="zh-CN"/>
        </w:rPr>
      </w:pPr>
      <w:bookmarkStart w:id="122" w:name="_Toc484890087"/>
      <w:r>
        <w:rPr>
          <w:rFonts w:hint="eastAsia" w:ascii="宋体" w:hAnsi="宋体"/>
          <w:sz w:val="24"/>
          <w:szCs w:val="24"/>
        </w:rPr>
        <w:t>致：</w:t>
      </w:r>
      <w:r>
        <w:rPr>
          <w:rFonts w:hint="eastAsia" w:ascii="宋体" w:hAnsi="宋体"/>
          <w:sz w:val="24"/>
          <w:szCs w:val="24"/>
          <w:u w:val="single"/>
          <w:lang w:eastAsia="zh-CN"/>
        </w:rPr>
        <w:t>安康市兴盛工程造价咨询有限公司</w:t>
      </w:r>
    </w:p>
    <w:p w14:paraId="23B45554">
      <w:pPr>
        <w:spacing w:line="360" w:lineRule="auto"/>
        <w:ind w:firstLine="540" w:firstLineChars="225"/>
        <w:rPr>
          <w:rFonts w:ascii="宋体" w:hAnsi="宋体"/>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招标文件要求，我们决定参加该项目投标活动，并参与投标会议。为此，我方郑重声明以下诸点，并负法律责任。</w:t>
      </w:r>
    </w:p>
    <w:p w14:paraId="7739148E">
      <w:pPr>
        <w:spacing w:line="360" w:lineRule="auto"/>
        <w:rPr>
          <w:rFonts w:ascii="宋体" w:hAnsi="宋体"/>
          <w:sz w:val="24"/>
          <w:szCs w:val="24"/>
        </w:rPr>
      </w:pPr>
      <w:r>
        <w:rPr>
          <w:rFonts w:hint="eastAsia" w:ascii="宋体" w:hAnsi="宋体"/>
          <w:sz w:val="24"/>
          <w:szCs w:val="24"/>
        </w:rPr>
        <w:t>1、愿意按照招标文件中的一切要求，</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总报价为</w:t>
      </w:r>
      <w:r>
        <w:rPr>
          <w:rFonts w:hint="eastAsia" w:ascii="宋体" w:hAnsi="宋体"/>
          <w:sz w:val="24"/>
          <w:szCs w:val="24"/>
          <w:u w:val="single"/>
          <w:lang w:eastAsia="zh-CN"/>
        </w:rPr>
        <w:t xml:space="preserve">  人民币金额数 (同时用汉字大写 和数字表示的总报价)  </w:t>
      </w:r>
      <w:r>
        <w:rPr>
          <w:rFonts w:hint="eastAsia" w:ascii="宋体" w:hAnsi="宋体"/>
          <w:sz w:val="24"/>
          <w:szCs w:val="24"/>
        </w:rPr>
        <w:t>。</w:t>
      </w:r>
    </w:p>
    <w:p w14:paraId="645033C8">
      <w:pPr>
        <w:spacing w:line="360" w:lineRule="auto"/>
        <w:rPr>
          <w:rFonts w:ascii="宋体" w:hAnsi="宋体"/>
          <w:sz w:val="24"/>
          <w:szCs w:val="24"/>
        </w:rPr>
      </w:pPr>
      <w:r>
        <w:rPr>
          <w:rFonts w:hint="eastAsia" w:ascii="宋体" w:hAnsi="宋体"/>
          <w:sz w:val="24"/>
          <w:szCs w:val="24"/>
        </w:rPr>
        <w:t>2、我方提交的投标文件</w:t>
      </w:r>
      <w:r>
        <w:rPr>
          <w:rFonts w:hint="eastAsia" w:ascii="宋体" w:hAnsi="宋体"/>
          <w:sz w:val="24"/>
          <w:szCs w:val="24"/>
          <w:lang w:eastAsia="zh-CN"/>
        </w:rPr>
        <w:t>，</w:t>
      </w:r>
      <w:r>
        <w:rPr>
          <w:rFonts w:hint="eastAsia" w:ascii="宋体" w:hAnsi="宋体"/>
          <w:sz w:val="24"/>
          <w:szCs w:val="24"/>
        </w:rPr>
        <w:t>电子文档</w:t>
      </w:r>
      <w:r>
        <w:rPr>
          <w:rFonts w:hint="eastAsia" w:ascii="宋体" w:hAnsi="宋体"/>
          <w:sz w:val="24"/>
          <w:szCs w:val="24"/>
          <w:u w:val="single"/>
        </w:rPr>
        <w:t xml:space="preserve">   </w:t>
      </w:r>
      <w:r>
        <w:rPr>
          <w:rFonts w:hint="eastAsia" w:ascii="宋体" w:hAnsi="宋体"/>
          <w:sz w:val="24"/>
          <w:szCs w:val="24"/>
        </w:rPr>
        <w:t>份。</w:t>
      </w:r>
    </w:p>
    <w:p w14:paraId="3D40B8BE">
      <w:pPr>
        <w:spacing w:line="360" w:lineRule="auto"/>
        <w:rPr>
          <w:rFonts w:ascii="宋体" w:hAnsi="宋体"/>
          <w:sz w:val="24"/>
          <w:szCs w:val="24"/>
        </w:rPr>
      </w:pPr>
      <w:r>
        <w:rPr>
          <w:rFonts w:hint="eastAsia" w:ascii="宋体" w:hAnsi="宋体"/>
          <w:sz w:val="24"/>
          <w:szCs w:val="24"/>
        </w:rPr>
        <w:t>3、如果我们投标文件被接受，我们将履行招标文件中规定的每一项要求，按期、按质、按量完成任务。</w:t>
      </w:r>
    </w:p>
    <w:p w14:paraId="2840405E">
      <w:pPr>
        <w:spacing w:line="360" w:lineRule="auto"/>
        <w:rPr>
          <w:rFonts w:ascii="宋体" w:hAnsi="宋体"/>
          <w:sz w:val="24"/>
          <w:szCs w:val="24"/>
        </w:rPr>
      </w:pPr>
      <w:r>
        <w:rPr>
          <w:rFonts w:hint="eastAsia" w:ascii="宋体" w:hAnsi="宋体"/>
          <w:sz w:val="24"/>
          <w:szCs w:val="24"/>
        </w:rPr>
        <w:t>4、我们理解，最低报价不是中标的唯一条件，你们有选择投标人的权力。</w:t>
      </w:r>
    </w:p>
    <w:p w14:paraId="6304474C">
      <w:pPr>
        <w:spacing w:line="360" w:lineRule="auto"/>
        <w:rPr>
          <w:rFonts w:ascii="宋体" w:hAnsi="宋体"/>
          <w:sz w:val="24"/>
          <w:szCs w:val="24"/>
        </w:rPr>
      </w:pPr>
      <w:r>
        <w:rPr>
          <w:rFonts w:hint="eastAsia" w:ascii="宋体" w:hAnsi="宋体"/>
          <w:sz w:val="24"/>
          <w:szCs w:val="24"/>
        </w:rPr>
        <w:t>5、我们愿按《中华人民共和国</w:t>
      </w:r>
      <w:r>
        <w:rPr>
          <w:rFonts w:hint="eastAsia" w:ascii="宋体" w:hAnsi="宋体"/>
          <w:sz w:val="24"/>
          <w:szCs w:val="24"/>
          <w:lang w:val="en-US" w:eastAsia="zh-CN"/>
        </w:rPr>
        <w:t>民法典</w:t>
      </w:r>
      <w:r>
        <w:rPr>
          <w:rFonts w:hint="eastAsia" w:ascii="宋体" w:hAnsi="宋体"/>
          <w:sz w:val="24"/>
          <w:szCs w:val="24"/>
        </w:rPr>
        <w:t>》履行自己的全部责任。</w:t>
      </w:r>
    </w:p>
    <w:p w14:paraId="00DDF4BC">
      <w:pPr>
        <w:spacing w:line="360" w:lineRule="auto"/>
        <w:rPr>
          <w:rFonts w:ascii="宋体" w:hAnsi="宋体"/>
          <w:sz w:val="24"/>
          <w:szCs w:val="24"/>
        </w:rPr>
      </w:pPr>
      <w:r>
        <w:rPr>
          <w:rFonts w:hint="eastAsia" w:ascii="宋体" w:hAnsi="宋体"/>
          <w:sz w:val="24"/>
          <w:szCs w:val="24"/>
        </w:rPr>
        <w:t>6、我们同意按招标文件规定，遵守贵公司有关规定和收费标准。</w:t>
      </w:r>
    </w:p>
    <w:p w14:paraId="5B2663FF">
      <w:pPr>
        <w:spacing w:line="360" w:lineRule="auto"/>
        <w:rPr>
          <w:rFonts w:ascii="宋体" w:hAnsi="宋体"/>
          <w:sz w:val="24"/>
          <w:szCs w:val="24"/>
        </w:rPr>
      </w:pPr>
      <w:r>
        <w:rPr>
          <w:rFonts w:hint="eastAsia" w:ascii="宋体" w:hAnsi="宋体"/>
          <w:sz w:val="24"/>
          <w:szCs w:val="24"/>
        </w:rPr>
        <w:t>7、我方的投标文件有效期为</w:t>
      </w:r>
      <w:r>
        <w:rPr>
          <w:rFonts w:hint="eastAsia" w:ascii="宋体" w:hAnsi="宋体"/>
          <w:sz w:val="24"/>
          <w:szCs w:val="24"/>
          <w:u w:val="single"/>
        </w:rPr>
        <w:t xml:space="preserve">     </w:t>
      </w:r>
      <w:r>
        <w:rPr>
          <w:rFonts w:hint="eastAsia" w:ascii="宋体" w:hAnsi="宋体"/>
          <w:sz w:val="24"/>
          <w:szCs w:val="24"/>
        </w:rPr>
        <w:t>日历天。</w:t>
      </w:r>
    </w:p>
    <w:p w14:paraId="770333A1">
      <w:pPr>
        <w:spacing w:line="360" w:lineRule="auto"/>
        <w:rPr>
          <w:rFonts w:ascii="宋体" w:hAnsi="宋体"/>
          <w:sz w:val="24"/>
          <w:szCs w:val="24"/>
        </w:rPr>
      </w:pPr>
      <w:r>
        <w:rPr>
          <w:rFonts w:hint="eastAsia" w:ascii="宋体" w:hAnsi="宋体"/>
          <w:sz w:val="24"/>
          <w:szCs w:val="24"/>
        </w:rPr>
        <w:t>8、所有关于本投标文件的函电，请按下列地址联系。</w:t>
      </w:r>
    </w:p>
    <w:p w14:paraId="10082E1E">
      <w:pPr>
        <w:spacing w:line="360" w:lineRule="auto"/>
        <w:ind w:firstLine="211"/>
        <w:rPr>
          <w:rFonts w:ascii="宋体" w:hAnsi="宋体" w:cs="仿宋"/>
          <w:sz w:val="24"/>
          <w:szCs w:val="24"/>
        </w:rPr>
      </w:pPr>
      <w:r>
        <w:rPr>
          <w:rFonts w:hint="eastAsia" w:ascii="宋体" w:hAnsi="宋体" w:cs="仿宋"/>
          <w:sz w:val="24"/>
          <w:szCs w:val="24"/>
        </w:rPr>
        <w:t>投标人名称（盖章）</w:t>
      </w:r>
    </w:p>
    <w:p w14:paraId="0AB3A7F4">
      <w:pPr>
        <w:spacing w:line="360" w:lineRule="auto"/>
        <w:ind w:firstLine="211"/>
        <w:rPr>
          <w:rFonts w:ascii="宋体" w:hAnsi="宋体"/>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cs="仿宋"/>
          <w:sz w:val="24"/>
          <w:szCs w:val="24"/>
        </w:rPr>
        <w:t>签字或盖章</w:t>
      </w:r>
      <w:r>
        <w:rPr>
          <w:rFonts w:hint="eastAsia" w:ascii="宋体" w:hAnsi="宋体"/>
          <w:sz w:val="24"/>
          <w:szCs w:val="24"/>
        </w:rPr>
        <w:t>）</w:t>
      </w:r>
    </w:p>
    <w:p w14:paraId="3BEE9B71">
      <w:pPr>
        <w:spacing w:line="360" w:lineRule="auto"/>
        <w:ind w:firstLine="211"/>
        <w:rPr>
          <w:rFonts w:ascii="宋体" w:hAnsi="宋体"/>
          <w:sz w:val="24"/>
          <w:szCs w:val="24"/>
        </w:rPr>
      </w:pPr>
      <w:r>
        <w:rPr>
          <w:rFonts w:hint="eastAsia" w:ascii="宋体" w:hAnsi="宋体"/>
          <w:sz w:val="24"/>
          <w:szCs w:val="24"/>
        </w:rPr>
        <w:t xml:space="preserve">地    址：                         </w:t>
      </w:r>
    </w:p>
    <w:p w14:paraId="3C3D063E">
      <w:pPr>
        <w:spacing w:line="360" w:lineRule="auto"/>
        <w:ind w:firstLine="211"/>
        <w:rPr>
          <w:rFonts w:ascii="宋体" w:hAnsi="宋体"/>
          <w:sz w:val="24"/>
          <w:szCs w:val="24"/>
        </w:rPr>
      </w:pPr>
      <w:r>
        <w:rPr>
          <w:rFonts w:hint="eastAsia" w:ascii="宋体" w:hAnsi="宋体"/>
          <w:sz w:val="24"/>
          <w:szCs w:val="24"/>
        </w:rPr>
        <w:t>开 户 行：</w:t>
      </w:r>
    </w:p>
    <w:p w14:paraId="48770DA7">
      <w:pPr>
        <w:spacing w:line="360" w:lineRule="auto"/>
        <w:ind w:firstLine="211"/>
        <w:rPr>
          <w:rFonts w:ascii="宋体" w:hAnsi="宋体"/>
          <w:sz w:val="24"/>
          <w:szCs w:val="24"/>
        </w:rPr>
      </w:pPr>
      <w:r>
        <w:rPr>
          <w:rFonts w:hint="eastAsia" w:ascii="宋体" w:hAnsi="宋体"/>
          <w:sz w:val="24"/>
          <w:szCs w:val="24"/>
        </w:rPr>
        <w:t xml:space="preserve">帐    号：                         </w:t>
      </w:r>
    </w:p>
    <w:p w14:paraId="1398A2BE">
      <w:pPr>
        <w:spacing w:line="360" w:lineRule="auto"/>
        <w:ind w:firstLine="211"/>
        <w:rPr>
          <w:rFonts w:ascii="宋体" w:hAnsi="宋体"/>
          <w:sz w:val="24"/>
          <w:szCs w:val="24"/>
        </w:rPr>
      </w:pPr>
      <w:r>
        <w:rPr>
          <w:rFonts w:hint="eastAsia" w:ascii="宋体" w:hAnsi="宋体"/>
          <w:sz w:val="24"/>
          <w:szCs w:val="24"/>
        </w:rPr>
        <w:t>电    话：</w:t>
      </w:r>
    </w:p>
    <w:p w14:paraId="4E5B6D75">
      <w:pPr>
        <w:spacing w:line="360" w:lineRule="auto"/>
        <w:ind w:firstLine="211"/>
        <w:rPr>
          <w:rFonts w:ascii="宋体" w:hAnsi="宋体"/>
          <w:sz w:val="24"/>
          <w:szCs w:val="24"/>
        </w:rPr>
      </w:pPr>
      <w:r>
        <w:rPr>
          <w:rFonts w:hint="eastAsia" w:ascii="宋体" w:hAnsi="宋体"/>
          <w:sz w:val="24"/>
          <w:szCs w:val="24"/>
        </w:rPr>
        <w:t xml:space="preserve">传    真：                        </w:t>
      </w:r>
    </w:p>
    <w:p w14:paraId="1F429788">
      <w:pPr>
        <w:spacing w:line="360" w:lineRule="auto"/>
        <w:ind w:firstLine="211"/>
        <w:rPr>
          <w:rFonts w:ascii="宋体" w:hAnsi="宋体"/>
          <w:sz w:val="24"/>
          <w:szCs w:val="24"/>
        </w:rPr>
      </w:pPr>
      <w:r>
        <w:rPr>
          <w:rFonts w:hint="eastAsia" w:ascii="宋体" w:hAnsi="宋体"/>
          <w:sz w:val="24"/>
          <w:szCs w:val="24"/>
        </w:rPr>
        <w:t>邮    编：</w:t>
      </w:r>
    </w:p>
    <w:p w14:paraId="4C67DB37">
      <w:pPr>
        <w:spacing w:line="360" w:lineRule="auto"/>
        <w:ind w:firstLine="211"/>
        <w:rPr>
          <w:rFonts w:ascii="宋体" w:hAnsi="宋体"/>
          <w:sz w:val="24"/>
          <w:szCs w:val="24"/>
        </w:rPr>
      </w:pPr>
      <w:r>
        <w:rPr>
          <w:rFonts w:hint="eastAsia" w:ascii="宋体" w:hAnsi="宋体"/>
          <w:sz w:val="24"/>
          <w:szCs w:val="24"/>
        </w:rPr>
        <w:t>日    期：    年     月     日</w:t>
      </w:r>
    </w:p>
    <w:p w14:paraId="300BDDE5">
      <w:pPr>
        <w:spacing w:line="360" w:lineRule="auto"/>
        <w:ind w:firstLine="211"/>
        <w:rPr>
          <w:rFonts w:ascii="宋体" w:hAnsi="宋体"/>
          <w:sz w:val="24"/>
          <w:szCs w:val="24"/>
        </w:rPr>
      </w:pPr>
    </w:p>
    <w:p w14:paraId="45DB47DA">
      <w:pPr>
        <w:pStyle w:val="3"/>
        <w:jc w:val="center"/>
      </w:pPr>
      <w:bookmarkStart w:id="123" w:name="_Toc528240832"/>
    </w:p>
    <w:p w14:paraId="3E99A6A9"/>
    <w:p w14:paraId="1CBAC859">
      <w:pPr>
        <w:pStyle w:val="3"/>
        <w:ind w:firstLine="482" w:firstLineChars="150"/>
        <w:jc w:val="center"/>
      </w:pPr>
      <w:bookmarkStart w:id="124" w:name="_Toc26541335"/>
      <w:bookmarkStart w:id="125" w:name="_Toc23258624"/>
      <w:r>
        <w:rPr>
          <w:rFonts w:hint="eastAsia"/>
        </w:rPr>
        <w:t>二、投标</w:t>
      </w:r>
      <w:r>
        <w:t>报价</w:t>
      </w:r>
      <w:r>
        <w:rPr>
          <w:rFonts w:hint="eastAsia"/>
        </w:rPr>
        <w:t>表</w:t>
      </w:r>
      <w:bookmarkEnd w:id="124"/>
      <w:bookmarkEnd w:id="125"/>
    </w:p>
    <w:bookmarkEnd w:id="122"/>
    <w:bookmarkEnd w:id="123"/>
    <w:p w14:paraId="2CB69DB0">
      <w:pPr>
        <w:kinsoku w:val="0"/>
        <w:spacing w:line="500" w:lineRule="exact"/>
        <w:ind w:firstLine="120" w:firstLineChars="50"/>
        <w:rPr>
          <w:rFonts w:hint="eastAsia" w:ascii="宋体" w:hAnsi="宋体"/>
          <w:sz w:val="24"/>
          <w:szCs w:val="24"/>
        </w:rPr>
      </w:pPr>
      <w:r>
        <w:rPr>
          <w:rFonts w:hint="eastAsia" w:ascii="宋体" w:hAnsi="宋体"/>
          <w:sz w:val="24"/>
          <w:szCs w:val="24"/>
        </w:rPr>
        <w:t xml:space="preserve">项目名称：                             </w:t>
      </w:r>
      <w:r>
        <w:rPr>
          <w:rFonts w:ascii="宋体" w:hAnsi="宋体"/>
          <w:sz w:val="24"/>
          <w:szCs w:val="24"/>
        </w:rPr>
        <w:t xml:space="preserve">    </w:t>
      </w:r>
      <w:r>
        <w:rPr>
          <w:rFonts w:hint="eastAsia" w:ascii="宋体" w:hAnsi="宋体"/>
          <w:sz w:val="24"/>
          <w:szCs w:val="24"/>
        </w:rPr>
        <w:t xml:space="preserve">  </w:t>
      </w:r>
    </w:p>
    <w:p w14:paraId="78FB340C">
      <w:pPr>
        <w:keepNext w:val="0"/>
        <w:keepLines w:val="0"/>
        <w:pageBreakBefore w:val="0"/>
        <w:widowControl w:val="0"/>
        <w:kinsoku w:val="0"/>
        <w:wordWrap/>
        <w:overflowPunct/>
        <w:topLinePunct w:val="0"/>
        <w:autoSpaceDE/>
        <w:autoSpaceDN/>
        <w:bidi w:val="0"/>
        <w:adjustRightInd/>
        <w:snapToGrid/>
        <w:spacing w:line="240" w:lineRule="auto"/>
        <w:ind w:firstLine="120" w:firstLineChars="50"/>
        <w:textAlignment w:val="auto"/>
        <w:rPr>
          <w:rFonts w:hint="eastAsia" w:ascii="宋体" w:hAnsi="宋体"/>
          <w:sz w:val="24"/>
          <w:szCs w:val="24"/>
        </w:rPr>
      </w:pPr>
      <w:r>
        <w:rPr>
          <w:rFonts w:hint="eastAsia" w:ascii="宋体" w:hAnsi="宋体"/>
          <w:sz w:val="24"/>
          <w:szCs w:val="24"/>
        </w:rPr>
        <w:t xml:space="preserve">项目编号： </w:t>
      </w:r>
    </w:p>
    <w:p w14:paraId="4E248D65">
      <w:pPr>
        <w:keepNext w:val="0"/>
        <w:keepLines w:val="0"/>
        <w:pageBreakBefore w:val="0"/>
        <w:widowControl w:val="0"/>
        <w:kinsoku w:val="0"/>
        <w:wordWrap/>
        <w:overflowPunct/>
        <w:topLinePunct w:val="0"/>
        <w:autoSpaceDE/>
        <w:autoSpaceDN/>
        <w:bidi w:val="0"/>
        <w:adjustRightInd/>
        <w:snapToGrid/>
        <w:spacing w:line="240" w:lineRule="auto"/>
        <w:ind w:firstLine="120" w:firstLineChars="50"/>
        <w:textAlignment w:val="auto"/>
        <w:rPr>
          <w:rFonts w:hint="default" w:ascii="宋体" w:hAnsi="宋体" w:eastAsia="宋体"/>
          <w:sz w:val="24"/>
          <w:szCs w:val="24"/>
          <w:u w:val="single"/>
          <w:lang w:val="en-US" w:eastAsia="zh-CN"/>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u w:val="none"/>
          <w:lang w:val="en-US" w:eastAsia="zh-CN"/>
        </w:rPr>
        <w:t xml:space="preserve">      </w:t>
      </w:r>
    </w:p>
    <w:tbl>
      <w:tblPr>
        <w:tblStyle w:val="42"/>
        <w:tblW w:w="92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2894"/>
        <w:gridCol w:w="2115"/>
        <w:gridCol w:w="1881"/>
        <w:gridCol w:w="813"/>
      </w:tblGrid>
      <w:tr w14:paraId="1295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1583" w:type="dxa"/>
            <w:tcBorders>
              <w:tl2br w:val="single" w:color="auto" w:sz="4" w:space="0"/>
            </w:tcBorders>
          </w:tcPr>
          <w:p w14:paraId="2116C7B2">
            <w:pPr>
              <w:keepNext w:val="0"/>
              <w:keepLines w:val="0"/>
              <w:suppressLineNumbers w:val="0"/>
              <w:kinsoku w:val="0"/>
              <w:spacing w:before="0" w:beforeAutospacing="0" w:after="0" w:afterAutospacing="0" w:line="500" w:lineRule="exact"/>
              <w:ind w:left="0" w:right="0" w:firstLine="240" w:firstLineChars="100"/>
              <w:rPr>
                <w:rFonts w:hint="default" w:ascii="宋体" w:hAnsi="宋体"/>
                <w:sz w:val="24"/>
                <w:szCs w:val="24"/>
              </w:rPr>
            </w:pPr>
            <w:r>
              <w:rPr>
                <w:rFonts w:hint="eastAsia" w:ascii="宋体" w:hAnsi="宋体"/>
                <w:sz w:val="24"/>
                <w:szCs w:val="24"/>
              </w:rPr>
              <w:t>报价内容</w:t>
            </w:r>
          </w:p>
          <w:p w14:paraId="0027C594">
            <w:pPr>
              <w:keepNext w:val="0"/>
              <w:keepLines w:val="0"/>
              <w:suppressLineNumbers w:val="0"/>
              <w:kinsoku w:val="0"/>
              <w:spacing w:before="0" w:beforeAutospacing="0" w:after="0" w:afterAutospacing="0" w:line="500" w:lineRule="exact"/>
              <w:ind w:left="0" w:right="0"/>
              <w:rPr>
                <w:rFonts w:hint="default" w:ascii="宋体" w:hAnsi="宋体"/>
                <w:sz w:val="24"/>
                <w:szCs w:val="24"/>
              </w:rPr>
            </w:pPr>
          </w:p>
          <w:p w14:paraId="4C805476">
            <w:pPr>
              <w:keepNext w:val="0"/>
              <w:keepLines w:val="0"/>
              <w:suppressLineNumbers w:val="0"/>
              <w:kinsoku w:val="0"/>
              <w:spacing w:before="0" w:beforeAutospacing="0" w:after="0" w:afterAutospacing="0" w:line="500" w:lineRule="exact"/>
              <w:ind w:left="0" w:right="0"/>
              <w:rPr>
                <w:rFonts w:hint="default" w:ascii="宋体" w:hAnsi="宋体"/>
                <w:sz w:val="24"/>
                <w:szCs w:val="24"/>
              </w:rPr>
            </w:pPr>
          </w:p>
          <w:p w14:paraId="2E71C00F">
            <w:pPr>
              <w:keepNext w:val="0"/>
              <w:keepLines w:val="0"/>
              <w:suppressLineNumbers w:val="0"/>
              <w:kinsoku w:val="0"/>
              <w:spacing w:before="0" w:beforeAutospacing="0" w:after="0" w:afterAutospacing="0" w:line="500" w:lineRule="exact"/>
              <w:ind w:left="0" w:right="0"/>
              <w:rPr>
                <w:rFonts w:hint="default" w:ascii="宋体" w:hAnsi="宋体"/>
                <w:sz w:val="24"/>
                <w:szCs w:val="24"/>
              </w:rPr>
            </w:pPr>
          </w:p>
          <w:p w14:paraId="38092D19">
            <w:pPr>
              <w:keepNext w:val="0"/>
              <w:keepLines w:val="0"/>
              <w:suppressLineNumbers w:val="0"/>
              <w:kinsoku w:val="0"/>
              <w:spacing w:before="0" w:beforeAutospacing="0" w:after="0" w:afterAutospacing="0" w:line="500" w:lineRule="exact"/>
              <w:ind w:left="0" w:right="0"/>
              <w:rPr>
                <w:rFonts w:hint="default" w:ascii="宋体" w:hAnsi="宋体"/>
                <w:sz w:val="24"/>
                <w:szCs w:val="24"/>
              </w:rPr>
            </w:pPr>
            <w:r>
              <w:rPr>
                <w:rFonts w:hint="eastAsia" w:ascii="宋体" w:hAnsi="宋体"/>
                <w:sz w:val="24"/>
                <w:szCs w:val="24"/>
              </w:rPr>
              <w:t>投标内容</w:t>
            </w:r>
          </w:p>
        </w:tc>
        <w:tc>
          <w:tcPr>
            <w:tcW w:w="2894" w:type="dxa"/>
            <w:vAlign w:val="center"/>
          </w:tcPr>
          <w:p w14:paraId="6A49E9D8">
            <w:pPr>
              <w:keepNext w:val="0"/>
              <w:keepLines w:val="0"/>
              <w:suppressLineNumbers w:val="0"/>
              <w:kinsoku w:val="0"/>
              <w:spacing w:before="0" w:beforeAutospacing="0" w:after="0" w:afterAutospacing="0" w:line="500" w:lineRule="exact"/>
              <w:ind w:left="0" w:right="0"/>
              <w:jc w:val="center"/>
              <w:rPr>
                <w:rFonts w:hint="eastAsia" w:ascii="宋体" w:hAnsi="宋体"/>
                <w:sz w:val="24"/>
                <w:szCs w:val="24"/>
              </w:rPr>
            </w:pPr>
            <w:r>
              <w:rPr>
                <w:rFonts w:hint="eastAsia" w:ascii="宋体" w:hAnsi="宋体"/>
                <w:sz w:val="24"/>
                <w:szCs w:val="24"/>
                <w:lang w:val="en-US" w:eastAsia="zh-CN"/>
              </w:rPr>
              <w:t>总</w:t>
            </w:r>
            <w:r>
              <w:rPr>
                <w:rFonts w:hint="eastAsia" w:ascii="宋体" w:hAnsi="宋体"/>
                <w:sz w:val="24"/>
                <w:szCs w:val="24"/>
              </w:rPr>
              <w:t>报价</w:t>
            </w:r>
          </w:p>
          <w:p w14:paraId="79880F49">
            <w:pPr>
              <w:keepNext w:val="0"/>
              <w:keepLines w:val="0"/>
              <w:suppressLineNumbers w:val="0"/>
              <w:kinsoku w:val="0"/>
              <w:spacing w:before="0" w:beforeAutospacing="0" w:after="0" w:afterAutospacing="0" w:line="500" w:lineRule="exact"/>
              <w:ind w:left="0" w:right="0"/>
              <w:jc w:val="center"/>
              <w:rPr>
                <w:rFonts w:hint="default"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元</w:t>
            </w:r>
            <w:r>
              <w:rPr>
                <w:rFonts w:hint="eastAsia" w:ascii="宋体" w:hAnsi="宋体"/>
                <w:sz w:val="24"/>
                <w:szCs w:val="24"/>
                <w:lang w:eastAsia="zh-CN"/>
              </w:rPr>
              <w:t>）</w:t>
            </w:r>
          </w:p>
        </w:tc>
        <w:tc>
          <w:tcPr>
            <w:tcW w:w="2115" w:type="dxa"/>
            <w:vAlign w:val="center"/>
          </w:tcPr>
          <w:p w14:paraId="13FAB101">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sz w:val="24"/>
                <w:szCs w:val="24"/>
              </w:rPr>
            </w:pPr>
            <w:r>
              <w:rPr>
                <w:rFonts w:hint="eastAsia" w:ascii="宋体" w:hAnsi="宋体"/>
                <w:sz w:val="24"/>
                <w:szCs w:val="24"/>
              </w:rPr>
              <w:t>交货期</w:t>
            </w:r>
          </w:p>
          <w:p w14:paraId="41F3E59E">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日历天</w:t>
            </w:r>
            <w:r>
              <w:rPr>
                <w:rFonts w:hint="eastAsia" w:ascii="宋体" w:hAnsi="宋体"/>
                <w:sz w:val="24"/>
                <w:szCs w:val="24"/>
                <w:lang w:eastAsia="zh-CN"/>
              </w:rPr>
              <w:t>）</w:t>
            </w:r>
          </w:p>
        </w:tc>
        <w:tc>
          <w:tcPr>
            <w:tcW w:w="1881" w:type="dxa"/>
            <w:vAlign w:val="center"/>
          </w:tcPr>
          <w:p w14:paraId="2A10035D">
            <w:pPr>
              <w:keepNext w:val="0"/>
              <w:keepLines w:val="0"/>
              <w:suppressLineNumbers w:val="0"/>
              <w:kinsoku w:val="0"/>
              <w:spacing w:before="0" w:beforeAutospacing="0" w:after="0" w:afterAutospacing="0" w:line="500" w:lineRule="exact"/>
              <w:ind w:left="0" w:right="0"/>
              <w:jc w:val="center"/>
              <w:rPr>
                <w:rFonts w:hint="eastAsia" w:ascii="宋体" w:hAnsi="宋体"/>
                <w:sz w:val="24"/>
                <w:szCs w:val="24"/>
              </w:rPr>
            </w:pPr>
            <w:r>
              <w:rPr>
                <w:rFonts w:hint="eastAsia" w:ascii="宋体" w:hAnsi="宋体"/>
                <w:sz w:val="24"/>
                <w:szCs w:val="24"/>
              </w:rPr>
              <w:t>质保期</w:t>
            </w:r>
          </w:p>
          <w:p w14:paraId="775A0F86">
            <w:pPr>
              <w:keepNext w:val="0"/>
              <w:keepLines w:val="0"/>
              <w:suppressLineNumbers w:val="0"/>
              <w:kinsoku w:val="0"/>
              <w:spacing w:before="0" w:beforeAutospacing="0" w:after="0" w:afterAutospacing="0" w:line="500" w:lineRule="exact"/>
              <w:ind w:left="0" w:right="0"/>
              <w:jc w:val="center"/>
              <w:rPr>
                <w:rFonts w:hint="default"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年</w:t>
            </w:r>
            <w:r>
              <w:rPr>
                <w:rFonts w:hint="eastAsia" w:ascii="宋体" w:hAnsi="宋体"/>
                <w:sz w:val="24"/>
                <w:szCs w:val="24"/>
                <w:lang w:eastAsia="zh-CN"/>
              </w:rPr>
              <w:t>）</w:t>
            </w:r>
          </w:p>
        </w:tc>
        <w:tc>
          <w:tcPr>
            <w:tcW w:w="813" w:type="dxa"/>
            <w:vAlign w:val="center"/>
          </w:tcPr>
          <w:p w14:paraId="402CA741">
            <w:pPr>
              <w:keepNext w:val="0"/>
              <w:keepLines w:val="0"/>
              <w:suppressLineNumbers w:val="0"/>
              <w:kinsoku w:val="0"/>
              <w:spacing w:before="0" w:beforeAutospacing="0" w:after="0" w:afterAutospacing="0" w:line="500" w:lineRule="exact"/>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备注</w:t>
            </w:r>
          </w:p>
        </w:tc>
      </w:tr>
      <w:tr w14:paraId="4C76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583" w:type="dxa"/>
            <w:vAlign w:val="center"/>
          </w:tcPr>
          <w:p w14:paraId="7AC81223">
            <w:pPr>
              <w:keepNext w:val="0"/>
              <w:keepLines w:val="0"/>
              <w:suppressLineNumbers w:val="0"/>
              <w:kinsoku w:val="0"/>
              <w:spacing w:before="0" w:beforeAutospacing="0" w:after="0" w:afterAutospacing="0" w:line="500" w:lineRule="exact"/>
              <w:ind w:left="0" w:right="0"/>
              <w:jc w:val="center"/>
              <w:rPr>
                <w:rFonts w:hint="default" w:ascii="宋体" w:hAnsi="宋体"/>
                <w:sz w:val="24"/>
                <w:szCs w:val="24"/>
              </w:rPr>
            </w:pPr>
          </w:p>
        </w:tc>
        <w:tc>
          <w:tcPr>
            <w:tcW w:w="2894" w:type="dxa"/>
            <w:vAlign w:val="center"/>
          </w:tcPr>
          <w:p w14:paraId="619DE113">
            <w:pPr>
              <w:keepNext w:val="0"/>
              <w:keepLines w:val="0"/>
              <w:suppressLineNumbers w:val="0"/>
              <w:kinsoku w:val="0"/>
              <w:spacing w:before="0" w:beforeAutospacing="0" w:after="0" w:afterAutospacing="0" w:line="500" w:lineRule="exact"/>
              <w:ind w:left="0" w:right="0"/>
              <w:rPr>
                <w:rFonts w:hint="default" w:ascii="宋体" w:hAnsi="宋体"/>
                <w:sz w:val="24"/>
                <w:szCs w:val="24"/>
              </w:rPr>
            </w:pPr>
          </w:p>
        </w:tc>
        <w:tc>
          <w:tcPr>
            <w:tcW w:w="2115" w:type="dxa"/>
            <w:vAlign w:val="center"/>
          </w:tcPr>
          <w:p w14:paraId="1D643361">
            <w:pPr>
              <w:keepNext w:val="0"/>
              <w:keepLines w:val="0"/>
              <w:suppressLineNumbers w:val="0"/>
              <w:kinsoku w:val="0"/>
              <w:spacing w:before="0" w:beforeAutospacing="0" w:after="0" w:afterAutospacing="0" w:line="500" w:lineRule="exact"/>
              <w:ind w:left="0" w:right="0"/>
              <w:jc w:val="center"/>
              <w:rPr>
                <w:rFonts w:hint="default" w:ascii="宋体" w:hAnsi="宋体"/>
                <w:sz w:val="24"/>
                <w:szCs w:val="24"/>
              </w:rPr>
            </w:pPr>
          </w:p>
        </w:tc>
        <w:tc>
          <w:tcPr>
            <w:tcW w:w="1881" w:type="dxa"/>
            <w:vAlign w:val="center"/>
          </w:tcPr>
          <w:p w14:paraId="44047EA4">
            <w:pPr>
              <w:keepNext w:val="0"/>
              <w:keepLines w:val="0"/>
              <w:suppressLineNumbers w:val="0"/>
              <w:kinsoku w:val="0"/>
              <w:spacing w:before="0" w:beforeAutospacing="0" w:after="0" w:afterAutospacing="0" w:line="500" w:lineRule="exact"/>
              <w:ind w:left="0" w:right="0"/>
              <w:jc w:val="center"/>
              <w:rPr>
                <w:rFonts w:hint="default" w:ascii="宋体" w:hAnsi="宋体"/>
                <w:sz w:val="24"/>
                <w:szCs w:val="24"/>
              </w:rPr>
            </w:pPr>
          </w:p>
        </w:tc>
        <w:tc>
          <w:tcPr>
            <w:tcW w:w="813" w:type="dxa"/>
            <w:vAlign w:val="center"/>
          </w:tcPr>
          <w:p w14:paraId="57B190C7">
            <w:pPr>
              <w:keepNext w:val="0"/>
              <w:keepLines w:val="0"/>
              <w:suppressLineNumbers w:val="0"/>
              <w:kinsoku w:val="0"/>
              <w:spacing w:before="0" w:beforeAutospacing="0" w:after="0" w:afterAutospacing="0" w:line="500" w:lineRule="exact"/>
              <w:ind w:left="0" w:right="0"/>
              <w:jc w:val="center"/>
              <w:rPr>
                <w:rFonts w:hint="default" w:ascii="宋体" w:hAnsi="宋体"/>
                <w:sz w:val="24"/>
                <w:szCs w:val="24"/>
              </w:rPr>
            </w:pPr>
          </w:p>
        </w:tc>
      </w:tr>
      <w:tr w14:paraId="4076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86" w:type="dxa"/>
            <w:gridSpan w:val="5"/>
            <w:vAlign w:val="center"/>
          </w:tcPr>
          <w:p w14:paraId="6D6E41A9">
            <w:pPr>
              <w:keepNext w:val="0"/>
              <w:keepLines w:val="0"/>
              <w:suppressLineNumbers w:val="0"/>
              <w:kinsoku w:val="0"/>
              <w:spacing w:before="0" w:beforeAutospacing="0" w:after="0" w:afterAutospacing="0" w:line="500" w:lineRule="exact"/>
              <w:ind w:left="0" w:right="0"/>
              <w:rPr>
                <w:rFonts w:hint="default" w:ascii="宋体" w:hAnsi="宋体"/>
                <w:sz w:val="24"/>
                <w:szCs w:val="24"/>
              </w:rPr>
            </w:pPr>
            <w:r>
              <w:rPr>
                <w:rFonts w:hint="eastAsia" w:ascii="宋体" w:hAnsi="宋体"/>
                <w:sz w:val="24"/>
                <w:szCs w:val="24"/>
              </w:rPr>
              <w:t>投标总报价：人民币（大写）                              ￥        元</w:t>
            </w:r>
          </w:p>
        </w:tc>
      </w:tr>
      <w:tr w14:paraId="0042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286" w:type="dxa"/>
            <w:gridSpan w:val="5"/>
            <w:vAlign w:val="center"/>
          </w:tcPr>
          <w:p w14:paraId="448E3166">
            <w:pPr>
              <w:keepNext w:val="0"/>
              <w:keepLines w:val="0"/>
              <w:suppressLineNumbers w:val="0"/>
              <w:kinsoku w:val="0"/>
              <w:spacing w:before="0" w:beforeAutospacing="0" w:after="0" w:afterAutospacing="0" w:line="500" w:lineRule="exact"/>
              <w:ind w:left="0" w:right="0"/>
              <w:rPr>
                <w:rFonts w:hint="default" w:ascii="宋体" w:hAnsi="宋体"/>
                <w:sz w:val="24"/>
                <w:szCs w:val="24"/>
              </w:rPr>
            </w:pPr>
            <w:r>
              <w:rPr>
                <w:rFonts w:hint="eastAsia" w:ascii="宋体" w:hAnsi="宋体"/>
                <w:sz w:val="24"/>
                <w:szCs w:val="24"/>
              </w:rPr>
              <w:t>备注：表内报价内容以万元为单位。</w:t>
            </w:r>
          </w:p>
        </w:tc>
      </w:tr>
    </w:tbl>
    <w:p w14:paraId="2EB459EC">
      <w:pPr>
        <w:spacing w:line="360" w:lineRule="auto"/>
        <w:jc w:val="left"/>
        <w:rPr>
          <w:rFonts w:hint="eastAsia" w:ascii="宋体" w:hAnsi="宋体"/>
          <w:sz w:val="24"/>
          <w:szCs w:val="24"/>
          <w:lang w:val="en-US" w:eastAsia="zh-CN"/>
        </w:rPr>
      </w:pPr>
    </w:p>
    <w:p w14:paraId="3FCF5AD0">
      <w:pPr>
        <w:spacing w:line="360" w:lineRule="auto"/>
        <w:ind w:left="480" w:hanging="480" w:hangingChars="200"/>
        <w:jc w:val="left"/>
        <w:rPr>
          <w:rFonts w:hint="eastAsia" w:ascii="宋体" w:hAnsi="宋体"/>
          <w:sz w:val="24"/>
          <w:szCs w:val="24"/>
          <w:lang w:val="en-US" w:eastAsia="zh-CN"/>
        </w:rPr>
      </w:pPr>
      <w:r>
        <w:rPr>
          <w:rFonts w:hint="eastAsia" w:ascii="宋体" w:hAnsi="宋体"/>
          <w:sz w:val="24"/>
          <w:szCs w:val="24"/>
          <w:lang w:val="en-US" w:eastAsia="zh-CN"/>
        </w:rPr>
        <w:t>注：</w:t>
      </w:r>
    </w:p>
    <w:p w14:paraId="47FF0BB7">
      <w:pPr>
        <w:spacing w:line="360" w:lineRule="auto"/>
        <w:ind w:left="480" w:hanging="480" w:hangingChars="200"/>
        <w:jc w:val="left"/>
        <w:rPr>
          <w:rFonts w:hint="eastAsia" w:ascii="宋体" w:hAnsi="宋体" w:eastAsia="宋体"/>
          <w:sz w:val="24"/>
          <w:szCs w:val="24"/>
          <w:lang w:val="en-US" w:eastAsia="zh-CN"/>
        </w:rPr>
      </w:pPr>
      <w:r>
        <w:rPr>
          <w:rFonts w:hint="eastAsia" w:ascii="宋体" w:hAnsi="宋体"/>
          <w:sz w:val="24"/>
          <w:szCs w:val="24"/>
          <w:lang w:val="en-US" w:eastAsia="zh-CN"/>
        </w:rPr>
        <w:t>1</w:t>
      </w:r>
      <w:r>
        <w:rPr>
          <w:rFonts w:hint="eastAsia" w:ascii="宋体" w:hAnsi="宋体"/>
          <w:sz w:val="24"/>
          <w:szCs w:val="24"/>
        </w:rPr>
        <w:t>、本次投标价格含检测、运输、保险、供货、装卸、安装、调试、施工、验收及技术售后服务等一切相关费用。投标人所报的价格应考虑到可能发生的所有与完成本项目相关服务及履行合同义务有关的一切费用。</w:t>
      </w:r>
    </w:p>
    <w:p w14:paraId="4DFDC96F">
      <w:pPr>
        <w:spacing w:line="360" w:lineRule="auto"/>
        <w:jc w:val="center"/>
        <w:rPr>
          <w:rFonts w:ascii="宋体" w:hAnsi="宋体"/>
          <w:sz w:val="24"/>
          <w:szCs w:val="24"/>
        </w:rPr>
      </w:pPr>
    </w:p>
    <w:p w14:paraId="6751EABC">
      <w:pPr>
        <w:spacing w:line="360" w:lineRule="auto"/>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lang w:val="en-US" w:eastAsia="zh-CN"/>
        </w:rPr>
        <w:t>或</w:t>
      </w:r>
      <w:r>
        <w:rPr>
          <w:rFonts w:hint="eastAsia" w:ascii="宋体" w:hAnsi="宋体" w:cs="仿宋"/>
          <w:sz w:val="24"/>
          <w:szCs w:val="24"/>
        </w:rPr>
        <w:t>被授权人：(签字或盖章)</w:t>
      </w:r>
    </w:p>
    <w:p w14:paraId="13A4D75C">
      <w:pPr>
        <w:tabs>
          <w:tab w:val="left" w:pos="3045"/>
        </w:tabs>
        <w:spacing w:line="360" w:lineRule="auto"/>
        <w:rPr>
          <w:rFonts w:ascii="宋体" w:hAnsi="宋体"/>
          <w:sz w:val="24"/>
          <w:szCs w:val="24"/>
        </w:rPr>
      </w:pPr>
      <w:r>
        <w:rPr>
          <w:rFonts w:hint="eastAsia" w:ascii="宋体" w:hAnsi="宋体"/>
          <w:sz w:val="24"/>
          <w:szCs w:val="24"/>
        </w:rPr>
        <w:t>日      期：</w:t>
      </w:r>
      <w:r>
        <w:rPr>
          <w:rFonts w:hint="eastAsia" w:ascii="宋体" w:hAnsi="宋体"/>
          <w:sz w:val="24"/>
          <w:szCs w:val="24"/>
        </w:rPr>
        <w:tab/>
      </w:r>
    </w:p>
    <w:p w14:paraId="7BDBF7E5">
      <w:pPr>
        <w:spacing w:line="360" w:lineRule="auto"/>
        <w:rPr>
          <w:rFonts w:ascii="宋体" w:hAnsi="宋体"/>
          <w:sz w:val="24"/>
          <w:szCs w:val="24"/>
        </w:rPr>
      </w:pPr>
      <w:r>
        <w:rPr>
          <w:rFonts w:hint="eastAsia" w:ascii="宋体" w:hAnsi="宋体" w:cs="仿宋"/>
          <w:sz w:val="24"/>
          <w:szCs w:val="24"/>
        </w:rPr>
        <w:t>投标人名称（盖章）</w:t>
      </w:r>
    </w:p>
    <w:p w14:paraId="11BD5C4A">
      <w:pPr>
        <w:spacing w:line="360" w:lineRule="auto"/>
        <w:rPr>
          <w:rFonts w:ascii="宋体" w:hAnsi="宋体"/>
        </w:rPr>
      </w:pPr>
    </w:p>
    <w:p w14:paraId="0E13F59E">
      <w:pPr>
        <w:widowControl/>
        <w:jc w:val="left"/>
        <w:rPr>
          <w:rFonts w:ascii="Calibri Light" w:hAnsi="Calibri Light"/>
          <w:b/>
          <w:bCs/>
          <w:sz w:val="32"/>
          <w:szCs w:val="32"/>
        </w:rPr>
      </w:pPr>
      <w:bookmarkStart w:id="126" w:name="_Toc484890088"/>
      <w:r>
        <w:br w:type="page"/>
      </w:r>
    </w:p>
    <w:p w14:paraId="5C7176B3">
      <w:pPr>
        <w:pStyle w:val="3"/>
        <w:numPr>
          <w:ilvl w:val="0"/>
          <w:numId w:val="0"/>
        </w:numPr>
        <w:ind w:leftChars="0"/>
        <w:jc w:val="center"/>
      </w:pPr>
      <w:bookmarkStart w:id="127" w:name="_Toc26541336"/>
      <w:r>
        <w:rPr>
          <w:rFonts w:hint="eastAsia"/>
        </w:rPr>
        <w:t>投标分项报价表</w:t>
      </w:r>
      <w:bookmarkEnd w:id="126"/>
      <w:bookmarkEnd w:id="127"/>
    </w:p>
    <w:p w14:paraId="028F29A3"/>
    <w:p w14:paraId="5CA7DB5E">
      <w:pPr>
        <w:rPr>
          <w:rFonts w:hint="eastAsia" w:ascii="宋体" w:hAnsi="宋体"/>
          <w:sz w:val="24"/>
          <w:szCs w:val="24"/>
        </w:rPr>
      </w:pPr>
      <w:r>
        <w:rPr>
          <w:rFonts w:hint="eastAsia" w:ascii="宋体" w:hAnsi="宋体"/>
          <w:sz w:val="24"/>
          <w:szCs w:val="24"/>
        </w:rPr>
        <w:t xml:space="preserve">项目名称：   </w:t>
      </w:r>
    </w:p>
    <w:p w14:paraId="1B756362">
      <w:pPr>
        <w:rPr>
          <w:rFonts w:hint="eastAsia" w:ascii="宋体" w:hAnsi="宋体"/>
          <w:sz w:val="24"/>
          <w:szCs w:val="24"/>
          <w:lang w:val="en-US" w:eastAsia="zh-CN"/>
        </w:rPr>
      </w:pPr>
      <w:r>
        <w:rPr>
          <w:rFonts w:hint="eastAsia" w:ascii="宋体" w:hAnsi="宋体"/>
          <w:sz w:val="24"/>
          <w:szCs w:val="24"/>
        </w:rPr>
        <w:t xml:space="preserve">项目编号：       </w:t>
      </w:r>
      <w:r>
        <w:rPr>
          <w:rFonts w:hint="eastAsia" w:ascii="宋体" w:hAnsi="宋体"/>
          <w:sz w:val="24"/>
          <w:szCs w:val="24"/>
          <w:lang w:val="en-US" w:eastAsia="zh-CN"/>
        </w:rPr>
        <w:t xml:space="preserve">                                      </w:t>
      </w:r>
    </w:p>
    <w:tbl>
      <w:tblPr>
        <w:tblStyle w:val="42"/>
        <w:tblW w:w="9526" w:type="dxa"/>
        <w:tblInd w:w="0" w:type="dxa"/>
        <w:tblLayout w:type="fixed"/>
        <w:tblCellMar>
          <w:top w:w="0" w:type="dxa"/>
          <w:left w:w="28" w:type="dxa"/>
          <w:bottom w:w="0" w:type="dxa"/>
          <w:right w:w="28" w:type="dxa"/>
        </w:tblCellMar>
      </w:tblPr>
      <w:tblGrid>
        <w:gridCol w:w="421"/>
        <w:gridCol w:w="855"/>
        <w:gridCol w:w="737"/>
        <w:gridCol w:w="1276"/>
        <w:gridCol w:w="1417"/>
        <w:gridCol w:w="1276"/>
        <w:gridCol w:w="992"/>
        <w:gridCol w:w="1276"/>
        <w:gridCol w:w="1276"/>
      </w:tblGrid>
      <w:tr w14:paraId="491C99D7">
        <w:tblPrEx>
          <w:tblCellMar>
            <w:top w:w="0" w:type="dxa"/>
            <w:left w:w="28" w:type="dxa"/>
            <w:bottom w:w="0" w:type="dxa"/>
            <w:right w:w="28" w:type="dxa"/>
          </w:tblCellMar>
        </w:tblPrEx>
        <w:trPr>
          <w:trHeight w:val="444" w:hRule="atLeast"/>
        </w:trPr>
        <w:tc>
          <w:tcPr>
            <w:tcW w:w="421" w:type="dxa"/>
            <w:tcBorders>
              <w:top w:val="single" w:color="auto" w:sz="6" w:space="0"/>
              <w:left w:val="single" w:color="auto" w:sz="6" w:space="0"/>
              <w:bottom w:val="single" w:color="auto" w:sz="6" w:space="0"/>
            </w:tcBorders>
          </w:tcPr>
          <w:p w14:paraId="1778B335">
            <w:pPr>
              <w:keepNext w:val="0"/>
              <w:keepLines w:val="0"/>
              <w:suppressLineNumbers w:val="0"/>
              <w:spacing w:before="120" w:beforeAutospacing="0" w:after="0" w:afterAutospacing="0"/>
              <w:ind w:left="0" w:right="0"/>
              <w:jc w:val="center"/>
              <w:rPr>
                <w:rFonts w:hint="default" w:ascii="宋体" w:hAnsi="宋体"/>
                <w:b/>
                <w:sz w:val="24"/>
                <w:szCs w:val="24"/>
              </w:rPr>
            </w:pPr>
            <w:r>
              <w:rPr>
                <w:rFonts w:hint="eastAsia" w:ascii="宋体" w:hAnsi="宋体"/>
                <w:b/>
                <w:sz w:val="24"/>
                <w:szCs w:val="24"/>
              </w:rPr>
              <w:t>1</w:t>
            </w:r>
          </w:p>
        </w:tc>
        <w:tc>
          <w:tcPr>
            <w:tcW w:w="1592" w:type="dxa"/>
            <w:gridSpan w:val="2"/>
            <w:tcBorders>
              <w:top w:val="single" w:color="auto" w:sz="6" w:space="0"/>
              <w:left w:val="single" w:color="auto" w:sz="6" w:space="0"/>
              <w:bottom w:val="single" w:color="auto" w:sz="6" w:space="0"/>
              <w:right w:val="single" w:color="auto" w:sz="6" w:space="0"/>
            </w:tcBorders>
          </w:tcPr>
          <w:p w14:paraId="74A2A5F5">
            <w:pPr>
              <w:keepNext w:val="0"/>
              <w:keepLines w:val="0"/>
              <w:suppressLineNumbers w:val="0"/>
              <w:spacing w:before="120" w:beforeAutospacing="0" w:after="0" w:afterAutospacing="0"/>
              <w:ind w:left="0" w:right="0"/>
              <w:jc w:val="center"/>
              <w:rPr>
                <w:rFonts w:hint="default" w:ascii="宋体" w:hAnsi="宋体"/>
                <w:b/>
                <w:sz w:val="24"/>
                <w:szCs w:val="24"/>
              </w:rPr>
            </w:pPr>
            <w:r>
              <w:rPr>
                <w:rFonts w:hint="eastAsia" w:ascii="宋体" w:hAnsi="宋体"/>
                <w:b/>
                <w:sz w:val="24"/>
                <w:szCs w:val="24"/>
              </w:rPr>
              <w:t>2</w:t>
            </w:r>
          </w:p>
        </w:tc>
        <w:tc>
          <w:tcPr>
            <w:tcW w:w="1276" w:type="dxa"/>
            <w:tcBorders>
              <w:top w:val="single" w:color="auto" w:sz="6" w:space="0"/>
              <w:left w:val="single" w:color="auto" w:sz="6" w:space="0"/>
              <w:bottom w:val="single" w:color="auto" w:sz="6" w:space="0"/>
              <w:right w:val="single" w:color="auto" w:sz="6" w:space="0"/>
            </w:tcBorders>
          </w:tcPr>
          <w:p w14:paraId="1AFF9ADF">
            <w:pPr>
              <w:keepNext w:val="0"/>
              <w:keepLines w:val="0"/>
              <w:suppressLineNumbers w:val="0"/>
              <w:spacing w:before="120" w:beforeAutospacing="0" w:after="0" w:afterAutospacing="0"/>
              <w:ind w:left="0" w:right="0"/>
              <w:jc w:val="center"/>
              <w:rPr>
                <w:rFonts w:hint="default" w:ascii="宋体" w:hAnsi="宋体"/>
                <w:b/>
                <w:sz w:val="24"/>
                <w:szCs w:val="24"/>
              </w:rPr>
            </w:pPr>
            <w:r>
              <w:rPr>
                <w:rFonts w:hint="eastAsia" w:ascii="宋体" w:hAnsi="宋体"/>
                <w:b/>
                <w:sz w:val="24"/>
                <w:szCs w:val="24"/>
              </w:rPr>
              <w:t>3</w:t>
            </w:r>
          </w:p>
        </w:tc>
        <w:tc>
          <w:tcPr>
            <w:tcW w:w="1417" w:type="dxa"/>
            <w:tcBorders>
              <w:top w:val="single" w:color="auto" w:sz="6" w:space="0"/>
              <w:left w:val="single" w:color="auto" w:sz="6" w:space="0"/>
              <w:bottom w:val="single" w:color="auto" w:sz="6" w:space="0"/>
              <w:right w:val="single" w:color="auto" w:sz="6" w:space="0"/>
            </w:tcBorders>
          </w:tcPr>
          <w:p w14:paraId="75C9D7A0">
            <w:pPr>
              <w:keepNext w:val="0"/>
              <w:keepLines w:val="0"/>
              <w:suppressLineNumbers w:val="0"/>
              <w:spacing w:before="120" w:beforeAutospacing="0" w:after="0" w:afterAutospacing="0"/>
              <w:ind w:left="0" w:right="0"/>
              <w:jc w:val="center"/>
              <w:rPr>
                <w:rFonts w:hint="default" w:ascii="宋体" w:hAnsi="宋体"/>
                <w:b/>
                <w:sz w:val="24"/>
                <w:szCs w:val="24"/>
              </w:rPr>
            </w:pPr>
            <w:r>
              <w:rPr>
                <w:rFonts w:hint="eastAsia" w:ascii="宋体" w:hAnsi="宋体"/>
                <w:b/>
                <w:sz w:val="24"/>
                <w:szCs w:val="24"/>
              </w:rPr>
              <w:t>4</w:t>
            </w:r>
          </w:p>
        </w:tc>
        <w:tc>
          <w:tcPr>
            <w:tcW w:w="1276" w:type="dxa"/>
            <w:tcBorders>
              <w:top w:val="single" w:color="auto" w:sz="6" w:space="0"/>
              <w:left w:val="single" w:color="auto" w:sz="6" w:space="0"/>
              <w:bottom w:val="single" w:color="auto" w:sz="6" w:space="0"/>
              <w:right w:val="single" w:color="auto" w:sz="6" w:space="0"/>
            </w:tcBorders>
          </w:tcPr>
          <w:p w14:paraId="2217968D">
            <w:pPr>
              <w:keepNext w:val="0"/>
              <w:keepLines w:val="0"/>
              <w:suppressLineNumbers w:val="0"/>
              <w:spacing w:before="120" w:beforeAutospacing="0" w:after="0" w:afterAutospacing="0"/>
              <w:ind w:left="0" w:right="0"/>
              <w:jc w:val="center"/>
              <w:rPr>
                <w:rFonts w:hint="default" w:ascii="宋体" w:hAnsi="宋体"/>
                <w:b/>
                <w:sz w:val="24"/>
                <w:szCs w:val="24"/>
              </w:rPr>
            </w:pPr>
            <w:r>
              <w:rPr>
                <w:rFonts w:hint="eastAsia" w:ascii="宋体" w:hAnsi="宋体"/>
                <w:b/>
                <w:sz w:val="24"/>
                <w:szCs w:val="24"/>
              </w:rPr>
              <w:t>5</w:t>
            </w:r>
          </w:p>
        </w:tc>
        <w:tc>
          <w:tcPr>
            <w:tcW w:w="992" w:type="dxa"/>
            <w:tcBorders>
              <w:top w:val="single" w:color="auto" w:sz="6" w:space="0"/>
              <w:left w:val="single" w:color="auto" w:sz="6" w:space="0"/>
              <w:bottom w:val="single" w:color="auto" w:sz="6" w:space="0"/>
              <w:right w:val="single" w:color="auto" w:sz="6" w:space="0"/>
            </w:tcBorders>
          </w:tcPr>
          <w:p w14:paraId="4C25160B">
            <w:pPr>
              <w:keepNext w:val="0"/>
              <w:keepLines w:val="0"/>
              <w:suppressLineNumbers w:val="0"/>
              <w:spacing w:before="120" w:beforeAutospacing="0" w:after="0" w:afterAutospacing="0"/>
              <w:ind w:left="0" w:right="0"/>
              <w:jc w:val="center"/>
              <w:rPr>
                <w:rFonts w:hint="default" w:ascii="宋体" w:hAnsi="宋体"/>
                <w:b/>
                <w:sz w:val="24"/>
                <w:szCs w:val="24"/>
              </w:rPr>
            </w:pPr>
            <w:r>
              <w:rPr>
                <w:rFonts w:hint="eastAsia" w:ascii="宋体" w:hAnsi="宋体"/>
                <w:b/>
                <w:sz w:val="24"/>
                <w:szCs w:val="24"/>
              </w:rPr>
              <w:t>6</w:t>
            </w:r>
          </w:p>
        </w:tc>
        <w:tc>
          <w:tcPr>
            <w:tcW w:w="1276" w:type="dxa"/>
            <w:tcBorders>
              <w:top w:val="single" w:color="auto" w:sz="6" w:space="0"/>
              <w:left w:val="single" w:color="auto" w:sz="6" w:space="0"/>
              <w:bottom w:val="single" w:color="auto" w:sz="6" w:space="0"/>
              <w:right w:val="single" w:color="auto" w:sz="6" w:space="0"/>
            </w:tcBorders>
          </w:tcPr>
          <w:p w14:paraId="6DC35065">
            <w:pPr>
              <w:keepNext w:val="0"/>
              <w:keepLines w:val="0"/>
              <w:suppressLineNumbers w:val="0"/>
              <w:spacing w:before="120" w:beforeAutospacing="0" w:after="0" w:afterAutospacing="0"/>
              <w:ind w:left="0" w:right="0"/>
              <w:jc w:val="center"/>
              <w:rPr>
                <w:rFonts w:hint="default" w:ascii="宋体" w:hAnsi="宋体"/>
                <w:b/>
                <w:sz w:val="24"/>
                <w:szCs w:val="24"/>
              </w:rPr>
            </w:pPr>
            <w:r>
              <w:rPr>
                <w:rFonts w:hint="eastAsia" w:ascii="宋体" w:hAnsi="宋体"/>
                <w:b/>
                <w:sz w:val="24"/>
                <w:szCs w:val="24"/>
              </w:rPr>
              <w:t>7</w:t>
            </w:r>
          </w:p>
        </w:tc>
        <w:tc>
          <w:tcPr>
            <w:tcW w:w="1276" w:type="dxa"/>
            <w:tcBorders>
              <w:top w:val="single" w:color="auto" w:sz="6" w:space="0"/>
              <w:left w:val="single" w:color="auto" w:sz="6" w:space="0"/>
              <w:bottom w:val="single" w:color="auto" w:sz="6" w:space="0"/>
              <w:right w:val="single" w:color="auto" w:sz="6" w:space="0"/>
            </w:tcBorders>
          </w:tcPr>
          <w:p w14:paraId="312C2F76">
            <w:pPr>
              <w:keepNext w:val="0"/>
              <w:keepLines w:val="0"/>
              <w:suppressLineNumbers w:val="0"/>
              <w:spacing w:before="120" w:beforeAutospacing="0" w:after="0" w:afterAutospacing="0"/>
              <w:ind w:left="0" w:right="0"/>
              <w:jc w:val="center"/>
              <w:rPr>
                <w:rFonts w:hint="default" w:ascii="宋体" w:hAnsi="宋体"/>
                <w:b/>
                <w:sz w:val="24"/>
                <w:szCs w:val="24"/>
              </w:rPr>
            </w:pPr>
            <w:r>
              <w:rPr>
                <w:rFonts w:hint="eastAsia" w:ascii="宋体" w:hAnsi="宋体"/>
                <w:b/>
                <w:sz w:val="24"/>
                <w:szCs w:val="24"/>
              </w:rPr>
              <w:t>8</w:t>
            </w:r>
          </w:p>
        </w:tc>
      </w:tr>
      <w:tr w14:paraId="1C7A9979">
        <w:tblPrEx>
          <w:tblCellMar>
            <w:top w:w="0" w:type="dxa"/>
            <w:left w:w="28" w:type="dxa"/>
            <w:bottom w:w="0" w:type="dxa"/>
            <w:right w:w="28" w:type="dxa"/>
          </w:tblCellMar>
        </w:tblPrEx>
        <w:trPr>
          <w:trHeight w:val="1375" w:hRule="atLeast"/>
        </w:trPr>
        <w:tc>
          <w:tcPr>
            <w:tcW w:w="421" w:type="dxa"/>
            <w:tcBorders>
              <w:top w:val="single" w:color="auto" w:sz="6" w:space="0"/>
              <w:left w:val="single" w:color="auto" w:sz="6" w:space="0"/>
              <w:bottom w:val="single" w:color="auto" w:sz="6" w:space="0"/>
            </w:tcBorders>
            <w:vAlign w:val="center"/>
          </w:tcPr>
          <w:p w14:paraId="233F97DB">
            <w:pPr>
              <w:keepNext w:val="0"/>
              <w:keepLines w:val="0"/>
              <w:suppressLineNumbers w:val="0"/>
              <w:spacing w:before="0" w:beforeAutospacing="0" w:after="120" w:afterAutospacing="0"/>
              <w:ind w:left="0" w:right="0"/>
              <w:jc w:val="center"/>
              <w:rPr>
                <w:rFonts w:hint="default" w:ascii="宋体" w:hAnsi="宋体"/>
                <w:sz w:val="24"/>
                <w:szCs w:val="24"/>
              </w:rPr>
            </w:pPr>
            <w:r>
              <w:rPr>
                <w:rFonts w:hint="eastAsia" w:ascii="宋体" w:hAnsi="宋体"/>
                <w:sz w:val="24"/>
                <w:szCs w:val="24"/>
              </w:rPr>
              <w:t>序号</w:t>
            </w:r>
          </w:p>
        </w:tc>
        <w:tc>
          <w:tcPr>
            <w:tcW w:w="1592" w:type="dxa"/>
            <w:gridSpan w:val="2"/>
            <w:tcBorders>
              <w:top w:val="single" w:color="auto" w:sz="6" w:space="0"/>
              <w:left w:val="single" w:color="auto" w:sz="6" w:space="0"/>
              <w:bottom w:val="single" w:color="auto" w:sz="6" w:space="0"/>
              <w:right w:val="single" w:color="auto" w:sz="6" w:space="0"/>
            </w:tcBorders>
            <w:vAlign w:val="center"/>
          </w:tcPr>
          <w:p w14:paraId="15AE96C7">
            <w:pPr>
              <w:keepNext w:val="0"/>
              <w:keepLines w:val="0"/>
              <w:suppressLineNumbers w:val="0"/>
              <w:spacing w:before="0" w:beforeAutospacing="0" w:after="120" w:afterAutospacing="0"/>
              <w:ind w:left="0" w:right="0"/>
              <w:jc w:val="center"/>
              <w:rPr>
                <w:rFonts w:hint="default" w:ascii="宋体" w:hAnsi="宋体"/>
                <w:sz w:val="24"/>
                <w:szCs w:val="24"/>
              </w:rPr>
            </w:pPr>
            <w:r>
              <w:rPr>
                <w:rFonts w:hint="eastAsia" w:ascii="宋体" w:hAnsi="宋体"/>
                <w:sz w:val="24"/>
                <w:szCs w:val="24"/>
              </w:rPr>
              <w:t>名称</w:t>
            </w:r>
          </w:p>
        </w:tc>
        <w:tc>
          <w:tcPr>
            <w:tcW w:w="1276" w:type="dxa"/>
            <w:tcBorders>
              <w:top w:val="single" w:color="auto" w:sz="6" w:space="0"/>
              <w:left w:val="single" w:color="auto" w:sz="6" w:space="0"/>
              <w:bottom w:val="single" w:color="auto" w:sz="6" w:space="0"/>
              <w:right w:val="single" w:color="auto" w:sz="6" w:space="0"/>
            </w:tcBorders>
            <w:vAlign w:val="center"/>
          </w:tcPr>
          <w:p w14:paraId="403CB755">
            <w:pPr>
              <w:keepNext w:val="0"/>
              <w:keepLines w:val="0"/>
              <w:suppressLineNumbers w:val="0"/>
              <w:spacing w:before="0" w:beforeAutospacing="0" w:after="120" w:afterAutospacing="0"/>
              <w:ind w:left="0" w:right="0"/>
              <w:jc w:val="center"/>
              <w:rPr>
                <w:rFonts w:hint="default" w:ascii="宋体" w:hAnsi="宋体"/>
                <w:sz w:val="24"/>
                <w:szCs w:val="24"/>
              </w:rPr>
            </w:pPr>
            <w:r>
              <w:rPr>
                <w:rFonts w:hint="eastAsia" w:ascii="宋体" w:hAnsi="宋体"/>
                <w:sz w:val="24"/>
                <w:szCs w:val="24"/>
              </w:rPr>
              <w:t>品牌及型号</w:t>
            </w:r>
          </w:p>
        </w:tc>
        <w:tc>
          <w:tcPr>
            <w:tcW w:w="1417" w:type="dxa"/>
            <w:tcBorders>
              <w:top w:val="single" w:color="auto" w:sz="6" w:space="0"/>
              <w:left w:val="single" w:color="auto" w:sz="6" w:space="0"/>
              <w:bottom w:val="single" w:color="auto" w:sz="6" w:space="0"/>
              <w:right w:val="single" w:color="auto" w:sz="6" w:space="0"/>
            </w:tcBorders>
            <w:vAlign w:val="center"/>
          </w:tcPr>
          <w:p w14:paraId="1F22AA08">
            <w:pPr>
              <w:keepNext w:val="0"/>
              <w:keepLines w:val="0"/>
              <w:suppressLineNumbers w:val="0"/>
              <w:spacing w:before="158" w:beforeLines="50" w:beforeAutospacing="0" w:after="120" w:afterAutospacing="0"/>
              <w:ind w:left="0" w:right="0"/>
              <w:jc w:val="center"/>
              <w:rPr>
                <w:rFonts w:hint="default" w:ascii="宋体" w:hAnsi="宋体"/>
                <w:sz w:val="24"/>
                <w:szCs w:val="24"/>
              </w:rPr>
            </w:pPr>
            <w:r>
              <w:rPr>
                <w:rFonts w:hint="eastAsia" w:ascii="宋体" w:hAnsi="宋体"/>
                <w:sz w:val="24"/>
                <w:szCs w:val="24"/>
              </w:rPr>
              <w:t>制造厂名</w:t>
            </w:r>
          </w:p>
        </w:tc>
        <w:tc>
          <w:tcPr>
            <w:tcW w:w="1276" w:type="dxa"/>
            <w:tcBorders>
              <w:top w:val="single" w:color="auto" w:sz="6" w:space="0"/>
              <w:left w:val="single" w:color="auto" w:sz="6" w:space="0"/>
              <w:bottom w:val="single" w:color="auto" w:sz="6" w:space="0"/>
              <w:right w:val="single" w:color="auto" w:sz="6" w:space="0"/>
            </w:tcBorders>
            <w:vAlign w:val="center"/>
          </w:tcPr>
          <w:p w14:paraId="4CDA4F92">
            <w:pPr>
              <w:keepNext w:val="0"/>
              <w:keepLines w:val="0"/>
              <w:suppressLineNumbers w:val="0"/>
              <w:spacing w:before="0" w:beforeAutospacing="0" w:after="120" w:afterAutospacing="0"/>
              <w:ind w:left="0" w:right="0"/>
              <w:jc w:val="center"/>
              <w:rPr>
                <w:rFonts w:hint="default" w:ascii="宋体" w:hAnsi="宋体"/>
                <w:sz w:val="24"/>
                <w:szCs w:val="24"/>
              </w:rPr>
            </w:pPr>
            <w:r>
              <w:rPr>
                <w:rFonts w:hint="eastAsia" w:ascii="宋体" w:hAnsi="宋体"/>
                <w:sz w:val="24"/>
                <w:szCs w:val="24"/>
              </w:rPr>
              <w:t>数量</w:t>
            </w:r>
          </w:p>
        </w:tc>
        <w:tc>
          <w:tcPr>
            <w:tcW w:w="992" w:type="dxa"/>
            <w:tcBorders>
              <w:top w:val="single" w:color="auto" w:sz="6" w:space="0"/>
              <w:left w:val="single" w:color="auto" w:sz="6" w:space="0"/>
              <w:bottom w:val="single" w:color="auto" w:sz="6" w:space="0"/>
              <w:right w:val="single" w:color="auto" w:sz="6" w:space="0"/>
            </w:tcBorders>
            <w:vAlign w:val="center"/>
          </w:tcPr>
          <w:p w14:paraId="751EFD7F">
            <w:pPr>
              <w:keepNext w:val="0"/>
              <w:keepLines w:val="0"/>
              <w:suppressLineNumbers w:val="0"/>
              <w:spacing w:before="0" w:beforeAutospacing="0" w:after="120" w:afterAutospacing="0"/>
              <w:ind w:left="0" w:right="0"/>
              <w:jc w:val="center"/>
              <w:rPr>
                <w:rFonts w:hint="default" w:ascii="宋体" w:hAnsi="宋体"/>
                <w:sz w:val="24"/>
                <w:szCs w:val="24"/>
              </w:rPr>
            </w:pPr>
            <w:r>
              <w:rPr>
                <w:rFonts w:hint="eastAsia" w:ascii="宋体" w:hAnsi="宋体"/>
                <w:sz w:val="24"/>
                <w:szCs w:val="24"/>
              </w:rPr>
              <w:t>单位</w:t>
            </w:r>
          </w:p>
        </w:tc>
        <w:tc>
          <w:tcPr>
            <w:tcW w:w="1276" w:type="dxa"/>
            <w:tcBorders>
              <w:top w:val="single" w:color="auto" w:sz="6" w:space="0"/>
              <w:left w:val="single" w:color="auto" w:sz="6" w:space="0"/>
              <w:bottom w:val="single" w:color="auto" w:sz="6" w:space="0"/>
              <w:right w:val="single" w:color="auto" w:sz="6" w:space="0"/>
            </w:tcBorders>
            <w:vAlign w:val="center"/>
          </w:tcPr>
          <w:p w14:paraId="02C5E4E9">
            <w:pPr>
              <w:keepNext w:val="0"/>
              <w:keepLines w:val="0"/>
              <w:suppressLineNumbers w:val="0"/>
              <w:spacing w:before="0" w:beforeAutospacing="0" w:after="120" w:afterAutospacing="0"/>
              <w:ind w:left="0" w:right="0"/>
              <w:jc w:val="center"/>
              <w:rPr>
                <w:rFonts w:hint="default" w:ascii="宋体" w:hAnsi="宋体"/>
                <w:bCs/>
                <w:sz w:val="24"/>
                <w:szCs w:val="24"/>
              </w:rPr>
            </w:pPr>
            <w:r>
              <w:rPr>
                <w:rFonts w:hint="eastAsia" w:ascii="宋体" w:hAnsi="宋体"/>
                <w:sz w:val="24"/>
                <w:szCs w:val="24"/>
              </w:rPr>
              <w:t>单价（元）</w:t>
            </w:r>
          </w:p>
        </w:tc>
        <w:tc>
          <w:tcPr>
            <w:tcW w:w="1276" w:type="dxa"/>
            <w:tcBorders>
              <w:top w:val="single" w:color="auto" w:sz="6" w:space="0"/>
              <w:left w:val="single" w:color="auto" w:sz="6" w:space="0"/>
              <w:bottom w:val="single" w:color="auto" w:sz="6" w:space="0"/>
              <w:right w:val="single" w:color="auto" w:sz="6" w:space="0"/>
            </w:tcBorders>
            <w:vAlign w:val="center"/>
          </w:tcPr>
          <w:p w14:paraId="3D27DA46">
            <w:pPr>
              <w:keepNext w:val="0"/>
              <w:keepLines w:val="0"/>
              <w:suppressLineNumbers w:val="0"/>
              <w:spacing w:before="0" w:beforeAutospacing="0" w:after="120" w:afterAutospacing="0"/>
              <w:ind w:left="0" w:right="0"/>
              <w:jc w:val="center"/>
              <w:rPr>
                <w:rFonts w:hint="default" w:ascii="宋体" w:hAnsi="宋体"/>
                <w:bCs/>
                <w:sz w:val="24"/>
                <w:szCs w:val="24"/>
              </w:rPr>
            </w:pPr>
            <w:r>
              <w:rPr>
                <w:rFonts w:hint="eastAsia" w:ascii="宋体" w:hAnsi="宋体"/>
                <w:bCs/>
                <w:sz w:val="24"/>
                <w:szCs w:val="24"/>
              </w:rPr>
              <w:t>总价（元）</w:t>
            </w:r>
          </w:p>
        </w:tc>
      </w:tr>
      <w:tr w14:paraId="29F81B67">
        <w:tblPrEx>
          <w:tblCellMar>
            <w:top w:w="0" w:type="dxa"/>
            <w:left w:w="28" w:type="dxa"/>
            <w:bottom w:w="0" w:type="dxa"/>
            <w:right w:w="28" w:type="dxa"/>
          </w:tblCellMar>
        </w:tblPrEx>
        <w:trPr>
          <w:trHeight w:val="912" w:hRule="atLeast"/>
        </w:trPr>
        <w:tc>
          <w:tcPr>
            <w:tcW w:w="421" w:type="dxa"/>
            <w:tcBorders>
              <w:top w:val="single" w:color="auto" w:sz="6" w:space="0"/>
              <w:left w:val="single" w:color="auto" w:sz="6" w:space="0"/>
              <w:bottom w:val="single" w:color="auto" w:sz="4" w:space="0"/>
            </w:tcBorders>
            <w:vAlign w:val="center"/>
          </w:tcPr>
          <w:p w14:paraId="27DDE3D0">
            <w:pPr>
              <w:keepNext w:val="0"/>
              <w:keepLines w:val="0"/>
              <w:suppressLineNumbers w:val="0"/>
              <w:adjustRightInd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1</w:t>
            </w:r>
          </w:p>
        </w:tc>
        <w:tc>
          <w:tcPr>
            <w:tcW w:w="1592" w:type="dxa"/>
            <w:gridSpan w:val="2"/>
            <w:tcBorders>
              <w:top w:val="single" w:color="auto" w:sz="6" w:space="0"/>
              <w:left w:val="single" w:color="auto" w:sz="6" w:space="0"/>
              <w:bottom w:val="single" w:color="auto" w:sz="4" w:space="0"/>
              <w:right w:val="single" w:color="auto" w:sz="6" w:space="0"/>
            </w:tcBorders>
            <w:vAlign w:val="center"/>
          </w:tcPr>
          <w:p w14:paraId="47D4386F">
            <w:pPr>
              <w:keepNext w:val="0"/>
              <w:keepLines w:val="0"/>
              <w:widowControl/>
              <w:suppressLineNumbers w:val="0"/>
              <w:spacing w:before="0" w:beforeAutospacing="0" w:after="0" w:afterAutospacing="0" w:line="276" w:lineRule="auto"/>
              <w:ind w:left="0" w:right="0"/>
              <w:jc w:val="center"/>
              <w:rPr>
                <w:rFonts w:hint="default" w:cs="宋体" w:asciiTheme="minorEastAsia" w:hAnsiTheme="minorEastAsia" w:eastAsiaTheme="minorEastAsia"/>
                <w:sz w:val="24"/>
                <w:szCs w:val="24"/>
              </w:rPr>
            </w:pPr>
          </w:p>
        </w:tc>
        <w:tc>
          <w:tcPr>
            <w:tcW w:w="1276" w:type="dxa"/>
            <w:tcBorders>
              <w:top w:val="single" w:color="auto" w:sz="6" w:space="0"/>
              <w:left w:val="single" w:color="auto" w:sz="6" w:space="0"/>
              <w:bottom w:val="single" w:color="auto" w:sz="4" w:space="0"/>
              <w:right w:val="single" w:color="auto" w:sz="6" w:space="0"/>
            </w:tcBorders>
          </w:tcPr>
          <w:p w14:paraId="488CD326">
            <w:pPr>
              <w:keepNext w:val="0"/>
              <w:keepLines w:val="0"/>
              <w:suppressLineNumbers w:val="0"/>
              <w:spacing w:before="158" w:beforeLines="50" w:beforeAutospacing="0" w:after="0" w:afterAutospacing="0"/>
              <w:ind w:left="0" w:right="0"/>
              <w:rPr>
                <w:rFonts w:hint="default" w:ascii="宋体" w:hAnsi="宋体"/>
                <w:sz w:val="24"/>
                <w:szCs w:val="24"/>
              </w:rPr>
            </w:pPr>
          </w:p>
        </w:tc>
        <w:tc>
          <w:tcPr>
            <w:tcW w:w="1417" w:type="dxa"/>
            <w:tcBorders>
              <w:top w:val="single" w:color="auto" w:sz="6" w:space="0"/>
              <w:left w:val="single" w:color="auto" w:sz="6" w:space="0"/>
              <w:bottom w:val="single" w:color="auto" w:sz="4" w:space="0"/>
              <w:right w:val="single" w:color="auto" w:sz="6" w:space="0"/>
            </w:tcBorders>
          </w:tcPr>
          <w:p w14:paraId="6464463F">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1276" w:type="dxa"/>
            <w:tcBorders>
              <w:top w:val="single" w:color="auto" w:sz="6" w:space="0"/>
              <w:left w:val="single" w:color="auto" w:sz="6" w:space="0"/>
              <w:bottom w:val="single" w:color="auto" w:sz="4" w:space="0"/>
              <w:right w:val="single" w:color="auto" w:sz="6" w:space="0"/>
            </w:tcBorders>
          </w:tcPr>
          <w:p w14:paraId="6617A7E5">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992" w:type="dxa"/>
            <w:tcBorders>
              <w:top w:val="single" w:color="auto" w:sz="6" w:space="0"/>
              <w:left w:val="single" w:color="auto" w:sz="6" w:space="0"/>
              <w:bottom w:val="single" w:color="auto" w:sz="4" w:space="0"/>
              <w:right w:val="single" w:color="auto" w:sz="6" w:space="0"/>
            </w:tcBorders>
          </w:tcPr>
          <w:p w14:paraId="0244A240">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1276" w:type="dxa"/>
            <w:tcBorders>
              <w:top w:val="single" w:color="auto" w:sz="6" w:space="0"/>
              <w:left w:val="single" w:color="auto" w:sz="6" w:space="0"/>
              <w:bottom w:val="single" w:color="auto" w:sz="4" w:space="0"/>
              <w:right w:val="single" w:color="auto" w:sz="6" w:space="0"/>
            </w:tcBorders>
          </w:tcPr>
          <w:p w14:paraId="053CC55E">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1276" w:type="dxa"/>
            <w:tcBorders>
              <w:top w:val="single" w:color="auto" w:sz="6" w:space="0"/>
              <w:left w:val="single" w:color="auto" w:sz="6" w:space="0"/>
              <w:bottom w:val="single" w:color="auto" w:sz="4" w:space="0"/>
              <w:right w:val="single" w:color="auto" w:sz="6" w:space="0"/>
            </w:tcBorders>
          </w:tcPr>
          <w:p w14:paraId="08D51D0F">
            <w:pPr>
              <w:keepNext w:val="0"/>
              <w:keepLines w:val="0"/>
              <w:suppressLineNumbers w:val="0"/>
              <w:spacing w:before="158" w:beforeLines="50" w:beforeAutospacing="0" w:after="0" w:afterAutospacing="0"/>
              <w:ind w:left="0" w:right="0"/>
              <w:jc w:val="center"/>
              <w:rPr>
                <w:rFonts w:hint="default" w:ascii="宋体" w:hAnsi="宋体"/>
                <w:sz w:val="24"/>
                <w:szCs w:val="24"/>
              </w:rPr>
            </w:pPr>
          </w:p>
        </w:tc>
      </w:tr>
      <w:tr w14:paraId="11C40448">
        <w:tblPrEx>
          <w:tblCellMar>
            <w:top w:w="0" w:type="dxa"/>
            <w:left w:w="28" w:type="dxa"/>
            <w:bottom w:w="0" w:type="dxa"/>
            <w:right w:w="28" w:type="dxa"/>
          </w:tblCellMar>
        </w:tblPrEx>
        <w:trPr>
          <w:trHeight w:val="477" w:hRule="atLeast"/>
        </w:trPr>
        <w:tc>
          <w:tcPr>
            <w:tcW w:w="421" w:type="dxa"/>
            <w:tcBorders>
              <w:top w:val="single" w:color="auto" w:sz="4" w:space="0"/>
              <w:left w:val="single" w:color="auto" w:sz="6" w:space="0"/>
              <w:bottom w:val="single" w:color="auto" w:sz="6" w:space="0"/>
            </w:tcBorders>
            <w:vAlign w:val="center"/>
          </w:tcPr>
          <w:p w14:paraId="131B722B">
            <w:pPr>
              <w:keepNext w:val="0"/>
              <w:keepLines w:val="0"/>
              <w:suppressLineNumbers w:val="0"/>
              <w:adjustRightInd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2</w:t>
            </w:r>
          </w:p>
        </w:tc>
        <w:tc>
          <w:tcPr>
            <w:tcW w:w="1592" w:type="dxa"/>
            <w:gridSpan w:val="2"/>
            <w:tcBorders>
              <w:top w:val="single" w:color="auto" w:sz="4" w:space="0"/>
              <w:left w:val="single" w:color="auto" w:sz="6" w:space="0"/>
              <w:bottom w:val="single" w:color="auto" w:sz="6" w:space="0"/>
              <w:right w:val="single" w:color="auto" w:sz="6" w:space="0"/>
            </w:tcBorders>
            <w:vAlign w:val="center"/>
          </w:tcPr>
          <w:p w14:paraId="08514B30">
            <w:pPr>
              <w:keepNext w:val="0"/>
              <w:keepLines w:val="0"/>
              <w:suppressLineNumbers w:val="0"/>
              <w:adjustRightInd w:val="0"/>
              <w:snapToGrid w:val="0"/>
              <w:spacing w:before="0" w:beforeAutospacing="0" w:after="0" w:afterAutospacing="0"/>
              <w:ind w:left="0" w:right="0"/>
              <w:jc w:val="center"/>
              <w:rPr>
                <w:rFonts w:hint="default" w:ascii="宋体" w:hAnsi="宋体"/>
                <w:sz w:val="24"/>
                <w:szCs w:val="24"/>
              </w:rPr>
            </w:pPr>
          </w:p>
        </w:tc>
        <w:tc>
          <w:tcPr>
            <w:tcW w:w="1276" w:type="dxa"/>
            <w:tcBorders>
              <w:top w:val="single" w:color="auto" w:sz="4" w:space="0"/>
              <w:left w:val="single" w:color="auto" w:sz="6" w:space="0"/>
              <w:bottom w:val="single" w:color="auto" w:sz="6" w:space="0"/>
              <w:right w:val="single" w:color="auto" w:sz="6" w:space="0"/>
            </w:tcBorders>
          </w:tcPr>
          <w:p w14:paraId="30689E2B">
            <w:pPr>
              <w:keepNext w:val="0"/>
              <w:keepLines w:val="0"/>
              <w:suppressLineNumbers w:val="0"/>
              <w:spacing w:before="158" w:beforeLines="50" w:beforeAutospacing="0" w:after="0" w:afterAutospacing="0"/>
              <w:ind w:left="0" w:right="0"/>
              <w:jc w:val="center"/>
              <w:rPr>
                <w:rFonts w:hint="default" w:cs="宋体" w:asciiTheme="minorEastAsia" w:hAnsiTheme="minorEastAsia" w:eastAsiaTheme="minorEastAsia"/>
                <w:sz w:val="24"/>
                <w:szCs w:val="24"/>
              </w:rPr>
            </w:pPr>
          </w:p>
        </w:tc>
        <w:tc>
          <w:tcPr>
            <w:tcW w:w="1417" w:type="dxa"/>
            <w:tcBorders>
              <w:top w:val="single" w:color="auto" w:sz="4" w:space="0"/>
              <w:left w:val="single" w:color="auto" w:sz="6" w:space="0"/>
              <w:bottom w:val="single" w:color="auto" w:sz="6" w:space="0"/>
              <w:right w:val="single" w:color="auto" w:sz="6" w:space="0"/>
            </w:tcBorders>
          </w:tcPr>
          <w:p w14:paraId="74FCA279">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1276" w:type="dxa"/>
            <w:tcBorders>
              <w:top w:val="single" w:color="auto" w:sz="4" w:space="0"/>
              <w:left w:val="single" w:color="auto" w:sz="6" w:space="0"/>
              <w:bottom w:val="single" w:color="auto" w:sz="6" w:space="0"/>
              <w:right w:val="single" w:color="auto" w:sz="6" w:space="0"/>
            </w:tcBorders>
          </w:tcPr>
          <w:p w14:paraId="26A38217">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992" w:type="dxa"/>
            <w:tcBorders>
              <w:top w:val="single" w:color="auto" w:sz="4" w:space="0"/>
              <w:left w:val="single" w:color="auto" w:sz="6" w:space="0"/>
              <w:bottom w:val="single" w:color="auto" w:sz="6" w:space="0"/>
              <w:right w:val="single" w:color="auto" w:sz="6" w:space="0"/>
            </w:tcBorders>
          </w:tcPr>
          <w:p w14:paraId="5C8C2EF9">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1276" w:type="dxa"/>
            <w:tcBorders>
              <w:top w:val="single" w:color="auto" w:sz="4" w:space="0"/>
              <w:left w:val="single" w:color="auto" w:sz="6" w:space="0"/>
              <w:bottom w:val="single" w:color="auto" w:sz="6" w:space="0"/>
              <w:right w:val="single" w:color="auto" w:sz="6" w:space="0"/>
            </w:tcBorders>
          </w:tcPr>
          <w:p w14:paraId="0B998C1C">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1276" w:type="dxa"/>
            <w:tcBorders>
              <w:top w:val="single" w:color="auto" w:sz="4" w:space="0"/>
              <w:left w:val="single" w:color="auto" w:sz="6" w:space="0"/>
              <w:bottom w:val="single" w:color="auto" w:sz="6" w:space="0"/>
              <w:right w:val="single" w:color="auto" w:sz="6" w:space="0"/>
            </w:tcBorders>
          </w:tcPr>
          <w:p w14:paraId="22468250">
            <w:pPr>
              <w:keepNext w:val="0"/>
              <w:keepLines w:val="0"/>
              <w:suppressLineNumbers w:val="0"/>
              <w:spacing w:before="158" w:beforeLines="50" w:beforeAutospacing="0" w:after="0" w:afterAutospacing="0"/>
              <w:ind w:left="0" w:right="0"/>
              <w:jc w:val="center"/>
              <w:rPr>
                <w:rFonts w:hint="default" w:ascii="宋体" w:hAnsi="宋体"/>
                <w:sz w:val="24"/>
                <w:szCs w:val="24"/>
              </w:rPr>
            </w:pPr>
          </w:p>
        </w:tc>
      </w:tr>
      <w:tr w14:paraId="5DB8F429">
        <w:tblPrEx>
          <w:tblCellMar>
            <w:top w:w="0" w:type="dxa"/>
            <w:left w:w="28" w:type="dxa"/>
            <w:bottom w:w="0" w:type="dxa"/>
            <w:right w:w="28" w:type="dxa"/>
          </w:tblCellMar>
        </w:tblPrEx>
        <w:trPr>
          <w:trHeight w:val="477" w:hRule="atLeast"/>
        </w:trPr>
        <w:tc>
          <w:tcPr>
            <w:tcW w:w="421" w:type="dxa"/>
            <w:tcBorders>
              <w:top w:val="single" w:color="auto" w:sz="4" w:space="0"/>
              <w:left w:val="single" w:color="auto" w:sz="6" w:space="0"/>
              <w:bottom w:val="single" w:color="auto" w:sz="6" w:space="0"/>
            </w:tcBorders>
            <w:vAlign w:val="center"/>
          </w:tcPr>
          <w:p w14:paraId="1DE54DB4">
            <w:pPr>
              <w:keepNext w:val="0"/>
              <w:keepLines w:val="0"/>
              <w:suppressLineNumbers w:val="0"/>
              <w:adjustRightInd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3</w:t>
            </w:r>
          </w:p>
        </w:tc>
        <w:tc>
          <w:tcPr>
            <w:tcW w:w="1592" w:type="dxa"/>
            <w:gridSpan w:val="2"/>
            <w:tcBorders>
              <w:top w:val="single" w:color="auto" w:sz="4" w:space="0"/>
              <w:left w:val="single" w:color="auto" w:sz="6" w:space="0"/>
              <w:bottom w:val="single" w:color="auto" w:sz="6" w:space="0"/>
              <w:right w:val="single" w:color="auto" w:sz="6" w:space="0"/>
            </w:tcBorders>
            <w:vAlign w:val="center"/>
          </w:tcPr>
          <w:p w14:paraId="5804E7CE">
            <w:pPr>
              <w:keepNext w:val="0"/>
              <w:keepLines w:val="0"/>
              <w:suppressLineNumbers w:val="0"/>
              <w:adjustRightInd w:val="0"/>
              <w:snapToGrid w:val="0"/>
              <w:spacing w:before="0" w:beforeAutospacing="0" w:after="0" w:afterAutospacing="0"/>
              <w:ind w:left="0" w:right="0"/>
              <w:jc w:val="center"/>
              <w:rPr>
                <w:rFonts w:hint="default" w:ascii="宋体" w:hAnsi="宋体"/>
                <w:sz w:val="24"/>
                <w:szCs w:val="24"/>
              </w:rPr>
            </w:pPr>
          </w:p>
        </w:tc>
        <w:tc>
          <w:tcPr>
            <w:tcW w:w="1276" w:type="dxa"/>
            <w:tcBorders>
              <w:top w:val="single" w:color="auto" w:sz="4" w:space="0"/>
              <w:left w:val="single" w:color="auto" w:sz="6" w:space="0"/>
              <w:bottom w:val="single" w:color="auto" w:sz="6" w:space="0"/>
              <w:right w:val="single" w:color="auto" w:sz="6" w:space="0"/>
            </w:tcBorders>
          </w:tcPr>
          <w:p w14:paraId="5A1E6197">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1417" w:type="dxa"/>
            <w:tcBorders>
              <w:top w:val="single" w:color="auto" w:sz="4" w:space="0"/>
              <w:left w:val="single" w:color="auto" w:sz="6" w:space="0"/>
              <w:bottom w:val="single" w:color="auto" w:sz="6" w:space="0"/>
              <w:right w:val="single" w:color="auto" w:sz="6" w:space="0"/>
            </w:tcBorders>
          </w:tcPr>
          <w:p w14:paraId="0A435848">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1276" w:type="dxa"/>
            <w:tcBorders>
              <w:top w:val="single" w:color="auto" w:sz="4" w:space="0"/>
              <w:left w:val="single" w:color="auto" w:sz="6" w:space="0"/>
              <w:bottom w:val="single" w:color="auto" w:sz="6" w:space="0"/>
              <w:right w:val="single" w:color="auto" w:sz="6" w:space="0"/>
            </w:tcBorders>
          </w:tcPr>
          <w:p w14:paraId="055D0A1D">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992" w:type="dxa"/>
            <w:tcBorders>
              <w:top w:val="single" w:color="auto" w:sz="4" w:space="0"/>
              <w:left w:val="single" w:color="auto" w:sz="6" w:space="0"/>
              <w:bottom w:val="single" w:color="auto" w:sz="6" w:space="0"/>
              <w:right w:val="single" w:color="auto" w:sz="6" w:space="0"/>
            </w:tcBorders>
          </w:tcPr>
          <w:p w14:paraId="6933E59D">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1276" w:type="dxa"/>
            <w:tcBorders>
              <w:top w:val="single" w:color="auto" w:sz="4" w:space="0"/>
              <w:left w:val="single" w:color="auto" w:sz="6" w:space="0"/>
              <w:bottom w:val="single" w:color="auto" w:sz="6" w:space="0"/>
              <w:right w:val="single" w:color="auto" w:sz="6" w:space="0"/>
            </w:tcBorders>
          </w:tcPr>
          <w:p w14:paraId="6A8F3A01">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1276" w:type="dxa"/>
            <w:tcBorders>
              <w:top w:val="single" w:color="auto" w:sz="4" w:space="0"/>
              <w:left w:val="single" w:color="auto" w:sz="6" w:space="0"/>
              <w:bottom w:val="single" w:color="auto" w:sz="6" w:space="0"/>
              <w:right w:val="single" w:color="auto" w:sz="6" w:space="0"/>
            </w:tcBorders>
          </w:tcPr>
          <w:p w14:paraId="27E1ED13">
            <w:pPr>
              <w:keepNext w:val="0"/>
              <w:keepLines w:val="0"/>
              <w:suppressLineNumbers w:val="0"/>
              <w:spacing w:before="158" w:beforeLines="50" w:beforeAutospacing="0" w:after="0" w:afterAutospacing="0"/>
              <w:ind w:left="0" w:right="0"/>
              <w:jc w:val="center"/>
              <w:rPr>
                <w:rFonts w:hint="default" w:ascii="宋体" w:hAnsi="宋体"/>
                <w:sz w:val="24"/>
                <w:szCs w:val="24"/>
              </w:rPr>
            </w:pPr>
          </w:p>
        </w:tc>
      </w:tr>
      <w:tr w14:paraId="4FF1FCE0">
        <w:tblPrEx>
          <w:tblCellMar>
            <w:top w:w="0" w:type="dxa"/>
            <w:left w:w="28" w:type="dxa"/>
            <w:bottom w:w="0" w:type="dxa"/>
            <w:right w:w="28" w:type="dxa"/>
          </w:tblCellMar>
        </w:tblPrEx>
        <w:trPr>
          <w:trHeight w:val="483" w:hRule="atLeast"/>
        </w:trPr>
        <w:tc>
          <w:tcPr>
            <w:tcW w:w="421" w:type="dxa"/>
            <w:tcBorders>
              <w:top w:val="single" w:color="auto" w:sz="4" w:space="0"/>
              <w:left w:val="single" w:color="auto" w:sz="6" w:space="0"/>
              <w:bottom w:val="single" w:color="auto" w:sz="6" w:space="0"/>
            </w:tcBorders>
            <w:vAlign w:val="center"/>
          </w:tcPr>
          <w:p w14:paraId="12C85556">
            <w:pPr>
              <w:keepNext w:val="0"/>
              <w:keepLines w:val="0"/>
              <w:suppressLineNumbers w:val="0"/>
              <w:adjustRightInd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4</w:t>
            </w:r>
          </w:p>
        </w:tc>
        <w:tc>
          <w:tcPr>
            <w:tcW w:w="1592" w:type="dxa"/>
            <w:gridSpan w:val="2"/>
            <w:tcBorders>
              <w:top w:val="single" w:color="auto" w:sz="4" w:space="0"/>
              <w:left w:val="single" w:color="auto" w:sz="6" w:space="0"/>
              <w:bottom w:val="single" w:color="auto" w:sz="6" w:space="0"/>
              <w:right w:val="single" w:color="auto" w:sz="6" w:space="0"/>
            </w:tcBorders>
            <w:vAlign w:val="center"/>
          </w:tcPr>
          <w:p w14:paraId="1220FFED">
            <w:pPr>
              <w:keepNext w:val="0"/>
              <w:keepLines w:val="0"/>
              <w:suppressLineNumbers w:val="0"/>
              <w:adjustRightInd w:val="0"/>
              <w:snapToGrid w:val="0"/>
              <w:spacing w:before="0" w:beforeAutospacing="0" w:after="0" w:afterAutospacing="0"/>
              <w:ind w:left="0" w:right="0"/>
              <w:jc w:val="center"/>
              <w:rPr>
                <w:rFonts w:hint="default" w:ascii="宋体" w:hAnsi="宋体"/>
                <w:sz w:val="24"/>
                <w:szCs w:val="24"/>
              </w:rPr>
            </w:pPr>
            <w:r>
              <w:rPr>
                <w:rFonts w:hint="default" w:ascii="宋体" w:hAnsi="宋体"/>
                <w:sz w:val="24"/>
                <w:szCs w:val="24"/>
              </w:rPr>
              <w:t>…</w:t>
            </w:r>
          </w:p>
        </w:tc>
        <w:tc>
          <w:tcPr>
            <w:tcW w:w="1276" w:type="dxa"/>
            <w:tcBorders>
              <w:top w:val="single" w:color="auto" w:sz="4" w:space="0"/>
              <w:left w:val="single" w:color="auto" w:sz="6" w:space="0"/>
              <w:bottom w:val="single" w:color="auto" w:sz="6" w:space="0"/>
              <w:right w:val="single" w:color="auto" w:sz="6" w:space="0"/>
            </w:tcBorders>
          </w:tcPr>
          <w:p w14:paraId="4F5ADDBF">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1417" w:type="dxa"/>
            <w:tcBorders>
              <w:top w:val="single" w:color="auto" w:sz="4" w:space="0"/>
              <w:left w:val="single" w:color="auto" w:sz="6" w:space="0"/>
              <w:bottom w:val="single" w:color="auto" w:sz="6" w:space="0"/>
              <w:right w:val="single" w:color="auto" w:sz="6" w:space="0"/>
            </w:tcBorders>
          </w:tcPr>
          <w:p w14:paraId="4A395323">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1276" w:type="dxa"/>
            <w:tcBorders>
              <w:top w:val="single" w:color="auto" w:sz="4" w:space="0"/>
              <w:left w:val="single" w:color="auto" w:sz="6" w:space="0"/>
              <w:bottom w:val="single" w:color="auto" w:sz="6" w:space="0"/>
              <w:right w:val="single" w:color="auto" w:sz="6" w:space="0"/>
            </w:tcBorders>
          </w:tcPr>
          <w:p w14:paraId="06E1DDA8">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992" w:type="dxa"/>
            <w:tcBorders>
              <w:top w:val="single" w:color="auto" w:sz="4" w:space="0"/>
              <w:left w:val="single" w:color="auto" w:sz="6" w:space="0"/>
              <w:bottom w:val="single" w:color="auto" w:sz="6" w:space="0"/>
              <w:right w:val="single" w:color="auto" w:sz="6" w:space="0"/>
            </w:tcBorders>
          </w:tcPr>
          <w:p w14:paraId="28FF13F5">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1276" w:type="dxa"/>
            <w:tcBorders>
              <w:top w:val="single" w:color="auto" w:sz="4" w:space="0"/>
              <w:left w:val="single" w:color="auto" w:sz="6" w:space="0"/>
              <w:bottom w:val="single" w:color="auto" w:sz="6" w:space="0"/>
              <w:right w:val="single" w:color="auto" w:sz="6" w:space="0"/>
            </w:tcBorders>
          </w:tcPr>
          <w:p w14:paraId="117A3B12">
            <w:pPr>
              <w:keepNext w:val="0"/>
              <w:keepLines w:val="0"/>
              <w:suppressLineNumbers w:val="0"/>
              <w:spacing w:before="158" w:beforeLines="50" w:beforeAutospacing="0" w:after="0" w:afterAutospacing="0"/>
              <w:ind w:left="0" w:right="0"/>
              <w:jc w:val="center"/>
              <w:rPr>
                <w:rFonts w:hint="default" w:ascii="宋体" w:hAnsi="宋体"/>
                <w:sz w:val="24"/>
                <w:szCs w:val="24"/>
              </w:rPr>
            </w:pPr>
          </w:p>
        </w:tc>
        <w:tc>
          <w:tcPr>
            <w:tcW w:w="1276" w:type="dxa"/>
            <w:tcBorders>
              <w:top w:val="single" w:color="auto" w:sz="4" w:space="0"/>
              <w:left w:val="single" w:color="auto" w:sz="6" w:space="0"/>
              <w:bottom w:val="single" w:color="auto" w:sz="6" w:space="0"/>
              <w:right w:val="single" w:color="auto" w:sz="6" w:space="0"/>
            </w:tcBorders>
          </w:tcPr>
          <w:p w14:paraId="07459B93">
            <w:pPr>
              <w:keepNext w:val="0"/>
              <w:keepLines w:val="0"/>
              <w:suppressLineNumbers w:val="0"/>
              <w:spacing w:before="158" w:beforeLines="50" w:beforeAutospacing="0" w:after="0" w:afterAutospacing="0"/>
              <w:ind w:left="0" w:right="0"/>
              <w:jc w:val="center"/>
              <w:rPr>
                <w:rFonts w:hint="default" w:ascii="宋体" w:hAnsi="宋体"/>
                <w:sz w:val="24"/>
                <w:szCs w:val="24"/>
              </w:rPr>
            </w:pPr>
          </w:p>
        </w:tc>
      </w:tr>
      <w:tr w14:paraId="744A8831">
        <w:tblPrEx>
          <w:tblCellMar>
            <w:top w:w="0" w:type="dxa"/>
            <w:left w:w="28" w:type="dxa"/>
            <w:bottom w:w="0" w:type="dxa"/>
            <w:right w:w="28" w:type="dxa"/>
          </w:tblCellMar>
        </w:tblPrEx>
        <w:trPr>
          <w:trHeight w:val="821" w:hRule="atLeast"/>
        </w:trPr>
        <w:tc>
          <w:tcPr>
            <w:tcW w:w="1276" w:type="dxa"/>
            <w:gridSpan w:val="2"/>
            <w:tcBorders>
              <w:top w:val="single" w:color="auto" w:sz="4" w:space="0"/>
              <w:left w:val="single" w:color="auto" w:sz="6" w:space="0"/>
              <w:bottom w:val="single" w:color="auto" w:sz="4" w:space="0"/>
              <w:right w:val="single" w:color="auto" w:sz="6" w:space="0"/>
            </w:tcBorders>
          </w:tcPr>
          <w:p w14:paraId="770939EB">
            <w:pPr>
              <w:keepNext w:val="0"/>
              <w:keepLines w:val="0"/>
              <w:suppressLineNumbers w:val="0"/>
              <w:spacing w:before="158" w:beforeLines="50" w:beforeAutospacing="0" w:after="0" w:afterAutospacing="0"/>
              <w:ind w:left="0" w:right="0"/>
              <w:jc w:val="right"/>
              <w:rPr>
                <w:rFonts w:hint="default" w:ascii="宋体" w:hAnsi="宋体"/>
                <w:sz w:val="24"/>
                <w:szCs w:val="24"/>
              </w:rPr>
            </w:pPr>
            <w:r>
              <w:rPr>
                <w:rFonts w:hint="eastAsia" w:ascii="宋体" w:hAnsi="宋体"/>
                <w:sz w:val="24"/>
                <w:szCs w:val="24"/>
              </w:rPr>
              <w:t>总计（元）</w:t>
            </w:r>
          </w:p>
        </w:tc>
        <w:tc>
          <w:tcPr>
            <w:tcW w:w="6974" w:type="dxa"/>
            <w:gridSpan w:val="6"/>
            <w:tcBorders>
              <w:top w:val="single" w:color="auto" w:sz="4" w:space="0"/>
              <w:left w:val="single" w:color="auto" w:sz="6" w:space="0"/>
              <w:bottom w:val="single" w:color="auto" w:sz="4" w:space="0"/>
              <w:right w:val="single" w:color="auto" w:sz="6" w:space="0"/>
            </w:tcBorders>
          </w:tcPr>
          <w:p w14:paraId="5D8AAB26">
            <w:pPr>
              <w:keepNext w:val="0"/>
              <w:keepLines w:val="0"/>
              <w:suppressLineNumbers w:val="0"/>
              <w:spacing w:before="158" w:beforeLines="50" w:beforeAutospacing="0" w:after="0" w:afterAutospacing="0"/>
              <w:ind w:left="0" w:right="0"/>
              <w:jc w:val="left"/>
              <w:rPr>
                <w:rFonts w:hint="default" w:ascii="宋体" w:hAnsi="宋体"/>
                <w:sz w:val="24"/>
                <w:szCs w:val="24"/>
              </w:rPr>
            </w:pPr>
            <w:r>
              <w:rPr>
                <w:rFonts w:hint="eastAsia" w:ascii="宋体" w:hAnsi="宋体"/>
                <w:sz w:val="24"/>
                <w:szCs w:val="24"/>
              </w:rPr>
              <w:t>大写：</w:t>
            </w:r>
          </w:p>
        </w:tc>
        <w:tc>
          <w:tcPr>
            <w:tcW w:w="1276" w:type="dxa"/>
            <w:tcBorders>
              <w:top w:val="single" w:color="auto" w:sz="4" w:space="0"/>
              <w:left w:val="single" w:color="auto" w:sz="6" w:space="0"/>
              <w:bottom w:val="single" w:color="auto" w:sz="4" w:space="0"/>
              <w:right w:val="single" w:color="auto" w:sz="4" w:space="0"/>
            </w:tcBorders>
          </w:tcPr>
          <w:p w14:paraId="22219BC8">
            <w:pPr>
              <w:keepNext w:val="0"/>
              <w:keepLines w:val="0"/>
              <w:suppressLineNumbers w:val="0"/>
              <w:spacing w:before="158" w:beforeLines="50" w:beforeAutospacing="0" w:after="0" w:afterAutospacing="0"/>
              <w:ind w:left="0" w:right="0"/>
              <w:jc w:val="center"/>
              <w:rPr>
                <w:rFonts w:hint="default" w:ascii="宋体" w:hAnsi="宋体"/>
                <w:sz w:val="24"/>
                <w:szCs w:val="24"/>
              </w:rPr>
            </w:pPr>
          </w:p>
        </w:tc>
      </w:tr>
    </w:tbl>
    <w:p w14:paraId="55A0F15F">
      <w:pPr>
        <w:pStyle w:val="15"/>
        <w:rPr>
          <w:lang w:val="en-US" w:bidi="ar-SA"/>
        </w:rPr>
      </w:pPr>
    </w:p>
    <w:p w14:paraId="7B406F08">
      <w:pPr>
        <w:spacing w:line="360" w:lineRule="auto"/>
        <w:rPr>
          <w:rFonts w:ascii="宋体" w:hAnsi="宋体" w:cs="仿宋"/>
          <w:sz w:val="24"/>
          <w:szCs w:val="24"/>
        </w:rPr>
      </w:pPr>
      <w:r>
        <w:rPr>
          <w:rFonts w:hint="eastAsia" w:ascii="宋体" w:hAnsi="宋体" w:cs="仿宋"/>
          <w:sz w:val="24"/>
          <w:szCs w:val="24"/>
        </w:rPr>
        <w:t>注：1.投标人可根据实际情况自行扩展表格细项。</w:t>
      </w:r>
    </w:p>
    <w:p w14:paraId="33E251F4">
      <w:pPr>
        <w:spacing w:line="360" w:lineRule="auto"/>
        <w:ind w:firstLine="480" w:firstLineChars="200"/>
        <w:rPr>
          <w:rFonts w:ascii="宋体" w:hAnsi="宋体" w:cs="仿宋"/>
          <w:sz w:val="24"/>
          <w:szCs w:val="24"/>
        </w:rPr>
      </w:pPr>
      <w:r>
        <w:rPr>
          <w:rFonts w:hint="eastAsia" w:ascii="宋体" w:hAnsi="宋体" w:cs="仿宋"/>
          <w:sz w:val="24"/>
          <w:szCs w:val="24"/>
        </w:rPr>
        <w:t>2.所投货币为人民币。</w:t>
      </w:r>
    </w:p>
    <w:p w14:paraId="6D52EFF8">
      <w:pPr>
        <w:spacing w:line="360" w:lineRule="auto"/>
        <w:rPr>
          <w:rFonts w:hint="eastAsia" w:ascii="宋体" w:hAnsi="宋体" w:cs="仿宋"/>
          <w:sz w:val="24"/>
          <w:szCs w:val="24"/>
        </w:rPr>
      </w:pPr>
      <w:r>
        <w:rPr>
          <w:rFonts w:hint="eastAsia" w:ascii="宋体" w:hAnsi="宋体" w:cs="仿宋"/>
          <w:sz w:val="24"/>
          <w:szCs w:val="24"/>
        </w:rPr>
        <w:t xml:space="preserve">    </w:t>
      </w:r>
    </w:p>
    <w:p w14:paraId="7F8FC13E">
      <w:pPr>
        <w:spacing w:line="360" w:lineRule="auto"/>
        <w:rPr>
          <w:rFonts w:hint="eastAsia" w:ascii="宋体" w:hAnsi="宋体" w:cs="仿宋"/>
          <w:sz w:val="24"/>
          <w:szCs w:val="24"/>
        </w:rPr>
      </w:pPr>
    </w:p>
    <w:p w14:paraId="2E35E230">
      <w:pPr>
        <w:spacing w:line="360" w:lineRule="auto"/>
        <w:ind w:firstLine="480" w:firstLineChars="200"/>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lang w:val="en-US" w:eastAsia="zh-CN"/>
        </w:rPr>
        <w:t>或</w:t>
      </w:r>
      <w:r>
        <w:rPr>
          <w:rFonts w:hint="eastAsia" w:ascii="宋体" w:hAnsi="宋体" w:cs="仿宋"/>
          <w:sz w:val="24"/>
          <w:szCs w:val="24"/>
        </w:rPr>
        <w:t>被授权人：(签字或盖章)</w:t>
      </w:r>
    </w:p>
    <w:p w14:paraId="0B24D181">
      <w:pPr>
        <w:spacing w:line="360" w:lineRule="auto"/>
        <w:ind w:firstLine="480" w:firstLineChars="200"/>
        <w:rPr>
          <w:rFonts w:ascii="宋体" w:hAnsi="宋体" w:cs="仿宋"/>
          <w:sz w:val="24"/>
          <w:szCs w:val="24"/>
        </w:rPr>
      </w:pPr>
      <w:r>
        <w:rPr>
          <w:rFonts w:hint="eastAsia" w:ascii="宋体" w:hAnsi="宋体" w:cs="仿宋"/>
          <w:sz w:val="24"/>
          <w:szCs w:val="24"/>
        </w:rPr>
        <w:t>投标人名称（盖章）</w:t>
      </w:r>
    </w:p>
    <w:p w14:paraId="6B0B9B29">
      <w:pPr>
        <w:spacing w:line="360" w:lineRule="auto"/>
        <w:ind w:firstLine="480" w:firstLineChars="200"/>
        <w:rPr>
          <w:rFonts w:ascii="宋体" w:hAnsi="宋体" w:cs="仿宋"/>
          <w:sz w:val="24"/>
          <w:szCs w:val="24"/>
        </w:rPr>
      </w:pPr>
      <w:r>
        <w:rPr>
          <w:rFonts w:hint="eastAsia" w:ascii="宋体" w:hAnsi="宋体" w:cs="仿宋"/>
          <w:sz w:val="24"/>
          <w:szCs w:val="24"/>
        </w:rPr>
        <w:t>日    期：    年     月     日</w:t>
      </w:r>
    </w:p>
    <w:p w14:paraId="7F5B778F">
      <w:pPr>
        <w:spacing w:line="440" w:lineRule="exact"/>
        <w:rPr>
          <w:rFonts w:ascii="Calibri Light" w:hAnsi="Calibri Light"/>
          <w:b/>
          <w:bCs/>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662CCF5F">
      <w:pPr>
        <w:pStyle w:val="3"/>
        <w:ind w:firstLine="482" w:firstLineChars="150"/>
        <w:jc w:val="center"/>
      </w:pPr>
      <w:bookmarkStart w:id="128" w:name="_Toc23258626"/>
      <w:bookmarkStart w:id="129" w:name="_Toc26541337"/>
      <w:r>
        <w:rPr>
          <w:rFonts w:hint="eastAsia"/>
          <w:lang w:val="en-US" w:eastAsia="zh-CN"/>
        </w:rPr>
        <w:t>三</w:t>
      </w:r>
      <w:r>
        <w:rPr>
          <w:rFonts w:hint="eastAsia"/>
        </w:rPr>
        <w:t>、资格证明文件</w:t>
      </w:r>
      <w:bookmarkEnd w:id="128"/>
      <w:bookmarkEnd w:id="129"/>
    </w:p>
    <w:p w14:paraId="385990B4">
      <w:pPr>
        <w:pStyle w:val="129"/>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both"/>
        <w:textAlignment w:val="auto"/>
        <w:outlineLvl w:val="9"/>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（1）投标人须具有独立承担民事责任能力的法人、其他组织或自然人，并出具合法有效的营业执照或事业单位法人证书等国家规定的相关证明，自然人参与的提供其身份证明文件;</w:t>
      </w:r>
    </w:p>
    <w:p w14:paraId="3B1BA7E1">
      <w:pPr>
        <w:pStyle w:val="129"/>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both"/>
        <w:textAlignment w:val="auto"/>
        <w:outlineLvl w:val="9"/>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（2）投标人应授权合法的人员参加投标全过程，其中法定代表人直接参加投标的，须出具法人身份证，并与营业执照上信息一致；法定代表人授权代表参加投标的，须出具法定代表人授权书及授权代表身份证;</w:t>
      </w:r>
    </w:p>
    <w:p w14:paraId="0D526670">
      <w:pPr>
        <w:pStyle w:val="129"/>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both"/>
        <w:textAlignment w:val="auto"/>
        <w:outlineLvl w:val="9"/>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（3）良好的商业信誉：投标人必须拥有良好的商业信誉（投标截止日前三个月内基本开户银行出具的资信证明或2024年投标人的财务报表扫描件（包括资产负债表、现金流量表、利润表）；</w:t>
      </w:r>
    </w:p>
    <w:p w14:paraId="3CE94DB8">
      <w:pPr>
        <w:pStyle w:val="129"/>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both"/>
        <w:textAlignment w:val="auto"/>
        <w:outlineLvl w:val="9"/>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（4）税收缴纳证明：提供投标截止日前一年内已缴纳的至少一个月的纳税证明或完税证明（任意税种），依法免税的单位应提供相关证明材料;</w:t>
      </w:r>
    </w:p>
    <w:p w14:paraId="11133C0D">
      <w:pPr>
        <w:pStyle w:val="129"/>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both"/>
        <w:textAlignment w:val="auto"/>
        <w:outlineLvl w:val="9"/>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（5）社会保障资金缴纳证明：提供投标截止日前一年内已缴存的至少一个月的社会保障资金缴存单据或社保机构开具的社会保险参保缴费情况证明，依法不需要缴纳社会保障资金的单位应提供相关证明材料；</w:t>
      </w:r>
    </w:p>
    <w:p w14:paraId="186EC8F9">
      <w:pPr>
        <w:pStyle w:val="129"/>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both"/>
        <w:textAlignment w:val="auto"/>
        <w:outlineLvl w:val="9"/>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6）投标人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 活动的供应商。可提供网页查询截图或报告并加盖供应商公章，查询时间应为报名开始至投标截止时间之前。如相关失信记录已失效，供应商需提供相关证明资料，最终结果以网查为准。</w:t>
      </w:r>
    </w:p>
    <w:p w14:paraId="60776F55">
      <w:pPr>
        <w:pStyle w:val="129"/>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both"/>
        <w:textAlignment w:val="auto"/>
        <w:outlineLvl w:val="9"/>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（7）投标人须出具参加政府采购活动前3年内在经营活动中没有重大违法记录的书面声明（格式自拟）。</w:t>
      </w:r>
    </w:p>
    <w:p w14:paraId="77D669E1">
      <w:pPr>
        <w:pStyle w:val="129"/>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both"/>
        <w:textAlignment w:val="auto"/>
        <w:outlineLvl w:val="9"/>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（8）投标人具备履行合同所必需的设备和专业技术能力的承诺书（格式自拟）。</w:t>
      </w:r>
    </w:p>
    <w:p w14:paraId="660F97BF">
      <w:pPr>
        <w:pStyle w:val="129"/>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both"/>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9</w:t>
      </w:r>
      <w:r>
        <w:rPr>
          <w:rFonts w:hint="eastAsia" w:asciiTheme="minorEastAsia" w:hAnsiTheme="minorEastAsia" w:cstheme="minorEastAsia"/>
          <w:sz w:val="21"/>
          <w:szCs w:val="21"/>
          <w:lang w:eastAsia="zh-CN"/>
        </w:rPr>
        <w:t>）本项目不接受联合体投标（格式自拟）。</w:t>
      </w:r>
    </w:p>
    <w:p w14:paraId="50FA3404">
      <w:pPr>
        <w:pStyle w:val="35"/>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Theme="minorEastAsia" w:hAnsiTheme="minorEastAsia" w:eastAsiaTheme="minorEastAsia" w:cstheme="minorEastAsia"/>
          <w:b w:val="0"/>
          <w:bCs w:val="0"/>
          <w:color w:val="auto"/>
          <w:spacing w:val="0"/>
          <w:w w:val="100"/>
          <w:kern w:val="2"/>
          <w:sz w:val="22"/>
          <w:szCs w:val="22"/>
          <w:lang w:val="en-US" w:eastAsia="zh-CN" w:bidi="ar-SA"/>
        </w:rPr>
      </w:pPr>
    </w:p>
    <w:p w14:paraId="1919D8C9">
      <w:pPr>
        <w:widowControl/>
        <w:jc w:val="center"/>
        <w:outlineLvl w:val="2"/>
        <w:rPr>
          <w:rFonts w:hint="eastAsia" w:ascii="宋体" w:hAnsi="宋体" w:cs="Arial"/>
          <w:b/>
          <w:color w:val="000000"/>
          <w:kern w:val="0"/>
          <w:sz w:val="32"/>
          <w:szCs w:val="32"/>
        </w:rPr>
      </w:pPr>
    </w:p>
    <w:p w14:paraId="0F9E197E">
      <w:pPr>
        <w:widowControl/>
        <w:jc w:val="center"/>
        <w:outlineLvl w:val="2"/>
        <w:rPr>
          <w:rFonts w:hint="eastAsia" w:ascii="宋体" w:hAnsi="宋体" w:cs="Arial"/>
          <w:b/>
          <w:color w:val="000000"/>
          <w:kern w:val="0"/>
          <w:sz w:val="32"/>
          <w:szCs w:val="32"/>
        </w:rPr>
      </w:pPr>
    </w:p>
    <w:p w14:paraId="2E609264">
      <w:pPr>
        <w:widowControl/>
        <w:jc w:val="both"/>
        <w:outlineLvl w:val="2"/>
        <w:rPr>
          <w:rFonts w:hint="eastAsia" w:ascii="宋体" w:hAnsi="宋体" w:cs="Arial"/>
          <w:b/>
          <w:color w:val="000000"/>
          <w:kern w:val="0"/>
          <w:sz w:val="32"/>
          <w:szCs w:val="32"/>
        </w:rPr>
      </w:pPr>
    </w:p>
    <w:p w14:paraId="6D5259DA">
      <w:pPr>
        <w:widowControl/>
        <w:jc w:val="center"/>
        <w:outlineLvl w:val="2"/>
        <w:rPr>
          <w:rFonts w:ascii="Calibri Light" w:hAnsi="Calibri Light"/>
          <w:b/>
          <w:bCs/>
          <w:sz w:val="32"/>
          <w:szCs w:val="32"/>
        </w:rPr>
      </w:pPr>
      <w:r>
        <w:rPr>
          <w:rFonts w:hint="eastAsia" w:ascii="宋体" w:hAnsi="宋体" w:cs="Arial"/>
          <w:b/>
          <w:color w:val="000000"/>
          <w:kern w:val="0"/>
          <w:sz w:val="32"/>
          <w:szCs w:val="32"/>
        </w:rPr>
        <w:t>法定代表人证明书</w:t>
      </w:r>
    </w:p>
    <w:p w14:paraId="2C0E7BB8">
      <w:pPr>
        <w:tabs>
          <w:tab w:val="left" w:pos="210"/>
        </w:tabs>
        <w:spacing w:line="320" w:lineRule="exact"/>
        <w:jc w:val="center"/>
        <w:rPr>
          <w:rFonts w:ascii="宋体" w:hAnsi="宋体" w:cs="Arial"/>
          <w:b/>
          <w:color w:val="000000"/>
          <w:kern w:val="0"/>
          <w:sz w:val="32"/>
          <w:szCs w:val="32"/>
        </w:rPr>
      </w:pPr>
    </w:p>
    <w:tbl>
      <w:tblPr>
        <w:tblStyle w:val="42"/>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BE7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345F5536">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Arial"/>
                <w:color w:val="000000"/>
                <w:kern w:val="0"/>
                <w:sz w:val="24"/>
                <w:szCs w:val="24"/>
                <w:lang w:eastAsia="zh-CN"/>
              </w:rPr>
            </w:pPr>
            <w:r>
              <w:rPr>
                <w:rFonts w:hint="eastAsia" w:ascii="宋体" w:hAnsi="宋体" w:cs="Arial"/>
                <w:color w:val="000000"/>
                <w:kern w:val="0"/>
                <w:sz w:val="24"/>
                <w:szCs w:val="24"/>
              </w:rPr>
              <w:t>致：</w:t>
            </w:r>
            <w:r>
              <w:rPr>
                <w:rFonts w:hint="eastAsia" w:ascii="宋体" w:hAnsi="宋体" w:cs="Arial"/>
                <w:color w:val="000000"/>
                <w:kern w:val="0"/>
                <w:sz w:val="24"/>
                <w:szCs w:val="24"/>
                <w:lang w:eastAsia="zh-CN"/>
              </w:rPr>
              <w:t>安康市兴盛工程造价咨询有限公司</w:t>
            </w:r>
          </w:p>
        </w:tc>
      </w:tr>
      <w:tr w14:paraId="117B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76D8E35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327C96A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47333A7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39ADB12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30A8C03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4CF757E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2CA3D22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73FEDB6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33B2F89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683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7786E2B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5A853A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0E6AFE2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16B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05CE3D0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06E919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45B1155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A39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352A2AA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1E90EE5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2F07A64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214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2ADD130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1472090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4DE26868">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p>
        </w:tc>
      </w:tr>
      <w:tr w14:paraId="4A66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09BA09B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0E1D8D1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3ED6E39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D5D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410FCC4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3418BB6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7576381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778BA0C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5229E33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16D7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1653768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38148D9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2069D90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5F5E32C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41DC782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4CC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50CA2AD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F0E04D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491EC21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C64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58DBC80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7E81C4E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43AA50B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20E0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2EECE84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441" w:type="dxa"/>
            <w:gridSpan w:val="2"/>
            <w:vMerge w:val="continue"/>
            <w:vAlign w:val="center"/>
          </w:tcPr>
          <w:p w14:paraId="234437C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579" w:type="dxa"/>
            <w:gridSpan w:val="3"/>
            <w:vAlign w:val="bottom"/>
          </w:tcPr>
          <w:p w14:paraId="486B5D6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1793BF0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2665B01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5A7E624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14D97C31">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3AB4B349">
      <w:pPr>
        <w:widowControl/>
        <w:jc w:val="left"/>
        <w:rPr>
          <w:rFonts w:ascii="Calibri Light" w:hAnsi="Calibri Light"/>
          <w:b/>
          <w:bCs/>
          <w:sz w:val="32"/>
          <w:szCs w:val="32"/>
        </w:rPr>
      </w:pPr>
    </w:p>
    <w:p w14:paraId="7F0B6085">
      <w:pPr>
        <w:pStyle w:val="3"/>
        <w:jc w:val="center"/>
      </w:pPr>
      <w:bookmarkStart w:id="130" w:name="_Toc23258627"/>
      <w:bookmarkStart w:id="131" w:name="_Toc22911714"/>
      <w:bookmarkStart w:id="132" w:name="_Toc22911935"/>
      <w:bookmarkStart w:id="133" w:name="_Toc22910776"/>
      <w:bookmarkStart w:id="134" w:name="_Toc26541338"/>
      <w:r>
        <w:rPr>
          <w:rFonts w:hint="eastAsia"/>
        </w:rPr>
        <w:t>法人授权委托书</w:t>
      </w:r>
      <w:bookmarkEnd w:id="130"/>
      <w:bookmarkEnd w:id="131"/>
      <w:bookmarkEnd w:id="132"/>
      <w:bookmarkEnd w:id="133"/>
      <w:bookmarkEnd w:id="134"/>
    </w:p>
    <w:p w14:paraId="60F43197">
      <w:pPr>
        <w:spacing w:line="360" w:lineRule="auto"/>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szCs w:val="24"/>
          <w:lang w:eastAsia="zh-CN"/>
        </w:rPr>
        <w:t>安康市兴盛工程造价咨询有限公司</w:t>
      </w:r>
    </w:p>
    <w:p w14:paraId="49E6E11E">
      <w:pPr>
        <w:spacing w:line="500" w:lineRule="exact"/>
        <w:ind w:left="-120" w:leftChars="-57" w:firstLine="600" w:firstLineChars="250"/>
        <w:rPr>
          <w:rFonts w:ascii="宋体" w:hAnsi="宋体" w:cs="Courier New"/>
          <w:sz w:val="24"/>
          <w:szCs w:val="24"/>
        </w:rPr>
      </w:pPr>
      <w:r>
        <w:rPr>
          <w:rFonts w:hint="eastAsia" w:ascii="宋体" w:hAnsi="宋体" w:cs="Courier New"/>
          <w:sz w:val="24"/>
          <w:szCs w:val="24"/>
        </w:rPr>
        <w:t>本授权书声明：注册于（</w:t>
      </w:r>
      <w:r>
        <w:rPr>
          <w:rFonts w:hint="eastAsia" w:ascii="宋体" w:hAnsi="宋体" w:cs="Courier New"/>
          <w:sz w:val="24"/>
          <w:szCs w:val="24"/>
          <w:u w:val="single"/>
        </w:rPr>
        <w:t xml:space="preserve"> 工商行政管理局名称）之（委托单位全称） </w:t>
      </w:r>
      <w:r>
        <w:rPr>
          <w:rFonts w:hint="eastAsia" w:ascii="宋体" w:hAnsi="宋体" w:cs="Courier New"/>
          <w:sz w:val="24"/>
          <w:szCs w:val="24"/>
        </w:rPr>
        <w:t>的法定代表人</w:t>
      </w:r>
      <w:r>
        <w:rPr>
          <w:rFonts w:hint="eastAsia" w:ascii="宋体" w:hAnsi="宋体" w:cs="Courier New"/>
          <w:sz w:val="24"/>
          <w:szCs w:val="24"/>
          <w:u w:val="single"/>
        </w:rPr>
        <w:t>（姓名、性别）</w:t>
      </w:r>
      <w:r>
        <w:rPr>
          <w:rFonts w:hint="eastAsia" w:ascii="宋体" w:hAnsi="宋体" w:cs="Courier New"/>
          <w:sz w:val="24"/>
          <w:szCs w:val="24"/>
        </w:rPr>
        <w:t>授权</w:t>
      </w:r>
      <w:r>
        <w:rPr>
          <w:rFonts w:hint="eastAsia" w:ascii="宋体" w:hAnsi="宋体" w:cs="Courier New"/>
          <w:sz w:val="24"/>
          <w:szCs w:val="21"/>
        </w:rPr>
        <w:t>本公司的</w:t>
      </w:r>
      <w:r>
        <w:rPr>
          <w:rFonts w:hint="eastAsia" w:ascii="宋体" w:hAnsi="宋体" w:cs="Courier New"/>
          <w:sz w:val="24"/>
          <w:szCs w:val="24"/>
          <w:u w:val="single"/>
        </w:rPr>
        <w:t>（被授权人姓名、性别、职务）</w:t>
      </w:r>
      <w:r>
        <w:rPr>
          <w:rFonts w:hint="eastAsia" w:ascii="宋体" w:hAnsi="宋体" w:cs="Courier New"/>
          <w:sz w:val="24"/>
          <w:szCs w:val="24"/>
        </w:rPr>
        <w:t>为合法代理人，就贵方组织的有关</w:t>
      </w:r>
      <w:r>
        <w:rPr>
          <w:rFonts w:hint="eastAsia" w:ascii="宋体" w:hAnsi="宋体" w:cs="Courier New"/>
          <w:sz w:val="24"/>
          <w:szCs w:val="24"/>
          <w:u w:val="single"/>
        </w:rPr>
        <w:t>（招标项目名称）</w:t>
      </w:r>
      <w:r>
        <w:rPr>
          <w:rFonts w:hint="eastAsia" w:ascii="宋体" w:hAnsi="宋体" w:cs="Courier New"/>
          <w:sz w:val="24"/>
          <w:szCs w:val="24"/>
        </w:rPr>
        <w:t>（项目编号：</w:t>
      </w:r>
      <w:r>
        <w:rPr>
          <w:rFonts w:hint="eastAsia" w:ascii="宋体" w:hAnsi="宋体" w:cs="Courier New"/>
          <w:sz w:val="24"/>
          <w:szCs w:val="24"/>
          <w:u w:val="single"/>
        </w:rPr>
        <w:t xml:space="preserve">                 </w:t>
      </w:r>
      <w:r>
        <w:rPr>
          <w:rFonts w:hint="eastAsia" w:ascii="宋体" w:hAnsi="宋体" w:cs="Courier New"/>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sz w:val="24"/>
          <w:szCs w:val="24"/>
          <w:u w:val="single"/>
        </w:rPr>
        <w:t xml:space="preserve">    </w:t>
      </w:r>
      <w:r>
        <w:rPr>
          <w:rFonts w:hint="eastAsia" w:ascii="宋体" w:hAnsi="宋体" w:cs="Courier New"/>
          <w:sz w:val="24"/>
          <w:szCs w:val="24"/>
        </w:rPr>
        <w:t>天。</w:t>
      </w:r>
    </w:p>
    <w:p w14:paraId="4D20AC95">
      <w:pPr>
        <w:spacing w:line="500" w:lineRule="exact"/>
        <w:ind w:firstLine="480" w:firstLineChars="200"/>
        <w:rPr>
          <w:rFonts w:hint="eastAsia" w:ascii="宋体" w:hAnsi="宋体" w:cs="Courier New"/>
          <w:sz w:val="24"/>
          <w:szCs w:val="24"/>
          <w:u w:val="single"/>
          <w:lang w:val="en-US" w:eastAsia="zh-CN"/>
        </w:rPr>
      </w:pPr>
      <w:r>
        <w:rPr>
          <w:rFonts w:hint="eastAsia" w:ascii="宋体" w:hAnsi="宋体" w:cs="Courier New"/>
          <w:sz w:val="24"/>
          <w:szCs w:val="24"/>
        </w:rPr>
        <w:t>委托单位：    （公章）                  法定代表人（签字或盖章）：</w:t>
      </w:r>
      <w:r>
        <w:rPr>
          <w:rFonts w:hint="eastAsia" w:ascii="宋体" w:hAnsi="宋体" w:cs="Courier New"/>
          <w:sz w:val="24"/>
          <w:szCs w:val="24"/>
          <w:u w:val="single"/>
          <w:lang w:val="en-US" w:eastAsia="zh-CN"/>
        </w:rPr>
        <w:t xml:space="preserve">   </w:t>
      </w:r>
    </w:p>
    <w:p w14:paraId="153F40D7">
      <w:pPr>
        <w:spacing w:line="500" w:lineRule="exact"/>
        <w:ind w:firstLine="480" w:firstLineChars="200"/>
        <w:rPr>
          <w:rFonts w:ascii="宋体" w:hAnsi="宋体" w:cs="Courier New"/>
          <w:sz w:val="24"/>
          <w:szCs w:val="24"/>
        </w:rPr>
      </w:pPr>
      <w:r>
        <w:rPr>
          <w:rFonts w:hint="eastAsia" w:ascii="宋体" w:hAnsi="宋体" w:cs="Courier New"/>
          <w:sz w:val="24"/>
          <w:szCs w:val="24"/>
        </w:rPr>
        <w:t>签发日期：</w:t>
      </w:r>
      <w:r>
        <w:rPr>
          <w:rFonts w:hint="eastAsia" w:ascii="宋体" w:hAnsi="宋体" w:cs="Courier New"/>
          <w:sz w:val="24"/>
          <w:szCs w:val="24"/>
          <w:u w:val="single"/>
        </w:rPr>
        <w:t xml:space="preserve">     </w:t>
      </w:r>
      <w:r>
        <w:rPr>
          <w:rFonts w:hint="eastAsia" w:ascii="宋体" w:hAnsi="宋体" w:cs="Courier New"/>
          <w:sz w:val="24"/>
          <w:szCs w:val="24"/>
        </w:rPr>
        <w:t>年</w:t>
      </w:r>
      <w:r>
        <w:rPr>
          <w:rFonts w:hint="eastAsia" w:ascii="宋体" w:hAnsi="宋体" w:cs="Courier New"/>
          <w:sz w:val="24"/>
          <w:szCs w:val="24"/>
          <w:u w:val="single"/>
        </w:rPr>
        <w:t xml:space="preserve">    </w:t>
      </w:r>
      <w:r>
        <w:rPr>
          <w:rFonts w:hint="eastAsia" w:ascii="宋体" w:hAnsi="宋体" w:cs="Courier New"/>
          <w:sz w:val="24"/>
          <w:szCs w:val="24"/>
        </w:rPr>
        <w:t>月</w:t>
      </w:r>
      <w:r>
        <w:rPr>
          <w:rFonts w:hint="eastAsia" w:ascii="宋体" w:hAnsi="宋体" w:cs="Courier New"/>
          <w:sz w:val="24"/>
          <w:szCs w:val="24"/>
          <w:u w:val="single"/>
        </w:rPr>
        <w:t xml:space="preserve">    </w:t>
      </w:r>
      <w:r>
        <w:rPr>
          <w:rFonts w:hint="eastAsia" w:ascii="宋体" w:hAnsi="宋体" w:cs="Courier New"/>
          <w:sz w:val="24"/>
          <w:szCs w:val="24"/>
        </w:rPr>
        <w:t>日</w:t>
      </w:r>
    </w:p>
    <w:p w14:paraId="50279B16">
      <w:pPr>
        <w:spacing w:line="500" w:lineRule="exact"/>
        <w:ind w:firstLine="480" w:firstLineChars="200"/>
        <w:rPr>
          <w:rFonts w:ascii="宋体" w:hAnsi="宋体" w:cs="Courier New"/>
          <w:sz w:val="24"/>
          <w:szCs w:val="24"/>
          <w:u w:val="single"/>
        </w:rPr>
      </w:pPr>
      <w:r>
        <w:rPr>
          <w:rFonts w:hint="eastAsia" w:ascii="宋体" w:hAnsi="宋体" w:cs="Courier New"/>
          <w:sz w:val="24"/>
          <w:szCs w:val="24"/>
        </w:rPr>
        <w:t>附：被授权人</w:t>
      </w:r>
      <w:r>
        <w:rPr>
          <w:rFonts w:hint="eastAsia" w:ascii="宋体" w:hAnsi="宋体" w:cs="Courier New"/>
          <w:sz w:val="24"/>
          <w:szCs w:val="24"/>
          <w:lang w:eastAsia="zh-CN"/>
        </w:rPr>
        <w:t>（</w:t>
      </w:r>
      <w:r>
        <w:rPr>
          <w:rFonts w:hint="eastAsia" w:ascii="宋体" w:hAnsi="宋体" w:cs="Courier New"/>
          <w:sz w:val="24"/>
          <w:szCs w:val="24"/>
          <w:lang w:val="en-US" w:eastAsia="zh-CN"/>
        </w:rPr>
        <w:t>签字或盖章</w:t>
      </w:r>
      <w:r>
        <w:rPr>
          <w:rFonts w:hint="eastAsia" w:ascii="宋体" w:hAnsi="宋体" w:cs="Courier New"/>
          <w:sz w:val="24"/>
          <w:szCs w:val="24"/>
          <w:lang w:eastAsia="zh-CN"/>
        </w:rPr>
        <w:t>）</w:t>
      </w:r>
      <w:r>
        <w:rPr>
          <w:rFonts w:hint="eastAsia" w:ascii="宋体" w:hAnsi="宋体" w:cs="Courier New"/>
          <w:sz w:val="24"/>
          <w:szCs w:val="24"/>
        </w:rPr>
        <w:t>：</w:t>
      </w:r>
      <w:r>
        <w:rPr>
          <w:rFonts w:ascii="宋体" w:hAnsi="宋体" w:cs="Courier New"/>
          <w:sz w:val="24"/>
          <w:szCs w:val="24"/>
          <w:u w:val="single"/>
        </w:rPr>
        <w:t xml:space="preserve">             </w:t>
      </w:r>
      <w:r>
        <w:rPr>
          <w:rFonts w:ascii="宋体" w:hAnsi="宋体" w:cs="Courier New"/>
          <w:sz w:val="24"/>
          <w:szCs w:val="24"/>
        </w:rPr>
        <w:t xml:space="preserve"> </w:t>
      </w:r>
      <w:r>
        <w:rPr>
          <w:rFonts w:hint="eastAsia" w:ascii="宋体" w:hAnsi="宋体" w:cs="Courier New"/>
          <w:sz w:val="24"/>
          <w:szCs w:val="24"/>
          <w:u w:val="single"/>
        </w:rPr>
        <w:t xml:space="preserve">               </w:t>
      </w:r>
    </w:p>
    <w:p w14:paraId="01B91052">
      <w:pPr>
        <w:spacing w:line="500" w:lineRule="exact"/>
        <w:ind w:firstLine="960" w:firstLineChars="400"/>
        <w:rPr>
          <w:rFonts w:ascii="宋体" w:hAnsi="宋体" w:cs="Courier New"/>
          <w:sz w:val="24"/>
          <w:szCs w:val="24"/>
          <w:u w:val="thick"/>
        </w:rPr>
      </w:pPr>
      <w:r>
        <w:rPr>
          <w:rFonts w:hint="eastAsia" w:ascii="宋体" w:hAnsi="宋体" w:cs="Courier New"/>
          <w:sz w:val="24"/>
          <w:szCs w:val="24"/>
        </w:rPr>
        <w:t>联系地址：</w:t>
      </w:r>
      <w:r>
        <w:rPr>
          <w:rFonts w:hint="eastAsia" w:ascii="宋体" w:hAnsi="宋体" w:cs="Courier New"/>
          <w:sz w:val="24"/>
          <w:szCs w:val="24"/>
          <w:u w:val="single"/>
        </w:rPr>
        <w:t xml:space="preserve">             </w:t>
      </w:r>
      <w:r>
        <w:rPr>
          <w:rFonts w:hint="eastAsia" w:ascii="宋体" w:hAnsi="宋体" w:cs="Courier New"/>
          <w:sz w:val="24"/>
          <w:szCs w:val="24"/>
        </w:rPr>
        <w:t>联系电话：</w:t>
      </w:r>
      <w:r>
        <w:rPr>
          <w:rFonts w:ascii="宋体" w:hAnsi="宋体" w:cs="Courier New"/>
          <w:sz w:val="24"/>
          <w:szCs w:val="24"/>
          <w:u w:val="thick"/>
        </w:rPr>
        <w:t xml:space="preserve">          </w:t>
      </w:r>
    </w:p>
    <w:p w14:paraId="683C6F99">
      <w:pPr>
        <w:spacing w:line="500" w:lineRule="exact"/>
        <w:ind w:firstLine="960" w:firstLineChars="400"/>
        <w:jc w:val="left"/>
        <w:rPr>
          <w:rFonts w:ascii="宋体" w:hAnsi="宋体" w:cs="Courier New"/>
          <w:sz w:val="24"/>
          <w:szCs w:val="24"/>
        </w:rPr>
      </w:pPr>
      <w:r>
        <w:rPr>
          <w:rFonts w:hint="eastAsia" w:ascii="宋体" w:hAnsi="宋体" w:cs="Courier New"/>
          <w:sz w:val="24"/>
          <w:szCs w:val="24"/>
        </w:rPr>
        <w:t>传真：</w:t>
      </w:r>
      <w:r>
        <w:rPr>
          <w:rFonts w:hint="eastAsia" w:ascii="宋体" w:hAnsi="宋体" w:cs="Courier New"/>
          <w:sz w:val="24"/>
          <w:szCs w:val="24"/>
          <w:u w:val="thick"/>
        </w:rPr>
        <w:t xml:space="preserve"> </w:t>
      </w:r>
      <w:r>
        <w:rPr>
          <w:rFonts w:ascii="宋体" w:hAnsi="宋体" w:cs="Courier New"/>
          <w:sz w:val="24"/>
          <w:szCs w:val="24"/>
        </w:rPr>
        <w:t xml:space="preserve">   </w:t>
      </w:r>
    </w:p>
    <w:p w14:paraId="4BF5B5DD">
      <w:pPr>
        <w:spacing w:line="500" w:lineRule="exact"/>
        <w:ind w:firstLine="2760" w:firstLineChars="1150"/>
        <w:rPr>
          <w:rFonts w:ascii="宋体" w:hAnsi="宋体" w:cs="Courier New"/>
          <w:sz w:val="24"/>
          <w:szCs w:val="24"/>
        </w:rPr>
      </w:pPr>
      <w:r>
        <w:rPr>
          <w:rFonts w:hint="eastAsia" w:ascii="宋体" w:hAnsi="宋体" w:cs="Courier New"/>
          <w:sz w:val="24"/>
          <w:szCs w:val="24"/>
        </w:rPr>
        <w:t>法定代表人/被授权人身份证复印件</w:t>
      </w:r>
    </w:p>
    <w:tbl>
      <w:tblPr>
        <w:tblStyle w:val="42"/>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3663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33C90F9C">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法定代表人身份证复印件（正面）</w:t>
            </w:r>
          </w:p>
        </w:tc>
        <w:tc>
          <w:tcPr>
            <w:tcW w:w="4213" w:type="dxa"/>
            <w:shd w:val="clear" w:color="auto" w:fill="E0E0E0"/>
            <w:vAlign w:val="center"/>
          </w:tcPr>
          <w:p w14:paraId="0F10B7C9">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被授权人身份证复印件（正面）</w:t>
            </w:r>
          </w:p>
        </w:tc>
      </w:tr>
      <w:tr w14:paraId="0068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95" w:hRule="atLeast"/>
        </w:trPr>
        <w:tc>
          <w:tcPr>
            <w:tcW w:w="4213" w:type="dxa"/>
            <w:shd w:val="clear" w:color="auto" w:fill="E0E0E0"/>
            <w:vAlign w:val="center"/>
          </w:tcPr>
          <w:p w14:paraId="26A4A028">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法定代表人身份证复印件（反面）</w:t>
            </w:r>
          </w:p>
        </w:tc>
        <w:tc>
          <w:tcPr>
            <w:tcW w:w="4213" w:type="dxa"/>
            <w:shd w:val="clear" w:color="auto" w:fill="E0E0E0"/>
            <w:vAlign w:val="center"/>
          </w:tcPr>
          <w:p w14:paraId="2CA31388">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被授权人身份证复印件（反面）</w:t>
            </w:r>
          </w:p>
        </w:tc>
      </w:tr>
    </w:tbl>
    <w:p w14:paraId="168392DD">
      <w:pPr>
        <w:spacing w:line="500" w:lineRule="exact"/>
        <w:rPr>
          <w:rFonts w:ascii="宋体" w:hAnsi="宋体" w:cs="Courier New"/>
          <w:sz w:val="24"/>
          <w:szCs w:val="24"/>
        </w:rPr>
      </w:pPr>
      <w:r>
        <w:rPr>
          <w:rFonts w:hint="eastAsia" w:ascii="宋体" w:hAnsi="宋体" w:cs="Courier New"/>
          <w:sz w:val="24"/>
          <w:szCs w:val="24"/>
        </w:rPr>
        <w:t>说明：</w:t>
      </w:r>
    </w:p>
    <w:p w14:paraId="05C63D12">
      <w:pPr>
        <w:spacing w:line="460" w:lineRule="exact"/>
        <w:ind w:firstLine="480" w:firstLineChars="200"/>
        <w:rPr>
          <w:rFonts w:ascii="宋体" w:hAnsi="宋体" w:cs="Courier New"/>
          <w:sz w:val="24"/>
          <w:szCs w:val="24"/>
        </w:rPr>
      </w:pPr>
      <w:r>
        <w:rPr>
          <w:rFonts w:hint="eastAsia" w:ascii="宋体" w:hAnsi="宋体" w:cs="Courier New"/>
          <w:sz w:val="24"/>
          <w:szCs w:val="24"/>
        </w:rPr>
        <w:t>1．本授权书有效期自开标大会之日计算不得少于九十天。</w:t>
      </w:r>
    </w:p>
    <w:p w14:paraId="6EFF743A">
      <w:pPr>
        <w:spacing w:line="460" w:lineRule="exact"/>
        <w:ind w:firstLine="480" w:firstLineChars="200"/>
        <w:rPr>
          <w:rFonts w:hint="eastAsia" w:ascii="宋体" w:hAnsi="宋体" w:cs="Courier New"/>
          <w:sz w:val="24"/>
          <w:szCs w:val="24"/>
        </w:rPr>
        <w:sectPr>
          <w:headerReference r:id="rId7" w:type="default"/>
          <w:footerReference r:id="rId8" w:type="default"/>
          <w:pgSz w:w="11906" w:h="16838"/>
          <w:pgMar w:top="1247" w:right="1417" w:bottom="1247" w:left="1417" w:header="850" w:footer="992" w:gutter="0"/>
          <w:pgNumType w:fmt="decimal"/>
          <w:cols w:space="0" w:num="1"/>
          <w:titlePg/>
          <w:rtlGutter w:val="0"/>
          <w:docGrid w:type="lines" w:linePitch="326" w:charSpace="0"/>
        </w:sectPr>
      </w:pPr>
      <w:r>
        <w:rPr>
          <w:rFonts w:hint="eastAsia" w:ascii="宋体" w:hAnsi="宋体" w:cs="Courier New"/>
          <w:sz w:val="24"/>
          <w:szCs w:val="24"/>
        </w:rPr>
        <w:t>2．授权书内容填写要明确，文字要工整清楚，涂改无效。</w:t>
      </w:r>
    </w:p>
    <w:p w14:paraId="169106C8">
      <w:pPr>
        <w:pStyle w:val="3"/>
        <w:jc w:val="center"/>
        <w:rPr>
          <w:rFonts w:hint="eastAsia" w:ascii="宋体" w:hAnsi="宋体" w:eastAsia="宋体" w:cs="宋体"/>
        </w:rPr>
      </w:pPr>
      <w:bookmarkStart w:id="135" w:name="_Toc24284"/>
      <w:r>
        <w:rPr>
          <w:rFonts w:hint="eastAsia" w:ascii="宋体" w:hAnsi="宋体" w:eastAsia="宋体" w:cs="宋体"/>
        </w:rPr>
        <w:t>无重大违法记录声明</w:t>
      </w:r>
      <w:bookmarkEnd w:id="135"/>
    </w:p>
    <w:p w14:paraId="493F7CB4">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cs="宋体"/>
          <w:sz w:val="24"/>
          <w:szCs w:val="24"/>
          <w:lang w:eastAsia="zh-CN"/>
        </w:rPr>
        <w:t>安康市兴盛工程造价咨询有限公司</w:t>
      </w:r>
      <w:r>
        <w:rPr>
          <w:rFonts w:hint="eastAsia" w:ascii="宋体" w:hAnsi="宋体" w:eastAsia="宋体" w:cs="宋体"/>
          <w:bCs/>
          <w:sz w:val="24"/>
          <w:szCs w:val="24"/>
        </w:rPr>
        <w:t>：</w:t>
      </w:r>
    </w:p>
    <w:p w14:paraId="5A2B71D8">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545B7854">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0B46DA26">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我方参与本次政府采购活动近三年内：没有处于被责令停业的状态；没有处于被行政主管部门取消投标资格的处罚期内；没有处于财产被接管、冻结、破产的状态；在近三年内没有行政主管部门已书面认定的重大质量问题；没有在近三年内被人民法院判决犯有行贿罪的记录。</w:t>
      </w:r>
    </w:p>
    <w:p w14:paraId="089EAAD1">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3FF4F6F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注：在对投标文件中此声明函真实性和有效性进行审查、验证时，如有造假/情况不一致/未按要求提供的，按无效文件处理。</w:t>
      </w:r>
    </w:p>
    <w:p w14:paraId="621D7CDE">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p>
    <w:p w14:paraId="60F2C536">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37D0E89A">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45F09BA1">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779A41D5">
      <w:pPr>
        <w:keepNext w:val="0"/>
        <w:keepLines w:val="0"/>
        <w:pageBreakBefore w:val="0"/>
        <w:widowControl w:val="0"/>
        <w:kinsoku/>
        <w:wordWrap/>
        <w:overflowPunct/>
        <w:topLinePunct w:val="0"/>
        <w:autoSpaceDE/>
        <w:autoSpaceDN/>
        <w:bidi w:val="0"/>
        <w:spacing w:line="408" w:lineRule="auto"/>
        <w:textAlignment w:val="auto"/>
        <w:rPr>
          <w:rFonts w:hint="eastAsia" w:ascii="宋体" w:hAnsi="宋体" w:eastAsia="宋体" w:cs="宋体"/>
        </w:rPr>
        <w:sectPr>
          <w:pgSz w:w="11906" w:h="16838"/>
          <w:pgMar w:top="1247" w:right="1417" w:bottom="1247" w:left="1417" w:header="850" w:footer="992" w:gutter="0"/>
          <w:pgNumType w:fmt="decimal"/>
          <w:cols w:space="0" w:num="1"/>
          <w:titlePg/>
          <w:rtlGutter w:val="0"/>
          <w:docGrid w:type="lines" w:linePitch="326" w:charSpace="0"/>
        </w:sectPr>
      </w:pPr>
    </w:p>
    <w:p w14:paraId="58C31415">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投标人非联合体投标声明</w:t>
      </w:r>
    </w:p>
    <w:p w14:paraId="43550936">
      <w:pPr>
        <w:adjustRightInd w:val="0"/>
        <w:snapToGrid w:val="0"/>
        <w:spacing w:line="360" w:lineRule="auto"/>
        <w:rPr>
          <w:rFonts w:hint="eastAsia" w:ascii="仿宋" w:hAnsi="仿宋" w:eastAsia="仿宋" w:cs="黑体"/>
          <w:bCs/>
          <w:sz w:val="28"/>
          <w:szCs w:val="28"/>
        </w:rPr>
      </w:pPr>
    </w:p>
    <w:p w14:paraId="37C1B6C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cs="宋体"/>
          <w:sz w:val="24"/>
          <w:szCs w:val="24"/>
          <w:lang w:eastAsia="zh-CN"/>
        </w:rPr>
        <w:t>安康市兴盛工程造价咨询有限公司</w:t>
      </w:r>
      <w:r>
        <w:rPr>
          <w:rFonts w:hint="eastAsia" w:ascii="宋体" w:hAnsi="宋体" w:eastAsia="宋体" w:cs="宋体"/>
          <w:bCs/>
          <w:sz w:val="24"/>
          <w:szCs w:val="24"/>
        </w:rPr>
        <w:t>：</w:t>
      </w:r>
    </w:p>
    <w:p w14:paraId="5E9D978F">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）招标内容，参与投标，提供采购人需求中规定的全部内容。本公司就参加投标工作，作出郑重声明：</w:t>
      </w:r>
    </w:p>
    <w:p w14:paraId="0DB7BED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1.本公司保证在本项目投标中不与其他单位围标、串标，不出让投标资格，不向采购人、采购代理机构和评标委员会成员行贿。</w:t>
      </w:r>
    </w:p>
    <w:p w14:paraId="32A35BA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2C811F64">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p>
    <w:p w14:paraId="68B64C17">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特此声明。</w:t>
      </w:r>
    </w:p>
    <w:p w14:paraId="321BFDD2">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12EE5C71">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6883A4A8">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211570D2">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6E241138">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61BC2611">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日   期：    年    月    日</w:t>
      </w:r>
    </w:p>
    <w:p w14:paraId="7E9A68C5">
      <w:pPr>
        <w:pStyle w:val="52"/>
        <w:pageBreakBefore w:val="0"/>
        <w:kinsoku/>
        <w:wordWrap/>
        <w:overflowPunct/>
        <w:topLinePunct w:val="0"/>
        <w:autoSpaceDE/>
        <w:autoSpaceDN/>
        <w:bidi w:val="0"/>
        <w:spacing w:before="0" w:line="408" w:lineRule="auto"/>
        <w:textAlignment w:val="auto"/>
        <w:rPr>
          <w:rFonts w:hint="eastAsia" w:ascii="宋体" w:hAnsi="宋体" w:eastAsia="宋体" w:cs="宋体"/>
          <w:sz w:val="24"/>
          <w:szCs w:val="24"/>
        </w:rPr>
        <w:sectPr>
          <w:pgSz w:w="11906" w:h="16838"/>
          <w:pgMar w:top="1247" w:right="1417" w:bottom="1247" w:left="1417" w:header="850" w:footer="992" w:gutter="0"/>
          <w:pgNumType w:fmt="decimal"/>
          <w:cols w:space="0" w:num="1"/>
          <w:titlePg/>
          <w:rtlGutter w:val="0"/>
          <w:docGrid w:type="lines" w:linePitch="326" w:charSpace="0"/>
        </w:sectPr>
      </w:pPr>
    </w:p>
    <w:p w14:paraId="0640263E">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4CF2F00A">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514540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F1164C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11987853">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4D50C5D7">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1D42101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2644A467">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3C2A4B3C">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4D466C6B">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0C68C60">
      <w:pPr>
        <w:pStyle w:val="128"/>
        <w:rPr>
          <w:rFonts w:hint="eastAsia"/>
          <w:lang w:val="en-US" w:eastAsia="zh-CN"/>
        </w:rPr>
      </w:pPr>
    </w:p>
    <w:p w14:paraId="42AD70B2">
      <w:pPr>
        <w:pStyle w:val="40"/>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7B3443F3">
      <w:pPr>
        <w:pStyle w:val="15"/>
        <w:rPr>
          <w:rFonts w:hint="eastAsia" w:ascii="宋体" w:hAnsi="宋体" w:eastAsia="宋体" w:cs="宋体"/>
          <w:sz w:val="24"/>
          <w:szCs w:val="24"/>
        </w:rPr>
        <w:sectPr>
          <w:pgSz w:w="11906" w:h="16838"/>
          <w:pgMar w:top="1247" w:right="1417" w:bottom="1247" w:left="1417" w:header="850" w:footer="992" w:gutter="0"/>
          <w:pgNumType w:fmt="decimal"/>
          <w:cols w:space="0" w:num="1"/>
          <w:titlePg/>
          <w:rtlGutter w:val="0"/>
          <w:docGrid w:type="lines" w:linePitch="326" w:charSpace="0"/>
        </w:sectPr>
      </w:pPr>
    </w:p>
    <w:p w14:paraId="4DB7BC6F">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中小企业声明函（货物）</w:t>
      </w:r>
    </w:p>
    <w:p w14:paraId="79BA50E1">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采购活动，提供的货物全部为符合政策要求的中小企业制造（或者：服务全部由符合政策要求的中小企业承接）。相关企业（含联合体中的中小企业、签订分包意向协议的中小企业）的具体情况如下：</w:t>
      </w:r>
    </w:p>
    <w:p w14:paraId="48A2264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0CD329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7E34BE69">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71E8736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07263B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7419510A">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0EED114">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26DF3B4">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22610024">
      <w:pPr>
        <w:pStyle w:val="128"/>
        <w:rPr>
          <w:rFonts w:hint="eastAsia"/>
          <w:lang w:val="en-US" w:eastAsia="zh-CN"/>
        </w:rPr>
      </w:pPr>
    </w:p>
    <w:p w14:paraId="1B6DABC2">
      <w:pPr>
        <w:pStyle w:val="40"/>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197F68A8">
      <w:pPr>
        <w:pStyle w:val="53"/>
        <w:sectPr>
          <w:pgSz w:w="11906" w:h="16838"/>
          <w:pgMar w:top="1247" w:right="1417" w:bottom="1247" w:left="1417" w:header="850" w:footer="992" w:gutter="0"/>
          <w:pgNumType w:fmt="decimal"/>
          <w:cols w:space="0" w:num="1"/>
          <w:titlePg/>
          <w:rtlGutter w:val="0"/>
          <w:docGrid w:type="lines" w:linePitch="326" w:charSpace="0"/>
        </w:sectPr>
      </w:pPr>
    </w:p>
    <w:p w14:paraId="3C6EAF07">
      <w:pPr>
        <w:pStyle w:val="3"/>
        <w:ind w:firstLine="482" w:firstLineChars="150"/>
        <w:jc w:val="center"/>
        <w:rPr>
          <w:rFonts w:hint="eastAsia" w:eastAsia="宋体" w:cs="Times New Roman"/>
          <w:lang w:val="en-US" w:eastAsia="zh-CN"/>
        </w:rPr>
      </w:pPr>
      <w:bookmarkStart w:id="136" w:name="_Toc26541339"/>
      <w:bookmarkStart w:id="137" w:name="_Toc23258628"/>
      <w:r>
        <w:rPr>
          <w:rFonts w:hint="eastAsia" w:eastAsia="宋体" w:cs="Times New Roman"/>
          <w:lang w:val="en-US" w:eastAsia="zh-CN"/>
        </w:rPr>
        <w:t>四、技术商务偏离表</w:t>
      </w:r>
      <w:bookmarkEnd w:id="136"/>
      <w:bookmarkEnd w:id="137"/>
    </w:p>
    <w:p w14:paraId="6ACAC417">
      <w:pPr>
        <w:pStyle w:val="3"/>
        <w:ind w:firstLine="482" w:firstLineChars="150"/>
        <w:jc w:val="center"/>
      </w:pPr>
      <w:r>
        <w:rPr>
          <w:rFonts w:hint="eastAsia"/>
          <w:lang w:val="en-US" w:eastAsia="zh-CN"/>
        </w:rPr>
        <w:t>技术</w:t>
      </w:r>
      <w:r>
        <w:rPr>
          <w:rFonts w:hint="eastAsia"/>
        </w:rPr>
        <w:t>响应偏离表</w:t>
      </w:r>
    </w:p>
    <w:tbl>
      <w:tblPr>
        <w:tblStyle w:val="42"/>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654"/>
        <w:gridCol w:w="2116"/>
        <w:gridCol w:w="1819"/>
        <w:gridCol w:w="1798"/>
        <w:gridCol w:w="1798"/>
      </w:tblGrid>
      <w:tr w14:paraId="55FB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18" w:type="dxa"/>
            <w:vAlign w:val="center"/>
          </w:tcPr>
          <w:p w14:paraId="31C566D0">
            <w:pPr>
              <w:keepNext w:val="0"/>
              <w:keepLines w:val="0"/>
              <w:suppressLineNumbers w:val="0"/>
              <w:adjustRightInd w:val="0"/>
              <w:snapToGrid w:val="0"/>
              <w:spacing w:before="0" w:beforeAutospacing="0" w:after="0" w:afterAutospacing="0"/>
              <w:ind w:left="0" w:right="0"/>
              <w:jc w:val="center"/>
              <w:rPr>
                <w:rFonts w:hint="default" w:ascii="宋体" w:cs="Times New Roman"/>
                <w:sz w:val="24"/>
              </w:rPr>
            </w:pPr>
            <w:r>
              <w:rPr>
                <w:rFonts w:hint="eastAsia" w:ascii="宋体" w:hAnsi="宋体" w:cs="Times New Roman"/>
                <w:sz w:val="24"/>
              </w:rPr>
              <w:t>序号</w:t>
            </w:r>
          </w:p>
        </w:tc>
        <w:tc>
          <w:tcPr>
            <w:tcW w:w="1654" w:type="dxa"/>
            <w:vAlign w:val="center"/>
          </w:tcPr>
          <w:p w14:paraId="47718539">
            <w:pPr>
              <w:keepNext w:val="0"/>
              <w:keepLines w:val="0"/>
              <w:suppressLineNumbers w:val="0"/>
              <w:adjustRightInd w:val="0"/>
              <w:snapToGrid w:val="0"/>
              <w:spacing w:before="0" w:beforeAutospacing="0" w:after="0" w:afterAutospacing="0"/>
              <w:ind w:left="0" w:right="0"/>
              <w:jc w:val="center"/>
              <w:rPr>
                <w:rFonts w:hint="default" w:ascii="宋体" w:cs="Times New Roman"/>
                <w:sz w:val="24"/>
              </w:rPr>
            </w:pPr>
            <w:r>
              <w:rPr>
                <w:rFonts w:hint="eastAsia" w:ascii="宋体" w:hAnsi="宋体" w:cs="Times New Roman"/>
                <w:sz w:val="24"/>
              </w:rPr>
              <w:t>产品名称</w:t>
            </w:r>
          </w:p>
        </w:tc>
        <w:tc>
          <w:tcPr>
            <w:tcW w:w="2116" w:type="dxa"/>
            <w:vAlign w:val="center"/>
          </w:tcPr>
          <w:p w14:paraId="55391F4F">
            <w:pPr>
              <w:keepNext w:val="0"/>
              <w:keepLines w:val="0"/>
              <w:suppressLineNumbers w:val="0"/>
              <w:adjustRightInd w:val="0"/>
              <w:snapToGrid w:val="0"/>
              <w:spacing w:before="0" w:beforeAutospacing="0" w:after="0" w:afterAutospacing="0"/>
              <w:ind w:left="0" w:right="0"/>
              <w:jc w:val="center"/>
              <w:rPr>
                <w:rFonts w:hint="default" w:ascii="宋体" w:cs="Times New Roman"/>
                <w:sz w:val="24"/>
              </w:rPr>
            </w:pPr>
            <w:r>
              <w:rPr>
                <w:rFonts w:hint="eastAsia" w:ascii="宋体" w:hAnsi="宋体" w:cs="Times New Roman"/>
                <w:sz w:val="24"/>
              </w:rPr>
              <w:t>招标文件</w:t>
            </w:r>
          </w:p>
          <w:p w14:paraId="37FE3C56">
            <w:pPr>
              <w:keepNext w:val="0"/>
              <w:keepLines w:val="0"/>
              <w:suppressLineNumbers w:val="0"/>
              <w:adjustRightInd w:val="0"/>
              <w:snapToGrid w:val="0"/>
              <w:spacing w:before="0" w:beforeAutospacing="0" w:after="0" w:afterAutospacing="0"/>
              <w:ind w:left="0" w:right="0"/>
              <w:jc w:val="center"/>
              <w:rPr>
                <w:rFonts w:hint="eastAsia" w:ascii="宋体" w:eastAsia="宋体" w:cs="Times New Roman"/>
                <w:sz w:val="24"/>
                <w:lang w:val="en-US" w:eastAsia="zh-CN"/>
              </w:rPr>
            </w:pPr>
            <w:r>
              <w:rPr>
                <w:rFonts w:hint="eastAsia" w:ascii="宋体" w:hAnsi="宋体" w:cs="Times New Roman"/>
                <w:sz w:val="24"/>
                <w:lang w:val="en-US" w:eastAsia="zh-CN"/>
              </w:rPr>
              <w:t>技术参数</w:t>
            </w:r>
          </w:p>
        </w:tc>
        <w:tc>
          <w:tcPr>
            <w:tcW w:w="1819" w:type="dxa"/>
            <w:vAlign w:val="center"/>
          </w:tcPr>
          <w:p w14:paraId="302B8BD5">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sz w:val="24"/>
              </w:rPr>
            </w:pPr>
            <w:r>
              <w:rPr>
                <w:rFonts w:hint="eastAsia" w:ascii="宋体" w:hAnsi="宋体" w:eastAsia="宋体" w:cs="Times New Roman"/>
                <w:sz w:val="24"/>
              </w:rPr>
              <w:t>投标文件</w:t>
            </w:r>
          </w:p>
          <w:p w14:paraId="19183928">
            <w:pPr>
              <w:keepNext w:val="0"/>
              <w:keepLines w:val="0"/>
              <w:suppressLineNumbers w:val="0"/>
              <w:adjustRightInd w:val="0"/>
              <w:snapToGrid w:val="0"/>
              <w:spacing w:before="0" w:beforeAutospacing="0" w:after="0" w:afterAutospacing="0"/>
              <w:ind w:left="0" w:right="0"/>
              <w:jc w:val="center"/>
              <w:rPr>
                <w:rFonts w:hint="default" w:ascii="宋体" w:eastAsia="宋体" w:cs="Times New Roman"/>
                <w:sz w:val="24"/>
                <w:lang w:val="en-US" w:eastAsia="zh-CN"/>
              </w:rPr>
            </w:pPr>
            <w:r>
              <w:rPr>
                <w:rFonts w:hint="eastAsia" w:ascii="宋体" w:hAnsi="宋体" w:eastAsia="宋体" w:cs="Times New Roman"/>
                <w:sz w:val="24"/>
                <w:lang w:eastAsia="zh-CN"/>
              </w:rPr>
              <w:t>技术</w:t>
            </w:r>
            <w:r>
              <w:rPr>
                <w:rFonts w:hint="eastAsia" w:ascii="宋体" w:hAnsi="宋体" w:cs="Times New Roman"/>
                <w:sz w:val="24"/>
                <w:lang w:eastAsia="zh-CN"/>
              </w:rPr>
              <w:t>参数</w:t>
            </w:r>
          </w:p>
        </w:tc>
        <w:tc>
          <w:tcPr>
            <w:tcW w:w="1798" w:type="dxa"/>
            <w:vAlign w:val="center"/>
          </w:tcPr>
          <w:p w14:paraId="2883E686">
            <w:pPr>
              <w:keepNext w:val="0"/>
              <w:keepLines w:val="0"/>
              <w:suppressLineNumbers w:val="0"/>
              <w:adjustRightInd w:val="0"/>
              <w:snapToGrid w:val="0"/>
              <w:spacing w:before="0" w:beforeAutospacing="0" w:after="0" w:afterAutospacing="0"/>
              <w:ind w:left="0" w:right="0"/>
              <w:jc w:val="center"/>
              <w:rPr>
                <w:rFonts w:hint="eastAsia" w:ascii="宋体" w:hAnsi="宋体" w:cs="Times New Roman"/>
                <w:sz w:val="24"/>
              </w:rPr>
            </w:pPr>
            <w:r>
              <w:rPr>
                <w:rFonts w:hint="eastAsia" w:ascii="宋体" w:hAnsi="宋体" w:cs="Times New Roman"/>
                <w:sz w:val="24"/>
              </w:rPr>
              <w:t>响应说明</w:t>
            </w:r>
          </w:p>
          <w:p w14:paraId="01ACFBD7">
            <w:pPr>
              <w:keepNext w:val="0"/>
              <w:keepLines w:val="0"/>
              <w:suppressLineNumbers w:val="0"/>
              <w:adjustRightInd w:val="0"/>
              <w:snapToGrid w:val="0"/>
              <w:spacing w:before="0" w:beforeAutospacing="0" w:after="0" w:afterAutospacing="0"/>
              <w:ind w:left="0" w:right="0"/>
              <w:jc w:val="both"/>
              <w:rPr>
                <w:rFonts w:hint="eastAsia" w:ascii="宋体" w:eastAsia="宋体" w:cs="Times New Roman"/>
                <w:sz w:val="24"/>
                <w:lang w:eastAsia="zh-CN"/>
              </w:rPr>
            </w:pPr>
            <w:r>
              <w:rPr>
                <w:rFonts w:hint="eastAsia" w:ascii="宋体" w:hAnsi="宋体" w:cs="Times New Roman"/>
                <w:sz w:val="24"/>
                <w:lang w:eastAsia="zh-CN"/>
              </w:rPr>
              <w:t>（优于</w:t>
            </w:r>
            <w:r>
              <w:rPr>
                <w:rFonts w:hint="eastAsia" w:ascii="宋体" w:hAnsi="宋体" w:cs="Times New Roman"/>
                <w:sz w:val="24"/>
                <w:lang w:val="en-US" w:eastAsia="zh-CN"/>
              </w:rPr>
              <w:t>/相同</w:t>
            </w:r>
            <w:r>
              <w:rPr>
                <w:rFonts w:hint="eastAsia" w:ascii="宋体" w:hAnsi="宋体" w:cs="Times New Roman"/>
                <w:sz w:val="24"/>
                <w:lang w:eastAsia="zh-CN"/>
              </w:rPr>
              <w:t>）</w:t>
            </w:r>
          </w:p>
        </w:tc>
        <w:tc>
          <w:tcPr>
            <w:tcW w:w="1798" w:type="dxa"/>
            <w:vAlign w:val="center"/>
          </w:tcPr>
          <w:p w14:paraId="4118CF98">
            <w:pPr>
              <w:keepNext w:val="0"/>
              <w:keepLines w:val="0"/>
              <w:suppressLineNumbers w:val="0"/>
              <w:adjustRightInd w:val="0"/>
              <w:snapToGrid w:val="0"/>
              <w:spacing w:before="0" w:beforeAutospacing="0" w:after="0" w:afterAutospacing="0"/>
              <w:ind w:left="0" w:right="0" w:firstLine="240" w:firstLineChars="100"/>
              <w:jc w:val="both"/>
              <w:rPr>
                <w:rFonts w:hint="eastAsia" w:ascii="宋体" w:hAnsi="宋体" w:cs="Times New Roman"/>
                <w:sz w:val="24"/>
                <w:lang w:eastAsia="zh-CN"/>
              </w:rPr>
            </w:pPr>
            <w:r>
              <w:rPr>
                <w:rFonts w:hint="eastAsia" w:ascii="宋体" w:hAnsi="宋体" w:eastAsia="宋体" w:cs="Times New Roman"/>
                <w:sz w:val="24"/>
                <w:lang w:eastAsia="zh-CN"/>
              </w:rPr>
              <w:t>偏离简述</w:t>
            </w:r>
          </w:p>
        </w:tc>
      </w:tr>
      <w:tr w14:paraId="7A39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5C2F748E">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sz w:val="24"/>
                <w:lang w:val="en-US" w:eastAsia="zh-CN"/>
              </w:rPr>
            </w:pPr>
            <w:r>
              <w:rPr>
                <w:rFonts w:hint="eastAsia" w:ascii="宋体" w:cs="Times New Roman"/>
                <w:sz w:val="24"/>
                <w:lang w:val="en-US" w:eastAsia="zh-CN"/>
              </w:rPr>
              <w:t>1</w:t>
            </w:r>
          </w:p>
        </w:tc>
        <w:tc>
          <w:tcPr>
            <w:tcW w:w="1654" w:type="dxa"/>
            <w:vAlign w:val="center"/>
          </w:tcPr>
          <w:p w14:paraId="1DFE8E74">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6A85A011">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383BD873">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10A5483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1473A8D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r w14:paraId="5D20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18F53577">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sz w:val="24"/>
                <w:lang w:val="en-US" w:eastAsia="zh-CN"/>
              </w:rPr>
            </w:pPr>
            <w:r>
              <w:rPr>
                <w:rFonts w:hint="eastAsia" w:ascii="宋体" w:cs="Times New Roman"/>
                <w:sz w:val="24"/>
                <w:lang w:val="en-US" w:eastAsia="zh-CN"/>
              </w:rPr>
              <w:t>2</w:t>
            </w:r>
          </w:p>
        </w:tc>
        <w:tc>
          <w:tcPr>
            <w:tcW w:w="1654" w:type="dxa"/>
            <w:vAlign w:val="center"/>
          </w:tcPr>
          <w:p w14:paraId="16A6216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76C692E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72BF6E2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0C89BFA2">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3A0C37CE">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r w14:paraId="18E7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63F14721">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sz w:val="24"/>
                <w:lang w:val="en-US" w:eastAsia="zh-CN"/>
              </w:rPr>
            </w:pPr>
            <w:r>
              <w:rPr>
                <w:rFonts w:hint="eastAsia" w:ascii="宋体" w:cs="Times New Roman"/>
                <w:sz w:val="24"/>
                <w:lang w:val="en-US" w:eastAsia="zh-CN"/>
              </w:rPr>
              <w:t>3</w:t>
            </w:r>
          </w:p>
        </w:tc>
        <w:tc>
          <w:tcPr>
            <w:tcW w:w="1654" w:type="dxa"/>
            <w:vAlign w:val="center"/>
          </w:tcPr>
          <w:p w14:paraId="2994FDEB">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33CF9AB7">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0FA2913A">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4ABF366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2B3800C5">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r w14:paraId="7909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068C4D70">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sz w:val="24"/>
                <w:lang w:val="en-US" w:eastAsia="zh-CN"/>
              </w:rPr>
            </w:pPr>
            <w:r>
              <w:rPr>
                <w:rFonts w:hint="eastAsia" w:ascii="宋体" w:cs="Times New Roman"/>
                <w:sz w:val="24"/>
                <w:lang w:val="en-US" w:eastAsia="zh-CN"/>
              </w:rPr>
              <w:t>4</w:t>
            </w:r>
          </w:p>
        </w:tc>
        <w:tc>
          <w:tcPr>
            <w:tcW w:w="1654" w:type="dxa"/>
            <w:vAlign w:val="center"/>
          </w:tcPr>
          <w:p w14:paraId="709FFC9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1AAF6241">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3D094FEE">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6FE765CE">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3D263CA2">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r w14:paraId="01F7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5ABE88AD">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r>
              <w:rPr>
                <w:rFonts w:hint="eastAsia" w:ascii="宋体" w:hAnsi="宋体" w:eastAsia="宋体" w:cs="宋体"/>
                <w:b/>
                <w:szCs w:val="21"/>
                <w:lang w:val="en-US" w:eastAsia="zh-CN"/>
              </w:rPr>
              <w:t>...</w:t>
            </w:r>
          </w:p>
        </w:tc>
        <w:tc>
          <w:tcPr>
            <w:tcW w:w="1654" w:type="dxa"/>
            <w:vAlign w:val="center"/>
          </w:tcPr>
          <w:p w14:paraId="38EFBE25">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2C281F1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58ADDDD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7F6D017F">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416A0AD4">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bl>
    <w:p w14:paraId="42289C3F">
      <w:pPr>
        <w:spacing w:line="360" w:lineRule="auto"/>
        <w:rPr>
          <w:rFonts w:hint="eastAsia" w:ascii="宋体" w:hAnsi="宋体" w:cs="仿宋"/>
          <w:sz w:val="24"/>
          <w:szCs w:val="24"/>
        </w:rPr>
      </w:pPr>
    </w:p>
    <w:p w14:paraId="673AAEB1">
      <w:pPr>
        <w:pStyle w:val="12"/>
        <w:ind w:left="0" w:leftChars="0" w:firstLine="0" w:firstLineChars="0"/>
        <w:rPr>
          <w:rFonts w:hint="eastAsia" w:asciiTheme="majorEastAsia" w:hAnsiTheme="majorEastAsia" w:eastAsiaTheme="majorEastAsia" w:cstheme="majorEastAsia"/>
          <w:kern w:val="1"/>
          <w:sz w:val="24"/>
          <w:szCs w:val="24"/>
        </w:rPr>
      </w:pPr>
      <w:r>
        <w:rPr>
          <w:rFonts w:hint="eastAsia" w:ascii="宋体" w:hAnsi="宋体" w:cs="仿宋"/>
          <w:sz w:val="24"/>
          <w:szCs w:val="24"/>
        </w:rPr>
        <w:t>注：</w:t>
      </w:r>
      <w:r>
        <w:rPr>
          <w:rFonts w:hint="eastAsia" w:asciiTheme="majorEastAsia" w:hAnsiTheme="majorEastAsia" w:eastAsiaTheme="majorEastAsia" w:cstheme="majorEastAsia"/>
          <w:kern w:val="1"/>
          <w:sz w:val="24"/>
          <w:szCs w:val="24"/>
        </w:rPr>
        <w:t>1、如有漏报、瞒报招标文件所要求的性能指标等，将视为没有实质性响应招标文件。</w:t>
      </w:r>
    </w:p>
    <w:p w14:paraId="7CC7CBC8">
      <w:pPr>
        <w:spacing w:line="440" w:lineRule="exact"/>
        <w:ind w:firstLine="480" w:firstLineChars="200"/>
        <w:rPr>
          <w:rFonts w:hint="eastAsia" w:asciiTheme="majorEastAsia" w:hAnsiTheme="majorEastAsia" w:eastAsiaTheme="majorEastAsia" w:cstheme="majorEastAsia"/>
          <w:kern w:val="1"/>
          <w:sz w:val="24"/>
          <w:szCs w:val="24"/>
        </w:rPr>
      </w:pPr>
      <w:r>
        <w:rPr>
          <w:rFonts w:hint="eastAsia" w:asciiTheme="majorEastAsia" w:hAnsiTheme="majorEastAsia" w:eastAsiaTheme="majorEastAsia" w:cstheme="majorEastAsia"/>
          <w:kern w:val="1"/>
          <w:sz w:val="24"/>
          <w:szCs w:val="24"/>
        </w:rPr>
        <w:t>2、“</w:t>
      </w:r>
      <w:r>
        <w:rPr>
          <w:rFonts w:hint="eastAsia" w:asciiTheme="majorEastAsia" w:hAnsiTheme="majorEastAsia" w:eastAsiaTheme="majorEastAsia" w:cstheme="majorEastAsia"/>
          <w:kern w:val="1"/>
          <w:sz w:val="24"/>
          <w:szCs w:val="24"/>
          <w:lang w:val="en-US" w:eastAsia="zh-CN"/>
        </w:rPr>
        <w:t>投标</w:t>
      </w:r>
      <w:r>
        <w:rPr>
          <w:rFonts w:hint="eastAsia" w:asciiTheme="majorEastAsia" w:hAnsiTheme="majorEastAsia" w:eastAsiaTheme="majorEastAsia" w:cstheme="majorEastAsia"/>
          <w:kern w:val="1"/>
          <w:sz w:val="24"/>
          <w:szCs w:val="24"/>
        </w:rPr>
        <w:t>文件响应条款”必须与</w:t>
      </w:r>
      <w:r>
        <w:rPr>
          <w:rFonts w:hint="eastAsia" w:asciiTheme="majorEastAsia" w:hAnsiTheme="majorEastAsia" w:eastAsiaTheme="majorEastAsia" w:cstheme="majorEastAsia"/>
          <w:kern w:val="1"/>
          <w:sz w:val="24"/>
          <w:szCs w:val="24"/>
          <w:lang w:val="en-US" w:eastAsia="zh-CN"/>
        </w:rPr>
        <w:t>投标</w:t>
      </w:r>
      <w:r>
        <w:rPr>
          <w:rFonts w:hint="eastAsia" w:asciiTheme="majorEastAsia" w:hAnsiTheme="majorEastAsia" w:eastAsiaTheme="majorEastAsia" w:cstheme="majorEastAsia"/>
          <w:kern w:val="1"/>
          <w:sz w:val="24"/>
          <w:szCs w:val="24"/>
        </w:rPr>
        <w:t>文件中提供的证明材料的实质性响应情况相一致。若在评审环节发现该项与响应文件证明材料的实质性响应情况不一致，按无效响应处理。</w:t>
      </w:r>
      <w:r>
        <w:rPr>
          <w:rFonts w:hint="eastAsia" w:asciiTheme="majorEastAsia" w:hAnsiTheme="majorEastAsia" w:eastAsiaTheme="majorEastAsia" w:cstheme="majorEastAsia"/>
          <w:b/>
          <w:bCs/>
          <w:kern w:val="1"/>
          <w:sz w:val="24"/>
          <w:szCs w:val="24"/>
        </w:rPr>
        <w:t>提交空白表格视为供应商完全响应</w:t>
      </w:r>
      <w:r>
        <w:rPr>
          <w:rFonts w:hint="eastAsia" w:asciiTheme="majorEastAsia" w:hAnsiTheme="majorEastAsia" w:eastAsiaTheme="majorEastAsia" w:cstheme="majorEastAsia"/>
          <w:b/>
          <w:bCs/>
          <w:kern w:val="1"/>
          <w:sz w:val="24"/>
          <w:szCs w:val="24"/>
          <w:lang w:val="en-US" w:eastAsia="zh-CN"/>
        </w:rPr>
        <w:t>招标</w:t>
      </w:r>
      <w:r>
        <w:rPr>
          <w:rFonts w:hint="eastAsia" w:asciiTheme="majorEastAsia" w:hAnsiTheme="majorEastAsia" w:eastAsiaTheme="majorEastAsia" w:cstheme="majorEastAsia"/>
          <w:b/>
          <w:bCs/>
          <w:kern w:val="1"/>
          <w:sz w:val="24"/>
          <w:szCs w:val="24"/>
        </w:rPr>
        <w:t>文件技术要求。</w:t>
      </w:r>
    </w:p>
    <w:p w14:paraId="7219C14E">
      <w:pPr>
        <w:jc w:val="center"/>
        <w:rPr>
          <w:rFonts w:ascii="宋体" w:hAnsi="宋体"/>
          <w:b/>
          <w:sz w:val="24"/>
          <w:szCs w:val="24"/>
        </w:rPr>
      </w:pPr>
    </w:p>
    <w:p w14:paraId="221C64A7">
      <w:pPr>
        <w:pStyle w:val="15"/>
        <w:rPr>
          <w:rFonts w:ascii="宋体" w:hAnsi="宋体"/>
          <w:b/>
          <w:sz w:val="24"/>
          <w:szCs w:val="24"/>
        </w:rPr>
      </w:pPr>
    </w:p>
    <w:p w14:paraId="2A8D1BED"/>
    <w:p w14:paraId="4490FDC1">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bookmarkStart w:id="138" w:name="_Toc528240833"/>
      <w:bookmarkStart w:id="139" w:name="_Toc484198843"/>
      <w:bookmarkStart w:id="140" w:name="_Toc484890090"/>
      <w:r>
        <w:rPr>
          <w:rFonts w:hint="eastAsia" w:ascii="宋体" w:hAnsi="宋体" w:eastAsia="宋体" w:cs="宋体"/>
          <w:bCs/>
          <w:sz w:val="24"/>
          <w:szCs w:val="24"/>
        </w:rPr>
        <w:t>投标人名称（加盖公章）：</w:t>
      </w:r>
    </w:p>
    <w:p w14:paraId="6B689EFF">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39C44140">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78C93B29">
      <w:pPr>
        <w:widowControl/>
        <w:jc w:val="left"/>
      </w:pPr>
      <w:r>
        <w:br w:type="page"/>
      </w:r>
    </w:p>
    <w:p w14:paraId="73FE85AB">
      <w:pPr>
        <w:pStyle w:val="3"/>
        <w:ind w:firstLine="482" w:firstLineChars="150"/>
        <w:jc w:val="center"/>
      </w:pPr>
      <w:bookmarkStart w:id="141" w:name="_Toc23258629"/>
      <w:bookmarkStart w:id="142" w:name="_Toc26541340"/>
      <w:r>
        <w:rPr>
          <w:rFonts w:hint="eastAsia"/>
        </w:rPr>
        <w:t>商务响应偏离表</w:t>
      </w:r>
      <w:bookmarkEnd w:id="141"/>
      <w:bookmarkEnd w:id="142"/>
    </w:p>
    <w:tbl>
      <w:tblPr>
        <w:tblStyle w:val="42"/>
        <w:tblW w:w="9411"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00E0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92" w:type="dxa"/>
            <w:vAlign w:val="center"/>
          </w:tcPr>
          <w:p w14:paraId="0A944EF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b/>
                <w:szCs w:val="21"/>
                <w:lang w:val="en-US" w:eastAsia="zh-CN"/>
              </w:rPr>
              <w:t>序号</w:t>
            </w:r>
          </w:p>
        </w:tc>
        <w:tc>
          <w:tcPr>
            <w:tcW w:w="2835" w:type="dxa"/>
            <w:vAlign w:val="center"/>
          </w:tcPr>
          <w:p w14:paraId="58E9A8B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szCs w:val="21"/>
              </w:rPr>
              <w:t>招标文件商务要求</w:t>
            </w:r>
          </w:p>
        </w:tc>
        <w:tc>
          <w:tcPr>
            <w:tcW w:w="2552" w:type="dxa"/>
            <w:vAlign w:val="center"/>
          </w:tcPr>
          <w:p w14:paraId="0544365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szCs w:val="21"/>
              </w:rPr>
              <w:t>投标文件商务应答</w:t>
            </w:r>
          </w:p>
        </w:tc>
        <w:tc>
          <w:tcPr>
            <w:tcW w:w="1516" w:type="dxa"/>
            <w:vAlign w:val="center"/>
          </w:tcPr>
          <w:p w14:paraId="7D61F92B">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w:t>
            </w:r>
          </w:p>
          <w:p w14:paraId="41A2F34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szCs w:val="21"/>
              </w:rPr>
              <w:t>（无/正/负）</w:t>
            </w:r>
          </w:p>
        </w:tc>
        <w:tc>
          <w:tcPr>
            <w:tcW w:w="1516" w:type="dxa"/>
            <w:vAlign w:val="center"/>
          </w:tcPr>
          <w:p w14:paraId="465B40E5">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偏离简述</w:t>
            </w:r>
          </w:p>
        </w:tc>
      </w:tr>
      <w:tr w14:paraId="1E5D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46A82AB4">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835" w:type="dxa"/>
            <w:vAlign w:val="center"/>
          </w:tcPr>
          <w:p w14:paraId="75F57F83">
            <w:pPr>
              <w:keepNext w:val="0"/>
              <w:keepLines w:val="0"/>
              <w:suppressLineNumbers w:val="0"/>
              <w:spacing w:before="0" w:beforeAutospacing="0" w:after="0" w:afterAutospacing="0"/>
              <w:ind w:left="0" w:right="0"/>
              <w:jc w:val="center"/>
              <w:rPr>
                <w:rFonts w:hint="default" w:ascii="宋体" w:hAnsi="宋体"/>
                <w:sz w:val="24"/>
                <w:szCs w:val="24"/>
              </w:rPr>
            </w:pPr>
          </w:p>
        </w:tc>
        <w:tc>
          <w:tcPr>
            <w:tcW w:w="2552" w:type="dxa"/>
            <w:vAlign w:val="center"/>
          </w:tcPr>
          <w:p w14:paraId="75B08029">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46BA4D7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AA8AC36">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0240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6C424D1B">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835" w:type="dxa"/>
            <w:vAlign w:val="center"/>
          </w:tcPr>
          <w:p w14:paraId="63173C38">
            <w:pPr>
              <w:keepNext w:val="0"/>
              <w:keepLines w:val="0"/>
              <w:suppressLineNumbers w:val="0"/>
              <w:spacing w:before="0" w:beforeAutospacing="0" w:after="0" w:afterAutospacing="0"/>
              <w:ind w:left="0" w:right="0"/>
              <w:jc w:val="center"/>
              <w:rPr>
                <w:rFonts w:hint="default" w:ascii="宋体" w:hAnsi="宋体"/>
                <w:sz w:val="24"/>
                <w:szCs w:val="24"/>
              </w:rPr>
            </w:pPr>
          </w:p>
        </w:tc>
        <w:tc>
          <w:tcPr>
            <w:tcW w:w="2552" w:type="dxa"/>
            <w:vAlign w:val="center"/>
          </w:tcPr>
          <w:p w14:paraId="12AFAD21">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451ADBE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9778286">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41D1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15DC9AA2">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835" w:type="dxa"/>
            <w:vAlign w:val="center"/>
          </w:tcPr>
          <w:p w14:paraId="4562C1E5">
            <w:pPr>
              <w:keepNext w:val="0"/>
              <w:keepLines w:val="0"/>
              <w:suppressLineNumbers w:val="0"/>
              <w:spacing w:before="0" w:beforeAutospacing="0" w:after="0" w:afterAutospacing="0"/>
              <w:ind w:left="0" w:right="0"/>
              <w:jc w:val="center"/>
              <w:rPr>
                <w:rFonts w:hint="default" w:ascii="宋体" w:hAnsi="宋体"/>
                <w:sz w:val="24"/>
                <w:szCs w:val="24"/>
              </w:rPr>
            </w:pPr>
          </w:p>
        </w:tc>
        <w:tc>
          <w:tcPr>
            <w:tcW w:w="2552" w:type="dxa"/>
            <w:vAlign w:val="center"/>
          </w:tcPr>
          <w:p w14:paraId="3FF7FB1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1C658D20">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09FD175">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479F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2A8265C3">
            <w:pPr>
              <w:keepNext w:val="0"/>
              <w:keepLines w:val="0"/>
              <w:suppressLineNumbers w:val="0"/>
              <w:wordWrap w:val="0"/>
              <w:spacing w:before="0" w:beforeAutospacing="0" w:after="0" w:afterAutospacing="0"/>
              <w:ind w:left="0" w:right="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w:t>
            </w:r>
          </w:p>
        </w:tc>
        <w:tc>
          <w:tcPr>
            <w:tcW w:w="2835" w:type="dxa"/>
            <w:vAlign w:val="center"/>
          </w:tcPr>
          <w:p w14:paraId="27B13437">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030055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469A72B">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2C2EE6F0">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2A565F5B">
      <w:pPr>
        <w:spacing w:line="360" w:lineRule="auto"/>
        <w:ind w:firstLine="482" w:firstLineChars="200"/>
        <w:rPr>
          <w:b/>
          <w:bCs/>
          <w:sz w:val="24"/>
          <w:szCs w:val="24"/>
        </w:rPr>
      </w:pPr>
      <w:r>
        <w:rPr>
          <w:rFonts w:hint="eastAsia" w:ascii="宋体" w:hAnsi="宋体"/>
          <w:b/>
          <w:bCs/>
          <w:sz w:val="24"/>
          <w:szCs w:val="24"/>
        </w:rPr>
        <w:t>注：对招标文件中要求的商务条款响应并详细说明。</w:t>
      </w:r>
    </w:p>
    <w:p w14:paraId="7A2C0438">
      <w:pPr>
        <w:spacing w:line="360" w:lineRule="auto"/>
        <w:ind w:firstLine="420" w:firstLineChars="175"/>
        <w:rPr>
          <w:rFonts w:ascii="宋体" w:hAnsi="宋体"/>
          <w:sz w:val="24"/>
          <w:szCs w:val="24"/>
        </w:rPr>
      </w:pPr>
      <w:r>
        <w:rPr>
          <w:rFonts w:ascii="宋体" w:hAnsi="宋体"/>
          <w:sz w:val="24"/>
          <w:szCs w:val="24"/>
        </w:rPr>
        <w:t xml:space="preserve">    </w:t>
      </w:r>
    </w:p>
    <w:p w14:paraId="14230D02">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19FB1250">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1E299C1F">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33A488D9">
      <w:pPr>
        <w:spacing w:line="360" w:lineRule="auto"/>
        <w:ind w:firstLine="420" w:firstLineChars="175"/>
        <w:rPr>
          <w:rFonts w:ascii="宋体" w:hAnsi="宋体"/>
          <w:bCs/>
          <w:sz w:val="24"/>
          <w:szCs w:val="24"/>
        </w:rPr>
      </w:pPr>
    </w:p>
    <w:p w14:paraId="49F6F4F6">
      <w:pPr>
        <w:pStyle w:val="5"/>
      </w:pPr>
    </w:p>
    <w:p w14:paraId="280F16E5"/>
    <w:p w14:paraId="584418C0">
      <w:pPr>
        <w:pStyle w:val="5"/>
      </w:pPr>
    </w:p>
    <w:p w14:paraId="49D28148"/>
    <w:p w14:paraId="76528CAF">
      <w:pPr>
        <w:pStyle w:val="5"/>
      </w:pPr>
    </w:p>
    <w:p w14:paraId="0721DF6A"/>
    <w:p w14:paraId="64E54880">
      <w:pPr>
        <w:pStyle w:val="3"/>
        <w:ind w:firstLine="482" w:firstLineChars="150"/>
        <w:jc w:val="center"/>
        <w:rPr>
          <w:rFonts w:hint="eastAsia"/>
          <w:lang w:val="en-US" w:eastAsia="zh-CN"/>
        </w:rPr>
        <w:sectPr>
          <w:pgSz w:w="11906" w:h="16838"/>
          <w:pgMar w:top="1247" w:right="1417" w:bottom="1247" w:left="1417" w:header="850" w:footer="992" w:gutter="0"/>
          <w:pgNumType w:fmt="decimal"/>
          <w:cols w:space="0" w:num="1"/>
          <w:titlePg/>
          <w:rtlGutter w:val="0"/>
          <w:docGrid w:type="lines" w:linePitch="326" w:charSpace="0"/>
        </w:sectPr>
      </w:pPr>
      <w:bookmarkStart w:id="143" w:name="_Toc23258630"/>
      <w:bookmarkStart w:id="144" w:name="_Toc26541341"/>
    </w:p>
    <w:p w14:paraId="4271CEED">
      <w:pPr>
        <w:pStyle w:val="3"/>
        <w:ind w:firstLine="482" w:firstLineChars="150"/>
        <w:jc w:val="center"/>
      </w:pPr>
      <w:r>
        <w:rPr>
          <w:rFonts w:hint="eastAsia"/>
          <w:lang w:val="en-US" w:eastAsia="zh-CN"/>
        </w:rPr>
        <w:t>五</w:t>
      </w:r>
      <w:r>
        <w:t>、</w:t>
      </w:r>
      <w:r>
        <w:rPr>
          <w:rFonts w:hint="eastAsia"/>
        </w:rPr>
        <w:t>投标方案</w:t>
      </w:r>
      <w:bookmarkEnd w:id="143"/>
      <w:bookmarkEnd w:id="144"/>
    </w:p>
    <w:p w14:paraId="1CD04467">
      <w:pPr>
        <w:spacing w:line="360" w:lineRule="auto"/>
        <w:ind w:firstLine="482" w:firstLineChars="200"/>
      </w:pPr>
      <w:r>
        <w:rPr>
          <w:rFonts w:hint="eastAsia" w:ascii="宋体" w:hAnsi="宋体" w:eastAsia="宋体" w:cs="宋体"/>
          <w:b/>
          <w:sz w:val="24"/>
        </w:rPr>
        <w:t>供应商按照招标文件的要求编制的投标方案说明书，投标方案由供应商自行编写，无具体格式，参照</w:t>
      </w:r>
      <w:r>
        <w:rPr>
          <w:rFonts w:hint="eastAsia" w:ascii="宋体" w:hAnsi="宋体" w:eastAsia="宋体" w:cs="宋体"/>
          <w:b/>
          <w:sz w:val="24"/>
          <w:lang w:val="en-US" w:eastAsia="zh-CN"/>
        </w:rPr>
        <w:t>招标</w:t>
      </w:r>
      <w:r>
        <w:rPr>
          <w:rFonts w:hint="eastAsia" w:ascii="宋体" w:hAnsi="宋体" w:eastAsia="宋体" w:cs="宋体"/>
          <w:b/>
          <w:sz w:val="24"/>
        </w:rPr>
        <w:t>文件中的《评分明细表》各条款的要求与《采购内容</w:t>
      </w:r>
      <w:r>
        <w:rPr>
          <w:rFonts w:hint="eastAsia" w:ascii="宋体" w:hAnsi="宋体" w:eastAsia="宋体" w:cs="宋体"/>
          <w:b/>
          <w:sz w:val="24"/>
          <w:lang w:val="en-US" w:eastAsia="zh-CN"/>
        </w:rPr>
        <w:t>及要求</w:t>
      </w:r>
      <w:r>
        <w:rPr>
          <w:rFonts w:hint="eastAsia" w:ascii="宋体" w:hAnsi="宋体" w:eastAsia="宋体" w:cs="宋体"/>
          <w:b/>
          <w:sz w:val="24"/>
        </w:rPr>
        <w:t>》进行编制投标方案。</w:t>
      </w:r>
    </w:p>
    <w:p w14:paraId="6F751A64">
      <w:pPr>
        <w:spacing w:line="360" w:lineRule="auto"/>
        <w:ind w:firstLine="480" w:firstLineChars="200"/>
        <w:rPr>
          <w:rFonts w:ascii="宋体" w:hAnsi="宋体"/>
          <w:sz w:val="24"/>
          <w:szCs w:val="24"/>
        </w:rPr>
      </w:pPr>
    </w:p>
    <w:p w14:paraId="40A48F2F">
      <w:pPr>
        <w:spacing w:line="360" w:lineRule="auto"/>
        <w:ind w:firstLine="480" w:firstLineChars="200"/>
        <w:rPr>
          <w:rFonts w:ascii="宋体" w:hAnsi="宋体"/>
          <w:sz w:val="24"/>
          <w:szCs w:val="24"/>
        </w:rPr>
      </w:pPr>
    </w:p>
    <w:p w14:paraId="304A9C7E">
      <w:pPr>
        <w:spacing w:line="360" w:lineRule="auto"/>
        <w:ind w:firstLine="480" w:firstLineChars="200"/>
        <w:rPr>
          <w:rFonts w:ascii="宋体" w:hAnsi="宋体"/>
          <w:sz w:val="24"/>
          <w:szCs w:val="24"/>
        </w:rPr>
      </w:pPr>
    </w:p>
    <w:p w14:paraId="5F598207">
      <w:pPr>
        <w:widowControl/>
        <w:jc w:val="left"/>
        <w:rPr>
          <w:rFonts w:ascii="Calibri Light" w:hAnsi="Calibri Light"/>
          <w:b/>
          <w:bCs/>
          <w:sz w:val="32"/>
          <w:szCs w:val="32"/>
        </w:rPr>
      </w:pPr>
      <w:r>
        <w:rPr>
          <w:rFonts w:ascii="Calibri Light" w:hAnsi="Calibri Light"/>
          <w:b/>
          <w:bCs/>
          <w:sz w:val="32"/>
          <w:szCs w:val="32"/>
        </w:rPr>
        <w:br w:type="page"/>
      </w:r>
    </w:p>
    <w:bookmarkEnd w:id="138"/>
    <w:bookmarkEnd w:id="139"/>
    <w:bookmarkEnd w:id="140"/>
    <w:p w14:paraId="5BAC568F">
      <w:pPr>
        <w:pStyle w:val="3"/>
        <w:ind w:firstLine="482" w:firstLineChars="150"/>
        <w:jc w:val="center"/>
      </w:pPr>
      <w:bookmarkStart w:id="145" w:name="_Toc26541342"/>
      <w:bookmarkStart w:id="146" w:name="_Toc528240834"/>
      <w:bookmarkStart w:id="147" w:name="_Toc484198844"/>
      <w:bookmarkStart w:id="148" w:name="_Toc23258631"/>
      <w:r>
        <w:rPr>
          <w:rFonts w:hint="eastAsia"/>
        </w:rPr>
        <w:t>投标人情况表</w:t>
      </w:r>
      <w:bookmarkEnd w:id="145"/>
      <w:bookmarkEnd w:id="146"/>
      <w:bookmarkEnd w:id="147"/>
      <w:bookmarkEnd w:id="148"/>
    </w:p>
    <w:p w14:paraId="6315FC9E">
      <w:pPr>
        <w:autoSpaceDE w:val="0"/>
        <w:autoSpaceDN w:val="0"/>
        <w:adjustRightInd w:val="0"/>
        <w:spacing w:line="360" w:lineRule="exact"/>
        <w:jc w:val="center"/>
        <w:textAlignment w:val="baseline"/>
        <w:rPr>
          <w:rFonts w:ascii="宋体" w:hAnsi="宋体" w:cs="宋体"/>
          <w:b/>
          <w:bCs/>
          <w:kern w:val="20"/>
          <w:sz w:val="24"/>
          <w:szCs w:val="24"/>
        </w:rPr>
      </w:pPr>
      <w:bookmarkStart w:id="149" w:name="_Toc2768"/>
      <w:bookmarkStart w:id="150" w:name="_Toc14631"/>
      <w:bookmarkStart w:id="151" w:name="_Toc4115"/>
      <w:bookmarkStart w:id="152" w:name="_Toc403077652"/>
      <w:bookmarkStart w:id="153" w:name="_Toc396304714"/>
      <w:bookmarkStart w:id="154" w:name="_Toc214"/>
      <w:bookmarkStart w:id="155" w:name="_Toc17592"/>
      <w:bookmarkStart w:id="156" w:name="_Toc426457710"/>
      <w:r>
        <w:rPr>
          <w:rFonts w:hint="eastAsia" w:ascii="宋体" w:hAnsi="宋体" w:cs="宋体"/>
          <w:b/>
          <w:bCs/>
          <w:kern w:val="20"/>
          <w:sz w:val="24"/>
          <w:szCs w:val="24"/>
          <w:lang w:val="en-US" w:eastAsia="zh-CN"/>
        </w:rPr>
        <w:t xml:space="preserve">     </w:t>
      </w:r>
      <w:r>
        <w:rPr>
          <w:rFonts w:hint="eastAsia" w:ascii="宋体" w:hAnsi="宋体" w:cs="宋体"/>
          <w:b/>
          <w:bCs/>
          <w:kern w:val="20"/>
          <w:sz w:val="24"/>
          <w:szCs w:val="24"/>
        </w:rPr>
        <w:t>本项目拟投入人员汇总表</w:t>
      </w:r>
      <w:bookmarkEnd w:id="149"/>
      <w:bookmarkEnd w:id="150"/>
      <w:bookmarkEnd w:id="151"/>
      <w:bookmarkEnd w:id="152"/>
      <w:bookmarkEnd w:id="153"/>
      <w:bookmarkEnd w:id="154"/>
      <w:bookmarkEnd w:id="155"/>
      <w:bookmarkEnd w:id="156"/>
    </w:p>
    <w:p w14:paraId="6BFD3B8B">
      <w:pPr>
        <w:autoSpaceDE w:val="0"/>
        <w:autoSpaceDN w:val="0"/>
        <w:adjustRightInd w:val="0"/>
        <w:spacing w:line="360" w:lineRule="exact"/>
        <w:textAlignment w:val="baseline"/>
        <w:rPr>
          <w:rFonts w:ascii="宋体" w:hAnsi="宋体" w:cs="宋体"/>
          <w:b/>
          <w:bCs/>
          <w:kern w:val="20"/>
          <w:sz w:val="24"/>
          <w:szCs w:val="24"/>
        </w:rPr>
      </w:pPr>
    </w:p>
    <w:tbl>
      <w:tblPr>
        <w:tblStyle w:val="42"/>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7A63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042A8B5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序号</w:t>
            </w:r>
          </w:p>
        </w:tc>
        <w:tc>
          <w:tcPr>
            <w:tcW w:w="1656" w:type="dxa"/>
            <w:tcMar>
              <w:top w:w="15" w:type="dxa"/>
              <w:left w:w="15" w:type="dxa"/>
              <w:bottom w:w="0" w:type="dxa"/>
              <w:right w:w="15" w:type="dxa"/>
            </w:tcMar>
            <w:vAlign w:val="center"/>
          </w:tcPr>
          <w:p w14:paraId="4341CDD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姓  名</w:t>
            </w:r>
          </w:p>
        </w:tc>
        <w:tc>
          <w:tcPr>
            <w:tcW w:w="761" w:type="dxa"/>
            <w:tcMar>
              <w:top w:w="15" w:type="dxa"/>
              <w:left w:w="15" w:type="dxa"/>
              <w:bottom w:w="0" w:type="dxa"/>
              <w:right w:w="15" w:type="dxa"/>
            </w:tcMar>
            <w:vAlign w:val="center"/>
          </w:tcPr>
          <w:p w14:paraId="6D8B3CC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性别</w:t>
            </w:r>
          </w:p>
        </w:tc>
        <w:tc>
          <w:tcPr>
            <w:tcW w:w="761" w:type="dxa"/>
            <w:tcMar>
              <w:top w:w="15" w:type="dxa"/>
              <w:left w:w="15" w:type="dxa"/>
              <w:bottom w:w="0" w:type="dxa"/>
              <w:right w:w="15" w:type="dxa"/>
            </w:tcMar>
            <w:vAlign w:val="center"/>
          </w:tcPr>
          <w:p w14:paraId="7816BF3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年龄</w:t>
            </w:r>
          </w:p>
        </w:tc>
        <w:tc>
          <w:tcPr>
            <w:tcW w:w="761" w:type="dxa"/>
            <w:tcMar>
              <w:top w:w="15" w:type="dxa"/>
              <w:left w:w="15" w:type="dxa"/>
              <w:bottom w:w="0" w:type="dxa"/>
              <w:right w:w="15" w:type="dxa"/>
            </w:tcMar>
            <w:vAlign w:val="center"/>
          </w:tcPr>
          <w:p w14:paraId="361F989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学历</w:t>
            </w:r>
          </w:p>
        </w:tc>
        <w:tc>
          <w:tcPr>
            <w:tcW w:w="999" w:type="dxa"/>
            <w:tcMar>
              <w:top w:w="15" w:type="dxa"/>
              <w:left w:w="15" w:type="dxa"/>
              <w:bottom w:w="0" w:type="dxa"/>
              <w:right w:w="15" w:type="dxa"/>
            </w:tcMar>
            <w:vAlign w:val="center"/>
          </w:tcPr>
          <w:p w14:paraId="5030FA3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工作</w:t>
            </w:r>
          </w:p>
          <w:p w14:paraId="14C7F39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年限</w:t>
            </w:r>
          </w:p>
        </w:tc>
        <w:tc>
          <w:tcPr>
            <w:tcW w:w="2507" w:type="dxa"/>
            <w:tcMar>
              <w:top w:w="15" w:type="dxa"/>
              <w:left w:w="15" w:type="dxa"/>
              <w:bottom w:w="0" w:type="dxa"/>
              <w:right w:w="15" w:type="dxa"/>
            </w:tcMar>
            <w:vAlign w:val="center"/>
          </w:tcPr>
          <w:p w14:paraId="1F69C17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拟担任的职务</w:t>
            </w:r>
          </w:p>
        </w:tc>
        <w:tc>
          <w:tcPr>
            <w:tcW w:w="908" w:type="dxa"/>
            <w:tcMar>
              <w:top w:w="15" w:type="dxa"/>
              <w:left w:w="15" w:type="dxa"/>
              <w:bottom w:w="0" w:type="dxa"/>
              <w:right w:w="15" w:type="dxa"/>
            </w:tcMar>
            <w:vAlign w:val="center"/>
          </w:tcPr>
          <w:p w14:paraId="0C0B0FD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岗位</w:t>
            </w:r>
          </w:p>
          <w:p w14:paraId="6A3F101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情况</w:t>
            </w:r>
          </w:p>
        </w:tc>
      </w:tr>
      <w:tr w14:paraId="0B3D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F021E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4E8952C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69494A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CB173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F9258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A8843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47D3D6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7810AB1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35CE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A6E47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1D5792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1DB4FE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2BF257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D5A295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1F8A4B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C3EACA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68FAB7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50EC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95E81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538850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6CFC3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69DC02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ABE185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EC4024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3FFA36F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621DC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205C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5B3513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2A56C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A9CA8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EC3FF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92D03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0636EF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555C704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545AA72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720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CEA02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E10621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87D86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8BBE6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CCD3D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3D9D35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6E07E3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769545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4F0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5425A2A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91119F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09AE2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CBF95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103B6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33E1FC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155D1B9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F57072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6AC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FA5707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7C42D6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99033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3F41D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5D8BE4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08500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2E049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1D64B1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0454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C9DB6E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4DFC7D9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57588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0871C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99569D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136C29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41CBEA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5CD25D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6BC9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201301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595E48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522D9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E92FC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AE87D9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0C53CAC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7246DA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579D6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0E6A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868FB8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C5D50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8C4C17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A7583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0148F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B1DB8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57710E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17BFAE8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A6C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C7E37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5EC1CC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61357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40C6C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91B96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5008A04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256B5A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6FDFE4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3A89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4558F1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E053E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7FEE9E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82BC81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4868C6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4F539C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7FD9C3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3ECBA7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5324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46DC9F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4F50F0B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229F2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91C20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9875B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41000D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0CE2F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52E8ED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38A2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EC3D6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0DE5D0F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028D7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F86906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CE85B6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1CEAD5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162D422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0AB561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E3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2D7375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17DA990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00CAA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52F8BB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B49626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FE497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65C7F2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236F0C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E43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071C9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199000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20EF0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70EAF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FF9226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4FD27B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444D3C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2015E4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254B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3304482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ECEA5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0E6C3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F3912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2B06AF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0ECA0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14B4F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78842A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bl>
    <w:p w14:paraId="179FD33C"/>
    <w:p w14:paraId="697BC5A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bookmarkStart w:id="157" w:name="_Hlt491765944"/>
      <w:bookmarkEnd w:id="157"/>
      <w:bookmarkStart w:id="158" w:name="_Hlt491766019"/>
      <w:bookmarkEnd w:id="158"/>
      <w:bookmarkStart w:id="159" w:name="_Hlt491765868"/>
      <w:bookmarkEnd w:id="159"/>
      <w:bookmarkStart w:id="160" w:name="_Hlt491572882"/>
      <w:bookmarkEnd w:id="160"/>
      <w:bookmarkStart w:id="161" w:name="_Hlt491573425"/>
      <w:bookmarkEnd w:id="161"/>
      <w:r>
        <w:rPr>
          <w:rFonts w:hint="eastAsia" w:ascii="宋体" w:hAnsi="宋体" w:eastAsia="宋体" w:cs="宋体"/>
          <w:bCs/>
          <w:sz w:val="24"/>
          <w:szCs w:val="24"/>
        </w:rPr>
        <w:t>投标人名称（加盖公章）：</w:t>
      </w:r>
    </w:p>
    <w:p w14:paraId="68895243">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5F2322A3">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2F3CAAFD">
      <w:pPr>
        <w:rPr>
          <w:sz w:val="24"/>
          <w:szCs w:val="24"/>
        </w:rPr>
      </w:pPr>
    </w:p>
    <w:p w14:paraId="1B245340">
      <w:pPr>
        <w:spacing w:line="360" w:lineRule="auto"/>
        <w:ind w:firstLine="420" w:firstLineChars="175"/>
        <w:rPr>
          <w:rFonts w:ascii="宋体" w:hAnsi="宋体"/>
          <w:sz w:val="24"/>
          <w:szCs w:val="24"/>
        </w:rPr>
      </w:pPr>
      <w:r>
        <w:rPr>
          <w:rFonts w:ascii="宋体" w:hAnsi="宋体"/>
          <w:sz w:val="24"/>
          <w:szCs w:val="24"/>
        </w:rPr>
        <w:t xml:space="preserve">    </w:t>
      </w:r>
    </w:p>
    <w:p w14:paraId="1F8A5520">
      <w:pPr>
        <w:spacing w:line="360" w:lineRule="auto"/>
        <w:rPr>
          <w:rFonts w:ascii="宋体" w:hAnsi="宋体"/>
          <w:bCs/>
          <w:sz w:val="24"/>
          <w:szCs w:val="24"/>
        </w:rPr>
      </w:pPr>
      <w:r>
        <w:rPr>
          <w:rFonts w:hint="eastAsia" w:ascii="宋体" w:hAnsi="宋体"/>
          <w:sz w:val="24"/>
          <w:szCs w:val="24"/>
        </w:rPr>
        <w:t xml:space="preserve">   </w:t>
      </w:r>
    </w:p>
    <w:p w14:paraId="63AAA086">
      <w:pPr>
        <w:tabs>
          <w:tab w:val="left" w:pos="2040"/>
        </w:tabs>
        <w:adjustRightInd w:val="0"/>
        <w:snapToGrid w:val="0"/>
        <w:spacing w:line="400" w:lineRule="exact"/>
        <w:rPr>
          <w:rFonts w:ascii="宋体" w:hAnsi="宋体" w:cs="宋体"/>
          <w:bCs/>
          <w:kern w:val="0"/>
          <w:sz w:val="24"/>
          <w:szCs w:val="24"/>
        </w:rPr>
      </w:pPr>
      <w:bookmarkStart w:id="162" w:name="_Toc484890091"/>
      <w:bookmarkStart w:id="163" w:name="_Toc528240836"/>
    </w:p>
    <w:p w14:paraId="42358F2C">
      <w:pPr>
        <w:pStyle w:val="35"/>
      </w:pPr>
    </w:p>
    <w:bookmarkEnd w:id="162"/>
    <w:bookmarkEnd w:id="163"/>
    <w:p w14:paraId="43E206E7">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业绩情况一览表</w:t>
      </w:r>
    </w:p>
    <w:tbl>
      <w:tblPr>
        <w:tblStyle w:val="42"/>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171BF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1E8A71D">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4" w:type="dxa"/>
            <w:vAlign w:val="center"/>
          </w:tcPr>
          <w:p w14:paraId="009ADCD2">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069" w:type="dxa"/>
            <w:vAlign w:val="center"/>
          </w:tcPr>
          <w:p w14:paraId="6BBA21CA">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合同标的产品</w:t>
            </w:r>
          </w:p>
        </w:tc>
        <w:tc>
          <w:tcPr>
            <w:tcW w:w="1244" w:type="dxa"/>
            <w:vAlign w:val="center"/>
          </w:tcPr>
          <w:p w14:paraId="253D522D">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648B1920">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820" w:type="dxa"/>
            <w:vAlign w:val="center"/>
          </w:tcPr>
          <w:p w14:paraId="4C88C597">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20" w:type="dxa"/>
            <w:vAlign w:val="center"/>
          </w:tcPr>
          <w:p w14:paraId="0E65F114">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联系人及电话</w:t>
            </w:r>
          </w:p>
        </w:tc>
      </w:tr>
      <w:tr w14:paraId="04B49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D3FC568">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1</w:t>
            </w:r>
          </w:p>
        </w:tc>
        <w:tc>
          <w:tcPr>
            <w:tcW w:w="1404" w:type="dxa"/>
            <w:vAlign w:val="center"/>
          </w:tcPr>
          <w:p w14:paraId="56F86299">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B71FDD5">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5114F258">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00BE366C">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0F3800C5">
            <w:pPr>
              <w:keepNext w:val="0"/>
              <w:keepLines w:val="0"/>
              <w:suppressLineNumbers w:val="0"/>
              <w:spacing w:before="0" w:beforeAutospacing="0" w:after="0" w:afterAutospacing="0"/>
              <w:ind w:left="0" w:right="0"/>
              <w:jc w:val="center"/>
              <w:rPr>
                <w:rFonts w:hint="default" w:ascii="宋体" w:hAnsi="宋体"/>
                <w:sz w:val="24"/>
                <w:szCs w:val="24"/>
              </w:rPr>
            </w:pPr>
          </w:p>
        </w:tc>
      </w:tr>
      <w:tr w14:paraId="786BF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632733A">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2</w:t>
            </w:r>
          </w:p>
        </w:tc>
        <w:tc>
          <w:tcPr>
            <w:tcW w:w="1404" w:type="dxa"/>
            <w:vAlign w:val="center"/>
          </w:tcPr>
          <w:p w14:paraId="6306F76E">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4DA540DB">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04DA343C">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73ED13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86E1376">
            <w:pPr>
              <w:keepNext w:val="0"/>
              <w:keepLines w:val="0"/>
              <w:suppressLineNumbers w:val="0"/>
              <w:spacing w:before="0" w:beforeAutospacing="0" w:after="0" w:afterAutospacing="0"/>
              <w:ind w:left="0" w:right="0"/>
              <w:jc w:val="center"/>
              <w:rPr>
                <w:rFonts w:hint="default" w:ascii="宋体" w:hAnsi="宋体"/>
                <w:sz w:val="24"/>
                <w:szCs w:val="24"/>
              </w:rPr>
            </w:pPr>
          </w:p>
        </w:tc>
      </w:tr>
      <w:tr w14:paraId="61078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AD68C6C">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3</w:t>
            </w:r>
          </w:p>
        </w:tc>
        <w:tc>
          <w:tcPr>
            <w:tcW w:w="1404" w:type="dxa"/>
            <w:vAlign w:val="center"/>
          </w:tcPr>
          <w:p w14:paraId="4AC5ADB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4ED12AFF">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6CEEF22D">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44CEBF5">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CC85BB8">
            <w:pPr>
              <w:keepNext w:val="0"/>
              <w:keepLines w:val="0"/>
              <w:suppressLineNumbers w:val="0"/>
              <w:spacing w:before="0" w:beforeAutospacing="0" w:after="0" w:afterAutospacing="0"/>
              <w:ind w:left="0" w:right="0"/>
              <w:jc w:val="center"/>
              <w:rPr>
                <w:rFonts w:hint="default" w:ascii="宋体" w:hAnsi="宋体"/>
                <w:sz w:val="24"/>
                <w:szCs w:val="24"/>
              </w:rPr>
            </w:pPr>
          </w:p>
        </w:tc>
      </w:tr>
      <w:tr w14:paraId="4900F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6D22167">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4</w:t>
            </w:r>
          </w:p>
        </w:tc>
        <w:tc>
          <w:tcPr>
            <w:tcW w:w="1404" w:type="dxa"/>
            <w:vAlign w:val="center"/>
          </w:tcPr>
          <w:p w14:paraId="6E887245">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8EA2361">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4DFF1C1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428759C3">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4967366">
            <w:pPr>
              <w:keepNext w:val="0"/>
              <w:keepLines w:val="0"/>
              <w:suppressLineNumbers w:val="0"/>
              <w:spacing w:before="0" w:beforeAutospacing="0" w:after="0" w:afterAutospacing="0"/>
              <w:ind w:left="0" w:right="0"/>
              <w:jc w:val="center"/>
              <w:rPr>
                <w:rFonts w:hint="default" w:ascii="宋体" w:hAnsi="宋体"/>
                <w:sz w:val="24"/>
                <w:szCs w:val="24"/>
              </w:rPr>
            </w:pPr>
          </w:p>
        </w:tc>
      </w:tr>
      <w:tr w14:paraId="1B4EE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39D47DB">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5</w:t>
            </w:r>
          </w:p>
        </w:tc>
        <w:tc>
          <w:tcPr>
            <w:tcW w:w="1404" w:type="dxa"/>
            <w:vAlign w:val="center"/>
          </w:tcPr>
          <w:p w14:paraId="1A010D0F">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603927D0">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7DE322A2">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9AF2DCF">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94BA17D">
            <w:pPr>
              <w:keepNext w:val="0"/>
              <w:keepLines w:val="0"/>
              <w:suppressLineNumbers w:val="0"/>
              <w:spacing w:before="0" w:beforeAutospacing="0" w:after="0" w:afterAutospacing="0"/>
              <w:ind w:left="0" w:right="0"/>
              <w:jc w:val="center"/>
              <w:rPr>
                <w:rFonts w:hint="default" w:ascii="宋体" w:hAnsi="宋体"/>
                <w:sz w:val="24"/>
                <w:szCs w:val="24"/>
              </w:rPr>
            </w:pPr>
          </w:p>
        </w:tc>
      </w:tr>
      <w:tr w14:paraId="539EA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0FEA9823">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w:t>
            </w:r>
          </w:p>
        </w:tc>
        <w:tc>
          <w:tcPr>
            <w:tcW w:w="1404" w:type="dxa"/>
            <w:vAlign w:val="center"/>
          </w:tcPr>
          <w:p w14:paraId="3509280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6621FEA4">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7C33658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43001BE">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B1F0B42">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5A7E46C5">
      <w:pPr>
        <w:tabs>
          <w:tab w:val="left" w:pos="8782"/>
        </w:tabs>
        <w:snapToGrid w:val="0"/>
        <w:spacing w:line="360" w:lineRule="auto"/>
        <w:ind w:firstLine="480" w:firstLineChars="200"/>
        <w:rPr>
          <w:rFonts w:ascii="宋体" w:hAnsi="宋体"/>
          <w:sz w:val="24"/>
          <w:szCs w:val="24"/>
        </w:rPr>
      </w:pPr>
      <w:r>
        <w:rPr>
          <w:rFonts w:hint="eastAsia" w:ascii="宋体" w:hAnsi="宋体"/>
          <w:sz w:val="24"/>
          <w:szCs w:val="24"/>
        </w:rPr>
        <w:t>注：1.投标人应如实列出以上情况，如有隐瞒，一经查实将导致其报价申请被拒绝。</w:t>
      </w:r>
    </w:p>
    <w:p w14:paraId="72BA4464">
      <w:pPr>
        <w:tabs>
          <w:tab w:val="left" w:pos="8782"/>
        </w:tabs>
        <w:snapToGrid w:val="0"/>
        <w:spacing w:line="360" w:lineRule="auto"/>
        <w:ind w:firstLine="840" w:firstLineChars="350"/>
        <w:rPr>
          <w:rFonts w:ascii="宋体" w:hAnsi="宋体"/>
          <w:sz w:val="24"/>
          <w:szCs w:val="24"/>
        </w:rPr>
      </w:pPr>
      <w:r>
        <w:rPr>
          <w:rFonts w:hint="eastAsia" w:ascii="宋体" w:hAnsi="宋体"/>
          <w:sz w:val="24"/>
          <w:szCs w:val="24"/>
        </w:rPr>
        <w:t>2.投标人应提供双方签订的合同（合同复印件加盖公章</w:t>
      </w:r>
      <w:r>
        <w:rPr>
          <w:rFonts w:hint="eastAsia" w:ascii="宋体" w:hAnsi="宋体"/>
          <w:sz w:val="24"/>
          <w:szCs w:val="24"/>
          <w:lang w:val="en-US" w:eastAsia="zh-CN"/>
        </w:rPr>
        <w:t>附</w:t>
      </w:r>
      <w:r>
        <w:rPr>
          <w:rFonts w:hint="eastAsia" w:ascii="宋体" w:hAnsi="宋体"/>
          <w:sz w:val="24"/>
          <w:szCs w:val="24"/>
        </w:rPr>
        <w:t xml:space="preserve">在投标文件中）。 </w:t>
      </w:r>
    </w:p>
    <w:p w14:paraId="3C0AE39E">
      <w:pPr>
        <w:tabs>
          <w:tab w:val="left" w:pos="8782"/>
        </w:tabs>
        <w:snapToGrid w:val="0"/>
        <w:spacing w:line="360" w:lineRule="auto"/>
        <w:ind w:firstLine="840" w:firstLineChars="350"/>
        <w:rPr>
          <w:rFonts w:ascii="宋体" w:hAnsi="宋体"/>
          <w:sz w:val="24"/>
          <w:szCs w:val="24"/>
        </w:rPr>
      </w:pPr>
    </w:p>
    <w:p w14:paraId="3637ED38">
      <w:pPr>
        <w:pStyle w:val="15"/>
      </w:pPr>
    </w:p>
    <w:p w14:paraId="713DD80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30BF410E">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3DC38ABD">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6726FD2B">
      <w:pPr>
        <w:spacing w:line="360" w:lineRule="auto"/>
        <w:ind w:firstLine="2520" w:firstLineChars="1050"/>
        <w:rPr>
          <w:rFonts w:ascii="宋体" w:hAnsi="宋体" w:cs="仿宋_GB2312"/>
          <w:sz w:val="24"/>
          <w:szCs w:val="24"/>
        </w:rPr>
        <w:sectPr>
          <w:pgSz w:w="11906" w:h="16838"/>
          <w:pgMar w:top="1247" w:right="1417" w:bottom="1247" w:left="1417" w:header="850" w:footer="992" w:gutter="0"/>
          <w:pgNumType w:fmt="decimal"/>
          <w:cols w:space="0" w:num="1"/>
          <w:titlePg/>
          <w:rtlGutter w:val="0"/>
          <w:docGrid w:type="lines" w:linePitch="326" w:charSpace="0"/>
        </w:sectPr>
      </w:pPr>
    </w:p>
    <w:p w14:paraId="41745FA7">
      <w:pPr>
        <w:pStyle w:val="3"/>
        <w:ind w:firstLine="482" w:firstLineChars="150"/>
        <w:jc w:val="center"/>
      </w:pPr>
      <w:bookmarkStart w:id="164" w:name="_Toc23258634"/>
      <w:bookmarkStart w:id="165" w:name="_Toc528240840"/>
      <w:bookmarkStart w:id="166" w:name="_Toc1106"/>
      <w:bookmarkStart w:id="167" w:name="_Toc26541345"/>
      <w:r>
        <w:rPr>
          <w:rFonts w:hint="eastAsia"/>
          <w:lang w:val="en-US" w:eastAsia="zh-CN"/>
        </w:rPr>
        <w:t>六</w:t>
      </w:r>
      <w:r>
        <w:rPr>
          <w:rFonts w:hint="eastAsia"/>
        </w:rPr>
        <w:t>、采购服务机构拒绝政府采购领域商业贿赂承诺书</w:t>
      </w:r>
      <w:bookmarkEnd w:id="164"/>
      <w:bookmarkEnd w:id="165"/>
      <w:bookmarkEnd w:id="166"/>
      <w:bookmarkEnd w:id="167"/>
    </w:p>
    <w:p w14:paraId="544D0CA5">
      <w:pPr>
        <w:widowControl/>
        <w:spacing w:line="480" w:lineRule="exact"/>
        <w:jc w:val="center"/>
        <w:rPr>
          <w:rFonts w:ascii="宋体" w:hAnsi="宋体" w:cs="仿宋"/>
          <w:bCs/>
          <w:kern w:val="0"/>
          <w:sz w:val="24"/>
          <w:szCs w:val="28"/>
        </w:rPr>
      </w:pPr>
      <w:r>
        <w:rPr>
          <w:rFonts w:hint="eastAsia" w:ascii="宋体" w:hAnsi="宋体" w:cs="仿宋"/>
          <w:bCs/>
          <w:kern w:val="0"/>
          <w:sz w:val="24"/>
          <w:szCs w:val="28"/>
        </w:rPr>
        <w:t>政府采购供应商拒绝政府采购领域商业贿赂承诺书</w:t>
      </w:r>
    </w:p>
    <w:p w14:paraId="61342E3F">
      <w:pPr>
        <w:widowControl/>
        <w:spacing w:line="240" w:lineRule="exact"/>
        <w:ind w:firstLine="420" w:firstLineChars="200"/>
        <w:jc w:val="left"/>
        <w:rPr>
          <w:rFonts w:ascii="宋体" w:hAnsi="宋体" w:cs="仿宋"/>
          <w:bCs/>
          <w:kern w:val="0"/>
          <w:szCs w:val="21"/>
        </w:rPr>
      </w:pPr>
    </w:p>
    <w:p w14:paraId="62C53754">
      <w:pPr>
        <w:widowControl/>
        <w:spacing w:line="440" w:lineRule="exact"/>
        <w:ind w:firstLine="480" w:firstLineChars="200"/>
        <w:rPr>
          <w:rFonts w:ascii="宋体" w:hAnsi="宋体" w:cs="仿宋"/>
          <w:bCs/>
          <w:kern w:val="0"/>
          <w:sz w:val="22"/>
          <w:szCs w:val="24"/>
        </w:rPr>
      </w:pPr>
      <w:r>
        <w:rPr>
          <w:rFonts w:hint="eastAsia" w:ascii="宋体" w:hAnsi="宋体" w:cs="仿宋"/>
          <w:bCs/>
          <w:kern w:val="0"/>
          <w:sz w:val="24"/>
          <w:szCs w:val="28"/>
        </w:rPr>
        <w:t xml:space="preserve">为响应党中央、国务院关于治理政府采购领域商业贿赂行为的号召，我单位在此庄严承诺： </w:t>
      </w:r>
      <w:r>
        <w:rPr>
          <w:rFonts w:hint="eastAsia" w:ascii="宋体" w:hAnsi="宋体" w:cs="仿宋"/>
          <w:bCs/>
          <w:kern w:val="0"/>
          <w:sz w:val="24"/>
          <w:szCs w:val="28"/>
        </w:rPr>
        <w:br w:type="textWrapping"/>
      </w:r>
      <w:r>
        <w:rPr>
          <w:rFonts w:hint="eastAsia" w:ascii="宋体" w:hAnsi="宋体" w:cs="仿宋"/>
          <w:bCs/>
          <w:kern w:val="0"/>
          <w:sz w:val="24"/>
          <w:szCs w:val="28"/>
        </w:rPr>
        <w:t xml:space="preserve">　　1、在参与政府采购活动中遵纪守法、诚信经营、公平竞标。 </w:t>
      </w:r>
      <w:r>
        <w:rPr>
          <w:rFonts w:hint="eastAsia" w:ascii="宋体" w:hAnsi="宋体" w:cs="仿宋"/>
          <w:bCs/>
          <w:kern w:val="0"/>
          <w:sz w:val="24"/>
          <w:szCs w:val="28"/>
        </w:rPr>
        <w:br w:type="textWrapping"/>
      </w:r>
      <w:r>
        <w:rPr>
          <w:rFonts w:hint="eastAsia" w:ascii="宋体" w:hAnsi="宋体" w:cs="仿宋"/>
          <w:bCs/>
          <w:kern w:val="0"/>
          <w:sz w:val="24"/>
          <w:szCs w:val="28"/>
        </w:rPr>
        <w:t xml:space="preserve">　　2、不向采购人、招标代理机构和政府采购评审专家进行任何形式的商业贿赂以谋取交易机会。 </w:t>
      </w:r>
      <w:r>
        <w:rPr>
          <w:rFonts w:hint="eastAsia" w:ascii="宋体" w:hAnsi="宋体" w:cs="仿宋"/>
          <w:bCs/>
          <w:kern w:val="0"/>
          <w:sz w:val="24"/>
          <w:szCs w:val="28"/>
        </w:rPr>
        <w:br w:type="textWrapping"/>
      </w:r>
      <w:r>
        <w:rPr>
          <w:rFonts w:hint="eastAsia" w:ascii="宋体" w:hAnsi="宋体" w:cs="仿宋"/>
          <w:bCs/>
          <w:kern w:val="0"/>
          <w:sz w:val="24"/>
          <w:szCs w:val="28"/>
        </w:rPr>
        <w:t xml:space="preserve">   3、不向政府采购招标代理机构和采购人提供虚假资质文件或采用虚假应标方式参与政府采购市场竞争并谋取成交、成交。 </w:t>
      </w:r>
      <w:r>
        <w:rPr>
          <w:rFonts w:hint="eastAsia" w:ascii="宋体" w:hAnsi="宋体" w:cs="仿宋"/>
          <w:bCs/>
          <w:kern w:val="0"/>
          <w:sz w:val="24"/>
          <w:szCs w:val="28"/>
        </w:rPr>
        <w:br w:type="textWrapping"/>
      </w:r>
      <w:r>
        <w:rPr>
          <w:rFonts w:hint="eastAsia" w:ascii="宋体" w:hAnsi="宋体" w:cs="仿宋"/>
          <w:bCs/>
          <w:kern w:val="0"/>
          <w:sz w:val="24"/>
          <w:szCs w:val="28"/>
        </w:rPr>
        <w:t xml:space="preserve">   4、不采取“围标、陪标”等商业欺诈手段获得政府采购定单。 </w:t>
      </w:r>
      <w:r>
        <w:rPr>
          <w:rFonts w:hint="eastAsia" w:ascii="宋体" w:hAnsi="宋体" w:cs="仿宋"/>
          <w:bCs/>
          <w:kern w:val="0"/>
          <w:sz w:val="24"/>
          <w:szCs w:val="28"/>
        </w:rPr>
        <w:br w:type="textWrapping"/>
      </w:r>
      <w:r>
        <w:rPr>
          <w:rFonts w:hint="eastAsia" w:ascii="宋体" w:hAnsi="宋体" w:cs="仿宋"/>
          <w:bCs/>
          <w:kern w:val="0"/>
          <w:sz w:val="24"/>
          <w:szCs w:val="28"/>
        </w:rPr>
        <w:t xml:space="preserve">   5、不采取不正当手段低毁、排挤其他供应商。 </w:t>
      </w:r>
      <w:r>
        <w:rPr>
          <w:rFonts w:hint="eastAsia" w:ascii="宋体" w:hAnsi="宋体" w:cs="仿宋"/>
          <w:bCs/>
          <w:kern w:val="0"/>
          <w:sz w:val="24"/>
          <w:szCs w:val="28"/>
        </w:rPr>
        <w:br w:type="textWrapping"/>
      </w:r>
      <w:r>
        <w:rPr>
          <w:rFonts w:hint="eastAsia" w:ascii="宋体" w:hAnsi="宋体" w:cs="仿宋"/>
          <w:bCs/>
          <w:kern w:val="0"/>
          <w:sz w:val="24"/>
          <w:szCs w:val="28"/>
        </w:rPr>
        <w:t xml:space="preserve">   6、不在提供商品和服务时“偷梁换柱、以次充好”损害采购人的合法权益。 </w:t>
      </w:r>
      <w:r>
        <w:rPr>
          <w:rFonts w:hint="eastAsia" w:ascii="宋体" w:hAnsi="宋体" w:cs="仿宋"/>
          <w:bCs/>
          <w:kern w:val="0"/>
          <w:sz w:val="24"/>
          <w:szCs w:val="28"/>
        </w:rPr>
        <w:br w:type="textWrapping"/>
      </w:r>
      <w:r>
        <w:rPr>
          <w:rFonts w:hint="eastAsia" w:ascii="宋体" w:hAnsi="宋体" w:cs="仿宋"/>
          <w:bCs/>
          <w:kern w:val="0"/>
          <w:sz w:val="24"/>
          <w:szCs w:val="28"/>
        </w:rPr>
        <w:t xml:space="preserve">   7、不与采购人、招标代理机构政府采购评审专家或其它供应商恶意串通，进行质疑和投诉，维护政府采购市场秩序。 </w:t>
      </w:r>
      <w:r>
        <w:rPr>
          <w:rFonts w:hint="eastAsia" w:ascii="宋体" w:hAnsi="宋体" w:cs="仿宋"/>
          <w:bCs/>
          <w:kern w:val="0"/>
          <w:sz w:val="24"/>
          <w:szCs w:val="28"/>
        </w:rPr>
        <w:br w:type="textWrapping"/>
      </w:r>
      <w:r>
        <w:rPr>
          <w:rFonts w:hint="eastAsia" w:ascii="宋体" w:hAnsi="宋体" w:cs="仿宋"/>
          <w:bCs/>
          <w:kern w:val="0"/>
          <w:sz w:val="24"/>
          <w:szCs w:val="28"/>
        </w:rPr>
        <w:t xml:space="preserve">   8、尊重和接受政府采购监督管理部门的监督和政府招标代理机构招标要求，承担因违约行为给采购人造成的损失。 </w:t>
      </w:r>
      <w:r>
        <w:rPr>
          <w:rFonts w:hint="eastAsia" w:ascii="宋体" w:hAnsi="宋体" w:cs="仿宋"/>
          <w:bCs/>
          <w:kern w:val="0"/>
          <w:sz w:val="24"/>
          <w:szCs w:val="28"/>
        </w:rPr>
        <w:br w:type="textWrapping"/>
      </w:r>
      <w:r>
        <w:rPr>
          <w:rFonts w:hint="eastAsia" w:ascii="宋体" w:hAnsi="宋体" w:cs="仿宋"/>
          <w:bCs/>
          <w:kern w:val="0"/>
          <w:sz w:val="24"/>
          <w:szCs w:val="28"/>
        </w:rPr>
        <w:t xml:space="preserve">　　9、不发生其他有悖于政府采购公开、公平、公正和诚信原则的行为。 </w:t>
      </w:r>
    </w:p>
    <w:p w14:paraId="326FEA00">
      <w:pPr>
        <w:widowControl/>
        <w:spacing w:line="440" w:lineRule="exact"/>
        <w:ind w:firstLine="960" w:firstLineChars="400"/>
        <w:rPr>
          <w:rFonts w:ascii="宋体" w:hAnsi="宋体" w:cs="仿宋"/>
          <w:bCs/>
          <w:kern w:val="0"/>
          <w:sz w:val="24"/>
          <w:szCs w:val="28"/>
        </w:rPr>
      </w:pPr>
    </w:p>
    <w:p w14:paraId="6091DD2F">
      <w:pPr>
        <w:widowControl/>
        <w:spacing w:line="440" w:lineRule="exact"/>
        <w:ind w:firstLine="960" w:firstLineChars="400"/>
        <w:rPr>
          <w:rFonts w:ascii="宋体" w:hAnsi="宋体" w:cs="仿宋"/>
          <w:bCs/>
          <w:kern w:val="0"/>
          <w:sz w:val="24"/>
          <w:szCs w:val="28"/>
        </w:rPr>
      </w:pPr>
      <w:r>
        <w:rPr>
          <w:rFonts w:hint="eastAsia" w:ascii="宋体" w:hAnsi="宋体" w:cs="仿宋"/>
          <w:bCs/>
          <w:kern w:val="0"/>
          <w:sz w:val="24"/>
          <w:szCs w:val="28"/>
        </w:rPr>
        <w:t>承诺单位：</w:t>
      </w:r>
      <w:r>
        <w:rPr>
          <w:rFonts w:hint="eastAsia" w:ascii="宋体" w:hAnsi="宋体" w:cs="仿宋"/>
          <w:bCs/>
          <w:kern w:val="0"/>
          <w:sz w:val="24"/>
          <w:szCs w:val="28"/>
          <w:u w:val="single"/>
        </w:rPr>
        <w:t>　　                 　</w:t>
      </w:r>
      <w:r>
        <w:rPr>
          <w:rFonts w:hint="eastAsia" w:ascii="宋体" w:hAnsi="宋体" w:cs="仿宋"/>
          <w:bCs/>
          <w:kern w:val="0"/>
          <w:sz w:val="24"/>
          <w:szCs w:val="28"/>
        </w:rPr>
        <w:t>（盖章）</w:t>
      </w:r>
    </w:p>
    <w:p w14:paraId="71E847F4">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全权代表：</w:t>
      </w:r>
      <w:r>
        <w:rPr>
          <w:rFonts w:hint="eastAsia" w:ascii="宋体" w:hAnsi="宋体" w:cs="仿宋"/>
          <w:bCs/>
          <w:kern w:val="0"/>
          <w:sz w:val="24"/>
          <w:szCs w:val="28"/>
          <w:u w:val="single"/>
        </w:rPr>
        <w:t>　　　　　     　　　　</w:t>
      </w:r>
      <w:r>
        <w:rPr>
          <w:rFonts w:hint="eastAsia" w:ascii="宋体" w:hAnsi="宋体" w:cs="仿宋"/>
          <w:bCs/>
          <w:kern w:val="0"/>
          <w:sz w:val="24"/>
          <w:szCs w:val="28"/>
        </w:rPr>
        <w:t xml:space="preserve">（签字） </w:t>
      </w:r>
    </w:p>
    <w:p w14:paraId="36DC90DD">
      <w:pPr>
        <w:widowControl/>
        <w:spacing w:line="520" w:lineRule="exact"/>
        <w:ind w:firstLine="480" w:firstLineChars="200"/>
        <w:rPr>
          <w:rFonts w:ascii="宋体" w:hAnsi="宋体" w:cs="仿宋"/>
          <w:bCs/>
          <w:kern w:val="0"/>
          <w:sz w:val="24"/>
          <w:szCs w:val="28"/>
          <w:u w:val="single"/>
        </w:rPr>
      </w:pPr>
      <w:r>
        <w:rPr>
          <w:rFonts w:hint="eastAsia" w:ascii="宋体" w:hAnsi="宋体" w:cs="仿宋"/>
          <w:bCs/>
          <w:kern w:val="0"/>
          <w:sz w:val="24"/>
          <w:szCs w:val="28"/>
        </w:rPr>
        <w:t xml:space="preserve">    地　　址：</w:t>
      </w:r>
      <w:r>
        <w:rPr>
          <w:rFonts w:hint="eastAsia" w:ascii="宋体" w:hAnsi="宋体" w:cs="仿宋"/>
          <w:bCs/>
          <w:kern w:val="0"/>
          <w:sz w:val="24"/>
          <w:szCs w:val="28"/>
          <w:u w:val="single"/>
        </w:rPr>
        <w:t xml:space="preserve">  　　　　　     　　　　        </w:t>
      </w:r>
    </w:p>
    <w:p w14:paraId="065E1EBC">
      <w:pPr>
        <w:widowControl/>
        <w:spacing w:line="52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    邮    编：</w:t>
      </w:r>
      <w:r>
        <w:rPr>
          <w:rFonts w:hint="eastAsia" w:ascii="宋体" w:hAnsi="宋体" w:cs="仿宋"/>
          <w:bCs/>
          <w:kern w:val="0"/>
          <w:sz w:val="24"/>
          <w:szCs w:val="28"/>
          <w:u w:val="single"/>
        </w:rPr>
        <w:t>　　                     　　</w:t>
      </w:r>
      <w:r>
        <w:rPr>
          <w:rFonts w:hint="eastAsia" w:ascii="宋体" w:hAnsi="宋体" w:cs="仿宋"/>
          <w:bCs/>
          <w:kern w:val="0"/>
          <w:sz w:val="24"/>
          <w:szCs w:val="28"/>
        </w:rPr>
        <w:t>   </w:t>
      </w:r>
    </w:p>
    <w:p w14:paraId="7D3BCA6C">
      <w:pPr>
        <w:widowControl/>
        <w:spacing w:line="520" w:lineRule="exact"/>
        <w:ind w:firstLine="720" w:firstLineChars="300"/>
        <w:rPr>
          <w:rFonts w:ascii="宋体" w:hAnsi="宋体" w:cs="仿宋"/>
          <w:bCs/>
          <w:kern w:val="0"/>
          <w:sz w:val="24"/>
          <w:szCs w:val="28"/>
        </w:rPr>
      </w:pPr>
      <w:r>
        <w:rPr>
          <w:rFonts w:hint="eastAsia" w:ascii="宋体" w:hAnsi="宋体" w:cs="仿宋"/>
          <w:bCs/>
          <w:kern w:val="0"/>
          <w:sz w:val="24"/>
          <w:szCs w:val="28"/>
        </w:rPr>
        <w:t> 电　　话：</w:t>
      </w:r>
      <w:r>
        <w:rPr>
          <w:rFonts w:hint="eastAsia" w:ascii="宋体" w:hAnsi="宋体" w:cs="仿宋"/>
          <w:bCs/>
          <w:kern w:val="0"/>
          <w:sz w:val="24"/>
          <w:szCs w:val="28"/>
          <w:u w:val="single"/>
        </w:rPr>
        <w:t>　　　                　　　　</w:t>
      </w:r>
      <w:r>
        <w:rPr>
          <w:rFonts w:hint="eastAsia" w:ascii="宋体" w:hAnsi="宋体" w:cs="仿宋"/>
          <w:bCs/>
          <w:kern w:val="0"/>
          <w:sz w:val="24"/>
          <w:szCs w:val="28"/>
        </w:rPr>
        <w:t xml:space="preserve">　　 </w:t>
      </w:r>
    </w:p>
    <w:p w14:paraId="521E5359">
      <w:pPr>
        <w:widowControl/>
        <w:spacing w:line="340" w:lineRule="exact"/>
        <w:rPr>
          <w:rFonts w:ascii="宋体" w:hAnsi="宋体" w:cs="仿宋"/>
          <w:bCs/>
          <w:kern w:val="0"/>
          <w:sz w:val="24"/>
          <w:szCs w:val="28"/>
        </w:rPr>
      </w:pPr>
    </w:p>
    <w:p w14:paraId="1AB29753">
      <w:pPr>
        <w:widowControl/>
        <w:spacing w:line="340" w:lineRule="exact"/>
        <w:ind w:firstLine="4920" w:firstLineChars="2050"/>
        <w:rPr>
          <w:rFonts w:ascii="宋体" w:hAnsi="宋体" w:cs="仿宋"/>
          <w:bCs/>
          <w:sz w:val="36"/>
          <w:szCs w:val="40"/>
        </w:rPr>
      </w:pPr>
      <w:r>
        <w:rPr>
          <w:rFonts w:hint="eastAsia" w:ascii="宋体" w:hAnsi="宋体" w:cs="仿宋"/>
          <w:bCs/>
          <w:kern w:val="0"/>
          <w:sz w:val="24"/>
          <w:szCs w:val="28"/>
        </w:rPr>
        <w:t>年　　月　　日</w:t>
      </w:r>
    </w:p>
    <w:p w14:paraId="1122A174">
      <w:pPr>
        <w:widowControl/>
        <w:spacing w:line="640" w:lineRule="exact"/>
        <w:jc w:val="center"/>
        <w:rPr>
          <w:rFonts w:ascii="宋体" w:hAnsi="宋体" w:cs="仿宋"/>
          <w:bCs/>
          <w:sz w:val="36"/>
          <w:szCs w:val="40"/>
        </w:rPr>
      </w:pPr>
    </w:p>
    <w:p w14:paraId="661E5FF1">
      <w:pPr>
        <w:widowControl/>
        <w:tabs>
          <w:tab w:val="left" w:pos="3930"/>
        </w:tabs>
        <w:spacing w:line="400" w:lineRule="exact"/>
        <w:jc w:val="left"/>
        <w:rPr>
          <w:rFonts w:ascii="宋体" w:hAnsi="宋体" w:cs="仿宋"/>
          <w:bCs/>
          <w:sz w:val="40"/>
          <w:szCs w:val="40"/>
        </w:rPr>
      </w:pPr>
      <w:r>
        <w:rPr>
          <w:rFonts w:hint="eastAsia" w:ascii="宋体" w:hAnsi="宋体" w:cs="仿宋"/>
          <w:bCs/>
          <w:sz w:val="40"/>
          <w:szCs w:val="40"/>
        </w:rPr>
        <w:tab/>
      </w:r>
    </w:p>
    <w:p w14:paraId="6B4CC6FD">
      <w:pPr>
        <w:widowControl/>
        <w:shd w:val="clear" w:color="auto" w:fill="FFFFFF"/>
        <w:spacing w:before="100" w:beforeAutospacing="1" w:after="100" w:afterAutospacing="1" w:line="360" w:lineRule="atLeast"/>
        <w:jc w:val="center"/>
        <w:rPr>
          <w:rFonts w:ascii="宋体" w:hAnsi="宋体" w:cs="仿宋"/>
          <w:bCs/>
          <w:color w:val="000000"/>
          <w:kern w:val="0"/>
          <w:sz w:val="32"/>
          <w:szCs w:val="32"/>
        </w:rPr>
      </w:pPr>
    </w:p>
    <w:p w14:paraId="259DDBB0">
      <w:pPr>
        <w:widowControl/>
        <w:shd w:val="clear" w:color="auto" w:fill="FFFFFF"/>
        <w:spacing w:before="100" w:beforeAutospacing="1" w:after="100" w:afterAutospacing="1" w:line="400" w:lineRule="exact"/>
        <w:jc w:val="center"/>
        <w:rPr>
          <w:rFonts w:ascii="宋体" w:hAnsi="宋体" w:cs="仿宋"/>
          <w:bCs/>
          <w:color w:val="000000"/>
          <w:kern w:val="0"/>
          <w:sz w:val="24"/>
          <w:szCs w:val="24"/>
        </w:rPr>
      </w:pPr>
      <w:r>
        <w:rPr>
          <w:rFonts w:hint="eastAsia" w:ascii="宋体" w:hAnsi="宋体" w:cs="仿宋"/>
          <w:bCs/>
          <w:color w:val="000000"/>
          <w:kern w:val="0"/>
          <w:sz w:val="32"/>
          <w:szCs w:val="32"/>
        </w:rPr>
        <w:t>承诺书Ⅱ</w:t>
      </w:r>
    </w:p>
    <w:p w14:paraId="03DFA770">
      <w:pPr>
        <w:widowControl/>
        <w:spacing w:line="440" w:lineRule="exact"/>
        <w:rPr>
          <w:rFonts w:hint="eastAsia" w:ascii="宋体" w:hAnsi="宋体" w:eastAsia="宋体"/>
          <w:sz w:val="24"/>
          <w:szCs w:val="28"/>
          <w:lang w:eastAsia="zh-CN"/>
        </w:rPr>
      </w:pPr>
      <w:r>
        <w:rPr>
          <w:rFonts w:hint="eastAsia" w:ascii="宋体" w:hAnsi="宋体"/>
          <w:sz w:val="24"/>
          <w:szCs w:val="28"/>
        </w:rPr>
        <w:t>致：</w:t>
      </w:r>
      <w:r>
        <w:rPr>
          <w:rFonts w:hint="eastAsia" w:ascii="宋体" w:hAnsi="宋体"/>
          <w:sz w:val="24"/>
          <w:szCs w:val="28"/>
          <w:lang w:eastAsia="zh-CN"/>
        </w:rPr>
        <w:t>安康市兴盛工程造价咨询有限公司</w:t>
      </w:r>
    </w:p>
    <w:p w14:paraId="47B4E5B8">
      <w:pPr>
        <w:widowControl/>
        <w:spacing w:line="440" w:lineRule="exact"/>
        <w:ind w:firstLine="472" w:firstLineChars="197"/>
        <w:rPr>
          <w:rFonts w:ascii="宋体" w:hAnsi="宋体"/>
          <w:sz w:val="24"/>
          <w:szCs w:val="28"/>
        </w:rPr>
      </w:pPr>
      <w:r>
        <w:rPr>
          <w:rFonts w:hint="eastAsia" w:ascii="宋体" w:hAnsi="宋体"/>
          <w:sz w:val="24"/>
          <w:szCs w:val="28"/>
        </w:rPr>
        <w:t>为了诚实、客观、有序地参与政府采购活动，愿就以下内容作出承诺：</w:t>
      </w:r>
    </w:p>
    <w:p w14:paraId="3E539B76">
      <w:pPr>
        <w:widowControl/>
        <w:spacing w:line="440" w:lineRule="exact"/>
        <w:ind w:firstLine="472" w:firstLineChars="197"/>
        <w:rPr>
          <w:rFonts w:ascii="宋体" w:hAnsi="宋体"/>
          <w:sz w:val="24"/>
          <w:szCs w:val="28"/>
        </w:rPr>
      </w:pPr>
      <w:r>
        <w:rPr>
          <w:rFonts w:hint="eastAsia" w:ascii="宋体" w:hAnsi="宋体"/>
          <w:sz w:val="24"/>
          <w:szCs w:val="28"/>
        </w:rPr>
        <w:t>1、参加采购代理机构组织的政府采购活动时，严格按照招标文件的规定和要求提供所需的相关材料，并对所提供的各类资料的真实性负责，不虚假应标，不虚列业绩。</w:t>
      </w:r>
    </w:p>
    <w:p w14:paraId="2EE71391">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2、尊重参与政府采购活动各相关方的合法行为，接受政府采购活动依法形成的意见、结果。</w:t>
      </w:r>
    </w:p>
    <w:p w14:paraId="0DE7B7D9">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3、依法参加政府采购活动，不围标、串标，维护市场秩序。近三年因项目质量问题的不法行为记录为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4C342E9F">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4、作为参加贵公司组织的采购项目的响应单位，本公司承诺：在参加本项目招标之前不存在被依法禁止经营行为、财产被接管或冻结的情况，如有隐瞒实情，愿承担一切责任及后果。</w:t>
      </w:r>
    </w:p>
    <w:p w14:paraId="2F54FD93">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5、近三年受到有关行政主管部门的行政处理、不良行为记录为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627FA20F">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6、参加本次招标提交的所有资质证明文件及业绩证明是真实的、有效的，如有隐瞒实情，愿承担一切责任及后果。</w:t>
      </w:r>
    </w:p>
    <w:p w14:paraId="48217B46">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7、积极推动政府采购活动健康开展，对采购活动有疑问、异议时，按法律规定的程序实名（加盖单位章和法定代表人签名）反映情况，不恶意中伤、无事生非，以和谐、平等的心态参加政府采购活动。</w:t>
      </w:r>
    </w:p>
    <w:p w14:paraId="466DA513">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8、认真履行成交单位应承担的责任和义务，全面执行采购合同规定的各项内容，保质保量地按时提供采购物品。</w:t>
      </w:r>
    </w:p>
    <w:p w14:paraId="03A64CEF">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若本企业（单位）发生有悖于上述承诺的行为，愿意接受《中华人民共和国政府采购法》和《中华人民共和国政府采购法实施条例》中对响应单位的相关处理。</w:t>
      </w:r>
    </w:p>
    <w:p w14:paraId="7883589A">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本承诺是采购项目响应文件的组成部分。</w:t>
      </w:r>
    </w:p>
    <w:p w14:paraId="4EADEB6E">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承诺单位：</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（盖章）</w:t>
      </w:r>
    </w:p>
    <w:p w14:paraId="2A30A6AC">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全权代表：</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（签字）</w:t>
      </w:r>
    </w:p>
    <w:p w14:paraId="0AC0E9AB">
      <w:pPr>
        <w:widowControl/>
        <w:shd w:val="clear" w:color="auto" w:fill="FFFFFF"/>
        <w:spacing w:line="440" w:lineRule="exact"/>
        <w:ind w:right="480" w:firstLine="2152" w:firstLineChars="897"/>
        <w:jc w:val="center"/>
        <w:rPr>
          <w:rFonts w:hint="eastAsia"/>
        </w:rPr>
      </w:pPr>
      <w:r>
        <w:rPr>
          <w:rFonts w:hint="eastAsia" w:ascii="宋体" w:hAnsi="宋体" w:cs="仿宋"/>
          <w:bCs/>
          <w:color w:val="000000"/>
          <w:kern w:val="0"/>
          <w:sz w:val="24"/>
          <w:szCs w:val="28"/>
        </w:rPr>
        <w:t xml:space="preserve">                日    期：</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年</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月</w:t>
      </w:r>
      <w:r>
        <w:rPr>
          <w:rFonts w:hint="eastAsia" w:ascii="宋体" w:hAnsi="宋体" w:cs="仿宋"/>
          <w:bCs/>
          <w:sz w:val="28"/>
          <w:szCs w:val="32"/>
          <w:u w:val="single"/>
        </w:rPr>
        <w:t xml:space="preserve">    </w:t>
      </w:r>
      <w:r>
        <w:rPr>
          <w:rFonts w:hint="eastAsia" w:ascii="宋体" w:hAnsi="宋体" w:cs="仿宋"/>
          <w:bCs/>
          <w:sz w:val="24"/>
          <w:szCs w:val="28"/>
        </w:rPr>
        <w:t>日</w:t>
      </w:r>
    </w:p>
    <w:p w14:paraId="7B595491">
      <w:pPr>
        <w:pStyle w:val="27"/>
        <w:rPr>
          <w:rFonts w:hint="eastAsia"/>
        </w:rPr>
      </w:pPr>
    </w:p>
    <w:p w14:paraId="5DD06C17">
      <w:pPr>
        <w:pStyle w:val="27"/>
        <w:rPr>
          <w:rFonts w:hint="eastAsia"/>
        </w:rPr>
      </w:pPr>
    </w:p>
    <w:p w14:paraId="0AD0DC68">
      <w:pPr>
        <w:pStyle w:val="27"/>
        <w:rPr>
          <w:rFonts w:hint="eastAsia"/>
        </w:rPr>
      </w:pPr>
    </w:p>
    <w:p w14:paraId="3B560294">
      <w:pPr>
        <w:pStyle w:val="27"/>
        <w:rPr>
          <w:rFonts w:hint="eastAsia"/>
        </w:rPr>
      </w:pPr>
    </w:p>
    <w:p w14:paraId="32C9C01B">
      <w:pPr>
        <w:pStyle w:val="35"/>
      </w:pPr>
    </w:p>
    <w:sectPr>
      <w:footerReference r:id="rId10" w:type="first"/>
      <w:footerReference r:id="rId9" w:type="default"/>
      <w:pgSz w:w="11906" w:h="16838"/>
      <w:pgMar w:top="1247" w:right="1417" w:bottom="1247" w:left="1417" w:header="850" w:footer="992" w:gutter="0"/>
      <w:pgNumType w:fmt="decimal"/>
      <w:cols w:space="0" w:num="1"/>
      <w:titlePg/>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modern"/>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roman"/>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新宋体">
    <w:panose1 w:val="02010609030101010101"/>
    <w:charset w:val="86"/>
    <w:family w:val="roman"/>
    <w:pitch w:val="default"/>
    <w:sig w:usb0="00000203" w:usb1="288F0000" w:usb2="00000006" w:usb3="00000000" w:csb0="00040001" w:csb1="00000000"/>
  </w:font>
  <w:font w:name="TimesNewRomanPSMT">
    <w:altName w:val="Times New Roman"/>
    <w:panose1 w:val="00000000000000000000"/>
    <w:charset w:val="00"/>
    <w:family w:val="decorative"/>
    <w:pitch w:val="default"/>
    <w:sig w:usb0="00000000" w:usb1="00000000" w:usb2="00000000" w:usb3="00000000" w:csb0="00000000" w:csb1="00000000"/>
  </w:font>
  <w:font w:name="ˎ̥">
    <w:altName w:val="Times New Roman"/>
    <w:panose1 w:val="00000000000000000000"/>
    <w:charset w:val="00"/>
    <w:family w:val="decorative"/>
    <w:pitch w:val="default"/>
    <w:sig w:usb0="00000000" w:usb1="00000000" w:usb2="00000000"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800B">
    <w:pPr>
      <w:pStyle w:val="2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B52BC">
                          <w:pPr>
                            <w:pStyle w:val="2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3AB52BC">
                    <w:pPr>
                      <w:pStyle w:val="2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sdt>
      <w:sdtPr>
        <w:id w:val="147473122"/>
        <w:showingPlcHdr/>
      </w:sdtPr>
      <w:sdtContent>
        <w:r>
          <w:t xml:space="preserve">     </w:t>
        </w:r>
      </w:sdtContent>
    </w:sdt>
  </w:p>
  <w:p w14:paraId="039026E3">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4FDB1">
    <w:pPr>
      <w:pStyle w:val="2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B37EA">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72B37EA">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sdt>
    <w:sdtPr>
      <w:id w:val="147455716"/>
      <w:showingPlcHdr/>
    </w:sdtPr>
    <w:sdtContent>
      <w:p w14:paraId="67D84B93">
        <w:pPr>
          <w:pStyle w:val="27"/>
          <w:jc w:val="center"/>
        </w:pPr>
        <w:r>
          <w:t xml:space="preserve">     </w:t>
        </w:r>
      </w:p>
    </w:sdtContent>
  </w:sdt>
  <w:p w14:paraId="0C4AE3B0">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CD6C">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96782">
                          <w:pPr>
                            <w:pStyle w:val="27"/>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096782">
                    <w:pPr>
                      <w:pStyle w:val="27"/>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AF986">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D93D8">
                          <w:pPr>
                            <w:pStyle w:val="27"/>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96D93D8">
                    <w:pPr>
                      <w:pStyle w:val="27"/>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A9612">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4D38B">
                          <w:pPr>
                            <w:pStyle w:val="27"/>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F34D38B">
                    <w:pPr>
                      <w:pStyle w:val="27"/>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sdt>
    <w:sdtPr>
      <w:id w:val="147457638"/>
      <w:showingPlcHdr/>
    </w:sdtPr>
    <w:sdtContent>
      <w:p w14:paraId="5E296E97">
        <w:pPr>
          <w:pStyle w:val="27"/>
          <w:jc w:val="center"/>
        </w:pPr>
        <w:r>
          <w:t xml:space="preserve">     </w:t>
        </w:r>
      </w:p>
    </w:sdtContent>
  </w:sdt>
  <w:p w14:paraId="1F686535">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ABDEB">
    <w:pPr>
      <w:pBdr>
        <w:bottom w:val="single" w:color="auto" w:sz="4" w:space="0"/>
      </w:pBd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安康市中心医院医疗质量管理平台采购项目</w:t>
    </w:r>
    <w:r>
      <w:rPr>
        <w:rFonts w:hint="eastAsia" w:ascii="Times New Roman" w:hAnsi="Times New Roman" w:eastAsia="宋体" w:cs="Times New Roman"/>
        <w:kern w:val="2"/>
        <w:sz w:val="18"/>
        <w:szCs w:val="18"/>
        <w:lang w:val="en-US" w:eastAsia="zh-CN" w:bidi="ar-SA"/>
      </w:rPr>
      <w:t xml:space="preserve">        </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 xml:space="preserve"> 项目编号：</w:t>
    </w:r>
    <w:r>
      <w:rPr>
        <w:rFonts w:hint="eastAsia" w:cs="Times New Roman"/>
        <w:kern w:val="2"/>
        <w:sz w:val="18"/>
        <w:szCs w:val="18"/>
        <w:lang w:val="en-US" w:eastAsia="zh-CN" w:bidi="ar-SA"/>
      </w:rPr>
      <w:t>XSCG-AK2025026</w:t>
    </w:r>
    <w:r>
      <w:rPr>
        <w:rFonts w:hint="eastAsia" w:ascii="Times New Roman" w:hAnsi="Times New Roman" w:eastAsia="宋体" w:cs="Times New Roman"/>
        <w:kern w:val="2"/>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1AE06">
    <w:pPr>
      <w:pStyle w:val="28"/>
      <w:jc w:val="both"/>
      <w:rPr>
        <w:rFonts w:hint="default"/>
        <w:lang w:val="en-US"/>
      </w:rPr>
    </w:pPr>
    <w:r>
      <w:rPr>
        <w:rFonts w:hint="eastAsia" w:ascii="Times New Roman" w:hAnsi="Times New Roman" w:eastAsia="宋体" w:cs="Times New Roman"/>
        <w:kern w:val="2"/>
        <w:sz w:val="18"/>
        <w:szCs w:val="18"/>
        <w:lang w:val="en-US" w:eastAsia="zh-CN" w:bidi="ar-SA"/>
      </w:rPr>
      <w:t xml:space="preserve"> 项目名称：</w:t>
    </w:r>
    <w:r>
      <w:rPr>
        <w:rFonts w:hint="eastAsia" w:cs="Times New Roman"/>
        <w:kern w:val="2"/>
        <w:sz w:val="18"/>
        <w:szCs w:val="18"/>
        <w:lang w:val="en-US" w:eastAsia="zh-CN" w:bidi="ar-SA"/>
      </w:rPr>
      <w:t>安康市中心医院医疗质量管理平台采购项目</w:t>
    </w:r>
    <w:r>
      <w:rPr>
        <w:rFonts w:hint="eastAsia" w:ascii="Times New Roman" w:hAnsi="Times New Roman" w:eastAsia="宋体" w:cs="Times New Roman"/>
        <w:kern w:val="2"/>
        <w:sz w:val="18"/>
        <w:szCs w:val="18"/>
        <w:lang w:val="en-US" w:eastAsia="zh-CN" w:bidi="ar-SA"/>
      </w:rPr>
      <w:t xml:space="preserve">   </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 xml:space="preserve">项目编号： </w:t>
    </w:r>
    <w:r>
      <w:rPr>
        <w:rFonts w:hint="eastAsia" w:cs="Times New Roman"/>
        <w:kern w:val="2"/>
        <w:sz w:val="18"/>
        <w:szCs w:val="18"/>
        <w:lang w:val="en-US" w:eastAsia="zh-CN" w:bidi="ar-SA"/>
      </w:rPr>
      <w:t>XSCG-AK2025026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7EBF8">
    <w:pPr>
      <w:pStyle w:val="28"/>
      <w:jc w:val="both"/>
      <w:rPr>
        <w:rFonts w:hint="eastAsia"/>
        <w:sz w:val="16"/>
        <w:szCs w:val="16"/>
        <w:lang w:eastAsia="zh-CN"/>
      </w:rPr>
    </w:pPr>
    <w:r>
      <w:rPr>
        <w:rFonts w:hint="eastAsia" w:ascii="Times New Roman" w:hAnsi="Times New Roman" w:eastAsia="宋体" w:cs="Times New Roman"/>
        <w:kern w:val="2"/>
        <w:sz w:val="16"/>
        <w:szCs w:val="16"/>
        <w:lang w:val="en-US" w:eastAsia="zh-CN" w:bidi="ar-SA"/>
      </w:rPr>
      <w:t>项目名称：</w:t>
    </w:r>
    <w:r>
      <w:rPr>
        <w:rFonts w:hint="eastAsia" w:cs="Times New Roman"/>
        <w:kern w:val="2"/>
        <w:sz w:val="16"/>
        <w:szCs w:val="16"/>
        <w:lang w:val="en-US" w:eastAsia="zh-CN" w:bidi="ar-SA"/>
      </w:rPr>
      <w:t xml:space="preserve">安康市中心医院医疗质量管理平台采购项目      </w:t>
    </w:r>
    <w:r>
      <w:rPr>
        <w:rFonts w:hint="eastAsia" w:ascii="Times New Roman" w:hAnsi="Times New Roman" w:eastAsia="宋体" w:cs="Times New Roman"/>
        <w:kern w:val="2"/>
        <w:sz w:val="16"/>
        <w:szCs w:val="16"/>
        <w:lang w:val="en-US" w:eastAsia="zh-CN" w:bidi="ar-SA"/>
      </w:rPr>
      <w:t xml:space="preserve">  </w:t>
    </w:r>
    <w:r>
      <w:rPr>
        <w:rFonts w:hint="eastAsia" w:cs="Times New Roman"/>
        <w:kern w:val="2"/>
        <w:sz w:val="16"/>
        <w:szCs w:val="16"/>
        <w:lang w:val="en-US" w:eastAsia="zh-CN" w:bidi="ar-SA"/>
      </w:rPr>
      <w:t xml:space="preserve">                             </w:t>
    </w:r>
    <w:r>
      <w:rPr>
        <w:rFonts w:hint="eastAsia" w:ascii="Times New Roman" w:hAnsi="Times New Roman" w:eastAsia="宋体" w:cs="Times New Roman"/>
        <w:kern w:val="2"/>
        <w:sz w:val="16"/>
        <w:szCs w:val="16"/>
        <w:lang w:val="en-US" w:eastAsia="zh-CN" w:bidi="ar-SA"/>
      </w:rPr>
      <w:t>项目编号：</w:t>
    </w:r>
    <w:r>
      <w:rPr>
        <w:rFonts w:hint="eastAsia" w:cs="Times New Roman"/>
        <w:kern w:val="2"/>
        <w:sz w:val="16"/>
        <w:szCs w:val="16"/>
        <w:lang w:val="en-US" w:eastAsia="zh-CN" w:bidi="ar-SA"/>
      </w:rPr>
      <w:t>XSCG-AK2025026</w:t>
    </w:r>
    <w:r>
      <w:rPr>
        <w:rFonts w:hint="eastAsia"/>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D439A"/>
    <w:multiLevelType w:val="singleLevel"/>
    <w:tmpl w:val="AA8D439A"/>
    <w:lvl w:ilvl="0" w:tentative="0">
      <w:start w:val="1"/>
      <w:numFmt w:val="decimal"/>
      <w:suff w:val="nothing"/>
      <w:lvlText w:val="（%1）"/>
      <w:lvlJc w:val="left"/>
    </w:lvl>
  </w:abstractNum>
  <w:abstractNum w:abstractNumId="1">
    <w:nsid w:val="00F1F830"/>
    <w:multiLevelType w:val="singleLevel"/>
    <w:tmpl w:val="00F1F830"/>
    <w:lvl w:ilvl="0" w:tentative="0">
      <w:start w:val="18"/>
      <w:numFmt w:val="decimal"/>
      <w:suff w:val="nothing"/>
      <w:lvlText w:val="%1、"/>
      <w:lvlJc w:val="left"/>
    </w:lvl>
  </w:abstractNum>
  <w:abstractNum w:abstractNumId="2">
    <w:nsid w:val="04F04A86"/>
    <w:multiLevelType w:val="singleLevel"/>
    <w:tmpl w:val="04F04A86"/>
    <w:lvl w:ilvl="0" w:tentative="0">
      <w:start w:val="1"/>
      <w:numFmt w:val="decimal"/>
      <w:lvlText w:val="%1"/>
      <w:lvlJc w:val="left"/>
      <w:pPr>
        <w:tabs>
          <w:tab w:val="left" w:pos="420"/>
        </w:tabs>
        <w:ind w:left="635" w:leftChars="0" w:hanging="425" w:firstLineChars="0"/>
      </w:pPr>
      <w:rPr>
        <w:rFonts w:hint="default"/>
      </w:rPr>
    </w:lvl>
  </w:abstractNum>
  <w:abstractNum w:abstractNumId="3">
    <w:nsid w:val="3D216BA6"/>
    <w:multiLevelType w:val="singleLevel"/>
    <w:tmpl w:val="3D216BA6"/>
    <w:lvl w:ilvl="0" w:tentative="0">
      <w:start w:val="5"/>
      <w:numFmt w:val="chineseCounting"/>
      <w:suff w:val="nothing"/>
      <w:lvlText w:val="%1、"/>
      <w:lvlJc w:val="left"/>
      <w:rPr>
        <w:rFonts w:hint="eastAsia"/>
      </w:rPr>
    </w:lvl>
  </w:abstractNum>
  <w:abstractNum w:abstractNumId="4">
    <w:nsid w:val="58101042"/>
    <w:multiLevelType w:val="singleLevel"/>
    <w:tmpl w:val="58101042"/>
    <w:lvl w:ilvl="0" w:tentative="0">
      <w:start w:val="4"/>
      <w:numFmt w:val="chineseCounting"/>
      <w:suff w:val="nothing"/>
      <w:lvlText w:val="%1、"/>
      <w:lvlJc w:val="left"/>
    </w:lvl>
  </w:abstractNum>
  <w:abstractNum w:abstractNumId="5">
    <w:nsid w:val="582D20B5"/>
    <w:multiLevelType w:val="singleLevel"/>
    <w:tmpl w:val="582D20B5"/>
    <w:lvl w:ilvl="0" w:tentative="0">
      <w:start w:val="3"/>
      <w:numFmt w:val="chineseCounting"/>
      <w:suff w:val="nothing"/>
      <w:lvlText w:val="%1、"/>
      <w:lvlJc w:val="left"/>
    </w:lvl>
  </w:abstractNum>
  <w:abstractNum w:abstractNumId="6">
    <w:nsid w:val="582D2137"/>
    <w:multiLevelType w:val="singleLevel"/>
    <w:tmpl w:val="582D2137"/>
    <w:lvl w:ilvl="0" w:tentative="0">
      <w:start w:val="1"/>
      <w:numFmt w:val="decimal"/>
      <w:suff w:val="nothing"/>
      <w:lvlText w:val="%1、"/>
      <w:lvlJc w:val="left"/>
    </w:lvl>
  </w:abstractNum>
  <w:abstractNum w:abstractNumId="7">
    <w:nsid w:val="6188EFC8"/>
    <w:multiLevelType w:val="singleLevel"/>
    <w:tmpl w:val="6188EFC8"/>
    <w:lvl w:ilvl="0" w:tentative="0">
      <w:start w:val="1"/>
      <w:numFmt w:val="decimal"/>
      <w:suff w:val="nothing"/>
      <w:lvlText w:val="%1、"/>
      <w:lvlJc w:val="left"/>
    </w:lvl>
  </w:abstractNum>
  <w:abstractNum w:abstractNumId="8">
    <w:nsid w:val="776A65AA"/>
    <w:multiLevelType w:val="multilevel"/>
    <w:tmpl w:val="776A65AA"/>
    <w:lvl w:ilvl="0" w:tentative="0">
      <w:start w:val="1"/>
      <w:numFmt w:val="bullet"/>
      <w:pStyle w:val="10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7BF84E77"/>
    <w:multiLevelType w:val="singleLevel"/>
    <w:tmpl w:val="7BF84E77"/>
    <w:lvl w:ilvl="0" w:tentative="0">
      <w:start w:val="2"/>
      <w:numFmt w:val="chineseCounting"/>
      <w:suff w:val="nothing"/>
      <w:lvlText w:val="%1、"/>
      <w:lvlJc w:val="left"/>
      <w:rPr>
        <w:rFonts w:hint="eastAsia"/>
      </w:rPr>
    </w:lvl>
  </w:abstractNum>
  <w:num w:numId="1">
    <w:abstractNumId w:val="8"/>
  </w:num>
  <w:num w:numId="2">
    <w:abstractNumId w:val="2"/>
  </w:num>
  <w:num w:numId="3">
    <w:abstractNumId w:val="1"/>
  </w:num>
  <w:num w:numId="4">
    <w:abstractNumId w:val="9"/>
  </w:num>
  <w:num w:numId="5">
    <w:abstractNumId w:val="3"/>
  </w:num>
  <w:num w:numId="6">
    <w:abstractNumId w:val="0"/>
  </w:num>
  <w:num w:numId="7">
    <w:abstractNumId w:val="5"/>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hideSpellingErrors/>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zY2RmYzgzZDc2N2YyZWU5M2U4ZmM2NDE1ZDk2MTgifQ=="/>
  </w:docVars>
  <w:rsids>
    <w:rsidRoot w:val="00E1428B"/>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A3F"/>
    <w:rsid w:val="00074C99"/>
    <w:rsid w:val="00076F91"/>
    <w:rsid w:val="000776C0"/>
    <w:rsid w:val="00077B6A"/>
    <w:rsid w:val="0008127C"/>
    <w:rsid w:val="00082139"/>
    <w:rsid w:val="0008415E"/>
    <w:rsid w:val="000906A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61F5"/>
    <w:rsid w:val="002F1B27"/>
    <w:rsid w:val="002F236E"/>
    <w:rsid w:val="002F3B8E"/>
    <w:rsid w:val="002F4CEB"/>
    <w:rsid w:val="002F6357"/>
    <w:rsid w:val="002F6D99"/>
    <w:rsid w:val="002F78FA"/>
    <w:rsid w:val="00300CAB"/>
    <w:rsid w:val="003018C1"/>
    <w:rsid w:val="003029D6"/>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037C"/>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20AE5"/>
    <w:rsid w:val="004220C6"/>
    <w:rsid w:val="0042296F"/>
    <w:rsid w:val="00424488"/>
    <w:rsid w:val="00426324"/>
    <w:rsid w:val="00431A4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2E58"/>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747"/>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6CD6"/>
    <w:rsid w:val="0068707D"/>
    <w:rsid w:val="006907EF"/>
    <w:rsid w:val="00690A50"/>
    <w:rsid w:val="0069138A"/>
    <w:rsid w:val="00692A90"/>
    <w:rsid w:val="006957F2"/>
    <w:rsid w:val="0069584D"/>
    <w:rsid w:val="00696DE0"/>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F4E"/>
    <w:rsid w:val="007620CB"/>
    <w:rsid w:val="0076286C"/>
    <w:rsid w:val="0076346B"/>
    <w:rsid w:val="00763FD9"/>
    <w:rsid w:val="007649FB"/>
    <w:rsid w:val="00764ECC"/>
    <w:rsid w:val="00766707"/>
    <w:rsid w:val="00770C3C"/>
    <w:rsid w:val="00772F8C"/>
    <w:rsid w:val="00774D2C"/>
    <w:rsid w:val="00775260"/>
    <w:rsid w:val="00775B23"/>
    <w:rsid w:val="00782CB9"/>
    <w:rsid w:val="007830A4"/>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3CA"/>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71EA"/>
    <w:rsid w:val="009A7C5D"/>
    <w:rsid w:val="009B0203"/>
    <w:rsid w:val="009B0703"/>
    <w:rsid w:val="009B21EF"/>
    <w:rsid w:val="009B4481"/>
    <w:rsid w:val="009B50F9"/>
    <w:rsid w:val="009B51AF"/>
    <w:rsid w:val="009C055D"/>
    <w:rsid w:val="009C0CB2"/>
    <w:rsid w:val="009C3BCB"/>
    <w:rsid w:val="009D079F"/>
    <w:rsid w:val="009D11DC"/>
    <w:rsid w:val="009D1302"/>
    <w:rsid w:val="009D17B2"/>
    <w:rsid w:val="009D1890"/>
    <w:rsid w:val="009D1DD7"/>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3729"/>
    <w:rsid w:val="00AD47FC"/>
    <w:rsid w:val="00AD62E0"/>
    <w:rsid w:val="00AE0DBD"/>
    <w:rsid w:val="00AE10F2"/>
    <w:rsid w:val="00AE1740"/>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CAF"/>
    <w:rsid w:val="00B42871"/>
    <w:rsid w:val="00B4296A"/>
    <w:rsid w:val="00B4479A"/>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BF73D6"/>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9F3"/>
    <w:rsid w:val="00D42A6F"/>
    <w:rsid w:val="00D459CA"/>
    <w:rsid w:val="00D4663C"/>
    <w:rsid w:val="00D508AA"/>
    <w:rsid w:val="00D531F3"/>
    <w:rsid w:val="00D54351"/>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DF5"/>
    <w:rsid w:val="00E22E1D"/>
    <w:rsid w:val="00E24F7C"/>
    <w:rsid w:val="00E25156"/>
    <w:rsid w:val="00E272CC"/>
    <w:rsid w:val="00E30220"/>
    <w:rsid w:val="00E30231"/>
    <w:rsid w:val="00E3154C"/>
    <w:rsid w:val="00E32452"/>
    <w:rsid w:val="00E32C62"/>
    <w:rsid w:val="00E345FF"/>
    <w:rsid w:val="00E34A09"/>
    <w:rsid w:val="00E37EC6"/>
    <w:rsid w:val="00E40A21"/>
    <w:rsid w:val="00E41912"/>
    <w:rsid w:val="00E43A4A"/>
    <w:rsid w:val="00E44AC6"/>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F2464"/>
    <w:rsid w:val="00EF25F9"/>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C3C36"/>
    <w:rsid w:val="017221B2"/>
    <w:rsid w:val="01954BDF"/>
    <w:rsid w:val="02CD0530"/>
    <w:rsid w:val="03010138"/>
    <w:rsid w:val="03134DF0"/>
    <w:rsid w:val="03655CA8"/>
    <w:rsid w:val="03884AFD"/>
    <w:rsid w:val="03AD3BAD"/>
    <w:rsid w:val="03BC31DB"/>
    <w:rsid w:val="040505CA"/>
    <w:rsid w:val="04354DCB"/>
    <w:rsid w:val="04E039DF"/>
    <w:rsid w:val="04F810FA"/>
    <w:rsid w:val="05040900"/>
    <w:rsid w:val="0530634F"/>
    <w:rsid w:val="05536645"/>
    <w:rsid w:val="056D400E"/>
    <w:rsid w:val="059E635B"/>
    <w:rsid w:val="05B2203D"/>
    <w:rsid w:val="06756FE7"/>
    <w:rsid w:val="073836D3"/>
    <w:rsid w:val="07D71B1F"/>
    <w:rsid w:val="08137E2A"/>
    <w:rsid w:val="081E714E"/>
    <w:rsid w:val="08EC556F"/>
    <w:rsid w:val="08F328B6"/>
    <w:rsid w:val="09F37634"/>
    <w:rsid w:val="0AB06053"/>
    <w:rsid w:val="0B065FC2"/>
    <w:rsid w:val="0B301440"/>
    <w:rsid w:val="0BD87233"/>
    <w:rsid w:val="0BE0516D"/>
    <w:rsid w:val="0C42226D"/>
    <w:rsid w:val="0CB8407A"/>
    <w:rsid w:val="0D4642A9"/>
    <w:rsid w:val="0D7876C3"/>
    <w:rsid w:val="0E0A0C92"/>
    <w:rsid w:val="0E1B7000"/>
    <w:rsid w:val="0F96615D"/>
    <w:rsid w:val="10507CE0"/>
    <w:rsid w:val="1062712E"/>
    <w:rsid w:val="10D47113"/>
    <w:rsid w:val="11895257"/>
    <w:rsid w:val="118A0FD0"/>
    <w:rsid w:val="11F609A2"/>
    <w:rsid w:val="120A7C42"/>
    <w:rsid w:val="12503D2E"/>
    <w:rsid w:val="12690930"/>
    <w:rsid w:val="12C26FD5"/>
    <w:rsid w:val="12C91342"/>
    <w:rsid w:val="1312127D"/>
    <w:rsid w:val="135E3B38"/>
    <w:rsid w:val="1476382E"/>
    <w:rsid w:val="14D055E4"/>
    <w:rsid w:val="14E70043"/>
    <w:rsid w:val="154F4A0A"/>
    <w:rsid w:val="158A79C8"/>
    <w:rsid w:val="15B7562E"/>
    <w:rsid w:val="15B86FD2"/>
    <w:rsid w:val="15BF7081"/>
    <w:rsid w:val="162E2795"/>
    <w:rsid w:val="1650767C"/>
    <w:rsid w:val="166C3C38"/>
    <w:rsid w:val="16F84FC5"/>
    <w:rsid w:val="177469AA"/>
    <w:rsid w:val="17B16913"/>
    <w:rsid w:val="17D830F9"/>
    <w:rsid w:val="17FF74B7"/>
    <w:rsid w:val="18A74491"/>
    <w:rsid w:val="196D545F"/>
    <w:rsid w:val="19FF69FF"/>
    <w:rsid w:val="1A106DA2"/>
    <w:rsid w:val="1A200723"/>
    <w:rsid w:val="1A550B54"/>
    <w:rsid w:val="1A937372"/>
    <w:rsid w:val="1AB70A17"/>
    <w:rsid w:val="1AD82050"/>
    <w:rsid w:val="1B5347A3"/>
    <w:rsid w:val="1BA57A16"/>
    <w:rsid w:val="1BBB5228"/>
    <w:rsid w:val="1BDB5F76"/>
    <w:rsid w:val="1CB21946"/>
    <w:rsid w:val="1CDF2DC4"/>
    <w:rsid w:val="1D6D0C66"/>
    <w:rsid w:val="1D7E1167"/>
    <w:rsid w:val="1DDF102D"/>
    <w:rsid w:val="1F3C30FE"/>
    <w:rsid w:val="1FCE4D84"/>
    <w:rsid w:val="1FFE0345"/>
    <w:rsid w:val="21230E0B"/>
    <w:rsid w:val="21482527"/>
    <w:rsid w:val="21563314"/>
    <w:rsid w:val="2166146A"/>
    <w:rsid w:val="22486828"/>
    <w:rsid w:val="22842F4D"/>
    <w:rsid w:val="22C4341A"/>
    <w:rsid w:val="22F03967"/>
    <w:rsid w:val="23544724"/>
    <w:rsid w:val="235F73A5"/>
    <w:rsid w:val="235F7A47"/>
    <w:rsid w:val="23DB7D90"/>
    <w:rsid w:val="23EE01DA"/>
    <w:rsid w:val="246A6B74"/>
    <w:rsid w:val="247753E3"/>
    <w:rsid w:val="24DF2635"/>
    <w:rsid w:val="24F73C4E"/>
    <w:rsid w:val="25834518"/>
    <w:rsid w:val="25942819"/>
    <w:rsid w:val="25AE4032"/>
    <w:rsid w:val="26472DAE"/>
    <w:rsid w:val="265F6558"/>
    <w:rsid w:val="26A758A3"/>
    <w:rsid w:val="26E125D1"/>
    <w:rsid w:val="285929C8"/>
    <w:rsid w:val="28A50925"/>
    <w:rsid w:val="28FB0A17"/>
    <w:rsid w:val="2A063887"/>
    <w:rsid w:val="2A306BA5"/>
    <w:rsid w:val="2AA40AC9"/>
    <w:rsid w:val="2AA77C92"/>
    <w:rsid w:val="2AEA5227"/>
    <w:rsid w:val="2C2C6DF0"/>
    <w:rsid w:val="2C342872"/>
    <w:rsid w:val="2C4E2573"/>
    <w:rsid w:val="2CAD1CFA"/>
    <w:rsid w:val="2CB9783D"/>
    <w:rsid w:val="2CC11932"/>
    <w:rsid w:val="2CF41CC7"/>
    <w:rsid w:val="2DAA2693"/>
    <w:rsid w:val="2DF85098"/>
    <w:rsid w:val="2E5A0250"/>
    <w:rsid w:val="2EF16827"/>
    <w:rsid w:val="2F460CB8"/>
    <w:rsid w:val="2FCA285E"/>
    <w:rsid w:val="3050584D"/>
    <w:rsid w:val="305D3F5E"/>
    <w:rsid w:val="311768D3"/>
    <w:rsid w:val="317A2FB4"/>
    <w:rsid w:val="31BA33C6"/>
    <w:rsid w:val="31EE5A75"/>
    <w:rsid w:val="31F47A7B"/>
    <w:rsid w:val="325E5DFA"/>
    <w:rsid w:val="32BC7CE1"/>
    <w:rsid w:val="32D168DD"/>
    <w:rsid w:val="32E26F71"/>
    <w:rsid w:val="331806F9"/>
    <w:rsid w:val="339F23C2"/>
    <w:rsid w:val="33F407FF"/>
    <w:rsid w:val="3492552A"/>
    <w:rsid w:val="34FC157C"/>
    <w:rsid w:val="35802E31"/>
    <w:rsid w:val="367537D6"/>
    <w:rsid w:val="368C4A12"/>
    <w:rsid w:val="371279DA"/>
    <w:rsid w:val="37881B09"/>
    <w:rsid w:val="37AA03FB"/>
    <w:rsid w:val="38623E2A"/>
    <w:rsid w:val="386D2BC2"/>
    <w:rsid w:val="389F6131"/>
    <w:rsid w:val="38AA34A1"/>
    <w:rsid w:val="38CF35E8"/>
    <w:rsid w:val="3B052E6A"/>
    <w:rsid w:val="3B940DC0"/>
    <w:rsid w:val="3C571527"/>
    <w:rsid w:val="3C5A7E27"/>
    <w:rsid w:val="3CBF151C"/>
    <w:rsid w:val="3D0012AD"/>
    <w:rsid w:val="3D250A02"/>
    <w:rsid w:val="3D2A6241"/>
    <w:rsid w:val="3D7C5780"/>
    <w:rsid w:val="3D934D3C"/>
    <w:rsid w:val="3DB67598"/>
    <w:rsid w:val="3E193700"/>
    <w:rsid w:val="3E234C14"/>
    <w:rsid w:val="3E273426"/>
    <w:rsid w:val="3E7C63D3"/>
    <w:rsid w:val="3F7D78FA"/>
    <w:rsid w:val="3FB13A48"/>
    <w:rsid w:val="404E74E8"/>
    <w:rsid w:val="409E7DB1"/>
    <w:rsid w:val="40A31D12"/>
    <w:rsid w:val="40E83499"/>
    <w:rsid w:val="40EB0EB2"/>
    <w:rsid w:val="41881E99"/>
    <w:rsid w:val="419C78CB"/>
    <w:rsid w:val="42151954"/>
    <w:rsid w:val="423C6ECE"/>
    <w:rsid w:val="424C1AB1"/>
    <w:rsid w:val="427A76C2"/>
    <w:rsid w:val="43F95CB2"/>
    <w:rsid w:val="448627BD"/>
    <w:rsid w:val="44AA0B3C"/>
    <w:rsid w:val="44D229F1"/>
    <w:rsid w:val="44D96855"/>
    <w:rsid w:val="45062140"/>
    <w:rsid w:val="452F2E7E"/>
    <w:rsid w:val="45D27114"/>
    <w:rsid w:val="4682613E"/>
    <w:rsid w:val="474C373C"/>
    <w:rsid w:val="47D409E9"/>
    <w:rsid w:val="48D36756"/>
    <w:rsid w:val="49091B30"/>
    <w:rsid w:val="4923076E"/>
    <w:rsid w:val="49DB6EA3"/>
    <w:rsid w:val="49EA2DE1"/>
    <w:rsid w:val="4A632422"/>
    <w:rsid w:val="4A674687"/>
    <w:rsid w:val="4AA97322"/>
    <w:rsid w:val="4B08065D"/>
    <w:rsid w:val="4B6E7E02"/>
    <w:rsid w:val="4BDD308B"/>
    <w:rsid w:val="4C4B08B6"/>
    <w:rsid w:val="4CB126E4"/>
    <w:rsid w:val="4CCC2A62"/>
    <w:rsid w:val="4CD50A6A"/>
    <w:rsid w:val="4D0833EF"/>
    <w:rsid w:val="4D7C109E"/>
    <w:rsid w:val="4DA96CF8"/>
    <w:rsid w:val="4DAC5384"/>
    <w:rsid w:val="4DCC1227"/>
    <w:rsid w:val="4EE96B68"/>
    <w:rsid w:val="4F1B4D25"/>
    <w:rsid w:val="4FC233DA"/>
    <w:rsid w:val="50683814"/>
    <w:rsid w:val="50B652BC"/>
    <w:rsid w:val="520771DE"/>
    <w:rsid w:val="521315DC"/>
    <w:rsid w:val="524D116E"/>
    <w:rsid w:val="53047CF1"/>
    <w:rsid w:val="54412AF3"/>
    <w:rsid w:val="545B4FC9"/>
    <w:rsid w:val="54D267ED"/>
    <w:rsid w:val="55A100BF"/>
    <w:rsid w:val="56582ADA"/>
    <w:rsid w:val="57891442"/>
    <w:rsid w:val="57AC6B77"/>
    <w:rsid w:val="57BF2954"/>
    <w:rsid w:val="57C830BF"/>
    <w:rsid w:val="58087417"/>
    <w:rsid w:val="58942D57"/>
    <w:rsid w:val="590F3445"/>
    <w:rsid w:val="595128D6"/>
    <w:rsid w:val="5A335DF0"/>
    <w:rsid w:val="5A783BDE"/>
    <w:rsid w:val="5AF4520D"/>
    <w:rsid w:val="5B021A57"/>
    <w:rsid w:val="5B1B6D51"/>
    <w:rsid w:val="5B2E3D41"/>
    <w:rsid w:val="5BD6561E"/>
    <w:rsid w:val="5C4F4870"/>
    <w:rsid w:val="5C6D6A69"/>
    <w:rsid w:val="5C76285D"/>
    <w:rsid w:val="5CB16383"/>
    <w:rsid w:val="5CE70DB2"/>
    <w:rsid w:val="5D8A634C"/>
    <w:rsid w:val="5DC8384A"/>
    <w:rsid w:val="5DD03EBB"/>
    <w:rsid w:val="5E427B45"/>
    <w:rsid w:val="5E4C4C0A"/>
    <w:rsid w:val="5E9C4698"/>
    <w:rsid w:val="5EB76C7A"/>
    <w:rsid w:val="5F3226C4"/>
    <w:rsid w:val="5F3C4C84"/>
    <w:rsid w:val="5FAA6092"/>
    <w:rsid w:val="600D6B32"/>
    <w:rsid w:val="60673F83"/>
    <w:rsid w:val="609C40FA"/>
    <w:rsid w:val="60D3660E"/>
    <w:rsid w:val="6149560C"/>
    <w:rsid w:val="61831D53"/>
    <w:rsid w:val="620C5E39"/>
    <w:rsid w:val="620F5A4A"/>
    <w:rsid w:val="63156255"/>
    <w:rsid w:val="63584057"/>
    <w:rsid w:val="63F14D19"/>
    <w:rsid w:val="640A0901"/>
    <w:rsid w:val="641E34A8"/>
    <w:rsid w:val="642511FC"/>
    <w:rsid w:val="648D45E8"/>
    <w:rsid w:val="64961183"/>
    <w:rsid w:val="64E262CE"/>
    <w:rsid w:val="65164B45"/>
    <w:rsid w:val="66183E31"/>
    <w:rsid w:val="66C0030D"/>
    <w:rsid w:val="6716225F"/>
    <w:rsid w:val="67C83F0D"/>
    <w:rsid w:val="67E622A6"/>
    <w:rsid w:val="67FD1024"/>
    <w:rsid w:val="682F376E"/>
    <w:rsid w:val="684F04FE"/>
    <w:rsid w:val="689D1517"/>
    <w:rsid w:val="68B207A3"/>
    <w:rsid w:val="68DE4D13"/>
    <w:rsid w:val="69146C72"/>
    <w:rsid w:val="6A211859"/>
    <w:rsid w:val="6A99232D"/>
    <w:rsid w:val="6AB235B6"/>
    <w:rsid w:val="6B3A7BE8"/>
    <w:rsid w:val="6C77469B"/>
    <w:rsid w:val="6D1F626F"/>
    <w:rsid w:val="6D5143B4"/>
    <w:rsid w:val="6DC447F6"/>
    <w:rsid w:val="6E2D119A"/>
    <w:rsid w:val="6E3A2094"/>
    <w:rsid w:val="6EDB315C"/>
    <w:rsid w:val="6EE449F0"/>
    <w:rsid w:val="6EF50652"/>
    <w:rsid w:val="6FD671DB"/>
    <w:rsid w:val="703E4E0C"/>
    <w:rsid w:val="70757BC0"/>
    <w:rsid w:val="70761960"/>
    <w:rsid w:val="71C97081"/>
    <w:rsid w:val="728B610E"/>
    <w:rsid w:val="730C5563"/>
    <w:rsid w:val="734E243B"/>
    <w:rsid w:val="73AD652F"/>
    <w:rsid w:val="73C16AF1"/>
    <w:rsid w:val="748B7250"/>
    <w:rsid w:val="74AE46B8"/>
    <w:rsid w:val="758111EB"/>
    <w:rsid w:val="75BF1D13"/>
    <w:rsid w:val="76575843"/>
    <w:rsid w:val="767F6A10"/>
    <w:rsid w:val="769169CB"/>
    <w:rsid w:val="76E901A3"/>
    <w:rsid w:val="77DB62A0"/>
    <w:rsid w:val="782D1B22"/>
    <w:rsid w:val="78F755B2"/>
    <w:rsid w:val="7997722F"/>
    <w:rsid w:val="79AA1F94"/>
    <w:rsid w:val="79D779CB"/>
    <w:rsid w:val="79E41DB5"/>
    <w:rsid w:val="79FE3AAC"/>
    <w:rsid w:val="7A580397"/>
    <w:rsid w:val="7A6C60BD"/>
    <w:rsid w:val="7A7E08BD"/>
    <w:rsid w:val="7B0321B2"/>
    <w:rsid w:val="7B1A63C8"/>
    <w:rsid w:val="7B47305E"/>
    <w:rsid w:val="7B8A22AC"/>
    <w:rsid w:val="7BE44088"/>
    <w:rsid w:val="7C083704"/>
    <w:rsid w:val="7CDE3751"/>
    <w:rsid w:val="7DAF52FE"/>
    <w:rsid w:val="7E553580"/>
    <w:rsid w:val="7E5E36AC"/>
    <w:rsid w:val="7EA90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56"/>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57"/>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8"/>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7">
    <w:name w:val="heading 6"/>
    <w:basedOn w:val="1"/>
    <w:next w:val="1"/>
    <w:link w:val="59"/>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8">
    <w:name w:val="heading 7"/>
    <w:basedOn w:val="1"/>
    <w:next w:val="1"/>
    <w:link w:val="60"/>
    <w:qFormat/>
    <w:uiPriority w:val="0"/>
    <w:pPr>
      <w:keepNext/>
      <w:keepLines/>
      <w:spacing w:beforeLines="50" w:afterLines="50" w:line="319" w:lineRule="auto"/>
      <w:ind w:firstLine="200" w:firstLineChars="200"/>
      <w:outlineLvl w:val="6"/>
    </w:pPr>
    <w:rPr>
      <w:rFonts w:eastAsia="黑体"/>
      <w:b/>
      <w:bCs/>
      <w:sz w:val="24"/>
      <w:szCs w:val="24"/>
    </w:rPr>
  </w:style>
  <w:style w:type="paragraph" w:styleId="9">
    <w:name w:val="heading 8"/>
    <w:basedOn w:val="1"/>
    <w:next w:val="1"/>
    <w:link w:val="61"/>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0">
    <w:name w:val="heading 9"/>
    <w:basedOn w:val="1"/>
    <w:next w:val="1"/>
    <w:link w:val="62"/>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4">
    <w:name w:val="Default Paragraph Font"/>
    <w:unhideWhenUsed/>
    <w:qFormat/>
    <w:uiPriority w:val="1"/>
  </w:style>
  <w:style w:type="table" w:default="1" w:styleId="42">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Theme="minorHAnsi" w:hAnsiTheme="minorHAnsi"/>
      <w:sz w:val="18"/>
      <w:szCs w:val="18"/>
    </w:rPr>
  </w:style>
  <w:style w:type="paragraph" w:styleId="12">
    <w:name w:val="Normal Indent"/>
    <w:basedOn w:val="1"/>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Document Map"/>
    <w:basedOn w:val="1"/>
    <w:link w:val="63"/>
    <w:qFormat/>
    <w:uiPriority w:val="0"/>
    <w:rPr>
      <w:rFonts w:ascii="宋体"/>
      <w:sz w:val="18"/>
      <w:szCs w:val="18"/>
    </w:rPr>
  </w:style>
  <w:style w:type="paragraph" w:styleId="14">
    <w:name w:val="annotation text"/>
    <w:basedOn w:val="1"/>
    <w:link w:val="64"/>
    <w:qFormat/>
    <w:uiPriority w:val="99"/>
    <w:pPr>
      <w:jc w:val="left"/>
    </w:pPr>
  </w:style>
  <w:style w:type="paragraph" w:styleId="15">
    <w:name w:val="Body Text"/>
    <w:basedOn w:val="1"/>
    <w:next w:val="16"/>
    <w:link w:val="65"/>
    <w:qFormat/>
    <w:uiPriority w:val="1"/>
    <w:pPr>
      <w:autoSpaceDE w:val="0"/>
      <w:autoSpaceDN w:val="0"/>
      <w:jc w:val="left"/>
    </w:pPr>
    <w:rPr>
      <w:rFonts w:ascii="宋体" w:hAnsi="宋体" w:cs="宋体"/>
      <w:kern w:val="0"/>
      <w:sz w:val="18"/>
      <w:szCs w:val="18"/>
      <w:lang w:val="zh-CN" w:bidi="zh-CN"/>
    </w:rPr>
  </w:style>
  <w:style w:type="paragraph" w:customStyle="1" w:styleId="16">
    <w:name w:val="Normal_348d468b-6267-44ea-ba05-1079b8006da9"/>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styleId="17">
    <w:name w:val="Body Text Indent"/>
    <w:basedOn w:val="1"/>
    <w:next w:val="18"/>
    <w:qFormat/>
    <w:uiPriority w:val="0"/>
    <w:pPr>
      <w:autoSpaceDE w:val="0"/>
      <w:autoSpaceDN w:val="0"/>
      <w:adjustRightInd w:val="0"/>
      <w:spacing w:line="360" w:lineRule="auto"/>
      <w:ind w:firstLine="540" w:firstLineChars="180"/>
    </w:pPr>
    <w:rPr>
      <w:rFonts w:ascii="宋体" w:hAnsi="Calibri"/>
      <w:sz w:val="30"/>
      <w:szCs w:val="24"/>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日期1"/>
    <w:basedOn w:val="1"/>
    <w:next w:val="1"/>
    <w:qFormat/>
    <w:uiPriority w:val="0"/>
    <w:rPr>
      <w:rFonts w:ascii="黑体" w:eastAsia="黑体"/>
      <w:sz w:val="28"/>
    </w:rPr>
  </w:style>
  <w:style w:type="paragraph" w:styleId="20">
    <w:name w:val="toc 5"/>
    <w:basedOn w:val="1"/>
    <w:next w:val="1"/>
    <w:unhideWhenUsed/>
    <w:qFormat/>
    <w:uiPriority w:val="0"/>
    <w:pPr>
      <w:ind w:left="840"/>
      <w:jc w:val="left"/>
    </w:pPr>
    <w:rPr>
      <w:rFonts w:asciiTheme="minorHAnsi" w:hAnsiTheme="minorHAnsi"/>
      <w:sz w:val="18"/>
      <w:szCs w:val="18"/>
    </w:rPr>
  </w:style>
  <w:style w:type="paragraph" w:styleId="21">
    <w:name w:val="toc 3"/>
    <w:basedOn w:val="1"/>
    <w:next w:val="1"/>
    <w:qFormat/>
    <w:uiPriority w:val="39"/>
    <w:pPr>
      <w:ind w:left="420"/>
      <w:jc w:val="left"/>
    </w:pPr>
    <w:rPr>
      <w:rFonts w:asciiTheme="minorHAnsi" w:hAnsiTheme="minorHAnsi"/>
      <w:i/>
      <w:iCs/>
      <w:sz w:val="20"/>
      <w:szCs w:val="20"/>
    </w:rPr>
  </w:style>
  <w:style w:type="paragraph" w:styleId="22">
    <w:name w:val="Plain Text"/>
    <w:basedOn w:val="1"/>
    <w:next w:val="1"/>
    <w:link w:val="66"/>
    <w:qFormat/>
    <w:uiPriority w:val="0"/>
    <w:rPr>
      <w:rFonts w:ascii="宋体" w:hAnsi="Courier New" w:cs="Courier New" w:eastAsiaTheme="minorEastAsia"/>
      <w:szCs w:val="21"/>
    </w:rPr>
  </w:style>
  <w:style w:type="paragraph" w:styleId="23">
    <w:name w:val="toc 8"/>
    <w:basedOn w:val="1"/>
    <w:next w:val="1"/>
    <w:unhideWhenUsed/>
    <w:qFormat/>
    <w:uiPriority w:val="0"/>
    <w:pPr>
      <w:ind w:left="1470"/>
      <w:jc w:val="left"/>
    </w:pPr>
    <w:rPr>
      <w:rFonts w:asciiTheme="minorHAnsi" w:hAnsiTheme="minorHAnsi"/>
      <w:sz w:val="18"/>
      <w:szCs w:val="18"/>
    </w:rPr>
  </w:style>
  <w:style w:type="paragraph" w:styleId="24">
    <w:name w:val="Date"/>
    <w:basedOn w:val="1"/>
    <w:next w:val="1"/>
    <w:link w:val="67"/>
    <w:qFormat/>
    <w:uiPriority w:val="0"/>
    <w:pPr>
      <w:ind w:left="100" w:leftChars="2500"/>
    </w:pPr>
  </w:style>
  <w:style w:type="paragraph" w:styleId="25">
    <w:name w:val="Body Text Indent 2"/>
    <w:basedOn w:val="1"/>
    <w:qFormat/>
    <w:uiPriority w:val="0"/>
    <w:pPr>
      <w:ind w:firstLine="540" w:firstLineChars="257"/>
    </w:pPr>
    <w:rPr>
      <w:szCs w:val="24"/>
    </w:rPr>
  </w:style>
  <w:style w:type="paragraph" w:styleId="26">
    <w:name w:val="Balloon Text"/>
    <w:basedOn w:val="1"/>
    <w:link w:val="68"/>
    <w:qFormat/>
    <w:uiPriority w:val="99"/>
    <w:rPr>
      <w:sz w:val="18"/>
      <w:szCs w:val="18"/>
    </w:rPr>
  </w:style>
  <w:style w:type="paragraph" w:styleId="27">
    <w:name w:val="footer"/>
    <w:basedOn w:val="1"/>
    <w:link w:val="69"/>
    <w:qFormat/>
    <w:uiPriority w:val="99"/>
    <w:pPr>
      <w:tabs>
        <w:tab w:val="center" w:pos="4153"/>
        <w:tab w:val="right" w:pos="8306"/>
      </w:tabs>
      <w:snapToGrid w:val="0"/>
      <w:jc w:val="left"/>
    </w:pPr>
    <w:rPr>
      <w:sz w:val="18"/>
      <w:szCs w:val="18"/>
    </w:rPr>
  </w:style>
  <w:style w:type="paragraph" w:styleId="28">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rFonts w:asciiTheme="minorHAnsi" w:hAnsiTheme="minorHAnsi"/>
      <w:b/>
      <w:bCs/>
      <w:caps/>
      <w:sz w:val="20"/>
      <w:szCs w:val="20"/>
    </w:rPr>
  </w:style>
  <w:style w:type="paragraph" w:styleId="30">
    <w:name w:val="toc 4"/>
    <w:basedOn w:val="1"/>
    <w:next w:val="1"/>
    <w:unhideWhenUsed/>
    <w:qFormat/>
    <w:uiPriority w:val="0"/>
    <w:pPr>
      <w:ind w:left="630"/>
      <w:jc w:val="left"/>
    </w:pPr>
    <w:rPr>
      <w:rFonts w:asciiTheme="minorHAnsi" w:hAnsiTheme="minorHAnsi"/>
      <w:sz w:val="18"/>
      <w:szCs w:val="18"/>
    </w:rPr>
  </w:style>
  <w:style w:type="paragraph" w:styleId="31">
    <w:name w:val="toc 6"/>
    <w:basedOn w:val="1"/>
    <w:next w:val="1"/>
    <w:unhideWhenUsed/>
    <w:qFormat/>
    <w:uiPriority w:val="0"/>
    <w:pPr>
      <w:ind w:left="1050"/>
      <w:jc w:val="left"/>
    </w:pPr>
    <w:rPr>
      <w:rFonts w:asciiTheme="minorHAnsi" w:hAnsiTheme="minorHAnsi"/>
      <w:sz w:val="18"/>
      <w:szCs w:val="18"/>
    </w:rPr>
  </w:style>
  <w:style w:type="paragraph" w:styleId="32">
    <w:name w:val="Body Text Indent 3"/>
    <w:basedOn w:val="1"/>
    <w:qFormat/>
    <w:uiPriority w:val="0"/>
    <w:pPr>
      <w:spacing w:line="380" w:lineRule="atLeast"/>
      <w:ind w:firstLine="480"/>
    </w:pPr>
    <w:rPr>
      <w:sz w:val="24"/>
      <w:szCs w:val="20"/>
    </w:rPr>
  </w:style>
  <w:style w:type="paragraph" w:styleId="33">
    <w:name w:val="toc 2"/>
    <w:basedOn w:val="1"/>
    <w:next w:val="1"/>
    <w:qFormat/>
    <w:uiPriority w:val="39"/>
    <w:pPr>
      <w:ind w:left="210"/>
      <w:jc w:val="left"/>
    </w:pPr>
    <w:rPr>
      <w:rFonts w:asciiTheme="minorHAnsi" w:hAnsiTheme="minorHAnsi"/>
      <w:smallCaps/>
      <w:sz w:val="20"/>
      <w:szCs w:val="20"/>
    </w:rPr>
  </w:style>
  <w:style w:type="paragraph" w:styleId="34">
    <w:name w:val="toc 9"/>
    <w:basedOn w:val="1"/>
    <w:next w:val="1"/>
    <w:unhideWhenUsed/>
    <w:qFormat/>
    <w:uiPriority w:val="0"/>
    <w:pPr>
      <w:ind w:left="1680"/>
      <w:jc w:val="left"/>
    </w:pPr>
    <w:rPr>
      <w:rFonts w:asciiTheme="minorHAnsi" w:hAnsiTheme="minorHAnsi"/>
      <w:sz w:val="18"/>
      <w:szCs w:val="18"/>
    </w:rPr>
  </w:style>
  <w:style w:type="paragraph" w:styleId="35">
    <w:name w:val="Body Text 2"/>
    <w:basedOn w:val="1"/>
    <w:qFormat/>
    <w:uiPriority w:val="0"/>
    <w:pPr>
      <w:jc w:val="center"/>
    </w:pPr>
    <w:rPr>
      <w:b/>
      <w:bCs/>
      <w:spacing w:val="-20"/>
      <w:w w:val="130"/>
      <w:sz w:val="48"/>
      <w:szCs w:val="48"/>
    </w:rPr>
  </w:style>
  <w:style w:type="paragraph" w:styleId="36">
    <w:name w:val="HTML Preformatted"/>
    <w:basedOn w:val="1"/>
    <w:link w:val="7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kern w:val="0"/>
      <w:sz w:val="24"/>
    </w:rPr>
  </w:style>
  <w:style w:type="paragraph" w:styleId="38">
    <w:name w:val="Title"/>
    <w:basedOn w:val="1"/>
    <w:next w:val="1"/>
    <w:link w:val="97"/>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39">
    <w:name w:val="annotation subject"/>
    <w:basedOn w:val="14"/>
    <w:next w:val="1"/>
    <w:link w:val="72"/>
    <w:qFormat/>
    <w:uiPriority w:val="99"/>
    <w:rPr>
      <w:b/>
      <w:bCs/>
    </w:rPr>
  </w:style>
  <w:style w:type="paragraph" w:styleId="40">
    <w:name w:val="Body Text First Indent"/>
    <w:basedOn w:val="15"/>
    <w:next w:val="31"/>
    <w:qFormat/>
    <w:uiPriority w:val="0"/>
    <w:pPr>
      <w:ind w:firstLine="420" w:firstLineChars="100"/>
    </w:pPr>
  </w:style>
  <w:style w:type="paragraph" w:styleId="41">
    <w:name w:val="Body Text First Indent 2"/>
    <w:basedOn w:val="17"/>
    <w:next w:val="1"/>
    <w:unhideWhenUsed/>
    <w:qFormat/>
    <w:uiPriority w:val="0"/>
    <w:pPr>
      <w:tabs>
        <w:tab w:val="left" w:pos="4900"/>
      </w:tabs>
      <w:ind w:firstLine="420" w:firstLineChars="200"/>
    </w:pPr>
  </w:style>
  <w:style w:type="table" w:styleId="43">
    <w:name w:val="Table Grid"/>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basedOn w:val="44"/>
    <w:unhideWhenUsed/>
    <w:qFormat/>
    <w:uiPriority w:val="99"/>
    <w:rPr>
      <w:color w:val="800080" w:themeColor="followedHyperlink"/>
      <w:u w:val="single"/>
      <w14:textFill>
        <w14:solidFill>
          <w14:schemeClr w14:val="folHlink"/>
        </w14:solidFill>
      </w14:textFill>
    </w:rPr>
  </w:style>
  <w:style w:type="character" w:styleId="48">
    <w:name w:val="Hyperlink"/>
    <w:qFormat/>
    <w:uiPriority w:val="99"/>
    <w:rPr>
      <w:color w:val="0000FF"/>
      <w:u w:val="single"/>
    </w:rPr>
  </w:style>
  <w:style w:type="character" w:styleId="49">
    <w:name w:val="annotation reference"/>
    <w:basedOn w:val="44"/>
    <w:qFormat/>
    <w:uiPriority w:val="0"/>
    <w:rPr>
      <w:sz w:val="21"/>
      <w:szCs w:val="21"/>
    </w:rPr>
  </w:style>
  <w:style w:type="paragraph" w:customStyle="1" w:styleId="50">
    <w:name w:val="列出段落1"/>
    <w:basedOn w:val="1"/>
    <w:qFormat/>
    <w:uiPriority w:val="34"/>
    <w:pPr>
      <w:ind w:firstLine="420" w:firstLineChars="200"/>
    </w:pPr>
    <w:rPr>
      <w:rFonts w:ascii="Calibri" w:hAnsi="Calibri"/>
    </w:rPr>
  </w:style>
  <w:style w:type="paragraph" w:customStyle="1" w:styleId="51">
    <w:name w:val="BodyText"/>
    <w:basedOn w:val="1"/>
    <w:qFormat/>
    <w:uiPriority w:val="0"/>
    <w:pPr>
      <w:widowControl/>
      <w:spacing w:after="120"/>
      <w:jc w:val="left"/>
      <w:textAlignment w:val="baseline"/>
    </w:pPr>
    <w:rPr>
      <w:rFonts w:ascii="Tahoma" w:hAnsi="Tahoma" w:eastAsia="Times New Roman"/>
      <w:b/>
      <w:sz w:val="20"/>
      <w:lang w:val="de-DE" w:eastAsia="de-DE"/>
    </w:rPr>
  </w:style>
  <w:style w:type="paragraph" w:customStyle="1" w:styleId="52">
    <w:name w:val="TOC 标题1"/>
    <w:basedOn w:val="2"/>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53">
    <w:name w:val="+正文"/>
    <w:basedOn w:val="1"/>
    <w:qFormat/>
    <w:uiPriority w:val="99"/>
    <w:pPr>
      <w:spacing w:line="360" w:lineRule="auto"/>
      <w:ind w:firstLine="200" w:firstLineChars="200"/>
    </w:pPr>
  </w:style>
  <w:style w:type="character" w:customStyle="1" w:styleId="54">
    <w:name w:val="标题 1 Char"/>
    <w:basedOn w:val="44"/>
    <w:link w:val="2"/>
    <w:qFormat/>
    <w:uiPriority w:val="0"/>
    <w:rPr>
      <w:b/>
      <w:bCs/>
      <w:kern w:val="44"/>
      <w:sz w:val="44"/>
      <w:szCs w:val="44"/>
    </w:rPr>
  </w:style>
  <w:style w:type="character" w:customStyle="1" w:styleId="55">
    <w:name w:val="标题 2 Char"/>
    <w:basedOn w:val="44"/>
    <w:link w:val="3"/>
    <w:qFormat/>
    <w:uiPriority w:val="0"/>
    <w:rPr>
      <w:rFonts w:ascii="Calibri Light" w:hAnsi="Calibri Light" w:eastAsia="宋体" w:cs="Times New Roman"/>
      <w:b/>
      <w:bCs/>
      <w:kern w:val="2"/>
      <w:sz w:val="32"/>
      <w:szCs w:val="32"/>
    </w:rPr>
  </w:style>
  <w:style w:type="character" w:customStyle="1" w:styleId="56">
    <w:name w:val="标题 3 Char"/>
    <w:basedOn w:val="44"/>
    <w:link w:val="4"/>
    <w:qFormat/>
    <w:uiPriority w:val="9"/>
    <w:rPr>
      <w:b/>
      <w:bCs/>
      <w:kern w:val="2"/>
      <w:sz w:val="32"/>
      <w:szCs w:val="32"/>
    </w:rPr>
  </w:style>
  <w:style w:type="character" w:customStyle="1" w:styleId="57">
    <w:name w:val="标题 4 Char"/>
    <w:basedOn w:val="44"/>
    <w:link w:val="5"/>
    <w:qFormat/>
    <w:uiPriority w:val="9"/>
    <w:rPr>
      <w:rFonts w:asciiTheme="majorHAnsi" w:hAnsiTheme="majorHAnsi" w:eastAsiaTheme="majorEastAsia" w:cstheme="majorBidi"/>
      <w:b/>
      <w:bCs/>
      <w:kern w:val="2"/>
      <w:sz w:val="28"/>
      <w:szCs w:val="28"/>
    </w:rPr>
  </w:style>
  <w:style w:type="character" w:customStyle="1" w:styleId="58">
    <w:name w:val="标题 5 Char"/>
    <w:basedOn w:val="44"/>
    <w:link w:val="6"/>
    <w:semiHidden/>
    <w:qFormat/>
    <w:uiPriority w:val="9"/>
    <w:rPr>
      <w:rFonts w:eastAsia="楷体"/>
      <w:b/>
      <w:bCs/>
      <w:sz w:val="24"/>
      <w:szCs w:val="28"/>
    </w:rPr>
  </w:style>
  <w:style w:type="character" w:customStyle="1" w:styleId="59">
    <w:name w:val="标题 6 Char"/>
    <w:basedOn w:val="44"/>
    <w:link w:val="7"/>
    <w:qFormat/>
    <w:uiPriority w:val="0"/>
    <w:rPr>
      <w:rFonts w:ascii="Cambria" w:hAnsi="Cambria" w:eastAsia="楷体"/>
      <w:b/>
      <w:bCs/>
      <w:kern w:val="2"/>
      <w:sz w:val="24"/>
      <w:szCs w:val="24"/>
    </w:rPr>
  </w:style>
  <w:style w:type="character" w:customStyle="1" w:styleId="60">
    <w:name w:val="标题 7 Char"/>
    <w:basedOn w:val="44"/>
    <w:link w:val="8"/>
    <w:qFormat/>
    <w:uiPriority w:val="0"/>
    <w:rPr>
      <w:rFonts w:eastAsia="黑体"/>
      <w:b/>
      <w:bCs/>
      <w:kern w:val="2"/>
      <w:sz w:val="24"/>
      <w:szCs w:val="24"/>
    </w:rPr>
  </w:style>
  <w:style w:type="character" w:customStyle="1" w:styleId="61">
    <w:name w:val="标题 8 Char"/>
    <w:basedOn w:val="44"/>
    <w:link w:val="9"/>
    <w:qFormat/>
    <w:uiPriority w:val="0"/>
    <w:rPr>
      <w:rFonts w:ascii="Arial" w:hAnsi="Arial" w:eastAsia="黑体"/>
      <w:b/>
      <w:kern w:val="2"/>
      <w:sz w:val="24"/>
      <w:szCs w:val="24"/>
    </w:rPr>
  </w:style>
  <w:style w:type="character" w:customStyle="1" w:styleId="62">
    <w:name w:val="标题 9 Char"/>
    <w:basedOn w:val="44"/>
    <w:link w:val="10"/>
    <w:qFormat/>
    <w:uiPriority w:val="0"/>
    <w:rPr>
      <w:rFonts w:ascii="Arial" w:hAnsi="Arial" w:eastAsia="黑体"/>
      <w:b/>
      <w:kern w:val="2"/>
      <w:sz w:val="24"/>
      <w:szCs w:val="21"/>
    </w:rPr>
  </w:style>
  <w:style w:type="character" w:customStyle="1" w:styleId="63">
    <w:name w:val="文档结构图 Char"/>
    <w:basedOn w:val="44"/>
    <w:link w:val="13"/>
    <w:qFormat/>
    <w:uiPriority w:val="0"/>
    <w:rPr>
      <w:rFonts w:ascii="宋体"/>
      <w:kern w:val="2"/>
      <w:sz w:val="18"/>
      <w:szCs w:val="18"/>
    </w:rPr>
  </w:style>
  <w:style w:type="character" w:customStyle="1" w:styleId="64">
    <w:name w:val="批注文字 Char"/>
    <w:basedOn w:val="44"/>
    <w:link w:val="14"/>
    <w:qFormat/>
    <w:uiPriority w:val="99"/>
    <w:rPr>
      <w:kern w:val="2"/>
      <w:sz w:val="21"/>
      <w:szCs w:val="22"/>
    </w:rPr>
  </w:style>
  <w:style w:type="character" w:customStyle="1" w:styleId="65">
    <w:name w:val="正文文本 Char"/>
    <w:basedOn w:val="44"/>
    <w:link w:val="15"/>
    <w:qFormat/>
    <w:uiPriority w:val="1"/>
    <w:rPr>
      <w:rFonts w:ascii="宋体" w:hAnsi="宋体" w:cs="宋体"/>
      <w:sz w:val="18"/>
      <w:szCs w:val="18"/>
      <w:lang w:val="zh-CN" w:bidi="zh-CN"/>
    </w:rPr>
  </w:style>
  <w:style w:type="character" w:customStyle="1" w:styleId="66">
    <w:name w:val="纯文本 Char"/>
    <w:basedOn w:val="44"/>
    <w:link w:val="22"/>
    <w:qFormat/>
    <w:uiPriority w:val="0"/>
    <w:rPr>
      <w:rFonts w:ascii="宋体" w:hAnsi="Courier New" w:cs="Courier New" w:eastAsiaTheme="minorEastAsia"/>
      <w:kern w:val="2"/>
      <w:sz w:val="21"/>
      <w:szCs w:val="21"/>
    </w:rPr>
  </w:style>
  <w:style w:type="character" w:customStyle="1" w:styleId="67">
    <w:name w:val="日期 Char"/>
    <w:basedOn w:val="44"/>
    <w:link w:val="24"/>
    <w:qFormat/>
    <w:uiPriority w:val="0"/>
    <w:rPr>
      <w:kern w:val="2"/>
      <w:sz w:val="21"/>
      <w:szCs w:val="22"/>
    </w:rPr>
  </w:style>
  <w:style w:type="character" w:customStyle="1" w:styleId="68">
    <w:name w:val="批注框文本 Char"/>
    <w:basedOn w:val="44"/>
    <w:link w:val="26"/>
    <w:qFormat/>
    <w:uiPriority w:val="99"/>
    <w:rPr>
      <w:kern w:val="2"/>
      <w:sz w:val="18"/>
      <w:szCs w:val="18"/>
    </w:rPr>
  </w:style>
  <w:style w:type="character" w:customStyle="1" w:styleId="69">
    <w:name w:val="页脚 Char"/>
    <w:basedOn w:val="44"/>
    <w:link w:val="27"/>
    <w:qFormat/>
    <w:uiPriority w:val="99"/>
    <w:rPr>
      <w:kern w:val="2"/>
      <w:sz w:val="18"/>
      <w:szCs w:val="18"/>
    </w:rPr>
  </w:style>
  <w:style w:type="character" w:customStyle="1" w:styleId="70">
    <w:name w:val="页眉 Char"/>
    <w:basedOn w:val="44"/>
    <w:link w:val="28"/>
    <w:qFormat/>
    <w:uiPriority w:val="99"/>
    <w:rPr>
      <w:kern w:val="2"/>
      <w:sz w:val="18"/>
      <w:szCs w:val="18"/>
    </w:rPr>
  </w:style>
  <w:style w:type="character" w:customStyle="1" w:styleId="71">
    <w:name w:val="HTML 预设格式 Char"/>
    <w:basedOn w:val="44"/>
    <w:link w:val="36"/>
    <w:qFormat/>
    <w:uiPriority w:val="99"/>
    <w:rPr>
      <w:rFonts w:ascii="宋体" w:hAnsi="宋体" w:cs="宋体"/>
      <w:sz w:val="24"/>
      <w:szCs w:val="24"/>
    </w:rPr>
  </w:style>
  <w:style w:type="character" w:customStyle="1" w:styleId="72">
    <w:name w:val="批注主题 Char"/>
    <w:basedOn w:val="64"/>
    <w:link w:val="39"/>
    <w:qFormat/>
    <w:uiPriority w:val="99"/>
    <w:rPr>
      <w:b/>
      <w:bCs/>
      <w:kern w:val="2"/>
      <w:sz w:val="21"/>
      <w:szCs w:val="22"/>
    </w:rPr>
  </w:style>
  <w:style w:type="character" w:customStyle="1" w:styleId="73">
    <w:name w:val="high-light-bg4"/>
    <w:basedOn w:val="44"/>
    <w:qFormat/>
    <w:uiPriority w:val="0"/>
  </w:style>
  <w:style w:type="paragraph" w:customStyle="1" w:styleId="74">
    <w:name w:val="列出段落2"/>
    <w:basedOn w:val="1"/>
    <w:qFormat/>
    <w:uiPriority w:val="34"/>
    <w:pPr>
      <w:ind w:firstLine="420" w:firstLineChars="200"/>
    </w:pPr>
  </w:style>
  <w:style w:type="paragraph" w:customStyle="1" w:styleId="75">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List Paragraph"/>
    <w:basedOn w:val="1"/>
    <w:link w:val="77"/>
    <w:qFormat/>
    <w:uiPriority w:val="34"/>
    <w:pPr>
      <w:ind w:firstLine="420" w:firstLineChars="200"/>
    </w:pPr>
    <w:rPr>
      <w:rFonts w:ascii="Calibri" w:hAnsi="Calibri"/>
    </w:rPr>
  </w:style>
  <w:style w:type="character" w:customStyle="1" w:styleId="77">
    <w:name w:val="列出段落 Char"/>
    <w:basedOn w:val="44"/>
    <w:link w:val="76"/>
    <w:qFormat/>
    <w:uiPriority w:val="0"/>
    <w:rPr>
      <w:rFonts w:ascii="Calibri" w:hAnsi="Calibri"/>
      <w:kern w:val="2"/>
      <w:sz w:val="21"/>
      <w:szCs w:val="22"/>
    </w:rPr>
  </w:style>
  <w:style w:type="character" w:customStyle="1" w:styleId="78">
    <w:name w:val="Table Text Char1"/>
    <w:link w:val="79"/>
    <w:qFormat/>
    <w:locked/>
    <w:uiPriority w:val="0"/>
    <w:rPr>
      <w:rFonts w:ascii="Arial" w:hAnsi="Arial" w:cs="Arial"/>
    </w:rPr>
  </w:style>
  <w:style w:type="paragraph" w:customStyle="1" w:styleId="79">
    <w:name w:val="Table Text"/>
    <w:basedOn w:val="1"/>
    <w:link w:val="78"/>
    <w:qFormat/>
    <w:uiPriority w:val="0"/>
    <w:pPr>
      <w:widowControl/>
      <w:snapToGrid w:val="0"/>
      <w:spacing w:before="80" w:after="80"/>
      <w:jc w:val="left"/>
    </w:pPr>
    <w:rPr>
      <w:rFonts w:ascii="Arial" w:hAnsi="Arial"/>
      <w:kern w:val="0"/>
      <w:sz w:val="20"/>
      <w:szCs w:val="20"/>
    </w:rPr>
  </w:style>
  <w:style w:type="paragraph" w:customStyle="1" w:styleId="80">
    <w:name w:val="Char"/>
    <w:basedOn w:val="1"/>
    <w:qFormat/>
    <w:uiPriority w:val="0"/>
    <w:pPr>
      <w:adjustRightInd w:val="0"/>
      <w:spacing w:line="360" w:lineRule="auto"/>
    </w:pPr>
    <w:rPr>
      <w:rFonts w:ascii="Calibri" w:hAnsi="Calibri"/>
      <w:kern w:val="0"/>
      <w:sz w:val="24"/>
    </w:rPr>
  </w:style>
  <w:style w:type="character" w:customStyle="1" w:styleId="81">
    <w:name w:val="mh-gray2"/>
    <w:basedOn w:val="44"/>
    <w:qFormat/>
    <w:uiPriority w:val="0"/>
  </w:style>
  <w:style w:type="paragraph" w:customStyle="1" w:styleId="82">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83">
    <w:name w:val="font31"/>
    <w:basedOn w:val="44"/>
    <w:qFormat/>
    <w:uiPriority w:val="0"/>
    <w:rPr>
      <w:rFonts w:hint="eastAsia" w:ascii="宋体" w:hAnsi="宋体" w:eastAsia="宋体" w:cs="宋体"/>
      <w:b/>
      <w:color w:val="000000"/>
      <w:sz w:val="20"/>
      <w:szCs w:val="20"/>
      <w:u w:val="none"/>
    </w:rPr>
  </w:style>
  <w:style w:type="character" w:customStyle="1" w:styleId="84">
    <w:name w:val="font21"/>
    <w:basedOn w:val="44"/>
    <w:qFormat/>
    <w:uiPriority w:val="0"/>
    <w:rPr>
      <w:rFonts w:hint="eastAsia" w:ascii="宋体" w:hAnsi="宋体" w:eastAsia="宋体" w:cs="宋体"/>
      <w:color w:val="000000"/>
      <w:sz w:val="20"/>
      <w:szCs w:val="20"/>
      <w:u w:val="none"/>
    </w:rPr>
  </w:style>
  <w:style w:type="character" w:customStyle="1" w:styleId="85">
    <w:name w:val="font11"/>
    <w:basedOn w:val="44"/>
    <w:qFormat/>
    <w:uiPriority w:val="0"/>
    <w:rPr>
      <w:rFonts w:hint="eastAsia" w:ascii="宋体" w:hAnsi="宋体" w:eastAsia="宋体" w:cs="宋体"/>
      <w:color w:val="000000"/>
      <w:sz w:val="20"/>
      <w:szCs w:val="20"/>
      <w:u w:val="none"/>
    </w:rPr>
  </w:style>
  <w:style w:type="character" w:customStyle="1" w:styleId="86">
    <w:name w:val="font61"/>
    <w:basedOn w:val="44"/>
    <w:qFormat/>
    <w:uiPriority w:val="0"/>
    <w:rPr>
      <w:rFonts w:hint="default" w:ascii="Times New Roman" w:hAnsi="Times New Roman" w:cs="Times New Roman"/>
      <w:b/>
      <w:color w:val="000000"/>
      <w:sz w:val="20"/>
      <w:szCs w:val="20"/>
      <w:u w:val="none"/>
    </w:rPr>
  </w:style>
  <w:style w:type="character" w:customStyle="1" w:styleId="87">
    <w:name w:val="font41"/>
    <w:basedOn w:val="44"/>
    <w:qFormat/>
    <w:uiPriority w:val="0"/>
    <w:rPr>
      <w:rFonts w:hint="eastAsia" w:ascii="宋体" w:hAnsi="宋体" w:eastAsia="宋体" w:cs="宋体"/>
      <w:b/>
      <w:color w:val="000000"/>
      <w:sz w:val="20"/>
      <w:szCs w:val="20"/>
      <w:u w:val="none"/>
    </w:rPr>
  </w:style>
  <w:style w:type="character" w:customStyle="1" w:styleId="88">
    <w:name w:val="font01"/>
    <w:basedOn w:val="44"/>
    <w:qFormat/>
    <w:uiPriority w:val="0"/>
    <w:rPr>
      <w:rFonts w:hint="default" w:ascii="Times New Roman" w:hAnsi="Times New Roman" w:cs="Times New Roman"/>
      <w:b/>
      <w:color w:val="000000"/>
      <w:sz w:val="20"/>
      <w:szCs w:val="20"/>
      <w:u w:val="none"/>
    </w:rPr>
  </w:style>
  <w:style w:type="character" w:customStyle="1" w:styleId="89">
    <w:name w:val="font51"/>
    <w:basedOn w:val="44"/>
    <w:qFormat/>
    <w:uiPriority w:val="0"/>
    <w:rPr>
      <w:rFonts w:hint="default" w:ascii="Times New Roman" w:hAnsi="Times New Roman" w:cs="Times New Roman"/>
      <w:color w:val="000000"/>
      <w:sz w:val="20"/>
      <w:szCs w:val="20"/>
      <w:u w:val="none"/>
    </w:rPr>
  </w:style>
  <w:style w:type="character" w:customStyle="1" w:styleId="90">
    <w:name w:val="书籍标题1"/>
    <w:basedOn w:val="44"/>
    <w:qFormat/>
    <w:uiPriority w:val="0"/>
    <w:rPr>
      <w:rFonts w:ascii="Times New Roman" w:hAnsi="Times New Roman" w:eastAsia="宋体"/>
      <w:b/>
      <w:bCs/>
      <w:smallCaps/>
      <w:spacing w:val="5"/>
    </w:rPr>
  </w:style>
  <w:style w:type="character" w:customStyle="1" w:styleId="91">
    <w:name w:val="font71"/>
    <w:basedOn w:val="44"/>
    <w:qFormat/>
    <w:uiPriority w:val="0"/>
    <w:rPr>
      <w:rFonts w:hint="eastAsia" w:ascii="宋体" w:hAnsi="宋体" w:eastAsia="宋体" w:cs="宋体"/>
      <w:color w:val="000000"/>
      <w:sz w:val="18"/>
      <w:szCs w:val="18"/>
      <w:u w:val="none"/>
    </w:rPr>
  </w:style>
  <w:style w:type="paragraph" w:customStyle="1" w:styleId="9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94">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95">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96">
    <w:name w:val="样式 标题 5 + 五号 居中 段前: 1.5 磅 段后: 1.5 磅 行距: 多倍行距 1.57 字行"/>
    <w:basedOn w:val="6"/>
    <w:qFormat/>
    <w:uiPriority w:val="0"/>
    <w:pPr>
      <w:widowControl w:val="0"/>
      <w:tabs>
        <w:tab w:val="left" w:pos="360"/>
      </w:tabs>
      <w:spacing w:before="30" w:after="30" w:line="377" w:lineRule="auto"/>
      <w:jc w:val="center"/>
    </w:pPr>
    <w:rPr>
      <w:rFonts w:cs="宋体"/>
      <w:kern w:val="2"/>
      <w:sz w:val="21"/>
      <w:szCs w:val="20"/>
    </w:rPr>
  </w:style>
  <w:style w:type="character" w:customStyle="1" w:styleId="97">
    <w:name w:val="标题 Char"/>
    <w:link w:val="38"/>
    <w:qFormat/>
    <w:uiPriority w:val="0"/>
    <w:rPr>
      <w:rFonts w:ascii="Cambria" w:hAnsi="Cambria"/>
      <w:b/>
      <w:bCs/>
      <w:sz w:val="36"/>
      <w:szCs w:val="32"/>
    </w:rPr>
  </w:style>
  <w:style w:type="character" w:customStyle="1" w:styleId="98">
    <w:name w:val="标题 Char1"/>
    <w:basedOn w:val="44"/>
    <w:qFormat/>
    <w:uiPriority w:val="10"/>
    <w:rPr>
      <w:rFonts w:asciiTheme="majorHAnsi" w:hAnsiTheme="majorHAnsi" w:cstheme="majorBidi"/>
      <w:b/>
      <w:bCs/>
      <w:kern w:val="2"/>
      <w:sz w:val="32"/>
      <w:szCs w:val="32"/>
    </w:rPr>
  </w:style>
  <w:style w:type="paragraph" w:customStyle="1" w:styleId="99">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00">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01">
    <w:name w:val="列出段落 字符"/>
    <w:qFormat/>
    <w:locked/>
    <w:uiPriority w:val="34"/>
    <w:rPr>
      <w:kern w:val="2"/>
      <w:sz w:val="24"/>
      <w:szCs w:val="24"/>
    </w:rPr>
  </w:style>
  <w:style w:type="paragraph" w:customStyle="1" w:styleId="10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5">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07">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08">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09">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10">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1">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2">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3">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4">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5">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6">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7">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8">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9">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20">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21">
    <w:name w:val="fontstyle01"/>
    <w:basedOn w:val="44"/>
    <w:qFormat/>
    <w:uiPriority w:val="0"/>
    <w:rPr>
      <w:rFonts w:hint="eastAsia" w:ascii="宋体" w:hAnsi="宋体" w:eastAsia="宋体"/>
      <w:color w:val="000000"/>
      <w:sz w:val="28"/>
      <w:szCs w:val="28"/>
    </w:rPr>
  </w:style>
  <w:style w:type="character" w:customStyle="1" w:styleId="122">
    <w:name w:val="fontstyle21"/>
    <w:basedOn w:val="44"/>
    <w:qFormat/>
    <w:uiPriority w:val="0"/>
    <w:rPr>
      <w:rFonts w:hint="default" w:ascii="TimesNewRomanPSMT" w:hAnsi="TimesNewRomanPSMT"/>
      <w:color w:val="000000"/>
      <w:sz w:val="28"/>
      <w:szCs w:val="28"/>
    </w:rPr>
  </w:style>
  <w:style w:type="table" w:customStyle="1" w:styleId="123">
    <w:name w:val="网格表 5 深色 - 着色 11"/>
    <w:basedOn w:val="42"/>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24">
    <w:name w:val="修订1"/>
    <w:hidden/>
    <w:semiHidden/>
    <w:qFormat/>
    <w:uiPriority w:val="99"/>
    <w:rPr>
      <w:rFonts w:ascii="Times New Roman" w:hAnsi="Times New Roman" w:eastAsia="楷体" w:cs="Times New Roman"/>
      <w:sz w:val="28"/>
      <w:lang w:val="en-US" w:eastAsia="zh-CN" w:bidi="ar-SA"/>
    </w:rPr>
  </w:style>
  <w:style w:type="paragraph" w:customStyle="1" w:styleId="125">
    <w:name w:val="列出段落3"/>
    <w:basedOn w:val="1"/>
    <w:qFormat/>
    <w:uiPriority w:val="0"/>
    <w:pPr>
      <w:ind w:firstLine="420" w:firstLineChars="200"/>
    </w:pPr>
    <w:rPr>
      <w:szCs w:val="24"/>
    </w:rPr>
  </w:style>
  <w:style w:type="table" w:customStyle="1" w:styleId="126">
    <w:name w:val="网格型1"/>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
    <w:name w:val="TableGrid"/>
    <w:qFormat/>
    <w:uiPriority w:val="0"/>
    <w:rPr>
      <w:kern w:val="2"/>
      <w:sz w:val="21"/>
      <w:szCs w:val="22"/>
    </w:rPr>
    <w:tblPr>
      <w:tblCellMar>
        <w:top w:w="0" w:type="dxa"/>
        <w:left w:w="0" w:type="dxa"/>
        <w:bottom w:w="0" w:type="dxa"/>
        <w:right w:w="0" w:type="dxa"/>
      </w:tblCellMar>
    </w:tblPr>
  </w:style>
  <w:style w:type="paragraph" w:customStyle="1" w:styleId="128">
    <w:name w:val="正文格式"/>
    <w:basedOn w:val="1"/>
    <w:qFormat/>
    <w:uiPriority w:val="0"/>
    <w:pPr>
      <w:adjustRightInd w:val="0"/>
      <w:snapToGrid w:val="0"/>
      <w:spacing w:line="400" w:lineRule="atLeast"/>
      <w:ind w:firstLine="482"/>
      <w:textAlignment w:val="baseline"/>
    </w:pPr>
  </w:style>
  <w:style w:type="paragraph" w:customStyle="1" w:styleId="129">
    <w:name w:val="null3"/>
    <w:hidden/>
    <w:qFormat/>
    <w:uiPriority w:val="0"/>
    <w:rPr>
      <w:rFonts w:hint="eastAsia" w:asciiTheme="minorHAnsi" w:hAnsiTheme="minorHAnsi" w:eastAsiaTheme="minorEastAsia" w:cstheme="minorBidi"/>
      <w:lang w:val="en-US" w:eastAsia="zh-Hans"/>
    </w:rPr>
  </w:style>
  <w:style w:type="paragraph" w:customStyle="1" w:styleId="13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customStyle="1" w:styleId="131">
    <w:name w:val="M正文"/>
    <w:basedOn w:val="1"/>
    <w:qFormat/>
    <w:uiPriority w:val="0"/>
    <w:pPr>
      <w:spacing w:line="360" w:lineRule="auto"/>
      <w:ind w:firstLine="48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C5B69E-504E-4339-9434-AF3D02AA1C6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25246</Words>
  <Characters>27003</Characters>
  <Lines>254</Lines>
  <Paragraphs>71</Paragraphs>
  <TotalTime>47</TotalTime>
  <ScaleCrop>false</ScaleCrop>
  <LinksUpToDate>false</LinksUpToDate>
  <CharactersWithSpaces>27185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2020-05-06T00:40:00Z</dcterms:created>
  <dc:creator>Administrator</dc:creator>
  <cp:lastModifiedBy>Administrator</cp:lastModifiedBy>
  <cp:lastPrinted>2025-05-14T01:11:00Z</cp:lastPrinted>
  <dcterms:modified xsi:type="dcterms:W3CDTF">2025-12-18T07:46:18Z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8E4CC364746F4A0A95EDD77526248383_13</vt:lpwstr>
  </property>
  <property fmtid="{D5CDD505-2E9C-101B-9397-08002B2CF9AE}" pid="4" name="KSOTemplateDocerSaveRecord">
    <vt:lpwstr>eyJoZGlkIjoiY2UyZTNjNTM5NWI3ZjZiNzMxMjBiNjA4OTBhZGM4NzEiLCJ1c2VySWQiOiIyNTgzMzg0NTQifQ==</vt:lpwstr>
  </property>
</Properties>
</file>