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446C">
      <w:pPr>
        <w:pStyle w:val="2"/>
        <w:bidi w:val="0"/>
        <w:jc w:val="center"/>
      </w:pPr>
      <w:r>
        <w:rPr>
          <w:rFonts w:hint="eastAsia"/>
        </w:rPr>
        <w:t>采购需求</w:t>
      </w:r>
    </w:p>
    <w:p w14:paraId="2EA6A51E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合同包1(富阎市政大桥节地评价及用地预审技术服务项目):</w:t>
      </w:r>
    </w:p>
    <w:p w14:paraId="2AF55011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合同包预算金额：320,000.00元</w:t>
      </w:r>
    </w:p>
    <w:p w14:paraId="276F96E4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合同包最高限价：320,000.00元</w:t>
      </w:r>
    </w:p>
    <w:tbl>
      <w:tblPr>
        <w:tblW w:w="75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765"/>
        <w:gridCol w:w="1770"/>
        <w:gridCol w:w="833"/>
        <w:gridCol w:w="1350"/>
        <w:gridCol w:w="1242"/>
      </w:tblGrid>
      <w:tr w14:paraId="164707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5C3D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BCA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C17F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DAA7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E7FE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B6AA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9C17A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658A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4943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8CAAC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富阎市政大桥节地评价及用地预审技术服务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1355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9A72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DF898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320,000.00</w:t>
            </w:r>
          </w:p>
        </w:tc>
      </w:tr>
    </w:tbl>
    <w:p w14:paraId="7A6E4C04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本合同包不接受联合体投标</w:t>
      </w:r>
    </w:p>
    <w:p w14:paraId="43B66ED7">
      <w:pPr>
        <w:bidi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合同履行期限：合同签订后一年内交付成果并通过验收。</w:t>
      </w:r>
    </w:p>
    <w:p w14:paraId="02CA8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6F63"/>
    <w:rsid w:val="437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2026-01-14T04:55:00Z</dcterms:created>
  <dc:creator>招标四部</dc:creator>
  <cp:lastModifiedBy>招标四部</cp:lastModifiedBy>
  <dcterms:modified xsi:type="dcterms:W3CDTF">2026-01-14T04:57:15Z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E8D394AA95BB4823B8798FF230E11C74_11</vt:lpwstr>
  </property>
  <property fmtid="{D5CDD505-2E9C-101B-9397-08002B2CF9AE}" pid="4" name="KSOTemplateDocerSaveRecord">
    <vt:lpwstr>eyJoZGlkIjoiYWRmNjk4OWM0ZmUyYWMzMjcxNzU1N2MzM2E4N2U1MDYiLCJ1c2VySWQiOiIyNDEwNjE3OTEifQ==</vt:lpwstr>
  </property>
</Properties>
</file>