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9612B5">
      <w:pPr>
        <w:pStyle w:val="2"/>
        <w:numPr>
          <w:ilvl w:val="0"/>
          <w:numId w:val="2"/>
        </w:numPr>
        <w:rPr>
          <w:rFonts w:ascii="宋体" w:hAnsi="宋体"/>
          <w:sz w:val="32"/>
        </w:rPr>
      </w:pPr>
      <w:bookmarkStart w:id="0" w:name="_Toc23789"/>
      <w:bookmarkStart w:id="1" w:name="_Toc11817"/>
      <w:bookmarkStart w:id="2" w:name="_Toc11592"/>
      <w:r>
        <w:rPr>
          <w:rFonts w:hint="eastAsia" w:ascii="宋体" w:hAnsi="宋体"/>
          <w:sz w:val="32"/>
        </w:rPr>
        <w:t>采购内容及要求</w:t>
      </w:r>
      <w:bookmarkEnd w:id="0"/>
      <w:bookmarkEnd w:id="1"/>
      <w:bookmarkEnd w:id="2"/>
    </w:p>
    <w:p w14:paraId="7E5CBA61">
      <w:pPr>
        <w:numPr>
          <w:ilvl w:val="0"/>
          <w:numId w:val="3"/>
        </w:numPr>
        <w:outlineLvl w:val="1"/>
        <w:rPr>
          <w:b/>
          <w:bCs/>
        </w:rPr>
      </w:pPr>
      <w:bookmarkStart w:id="3" w:name="_Toc5866"/>
      <w:bookmarkStart w:id="4" w:name="_Toc1215"/>
      <w:bookmarkStart w:id="5" w:name="_Toc18099"/>
      <w:r>
        <w:rPr>
          <w:rFonts w:hint="eastAsia"/>
          <w:b/>
          <w:bCs/>
        </w:rPr>
        <w:t>项目概况</w:t>
      </w:r>
      <w:bookmarkEnd w:id="3"/>
      <w:bookmarkEnd w:id="4"/>
      <w:bookmarkEnd w:id="5"/>
    </w:p>
    <w:p w14:paraId="2BA4339B">
      <w:pPr>
        <w:pStyle w:val="4"/>
        <w:ind w:left="0" w:firstLine="0"/>
      </w:pPr>
      <w:bookmarkStart w:id="6" w:name="_Toc29840"/>
      <w:bookmarkStart w:id="7" w:name="_Toc16388"/>
      <w:bookmarkStart w:id="8" w:name="_Toc29857"/>
      <w:bookmarkStart w:id="9" w:name="_Toc24478"/>
      <w:r>
        <w:rPr>
          <w:rFonts w:hint="eastAsia"/>
        </w:rPr>
        <w:t>（一）建设</w:t>
      </w:r>
      <w:bookmarkEnd w:id="6"/>
      <w:r>
        <w:rPr>
          <w:rFonts w:hint="eastAsia"/>
        </w:rPr>
        <w:t>背景</w:t>
      </w:r>
      <w:bookmarkEnd w:id="7"/>
      <w:bookmarkEnd w:id="8"/>
      <w:bookmarkEnd w:id="9"/>
    </w:p>
    <w:p w14:paraId="17B883A1">
      <w:pPr>
        <w:ind w:firstLine="480" w:firstLineChars="200"/>
        <w:rPr>
          <w:rFonts w:ascii="宋体" w:hAnsi="宋体" w:cs="宋体"/>
        </w:rPr>
      </w:pPr>
      <w:r>
        <w:rPr>
          <w:rFonts w:hint="eastAsia" w:ascii="宋体" w:hAnsi="宋体" w:cs="宋体"/>
        </w:rPr>
        <w:t>随着我校网络规模的快速扩张及数字化校园建设需求，现需采购一台专业DHCP服务器及一台DNS服务器，以解决当前网络架构中存在的核心隐患并提升整体服务水平。</w:t>
      </w:r>
    </w:p>
    <w:p w14:paraId="208E9C57">
      <w:pPr>
        <w:ind w:firstLine="480" w:firstLineChars="200"/>
        <w:rPr>
          <w:rFonts w:ascii="宋体" w:hAnsi="宋体" w:cs="宋体"/>
        </w:rPr>
      </w:pPr>
      <w:r>
        <w:rPr>
          <w:rFonts w:hint="eastAsia" w:ascii="宋体" w:hAnsi="宋体" w:cs="宋体"/>
        </w:rPr>
        <w:t>目前，我校基础网络网络服务DNS依赖于单机的DNS设备；DHCP服务使用核心交换设备附带的简易DHCP功能。随着师生移动终端与物联网设备数量激增，DNS与DHCP原始架构负荷较大。其弊端集中表现为：DNS服务存在严重的单点故障风险，一旦该设备故障，将导致全校域名解析服务中断，严重影响教学、科研及日常办公；基础交换设备的DHCP功能在IP地址管理的精细化、可视化、安全性和稳定性上存在明显不足，会导致IP地址分配混乱、偶发冲突等问题，影响了用户的网络体验，并为校园网安全埋下隐患。</w:t>
      </w:r>
    </w:p>
    <w:p w14:paraId="0A10389D">
      <w:pPr>
        <w:pStyle w:val="4"/>
        <w:numPr>
          <w:ilvl w:val="2"/>
          <w:numId w:val="0"/>
        </w:numPr>
        <w:rPr>
          <w:rFonts w:cs="宋体"/>
          <w:szCs w:val="24"/>
        </w:rPr>
      </w:pPr>
      <w:bookmarkStart w:id="10" w:name="_Toc20789"/>
      <w:bookmarkStart w:id="11" w:name="_Toc27794"/>
      <w:bookmarkStart w:id="12" w:name="_Toc11895"/>
      <w:bookmarkStart w:id="13" w:name="_Toc11087"/>
      <w:bookmarkStart w:id="14" w:name="_Toc9068"/>
      <w:r>
        <w:rPr>
          <w:rFonts w:hint="eastAsia" w:cs="宋体"/>
          <w:szCs w:val="24"/>
        </w:rPr>
        <w:t>（二）建设目标</w:t>
      </w:r>
      <w:bookmarkEnd w:id="10"/>
      <w:bookmarkEnd w:id="11"/>
      <w:bookmarkEnd w:id="12"/>
      <w:bookmarkEnd w:id="13"/>
      <w:bookmarkEnd w:id="14"/>
    </w:p>
    <w:p w14:paraId="3175CCC2">
      <w:pPr>
        <w:ind w:firstLine="480" w:firstLineChars="200"/>
        <w:rPr>
          <w:rFonts w:ascii="宋体" w:hAnsi="宋体" w:cs="宋体"/>
        </w:rPr>
      </w:pPr>
      <w:r>
        <w:rPr>
          <w:rFonts w:hint="eastAsia" w:ascii="宋体" w:hAnsi="宋体" w:cs="宋体"/>
        </w:rPr>
        <w:t>此次采购旨在构建面向校园全场景应用的、健壮、高效、可管可控的专业化网络基础服务平台。通过部署专业的DNS与DHCP核心网络服务设备，实现“地址自动化管理+智能解析调度+可视化运维+IPv6深度支持”的整体目标，为学校科研教学、校园管理、智慧校园应用提供长期可靠的基础技术支撑。</w:t>
      </w:r>
    </w:p>
    <w:p w14:paraId="14A7C407">
      <w:pPr>
        <w:ind w:firstLine="480" w:firstLineChars="200"/>
        <w:rPr>
          <w:rFonts w:ascii="宋体" w:hAnsi="宋体" w:cs="宋体"/>
        </w:rPr>
      </w:pPr>
      <w:r>
        <w:rPr>
          <w:rFonts w:hint="eastAsia" w:ascii="宋体" w:hAnsi="宋体" w:cs="宋体"/>
        </w:rPr>
        <w:t>在DNS体系建设方面，新设备将与现有DNS设备进行融合部署，构建统一管理、高可靠解析架构。依托智能DNS的多链路调度能力，与互联网出口设备联动，实现IPv4/IPv6双栈环境下跨运营商链路的智能选路与流量优化，从而在多运营商带宽资源不均衡或出现某链路断路的情况下显著改善访问体验并保持解析不中断，保障校园网关键业务的持续、稳定运行。同时，借助域名解析系统的拨测能力，对境外学术资源访问质量进行监测与智能优化，提升国际教育与科研资源的访问效率和稳定性。通过DNS数据分析构建域名系统的可观测能力，实现对DNS解析异常的快速识别和精准定位，有效区分普通网络故障，缩短故障处理时间，增强网络核心服务的韧性与可用性。</w:t>
      </w:r>
      <w:bookmarkStart w:id="15" w:name="OLE_LINK2"/>
      <w:r>
        <w:rPr>
          <w:rFonts w:hint="eastAsia" w:ascii="宋体" w:hAnsi="宋体" w:cs="宋体"/>
        </w:rPr>
        <w:t>同时联动威胁域名情报库，实现对校园网内挖矿、勒索病毒、赌博等非法域名访问的精准拦截，确保威胁域名访问不出校园网，也可做到精准溯源，保障校园网络安全。</w:t>
      </w:r>
    </w:p>
    <w:bookmarkEnd w:id="15"/>
    <w:p w14:paraId="49229182">
      <w:pPr>
        <w:ind w:firstLine="480" w:firstLineChars="200"/>
        <w:rPr>
          <w:rFonts w:ascii="宋体" w:hAnsi="宋体" w:cs="宋体"/>
        </w:rPr>
      </w:pPr>
      <w:r>
        <w:rPr>
          <w:rFonts w:hint="eastAsia" w:ascii="宋体" w:hAnsi="宋体" w:cs="宋体"/>
        </w:rPr>
        <w:t>在IP地址管理方面，引入专业化的DHCP设备，实现对IPv4与IPv6地址的统一规划与集中管理。通过系统层次化、语义化的IPv6编码规则，并提供直观的可视化管理界面、权限分级控制、使用记录追踪及IP地址全生命周期管理功能，显著减少人工干预和维护工作量，提高管理效率。通过定制开发，实现与现有认证计费系统协同对接，有效解决IPv6使用中可能出现的网速下降、访问不稳定等问题，并实现对终端分配多个运营IPv6地址，确保满足国家“去NAT”要求下的多出口链路调度。同时，通过实时状态监控与结构化可视化展示，管理人员可以清晰掌握各网段、各类型终端的地址使用情况，减少配置错误和冲突风险，提升校园网运行的稳定性和管理效率。</w:t>
      </w:r>
    </w:p>
    <w:p w14:paraId="0C4EF48A">
      <w:pPr>
        <w:ind w:firstLine="480" w:firstLineChars="200"/>
        <w:rPr>
          <w:rFonts w:ascii="宋体" w:hAnsi="宋体" w:cs="宋体"/>
        </w:rPr>
      </w:pPr>
      <w:r>
        <w:rPr>
          <w:rFonts w:hint="eastAsia" w:ascii="宋体" w:hAnsi="宋体" w:cs="宋体"/>
        </w:rPr>
        <w:t>在综合管理与运维能力上，与学校 “一网通办” 系统深度对接并开展定制化功能开发，实现域名与 IP 地址全生命周期、全流程在线管理，为智慧校园业务的自动化运转、规范化推进及审计可追溯提供坚实支撑。同时，搭建统一可视化大屏，面向网络中心、运维管理、应急保障等核心场景，集中展示网络运行状态、故障告警、地址使用率、IT 资产及安全风险等关键指标，全面达成网络运行的可视、可管、可控。</w:t>
      </w:r>
    </w:p>
    <w:p w14:paraId="6AD2D42E">
      <w:pPr>
        <w:ind w:firstLine="480" w:firstLineChars="200"/>
        <w:rPr>
          <w:rFonts w:ascii="宋体" w:hAnsi="宋体" w:cs="宋体"/>
        </w:rPr>
      </w:pPr>
      <w:r>
        <w:rPr>
          <w:rFonts w:hint="eastAsia" w:ascii="宋体" w:hAnsi="宋体" w:cs="宋体"/>
        </w:rPr>
        <w:t>本次建设将使学校网络服务能力从“可用”迈向“稳定、安全、智能、可运营”。通过统一平台、集中管理、可视化展示和高可用架构，全面提升网络服务质量、科研教学体验、管理效率与运维水平，为未来IPv6深度应用、智慧校园建设和网络安全体系升级奠定坚实基础。</w:t>
      </w:r>
    </w:p>
    <w:p w14:paraId="62B9DEBA">
      <w:pPr>
        <w:numPr>
          <w:ilvl w:val="0"/>
          <w:numId w:val="3"/>
        </w:numPr>
        <w:outlineLvl w:val="1"/>
        <w:rPr>
          <w:b/>
          <w:bCs/>
        </w:rPr>
      </w:pPr>
      <w:bookmarkStart w:id="16" w:name="_Toc6405"/>
      <w:bookmarkStart w:id="17" w:name="_Toc2750"/>
      <w:bookmarkStart w:id="18" w:name="_Toc18829"/>
      <w:r>
        <w:rPr>
          <w:rFonts w:hint="eastAsia"/>
          <w:b/>
          <w:bCs/>
        </w:rPr>
        <w:t>技术要求</w:t>
      </w:r>
      <w:bookmarkEnd w:id="16"/>
      <w:bookmarkEnd w:id="17"/>
      <w:bookmarkEnd w:id="18"/>
    </w:p>
    <w:p w14:paraId="00D7E441">
      <w:pPr>
        <w:pStyle w:val="4"/>
        <w:ind w:left="0" w:firstLine="0"/>
      </w:pPr>
      <w:bookmarkStart w:id="19" w:name="_Toc12986"/>
      <w:bookmarkStart w:id="20" w:name="_Toc24219"/>
      <w:bookmarkStart w:id="21" w:name="_Toc7704"/>
      <w:r>
        <w:rPr>
          <w:rFonts w:hint="eastAsia"/>
        </w:rPr>
        <w:t>（一）DNS智能解析</w:t>
      </w:r>
      <w:bookmarkEnd w:id="19"/>
      <w:bookmarkEnd w:id="20"/>
      <w:bookmarkEnd w:id="21"/>
    </w:p>
    <w:p w14:paraId="3383828A">
      <w:pPr>
        <w:pStyle w:val="11"/>
        <w:tabs>
          <w:tab w:val="left" w:pos="0"/>
          <w:tab w:val="left" w:pos="993"/>
          <w:tab w:val="left" w:pos="1134"/>
        </w:tabs>
        <w:spacing w:after="0"/>
        <w:ind w:firstLine="480"/>
        <w:rPr>
          <w:rFonts w:ascii="宋体" w:hAnsi="宋体" w:cs="宋体"/>
        </w:rPr>
      </w:pPr>
      <w:r>
        <w:rPr>
          <w:rFonts w:hint="eastAsia" w:ascii="宋体" w:hAnsi="宋体" w:cs="宋体"/>
        </w:rPr>
        <w:t>1.CPU：国产化处理器；内存≥16GB；磁盘空间≥2TB*2；网口≥10个10/100/1000M电口，≥2个万兆光口；电源：提供交流冗余电源，支持热插拔；系统具备系统级、软件功能级冗余备份能力，QPS：不少于100000，支持HA部署。</w:t>
      </w:r>
    </w:p>
    <w:p w14:paraId="75D0DA6F">
      <w:pPr>
        <w:pStyle w:val="11"/>
        <w:tabs>
          <w:tab w:val="left" w:pos="0"/>
          <w:tab w:val="left" w:pos="993"/>
          <w:tab w:val="left" w:pos="1134"/>
        </w:tabs>
        <w:spacing w:after="0"/>
        <w:ind w:firstLine="480"/>
        <w:rPr>
          <w:rFonts w:ascii="宋体" w:hAnsi="宋体" w:cs="宋体"/>
        </w:rPr>
      </w:pPr>
      <w:r>
        <w:rPr>
          <w:rFonts w:hint="eastAsia" w:ascii="宋体" w:hAnsi="宋体" w:cs="宋体"/>
        </w:rPr>
        <w:t>2.支持标准DNS协议，记录类型支持A、AAAA、PTR、CNAME、MX、NS、TXT、SOA等类型。</w:t>
      </w:r>
    </w:p>
    <w:p w14:paraId="76B69620">
      <w:pPr>
        <w:pStyle w:val="11"/>
        <w:tabs>
          <w:tab w:val="left" w:pos="0"/>
          <w:tab w:val="left" w:pos="993"/>
          <w:tab w:val="left" w:pos="1134"/>
        </w:tabs>
        <w:spacing w:after="0"/>
        <w:ind w:firstLine="480"/>
        <w:rPr>
          <w:rFonts w:ascii="宋体" w:hAnsi="宋体" w:cs="宋体"/>
        </w:rPr>
      </w:pPr>
      <w:r>
        <w:rPr>
          <w:rFonts w:hint="eastAsia" w:ascii="宋体" w:hAnsi="宋体" w:cs="宋体"/>
        </w:rPr>
        <w:t>3.支持校内核心业务系统域名的安全防护，管理员在执行相关业务操作时，可通过增强提示或禁止变更来规避误操作，以达到保护域名的效果。</w:t>
      </w:r>
    </w:p>
    <w:p w14:paraId="371DCD38">
      <w:pPr>
        <w:pStyle w:val="11"/>
        <w:tabs>
          <w:tab w:val="left" w:pos="0"/>
          <w:tab w:val="left" w:pos="993"/>
          <w:tab w:val="left" w:pos="1134"/>
        </w:tabs>
        <w:spacing w:after="0"/>
        <w:ind w:firstLine="480"/>
        <w:rPr>
          <w:rFonts w:ascii="宋体" w:hAnsi="宋体" w:cs="宋体"/>
        </w:rPr>
      </w:pPr>
      <w:r>
        <w:rPr>
          <w:rFonts w:hint="eastAsia" w:ascii="宋体" w:hAnsi="宋体" w:cs="宋体"/>
        </w:rPr>
        <w:t>4.递归查询支持First/WRR、Only/WRR等多种转发方式；支持对运营商DNS服务器进行健康检查，支持以NS域名方式作为转发目的。</w:t>
      </w:r>
    </w:p>
    <w:p w14:paraId="5FA061A8">
      <w:pPr>
        <w:pStyle w:val="11"/>
        <w:tabs>
          <w:tab w:val="left" w:pos="0"/>
          <w:tab w:val="left" w:pos="993"/>
          <w:tab w:val="left" w:pos="1134"/>
        </w:tabs>
        <w:spacing w:after="0"/>
        <w:ind w:firstLine="480"/>
        <w:rPr>
          <w:rFonts w:ascii="宋体" w:hAnsi="宋体" w:cs="宋体"/>
          <w:color w:val="0000FF"/>
        </w:rPr>
      </w:pPr>
      <w:r>
        <w:rPr>
          <w:rFonts w:hint="eastAsia" w:ascii="宋体" w:hAnsi="宋体" w:cs="宋体"/>
        </w:rPr>
        <w:t>5.▲具备智能DNS能力，业务系统健康监测方式不低于15种，支持DNS负载均衡算法不低于9种，包括但不限于动态就近性、多维度可用性算法、静态保持算法等实现最优解析，支持会话保持功能。提供生产厂家确认的、相应的功能证明材料（包括但不限于测试报告、官网和功能截图）。</w:t>
      </w:r>
    </w:p>
    <w:p w14:paraId="448C66FB">
      <w:pPr>
        <w:pStyle w:val="11"/>
        <w:tabs>
          <w:tab w:val="left" w:pos="0"/>
          <w:tab w:val="left" w:pos="993"/>
          <w:tab w:val="left" w:pos="1134"/>
        </w:tabs>
        <w:spacing w:after="0"/>
        <w:ind w:firstLine="480"/>
        <w:rPr>
          <w:rFonts w:ascii="宋体" w:hAnsi="宋体" w:cs="宋体"/>
        </w:rPr>
      </w:pPr>
      <w:r>
        <w:rPr>
          <w:rFonts w:hint="eastAsia" w:ascii="宋体" w:hAnsi="宋体" w:cs="宋体"/>
        </w:rPr>
        <w:t>6.具备隧道攻击防护，可根据防护模式、阻断策略、双因子匹配、动态阻断有效期（秒）、监测统计周期（秒）、最大监测会话数、最大监测区数量等进行设置防护策略。</w:t>
      </w:r>
    </w:p>
    <w:p w14:paraId="6F758E61">
      <w:pPr>
        <w:pStyle w:val="11"/>
        <w:tabs>
          <w:tab w:val="left" w:pos="0"/>
          <w:tab w:val="left" w:pos="993"/>
          <w:tab w:val="left" w:pos="1134"/>
        </w:tabs>
        <w:spacing w:after="0"/>
        <w:ind w:firstLine="480"/>
        <w:rPr>
          <w:rFonts w:ascii="宋体" w:hAnsi="宋体" w:cs="宋体"/>
          <w:color w:val="0000FF"/>
        </w:rPr>
      </w:pPr>
      <w:r>
        <w:rPr>
          <w:rFonts w:hint="eastAsia" w:ascii="宋体" w:hAnsi="宋体" w:cs="宋体"/>
        </w:rPr>
        <w:t>7.▲在智能DNS负载均衡调度场景下，支持配置业务解析失败应答策略包括但不限于动态兜底解析、静态兜底解析、无记录、无域名、丢弃等策略，提升异常场景下的容错率。提供生产厂家确认的、相应的功能证明材料（包括但不限于测试报告、官网和功能截图）。</w:t>
      </w:r>
    </w:p>
    <w:p w14:paraId="7B513DC7">
      <w:pPr>
        <w:pStyle w:val="11"/>
        <w:tabs>
          <w:tab w:val="left" w:pos="0"/>
          <w:tab w:val="left" w:pos="993"/>
          <w:tab w:val="left" w:pos="1134"/>
        </w:tabs>
        <w:spacing w:after="0"/>
        <w:ind w:firstLine="480"/>
        <w:rPr>
          <w:rFonts w:ascii="宋体" w:hAnsi="宋体" w:cs="宋体"/>
        </w:rPr>
      </w:pPr>
      <w:r>
        <w:rPr>
          <w:rFonts w:hint="eastAsia" w:ascii="宋体" w:hAnsi="宋体" w:cs="宋体"/>
        </w:rPr>
        <w:t>8.配置不少于1万条静态域名解析记录，压力测试单台设备的解析性能情况，在QPS解析性能参数达到10万时，要求：连续发起10次域名解析请求，每次解析延时不超过1ms；日志查询检索时间是小于10s；</w:t>
      </w:r>
    </w:p>
    <w:p w14:paraId="671E6FE2">
      <w:pPr>
        <w:pStyle w:val="11"/>
        <w:tabs>
          <w:tab w:val="left" w:pos="0"/>
          <w:tab w:val="left" w:pos="993"/>
          <w:tab w:val="left" w:pos="1134"/>
        </w:tabs>
        <w:spacing w:after="0"/>
        <w:ind w:firstLine="480"/>
        <w:rPr>
          <w:rFonts w:ascii="宋体" w:hAnsi="宋体" w:cs="宋体"/>
          <w:color w:val="0000FF"/>
        </w:rPr>
      </w:pPr>
      <w:r>
        <w:rPr>
          <w:rFonts w:hint="eastAsia" w:ascii="宋体" w:hAnsi="宋体" w:cs="宋体"/>
        </w:rPr>
        <w:t>9.▲可以监测防御 DDoS 反射攻击、源IPDDoS 攻击、DNS 畸形包 DDoS 攻击、UDP Flood攻击、TCP Flood 攻击、SYN Flood 攻击、ICMP Flood 攻击的 DNS DDoS 攻击，支持根据业务需求自定义限速阈值，并能提供相应的告警和攻击流量统计。提供生产厂家确认的、相应的功能证明材料（包括但不限于测试报告、官网和功能截图）</w:t>
      </w:r>
    </w:p>
    <w:p w14:paraId="252BD2DC">
      <w:pPr>
        <w:pStyle w:val="11"/>
        <w:tabs>
          <w:tab w:val="left" w:pos="0"/>
          <w:tab w:val="left" w:pos="993"/>
          <w:tab w:val="left" w:pos="1134"/>
        </w:tabs>
        <w:spacing w:after="0"/>
        <w:ind w:firstLine="480"/>
        <w:rPr>
          <w:rFonts w:ascii="宋体" w:hAnsi="宋体" w:cs="宋体"/>
        </w:rPr>
      </w:pPr>
      <w:r>
        <w:rPr>
          <w:rFonts w:hint="eastAsia" w:ascii="宋体" w:hAnsi="宋体" w:cs="宋体"/>
        </w:rPr>
        <w:t>10.对校内热点域名进行响应延迟探测，根据探测结果自动定期更新选路策略，优化整体访问质量和速度。</w:t>
      </w:r>
    </w:p>
    <w:p w14:paraId="5BD14202">
      <w:pPr>
        <w:pStyle w:val="11"/>
        <w:tabs>
          <w:tab w:val="left" w:pos="0"/>
          <w:tab w:val="left" w:pos="993"/>
          <w:tab w:val="left" w:pos="1134"/>
        </w:tabs>
        <w:spacing w:after="0"/>
        <w:ind w:firstLine="480"/>
        <w:rPr>
          <w:rFonts w:ascii="宋体" w:hAnsi="宋体" w:cs="宋体"/>
        </w:rPr>
      </w:pPr>
      <w:r>
        <w:rPr>
          <w:rFonts w:hint="eastAsia" w:ascii="宋体" w:hAnsi="宋体" w:cs="宋体"/>
        </w:rPr>
        <w:t>11.▲具备SM3国密算法进行DNS 数据更新与存储。</w:t>
      </w:r>
      <w:r>
        <w:rPr>
          <w:rFonts w:hint="eastAsia"/>
        </w:rPr>
        <w:t>提供生产厂家确认的、相应的功能证明材料（包括但不限于测试报告、官网和功能截图）</w:t>
      </w:r>
    </w:p>
    <w:p w14:paraId="26384E54">
      <w:pPr>
        <w:pStyle w:val="11"/>
        <w:tabs>
          <w:tab w:val="left" w:pos="0"/>
          <w:tab w:val="left" w:pos="993"/>
          <w:tab w:val="left" w:pos="1134"/>
        </w:tabs>
        <w:spacing w:after="0"/>
        <w:ind w:firstLine="480"/>
        <w:rPr>
          <w:rFonts w:ascii="宋体" w:hAnsi="宋体" w:cs="宋体"/>
          <w:color w:val="0000FF"/>
        </w:rPr>
      </w:pPr>
      <w:r>
        <w:rPr>
          <w:rFonts w:hint="eastAsia" w:ascii="宋体" w:hAnsi="宋体" w:cs="宋体"/>
        </w:rPr>
        <w:t>12.▲完成与我校现有DNS系统数据对接，集中下发DNS配置数据（现有DNS系统支持全API接口，可开发，但不能改变现有应用架构,现有ZDNS T5100-SD，1U硬件平台标准DNS设备，Intel处理器，8G内存，8万QPS，提供标准API接口。）。</w:t>
      </w:r>
      <w:r>
        <w:rPr>
          <w:rFonts w:hint="eastAsia"/>
        </w:rPr>
        <w:t>提供生产厂家确认的、相应的功能证明材料</w:t>
      </w:r>
      <w:r>
        <w:rPr>
          <w:rFonts w:hint="eastAsia" w:ascii="宋体" w:hAnsi="宋体" w:cs="宋体"/>
        </w:rPr>
        <w:t>（包括但不限于测试报告、官网和功能截图）</w:t>
      </w:r>
    </w:p>
    <w:p w14:paraId="572A225A">
      <w:pPr>
        <w:pStyle w:val="11"/>
        <w:tabs>
          <w:tab w:val="left" w:pos="0"/>
          <w:tab w:val="left" w:pos="993"/>
          <w:tab w:val="left" w:pos="1134"/>
        </w:tabs>
        <w:spacing w:after="0"/>
        <w:ind w:firstLine="480"/>
        <w:rPr>
          <w:rFonts w:ascii="宋体" w:hAnsi="宋体" w:cs="宋体"/>
        </w:rPr>
      </w:pPr>
    </w:p>
    <w:p w14:paraId="76E46486">
      <w:pPr>
        <w:pStyle w:val="11"/>
        <w:tabs>
          <w:tab w:val="left" w:pos="0"/>
          <w:tab w:val="left" w:pos="993"/>
          <w:tab w:val="left" w:pos="1134"/>
        </w:tabs>
        <w:spacing w:after="0"/>
        <w:ind w:firstLine="480"/>
        <w:rPr>
          <w:rFonts w:ascii="宋体" w:hAnsi="宋体" w:cs="宋体"/>
          <w:color w:val="0000FF"/>
        </w:rPr>
      </w:pPr>
      <w:r>
        <w:rPr>
          <w:rFonts w:hint="eastAsia" w:ascii="宋体" w:hAnsi="宋体" w:cs="宋体"/>
        </w:rPr>
        <w:t>13.▲DNS节点支持实时同步云端威胁情报平台的威胁情报数据，数据同步支持加密，并能保证各DNS节点数据一致性。</w:t>
      </w:r>
      <w:r>
        <w:rPr>
          <w:rFonts w:hint="eastAsia"/>
        </w:rPr>
        <w:t>提供生产厂家确认的、相应的功能证明材料</w:t>
      </w:r>
      <w:r>
        <w:rPr>
          <w:rFonts w:hint="eastAsia" w:ascii="宋体" w:hAnsi="宋体" w:cs="宋体"/>
        </w:rPr>
        <w:t>（包括但不限于测试报告、官网和功能截图）</w:t>
      </w:r>
    </w:p>
    <w:p w14:paraId="1905E36A">
      <w:pPr>
        <w:pStyle w:val="11"/>
        <w:tabs>
          <w:tab w:val="left" w:pos="0"/>
          <w:tab w:val="left" w:pos="993"/>
          <w:tab w:val="left" w:pos="1134"/>
        </w:tabs>
        <w:spacing w:after="0"/>
        <w:ind w:firstLine="480"/>
        <w:rPr>
          <w:rFonts w:ascii="宋体" w:hAnsi="宋体" w:cs="宋体"/>
        </w:rPr>
      </w:pPr>
    </w:p>
    <w:p w14:paraId="58E43A98">
      <w:pPr>
        <w:pStyle w:val="11"/>
        <w:tabs>
          <w:tab w:val="left" w:pos="0"/>
          <w:tab w:val="left" w:pos="993"/>
          <w:tab w:val="left" w:pos="1134"/>
        </w:tabs>
        <w:spacing w:after="0"/>
        <w:ind w:firstLine="480"/>
        <w:rPr>
          <w:rFonts w:ascii="宋体" w:hAnsi="宋体" w:cs="宋体"/>
        </w:rPr>
      </w:pPr>
      <w:r>
        <w:rPr>
          <w:rFonts w:hint="eastAsia" w:ascii="宋体" w:hAnsi="宋体" w:cs="宋体"/>
        </w:rPr>
        <w:t>14.以上功能要求投标完成后三天内可由甲方组织测试验证，产品经过测试验证的视为满足，未经过测试验证的视为不满足，甲方可单方面终止合同。</w:t>
      </w:r>
    </w:p>
    <w:p w14:paraId="11AE7220">
      <w:pPr>
        <w:pStyle w:val="11"/>
        <w:tabs>
          <w:tab w:val="left" w:pos="0"/>
          <w:tab w:val="left" w:pos="993"/>
          <w:tab w:val="left" w:pos="1134"/>
        </w:tabs>
        <w:spacing w:after="0"/>
        <w:ind w:firstLine="480"/>
        <w:rPr>
          <w:rFonts w:ascii="宋体" w:hAnsi="宋体" w:cs="宋体"/>
        </w:rPr>
      </w:pPr>
      <w:r>
        <w:rPr>
          <w:rFonts w:hint="eastAsia" w:ascii="宋体" w:hAnsi="宋体" w:cs="宋体"/>
        </w:rPr>
        <w:t>15.数量1台；原厂软硬件质保3年</w:t>
      </w:r>
    </w:p>
    <w:p w14:paraId="34B3F630">
      <w:pPr>
        <w:pStyle w:val="4"/>
        <w:numPr>
          <w:ilvl w:val="2"/>
          <w:numId w:val="0"/>
        </w:numPr>
        <w:spacing w:before="0" w:after="0"/>
      </w:pPr>
      <w:bookmarkStart w:id="22" w:name="_Toc19803"/>
      <w:bookmarkStart w:id="23" w:name="_Toc8058"/>
      <w:bookmarkStart w:id="24" w:name="_Toc19273"/>
      <w:r>
        <w:rPr>
          <w:rFonts w:hint="eastAsia"/>
        </w:rPr>
        <w:t>（二）DHCP地址分配管理</w:t>
      </w:r>
      <w:bookmarkEnd w:id="22"/>
      <w:bookmarkEnd w:id="23"/>
      <w:bookmarkEnd w:id="24"/>
    </w:p>
    <w:p w14:paraId="5A3C60EF">
      <w:pPr>
        <w:pStyle w:val="11"/>
        <w:tabs>
          <w:tab w:val="left" w:pos="0"/>
          <w:tab w:val="left" w:pos="993"/>
          <w:tab w:val="left" w:pos="1134"/>
        </w:tabs>
        <w:spacing w:after="0"/>
        <w:ind w:firstLine="480"/>
        <w:rPr>
          <w:rFonts w:ascii="宋体" w:hAnsi="宋体" w:cs="宋体"/>
        </w:rPr>
      </w:pPr>
      <w:r>
        <w:rPr>
          <w:rFonts w:hint="eastAsia" w:ascii="宋体" w:hAnsi="宋体" w:cs="宋体"/>
        </w:rPr>
        <w:t>1.CPU：国产化处理器；内存≥16GB；磁盘空间≥2TB*2；网口≥10个10/100/1000M电口，≥2个万兆光口；电源：提供交流冗余电源，支持热插拔；系统具备系统级、软件功能级冗余备份能力，LPS：不少于1500，DHCP容量:不低于8万，支持HA部署。</w:t>
      </w:r>
    </w:p>
    <w:p w14:paraId="3192581F">
      <w:pPr>
        <w:pStyle w:val="11"/>
        <w:tabs>
          <w:tab w:val="left" w:pos="0"/>
          <w:tab w:val="left" w:pos="993"/>
          <w:tab w:val="left" w:pos="1134"/>
        </w:tabs>
        <w:spacing w:after="0"/>
        <w:ind w:firstLine="480"/>
        <w:rPr>
          <w:rFonts w:ascii="宋体" w:hAnsi="宋体" w:cs="宋体"/>
        </w:rPr>
      </w:pPr>
      <w:r>
        <w:rPr>
          <w:rFonts w:hint="eastAsia" w:ascii="宋体" w:hAnsi="宋体" w:cs="宋体"/>
        </w:rPr>
        <w:t>2.具备IPV4/IPv6 DHCP Failover技术，提供DHCP服务异地灾备的功能，当一台异常时另外一台支持一键接管全部租赁服务，支持调整MCLT和负载比例</w:t>
      </w:r>
    </w:p>
    <w:p w14:paraId="4831A041">
      <w:pPr>
        <w:pStyle w:val="11"/>
        <w:tabs>
          <w:tab w:val="left" w:pos="0"/>
          <w:tab w:val="left" w:pos="993"/>
          <w:tab w:val="left" w:pos="1134"/>
        </w:tabs>
        <w:spacing w:after="0"/>
        <w:ind w:firstLine="480"/>
        <w:rPr>
          <w:rFonts w:ascii="宋体" w:hAnsi="宋体" w:cs="宋体"/>
        </w:rPr>
      </w:pPr>
      <w:r>
        <w:rPr>
          <w:rFonts w:hint="eastAsia" w:ascii="宋体" w:hAnsi="宋体" w:cs="宋体"/>
        </w:rPr>
        <w:t>3.具备对地址池进行分组，方便根据使用目的不同进行地址池归类管理支持对地址池进行分组，方便根据使用目的不同进行地址池归类管理，支持手动创建分组和基于自定义属性自动分组两种方式，并以可视化图形方式展示分组信息。</w:t>
      </w:r>
    </w:p>
    <w:p w14:paraId="7EFF95AC">
      <w:pPr>
        <w:pStyle w:val="11"/>
        <w:tabs>
          <w:tab w:val="left" w:pos="0"/>
          <w:tab w:val="left" w:pos="993"/>
          <w:tab w:val="left" w:pos="1134"/>
        </w:tabs>
        <w:spacing w:after="0"/>
        <w:ind w:firstLine="480"/>
        <w:rPr>
          <w:rFonts w:ascii="宋体" w:hAnsi="宋体" w:cs="宋体"/>
          <w:color w:val="FF0000"/>
          <w:highlight w:val="green"/>
        </w:rPr>
      </w:pPr>
      <w:r>
        <w:rPr>
          <w:rFonts w:hint="eastAsia" w:ascii="宋体" w:hAnsi="宋体" w:cs="宋体"/>
        </w:rPr>
        <w:t>4.▲具备IPv4-IPv6双栈地址分配，可将IPv4地址嵌入IPv6地址中实现双栈地址对应，支持通过IPv4地址快速查找对应的IPv6地址。提供生产厂家确认的、相应的功能证明材料（包括但不限于测试报告、官网和功能截图）</w:t>
      </w:r>
    </w:p>
    <w:p w14:paraId="0AA0AA3E">
      <w:pPr>
        <w:pStyle w:val="11"/>
        <w:tabs>
          <w:tab w:val="left" w:pos="0"/>
          <w:tab w:val="left" w:pos="993"/>
          <w:tab w:val="left" w:pos="1134"/>
        </w:tabs>
        <w:spacing w:after="0"/>
        <w:ind w:firstLine="480"/>
        <w:rPr>
          <w:rFonts w:ascii="宋体" w:hAnsi="宋体" w:cs="宋体"/>
        </w:rPr>
      </w:pPr>
      <w:r>
        <w:rPr>
          <w:rFonts w:hint="eastAsia" w:ascii="宋体" w:hAnsi="宋体" w:cs="宋体"/>
        </w:rPr>
        <w:t>5.具备全局网络使用率、冲突地址条件、僵尸地址条件的自定义配置，可实时判断是否达到触发条件并告警。</w:t>
      </w:r>
    </w:p>
    <w:p w14:paraId="17A924CF">
      <w:pPr>
        <w:pStyle w:val="11"/>
        <w:tabs>
          <w:tab w:val="left" w:pos="0"/>
          <w:tab w:val="left" w:pos="993"/>
          <w:tab w:val="left" w:pos="1134"/>
        </w:tabs>
        <w:spacing w:after="0"/>
        <w:ind w:firstLine="480"/>
        <w:rPr>
          <w:rFonts w:ascii="宋体" w:hAnsi="宋体" w:cs="宋体"/>
        </w:rPr>
      </w:pPr>
      <w:r>
        <w:rPr>
          <w:rFonts w:hint="eastAsia" w:ascii="宋体" w:hAnsi="宋体" w:cs="宋体"/>
        </w:rPr>
        <w:t>6.▲具备创建IPv6地址规划方案，并绑定固定前缀，同时支持为不同的组织创建子方案并继承父方案空间规划；支持针对每个方案按位宽长度通过图形化拖拽方式规划连续的IPv6地址空间，每个空间用于标记业务类型；支持对每段地址空间配置对应的空间标识并为空间标识赋值，每个地址空间可配置多个空间标识，空间标识象征具体业务。提供生产厂家确认的、相应的功能证明材料（包括但不限于测试报告、官网和功能截图）。</w:t>
      </w:r>
    </w:p>
    <w:p w14:paraId="5852C956">
      <w:pPr>
        <w:pStyle w:val="11"/>
        <w:tabs>
          <w:tab w:val="left" w:pos="0"/>
          <w:tab w:val="left" w:pos="993"/>
          <w:tab w:val="left" w:pos="1134"/>
        </w:tabs>
        <w:spacing w:after="0"/>
        <w:ind w:firstLine="480"/>
        <w:rPr>
          <w:rFonts w:ascii="宋体" w:hAnsi="宋体" w:cs="宋体"/>
        </w:rPr>
      </w:pPr>
      <w:r>
        <w:rPr>
          <w:rFonts w:hint="eastAsia" w:ascii="宋体" w:hAnsi="宋体" w:cs="宋体"/>
        </w:rPr>
        <w:t>7.具备创建IPv4地址规划方案，每个方案绑定唯一的地址前缀，可结合组织架构、业务等维度进行IPv4地址规划；支持创建多级子网规划，通过选择子网的目标子网掩码拆分规划子网，可按照业务需求选择需要规划的子网，并配置关联备注信息；支持通过在地址台账中引用通过规划方案形成的IPv4网络，快捷完成网络创建，并关联规划的备注信息。</w:t>
      </w:r>
    </w:p>
    <w:p w14:paraId="104AC3FF">
      <w:pPr>
        <w:pStyle w:val="11"/>
        <w:tabs>
          <w:tab w:val="left" w:pos="0"/>
          <w:tab w:val="left" w:pos="993"/>
          <w:tab w:val="left" w:pos="1134"/>
        </w:tabs>
        <w:spacing w:after="0"/>
        <w:ind w:firstLine="480"/>
        <w:rPr>
          <w:rFonts w:ascii="宋体" w:hAnsi="宋体" w:cs="宋体"/>
        </w:rPr>
      </w:pPr>
      <w:r>
        <w:rPr>
          <w:rFonts w:hint="eastAsia" w:ascii="宋体" w:hAnsi="宋体" w:cs="宋体"/>
        </w:rPr>
        <w:t>8.具备通过SNMP凭证以网络扫描的方式发现网络中的所有的网络设备；支持SSH凭证用于联动网络设备下发绑定/阻断策略；支持查看网络设备的终端接口信息包括MAC地址、终端类型、IP地址、接口、VLAN等信息同时可进行即时刷新。</w:t>
      </w:r>
    </w:p>
    <w:p w14:paraId="303BAFE7">
      <w:pPr>
        <w:pStyle w:val="11"/>
        <w:tabs>
          <w:tab w:val="left" w:pos="0"/>
          <w:tab w:val="left" w:pos="993"/>
          <w:tab w:val="left" w:pos="1134"/>
        </w:tabs>
        <w:spacing w:after="0"/>
        <w:ind w:firstLine="480"/>
        <w:rPr>
          <w:rFonts w:ascii="宋体" w:hAnsi="宋体" w:cs="宋体"/>
        </w:rPr>
      </w:pPr>
      <w:r>
        <w:rPr>
          <w:rFonts w:hint="eastAsia" w:ascii="宋体" w:hAnsi="宋体" w:cs="宋体"/>
        </w:rPr>
        <w:t>9.具备与AD、深澜、城市热点等第三方系统进行对接，允许信息同步至所有地址当中；支持与主流网络设备联动，对终端实现交换机阻断和端口绑定，且支持黑名单管理。</w:t>
      </w:r>
    </w:p>
    <w:p w14:paraId="2DF027D5">
      <w:pPr>
        <w:pStyle w:val="11"/>
        <w:tabs>
          <w:tab w:val="left" w:pos="0"/>
          <w:tab w:val="left" w:pos="993"/>
          <w:tab w:val="left" w:pos="1134"/>
        </w:tabs>
        <w:spacing w:after="0"/>
        <w:ind w:firstLine="480"/>
        <w:rPr>
          <w:rFonts w:ascii="宋体" w:hAnsi="宋体" w:cs="宋体"/>
        </w:rPr>
      </w:pPr>
      <w:r>
        <w:rPr>
          <w:rFonts w:hint="eastAsia" w:ascii="宋体" w:hAnsi="宋体" w:cs="宋体"/>
        </w:rPr>
        <w:t>10.▲具备DDI（DNS/DHCP/IPAM)拓展能力，能够在DNS设备异常后通过升级License服务接管DNS服务。提供生产厂家确认的、相应的功能证明材料（包括但不限于测试报告、官网和功能截图）</w:t>
      </w:r>
    </w:p>
    <w:p w14:paraId="0AAC26CC">
      <w:pPr>
        <w:pStyle w:val="11"/>
        <w:tabs>
          <w:tab w:val="left" w:pos="0"/>
          <w:tab w:val="left" w:pos="993"/>
          <w:tab w:val="left" w:pos="1134"/>
        </w:tabs>
        <w:spacing w:after="0"/>
        <w:ind w:firstLine="480"/>
        <w:rPr>
          <w:rFonts w:ascii="宋体" w:hAnsi="宋体" w:cs="宋体"/>
        </w:rPr>
      </w:pPr>
      <w:r>
        <w:rPr>
          <w:rFonts w:hint="eastAsia" w:ascii="宋体" w:hAnsi="宋体" w:cs="宋体"/>
        </w:rPr>
        <w:t>11.具备通过配置下发能够实现DHCP地址的创建、分配、续租功能、支持 DHCP 固定、地址池、保留、僵尸地址等管理、支持IPv4及IPv6的DHCP Failover 部署方式、支持通过 Excel批量导入网络、IP、地址池等信息、支持语义模板方式按位宽规划网络。</w:t>
      </w:r>
    </w:p>
    <w:p w14:paraId="36DC26FA">
      <w:pPr>
        <w:pStyle w:val="11"/>
        <w:tabs>
          <w:tab w:val="left" w:pos="0"/>
          <w:tab w:val="left" w:pos="993"/>
          <w:tab w:val="left" w:pos="1134"/>
        </w:tabs>
        <w:spacing w:after="0"/>
        <w:ind w:firstLine="480"/>
        <w:rPr>
          <w:rFonts w:ascii="宋体" w:hAnsi="宋体" w:cs="宋体"/>
          <w:color w:val="000000"/>
          <w:highlight w:val="yellow"/>
        </w:rPr>
      </w:pPr>
      <w:r>
        <w:rPr>
          <w:rFonts w:hint="eastAsia" w:ascii="宋体" w:hAnsi="宋体" w:cs="宋体"/>
          <w:color w:val="000000"/>
        </w:rPr>
        <w:t>12.</w:t>
      </w:r>
      <w:r>
        <w:rPr>
          <w:rFonts w:hint="eastAsia" w:ascii="宋体" w:hAnsi="宋体" w:cs="宋体"/>
        </w:rPr>
        <w:t>▲具备</w:t>
      </w:r>
      <w:r>
        <w:rPr>
          <w:rFonts w:hint="eastAsia" w:ascii="宋体" w:hAnsi="宋体" w:cs="宋体"/>
          <w:color w:val="000000"/>
        </w:rPr>
        <w:t>为终端同时分配来自多家运营商的IPv6地址，并实现多出口链路的智能调度与优化，保障网络访问的连续性与最优性能。提供生产厂家确认的、相应的功能证明材料（包括但不限于测试报告、官网和功能截图）</w:t>
      </w:r>
    </w:p>
    <w:p w14:paraId="79E5A2FC">
      <w:pPr>
        <w:pStyle w:val="11"/>
        <w:tabs>
          <w:tab w:val="left" w:pos="0"/>
          <w:tab w:val="left" w:pos="993"/>
          <w:tab w:val="left" w:pos="1134"/>
        </w:tabs>
        <w:spacing w:after="0"/>
        <w:ind w:firstLine="480"/>
        <w:rPr>
          <w:rFonts w:ascii="宋体" w:hAnsi="宋体" w:cs="宋体"/>
        </w:rPr>
      </w:pPr>
      <w:r>
        <w:rPr>
          <w:rFonts w:hint="eastAsia" w:ascii="宋体" w:hAnsi="宋体" w:cs="宋体"/>
        </w:rPr>
        <w:t>13.以上功能要求投标完成后三天内可由甲方组织测试验证，产品经过测试验证的视为满足，未经过测试验证的视为不满足，甲方可单方面终止合同。</w:t>
      </w:r>
    </w:p>
    <w:p w14:paraId="7E3C7294">
      <w:pPr>
        <w:pStyle w:val="11"/>
        <w:tabs>
          <w:tab w:val="left" w:pos="0"/>
          <w:tab w:val="left" w:pos="993"/>
          <w:tab w:val="left" w:pos="1134"/>
        </w:tabs>
        <w:spacing w:after="0"/>
        <w:ind w:firstLine="480"/>
        <w:rPr>
          <w:rFonts w:ascii="宋体" w:hAnsi="宋体" w:cs="宋体"/>
        </w:rPr>
      </w:pPr>
      <w:r>
        <w:rPr>
          <w:rFonts w:hint="eastAsia" w:ascii="宋体" w:hAnsi="宋体" w:cs="宋体"/>
        </w:rPr>
        <w:t>14.数量1台；原厂软硬件质保3年</w:t>
      </w:r>
    </w:p>
    <w:p w14:paraId="603623D7">
      <w:pPr>
        <w:pStyle w:val="4"/>
        <w:numPr>
          <w:ilvl w:val="2"/>
          <w:numId w:val="0"/>
        </w:numPr>
        <w:spacing w:before="0" w:after="0"/>
      </w:pPr>
      <w:bookmarkStart w:id="25" w:name="_Toc25925"/>
      <w:bookmarkStart w:id="26" w:name="_Toc7690"/>
      <w:bookmarkStart w:id="27" w:name="_Toc11942"/>
      <w:r>
        <w:rPr>
          <w:rFonts w:hint="eastAsia"/>
        </w:rPr>
        <w:t>（三）</w:t>
      </w:r>
      <w:bookmarkEnd w:id="25"/>
      <w:r>
        <w:rPr>
          <w:rFonts w:hint="eastAsia"/>
        </w:rPr>
        <w:t>零信任服务要求</w:t>
      </w:r>
      <w:bookmarkEnd w:id="26"/>
      <w:bookmarkEnd w:id="27"/>
    </w:p>
    <w:p w14:paraId="569A1ACC">
      <w:pPr>
        <w:pStyle w:val="11"/>
        <w:tabs>
          <w:tab w:val="left" w:pos="0"/>
          <w:tab w:val="left" w:pos="1134"/>
        </w:tabs>
        <w:ind w:left="480" w:firstLine="480"/>
        <w:rPr>
          <w:rFonts w:ascii="宋体" w:hAnsi="宋体" w:cs="宋体"/>
          <w:color w:val="000000"/>
        </w:rPr>
      </w:pPr>
      <w:r>
        <w:rPr>
          <w:rFonts w:hint="eastAsia" w:ascii="宋体" w:hAnsi="宋体" w:cs="宋体"/>
          <w:color w:val="000000"/>
        </w:rPr>
        <w:t>1.支持IPV4/IPV6双栈网络IP配置，支持默认限制所有IP通过WAN口访问系统。</w:t>
      </w:r>
    </w:p>
    <w:p w14:paraId="11E47D41">
      <w:pPr>
        <w:pStyle w:val="11"/>
        <w:tabs>
          <w:tab w:val="left" w:pos="0"/>
          <w:tab w:val="left" w:pos="270"/>
          <w:tab w:val="left" w:pos="1134"/>
        </w:tabs>
        <w:ind w:left="480" w:firstLine="480"/>
        <w:rPr>
          <w:rFonts w:ascii="宋体" w:hAnsi="宋体" w:cs="宋体"/>
          <w:color w:val="000000"/>
        </w:rPr>
      </w:pPr>
      <w:r>
        <w:rPr>
          <w:rFonts w:hint="eastAsia" w:ascii="宋体" w:hAnsi="宋体" w:cs="宋体"/>
          <w:color w:val="000000"/>
        </w:rPr>
        <w:t>2.支持通过隧道模式和WEB模式发布资源，其中WEB模式支持透明代理、智能改写等模式。</w:t>
      </w:r>
    </w:p>
    <w:p w14:paraId="48E79822">
      <w:pPr>
        <w:pStyle w:val="11"/>
        <w:tabs>
          <w:tab w:val="left" w:pos="0"/>
          <w:tab w:val="left" w:pos="1134"/>
        </w:tabs>
        <w:ind w:left="480" w:firstLine="480"/>
        <w:rPr>
          <w:rFonts w:ascii="宋体" w:hAnsi="宋体" w:cs="宋体"/>
          <w:color w:val="000000"/>
        </w:rPr>
      </w:pPr>
      <w:r>
        <w:rPr>
          <w:rFonts w:hint="eastAsia" w:ascii="宋体" w:hAnsi="宋体" w:cs="宋体"/>
          <w:color w:val="000000"/>
        </w:rPr>
        <w:t>3.▲支持针对发布的WEB应用开启WEB水印，水印内容至少包括：用户名+当前年月日。提供生产厂家确认的、相应的功能证明材料（包括但不限于测试报告、官网和功能截图）。</w:t>
      </w:r>
    </w:p>
    <w:p w14:paraId="326FB3DB">
      <w:pPr>
        <w:pStyle w:val="11"/>
        <w:tabs>
          <w:tab w:val="left" w:pos="0"/>
          <w:tab w:val="left" w:pos="1134"/>
        </w:tabs>
        <w:ind w:left="480" w:firstLine="480"/>
        <w:rPr>
          <w:rFonts w:ascii="宋体" w:hAnsi="宋体" w:cs="宋体"/>
          <w:color w:val="000000"/>
        </w:rPr>
      </w:pPr>
      <w:r>
        <w:rPr>
          <w:rFonts w:hint="eastAsia" w:ascii="宋体" w:hAnsi="宋体" w:cs="宋体"/>
          <w:color w:val="000000"/>
        </w:rPr>
        <w:t>4.零信任客户端支持多种终端操作系统兼容，包括但不限于：Windows7/10/11、MacOS10/11/12、Ubuntu、Android、iOS、麒麟V10系统、统信V20系统，提供国产化系统厂商相互兼容性证明。</w:t>
      </w:r>
    </w:p>
    <w:p w14:paraId="023774FD">
      <w:pPr>
        <w:pStyle w:val="11"/>
        <w:tabs>
          <w:tab w:val="left" w:pos="0"/>
          <w:tab w:val="left" w:pos="270"/>
          <w:tab w:val="left" w:pos="1134"/>
        </w:tabs>
        <w:ind w:left="480" w:firstLine="480"/>
        <w:rPr>
          <w:rFonts w:ascii="宋体" w:hAnsi="宋体" w:cs="宋体"/>
          <w:color w:val="000000"/>
        </w:rPr>
      </w:pPr>
      <w:r>
        <w:rPr>
          <w:rFonts w:hint="eastAsia" w:ascii="宋体" w:hAnsi="宋体" w:cs="宋体"/>
          <w:color w:val="000000"/>
        </w:rPr>
        <w:t>5.支持配置一个帐号在PC端和移动端分别绑定N个终端数量，可设置的数量范围为1~100；支持配置一个终端仅允许一个用户绑定；支持多因素认证，其中异常环境下需完成增强认证才可登录；支持自动锁定闲置账号（时长可自定义配置）。</w:t>
      </w:r>
    </w:p>
    <w:p w14:paraId="1B18B4D0">
      <w:pPr>
        <w:pStyle w:val="11"/>
        <w:tabs>
          <w:tab w:val="left" w:pos="0"/>
          <w:tab w:val="left" w:pos="1134"/>
        </w:tabs>
        <w:ind w:left="480" w:firstLine="480"/>
        <w:rPr>
          <w:rFonts w:ascii="宋体" w:hAnsi="宋体" w:cs="宋体"/>
          <w:color w:val="000000"/>
        </w:rPr>
      </w:pPr>
      <w:r>
        <w:rPr>
          <w:rFonts w:hint="eastAsia" w:ascii="宋体" w:hAnsi="宋体" w:cs="宋体"/>
          <w:color w:val="000000"/>
        </w:rPr>
        <w:t>6.支持通过组织架构、角色等方式进行本地用户管理；支持与外部用户管理服务器进行对接；支持批量导入/导出用户；配置不少于10万条弱密码规则。</w:t>
      </w:r>
    </w:p>
    <w:p w14:paraId="6A44923D">
      <w:pPr>
        <w:pStyle w:val="11"/>
        <w:tabs>
          <w:tab w:val="left" w:pos="0"/>
          <w:tab w:val="left" w:pos="1134"/>
        </w:tabs>
        <w:ind w:left="480" w:firstLine="480"/>
        <w:rPr>
          <w:rFonts w:ascii="宋体" w:hAnsi="宋体" w:cs="宋体"/>
          <w:color w:val="000000"/>
        </w:rPr>
      </w:pPr>
      <w:r>
        <w:rPr>
          <w:rFonts w:hint="eastAsia" w:ascii="宋体" w:hAnsi="宋体" w:cs="宋体"/>
          <w:color w:val="000000"/>
        </w:rPr>
        <w:t>7.支持限定操作系统、接入IP、指定杀毒软件、用户登录时间等变量动控制态业务访问。</w:t>
      </w:r>
    </w:p>
    <w:p w14:paraId="526D77F5">
      <w:pPr>
        <w:pStyle w:val="11"/>
        <w:tabs>
          <w:tab w:val="left" w:pos="0"/>
          <w:tab w:val="left" w:pos="1134"/>
        </w:tabs>
        <w:ind w:left="480" w:firstLine="480"/>
        <w:rPr>
          <w:rFonts w:ascii="宋体" w:hAnsi="宋体" w:cs="宋体"/>
          <w:color w:val="000000"/>
        </w:rPr>
      </w:pPr>
      <w:r>
        <w:rPr>
          <w:rFonts w:hint="eastAsia" w:ascii="宋体" w:hAnsi="宋体" w:cs="宋体"/>
          <w:color w:val="000000"/>
        </w:rPr>
        <w:t>8.支持Web应用商店功能，可配置需认证/不经过认证访问Web应用商店。</w:t>
      </w:r>
    </w:p>
    <w:p w14:paraId="56D473AE">
      <w:pPr>
        <w:pStyle w:val="11"/>
        <w:tabs>
          <w:tab w:val="left" w:pos="0"/>
          <w:tab w:val="left" w:pos="1134"/>
        </w:tabs>
        <w:ind w:left="480" w:firstLine="480"/>
        <w:rPr>
          <w:rFonts w:ascii="宋体" w:hAnsi="宋体" w:cs="宋体"/>
          <w:color w:val="000000"/>
        </w:rPr>
      </w:pPr>
      <w:r>
        <w:rPr>
          <w:rFonts w:hint="eastAsia" w:ascii="宋体" w:hAnsi="宋体" w:cs="宋体"/>
          <w:color w:val="000000"/>
        </w:rPr>
        <w:t>9.支持UDP+TCP单包授权机制，UDP+TCP方式默认不开放端口；支持共享码和一人一码两种模式。</w:t>
      </w:r>
    </w:p>
    <w:p w14:paraId="600BD4BE">
      <w:pPr>
        <w:pStyle w:val="11"/>
        <w:tabs>
          <w:tab w:val="left" w:pos="0"/>
          <w:tab w:val="left" w:pos="1134"/>
        </w:tabs>
        <w:ind w:left="480" w:firstLine="480"/>
        <w:rPr>
          <w:rFonts w:ascii="宋体" w:hAnsi="宋体" w:cs="宋体"/>
          <w:color w:val="000000"/>
          <w:highlight w:val="green"/>
        </w:rPr>
      </w:pPr>
      <w:r>
        <w:rPr>
          <w:rFonts w:hint="eastAsia" w:ascii="宋体" w:hAnsi="宋体" w:cs="宋体"/>
          <w:color w:val="000000"/>
        </w:rPr>
        <w:t>10.▲支持以私有DNS发布对外访问资源，支持管理员自主配置是否允许从具体网络区域（校园网网/互联网）接入时使用此私有DNS解析地址。</w:t>
      </w:r>
      <w:r>
        <w:rPr>
          <w:rFonts w:hint="eastAsia"/>
        </w:rPr>
        <w:t>提供生产厂家确认的、相应的功能证明材料</w:t>
      </w:r>
      <w:r>
        <w:rPr>
          <w:rFonts w:hint="eastAsia" w:ascii="宋体" w:hAnsi="宋体" w:cs="宋体"/>
        </w:rPr>
        <w:t>（包括但不限于测试报告、官网和功能截图）</w:t>
      </w:r>
    </w:p>
    <w:p w14:paraId="3E92681B">
      <w:pPr>
        <w:pStyle w:val="11"/>
        <w:tabs>
          <w:tab w:val="left" w:pos="0"/>
          <w:tab w:val="left" w:pos="1134"/>
        </w:tabs>
        <w:ind w:left="480" w:firstLine="480"/>
        <w:rPr>
          <w:rFonts w:ascii="宋体" w:hAnsi="宋体" w:cs="宋体"/>
          <w:color w:val="000000"/>
        </w:rPr>
      </w:pPr>
      <w:r>
        <w:rPr>
          <w:rFonts w:hint="eastAsia" w:ascii="宋体" w:hAnsi="宋体" w:cs="宋体"/>
          <w:color w:val="000000"/>
        </w:rPr>
        <w:t>11.支持PC终端登录零信任客户端后，在特定的网络域下只能主动访问网络域对应的IP、IP范围、IP段、域名，且只能被限定的IP、IP范围、IP段访问。</w:t>
      </w:r>
    </w:p>
    <w:p w14:paraId="77F602E6">
      <w:pPr>
        <w:pStyle w:val="11"/>
        <w:tabs>
          <w:tab w:val="left" w:pos="0"/>
          <w:tab w:val="left" w:pos="1134"/>
        </w:tabs>
        <w:ind w:left="480" w:firstLine="480"/>
        <w:rPr>
          <w:rFonts w:ascii="宋体" w:hAnsi="宋体" w:cs="宋体"/>
          <w:color w:val="000000"/>
        </w:rPr>
      </w:pPr>
      <w:r>
        <w:rPr>
          <w:rFonts w:hint="eastAsia" w:ascii="宋体" w:hAnsi="宋体" w:cs="宋体"/>
          <w:color w:val="000000"/>
        </w:rPr>
        <w:t>12.支持终端环境诊断排查，提供终端诊断工具，支持对当前终端的基本环境进行扫描和一键修复。</w:t>
      </w:r>
    </w:p>
    <w:p w14:paraId="61189104">
      <w:pPr>
        <w:pStyle w:val="11"/>
        <w:tabs>
          <w:tab w:val="left" w:pos="0"/>
          <w:tab w:val="left" w:pos="1134"/>
        </w:tabs>
        <w:ind w:left="480" w:firstLine="480"/>
        <w:rPr>
          <w:rFonts w:ascii="宋体" w:hAnsi="宋体" w:cs="宋体"/>
          <w:color w:val="000000"/>
        </w:rPr>
      </w:pPr>
      <w:r>
        <w:rPr>
          <w:rFonts w:hint="eastAsia" w:ascii="宋体" w:hAnsi="宋体" w:cs="宋体"/>
          <w:color w:val="000000"/>
        </w:rPr>
        <w:t>13.支持对设备自身的安全状态和策略配置进行巡检，并输出巡检报告，支持下载。</w:t>
      </w:r>
    </w:p>
    <w:p w14:paraId="0E6D937A">
      <w:pPr>
        <w:pStyle w:val="11"/>
        <w:tabs>
          <w:tab w:val="left" w:pos="0"/>
          <w:tab w:val="left" w:pos="1134"/>
        </w:tabs>
        <w:ind w:left="480" w:firstLine="480"/>
        <w:rPr>
          <w:rFonts w:ascii="宋体" w:hAnsi="宋体" w:cs="宋体"/>
          <w:color w:val="000000"/>
        </w:rPr>
      </w:pPr>
      <w:r>
        <w:rPr>
          <w:rFonts w:hint="eastAsia" w:ascii="宋体" w:hAnsi="宋体" w:cs="宋体"/>
          <w:color w:val="000000"/>
        </w:rPr>
        <w:t>14.支持通过OPEN API的方式将零信任系统的能力开放给第三方业务系统进行调用配置。</w:t>
      </w:r>
    </w:p>
    <w:p w14:paraId="1DA4E5CC">
      <w:pPr>
        <w:pStyle w:val="11"/>
        <w:tabs>
          <w:tab w:val="left" w:pos="0"/>
          <w:tab w:val="left" w:pos="1134"/>
        </w:tabs>
        <w:ind w:left="480" w:firstLine="480"/>
        <w:rPr>
          <w:rFonts w:ascii="宋体" w:hAnsi="宋体" w:cs="宋体"/>
          <w:color w:val="000000"/>
        </w:rPr>
      </w:pPr>
      <w:r>
        <w:rPr>
          <w:rFonts w:hint="eastAsia" w:ascii="宋体" w:hAnsi="宋体" w:cs="宋体"/>
          <w:color w:val="000000"/>
        </w:rPr>
        <w:t>15.▲支持iOS、安卓、鸿蒙Next手机APP集成零信任SDK，支持通过管理平台上传原包应用进行自动封装。支持为已经集成零信任SDK并发布到安卓或iOS应用市场的公有化生态应用配置策略，使其具有零信任接入能力及数据防泄漏能力。</w:t>
      </w:r>
      <w:r>
        <w:rPr>
          <w:rFonts w:hint="eastAsia"/>
        </w:rPr>
        <w:t>提供生产厂家确认的、相应的功能证明材料</w:t>
      </w:r>
      <w:r>
        <w:rPr>
          <w:rFonts w:hint="eastAsia" w:ascii="宋体" w:hAnsi="宋体" w:cs="宋体"/>
        </w:rPr>
        <w:t>（包括但不限于测试报告、官网和功能截图）</w:t>
      </w:r>
    </w:p>
    <w:p w14:paraId="39482CA1">
      <w:pPr>
        <w:pStyle w:val="11"/>
        <w:tabs>
          <w:tab w:val="left" w:pos="0"/>
          <w:tab w:val="left" w:pos="1134"/>
        </w:tabs>
        <w:ind w:left="480" w:firstLine="480"/>
        <w:rPr>
          <w:rFonts w:ascii="宋体" w:hAnsi="宋体" w:cs="宋体"/>
          <w:color w:val="000000"/>
        </w:rPr>
      </w:pPr>
      <w:r>
        <w:rPr>
          <w:rFonts w:hint="eastAsia" w:ascii="宋体" w:hAnsi="宋体" w:cs="宋体"/>
          <w:color w:val="000000"/>
        </w:rPr>
        <w:t>16.配置≥100个零信任并发用户授权。</w:t>
      </w:r>
    </w:p>
    <w:p w14:paraId="35EACCE7">
      <w:pPr>
        <w:pStyle w:val="11"/>
        <w:tabs>
          <w:tab w:val="left" w:pos="0"/>
          <w:tab w:val="left" w:pos="1134"/>
        </w:tabs>
        <w:ind w:left="480" w:firstLine="480"/>
        <w:rPr>
          <w:rFonts w:ascii="宋体" w:hAnsi="宋体" w:cs="宋体"/>
          <w:color w:val="000000"/>
        </w:rPr>
      </w:pPr>
      <w:r>
        <w:rPr>
          <w:rFonts w:hint="eastAsia" w:ascii="宋体" w:hAnsi="宋体" w:cs="宋体"/>
          <w:color w:val="000000"/>
        </w:rPr>
        <w:t>17.在满足加密流量≥300Mbps，最大并发用户数≥400的情况下，提供具备的硬件环境：≥8个10/100/1000电口，≥2万兆光口SFP，内存大小≥16G，硬盘容量≥128G SSD。</w:t>
      </w:r>
    </w:p>
    <w:p w14:paraId="4E3610A1">
      <w:pPr>
        <w:pStyle w:val="11"/>
        <w:tabs>
          <w:tab w:val="left" w:pos="0"/>
          <w:tab w:val="left" w:pos="993"/>
          <w:tab w:val="left" w:pos="1134"/>
        </w:tabs>
        <w:ind w:firstLine="960" w:firstLineChars="400"/>
        <w:rPr>
          <w:rFonts w:ascii="宋体" w:hAnsi="宋体" w:cs="宋体"/>
          <w:color w:val="000000"/>
        </w:rPr>
      </w:pPr>
      <w:r>
        <w:rPr>
          <w:rFonts w:hint="eastAsia" w:ascii="宋体" w:hAnsi="宋体" w:cs="宋体"/>
          <w:color w:val="000000"/>
        </w:rPr>
        <w:t>18.原厂质保3年。</w:t>
      </w:r>
      <w:bookmarkStart w:id="28" w:name="OLE_LINK1"/>
    </w:p>
    <w:p w14:paraId="4450DC33">
      <w:pPr>
        <w:numPr>
          <w:ilvl w:val="0"/>
          <w:numId w:val="3"/>
        </w:numPr>
        <w:outlineLvl w:val="1"/>
        <w:rPr>
          <w:b/>
          <w:bCs/>
        </w:rPr>
      </w:pPr>
      <w:bookmarkStart w:id="29" w:name="_Toc713"/>
      <w:bookmarkStart w:id="30" w:name="_Toc13883"/>
      <w:bookmarkStart w:id="31" w:name="_Toc3202"/>
      <w:r>
        <w:rPr>
          <w:rFonts w:hint="eastAsia"/>
          <w:b/>
          <w:bCs/>
        </w:rPr>
        <w:t>商务要求</w:t>
      </w:r>
      <w:bookmarkEnd w:id="29"/>
      <w:bookmarkEnd w:id="30"/>
      <w:bookmarkEnd w:id="31"/>
    </w:p>
    <w:p w14:paraId="5A2E620B">
      <w:pPr>
        <w:rPr>
          <w:rFonts w:ascii="宋体" w:hAnsi="宋体" w:cs="宋体"/>
        </w:rPr>
      </w:pPr>
      <w:r>
        <w:rPr>
          <w:rFonts w:hint="eastAsia" w:ascii="宋体" w:hAnsi="宋体" w:cs="宋体"/>
        </w:rPr>
        <w:t>1.交付期：自合同签订之日起60日历日。</w:t>
      </w:r>
    </w:p>
    <w:p w14:paraId="71FE50FB">
      <w:pPr>
        <w:rPr>
          <w:rFonts w:ascii="宋体" w:hAnsi="宋体" w:cs="宋体"/>
        </w:rPr>
      </w:pPr>
      <w:r>
        <w:rPr>
          <w:rFonts w:hint="eastAsia" w:ascii="宋体" w:hAnsi="宋体" w:cs="宋体"/>
        </w:rPr>
        <w:t>2.交付地点：西安医学院（采购人指定地点）。</w:t>
      </w:r>
    </w:p>
    <w:p w14:paraId="63864D9A">
      <w:pPr>
        <w:widowControl/>
        <w:jc w:val="left"/>
        <w:rPr>
          <w:rFonts w:ascii="宋体" w:hAnsi="宋体" w:cs="宋体"/>
          <w:color w:val="FF0000"/>
        </w:rPr>
      </w:pPr>
      <w:r>
        <w:rPr>
          <w:rFonts w:hint="eastAsia" w:ascii="宋体" w:hAnsi="宋体" w:cs="宋体"/>
        </w:rPr>
        <w:t>3.付款要求：</w:t>
      </w:r>
      <w:bookmarkEnd w:id="28"/>
      <w:r>
        <w:rPr>
          <w:rFonts w:hint="eastAsia" w:ascii="宋体" w:hAnsi="宋体"/>
        </w:rPr>
        <w:t>项目整体验收合格后，一个月内，学校向成交单位支付合同总价款的100%。</w:t>
      </w:r>
    </w:p>
    <w:p w14:paraId="7F9D0614">
      <w:pPr>
        <w:rPr>
          <w:rFonts w:ascii="宋体" w:hAnsi="宋体" w:cs="宋体"/>
        </w:rPr>
      </w:pPr>
      <w:r>
        <w:rPr>
          <w:rFonts w:hint="eastAsia" w:ascii="宋体" w:hAnsi="宋体" w:cs="宋体"/>
        </w:rPr>
        <w:t>4.质保期：三年免费整机硬件保修，提供原厂承诺函，设备厂商工程师免费上门服务。</w:t>
      </w:r>
    </w:p>
    <w:p w14:paraId="176241D2">
      <w:pPr>
        <w:rPr>
          <w:rFonts w:ascii="宋体" w:hAnsi="宋体" w:cs="宋体"/>
        </w:rPr>
      </w:pPr>
      <w:r>
        <w:rPr>
          <w:rFonts w:hint="eastAsia" w:ascii="宋体" w:hAnsi="宋体" w:cs="宋体"/>
        </w:rPr>
        <w:t>5.质量保证：达到国家强制性合格标准。具备国家3C认证。</w:t>
      </w:r>
    </w:p>
    <w:p w14:paraId="7BBBD9D6">
      <w:pPr>
        <w:rPr>
          <w:rFonts w:ascii="宋体" w:hAnsi="宋体" w:cs="宋体"/>
        </w:rPr>
      </w:pPr>
      <w:r>
        <w:rPr>
          <w:rFonts w:hint="eastAsia" w:ascii="宋体" w:hAnsi="宋体" w:cs="宋体"/>
        </w:rPr>
        <w:t>6.售后服务</w:t>
      </w:r>
    </w:p>
    <w:p w14:paraId="17BF5BA5">
      <w:pPr>
        <w:ind w:firstLine="480" w:firstLineChars="200"/>
      </w:pPr>
      <w:r>
        <w:rPr>
          <w:rFonts w:hint="eastAsia"/>
        </w:rPr>
        <w:t>投标人指派一名</w:t>
      </w:r>
      <w:bookmarkStart w:id="32" w:name="_GoBack"/>
      <w:bookmarkEnd w:id="32"/>
      <w:r>
        <w:rPr>
          <w:rFonts w:hint="eastAsia"/>
        </w:rPr>
        <w:t>技术人员，专门负责售后服务，在接到采购人故障报修后2小时内到达现场处理故障，在4小时内解决故障。4小时内故障无法解决的，提供不低于投标设备性能的原厂商备用设备，并承担相关更换的费用；</w:t>
      </w:r>
    </w:p>
    <w:p w14:paraId="3A0CA3AA">
      <w:pPr>
        <w:ind w:firstLine="480" w:firstLineChars="200"/>
      </w:pPr>
      <w:r>
        <w:rPr>
          <w:rFonts w:hint="eastAsia"/>
        </w:rPr>
        <w:t>乙方承诺每学期开展一次定期巡检。提供本项目采购产品的售后专业支持和服务，包含服务内容、响应时间、售后服务技术标准等内容，对涉及到的相关整修工程承担保修责任。</w:t>
      </w:r>
    </w:p>
    <w:p w14:paraId="7DFEB265">
      <w:pPr>
        <w:ind w:firstLine="480" w:firstLineChars="200"/>
      </w:pPr>
      <w:r>
        <w:rPr>
          <w:rFonts w:hint="eastAsia"/>
        </w:rPr>
        <w:t>如发生产品故障等紧急情况，应及时响应修复，或提供备品备件产品或采取应急措施，以确保采购人正常使用。</w:t>
      </w:r>
    </w:p>
    <w:p w14:paraId="7E882017">
      <w:pPr>
        <w:rPr>
          <w:rFonts w:ascii="宋体" w:hAnsi="宋体" w:cs="宋体"/>
        </w:rPr>
      </w:pPr>
      <w:r>
        <w:rPr>
          <w:rFonts w:hint="eastAsia" w:ascii="宋体" w:hAnsi="宋体" w:cs="宋体"/>
        </w:rPr>
        <w:t>7.验收方式</w:t>
      </w:r>
    </w:p>
    <w:p w14:paraId="6EC38CE2">
      <w:pPr>
        <w:ind w:firstLine="480" w:firstLineChars="200"/>
      </w:pPr>
      <w:r>
        <w:rPr>
          <w:rFonts w:hint="eastAsia"/>
        </w:rPr>
        <w:t>采购人根据国家有关规定、招标文件、成交人的投标文件以及合同约定的内容和验收标准进行验收。</w:t>
      </w:r>
    </w:p>
    <w:p w14:paraId="4CDD1289"/>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2"/>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B00326"/>
    <w:multiLevelType w:val="singleLevel"/>
    <w:tmpl w:val="8BB00326"/>
    <w:lvl w:ilvl="0" w:tentative="0">
      <w:start w:val="3"/>
      <w:numFmt w:val="chineseCounting"/>
      <w:suff w:val="space"/>
      <w:lvlText w:val="第%1章"/>
      <w:lvlJc w:val="left"/>
      <w:rPr>
        <w:rFonts w:hint="eastAsia"/>
      </w:rPr>
    </w:lvl>
  </w:abstractNum>
  <w:abstractNum w:abstractNumId="1">
    <w:nsid w:val="C279CFD3"/>
    <w:multiLevelType w:val="singleLevel"/>
    <w:tmpl w:val="C279CFD3"/>
    <w:lvl w:ilvl="0" w:tentative="0">
      <w:start w:val="1"/>
      <w:numFmt w:val="chineseCounting"/>
      <w:suff w:val="nothing"/>
      <w:lvlText w:val="%1、"/>
      <w:lvlJc w:val="left"/>
      <w:rPr>
        <w:rFonts w:hint="eastAsia"/>
      </w:rPr>
    </w:lvl>
  </w:abstractNum>
  <w:abstractNum w:abstractNumId="2">
    <w:nsid w:val="55D462AD"/>
    <w:multiLevelType w:val="multilevel"/>
    <w:tmpl w:val="55D462AD"/>
    <w:lvl w:ilvl="0" w:tentative="0">
      <w:start w:val="1"/>
      <w:numFmt w:val="decimal"/>
      <w:pStyle w:val="2"/>
      <w:lvlText w:val="%1."/>
      <w:lvlJc w:val="left"/>
      <w:pPr>
        <w:tabs>
          <w:tab w:val="left" w:pos="425"/>
        </w:tabs>
        <w:ind w:left="425" w:hanging="425"/>
      </w:pPr>
      <w:rPr>
        <w:rFonts w:hint="eastAsia" w:eastAsia="宋体"/>
        <w:b/>
        <w:i w:val="0"/>
        <w:sz w:val="24"/>
        <w:szCs w:val="24"/>
      </w:rPr>
    </w:lvl>
    <w:lvl w:ilvl="1" w:tentative="0">
      <w:start w:val="1"/>
      <w:numFmt w:val="decimal"/>
      <w:lvlText w:val="%1.%2."/>
      <w:lvlJc w:val="left"/>
      <w:pPr>
        <w:tabs>
          <w:tab w:val="left" w:pos="567"/>
        </w:tabs>
        <w:ind w:left="567" w:hanging="567"/>
      </w:pPr>
      <w:rPr>
        <w:rFonts w:hint="eastAsia" w:ascii="宋体" w:hAnsi="宋体" w:eastAsia="宋体"/>
        <w:b/>
        <w:i w:val="0"/>
        <w:color w:val="auto"/>
        <w:sz w:val="24"/>
        <w:szCs w:val="24"/>
        <w:u w:val="none"/>
      </w:rPr>
    </w:lvl>
    <w:lvl w:ilvl="2" w:tentative="0">
      <w:start w:val="1"/>
      <w:numFmt w:val="decimal"/>
      <w:lvlText w:val="%1.%2.%3."/>
      <w:lvlJc w:val="left"/>
      <w:pPr>
        <w:tabs>
          <w:tab w:val="left" w:pos="709"/>
        </w:tabs>
        <w:ind w:left="709" w:hanging="709"/>
      </w:pPr>
      <w:rPr>
        <w:rFonts w:hint="eastAsia" w:ascii="宋体" w:hAnsi="宋体" w:eastAsia="宋体"/>
        <w:caps w:val="0"/>
        <w:strike w:val="0"/>
        <w:dstrike w:val="0"/>
        <w:shadow w:val="0"/>
        <w:emboss w:val="0"/>
        <w:imprint w:val="0"/>
        <w:vanish w:val="0"/>
        <w:vertAlign w:val="baseline"/>
      </w:rPr>
    </w:lvl>
    <w:lvl w:ilvl="3" w:tentative="0">
      <w:start w:val="1"/>
      <w:numFmt w:val="decimal"/>
      <w:lvlText w:val="%1.%2.%3.%4."/>
      <w:lvlJc w:val="left"/>
      <w:pPr>
        <w:tabs>
          <w:tab w:val="left" w:pos="851"/>
        </w:tabs>
        <w:ind w:left="851" w:hanging="851"/>
      </w:pPr>
      <w:rPr>
        <w:rFonts w:hint="eastAsia" w:ascii="宋体" w:hAnsi="宋体" w:eastAsia="宋体"/>
        <w:b/>
        <w:sz w:val="24"/>
        <w:szCs w:val="24"/>
      </w:rPr>
    </w:lvl>
    <w:lvl w:ilvl="4" w:tentative="0">
      <w:start w:val="1"/>
      <w:numFmt w:val="decimal"/>
      <w:pStyle w:val="5"/>
      <w:lvlText w:val="%1.%2.%3.%4.%5."/>
      <w:lvlJc w:val="left"/>
      <w:pPr>
        <w:tabs>
          <w:tab w:val="left" w:pos="992"/>
        </w:tabs>
        <w:ind w:left="992" w:hanging="992"/>
      </w:pPr>
      <w:rPr>
        <w:rFonts w:hint="eastAsia"/>
        <w:b/>
        <w:i w:val="0"/>
        <w:sz w:val="24"/>
        <w:szCs w:val="24"/>
      </w:rPr>
    </w:lvl>
    <w:lvl w:ilvl="5" w:tentative="0">
      <w:start w:val="1"/>
      <w:numFmt w:val="decimal"/>
      <w:pStyle w:val="6"/>
      <w:lvlText w:val="%1.%2.%3.%4.%5.%6."/>
      <w:lvlJc w:val="left"/>
      <w:pPr>
        <w:tabs>
          <w:tab w:val="left" w:pos="1134"/>
        </w:tabs>
        <w:ind w:left="1134" w:hanging="1134"/>
      </w:pPr>
      <w:rPr>
        <w:rFonts w:hint="eastAsia" w:ascii="宋体" w:hAnsi="宋体" w:eastAsia="宋体"/>
      </w:rPr>
    </w:lvl>
    <w:lvl w:ilvl="6" w:tentative="0">
      <w:start w:val="1"/>
      <w:numFmt w:val="decimal"/>
      <w:pStyle w:val="7"/>
      <w:lvlText w:val="%1.%2.%3.%4.%5.%6.%7."/>
      <w:lvlJc w:val="left"/>
      <w:pPr>
        <w:tabs>
          <w:tab w:val="left" w:pos="1276"/>
        </w:tabs>
        <w:ind w:left="1276" w:hanging="1276"/>
      </w:pPr>
      <w:rPr>
        <w:rFonts w:hint="eastAsia" w:ascii="宋体" w:hAnsi="宋体" w:eastAsia="宋体"/>
      </w:rPr>
    </w:lvl>
    <w:lvl w:ilvl="7" w:tentative="0">
      <w:start w:val="1"/>
      <w:numFmt w:val="decimal"/>
      <w:pStyle w:val="8"/>
      <w:lvlText w:val="%1.%2.%3.%4.%5.%6.%7.%8."/>
      <w:lvlJc w:val="left"/>
      <w:pPr>
        <w:tabs>
          <w:tab w:val="left" w:pos="1418"/>
        </w:tabs>
        <w:ind w:left="1418" w:hanging="1418"/>
      </w:pPr>
      <w:rPr>
        <w:rFonts w:hint="eastAsia"/>
      </w:rPr>
    </w:lvl>
    <w:lvl w:ilvl="8" w:tentative="0">
      <w:start w:val="1"/>
      <w:numFmt w:val="decimal"/>
      <w:pStyle w:val="9"/>
      <w:lvlText w:val="%1.%2.%3.%4.%5.%6.%7.%8.%9."/>
      <w:lvlJc w:val="left"/>
      <w:pPr>
        <w:tabs>
          <w:tab w:val="left" w:pos="1559"/>
        </w:tabs>
        <w:ind w:left="1559" w:hanging="1559"/>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7A00955"/>
    <w:rsid w:val="602E44D1"/>
    <w:rsid w:val="60CF045C"/>
    <w:rsid w:val="67C14DF2"/>
    <w:rsid w:val="7CDE0A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宋体" w:cs="Times New Roman"/>
      <w:kern w:val="2"/>
      <w:sz w:val="24"/>
      <w:szCs w:val="24"/>
      <w:lang w:val="en-US" w:eastAsia="zh-CN" w:bidi="ar-SA"/>
    </w:rPr>
  </w:style>
  <w:style w:type="paragraph" w:styleId="2">
    <w:name w:val="heading 1"/>
    <w:basedOn w:val="1"/>
    <w:next w:val="1"/>
    <w:qFormat/>
    <w:uiPriority w:val="0"/>
    <w:pPr>
      <w:keepNext/>
      <w:keepLines/>
      <w:numPr>
        <w:ilvl w:val="0"/>
        <w:numId w:val="1"/>
      </w:numPr>
      <w:spacing w:before="340" w:beforeLines="0" w:beforeAutospacing="0" w:after="330" w:afterLines="0" w:afterAutospacing="0" w:line="576" w:lineRule="auto"/>
      <w:ind w:left="425" w:hanging="425"/>
      <w:outlineLvl w:val="0"/>
    </w:pPr>
    <w:rPr>
      <w:b/>
      <w:kern w:val="44"/>
      <w:sz w:val="44"/>
    </w:rPr>
  </w:style>
  <w:style w:type="paragraph" w:styleId="3">
    <w:name w:val="heading 2"/>
    <w:basedOn w:val="1"/>
    <w:next w:val="1"/>
    <w:link w:val="14"/>
    <w:semiHidden/>
    <w:unhideWhenUsed/>
    <w:qFormat/>
    <w:uiPriority w:val="0"/>
    <w:pPr>
      <w:keepNext/>
      <w:keepLines/>
      <w:spacing w:before="260" w:after="260" w:line="360" w:lineRule="auto"/>
      <w:outlineLvl w:val="1"/>
    </w:pPr>
    <w:rPr>
      <w:rFonts w:ascii="宋体" w:hAnsi="宋体" w:eastAsia="宋体"/>
      <w:b/>
      <w:bCs/>
      <w:sz w:val="24"/>
      <w:szCs w:val="18"/>
    </w:rPr>
  </w:style>
  <w:style w:type="paragraph" w:styleId="4">
    <w:name w:val="heading 3"/>
    <w:basedOn w:val="1"/>
    <w:next w:val="1"/>
    <w:link w:val="15"/>
    <w:semiHidden/>
    <w:unhideWhenUsed/>
    <w:qFormat/>
    <w:uiPriority w:val="0"/>
    <w:pPr>
      <w:keepNext/>
      <w:keepLines/>
      <w:spacing w:before="260" w:after="260" w:line="360" w:lineRule="auto"/>
      <w:ind w:left="0" w:firstLine="0"/>
      <w:outlineLvl w:val="2"/>
    </w:pPr>
    <w:rPr>
      <w:rFonts w:ascii="Times New Roman" w:hAnsi="Times New Roman" w:eastAsia="宋体"/>
      <w:b/>
      <w:bCs/>
      <w:sz w:val="24"/>
      <w:szCs w:val="32"/>
    </w:rPr>
  </w:style>
  <w:style w:type="paragraph" w:styleId="5">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left="992" w:hanging="992"/>
      <w:outlineLvl w:val="4"/>
    </w:pPr>
    <w:rPr>
      <w:b/>
      <w:sz w:val="28"/>
    </w:rPr>
  </w:style>
  <w:style w:type="paragraph" w:styleId="6">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7">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1276" w:hanging="1276"/>
      <w:outlineLvl w:val="6"/>
    </w:pPr>
    <w:rPr>
      <w:b/>
      <w:sz w:val="24"/>
    </w:rPr>
  </w:style>
  <w:style w:type="paragraph" w:styleId="8">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9">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1559" w:hanging="1559"/>
      <w:outlineLvl w:val="8"/>
    </w:pPr>
    <w:rPr>
      <w:rFonts w:ascii="Arial" w:hAnsi="Arial" w:eastAsia="黑体"/>
      <w:sz w:val="21"/>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10">
    <w:name w:val="Body Text Indent"/>
    <w:basedOn w:val="1"/>
    <w:next w:val="1"/>
    <w:qFormat/>
    <w:uiPriority w:val="0"/>
    <w:pPr>
      <w:spacing w:after="120"/>
      <w:ind w:left="420" w:leftChars="200"/>
    </w:pPr>
  </w:style>
  <w:style w:type="paragraph" w:styleId="11">
    <w:name w:val="Body Text First Indent 2"/>
    <w:basedOn w:val="10"/>
    <w:qFormat/>
    <w:uiPriority w:val="0"/>
    <w:pPr>
      <w:ind w:left="0" w:leftChars="0"/>
    </w:pPr>
    <w:rPr>
      <w:szCs w:val="20"/>
    </w:rPr>
  </w:style>
  <w:style w:type="character" w:customStyle="1" w:styleId="14">
    <w:name w:val="标题 2 Char"/>
    <w:link w:val="3"/>
    <w:uiPriority w:val="0"/>
    <w:rPr>
      <w:rFonts w:ascii="宋体" w:hAnsi="宋体" w:eastAsia="宋体"/>
      <w:b/>
      <w:bCs/>
      <w:kern w:val="2"/>
      <w:sz w:val="24"/>
      <w:szCs w:val="18"/>
    </w:rPr>
  </w:style>
  <w:style w:type="character" w:customStyle="1" w:styleId="15">
    <w:name w:val="标题 3 Char"/>
    <w:link w:val="4"/>
    <w:qFormat/>
    <w:uiPriority w:val="0"/>
    <w:rPr>
      <w:rFonts w:ascii="Times New Roman" w:hAnsi="Times New Roman" w:eastAsia="宋体"/>
      <w:b/>
      <w:bCs/>
      <w:kern w:val="2"/>
      <w:sz w:val="24"/>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2022-09-07T05:52:00Z</dcterms:created>
  <dc:creator>Administrator</dc:creator>
  <cp:lastModifiedBy>起点</cp:lastModifiedBy>
  <dcterms:modified xsi:type="dcterms:W3CDTF">2026-01-14T07:51:39Z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466DA3339AB84D6DADD071CF891D7CBE</vt:lpwstr>
  </property>
  <property fmtid="{D5CDD505-2E9C-101B-9397-08002B2CF9AE}" pid="4" name="KSOTemplateDocerSaveRecord">
    <vt:lpwstr>eyJoZGlkIjoiNzQ2Y2ZmOTBkMTUyODBhYTJmYzM2MWM5NGIxYjkxMDYiLCJ1c2VySWQiOiI2Mjk5OTE3MzAifQ==</vt:lpwstr>
  </property>
</Properties>
</file>