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57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7D038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合同包1(安康市中心医院时间质谱仪等设备采购项目):</w:t>
      </w:r>
    </w:p>
    <w:p w14:paraId="75BEF4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合同包预算金额：3,668,000.00元</w:t>
      </w:r>
    </w:p>
    <w:p w14:paraId="1BEF67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合同包最高限价：3,068,000.00元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162"/>
        <w:gridCol w:w="4010"/>
        <w:gridCol w:w="662"/>
        <w:gridCol w:w="758"/>
        <w:gridCol w:w="1500"/>
      </w:tblGrid>
      <w:tr w14:paraId="62166A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5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6077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8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171F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4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B510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3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D6C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5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AE2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4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991B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676216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808E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8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5C8F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临床检验设备</w:t>
            </w:r>
          </w:p>
        </w:tc>
        <w:tc>
          <w:tcPr>
            <w:tcW w:w="24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B158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医用离心机 全自动血培养仪 全自动微生物质谱鉴定系统 全自动特定蛋白分析仪 全自动化学发光免疫检测仪 全自动化学发光测定仪 飞行时间质谱仪</w:t>
            </w:r>
          </w:p>
        </w:tc>
        <w:tc>
          <w:tcPr>
            <w:tcW w:w="3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BBEB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5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9DD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48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6501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3,668,000.00</w:t>
            </w:r>
          </w:p>
        </w:tc>
      </w:tr>
    </w:tbl>
    <w:p w14:paraId="52F779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2D99B8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合同履行期限：甲乙双方合同签订后，乙方收到甲方书面供货通知函后的30个工作日内完成所有的供货。</w:t>
      </w:r>
      <w:bookmarkStart w:id="0" w:name="_GoBack"/>
      <w:bookmarkEnd w:id="0"/>
    </w:p>
    <w:p w14:paraId="1A850A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632A4"/>
    <w:rsid w:val="3BB6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2026-01-22T01:38:00Z</dcterms:created>
  <dc:creator>招标四部</dc:creator>
  <cp:lastModifiedBy>招标四部</cp:lastModifiedBy>
  <dcterms:modified xsi:type="dcterms:W3CDTF">2026-01-22T01:39:10Z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73861D7D58E545CF9D27C163AE1E9022_11</vt:lpwstr>
  </property>
  <property fmtid="{D5CDD505-2E9C-101B-9397-08002B2CF9AE}" pid="4" name="KSOTemplateDocerSaveRecord">
    <vt:lpwstr>eyJoZGlkIjoiZGE2MDUyNWI4ZWQwNzdjN2ZkOTgyMzU3YmFmM2U5NzAiLCJ1c2VySWQiOiIyNDEwNjE3OTEifQ==</vt:lpwstr>
  </property>
</Properties>
</file>