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cs="Times New Roman"/>
          <w:sz w:val="52"/>
          <w:szCs w:val="52"/>
          <w:highlight w:val="none"/>
        </w:rPr>
      </w:pPr>
    </w:p>
    <w:p>
      <w:pPr>
        <w:spacing w:line="240" w:lineRule="auto"/>
        <w:jc w:val="center"/>
        <w:rPr>
          <w:rFonts w:cs="Times New Roman"/>
          <w:sz w:val="52"/>
          <w:szCs w:val="52"/>
          <w:highlight w:val="none"/>
        </w:rPr>
      </w:pPr>
    </w:p>
    <w:p>
      <w:pPr>
        <w:spacing w:line="240" w:lineRule="auto"/>
        <w:jc w:val="center"/>
        <w:rPr>
          <w:rFonts w:eastAsia="华文中宋" w:cs="Times New Roman"/>
          <w:kern w:val="0"/>
          <w:sz w:val="96"/>
          <w:szCs w:val="96"/>
          <w:highlight w:val="none"/>
        </w:rPr>
      </w:pPr>
      <w:r>
        <w:rPr>
          <w:rFonts w:hint="eastAsia" w:cs="华文仿宋"/>
          <w:sz w:val="52"/>
          <w:szCs w:val="52"/>
          <w:highlight w:val="none"/>
        </w:rPr>
        <w:t>陕西省省级单位政府采购中心</w:t>
      </w:r>
    </w:p>
    <w:p>
      <w:pPr>
        <w:spacing w:line="240" w:lineRule="auto"/>
        <w:jc w:val="center"/>
        <w:rPr>
          <w:rFonts w:eastAsia="华文中宋" w:cs="Times New Roman"/>
          <w:sz w:val="96"/>
          <w:szCs w:val="96"/>
          <w:highlight w:val="none"/>
          <w:shd w:val="clear" w:color="FFFFFF" w:fill="D9D9D9"/>
        </w:rPr>
      </w:pPr>
      <w:r>
        <w:rPr>
          <w:rFonts w:hint="eastAsia" w:eastAsia="华文中宋" w:cs="华文中宋"/>
          <w:kern w:val="0"/>
          <w:sz w:val="96"/>
          <w:szCs w:val="96"/>
          <w:highlight w:val="none"/>
        </w:rPr>
        <w:t>公开招标文件</w:t>
      </w:r>
    </w:p>
    <w:p>
      <w:pPr>
        <w:spacing w:line="500" w:lineRule="exact"/>
        <w:jc w:val="center"/>
        <w:rPr>
          <w:rFonts w:cs="Times New Roman"/>
          <w:sz w:val="36"/>
          <w:szCs w:val="36"/>
          <w:highlight w:val="none"/>
        </w:rPr>
      </w:pPr>
      <w:r>
        <w:rPr>
          <w:rFonts w:hint="eastAsia" w:cs="Times New Roman"/>
          <w:sz w:val="36"/>
          <w:szCs w:val="36"/>
          <w:highlight w:val="none"/>
        </w:rPr>
        <w:t>（专门面向中小企业</w:t>
      </w:r>
      <w:r>
        <w:rPr>
          <w:rFonts w:hint="eastAsia"/>
          <w:color w:val="000000"/>
          <w:sz w:val="36"/>
          <w:szCs w:val="36"/>
          <w:highlight w:val="none"/>
        </w:rPr>
        <w:t>项目</w:t>
      </w:r>
      <w:r>
        <w:rPr>
          <w:rFonts w:hint="eastAsia" w:cs="Times New Roman"/>
          <w:sz w:val="36"/>
          <w:szCs w:val="36"/>
          <w:highlight w:val="none"/>
        </w:rPr>
        <w:t>）</w:t>
      </w:r>
    </w:p>
    <w:p>
      <w:pPr>
        <w:spacing w:line="900" w:lineRule="exact"/>
        <w:ind w:right="707" w:rightChars="250"/>
        <w:rPr>
          <w:rFonts w:cs="Times New Roman"/>
          <w:sz w:val="36"/>
          <w:szCs w:val="36"/>
          <w:highlight w:val="none"/>
        </w:rPr>
      </w:pPr>
    </w:p>
    <w:p>
      <w:pPr>
        <w:pStyle w:val="7"/>
        <w:spacing w:after="190"/>
        <w:rPr>
          <w:highlight w:val="none"/>
        </w:rPr>
      </w:pPr>
    </w:p>
    <w:p>
      <w:pPr>
        <w:pStyle w:val="5"/>
        <w:rPr>
          <w:highlight w:val="none"/>
        </w:rPr>
      </w:pPr>
    </w:p>
    <w:p>
      <w:pPr>
        <w:pStyle w:val="17"/>
        <w:ind w:firstLine="363"/>
        <w:rPr>
          <w:sz w:val="36"/>
          <w:szCs w:val="36"/>
          <w:highlight w:val="none"/>
        </w:rPr>
      </w:pPr>
    </w:p>
    <w:p>
      <w:pPr>
        <w:spacing w:line="240" w:lineRule="auto"/>
        <w:ind w:left="0" w:leftChars="0" w:firstLine="726" w:firstLineChars="200"/>
        <w:jc w:val="left"/>
        <w:rPr>
          <w:rFonts w:hint="eastAsia" w:ascii="华文仿宋" w:hAnsi="华文仿宋" w:cs="华文仿宋"/>
          <w:b/>
          <w:bCs/>
          <w:sz w:val="36"/>
          <w:szCs w:val="36"/>
          <w:highlight w:val="none"/>
          <w:lang w:eastAsia="zh-CN"/>
        </w:rPr>
      </w:pPr>
      <w:bookmarkStart w:id="0" w:name="OLE_LINK12"/>
      <w:r>
        <w:rPr>
          <w:rFonts w:hint="eastAsia" w:ascii="华文仿宋" w:hAnsi="华文仿宋" w:cs="华文仿宋"/>
          <w:b/>
          <w:bCs/>
          <w:sz w:val="36"/>
          <w:szCs w:val="36"/>
          <w:highlight w:val="none"/>
        </w:rPr>
        <w:t>项目名称：</w:t>
      </w:r>
      <w:r>
        <w:rPr>
          <w:rFonts w:hint="eastAsia" w:ascii="华文仿宋" w:hAnsi="华文仿宋" w:eastAsia="华文仿宋" w:cs="华文仿宋"/>
          <w:b/>
          <w:bCs/>
          <w:sz w:val="36"/>
          <w:szCs w:val="36"/>
          <w:highlight w:val="none"/>
          <w:u w:val="none"/>
        </w:rPr>
        <w:t>西安石油大学图书馆家具采购</w:t>
      </w:r>
    </w:p>
    <w:p>
      <w:pPr>
        <w:spacing w:line="240" w:lineRule="auto"/>
        <w:ind w:left="1824" w:leftChars="260" w:hanging="1089" w:hangingChars="300"/>
        <w:jc w:val="left"/>
        <w:rPr>
          <w:rFonts w:hint="default" w:ascii="仿宋" w:hAnsi="仿宋" w:eastAsia="仿宋" w:cs="仿宋"/>
          <w:b/>
          <w:bCs/>
          <w:sz w:val="36"/>
          <w:szCs w:val="36"/>
          <w:highlight w:val="none"/>
          <w:lang w:val="en-US" w:eastAsia="zh-CN"/>
        </w:rPr>
      </w:pPr>
      <w:r>
        <w:rPr>
          <w:rFonts w:hint="eastAsia" w:ascii="华文仿宋" w:hAnsi="华文仿宋" w:cs="华文仿宋"/>
          <w:b/>
          <w:bCs/>
          <w:sz w:val="36"/>
          <w:szCs w:val="36"/>
          <w:highlight w:val="none"/>
        </w:rPr>
        <w:t>项目编号：</w:t>
      </w:r>
      <w:r>
        <w:rPr>
          <w:rFonts w:hint="eastAsia" w:ascii="仿宋" w:hAnsi="仿宋" w:eastAsia="仿宋" w:cs="仿宋"/>
          <w:b/>
          <w:bCs/>
          <w:sz w:val="36"/>
          <w:szCs w:val="36"/>
          <w:highlight w:val="none"/>
        </w:rPr>
        <w:t>SNCG-FM-20252</w:t>
      </w:r>
      <w:r>
        <w:rPr>
          <w:rFonts w:hint="eastAsia" w:ascii="仿宋" w:hAnsi="仿宋" w:eastAsia="仿宋" w:cs="仿宋"/>
          <w:b/>
          <w:bCs/>
          <w:sz w:val="36"/>
          <w:szCs w:val="36"/>
          <w:highlight w:val="none"/>
          <w:lang w:val="en-US" w:eastAsia="zh-CN"/>
        </w:rPr>
        <w:t>46</w:t>
      </w:r>
    </w:p>
    <w:bookmarkEnd w:id="0"/>
    <w:p>
      <w:pPr>
        <w:spacing w:line="240" w:lineRule="auto"/>
        <w:ind w:left="2539" w:leftChars="256" w:right="707" w:rightChars="250" w:hanging="1815" w:hangingChars="500"/>
        <w:jc w:val="left"/>
        <w:rPr>
          <w:rFonts w:hint="eastAsia" w:ascii="华文仿宋" w:hAnsi="华文仿宋" w:cs="华文仿宋"/>
          <w:b/>
          <w:bCs/>
          <w:sz w:val="36"/>
          <w:szCs w:val="36"/>
          <w:highlight w:val="none"/>
          <w:lang w:eastAsia="zh-CN"/>
        </w:rPr>
      </w:pPr>
      <w:r>
        <w:rPr>
          <w:rFonts w:hint="eastAsia" w:ascii="华文仿宋" w:hAnsi="华文仿宋" w:cs="华文仿宋"/>
          <w:b/>
          <w:bCs/>
          <w:sz w:val="36"/>
          <w:szCs w:val="36"/>
          <w:highlight w:val="none"/>
        </w:rPr>
        <w:t>采 购 人：</w:t>
      </w:r>
      <w:r>
        <w:rPr>
          <w:rFonts w:hint="eastAsia" w:ascii="华文仿宋" w:hAnsi="华文仿宋" w:eastAsia="华文仿宋" w:cs="华文仿宋"/>
          <w:b/>
          <w:bCs/>
          <w:sz w:val="36"/>
          <w:szCs w:val="36"/>
          <w:highlight w:val="none"/>
          <w:u w:val="none"/>
        </w:rPr>
        <w:t>西安石油大学</w:t>
      </w:r>
    </w:p>
    <w:p>
      <w:pPr>
        <w:spacing w:line="240" w:lineRule="auto"/>
        <w:ind w:left="2539" w:leftChars="256" w:right="707" w:rightChars="250" w:hanging="1815" w:hangingChars="500"/>
        <w:jc w:val="left"/>
        <w:rPr>
          <w:rFonts w:ascii="华文仿宋" w:hAnsi="华文仿宋" w:cs="华文仿宋"/>
          <w:b/>
          <w:bCs/>
          <w:sz w:val="36"/>
          <w:szCs w:val="36"/>
          <w:highlight w:val="none"/>
        </w:rPr>
      </w:pPr>
      <w:r>
        <w:rPr>
          <w:rFonts w:hint="eastAsia" w:ascii="华文仿宋" w:hAnsi="华文仿宋" w:cs="华文仿宋"/>
          <w:b/>
          <w:bCs/>
          <w:sz w:val="36"/>
          <w:szCs w:val="36"/>
          <w:highlight w:val="none"/>
        </w:rPr>
        <w:t>采购代理机构：陕西省省级单位政府采购中心</w:t>
      </w:r>
    </w:p>
    <w:p>
      <w:pPr>
        <w:pStyle w:val="7"/>
        <w:spacing w:after="190"/>
        <w:rPr>
          <w:rFonts w:cs="Times New Roman"/>
          <w:color w:val="auto"/>
          <w:highlight w:val="none"/>
        </w:rPr>
      </w:pPr>
    </w:p>
    <w:p>
      <w:pPr>
        <w:pStyle w:val="17"/>
        <w:ind w:firstLine="0" w:firstLineChars="0"/>
        <w:rPr>
          <w:highlight w:val="none"/>
        </w:rPr>
      </w:pPr>
    </w:p>
    <w:p>
      <w:pPr>
        <w:rPr>
          <w:rFonts w:cs="Times New Roman"/>
          <w:highlight w:val="none"/>
        </w:rPr>
      </w:pPr>
    </w:p>
    <w:p>
      <w:pPr>
        <w:pStyle w:val="5"/>
        <w:rPr>
          <w:highlight w:val="none"/>
        </w:rPr>
      </w:pPr>
    </w:p>
    <w:p>
      <w:pPr>
        <w:tabs>
          <w:tab w:val="right" w:leader="hyphen" w:pos="8504"/>
        </w:tabs>
        <w:spacing w:after="381" w:afterLines="100" w:line="440" w:lineRule="exact"/>
        <w:ind w:right="566" w:rightChars="200"/>
        <w:jc w:val="center"/>
        <w:rPr>
          <w:rFonts w:ascii="仿宋" w:hAnsi="仿宋" w:eastAsia="仿宋" w:cs="Times New Roman"/>
          <w:b/>
          <w:bCs/>
          <w:sz w:val="36"/>
          <w:szCs w:val="36"/>
          <w:highlight w:val="none"/>
        </w:rPr>
        <w:sectPr>
          <w:headerReference r:id="rId3" w:type="default"/>
          <w:footerReference r:id="rId4" w:type="default"/>
          <w:pgSz w:w="11906" w:h="16838"/>
          <w:pgMar w:top="1417" w:right="1417" w:bottom="1417" w:left="1417" w:header="850" w:footer="992" w:gutter="0"/>
          <w:pgNumType w:start="1"/>
          <w:cols w:space="720" w:num="1"/>
          <w:docGrid w:type="linesAndChars" w:linePitch="381" w:charSpace="704"/>
        </w:sectPr>
      </w:pPr>
      <w:r>
        <w:rPr>
          <w:rFonts w:ascii="仿宋" w:hAnsi="仿宋" w:eastAsia="仿宋" w:cs="仿宋"/>
          <w:b/>
          <w:bCs/>
          <w:sz w:val="36"/>
          <w:szCs w:val="36"/>
          <w:highlight w:val="none"/>
        </w:rPr>
        <w:t>202</w:t>
      </w:r>
      <w:r>
        <w:rPr>
          <w:rFonts w:hint="eastAsia" w:ascii="仿宋" w:hAnsi="仿宋" w:eastAsia="仿宋" w:cs="仿宋"/>
          <w:b/>
          <w:bCs/>
          <w:sz w:val="36"/>
          <w:szCs w:val="36"/>
          <w:highlight w:val="none"/>
        </w:rPr>
        <w:t>5年</w:t>
      </w:r>
      <w:r>
        <w:rPr>
          <w:rFonts w:hint="eastAsia" w:ascii="仿宋" w:hAnsi="仿宋" w:eastAsia="仿宋" w:cs="仿宋"/>
          <w:b/>
          <w:bCs/>
          <w:sz w:val="36"/>
          <w:szCs w:val="36"/>
          <w:highlight w:val="none"/>
          <w:lang w:val="en-US" w:eastAsia="zh-CN"/>
        </w:rPr>
        <w:t>12</w:t>
      </w:r>
      <w:r>
        <w:rPr>
          <w:rFonts w:hint="eastAsia" w:ascii="仿宋" w:hAnsi="仿宋" w:eastAsia="仿宋" w:cs="仿宋"/>
          <w:b/>
          <w:bCs/>
          <w:sz w:val="36"/>
          <w:szCs w:val="36"/>
          <w:highlight w:val="none"/>
        </w:rPr>
        <w:t>月</w:t>
      </w:r>
      <w:r>
        <w:rPr>
          <w:rFonts w:hint="eastAsia" w:ascii="仿宋" w:hAnsi="仿宋" w:eastAsia="仿宋" w:cs="仿宋"/>
          <w:b/>
          <w:bCs/>
          <w:sz w:val="36"/>
          <w:szCs w:val="36"/>
          <w:highlight w:val="none"/>
          <w:lang w:val="en-US" w:eastAsia="zh-CN"/>
        </w:rPr>
        <w:t>23</w:t>
      </w:r>
      <w:r>
        <w:rPr>
          <w:rFonts w:hint="eastAsia" w:ascii="仿宋" w:hAnsi="仿宋" w:eastAsia="仿宋" w:cs="仿宋"/>
          <w:b/>
          <w:bCs/>
          <w:sz w:val="36"/>
          <w:szCs w:val="36"/>
          <w:highlight w:val="none"/>
        </w:rPr>
        <w:t>日</w:t>
      </w:r>
    </w:p>
    <w:p>
      <w:pPr>
        <w:pStyle w:val="14"/>
        <w:tabs>
          <w:tab w:val="right" w:leader="dot" w:pos="9072"/>
        </w:tabs>
        <w:ind w:left="0" w:leftChars="0"/>
        <w:rPr>
          <w:rFonts w:ascii="黑体" w:hAnsi="黑体" w:eastAsia="黑体" w:cs="黑体"/>
          <w:sz w:val="44"/>
          <w:szCs w:val="44"/>
          <w:highlight w:val="none"/>
        </w:rPr>
      </w:pPr>
      <w:bookmarkStart w:id="1" w:name="_Toc29675"/>
      <w:bookmarkStart w:id="2" w:name="_Toc29970"/>
      <w:bookmarkStart w:id="3" w:name="_Toc447"/>
    </w:p>
    <w:p>
      <w:pPr>
        <w:pStyle w:val="14"/>
        <w:tabs>
          <w:tab w:val="right" w:leader="dot" w:pos="9072"/>
        </w:tabs>
        <w:spacing w:after="381" w:afterLines="100" w:line="440" w:lineRule="exact"/>
        <w:ind w:left="567" w:right="566" w:rightChars="200"/>
        <w:jc w:val="center"/>
        <w:rPr>
          <w:highlight w:val="none"/>
        </w:rPr>
      </w:pPr>
      <w:r>
        <w:rPr>
          <w:rFonts w:hint="eastAsia" w:ascii="黑体" w:hAnsi="黑体" w:eastAsia="黑体" w:cs="黑体"/>
          <w:sz w:val="44"/>
          <w:szCs w:val="44"/>
          <w:highlight w:val="none"/>
        </w:rPr>
        <w:t>目录</w:t>
      </w:r>
      <w:bookmarkEnd w:id="1"/>
      <w:bookmarkEnd w:id="2"/>
      <w:bookmarkEnd w:id="3"/>
      <w:bookmarkStart w:id="4" w:name="_Toc26289"/>
      <w:bookmarkStart w:id="5" w:name="_Toc495014647"/>
      <w:bookmarkStart w:id="6" w:name="_Toc445306491"/>
      <w:bookmarkStart w:id="7" w:name="_Toc495014918"/>
      <w:bookmarkStart w:id="8" w:name="_Toc495014583"/>
      <w:bookmarkStart w:id="9" w:name="_Toc495012819"/>
      <w:bookmarkStart w:id="10" w:name="_Toc495014609"/>
      <w:bookmarkStart w:id="11" w:name="_Toc495012769"/>
      <w:r>
        <w:rPr>
          <w:highlight w:val="none"/>
        </w:rPr>
        <w:fldChar w:fldCharType="begin"/>
      </w:r>
      <w:r>
        <w:rPr>
          <w:highlight w:val="none"/>
        </w:rPr>
        <w:instrText xml:space="preserve">TOC \o "1-3" \u </w:instrText>
      </w:r>
      <w:r>
        <w:rPr>
          <w:highlight w:val="none"/>
        </w:rPr>
        <w:fldChar w:fldCharType="separate"/>
      </w:r>
    </w:p>
    <w:p>
      <w:pPr>
        <w:pStyle w:val="12"/>
        <w:tabs>
          <w:tab w:val="right" w:leader="dot" w:pos="9072"/>
        </w:tabs>
        <w:spacing w:line="500" w:lineRule="exact"/>
        <w:rPr>
          <w:highlight w:val="none"/>
        </w:rPr>
      </w:pPr>
      <w:r>
        <w:rPr>
          <w:rFonts w:hint="eastAsia" w:ascii="黑体" w:hAnsi="黑体" w:eastAsia="黑体" w:cs="黑体"/>
          <w:szCs w:val="32"/>
          <w:highlight w:val="none"/>
        </w:rPr>
        <w:t>第一章  投标邀请函</w:t>
      </w:r>
      <w:r>
        <w:rPr>
          <w:highlight w:val="none"/>
        </w:rPr>
        <w:tab/>
      </w:r>
      <w:r>
        <w:rPr>
          <w:highlight w:val="none"/>
        </w:rPr>
        <w:fldChar w:fldCharType="begin"/>
      </w:r>
      <w:r>
        <w:rPr>
          <w:highlight w:val="none"/>
        </w:rPr>
        <w:instrText xml:space="preserve"> PAGEREF _Toc31315 \h </w:instrText>
      </w:r>
      <w:r>
        <w:rPr>
          <w:highlight w:val="none"/>
        </w:rPr>
        <w:fldChar w:fldCharType="separate"/>
      </w:r>
      <w:r>
        <w:rPr>
          <w:highlight w:val="none"/>
        </w:rPr>
        <w:t>1</w:t>
      </w:r>
      <w:r>
        <w:rPr>
          <w:highlight w:val="none"/>
        </w:rPr>
        <w:fldChar w:fldCharType="end"/>
      </w:r>
    </w:p>
    <w:p>
      <w:pPr>
        <w:pStyle w:val="12"/>
        <w:tabs>
          <w:tab w:val="right" w:leader="dot" w:pos="9072"/>
        </w:tabs>
        <w:spacing w:line="500" w:lineRule="exact"/>
        <w:rPr>
          <w:highlight w:val="none"/>
        </w:rPr>
      </w:pPr>
      <w:r>
        <w:rPr>
          <w:rFonts w:hint="eastAsia" w:ascii="黑体" w:hAnsi="黑体" w:eastAsia="黑体" w:cs="黑体"/>
          <w:szCs w:val="32"/>
          <w:highlight w:val="none"/>
        </w:rPr>
        <w:t>第二章  投标人须知</w:t>
      </w:r>
      <w:r>
        <w:rPr>
          <w:highlight w:val="none"/>
        </w:rPr>
        <w:tab/>
      </w:r>
      <w:r>
        <w:rPr>
          <w:highlight w:val="none"/>
        </w:rPr>
        <w:fldChar w:fldCharType="begin"/>
      </w:r>
      <w:r>
        <w:rPr>
          <w:highlight w:val="none"/>
        </w:rPr>
        <w:instrText xml:space="preserve"> PAGEREF _Toc20960 \h </w:instrText>
      </w:r>
      <w:r>
        <w:rPr>
          <w:highlight w:val="none"/>
        </w:rPr>
        <w:fldChar w:fldCharType="separate"/>
      </w:r>
      <w:r>
        <w:rPr>
          <w:highlight w:val="none"/>
        </w:rPr>
        <w:t>7</w:t>
      </w:r>
      <w:r>
        <w:rPr>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一、定义</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_Toc16074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二、投标人注意事项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_Toc26572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三、招标文件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_Toc24468 \h </w:instrText>
      </w:r>
      <w:r>
        <w:rPr>
          <w:rFonts w:hint="eastAsia" w:ascii="华文仿宋" w:hAnsi="华文仿宋" w:cs="华文仿宋"/>
          <w:highlight w:val="none"/>
        </w:rPr>
        <w:fldChar w:fldCharType="separate"/>
      </w:r>
      <w:r>
        <w:rPr>
          <w:rFonts w:hint="eastAsia" w:ascii="华文仿宋" w:hAnsi="华文仿宋" w:cs="华文仿宋"/>
          <w:highlight w:val="none"/>
        </w:rPr>
        <w:t>15</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四、投标报价</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_Toc14376 \h </w:instrText>
      </w:r>
      <w:r>
        <w:rPr>
          <w:rFonts w:hint="eastAsia" w:ascii="华文仿宋" w:hAnsi="华文仿宋" w:cs="华文仿宋"/>
          <w:highlight w:val="none"/>
        </w:rPr>
        <w:fldChar w:fldCharType="separate"/>
      </w:r>
      <w:r>
        <w:rPr>
          <w:rFonts w:hint="eastAsia" w:ascii="华文仿宋" w:hAnsi="华文仿宋" w:cs="华文仿宋"/>
          <w:highlight w:val="none"/>
        </w:rPr>
        <w:t>17</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五、投标文件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_Toc31692 \h </w:instrText>
      </w:r>
      <w:r>
        <w:rPr>
          <w:rFonts w:hint="eastAsia" w:ascii="华文仿宋" w:hAnsi="华文仿宋" w:cs="华文仿宋"/>
          <w:highlight w:val="none"/>
        </w:rPr>
        <w:fldChar w:fldCharType="separate"/>
      </w:r>
      <w:r>
        <w:rPr>
          <w:rFonts w:hint="eastAsia" w:ascii="华文仿宋" w:hAnsi="华文仿宋" w:cs="华文仿宋"/>
          <w:highlight w:val="none"/>
        </w:rPr>
        <w:t>18</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六、组织开标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_Toc9084 \h </w:instrText>
      </w:r>
      <w:r>
        <w:rPr>
          <w:rFonts w:hint="eastAsia" w:ascii="华文仿宋" w:hAnsi="华文仿宋" w:cs="华文仿宋"/>
          <w:highlight w:val="none"/>
        </w:rPr>
        <w:fldChar w:fldCharType="separate"/>
      </w:r>
      <w:r>
        <w:rPr>
          <w:rFonts w:hint="eastAsia" w:ascii="华文仿宋" w:hAnsi="华文仿宋" w:cs="华文仿宋"/>
          <w:highlight w:val="none"/>
        </w:rPr>
        <w:t>19</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七、资格审查</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_Toc6763 \h </w:instrText>
      </w:r>
      <w:r>
        <w:rPr>
          <w:rFonts w:hint="eastAsia" w:ascii="华文仿宋" w:hAnsi="华文仿宋" w:cs="华文仿宋"/>
          <w:highlight w:val="none"/>
        </w:rPr>
        <w:fldChar w:fldCharType="separate"/>
      </w:r>
      <w:r>
        <w:rPr>
          <w:rFonts w:hint="eastAsia" w:ascii="华文仿宋" w:hAnsi="华文仿宋" w:cs="华文仿宋"/>
          <w:highlight w:val="none"/>
        </w:rPr>
        <w:t>20</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八、组织评标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_Toc1863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九、中标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_Toc8200 \h </w:instrText>
      </w:r>
      <w:r>
        <w:rPr>
          <w:rFonts w:hint="eastAsia" w:ascii="华文仿宋" w:hAnsi="华文仿宋" w:cs="华文仿宋"/>
          <w:highlight w:val="none"/>
        </w:rPr>
        <w:fldChar w:fldCharType="separate"/>
      </w:r>
      <w:r>
        <w:rPr>
          <w:rFonts w:hint="eastAsia" w:ascii="华文仿宋" w:hAnsi="华文仿宋" w:cs="华文仿宋"/>
          <w:highlight w:val="none"/>
        </w:rPr>
        <w:t>26</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十、签订政府采购合同</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_Toc25819 \h </w:instrText>
      </w:r>
      <w:r>
        <w:rPr>
          <w:rFonts w:hint="eastAsia" w:ascii="华文仿宋" w:hAnsi="华文仿宋" w:cs="华文仿宋"/>
          <w:highlight w:val="none"/>
        </w:rPr>
        <w:fldChar w:fldCharType="separate"/>
      </w:r>
      <w:r>
        <w:rPr>
          <w:rFonts w:hint="eastAsia" w:ascii="华文仿宋" w:hAnsi="华文仿宋" w:cs="华文仿宋"/>
          <w:highlight w:val="none"/>
        </w:rPr>
        <w:t>27</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十一、其他</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_Toc10223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pPr>
        <w:pStyle w:val="14"/>
        <w:tabs>
          <w:tab w:val="right" w:leader="dot" w:pos="9072"/>
        </w:tabs>
        <w:spacing w:line="500" w:lineRule="exact"/>
        <w:ind w:left="567"/>
        <w:rPr>
          <w:rFonts w:ascii="仿宋" w:hAnsi="仿宋" w:eastAsia="仿宋" w:cs="仿宋"/>
          <w:highlight w:val="none"/>
        </w:rPr>
      </w:pPr>
      <w:r>
        <w:rPr>
          <w:rFonts w:hint="eastAsia" w:ascii="华文仿宋" w:hAnsi="华文仿宋" w:cs="华文仿宋"/>
          <w:highlight w:val="none"/>
        </w:rPr>
        <w:t>十二、采购代理服务费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_Toc15093 \h </w:instrText>
      </w:r>
      <w:r>
        <w:rPr>
          <w:rFonts w:hint="eastAsia" w:ascii="华文仿宋" w:hAnsi="华文仿宋" w:cs="华文仿宋"/>
          <w:highlight w:val="none"/>
        </w:rPr>
        <w:fldChar w:fldCharType="separate"/>
      </w:r>
      <w:r>
        <w:rPr>
          <w:rFonts w:hint="eastAsia" w:ascii="华文仿宋" w:hAnsi="华文仿宋" w:cs="华文仿宋"/>
          <w:highlight w:val="none"/>
        </w:rPr>
        <w:t>29</w:t>
      </w:r>
      <w:r>
        <w:rPr>
          <w:rFonts w:hint="eastAsia" w:ascii="华文仿宋" w:hAnsi="华文仿宋" w:cs="华文仿宋"/>
          <w:highlight w:val="none"/>
        </w:rPr>
        <w:fldChar w:fldCharType="end"/>
      </w:r>
    </w:p>
    <w:p>
      <w:pPr>
        <w:pStyle w:val="12"/>
        <w:tabs>
          <w:tab w:val="right" w:leader="dot" w:pos="9072"/>
        </w:tabs>
        <w:spacing w:line="500" w:lineRule="exact"/>
        <w:rPr>
          <w:highlight w:val="none"/>
        </w:rPr>
      </w:pPr>
      <w:r>
        <w:rPr>
          <w:rFonts w:hint="eastAsia" w:ascii="黑体" w:hAnsi="黑体" w:eastAsia="黑体" w:cs="黑体"/>
          <w:szCs w:val="32"/>
          <w:highlight w:val="none"/>
        </w:rPr>
        <w:t>第三章  评审办法及标准</w:t>
      </w:r>
      <w:r>
        <w:rPr>
          <w:highlight w:val="none"/>
        </w:rPr>
        <w:tab/>
      </w:r>
      <w:r>
        <w:rPr>
          <w:highlight w:val="none"/>
        </w:rPr>
        <w:fldChar w:fldCharType="begin"/>
      </w:r>
      <w:r>
        <w:rPr>
          <w:highlight w:val="none"/>
        </w:rPr>
        <w:instrText xml:space="preserve"> PAGEREF _Toc31313 \h </w:instrText>
      </w:r>
      <w:r>
        <w:rPr>
          <w:highlight w:val="none"/>
        </w:rPr>
        <w:fldChar w:fldCharType="separate"/>
      </w:r>
      <w:r>
        <w:rPr>
          <w:highlight w:val="none"/>
        </w:rPr>
        <w:t>30</w:t>
      </w:r>
      <w:r>
        <w:rPr>
          <w:highlight w:val="none"/>
        </w:rPr>
        <w:fldChar w:fldCharType="end"/>
      </w:r>
    </w:p>
    <w:p>
      <w:pPr>
        <w:pStyle w:val="12"/>
        <w:tabs>
          <w:tab w:val="right" w:leader="dot" w:pos="9072"/>
        </w:tabs>
        <w:spacing w:line="500" w:lineRule="exact"/>
        <w:rPr>
          <w:highlight w:val="none"/>
        </w:rPr>
      </w:pPr>
      <w:r>
        <w:rPr>
          <w:rFonts w:hint="eastAsia" w:ascii="黑体" w:hAnsi="黑体" w:eastAsia="黑体" w:cs="黑体"/>
          <w:szCs w:val="32"/>
          <w:highlight w:val="none"/>
        </w:rPr>
        <w:t>第四章  招标内容及采购要求</w:t>
      </w:r>
      <w:r>
        <w:rPr>
          <w:highlight w:val="none"/>
        </w:rPr>
        <w:tab/>
      </w:r>
      <w:r>
        <w:rPr>
          <w:highlight w:val="none"/>
        </w:rPr>
        <w:fldChar w:fldCharType="begin"/>
      </w:r>
      <w:r>
        <w:rPr>
          <w:highlight w:val="none"/>
        </w:rPr>
        <w:instrText xml:space="preserve"> PAGEREF _Toc3617 \h </w:instrText>
      </w:r>
      <w:r>
        <w:rPr>
          <w:highlight w:val="none"/>
        </w:rPr>
        <w:fldChar w:fldCharType="separate"/>
      </w:r>
      <w:r>
        <w:rPr>
          <w:highlight w:val="none"/>
        </w:rPr>
        <w:t>42</w:t>
      </w:r>
      <w:r>
        <w:rPr>
          <w:highlight w:val="none"/>
        </w:rPr>
        <w:fldChar w:fldCharType="end"/>
      </w:r>
    </w:p>
    <w:p>
      <w:pPr>
        <w:pStyle w:val="12"/>
        <w:tabs>
          <w:tab w:val="right" w:leader="dot" w:pos="9072"/>
        </w:tabs>
        <w:spacing w:line="500" w:lineRule="exact"/>
        <w:rPr>
          <w:highlight w:val="none"/>
        </w:rPr>
      </w:pPr>
      <w:r>
        <w:rPr>
          <w:rFonts w:hint="eastAsia" w:ascii="黑体" w:hAnsi="黑体" w:eastAsia="黑体" w:cs="黑体"/>
          <w:szCs w:val="32"/>
          <w:highlight w:val="none"/>
        </w:rPr>
        <w:t>第五章  合同基本条款</w:t>
      </w:r>
      <w:r>
        <w:rPr>
          <w:highlight w:val="none"/>
        </w:rPr>
        <w:tab/>
      </w:r>
      <w:r>
        <w:rPr>
          <w:highlight w:val="none"/>
        </w:rPr>
        <w:fldChar w:fldCharType="begin"/>
      </w:r>
      <w:r>
        <w:rPr>
          <w:highlight w:val="none"/>
        </w:rPr>
        <w:instrText xml:space="preserve"> PAGEREF _Toc15519 \h </w:instrText>
      </w:r>
      <w:r>
        <w:rPr>
          <w:highlight w:val="none"/>
        </w:rPr>
        <w:fldChar w:fldCharType="separate"/>
      </w:r>
      <w:r>
        <w:rPr>
          <w:highlight w:val="none"/>
        </w:rPr>
        <w:t>58</w:t>
      </w:r>
      <w:r>
        <w:rPr>
          <w:highlight w:val="none"/>
        </w:rPr>
        <w:fldChar w:fldCharType="end"/>
      </w:r>
    </w:p>
    <w:p>
      <w:pPr>
        <w:pStyle w:val="12"/>
        <w:tabs>
          <w:tab w:val="right" w:leader="dot" w:pos="9072"/>
        </w:tabs>
        <w:spacing w:line="500" w:lineRule="exact"/>
        <w:rPr>
          <w:highlight w:val="none"/>
        </w:rPr>
      </w:pPr>
      <w:r>
        <w:rPr>
          <w:rFonts w:hint="eastAsia" w:ascii="黑体" w:hAnsi="黑体" w:eastAsia="黑体" w:cs="黑体"/>
          <w:szCs w:val="32"/>
          <w:highlight w:val="none"/>
        </w:rPr>
        <w:t>第六章  投标文件构成及格式</w:t>
      </w:r>
      <w:r>
        <w:rPr>
          <w:highlight w:val="none"/>
        </w:rPr>
        <w:tab/>
      </w:r>
      <w:r>
        <w:rPr>
          <w:highlight w:val="none"/>
        </w:rPr>
        <w:fldChar w:fldCharType="begin"/>
      </w:r>
      <w:r>
        <w:rPr>
          <w:highlight w:val="none"/>
        </w:rPr>
        <w:instrText xml:space="preserve"> PAGEREF _Toc3151 \h </w:instrText>
      </w:r>
      <w:r>
        <w:rPr>
          <w:highlight w:val="none"/>
        </w:rPr>
        <w:fldChar w:fldCharType="separate"/>
      </w:r>
      <w:r>
        <w:rPr>
          <w:highlight w:val="none"/>
        </w:rPr>
        <w:t>62</w:t>
      </w:r>
      <w:r>
        <w:rPr>
          <w:highlight w:val="none"/>
        </w:rPr>
        <w:fldChar w:fldCharType="end"/>
      </w:r>
    </w:p>
    <w:p>
      <w:pPr>
        <w:pStyle w:val="14"/>
        <w:tabs>
          <w:tab w:val="right" w:leader="dot" w:pos="9072"/>
        </w:tabs>
        <w:spacing w:line="500" w:lineRule="exact"/>
        <w:ind w:left="567"/>
        <w:rPr>
          <w:highlight w:val="none"/>
        </w:rPr>
      </w:pPr>
      <w:r>
        <w:rPr>
          <w:rFonts w:hint="eastAsia" w:ascii="黑体" w:hAnsi="黑体" w:eastAsia="黑体" w:cs="黑体"/>
          <w:highlight w:val="none"/>
        </w:rPr>
        <w:t>第一部分  资格证明文件</w:t>
      </w:r>
      <w:r>
        <w:rPr>
          <w:highlight w:val="none"/>
        </w:rPr>
        <w:tab/>
      </w:r>
      <w:r>
        <w:rPr>
          <w:highlight w:val="none"/>
        </w:rPr>
        <w:fldChar w:fldCharType="begin"/>
      </w:r>
      <w:r>
        <w:rPr>
          <w:highlight w:val="none"/>
        </w:rPr>
        <w:instrText xml:space="preserve"> PAGEREF _Toc6003 \h </w:instrText>
      </w:r>
      <w:r>
        <w:rPr>
          <w:highlight w:val="none"/>
        </w:rPr>
        <w:fldChar w:fldCharType="separate"/>
      </w:r>
      <w:r>
        <w:rPr>
          <w:highlight w:val="none"/>
        </w:rPr>
        <w:t>65</w:t>
      </w:r>
      <w:r>
        <w:rPr>
          <w:highlight w:val="none"/>
        </w:rPr>
        <w:fldChar w:fldCharType="end"/>
      </w:r>
    </w:p>
    <w:p>
      <w:pPr>
        <w:pStyle w:val="14"/>
        <w:tabs>
          <w:tab w:val="right" w:leader="dot" w:pos="9072"/>
        </w:tabs>
        <w:spacing w:line="500" w:lineRule="exact"/>
        <w:ind w:left="567"/>
        <w:rPr>
          <w:highlight w:val="none"/>
        </w:rPr>
      </w:pPr>
      <w:r>
        <w:rPr>
          <w:rFonts w:hint="eastAsia" w:ascii="黑体" w:hAnsi="黑体" w:eastAsia="黑体" w:cs="黑体"/>
          <w:highlight w:val="none"/>
        </w:rPr>
        <w:t>第二部分  符合性证明文件</w:t>
      </w:r>
      <w:r>
        <w:rPr>
          <w:highlight w:val="none"/>
        </w:rPr>
        <w:tab/>
      </w:r>
      <w:r>
        <w:rPr>
          <w:highlight w:val="none"/>
        </w:rPr>
        <w:fldChar w:fldCharType="begin"/>
      </w:r>
      <w:r>
        <w:rPr>
          <w:highlight w:val="none"/>
        </w:rPr>
        <w:instrText xml:space="preserve"> PAGEREF _Toc23551 \h </w:instrText>
      </w:r>
      <w:r>
        <w:rPr>
          <w:highlight w:val="none"/>
        </w:rPr>
        <w:fldChar w:fldCharType="separate"/>
      </w:r>
      <w:r>
        <w:rPr>
          <w:highlight w:val="none"/>
        </w:rPr>
        <w:t>75</w:t>
      </w:r>
      <w:r>
        <w:rPr>
          <w:highlight w:val="none"/>
        </w:rPr>
        <w:fldChar w:fldCharType="end"/>
      </w:r>
    </w:p>
    <w:p>
      <w:pPr>
        <w:pStyle w:val="14"/>
        <w:tabs>
          <w:tab w:val="right" w:leader="dot" w:pos="9072"/>
        </w:tabs>
        <w:spacing w:line="500" w:lineRule="exact"/>
        <w:ind w:left="567"/>
        <w:rPr>
          <w:highlight w:val="none"/>
        </w:rPr>
      </w:pPr>
      <w:r>
        <w:rPr>
          <w:rFonts w:hint="eastAsia" w:ascii="黑体" w:hAnsi="黑体" w:eastAsia="黑体" w:cs="黑体"/>
          <w:highlight w:val="none"/>
        </w:rPr>
        <w:t>第三部分  投标方案</w:t>
      </w:r>
      <w:r>
        <w:rPr>
          <w:highlight w:val="none"/>
        </w:rPr>
        <w:tab/>
      </w:r>
      <w:r>
        <w:rPr>
          <w:highlight w:val="none"/>
        </w:rPr>
        <w:fldChar w:fldCharType="begin"/>
      </w:r>
      <w:r>
        <w:rPr>
          <w:highlight w:val="none"/>
        </w:rPr>
        <w:instrText xml:space="preserve"> PAGEREF _Toc26612 \h </w:instrText>
      </w:r>
      <w:r>
        <w:rPr>
          <w:highlight w:val="none"/>
        </w:rPr>
        <w:fldChar w:fldCharType="separate"/>
      </w:r>
      <w:r>
        <w:rPr>
          <w:highlight w:val="none"/>
        </w:rPr>
        <w:t>83</w:t>
      </w:r>
      <w:r>
        <w:rPr>
          <w:highlight w:val="none"/>
        </w:rPr>
        <w:fldChar w:fldCharType="end"/>
      </w:r>
    </w:p>
    <w:p>
      <w:pPr>
        <w:tabs>
          <w:tab w:val="right" w:leader="hyphen" w:pos="8504"/>
        </w:tabs>
        <w:spacing w:after="381" w:afterLines="100" w:line="440" w:lineRule="exact"/>
        <w:ind w:left="567" w:right="566" w:rightChars="200"/>
        <w:jc w:val="center"/>
        <w:rPr>
          <w:rFonts w:ascii="黑体" w:hAnsi="黑体" w:eastAsia="黑体" w:cs="Times New Roman"/>
          <w:sz w:val="32"/>
          <w:szCs w:val="32"/>
          <w:highlight w:val="none"/>
        </w:rPr>
        <w:sectPr>
          <w:headerReference r:id="rId5" w:type="default"/>
          <w:footerReference r:id="rId6" w:type="default"/>
          <w:pgSz w:w="11906" w:h="16838"/>
          <w:pgMar w:top="1417" w:right="1417" w:bottom="1417" w:left="1417" w:header="794" w:footer="992" w:gutter="0"/>
          <w:pgNumType w:start="1"/>
          <w:cols w:space="720" w:num="1"/>
          <w:docGrid w:type="linesAndChars" w:linePitch="381" w:charSpace="704"/>
        </w:sectPr>
      </w:pPr>
      <w:r>
        <w:rPr>
          <w:highlight w:val="none"/>
        </w:rPr>
        <w:fldChar w:fldCharType="end"/>
      </w:r>
    </w:p>
    <w:p>
      <w:pPr>
        <w:pStyle w:val="2"/>
        <w:rPr>
          <w:rFonts w:ascii="黑体" w:hAnsi="黑体" w:eastAsia="黑体" w:cs="Times New Roman"/>
          <w:b w:val="0"/>
          <w:bCs w:val="0"/>
          <w:color w:val="auto"/>
          <w:sz w:val="32"/>
          <w:szCs w:val="32"/>
          <w:highlight w:val="none"/>
        </w:rPr>
      </w:pPr>
      <w:bookmarkStart w:id="12" w:name="_Toc31315"/>
      <w:bookmarkStart w:id="13" w:name="_Toc21838"/>
      <w:r>
        <w:rPr>
          <w:rFonts w:hint="eastAsia" w:ascii="黑体" w:hAnsi="黑体" w:eastAsia="黑体" w:cs="黑体"/>
          <w:b w:val="0"/>
          <w:bCs w:val="0"/>
          <w:color w:val="auto"/>
          <w:sz w:val="32"/>
          <w:szCs w:val="32"/>
          <w:highlight w:val="none"/>
        </w:rPr>
        <w:t>第一章  投标邀请函</w:t>
      </w:r>
      <w:bookmarkEnd w:id="4"/>
      <w:bookmarkEnd w:id="5"/>
      <w:bookmarkEnd w:id="6"/>
      <w:bookmarkEnd w:id="7"/>
      <w:bookmarkEnd w:id="8"/>
      <w:bookmarkEnd w:id="9"/>
      <w:bookmarkEnd w:id="10"/>
      <w:bookmarkEnd w:id="11"/>
      <w:bookmarkEnd w:id="12"/>
      <w:bookmarkEnd w:id="13"/>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西安石油大学图书馆家具采购</w:t>
      </w:r>
      <w:r>
        <w:rPr>
          <w:rFonts w:hint="eastAsia" w:ascii="华文仿宋" w:hAnsi="华文仿宋" w:cs="华文仿宋"/>
          <w:b w:val="0"/>
          <w:bCs w:val="0"/>
          <w:highlight w:val="none"/>
          <w:lang w:val="en-US" w:eastAsia="zh-CN"/>
        </w:rPr>
        <w:t>项目</w:t>
      </w:r>
      <w:r>
        <w:rPr>
          <w:rFonts w:hint="eastAsia" w:ascii="华文仿宋" w:hAnsi="华文仿宋" w:cs="华文仿宋"/>
          <w:highlight w:val="none"/>
        </w:rPr>
        <w:t>潜在的投标人可在全国公共资源交易中心平台（陕西省）政府采购交易系统获取招标文件，并于</w:t>
      </w:r>
      <w:r>
        <w:rPr>
          <w:rFonts w:hint="eastAsia" w:ascii="仿宋" w:hAnsi="仿宋" w:eastAsia="仿宋" w:cs="仿宋"/>
          <w:highlight w:val="none"/>
        </w:rPr>
        <w:t>202</w:t>
      </w:r>
      <w:r>
        <w:rPr>
          <w:rFonts w:hint="eastAsia" w:ascii="仿宋" w:hAnsi="仿宋" w:eastAsia="仿宋" w:cs="仿宋"/>
          <w:highlight w:val="none"/>
          <w:lang w:val="en-US" w:eastAsia="zh-CN"/>
        </w:rPr>
        <w:t>6</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hint="eastAsia" w:ascii="仿宋" w:hAnsi="仿宋" w:eastAsia="仿宋" w:cs="仿宋"/>
          <w:highlight w:val="none"/>
          <w:lang w:val="en-US" w:eastAsia="zh-CN"/>
        </w:rPr>
        <w:t xml:space="preserve">14 </w:t>
      </w:r>
      <w:r>
        <w:rPr>
          <w:rFonts w:hint="eastAsia" w:ascii="仿宋" w:hAnsi="仿宋" w:eastAsia="仿宋" w:cs="仿宋"/>
          <w:highlight w:val="none"/>
        </w:rPr>
        <w:t>09:30:00</w:t>
      </w:r>
      <w:r>
        <w:rPr>
          <w:rFonts w:hint="eastAsia" w:ascii="华文仿宋" w:hAnsi="华文仿宋" w:cs="华文仿宋"/>
          <w:highlight w:val="none"/>
        </w:rPr>
        <w:t>前递交投标文件。</w:t>
      </w:r>
    </w:p>
    <w:p>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项目名称</w:t>
      </w:r>
      <w:r>
        <w:rPr>
          <w:rFonts w:hint="eastAsia" w:ascii="华文仿宋" w:hAnsi="华文仿宋" w:cs="华文仿宋"/>
          <w:highlight w:val="none"/>
        </w:rPr>
        <w:t>：西安石油大学图书馆家具采购</w:t>
      </w:r>
    </w:p>
    <w:p>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项目编号</w:t>
      </w:r>
      <w:r>
        <w:rPr>
          <w:rFonts w:hint="eastAsia" w:ascii="华文仿宋" w:hAnsi="华文仿宋" w:cs="华文仿宋"/>
          <w:highlight w:val="none"/>
        </w:rPr>
        <w:t>：</w:t>
      </w:r>
      <w:r>
        <w:rPr>
          <w:rFonts w:hint="eastAsia" w:ascii="仿宋" w:hAnsi="仿宋" w:eastAsia="仿宋" w:cs="仿宋"/>
          <w:highlight w:val="none"/>
        </w:rPr>
        <w:t>SNCG-FM-2025</w:t>
      </w:r>
      <w:r>
        <w:rPr>
          <w:rFonts w:hint="eastAsia" w:ascii="仿宋" w:hAnsi="仿宋" w:eastAsia="仿宋" w:cs="仿宋"/>
          <w:highlight w:val="none"/>
          <w:lang w:val="en-US" w:eastAsia="zh-CN"/>
        </w:rPr>
        <w:t>246</w:t>
      </w:r>
    </w:p>
    <w:p>
      <w:pPr>
        <w:pStyle w:val="24"/>
        <w:spacing w:line="500" w:lineRule="exact"/>
        <w:rPr>
          <w:rFonts w:hint="eastAsia" w:ascii="华文仿宋" w:hAnsi="华文仿宋" w:cs="华文仿宋"/>
          <w:highlight w:val="none"/>
          <w:lang w:eastAsia="zh-CN"/>
        </w:rPr>
      </w:pPr>
      <w:r>
        <w:rPr>
          <w:rFonts w:hint="eastAsia" w:ascii="华文仿宋" w:hAnsi="华文仿宋" w:cs="华文仿宋"/>
          <w:b/>
          <w:bCs/>
          <w:highlight w:val="none"/>
        </w:rPr>
        <w:t>采购人：</w:t>
      </w:r>
      <w:r>
        <w:rPr>
          <w:rFonts w:hint="eastAsia" w:ascii="华文仿宋" w:hAnsi="华文仿宋" w:cs="华文仿宋"/>
          <w:b w:val="0"/>
          <w:bCs w:val="0"/>
          <w:highlight w:val="none"/>
        </w:rPr>
        <w:t>西安石油大学</w:t>
      </w:r>
    </w:p>
    <w:p>
      <w:pPr>
        <w:pStyle w:val="24"/>
        <w:spacing w:line="500" w:lineRule="exact"/>
        <w:rPr>
          <w:rFonts w:ascii="华文仿宋" w:hAnsi="华文仿宋" w:cs="华文仿宋"/>
          <w:highlight w:val="none"/>
        </w:rPr>
      </w:pPr>
      <w:r>
        <w:rPr>
          <w:rFonts w:hint="eastAsia" w:ascii="华文仿宋" w:hAnsi="华文仿宋" w:cs="华文仿宋"/>
          <w:highlight w:val="none"/>
        </w:rPr>
        <w:t>地址：</w:t>
      </w:r>
      <w:bookmarkStart w:id="14" w:name="OLE_LINK16"/>
      <w:r>
        <w:rPr>
          <w:rFonts w:hint="eastAsia" w:ascii="华文仿宋" w:hAnsi="华文仿宋" w:cs="华文仿宋"/>
          <w:highlight w:val="none"/>
        </w:rPr>
        <w:t>西安市雁塔区电子二路18号</w:t>
      </w:r>
    </w:p>
    <w:bookmarkEnd w:id="14"/>
    <w:p>
      <w:pPr>
        <w:pStyle w:val="24"/>
        <w:spacing w:line="500" w:lineRule="exact"/>
        <w:rPr>
          <w:rFonts w:ascii="华文仿宋" w:hAnsi="华文仿宋" w:cs="华文仿宋"/>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张老师</w:t>
      </w:r>
    </w:p>
    <w:p>
      <w:pPr>
        <w:spacing w:line="500" w:lineRule="exact"/>
        <w:ind w:firstLine="1132" w:firstLineChars="400"/>
        <w:rPr>
          <w:rFonts w:hint="default"/>
          <w:highlight w:val="none"/>
          <w:lang w:val="en-US"/>
        </w:rPr>
      </w:pPr>
      <w:r>
        <w:rPr>
          <w:rFonts w:hint="eastAsia" w:ascii="华文仿宋" w:hAnsi="华文仿宋" w:cs="华文仿宋"/>
          <w:highlight w:val="none"/>
        </w:rPr>
        <w:t>联系方式：</w:t>
      </w:r>
      <w:r>
        <w:rPr>
          <w:rFonts w:hint="eastAsia" w:ascii="仿宋" w:hAnsi="仿宋" w:eastAsia="仿宋" w:cs="仿宋"/>
          <w:highlight w:val="none"/>
          <w:lang w:val="en-US" w:eastAsia="zh-CN"/>
        </w:rPr>
        <w:t>029-</w:t>
      </w:r>
      <w:r>
        <w:rPr>
          <w:rFonts w:hint="eastAsia" w:ascii="仿宋" w:hAnsi="仿宋" w:eastAsia="仿宋" w:cs="仿宋"/>
          <w:highlight w:val="none"/>
        </w:rPr>
        <w:t>88382833</w:t>
      </w:r>
    </w:p>
    <w:p>
      <w:pPr>
        <w:spacing w:line="500" w:lineRule="exact"/>
        <w:ind w:firstLine="566" w:firstLineChars="200"/>
        <w:rPr>
          <w:rFonts w:ascii="华文仿宋" w:cs="Times New Roman"/>
          <w:highlight w:val="none"/>
        </w:rPr>
      </w:pPr>
      <w:r>
        <w:rPr>
          <w:rFonts w:hint="eastAsia" w:ascii="华文仿宋" w:hAnsi="华文仿宋" w:cs="华文仿宋"/>
          <w:b/>
          <w:bCs/>
          <w:highlight w:val="none"/>
        </w:rPr>
        <w:t>四、采购代理机构</w:t>
      </w:r>
      <w:r>
        <w:rPr>
          <w:rFonts w:hint="eastAsia" w:ascii="华文仿宋" w:hAnsi="华文仿宋" w:cs="华文仿宋"/>
          <w:highlight w:val="none"/>
        </w:rPr>
        <w:t>：</w:t>
      </w:r>
      <w:bookmarkStart w:id="15" w:name="OLE_LINK18"/>
      <w:r>
        <w:rPr>
          <w:rFonts w:hint="eastAsia" w:ascii="华文仿宋" w:hAnsi="华文仿宋" w:cs="华文仿宋"/>
          <w:highlight w:val="none"/>
          <w:lang w:val="zh-CN"/>
        </w:rPr>
        <w:t>陕西省省级单位政府采购中心</w:t>
      </w:r>
      <w:bookmarkEnd w:id="15"/>
    </w:p>
    <w:p>
      <w:pPr>
        <w:pStyle w:val="24"/>
        <w:spacing w:line="500" w:lineRule="exact"/>
        <w:rPr>
          <w:rFonts w:ascii="华文仿宋" w:cs="Times New Roman"/>
          <w:highlight w:val="none"/>
        </w:rPr>
      </w:pPr>
      <w:r>
        <w:rPr>
          <w:rFonts w:hint="eastAsia" w:ascii="华文仿宋" w:hAnsi="华文仿宋" w:cs="华文仿宋"/>
          <w:highlight w:val="none"/>
        </w:rPr>
        <w:t>地址：</w:t>
      </w:r>
      <w:bookmarkStart w:id="16" w:name="OLE_LINK19"/>
      <w:r>
        <w:rPr>
          <w:rFonts w:hint="eastAsia" w:ascii="华文仿宋" w:hAnsi="华文仿宋" w:cs="华文仿宋"/>
          <w:highlight w:val="none"/>
        </w:rPr>
        <w:t>西安市碑林区长安北路</w:t>
      </w:r>
      <w:r>
        <w:rPr>
          <w:rFonts w:ascii="仿宋" w:hAnsi="仿宋" w:eastAsia="仿宋" w:cs="仿宋"/>
          <w:highlight w:val="none"/>
        </w:rPr>
        <w:t>14</w:t>
      </w:r>
      <w:r>
        <w:rPr>
          <w:rFonts w:hint="eastAsia" w:ascii="华文仿宋" w:hAnsi="华文仿宋" w:cs="华文仿宋"/>
          <w:highlight w:val="none"/>
        </w:rPr>
        <w:t>号</w:t>
      </w:r>
      <w:bookmarkEnd w:id="16"/>
    </w:p>
    <w:p>
      <w:pPr>
        <w:pStyle w:val="24"/>
        <w:spacing w:line="500" w:lineRule="exact"/>
        <w:rPr>
          <w:rFonts w:ascii="华文仿宋" w:cs="Times New Roman"/>
          <w:highlight w:val="none"/>
        </w:rPr>
      </w:pPr>
      <w:r>
        <w:rPr>
          <w:rFonts w:hint="eastAsia" w:ascii="华文仿宋" w:hAnsi="华文仿宋" w:cs="华文仿宋"/>
          <w:highlight w:val="none"/>
        </w:rPr>
        <w:t>联系人</w:t>
      </w:r>
      <w:r>
        <w:rPr>
          <w:rFonts w:hint="eastAsia" w:ascii="华文仿宋" w:hAnsi="华文仿宋" w:cs="华文仿宋"/>
          <w:highlight w:val="none"/>
          <w:lang w:eastAsia="zh-CN"/>
        </w:rPr>
        <w:t>：</w:t>
      </w:r>
      <w:r>
        <w:rPr>
          <w:rFonts w:hint="eastAsia" w:ascii="华文仿宋" w:hAnsi="华文仿宋" w:cs="华文仿宋"/>
          <w:highlight w:val="none"/>
          <w:lang w:val="en-US" w:eastAsia="zh-CN"/>
        </w:rPr>
        <w:t>程</w:t>
      </w:r>
      <w:r>
        <w:rPr>
          <w:rFonts w:hint="eastAsia" w:ascii="华文仿宋" w:hAnsi="华文仿宋" w:cs="华文仿宋"/>
          <w:highlight w:val="none"/>
        </w:rPr>
        <w:t>老师</w:t>
      </w:r>
    </w:p>
    <w:p>
      <w:pPr>
        <w:pStyle w:val="24"/>
        <w:spacing w:line="500" w:lineRule="exact"/>
        <w:rPr>
          <w:rFonts w:hint="default" w:ascii="仿宋" w:eastAsia="仿宋" w:cs="Times New Roman"/>
          <w:highlight w:val="none"/>
          <w:lang w:val="en-US"/>
        </w:rPr>
      </w:pPr>
      <w:r>
        <w:rPr>
          <w:rFonts w:hint="eastAsia" w:ascii="华文仿宋" w:hAnsi="华文仿宋" w:cs="华文仿宋"/>
          <w:highlight w:val="none"/>
        </w:rPr>
        <w:t>联系方式：</w:t>
      </w:r>
      <w:r>
        <w:rPr>
          <w:rFonts w:ascii="仿宋" w:hAnsi="仿宋" w:eastAsia="仿宋" w:cs="仿宋"/>
          <w:highlight w:val="none"/>
        </w:rPr>
        <w:t>029-88661</w:t>
      </w:r>
      <w:r>
        <w:rPr>
          <w:rFonts w:hint="eastAsia" w:ascii="仿宋" w:hAnsi="仿宋" w:eastAsia="仿宋" w:cs="仿宋"/>
          <w:highlight w:val="none"/>
        </w:rPr>
        <w:t>2</w:t>
      </w:r>
      <w:r>
        <w:rPr>
          <w:rFonts w:hint="eastAsia" w:ascii="仿宋" w:hAnsi="仿宋" w:eastAsia="仿宋" w:cs="仿宋"/>
          <w:highlight w:val="none"/>
          <w:lang w:val="en-US" w:eastAsia="zh-CN"/>
        </w:rPr>
        <w:t>94</w:t>
      </w:r>
    </w:p>
    <w:p>
      <w:pPr>
        <w:spacing w:line="500" w:lineRule="exact"/>
        <w:ind w:firstLine="566" w:firstLineChars="200"/>
        <w:rPr>
          <w:rFonts w:cs="Times New Roman"/>
          <w:highlight w:val="none"/>
        </w:rPr>
      </w:pPr>
      <w:r>
        <w:rPr>
          <w:rFonts w:hint="eastAsia" w:ascii="华文仿宋" w:hAnsi="华文仿宋" w:cs="华文仿宋"/>
          <w:b/>
          <w:bCs/>
          <w:highlight w:val="none"/>
        </w:rPr>
        <w:t>五、招标内容和要求</w:t>
      </w:r>
    </w:p>
    <w:p>
      <w:pPr>
        <w:spacing w:line="500" w:lineRule="exact"/>
        <w:ind w:firstLine="566" w:firstLineChars="200"/>
        <w:rPr>
          <w:rFonts w:hint="eastAsia" w:ascii="华文仿宋" w:hAnsi="华文仿宋" w:cs="华文仿宋"/>
          <w:highlight w:val="none"/>
          <w:u w:val="none"/>
        </w:rPr>
      </w:pPr>
      <w:bookmarkStart w:id="17" w:name="OLE_LINK20"/>
      <w:r>
        <w:rPr>
          <w:rFonts w:hint="eastAsia" w:ascii="华文仿宋" w:hAnsi="华文仿宋" w:cs="华文仿宋"/>
          <w:highlight w:val="none"/>
        </w:rPr>
        <w:t>本</w:t>
      </w:r>
      <w:r>
        <w:rPr>
          <w:rFonts w:hint="eastAsia" w:ascii="华文仿宋" w:hAnsi="华文仿宋" w:cs="华文仿宋"/>
          <w:highlight w:val="none"/>
          <w:u w:val="none"/>
        </w:rPr>
        <w:t>项目为</w:t>
      </w:r>
      <w:r>
        <w:rPr>
          <w:rFonts w:hint="eastAsia" w:ascii="华文仿宋" w:hAnsi="华文仿宋" w:eastAsia="华文仿宋" w:cs="华文仿宋"/>
          <w:szCs w:val="24"/>
          <w:highlight w:val="none"/>
          <w:u w:val="none"/>
        </w:rPr>
        <w:t>西安石油大学家具采购</w:t>
      </w:r>
      <w:r>
        <w:rPr>
          <w:rFonts w:hint="eastAsia" w:ascii="华文仿宋" w:hAnsi="华文仿宋" w:cs="华文仿宋"/>
          <w:szCs w:val="24"/>
          <w:highlight w:val="none"/>
          <w:u w:val="none"/>
          <w:lang w:eastAsia="zh-CN"/>
        </w:rPr>
        <w:t>，拟为</w:t>
      </w:r>
      <w:r>
        <w:rPr>
          <w:rFonts w:hint="eastAsia" w:ascii="华文仿宋" w:hAnsi="华文仿宋" w:eastAsia="华文仿宋" w:cs="华文仿宋"/>
          <w:szCs w:val="24"/>
          <w:highlight w:val="none"/>
          <w:u w:val="none"/>
        </w:rPr>
        <w:t>鄠邑校区图书馆6-8层购置家具</w:t>
      </w:r>
      <w:r>
        <w:rPr>
          <w:rFonts w:hint="eastAsia" w:ascii="华文仿宋" w:hAnsi="华文仿宋" w:eastAsia="华文仿宋" w:cs="华文仿宋"/>
          <w:szCs w:val="24"/>
          <w:highlight w:val="none"/>
          <w:u w:val="none"/>
          <w:lang w:val="en-US" w:eastAsia="zh-CN"/>
        </w:rPr>
        <w:t>，</w:t>
      </w:r>
      <w:r>
        <w:rPr>
          <w:rFonts w:hint="eastAsia" w:ascii="华文仿宋" w:hAnsi="华文仿宋" w:eastAsia="华文仿宋" w:cs="华文仿宋"/>
          <w:szCs w:val="24"/>
          <w:highlight w:val="none"/>
          <w:u w:val="none"/>
        </w:rPr>
        <w:t>包含桌子、椅子、沙发、茶几、书架等家具</w:t>
      </w:r>
      <w:r>
        <w:rPr>
          <w:rFonts w:hint="eastAsia" w:ascii="华文仿宋" w:hAnsi="华文仿宋" w:eastAsia="华文仿宋" w:cs="华文仿宋"/>
          <w:szCs w:val="24"/>
          <w:highlight w:val="none"/>
          <w:u w:val="none"/>
          <w:lang w:eastAsia="zh-CN"/>
        </w:rPr>
        <w:t>，</w:t>
      </w:r>
      <w:r>
        <w:rPr>
          <w:rFonts w:hint="eastAsia" w:ascii="华文仿宋" w:hAnsi="华文仿宋" w:eastAsia="华文仿宋" w:cs="华文仿宋"/>
          <w:szCs w:val="24"/>
          <w:highlight w:val="none"/>
          <w:u w:val="none"/>
          <w:lang w:val="en-US" w:eastAsia="zh-CN"/>
        </w:rPr>
        <w:t>项目共分3个标段</w:t>
      </w:r>
      <w:r>
        <w:rPr>
          <w:rFonts w:hint="eastAsia" w:ascii="华文仿宋" w:hAnsi="华文仿宋" w:cs="华文仿宋"/>
          <w:szCs w:val="24"/>
          <w:highlight w:val="none"/>
          <w:u w:val="none"/>
          <w:lang w:val="en-US" w:eastAsia="zh-CN"/>
        </w:rPr>
        <w:t>。</w:t>
      </w:r>
      <w:r>
        <w:rPr>
          <w:rFonts w:hint="eastAsia" w:ascii="华文仿宋" w:hAnsi="华文仿宋" w:cs="华文仿宋"/>
          <w:highlight w:val="none"/>
          <w:u w:val="none"/>
        </w:rPr>
        <w:t>（详见招标文件第四章〈招标内容及采购要求〉）</w:t>
      </w:r>
      <w:bookmarkEnd w:id="17"/>
    </w:p>
    <w:p>
      <w:pPr>
        <w:spacing w:line="500" w:lineRule="exact"/>
        <w:ind w:firstLine="566" w:firstLineChars="200"/>
        <w:rPr>
          <w:rFonts w:hint="eastAsia" w:ascii="华文仿宋" w:hAnsi="华文仿宋" w:cs="华文仿宋"/>
          <w:b/>
          <w:bCs/>
          <w:highlight w:val="none"/>
        </w:rPr>
      </w:pPr>
      <w:r>
        <w:rPr>
          <w:rFonts w:hint="eastAsia" w:ascii="华文仿宋" w:hAnsi="华文仿宋" w:eastAsia="华文仿宋" w:cs="华文仿宋"/>
          <w:b/>
          <w:bCs/>
          <w:sz w:val="28"/>
          <w:szCs w:val="28"/>
          <w:highlight w:val="none"/>
          <w:u w:val="none"/>
          <w:lang w:eastAsia="zh-CN"/>
        </w:rPr>
        <w:t>本项目可兼投不可兼中。</w:t>
      </w:r>
      <w:r>
        <w:rPr>
          <w:rFonts w:hint="eastAsia" w:ascii="华文仿宋" w:hAnsi="华文仿宋" w:eastAsia="华文仿宋" w:cs="华文仿宋"/>
          <w:sz w:val="28"/>
          <w:szCs w:val="28"/>
          <w:highlight w:val="none"/>
          <w:u w:val="none"/>
          <w:lang w:eastAsia="zh-CN"/>
        </w:rPr>
        <w:t>投标人可同</w:t>
      </w:r>
      <w:r>
        <w:rPr>
          <w:rFonts w:hint="eastAsia" w:eastAsia="华文仿宋"/>
          <w:sz w:val="28"/>
          <w:szCs w:val="28"/>
          <w:highlight w:val="none"/>
          <w:u w:val="none"/>
          <w:lang w:eastAsia="zh-CN"/>
        </w:rPr>
        <w:t>时参与</w:t>
      </w:r>
      <w:r>
        <w:rPr>
          <w:rFonts w:hint="eastAsia"/>
          <w:sz w:val="28"/>
          <w:szCs w:val="28"/>
          <w:highlight w:val="none"/>
          <w:u w:val="none"/>
          <w:lang w:val="en-US" w:eastAsia="zh-CN"/>
        </w:rPr>
        <w:t>三</w:t>
      </w:r>
      <w:r>
        <w:rPr>
          <w:rFonts w:hint="eastAsia" w:eastAsia="华文仿宋"/>
          <w:sz w:val="28"/>
          <w:szCs w:val="28"/>
          <w:highlight w:val="none"/>
          <w:u w:val="none"/>
          <w:lang w:eastAsia="zh-CN"/>
        </w:rPr>
        <w:t>个标段，但同一投标人只能中标一个标段（按照标段顺序确定中标标</w:t>
      </w:r>
      <w:r>
        <w:rPr>
          <w:rFonts w:hint="eastAsia" w:eastAsia="华文仿宋"/>
          <w:sz w:val="28"/>
          <w:szCs w:val="28"/>
          <w:highlight w:val="none"/>
          <w:lang w:eastAsia="zh-CN"/>
        </w:rPr>
        <w:t>段）。若投标人在</w:t>
      </w:r>
      <w:r>
        <w:rPr>
          <w:rFonts w:hint="eastAsia" w:eastAsia="华文仿宋"/>
          <w:sz w:val="28"/>
          <w:szCs w:val="28"/>
          <w:highlight w:val="none"/>
          <w:lang w:val="en-US" w:eastAsia="zh-CN"/>
        </w:rPr>
        <w:t>前</w:t>
      </w:r>
      <w:r>
        <w:rPr>
          <w:rFonts w:hint="eastAsia" w:eastAsia="华文仿宋"/>
          <w:sz w:val="28"/>
          <w:szCs w:val="28"/>
          <w:highlight w:val="none"/>
          <w:lang w:eastAsia="zh-CN"/>
        </w:rPr>
        <w:t>一标段已经确定为中标候选人，则不再参与</w:t>
      </w:r>
      <w:r>
        <w:rPr>
          <w:rFonts w:hint="eastAsia" w:eastAsia="华文仿宋"/>
          <w:sz w:val="28"/>
          <w:szCs w:val="28"/>
          <w:highlight w:val="none"/>
          <w:lang w:val="en-US" w:eastAsia="zh-CN"/>
        </w:rPr>
        <w:t>其他</w:t>
      </w:r>
      <w:r>
        <w:rPr>
          <w:rFonts w:hint="eastAsia" w:eastAsia="华文仿宋"/>
          <w:sz w:val="28"/>
          <w:szCs w:val="28"/>
          <w:highlight w:val="none"/>
          <w:lang w:eastAsia="zh-CN"/>
        </w:rPr>
        <w:t>标段的中标推荐活动。</w:t>
      </w:r>
    </w:p>
    <w:p>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六、资金来源</w:t>
      </w:r>
      <w:r>
        <w:rPr>
          <w:rFonts w:hint="eastAsia" w:ascii="华文仿宋" w:hAnsi="华文仿宋" w:cs="华文仿宋"/>
          <w:highlight w:val="none"/>
        </w:rPr>
        <w:t>：预算内</w:t>
      </w:r>
    </w:p>
    <w:p>
      <w:pPr>
        <w:spacing w:line="500" w:lineRule="exact"/>
        <w:ind w:firstLine="566" w:firstLineChars="200"/>
        <w:rPr>
          <w:rFonts w:hint="eastAsia" w:ascii="华文仿宋" w:hAnsi="华文仿宋" w:cs="华文仿宋"/>
          <w:highlight w:val="none"/>
        </w:rPr>
      </w:pPr>
      <w:r>
        <w:rPr>
          <w:rFonts w:hint="eastAsia" w:ascii="华文仿宋" w:hAnsi="华文仿宋" w:cs="华文仿宋"/>
          <w:b/>
          <w:bCs/>
          <w:highlight w:val="none"/>
        </w:rPr>
        <w:t>七、采购预算：</w:t>
      </w:r>
      <w:bookmarkStart w:id="18" w:name="OLE_LINK8"/>
      <w:r>
        <w:rPr>
          <w:rFonts w:hint="eastAsia" w:ascii="仿宋" w:hAnsi="仿宋" w:eastAsia="仿宋" w:cs="仿宋"/>
          <w:b w:val="0"/>
          <w:bCs w:val="0"/>
          <w:highlight w:val="none"/>
          <w:lang w:val="en-US" w:eastAsia="zh-CN"/>
        </w:rPr>
        <w:t>318.9</w:t>
      </w:r>
      <w:bookmarkEnd w:id="18"/>
      <w:r>
        <w:rPr>
          <w:rFonts w:hint="eastAsia" w:ascii="华文仿宋" w:hAnsi="华文仿宋" w:cs="华文仿宋"/>
          <w:highlight w:val="none"/>
        </w:rPr>
        <w:t>万元</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888"/>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pPr>
              <w:pStyle w:val="5"/>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bCs/>
                <w:kern w:val="2"/>
                <w:sz w:val="24"/>
                <w:szCs w:val="24"/>
                <w:highlight w:val="none"/>
                <w:u w:val="none"/>
                <w:vertAlign w:val="baseline"/>
                <w:lang w:val="en-US" w:eastAsia="zh-CN" w:bidi="ar-SA"/>
              </w:rPr>
            </w:pPr>
            <w:r>
              <w:rPr>
                <w:rFonts w:hint="eastAsia" w:ascii="仿宋" w:hAnsi="仿宋" w:eastAsia="仿宋" w:cs="仿宋"/>
                <w:b/>
                <w:bCs/>
                <w:sz w:val="24"/>
                <w:szCs w:val="24"/>
                <w:highlight w:val="none"/>
                <w:u w:val="none"/>
                <w:vertAlign w:val="baseline"/>
                <w:lang w:val="en-US" w:eastAsia="zh-CN"/>
              </w:rPr>
              <w:t>标段编号</w:t>
            </w:r>
          </w:p>
        </w:tc>
        <w:tc>
          <w:tcPr>
            <w:tcW w:w="4888" w:type="dxa"/>
            <w:vAlign w:val="center"/>
          </w:tcPr>
          <w:p>
            <w:pPr>
              <w:pStyle w:val="5"/>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bCs/>
                <w:kern w:val="2"/>
                <w:sz w:val="24"/>
                <w:szCs w:val="24"/>
                <w:highlight w:val="none"/>
                <w:u w:val="none"/>
                <w:vertAlign w:val="baseline"/>
                <w:lang w:val="en-US" w:eastAsia="zh-CN" w:bidi="ar-SA"/>
              </w:rPr>
            </w:pPr>
            <w:r>
              <w:rPr>
                <w:rFonts w:hint="eastAsia" w:ascii="仿宋" w:hAnsi="仿宋" w:eastAsia="仿宋" w:cs="仿宋"/>
                <w:b/>
                <w:bCs/>
                <w:sz w:val="24"/>
                <w:szCs w:val="24"/>
                <w:highlight w:val="none"/>
                <w:u w:val="none"/>
                <w:vertAlign w:val="baseline"/>
                <w:lang w:val="en-US" w:eastAsia="zh-CN"/>
              </w:rPr>
              <w:t>标段名称</w:t>
            </w:r>
          </w:p>
        </w:tc>
        <w:tc>
          <w:tcPr>
            <w:tcW w:w="1845" w:type="dxa"/>
            <w:vAlign w:val="center"/>
          </w:tcPr>
          <w:p>
            <w:pPr>
              <w:pStyle w:val="5"/>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bCs/>
                <w:kern w:val="2"/>
                <w:sz w:val="24"/>
                <w:szCs w:val="24"/>
                <w:highlight w:val="none"/>
                <w:u w:val="none"/>
                <w:vertAlign w:val="baseline"/>
                <w:lang w:val="en-US" w:eastAsia="zh-CN" w:bidi="ar-SA"/>
              </w:rPr>
            </w:pPr>
            <w:r>
              <w:rPr>
                <w:rFonts w:hint="eastAsia" w:ascii="仿宋" w:hAnsi="仿宋" w:eastAsia="仿宋" w:cs="仿宋"/>
                <w:b/>
                <w:bCs/>
                <w:sz w:val="24"/>
                <w:szCs w:val="24"/>
                <w:highlight w:val="none"/>
                <w:u w:val="none"/>
                <w:vertAlign w:val="baseli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widowControl w:val="0"/>
              <w:spacing w:line="500" w:lineRule="exact"/>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第一标段</w:t>
            </w:r>
          </w:p>
        </w:tc>
        <w:tc>
          <w:tcPr>
            <w:tcW w:w="4888" w:type="dxa"/>
          </w:tcPr>
          <w:p>
            <w:pPr>
              <w:widowControl w:val="0"/>
              <w:spacing w:line="500" w:lineRule="exact"/>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rPr>
              <w:t>西安石油大学图书馆家具采购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桌椅</w:t>
            </w:r>
            <w:r>
              <w:rPr>
                <w:rFonts w:hint="eastAsia" w:ascii="仿宋" w:hAnsi="仿宋" w:eastAsia="仿宋" w:cs="仿宋"/>
                <w:sz w:val="24"/>
                <w:szCs w:val="24"/>
                <w:highlight w:val="none"/>
                <w:lang w:eastAsia="zh-CN"/>
              </w:rPr>
              <w:t>）</w:t>
            </w:r>
          </w:p>
        </w:tc>
        <w:tc>
          <w:tcPr>
            <w:tcW w:w="1845" w:type="dxa"/>
            <w:vAlign w:val="center"/>
          </w:tcPr>
          <w:p>
            <w:pPr>
              <w:widowControl w:val="0"/>
              <w:spacing w:line="500" w:lineRule="exact"/>
              <w:jc w:val="center"/>
              <w:rPr>
                <w:rFonts w:hint="eastAsia" w:ascii="仿宋" w:hAnsi="仿宋" w:eastAsia="仿宋" w:cs="仿宋"/>
                <w:sz w:val="24"/>
                <w:szCs w:val="24"/>
                <w:highlight w:val="none"/>
                <w:vertAlign w:val="baseline"/>
                <w:lang w:val="en-US" w:eastAsia="zh-CN"/>
              </w:rPr>
            </w:pPr>
            <w:bookmarkStart w:id="19" w:name="OLE_LINK13"/>
            <w:r>
              <w:rPr>
                <w:rFonts w:hint="eastAsia" w:ascii="仿宋" w:hAnsi="仿宋" w:eastAsia="仿宋" w:cs="仿宋"/>
                <w:sz w:val="24"/>
                <w:szCs w:val="24"/>
                <w:highlight w:val="none"/>
                <w:vertAlign w:val="baseline"/>
                <w:lang w:val="en-US" w:eastAsia="zh-CN"/>
              </w:rPr>
              <w:t>157.76</w:t>
            </w:r>
            <w:bookmarkEnd w:id="19"/>
            <w:r>
              <w:rPr>
                <w:rFonts w:hint="eastAsia" w:ascii="仿宋" w:hAnsi="仿宋" w:eastAsia="仿宋" w:cs="仿宋"/>
                <w:sz w:val="24"/>
                <w:szCs w:val="24"/>
                <w:highlight w:val="none"/>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widowControl w:val="0"/>
              <w:spacing w:line="500" w:lineRule="exact"/>
              <w:jc w:val="center"/>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第二标段</w:t>
            </w:r>
          </w:p>
        </w:tc>
        <w:tc>
          <w:tcPr>
            <w:tcW w:w="4888" w:type="dxa"/>
          </w:tcPr>
          <w:p>
            <w:pPr>
              <w:widowControl w:val="0"/>
              <w:spacing w:line="500" w:lineRule="exact"/>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rPr>
              <w:t>西安石油大学图书馆家具采购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沙发</w:t>
            </w:r>
            <w:r>
              <w:rPr>
                <w:rFonts w:hint="eastAsia" w:ascii="仿宋" w:hAnsi="仿宋" w:eastAsia="仿宋" w:cs="仿宋"/>
                <w:sz w:val="24"/>
                <w:szCs w:val="24"/>
                <w:highlight w:val="none"/>
                <w:lang w:eastAsia="zh-CN"/>
              </w:rPr>
              <w:t>）</w:t>
            </w:r>
          </w:p>
        </w:tc>
        <w:tc>
          <w:tcPr>
            <w:tcW w:w="1845" w:type="dxa"/>
            <w:vAlign w:val="center"/>
          </w:tcPr>
          <w:p>
            <w:pPr>
              <w:widowControl w:val="0"/>
              <w:spacing w:line="500" w:lineRule="exact"/>
              <w:jc w:val="center"/>
              <w:rPr>
                <w:rFonts w:hint="eastAsia" w:ascii="仿宋" w:hAnsi="仿宋" w:eastAsia="仿宋" w:cs="仿宋"/>
                <w:sz w:val="24"/>
                <w:szCs w:val="24"/>
                <w:highlight w:val="none"/>
                <w:vertAlign w:val="baseline"/>
                <w:lang w:val="en-US" w:eastAsia="zh-CN"/>
              </w:rPr>
            </w:pPr>
            <w:bookmarkStart w:id="20" w:name="OLE_LINK14"/>
            <w:r>
              <w:rPr>
                <w:rFonts w:hint="eastAsia" w:ascii="仿宋" w:hAnsi="仿宋" w:eastAsia="仿宋" w:cs="仿宋"/>
                <w:sz w:val="24"/>
                <w:szCs w:val="24"/>
                <w:highlight w:val="none"/>
                <w:vertAlign w:val="baseline"/>
                <w:lang w:val="en-US" w:eastAsia="zh-CN"/>
              </w:rPr>
              <w:t>94.86</w:t>
            </w:r>
            <w:bookmarkEnd w:id="20"/>
            <w:r>
              <w:rPr>
                <w:rFonts w:hint="eastAsia" w:ascii="仿宋" w:hAnsi="仿宋" w:eastAsia="仿宋" w:cs="仿宋"/>
                <w:sz w:val="24"/>
                <w:szCs w:val="24"/>
                <w:highlight w:val="none"/>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widowControl w:val="0"/>
              <w:spacing w:line="500" w:lineRule="exact"/>
              <w:jc w:val="center"/>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第三标段</w:t>
            </w:r>
          </w:p>
        </w:tc>
        <w:tc>
          <w:tcPr>
            <w:tcW w:w="4888" w:type="dxa"/>
          </w:tcPr>
          <w:p>
            <w:pPr>
              <w:widowControl w:val="0"/>
              <w:spacing w:line="500" w:lineRule="exact"/>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rPr>
              <w:t>西安石油大学图书馆家具采购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书架</w:t>
            </w:r>
            <w:r>
              <w:rPr>
                <w:rFonts w:hint="eastAsia" w:ascii="仿宋" w:hAnsi="仿宋" w:eastAsia="仿宋" w:cs="仿宋"/>
                <w:sz w:val="24"/>
                <w:szCs w:val="24"/>
                <w:highlight w:val="none"/>
                <w:lang w:eastAsia="zh-CN"/>
              </w:rPr>
              <w:t>）</w:t>
            </w:r>
          </w:p>
        </w:tc>
        <w:tc>
          <w:tcPr>
            <w:tcW w:w="1845" w:type="dxa"/>
            <w:vAlign w:val="center"/>
          </w:tcPr>
          <w:p>
            <w:pPr>
              <w:widowControl w:val="0"/>
              <w:spacing w:line="500" w:lineRule="exact"/>
              <w:jc w:val="center"/>
              <w:rPr>
                <w:rFonts w:hint="eastAsia" w:ascii="仿宋" w:hAnsi="仿宋" w:eastAsia="仿宋" w:cs="仿宋"/>
                <w:sz w:val="24"/>
                <w:szCs w:val="24"/>
                <w:highlight w:val="none"/>
                <w:vertAlign w:val="baseline"/>
                <w:lang w:val="en-US" w:eastAsia="zh-CN"/>
              </w:rPr>
            </w:pPr>
            <w:bookmarkStart w:id="21" w:name="OLE_LINK21"/>
            <w:r>
              <w:rPr>
                <w:rFonts w:hint="eastAsia" w:ascii="仿宋" w:hAnsi="仿宋" w:eastAsia="仿宋" w:cs="仿宋"/>
                <w:sz w:val="24"/>
                <w:szCs w:val="24"/>
                <w:highlight w:val="none"/>
                <w:vertAlign w:val="baseline"/>
                <w:lang w:val="en-US" w:eastAsia="zh-CN"/>
              </w:rPr>
              <w:t>66.28</w:t>
            </w:r>
            <w:bookmarkEnd w:id="21"/>
            <w:r>
              <w:rPr>
                <w:rFonts w:hint="eastAsia" w:ascii="仿宋" w:hAnsi="仿宋" w:eastAsia="仿宋" w:cs="仿宋"/>
                <w:sz w:val="24"/>
                <w:szCs w:val="24"/>
                <w:highlight w:val="none"/>
                <w:vertAlign w:val="baseline"/>
                <w:lang w:val="en-US" w:eastAsia="zh-CN"/>
              </w:rPr>
              <w:t>万元</w:t>
            </w:r>
          </w:p>
        </w:tc>
      </w:tr>
    </w:tbl>
    <w:p>
      <w:pPr>
        <w:spacing w:line="500" w:lineRule="exact"/>
        <w:ind w:firstLine="566" w:firstLineChars="200"/>
        <w:rPr>
          <w:rFonts w:ascii="华文仿宋" w:hAnsi="华文仿宋" w:cs="华文仿宋"/>
          <w:highlight w:val="none"/>
        </w:rPr>
      </w:pPr>
      <w:r>
        <w:rPr>
          <w:rFonts w:hint="eastAsia" w:ascii="华文仿宋" w:hAnsi="华文仿宋" w:cs="华文仿宋"/>
          <w:b/>
          <w:bCs/>
          <w:highlight w:val="none"/>
        </w:rPr>
        <w:t>八、所属行业：</w:t>
      </w:r>
      <w:r>
        <w:rPr>
          <w:rFonts w:hint="eastAsia" w:ascii="华文仿宋" w:hAnsi="华文仿宋" w:cs="华文仿宋"/>
          <w:highlight w:val="none"/>
        </w:rPr>
        <w:t>工业</w:t>
      </w:r>
    </w:p>
    <w:p>
      <w:pPr>
        <w:spacing w:line="500" w:lineRule="exact"/>
        <w:ind w:firstLine="566" w:firstLineChars="200"/>
        <w:rPr>
          <w:b/>
          <w:bCs/>
          <w:highlight w:val="none"/>
        </w:rPr>
      </w:pPr>
      <w:r>
        <w:rPr>
          <w:rFonts w:hint="eastAsia" w:ascii="华文仿宋" w:hAnsi="华文仿宋" w:cs="华文仿宋"/>
          <w:b/>
          <w:bCs/>
          <w:highlight w:val="none"/>
        </w:rPr>
        <w:t>九、</w:t>
      </w:r>
      <w:r>
        <w:rPr>
          <w:rFonts w:hint="eastAsia"/>
          <w:b/>
          <w:bCs/>
          <w:highlight w:val="none"/>
        </w:rPr>
        <w:t>项目属性：</w:t>
      </w:r>
      <w:r>
        <w:rPr>
          <w:rFonts w:hint="eastAsia"/>
          <w:highlight w:val="none"/>
        </w:rPr>
        <w:t>货物类</w:t>
      </w:r>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十、投标人资格要求</w:t>
      </w:r>
    </w:p>
    <w:p>
      <w:pPr>
        <w:spacing w:line="500" w:lineRule="exact"/>
        <w:ind w:firstLine="566" w:firstLineChars="200"/>
        <w:rPr>
          <w:rFonts w:ascii="华文仿宋" w:cs="Times New Roman"/>
          <w:kern w:val="0"/>
          <w:highlight w:val="none"/>
          <w:lang w:val="zh-CN"/>
        </w:rPr>
      </w:pPr>
      <w:r>
        <w:rPr>
          <w:rFonts w:hint="eastAsia" w:ascii="华文仿宋" w:hAnsi="华文仿宋" w:cs="华文仿宋"/>
          <w:highlight w:val="none"/>
        </w:rPr>
        <w:t>符合《中华人民共和国政府采购法》第二十二条的规定，</w:t>
      </w:r>
      <w:r>
        <w:rPr>
          <w:rFonts w:hint="eastAsia" w:ascii="华文仿宋" w:hAnsi="华文仿宋" w:cs="华文仿宋"/>
          <w:kern w:val="0"/>
          <w:highlight w:val="none"/>
          <w:lang w:val="zh-CN"/>
        </w:rPr>
        <w:t>并提供下列材料：</w:t>
      </w:r>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、营业执照等主体资格证明文件：提供有效存续的企业营业执照（副本）</w:t>
      </w:r>
      <w:r>
        <w:rPr>
          <w:rFonts w:ascii="华文仿宋" w:hAnsi="华文仿宋" w:cs="华文仿宋"/>
          <w:highlight w:val="none"/>
        </w:rPr>
        <w:t>/</w:t>
      </w:r>
      <w:r>
        <w:rPr>
          <w:rFonts w:hint="eastAsia" w:ascii="华文仿宋" w:hAnsi="华文仿宋" w:cs="华文仿宋"/>
          <w:highlight w:val="none"/>
        </w:rPr>
        <w:t>事业单位法人证书</w:t>
      </w:r>
      <w:r>
        <w:rPr>
          <w:rFonts w:ascii="华文仿宋" w:hAnsi="华文仿宋" w:cs="华文仿宋"/>
          <w:highlight w:val="none"/>
        </w:rPr>
        <w:t>/</w:t>
      </w:r>
      <w:r>
        <w:rPr>
          <w:rFonts w:hint="eastAsia" w:ascii="华文仿宋" w:hAnsi="华文仿宋" w:cs="华文仿宋"/>
          <w:highlight w:val="none"/>
        </w:rPr>
        <w:t>专业服务机构执业许可证</w:t>
      </w:r>
      <w:r>
        <w:rPr>
          <w:rFonts w:ascii="华文仿宋" w:hAnsi="华文仿宋" w:cs="华文仿宋"/>
          <w:highlight w:val="none"/>
        </w:rPr>
        <w:t>/</w:t>
      </w:r>
      <w:r>
        <w:rPr>
          <w:rFonts w:hint="eastAsia" w:ascii="华文仿宋" w:hAnsi="华文仿宋" w:cs="华文仿宋"/>
          <w:highlight w:val="none"/>
        </w:rPr>
        <w:t>民办非企业单位登记证书。</w:t>
      </w:r>
    </w:p>
    <w:p>
      <w:pPr>
        <w:widowControl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仿宋" w:hAnsi="仿宋" w:eastAsia="仿宋" w:cs="仿宋"/>
          <w:highlight w:val="none"/>
        </w:rPr>
        <w:t>财务状况报告</w:t>
      </w:r>
      <w:bookmarkStart w:id="22" w:name="OLE_LINK4"/>
      <w:r>
        <w:rPr>
          <w:rFonts w:hint="eastAsia" w:ascii="华文仿宋" w:hAnsi="华文仿宋" w:cs="华文仿宋"/>
          <w:highlight w:val="none"/>
        </w:rPr>
        <w:t>（以下</w:t>
      </w:r>
      <w:r>
        <w:rPr>
          <w:rFonts w:hint="eastAsia" w:ascii="华文仿宋" w:hAnsi="华文仿宋" w:cs="华文仿宋"/>
          <w:highlight w:val="none"/>
          <w:lang w:val="en-US" w:eastAsia="zh-CN"/>
        </w:rPr>
        <w:t>两</w:t>
      </w:r>
      <w:r>
        <w:rPr>
          <w:rFonts w:hint="eastAsia" w:ascii="华文仿宋" w:hAnsi="华文仿宋" w:cs="华文仿宋"/>
          <w:highlight w:val="none"/>
        </w:rPr>
        <w:t>种资料提供任意一种即可）：</w:t>
      </w:r>
    </w:p>
    <w:p>
      <w:pPr>
        <w:widowControl w:val="0"/>
        <w:spacing w:line="500" w:lineRule="exact"/>
        <w:ind w:firstLine="566" w:firstLineChars="200"/>
        <w:rPr>
          <w:rFonts w:hint="eastAsia" w:ascii="华文仿宋" w:hAnsi="华文仿宋" w:cs="华文仿宋"/>
          <w:highlight w:val="none"/>
        </w:rPr>
      </w:pPr>
      <w:r>
        <w:rPr>
          <w:rFonts w:hint="eastAsia" w:ascii="华文仿宋" w:hAnsi="华文仿宋" w:cs="华文仿宋"/>
          <w:color w:val="auto"/>
          <w:highlight w:val="none"/>
        </w:rPr>
        <w:t>（1）提供递交投标文件截止之日前两年内任意一个年度经审计的财务报告（包括“四表一注”，即资产负债表、利润表、现金流量表、所有者权益变动表及其附注，符合《</w:t>
      </w:r>
      <w:r>
        <w:rPr>
          <w:rFonts w:hint="eastAsia" w:ascii="华文仿宋" w:hAnsi="华文仿宋" w:cs="华文仿宋"/>
          <w:color w:val="auto"/>
          <w:highlight w:val="none"/>
        </w:rPr>
        <w:fldChar w:fldCharType="begin"/>
      </w:r>
      <w:r>
        <w:rPr>
          <w:rFonts w:hint="eastAsia" w:ascii="华文仿宋" w:hAnsi="华文仿宋" w:cs="华文仿宋"/>
          <w:color w:val="auto"/>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华文仿宋" w:hAnsi="华文仿宋" w:cs="华文仿宋"/>
          <w:color w:val="auto"/>
          <w:highlight w:val="none"/>
        </w:rPr>
        <w:fldChar w:fldCharType="separate"/>
      </w:r>
      <w:r>
        <w:rPr>
          <w:rFonts w:hint="eastAsia" w:ascii="华文仿宋" w:hAnsi="华文仿宋" w:cs="华文仿宋"/>
          <w:color w:val="auto"/>
          <w:highlight w:val="none"/>
        </w:rPr>
        <w:t>中小企业划型标准规定</w:t>
      </w:r>
      <w:r>
        <w:rPr>
          <w:rFonts w:hint="eastAsia" w:ascii="华文仿宋" w:hAnsi="华文仿宋" w:cs="华文仿宋"/>
          <w:color w:val="auto"/>
          <w:highlight w:val="none"/>
        </w:rPr>
        <w:fldChar w:fldCharType="end"/>
      </w:r>
      <w:r>
        <w:rPr>
          <w:rFonts w:hint="eastAsia" w:ascii="华文仿宋" w:hAnsi="华文仿宋" w:cs="华文仿宋"/>
          <w:color w:val="auto"/>
          <w:highlight w:val="none"/>
        </w:rPr>
        <w:t>》的小型企业按照《小企业会计准则》执行。成立时间至提交投标文件截止时间不足一年的可提供成立后任意时段的资产负债表）</w:t>
      </w:r>
      <w:r>
        <w:rPr>
          <w:rFonts w:hint="eastAsia" w:ascii="华文仿宋" w:hAnsi="华文仿宋" w:cs="华文仿宋"/>
          <w:highlight w:val="none"/>
          <w:lang w:eastAsia="zh-CN"/>
        </w:rPr>
        <w:t>，审计报告须具有注册会计师行业统一监管平台赋予的验证码；</w:t>
      </w:r>
    </w:p>
    <w:p>
      <w:pPr>
        <w:widowControl w:val="0"/>
        <w:spacing w:line="500" w:lineRule="exact"/>
        <w:ind w:firstLine="566" w:firstLineChars="200"/>
        <w:rPr>
          <w:rFonts w:hint="eastAsia" w:ascii="华文仿宋" w:hAnsi="华文仿宋" w:cs="华文仿宋"/>
          <w:color w:val="auto"/>
          <w:highlight w:val="none"/>
        </w:rPr>
      </w:pPr>
      <w:r>
        <w:rPr>
          <w:rFonts w:hint="eastAsia" w:ascii="华文仿宋" w:hAnsi="华文仿宋" w:cs="华文仿宋"/>
          <w:color w:val="auto"/>
          <w:highlight w:val="none"/>
        </w:rPr>
        <w:t>（2）其开标前三个月内基本开户银行出具的资信证明；</w:t>
      </w:r>
    </w:p>
    <w:bookmarkEnd w:id="22"/>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3、社保缴纳证明：提供递交投标文件截止之日前一年内任意一个月的社会保障资金缴存单据或社保机构开具的社会保险参保缴费情况证明。依法不需要缴纳社会保障资金的投标人应提供相关文件证明。</w:t>
      </w:r>
    </w:p>
    <w:p>
      <w:pPr>
        <w:spacing w:line="500" w:lineRule="exact"/>
        <w:ind w:firstLine="566" w:firstLineChars="200"/>
        <w:rPr>
          <w:rFonts w:ascii="华文仿宋" w:hAnsi="华文仿宋" w:cs="华文仿宋"/>
          <w:color w:val="000000"/>
          <w:highlight w:val="none"/>
        </w:rPr>
      </w:pPr>
      <w:r>
        <w:rPr>
          <w:rFonts w:hint="eastAsia" w:ascii="华文仿宋" w:hAnsi="华文仿宋" w:cs="华文仿宋"/>
          <w:highlight w:val="none"/>
        </w:rPr>
        <w:t>4、税收缴纳证明：</w:t>
      </w:r>
      <w:bookmarkStart w:id="23" w:name="OLE_LINK5"/>
      <w:r>
        <w:rPr>
          <w:rFonts w:hint="eastAsia" w:ascii="华文仿宋" w:hAnsi="华文仿宋" w:cs="华文仿宋"/>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bookmarkEnd w:id="23"/>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5、信用记录：提供《</w:t>
      </w:r>
      <w:r>
        <w:rPr>
          <w:rFonts w:hint="eastAsia" w:ascii="华文仿宋" w:hAnsi="华文仿宋" w:cs="华文仿宋"/>
          <w:highlight w:val="none"/>
          <w:lang w:val="en-US" w:eastAsia="zh-CN"/>
        </w:rPr>
        <w:t>投标人</w:t>
      </w:r>
      <w:r>
        <w:rPr>
          <w:rFonts w:hint="eastAsia" w:ascii="华文仿宋" w:hAnsi="华文仿宋" w:cs="华文仿宋"/>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6、控股管理关系：提供直接控股和管理关系清单。若与其他投标人存在单位负责人为同一人或者存在直接控股、管理关系的，则投标无效。</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7、书面声明：提供书面声明，包括声明具有履行合同所必需的设备和专业技术能力；未为本项目提供整体设计、规范编制或者项目管理、监理、检测等服务。</w:t>
      </w:r>
    </w:p>
    <w:p>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8、法定代表人授权委托书：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法人的分支机构参与投标时，除提供《法定代表人授权委托书》外，还须同时提供法人给分支机构出具的授权书。</w:t>
      </w:r>
    </w:p>
    <w:p>
      <w:pPr>
        <w:widowControl w:val="0"/>
        <w:spacing w:line="500" w:lineRule="exact"/>
        <w:ind w:firstLine="566" w:firstLineChars="200"/>
        <w:rPr>
          <w:rFonts w:cs="华文仿宋"/>
          <w:b/>
          <w:bCs/>
          <w:highlight w:val="none"/>
        </w:rPr>
      </w:pPr>
      <w:bookmarkStart w:id="24" w:name="OLE_LINK38"/>
      <w:r>
        <w:rPr>
          <w:rFonts w:hint="eastAsia" w:ascii="仿宋" w:hAnsi="仿宋" w:eastAsia="仿宋" w:cs="仿宋"/>
          <w:b/>
          <w:bCs/>
          <w:highlight w:val="none"/>
        </w:rPr>
        <w:t>9、落实政府采购政策须满足的资格要求：</w:t>
      </w:r>
    </w:p>
    <w:p>
      <w:pPr>
        <w:widowControl w:val="0"/>
        <w:spacing w:line="500" w:lineRule="exact"/>
        <w:ind w:firstLine="566" w:firstLineChars="200"/>
        <w:rPr>
          <w:rFonts w:ascii="华文仿宋" w:hAnsi="华文仿宋" w:cs="华文仿宋"/>
          <w:b/>
          <w:bCs/>
          <w:highlight w:val="none"/>
        </w:rPr>
      </w:pPr>
      <w:r>
        <w:rPr>
          <w:rFonts w:hint="eastAsia" w:ascii="仿宋" w:hAnsi="仿宋" w:eastAsia="仿宋" w:cs="仿宋"/>
          <w:b/>
          <w:bCs/>
          <w:highlight w:val="none"/>
        </w:rPr>
        <w:t>本项目为专门面向中小企业项目，投标人所投产品的制造商应为</w:t>
      </w:r>
      <w:r>
        <w:rPr>
          <w:rFonts w:hint="eastAsia"/>
          <w:b/>
          <w:bCs/>
          <w:highlight w:val="none"/>
        </w:rPr>
        <w:t>中型企业、</w:t>
      </w:r>
      <w:r>
        <w:rPr>
          <w:rFonts w:hint="eastAsia" w:ascii="仿宋" w:hAnsi="仿宋" w:eastAsia="仿宋" w:cs="仿宋"/>
          <w:b/>
          <w:bCs/>
          <w:highlight w:val="none"/>
        </w:rPr>
        <w:t>小型企业、微型企业或监狱企业或残疾人福利性单位。</w:t>
      </w:r>
      <w:r>
        <w:rPr>
          <w:rFonts w:hint="eastAsia" w:ascii="仿宋" w:hAnsi="仿宋" w:eastAsia="仿宋" w:cs="仿宋"/>
          <w:highlight w:val="none"/>
        </w:rPr>
        <w:t>投标人所投产品的制造商为中小企业的，提供《中小企业声明函》，且中小企业的划分标准所属行业为</w:t>
      </w:r>
      <w:r>
        <w:rPr>
          <w:rFonts w:hint="eastAsia" w:ascii="仿宋" w:hAnsi="仿宋" w:eastAsia="仿宋" w:cs="仿宋"/>
          <w:b/>
          <w:bCs/>
          <w:highlight w:val="none"/>
        </w:rPr>
        <w:t>工业</w:t>
      </w:r>
      <w:r>
        <w:rPr>
          <w:rFonts w:hint="eastAsia" w:ascii="仿宋" w:hAnsi="仿宋" w:eastAsia="仿宋" w:cs="仿宋"/>
          <w:highlight w:val="none"/>
        </w:rPr>
        <w:t>；投标人所投产品的制造商为监狱企业的，应提供监狱企业的证明文件；投标人所投产品的制造商为残疾人福利性单位的，应提供《残疾人福利性单位声明函》（监狱企业或残疾人福利性单位视同小型、微型企业）。</w:t>
      </w:r>
    </w:p>
    <w:p>
      <w:pPr>
        <w:spacing w:line="500" w:lineRule="exact"/>
        <w:ind w:firstLine="566" w:firstLineChars="200"/>
        <w:rPr>
          <w:rFonts w:ascii="宋体" w:hAnsi="宋体" w:eastAsia="宋体" w:cs="宋体"/>
          <w:highlight w:val="none"/>
        </w:rPr>
      </w:pPr>
      <w:r>
        <w:rPr>
          <w:rFonts w:hint="eastAsia" w:ascii="华文仿宋" w:hAnsi="华文仿宋" w:cs="华文仿宋"/>
          <w:b/>
          <w:bCs/>
          <w:highlight w:val="none"/>
        </w:rPr>
        <w:t>10、本项目</w:t>
      </w:r>
      <w:r>
        <w:rPr>
          <w:rFonts w:hint="eastAsia" w:ascii="华文仿宋" w:hAnsi="华文仿宋" w:cs="华文仿宋"/>
          <w:b/>
          <w:bCs/>
          <w:kern w:val="0"/>
          <w:highlight w:val="none"/>
        </w:rPr>
        <w:t>不接受</w:t>
      </w:r>
      <w:r>
        <w:rPr>
          <w:rFonts w:hint="eastAsia" w:ascii="华文仿宋" w:hAnsi="华文仿宋" w:cs="华文仿宋"/>
          <w:b/>
          <w:bCs/>
          <w:highlight w:val="none"/>
        </w:rPr>
        <w:t>联合体投标，不允许分包。</w:t>
      </w:r>
      <w:r>
        <w:rPr>
          <w:rFonts w:hint="eastAsia" w:ascii="华文仿宋" w:hAnsi="华文仿宋" w:cs="华文仿宋"/>
          <w:highlight w:val="none"/>
        </w:rPr>
        <w:t>投标人应提供《非联合体不分包投标声明》，视为独立投标，不分包。</w:t>
      </w:r>
    </w:p>
    <w:bookmarkEnd w:id="24"/>
    <w:p>
      <w:pPr>
        <w:spacing w:line="240" w:lineRule="auto"/>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1、以上资格要求均为必备资格，需提供相关证明文件并加盖投标人公章（如相关证明材料由第三方出具，应有第三方公章），缺少其中任何一项，其投标文件视为无效文件。</w:t>
      </w:r>
    </w:p>
    <w:p>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信用记录书面声明函》《控股管理关系》《法定代表人授权委托书》《书面声明》《残疾人福利性单位声明函》《非联合体不分包投标声明》应按招标文件第六章第一部分给定的格式填写。</w:t>
      </w:r>
    </w:p>
    <w:p>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法人的分支机构参与投标时，投标文件中应附法人给分支机构出具的授权书。授权书附在《法定代表人授权委托书》后，如无授权，将被视为无效文件。法人只能授权一家分支机构参与投标，且不能与分支机构同时参与投标。</w:t>
      </w:r>
    </w:p>
    <w:p>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4、事业单位法人参与投标可不提供财务状况报告和社会保障资金缴纳证明及税收缴纳证明。</w:t>
      </w:r>
    </w:p>
    <w:p>
      <w:pPr>
        <w:ind w:firstLine="566"/>
        <w:rPr>
          <w:highlight w:val="none"/>
        </w:rPr>
      </w:pPr>
      <w:r>
        <w:rPr>
          <w:rFonts w:hint="eastAsia" w:ascii="华文仿宋" w:hAnsi="华文仿宋" w:cs="华文仿宋"/>
          <w:b/>
          <w:bCs/>
          <w:highlight w:val="none"/>
        </w:rPr>
        <w:t>十一</w:t>
      </w:r>
      <w:r>
        <w:rPr>
          <w:rFonts w:hint="eastAsia" w:cs="华文仿宋"/>
          <w:b/>
          <w:bCs/>
          <w:highlight w:val="none"/>
        </w:rPr>
        <w:t>、执行</w:t>
      </w:r>
      <w:r>
        <w:rPr>
          <w:rFonts w:hint="eastAsia" w:cs="华文仿宋"/>
          <w:b/>
          <w:bCs/>
          <w:color w:val="000000"/>
          <w:highlight w:val="none"/>
        </w:rPr>
        <w:t>其他政府采购政策</w:t>
      </w:r>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、《政府采购促进中小企业发展管理办法》（财库</w:t>
      </w:r>
      <w:r>
        <w:rPr>
          <w:rFonts w:hint="eastAsia" w:ascii="仿宋" w:hAnsi="仿宋" w:eastAsia="仿宋" w:cs="仿宋"/>
          <w:highlight w:val="none"/>
        </w:rPr>
        <w:t>〔</w:t>
      </w:r>
      <w:r>
        <w:rPr>
          <w:rFonts w:ascii="仿宋" w:hAnsi="仿宋" w:eastAsia="仿宋" w:cs="仿宋"/>
          <w:highlight w:val="none"/>
        </w:rPr>
        <w:t>20</w:t>
      </w:r>
      <w:r>
        <w:rPr>
          <w:rFonts w:hint="eastAsia" w:ascii="仿宋" w:hAnsi="仿宋" w:eastAsia="仿宋" w:cs="仿宋"/>
          <w:highlight w:val="none"/>
        </w:rPr>
        <w:t>20〕46</w:t>
      </w:r>
      <w:r>
        <w:rPr>
          <w:rFonts w:hint="eastAsia" w:ascii="华文仿宋" w:hAnsi="华文仿宋" w:cs="华文仿宋"/>
          <w:highlight w:val="none"/>
        </w:rPr>
        <w:t>号）、《关于政府采购支持监狱企业发展有关问题的通知》（财库</w:t>
      </w:r>
      <w:r>
        <w:rPr>
          <w:rFonts w:hint="eastAsia" w:ascii="仿宋" w:hAnsi="仿宋" w:eastAsia="仿宋" w:cs="仿宋"/>
          <w:highlight w:val="none"/>
        </w:rPr>
        <w:t>〔</w:t>
      </w:r>
      <w:r>
        <w:rPr>
          <w:rFonts w:ascii="仿宋" w:hAnsi="仿宋" w:eastAsia="仿宋" w:cs="仿宋"/>
          <w:highlight w:val="none"/>
        </w:rPr>
        <w:t>2014</w:t>
      </w:r>
      <w:r>
        <w:rPr>
          <w:rFonts w:hint="eastAsia" w:ascii="仿宋" w:hAnsi="仿宋" w:eastAsia="仿宋" w:cs="仿宋"/>
          <w:highlight w:val="none"/>
        </w:rPr>
        <w:t>〕</w:t>
      </w:r>
      <w:r>
        <w:rPr>
          <w:rFonts w:ascii="仿宋" w:hAnsi="仿宋" w:eastAsia="仿宋" w:cs="仿宋"/>
          <w:highlight w:val="none"/>
        </w:rPr>
        <w:t>68</w:t>
      </w:r>
      <w:r>
        <w:rPr>
          <w:rFonts w:hint="eastAsia" w:ascii="华文仿宋" w:hAnsi="华文仿宋" w:cs="华文仿宋"/>
          <w:highlight w:val="none"/>
        </w:rPr>
        <w:t>号）以及《关于促进残疾人就业政府采购政策的通知》（财库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w:t>
      </w:r>
    </w:p>
    <w:p>
      <w:pPr>
        <w:spacing w:line="500" w:lineRule="exact"/>
        <w:ind w:firstLine="566" w:firstLineChars="200"/>
        <w:rPr>
          <w:rFonts w:ascii="华文仿宋" w:hAnsi="华文仿宋" w:cs="华文仿宋"/>
          <w:highlight w:val="none"/>
        </w:rPr>
      </w:pPr>
      <w:r>
        <w:rPr>
          <w:rFonts w:ascii="华文仿宋" w:hAnsi="华文仿宋" w:cs="华文仿宋"/>
          <w:highlight w:val="none"/>
        </w:rPr>
        <w:t>3</w:t>
      </w:r>
      <w:r>
        <w:rPr>
          <w:rFonts w:hint="eastAsia" w:ascii="华文仿宋" w:hAnsi="华文仿宋" w:cs="华文仿宋"/>
          <w:highlight w:val="none"/>
        </w:rPr>
        <w:t>、国务院办公厅《关于建立政府强制采购节能产品制度的通知》（国办发</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51</w:t>
      </w:r>
      <w:r>
        <w:rPr>
          <w:rFonts w:hint="eastAsia" w:ascii="华文仿宋" w:hAnsi="华文仿宋" w:cs="华文仿宋"/>
          <w:highlight w:val="none"/>
        </w:rPr>
        <w:t>号）。财政部、国家发改委、生态环境部、市场监管总局联合印发《关于调整优化节能产品、环境标志产品政府采购执行机制的通知》（财库</w:t>
      </w:r>
      <w:r>
        <w:rPr>
          <w:rFonts w:hint="eastAsia" w:ascii="仿宋" w:hAnsi="仿宋" w:eastAsia="仿宋" w:cs="仿宋"/>
          <w:highlight w:val="none"/>
        </w:rPr>
        <w:t>〔2019〕9</w:t>
      </w:r>
      <w:r>
        <w:rPr>
          <w:rFonts w:hint="eastAsia" w:ascii="华文仿宋" w:hAnsi="华文仿宋" w:cs="华文仿宋"/>
          <w:highlight w:val="none"/>
        </w:rPr>
        <w:t>号）。</w:t>
      </w:r>
    </w:p>
    <w:p>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4</w:t>
      </w:r>
      <w:r>
        <w:rPr>
          <w:rFonts w:hint="eastAsia" w:ascii="华文仿宋" w:hAnsi="华文仿宋" w:cs="华文仿宋"/>
          <w:color w:val="000000"/>
          <w:highlight w:val="none"/>
        </w:rPr>
        <w:t>、《财政部 农业农村部 国家乡村振兴局关于运用政府采购政策支持乡村产业振兴的通知》（财库〔</w:t>
      </w:r>
      <w:r>
        <w:rPr>
          <w:rFonts w:hint="eastAsia" w:ascii="仿宋" w:hAnsi="仿宋" w:eastAsia="仿宋" w:cs="仿宋"/>
          <w:highlight w:val="none"/>
        </w:rPr>
        <w:t>2021〕19</w:t>
      </w:r>
      <w:r>
        <w:rPr>
          <w:rFonts w:hint="eastAsia" w:ascii="华文仿宋" w:hAnsi="华文仿宋" w:cs="华文仿宋"/>
          <w:color w:val="000000"/>
          <w:highlight w:val="none"/>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highlight w:val="none"/>
        </w:rPr>
        <w:t>〔2021</w:t>
      </w:r>
      <w:r>
        <w:rPr>
          <w:rFonts w:hint="eastAsia" w:ascii="华文仿宋" w:hAnsi="华文仿宋" w:cs="华文仿宋"/>
          <w:color w:val="000000"/>
          <w:highlight w:val="none"/>
        </w:rPr>
        <w:t>〕</w:t>
      </w:r>
      <w:r>
        <w:rPr>
          <w:rFonts w:hint="eastAsia" w:ascii="仿宋" w:hAnsi="仿宋" w:eastAsia="仿宋" w:cs="仿宋"/>
          <w:color w:val="000000"/>
          <w:highlight w:val="none"/>
        </w:rPr>
        <w:t>20</w:t>
      </w:r>
      <w:r>
        <w:rPr>
          <w:rFonts w:hint="eastAsia" w:ascii="华文仿宋" w:hAnsi="华文仿宋" w:cs="华文仿宋"/>
          <w:color w:val="000000"/>
          <w:highlight w:val="none"/>
        </w:rPr>
        <w:t>号）。</w:t>
      </w:r>
    </w:p>
    <w:p>
      <w:pPr>
        <w:pStyle w:val="7"/>
        <w:spacing w:afterLines="0"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5、《陕西省财政厅关于加快推进我省中小企业政府采购信用融资工作的通知》（陕财办采〔</w:t>
      </w:r>
      <w:r>
        <w:rPr>
          <w:rFonts w:hint="eastAsia" w:ascii="仿宋" w:hAnsi="仿宋" w:eastAsia="仿宋" w:cs="仿宋"/>
          <w:color w:val="auto"/>
          <w:sz w:val="28"/>
          <w:szCs w:val="28"/>
          <w:highlight w:val="none"/>
        </w:rPr>
        <w:t>2020〕15</w:t>
      </w:r>
      <w:r>
        <w:rPr>
          <w:rFonts w:hint="eastAsia" w:ascii="华文仿宋" w:hAnsi="华文仿宋" w:cs="华文仿宋"/>
          <w:sz w:val="28"/>
          <w:szCs w:val="28"/>
          <w:highlight w:val="none"/>
        </w:rPr>
        <w:t>号）、陕西省财政厅关于印发《陕西省中小企业政府采购信用融资办法》（陕财办采〔</w:t>
      </w:r>
      <w:r>
        <w:rPr>
          <w:rFonts w:hint="eastAsia" w:ascii="仿宋" w:hAnsi="仿宋" w:eastAsia="仿宋" w:cs="仿宋"/>
          <w:color w:val="auto"/>
          <w:sz w:val="28"/>
          <w:szCs w:val="28"/>
          <w:highlight w:val="none"/>
        </w:rPr>
        <w:t>2018〕23</w:t>
      </w:r>
      <w:r>
        <w:rPr>
          <w:rFonts w:hint="eastAsia" w:ascii="华文仿宋" w:hAnsi="华文仿宋" w:cs="华文仿宋"/>
          <w:sz w:val="28"/>
          <w:szCs w:val="28"/>
          <w:highlight w:val="none"/>
        </w:rPr>
        <w:t>号）。</w:t>
      </w:r>
    </w:p>
    <w:p>
      <w:pPr>
        <w:spacing w:line="500" w:lineRule="exact"/>
        <w:ind w:firstLine="566" w:firstLineChars="200"/>
        <w:rPr>
          <w:highlight w:val="none"/>
        </w:rPr>
      </w:pPr>
      <w:r>
        <w:rPr>
          <w:rFonts w:hint="eastAsia" w:ascii="华文仿宋" w:hAnsi="华文仿宋" w:cs="华文仿宋"/>
          <w:color w:val="000000"/>
          <w:highlight w:val="none"/>
        </w:rPr>
        <w:t>6、</w:t>
      </w:r>
      <w:r>
        <w:rPr>
          <w:rFonts w:hint="eastAsia" w:ascii="华文仿宋" w:hAnsi="华文仿宋" w:cs="华文仿宋"/>
          <w:highlight w:val="none"/>
        </w:rPr>
        <w:t>详见《投标人须知》中“落实的政府采购政策”有关内容。</w:t>
      </w:r>
    </w:p>
    <w:p>
      <w:pPr>
        <w:spacing w:line="500" w:lineRule="exact"/>
        <w:ind w:firstLine="566" w:firstLineChars="200"/>
        <w:rPr>
          <w:rFonts w:cs="Times New Roman"/>
          <w:b/>
          <w:bCs/>
          <w:highlight w:val="none"/>
        </w:rPr>
      </w:pPr>
      <w:r>
        <w:rPr>
          <w:rFonts w:hint="eastAsia" w:cs="华文仿宋"/>
          <w:b/>
          <w:bCs/>
          <w:highlight w:val="none"/>
        </w:rPr>
        <w:t>十二、获取招标文件的时间及方式</w:t>
      </w:r>
    </w:p>
    <w:p>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１、获取方式：投标人可登录全国公共资源交易平台（陕西省）（</w:t>
      </w:r>
      <w:r>
        <w:rPr>
          <w:rFonts w:hint="eastAsia" w:ascii="仿宋" w:hAnsi="仿宋" w:eastAsia="仿宋" w:cs="仿宋"/>
          <w:highlight w:val="none"/>
        </w:rPr>
        <w:t>http://www.sxggzyjy.cn/</w:t>
      </w:r>
      <w:r>
        <w:rPr>
          <w:rFonts w:hint="eastAsia" w:ascii="华文仿宋" w:hAnsi="华文仿宋" w:cs="华文仿宋"/>
          <w:highlight w:val="none"/>
        </w:rPr>
        <w:t>），选择“电子交易平台</w:t>
      </w:r>
      <w:r>
        <w:rPr>
          <w:rFonts w:ascii="华文仿宋" w:hAnsi="华文仿宋" w:cs="华文仿宋"/>
          <w:highlight w:val="none"/>
        </w:rPr>
        <w:t>—</w:t>
      </w:r>
      <w:r>
        <w:rPr>
          <w:rFonts w:hint="eastAsia" w:ascii="华文仿宋" w:hAnsi="华文仿宋" w:cs="华文仿宋"/>
          <w:highlight w:val="none"/>
        </w:rPr>
        <w:t>陕西政府采购交易系统</w:t>
      </w:r>
      <w:r>
        <w:rPr>
          <w:rFonts w:ascii="华文仿宋" w:hAnsi="华文仿宋" w:cs="华文仿宋"/>
          <w:highlight w:val="none"/>
        </w:rPr>
        <w:t>—</w:t>
      </w:r>
      <w:r>
        <w:rPr>
          <w:rFonts w:hint="eastAsia" w:ascii="华文仿宋" w:hAnsi="华文仿宋" w:cs="华文仿宋"/>
          <w:highlight w:val="none"/>
        </w:rPr>
        <w:t>企业端”进行登录，登录后选择“交易乙方”身份进入投标人界面后，选择有意向的项目点击“我要投标”，参与投标活动。然后即可在〖我的项目〗中点击“项目流程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交易文件下载”免费下载电子招标文件。</w:t>
      </w:r>
    </w:p>
    <w:p>
      <w:pPr>
        <w:wordWrap w:val="0"/>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、投标人初次使用交易平台，须先完成诚信入库登记、数字认证证书（</w:t>
      </w:r>
      <w:r>
        <w:rPr>
          <w:rFonts w:hint="eastAsia" w:ascii="仿宋" w:hAnsi="仿宋" w:eastAsia="仿宋" w:cs="仿宋"/>
          <w:highlight w:val="none"/>
        </w:rPr>
        <w:t>CA</w:t>
      </w:r>
      <w:r>
        <w:rPr>
          <w:rFonts w:hint="eastAsia" w:ascii="华文仿宋" w:hAnsi="华文仿宋" w:cs="华文仿宋"/>
          <w:highlight w:val="none"/>
        </w:rPr>
        <w:t>锁）认证及企业信息绑定。相关操作流程详见全国公共资源交易平台（陕西省）网站〖首页·〉服务指南·〉下载专区〗中的《陕西省省级单位电子化政府采购项目投标指南》。</w:t>
      </w:r>
    </w:p>
    <w:p>
      <w:pPr>
        <w:wordWrap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w:t>
      </w:r>
      <w:r>
        <w:rPr>
          <w:rFonts w:hint="eastAsia" w:ascii="仿宋" w:hAnsi="仿宋" w:eastAsia="仿宋" w:cs="仿宋"/>
          <w:highlight w:val="none"/>
        </w:rPr>
        <w:t>数字认证证书（CA锁）办理详见全国公共资源交易平台（陕西省）网站〖首页·〉服务指南·〉常见问题解答〉CA证书办理〗中的《CA办理常见问题解答》，网址：http://www.sxggzyjy.cn/fwzn/004002/004002007/20250108/efdc53a2-c250-44b1-876c-c44ab6c5e66d.html。现场办理地址：西安市长安北路14号省公共资源交易中心一楼办理大厅3、4号窗口，咨询电话：029-88661241。</w:t>
      </w:r>
    </w:p>
    <w:p>
      <w:pPr>
        <w:spacing w:line="500" w:lineRule="exact"/>
        <w:ind w:firstLine="566" w:firstLineChars="200"/>
        <w:rPr>
          <w:rFonts w:ascii="仿宋" w:hAnsi="仿宋" w:eastAsia="仿宋" w:cs="仿宋"/>
          <w:b/>
          <w:bCs/>
          <w:color w:val="000000"/>
          <w:highlight w:val="none"/>
        </w:rPr>
      </w:pPr>
      <w:bookmarkStart w:id="25" w:name="_Hlk511229508"/>
      <w:r>
        <w:rPr>
          <w:rFonts w:hint="eastAsia" w:ascii="仿宋" w:hAnsi="仿宋" w:eastAsia="仿宋" w:cs="仿宋"/>
          <w:b/>
          <w:bCs/>
          <w:color w:val="000000"/>
          <w:highlight w:val="none"/>
        </w:rPr>
        <w:t>4、获取时间：2025年</w:t>
      </w:r>
      <w:r>
        <w:rPr>
          <w:rFonts w:hint="eastAsia" w:ascii="仿宋" w:hAnsi="仿宋" w:eastAsia="仿宋" w:cs="仿宋"/>
          <w:b/>
          <w:bCs/>
          <w:color w:val="000000"/>
          <w:highlight w:val="none"/>
          <w:lang w:val="en-US" w:eastAsia="zh-CN"/>
        </w:rPr>
        <w:t>12</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24</w:t>
      </w:r>
      <w:r>
        <w:rPr>
          <w:rFonts w:hint="eastAsia" w:ascii="仿宋" w:hAnsi="仿宋" w:eastAsia="仿宋" w:cs="仿宋"/>
          <w:b/>
          <w:bCs/>
          <w:color w:val="000000"/>
          <w:highlight w:val="none"/>
        </w:rPr>
        <w:t>日至202</w:t>
      </w:r>
      <w:r>
        <w:rPr>
          <w:rFonts w:hint="eastAsia" w:ascii="仿宋" w:hAnsi="仿宋" w:eastAsia="仿宋" w:cs="仿宋"/>
          <w:b/>
          <w:bCs/>
          <w:color w:val="000000"/>
          <w:highlight w:val="none"/>
          <w:lang w:val="en-US" w:eastAsia="zh-CN"/>
        </w:rPr>
        <w:t>6</w:t>
      </w:r>
      <w:r>
        <w:rPr>
          <w:rFonts w:hint="eastAsia" w:ascii="仿宋" w:hAnsi="仿宋" w:eastAsia="仿宋" w:cs="仿宋"/>
          <w:b/>
          <w:bCs/>
          <w:color w:val="000000"/>
          <w:highlight w:val="none"/>
        </w:rPr>
        <w:t>年</w:t>
      </w:r>
      <w:r>
        <w:rPr>
          <w:rFonts w:hint="eastAsia" w:ascii="仿宋" w:hAnsi="仿宋" w:eastAsia="仿宋" w:cs="仿宋"/>
          <w:b/>
          <w:bCs/>
          <w:color w:val="000000"/>
          <w:highlight w:val="none"/>
          <w:lang w:val="en-US" w:eastAsia="zh-CN"/>
        </w:rPr>
        <w:t>1</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13</w:t>
      </w:r>
      <w:r>
        <w:rPr>
          <w:rFonts w:hint="eastAsia" w:ascii="仿宋" w:hAnsi="仿宋" w:eastAsia="仿宋" w:cs="仿宋"/>
          <w:b/>
          <w:bCs/>
          <w:color w:val="000000"/>
          <w:highlight w:val="none"/>
        </w:rPr>
        <w:t>日，每天上午08:00:00至12:00:00，下午12:00:00至18:00:00（北京时间,法定节假日除外）</w:t>
      </w:r>
    </w:p>
    <w:p>
      <w:pPr>
        <w:spacing w:line="500" w:lineRule="exact"/>
        <w:ind w:firstLine="566" w:firstLineChars="200"/>
        <w:rPr>
          <w:rFonts w:ascii="华文仿宋" w:cs="Times New Roman"/>
          <w:color w:val="000000"/>
          <w:highlight w:val="none"/>
          <w:lang w:val="zh-CN"/>
        </w:rPr>
      </w:pPr>
      <w:r>
        <w:rPr>
          <w:rFonts w:hint="eastAsia" w:ascii="华文仿宋" w:hAnsi="华文仿宋" w:cs="华文仿宋"/>
          <w:b/>
          <w:bCs/>
          <w:color w:val="000000"/>
          <w:highlight w:val="none"/>
        </w:rPr>
        <w:t>十三、投标保证金的交纳</w:t>
      </w:r>
    </w:p>
    <w:p>
      <w:pPr>
        <w:spacing w:line="500" w:lineRule="exact"/>
        <w:ind w:firstLine="566" w:firstLineChars="200"/>
        <w:rPr>
          <w:rFonts w:cs="华文仿宋"/>
          <w:b/>
          <w:bCs/>
          <w:color w:val="000000"/>
          <w:highlight w:val="none"/>
        </w:rPr>
      </w:pPr>
      <w:r>
        <w:rPr>
          <w:rFonts w:hint="eastAsia" w:ascii="华文仿宋" w:hAnsi="华文仿宋" w:cs="华文仿宋"/>
          <w:color w:val="000000"/>
          <w:highlight w:val="none"/>
        </w:rPr>
        <w:t>本项目不收取投标保证金。</w:t>
      </w:r>
    </w:p>
    <w:p>
      <w:pPr>
        <w:ind w:firstLine="566" w:firstLineChars="200"/>
        <w:jc w:val="left"/>
        <w:rPr>
          <w:rFonts w:cs="Times New Roman"/>
          <w:highlight w:val="none"/>
        </w:rPr>
      </w:pPr>
      <w:r>
        <w:rPr>
          <w:rFonts w:hint="eastAsia"/>
          <w:b/>
          <w:bCs/>
          <w:highlight w:val="none"/>
        </w:rPr>
        <w:t>十四、</w:t>
      </w:r>
      <w:r>
        <w:rPr>
          <w:rFonts w:hint="eastAsia" w:cs="华文仿宋"/>
          <w:b/>
          <w:bCs/>
          <w:highlight w:val="none"/>
        </w:rPr>
        <w:t>提交投标文件截止时间及开标时间和地点</w:t>
      </w:r>
    </w:p>
    <w:p>
      <w:pPr>
        <w:spacing w:line="500" w:lineRule="exact"/>
        <w:ind w:firstLine="566" w:firstLineChars="200"/>
        <w:rPr>
          <w:rFonts w:cs="Times New Roman"/>
          <w:highlight w:val="none"/>
        </w:rPr>
      </w:pPr>
      <w:r>
        <w:rPr>
          <w:b/>
          <w:bCs/>
          <w:highlight w:val="none"/>
        </w:rPr>
        <w:t>1</w:t>
      </w:r>
      <w:r>
        <w:rPr>
          <w:rFonts w:hint="eastAsia" w:cs="华文仿宋"/>
          <w:b/>
          <w:bCs/>
          <w:highlight w:val="none"/>
        </w:rPr>
        <w:t>、提交投标文件：电子投标文件一份</w:t>
      </w:r>
      <w:r>
        <w:rPr>
          <w:rFonts w:hint="eastAsia" w:cs="华文仿宋"/>
          <w:highlight w:val="none"/>
        </w:rPr>
        <w:t>。</w:t>
      </w:r>
    </w:p>
    <w:p>
      <w:pPr>
        <w:spacing w:line="500" w:lineRule="exact"/>
        <w:ind w:firstLine="566" w:firstLineChars="200"/>
        <w:rPr>
          <w:rFonts w:cs="Times New Roman"/>
          <w:highlight w:val="none"/>
        </w:rPr>
      </w:pPr>
      <w:r>
        <w:rPr>
          <w:rFonts w:hint="eastAsia" w:cs="华文仿宋"/>
          <w:highlight w:val="none"/>
        </w:rPr>
        <w:t>电子投标文件（</w:t>
      </w:r>
      <w:r>
        <w:rPr>
          <w:highlight w:val="none"/>
        </w:rPr>
        <w:t>*.SXSTF</w:t>
      </w:r>
      <w:r>
        <w:rPr>
          <w:rFonts w:hint="eastAsia" w:cs="华文仿宋"/>
          <w:highlight w:val="none"/>
        </w:rPr>
        <w:t>）可于提交投标文件截止时间前任意时段登录全国公共资源交易平台（陕西省）网站进行提交，逾期系统将拒绝接收。</w:t>
      </w:r>
    </w:p>
    <w:p>
      <w:pPr>
        <w:spacing w:line="500" w:lineRule="exact"/>
        <w:ind w:firstLine="566" w:firstLineChars="200"/>
        <w:rPr>
          <w:rFonts w:eastAsia="仿宋" w:cs="Times New Roman"/>
          <w:b/>
          <w:bCs/>
          <w:highlight w:val="none"/>
        </w:rPr>
      </w:pPr>
      <w:r>
        <w:rPr>
          <w:b/>
          <w:bCs/>
          <w:highlight w:val="none"/>
        </w:rPr>
        <w:t>2</w:t>
      </w:r>
      <w:r>
        <w:rPr>
          <w:rFonts w:hint="eastAsia" w:cs="华文仿宋"/>
          <w:b/>
          <w:bCs/>
          <w:highlight w:val="none"/>
        </w:rPr>
        <w:t>、提交投标文件截止时间：</w:t>
      </w:r>
      <w:r>
        <w:rPr>
          <w:rFonts w:ascii="仿宋" w:hAnsi="仿宋" w:eastAsia="仿宋" w:cs="仿宋"/>
          <w:b/>
          <w:bCs/>
          <w:highlight w:val="none"/>
        </w:rPr>
        <w:t>202</w:t>
      </w:r>
      <w:r>
        <w:rPr>
          <w:rFonts w:hint="eastAsia" w:ascii="仿宋" w:hAnsi="仿宋" w:eastAsia="仿宋" w:cs="仿宋"/>
          <w:b/>
          <w:bCs/>
          <w:highlight w:val="none"/>
          <w:lang w:val="en-US" w:eastAsia="zh-CN"/>
        </w:rPr>
        <w:t>6</w:t>
      </w:r>
      <w:r>
        <w:rPr>
          <w:rFonts w:hint="eastAsia" w:ascii="仿宋" w:hAnsi="仿宋" w:eastAsia="仿宋" w:cs="仿宋"/>
          <w:b/>
          <w:bCs/>
          <w:highlight w:val="none"/>
        </w:rPr>
        <w:t>年</w:t>
      </w:r>
      <w:r>
        <w:rPr>
          <w:rFonts w:hint="eastAsia" w:ascii="仿宋" w:hAnsi="仿宋" w:eastAsia="仿宋" w:cs="仿宋"/>
          <w:b/>
          <w:bCs/>
          <w:highlight w:val="none"/>
          <w:lang w:val="en-US" w:eastAsia="zh-CN"/>
        </w:rPr>
        <w:t>1</w:t>
      </w:r>
      <w:r>
        <w:rPr>
          <w:rFonts w:hint="eastAsia" w:ascii="仿宋" w:hAnsi="仿宋" w:eastAsia="仿宋" w:cs="仿宋"/>
          <w:b/>
          <w:bCs/>
          <w:highlight w:val="none"/>
        </w:rPr>
        <w:t>月</w:t>
      </w:r>
      <w:r>
        <w:rPr>
          <w:rFonts w:hint="eastAsia" w:ascii="仿宋" w:hAnsi="仿宋" w:eastAsia="仿宋" w:cs="仿宋"/>
          <w:b/>
          <w:bCs/>
          <w:highlight w:val="none"/>
          <w:lang w:val="en-US" w:eastAsia="zh-CN"/>
        </w:rPr>
        <w:t>14</w:t>
      </w:r>
      <w:r>
        <w:rPr>
          <w:rFonts w:hint="eastAsia" w:ascii="仿宋" w:hAnsi="仿宋" w:eastAsia="仿宋" w:cs="仿宋"/>
          <w:b/>
          <w:bCs/>
          <w:highlight w:val="none"/>
        </w:rPr>
        <w:t>日 0</w:t>
      </w:r>
      <w:r>
        <w:rPr>
          <w:rFonts w:ascii="仿宋" w:hAnsi="仿宋" w:eastAsia="仿宋" w:cs="仿宋"/>
          <w:b/>
          <w:bCs/>
          <w:highlight w:val="none"/>
        </w:rPr>
        <w:t>9:30</w:t>
      </w:r>
    </w:p>
    <w:p>
      <w:pPr>
        <w:spacing w:line="500" w:lineRule="exact"/>
        <w:ind w:firstLine="566" w:firstLineChars="200"/>
        <w:rPr>
          <w:rFonts w:cs="Times New Roman"/>
          <w:b/>
          <w:bCs/>
          <w:highlight w:val="none"/>
        </w:rPr>
      </w:pPr>
      <w:r>
        <w:rPr>
          <w:b/>
          <w:bCs/>
          <w:highlight w:val="none"/>
        </w:rPr>
        <w:t>3</w:t>
      </w:r>
      <w:r>
        <w:rPr>
          <w:rFonts w:hint="eastAsia" w:cs="华文仿宋"/>
          <w:b/>
          <w:bCs/>
          <w:highlight w:val="none"/>
        </w:rPr>
        <w:t>、开标时间：同提交投标文件截止时间</w:t>
      </w:r>
    </w:p>
    <w:p>
      <w:pPr>
        <w:spacing w:line="500" w:lineRule="exact"/>
        <w:ind w:left="849" w:leftChars="200" w:hanging="283" w:hangingChars="100"/>
        <w:rPr>
          <w:rFonts w:cs="Times New Roman"/>
          <w:b/>
          <w:bCs/>
          <w:highlight w:val="none"/>
        </w:rPr>
      </w:pPr>
      <w:r>
        <w:rPr>
          <w:b/>
          <w:bCs/>
          <w:highlight w:val="none"/>
        </w:rPr>
        <w:t>4</w:t>
      </w:r>
      <w:r>
        <w:rPr>
          <w:rFonts w:hint="eastAsia" w:cs="华文仿宋"/>
          <w:b/>
          <w:bCs/>
          <w:highlight w:val="none"/>
        </w:rPr>
        <w:t>、开标地点：西安市碑林区长安北路</w:t>
      </w:r>
      <w:r>
        <w:rPr>
          <w:rFonts w:ascii="仿宋" w:hAnsi="仿宋" w:eastAsia="仿宋" w:cs="仿宋"/>
          <w:b/>
          <w:bCs/>
          <w:highlight w:val="none"/>
        </w:rPr>
        <w:t>14</w:t>
      </w:r>
      <w:r>
        <w:rPr>
          <w:rFonts w:hint="eastAsia" w:cs="华文仿宋"/>
          <w:b/>
          <w:bCs/>
          <w:highlight w:val="none"/>
        </w:rPr>
        <w:t>号陕西省公共资源交易中</w:t>
      </w:r>
    </w:p>
    <w:p>
      <w:pPr>
        <w:adjustRightInd w:val="0"/>
        <w:spacing w:line="500" w:lineRule="exact"/>
        <w:ind w:left="0" w:firstLine="0" w:firstLineChars="0"/>
        <w:rPr>
          <w:rFonts w:cs="华文仿宋"/>
          <w:b/>
          <w:bCs/>
          <w:highlight w:val="none"/>
        </w:rPr>
      </w:pPr>
      <w:r>
        <w:rPr>
          <w:rFonts w:hint="eastAsia" w:cs="华文仿宋"/>
          <w:b/>
          <w:bCs/>
          <w:highlight w:val="none"/>
        </w:rPr>
        <w:t>心</w:t>
      </w:r>
      <w:r>
        <w:rPr>
          <w:rFonts w:hint="eastAsia" w:cs="华文仿宋"/>
          <w:b/>
          <w:bCs/>
          <w:highlight w:val="none"/>
          <w:lang w:val="en-US" w:eastAsia="zh-CN"/>
        </w:rPr>
        <w:t>306</w:t>
      </w:r>
      <w:r>
        <w:rPr>
          <w:rFonts w:hint="eastAsia" w:cs="华文仿宋"/>
          <w:b/>
          <w:bCs/>
          <w:highlight w:val="none"/>
        </w:rPr>
        <w:t>室（见面开标）。</w:t>
      </w:r>
    </w:p>
    <w:p>
      <w:pPr>
        <w:widowControl w:val="0"/>
        <w:spacing w:line="500" w:lineRule="exact"/>
        <w:ind w:firstLine="566" w:firstLineChars="200"/>
        <w:rPr>
          <w:rFonts w:ascii="仿宋" w:hAnsi="仿宋" w:eastAsia="仿宋" w:cs="仿宋"/>
          <w:highlight w:val="none"/>
        </w:rPr>
      </w:pPr>
      <w:r>
        <w:rPr>
          <w:rFonts w:hint="eastAsia" w:ascii="华文仿宋" w:hAnsi="华文仿宋" w:cs="华文仿宋"/>
          <w:b/>
          <w:bCs/>
          <w:highlight w:val="none"/>
        </w:rPr>
        <w:t>5、</w:t>
      </w:r>
      <w:r>
        <w:rPr>
          <w:rFonts w:hint="eastAsia" w:ascii="仿宋" w:hAnsi="仿宋" w:eastAsia="仿宋" w:cs="仿宋"/>
          <w:b/>
          <w:bCs/>
          <w:highlight w:val="none"/>
        </w:rPr>
        <w:t>开标形式：本项目采用电子化投标方式。</w:t>
      </w:r>
      <w:r>
        <w:rPr>
          <w:rFonts w:hint="eastAsia" w:ascii="仿宋" w:hAnsi="仿宋" w:eastAsia="仿宋" w:cs="仿宋"/>
          <w:highlight w:val="none"/>
        </w:rPr>
        <w:t>陕西省省级单位政府采购中心在招标文件规定的时间和地点组织开标，投标人须派法定代表人或被授权代表参加，携带CA锁（开标时需在开标室的自助解密机上使用CA锁统一自行解密投标文件）。</w:t>
      </w:r>
    </w:p>
    <w:p>
      <w:pPr>
        <w:widowControl w:val="0"/>
        <w:spacing w:line="500" w:lineRule="exact"/>
        <w:ind w:firstLine="566" w:firstLineChars="200"/>
        <w:rPr>
          <w:rFonts w:ascii="宋体" w:hAnsi="宋体" w:eastAsia="宋体" w:cs="宋体"/>
          <w:sz w:val="21"/>
          <w:szCs w:val="21"/>
          <w:highlight w:val="none"/>
        </w:rPr>
      </w:pPr>
      <w:r>
        <w:rPr>
          <w:rFonts w:hint="eastAsia" w:ascii="仿宋" w:hAnsi="仿宋" w:eastAsia="仿宋" w:cs="仿宋"/>
          <w:highlight w:val="none"/>
        </w:rPr>
        <w:t>如因投标人自身原因，在规定时间内未完成投标文件解密，按无效投标对待（“规定时间”由现场工作人员具体确定）。</w:t>
      </w:r>
    </w:p>
    <w:p>
      <w:pPr>
        <w:widowControl w:val="0"/>
        <w:spacing w:line="500" w:lineRule="exact"/>
        <w:ind w:firstLine="566" w:firstLineChars="200"/>
        <w:rPr>
          <w:rFonts w:ascii="仿宋" w:hAnsi="仿宋" w:eastAsia="仿宋" w:cs="仿宋"/>
          <w:highlight w:val="none"/>
        </w:rPr>
      </w:pPr>
      <w:r>
        <w:rPr>
          <w:rFonts w:hint="eastAsia" w:ascii="仿宋" w:hAnsi="仿宋" w:eastAsia="仿宋" w:cs="仿宋"/>
          <w:b/>
          <w:bCs/>
          <w:highlight w:val="none"/>
        </w:rPr>
        <w:t>十五、样品递交</w:t>
      </w:r>
    </w:p>
    <w:p>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1、样品规格（参照第四章样品要求）</w:t>
      </w:r>
    </w:p>
    <w:p>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2、样品递交要求</w:t>
      </w:r>
    </w:p>
    <w:p>
      <w:pPr>
        <w:widowControl w:val="0"/>
        <w:spacing w:line="480" w:lineRule="exact"/>
        <w:ind w:firstLine="566" w:firstLineChars="200"/>
        <w:rPr>
          <w:rFonts w:ascii="仿宋" w:hAnsi="仿宋" w:eastAsia="仿宋" w:cs="仿宋"/>
          <w:highlight w:val="none"/>
        </w:rPr>
      </w:pPr>
      <w:r>
        <w:rPr>
          <w:rFonts w:hint="eastAsia" w:ascii="仿宋" w:hAnsi="仿宋" w:eastAsia="仿宋" w:cs="仿宋"/>
          <w:highlight w:val="none"/>
        </w:rPr>
        <w:t>（1）样品递交时应</w:t>
      </w:r>
      <w:r>
        <w:rPr>
          <w:rFonts w:hint="eastAsia" w:ascii="仿宋" w:hAnsi="仿宋" w:eastAsia="仿宋" w:cs="仿宋"/>
          <w:highlight w:val="none"/>
          <w:lang w:eastAsia="zh-CN"/>
        </w:rPr>
        <w:t>按照所投标段，</w:t>
      </w:r>
      <w:r>
        <w:rPr>
          <w:rFonts w:hint="eastAsia" w:ascii="仿宋" w:hAnsi="仿宋" w:eastAsia="仿宋" w:cs="仿宋"/>
          <w:highlight w:val="none"/>
        </w:rPr>
        <w:t>统一密封装箱、封存完好。</w:t>
      </w:r>
    </w:p>
    <w:p>
      <w:pPr>
        <w:widowControl w:val="0"/>
        <w:spacing w:line="480" w:lineRule="exact"/>
        <w:ind w:firstLine="566" w:firstLineChars="200"/>
        <w:rPr>
          <w:rFonts w:ascii="仿宋" w:hAnsi="仿宋" w:eastAsia="仿宋" w:cs="仿宋"/>
          <w:highlight w:val="none"/>
        </w:rPr>
      </w:pPr>
      <w:r>
        <w:rPr>
          <w:rFonts w:hint="eastAsia" w:ascii="仿宋" w:hAnsi="仿宋" w:eastAsia="仿宋" w:cs="仿宋"/>
          <w:highlight w:val="none"/>
        </w:rPr>
        <w:t>（2）箱体内装有所有样品的详细清单</w:t>
      </w:r>
      <w:r>
        <w:rPr>
          <w:rFonts w:hint="eastAsia" w:ascii="仿宋" w:hAnsi="仿宋" w:eastAsia="仿宋" w:cs="仿宋"/>
          <w:highlight w:val="none"/>
          <w:lang w:eastAsia="zh-CN"/>
        </w:rPr>
        <w:t>，</w:t>
      </w:r>
      <w:r>
        <w:rPr>
          <w:rFonts w:hint="eastAsia" w:ascii="仿宋" w:hAnsi="仿宋" w:eastAsia="仿宋" w:cs="仿宋"/>
          <w:highlight w:val="none"/>
        </w:rPr>
        <w:t>每件样品应注明投标人及样品名称。</w:t>
      </w:r>
    </w:p>
    <w:p>
      <w:pPr>
        <w:widowControl w:val="0"/>
        <w:spacing w:line="480" w:lineRule="exact"/>
        <w:ind w:left="200" w:leftChars="71" w:firstLine="283" w:firstLineChars="100"/>
        <w:rPr>
          <w:rFonts w:ascii="仿宋" w:hAnsi="仿宋" w:eastAsia="仿宋" w:cs="仿宋"/>
          <w:highlight w:val="none"/>
        </w:rPr>
      </w:pPr>
      <w:r>
        <w:rPr>
          <w:rFonts w:hint="eastAsia" w:ascii="仿宋" w:hAnsi="仿宋" w:eastAsia="仿宋" w:cs="仿宋"/>
          <w:highlight w:val="none"/>
        </w:rPr>
        <w:t>（3）箱体外包装应注明：投标人、项目名称、项目编号、</w:t>
      </w:r>
      <w:r>
        <w:rPr>
          <w:rFonts w:hint="eastAsia" w:ascii="仿宋" w:hAnsi="仿宋" w:eastAsia="仿宋" w:cs="仿宋"/>
          <w:highlight w:val="none"/>
          <w:lang w:val="en-US" w:eastAsia="zh-CN"/>
        </w:rPr>
        <w:t>标段编号、</w:t>
      </w:r>
      <w:r>
        <w:rPr>
          <w:rFonts w:hint="eastAsia" w:ascii="仿宋" w:hAnsi="仿宋" w:eastAsia="仿宋" w:cs="仿宋"/>
          <w:highlight w:val="none"/>
        </w:rPr>
        <w:t>样品数量。</w:t>
      </w:r>
    </w:p>
    <w:p>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3、提交样品截止时间：202</w:t>
      </w:r>
      <w:r>
        <w:rPr>
          <w:rFonts w:hint="eastAsia" w:ascii="仿宋" w:hAnsi="仿宋" w:eastAsia="仿宋" w:cs="仿宋"/>
          <w:b/>
          <w:bCs/>
          <w:highlight w:val="none"/>
          <w:lang w:val="en-US" w:eastAsia="zh-CN"/>
        </w:rPr>
        <w:t>6</w:t>
      </w:r>
      <w:r>
        <w:rPr>
          <w:rFonts w:hint="eastAsia" w:ascii="仿宋" w:hAnsi="仿宋" w:eastAsia="仿宋" w:cs="仿宋"/>
          <w:b/>
          <w:bCs/>
          <w:highlight w:val="none"/>
        </w:rPr>
        <w:t>年</w:t>
      </w:r>
      <w:r>
        <w:rPr>
          <w:rFonts w:hint="eastAsia" w:ascii="仿宋" w:hAnsi="仿宋" w:eastAsia="仿宋" w:cs="仿宋"/>
          <w:b/>
          <w:bCs/>
          <w:highlight w:val="none"/>
          <w:lang w:val="en-US" w:eastAsia="zh-CN"/>
        </w:rPr>
        <w:t>1</w:t>
      </w:r>
      <w:r>
        <w:rPr>
          <w:rFonts w:hint="eastAsia" w:ascii="仿宋" w:hAnsi="仿宋" w:eastAsia="仿宋" w:cs="仿宋"/>
          <w:b/>
          <w:bCs/>
          <w:highlight w:val="none"/>
        </w:rPr>
        <w:t>月</w:t>
      </w:r>
      <w:r>
        <w:rPr>
          <w:rFonts w:hint="eastAsia" w:ascii="仿宋" w:hAnsi="仿宋" w:eastAsia="仿宋" w:cs="仿宋"/>
          <w:b/>
          <w:bCs/>
          <w:highlight w:val="none"/>
          <w:lang w:val="en-US" w:eastAsia="zh-CN"/>
        </w:rPr>
        <w:t>14</w:t>
      </w:r>
      <w:r>
        <w:rPr>
          <w:rFonts w:hint="eastAsia" w:ascii="仿宋" w:hAnsi="仿宋" w:eastAsia="仿宋" w:cs="仿宋"/>
          <w:b/>
          <w:bCs/>
          <w:highlight w:val="none"/>
        </w:rPr>
        <w:t>日09:30</w:t>
      </w:r>
    </w:p>
    <w:p>
      <w:pPr>
        <w:widowControl w:val="0"/>
        <w:spacing w:line="480" w:lineRule="exact"/>
        <w:ind w:firstLine="566" w:firstLineChars="200"/>
        <w:rPr>
          <w:rFonts w:ascii="仿宋" w:hAnsi="仿宋" w:eastAsia="仿宋" w:cs="仿宋"/>
          <w:highlight w:val="none"/>
        </w:rPr>
      </w:pPr>
      <w:r>
        <w:rPr>
          <w:rFonts w:hint="eastAsia" w:ascii="仿宋" w:hAnsi="仿宋" w:eastAsia="仿宋" w:cs="仿宋"/>
          <w:b/>
          <w:bCs/>
          <w:highlight w:val="none"/>
        </w:rPr>
        <w:t>4、样品递交地点：陕西省公共资源交易中心</w:t>
      </w:r>
      <w:r>
        <w:rPr>
          <w:rFonts w:hint="eastAsia" w:ascii="仿宋" w:hAnsi="仿宋" w:eastAsia="仿宋" w:cs="仿宋"/>
          <w:b/>
          <w:bCs/>
          <w:highlight w:val="none"/>
          <w:lang w:val="en-US" w:eastAsia="zh-CN"/>
        </w:rPr>
        <w:t>3</w:t>
      </w:r>
      <w:r>
        <w:rPr>
          <w:rFonts w:hint="eastAsia" w:ascii="仿宋" w:hAnsi="仿宋" w:eastAsia="仿宋" w:cs="仿宋"/>
          <w:b/>
          <w:bCs/>
          <w:highlight w:val="none"/>
        </w:rPr>
        <w:t>楼</w:t>
      </w:r>
      <w:r>
        <w:rPr>
          <w:rFonts w:hint="eastAsia" w:ascii="仿宋" w:hAnsi="仿宋" w:eastAsia="仿宋" w:cs="仿宋"/>
          <w:b/>
          <w:bCs/>
          <w:highlight w:val="none"/>
          <w:lang w:val="en-US" w:eastAsia="zh-CN"/>
        </w:rPr>
        <w:t>306</w:t>
      </w:r>
      <w:r>
        <w:rPr>
          <w:rFonts w:hint="eastAsia" w:ascii="仿宋" w:hAnsi="仿宋" w:eastAsia="仿宋" w:cs="仿宋"/>
          <w:b/>
          <w:bCs/>
          <w:highlight w:val="none"/>
        </w:rPr>
        <w:t>室</w:t>
      </w:r>
    </w:p>
    <w:p>
      <w:pPr>
        <w:widowControl w:val="0"/>
        <w:spacing w:line="480" w:lineRule="exact"/>
        <w:ind w:firstLine="566" w:firstLineChars="200"/>
        <w:rPr>
          <w:rFonts w:ascii="仿宋" w:hAnsi="仿宋" w:eastAsia="仿宋" w:cs="仿宋"/>
          <w:b/>
          <w:bCs/>
          <w:highlight w:val="none"/>
        </w:rPr>
      </w:pPr>
      <w:r>
        <w:rPr>
          <w:rFonts w:hint="eastAsia" w:ascii="仿宋" w:hAnsi="仿宋" w:eastAsia="仿宋" w:cs="仿宋"/>
          <w:b/>
          <w:bCs/>
          <w:highlight w:val="none"/>
        </w:rPr>
        <w:t>5、样品退还：</w:t>
      </w:r>
      <w:r>
        <w:rPr>
          <w:rFonts w:hint="eastAsia" w:ascii="仿宋" w:hAnsi="仿宋" w:eastAsia="仿宋" w:cs="仿宋"/>
          <w:highlight w:val="none"/>
        </w:rPr>
        <w:t>评审结束后，由采购人将所有样品统一封存保管。中标公告发布后一周内，未中标人的被授权代表携带本公司法人授权委托书及本人身份证自行联系采购人自取，逾期未取，样品不予保留。中标人样品由采购人保存并作为验收的依据。</w:t>
      </w:r>
    </w:p>
    <w:p>
      <w:pPr>
        <w:spacing w:line="480" w:lineRule="exact"/>
        <w:ind w:firstLine="566" w:firstLineChars="200"/>
        <w:rPr>
          <w:b/>
          <w:bCs/>
          <w:highlight w:val="none"/>
        </w:rPr>
      </w:pPr>
      <w:r>
        <w:rPr>
          <w:rFonts w:hint="eastAsia"/>
          <w:b/>
          <w:bCs/>
          <w:highlight w:val="none"/>
        </w:rPr>
        <w:t>十六、采购代理机构收费标准：免费</w:t>
      </w:r>
    </w:p>
    <w:p>
      <w:pPr>
        <w:spacing w:line="480" w:lineRule="exact"/>
        <w:ind w:firstLine="566" w:firstLineChars="200"/>
        <w:rPr>
          <w:b/>
          <w:bCs/>
          <w:highlight w:val="none"/>
        </w:rPr>
      </w:pPr>
      <w:bookmarkStart w:id="26" w:name="_Toc17917"/>
      <w:bookmarkStart w:id="27" w:name="_Toc20005"/>
      <w:bookmarkStart w:id="28" w:name="_Toc10758_WPSOffice_Level2"/>
      <w:bookmarkStart w:id="29" w:name="_Toc22849_WPSOffice_Level2"/>
      <w:bookmarkStart w:id="30" w:name="_Toc14110_WPSOffice_Level2"/>
      <w:r>
        <w:rPr>
          <w:rFonts w:hint="eastAsia"/>
          <w:b/>
          <w:bCs/>
          <w:highlight w:val="none"/>
        </w:rPr>
        <w:t>十七、公告期自发布之日起</w:t>
      </w:r>
      <w:r>
        <w:rPr>
          <w:rFonts w:hint="eastAsia" w:ascii="仿宋" w:hAnsi="仿宋" w:eastAsia="仿宋" w:cs="仿宋"/>
          <w:b/>
          <w:bCs/>
          <w:highlight w:val="none"/>
        </w:rPr>
        <w:t>5</w:t>
      </w:r>
      <w:r>
        <w:rPr>
          <w:rFonts w:hint="eastAsia"/>
          <w:b/>
          <w:bCs/>
          <w:highlight w:val="none"/>
        </w:rPr>
        <w:t>个工作日。</w:t>
      </w:r>
      <w:bookmarkEnd w:id="26"/>
      <w:bookmarkEnd w:id="27"/>
      <w:bookmarkEnd w:id="28"/>
      <w:bookmarkEnd w:id="29"/>
      <w:bookmarkEnd w:id="30"/>
    </w:p>
    <w:p>
      <w:pPr>
        <w:spacing w:line="480" w:lineRule="exact"/>
        <w:ind w:firstLine="566" w:firstLineChars="200"/>
        <w:rPr>
          <w:rFonts w:ascii="仿宋" w:hAnsi="仿宋" w:eastAsia="仿宋" w:cs="仿宋"/>
          <w:b/>
          <w:bCs/>
          <w:highlight w:val="none"/>
        </w:rPr>
      </w:pPr>
      <w:r>
        <w:rPr>
          <w:rFonts w:hint="eastAsia"/>
          <w:b/>
          <w:bCs/>
          <w:highlight w:val="none"/>
        </w:rPr>
        <w:t>十八、陕西省省级单位政府采购中心联系电话：</w:t>
      </w:r>
      <w:r>
        <w:rPr>
          <w:rFonts w:hint="eastAsia" w:ascii="仿宋" w:hAnsi="仿宋" w:eastAsia="仿宋" w:cs="仿宋"/>
          <w:b/>
          <w:bCs/>
          <w:highlight w:val="none"/>
        </w:rPr>
        <w:t>029-88661294</w:t>
      </w:r>
    </w:p>
    <w:p>
      <w:pPr>
        <w:spacing w:line="500" w:lineRule="exact"/>
        <w:ind w:firstLine="566" w:firstLineChars="200"/>
        <w:rPr>
          <w:rFonts w:ascii="宋体" w:hAnsi="宋体" w:eastAsia="宋体" w:cs="宋体"/>
          <w:b/>
          <w:bCs/>
          <w:highlight w:val="none"/>
        </w:rPr>
      </w:pPr>
    </w:p>
    <w:p>
      <w:pPr>
        <w:spacing w:line="400" w:lineRule="exact"/>
        <w:ind w:firstLine="566" w:firstLineChars="200"/>
        <w:rPr>
          <w:rFonts w:ascii="宋体" w:hAnsi="宋体" w:eastAsia="宋体" w:cs="Times New Roman"/>
          <w:b/>
          <w:bCs/>
          <w:highlight w:val="none"/>
        </w:rPr>
      </w:pPr>
      <w:r>
        <w:rPr>
          <w:rFonts w:hint="eastAsia" w:ascii="宋体" w:hAnsi="宋体" w:eastAsia="宋体" w:cs="宋体"/>
          <w:b/>
          <w:bCs/>
          <w:highlight w:val="none"/>
        </w:rPr>
        <w:t>特别提醒：</w:t>
      </w:r>
    </w:p>
    <w:bookmarkEnd w:id="25"/>
    <w:p>
      <w:pPr>
        <w:widowControl w:val="0"/>
        <w:spacing w:line="400" w:lineRule="exact"/>
        <w:ind w:firstLine="426" w:firstLineChars="200"/>
        <w:rPr>
          <w:rFonts w:ascii="宋体" w:hAnsi="宋体" w:eastAsia="宋体" w:cs="宋体"/>
          <w:b/>
          <w:bCs/>
          <w:sz w:val="21"/>
          <w:szCs w:val="21"/>
          <w:highlight w:val="none"/>
        </w:rPr>
      </w:pPr>
      <w:bookmarkStart w:id="31" w:name="OLE_LINK2"/>
      <w:bookmarkStart w:id="32" w:name="_Toc16643"/>
      <w:bookmarkStart w:id="33" w:name="_Toc26954"/>
      <w:bookmarkStart w:id="34" w:name="_Toc8753"/>
      <w:bookmarkStart w:id="35" w:name="_Toc495014610"/>
      <w:bookmarkStart w:id="36" w:name="_Toc495014953"/>
      <w:bookmarkStart w:id="37" w:name="_Toc495014648"/>
      <w:bookmarkStart w:id="38" w:name="_Toc495014919"/>
      <w:bookmarkStart w:id="39" w:name="_Toc445306492"/>
      <w:bookmarkStart w:id="40" w:name="_Toc495012770"/>
      <w:bookmarkStart w:id="41" w:name="_Toc495012820"/>
      <w:bookmarkStart w:id="42" w:name="_Toc495014584"/>
      <w:r>
        <w:rPr>
          <w:rFonts w:hint="eastAsia" w:ascii="宋体" w:hAnsi="宋体" w:eastAsia="宋体" w:cs="宋体"/>
          <w:b/>
          <w:bCs/>
          <w:sz w:val="21"/>
          <w:szCs w:val="21"/>
          <w:highlight w:val="none"/>
        </w:rPr>
        <w:t>1、本项目采用电子化投标方式。投标人须使用数字认证证书（CA锁）对电子投标文件进行签章、加密、递交及开标时解密等相关招投标事宜。开标时，陕西省省级单位政府采购中心现场工作人员将根据项目投标人数约定解密时长，投标人应在规定时间内，使用电子投标文件加密时所用的数字认证证书（CA锁）在开标室的解密机上自行解密电子投标文件。如因投标人自身原因（如迟到、未携带数字认证证书等原因）未在规定时间内解密的，视为投标无效。</w:t>
      </w:r>
    </w:p>
    <w:p>
      <w:pPr>
        <w:widowControl w:val="0"/>
        <w:spacing w:line="400" w:lineRule="exact"/>
        <w:ind w:firstLine="426" w:firstLineChars="200"/>
        <w:rPr>
          <w:rFonts w:ascii="宋体" w:hAnsi="宋体" w:eastAsia="宋体" w:cs="Times New Roman"/>
          <w:b/>
          <w:bCs/>
          <w:sz w:val="21"/>
          <w:szCs w:val="21"/>
          <w:highlight w:val="none"/>
        </w:rPr>
      </w:pPr>
      <w:r>
        <w:rPr>
          <w:rFonts w:ascii="宋体" w:hAnsi="宋体" w:eastAsia="宋体" w:cs="宋体"/>
          <w:b/>
          <w:bCs/>
          <w:sz w:val="21"/>
          <w:szCs w:val="21"/>
          <w:highlight w:val="none"/>
        </w:rPr>
        <w:t>2</w:t>
      </w:r>
      <w:r>
        <w:rPr>
          <w:rFonts w:hint="eastAsia" w:ascii="宋体" w:hAnsi="宋体" w:eastAsia="宋体" w:cs="宋体"/>
          <w:b/>
          <w:bCs/>
          <w:sz w:val="21"/>
          <w:szCs w:val="21"/>
          <w:highlight w:val="none"/>
        </w:rPr>
        <w:t>、制作电子投标文件。投标人须在“全国公共资源交易中心平台（陕西省）（</w:t>
      </w:r>
      <w:r>
        <w:rPr>
          <w:rFonts w:ascii="宋体" w:hAnsi="宋体" w:eastAsia="宋体" w:cs="宋体"/>
          <w:b/>
          <w:bCs/>
          <w:sz w:val="21"/>
          <w:szCs w:val="21"/>
          <w:highlight w:val="none"/>
        </w:rPr>
        <w:t>http://www.sxggzyjy.cn/</w:t>
      </w:r>
      <w:r>
        <w:rPr>
          <w:rFonts w:hint="eastAsia" w:ascii="宋体" w:hAnsi="宋体" w:eastAsia="宋体" w:cs="宋体"/>
          <w:b/>
          <w:bCs/>
          <w:sz w:val="21"/>
          <w:szCs w:val="21"/>
          <w:highlight w:val="none"/>
        </w:rPr>
        <w:t>）”的“服务指南”栏目“下载专区”中，免费下载“陕西省公共资源交易平台政府采购电子标书制作工具”，并升级至最新版本，使用该客户端制作电子投标文件</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制作</w:t>
      </w:r>
      <w:r>
        <w:rPr>
          <w:rFonts w:hint="eastAsia" w:ascii="宋体" w:hAnsi="宋体" w:eastAsia="宋体" w:cs="宋体"/>
          <w:b/>
          <w:bCs/>
          <w:sz w:val="21"/>
          <w:szCs w:val="21"/>
          <w:highlight w:val="none"/>
        </w:rPr>
        <w:t>扩展名为“</w:t>
      </w:r>
      <w:r>
        <w:rPr>
          <w:rFonts w:ascii="宋体" w:hAnsi="宋体" w:eastAsia="宋体" w:cs="宋体"/>
          <w:b/>
          <w:bCs/>
          <w:sz w:val="21"/>
          <w:szCs w:val="21"/>
          <w:highlight w:val="none"/>
        </w:rPr>
        <w:t>.SXSTF</w:t>
      </w:r>
      <w:r>
        <w:rPr>
          <w:rFonts w:hint="eastAsia" w:ascii="宋体" w:hAnsi="宋体" w:eastAsia="宋体" w:cs="宋体"/>
          <w:b/>
          <w:bCs/>
          <w:sz w:val="21"/>
          <w:szCs w:val="21"/>
          <w:highlight w:val="none"/>
        </w:rPr>
        <w:t>”的电子投标文件。”</w:t>
      </w:r>
    </w:p>
    <w:p>
      <w:pPr>
        <w:widowControl w:val="0"/>
        <w:wordWrap w:val="0"/>
        <w:spacing w:line="400" w:lineRule="exact"/>
        <w:ind w:firstLine="426" w:firstLineChars="200"/>
        <w:rPr>
          <w:rFonts w:ascii="宋体" w:hAnsi="宋体" w:eastAsia="宋体" w:cs="宋体"/>
          <w:b/>
          <w:bCs/>
          <w:sz w:val="21"/>
          <w:szCs w:val="21"/>
          <w:highlight w:val="none"/>
        </w:rPr>
      </w:pPr>
      <w:r>
        <w:rPr>
          <w:rFonts w:ascii="宋体" w:hAnsi="宋体" w:eastAsia="宋体" w:cs="宋体"/>
          <w:b/>
          <w:bCs/>
          <w:sz w:val="21"/>
          <w:szCs w:val="21"/>
          <w:highlight w:val="none"/>
        </w:rPr>
        <w:t>3</w:t>
      </w:r>
      <w:r>
        <w:rPr>
          <w:rFonts w:hint="eastAsia" w:ascii="宋体" w:hAnsi="宋体" w:eastAsia="宋体" w:cs="宋体"/>
          <w:b/>
          <w:bCs/>
          <w:sz w:val="21"/>
          <w:szCs w:val="21"/>
          <w:highlight w:val="none"/>
        </w:rPr>
        <w:t>、递交电子投标文件。登录全国公共资源交易中心平台（陕西省）（</w:t>
      </w:r>
      <w:r>
        <w:rPr>
          <w:rFonts w:ascii="宋体" w:hAnsi="宋体" w:eastAsia="宋体" w:cs="宋体"/>
          <w:b/>
          <w:bCs/>
          <w:sz w:val="21"/>
          <w:szCs w:val="21"/>
          <w:highlight w:val="none"/>
        </w:rPr>
        <w:t>http://www.sxggzyjy.cn/</w:t>
      </w:r>
      <w:r>
        <w:rPr>
          <w:rFonts w:hint="eastAsia" w:ascii="宋体" w:hAnsi="宋体" w:eastAsia="宋体" w:cs="宋体"/>
          <w:b/>
          <w:bCs/>
          <w:sz w:val="21"/>
          <w:szCs w:val="21"/>
          <w:highlight w:val="none"/>
        </w:rPr>
        <w:t>），选择“电子交易平台</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陕西政府采购交易系统</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企业端”进行登录，登录后选择“交易乙方”身份进入，进入菜单“采购业务</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我的项目</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项目流程</w:t>
      </w:r>
      <w:r>
        <w:rPr>
          <w:rFonts w:ascii="宋体" w:hAnsi="宋体" w:eastAsia="宋体" w:cs="宋体"/>
          <w:b/>
          <w:bCs/>
          <w:sz w:val="21"/>
          <w:szCs w:val="21"/>
          <w:highlight w:val="none"/>
        </w:rPr>
        <w:t>—</w:t>
      </w:r>
      <w:r>
        <w:rPr>
          <w:rFonts w:hint="eastAsia" w:ascii="宋体" w:hAnsi="宋体" w:eastAsia="宋体" w:cs="宋体"/>
          <w:b/>
          <w:bCs/>
          <w:sz w:val="21"/>
          <w:szCs w:val="21"/>
          <w:highlight w:val="none"/>
        </w:rPr>
        <w:t>上传投标文件”，上传加密的电子投标文件。上传成功后，电子化平台将予以记录。</w:t>
      </w:r>
      <w:bookmarkEnd w:id="31"/>
      <w:bookmarkStart w:id="43" w:name="_Toc20960"/>
    </w:p>
    <w:p>
      <w:pPr>
        <w:spacing w:line="240" w:lineRule="auto"/>
        <w:jc w:val="left"/>
        <w:rPr>
          <w:highlight w:val="none"/>
        </w:rPr>
      </w:pPr>
      <w:r>
        <w:rPr>
          <w:rFonts w:hint="eastAsia" w:ascii="宋体" w:hAnsi="宋体" w:eastAsia="宋体" w:cs="宋体"/>
          <w:b/>
          <w:bCs/>
          <w:sz w:val="21"/>
          <w:szCs w:val="21"/>
          <w:highlight w:val="none"/>
        </w:rPr>
        <w:br w:type="page"/>
      </w:r>
    </w:p>
    <w:p>
      <w:pPr>
        <w:jc w:val="center"/>
        <w:rPr>
          <w:rFonts w:cs="Times New Roman"/>
          <w:highlight w:val="none"/>
        </w:rPr>
      </w:pPr>
      <w:r>
        <w:rPr>
          <w:rFonts w:hint="eastAsia" w:ascii="黑体" w:hAnsi="黑体" w:eastAsia="黑体" w:cs="黑体"/>
          <w:sz w:val="32"/>
          <w:szCs w:val="32"/>
          <w:highlight w:val="none"/>
        </w:rPr>
        <w:t>第二章  投标人须知</w:t>
      </w:r>
      <w:bookmarkEnd w:id="32"/>
      <w:bookmarkEnd w:id="33"/>
      <w:bookmarkEnd w:id="34"/>
      <w:bookmarkEnd w:id="35"/>
      <w:bookmarkEnd w:id="36"/>
      <w:bookmarkEnd w:id="37"/>
      <w:bookmarkEnd w:id="38"/>
      <w:bookmarkEnd w:id="39"/>
      <w:bookmarkEnd w:id="40"/>
      <w:bookmarkEnd w:id="41"/>
      <w:bookmarkEnd w:id="42"/>
      <w:bookmarkEnd w:id="43"/>
    </w:p>
    <w:p>
      <w:pPr>
        <w:pStyle w:val="3"/>
        <w:spacing w:line="500" w:lineRule="exact"/>
        <w:ind w:firstLine="566" w:firstLineChars="200"/>
        <w:rPr>
          <w:rFonts w:ascii="华文仿宋" w:cs="Times New Roman"/>
          <w:sz w:val="28"/>
          <w:szCs w:val="28"/>
          <w:highlight w:val="none"/>
        </w:rPr>
      </w:pPr>
      <w:bookmarkStart w:id="44" w:name="_Toc16074"/>
      <w:bookmarkStart w:id="45" w:name="_Toc9277"/>
      <w:bookmarkStart w:id="46" w:name="_Toc2084"/>
      <w:r>
        <w:rPr>
          <w:rFonts w:hint="eastAsia" w:ascii="华文仿宋" w:hAnsi="华文仿宋" w:cs="华文仿宋"/>
          <w:sz w:val="28"/>
          <w:szCs w:val="28"/>
          <w:highlight w:val="none"/>
        </w:rPr>
        <w:t>一、定义</w:t>
      </w:r>
      <w:bookmarkEnd w:id="44"/>
      <w:bookmarkEnd w:id="45"/>
      <w:bookmarkEnd w:id="46"/>
    </w:p>
    <w:p>
      <w:pPr>
        <w:spacing w:line="500" w:lineRule="exact"/>
        <w:ind w:firstLine="566" w:firstLineChars="200"/>
        <w:rPr>
          <w:rFonts w:hint="eastAsia" w:ascii="华文仿宋" w:hAnsi="华文仿宋" w:cs="华文仿宋"/>
          <w:highlight w:val="none"/>
          <w:lang w:eastAsia="zh-CN"/>
        </w:rPr>
      </w:pPr>
      <w:r>
        <w:rPr>
          <w:rFonts w:hint="eastAsia" w:ascii="华文仿宋" w:hAnsi="华文仿宋" w:cs="华文仿宋"/>
          <w:highlight w:val="none"/>
        </w:rPr>
        <w:t>（一）采购人：</w:t>
      </w:r>
      <w:r>
        <w:rPr>
          <w:rFonts w:hint="eastAsia" w:ascii="华文仿宋" w:hAnsi="华文仿宋" w:cs="华文仿宋"/>
          <w:highlight w:val="none"/>
          <w:lang w:eastAsia="zh-CN"/>
        </w:rPr>
        <w:t>西安</w:t>
      </w:r>
      <w:r>
        <w:rPr>
          <w:rFonts w:hint="eastAsia" w:ascii="华文仿宋" w:hAnsi="华文仿宋" w:cs="华文仿宋"/>
          <w:highlight w:val="none"/>
          <w:lang w:val="en-US" w:eastAsia="zh-CN"/>
        </w:rPr>
        <w:t>石油</w:t>
      </w:r>
      <w:r>
        <w:rPr>
          <w:rFonts w:hint="eastAsia" w:ascii="华文仿宋" w:hAnsi="华文仿宋" w:cs="华文仿宋"/>
          <w:highlight w:val="none"/>
          <w:lang w:eastAsia="zh-CN"/>
        </w:rPr>
        <w:t>大学</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（二）监督机构：陕西省财政厅</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（三）采购代理机构：陕西省省级单位政府采购中心</w:t>
      </w:r>
    </w:p>
    <w:p>
      <w:pPr>
        <w:spacing w:line="500" w:lineRule="exact"/>
        <w:ind w:left="1415" w:leftChars="200" w:hanging="849" w:hangingChars="300"/>
        <w:rPr>
          <w:rFonts w:ascii="华文仿宋" w:hAnsi="华文仿宋" w:cs="华文仿宋"/>
          <w:highlight w:val="none"/>
        </w:rPr>
      </w:pPr>
      <w:r>
        <w:rPr>
          <w:rFonts w:hint="eastAsia" w:ascii="华文仿宋" w:hAnsi="华文仿宋" w:cs="华文仿宋"/>
          <w:highlight w:val="none"/>
        </w:rPr>
        <w:t>（四）投标人：拟向采购人提供货物、工程或者服务的法人、其他组</w:t>
      </w:r>
    </w:p>
    <w:p>
      <w:pPr>
        <w:spacing w:line="500" w:lineRule="exact"/>
        <w:rPr>
          <w:rFonts w:ascii="华文仿宋" w:cs="Times New Roman"/>
          <w:highlight w:val="none"/>
        </w:rPr>
      </w:pPr>
      <w:r>
        <w:rPr>
          <w:rFonts w:hint="eastAsia" w:ascii="华文仿宋" w:hAnsi="华文仿宋" w:cs="华文仿宋"/>
          <w:highlight w:val="none"/>
        </w:rPr>
        <w:t>织或者自然人</w:t>
      </w:r>
    </w:p>
    <w:p>
      <w:pPr>
        <w:pStyle w:val="3"/>
        <w:spacing w:line="500" w:lineRule="exact"/>
        <w:ind w:firstLine="566" w:firstLineChars="200"/>
        <w:rPr>
          <w:rFonts w:ascii="华文仿宋" w:cs="Times New Roman"/>
          <w:sz w:val="28"/>
          <w:szCs w:val="28"/>
          <w:highlight w:val="none"/>
        </w:rPr>
      </w:pPr>
      <w:bookmarkStart w:id="47" w:name="_Toc4889"/>
      <w:bookmarkStart w:id="48" w:name="_Toc17842"/>
      <w:bookmarkStart w:id="49" w:name="_Toc26572"/>
      <w:r>
        <w:rPr>
          <w:rFonts w:hint="eastAsia" w:ascii="华文仿宋" w:hAnsi="华文仿宋" w:cs="华文仿宋"/>
          <w:sz w:val="28"/>
          <w:szCs w:val="28"/>
          <w:highlight w:val="none"/>
        </w:rPr>
        <w:t>二、投标人注意事项</w:t>
      </w:r>
      <w:bookmarkEnd w:id="47"/>
      <w:bookmarkEnd w:id="48"/>
      <w:bookmarkEnd w:id="49"/>
    </w:p>
    <w:p>
      <w:pPr>
        <w:pStyle w:val="3"/>
        <w:spacing w:line="500" w:lineRule="exact"/>
        <w:ind w:firstLine="566" w:firstLineChars="200"/>
        <w:rPr>
          <w:rFonts w:ascii="华文仿宋" w:cs="Times New Roman"/>
          <w:sz w:val="28"/>
          <w:szCs w:val="28"/>
          <w:highlight w:val="none"/>
        </w:rPr>
      </w:pPr>
      <w:bookmarkStart w:id="50" w:name="_Toc28589"/>
      <w:bookmarkStart w:id="51" w:name="_Toc30161"/>
      <w:bookmarkStart w:id="52" w:name="_Toc11734"/>
      <w:bookmarkStart w:id="53" w:name="_Toc1795"/>
      <w:bookmarkStart w:id="54" w:name="_Toc17374"/>
      <w:bookmarkStart w:id="55" w:name="_Toc28214"/>
      <w:bookmarkStart w:id="56" w:name="_Toc24852"/>
      <w:bookmarkStart w:id="57" w:name="_Toc28058"/>
      <w:bookmarkStart w:id="58" w:name="_Toc30368"/>
      <w:bookmarkStart w:id="59" w:name="_Toc16764"/>
      <w:bookmarkStart w:id="60" w:name="_Toc1370"/>
      <w:bookmarkStart w:id="61" w:name="_Toc734"/>
      <w:bookmarkStart w:id="62" w:name="_Toc21886"/>
      <w:bookmarkStart w:id="63" w:name="_Toc23045"/>
      <w:bookmarkStart w:id="64" w:name="_Toc32309"/>
      <w:bookmarkStart w:id="65" w:name="_Toc10905"/>
      <w:bookmarkStart w:id="66" w:name="_Toc11128"/>
      <w:r>
        <w:rPr>
          <w:rFonts w:hint="eastAsia" w:ascii="华文仿宋" w:hAnsi="华文仿宋" w:cs="华文仿宋"/>
          <w:sz w:val="28"/>
          <w:szCs w:val="28"/>
          <w:highlight w:val="none"/>
        </w:rPr>
        <w:t>（一）询问</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投标人针对招标文件（包括采购需求、投标人资格条件、商务条款等）</w:t>
      </w:r>
      <w:r>
        <w:rPr>
          <w:rFonts w:hint="eastAsia" w:ascii="仿宋" w:hAnsi="仿宋" w:eastAsia="仿宋" w:cs="仿宋"/>
          <w:bCs/>
          <w:highlight w:val="none"/>
        </w:rPr>
        <w:t>和公开/邀请招标资格审查结果</w:t>
      </w:r>
      <w:r>
        <w:rPr>
          <w:rFonts w:hint="eastAsia" w:ascii="华文仿宋" w:hAnsi="华文仿宋" w:cs="华文仿宋"/>
          <w:highlight w:val="none"/>
        </w:rPr>
        <w:t>依法提出书面询问的，采购人应在三个工作日内书面答复；投标人向陕西省省级单位政府采购中心提出书面询问的，陕西省省级单位政府采购中心应告知采购人并协助采购人做出答复。</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投标人对采购过程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、中标（成交）结果，向陕西省省级单位政府采购中心提出书面询问的，陕西省省级单位政府采购中心应在三个工作日内书面答复。</w:t>
      </w:r>
    </w:p>
    <w:p>
      <w:pPr>
        <w:pStyle w:val="3"/>
        <w:spacing w:line="500" w:lineRule="exact"/>
        <w:ind w:firstLine="566" w:firstLineChars="200"/>
        <w:rPr>
          <w:rFonts w:ascii="华文仿宋" w:cs="Times New Roman"/>
          <w:sz w:val="28"/>
          <w:szCs w:val="28"/>
          <w:highlight w:val="none"/>
        </w:rPr>
      </w:pPr>
      <w:bookmarkStart w:id="67" w:name="_Toc29525"/>
      <w:bookmarkStart w:id="68" w:name="_Toc26397"/>
      <w:bookmarkStart w:id="69" w:name="_Toc5585"/>
      <w:bookmarkStart w:id="70" w:name="_Toc9295"/>
      <w:bookmarkStart w:id="71" w:name="_Toc10749"/>
      <w:bookmarkStart w:id="72" w:name="_Toc23676"/>
      <w:bookmarkStart w:id="73" w:name="_Toc16663"/>
      <w:bookmarkStart w:id="74" w:name="_Toc2552"/>
      <w:bookmarkStart w:id="75" w:name="_Toc25620"/>
      <w:bookmarkStart w:id="76" w:name="_Toc7423"/>
      <w:bookmarkStart w:id="77" w:name="_Toc9372"/>
      <w:bookmarkStart w:id="78" w:name="_Toc12755"/>
      <w:bookmarkStart w:id="79" w:name="_Toc2542"/>
      <w:bookmarkStart w:id="80" w:name="_Toc11418"/>
      <w:bookmarkStart w:id="81" w:name="_Toc18061"/>
      <w:bookmarkStart w:id="82" w:name="_Toc17968"/>
      <w:bookmarkStart w:id="83" w:name="_Toc10767"/>
      <w:r>
        <w:rPr>
          <w:rFonts w:hint="eastAsia" w:ascii="华文仿宋" w:hAnsi="华文仿宋" w:cs="华文仿宋"/>
          <w:sz w:val="28"/>
          <w:szCs w:val="28"/>
          <w:highlight w:val="none"/>
        </w:rPr>
        <w:t>（二）现场踏勘及标前答疑会</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采购项目安排现场考察和标前答疑的，采购人应尽量在现场予以解答（口头提问可口头答复），现场不能做出解答的，应在三个工作日内书面答复，并交由陕西省省级单位政府采购中心在财政部门指定的媒体上发布。</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答复内容可能影响投标文件编制的，应当顺延开标时间。凡未参加现场踏勘和标前答疑的投标人，由此造成的偏差由各投标人自行负责。</w:t>
      </w:r>
    </w:p>
    <w:p>
      <w:pPr>
        <w:pStyle w:val="24"/>
        <w:spacing w:line="500" w:lineRule="exact"/>
        <w:ind w:firstLine="566" w:firstLineChars="200"/>
        <w:rPr>
          <w:rFonts w:hint="eastAsia" w:ascii="华文仿宋" w:hAnsi="华文仿宋" w:eastAsia="华文仿宋" w:cs="华文仿宋"/>
          <w:b/>
          <w:highlight w:val="none"/>
          <w:lang w:val="en-US" w:eastAsia="zh-CN"/>
        </w:rPr>
      </w:pPr>
      <w:r>
        <w:rPr>
          <w:rFonts w:hint="eastAsia" w:ascii="华文仿宋" w:hAnsi="华文仿宋" w:eastAsia="华文仿宋" w:cs="华文仿宋"/>
          <w:b/>
          <w:highlight w:val="none"/>
          <w:lang w:val="en-US" w:eastAsia="zh-CN"/>
        </w:rPr>
        <w:t>本项目不组织集中踏勘和标前答疑。</w:t>
      </w:r>
    </w:p>
    <w:p>
      <w:pPr>
        <w:pStyle w:val="3"/>
        <w:spacing w:line="500" w:lineRule="exact"/>
        <w:ind w:firstLine="566" w:firstLineChars="200"/>
        <w:rPr>
          <w:rFonts w:ascii="华文仿宋" w:cs="Times New Roman"/>
          <w:sz w:val="28"/>
          <w:szCs w:val="28"/>
          <w:highlight w:val="none"/>
        </w:rPr>
      </w:pPr>
      <w:bookmarkStart w:id="84" w:name="_Toc19048"/>
      <w:bookmarkStart w:id="85" w:name="_Toc32452"/>
      <w:bookmarkStart w:id="86" w:name="_Toc17393"/>
      <w:bookmarkStart w:id="87" w:name="_Toc13487"/>
      <w:bookmarkStart w:id="88" w:name="_Toc32440"/>
      <w:bookmarkStart w:id="89" w:name="_Toc11479"/>
      <w:bookmarkStart w:id="90" w:name="_Toc23212"/>
      <w:bookmarkStart w:id="91" w:name="_Toc7114"/>
      <w:bookmarkStart w:id="92" w:name="_Toc30373"/>
      <w:bookmarkStart w:id="93" w:name="_Toc21760"/>
      <w:bookmarkStart w:id="94" w:name="_Toc19340"/>
      <w:bookmarkStart w:id="95" w:name="_Toc12086"/>
      <w:bookmarkStart w:id="96" w:name="_Toc7492"/>
      <w:bookmarkStart w:id="97" w:name="_Toc25161"/>
      <w:bookmarkStart w:id="98" w:name="_Toc23122"/>
      <w:bookmarkStart w:id="99" w:name="_Toc13711"/>
      <w:bookmarkStart w:id="100" w:name="_Toc29658"/>
      <w:r>
        <w:rPr>
          <w:rFonts w:hint="eastAsia" w:ascii="华文仿宋" w:hAnsi="华文仿宋" w:cs="华文仿宋"/>
          <w:sz w:val="28"/>
          <w:szCs w:val="28"/>
          <w:highlight w:val="none"/>
        </w:rPr>
        <w:t>（三）质疑和投诉</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spacing w:line="500" w:lineRule="exact"/>
        <w:ind w:firstLine="566" w:firstLineChars="200"/>
        <w:contextualSpacing/>
        <w:rPr>
          <w:rFonts w:ascii="华文仿宋" w:hAnsi="华文仿宋" w:cs="华文仿宋"/>
          <w:highlight w:val="none"/>
        </w:rPr>
      </w:pPr>
      <w:r>
        <w:rPr>
          <w:rFonts w:hint="eastAsia" w:ascii="华文仿宋" w:hAnsi="华文仿宋" w:cs="华文仿宋"/>
          <w:highlight w:val="none"/>
        </w:rPr>
        <w:t>投标人如果认为招标文件（包括采购需求、投标人资格条件、商务条款等）使自身的合法权益受到损害，可以在获取招标文件之日起７个工作日内，以书面形式向采购人提出质疑；投标人如果认为采购过程</w:t>
      </w:r>
      <w:r>
        <w:rPr>
          <w:rFonts w:hint="eastAsia" w:ascii="仿宋" w:hAnsi="仿宋" w:eastAsia="仿宋" w:cs="仿宋"/>
          <w:bCs/>
          <w:highlight w:val="none"/>
        </w:rPr>
        <w:t>（不含公开/邀请招标资格审查结果）</w:t>
      </w:r>
      <w:r>
        <w:rPr>
          <w:rFonts w:hint="eastAsia" w:ascii="华文仿宋" w:hAnsi="华文仿宋" w:cs="华文仿宋"/>
          <w:highlight w:val="none"/>
        </w:rPr>
        <w:t>或中标结果使自身的合法权益受到损害，可以在知道或应知其权益受到损害之日起7个工作日内，以书面形式向陕西省省级单位政府采购中心提出质疑。</w:t>
      </w:r>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、投标人提出质疑应当提交质疑函和必要的证明材料，并按财政部《质疑函范本》给定的格式进行填写，范本下载详见【财政部国库司（gks.mof.gov.cn）】网站〖首页</w:t>
      </w:r>
      <w:r>
        <w:rPr>
          <w:rFonts w:ascii="华文仿宋" w:cs="Times New Roman"/>
          <w:highlight w:val="none"/>
        </w:rPr>
        <w:t>•</w:t>
      </w:r>
      <w:r>
        <w:rPr>
          <w:rFonts w:hint="eastAsia" w:ascii="华文仿宋" w:hAnsi="华文仿宋" w:cs="华文仿宋"/>
          <w:highlight w:val="none"/>
        </w:rPr>
        <w:t>〉政府采购管理〗栏目中的《政府采购供应商质疑函范本》。</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《政府采购供应商质疑函范本》链接地址：</w:t>
      </w:r>
    </w:p>
    <w:p>
      <w:pPr>
        <w:spacing w:line="500" w:lineRule="exact"/>
        <w:ind w:firstLine="566" w:firstLineChars="200"/>
        <w:rPr>
          <w:rFonts w:ascii="仿宋" w:hAnsi="仿宋" w:eastAsia="仿宋" w:cs="仿宋"/>
          <w:color w:val="000000"/>
          <w:highlight w:val="none"/>
        </w:rPr>
      </w:pPr>
      <w:r>
        <w:rPr>
          <w:rFonts w:hint="eastAsia" w:ascii="仿宋" w:hAnsi="仿宋" w:eastAsia="仿宋" w:cs="仿宋"/>
          <w:highlight w:val="none"/>
        </w:rPr>
        <w:t>http://gks.mof.gov.cn/ztztz/zhengfucaigouguanli/201802/t20180201_2804589.htm</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、在法定质疑期内，针对同一采购程序环节的质疑应当一次性提出。陕西省省级单位政府采购中心或采购人将在收到书面质疑后</w:t>
      </w:r>
      <w:r>
        <w:rPr>
          <w:rFonts w:ascii="仿宋" w:hAnsi="仿宋" w:eastAsia="仿宋" w:cs="仿宋"/>
          <w:highlight w:val="none"/>
        </w:rPr>
        <w:t>7</w:t>
      </w:r>
      <w:r>
        <w:rPr>
          <w:rFonts w:hint="eastAsia" w:ascii="华文仿宋" w:hAnsi="华文仿宋" w:cs="华文仿宋"/>
          <w:highlight w:val="none"/>
        </w:rPr>
        <w:t>个工作日内做出答复，并以书面形式通知质疑人和其他有关投标人。</w:t>
      </w:r>
    </w:p>
    <w:p>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、有下列情形之一的，属于无效质疑，陕西省省级单位政府采购中心和采购人不予受理：</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）质疑人不是参与本次政府采购项目的</w:t>
      </w:r>
      <w:r>
        <w:rPr>
          <w:rFonts w:hint="eastAsia" w:ascii="华文仿宋" w:hAnsi="华文仿宋" w:cs="华文仿宋"/>
          <w:highlight w:val="none"/>
          <w:lang w:eastAsia="zh-CN"/>
        </w:rPr>
        <w:t>投标人</w:t>
      </w:r>
      <w:r>
        <w:rPr>
          <w:rFonts w:hint="eastAsia" w:ascii="华文仿宋" w:hAnsi="华文仿宋" w:cs="华文仿宋"/>
          <w:highlight w:val="none"/>
        </w:rPr>
        <w:t>或潜在投标人；</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）质疑人与质疑事项不存在利害关系的；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）未在法定期限内提出质疑的；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）质疑未以书面形式提出，或质疑函主要内容构成不完整的，或缺乏必要的证明材料及证明材料不完整的；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5</w:t>
      </w:r>
      <w:r>
        <w:rPr>
          <w:rFonts w:hint="eastAsia" w:ascii="华文仿宋" w:hAnsi="华文仿宋" w:cs="华文仿宋"/>
          <w:highlight w:val="none"/>
        </w:rPr>
        <w:t>）质疑函没有合法有效的签字、盖章或授权的；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6</w:t>
      </w:r>
      <w:r>
        <w:rPr>
          <w:rFonts w:hint="eastAsia" w:ascii="华文仿宋" w:hAnsi="华文仿宋" w:cs="华文仿宋"/>
          <w:highlight w:val="none"/>
        </w:rPr>
        <w:t>）以非法手段取得证据、材料的；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7</w:t>
      </w:r>
      <w:r>
        <w:rPr>
          <w:rFonts w:hint="eastAsia" w:ascii="华文仿宋" w:hAnsi="华文仿宋" w:cs="华文仿宋"/>
          <w:highlight w:val="none"/>
        </w:rPr>
        <w:t>）不符合法律、法规、规章和政府采购监管机构规定的其他条件的。</w:t>
      </w:r>
    </w:p>
    <w:p>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、质疑人对陕西省省级单位政府采购中心或采购人的答复不满意，以及陕西省省级单位政府采购中心或采购人未在规定时间内做出答复的，可以在答复期满后</w:t>
      </w:r>
      <w:r>
        <w:rPr>
          <w:rFonts w:ascii="仿宋" w:hAnsi="仿宋" w:eastAsia="仿宋" w:cs="仿宋"/>
          <w:highlight w:val="none"/>
        </w:rPr>
        <w:t>15</w:t>
      </w:r>
      <w:r>
        <w:rPr>
          <w:rFonts w:hint="eastAsia" w:ascii="华文仿宋" w:hAnsi="华文仿宋" w:cs="华文仿宋"/>
          <w:highlight w:val="none"/>
        </w:rPr>
        <w:t>个工作日内向政府采购监管机构提出投诉。</w:t>
      </w:r>
    </w:p>
    <w:p>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、投标人投诉的事项不得超出已质疑事项的范围。</w:t>
      </w:r>
    </w:p>
    <w:p>
      <w:pPr>
        <w:spacing w:line="500" w:lineRule="exact"/>
        <w:ind w:firstLine="566" w:firstLineChars="200"/>
        <w:rPr>
          <w:rFonts w:ascii="华文仿宋" w:cs="Times New Roman"/>
          <w:b/>
          <w:bCs/>
          <w:highlight w:val="none"/>
        </w:rPr>
      </w:pPr>
      <w:r>
        <w:rPr>
          <w:rFonts w:ascii="华文仿宋" w:hAnsi="华文仿宋" w:cs="华文仿宋"/>
          <w:highlight w:val="none"/>
        </w:rPr>
        <w:t>7</w:t>
      </w:r>
      <w:r>
        <w:rPr>
          <w:rFonts w:hint="eastAsia" w:ascii="华文仿宋" w:hAnsi="华文仿宋" w:cs="华文仿宋"/>
          <w:highlight w:val="none"/>
        </w:rPr>
        <w:t>、</w:t>
      </w:r>
      <w:r>
        <w:rPr>
          <w:rFonts w:hint="eastAsia" w:ascii="华文仿宋" w:hAnsi="华文仿宋" w:cs="华文仿宋"/>
          <w:b/>
          <w:bCs/>
          <w:highlight w:val="none"/>
        </w:rPr>
        <w:t>对捏造事实、提供虚假材料进行质疑、投诉的行为予以严肃处理：</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依据《中华人民共和国政府采购法》及其实施条例、《政府采购货物和服务招标投标管理办法》（财政部令第87号）、《政府采购质疑和投诉办法》等法律法规的规定，投标人质疑、投诉应当有明确的请求和必要的证明材料。</w:t>
      </w:r>
      <w:r>
        <w:rPr>
          <w:rFonts w:hint="eastAsia" w:ascii="华文仿宋" w:hAnsi="华文仿宋" w:cs="华文仿宋"/>
          <w:b/>
          <w:bCs/>
          <w:highlight w:val="none"/>
        </w:rPr>
        <w:t>投诉人在全国范围内十二个月内三次以上投诉查无实据的，由财政部门列入不良行为记录名单。</w:t>
      </w:r>
      <w:r>
        <w:rPr>
          <w:rFonts w:hint="eastAsia" w:ascii="华文仿宋" w:hAnsi="华文仿宋" w:cs="华文仿宋"/>
          <w:highlight w:val="none"/>
        </w:rPr>
        <w:t>对于捏造事实、提供虚假材料或者以非法手段取得证明材料进行投诉的，财政部门应当予以驳回，并将其列入不良行为记录名单，禁止其一至三年内参加政府采购活动。</w:t>
      </w:r>
    </w:p>
    <w:p>
      <w:pPr>
        <w:spacing w:line="500" w:lineRule="exact"/>
        <w:ind w:firstLine="566" w:firstLineChars="200"/>
        <w:rPr>
          <w:rFonts w:ascii="华文仿宋" w:cs="Times New Roman"/>
          <w:b/>
          <w:bCs/>
          <w:highlight w:val="none"/>
        </w:rPr>
      </w:pPr>
      <w:r>
        <w:rPr>
          <w:rFonts w:ascii="华文仿宋" w:hAnsi="华文仿宋" w:cs="华文仿宋"/>
          <w:highlight w:val="none"/>
        </w:rPr>
        <w:t>8</w:t>
      </w:r>
      <w:r>
        <w:rPr>
          <w:rFonts w:hint="eastAsia" w:ascii="华文仿宋" w:hAnsi="华文仿宋" w:cs="华文仿宋"/>
          <w:highlight w:val="none"/>
        </w:rPr>
        <w:t>、</w:t>
      </w:r>
      <w:r>
        <w:rPr>
          <w:rFonts w:hint="eastAsia" w:ascii="华文仿宋" w:hAnsi="华文仿宋" w:cs="华文仿宋"/>
          <w:b/>
          <w:bCs/>
          <w:highlight w:val="none"/>
        </w:rPr>
        <w:t>对捏造事实诬告陷害他人、诽谤他人的法律适用：</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243</w:t>
      </w:r>
      <w:r>
        <w:rPr>
          <w:rFonts w:hint="eastAsia" w:ascii="华文仿宋" w:hAnsi="华文仿宋" w:cs="华文仿宋"/>
          <w:highlight w:val="none"/>
        </w:rPr>
        <w:t>条【诬告陷害罪】捏造事实诬告陷害他人，意图使他人受刑事追究，情节严重的，处三年以下有期徒刑、拘役或者管制；造成严重后果的，处三年以上十年以下有期徒刑。</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《中华人民共和国刑法》第</w:t>
      </w:r>
      <w:r>
        <w:rPr>
          <w:rFonts w:ascii="仿宋" w:hAnsi="仿宋" w:eastAsia="仿宋" w:cs="仿宋"/>
          <w:highlight w:val="none"/>
        </w:rPr>
        <w:t>246</w:t>
      </w:r>
      <w:r>
        <w:rPr>
          <w:rFonts w:hint="eastAsia" w:ascii="华文仿宋" w:hAnsi="华文仿宋" w:cs="华文仿宋"/>
          <w:highlight w:val="none"/>
        </w:rPr>
        <w:t>条【侮辱罪、诽谤罪】以暴力或者其他方法公然侮辱他人或者捏造事实诽谤他人，情节严重的，处三年以下有期徒刑、拘役、管制或者剥夺政治权利。</w:t>
      </w:r>
    </w:p>
    <w:p>
      <w:pPr>
        <w:spacing w:line="500" w:lineRule="exact"/>
        <w:ind w:firstLine="566" w:firstLineChars="200"/>
        <w:rPr>
          <w:rFonts w:ascii="华文仿宋" w:cs="Times New Roman"/>
          <w:highlight w:val="none"/>
        </w:rPr>
      </w:pPr>
      <w:r>
        <w:rPr>
          <w:rFonts w:ascii="华文仿宋" w:hAnsi="华文仿宋" w:cs="华文仿宋"/>
          <w:highlight w:val="none"/>
        </w:rPr>
        <w:t>9</w:t>
      </w:r>
      <w:r>
        <w:rPr>
          <w:rFonts w:hint="eastAsia" w:ascii="华文仿宋" w:hAnsi="华文仿宋" w:cs="华文仿宋"/>
          <w:highlight w:val="none"/>
        </w:rPr>
        <w:t>、质疑函递交地址：陕西省公共资源交易中心交易受理处</w:t>
      </w:r>
    </w:p>
    <w:p>
      <w:pPr>
        <w:spacing w:line="500" w:lineRule="exact"/>
        <w:ind w:firstLine="566" w:firstLineChars="200"/>
        <w:rPr>
          <w:rFonts w:ascii="华文仿宋" w:eastAsia="仿宋" w:cs="Times New Roman"/>
          <w:highlight w:val="none"/>
        </w:rPr>
      </w:pPr>
      <w:r>
        <w:rPr>
          <w:rFonts w:hint="eastAsia" w:ascii="华文仿宋" w:hAnsi="华文仿宋" w:cs="华文仿宋"/>
          <w:highlight w:val="none"/>
        </w:rPr>
        <w:t>联系电话：</w:t>
      </w:r>
      <w:r>
        <w:rPr>
          <w:rFonts w:ascii="仿宋" w:hAnsi="仿宋" w:eastAsia="仿宋" w:cs="仿宋"/>
          <w:highlight w:val="none"/>
        </w:rPr>
        <w:t>029-8866125</w:t>
      </w:r>
      <w:r>
        <w:rPr>
          <w:rFonts w:hint="eastAsia" w:ascii="仿宋" w:hAnsi="仿宋" w:eastAsia="仿宋" w:cs="仿宋"/>
          <w:highlight w:val="none"/>
        </w:rPr>
        <w:t>7</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投诉书递交地址：西安市莲湖区冰窖巷</w:t>
      </w:r>
      <w:r>
        <w:rPr>
          <w:rFonts w:ascii="仿宋" w:hAnsi="仿宋" w:eastAsia="仿宋" w:cs="仿宋"/>
          <w:highlight w:val="none"/>
        </w:rPr>
        <w:t>6</w:t>
      </w:r>
      <w:r>
        <w:rPr>
          <w:rFonts w:hint="eastAsia" w:ascii="华文仿宋" w:hAnsi="华文仿宋" w:cs="华文仿宋"/>
          <w:highlight w:val="none"/>
        </w:rPr>
        <w:t>号陕西省财政厅</w:t>
      </w:r>
      <w:r>
        <w:rPr>
          <w:rFonts w:ascii="仿宋" w:hAnsi="仿宋" w:eastAsia="仿宋" w:cs="仿宋"/>
          <w:highlight w:val="none"/>
        </w:rPr>
        <w:t>509</w:t>
      </w:r>
      <w:r>
        <w:rPr>
          <w:rFonts w:hint="eastAsia" w:ascii="华文仿宋" w:hAnsi="华文仿宋" w:cs="华文仿宋"/>
          <w:highlight w:val="none"/>
        </w:rPr>
        <w:t>室</w:t>
      </w:r>
    </w:p>
    <w:p>
      <w:pPr>
        <w:spacing w:line="500" w:lineRule="exact"/>
        <w:ind w:firstLine="566" w:firstLineChars="200"/>
        <w:rPr>
          <w:rFonts w:ascii="华文仿宋" w:cs="Times New Roman"/>
          <w:highlight w:val="none"/>
          <w:u w:val="single"/>
        </w:rPr>
      </w:pPr>
      <w:r>
        <w:rPr>
          <w:rFonts w:hint="eastAsia" w:ascii="华文仿宋" w:hAnsi="华文仿宋" w:cs="华文仿宋"/>
          <w:highlight w:val="none"/>
        </w:rPr>
        <w:t>联系电话：</w:t>
      </w:r>
      <w:r>
        <w:rPr>
          <w:rFonts w:ascii="仿宋" w:hAnsi="仿宋" w:eastAsia="仿宋" w:cs="仿宋"/>
          <w:highlight w:val="none"/>
        </w:rPr>
        <w:t>029-68936154</w:t>
      </w:r>
    </w:p>
    <w:p>
      <w:pPr>
        <w:pStyle w:val="3"/>
        <w:spacing w:line="500" w:lineRule="exact"/>
        <w:ind w:firstLine="566" w:firstLineChars="200"/>
        <w:rPr>
          <w:rFonts w:ascii="华文仿宋" w:cs="Times New Roman"/>
          <w:sz w:val="28"/>
          <w:szCs w:val="28"/>
          <w:highlight w:val="none"/>
        </w:rPr>
      </w:pPr>
      <w:bookmarkStart w:id="101" w:name="_Toc13615"/>
      <w:bookmarkStart w:id="102" w:name="_Toc25731"/>
      <w:bookmarkStart w:id="103" w:name="_Toc7801"/>
      <w:bookmarkStart w:id="104" w:name="_Toc18975"/>
      <w:bookmarkStart w:id="105" w:name="_Toc5260"/>
      <w:bookmarkStart w:id="106" w:name="_Toc6747"/>
      <w:r>
        <w:rPr>
          <w:rFonts w:hint="eastAsia" w:ascii="华文仿宋" w:hAnsi="华文仿宋" w:cs="华文仿宋"/>
          <w:sz w:val="28"/>
          <w:szCs w:val="28"/>
          <w:highlight w:val="none"/>
        </w:rPr>
        <w:t>（四）关于信用记录的查询和使用</w:t>
      </w:r>
      <w:bookmarkEnd w:id="101"/>
      <w:bookmarkEnd w:id="102"/>
      <w:bookmarkEnd w:id="103"/>
      <w:bookmarkEnd w:id="104"/>
      <w:bookmarkEnd w:id="105"/>
      <w:bookmarkEnd w:id="106"/>
    </w:p>
    <w:p>
      <w:pPr>
        <w:wordWrap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、采购人将在资格审查阶段通过【</w:t>
      </w:r>
      <w:r>
        <w:rPr>
          <w:highlight w:val="none"/>
        </w:rPr>
        <w:fldChar w:fldCharType="begin"/>
      </w:r>
      <w:r>
        <w:rPr>
          <w:highlight w:val="none"/>
        </w:rPr>
        <w:instrText xml:space="preserve"> HYPERLINK "http://www.creditchina.gov.cn" </w:instrText>
      </w:r>
      <w:r>
        <w:rPr>
          <w:highlight w:val="none"/>
        </w:rPr>
        <w:fldChar w:fldCharType="separate"/>
      </w:r>
      <w:r>
        <w:rPr>
          <w:rStyle w:val="23"/>
          <w:rFonts w:hint="eastAsia" w:ascii="华文仿宋" w:hAnsi="华文仿宋" w:cs="华文仿宋"/>
          <w:color w:val="auto"/>
          <w:sz w:val="28"/>
          <w:szCs w:val="28"/>
          <w:highlight w:val="none"/>
        </w:rPr>
        <w:t>信用中国</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www.creditchina.gov.cn</w:t>
      </w:r>
      <w:r>
        <w:rPr>
          <w:rFonts w:hint="eastAsia" w:ascii="华文仿宋" w:hAnsi="华文仿宋" w:cs="华文仿宋"/>
          <w:highlight w:val="none"/>
        </w:rPr>
        <w:t>）】、【</w:t>
      </w:r>
      <w:r>
        <w:rPr>
          <w:highlight w:val="none"/>
        </w:rPr>
        <w:fldChar w:fldCharType="begin"/>
      </w:r>
      <w:r>
        <w:rPr>
          <w:highlight w:val="none"/>
        </w:rPr>
        <w:instrText xml:space="preserve"> HYPERLINK "http://www.ccgp.gov.cn/cr/list" </w:instrText>
      </w:r>
      <w:r>
        <w:rPr>
          <w:highlight w:val="none"/>
        </w:rPr>
        <w:fldChar w:fldCharType="separate"/>
      </w:r>
      <w:r>
        <w:rPr>
          <w:rStyle w:val="23"/>
          <w:rFonts w:hint="eastAsia" w:ascii="华文仿宋" w:hAnsi="华文仿宋" w:cs="华文仿宋"/>
          <w:color w:val="auto"/>
          <w:sz w:val="28"/>
          <w:szCs w:val="28"/>
          <w:highlight w:val="none"/>
        </w:rPr>
        <w:t>中国政府采购网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www.ccgp.gov.cn</w:t>
      </w:r>
      <w:r>
        <w:rPr>
          <w:rFonts w:hint="eastAsia" w:ascii="华文仿宋" w:hAnsi="华文仿宋" w:cs="华文仿宋"/>
          <w:highlight w:val="none"/>
        </w:rPr>
        <w:t>）】网站对投标文件中的《</w:t>
      </w:r>
      <w:r>
        <w:rPr>
          <w:rFonts w:hint="eastAsia" w:ascii="华文仿宋" w:hAnsi="华文仿宋" w:cs="华文仿宋"/>
          <w:highlight w:val="none"/>
          <w:lang w:eastAsia="zh-CN"/>
        </w:rPr>
        <w:t>投标人</w:t>
      </w:r>
      <w:r>
        <w:rPr>
          <w:rFonts w:hint="eastAsia" w:ascii="华文仿宋" w:hAnsi="华文仿宋" w:cs="华文仿宋"/>
          <w:highlight w:val="none"/>
        </w:rPr>
        <w:t>信用记录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w:t>
      </w:r>
      <w:r>
        <w:rPr>
          <w:rFonts w:hint="eastAsia" w:ascii="仿宋" w:hAnsi="仿宋" w:eastAsia="仿宋" w:cs="仿宋"/>
          <w:highlight w:val="none"/>
        </w:rPr>
        <w:t>〔</w:t>
      </w:r>
      <w:r>
        <w:rPr>
          <w:rFonts w:ascii="仿宋" w:hAnsi="仿宋" w:eastAsia="仿宋" w:cs="仿宋"/>
          <w:highlight w:val="none"/>
        </w:rPr>
        <w:t>2016</w:t>
      </w:r>
      <w:r>
        <w:rPr>
          <w:rFonts w:hint="eastAsia" w:ascii="仿宋" w:hAnsi="仿宋" w:eastAsia="仿宋" w:cs="仿宋"/>
          <w:highlight w:val="none"/>
        </w:rPr>
        <w:t>〕</w:t>
      </w:r>
      <w:r>
        <w:rPr>
          <w:rFonts w:ascii="仿宋" w:hAnsi="仿宋" w:eastAsia="仿宋" w:cs="仿宋"/>
          <w:highlight w:val="none"/>
        </w:rPr>
        <w:t>125</w:t>
      </w:r>
      <w:r>
        <w:rPr>
          <w:rFonts w:hint="eastAsia" w:ascii="华文仿宋" w:hAnsi="华文仿宋" w:cs="华文仿宋"/>
          <w:highlight w:val="none"/>
        </w:rPr>
        <w:t>号）的第二条第（三）款规定，其投标或成交资格将被取消。</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、投标人在参加政府采购活动前</w:t>
      </w:r>
      <w:r>
        <w:rPr>
          <w:rFonts w:ascii="仿宋" w:hAnsi="仿宋" w:eastAsia="仿宋" w:cs="仿宋"/>
          <w:highlight w:val="none"/>
        </w:rPr>
        <w:t>3</w:t>
      </w:r>
      <w:r>
        <w:rPr>
          <w:rFonts w:hint="eastAsia" w:ascii="华文仿宋" w:hAnsi="华文仿宋" w:cs="华文仿宋"/>
          <w:highlight w:val="none"/>
        </w:rPr>
        <w:t>年内因违法经营被禁止在一定期限内参加政府采购活动，期限届满的，可以参加政府采购活动的，但投标人应提供相关证明材料。</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投标人信用记录及企业基本信息查询的时间段为“招标公告发布之日（含当日）至提交投标文件截止之日（含当日）”。信用记录及企业基本信息查询的结果，可以纸质截图或将截图保存至电子介质的形式留存。投标人未如实填报《</w:t>
      </w:r>
      <w:r>
        <w:rPr>
          <w:rFonts w:hint="eastAsia" w:ascii="华文仿宋" w:hAnsi="华文仿宋" w:cs="华文仿宋"/>
          <w:highlight w:val="none"/>
          <w:lang w:eastAsia="zh-CN"/>
        </w:rPr>
        <w:t>投标人</w:t>
      </w:r>
      <w:r>
        <w:rPr>
          <w:rFonts w:hint="eastAsia" w:ascii="华文仿宋" w:hAnsi="华文仿宋" w:cs="华文仿宋"/>
          <w:highlight w:val="none"/>
        </w:rPr>
        <w:t>信用书面声明函》的，视为“投标人提供虚假材料谋取中标、成交的”行为。</w:t>
      </w:r>
    </w:p>
    <w:p>
      <w:pPr>
        <w:spacing w:line="500" w:lineRule="exact"/>
        <w:ind w:firstLine="566" w:firstLineChars="200"/>
        <w:rPr>
          <w:rFonts w:ascii="华文仿宋" w:cs="Times New Roman"/>
          <w:b/>
          <w:bCs/>
          <w:highlight w:val="none"/>
        </w:rPr>
      </w:pPr>
      <w:r>
        <w:rPr>
          <w:rFonts w:ascii="华文仿宋" w:hAnsi="华文仿宋" w:cs="华文仿宋"/>
          <w:highlight w:val="none"/>
        </w:rPr>
        <w:t>4</w:t>
      </w:r>
      <w:r>
        <w:rPr>
          <w:rFonts w:hint="eastAsia" w:ascii="华文仿宋" w:hAnsi="华文仿宋" w:cs="华文仿宋"/>
          <w:highlight w:val="none"/>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p>
      <w:pPr>
        <w:pStyle w:val="3"/>
        <w:spacing w:line="500" w:lineRule="exact"/>
        <w:ind w:firstLine="566" w:firstLineChars="200"/>
        <w:rPr>
          <w:rFonts w:ascii="华文仿宋" w:cs="Times New Roman"/>
          <w:sz w:val="28"/>
          <w:szCs w:val="28"/>
          <w:highlight w:val="none"/>
        </w:rPr>
      </w:pPr>
      <w:bookmarkStart w:id="107" w:name="_Toc17203"/>
      <w:bookmarkStart w:id="108" w:name="_Toc21151"/>
      <w:bookmarkStart w:id="109" w:name="_Toc8532"/>
      <w:bookmarkStart w:id="110" w:name="_Toc5640"/>
      <w:bookmarkStart w:id="111" w:name="_Toc22297"/>
      <w:bookmarkStart w:id="112" w:name="_Toc24208"/>
      <w:r>
        <w:rPr>
          <w:rFonts w:hint="eastAsia" w:ascii="华文仿宋" w:hAnsi="华文仿宋" w:cs="华文仿宋"/>
          <w:sz w:val="28"/>
          <w:szCs w:val="28"/>
          <w:highlight w:val="none"/>
        </w:rPr>
        <w:t>（五）落实的政府采购政策</w:t>
      </w:r>
      <w:bookmarkEnd w:id="107"/>
      <w:bookmarkEnd w:id="108"/>
      <w:bookmarkEnd w:id="109"/>
      <w:bookmarkEnd w:id="110"/>
      <w:bookmarkEnd w:id="111"/>
      <w:bookmarkEnd w:id="112"/>
    </w:p>
    <w:p>
      <w:pPr>
        <w:spacing w:line="500" w:lineRule="exact"/>
        <w:ind w:firstLine="566" w:firstLineChars="200"/>
        <w:rPr>
          <w:rFonts w:ascii="华文仿宋" w:hAnsi="华文仿宋" w:cs="华文仿宋"/>
          <w:color w:val="000000"/>
          <w:highlight w:val="none"/>
        </w:rPr>
      </w:pPr>
      <w:r>
        <w:rPr>
          <w:rFonts w:ascii="华文仿宋" w:hAnsi="华文仿宋" w:cs="华文仿宋"/>
          <w:color w:val="000000"/>
          <w:highlight w:val="none"/>
        </w:rPr>
        <w:t>1</w:t>
      </w:r>
      <w:r>
        <w:rPr>
          <w:rFonts w:hint="eastAsia" w:ascii="华文仿宋" w:hAnsi="华文仿宋" w:cs="华文仿宋"/>
          <w:color w:val="000000"/>
          <w:highlight w:val="none"/>
        </w:rPr>
        <w:t>、根据《政府采购促进中小企业发展管理办法》（财库</w:t>
      </w:r>
      <w:r>
        <w:rPr>
          <w:rFonts w:hint="eastAsia" w:ascii="仿宋" w:hAnsi="仿宋" w:eastAsia="仿宋" w:cs="仿宋"/>
          <w:color w:val="000000"/>
          <w:highlight w:val="none"/>
        </w:rPr>
        <w:t>〔</w:t>
      </w:r>
      <w:r>
        <w:rPr>
          <w:rFonts w:ascii="仿宋" w:hAnsi="仿宋" w:eastAsia="仿宋" w:cs="仿宋"/>
          <w:color w:val="000000"/>
          <w:highlight w:val="none"/>
        </w:rPr>
        <w:t>20</w:t>
      </w:r>
      <w:r>
        <w:rPr>
          <w:rFonts w:hint="eastAsia" w:ascii="仿宋" w:hAnsi="仿宋" w:eastAsia="仿宋" w:cs="仿宋"/>
          <w:color w:val="000000"/>
          <w:highlight w:val="none"/>
        </w:rPr>
        <w:t>20〕46</w:t>
      </w:r>
      <w:r>
        <w:rPr>
          <w:rFonts w:hint="eastAsia" w:ascii="华文仿宋" w:hAnsi="华文仿宋" w:cs="华文仿宋"/>
          <w:color w:val="000000"/>
          <w:highlight w:val="none"/>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w:t>
      </w:r>
      <w:r>
        <w:rPr>
          <w:rFonts w:ascii="仿宋" w:hAnsi="仿宋" w:eastAsia="仿宋" w:cs="仿宋"/>
          <w:color w:val="000000"/>
          <w:highlight w:val="none"/>
        </w:rPr>
        <w:t>6%-10%</w:t>
      </w:r>
      <w:r>
        <w:rPr>
          <w:rFonts w:hint="eastAsia" w:ascii="华文仿宋" w:hAnsi="华文仿宋" w:cs="华文仿宋"/>
          <w:color w:val="000000"/>
          <w:highlight w:val="none"/>
        </w:rPr>
        <w:t>的价格扣除，工程项目给予3</w:t>
      </w:r>
      <w:r>
        <w:rPr>
          <w:rFonts w:ascii="仿宋" w:hAnsi="仿宋" w:eastAsia="仿宋" w:cs="仿宋"/>
          <w:color w:val="000000"/>
          <w:highlight w:val="none"/>
        </w:rPr>
        <w:t>%-</w:t>
      </w:r>
      <w:r>
        <w:rPr>
          <w:rFonts w:hint="eastAsia" w:ascii="仿宋" w:hAnsi="仿宋" w:eastAsia="仿宋" w:cs="仿宋"/>
          <w:color w:val="000000"/>
          <w:highlight w:val="none"/>
        </w:rPr>
        <w:t>5</w:t>
      </w:r>
      <w:r>
        <w:rPr>
          <w:rFonts w:ascii="仿宋" w:hAnsi="仿宋" w:eastAsia="仿宋" w:cs="仿宋"/>
          <w:color w:val="000000"/>
          <w:highlight w:val="none"/>
        </w:rPr>
        <w:t>%</w:t>
      </w:r>
      <w:r>
        <w:rPr>
          <w:rFonts w:hint="eastAsia" w:ascii="华文仿宋" w:hAnsi="华文仿宋" w:cs="华文仿宋"/>
          <w:color w:val="000000"/>
          <w:highlight w:val="none"/>
        </w:rPr>
        <w:t>的价格扣除，用扣除后的价格参与评审。</w:t>
      </w:r>
    </w:p>
    <w:p>
      <w:pPr>
        <w:spacing w:line="500" w:lineRule="exact"/>
        <w:ind w:firstLine="566" w:firstLineChars="200"/>
        <w:rPr>
          <w:rFonts w:ascii="华文仿宋" w:cs="Times New Roman"/>
          <w:color w:val="000000"/>
          <w:highlight w:val="none"/>
        </w:rPr>
      </w:pPr>
      <w:r>
        <w:rPr>
          <w:rFonts w:hint="eastAsia" w:ascii="华文仿宋" w:hAnsi="华文仿宋" w:cs="华文仿宋"/>
          <w:color w:val="000000"/>
          <w:highlight w:val="none"/>
        </w:rPr>
        <w:t>在货物采购项目中，</w:t>
      </w:r>
      <w:r>
        <w:rPr>
          <w:rFonts w:hint="eastAsia" w:ascii="华文仿宋" w:hAnsi="华文仿宋" w:cs="华文仿宋"/>
          <w:color w:val="000000"/>
          <w:highlight w:val="none"/>
          <w:lang w:eastAsia="zh-CN"/>
        </w:rPr>
        <w:t>投标人</w:t>
      </w:r>
      <w:r>
        <w:rPr>
          <w:rFonts w:hint="eastAsia" w:ascii="华文仿宋" w:hAnsi="华文仿宋" w:cs="华文仿宋"/>
          <w:color w:val="000000"/>
          <w:highlight w:val="none"/>
        </w:rPr>
        <w:t>提供的货物既有中小企业制造货物，也有大型企业制造货物的，不享受政府采购价格扣除优惠政策。</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2%-3%的扣除，工程项目为1%—2%的扣除。联合体各方均为小型、微型企业的，联合体视同为小型、微型企业。组成联合体或者接受分包的小微企业与联合体内其他企业、分包企业之间存在直接控股、管理关系的，不享受价格扣除优惠政策。</w:t>
      </w:r>
    </w:p>
    <w:p>
      <w:pPr>
        <w:spacing w:line="500" w:lineRule="exact"/>
        <w:ind w:firstLine="566" w:firstLineChars="200"/>
        <w:rPr>
          <w:highlight w:val="none"/>
        </w:rPr>
      </w:pPr>
      <w:r>
        <w:rPr>
          <w:rFonts w:hint="eastAsia" w:ascii="华文仿宋" w:hAnsi="华文仿宋" w:cs="华文仿宋"/>
          <w:color w:val="000000"/>
          <w:highlight w:val="none"/>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参加政府采购活动的中小企业应提供《中小企业声明函》原件。未提供上述声明函原件的，则投标文件无效。</w:t>
      </w:r>
    </w:p>
    <w:p>
      <w:pPr>
        <w:pStyle w:val="5"/>
        <w:ind w:firstLine="426" w:firstLineChars="200"/>
        <w:rPr>
          <w:rFonts w:ascii="华文仿宋" w:hAnsi="华文仿宋" w:cs="华文仿宋"/>
          <w:color w:val="000000"/>
          <w:sz w:val="24"/>
          <w:szCs w:val="24"/>
          <w:highlight w:val="none"/>
        </w:rPr>
      </w:pPr>
      <w:r>
        <w:rPr>
          <w:rFonts w:hint="eastAsia" w:asciiTheme="minorEastAsia" w:hAnsiTheme="minorEastAsia" w:eastAsiaTheme="minorEastAsia" w:cstheme="minorEastAsia"/>
          <w:color w:val="000000"/>
          <w:sz w:val="21"/>
          <w:szCs w:val="21"/>
          <w:highlight w:val="none"/>
        </w:rPr>
        <w:t>备注：</w:t>
      </w:r>
      <w:r>
        <w:rPr>
          <w:rFonts w:hint="eastAsia" w:asciiTheme="minorEastAsia" w:hAnsiTheme="minorEastAsia" w:eastAsiaTheme="minorEastAsia" w:cstheme="minorEastAsia"/>
          <w:sz w:val="21"/>
          <w:szCs w:val="21"/>
          <w:highlight w:val="none"/>
        </w:rPr>
        <w:t>中小企业划分标准参照《中小企业划型标准规定》（工信部联企业〔2011〕300号）执行</w:t>
      </w:r>
      <w:r>
        <w:rPr>
          <w:rFonts w:hint="eastAsia" w:ascii="仿宋" w:hAnsi="仿宋" w:eastAsia="仿宋" w:cs="仿宋"/>
          <w:sz w:val="24"/>
          <w:szCs w:val="24"/>
          <w:highlight w:val="none"/>
        </w:rPr>
        <w:t>。</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highlight w:val="none"/>
          <w:lang w:val="zh-CN"/>
        </w:rPr>
        <w:t>监狱企业应符合《财政部</w:t>
      </w:r>
      <w:r>
        <w:rPr>
          <w:rFonts w:hint="eastAsia" w:ascii="华文仿宋" w:hAnsi="华文仿宋" w:cs="华文仿宋"/>
          <w:highlight w:val="none"/>
        </w:rPr>
        <w:t>司法部关于政府采购支持监狱企业发展有关问题的通知》（财库〔</w:t>
      </w:r>
      <w:r>
        <w:rPr>
          <w:rFonts w:hint="eastAsia" w:ascii="仿宋" w:hAnsi="仿宋" w:eastAsia="仿宋" w:cs="仿宋"/>
          <w:highlight w:val="none"/>
        </w:rPr>
        <w:t>2014</w:t>
      </w:r>
      <w:r>
        <w:rPr>
          <w:rFonts w:hint="eastAsia" w:ascii="华文仿宋" w:hAnsi="华文仿宋" w:cs="华文仿宋"/>
          <w:highlight w:val="none"/>
        </w:rPr>
        <w:t>〕</w:t>
      </w:r>
      <w:r>
        <w:rPr>
          <w:rFonts w:hint="eastAsia" w:ascii="仿宋" w:hAnsi="仿宋" w:eastAsia="仿宋" w:cs="仿宋"/>
          <w:highlight w:val="none"/>
        </w:rPr>
        <w:t>68</w:t>
      </w:r>
      <w:r>
        <w:rPr>
          <w:rFonts w:hint="eastAsia" w:ascii="华文仿宋" w:hAnsi="华文仿宋" w:cs="华文仿宋"/>
          <w:highlight w:val="none"/>
        </w:rPr>
        <w:t>号）文件规定</w:t>
      </w:r>
      <w:r>
        <w:rPr>
          <w:rFonts w:hint="eastAsia" w:ascii="华文仿宋" w:hAnsi="华文仿宋" w:cs="华文仿宋"/>
          <w:highlight w:val="none"/>
          <w:lang w:val="zh-CN"/>
        </w:rPr>
        <w:t>，并提供由省级以上监狱管理局、戒毒管理局</w:t>
      </w:r>
      <w:r>
        <w:rPr>
          <w:rFonts w:ascii="华文仿宋" w:hAnsi="华文仿宋" w:cs="华文仿宋"/>
          <w:highlight w:val="none"/>
          <w:lang w:val="zh-CN"/>
        </w:rPr>
        <w:t>(</w:t>
      </w:r>
      <w:r>
        <w:rPr>
          <w:rFonts w:hint="eastAsia" w:ascii="华文仿宋" w:hAnsi="华文仿宋" w:cs="华文仿宋"/>
          <w:highlight w:val="none"/>
          <w:lang w:val="zh-CN"/>
        </w:rPr>
        <w:t>含新疆生产建设兵团</w:t>
      </w:r>
      <w:r>
        <w:rPr>
          <w:rFonts w:ascii="华文仿宋" w:hAnsi="华文仿宋" w:cs="华文仿宋"/>
          <w:highlight w:val="none"/>
          <w:lang w:val="zh-CN"/>
        </w:rPr>
        <w:t>)</w:t>
      </w:r>
      <w:r>
        <w:rPr>
          <w:rFonts w:hint="eastAsia" w:ascii="华文仿宋" w:hAnsi="华文仿宋" w:cs="华文仿宋"/>
          <w:highlight w:val="none"/>
          <w:lang w:val="zh-CN"/>
        </w:rPr>
        <w:t>出具的属于</w:t>
      </w:r>
      <w:r>
        <w:rPr>
          <w:rFonts w:hint="eastAsia" w:ascii="华文仿宋" w:hAnsi="华文仿宋" w:cs="华文仿宋"/>
          <w:b/>
          <w:bCs/>
          <w:highlight w:val="none"/>
          <w:lang w:val="zh-CN"/>
        </w:rPr>
        <w:t>监狱企业的证明文件</w:t>
      </w:r>
      <w:r>
        <w:rPr>
          <w:rFonts w:hint="eastAsia" w:ascii="华文仿宋" w:hAnsi="华文仿宋" w:cs="华文仿宋"/>
          <w:highlight w:val="none"/>
          <w:lang w:val="zh-CN"/>
        </w:rPr>
        <w:t>复印件，监狱和戒毒企业</w:t>
      </w:r>
      <w:r>
        <w:rPr>
          <w:rFonts w:hint="eastAsia" w:ascii="华文仿宋" w:hAnsi="华文仿宋" w:cs="华文仿宋"/>
          <w:highlight w:val="none"/>
        </w:rPr>
        <w:t>视同小型、微型企业。</w:t>
      </w:r>
    </w:p>
    <w:p>
      <w:pPr>
        <w:widowControl w:val="0"/>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、根据财政部、民政部、中国残疾人联合会下发的《关于促进残疾人就业政府采购政策的通知》（财库</w:t>
      </w:r>
      <w:r>
        <w:rPr>
          <w:rFonts w:hint="eastAsia" w:ascii="仿宋" w:hAnsi="仿宋" w:eastAsia="仿宋" w:cs="仿宋"/>
          <w:highlight w:val="none"/>
        </w:rPr>
        <w:t>〔</w:t>
      </w:r>
      <w:r>
        <w:rPr>
          <w:rFonts w:ascii="仿宋" w:hAnsi="仿宋" w:eastAsia="仿宋" w:cs="仿宋"/>
          <w:highlight w:val="none"/>
        </w:rPr>
        <w:t>2017</w:t>
      </w:r>
      <w:r>
        <w:rPr>
          <w:rFonts w:hint="eastAsia" w:ascii="仿宋" w:hAnsi="仿宋" w:eastAsia="仿宋" w:cs="仿宋"/>
          <w:highlight w:val="none"/>
        </w:rPr>
        <w:t>〕</w:t>
      </w:r>
      <w:r>
        <w:rPr>
          <w:rFonts w:ascii="仿宋" w:hAnsi="仿宋" w:eastAsia="仿宋" w:cs="仿宋"/>
          <w:highlight w:val="none"/>
        </w:rPr>
        <w:t>141</w:t>
      </w:r>
      <w:r>
        <w:rPr>
          <w:rFonts w:hint="eastAsia" w:ascii="华文仿宋" w:hAnsi="华文仿宋" w:cs="华文仿宋"/>
          <w:highlight w:val="none"/>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参加政府采购活动的残疾人单位应提供《残疾人福利性单位声明函》原件。未提供上述声明函原件，则投标文件无效。</w:t>
      </w:r>
    </w:p>
    <w:p>
      <w:pPr>
        <w:pStyle w:val="10"/>
        <w:spacing w:line="500" w:lineRule="exact"/>
        <w:ind w:firstLine="566" w:firstLineChars="200"/>
        <w:rPr>
          <w:rFonts w:ascii="华文仿宋" w:hAnsi="华文仿宋" w:eastAsia="华文仿宋" w:cs="华文仿宋"/>
          <w:sz w:val="28"/>
          <w:szCs w:val="28"/>
          <w:highlight w:val="none"/>
        </w:rPr>
      </w:pPr>
      <w:r>
        <w:rPr>
          <w:rFonts w:hint="eastAsia" w:ascii="华文仿宋" w:hAnsi="华文仿宋" w:eastAsia="华文仿宋" w:cs="华文仿宋"/>
          <w:sz w:val="28"/>
          <w:szCs w:val="28"/>
          <w:highlight w:val="none"/>
        </w:rPr>
        <w:t>4、根据财政部、国家发改委、生态环境部、市场监管总局联合印发《关于调整优化节能产品、环境标志产品政府采购执行机制的通知》（财库</w:t>
      </w:r>
      <w:r>
        <w:rPr>
          <w:rFonts w:hint="eastAsia" w:ascii="仿宋" w:hAnsi="仿宋" w:eastAsia="仿宋" w:cs="仿宋"/>
          <w:sz w:val="28"/>
          <w:szCs w:val="28"/>
          <w:highlight w:val="none"/>
        </w:rPr>
        <w:t>〔2019〕9</w:t>
      </w:r>
      <w:r>
        <w:rPr>
          <w:rFonts w:hint="eastAsia" w:ascii="华文仿宋" w:hAnsi="华文仿宋" w:eastAsia="华文仿宋" w:cs="华文仿宋"/>
          <w:sz w:val="28"/>
          <w:szCs w:val="28"/>
          <w:highlight w:val="none"/>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500" w:lineRule="exact"/>
        <w:ind w:firstLine="566" w:firstLineChars="200"/>
        <w:rPr>
          <w:rFonts w:ascii="华文仿宋" w:hAnsi="华文仿宋" w:cs="华文仿宋"/>
          <w:highlight w:val="none"/>
        </w:rPr>
      </w:pPr>
      <w:r>
        <w:rPr>
          <w:rFonts w:hint="eastAsia" w:ascii="华文仿宋" w:hAnsi="华文仿宋" w:cs="华文仿宋"/>
          <w:kern w:val="0"/>
          <w:highlight w:val="none"/>
        </w:rPr>
        <w:t>5、根据国务院办公厅《关于建立政府强制采购节能产品制度的通知》（国办发</w:t>
      </w:r>
      <w:r>
        <w:rPr>
          <w:rFonts w:hint="eastAsia" w:ascii="仿宋" w:hAnsi="仿宋" w:eastAsia="仿宋" w:cs="仿宋"/>
          <w:kern w:val="0"/>
          <w:highlight w:val="none"/>
        </w:rPr>
        <w:t>〔2007〕51</w:t>
      </w:r>
      <w:r>
        <w:rPr>
          <w:rFonts w:hint="eastAsia" w:ascii="华文仿宋" w:hAnsi="华文仿宋" w:cs="华文仿宋"/>
          <w:kern w:val="0"/>
          <w:highlight w:val="none"/>
        </w:rPr>
        <w:t>号）有关要求，在技术、服务等指标满足采购需求的前提下，要优先采购节能产品，对部分节能效果、性能等达到要求的产品，实行强制采购。</w:t>
      </w:r>
    </w:p>
    <w:p>
      <w:pPr>
        <w:pStyle w:val="5"/>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6、节能产品政府采购品目清单详见财政部、发展改革委《关于印发节能产品政府采购品目清单的通知》（财库</w:t>
      </w:r>
      <w:r>
        <w:rPr>
          <w:rFonts w:hint="eastAsia" w:ascii="仿宋" w:hAnsi="仿宋" w:eastAsia="仿宋" w:cs="仿宋"/>
          <w:kern w:val="0"/>
          <w:highlight w:val="none"/>
        </w:rPr>
        <w:t>〔2019〕19</w:t>
      </w:r>
      <w:r>
        <w:rPr>
          <w:rFonts w:hint="eastAsia" w:ascii="华文仿宋" w:hAnsi="华文仿宋" w:cs="华文仿宋"/>
          <w:kern w:val="0"/>
          <w:highlight w:val="none"/>
        </w:rPr>
        <w:t>号）。</w:t>
      </w:r>
    </w:p>
    <w:p>
      <w:pPr>
        <w:pStyle w:val="5"/>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7、环境标志产品政府采购品目清单详见财政部、生态环境部《关于印发环境标志产品政府采购品目清单的通知》（财库</w:t>
      </w:r>
      <w:r>
        <w:rPr>
          <w:rFonts w:hint="eastAsia" w:ascii="仿宋" w:hAnsi="仿宋" w:eastAsia="仿宋" w:cs="仿宋"/>
          <w:kern w:val="0"/>
          <w:highlight w:val="none"/>
        </w:rPr>
        <w:t>〔2019〕18</w:t>
      </w:r>
      <w:r>
        <w:rPr>
          <w:rFonts w:hint="eastAsia" w:ascii="华文仿宋" w:hAnsi="华文仿宋" w:cs="华文仿宋"/>
          <w:kern w:val="0"/>
          <w:highlight w:val="none"/>
        </w:rPr>
        <w:t>号）。</w:t>
      </w:r>
    </w:p>
    <w:p>
      <w:pPr>
        <w:pStyle w:val="5"/>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8、国家确定的节能产品、环境标志产品认证机构详见市场监管总局《关于发布参与实施政府采购节能产品、环境标志产品认证机构名录的公告》（</w:t>
      </w:r>
      <w:r>
        <w:rPr>
          <w:rFonts w:hint="eastAsia" w:ascii="仿宋" w:hAnsi="仿宋" w:eastAsia="仿宋" w:cs="仿宋"/>
          <w:kern w:val="0"/>
          <w:highlight w:val="none"/>
        </w:rPr>
        <w:t>2019</w:t>
      </w:r>
      <w:r>
        <w:rPr>
          <w:rFonts w:hint="eastAsia" w:ascii="华文仿宋" w:hAnsi="华文仿宋" w:cs="华文仿宋"/>
          <w:kern w:val="0"/>
          <w:highlight w:val="none"/>
        </w:rPr>
        <w:t>年第</w:t>
      </w:r>
      <w:r>
        <w:rPr>
          <w:rFonts w:hint="eastAsia" w:ascii="仿宋" w:hAnsi="仿宋" w:eastAsia="仿宋" w:cs="仿宋"/>
          <w:kern w:val="0"/>
          <w:highlight w:val="none"/>
        </w:rPr>
        <w:t>16</w:t>
      </w:r>
      <w:r>
        <w:rPr>
          <w:rFonts w:hint="eastAsia" w:ascii="华文仿宋" w:hAnsi="华文仿宋" w:cs="华文仿宋"/>
          <w:kern w:val="0"/>
          <w:highlight w:val="none"/>
        </w:rPr>
        <w:t>号）。</w:t>
      </w:r>
    </w:p>
    <w:p>
      <w:pPr>
        <w:pStyle w:val="5"/>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9、根据《财政部 农业农村部 国家乡村振兴局关于运用政府采购政策支持乡村产业振兴的通知》（财库</w:t>
      </w:r>
      <w:r>
        <w:rPr>
          <w:rFonts w:hint="eastAsia" w:ascii="仿宋" w:hAnsi="仿宋" w:eastAsia="仿宋" w:cs="仿宋"/>
          <w:kern w:val="0"/>
          <w:highlight w:val="none"/>
        </w:rPr>
        <w:t>〔2021〕19</w:t>
      </w:r>
      <w:r>
        <w:rPr>
          <w:rFonts w:hint="eastAsia" w:ascii="华文仿宋" w:hAnsi="华文仿宋" w:cs="华文仿宋"/>
          <w:kern w:val="0"/>
          <w:highlight w:val="none"/>
        </w:rPr>
        <w:t>号），自</w:t>
      </w:r>
      <w:r>
        <w:rPr>
          <w:rFonts w:hint="eastAsia" w:ascii="仿宋" w:hAnsi="仿宋" w:eastAsia="仿宋" w:cs="仿宋"/>
          <w:kern w:val="0"/>
          <w:highlight w:val="none"/>
        </w:rPr>
        <w:t>2021</w:t>
      </w:r>
      <w:r>
        <w:rPr>
          <w:rFonts w:hint="eastAsia" w:ascii="华文仿宋" w:hAnsi="华文仿宋" w:cs="华文仿宋"/>
          <w:kern w:val="0"/>
          <w:highlight w:val="none"/>
        </w:rPr>
        <w:t>年起，各级预算单位应当按照不低于10%的比例预留年度食堂食材采购份额，通过脱贫地区农副产品网络销售平台采购脱贫地区农副产品。</w:t>
      </w:r>
    </w:p>
    <w:p>
      <w:pPr>
        <w:pStyle w:val="5"/>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kern w:val="0"/>
          <w:highlight w:val="none"/>
        </w:rPr>
        <w:t>〔2021〕20</w:t>
      </w:r>
      <w:r>
        <w:rPr>
          <w:rFonts w:hint="eastAsia" w:ascii="华文仿宋" w:hAnsi="华文仿宋" w:cs="华文仿宋"/>
          <w:kern w:val="0"/>
          <w:highlight w:val="none"/>
        </w:rPr>
        <w:t>号），各级预算单位要按照不低于</w:t>
      </w:r>
      <w:r>
        <w:rPr>
          <w:rFonts w:hint="eastAsia" w:ascii="仿宋" w:hAnsi="仿宋" w:eastAsia="仿宋" w:cs="仿宋"/>
          <w:kern w:val="0"/>
          <w:highlight w:val="none"/>
        </w:rPr>
        <w:t>10%</w:t>
      </w:r>
      <w:r>
        <w:rPr>
          <w:rFonts w:hint="eastAsia" w:ascii="华文仿宋" w:hAnsi="华文仿宋" w:cs="华文仿宋"/>
          <w:kern w:val="0"/>
          <w:highlight w:val="none"/>
        </w:rPr>
        <w:t>的预留比例在“</w:t>
      </w:r>
      <w:r>
        <w:rPr>
          <w:rFonts w:hint="eastAsia" w:ascii="仿宋" w:hAnsi="仿宋" w:eastAsia="仿宋" w:cs="仿宋"/>
          <w:kern w:val="0"/>
          <w:highlight w:val="none"/>
        </w:rPr>
        <w:t>832</w:t>
      </w:r>
      <w:r>
        <w:rPr>
          <w:rFonts w:hint="eastAsia" w:ascii="华文仿宋" w:hAnsi="华文仿宋" w:cs="华文仿宋"/>
          <w:kern w:val="0"/>
          <w:highlight w:val="none"/>
        </w:rPr>
        <w:t>平台”填报预留份额。鼓励各级预算单位工会组织通过“</w:t>
      </w:r>
      <w:r>
        <w:rPr>
          <w:rFonts w:hint="eastAsia" w:ascii="仿宋" w:hAnsi="仿宋" w:eastAsia="仿宋" w:cs="仿宋"/>
          <w:kern w:val="0"/>
          <w:highlight w:val="none"/>
        </w:rPr>
        <w:t>832</w:t>
      </w:r>
      <w:r>
        <w:rPr>
          <w:rFonts w:hint="eastAsia" w:ascii="华文仿宋" w:hAnsi="华文仿宋" w:cs="华文仿宋"/>
          <w:kern w:val="0"/>
          <w:highlight w:val="none"/>
        </w:rPr>
        <w:t>平台”采购工会福利、慰问品等，有关采购金额计入本单位年度采购总额。</w:t>
      </w:r>
    </w:p>
    <w:p>
      <w:pPr>
        <w:pStyle w:val="5"/>
        <w:spacing w:line="500" w:lineRule="exact"/>
        <w:ind w:firstLine="566" w:firstLineChars="200"/>
        <w:rPr>
          <w:rFonts w:ascii="华文仿宋" w:hAnsi="华文仿宋" w:cs="华文仿宋"/>
          <w:kern w:val="0"/>
          <w:highlight w:val="none"/>
        </w:rPr>
      </w:pPr>
      <w:r>
        <w:rPr>
          <w:rFonts w:hint="eastAsia" w:ascii="华文仿宋" w:hAnsi="华文仿宋" w:cs="华文仿宋"/>
          <w:kern w:val="0"/>
          <w:highlight w:val="none"/>
        </w:rPr>
        <w:t>11、根据《陕西省财政厅关于加快推进我省中小企业政府采购信用融资工作的通知》（陕财办采</w:t>
      </w:r>
      <w:r>
        <w:rPr>
          <w:rFonts w:hint="eastAsia" w:ascii="仿宋" w:hAnsi="仿宋" w:eastAsia="仿宋" w:cs="仿宋"/>
          <w:kern w:val="0"/>
          <w:highlight w:val="none"/>
        </w:rPr>
        <w:t>〔2020〕15</w:t>
      </w:r>
      <w:r>
        <w:rPr>
          <w:rFonts w:hint="eastAsia" w:ascii="华文仿宋" w:hAnsi="华文仿宋" w:cs="华文仿宋"/>
          <w:kern w:val="0"/>
          <w:highlight w:val="none"/>
        </w:rPr>
        <w:t>号）规定“有融资需求的</w:t>
      </w:r>
      <w:r>
        <w:rPr>
          <w:rFonts w:hint="eastAsia" w:ascii="华文仿宋" w:hAnsi="华文仿宋" w:cs="华文仿宋"/>
          <w:kern w:val="0"/>
          <w:highlight w:val="none"/>
          <w:lang w:eastAsia="zh-CN"/>
        </w:rPr>
        <w:t>投标人</w:t>
      </w:r>
      <w:r>
        <w:rPr>
          <w:rFonts w:hint="eastAsia" w:ascii="华文仿宋" w:hAnsi="华文仿宋" w:cs="华文仿宋"/>
          <w:kern w:val="0"/>
          <w:highlight w:val="none"/>
        </w:rPr>
        <w:t>可根据自身情况，在陕西省政府采购信用融资平台（含各市分平台）自主选择金融机构及其融资产品，凭政府采购中标（成交）通知书或政府采购合同向金融机构提出融资申请。”</w:t>
      </w:r>
    </w:p>
    <w:p>
      <w:pPr>
        <w:spacing w:line="500" w:lineRule="exact"/>
        <w:ind w:firstLine="566" w:firstLineChars="200"/>
        <w:jc w:val="left"/>
        <w:rPr>
          <w:rFonts w:ascii="华文仿宋" w:hAnsi="华文仿宋" w:cs="华文仿宋"/>
          <w:color w:val="000000"/>
          <w:kern w:val="0"/>
          <w:highlight w:val="none"/>
        </w:rPr>
      </w:pPr>
      <w:bookmarkStart w:id="113" w:name="_Toc10798"/>
      <w:bookmarkStart w:id="114" w:name="_Toc1927"/>
      <w:bookmarkStart w:id="115" w:name="_Toc6102"/>
      <w:bookmarkStart w:id="116" w:name="_Toc29136"/>
      <w:bookmarkStart w:id="117" w:name="_Toc22218"/>
      <w:bookmarkStart w:id="118" w:name="_Toc23236"/>
      <w:r>
        <w:rPr>
          <w:rFonts w:hint="eastAsia" w:ascii="华文仿宋" w:hAnsi="华文仿宋" w:cs="华文仿宋"/>
          <w:color w:val="000000"/>
          <w:kern w:val="0"/>
          <w:highlight w:val="none"/>
        </w:rPr>
        <w:t>12、根据陕西省财政厅关于印发《陕西省中小企业政府采购信用融资</w:t>
      </w:r>
    </w:p>
    <w:p>
      <w:pPr>
        <w:wordWrap w:val="0"/>
        <w:spacing w:line="500" w:lineRule="exact"/>
        <w:jc w:val="left"/>
        <w:rPr>
          <w:rFonts w:ascii="华文仿宋" w:hAnsi="华文仿宋" w:cs="华文仿宋"/>
          <w:kern w:val="0"/>
          <w:highlight w:val="none"/>
        </w:rPr>
      </w:pPr>
      <w:r>
        <w:rPr>
          <w:rFonts w:hint="eastAsia" w:ascii="华文仿宋" w:hAnsi="华文仿宋" w:cs="华文仿宋"/>
          <w:color w:val="000000"/>
          <w:kern w:val="0"/>
          <w:highlight w:val="none"/>
        </w:rPr>
        <w:t>办法》（陕财办采</w:t>
      </w:r>
      <w:r>
        <w:rPr>
          <w:rFonts w:hint="eastAsia" w:ascii="仿宋" w:hAnsi="仿宋" w:eastAsia="仿宋" w:cs="仿宋"/>
          <w:color w:val="000000"/>
          <w:kern w:val="0"/>
          <w:highlight w:val="none"/>
        </w:rPr>
        <w:t>〔2018〕23</w:t>
      </w:r>
      <w:r>
        <w:rPr>
          <w:rFonts w:hint="eastAsia" w:ascii="华文仿宋" w:hAnsi="华文仿宋" w:cs="华文仿宋"/>
          <w:color w:val="000000"/>
          <w:kern w:val="0"/>
          <w:highlight w:val="none"/>
        </w:rPr>
        <w:t>号）规定“</w:t>
      </w:r>
      <w:r>
        <w:rPr>
          <w:rFonts w:hint="eastAsia" w:ascii="仿宋" w:hAnsi="仿宋" w:eastAsia="仿宋" w:cs="仿宋"/>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陕西省政府采购信用融资平台</w:t>
      </w:r>
      <w:r>
        <w:rPr>
          <w:rFonts w:hint="eastAsia" w:ascii="华文仿宋" w:hAnsi="华文仿宋" w:cs="华文仿宋"/>
          <w:kern w:val="0"/>
          <w:highlight w:val="none"/>
        </w:rPr>
        <w:fldChar w:fldCharType="end"/>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http://www.ccgp-shaanxi.gov.cn/zcdservice/zcd/shanxi/）。</w:t>
      </w:r>
      <w:r>
        <w:rPr>
          <w:rFonts w:hint="eastAsia" w:ascii="华文仿宋" w:hAnsi="华文仿宋" w:cs="华文仿宋"/>
          <w:kern w:val="0"/>
          <w:highlight w:val="none"/>
        </w:rPr>
        <w:fldChar w:fldCharType="end"/>
      </w:r>
    </w:p>
    <w:p>
      <w:pPr>
        <w:spacing w:line="500" w:lineRule="exact"/>
        <w:ind w:firstLine="566" w:firstLineChars="200"/>
        <w:rPr>
          <w:b/>
          <w:bCs/>
          <w:highlight w:val="none"/>
        </w:rPr>
      </w:pPr>
      <w:bookmarkStart w:id="119" w:name="_Toc22712"/>
      <w:r>
        <w:rPr>
          <w:rFonts w:hint="eastAsia"/>
          <w:b/>
          <w:bCs/>
          <w:highlight w:val="none"/>
        </w:rPr>
        <w:t>本项目为专门面向中小企业采购的采购项目，因此，不再执行价格评审优惠扶持政策。</w:t>
      </w:r>
      <w:bookmarkEnd w:id="119"/>
    </w:p>
    <w:p>
      <w:pPr>
        <w:pStyle w:val="3"/>
        <w:spacing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rPr>
        <w:t>（六）关于产品和服务</w:t>
      </w:r>
      <w:bookmarkEnd w:id="113"/>
      <w:bookmarkEnd w:id="114"/>
      <w:bookmarkEnd w:id="115"/>
      <w:bookmarkEnd w:id="116"/>
      <w:bookmarkEnd w:id="117"/>
      <w:bookmarkEnd w:id="118"/>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、所有产品必须具有在中国境内法定许可的生产及销售资格，且为全新原厂制造，其核心关键部分为近</w:t>
      </w:r>
      <w:r>
        <w:rPr>
          <w:rFonts w:ascii="仿宋" w:hAnsi="仿宋" w:eastAsia="仿宋" w:cs="仿宋"/>
          <w:highlight w:val="none"/>
        </w:rPr>
        <w:t>10</w:t>
      </w:r>
      <w:r>
        <w:rPr>
          <w:rFonts w:hint="eastAsia" w:ascii="华文仿宋" w:hAnsi="华文仿宋" w:cs="华文仿宋"/>
          <w:highlight w:val="none"/>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kern w:val="0"/>
          <w:highlight w:val="none"/>
        </w:rPr>
        <w:t>CCC</w:t>
      </w:r>
      <w:r>
        <w:rPr>
          <w:rFonts w:hint="eastAsia" w:ascii="华文仿宋" w:hAnsi="华文仿宋" w:cs="华文仿宋"/>
          <w:highlight w:val="none"/>
        </w:rPr>
        <w:t>认证）。</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主机设备要有标准配置清单，使用操作及安全须知等重要资料应附有中文说明；国内制造的产品必须同时具备出厂合格证和相关检测报告。购置的计算机设备必须配有正版合法的经采购人认可的操作系统和软件。</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4、根据《政府采购进口产品管理办法》（财库</w:t>
      </w:r>
      <w:r>
        <w:rPr>
          <w:rFonts w:hint="eastAsia" w:ascii="仿宋" w:hAnsi="仿宋" w:eastAsia="仿宋" w:cs="仿宋"/>
          <w:highlight w:val="none"/>
        </w:rPr>
        <w:t>〔</w:t>
      </w:r>
      <w:r>
        <w:rPr>
          <w:rFonts w:ascii="仿宋" w:hAnsi="仿宋" w:eastAsia="仿宋" w:cs="仿宋"/>
          <w:highlight w:val="none"/>
        </w:rPr>
        <w:t>2007</w:t>
      </w:r>
      <w:r>
        <w:rPr>
          <w:rFonts w:hint="eastAsia" w:ascii="仿宋" w:hAnsi="仿宋" w:eastAsia="仿宋" w:cs="仿宋"/>
          <w:highlight w:val="none"/>
        </w:rPr>
        <w:t>〕</w:t>
      </w:r>
      <w:r>
        <w:rPr>
          <w:rFonts w:ascii="仿宋" w:hAnsi="仿宋" w:eastAsia="仿宋" w:cs="仿宋"/>
          <w:highlight w:val="none"/>
        </w:rPr>
        <w:t>119</w:t>
      </w:r>
      <w:r>
        <w:rPr>
          <w:rFonts w:hint="eastAsia" w:ascii="华文仿宋" w:hAnsi="华文仿宋" w:cs="华文仿宋"/>
          <w:highlight w:val="none"/>
        </w:rPr>
        <w:t>号）与《关于政府采购进口产品管理有关问题的通知》（财办库</w:t>
      </w:r>
      <w:r>
        <w:rPr>
          <w:rFonts w:ascii="仿宋" w:hAnsi="仿宋" w:eastAsia="仿宋" w:cs="仿宋"/>
          <w:highlight w:val="none"/>
        </w:rPr>
        <w:t>[2008]248</w:t>
      </w:r>
      <w:r>
        <w:rPr>
          <w:rFonts w:hint="eastAsia" w:ascii="华文仿宋" w:hAnsi="华文仿宋" w:cs="华文仿宋"/>
          <w:highlight w:val="none"/>
        </w:rPr>
        <w:t>号）的有关规定，未经核准同意，投标人投标时必须提供本国产品，投标人以进口产品参与投标的，将作无效投标处理。</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如招标文件中已说明，经政府采购管理部门审核同意，允许部分或全部产品采购进口产品，投标人既可提供本国产品，也可以提供进口产品。在提供的进口产品中，优先采购向我国企业转让技术、与我国企业签订消化吸收再创新方案的投标人的进口产品。进口产品必须同时具备原产地证明、中国商检证明及合法进货渠道全套单证。</w:t>
      </w:r>
    </w:p>
    <w:p>
      <w:pPr>
        <w:spacing w:line="500" w:lineRule="exact"/>
        <w:ind w:firstLine="566" w:firstLineChars="200"/>
        <w:rPr>
          <w:highlight w:val="none"/>
        </w:rPr>
      </w:pPr>
      <w:r>
        <w:rPr>
          <w:rFonts w:hint="eastAsia" w:ascii="仿宋" w:hAnsi="仿宋" w:eastAsia="仿宋" w:cs="仿宋"/>
          <w:highlight w:val="none"/>
        </w:rPr>
        <w:t>6、如采购的产品属于列入《网络关键设备和网络安全专用产品目录》（如目录有更新，以最新的为准）的网络安全专用产品的，投标人应当提供经安全检测或安全认证的产品或已经获得《计算机信息系统安全专用产品销售许可证》且尚在有效期内的产品。</w:t>
      </w:r>
    </w:p>
    <w:p>
      <w:pPr>
        <w:pStyle w:val="3"/>
        <w:spacing w:line="500" w:lineRule="exact"/>
        <w:ind w:firstLine="566" w:firstLineChars="200"/>
        <w:rPr>
          <w:rFonts w:ascii="华文仿宋" w:cs="Times New Roman"/>
          <w:sz w:val="28"/>
          <w:szCs w:val="28"/>
          <w:highlight w:val="none"/>
        </w:rPr>
      </w:pPr>
      <w:bookmarkStart w:id="120" w:name="_Toc8496"/>
      <w:bookmarkStart w:id="121" w:name="_Toc14421"/>
      <w:bookmarkStart w:id="122" w:name="_Toc7045"/>
      <w:bookmarkStart w:id="123" w:name="_Toc8680"/>
      <w:bookmarkStart w:id="124" w:name="_Toc4616"/>
      <w:bookmarkStart w:id="125" w:name="_Toc27587"/>
      <w:r>
        <w:rPr>
          <w:rFonts w:hint="eastAsia" w:ascii="华文仿宋" w:hAnsi="华文仿宋" w:cs="华文仿宋"/>
          <w:sz w:val="28"/>
          <w:szCs w:val="28"/>
          <w:highlight w:val="none"/>
        </w:rPr>
        <w:t>（七）关于同一品牌产品的处理</w:t>
      </w:r>
      <w:bookmarkEnd w:id="120"/>
      <w:bookmarkEnd w:id="121"/>
      <w:bookmarkEnd w:id="122"/>
      <w:bookmarkEnd w:id="123"/>
      <w:bookmarkEnd w:id="124"/>
      <w:bookmarkEnd w:id="125"/>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1、单一产品采购项目中，提供相同品牌的产品的不同投标人参加同一合同项下投标的，按以下处理：</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产品的不同投标人参加同一合同项下投标的，以其中通过资格审查、符合性审查且投标报价最低的参加评标；报价相同的，由评标委员会按照技术方案、售后服务等内容确定一个参加评标的投标人，其他投标无效。</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投标人推荐资格，其他同品牌投标人不作为中标候选人。</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非单一产品采购项目，采购人将根据采购项目技术构成、产品价格比重等因素确定核心产品（可能不止一种），并在招标文件中载明。提供相同品牌的核心产品的不同投标人参加同一合同项下投标的，按以下处理：</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1）采用最低评标价法的采购项目，提供相同品牌核心产品的不同投标人参加同一合同项下投标的，以其中通过资格审查、符合性审查且投标报价最低的参加评标；报价相同的，由评标委员会按照技术方案、售后服务等内容确定一个参加评标的投标人，其他投标无效。</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2）使用综合评分法的采购项目，提供相同品牌核心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人推荐资格，其他同品牌投标人不作为中标候选人。</w:t>
      </w:r>
    </w:p>
    <w:p>
      <w:pPr>
        <w:spacing w:line="500" w:lineRule="exact"/>
        <w:ind w:firstLine="566" w:firstLineChars="200"/>
        <w:rPr>
          <w:rFonts w:ascii="华文仿宋" w:hAnsi="华文仿宋" w:cs="华文仿宋"/>
          <w:bCs/>
          <w:highlight w:val="none"/>
        </w:rPr>
      </w:pPr>
      <w:r>
        <w:rPr>
          <w:rFonts w:hint="eastAsia" w:ascii="华文仿宋" w:hAnsi="华文仿宋" w:cs="华文仿宋"/>
          <w:bCs/>
          <w:highlight w:val="none"/>
        </w:rPr>
        <w:t>（3）核心产品为两个以上时，多家投标人提供的核心产品有部分采用或全部采用相同品牌的，按一家投标人计算。</w:t>
      </w:r>
    </w:p>
    <w:p>
      <w:pPr>
        <w:pStyle w:val="3"/>
        <w:spacing w:line="500" w:lineRule="exact"/>
        <w:ind w:firstLine="566" w:firstLineChars="200"/>
        <w:rPr>
          <w:rFonts w:ascii="华文仿宋" w:cs="Times New Roman"/>
          <w:sz w:val="28"/>
          <w:szCs w:val="28"/>
          <w:highlight w:val="none"/>
        </w:rPr>
      </w:pPr>
      <w:bookmarkStart w:id="126" w:name="_Toc8711"/>
      <w:bookmarkStart w:id="127" w:name="_Toc13357"/>
      <w:bookmarkStart w:id="128" w:name="_Toc14044"/>
      <w:bookmarkStart w:id="129" w:name="_Toc24108"/>
      <w:bookmarkStart w:id="130" w:name="_Toc16906"/>
      <w:bookmarkStart w:id="131" w:name="_Toc13431"/>
      <w:r>
        <w:rPr>
          <w:rFonts w:hint="eastAsia" w:ascii="华文仿宋" w:hAnsi="华文仿宋" w:cs="华文仿宋"/>
          <w:sz w:val="28"/>
          <w:szCs w:val="28"/>
          <w:highlight w:val="none"/>
        </w:rPr>
        <w:t>（八）知识产权与保密事项</w:t>
      </w:r>
      <w:bookmarkEnd w:id="126"/>
      <w:bookmarkEnd w:id="127"/>
      <w:bookmarkEnd w:id="128"/>
      <w:bookmarkEnd w:id="129"/>
      <w:bookmarkEnd w:id="130"/>
      <w:bookmarkEnd w:id="131"/>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、所有涉及知识产权的产品及设计，投标人必须确保采购人拥有其合法的、不受限制的无偿使用权，并免受任何侵权诉讼或索偿，否则，由此产生的一切经济损失和法律责任由投标人承担。</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pPr>
        <w:pStyle w:val="3"/>
        <w:spacing w:line="500" w:lineRule="exact"/>
        <w:ind w:firstLine="566" w:firstLineChars="200"/>
        <w:rPr>
          <w:rFonts w:ascii="华文仿宋" w:cs="Times New Roman"/>
          <w:sz w:val="28"/>
          <w:szCs w:val="28"/>
          <w:highlight w:val="none"/>
        </w:rPr>
      </w:pPr>
      <w:bookmarkStart w:id="132" w:name="_Toc18494"/>
      <w:bookmarkStart w:id="133" w:name="_Toc8678"/>
      <w:bookmarkStart w:id="134" w:name="_Toc19717"/>
      <w:bookmarkStart w:id="135" w:name="_Toc20526"/>
      <w:bookmarkStart w:id="136" w:name="_Toc7162"/>
      <w:bookmarkStart w:id="137" w:name="_Toc9761"/>
      <w:r>
        <w:rPr>
          <w:rFonts w:hint="eastAsia" w:ascii="华文仿宋" w:hAnsi="华文仿宋" w:cs="华文仿宋"/>
          <w:sz w:val="28"/>
          <w:szCs w:val="28"/>
          <w:highlight w:val="none"/>
        </w:rPr>
        <w:t>（九）投标人的投标费用自理</w:t>
      </w:r>
      <w:bookmarkEnd w:id="132"/>
      <w:bookmarkEnd w:id="133"/>
      <w:bookmarkEnd w:id="134"/>
      <w:bookmarkEnd w:id="135"/>
      <w:bookmarkEnd w:id="136"/>
      <w:bookmarkEnd w:id="137"/>
    </w:p>
    <w:p>
      <w:pPr>
        <w:pStyle w:val="3"/>
        <w:spacing w:line="500" w:lineRule="exact"/>
        <w:ind w:firstLine="566" w:firstLineChars="200"/>
        <w:rPr>
          <w:rFonts w:ascii="华文仿宋" w:cs="Times New Roman"/>
          <w:sz w:val="28"/>
          <w:szCs w:val="28"/>
          <w:highlight w:val="none"/>
        </w:rPr>
      </w:pPr>
      <w:bookmarkStart w:id="138" w:name="_Toc24468"/>
      <w:r>
        <w:rPr>
          <w:rFonts w:hint="eastAsia" w:ascii="华文仿宋" w:hAnsi="华文仿宋" w:cs="华文仿宋"/>
          <w:sz w:val="28"/>
          <w:szCs w:val="28"/>
          <w:highlight w:val="none"/>
        </w:rPr>
        <w:t>三、招标文件</w:t>
      </w:r>
      <w:bookmarkEnd w:id="138"/>
    </w:p>
    <w:p>
      <w:pPr>
        <w:pStyle w:val="3"/>
        <w:spacing w:line="500" w:lineRule="exact"/>
        <w:ind w:firstLine="566" w:firstLineChars="200"/>
        <w:rPr>
          <w:rFonts w:ascii="华文仿宋" w:cs="Times New Roman"/>
          <w:sz w:val="28"/>
          <w:szCs w:val="28"/>
          <w:highlight w:val="none"/>
        </w:rPr>
      </w:pPr>
      <w:bookmarkStart w:id="139" w:name="_Toc24360"/>
      <w:bookmarkStart w:id="140" w:name="_Toc31772"/>
      <w:bookmarkStart w:id="141" w:name="_Toc21427"/>
      <w:bookmarkStart w:id="142" w:name="_Toc2499"/>
      <w:bookmarkStart w:id="143" w:name="_Toc9775"/>
      <w:bookmarkStart w:id="144" w:name="_Toc6250"/>
      <w:r>
        <w:rPr>
          <w:rFonts w:hint="eastAsia" w:ascii="华文仿宋" w:hAnsi="华文仿宋" w:cs="华文仿宋"/>
          <w:sz w:val="28"/>
          <w:szCs w:val="28"/>
          <w:highlight w:val="none"/>
        </w:rPr>
        <w:t>（一）招标文件包括下列内容</w:t>
      </w:r>
      <w:bookmarkEnd w:id="139"/>
      <w:bookmarkEnd w:id="140"/>
      <w:bookmarkEnd w:id="141"/>
      <w:bookmarkEnd w:id="142"/>
      <w:bookmarkEnd w:id="143"/>
      <w:bookmarkEnd w:id="144"/>
    </w:p>
    <w:p>
      <w:pPr>
        <w:spacing w:line="500" w:lineRule="exact"/>
        <w:ind w:firstLine="566" w:firstLineChars="200"/>
        <w:rPr>
          <w:rFonts w:ascii="华文仿宋" w:cs="Times New Roman"/>
          <w:highlight w:val="none"/>
        </w:rPr>
      </w:pPr>
      <w:r>
        <w:rPr>
          <w:rFonts w:hint="eastAsia" w:ascii="华文仿宋" w:hAnsi="华文仿宋" w:cs="华文仿宋"/>
          <w:highlight w:val="none"/>
        </w:rPr>
        <w:t>第一章　投标邀请函</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第二章　投标人须知</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第三章  评审办法及标准</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第四章　招标内容及采购要求</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第五章　合同基本条款</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第六章　投标文件构成及格式</w:t>
      </w:r>
    </w:p>
    <w:p>
      <w:pPr>
        <w:pStyle w:val="3"/>
        <w:spacing w:line="500" w:lineRule="exact"/>
        <w:ind w:firstLine="566" w:firstLineChars="200"/>
        <w:rPr>
          <w:rFonts w:ascii="华文仿宋" w:cs="Times New Roman"/>
          <w:sz w:val="28"/>
          <w:szCs w:val="28"/>
          <w:highlight w:val="none"/>
        </w:rPr>
      </w:pPr>
      <w:bookmarkStart w:id="145" w:name="_Toc12109"/>
      <w:bookmarkStart w:id="146" w:name="_Toc15437"/>
      <w:bookmarkStart w:id="147" w:name="_Toc5020"/>
      <w:bookmarkStart w:id="148" w:name="_Toc20821"/>
      <w:bookmarkStart w:id="149" w:name="_Toc16023"/>
      <w:bookmarkStart w:id="150" w:name="_Toc17501"/>
      <w:r>
        <w:rPr>
          <w:rFonts w:hint="eastAsia" w:ascii="华文仿宋" w:hAnsi="华文仿宋" w:cs="华文仿宋"/>
          <w:sz w:val="28"/>
          <w:szCs w:val="28"/>
          <w:highlight w:val="none"/>
        </w:rPr>
        <w:t>（二）招标文件的检查及阅读</w:t>
      </w:r>
      <w:bookmarkEnd w:id="145"/>
      <w:bookmarkEnd w:id="146"/>
      <w:bookmarkEnd w:id="147"/>
      <w:bookmarkEnd w:id="148"/>
      <w:bookmarkEnd w:id="149"/>
      <w:bookmarkEnd w:id="150"/>
    </w:p>
    <w:p>
      <w:pPr>
        <w:spacing w:line="500" w:lineRule="exact"/>
        <w:ind w:firstLine="566" w:firstLineChars="200"/>
        <w:rPr>
          <w:rFonts w:ascii="华文仿宋" w:cs="Times New Roman"/>
          <w:highlight w:val="none"/>
        </w:rPr>
      </w:pPr>
      <w:r>
        <w:rPr>
          <w:rFonts w:hint="eastAsia" w:ascii="华文仿宋" w:hAnsi="华文仿宋" w:cs="华文仿宋"/>
          <w:highlight w:val="none"/>
        </w:rPr>
        <w:t>投标人下载招标文件后应仔细阅读检查招标文件中的所有内容，按照招标文件中所列事项、条款、规范要求及格式，在投标文件中对招标文件做出全面的响应，并按招标文件的要求提交全部资料。</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项目废标后重新组织招标的，陕西省省级单位政府采购中心将重新编制、发布新版招标文件，投标人应按新版招标文件重新编制投标文件。原招标文件及投标文件失效。</w:t>
      </w:r>
    </w:p>
    <w:p>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投标文件封面、投标函以及法定代表人授权委托书三处的项目名称、项目编号、标段（如有）应当与最新发布的招标文件保持一致，否则将被视为无效投标文件。</w:t>
      </w:r>
    </w:p>
    <w:p>
      <w:pPr>
        <w:pStyle w:val="3"/>
        <w:spacing w:line="500" w:lineRule="exact"/>
        <w:ind w:firstLine="566" w:firstLineChars="200"/>
        <w:rPr>
          <w:rFonts w:ascii="华文仿宋" w:cs="Times New Roman"/>
          <w:sz w:val="28"/>
          <w:szCs w:val="28"/>
          <w:highlight w:val="none"/>
        </w:rPr>
      </w:pPr>
      <w:bookmarkStart w:id="151" w:name="_Toc163"/>
      <w:bookmarkStart w:id="152" w:name="_Toc30912"/>
      <w:bookmarkStart w:id="153" w:name="_Toc1771"/>
      <w:bookmarkStart w:id="154" w:name="_Toc24326"/>
      <w:bookmarkStart w:id="155" w:name="_Toc8999"/>
      <w:bookmarkStart w:id="156" w:name="_Toc2096"/>
      <w:r>
        <w:rPr>
          <w:rFonts w:hint="eastAsia" w:ascii="华文仿宋" w:hAnsi="华文仿宋" w:cs="华文仿宋"/>
          <w:sz w:val="28"/>
          <w:szCs w:val="28"/>
          <w:highlight w:val="none"/>
        </w:rPr>
        <w:t>（三）招标文件的修改、澄清</w:t>
      </w:r>
      <w:bookmarkEnd w:id="151"/>
      <w:bookmarkEnd w:id="152"/>
      <w:bookmarkEnd w:id="153"/>
      <w:bookmarkEnd w:id="154"/>
      <w:bookmarkEnd w:id="155"/>
      <w:bookmarkEnd w:id="156"/>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在提交投标文件截止之日前，陕西省省级单位政府采购中心可对已发出的招标文件进行必要的澄清或者修改，澄清或者修改的内容作为招标文件的组成部分。澄清或者修改的内容可能影响投标文件编制的，陕西省省级单位政府采购中心将在投标截止时间</w:t>
      </w:r>
      <w:r>
        <w:rPr>
          <w:rFonts w:ascii="仿宋" w:hAnsi="仿宋" w:eastAsia="仿宋" w:cs="仿宋"/>
          <w:highlight w:val="none"/>
        </w:rPr>
        <w:t>15</w:t>
      </w:r>
      <w:r>
        <w:rPr>
          <w:rFonts w:hint="eastAsia" w:ascii="华文仿宋" w:hAnsi="华文仿宋" w:cs="华文仿宋"/>
          <w:highlight w:val="none"/>
        </w:rPr>
        <w:t>日前，在财政部门指定的政府采购信息发布媒体上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；不足</w:t>
      </w:r>
      <w:r>
        <w:rPr>
          <w:rFonts w:ascii="仿宋" w:hAnsi="仿宋" w:eastAsia="仿宋" w:cs="仿宋"/>
          <w:highlight w:val="none"/>
        </w:rPr>
        <w:t>15</w:t>
      </w:r>
      <w:r>
        <w:rPr>
          <w:rFonts w:hint="eastAsia" w:ascii="华文仿宋" w:hAnsi="华文仿宋" w:cs="华文仿宋"/>
          <w:highlight w:val="none"/>
        </w:rPr>
        <w:t>日，陕西省省级单位政府采购中心将顺延提交投标文件的截止时间。</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、投标人对招标文件提出质疑的，应在招标文件获取之日起</w:t>
      </w:r>
      <w:r>
        <w:rPr>
          <w:rFonts w:ascii="仿宋" w:hAnsi="仿宋" w:eastAsia="仿宋" w:cs="仿宋"/>
          <w:highlight w:val="none"/>
        </w:rPr>
        <w:t>7</w:t>
      </w:r>
      <w:r>
        <w:rPr>
          <w:rFonts w:hint="eastAsia" w:ascii="华文仿宋" w:hAnsi="华文仿宋" w:cs="华文仿宋"/>
          <w:highlight w:val="none"/>
        </w:rPr>
        <w:t>个工作日内以书面形式提出，采购人以书面形式予以答复；在此之后提出的针对招标文件的质疑为无效质疑。答复的内容可能影响投标文件编制的，陕西省省级单位政府采购中心将在财政部门指定的政府采购信息发布媒体上</w:t>
      </w:r>
      <w:r>
        <w:rPr>
          <w:rFonts w:hint="eastAsia" w:ascii="华文仿宋" w:hAnsi="华文仿宋" w:cs="华文仿宋"/>
          <w:b/>
          <w:bCs/>
          <w:highlight w:val="none"/>
        </w:rPr>
        <w:t>发布更正公告</w:t>
      </w:r>
      <w:r>
        <w:rPr>
          <w:rFonts w:hint="eastAsia" w:ascii="华文仿宋" w:hAnsi="华文仿宋" w:cs="华文仿宋"/>
          <w:highlight w:val="none"/>
        </w:rPr>
        <w:t>。</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、各投标人在提交投标文件截止时间之前，应随时关注下列地址发布的更正公告，也可登录全国公共资源交易平台（陕西省）政府采购交易系统查看左上角的信息提醒，陕西省省级单位政府采购中心</w:t>
      </w:r>
      <w:r>
        <w:rPr>
          <w:rFonts w:hint="eastAsia" w:ascii="华文仿宋" w:hAnsi="华文仿宋" w:cs="华文仿宋"/>
          <w:b/>
          <w:bCs/>
          <w:highlight w:val="none"/>
        </w:rPr>
        <w:t>不再单独通知，因投标人未及时关注所造成的一切后果由投标人自行承担：</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w:t>
      </w:r>
      <w:r>
        <w:rPr>
          <w:highlight w:val="none"/>
        </w:rPr>
        <w:fldChar w:fldCharType="begin"/>
      </w:r>
      <w:r>
        <w:rPr>
          <w:highlight w:val="none"/>
        </w:rPr>
        <w:instrText xml:space="preserve"> HYPERLINK "http://www.ccgp-shaanxi.gov.cn" </w:instrText>
      </w:r>
      <w:r>
        <w:rPr>
          <w:highlight w:val="none"/>
        </w:rPr>
        <w:fldChar w:fldCharType="separate"/>
      </w:r>
      <w:r>
        <w:rPr>
          <w:rStyle w:val="23"/>
          <w:rFonts w:hint="eastAsia" w:ascii="华文仿宋" w:hAnsi="华文仿宋" w:cs="华文仿宋"/>
          <w:color w:val="auto"/>
          <w:sz w:val="28"/>
          <w:szCs w:val="28"/>
          <w:highlight w:val="none"/>
        </w:rPr>
        <w:t>陕西省政府采购网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（www.ccgp-shaanxi.gov.cn）】中的〖首页·〉省级公告·〉更正公告〗；</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w:t>
      </w:r>
      <w:r>
        <w:rPr>
          <w:rFonts w:hint="eastAsia" w:ascii="华文仿宋" w:hAnsi="华文仿宋" w:cs="华文仿宋"/>
          <w:kern w:val="0"/>
          <w:highlight w:val="none"/>
        </w:rPr>
        <w:t>全国公共资源交易平台（陕西省）（</w:t>
      </w:r>
      <w:r>
        <w:rPr>
          <w:rFonts w:hint="eastAsia" w:ascii="华文仿宋" w:hAnsi="华文仿宋" w:cs="华文仿宋"/>
          <w:highlight w:val="none"/>
        </w:rPr>
        <w:t>http://www.sxggzyjy.cn/</w:t>
      </w:r>
      <w:r>
        <w:rPr>
          <w:rFonts w:hint="eastAsia" w:ascii="华文仿宋" w:hAnsi="华文仿宋" w:cs="华文仿宋"/>
          <w:kern w:val="0"/>
          <w:highlight w:val="none"/>
        </w:rPr>
        <w:t>）</w:t>
      </w:r>
      <w:r>
        <w:rPr>
          <w:rFonts w:hint="eastAsia" w:ascii="华文仿宋" w:hAnsi="华文仿宋" w:cs="华文仿宋"/>
          <w:highlight w:val="none"/>
        </w:rPr>
        <w:t>】中的〖首页·〉交易大厅·〉政府采购〗。</w:t>
      </w:r>
    </w:p>
    <w:p>
      <w:pPr>
        <w:pStyle w:val="3"/>
        <w:spacing w:line="500" w:lineRule="exact"/>
        <w:ind w:firstLine="566" w:firstLineChars="200"/>
        <w:rPr>
          <w:rFonts w:ascii="华文仿宋" w:cs="Times New Roman"/>
          <w:sz w:val="28"/>
          <w:szCs w:val="28"/>
          <w:highlight w:val="none"/>
        </w:rPr>
      </w:pPr>
      <w:bookmarkStart w:id="157" w:name="_Toc9031"/>
      <w:bookmarkStart w:id="158" w:name="_Toc3288"/>
      <w:bookmarkStart w:id="159" w:name="_Toc27253"/>
      <w:bookmarkStart w:id="160" w:name="_Toc5846"/>
      <w:bookmarkStart w:id="161" w:name="_Toc24054"/>
      <w:bookmarkStart w:id="162" w:name="_Toc11980"/>
      <w:r>
        <w:rPr>
          <w:rFonts w:hint="eastAsia" w:ascii="华文仿宋" w:hAnsi="华文仿宋" w:cs="华文仿宋"/>
          <w:sz w:val="28"/>
          <w:szCs w:val="28"/>
          <w:highlight w:val="none"/>
        </w:rPr>
        <w:t>（四）招标文件的解释权归陕西省省级单位政府采购中心</w:t>
      </w:r>
      <w:bookmarkEnd w:id="157"/>
      <w:bookmarkEnd w:id="158"/>
      <w:bookmarkEnd w:id="159"/>
      <w:bookmarkEnd w:id="160"/>
      <w:bookmarkEnd w:id="161"/>
      <w:bookmarkEnd w:id="162"/>
    </w:p>
    <w:p>
      <w:pPr>
        <w:pStyle w:val="3"/>
        <w:spacing w:line="500" w:lineRule="exact"/>
        <w:ind w:firstLine="566" w:firstLineChars="200"/>
        <w:rPr>
          <w:rFonts w:ascii="华文仿宋" w:cs="Times New Roman"/>
          <w:sz w:val="28"/>
          <w:szCs w:val="28"/>
          <w:highlight w:val="none"/>
        </w:rPr>
      </w:pPr>
      <w:bookmarkStart w:id="163" w:name="_Toc14376"/>
      <w:r>
        <w:rPr>
          <w:rFonts w:hint="eastAsia" w:ascii="华文仿宋" w:hAnsi="华文仿宋" w:cs="华文仿宋"/>
          <w:sz w:val="28"/>
          <w:szCs w:val="28"/>
          <w:highlight w:val="none"/>
        </w:rPr>
        <w:t>四、投标报价</w:t>
      </w:r>
      <w:bookmarkEnd w:id="163"/>
    </w:p>
    <w:p>
      <w:pPr>
        <w:spacing w:line="500" w:lineRule="exact"/>
        <w:ind w:firstLine="566" w:firstLineChars="200"/>
        <w:rPr>
          <w:rFonts w:ascii="华文仿宋" w:cs="Times New Roman"/>
          <w:highlight w:val="none"/>
        </w:rPr>
      </w:pPr>
      <w:r>
        <w:rPr>
          <w:rFonts w:hint="eastAsia" w:ascii="华文仿宋" w:hAnsi="华文仿宋" w:cs="华文仿宋"/>
          <w:highlight w:val="none"/>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（一）投标人应严格按照《投标文件构成及格式》中《开标一览表》中的相关要求填写。</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（二）投标报价货币：</w:t>
      </w:r>
      <w:r>
        <w:rPr>
          <w:rFonts w:hint="eastAsia" w:ascii="华文仿宋" w:hAnsi="华文仿宋" w:cs="华文仿宋"/>
          <w:b/>
          <w:bCs/>
          <w:highlight w:val="none"/>
        </w:rPr>
        <w:t>人民币</w:t>
      </w:r>
      <w:r>
        <w:rPr>
          <w:rFonts w:hint="eastAsia" w:ascii="华文仿宋" w:hAnsi="华文仿宋" w:cs="华文仿宋"/>
          <w:highlight w:val="none"/>
        </w:rPr>
        <w:t>；</w:t>
      </w:r>
      <w:r>
        <w:rPr>
          <w:rFonts w:hint="eastAsia" w:ascii="华文仿宋" w:hAnsi="华文仿宋" w:cs="华文仿宋"/>
          <w:b/>
          <w:bCs/>
          <w:highlight w:val="none"/>
        </w:rPr>
        <w:t>单位：元</w:t>
      </w:r>
      <w:r>
        <w:rPr>
          <w:rFonts w:hint="eastAsia" w:ascii="华文仿宋" w:hAnsi="华文仿宋" w:cs="华文仿宋"/>
          <w:b/>
          <w:bCs/>
          <w:color w:val="000000"/>
          <w:highlight w:val="none"/>
          <w:lang w:eastAsia="zh-CN"/>
        </w:rPr>
        <w:t>（报价最多保留至小数点后两位）</w:t>
      </w:r>
      <w:r>
        <w:rPr>
          <w:rFonts w:hint="eastAsia" w:ascii="华文仿宋" w:hAnsi="华文仿宋" w:cs="华文仿宋"/>
          <w:b/>
          <w:bCs/>
          <w:highlight w:val="none"/>
        </w:rPr>
        <w:t>。</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（三）《开标一览表》中的投标报价只能提交唯一报价，并且在合同履行过程中是固定不变的，任何有选择的报价将不予接受，按无效投标处理。</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（四）投标文件报价出现前后不一致的，除招标文件另有规定外，按照下列规定修正：</w:t>
      </w:r>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、投标文件中开标一览表内容与投标文件中相应内容不一致的，以开标一览表为准；</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、大写金额和小写金额不一致的，以大写金额为准；</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、单价金额小数点或者百分比有明显错位的，以开标一览表的总价为准，并修改单价；</w:t>
      </w:r>
    </w:p>
    <w:p>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、总价金额与按单价汇总金额不一致的，以单价金额计算结果为准；</w:t>
      </w:r>
    </w:p>
    <w:p>
      <w:pPr>
        <w:spacing w:line="500" w:lineRule="exact"/>
        <w:ind w:firstLine="566" w:firstLineChars="200"/>
        <w:rPr>
          <w:rFonts w:ascii="华文仿宋" w:cs="Times New Roman"/>
          <w:b/>
          <w:bCs/>
          <w:highlight w:val="none"/>
        </w:rPr>
      </w:pPr>
      <w:r>
        <w:rPr>
          <w:rFonts w:hint="eastAsia" w:ascii="华文仿宋" w:hAnsi="华文仿宋" w:cs="华文仿宋"/>
          <w:highlight w:val="none"/>
        </w:rPr>
        <w:t>同时出现两种以上不一致的，按照前款规定的顺序修正。</w:t>
      </w:r>
      <w:r>
        <w:rPr>
          <w:rFonts w:hint="eastAsia" w:ascii="华文仿宋" w:hAnsi="华文仿宋" w:cs="华文仿宋"/>
          <w:b/>
          <w:bCs/>
          <w:highlight w:val="none"/>
        </w:rPr>
        <w:t>修正后的报价经投标人确认后产生约束力，投标人不确认的，其投标无效。</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（五）因投标人对招标文件理解不透、误解、疏漏或对市场行情了解不清造成的后果和风险，均由投标人自己负责。</w:t>
      </w:r>
    </w:p>
    <w:p>
      <w:pPr>
        <w:pStyle w:val="3"/>
        <w:spacing w:line="500" w:lineRule="exact"/>
        <w:ind w:firstLine="566" w:firstLineChars="200"/>
        <w:rPr>
          <w:rFonts w:ascii="华文仿宋" w:cs="Times New Roman"/>
          <w:sz w:val="28"/>
          <w:szCs w:val="28"/>
          <w:highlight w:val="none"/>
        </w:rPr>
      </w:pPr>
      <w:bookmarkStart w:id="164" w:name="_Toc31692"/>
      <w:r>
        <w:rPr>
          <w:rFonts w:hint="eastAsia" w:ascii="华文仿宋" w:hAnsi="华文仿宋" w:cs="华文仿宋"/>
          <w:sz w:val="28"/>
          <w:szCs w:val="28"/>
          <w:highlight w:val="none"/>
        </w:rPr>
        <w:t>五、投标文件</w:t>
      </w:r>
      <w:bookmarkEnd w:id="164"/>
    </w:p>
    <w:p>
      <w:pPr>
        <w:pStyle w:val="3"/>
        <w:spacing w:line="500" w:lineRule="exact"/>
        <w:ind w:firstLine="566" w:firstLineChars="200"/>
        <w:rPr>
          <w:rFonts w:ascii="华文仿宋" w:cs="Times New Roman"/>
          <w:sz w:val="28"/>
          <w:szCs w:val="28"/>
          <w:highlight w:val="none"/>
        </w:rPr>
      </w:pPr>
      <w:bookmarkStart w:id="165" w:name="_Toc4717"/>
      <w:bookmarkStart w:id="166" w:name="_Toc25351"/>
      <w:bookmarkStart w:id="167" w:name="_Toc30764"/>
      <w:bookmarkStart w:id="168" w:name="_Toc10242"/>
      <w:bookmarkStart w:id="169" w:name="_Toc1832"/>
      <w:bookmarkStart w:id="170" w:name="_Toc8984"/>
      <w:r>
        <w:rPr>
          <w:rFonts w:hint="eastAsia" w:ascii="华文仿宋" w:hAnsi="华文仿宋" w:cs="华文仿宋"/>
          <w:sz w:val="28"/>
          <w:szCs w:val="28"/>
          <w:highlight w:val="none"/>
        </w:rPr>
        <w:t>（一）投标文件形式</w:t>
      </w:r>
      <w:bookmarkEnd w:id="165"/>
      <w:bookmarkEnd w:id="166"/>
      <w:bookmarkEnd w:id="167"/>
      <w:bookmarkEnd w:id="168"/>
      <w:bookmarkEnd w:id="169"/>
      <w:bookmarkEnd w:id="170"/>
    </w:p>
    <w:p>
      <w:pPr>
        <w:spacing w:line="500" w:lineRule="exact"/>
        <w:ind w:firstLine="566" w:firstLineChars="200"/>
        <w:rPr>
          <w:rFonts w:ascii="华文仿宋" w:cs="Times New Roman"/>
          <w:highlight w:val="none"/>
        </w:rPr>
      </w:pPr>
      <w:r>
        <w:rPr>
          <w:rFonts w:hint="eastAsia" w:ascii="华文仿宋" w:hAnsi="华文仿宋" w:cs="华文仿宋"/>
          <w:highlight w:val="none"/>
        </w:rPr>
        <w:t>本项目采用电子投标文件的形式。</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编制电子投标文件时，应使用最新发布的电子招标文件及专用制作工具进行编制。并使用数字认证证书（</w:t>
      </w:r>
      <w:r>
        <w:rPr>
          <w:rFonts w:hint="eastAsia" w:ascii="仿宋" w:hAnsi="仿宋" w:eastAsia="仿宋" w:cs="仿宋"/>
          <w:highlight w:val="none"/>
        </w:rPr>
        <w:t>CA</w:t>
      </w:r>
      <w:r>
        <w:rPr>
          <w:rFonts w:hint="eastAsia" w:ascii="华文仿宋" w:hAnsi="华文仿宋" w:cs="华文仿宋"/>
          <w:highlight w:val="none"/>
        </w:rPr>
        <w:t>锁）对电子投标文件进行签署、加密、递交及解密等相关操作。</w:t>
      </w:r>
    </w:p>
    <w:p>
      <w:pPr>
        <w:spacing w:line="500" w:lineRule="exact"/>
        <w:ind w:firstLine="566" w:firstLineChars="200"/>
        <w:rPr>
          <w:rFonts w:ascii="华文仿宋" w:cs="Times New Roman"/>
          <w:highlight w:val="none"/>
        </w:rPr>
      </w:pPr>
      <w:bookmarkStart w:id="171" w:name="_Toc12406"/>
      <w:bookmarkStart w:id="172" w:name="_Toc14227"/>
      <w:bookmarkStart w:id="173" w:name="_Toc8183"/>
      <w:r>
        <w:rPr>
          <w:rFonts w:ascii="华文仿宋" w:hAnsi="华文仿宋" w:cs="华文仿宋"/>
          <w:highlight w:val="none"/>
        </w:rPr>
        <w:t>1</w:t>
      </w:r>
      <w:r>
        <w:rPr>
          <w:rFonts w:hint="eastAsia" w:ascii="华文仿宋" w:hAnsi="华文仿宋" w:cs="华文仿宋"/>
          <w:highlight w:val="none"/>
        </w:rPr>
        <w:t>、电子招标文件下载。投标人登录全国公共资源交易平台（陕西省）网站〖首页·〉电子交易平台·〉企业端〗后，在〖招标公告</w:t>
      </w:r>
      <w:r>
        <w:rPr>
          <w:rFonts w:ascii="华文仿宋" w:hAnsi="华文仿宋" w:cs="华文仿宋"/>
          <w:highlight w:val="none"/>
        </w:rPr>
        <w:t>/</w:t>
      </w:r>
      <w:r>
        <w:rPr>
          <w:rFonts w:hint="eastAsia" w:ascii="华文仿宋" w:hAnsi="华文仿宋" w:cs="华文仿宋"/>
          <w:highlight w:val="none"/>
        </w:rPr>
        <w:t>出让公告〗模块中选择项目点击“我要投标”，参与投标活动。然后即可在〖我的项目〗中点击“项目流程</w:t>
      </w:r>
      <w:r>
        <w:rPr>
          <w:rFonts w:ascii="华文仿宋" w:hAnsi="华文仿宋" w:cs="华文仿宋"/>
          <w:highlight w:val="none"/>
        </w:rPr>
        <w:t>&gt;</w:t>
      </w:r>
      <w:r>
        <w:rPr>
          <w:rFonts w:hint="eastAsia" w:ascii="华文仿宋" w:hAnsi="华文仿宋" w:cs="华文仿宋"/>
          <w:highlight w:val="none"/>
        </w:rPr>
        <w:t>交易文件下载”下载电子招标文件（</w:t>
      </w:r>
      <w:r>
        <w:rPr>
          <w:rFonts w:ascii="华文仿宋" w:hAnsi="华文仿宋" w:cs="华文仿宋"/>
          <w:highlight w:val="none"/>
        </w:rPr>
        <w:t>*</w:t>
      </w:r>
      <w:r>
        <w:rPr>
          <w:rFonts w:hint="eastAsia" w:ascii="仿宋" w:hAnsi="仿宋" w:eastAsia="仿宋" w:cs="仿宋"/>
          <w:highlight w:val="none"/>
        </w:rPr>
        <w:t>.SXSZF</w:t>
      </w:r>
      <w:r>
        <w:rPr>
          <w:rFonts w:hint="eastAsia" w:ascii="华文仿宋" w:hAnsi="华文仿宋" w:cs="华文仿宋"/>
          <w:highlight w:val="none"/>
        </w:rPr>
        <w:t>）。</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注意：该项目如有变更文件，则应点击“项目流程</w:t>
      </w:r>
      <w:r>
        <w:rPr>
          <w:rFonts w:ascii="华文仿宋" w:hAnsi="华文仿宋" w:cs="华文仿宋"/>
          <w:highlight w:val="none"/>
        </w:rPr>
        <w:t>&gt;</w:t>
      </w:r>
      <w:r>
        <w:rPr>
          <w:rFonts w:hint="eastAsia" w:ascii="华文仿宋" w:hAnsi="华文仿宋" w:cs="华文仿宋"/>
          <w:highlight w:val="none"/>
        </w:rPr>
        <w:t>答疑文件下载”下载更新后的电子招标文件（</w:t>
      </w:r>
      <w:r>
        <w:rPr>
          <w:rFonts w:ascii="华文仿宋" w:hAnsi="华文仿宋" w:cs="华文仿宋"/>
          <w:highlight w:val="none"/>
        </w:rPr>
        <w:t>*</w:t>
      </w:r>
      <w:r>
        <w:rPr>
          <w:rFonts w:hint="eastAsia" w:ascii="仿宋" w:hAnsi="仿宋" w:eastAsia="仿宋" w:cs="仿宋"/>
          <w:highlight w:val="none"/>
        </w:rPr>
        <w:t>.SXSCF</w:t>
      </w:r>
      <w:r>
        <w:rPr>
          <w:rFonts w:hint="eastAsia" w:ascii="华文仿宋" w:hAnsi="华文仿宋" w:cs="华文仿宋"/>
          <w:highlight w:val="none"/>
        </w:rPr>
        <w:t>），</w:t>
      </w:r>
      <w:r>
        <w:rPr>
          <w:rFonts w:hint="eastAsia" w:ascii="华文仿宋" w:hAnsi="华文仿宋" w:cs="华文仿宋"/>
          <w:b/>
          <w:bCs/>
          <w:highlight w:val="none"/>
        </w:rPr>
        <w:t>使用旧版电子招标文件制作的电子投标文件，系统将拒绝接收。</w:t>
      </w:r>
    </w:p>
    <w:p>
      <w:pPr>
        <w:numPr>
          <w:ilvl w:val="0"/>
          <w:numId w:val="2"/>
        </w:numPr>
        <w:spacing w:line="500" w:lineRule="exact"/>
        <w:ind w:firstLine="566" w:firstLineChars="200"/>
        <w:rPr>
          <w:rFonts w:ascii="华文仿宋" w:cs="Times New Roman"/>
          <w:highlight w:val="none"/>
        </w:rPr>
      </w:pPr>
      <w:r>
        <w:rPr>
          <w:rFonts w:hint="eastAsia" w:ascii="华文仿宋" w:hAnsi="华文仿宋" w:cs="华文仿宋"/>
          <w:highlight w:val="none"/>
        </w:rPr>
        <w:t>电子招标文件需要使用专用软件打开、浏览。投标人可在全国公共资源交易平台（陕西省）网站〖首页·〉服务指南·〉下载专区〗免费下载“陕西省公共资源交易平台政府采购电子标书制作工具”，并升级至最新版本，使用该客户端可以打开电子招标文件。软件操作手册详见全国公共资源交易平台（陕西省）网站〖首页·〉服务指南·〉下载专区〗中的《陕西省公共资源交易（政府采购类）投标文件制作软件操作手册》。</w:t>
      </w:r>
    </w:p>
    <w:p>
      <w:pPr>
        <w:numPr>
          <w:ilvl w:val="0"/>
          <w:numId w:val="2"/>
        </w:numPr>
        <w:spacing w:line="500" w:lineRule="exact"/>
        <w:ind w:firstLine="566" w:firstLineChars="200"/>
        <w:rPr>
          <w:rFonts w:ascii="华文仿宋" w:cs="Times New Roman"/>
          <w:highlight w:val="none"/>
        </w:rPr>
      </w:pPr>
      <w:r>
        <w:rPr>
          <w:rFonts w:hint="eastAsia" w:ascii="华文仿宋" w:hAnsi="华文仿宋" w:cs="华文仿宋"/>
          <w:highlight w:val="none"/>
        </w:rPr>
        <w:t>制作电子投标文件。电子投标文件同样需要使用上述软件进行编制。在编制过程中，如有技术性问题，请先翻阅操作手册，或致电软件开发商。</w:t>
      </w:r>
      <w:r>
        <w:rPr>
          <w:rFonts w:hint="eastAsia" w:ascii="华文仿宋" w:hAnsi="华文仿宋" w:cs="华文仿宋"/>
          <w:b/>
          <w:bCs/>
          <w:highlight w:val="none"/>
        </w:rPr>
        <w:t>技术支持热线：</w:t>
      </w:r>
      <w:r>
        <w:rPr>
          <w:rFonts w:hint="eastAsia" w:ascii="仿宋" w:hAnsi="仿宋" w:eastAsia="仿宋" w:cs="仿宋"/>
          <w:b/>
          <w:bCs/>
          <w:highlight w:val="none"/>
        </w:rPr>
        <w:t>4009980000。</w:t>
      </w:r>
    </w:p>
    <w:p>
      <w:pPr>
        <w:pStyle w:val="3"/>
        <w:spacing w:line="500" w:lineRule="exact"/>
        <w:ind w:firstLine="566" w:firstLineChars="200"/>
        <w:rPr>
          <w:rFonts w:ascii="华文仿宋" w:cs="Times New Roman"/>
          <w:sz w:val="28"/>
          <w:szCs w:val="28"/>
          <w:highlight w:val="none"/>
        </w:rPr>
      </w:pPr>
      <w:bookmarkStart w:id="174" w:name="_Toc27046"/>
      <w:bookmarkStart w:id="175" w:name="_Toc11615"/>
      <w:bookmarkStart w:id="176" w:name="_Toc29206"/>
      <w:r>
        <w:rPr>
          <w:rFonts w:hint="eastAsia" w:ascii="华文仿宋" w:hAnsi="华文仿宋" w:cs="华文仿宋"/>
          <w:sz w:val="28"/>
          <w:szCs w:val="28"/>
          <w:highlight w:val="none"/>
        </w:rPr>
        <w:t>（二）投标文件语言及有效期</w:t>
      </w:r>
      <w:bookmarkEnd w:id="171"/>
      <w:bookmarkEnd w:id="172"/>
      <w:bookmarkEnd w:id="173"/>
      <w:bookmarkEnd w:id="174"/>
      <w:bookmarkEnd w:id="175"/>
      <w:bookmarkEnd w:id="176"/>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1、投标活动的所有文件、资料、函电文均使用</w:t>
      </w:r>
      <w:r>
        <w:rPr>
          <w:rFonts w:hint="eastAsia" w:ascii="华文仿宋" w:hAnsi="华文仿宋" w:cs="华文仿宋"/>
          <w:b/>
          <w:bCs/>
          <w:highlight w:val="none"/>
        </w:rPr>
        <w:t>简体中文</w:t>
      </w:r>
      <w:r>
        <w:rPr>
          <w:rFonts w:hint="eastAsia" w:ascii="华文仿宋" w:hAnsi="华文仿宋" w:cs="华文仿宋"/>
          <w:highlight w:val="none"/>
        </w:rPr>
        <w:t>，确需提交其他语言形成的资料，必须翻译成简体中文，如有差异，以简体中文为准。</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2、投标文件有效期为</w:t>
      </w:r>
      <w:r>
        <w:rPr>
          <w:rFonts w:hint="eastAsia" w:ascii="华文仿宋" w:hAnsi="华文仿宋" w:cs="华文仿宋"/>
          <w:b/>
          <w:bCs/>
          <w:highlight w:val="none"/>
        </w:rPr>
        <w:t>自开标之日起</w:t>
      </w:r>
      <w:r>
        <w:rPr>
          <w:rFonts w:ascii="仿宋" w:hAnsi="仿宋" w:eastAsia="仿宋" w:cs="仿宋"/>
          <w:b/>
          <w:bCs/>
          <w:highlight w:val="none"/>
          <w:lang w:val="zh-CN"/>
        </w:rPr>
        <w:t>90</w:t>
      </w:r>
      <w:r>
        <w:rPr>
          <w:rFonts w:hint="eastAsia" w:ascii="华文仿宋" w:hAnsi="华文仿宋" w:cs="华文仿宋"/>
          <w:b/>
          <w:bCs/>
          <w:highlight w:val="none"/>
        </w:rPr>
        <w:t>个日历日</w:t>
      </w:r>
      <w:r>
        <w:rPr>
          <w:rFonts w:hint="eastAsia" w:ascii="华文仿宋" w:hAnsi="华文仿宋" w:cs="华文仿宋"/>
          <w:highlight w:val="none"/>
        </w:rPr>
        <w:t>。如中标，延长至合同执行完毕时止。</w:t>
      </w:r>
    </w:p>
    <w:p>
      <w:pPr>
        <w:pStyle w:val="3"/>
        <w:spacing w:line="500" w:lineRule="exact"/>
        <w:ind w:firstLine="566" w:firstLineChars="200"/>
        <w:rPr>
          <w:rFonts w:ascii="华文仿宋" w:cs="Times New Roman"/>
          <w:sz w:val="28"/>
          <w:szCs w:val="28"/>
          <w:highlight w:val="none"/>
        </w:rPr>
      </w:pPr>
      <w:bookmarkStart w:id="177" w:name="_Toc8949"/>
      <w:bookmarkStart w:id="178" w:name="_Toc4668"/>
      <w:bookmarkStart w:id="179" w:name="_Toc20317"/>
      <w:bookmarkStart w:id="180" w:name="_Toc2152"/>
      <w:bookmarkStart w:id="181" w:name="_Toc10345"/>
      <w:bookmarkStart w:id="182" w:name="_Toc30493"/>
      <w:r>
        <w:rPr>
          <w:rFonts w:hint="eastAsia" w:ascii="华文仿宋" w:hAnsi="华文仿宋" w:cs="华文仿宋"/>
          <w:sz w:val="28"/>
          <w:szCs w:val="28"/>
          <w:highlight w:val="none"/>
        </w:rPr>
        <w:t>（三）投标文件的提交</w:t>
      </w:r>
      <w:bookmarkEnd w:id="177"/>
      <w:bookmarkEnd w:id="178"/>
      <w:bookmarkEnd w:id="179"/>
      <w:bookmarkEnd w:id="180"/>
      <w:bookmarkEnd w:id="181"/>
      <w:bookmarkEnd w:id="182"/>
    </w:p>
    <w:p>
      <w:pPr>
        <w:spacing w:line="500" w:lineRule="exact"/>
        <w:ind w:firstLine="566" w:firstLineChars="200"/>
        <w:rPr>
          <w:rFonts w:ascii="华文仿宋" w:cs="Times New Roman"/>
          <w:highlight w:val="none"/>
        </w:rPr>
      </w:pPr>
      <w:r>
        <w:rPr>
          <w:rFonts w:hint="eastAsia" w:ascii="华文仿宋" w:hAnsi="华文仿宋" w:cs="华文仿宋"/>
          <w:highlight w:val="none"/>
        </w:rPr>
        <w:t>电子投标文件可于提交投标文件截止时间前任意时段登录全国公共资源交易平台（陕西省）网站“电子交易平台</w:t>
      </w:r>
      <w:r>
        <w:rPr>
          <w:rFonts w:ascii="华文仿宋" w:hAnsi="华文仿宋" w:cs="华文仿宋"/>
          <w:highlight w:val="none"/>
        </w:rPr>
        <w:t>&gt;</w:t>
      </w:r>
      <w:r>
        <w:rPr>
          <w:rFonts w:hint="eastAsia" w:ascii="华文仿宋" w:hAnsi="华文仿宋" w:cs="华文仿宋"/>
          <w:highlight w:val="none"/>
        </w:rPr>
        <w:t>企业端”进行提交，逾期系统将拒绝接收。提交时，投标人应登录全国公共资源交易中心平台（陕西省），选择“首页</w:t>
      </w:r>
      <w:r>
        <w:rPr>
          <w:rFonts w:ascii="华文仿宋" w:hAnsi="华文仿宋" w:cs="华文仿宋"/>
          <w:highlight w:val="none"/>
        </w:rPr>
        <w:t>&gt;</w:t>
      </w:r>
      <w:r>
        <w:rPr>
          <w:rFonts w:hint="eastAsia" w:ascii="华文仿宋" w:hAnsi="华文仿宋" w:cs="华文仿宋"/>
          <w:highlight w:val="none"/>
        </w:rPr>
        <w:t>电子交易平台</w:t>
      </w:r>
      <w:r>
        <w:rPr>
          <w:rFonts w:ascii="华文仿宋" w:hAnsi="华文仿宋" w:cs="华文仿宋"/>
          <w:highlight w:val="none"/>
        </w:rPr>
        <w:t>&gt;</w:t>
      </w:r>
      <w:r>
        <w:rPr>
          <w:rFonts w:hint="eastAsia" w:ascii="华文仿宋" w:hAnsi="华文仿宋" w:cs="华文仿宋"/>
          <w:highlight w:val="none"/>
        </w:rPr>
        <w:t>企业端</w:t>
      </w:r>
      <w:r>
        <w:rPr>
          <w:rFonts w:ascii="华文仿宋" w:hAnsi="华文仿宋" w:cs="华文仿宋"/>
          <w:highlight w:val="none"/>
        </w:rPr>
        <w:t>&gt;</w:t>
      </w:r>
      <w:r>
        <w:rPr>
          <w:rFonts w:hint="eastAsia" w:ascii="华文仿宋" w:hAnsi="华文仿宋" w:cs="华文仿宋"/>
          <w:highlight w:val="none"/>
        </w:rPr>
        <w:t>我的项目”，点击“项目流程”，在打开的“项目管理”对话框中选择“上传投标文件”，上传加密的电子投标文件（</w:t>
      </w:r>
      <w:r>
        <w:rPr>
          <w:rFonts w:ascii="华文仿宋" w:hAnsi="华文仿宋" w:cs="华文仿宋"/>
          <w:highlight w:val="none"/>
        </w:rPr>
        <w:t>*.SXSTF</w:t>
      </w:r>
      <w:r>
        <w:rPr>
          <w:rFonts w:hint="eastAsia" w:ascii="华文仿宋" w:hAnsi="华文仿宋" w:cs="华文仿宋"/>
          <w:highlight w:val="none"/>
        </w:rPr>
        <w:t>）。上传成功后，电子化平台将予以记录。</w:t>
      </w:r>
    </w:p>
    <w:p>
      <w:pPr>
        <w:pStyle w:val="3"/>
        <w:spacing w:line="500" w:lineRule="exact"/>
        <w:ind w:firstLine="566" w:firstLineChars="200"/>
        <w:rPr>
          <w:rFonts w:ascii="华文仿宋" w:cs="Times New Roman"/>
          <w:sz w:val="28"/>
          <w:szCs w:val="28"/>
          <w:highlight w:val="none"/>
        </w:rPr>
      </w:pPr>
      <w:bookmarkStart w:id="183" w:name="_Toc7616"/>
      <w:bookmarkStart w:id="184" w:name="_Toc31979"/>
      <w:bookmarkStart w:id="185" w:name="_Toc17615"/>
      <w:bookmarkStart w:id="186" w:name="_Toc7750"/>
      <w:bookmarkStart w:id="187" w:name="_Toc1454"/>
      <w:bookmarkStart w:id="188" w:name="_Toc11861"/>
      <w:r>
        <w:rPr>
          <w:rFonts w:hint="eastAsia" w:ascii="华文仿宋" w:hAnsi="华文仿宋" w:cs="华文仿宋"/>
          <w:sz w:val="28"/>
          <w:szCs w:val="28"/>
          <w:highlight w:val="none"/>
        </w:rPr>
        <w:t>（四）投标文件的补充、修改和撤回</w:t>
      </w:r>
      <w:bookmarkEnd w:id="183"/>
      <w:bookmarkEnd w:id="184"/>
      <w:bookmarkEnd w:id="185"/>
      <w:bookmarkEnd w:id="186"/>
      <w:bookmarkEnd w:id="187"/>
      <w:bookmarkEnd w:id="188"/>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、投标人在递交投标文件后，且在提交投标文件截止时间前，可以对所提交的投标文件进行补充、修改或撤回。</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、对电子投标文件进行补充、修改的，应先从电子交易平台上撤回旧版，再重新提交新版。</w:t>
      </w:r>
    </w:p>
    <w:p>
      <w:pPr>
        <w:spacing w:line="500" w:lineRule="exact"/>
        <w:ind w:firstLine="566" w:firstLineChars="200"/>
        <w:rPr>
          <w:rFonts w:ascii="华文仿宋"/>
          <w:highlight w:val="none"/>
        </w:rPr>
      </w:pPr>
      <w:r>
        <w:rPr>
          <w:rFonts w:ascii="华文仿宋" w:hAnsi="华文仿宋" w:cs="华文仿宋"/>
          <w:highlight w:val="none"/>
        </w:rPr>
        <w:t>3</w:t>
      </w:r>
      <w:r>
        <w:rPr>
          <w:rFonts w:hint="eastAsia" w:ascii="华文仿宋" w:hAnsi="华文仿宋" w:cs="华文仿宋"/>
          <w:highlight w:val="none"/>
        </w:rPr>
        <w:t>、投标文件提交截止时间后，投标人不得对其投标文件做任何修改。</w:t>
      </w:r>
    </w:p>
    <w:p>
      <w:pPr>
        <w:pStyle w:val="3"/>
        <w:spacing w:line="500" w:lineRule="exact"/>
        <w:ind w:firstLine="566" w:firstLineChars="200"/>
        <w:rPr>
          <w:rFonts w:ascii="华文仿宋" w:cs="Times New Roman"/>
          <w:sz w:val="28"/>
          <w:szCs w:val="28"/>
          <w:highlight w:val="none"/>
        </w:rPr>
      </w:pPr>
      <w:bookmarkStart w:id="189" w:name="_Toc4399"/>
      <w:bookmarkStart w:id="190" w:name="_Toc26578"/>
      <w:bookmarkStart w:id="191" w:name="_Toc8523"/>
      <w:bookmarkStart w:id="192" w:name="_Toc20024"/>
      <w:bookmarkStart w:id="193" w:name="_Toc649"/>
      <w:bookmarkStart w:id="194" w:name="_Toc15674"/>
      <w:r>
        <w:rPr>
          <w:rFonts w:hint="eastAsia" w:ascii="华文仿宋" w:hAnsi="华文仿宋" w:cs="华文仿宋"/>
          <w:sz w:val="28"/>
          <w:szCs w:val="28"/>
          <w:highlight w:val="none"/>
        </w:rPr>
        <w:t>（五）投标人提交投标文件时，出现下列情况之一的，其投标文件将被拒绝接收：</w:t>
      </w:r>
      <w:bookmarkEnd w:id="189"/>
      <w:bookmarkEnd w:id="190"/>
      <w:bookmarkEnd w:id="191"/>
      <w:bookmarkEnd w:id="192"/>
      <w:bookmarkEnd w:id="193"/>
      <w:bookmarkEnd w:id="194"/>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、逾期提交电子投标文件；</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、提交的电子投标文件与本项目不相符的。</w:t>
      </w:r>
    </w:p>
    <w:p>
      <w:pPr>
        <w:pStyle w:val="3"/>
        <w:spacing w:line="500" w:lineRule="exact"/>
        <w:ind w:firstLine="566" w:firstLineChars="200"/>
        <w:rPr>
          <w:rFonts w:ascii="华文仿宋" w:cs="Times New Roman"/>
          <w:sz w:val="28"/>
          <w:szCs w:val="28"/>
          <w:highlight w:val="none"/>
        </w:rPr>
      </w:pPr>
      <w:bookmarkStart w:id="195" w:name="_Toc9084"/>
      <w:r>
        <w:rPr>
          <w:rFonts w:hint="eastAsia" w:ascii="华文仿宋" w:hAnsi="华文仿宋" w:cs="华文仿宋"/>
          <w:sz w:val="28"/>
          <w:szCs w:val="28"/>
          <w:highlight w:val="none"/>
        </w:rPr>
        <w:t>六、组织开标</w:t>
      </w:r>
      <w:bookmarkEnd w:id="195"/>
    </w:p>
    <w:p>
      <w:pPr>
        <w:spacing w:line="500" w:lineRule="exact"/>
        <w:ind w:firstLine="566" w:firstLineChars="200"/>
        <w:rPr>
          <w:rFonts w:cs="Times New Roman"/>
          <w:highlight w:val="none"/>
        </w:rPr>
      </w:pPr>
      <w:r>
        <w:rPr>
          <w:rFonts w:hint="eastAsia" w:cs="华文仿宋"/>
          <w:highlight w:val="none"/>
        </w:rPr>
        <w:t>（一）陕西省省级单位政府采购中心组织开标、评审工作，整个过程受政府采购监管机构的监督、管理。</w:t>
      </w:r>
    </w:p>
    <w:p>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（二）陕西省省级单位政府采购中心在招标文件规定的时间和地点组织开标，投标人须派法定代表人或被授权代表参加。</w:t>
      </w:r>
    </w:p>
    <w:p>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参加投标的投标人不足3家的，不得开标。</w:t>
      </w:r>
    </w:p>
    <w:p>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三）开标时，陕西省省级单位政府采购中心现场工作人员将根据项目投标人数约定解密时长，投标人应在规定时间内，使用电子投标文件加密时所用的数字认证证书（CA锁）在开标室解密机上自行解密电子投标文件。未在规定时间内解密的，视为投标无效。</w:t>
      </w:r>
    </w:p>
    <w:p>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（四）投标人对开标过程有疑义，以及认为采购人、陕西省省级单位政府采购中心相关工作人员有需要回避情形的，应在开标现场提出询问或回避申请，采购人、陕西省省级单位政府采购中心应当及时处理。</w:t>
      </w:r>
    </w:p>
    <w:p>
      <w:pPr>
        <w:spacing w:line="500" w:lineRule="exact"/>
        <w:ind w:firstLine="566" w:firstLineChars="200"/>
        <w:rPr>
          <w:rFonts w:ascii="华文仿宋" w:cs="Times New Roman"/>
          <w:highlight w:val="none"/>
        </w:rPr>
      </w:pPr>
      <w:r>
        <w:rPr>
          <w:rFonts w:hint="eastAsia" w:cs="华文仿宋"/>
          <w:highlight w:val="none"/>
        </w:rPr>
        <w:t>（五）投标人未参加开标的，视同认可开标结果。</w:t>
      </w:r>
    </w:p>
    <w:p>
      <w:pPr>
        <w:spacing w:line="500" w:lineRule="exact"/>
        <w:ind w:firstLine="566" w:firstLineChars="200"/>
        <w:rPr>
          <w:rFonts w:ascii="华文仿宋" w:cs="Times New Roman"/>
          <w:highlight w:val="none"/>
        </w:rPr>
      </w:pPr>
      <w:r>
        <w:rPr>
          <w:rFonts w:hint="eastAsia" w:ascii="华文仿宋" w:hAnsi="华文仿宋" w:cs="华文仿宋"/>
          <w:b/>
          <w:bCs/>
          <w:highlight w:val="none"/>
        </w:rPr>
        <w:t>（六）在开标环节出现下列情况之一的，其投标文件视为无效文件：</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1、投标人拒绝对电子投标文件进行解密的；</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2、因投标人自身原因（如解密时使用的CA锁与制作电子投标文件使用的CA锁不一致、或沿用旧版招标文件编制投标文件等情形），导致在规定时间内无法解密投标文件的；</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3、上传的电子投标文件无法打开的；</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4、政府采购法律法规规定的其他无效情形。</w:t>
      </w:r>
    </w:p>
    <w:p>
      <w:pPr>
        <w:spacing w:line="500" w:lineRule="exact"/>
        <w:ind w:firstLine="566" w:firstLineChars="200"/>
        <w:rPr>
          <w:rFonts w:ascii="仿宋" w:hAnsi="仿宋" w:eastAsia="仿宋" w:cs="Times New Roman"/>
          <w:b/>
          <w:bCs/>
          <w:highlight w:val="none"/>
        </w:rPr>
      </w:pPr>
      <w:r>
        <w:rPr>
          <w:rFonts w:hint="eastAsia" w:ascii="仿宋" w:hAnsi="仿宋" w:eastAsia="仿宋" w:cs="仿宋"/>
          <w:b/>
          <w:bCs/>
          <w:highlight w:val="none"/>
        </w:rPr>
        <w:t>（七）特殊情形下的应急处置</w:t>
      </w:r>
    </w:p>
    <w:p>
      <w:pPr>
        <w:spacing w:line="500" w:lineRule="exact"/>
        <w:ind w:firstLine="566" w:firstLineChars="200"/>
        <w:rPr>
          <w:rFonts w:ascii="仿宋" w:hAnsi="仿宋" w:eastAsia="仿宋" w:cs="Times New Roman"/>
          <w:highlight w:val="none"/>
        </w:rPr>
      </w:pPr>
      <w:r>
        <w:rPr>
          <w:rFonts w:hint="eastAsia" w:ascii="仿宋" w:hAnsi="仿宋" w:eastAsia="仿宋" w:cs="仿宋"/>
          <w:highlight w:val="none"/>
        </w:rPr>
        <w:t>在开标、评审过程中，如因停电、断网、电子化系统故障等特殊原因导致电子化开、评审无法正常进行时，将视</w:t>
      </w:r>
      <w:r>
        <w:rPr>
          <w:rFonts w:hint="eastAsia" w:ascii="仿宋" w:hAnsi="仿宋" w:eastAsia="仿宋" w:cs="仿宋"/>
          <w:color w:val="000000"/>
          <w:highlight w:val="none"/>
        </w:rPr>
        <w:t>电子投标</w:t>
      </w:r>
      <w:r>
        <w:rPr>
          <w:rFonts w:hint="eastAsia" w:ascii="仿宋" w:hAnsi="仿宋" w:eastAsia="仿宋" w:cs="仿宋"/>
          <w:highlight w:val="none"/>
        </w:rPr>
        <w:t>文件解密情况特殊处理。</w:t>
      </w:r>
    </w:p>
    <w:p>
      <w:pPr>
        <w:spacing w:line="500" w:lineRule="exact"/>
        <w:ind w:firstLine="566" w:firstLineChars="200"/>
        <w:rPr>
          <w:rFonts w:ascii="华文仿宋" w:hAnsi="宋体" w:cs="Times New Roman"/>
          <w:highlight w:val="none"/>
        </w:rPr>
      </w:pPr>
      <w:r>
        <w:rPr>
          <w:rFonts w:ascii="华文仿宋" w:hAnsi="华文仿宋" w:cs="华文仿宋"/>
          <w:highlight w:val="none"/>
        </w:rPr>
        <w:t>1</w:t>
      </w:r>
      <w:r>
        <w:rPr>
          <w:rFonts w:hint="eastAsia" w:ascii="华文仿宋" w:hAnsi="华文仿宋" w:cs="华文仿宋"/>
          <w:highlight w:val="none"/>
        </w:rPr>
        <w:t>、开标时投标文件未解密的，将另行确定时间继续完成开标程序；</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、开标后投标文件已解密但评审结论未形成的，将发布废标公告，重新组织采购活动；</w:t>
      </w:r>
    </w:p>
    <w:p>
      <w:pPr>
        <w:spacing w:line="500" w:lineRule="exact"/>
        <w:ind w:firstLine="283" w:firstLineChars="100"/>
        <w:rPr>
          <w:rFonts w:ascii="华文仿宋" w:hAnsi="宋体" w:cs="Times New Roman"/>
          <w:highlight w:val="none"/>
        </w:rPr>
      </w:pPr>
      <w:r>
        <w:rPr>
          <w:rFonts w:ascii="华文仿宋" w:hAnsi="华文仿宋" w:cs="华文仿宋"/>
          <w:highlight w:val="none"/>
        </w:rPr>
        <w:t xml:space="preserve">  3</w:t>
      </w:r>
      <w:r>
        <w:rPr>
          <w:rFonts w:hint="eastAsia" w:ascii="华文仿宋" w:hAnsi="华文仿宋" w:cs="华文仿宋"/>
          <w:highlight w:val="none"/>
        </w:rPr>
        <w:t>、开标后投标文件已解密且评审结论已形成的，待特殊情况排除后，继续完成评审活动。</w:t>
      </w:r>
    </w:p>
    <w:p>
      <w:pPr>
        <w:pStyle w:val="3"/>
        <w:spacing w:line="500" w:lineRule="exact"/>
        <w:ind w:firstLine="566" w:firstLineChars="200"/>
        <w:rPr>
          <w:rFonts w:ascii="华文仿宋" w:cs="Times New Roman"/>
          <w:sz w:val="28"/>
          <w:szCs w:val="28"/>
          <w:highlight w:val="none"/>
        </w:rPr>
      </w:pPr>
      <w:bookmarkStart w:id="196" w:name="_Toc6763"/>
      <w:r>
        <w:rPr>
          <w:rFonts w:hint="eastAsia" w:ascii="华文仿宋" w:hAnsi="华文仿宋" w:cs="华文仿宋"/>
          <w:sz w:val="28"/>
          <w:szCs w:val="28"/>
          <w:highlight w:val="none"/>
        </w:rPr>
        <w:t>七、资格审查</w:t>
      </w:r>
      <w:bookmarkEnd w:id="196"/>
    </w:p>
    <w:p>
      <w:pPr>
        <w:spacing w:line="500" w:lineRule="exact"/>
        <w:ind w:firstLine="566" w:firstLineChars="200"/>
        <w:rPr>
          <w:rFonts w:ascii="华文仿宋" w:cs="Times New Roman"/>
          <w:highlight w:val="none"/>
        </w:rPr>
      </w:pPr>
      <w:r>
        <w:rPr>
          <w:rFonts w:hint="eastAsia" w:ascii="华文仿宋" w:hAnsi="华文仿宋" w:cs="华文仿宋"/>
          <w:highlight w:val="none"/>
        </w:rPr>
        <w:t>（一）开标结束后，由采购人委派的资格审查小组按照《政府采购货物和服务招标投标管理办法》（财政部第</w:t>
      </w:r>
      <w:r>
        <w:rPr>
          <w:rFonts w:ascii="仿宋" w:hAnsi="仿宋" w:eastAsia="仿宋" w:cs="仿宋"/>
          <w:highlight w:val="none"/>
        </w:rPr>
        <w:t>87</w:t>
      </w:r>
      <w:r>
        <w:rPr>
          <w:rFonts w:hint="eastAsia" w:ascii="华文仿宋" w:hAnsi="华文仿宋" w:cs="华文仿宋"/>
          <w:highlight w:val="none"/>
        </w:rPr>
        <w:t>号令）有关规定，对电子投标文件中的投标人资格证明文件进行审查。</w:t>
      </w:r>
    </w:p>
    <w:p>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（二）出现下列情形的，投标文件将被视为无效：</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）不具备招标文件中规定的资格要求的；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）未按招标文件要求提供资格证明文件，或未按招标文件要求加盖公章的；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资格审查小组认为投标人的资格证明文件存在疑点，要求投标人通过公共资源电子交易平台（以下简称“平台”）或电子邮件（在平台无法支持的情况下）等形式提供更清晰有效的证明文件，投标人不能在规定时限内提供符合招标文件要求的证明文件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（三）资格审查结束后，资格审查小组成员应当对审查结果进行签字确认，并告知无效投标人资格审查未通过的原因。</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（四）合格投标人不足</w:t>
      </w:r>
      <w:r>
        <w:rPr>
          <w:rFonts w:ascii="仿宋" w:hAnsi="仿宋" w:eastAsia="仿宋" w:cs="仿宋"/>
          <w:highlight w:val="none"/>
        </w:rPr>
        <w:t>3</w:t>
      </w:r>
      <w:r>
        <w:rPr>
          <w:rFonts w:hint="eastAsia" w:ascii="华文仿宋" w:hAnsi="华文仿宋" w:cs="华文仿宋"/>
          <w:highlight w:val="none"/>
        </w:rPr>
        <w:t>家的，不得评标，应予以废标。</w:t>
      </w:r>
    </w:p>
    <w:p>
      <w:pPr>
        <w:pStyle w:val="3"/>
        <w:spacing w:line="500" w:lineRule="exact"/>
        <w:ind w:firstLine="566" w:firstLineChars="200"/>
        <w:rPr>
          <w:rFonts w:ascii="华文仿宋" w:cs="Times New Roman"/>
          <w:sz w:val="28"/>
          <w:szCs w:val="28"/>
          <w:highlight w:val="none"/>
        </w:rPr>
      </w:pPr>
      <w:bookmarkStart w:id="197" w:name="_Toc1863"/>
      <w:r>
        <w:rPr>
          <w:rFonts w:hint="eastAsia" w:ascii="华文仿宋" w:hAnsi="华文仿宋" w:cs="华文仿宋"/>
          <w:sz w:val="28"/>
          <w:szCs w:val="28"/>
          <w:highlight w:val="none"/>
        </w:rPr>
        <w:t>八、组织评标</w:t>
      </w:r>
      <w:bookmarkEnd w:id="197"/>
    </w:p>
    <w:p>
      <w:pPr>
        <w:pStyle w:val="3"/>
        <w:spacing w:line="500" w:lineRule="exact"/>
        <w:ind w:firstLine="566" w:firstLineChars="200"/>
        <w:rPr>
          <w:rFonts w:ascii="华文仿宋" w:cs="Times New Roman"/>
          <w:sz w:val="28"/>
          <w:szCs w:val="28"/>
          <w:highlight w:val="none"/>
        </w:rPr>
      </w:pPr>
      <w:bookmarkStart w:id="198" w:name="_Toc32509"/>
      <w:bookmarkStart w:id="199" w:name="_Toc13209"/>
      <w:bookmarkStart w:id="200" w:name="_Toc25926"/>
      <w:bookmarkStart w:id="201" w:name="_Toc1943"/>
      <w:bookmarkStart w:id="202" w:name="_Toc22084"/>
      <w:bookmarkStart w:id="203" w:name="_Toc7530"/>
      <w:r>
        <w:rPr>
          <w:rFonts w:hint="eastAsia" w:ascii="华文仿宋" w:hAnsi="华文仿宋" w:cs="华文仿宋"/>
          <w:sz w:val="28"/>
          <w:szCs w:val="28"/>
          <w:highlight w:val="none"/>
        </w:rPr>
        <w:t>（一）采购代理机构负责组织评标工作，并履行下列职责：</w:t>
      </w:r>
      <w:bookmarkEnd w:id="198"/>
      <w:bookmarkEnd w:id="199"/>
      <w:bookmarkEnd w:id="200"/>
      <w:bookmarkEnd w:id="201"/>
      <w:bookmarkEnd w:id="202"/>
      <w:bookmarkEnd w:id="203"/>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、核对评审专家身份和采购人代表授权函，对评审专家在政府采购活动中的职责履行情况予以记录，并及时将有关违法违规行为向财政部门报告</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、宣布评标纪律</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、公布投标人名单，告知评审专家应当回避的情形</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、组织评标委员会推选评标组长，采购人代表不得担任组长</w:t>
      </w:r>
      <w:r>
        <w:rPr>
          <w:rFonts w:ascii="华文仿宋" w:hAnsi="华文仿宋" w:cs="华文仿宋"/>
          <w:sz w:val="28"/>
          <w:szCs w:val="28"/>
          <w:highlight w:val="none"/>
          <w:shd w:val="clear" w:color="auto" w:fill="FFFFFF"/>
        </w:rPr>
        <w:t>;</w:t>
      </w:r>
    </w:p>
    <w:p>
      <w:pPr>
        <w:spacing w:line="500" w:lineRule="exact"/>
        <w:ind w:firstLine="566" w:firstLineChars="200"/>
        <w:jc w:val="left"/>
        <w:rPr>
          <w:rFonts w:ascii="仿宋" w:hAnsi="仿宋" w:eastAsia="仿宋" w:cs="仿宋"/>
          <w:highlight w:val="none"/>
        </w:rPr>
      </w:pPr>
      <w:r>
        <w:rPr>
          <w:rFonts w:ascii="仿宋" w:hAnsi="仿宋" w:eastAsia="仿宋" w:cs="仿宋"/>
          <w:highlight w:val="none"/>
        </w:rPr>
        <w:t>5</w:t>
      </w:r>
      <w:r>
        <w:rPr>
          <w:rFonts w:hint="eastAsia" w:ascii="仿宋" w:hAnsi="仿宋" w:eastAsia="仿宋" w:cs="仿宋"/>
          <w:highlight w:val="none"/>
        </w:rPr>
        <w:t>、在评审期间采取必要的通讯管理措施，保证评审活动不受外界干扰</w:t>
      </w:r>
      <w:r>
        <w:rPr>
          <w:rFonts w:ascii="仿宋" w:hAnsi="仿宋" w:eastAsia="仿宋" w:cs="仿宋"/>
          <w:highlight w:val="none"/>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、根据评标委员会的要求介绍政府采购相关政策法规、招标文件</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、维护评标秩序，监督评标委员会依照招标文件规定的评标程序、方法和标准进行独立评审，及时制止和纠正采购人代表、评审专家的倾向性言论或者违法违规行为</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、核对评标结果</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9</w:t>
      </w:r>
      <w:r>
        <w:rPr>
          <w:rFonts w:hint="eastAsia" w:ascii="华文仿宋" w:hAnsi="华文仿宋" w:cs="华文仿宋"/>
          <w:sz w:val="28"/>
          <w:szCs w:val="28"/>
          <w:highlight w:val="none"/>
          <w:shd w:val="clear" w:color="auto" w:fill="FFFFFF"/>
        </w:rPr>
        <w:t>、评审工作完成后，按照规定向评审专家支付劳务报酬和异地评审差旅费，不得向评审专家以外的其他人员支付评审劳务报酬</w:t>
      </w:r>
      <w:r>
        <w:rPr>
          <w:rFonts w:ascii="华文仿宋" w:hAnsi="华文仿宋" w:cs="华文仿宋"/>
          <w:sz w:val="28"/>
          <w:szCs w:val="28"/>
          <w:highlight w:val="none"/>
          <w:shd w:val="clear" w:color="auto" w:fill="FFFFFF"/>
        </w:rPr>
        <w:t>;</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10</w:t>
      </w:r>
      <w:r>
        <w:rPr>
          <w:rFonts w:hint="eastAsia" w:ascii="华文仿宋" w:hAnsi="华文仿宋" w:cs="华文仿宋"/>
          <w:sz w:val="28"/>
          <w:szCs w:val="28"/>
          <w:highlight w:val="none"/>
          <w:shd w:val="clear" w:color="auto" w:fill="FFFFFF"/>
        </w:rPr>
        <w:t>、处理与评标有关的其他事项。</w:t>
      </w:r>
    </w:p>
    <w:p>
      <w:pPr>
        <w:pStyle w:val="16"/>
        <w:spacing w:beforeAutospacing="0" w:afterAutospacing="0" w:line="500" w:lineRule="exact"/>
        <w:ind w:firstLine="566" w:firstLineChars="200"/>
        <w:rPr>
          <w:rFonts w:ascii="华文仿宋" w:cs="Times New Roman"/>
          <w:sz w:val="28"/>
          <w:szCs w:val="28"/>
          <w:highlight w:val="none"/>
        </w:rPr>
      </w:pPr>
      <w:r>
        <w:rPr>
          <w:rFonts w:hint="eastAsia" w:ascii="华文仿宋" w:hAnsi="华文仿宋" w:cs="华文仿宋"/>
          <w:sz w:val="28"/>
          <w:szCs w:val="28"/>
          <w:highlight w:val="none"/>
          <w:shd w:val="clear" w:color="auto" w:fill="FFFFFF"/>
        </w:rPr>
        <w:t>采购人可以在评标前说明项目背景和采购需求，说明内容不得含有歧视性、倾向性意见，不得超出招标文件所述范围。说明应当提交书面材料，并随招标文件一并存档。</w:t>
      </w:r>
    </w:p>
    <w:p>
      <w:pPr>
        <w:pStyle w:val="3"/>
        <w:spacing w:line="500" w:lineRule="exact"/>
        <w:ind w:firstLine="566" w:firstLineChars="200"/>
        <w:rPr>
          <w:rFonts w:ascii="华文仿宋" w:cs="Times New Roman"/>
          <w:sz w:val="28"/>
          <w:szCs w:val="28"/>
          <w:highlight w:val="none"/>
        </w:rPr>
      </w:pPr>
      <w:bookmarkStart w:id="204" w:name="_Toc23175"/>
      <w:bookmarkStart w:id="205" w:name="_Toc1094"/>
      <w:bookmarkStart w:id="206" w:name="_Toc4045"/>
      <w:bookmarkStart w:id="207" w:name="_Toc12271"/>
      <w:bookmarkStart w:id="208" w:name="_Toc11858"/>
      <w:bookmarkStart w:id="209" w:name="_Toc10870"/>
      <w:r>
        <w:rPr>
          <w:rFonts w:hint="eastAsia" w:ascii="华文仿宋" w:hAnsi="华文仿宋" w:cs="华文仿宋"/>
          <w:sz w:val="28"/>
          <w:szCs w:val="28"/>
          <w:highlight w:val="none"/>
        </w:rPr>
        <w:t>（二）评标委员会负责具体评标事务，并独立履行下列职责：</w:t>
      </w:r>
      <w:bookmarkEnd w:id="204"/>
      <w:bookmarkEnd w:id="205"/>
      <w:bookmarkEnd w:id="206"/>
      <w:bookmarkEnd w:id="207"/>
      <w:bookmarkEnd w:id="208"/>
      <w:bookmarkEnd w:id="209"/>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1</w:t>
      </w:r>
      <w:r>
        <w:rPr>
          <w:rFonts w:hint="eastAsia" w:ascii="华文仿宋" w:hAnsi="华文仿宋" w:cs="华文仿宋"/>
          <w:sz w:val="28"/>
          <w:szCs w:val="28"/>
          <w:highlight w:val="none"/>
          <w:shd w:val="clear" w:color="auto" w:fill="FFFFFF"/>
        </w:rPr>
        <w:t>、严格遵守评审工作纪律，按照客观、公正、审慎的原则，根据招标文件规定的评审程序、评审方法和评审标准进行独立评审；</w:t>
      </w:r>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2</w:t>
      </w:r>
      <w:r>
        <w:rPr>
          <w:rFonts w:hint="eastAsia" w:ascii="华文仿宋" w:hAnsi="华文仿宋" w:cs="华文仿宋"/>
          <w:sz w:val="28"/>
          <w:szCs w:val="28"/>
          <w:highlight w:val="none"/>
          <w:shd w:val="clear" w:color="auto" w:fill="FFFFFF"/>
        </w:rPr>
        <w:t>、招标文件内容违反国家有关强制性规定或者招标文件存在歧义、重大缺陷导致评审工作无法进行时，应当停止评审并向采购人或者采购代理机构书面说明情况；</w:t>
      </w:r>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3</w:t>
      </w:r>
      <w:r>
        <w:rPr>
          <w:rFonts w:hint="eastAsia" w:ascii="华文仿宋" w:hAnsi="华文仿宋" w:cs="华文仿宋"/>
          <w:sz w:val="28"/>
          <w:szCs w:val="28"/>
          <w:highlight w:val="none"/>
          <w:shd w:val="clear" w:color="auto" w:fill="FFFFFF"/>
        </w:rPr>
        <w:t>、审查、评价投标文件是否符合招标文件的商务、技术等实质性要求；</w:t>
      </w:r>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4</w:t>
      </w:r>
      <w:r>
        <w:rPr>
          <w:rFonts w:hint="eastAsia" w:ascii="华文仿宋" w:hAnsi="华文仿宋" w:cs="华文仿宋"/>
          <w:sz w:val="28"/>
          <w:szCs w:val="28"/>
          <w:highlight w:val="none"/>
          <w:shd w:val="clear" w:color="auto" w:fill="FFFFFF"/>
        </w:rPr>
        <w:t>、要求投标人对投标文件有关事项作出澄清或者说明；</w:t>
      </w:r>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5</w:t>
      </w:r>
      <w:r>
        <w:rPr>
          <w:rFonts w:hint="eastAsia" w:ascii="华文仿宋" w:hAnsi="华文仿宋" w:cs="华文仿宋"/>
          <w:sz w:val="28"/>
          <w:szCs w:val="28"/>
          <w:highlight w:val="none"/>
          <w:shd w:val="clear" w:color="auto" w:fill="FFFFFF"/>
        </w:rPr>
        <w:t>、对投标文件进行比较和评价；</w:t>
      </w:r>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6</w:t>
      </w:r>
      <w:r>
        <w:rPr>
          <w:rFonts w:hint="eastAsia" w:ascii="华文仿宋" w:hAnsi="华文仿宋" w:cs="华文仿宋"/>
          <w:sz w:val="28"/>
          <w:szCs w:val="28"/>
          <w:highlight w:val="none"/>
          <w:shd w:val="clear" w:color="auto" w:fill="FFFFFF"/>
        </w:rPr>
        <w:t>、确定中标候选人名单，以及根据采购人委托直接确定中标投标人；</w:t>
      </w:r>
    </w:p>
    <w:p>
      <w:pPr>
        <w:pStyle w:val="16"/>
        <w:spacing w:beforeAutospacing="0" w:afterAutospacing="0" w:line="500" w:lineRule="exact"/>
        <w:ind w:firstLine="566" w:firstLineChars="200"/>
        <w:rPr>
          <w:rFonts w:ascii="华文仿宋" w:cs="Times New Roman"/>
          <w:sz w:val="28"/>
          <w:szCs w:val="28"/>
          <w:highlight w:val="none"/>
          <w:shd w:val="clear" w:color="auto" w:fill="FFFFFF"/>
        </w:rPr>
      </w:pPr>
      <w:r>
        <w:rPr>
          <w:rFonts w:ascii="华文仿宋" w:hAnsi="华文仿宋" w:cs="华文仿宋"/>
          <w:sz w:val="28"/>
          <w:szCs w:val="28"/>
          <w:highlight w:val="none"/>
          <w:shd w:val="clear" w:color="auto" w:fill="FFFFFF"/>
        </w:rPr>
        <w:t>7</w:t>
      </w:r>
      <w:r>
        <w:rPr>
          <w:rFonts w:hint="eastAsia" w:ascii="华文仿宋" w:hAnsi="华文仿宋" w:cs="华文仿宋"/>
          <w:sz w:val="28"/>
          <w:szCs w:val="28"/>
          <w:highlight w:val="none"/>
          <w:shd w:val="clear" w:color="auto" w:fill="FFFFFF"/>
        </w:rPr>
        <w:t>、配合答复投标人的询问、质疑和投诉等事项</w:t>
      </w:r>
      <w:r>
        <w:rPr>
          <w:rFonts w:ascii="华文仿宋" w:cs="华文仿宋"/>
          <w:sz w:val="28"/>
          <w:szCs w:val="28"/>
          <w:highlight w:val="none"/>
          <w:shd w:val="clear" w:color="auto" w:fill="FFFFFF"/>
        </w:rPr>
        <w:t>,</w:t>
      </w:r>
      <w:r>
        <w:rPr>
          <w:rFonts w:hint="eastAsia" w:ascii="华文仿宋" w:hAnsi="华文仿宋" w:cs="华文仿宋"/>
          <w:sz w:val="28"/>
          <w:szCs w:val="28"/>
          <w:highlight w:val="none"/>
          <w:shd w:val="clear" w:color="auto" w:fill="FFFFFF"/>
        </w:rPr>
        <w:t>不得泄露评审文件、评审情况和在评审过程中获悉的商业秘密；</w:t>
      </w:r>
    </w:p>
    <w:p>
      <w:pPr>
        <w:pStyle w:val="16"/>
        <w:spacing w:beforeAutospacing="0" w:afterAutospacing="0" w:line="500" w:lineRule="exact"/>
        <w:ind w:firstLine="566" w:firstLineChars="200"/>
        <w:rPr>
          <w:rFonts w:ascii="华文仿宋" w:cs="Times New Roman"/>
          <w:sz w:val="28"/>
          <w:szCs w:val="28"/>
          <w:highlight w:val="none"/>
        </w:rPr>
      </w:pPr>
      <w:r>
        <w:rPr>
          <w:rFonts w:ascii="华文仿宋" w:hAnsi="华文仿宋" w:cs="华文仿宋"/>
          <w:sz w:val="28"/>
          <w:szCs w:val="28"/>
          <w:highlight w:val="none"/>
          <w:shd w:val="clear" w:color="auto" w:fill="FFFFFF"/>
        </w:rPr>
        <w:t>8</w:t>
      </w:r>
      <w:r>
        <w:rPr>
          <w:rFonts w:hint="eastAsia" w:ascii="华文仿宋" w:hAnsi="华文仿宋" w:cs="华文仿宋"/>
          <w:sz w:val="28"/>
          <w:szCs w:val="28"/>
          <w:highlight w:val="none"/>
          <w:shd w:val="clear" w:color="auto" w:fill="FFFFFF"/>
        </w:rPr>
        <w:t>、向采购人、</w:t>
      </w:r>
      <w:r>
        <w:rPr>
          <w:rFonts w:hint="eastAsia" w:ascii="华文仿宋" w:hAnsi="华文仿宋" w:cs="华文仿宋"/>
          <w:sz w:val="28"/>
          <w:szCs w:val="28"/>
          <w:highlight w:val="none"/>
          <w:shd w:val="clear" w:color="auto" w:fill="FFFFFF"/>
          <w:lang w:val="zh-CN"/>
        </w:rPr>
        <w:t>陕西省省级单位政府采购中心</w:t>
      </w:r>
      <w:r>
        <w:rPr>
          <w:rFonts w:hint="eastAsia" w:ascii="华文仿宋" w:hAnsi="华文仿宋" w:cs="华文仿宋"/>
          <w:sz w:val="28"/>
          <w:szCs w:val="28"/>
          <w:highlight w:val="none"/>
          <w:shd w:val="clear" w:color="auto" w:fill="FFFFFF"/>
        </w:rPr>
        <w:t>或者有关部门报告评标中发现的违法行为。</w:t>
      </w:r>
    </w:p>
    <w:p>
      <w:pPr>
        <w:pStyle w:val="3"/>
        <w:spacing w:line="500" w:lineRule="exact"/>
        <w:ind w:firstLine="566" w:firstLineChars="200"/>
        <w:rPr>
          <w:rFonts w:ascii="华文仿宋" w:cs="Times New Roman"/>
          <w:sz w:val="28"/>
          <w:szCs w:val="28"/>
          <w:highlight w:val="none"/>
        </w:rPr>
      </w:pPr>
      <w:bookmarkStart w:id="210" w:name="_Toc31640"/>
      <w:bookmarkStart w:id="211" w:name="_Toc5809"/>
      <w:bookmarkStart w:id="212" w:name="_Toc6704"/>
      <w:bookmarkStart w:id="213" w:name="_Toc19744"/>
      <w:bookmarkStart w:id="214" w:name="_Toc25447"/>
      <w:bookmarkStart w:id="215" w:name="_Toc31084"/>
      <w:r>
        <w:rPr>
          <w:rFonts w:hint="eastAsia" w:ascii="华文仿宋" w:hAnsi="华文仿宋" w:cs="华文仿宋"/>
          <w:sz w:val="28"/>
          <w:szCs w:val="28"/>
          <w:highlight w:val="none"/>
        </w:rPr>
        <w:t>（三）组建评标委员会</w:t>
      </w:r>
      <w:bookmarkEnd w:id="210"/>
      <w:bookmarkEnd w:id="211"/>
      <w:bookmarkEnd w:id="212"/>
      <w:bookmarkEnd w:id="213"/>
      <w:bookmarkEnd w:id="214"/>
      <w:bookmarkEnd w:id="215"/>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、为了确保评标工作的公平、公正，依据政府采购法和政府采购相关法规、规章，成立评标委员会。评标委员会由采购人代表和有关技术、经济等方面的专家组成，成员人数为</w:t>
      </w:r>
      <w:r>
        <w:rPr>
          <w:rFonts w:ascii="仿宋" w:hAnsi="仿宋" w:eastAsia="仿宋" w:cs="仿宋"/>
          <w:highlight w:val="none"/>
        </w:rPr>
        <w:t>5</w:t>
      </w:r>
      <w:r>
        <w:rPr>
          <w:rFonts w:hint="eastAsia" w:ascii="华文仿宋" w:hAnsi="华文仿宋" w:cs="华文仿宋"/>
          <w:highlight w:val="none"/>
        </w:rPr>
        <w:t>人以上单数。其中，评审专家不少于成员总数的三分之二。</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采购项目符合下列情形之一的，评标委员会成员人数应当为</w:t>
      </w:r>
      <w:r>
        <w:rPr>
          <w:rFonts w:ascii="仿宋" w:hAnsi="仿宋" w:eastAsia="仿宋" w:cs="仿宋"/>
          <w:highlight w:val="none"/>
        </w:rPr>
        <w:t>7</w:t>
      </w:r>
      <w:r>
        <w:rPr>
          <w:rFonts w:hint="eastAsia" w:ascii="华文仿宋" w:hAnsi="华文仿宋" w:cs="华文仿宋"/>
          <w:highlight w:val="none"/>
        </w:rPr>
        <w:t>人以上单数：</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）采购预算金额在</w:t>
      </w:r>
      <w:r>
        <w:rPr>
          <w:rFonts w:ascii="仿宋" w:hAnsi="仿宋" w:eastAsia="仿宋" w:cs="仿宋"/>
          <w:highlight w:val="none"/>
        </w:rPr>
        <w:t>1000</w:t>
      </w:r>
      <w:r>
        <w:rPr>
          <w:rFonts w:hint="eastAsia" w:ascii="华文仿宋" w:hAnsi="华文仿宋" w:cs="华文仿宋"/>
          <w:highlight w:val="none"/>
        </w:rPr>
        <w:t>万元以上；</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）技术复杂；</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）社会影响较大。</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评审专家对本单位的采购项目只能作为采购人代表参与评标。</w:t>
      </w:r>
      <w:r>
        <w:rPr>
          <w:rFonts w:hint="eastAsia" w:ascii="华文仿宋" w:hAnsi="华文仿宋" w:cs="华文仿宋"/>
          <w:highlight w:val="none"/>
          <w:lang w:val="zh-CN"/>
        </w:rPr>
        <w:t>陕西省省级单位政府采购中心</w:t>
      </w:r>
      <w:r>
        <w:rPr>
          <w:rFonts w:hint="eastAsia" w:ascii="华文仿宋" w:hAnsi="华文仿宋" w:cs="华文仿宋"/>
          <w:highlight w:val="none"/>
        </w:rPr>
        <w:t>工作人员不得参加由本机构代理的政府采购项目的评标。</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评标委员会成员名单在评标结果公告前应当保密。</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评标中因评标委员会成员缺席、回避或者健康等特殊原因导致评标委员会组成不符合规定的，陕西省省级单位政府采购中心应当依法补足后继续评标。被更换的评标委员会成员所作出的评标意见无效。无法及时补足评标委员会成员的，陕西省省级单位政府采购中心应当停止评标活动，封存所有投标文件和开标、评标资料，依法重新组建评标委员会进行评标。原评标委员会所作出的评标意见无效。</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陕西省省级单位政府采购中心应当将变更、重新组建评标委员会的情况予以记录，并随招标文件一并存档。</w:t>
      </w:r>
    </w:p>
    <w:p>
      <w:pPr>
        <w:pStyle w:val="3"/>
        <w:spacing w:line="500" w:lineRule="exact"/>
        <w:ind w:firstLine="566" w:firstLineChars="200"/>
        <w:rPr>
          <w:rFonts w:ascii="华文仿宋" w:cs="Times New Roman"/>
          <w:sz w:val="28"/>
          <w:szCs w:val="28"/>
          <w:highlight w:val="none"/>
        </w:rPr>
      </w:pPr>
      <w:bookmarkStart w:id="216" w:name="_Toc30089"/>
      <w:bookmarkStart w:id="217" w:name="_Toc23311"/>
      <w:bookmarkStart w:id="218" w:name="_Toc8571"/>
      <w:bookmarkStart w:id="219" w:name="_Toc11222"/>
      <w:bookmarkStart w:id="220" w:name="_Toc18278"/>
      <w:bookmarkStart w:id="221" w:name="_Toc7342"/>
      <w:r>
        <w:rPr>
          <w:rFonts w:hint="eastAsia" w:ascii="华文仿宋" w:hAnsi="华文仿宋" w:cs="华文仿宋"/>
          <w:sz w:val="28"/>
          <w:szCs w:val="28"/>
          <w:highlight w:val="none"/>
        </w:rPr>
        <w:t>（四）评标方法：本次评审采用综合评分法</w:t>
      </w:r>
      <w:bookmarkEnd w:id="216"/>
      <w:bookmarkEnd w:id="217"/>
      <w:bookmarkEnd w:id="218"/>
      <w:bookmarkEnd w:id="219"/>
      <w:bookmarkEnd w:id="220"/>
      <w:bookmarkEnd w:id="221"/>
    </w:p>
    <w:p>
      <w:pPr>
        <w:spacing w:line="500" w:lineRule="exact"/>
        <w:ind w:firstLine="566" w:firstLineChars="200"/>
        <w:rPr>
          <w:rFonts w:ascii="华文仿宋" w:cs="Times New Roman"/>
          <w:highlight w:val="none"/>
        </w:rPr>
      </w:pPr>
      <w:r>
        <w:rPr>
          <w:rFonts w:hint="eastAsia" w:ascii="华文仿宋" w:hAnsi="华文仿宋" w:cs="华文仿宋"/>
          <w:highlight w:val="none"/>
        </w:rPr>
        <w:t>评标方法分为最低评标价法和综合评分法。</w:t>
      </w:r>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、最低评标价法，是指投标文件满足招标文件全部实质性要求，且投标报价最低的投标人为中标候选人的评标方法。</w:t>
      </w:r>
    </w:p>
    <w:p>
      <w:pPr>
        <w:spacing w:line="500" w:lineRule="exact"/>
        <w:ind w:firstLine="566" w:firstLineChars="200"/>
        <w:jc w:val="left"/>
        <w:rPr>
          <w:rFonts w:cs="Times New Roman"/>
          <w:b/>
          <w:bCs/>
          <w:highlight w:val="none"/>
        </w:rPr>
      </w:pPr>
      <w:r>
        <w:rPr>
          <w:rFonts w:hint="eastAsia" w:cs="华文仿宋"/>
          <w:highlight w:val="none"/>
        </w:rPr>
        <w:t>技术、服务等标准统一的货物服务项目，应当采用最低评标价法。</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采用最低评标价法评标时，除了算术修正和落实政府采购政策需进行的价格扣除外，不能对投标人的投标价格进行任何调整。</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、综合评分法，是指投标文件满足招标文件全部实质性要求，且按照评审因素的量化指标评审得分最高的投标人为中标候选人的评标方法。</w:t>
      </w:r>
    </w:p>
    <w:p>
      <w:pPr>
        <w:pStyle w:val="3"/>
        <w:spacing w:line="500" w:lineRule="exact"/>
        <w:ind w:firstLine="566" w:firstLineChars="200"/>
        <w:rPr>
          <w:rFonts w:ascii="华文仿宋" w:cs="Times New Roman"/>
          <w:sz w:val="28"/>
          <w:szCs w:val="28"/>
          <w:highlight w:val="none"/>
        </w:rPr>
      </w:pPr>
      <w:bookmarkStart w:id="222" w:name="_Toc7039"/>
      <w:bookmarkStart w:id="223" w:name="_Toc27750"/>
      <w:bookmarkStart w:id="224" w:name="_Toc27452"/>
      <w:bookmarkStart w:id="225" w:name="_Toc10676"/>
      <w:bookmarkStart w:id="226" w:name="_Toc32053"/>
      <w:bookmarkStart w:id="227" w:name="_Toc18168"/>
      <w:r>
        <w:rPr>
          <w:rFonts w:hint="eastAsia" w:ascii="华文仿宋" w:hAnsi="华文仿宋" w:cs="华文仿宋"/>
          <w:sz w:val="28"/>
          <w:szCs w:val="28"/>
          <w:highlight w:val="none"/>
        </w:rPr>
        <w:t>（五）评标程序</w:t>
      </w:r>
      <w:bookmarkEnd w:id="222"/>
      <w:bookmarkEnd w:id="223"/>
      <w:bookmarkEnd w:id="224"/>
      <w:bookmarkEnd w:id="225"/>
      <w:bookmarkEnd w:id="226"/>
      <w:bookmarkEnd w:id="227"/>
    </w:p>
    <w:p>
      <w:pPr>
        <w:spacing w:line="500" w:lineRule="exact"/>
        <w:ind w:firstLine="566" w:firstLineChars="200"/>
        <w:rPr>
          <w:rFonts w:ascii="华文仿宋" w:cs="Times New Roman"/>
          <w:highlight w:val="none"/>
        </w:rPr>
      </w:pPr>
      <w:r>
        <w:rPr>
          <w:rFonts w:hint="eastAsia" w:ascii="华文仿宋" w:hAnsi="华文仿宋" w:cs="华文仿宋"/>
          <w:highlight w:val="none"/>
        </w:rPr>
        <w:t>分步评审，每一步评审不符合招标文件要求者，不得进入下一步评审，全部评审合格的投标人，进入最后的打分，最后按得分由高到低排序，推荐中标候选人。</w:t>
      </w:r>
    </w:p>
    <w:p>
      <w:pPr>
        <w:spacing w:line="500" w:lineRule="exact"/>
        <w:ind w:firstLine="566" w:firstLineChars="200"/>
        <w:rPr>
          <w:rFonts w:ascii="华文仿宋" w:cs="Times New Roman"/>
          <w:b/>
          <w:bCs/>
          <w:highlight w:val="none"/>
        </w:rPr>
      </w:pPr>
      <w:r>
        <w:rPr>
          <w:rFonts w:ascii="华文仿宋" w:hAnsi="华文仿宋" w:cs="华文仿宋"/>
          <w:b/>
          <w:bCs/>
          <w:highlight w:val="none"/>
        </w:rPr>
        <w:t>1</w:t>
      </w:r>
      <w:r>
        <w:rPr>
          <w:rFonts w:hint="eastAsia" w:ascii="华文仿宋" w:hAnsi="华文仿宋" w:cs="华文仿宋"/>
          <w:b/>
          <w:bCs/>
          <w:highlight w:val="none"/>
        </w:rPr>
        <w:t>、投标文件的符合性审查</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评标委员会依据招标文件的规定，对投标文件的有效性、完整性和对招标文件的响应程度进行审查，以确定是否对招标文件的全部实质性要求作出响应。</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评标委员会要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2、投标文件的澄清</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）评标委员会在对投标文件的有效性、完整性和响应程度进行审查时，可以要求投标人对投标文件中含义不明确、同类问题表述不一致或者有明显文字和计算错误的内容等做出必要的澄清、说明或者补正。</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）依照《中华人民共和国民法典》的过失责任原则，澄清、说明或补正前评标委员会将按最不利于投标人的原则对投标文件做出评判。</w:t>
      </w:r>
    </w:p>
    <w:p>
      <w:pPr>
        <w:spacing w:line="500" w:lineRule="exact"/>
        <w:rPr>
          <w:rFonts w:ascii="华文仿宋" w:cs="Times New Roman"/>
          <w:highlight w:val="none"/>
        </w:rPr>
      </w:pPr>
      <w:r>
        <w:rPr>
          <w:rFonts w:hint="eastAsia" w:ascii="华文仿宋" w:hAnsi="华文仿宋" w:cs="华文仿宋"/>
          <w:highlight w:val="none"/>
        </w:rPr>
        <w:t xml:space="preserve">    （</w:t>
      </w:r>
      <w:r>
        <w:rPr>
          <w:rFonts w:ascii="华文仿宋" w:hAnsi="华文仿宋" w:cs="华文仿宋"/>
          <w:highlight w:val="none"/>
        </w:rPr>
        <w:t>3</w:t>
      </w:r>
      <w:r>
        <w:rPr>
          <w:rFonts w:hint="eastAsia" w:ascii="华文仿宋" w:hAnsi="华文仿宋" w:cs="华文仿宋"/>
          <w:highlight w:val="none"/>
        </w:rPr>
        <w:t>）评标委员会要求投标人澄清、说明或者补正投标文件应通过书面形式做出。投标人应当在规定的澄清时限内按评标委员会要求的方式，通过书面形式提交，投标人的澄清、说明或者补正应当由法定代表人或其授权代表签字或者加盖公章。</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）投标人的澄清、说明或者补正不得超出投标文件的范围或者改变投标文件的实质性内容。澄清、说明或者补正的内容将作为</w:t>
      </w:r>
      <w:r>
        <w:rPr>
          <w:rFonts w:hint="eastAsia" w:ascii="华文仿宋" w:hAnsi="华文仿宋" w:cs="华文仿宋"/>
          <w:kern w:val="0"/>
          <w:highlight w:val="none"/>
        </w:rPr>
        <w:t>合同</w:t>
      </w:r>
      <w:r>
        <w:rPr>
          <w:rFonts w:hint="eastAsia" w:ascii="华文仿宋" w:hAnsi="华文仿宋" w:cs="华文仿宋"/>
          <w:highlight w:val="none"/>
        </w:rPr>
        <w:t>履行的重要依据。</w:t>
      </w:r>
    </w:p>
    <w:p>
      <w:pPr>
        <w:spacing w:line="500" w:lineRule="exact"/>
        <w:ind w:firstLine="566" w:firstLineChars="200"/>
        <w:rPr>
          <w:rFonts w:ascii="华文仿宋" w:cs="Times New Roman"/>
          <w:b/>
          <w:bCs/>
          <w:highlight w:val="none"/>
        </w:rPr>
      </w:pPr>
      <w:r>
        <w:rPr>
          <w:rFonts w:ascii="华文仿宋" w:hAnsi="华文仿宋" w:cs="华文仿宋"/>
          <w:b/>
          <w:bCs/>
          <w:highlight w:val="none"/>
        </w:rPr>
        <w:t>3</w:t>
      </w:r>
      <w:r>
        <w:rPr>
          <w:rFonts w:hint="eastAsia" w:ascii="华文仿宋" w:hAnsi="华文仿宋" w:cs="华文仿宋"/>
          <w:b/>
          <w:bCs/>
          <w:highlight w:val="none"/>
        </w:rPr>
        <w:t>、综合比较与评价</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采用最低评标价法的，评标委员会对通过符合性审查的投标文件的投标报价由低到高顺序排列。</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采用综合评分法的，评标委员会按“评审要素及分值一览表”中规定的评标标准，对通过符合性审查的投标文件进行商务和技术评估，综合比较与评价。</w:t>
      </w:r>
    </w:p>
    <w:p>
      <w:pPr>
        <w:spacing w:line="500" w:lineRule="exact"/>
        <w:ind w:firstLine="566" w:firstLineChars="200"/>
        <w:rPr>
          <w:rFonts w:ascii="华文仿宋" w:cs="Times New Roman"/>
          <w:b/>
          <w:bCs/>
          <w:highlight w:val="none"/>
        </w:rPr>
      </w:pPr>
      <w:r>
        <w:rPr>
          <w:rFonts w:hint="eastAsia" w:ascii="华文仿宋" w:hAnsi="华文仿宋" w:cs="华文仿宋"/>
          <w:b/>
          <w:bCs/>
          <w:highlight w:val="none"/>
        </w:rPr>
        <w:t>出现下列情形的，投标人投标无效：</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）投标文件报价出现本章“四、投标报价”所列需要修正情形，但投标人对修正后的报价不予确认的；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评标委员会认为投标人的报价明显低于其他通过符合性审查投标人的报价，有可能影响产品质量或者不能诚信履约的，要求投标人通过电子交易平台或电子邮件等书面形式做出说明（必要时提交相关证明材料），投标人不能证明其报价合理性的。</w:t>
      </w:r>
    </w:p>
    <w:p>
      <w:pPr>
        <w:spacing w:line="500" w:lineRule="exact"/>
        <w:ind w:firstLine="566" w:firstLineChars="200"/>
        <w:rPr>
          <w:rFonts w:ascii="华文仿宋" w:cs="Times New Roman"/>
          <w:b/>
          <w:bCs/>
          <w:highlight w:val="none"/>
        </w:rPr>
      </w:pPr>
      <w:r>
        <w:rPr>
          <w:rFonts w:ascii="华文仿宋" w:hAnsi="华文仿宋" w:cs="华文仿宋"/>
          <w:b/>
          <w:bCs/>
          <w:highlight w:val="none"/>
        </w:rPr>
        <w:t>4</w:t>
      </w:r>
      <w:r>
        <w:rPr>
          <w:rFonts w:hint="eastAsia" w:ascii="华文仿宋" w:hAnsi="华文仿宋" w:cs="华文仿宋"/>
          <w:b/>
          <w:bCs/>
          <w:highlight w:val="none"/>
        </w:rPr>
        <w:t>、推荐中标候选人</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采用最低评标价法的，评标结果按投标报价由低到高顺序排列。投标报价相同的，投标文件满足招标文件全部实质性要求且投标报价最低的投标人为排名第一的中标候选人。</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500" w:lineRule="exact"/>
        <w:ind w:firstLine="566" w:firstLineChars="200"/>
        <w:rPr>
          <w:rFonts w:ascii="华文仿宋" w:cs="Times New Roman"/>
          <w:b/>
          <w:bCs/>
          <w:highlight w:val="none"/>
        </w:rPr>
      </w:pPr>
      <w:r>
        <w:rPr>
          <w:rFonts w:ascii="华文仿宋" w:hAnsi="华文仿宋" w:cs="华文仿宋"/>
          <w:b/>
          <w:bCs/>
          <w:highlight w:val="none"/>
        </w:rPr>
        <w:t>5</w:t>
      </w:r>
      <w:r>
        <w:rPr>
          <w:rFonts w:hint="eastAsia" w:ascii="华文仿宋" w:hAnsi="华文仿宋" w:cs="华文仿宋"/>
          <w:b/>
          <w:bCs/>
          <w:highlight w:val="none"/>
        </w:rPr>
        <w:t>、编写评标报告</w:t>
      </w:r>
    </w:p>
    <w:p>
      <w:pPr>
        <w:autoSpaceDE w:val="0"/>
        <w:autoSpaceDN w:val="0"/>
        <w:adjustRightInd w:val="0"/>
        <w:spacing w:line="520" w:lineRule="exact"/>
        <w:ind w:firstLine="566" w:firstLineChars="200"/>
        <w:rPr>
          <w:rFonts w:ascii="华文仿宋" w:hAnsi="华文仿宋" w:cs="华文仿宋"/>
          <w:highlight w:val="none"/>
        </w:rPr>
      </w:pPr>
      <w:r>
        <w:rPr>
          <w:rFonts w:hint="eastAsia" w:ascii="华文仿宋" w:hAnsi="华文仿宋" w:cs="华文仿宋"/>
          <w:highlight w:val="none"/>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pPr>
        <w:pStyle w:val="5"/>
        <w:spacing w:line="520" w:lineRule="exact"/>
        <w:ind w:firstLine="566" w:firstLineChars="200"/>
        <w:rPr>
          <w:highlight w:val="none"/>
        </w:rPr>
      </w:pPr>
      <w:r>
        <w:rPr>
          <w:rFonts w:hint="eastAsia"/>
          <w:highlight w:val="none"/>
        </w:rPr>
        <w:t>采购人书面授权评标委员会直接确定中标投标人的，评标委员会应在评标报告中明确中标投标人及中标金额。</w:t>
      </w:r>
    </w:p>
    <w:p>
      <w:pPr>
        <w:autoSpaceDE w:val="0"/>
        <w:autoSpaceDN w:val="0"/>
        <w:adjustRightInd w:val="0"/>
        <w:spacing w:line="500" w:lineRule="exact"/>
        <w:ind w:firstLine="566" w:firstLineChars="200"/>
        <w:rPr>
          <w:rFonts w:ascii="华文仿宋" w:cs="Times New Roman"/>
          <w:highlight w:val="none"/>
        </w:rPr>
      </w:pPr>
      <w:r>
        <w:rPr>
          <w:rFonts w:hint="eastAsia" w:ascii="华文仿宋" w:hAnsi="华文仿宋" w:cs="华文仿宋"/>
          <w:highlight w:val="none"/>
        </w:rPr>
        <w:t>评标结果汇总完成后，除下列情形外，任何人不得修改评标结果：</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1</w:t>
      </w:r>
      <w:r>
        <w:rPr>
          <w:rFonts w:hint="eastAsia" w:ascii="华文仿宋" w:hAnsi="华文仿宋" w:cs="华文仿宋"/>
          <w:highlight w:val="none"/>
        </w:rPr>
        <w:t>）分值汇总计算错误的；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2</w:t>
      </w:r>
      <w:r>
        <w:rPr>
          <w:rFonts w:hint="eastAsia" w:ascii="华文仿宋" w:hAnsi="华文仿宋" w:cs="华文仿宋"/>
          <w:highlight w:val="none"/>
        </w:rPr>
        <w:t>）分项评分超出评分标准范围的；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3</w:t>
      </w:r>
      <w:r>
        <w:rPr>
          <w:rFonts w:hint="eastAsia" w:ascii="华文仿宋" w:hAnsi="华文仿宋" w:cs="华文仿宋"/>
          <w:highlight w:val="none"/>
        </w:rPr>
        <w:t>）评标委员会成员对客观评审因素评分不一致的；</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w:t>
      </w:r>
      <w:r>
        <w:rPr>
          <w:rFonts w:ascii="华文仿宋" w:hAnsi="华文仿宋" w:cs="华文仿宋"/>
          <w:highlight w:val="none"/>
        </w:rPr>
        <w:t>4</w:t>
      </w:r>
      <w:r>
        <w:rPr>
          <w:rFonts w:hint="eastAsia" w:ascii="华文仿宋" w:hAnsi="华文仿宋" w:cs="华文仿宋"/>
          <w:highlight w:val="none"/>
        </w:rPr>
        <w:t>）经评标委员会认定评分畸高、畸低的。</w:t>
      </w:r>
    </w:p>
    <w:p>
      <w:pPr>
        <w:autoSpaceDE w:val="0"/>
        <w:autoSpaceDN w:val="0"/>
        <w:adjustRightInd w:val="0"/>
        <w:spacing w:line="500" w:lineRule="exact"/>
        <w:ind w:firstLine="566" w:firstLineChars="200"/>
        <w:rPr>
          <w:rFonts w:ascii="华文仿宋" w:cs="Times New Roman"/>
          <w:highlight w:val="none"/>
        </w:rPr>
      </w:pPr>
      <w:r>
        <w:rPr>
          <w:rFonts w:hint="eastAsia" w:ascii="华文仿宋" w:hAnsi="华文仿宋" w:cs="华文仿宋"/>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
        <w:spacing w:line="500" w:lineRule="exact"/>
        <w:ind w:firstLine="566" w:firstLineChars="200"/>
        <w:rPr>
          <w:rFonts w:ascii="华文仿宋" w:cs="Times New Roman"/>
          <w:sz w:val="28"/>
          <w:szCs w:val="28"/>
          <w:highlight w:val="none"/>
        </w:rPr>
      </w:pPr>
      <w:bookmarkStart w:id="228" w:name="_Toc3221"/>
      <w:bookmarkStart w:id="229" w:name="_Toc9225"/>
      <w:bookmarkStart w:id="230" w:name="_Toc9196"/>
      <w:bookmarkStart w:id="231" w:name="_Toc2851"/>
      <w:bookmarkStart w:id="232" w:name="_Toc3203"/>
      <w:bookmarkStart w:id="233" w:name="_Toc32129"/>
      <w:r>
        <w:rPr>
          <w:rFonts w:hint="eastAsia" w:ascii="华文仿宋" w:hAnsi="华文仿宋" w:cs="华文仿宋"/>
          <w:sz w:val="28"/>
          <w:szCs w:val="28"/>
          <w:highlight w:val="none"/>
        </w:rPr>
        <w:t>（六）有下列情形之一的，视为投标人串通投标，其投标无效：</w:t>
      </w:r>
      <w:bookmarkEnd w:id="228"/>
      <w:bookmarkEnd w:id="229"/>
      <w:bookmarkEnd w:id="230"/>
      <w:bookmarkEnd w:id="231"/>
      <w:bookmarkEnd w:id="232"/>
      <w:bookmarkEnd w:id="233"/>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、不同投标人的投标文件由同一单位或者个人编制；</w:t>
      </w:r>
    </w:p>
    <w:p>
      <w:pPr>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、不同投标人的投标文件由同一台电脑编制；</w:t>
      </w:r>
    </w:p>
    <w:p>
      <w:pPr>
        <w:spacing w:line="50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、不同投标人委托同一单位或者个人办理投标事宜；</w:t>
      </w:r>
    </w:p>
    <w:p>
      <w:pPr>
        <w:spacing w:line="500" w:lineRule="exact"/>
        <w:ind w:firstLine="566" w:firstLineChars="200"/>
        <w:rPr>
          <w:rFonts w:ascii="华文仿宋" w:cs="Times New Roman"/>
          <w:highlight w:val="none"/>
        </w:rPr>
      </w:pPr>
      <w:r>
        <w:rPr>
          <w:rFonts w:ascii="华文仿宋" w:hAnsi="华文仿宋" w:cs="华文仿宋"/>
          <w:highlight w:val="none"/>
        </w:rPr>
        <w:t>4</w:t>
      </w:r>
      <w:r>
        <w:rPr>
          <w:rFonts w:hint="eastAsia" w:ascii="华文仿宋" w:hAnsi="华文仿宋" w:cs="华文仿宋"/>
          <w:highlight w:val="none"/>
        </w:rPr>
        <w:t>、不同投标人的投标文件载明的项目管理成员或者联系人员为同一人；</w:t>
      </w:r>
    </w:p>
    <w:p>
      <w:pPr>
        <w:spacing w:line="500" w:lineRule="exact"/>
        <w:ind w:firstLine="566" w:firstLineChars="200"/>
        <w:rPr>
          <w:rFonts w:ascii="华文仿宋" w:cs="Times New Roman"/>
          <w:highlight w:val="none"/>
        </w:rPr>
      </w:pPr>
      <w:r>
        <w:rPr>
          <w:rFonts w:ascii="华文仿宋" w:hAnsi="华文仿宋" w:cs="华文仿宋"/>
          <w:highlight w:val="none"/>
        </w:rPr>
        <w:t>5</w:t>
      </w:r>
      <w:r>
        <w:rPr>
          <w:rFonts w:hint="eastAsia" w:ascii="华文仿宋" w:hAnsi="华文仿宋" w:cs="华文仿宋"/>
          <w:highlight w:val="none"/>
        </w:rPr>
        <w:t>、不同投标人的投标文件异常一致或者投标报价呈规律性差异；</w:t>
      </w:r>
    </w:p>
    <w:p>
      <w:pPr>
        <w:spacing w:line="500" w:lineRule="exact"/>
        <w:ind w:firstLine="566" w:firstLineChars="200"/>
        <w:rPr>
          <w:rFonts w:ascii="华文仿宋" w:cs="Times New Roman"/>
          <w:highlight w:val="none"/>
        </w:rPr>
      </w:pPr>
      <w:r>
        <w:rPr>
          <w:rFonts w:ascii="华文仿宋" w:hAnsi="华文仿宋" w:cs="华文仿宋"/>
          <w:highlight w:val="none"/>
        </w:rPr>
        <w:t>6</w:t>
      </w:r>
      <w:r>
        <w:rPr>
          <w:rFonts w:hint="eastAsia" w:ascii="华文仿宋" w:hAnsi="华文仿宋" w:cs="华文仿宋"/>
          <w:highlight w:val="none"/>
        </w:rPr>
        <w:t>、不同投标人的投标文件相互混装；</w:t>
      </w:r>
    </w:p>
    <w:p>
      <w:pPr>
        <w:spacing w:line="500" w:lineRule="exact"/>
        <w:ind w:firstLine="566" w:firstLineChars="200"/>
        <w:rPr>
          <w:rFonts w:ascii="华文仿宋" w:cs="Times New Roman"/>
          <w:highlight w:val="none"/>
        </w:rPr>
      </w:pPr>
      <w:r>
        <w:rPr>
          <w:rFonts w:ascii="华文仿宋" w:hAnsi="华文仿宋" w:cs="华文仿宋"/>
          <w:highlight w:val="none"/>
        </w:rPr>
        <w:t>7</w:t>
      </w:r>
      <w:r>
        <w:rPr>
          <w:rFonts w:hint="eastAsia" w:ascii="华文仿宋" w:hAnsi="华文仿宋" w:cs="华文仿宋"/>
          <w:highlight w:val="none"/>
        </w:rPr>
        <w:t>、政府采购法律法规及招标文件规定的其他情形。</w:t>
      </w:r>
    </w:p>
    <w:p>
      <w:pPr>
        <w:pStyle w:val="3"/>
        <w:spacing w:line="500" w:lineRule="exact"/>
        <w:ind w:firstLine="566" w:firstLineChars="200"/>
        <w:rPr>
          <w:rFonts w:ascii="华文仿宋" w:cs="Times New Roman"/>
          <w:sz w:val="28"/>
          <w:szCs w:val="28"/>
          <w:highlight w:val="none"/>
        </w:rPr>
      </w:pPr>
      <w:bookmarkStart w:id="234" w:name="_Toc8200"/>
      <w:r>
        <w:rPr>
          <w:rFonts w:hint="eastAsia" w:ascii="华文仿宋" w:hAnsi="华文仿宋" w:cs="华文仿宋"/>
          <w:sz w:val="28"/>
          <w:szCs w:val="28"/>
          <w:highlight w:val="none"/>
        </w:rPr>
        <w:t>九、中标</w:t>
      </w:r>
      <w:bookmarkEnd w:id="234"/>
    </w:p>
    <w:p>
      <w:pPr>
        <w:spacing w:line="500" w:lineRule="exact"/>
        <w:ind w:firstLine="566" w:firstLineChars="200"/>
        <w:rPr>
          <w:rFonts w:ascii="华文仿宋" w:cs="Times New Roman"/>
          <w:highlight w:val="none"/>
        </w:rPr>
      </w:pPr>
      <w:r>
        <w:rPr>
          <w:rFonts w:hint="eastAsia" w:ascii="华文仿宋" w:hAnsi="华文仿宋" w:cs="华文仿宋"/>
          <w:highlight w:val="none"/>
        </w:rPr>
        <w:t>（一）陕西省省级单位政府采购中心在评标工作结束后</w:t>
      </w:r>
      <w:r>
        <w:rPr>
          <w:rFonts w:ascii="仿宋" w:hAnsi="仿宋" w:eastAsia="仿宋" w:cs="仿宋"/>
          <w:highlight w:val="none"/>
        </w:rPr>
        <w:t>2</w:t>
      </w:r>
      <w:r>
        <w:rPr>
          <w:rFonts w:hint="eastAsia" w:ascii="华文仿宋" w:hAnsi="华文仿宋" w:cs="华文仿宋"/>
          <w:highlight w:val="none"/>
        </w:rPr>
        <w:t>个工作日内将评标报告送采购人。</w:t>
      </w:r>
    </w:p>
    <w:p>
      <w:pPr>
        <w:spacing w:line="500" w:lineRule="exact"/>
        <w:ind w:firstLine="566" w:firstLineChars="200"/>
        <w:rPr>
          <w:rFonts w:ascii="仿宋" w:hAnsi="仿宋" w:eastAsia="仿宋" w:cs="仿宋"/>
          <w:highlight w:val="none"/>
        </w:rPr>
      </w:pPr>
      <w:r>
        <w:rPr>
          <w:rFonts w:hint="eastAsia" w:ascii="华文仿宋" w:hAnsi="华文仿宋" w:cs="华文仿宋"/>
          <w:highlight w:val="none"/>
        </w:rPr>
        <w:t>（二）</w:t>
      </w:r>
      <w:r>
        <w:rPr>
          <w:rFonts w:hint="eastAsia" w:ascii="仿宋" w:hAnsi="仿宋" w:eastAsia="仿宋" w:cs="仿宋"/>
          <w:b/>
          <w:bCs/>
          <w:highlight w:val="none"/>
        </w:rPr>
        <w:t>本项目采用第</w:t>
      </w:r>
      <w:r>
        <w:rPr>
          <w:rFonts w:hint="eastAsia" w:ascii="仿宋" w:hAnsi="仿宋" w:eastAsia="仿宋" w:cs="仿宋"/>
          <w:b/>
          <w:bCs/>
          <w:highlight w:val="none"/>
          <w:u w:val="single"/>
        </w:rPr>
        <w:t xml:space="preserve"> 1 </w:t>
      </w:r>
      <w:r>
        <w:rPr>
          <w:rFonts w:hint="eastAsia" w:ascii="仿宋" w:hAnsi="仿宋" w:eastAsia="仿宋" w:cs="仿宋"/>
          <w:b/>
          <w:bCs/>
          <w:highlight w:val="none"/>
        </w:rPr>
        <w:t>种方式确定中标人</w:t>
      </w:r>
      <w:r>
        <w:rPr>
          <w:rFonts w:hint="eastAsia" w:ascii="仿宋" w:hAnsi="仿宋" w:eastAsia="仿宋" w:cs="仿宋"/>
          <w:highlight w:val="none"/>
        </w:rPr>
        <w:t>。</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采购人在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2、采购人可以书面授权评标委员会直接确定中标人。</w:t>
      </w:r>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采购人在评审前提供《委托评审小组定标授权书》，评标委员会将根据采购人授权直接确定中标人。</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（三）陕西省省级单位政府采购中心将在中标人确定之日起</w:t>
      </w:r>
      <w:r>
        <w:rPr>
          <w:rFonts w:ascii="仿宋" w:hAnsi="仿宋" w:eastAsia="仿宋" w:cs="仿宋"/>
          <w:highlight w:val="none"/>
        </w:rPr>
        <w:t>2</w:t>
      </w:r>
      <w:r>
        <w:rPr>
          <w:rFonts w:hint="eastAsia" w:ascii="华文仿宋" w:hAnsi="华文仿宋" w:cs="华文仿宋"/>
          <w:highlight w:val="none"/>
        </w:rPr>
        <w:t>个工作日内，在【</w:t>
      </w:r>
      <w:r>
        <w:rPr>
          <w:highlight w:val="none"/>
        </w:rPr>
        <w:fldChar w:fldCharType="begin"/>
      </w:r>
      <w:r>
        <w:rPr>
          <w:highlight w:val="none"/>
        </w:rPr>
        <w:instrText xml:space="preserve"> HYPERLINK "http://www.ccgp-shaanxi.gov.cn" </w:instrText>
      </w:r>
      <w:r>
        <w:rPr>
          <w:highlight w:val="none"/>
        </w:rPr>
        <w:fldChar w:fldCharType="separate"/>
      </w:r>
      <w:r>
        <w:rPr>
          <w:rStyle w:val="23"/>
          <w:rFonts w:hint="eastAsia" w:ascii="华文仿宋" w:hAnsi="华文仿宋" w:cs="华文仿宋"/>
          <w:color w:val="auto"/>
          <w:sz w:val="28"/>
          <w:szCs w:val="28"/>
          <w:highlight w:val="none"/>
        </w:rPr>
        <w:t>陕西省政府采购网</w:t>
      </w:r>
      <w:r>
        <w:rPr>
          <w:rStyle w:val="23"/>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www.ccgp-shaanxi.gov.cn</w:t>
      </w:r>
      <w:r>
        <w:rPr>
          <w:rFonts w:hint="eastAsia" w:ascii="华文仿宋" w:hAnsi="华文仿宋" w:cs="华文仿宋"/>
          <w:highlight w:val="none"/>
        </w:rPr>
        <w:t>）</w:t>
      </w:r>
      <w:r>
        <w:rPr>
          <w:rStyle w:val="23"/>
          <w:rFonts w:hint="eastAsia" w:ascii="华文仿宋" w:hAnsi="华文仿宋" w:cs="华文仿宋"/>
          <w:color w:val="auto"/>
          <w:sz w:val="28"/>
          <w:szCs w:val="28"/>
          <w:highlight w:val="none"/>
        </w:rPr>
        <w:t>】、</w:t>
      </w:r>
      <w:r>
        <w:rPr>
          <w:rFonts w:hint="eastAsia" w:ascii="华文仿宋" w:hAnsi="华文仿宋" w:cs="华文仿宋"/>
          <w:highlight w:val="none"/>
        </w:rPr>
        <w:t>【全国公共资源交易平台（陕西省）（</w:t>
      </w:r>
      <w:r>
        <w:rPr>
          <w:rFonts w:ascii="仿宋" w:hAnsi="仿宋" w:eastAsia="仿宋" w:cs="仿宋"/>
          <w:highlight w:val="none"/>
        </w:rPr>
        <w:t>http://www.sxggzyjy.cn</w:t>
      </w:r>
      <w:r>
        <w:rPr>
          <w:rFonts w:ascii="华文仿宋" w:hAnsi="华文仿宋" w:cs="华文仿宋"/>
          <w:highlight w:val="none"/>
        </w:rPr>
        <w:t>/</w:t>
      </w:r>
      <w:r>
        <w:rPr>
          <w:rFonts w:hint="eastAsia" w:ascii="华文仿宋" w:hAnsi="华文仿宋" w:cs="华文仿宋"/>
          <w:highlight w:val="none"/>
        </w:rPr>
        <w:t>）</w:t>
      </w:r>
      <w:r>
        <w:rPr>
          <w:rStyle w:val="23"/>
          <w:rFonts w:hint="eastAsia" w:ascii="华文仿宋" w:hAnsi="华文仿宋" w:cs="华文仿宋"/>
          <w:color w:val="auto"/>
          <w:sz w:val="28"/>
          <w:szCs w:val="28"/>
          <w:highlight w:val="none"/>
        </w:rPr>
        <w:t>】</w:t>
      </w:r>
      <w:r>
        <w:rPr>
          <w:rFonts w:hint="eastAsia" w:ascii="华文仿宋" w:hAnsi="华文仿宋" w:cs="华文仿宋"/>
          <w:highlight w:val="none"/>
        </w:rPr>
        <w:t>上公告中标结果。</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中标公告期限为</w:t>
      </w:r>
      <w:r>
        <w:rPr>
          <w:rFonts w:ascii="仿宋" w:hAnsi="仿宋" w:eastAsia="仿宋" w:cs="仿宋"/>
          <w:highlight w:val="none"/>
        </w:rPr>
        <w:t>1</w:t>
      </w:r>
      <w:r>
        <w:rPr>
          <w:rFonts w:hint="eastAsia" w:ascii="华文仿宋" w:hAnsi="华文仿宋" w:cs="华文仿宋"/>
          <w:highlight w:val="none"/>
        </w:rPr>
        <w:t>个工作日。</w:t>
      </w:r>
    </w:p>
    <w:p>
      <w:pPr>
        <w:wordWrap w:val="0"/>
        <w:spacing w:line="500" w:lineRule="exact"/>
        <w:ind w:firstLine="566" w:firstLineChars="200"/>
        <w:rPr>
          <w:rFonts w:ascii="华文仿宋" w:cs="Times New Roman"/>
          <w:highlight w:val="none"/>
        </w:rPr>
      </w:pPr>
      <w:r>
        <w:rPr>
          <w:rFonts w:hint="eastAsia" w:ascii="华文仿宋" w:hAnsi="华文仿宋" w:cs="华文仿宋"/>
          <w:highlight w:val="none"/>
        </w:rPr>
        <w:t>（四）在公告中标结果的同时，陕西省省级单位政府采购中心向中标人发出中标通知书；采用综合评分法评审的，陕西省省级单位政府采购中心将通过全国公共资源交易平台（陕西省）告知未中标人本人的评审最终得分与排序。</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（五）中标通知书发出后，采购人不得违法改变中标结果，中标人无正当理由不得放弃中标。</w:t>
      </w:r>
    </w:p>
    <w:p>
      <w:pPr>
        <w:pStyle w:val="3"/>
        <w:spacing w:line="500" w:lineRule="exact"/>
        <w:ind w:firstLine="566" w:firstLineChars="200"/>
        <w:rPr>
          <w:rFonts w:ascii="华文仿宋" w:cs="Times New Roman"/>
          <w:sz w:val="28"/>
          <w:szCs w:val="28"/>
          <w:highlight w:val="none"/>
        </w:rPr>
      </w:pPr>
      <w:bookmarkStart w:id="235" w:name="_Toc25819"/>
      <w:r>
        <w:rPr>
          <w:rFonts w:hint="eastAsia" w:ascii="华文仿宋" w:hAnsi="华文仿宋" w:cs="华文仿宋"/>
          <w:sz w:val="28"/>
          <w:szCs w:val="28"/>
          <w:highlight w:val="none"/>
        </w:rPr>
        <w:t>十、签订政府采购合同</w:t>
      </w:r>
      <w:bookmarkEnd w:id="235"/>
    </w:p>
    <w:p>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（一）自中标通知书发出之日起</w:t>
      </w:r>
      <w:r>
        <w:rPr>
          <w:rFonts w:hint="eastAsia" w:ascii="仿宋" w:hAnsi="仿宋" w:eastAsia="仿宋" w:cs="仿宋"/>
          <w:highlight w:val="none"/>
        </w:rPr>
        <w:t>25</w:t>
      </w:r>
      <w:r>
        <w:rPr>
          <w:rFonts w:hint="eastAsia" w:ascii="华文仿宋" w:hAnsi="华文仿宋" w:cs="华文仿宋"/>
          <w:highlight w:val="none"/>
        </w:rPr>
        <w:t>日内，</w:t>
      </w:r>
      <w:r>
        <w:rPr>
          <w:rFonts w:hint="eastAsia" w:ascii="华文仿宋" w:hAnsi="华文仿宋" w:cs="华文仿宋"/>
          <w:kern w:val="0"/>
          <w:highlight w:val="none"/>
        </w:rPr>
        <w:t>采购人与中标人应按招标文件和中标人投标文件的规定，签订书面合同。所签订的政府采购合同不得对招标文件和中标人的投标文件内容作实质性修改。</w:t>
      </w:r>
    </w:p>
    <w:p>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采购人不得向中标人提出任何不合理的要求作为签订合同的条件。</w:t>
      </w:r>
    </w:p>
    <w:p>
      <w:pPr>
        <w:spacing w:line="500" w:lineRule="exact"/>
        <w:ind w:firstLine="566" w:firstLineChars="200"/>
        <w:rPr>
          <w:rFonts w:ascii="华文仿宋" w:cs="Times New Roman"/>
          <w:highlight w:val="none"/>
        </w:rPr>
      </w:pPr>
      <w:r>
        <w:rPr>
          <w:rFonts w:hint="eastAsia" w:ascii="华文仿宋" w:hAnsi="华文仿宋" w:cs="华文仿宋"/>
          <w:highlight w:val="none"/>
        </w:rPr>
        <w:t>（二）</w:t>
      </w:r>
      <w:r>
        <w:rPr>
          <w:rFonts w:hint="eastAsia" w:ascii="华文仿宋" w:hAnsi="华文仿宋" w:cs="华文仿宋"/>
          <w:kern w:val="0"/>
          <w:highlight w:val="none"/>
        </w:rPr>
        <w:t>中标人拒绝与采购人签订合同的，采购人可以按照评标报告推荐的中标候选人名单排序，确定下一候选人为中标人，也可以重新开展政府采购活动。</w:t>
      </w:r>
    </w:p>
    <w:p>
      <w:pPr>
        <w:spacing w:line="500" w:lineRule="exact"/>
        <w:ind w:firstLine="566" w:firstLineChars="200"/>
        <w:rPr>
          <w:rFonts w:ascii="华文仿宋" w:cs="Times New Roman"/>
          <w:kern w:val="0"/>
          <w:highlight w:val="none"/>
        </w:rPr>
      </w:pPr>
      <w:r>
        <w:rPr>
          <w:rFonts w:hint="eastAsia" w:ascii="华文仿宋" w:hAnsi="华文仿宋" w:cs="华文仿宋"/>
          <w:highlight w:val="none"/>
        </w:rPr>
        <w:t>（三）招标文件、中标人的投标文件、《中标通知书》及其澄清、说明文件、承诺等，均为签订采购合同的依据，作为采购合同的组成部分。</w:t>
      </w:r>
    </w:p>
    <w:p>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（四）政府采购合同应当包括采购人与中标人的名称和住所、标的、数量、质量、价款或者报酬、履行期限及地点和方式、验收要求、违约责任、解决争议的方法等内容。</w:t>
      </w:r>
    </w:p>
    <w:p>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（五）采购人与中标人应当根据合同的约定依法履行合同义务。政府采购合同的履行、违约责任和解决争议的方法等适用《中华人民共和国民法典》。</w:t>
      </w:r>
    </w:p>
    <w:p>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（六）采购人应及时对采购项目进行验收。采购人可以邀请参加本项目的其他投标人或者第三方机构参与验收。参与验收的投标人或者第三方机构的意见作为验收书的参考资料一并存档。</w:t>
      </w:r>
    </w:p>
    <w:p>
      <w:pPr>
        <w:spacing w:line="500" w:lineRule="exact"/>
        <w:ind w:firstLine="566" w:firstLineChars="200"/>
        <w:rPr>
          <w:rFonts w:ascii="华文仿宋" w:cs="Times New Roman"/>
          <w:kern w:val="0"/>
          <w:highlight w:val="none"/>
        </w:rPr>
      </w:pPr>
      <w:r>
        <w:rPr>
          <w:rFonts w:hint="eastAsia" w:ascii="华文仿宋" w:hAnsi="华文仿宋" w:cs="华文仿宋"/>
          <w:kern w:val="0"/>
          <w:highlight w:val="none"/>
        </w:rPr>
        <w:t>（七）采购人应当加强对中标人的履约管理，并按照采购合同约定，及时向中标人支付采购资金。对于中标人违反采购合同约定的行为，采购人应当及时处理，依法追究其违约责任。</w:t>
      </w:r>
    </w:p>
    <w:p>
      <w:pPr>
        <w:pStyle w:val="3"/>
        <w:spacing w:line="480" w:lineRule="exact"/>
        <w:ind w:firstLine="566" w:firstLineChars="200"/>
        <w:rPr>
          <w:rFonts w:ascii="华文仿宋" w:cs="Times New Roman"/>
          <w:sz w:val="28"/>
          <w:szCs w:val="28"/>
          <w:highlight w:val="none"/>
        </w:rPr>
      </w:pPr>
      <w:bookmarkStart w:id="236" w:name="_Toc10223"/>
      <w:r>
        <w:rPr>
          <w:rFonts w:hint="eastAsia" w:ascii="华文仿宋" w:hAnsi="华文仿宋" w:cs="华文仿宋"/>
          <w:sz w:val="28"/>
          <w:szCs w:val="28"/>
          <w:highlight w:val="none"/>
        </w:rPr>
        <w:t>十一、其他</w:t>
      </w:r>
      <w:bookmarkEnd w:id="236"/>
    </w:p>
    <w:p>
      <w:pPr>
        <w:spacing w:line="480" w:lineRule="exact"/>
        <w:ind w:firstLine="566" w:firstLineChars="200"/>
        <w:rPr>
          <w:rFonts w:ascii="华文仿宋" w:cs="Times New Roman"/>
          <w:highlight w:val="none"/>
        </w:rPr>
      </w:pPr>
      <w:r>
        <w:rPr>
          <w:rFonts w:hint="eastAsia" w:ascii="华文仿宋" w:hAnsi="华文仿宋" w:cs="华文仿宋"/>
          <w:highlight w:val="none"/>
        </w:rPr>
        <w:t>（一）评标委员会发现招标文件存在歧义、重大缺陷导致评标工作无法进行，或者招标文件内容违反国家有关强制性规定的，应当停止评标工作，与采购人或者陕西省省级单位政府采购中心沟通并作书面记录。采购人或者陕西省省级单位政府采购中心确认后，应当修改招标文件，重新组织采购活动。</w:t>
      </w:r>
    </w:p>
    <w:p>
      <w:pPr>
        <w:spacing w:line="480" w:lineRule="exact"/>
        <w:ind w:firstLine="566" w:firstLineChars="200"/>
        <w:rPr>
          <w:rFonts w:ascii="华文仿宋" w:cs="Times New Roman"/>
          <w:highlight w:val="none"/>
        </w:rPr>
      </w:pPr>
      <w:r>
        <w:rPr>
          <w:rFonts w:hint="eastAsia" w:ascii="华文仿宋" w:hAnsi="华文仿宋" w:cs="华文仿宋"/>
          <w:highlight w:val="none"/>
        </w:rPr>
        <w:t>（二）根据《政府采购法》第三十六条规定，在招标采购中，出现下列情形之一的，本项目按废标处理：</w:t>
      </w:r>
    </w:p>
    <w:p>
      <w:pPr>
        <w:spacing w:line="48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、出现影响采购公正的违法、违规行为的；</w:t>
      </w:r>
    </w:p>
    <w:p>
      <w:pPr>
        <w:spacing w:line="48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、投标人的报价均超过了采购预算，采购人不能支付的；</w:t>
      </w:r>
    </w:p>
    <w:p>
      <w:pPr>
        <w:spacing w:line="480" w:lineRule="exact"/>
        <w:ind w:firstLine="566" w:firstLineChars="200"/>
        <w:rPr>
          <w:rFonts w:ascii="华文仿宋" w:cs="Times New Roman"/>
          <w:highlight w:val="none"/>
        </w:rPr>
      </w:pPr>
      <w:r>
        <w:rPr>
          <w:rFonts w:ascii="华文仿宋" w:hAnsi="华文仿宋" w:cs="华文仿宋"/>
          <w:highlight w:val="none"/>
        </w:rPr>
        <w:t>3</w:t>
      </w:r>
      <w:r>
        <w:rPr>
          <w:rFonts w:hint="eastAsia" w:ascii="华文仿宋" w:hAnsi="华文仿宋" w:cs="华文仿宋"/>
          <w:highlight w:val="none"/>
        </w:rPr>
        <w:t>、因重大变故，采购任务取消的。</w:t>
      </w:r>
    </w:p>
    <w:p>
      <w:pPr>
        <w:spacing w:line="480" w:lineRule="exact"/>
        <w:ind w:firstLine="566" w:firstLineChars="200"/>
        <w:rPr>
          <w:rFonts w:ascii="华文仿宋" w:cs="Times New Roman"/>
          <w:highlight w:val="none"/>
        </w:rPr>
      </w:pPr>
      <w:r>
        <w:rPr>
          <w:rFonts w:hint="eastAsia" w:ascii="华文仿宋" w:hAnsi="华文仿宋" w:cs="华文仿宋"/>
          <w:highlight w:val="none"/>
        </w:rPr>
        <w:t>废标后，由陕西省省级单位政府采购中心发布废标公告。除采购任务取消外，本项目将重新组织招标。</w:t>
      </w:r>
    </w:p>
    <w:p>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（三）在递交投标文件阶段、资格审查阶段、符合性审查阶段以及评标委员会评标阶段，当出现有效投标人不足</w:t>
      </w:r>
      <w:r>
        <w:rPr>
          <w:rFonts w:ascii="仿宋" w:hAnsi="仿宋" w:eastAsia="仿宋" w:cs="仿宋"/>
          <w:highlight w:val="none"/>
        </w:rPr>
        <w:t>3</w:t>
      </w:r>
      <w:r>
        <w:rPr>
          <w:rFonts w:hint="eastAsia" w:ascii="华文仿宋" w:hAnsi="华文仿宋" w:cs="华文仿宋"/>
          <w:highlight w:val="none"/>
        </w:rPr>
        <w:t>家时，除采购任务取消外，按照以下方式处理：</w:t>
      </w:r>
    </w:p>
    <w:p>
      <w:pPr>
        <w:widowControl w:val="0"/>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、招标文件存在不合理条款或者招标程序不符合规定的，采购人、采购代理机构改正后依法重新招标；</w:t>
      </w:r>
    </w:p>
    <w:p>
      <w:pPr>
        <w:widowControl w:val="0"/>
        <w:spacing w:line="500" w:lineRule="exact"/>
        <w:ind w:firstLine="566" w:firstLineChars="200"/>
        <w:rPr>
          <w:rFonts w:ascii="华文仿宋" w:cs="Times New Roman"/>
          <w:highlight w:val="none"/>
        </w:rPr>
      </w:pPr>
      <w:r>
        <w:rPr>
          <w:rFonts w:ascii="华文仿宋" w:hAnsi="华文仿宋" w:cs="华文仿宋"/>
          <w:highlight w:val="none"/>
        </w:rPr>
        <w:t>2</w:t>
      </w:r>
      <w:r>
        <w:rPr>
          <w:rFonts w:hint="eastAsia" w:ascii="华文仿宋" w:hAnsi="华文仿宋" w:cs="华文仿宋"/>
          <w:highlight w:val="none"/>
        </w:rPr>
        <w:t>、招标文件没有不合理条款、招标程序符合规定，需要采用其他采购方式采购的，采购人应当依法报财政部门批准。</w:t>
      </w:r>
    </w:p>
    <w:p>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（四）采购代理机构应当采取必要措施，保证评标在严格保密的情况下进行。除采购人代表、评标现场组织人员外，采购人的其他工作人员以及与评标工作无关的人员不得进入评标现场。</w:t>
      </w:r>
    </w:p>
    <w:p>
      <w:pPr>
        <w:widowControl w:val="0"/>
        <w:spacing w:line="500" w:lineRule="exact"/>
        <w:ind w:firstLine="566" w:firstLineChars="200"/>
        <w:rPr>
          <w:rFonts w:ascii="华文仿宋" w:cs="Times New Roman"/>
          <w:highlight w:val="none"/>
        </w:rPr>
      </w:pPr>
      <w:r>
        <w:rPr>
          <w:rFonts w:hint="eastAsia" w:ascii="华文仿宋" w:hAnsi="华文仿宋" w:cs="华文仿宋"/>
          <w:highlight w:val="none"/>
        </w:rPr>
        <w:t>有关人员对评标情况以及在评标过程中获悉的国家秘密、商业秘密负有保密责任。</w:t>
      </w:r>
    </w:p>
    <w:p>
      <w:pPr>
        <w:widowControl w:val="0"/>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（五）招标文件未明确的其他事项，按《政府采购法》及其相关法律法规执行。</w:t>
      </w:r>
    </w:p>
    <w:p>
      <w:pPr>
        <w:widowControl w:val="0"/>
        <w:spacing w:line="500" w:lineRule="exact"/>
        <w:ind w:firstLine="566" w:firstLineChars="200"/>
        <w:rPr>
          <w:rFonts w:ascii="华文仿宋" w:cs="Times New Roman"/>
          <w:highlight w:val="none"/>
        </w:rPr>
      </w:pPr>
      <w:r>
        <w:rPr>
          <w:rFonts w:hint="eastAsia" w:ascii="华文仿宋" w:hAnsi="华文仿宋" w:cs="华文仿宋"/>
          <w:kern w:val="0"/>
          <w:highlight w:val="none"/>
        </w:rPr>
        <w:t>（六）陕西省省级单位政府采购中心应当建立真实完整的招标采购档案，妥善保存每项采购活动的采购文件。</w:t>
      </w:r>
    </w:p>
    <w:p>
      <w:pPr>
        <w:pStyle w:val="3"/>
        <w:spacing w:line="480" w:lineRule="exact"/>
        <w:ind w:firstLine="566" w:firstLineChars="200"/>
        <w:rPr>
          <w:rFonts w:cs="Times New Roman"/>
          <w:highlight w:val="none"/>
        </w:rPr>
      </w:pPr>
      <w:bookmarkStart w:id="237" w:name="_Toc15093"/>
      <w:r>
        <w:rPr>
          <w:rFonts w:hint="eastAsia" w:ascii="华文仿宋" w:hAnsi="华文仿宋" w:cs="华文仿宋"/>
          <w:sz w:val="28"/>
          <w:szCs w:val="28"/>
          <w:highlight w:val="none"/>
        </w:rPr>
        <w:t>十二、采购代理服务费：免费</w:t>
      </w:r>
      <w:bookmarkEnd w:id="237"/>
    </w:p>
    <w:p>
      <w:pPr>
        <w:spacing w:line="500" w:lineRule="exact"/>
        <w:rPr>
          <w:rFonts w:cs="Times New Roman"/>
          <w:highlight w:val="none"/>
        </w:rPr>
      </w:pPr>
    </w:p>
    <w:p>
      <w:pPr>
        <w:spacing w:line="500" w:lineRule="exact"/>
        <w:ind w:firstLine="566" w:firstLineChars="200"/>
        <w:rPr>
          <w:rFonts w:cs="Times New Roman"/>
          <w:highlight w:val="none"/>
        </w:rPr>
      </w:pPr>
    </w:p>
    <w:p>
      <w:pPr>
        <w:pStyle w:val="7"/>
        <w:spacing w:after="190"/>
        <w:rPr>
          <w:rFonts w:cs="Times New Roman"/>
          <w:color w:val="auto"/>
          <w:highlight w:val="none"/>
        </w:rPr>
      </w:pPr>
    </w:p>
    <w:p>
      <w:pPr>
        <w:pStyle w:val="2"/>
        <w:spacing w:line="500" w:lineRule="exact"/>
        <w:rPr>
          <w:rFonts w:cs="Times New Roman"/>
          <w:color w:val="auto"/>
          <w:highlight w:val="none"/>
        </w:rPr>
      </w:pPr>
      <w:bookmarkStart w:id="238" w:name="_Toc14795"/>
      <w:bookmarkStart w:id="239" w:name="_Toc29944"/>
      <w:r>
        <w:rPr>
          <w:rFonts w:hint="eastAsia" w:ascii="黑体" w:hAnsi="黑体" w:eastAsia="黑体" w:cs="黑体"/>
          <w:b w:val="0"/>
          <w:bCs w:val="0"/>
          <w:color w:val="auto"/>
          <w:sz w:val="32"/>
          <w:szCs w:val="32"/>
          <w:highlight w:val="none"/>
        </w:rPr>
        <w:br w:type="page"/>
      </w:r>
      <w:bookmarkStart w:id="240" w:name="_Toc31313"/>
      <w:r>
        <w:rPr>
          <w:rFonts w:hint="eastAsia" w:ascii="黑体" w:hAnsi="黑体" w:eastAsia="黑体" w:cs="黑体"/>
          <w:b w:val="0"/>
          <w:bCs w:val="0"/>
          <w:color w:val="auto"/>
          <w:sz w:val="32"/>
          <w:szCs w:val="32"/>
          <w:highlight w:val="none"/>
        </w:rPr>
        <w:t>第三章  评审办法及标准</w:t>
      </w:r>
      <w:bookmarkEnd w:id="238"/>
      <w:bookmarkEnd w:id="239"/>
      <w:bookmarkEnd w:id="240"/>
    </w:p>
    <w:p>
      <w:pPr>
        <w:pStyle w:val="3"/>
        <w:spacing w:line="500" w:lineRule="exact"/>
        <w:ind w:firstLine="566" w:firstLineChars="200"/>
        <w:rPr>
          <w:rFonts w:ascii="华文仿宋" w:cs="Times New Roman"/>
          <w:sz w:val="28"/>
          <w:szCs w:val="28"/>
          <w:highlight w:val="none"/>
        </w:rPr>
      </w:pPr>
      <w:bookmarkStart w:id="241" w:name="_Toc10885"/>
      <w:bookmarkStart w:id="242" w:name="_Toc11125"/>
      <w:bookmarkStart w:id="243" w:name="_Toc25603"/>
      <w:bookmarkStart w:id="244" w:name="_Toc27498"/>
      <w:bookmarkStart w:id="245" w:name="_Toc12713"/>
      <w:bookmarkStart w:id="246" w:name="_Toc31867"/>
      <w:bookmarkStart w:id="247" w:name="_Toc16719"/>
      <w:r>
        <w:rPr>
          <w:rFonts w:hint="eastAsia" w:ascii="华文仿宋" w:hAnsi="华文仿宋" w:cs="华文仿宋"/>
          <w:sz w:val="28"/>
          <w:szCs w:val="28"/>
          <w:highlight w:val="none"/>
        </w:rPr>
        <w:t>一、资格审查</w:t>
      </w:r>
      <w:bookmarkEnd w:id="241"/>
      <w:bookmarkEnd w:id="242"/>
      <w:bookmarkEnd w:id="243"/>
      <w:bookmarkEnd w:id="244"/>
      <w:bookmarkEnd w:id="245"/>
      <w:bookmarkEnd w:id="246"/>
      <w:bookmarkEnd w:id="247"/>
    </w:p>
    <w:p>
      <w:pPr>
        <w:spacing w:line="500" w:lineRule="exact"/>
        <w:jc w:val="center"/>
        <w:rPr>
          <w:rFonts w:ascii="华文仿宋" w:hAnsi="华文仿宋" w:cs="华文仿宋"/>
          <w:b/>
          <w:bCs/>
          <w:highlight w:val="none"/>
        </w:rPr>
      </w:pPr>
      <w:r>
        <w:rPr>
          <w:rFonts w:hint="eastAsia" w:ascii="华文仿宋" w:hAnsi="华文仿宋" w:cs="华文仿宋"/>
          <w:b/>
          <w:bCs/>
          <w:highlight w:val="none"/>
        </w:rPr>
        <w:t>资格审查表</w:t>
      </w:r>
    </w:p>
    <w:tbl>
      <w:tblPr>
        <w:tblStyle w:val="19"/>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66"/>
        <w:gridCol w:w="4583"/>
        <w:gridCol w:w="806"/>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序号</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资格审查项</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kern w:val="28"/>
                <w:sz w:val="24"/>
                <w:szCs w:val="24"/>
                <w:highlight w:val="none"/>
              </w:rPr>
            </w:pPr>
            <w:r>
              <w:rPr>
                <w:rFonts w:hint="eastAsia" w:ascii="仿宋" w:hAnsi="仿宋" w:eastAsia="仿宋" w:cs="仿宋"/>
                <w:b/>
                <w:bCs/>
                <w:kern w:val="28"/>
                <w:sz w:val="24"/>
                <w:szCs w:val="24"/>
                <w:highlight w:val="none"/>
              </w:rPr>
              <w:t>通过条件</w:t>
            </w:r>
          </w:p>
        </w:tc>
        <w:tc>
          <w:tcPr>
            <w:tcW w:w="80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结论</w:t>
            </w:r>
          </w:p>
        </w:tc>
        <w:tc>
          <w:tcPr>
            <w:tcW w:w="99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b/>
                <w:bCs/>
                <w:sz w:val="24"/>
                <w:szCs w:val="24"/>
                <w:highlight w:val="none"/>
              </w:rPr>
            </w:pPr>
            <w:r>
              <w:rPr>
                <w:rFonts w:hint="eastAsia" w:ascii="仿宋" w:hAnsi="仿宋" w:eastAsia="仿宋" w:cs="仿宋"/>
                <w:b/>
                <w:bCs/>
                <w:sz w:val="24"/>
                <w:szCs w:val="24"/>
                <w:highlight w:val="none"/>
              </w:rPr>
              <w:t>不通过原因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bookmarkStart w:id="248" w:name="OLE_LINK32" w:colFirst="2" w:colLast="2"/>
            <w:r>
              <w:rPr>
                <w:rFonts w:ascii="仿宋" w:hAnsi="仿宋" w:eastAsia="仿宋" w:cs="仿宋"/>
                <w:sz w:val="24"/>
                <w:szCs w:val="24"/>
                <w:highlight w:val="none"/>
              </w:rPr>
              <w:t>1</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营业执照等主体资格证明文件</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提供有效存续的企业营业执照（副本）</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事业单位法人证书</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专业服务机构执业许可证</w:t>
            </w:r>
            <w:r>
              <w:rPr>
                <w:rFonts w:ascii="仿宋" w:hAnsi="仿宋" w:eastAsia="仿宋" w:cs="仿宋"/>
                <w:kern w:val="28"/>
                <w:sz w:val="24"/>
                <w:szCs w:val="24"/>
                <w:highlight w:val="none"/>
              </w:rPr>
              <w:t>/</w:t>
            </w:r>
            <w:r>
              <w:rPr>
                <w:rFonts w:hint="eastAsia" w:ascii="仿宋" w:hAnsi="仿宋" w:eastAsia="仿宋" w:cs="仿宋"/>
                <w:kern w:val="28"/>
                <w:sz w:val="24"/>
                <w:szCs w:val="24"/>
                <w:highlight w:val="none"/>
              </w:rPr>
              <w:t>民办非企业单位登记证书。</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bookmarkEnd w:id="2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2</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财务状况报告</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以下</w:t>
            </w:r>
            <w:r>
              <w:rPr>
                <w:rFonts w:hint="eastAsia" w:ascii="仿宋" w:hAnsi="仿宋" w:eastAsia="仿宋" w:cs="Times New Roman"/>
                <w:kern w:val="28"/>
                <w:sz w:val="24"/>
                <w:szCs w:val="24"/>
                <w:highlight w:val="none"/>
                <w:lang w:val="en-US" w:eastAsia="zh-CN"/>
              </w:rPr>
              <w:t>两</w:t>
            </w:r>
            <w:r>
              <w:rPr>
                <w:rFonts w:hint="eastAsia" w:ascii="仿宋" w:hAnsi="仿宋" w:eastAsia="仿宋" w:cs="Times New Roman"/>
                <w:kern w:val="28"/>
                <w:sz w:val="24"/>
                <w:szCs w:val="24"/>
                <w:highlight w:val="none"/>
              </w:rPr>
              <w:t>种资料提供任意一种即可：</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（1）提供递交投标文件截止之日前两年内任意一个年度经审计的财务报告（包括“四表一注”，即资产负债表、利润表、现金流量表、所有者权益变动表及其附注，符合《</w:t>
            </w:r>
            <w:r>
              <w:rPr>
                <w:rFonts w:hint="eastAsia" w:ascii="仿宋" w:hAnsi="仿宋" w:eastAsia="仿宋" w:cs="Times New Roman"/>
                <w:kern w:val="28"/>
                <w:sz w:val="24"/>
                <w:szCs w:val="24"/>
                <w:highlight w:val="none"/>
              </w:rPr>
              <w:fldChar w:fldCharType="begin"/>
            </w:r>
            <w:r>
              <w:rPr>
                <w:rFonts w:hint="eastAsia" w:ascii="仿宋" w:hAnsi="仿宋" w:eastAsia="仿宋" w:cs="Times New Roman"/>
                <w:kern w:val="28"/>
                <w:sz w:val="24"/>
                <w:szCs w:val="24"/>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仿宋" w:hAnsi="仿宋" w:eastAsia="仿宋" w:cs="Times New Roman"/>
                <w:kern w:val="28"/>
                <w:sz w:val="24"/>
                <w:szCs w:val="24"/>
                <w:highlight w:val="none"/>
              </w:rPr>
              <w:fldChar w:fldCharType="separate"/>
            </w:r>
            <w:r>
              <w:rPr>
                <w:rFonts w:hint="eastAsia" w:ascii="仿宋" w:hAnsi="仿宋" w:eastAsia="仿宋" w:cs="Times New Roman"/>
                <w:kern w:val="28"/>
                <w:sz w:val="24"/>
                <w:szCs w:val="24"/>
                <w:highlight w:val="none"/>
              </w:rPr>
              <w:t>中小企业划型标准规定</w:t>
            </w:r>
            <w:r>
              <w:rPr>
                <w:rFonts w:hint="eastAsia" w:ascii="仿宋" w:hAnsi="仿宋" w:eastAsia="仿宋" w:cs="Times New Roman"/>
                <w:kern w:val="28"/>
                <w:sz w:val="24"/>
                <w:szCs w:val="24"/>
                <w:highlight w:val="none"/>
              </w:rPr>
              <w:fldChar w:fldCharType="end"/>
            </w:r>
            <w:r>
              <w:rPr>
                <w:rFonts w:hint="eastAsia" w:ascii="仿宋" w:hAnsi="仿宋" w:eastAsia="仿宋" w:cs="Times New Roman"/>
                <w:kern w:val="28"/>
                <w:sz w:val="24"/>
                <w:szCs w:val="24"/>
                <w:highlight w:val="none"/>
              </w:rPr>
              <w:t>》的小型企业按照《小企业会计准则》执行。成立时间至提交投标文件截止时间不足一年的可提供成立后任意时段的资产负债表）</w:t>
            </w:r>
            <w:r>
              <w:rPr>
                <w:rFonts w:hint="eastAsia" w:ascii="仿宋" w:hAnsi="仿宋" w:eastAsia="仿宋" w:cs="Times New Roman"/>
                <w:kern w:val="28"/>
                <w:sz w:val="24"/>
                <w:szCs w:val="24"/>
                <w:highlight w:val="none"/>
                <w:lang w:eastAsia="zh-CN"/>
              </w:rPr>
              <w:t>，审计报告须具有注册会计师行业统一监管平台赋予的验证码；</w:t>
            </w:r>
          </w:p>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Times New Roman"/>
                <w:kern w:val="28"/>
                <w:sz w:val="24"/>
                <w:szCs w:val="24"/>
                <w:highlight w:val="none"/>
              </w:rPr>
              <w:t>（2）其开标前三个月内基本开户银行出具的资信证明；</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3</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社保缴纳证明</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提供递交投标文件截止之日前一年内任意一个月的社会保障资金缴存单据或社保机构开具的社会保险参保缴费情况证明。依法不需要缴纳社会保障资金的投标人应提供相关文件证明。</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ascii="仿宋" w:hAnsi="仿宋" w:eastAsia="仿宋" w:cs="仿宋"/>
                <w:sz w:val="24"/>
                <w:szCs w:val="24"/>
                <w:highlight w:val="none"/>
              </w:rPr>
              <w:t>4</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税收缴纳证明</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提供递交投标文件截止之日前一年内任意一个月的依法缴纳税收的完税证明，完税证明应有税务机关或代收机关的公章或业务专用章。依法免税或无须缴纳税收的投标人，应提供相应证明文件。</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bookmarkStart w:id="249" w:name="OLE_LINK24" w:colFirst="2" w:colLast="2"/>
            <w:r>
              <w:rPr>
                <w:rFonts w:ascii="仿宋" w:hAnsi="仿宋" w:eastAsia="仿宋" w:cs="仿宋"/>
                <w:sz w:val="24"/>
                <w:szCs w:val="24"/>
                <w:highlight w:val="none"/>
              </w:rPr>
              <w:t>5</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信用记录</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w:t>
            </w:r>
            <w:r>
              <w:rPr>
                <w:rFonts w:hint="eastAsia" w:ascii="仿宋" w:hAnsi="仿宋" w:eastAsia="仿宋" w:cs="仿宋"/>
                <w:kern w:val="28"/>
                <w:sz w:val="24"/>
                <w:szCs w:val="24"/>
                <w:highlight w:val="none"/>
                <w:lang w:eastAsia="zh-CN"/>
              </w:rPr>
              <w:t>投标人</w:t>
            </w:r>
            <w:r>
              <w:rPr>
                <w:rFonts w:hint="eastAsia" w:ascii="仿宋" w:hAnsi="仿宋" w:eastAsia="仿宋" w:cs="仿宋"/>
                <w:kern w:val="28"/>
                <w:sz w:val="24"/>
                <w:szCs w:val="24"/>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bookmarkEnd w:id="24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bCs/>
                <w:sz w:val="24"/>
                <w:szCs w:val="24"/>
                <w:highlight w:val="none"/>
              </w:rPr>
            </w:pPr>
            <w:r>
              <w:rPr>
                <w:rFonts w:hint="eastAsia" w:ascii="仿宋" w:hAnsi="仿宋" w:eastAsia="仿宋" w:cs="仿宋"/>
                <w:sz w:val="24"/>
                <w:szCs w:val="24"/>
                <w:highlight w:val="none"/>
              </w:rPr>
              <w:t>6</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控股管理关系</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 xml:space="preserve">提供直接控股和管理关系清单。若与其他 </w:t>
            </w:r>
          </w:p>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投标人存在单位负责人为同一人或者存在直接控股、管理关系的，则投标无效。</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7</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书面声明</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提供书面声明，包括声明具有履行合同所必需的设备和专业技术能力；未为本项目提供整体设计、规范编制或者项目管理、监理、检测等服务。</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8</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法定代表人授权委托书</w:t>
            </w:r>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法人的分支机构参与投标时，除提供《法定代表人授权委托书》外，还须同时提供法人给分支机构出具的授权书。</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18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落实政府采购政策须满足的资格要求</w:t>
            </w:r>
          </w:p>
        </w:tc>
        <w:tc>
          <w:tcPr>
            <w:tcW w:w="45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本项目为专门面向中小企业项目，投标人所投产品的制造商应为中型企业、小型企业、微型企业或监狱企业或残疾人福利性单位。投标人所投产品的制造商为中小企业的，提供《中小企业声明函》，且中小企业的划分标准所属行业为工业；投标人所投产品的制造商为监狱企业的，应提供监狱企业的证明文件；投标人所投产品的制造商为残疾人福利性单位的，应提供《残疾人福利性单位声明函》（监狱企业或残疾人福利性单位视同小型、微型企业）。</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10</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仿宋" w:hAnsi="仿宋" w:eastAsia="仿宋" w:cs="仿宋"/>
                <w:kern w:val="28"/>
                <w:sz w:val="24"/>
                <w:szCs w:val="24"/>
                <w:highlight w:val="none"/>
              </w:rPr>
            </w:pPr>
            <w:bookmarkStart w:id="250" w:name="OLE_LINK22"/>
            <w:r>
              <w:rPr>
                <w:rFonts w:hint="eastAsia" w:ascii="仿宋" w:hAnsi="仿宋" w:eastAsia="仿宋" w:cs="仿宋"/>
                <w:kern w:val="28"/>
                <w:sz w:val="24"/>
                <w:szCs w:val="24"/>
                <w:highlight w:val="none"/>
              </w:rPr>
              <w:t>本项目不接受联合体投标，不允许分包</w:t>
            </w:r>
            <w:bookmarkEnd w:id="250"/>
          </w:p>
        </w:tc>
        <w:tc>
          <w:tcPr>
            <w:tcW w:w="4583"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kern w:val="28"/>
                <w:sz w:val="24"/>
                <w:szCs w:val="24"/>
                <w:highlight w:val="none"/>
              </w:rPr>
            </w:pPr>
            <w:r>
              <w:rPr>
                <w:rFonts w:hint="eastAsia" w:ascii="仿宋" w:hAnsi="仿宋" w:eastAsia="仿宋" w:cs="仿宋"/>
                <w:kern w:val="28"/>
                <w:sz w:val="24"/>
                <w:szCs w:val="24"/>
                <w:highlight w:val="none"/>
              </w:rPr>
              <w:t>投标人应提供《非联合体不分包投标声明》，视为独立投标，不分包。</w:t>
            </w:r>
          </w:p>
        </w:tc>
        <w:tc>
          <w:tcPr>
            <w:tcW w:w="806"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c>
          <w:tcPr>
            <w:tcW w:w="994" w:type="dxa"/>
            <w:noWrap w:val="0"/>
            <w:vAlign w:val="center"/>
          </w:tcPr>
          <w:p>
            <w:pPr>
              <w:keepNext w:val="0"/>
              <w:keepLines w:val="0"/>
              <w:pageBreakBefore w:val="0"/>
              <w:kinsoku/>
              <w:wordWrap/>
              <w:overflowPunct/>
              <w:topLinePunct w:val="0"/>
              <w:autoSpaceDE/>
              <w:autoSpaceDN/>
              <w:bidi w:val="0"/>
              <w:adjustRightInd/>
              <w:snapToGrid/>
              <w:spacing w:before="40" w:after="40" w:line="360" w:lineRule="exact"/>
              <w:textAlignment w:val="auto"/>
              <w:rPr>
                <w:rFonts w:ascii="仿宋" w:hAnsi="仿宋" w:eastAsia="仿宋" w:cs="Times New Roman"/>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981" w:type="dxa"/>
            <w:gridSpan w:val="5"/>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Times New Roman"/>
                <w:b/>
                <w:bCs/>
                <w:sz w:val="24"/>
                <w:szCs w:val="24"/>
                <w:highlight w:val="none"/>
              </w:rPr>
            </w:pPr>
            <w:r>
              <w:rPr>
                <w:rFonts w:hint="eastAsia" w:ascii="仿宋" w:hAnsi="仿宋" w:eastAsia="仿宋" w:cs="仿宋"/>
                <w:b/>
                <w:bCs/>
                <w:kern w:val="0"/>
                <w:sz w:val="24"/>
                <w:szCs w:val="24"/>
                <w:highlight w:val="none"/>
              </w:rPr>
              <w:t>资格审查小组成员：（签字或盖章）</w:t>
            </w:r>
          </w:p>
        </w:tc>
      </w:tr>
    </w:tbl>
    <w:p>
      <w:pPr>
        <w:pStyle w:val="3"/>
        <w:spacing w:line="500" w:lineRule="exact"/>
        <w:ind w:firstLine="566" w:firstLineChars="200"/>
        <w:rPr>
          <w:rFonts w:ascii="华文仿宋" w:cs="Times New Roman"/>
          <w:sz w:val="28"/>
          <w:szCs w:val="28"/>
          <w:highlight w:val="none"/>
        </w:rPr>
      </w:pPr>
      <w:bookmarkStart w:id="251" w:name="_Toc1691"/>
      <w:bookmarkStart w:id="252" w:name="_Toc25181"/>
      <w:bookmarkStart w:id="253" w:name="_Toc2712"/>
      <w:bookmarkStart w:id="254" w:name="_Toc18391"/>
      <w:bookmarkStart w:id="255" w:name="_Toc2809"/>
      <w:bookmarkStart w:id="256" w:name="_Toc29773"/>
      <w:bookmarkStart w:id="257" w:name="_Toc3753"/>
      <w:bookmarkStart w:id="258" w:name="_Toc1559"/>
      <w:bookmarkStart w:id="259" w:name="_Toc18735"/>
      <w:bookmarkStart w:id="260" w:name="_Toc28896"/>
      <w:bookmarkStart w:id="261" w:name="_Toc28947"/>
      <w:bookmarkStart w:id="262" w:name="_Toc16965"/>
      <w:bookmarkStart w:id="263" w:name="_Toc22102"/>
      <w:bookmarkStart w:id="264" w:name="_Toc325"/>
      <w:r>
        <w:rPr>
          <w:rFonts w:hint="eastAsia" w:ascii="华文仿宋" w:hAnsi="华文仿宋" w:cs="华文仿宋"/>
          <w:sz w:val="28"/>
          <w:szCs w:val="28"/>
          <w:highlight w:val="none"/>
        </w:rPr>
        <w:br w:type="page"/>
      </w:r>
      <w:r>
        <w:rPr>
          <w:rFonts w:hint="eastAsia" w:ascii="华文仿宋" w:hAnsi="华文仿宋" w:cs="华文仿宋"/>
          <w:sz w:val="28"/>
          <w:szCs w:val="28"/>
          <w:highlight w:val="none"/>
        </w:rPr>
        <w:t>二、符合性审查</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spacing w:line="500" w:lineRule="exact"/>
        <w:jc w:val="center"/>
        <w:rPr>
          <w:rFonts w:cs="Times New Roman"/>
          <w:b/>
          <w:bCs/>
          <w:highlight w:val="none"/>
        </w:rPr>
      </w:pPr>
      <w:r>
        <w:rPr>
          <w:rFonts w:hint="eastAsia" w:cs="华文仿宋"/>
          <w:b/>
          <w:bCs/>
          <w:highlight w:val="none"/>
        </w:rPr>
        <w:t>符合性审查表</w:t>
      </w:r>
    </w:p>
    <w:tbl>
      <w:tblPr>
        <w:tblStyle w:val="19"/>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460"/>
        <w:gridCol w:w="4200"/>
        <w:gridCol w:w="769"/>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序号</w:t>
            </w:r>
          </w:p>
        </w:tc>
        <w:tc>
          <w:tcPr>
            <w:tcW w:w="2460" w:type="dxa"/>
            <w:noWrap w:val="0"/>
            <w:vAlign w:val="center"/>
          </w:tcPr>
          <w:p>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符合性审查项</w:t>
            </w:r>
          </w:p>
        </w:tc>
        <w:tc>
          <w:tcPr>
            <w:tcW w:w="4200" w:type="dxa"/>
            <w:noWrap w:val="0"/>
            <w:vAlign w:val="center"/>
          </w:tcPr>
          <w:p>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通过条件</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结论</w:t>
            </w: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未通过原因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bookmarkStart w:id="265" w:name="OLE_LINK31" w:colFirst="2" w:colLast="2"/>
            <w:r>
              <w:rPr>
                <w:rFonts w:ascii="仿宋" w:hAnsi="仿宋" w:eastAsia="仿宋" w:cs="仿宋"/>
                <w:kern w:val="0"/>
                <w:sz w:val="24"/>
                <w:szCs w:val="24"/>
                <w:highlight w:val="none"/>
              </w:rPr>
              <w:t>1</w:t>
            </w:r>
          </w:p>
        </w:tc>
        <w:tc>
          <w:tcPr>
            <w:tcW w:w="2460" w:type="dxa"/>
            <w:noWrap w:val="0"/>
            <w:vAlign w:val="center"/>
          </w:tcPr>
          <w:p>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投标文件语言及有效期</w:t>
            </w:r>
          </w:p>
        </w:tc>
        <w:tc>
          <w:tcPr>
            <w:tcW w:w="4200" w:type="dxa"/>
            <w:noWrap w:val="0"/>
            <w:vAlign w:val="center"/>
          </w:tcPr>
          <w:p>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投标文件语言及有效期符合招标文件要求。</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bookmarkEnd w:id="26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2</w:t>
            </w:r>
          </w:p>
        </w:tc>
        <w:tc>
          <w:tcPr>
            <w:tcW w:w="2460" w:type="dxa"/>
            <w:noWrap w:val="0"/>
            <w:vAlign w:val="center"/>
          </w:tcPr>
          <w:p>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投标文件封面、投标函、法定代表人授权委托书三处的项目名称、项目编号、标段名称编号</w:t>
            </w:r>
          </w:p>
        </w:tc>
        <w:tc>
          <w:tcPr>
            <w:tcW w:w="4200" w:type="dxa"/>
            <w:noWrap w:val="0"/>
            <w:vAlign w:val="center"/>
          </w:tcPr>
          <w:p>
            <w:pPr>
              <w:spacing w:line="380" w:lineRule="exac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三处均无遗漏，且与所投项目名称、项目编号、标段名称编号一致。</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ascii="仿宋" w:hAnsi="仿宋" w:eastAsia="仿宋" w:cs="仿宋"/>
                <w:kern w:val="0"/>
                <w:sz w:val="24"/>
                <w:szCs w:val="24"/>
                <w:highlight w:val="none"/>
              </w:rPr>
              <w:t>3</w:t>
            </w:r>
          </w:p>
        </w:tc>
        <w:tc>
          <w:tcPr>
            <w:tcW w:w="2460" w:type="dxa"/>
            <w:noWrap w:val="0"/>
            <w:vAlign w:val="center"/>
          </w:tcPr>
          <w:p>
            <w:pPr>
              <w:spacing w:line="380" w:lineRule="exact"/>
              <w:jc w:val="left"/>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投标文件签署、盖章</w:t>
            </w:r>
          </w:p>
        </w:tc>
        <w:tc>
          <w:tcPr>
            <w:tcW w:w="4200" w:type="dxa"/>
            <w:noWrap w:val="0"/>
            <w:vAlign w:val="center"/>
          </w:tcPr>
          <w:p>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均按招标文件要求签字、盖章（评分标准中要求提供的证明材料除外）。</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2460" w:type="dxa"/>
            <w:noWrap w:val="0"/>
            <w:vAlign w:val="center"/>
          </w:tcPr>
          <w:p>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开标一览表</w:t>
            </w:r>
          </w:p>
        </w:tc>
        <w:tc>
          <w:tcPr>
            <w:tcW w:w="4200" w:type="dxa"/>
            <w:noWrap w:val="0"/>
            <w:vAlign w:val="center"/>
          </w:tcPr>
          <w:p>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（1）投标报价符合唯一性要求：</w:t>
            </w:r>
          </w:p>
          <w:p>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（2）开标一览表填写符合要求；</w:t>
            </w:r>
          </w:p>
          <w:p>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（3）计量单位、报价货币均符合招标文件要求；</w:t>
            </w:r>
          </w:p>
          <w:p>
            <w:pPr>
              <w:spacing w:line="380" w:lineRule="exact"/>
              <w:rPr>
                <w:rFonts w:ascii="仿宋" w:hAnsi="仿宋" w:eastAsia="仿宋" w:cs="Times New Roman"/>
                <w:b/>
                <w:bCs/>
                <w:kern w:val="0"/>
                <w:sz w:val="24"/>
                <w:szCs w:val="24"/>
                <w:highlight w:val="none"/>
              </w:rPr>
            </w:pPr>
            <w:r>
              <w:rPr>
                <w:rFonts w:hint="eastAsia" w:ascii="仿宋" w:hAnsi="仿宋" w:eastAsia="仿宋" w:cs="仿宋"/>
                <w:sz w:val="24"/>
                <w:szCs w:val="24"/>
                <w:highlight w:val="none"/>
              </w:rPr>
              <w:t>（4）未超出采购预算或招标文件规定的最高限价。</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2460" w:type="dxa"/>
            <w:noWrap w:val="0"/>
            <w:vAlign w:val="center"/>
          </w:tcPr>
          <w:p>
            <w:pPr>
              <w:spacing w:line="38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承诺书</w:t>
            </w:r>
          </w:p>
        </w:tc>
        <w:tc>
          <w:tcPr>
            <w:tcW w:w="4200" w:type="dxa"/>
            <w:noWrap w:val="0"/>
            <w:vAlign w:val="center"/>
          </w:tcPr>
          <w:p>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完全理解并接受《质量安全责任承诺书》、《拒绝政府采购领域商业贿赂承诺书》。</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2460" w:type="dxa"/>
            <w:noWrap w:val="0"/>
            <w:vAlign w:val="center"/>
          </w:tcPr>
          <w:p>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技术服务要求</w:t>
            </w:r>
          </w:p>
        </w:tc>
        <w:tc>
          <w:tcPr>
            <w:tcW w:w="4200" w:type="dxa"/>
            <w:noWrap w:val="0"/>
            <w:vAlign w:val="center"/>
          </w:tcPr>
          <w:p>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完全理解并接受对合格投标人、合格的货物、工程或服务要求，根据投标人投标文件《技术服务偏差表》，结合招标文件第四章“</w:t>
            </w:r>
            <w:r>
              <w:rPr>
                <w:rFonts w:hint="eastAsia" w:ascii="华文仿宋" w:hAnsi="华文仿宋" w:cs="华文仿宋"/>
                <w:sz w:val="24"/>
                <w:szCs w:val="24"/>
                <w:highlight w:val="none"/>
              </w:rPr>
              <w:t>★</w:t>
            </w:r>
            <w:r>
              <w:rPr>
                <w:rFonts w:hint="eastAsia" w:ascii="仿宋" w:hAnsi="仿宋" w:eastAsia="仿宋" w:cs="仿宋"/>
                <w:sz w:val="24"/>
                <w:szCs w:val="24"/>
                <w:highlight w:val="none"/>
              </w:rPr>
              <w:t>”标识的实质性要求没有负偏离。</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2460" w:type="dxa"/>
            <w:noWrap w:val="0"/>
            <w:vAlign w:val="center"/>
          </w:tcPr>
          <w:p>
            <w:pPr>
              <w:spacing w:line="380" w:lineRule="exact"/>
              <w:jc w:val="center"/>
              <w:rPr>
                <w:rFonts w:ascii="仿宋" w:hAnsi="仿宋" w:eastAsia="仿宋" w:cs="Times New Roman"/>
                <w:kern w:val="0"/>
                <w:sz w:val="24"/>
                <w:szCs w:val="24"/>
                <w:highlight w:val="none"/>
              </w:rPr>
            </w:pPr>
            <w:r>
              <w:rPr>
                <w:rFonts w:hint="eastAsia" w:ascii="仿宋" w:hAnsi="仿宋" w:eastAsia="仿宋" w:cs="仿宋"/>
                <w:kern w:val="0"/>
                <w:sz w:val="24"/>
                <w:szCs w:val="24"/>
                <w:highlight w:val="none"/>
              </w:rPr>
              <w:t>合同条款响应</w:t>
            </w:r>
          </w:p>
        </w:tc>
        <w:tc>
          <w:tcPr>
            <w:tcW w:w="4200" w:type="dxa"/>
            <w:noWrap w:val="0"/>
            <w:vAlign w:val="center"/>
          </w:tcPr>
          <w:p>
            <w:pPr>
              <w:spacing w:line="380" w:lineRule="exact"/>
              <w:rPr>
                <w:rFonts w:ascii="仿宋" w:hAnsi="仿宋" w:eastAsia="仿宋" w:cs="Times New Roman"/>
                <w:sz w:val="24"/>
                <w:szCs w:val="24"/>
                <w:highlight w:val="none"/>
              </w:rPr>
            </w:pPr>
            <w:r>
              <w:rPr>
                <w:rFonts w:hint="eastAsia" w:ascii="仿宋" w:hAnsi="仿宋" w:eastAsia="仿宋" w:cs="仿宋"/>
                <w:sz w:val="24"/>
                <w:szCs w:val="24"/>
                <w:highlight w:val="none"/>
              </w:rPr>
              <w:t>有完全理解并接受招标文件合同基本条款要求的描述。</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noWrap w:val="0"/>
            <w:vAlign w:val="center"/>
          </w:tcPr>
          <w:p>
            <w:pPr>
              <w:spacing w:line="38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8</w:t>
            </w:r>
          </w:p>
        </w:tc>
        <w:tc>
          <w:tcPr>
            <w:tcW w:w="2460" w:type="dxa"/>
            <w:noWrap w:val="0"/>
            <w:vAlign w:val="center"/>
          </w:tcPr>
          <w:p>
            <w:pPr>
              <w:spacing w:line="380" w:lineRule="exact"/>
              <w:jc w:val="center"/>
              <w:rPr>
                <w:rFonts w:ascii="仿宋" w:hAnsi="仿宋" w:eastAsia="仿宋" w:cs="Times New Roman"/>
                <w:kern w:val="0"/>
                <w:sz w:val="24"/>
                <w:szCs w:val="24"/>
                <w:highlight w:val="none"/>
              </w:rPr>
            </w:pPr>
            <w:r>
              <w:rPr>
                <w:rFonts w:hint="eastAsia" w:ascii="仿宋" w:hAnsi="仿宋" w:eastAsia="仿宋" w:cs="仿宋"/>
                <w:sz w:val="24"/>
                <w:szCs w:val="24"/>
                <w:highlight w:val="none"/>
              </w:rPr>
              <w:t>无其他招标文件或法规明确规定响应无效的事项</w:t>
            </w:r>
          </w:p>
        </w:tc>
        <w:tc>
          <w:tcPr>
            <w:tcW w:w="4200" w:type="dxa"/>
            <w:noWrap w:val="0"/>
            <w:vAlign w:val="center"/>
          </w:tcPr>
          <w:p>
            <w:pPr>
              <w:spacing w:line="380" w:lineRule="exact"/>
              <w:rPr>
                <w:rFonts w:ascii="仿宋" w:hAnsi="仿宋" w:eastAsia="仿宋" w:cs="Times New Roman"/>
                <w:kern w:val="0"/>
                <w:sz w:val="24"/>
                <w:szCs w:val="24"/>
                <w:highlight w:val="none"/>
              </w:rPr>
            </w:pPr>
            <w:r>
              <w:rPr>
                <w:rFonts w:hint="eastAsia" w:ascii="仿宋" w:hAnsi="仿宋" w:eastAsia="仿宋" w:cs="仿宋"/>
                <w:sz w:val="24"/>
                <w:szCs w:val="24"/>
                <w:highlight w:val="none"/>
              </w:rPr>
              <w:t>没有不符合招标文件规定的被视为无效响应的其他条款。</w:t>
            </w:r>
          </w:p>
        </w:tc>
        <w:tc>
          <w:tcPr>
            <w:tcW w:w="769" w:type="dxa"/>
            <w:noWrap w:val="0"/>
            <w:vAlign w:val="center"/>
          </w:tcPr>
          <w:p>
            <w:pPr>
              <w:spacing w:line="380" w:lineRule="exact"/>
              <w:jc w:val="center"/>
              <w:rPr>
                <w:rFonts w:ascii="仿宋" w:hAnsi="仿宋" w:eastAsia="仿宋" w:cs="Times New Roman"/>
                <w:b/>
                <w:bCs/>
                <w:kern w:val="0"/>
                <w:sz w:val="24"/>
                <w:szCs w:val="24"/>
                <w:highlight w:val="none"/>
              </w:rPr>
            </w:pPr>
          </w:p>
        </w:tc>
        <w:tc>
          <w:tcPr>
            <w:tcW w:w="1005" w:type="dxa"/>
            <w:noWrap w:val="0"/>
            <w:vAlign w:val="center"/>
          </w:tcPr>
          <w:p>
            <w:pPr>
              <w:spacing w:line="380" w:lineRule="exact"/>
              <w:jc w:val="center"/>
              <w:rPr>
                <w:rFonts w:ascii="仿宋" w:hAnsi="仿宋" w:eastAsia="仿宋" w:cs="Times New Roman"/>
                <w:b/>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965" w:type="dxa"/>
            <w:gridSpan w:val="5"/>
            <w:noWrap w:val="0"/>
            <w:vAlign w:val="center"/>
          </w:tcPr>
          <w:p>
            <w:pPr>
              <w:spacing w:before="190" w:beforeLines="50" w:after="190" w:afterLines="50" w:line="380" w:lineRule="exact"/>
              <w:rPr>
                <w:rFonts w:ascii="仿宋" w:hAnsi="仿宋" w:eastAsia="仿宋" w:cs="Times New Roman"/>
                <w:b/>
                <w:bCs/>
                <w:kern w:val="0"/>
                <w:sz w:val="24"/>
                <w:szCs w:val="24"/>
                <w:highlight w:val="none"/>
              </w:rPr>
            </w:pPr>
            <w:r>
              <w:rPr>
                <w:rFonts w:hint="eastAsia" w:ascii="仿宋" w:hAnsi="仿宋" w:eastAsia="仿宋" w:cs="仿宋"/>
                <w:b/>
                <w:bCs/>
                <w:kern w:val="0"/>
                <w:sz w:val="24"/>
                <w:szCs w:val="24"/>
                <w:highlight w:val="none"/>
              </w:rPr>
              <w:t>评标委员会成员：（签字或盖章）</w:t>
            </w:r>
          </w:p>
        </w:tc>
      </w:tr>
    </w:tbl>
    <w:p>
      <w:pPr>
        <w:rPr>
          <w:rFonts w:ascii="华文仿宋" w:hAnsi="华文仿宋" w:cs="华文仿宋"/>
          <w:highlight w:val="none"/>
        </w:rPr>
      </w:pPr>
      <w:bookmarkStart w:id="266" w:name="_Toc32092"/>
      <w:bookmarkStart w:id="267" w:name="_Toc2771"/>
      <w:bookmarkStart w:id="268" w:name="_Toc24626"/>
      <w:bookmarkStart w:id="269" w:name="_Toc11613"/>
      <w:bookmarkStart w:id="270" w:name="_Toc7523"/>
      <w:bookmarkStart w:id="271" w:name="_Toc22846"/>
      <w:bookmarkStart w:id="272" w:name="_Toc20615"/>
      <w:bookmarkStart w:id="273" w:name="_Toc31150"/>
      <w:bookmarkStart w:id="274" w:name="_Toc31415"/>
      <w:bookmarkStart w:id="275" w:name="_Toc18874"/>
      <w:bookmarkStart w:id="276" w:name="_Toc2387"/>
      <w:bookmarkStart w:id="277" w:name="_Toc12596"/>
      <w:bookmarkStart w:id="278" w:name="_Toc13418"/>
      <w:bookmarkStart w:id="279" w:name="_Toc2503"/>
      <w:bookmarkStart w:id="280" w:name="_Toc4245"/>
    </w:p>
    <w:p>
      <w:pPr>
        <w:pStyle w:val="3"/>
        <w:spacing w:line="500" w:lineRule="exact"/>
        <w:ind w:firstLine="566" w:firstLineChars="200"/>
        <w:rPr>
          <w:rFonts w:ascii="华文仿宋" w:hAnsi="华文仿宋" w:cs="华文仿宋"/>
          <w:highlight w:val="none"/>
        </w:rPr>
      </w:pPr>
      <w:r>
        <w:rPr>
          <w:rFonts w:hint="eastAsia" w:ascii="华文仿宋" w:hAnsi="华文仿宋" w:cs="华文仿宋"/>
          <w:sz w:val="28"/>
          <w:szCs w:val="28"/>
          <w:highlight w:val="none"/>
        </w:rPr>
        <w:t>三、综合比较与评价</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before="40" w:after="40" w:line="500" w:lineRule="exact"/>
        <w:jc w:val="center"/>
        <w:rPr>
          <w:rFonts w:hint="eastAsia" w:ascii="华文仿宋" w:hAnsi="华文仿宋" w:eastAsia="华文仿宋" w:cs="华文仿宋"/>
          <w:b/>
          <w:bCs/>
          <w:highlight w:val="none"/>
          <w:lang w:eastAsia="zh-CN"/>
        </w:rPr>
      </w:pPr>
      <w:r>
        <w:rPr>
          <w:rFonts w:hint="eastAsia" w:ascii="华文仿宋" w:hAnsi="华文仿宋" w:cs="华文仿宋"/>
          <w:b/>
          <w:bCs/>
          <w:highlight w:val="none"/>
        </w:rPr>
        <w:t>评审要素及分值一览表</w:t>
      </w:r>
      <w:r>
        <w:rPr>
          <w:rFonts w:hint="eastAsia" w:ascii="华文仿宋" w:hAnsi="华文仿宋" w:cs="华文仿宋"/>
          <w:b/>
          <w:bCs/>
          <w:highlight w:val="none"/>
          <w:lang w:eastAsia="zh-CN"/>
        </w:rPr>
        <w:t>（</w:t>
      </w:r>
      <w:r>
        <w:rPr>
          <w:rFonts w:hint="eastAsia" w:ascii="华文仿宋" w:hAnsi="华文仿宋" w:cs="华文仿宋"/>
          <w:b/>
          <w:bCs/>
          <w:highlight w:val="none"/>
          <w:lang w:val="en-US" w:eastAsia="zh-CN"/>
        </w:rPr>
        <w:t>第一标段适用</w:t>
      </w:r>
      <w:r>
        <w:rPr>
          <w:rFonts w:hint="eastAsia" w:ascii="华文仿宋" w:hAnsi="华文仿宋" w:cs="华文仿宋"/>
          <w:b/>
          <w:bCs/>
          <w:highlight w:val="none"/>
          <w:lang w:eastAsia="zh-CN"/>
        </w:rPr>
        <w:t>）</w:t>
      </w:r>
    </w:p>
    <w:tbl>
      <w:tblPr>
        <w:tblStyle w:val="19"/>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7188" w:type="dxa"/>
            <w:tcBorders>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ind w:firstLine="486" w:firstLineChars="200"/>
              <w:jc w:val="center"/>
              <w:textAlignment w:val="auto"/>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投标价格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50</w:t>
            </w:r>
          </w:p>
        </w:tc>
        <w:tc>
          <w:tcPr>
            <w:tcW w:w="7188"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有效投标人的最低报价为评标基准价得</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分，其他各投标人的报价得分按下列公式计算：（评标基准价/投标报价）×</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bookmarkStart w:id="281" w:name="OLE_LINK23"/>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参数响应</w:t>
            </w:r>
            <w:bookmarkEnd w:id="281"/>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22.5</w:t>
            </w:r>
          </w:p>
        </w:tc>
        <w:tc>
          <w:tcPr>
            <w:tcW w:w="7188" w:type="dxa"/>
            <w:tcBorders>
              <w:top w:val="single" w:color="auto" w:sz="4" w:space="0"/>
              <w:left w:val="single" w:color="auto" w:sz="4" w:space="0"/>
              <w:bottom w:val="single" w:color="auto" w:sz="4" w:space="0"/>
              <w:right w:val="single" w:color="auto" w:sz="4" w:space="0"/>
            </w:tcBorders>
            <w:noWrap w:val="0"/>
            <w:vAlign w:val="top"/>
          </w:tcPr>
          <w:p>
            <w:pPr>
              <w:rPr>
                <w:highlight w:val="none"/>
              </w:rPr>
            </w:pPr>
            <w:r>
              <w:rPr>
                <w:rFonts w:hint="eastAsia" w:ascii="仿宋" w:hAnsi="仿宋" w:eastAsia="仿宋" w:cs="仿宋"/>
                <w:color w:val="000000"/>
                <w:sz w:val="24"/>
                <w:highlight w:val="none"/>
                <w:lang w:eastAsia="zh-CN"/>
              </w:rPr>
              <w:t>所投产品技术参数清楚、明确并能逐条响应招标文件第四章“技术参数表”中所有</w:t>
            </w:r>
            <w:r>
              <w:rPr>
                <w:rFonts w:hint="eastAsia" w:ascii="仿宋" w:hAnsi="仿宋" w:eastAsia="仿宋" w:cs="仿宋"/>
                <w:color w:val="000000"/>
                <w:sz w:val="24"/>
                <w:szCs w:val="24"/>
                <w:highlight w:val="none"/>
                <w:lang w:eastAsia="zh-CN"/>
              </w:rPr>
              <w:t>▲项（</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en-US" w:eastAsia="zh-CN" w:bidi="ar"/>
              </w:rPr>
              <w:t>5</w:t>
            </w:r>
            <w:r>
              <w:rPr>
                <w:rFonts w:hint="eastAsia" w:ascii="仿宋" w:hAnsi="仿宋" w:eastAsia="仿宋" w:cs="仿宋"/>
                <w:color w:val="000000"/>
                <w:sz w:val="24"/>
                <w:szCs w:val="24"/>
                <w:highlight w:val="none"/>
                <w:lang w:eastAsia="zh-CN"/>
              </w:rPr>
              <w:t>项）</w:t>
            </w:r>
            <w:r>
              <w:rPr>
                <w:rFonts w:hint="eastAsia" w:ascii="仿宋" w:hAnsi="仿宋" w:eastAsia="仿宋" w:cs="仿宋"/>
                <w:bCs/>
                <w:sz w:val="24"/>
                <w:szCs w:val="24"/>
                <w:highlight w:val="none"/>
                <w:lang w:eastAsia="zh-CN"/>
              </w:rPr>
              <w:t>参数</w:t>
            </w:r>
            <w:r>
              <w:rPr>
                <w:rFonts w:hint="eastAsia" w:ascii="仿宋" w:hAnsi="仿宋" w:eastAsia="仿宋" w:cs="仿宋"/>
                <w:color w:val="000000"/>
                <w:sz w:val="24"/>
                <w:highlight w:val="none"/>
                <w:lang w:eastAsia="zh-CN"/>
              </w:rPr>
              <w:t>要求，得</w:t>
            </w:r>
            <w:r>
              <w:rPr>
                <w:rFonts w:hint="eastAsia" w:ascii="仿宋" w:hAnsi="仿宋" w:eastAsia="仿宋" w:cs="仿宋"/>
                <w:color w:val="000000"/>
                <w:sz w:val="24"/>
                <w:highlight w:val="none"/>
                <w:lang w:val="en-US" w:eastAsia="zh-CN"/>
              </w:rPr>
              <w:t>22.5</w:t>
            </w:r>
            <w:r>
              <w:rPr>
                <w:rFonts w:hint="eastAsia" w:ascii="仿宋" w:hAnsi="仿宋" w:eastAsia="仿宋" w:cs="仿宋"/>
                <w:color w:val="000000"/>
                <w:sz w:val="24"/>
                <w:highlight w:val="none"/>
                <w:lang w:eastAsia="zh-CN"/>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eastAsia="zh-CN" w:bidi="ar"/>
              </w:rPr>
              <w:t>每项负偏离扣</w:t>
            </w:r>
            <w:r>
              <w:rPr>
                <w:rFonts w:hint="eastAsia" w:ascii="仿宋" w:hAnsi="仿宋" w:eastAsia="仿宋" w:cs="仿宋"/>
                <w:color w:val="000000"/>
                <w:sz w:val="24"/>
                <w:szCs w:val="24"/>
                <w:highlight w:val="none"/>
                <w:lang w:val="en-US" w:eastAsia="zh-CN"/>
              </w:rPr>
              <w:t>1.5</w:t>
            </w:r>
            <w:r>
              <w:rPr>
                <w:rFonts w:hint="eastAsia" w:ascii="仿宋" w:hAnsi="仿宋" w:eastAsia="仿宋" w:cs="仿宋"/>
                <w:color w:val="000000"/>
                <w:sz w:val="24"/>
                <w:szCs w:val="24"/>
                <w:highlight w:val="none"/>
                <w:lang w:eastAsia="zh-CN"/>
              </w:rPr>
              <w:t>分，扣完为止。</w:t>
            </w:r>
          </w:p>
          <w:p>
            <w:pPr>
              <w:pStyle w:val="25"/>
              <w:keepNext w:val="0"/>
              <w:pageBreakBefore w:val="0"/>
              <w:widowControl/>
              <w:numPr>
                <w:ilvl w:val="0"/>
                <w:numId w:val="0"/>
              </w:numPr>
              <w:kinsoku/>
              <w:wordWrap/>
              <w:overflowPunct/>
              <w:topLinePunct w:val="0"/>
              <w:autoSpaceDE/>
              <w:autoSpaceDN/>
              <w:bidi w:val="0"/>
              <w:spacing w:line="420" w:lineRule="exact"/>
              <w:jc w:val="both"/>
              <w:textAlignment w:val="auto"/>
              <w:rPr>
                <w:rFonts w:hint="default" w:ascii="仿宋" w:hAnsi="仿宋" w:eastAsia="仿宋" w:cs="仿宋"/>
                <w:szCs w:val="24"/>
                <w:highlight w:val="none"/>
                <w:lang w:val="en-US" w:eastAsia="zh-CN"/>
              </w:rPr>
            </w:pPr>
            <w:r>
              <w:rPr>
                <w:rFonts w:hint="eastAsia" w:ascii="仿宋" w:hAnsi="仿宋" w:eastAsia="仿宋" w:cs="仿宋"/>
                <w:b/>
                <w:bCs/>
                <w:kern w:val="0"/>
                <w:sz w:val="24"/>
                <w:szCs w:val="24"/>
                <w:highlight w:val="none"/>
              </w:rPr>
              <w:t>备注：所有</w:t>
            </w:r>
            <w:r>
              <w:rPr>
                <w:rFonts w:hint="eastAsia" w:ascii="仿宋" w:hAnsi="仿宋" w:eastAsia="仿宋" w:cs="仿宋"/>
                <w:b/>
                <w:bCs/>
                <w:kern w:val="0"/>
                <w:sz w:val="24"/>
                <w:szCs w:val="24"/>
                <w:highlight w:val="none"/>
                <w:lang w:eastAsia="zh-CN"/>
              </w:rPr>
              <w:t>▲项</w:t>
            </w:r>
            <w:r>
              <w:rPr>
                <w:rFonts w:hint="eastAsia" w:ascii="仿宋" w:hAnsi="仿宋" w:eastAsia="仿宋" w:cs="仿宋"/>
                <w:b/>
                <w:bCs/>
                <w:kern w:val="0"/>
                <w:sz w:val="24"/>
                <w:szCs w:val="24"/>
                <w:highlight w:val="none"/>
                <w:lang w:val="en-US" w:eastAsia="zh-CN"/>
              </w:rPr>
              <w:t>需提供</w:t>
            </w:r>
            <w:r>
              <w:rPr>
                <w:rFonts w:hint="eastAsia" w:ascii="仿宋" w:hAnsi="仿宋" w:eastAsia="仿宋" w:cs="仿宋"/>
                <w:b/>
                <w:bCs/>
                <w:kern w:val="0"/>
                <w:sz w:val="24"/>
                <w:szCs w:val="24"/>
                <w:highlight w:val="none"/>
              </w:rPr>
              <w:t>佐证材料，佐证材料例如：国家认可的检测机构出具的检测报告、制造商检验报告、产品彩页、官网功能截图任意一种，不提供或缺漏项不得分。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pPr>
              <w:autoSpaceDE/>
              <w:autoSpaceDN/>
              <w:adjustRightInd w:val="0"/>
              <w:spacing w:afterLines="0" w:line="380" w:lineRule="exact"/>
              <w:jc w:val="center"/>
              <w:rPr>
                <w:rFonts w:hint="eastAsia" w:ascii="仿宋" w:hAnsi="仿宋" w:eastAsia="仿宋" w:cs="仿宋"/>
                <w:kern w:val="0"/>
                <w:sz w:val="24"/>
                <w:szCs w:val="24"/>
                <w:highlight w:val="none"/>
                <w:lang w:val="en-US" w:eastAsia="zh-CN" w:bidi="ar-SA"/>
              </w:rPr>
            </w:pPr>
            <w:bookmarkStart w:id="282" w:name="OLE_LINK33" w:colFirst="2" w:colLast="2"/>
            <w:r>
              <w:rPr>
                <w:rFonts w:hint="eastAsia" w:ascii="仿宋" w:hAnsi="仿宋" w:eastAsia="仿宋" w:cs="仿宋"/>
                <w:sz w:val="24"/>
                <w:szCs w:val="24"/>
                <w:highlight w:val="none"/>
              </w:rPr>
              <w:t>未标参数响应</w:t>
            </w:r>
          </w:p>
        </w:tc>
        <w:tc>
          <w:tcPr>
            <w:tcW w:w="750" w:type="dxa"/>
            <w:tcBorders>
              <w:left w:val="single" w:color="auto" w:sz="4" w:space="0"/>
              <w:right w:val="single" w:color="auto" w:sz="4" w:space="0"/>
            </w:tcBorders>
            <w:noWrap w:val="0"/>
            <w:vAlign w:val="center"/>
          </w:tcPr>
          <w:p>
            <w:pPr>
              <w:autoSpaceDE/>
              <w:autoSpaceDN/>
              <w:adjustRightInd w:val="0"/>
              <w:spacing w:afterLines="0" w:line="380" w:lineRule="exact"/>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w:t>
            </w:r>
          </w:p>
        </w:tc>
        <w:tc>
          <w:tcPr>
            <w:tcW w:w="7188" w:type="dxa"/>
            <w:tcBorders>
              <w:left w:val="single" w:color="auto" w:sz="4" w:space="0"/>
              <w:right w:val="single" w:color="auto" w:sz="4" w:space="0"/>
            </w:tcBorders>
            <w:noWrap w:val="0"/>
            <w:vAlign w:val="center"/>
          </w:tcPr>
          <w:p>
            <w:pPr>
              <w:pStyle w:val="25"/>
              <w:autoSpaceDE/>
              <w:autoSpaceDN/>
              <w:spacing w:afterLines="0" w:line="380" w:lineRule="exact"/>
              <w:jc w:val="both"/>
              <w:rPr>
                <w:rFonts w:hint="eastAsia" w:ascii="仿宋" w:hAnsi="仿宋" w:eastAsia="仿宋" w:cs="仿宋"/>
                <w:kern w:val="0"/>
                <w:sz w:val="24"/>
                <w:szCs w:val="24"/>
                <w:highlight w:val="none"/>
                <w:lang w:val="en-US" w:eastAsia="en-US" w:bidi="ar-SA"/>
              </w:rPr>
            </w:pPr>
            <w:r>
              <w:rPr>
                <w:rFonts w:hint="eastAsia" w:ascii="仿宋" w:hAnsi="仿宋" w:eastAsia="仿宋" w:cs="仿宋"/>
                <w:kern w:val="2"/>
                <w:sz w:val="24"/>
                <w:szCs w:val="24"/>
                <w:highlight w:val="none"/>
                <w:lang w:eastAsia="zh-CN"/>
              </w:rPr>
              <w:t>投标人承诺：其他未标注项参数全部满足招标文件要求，</w:t>
            </w:r>
            <w:r>
              <w:rPr>
                <w:rFonts w:hint="eastAsia" w:ascii="仿宋" w:hAnsi="仿宋" w:eastAsia="仿宋" w:cs="仿宋"/>
                <w:b/>
                <w:bCs/>
                <w:kern w:val="2"/>
                <w:sz w:val="24"/>
                <w:szCs w:val="24"/>
                <w:highlight w:val="none"/>
                <w:lang w:val="en-US" w:eastAsia="zh-CN"/>
              </w:rPr>
              <w:t>并在中标验收时能提供承诺参数的佐证材料</w:t>
            </w:r>
            <w:r>
              <w:rPr>
                <w:rFonts w:hint="eastAsia" w:ascii="仿宋" w:hAnsi="仿宋" w:eastAsia="仿宋" w:cs="仿宋"/>
                <w:kern w:val="2"/>
                <w:sz w:val="24"/>
                <w:szCs w:val="24"/>
                <w:highlight w:val="none"/>
                <w:lang w:eastAsia="zh-CN"/>
              </w:rPr>
              <w:t>(需提供承诺函，格式自拟)，得</w:t>
            </w:r>
            <w:r>
              <w:rPr>
                <w:rFonts w:hint="eastAsia" w:ascii="仿宋" w:hAnsi="仿宋" w:eastAsia="仿宋" w:cs="仿宋"/>
                <w:kern w:val="2"/>
                <w:sz w:val="24"/>
                <w:szCs w:val="24"/>
                <w:highlight w:val="none"/>
                <w:lang w:val="en-US" w:eastAsia="zh-CN"/>
              </w:rPr>
              <w:t>1</w:t>
            </w:r>
            <w:r>
              <w:rPr>
                <w:rFonts w:hint="eastAsia" w:ascii="仿宋" w:hAnsi="仿宋" w:eastAsia="仿宋" w:cs="仿宋"/>
                <w:kern w:val="2"/>
                <w:sz w:val="24"/>
                <w:szCs w:val="24"/>
                <w:highlight w:val="none"/>
                <w:lang w:eastAsia="zh-CN"/>
              </w:rPr>
              <w:t>分。无承诺不得分。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kern w:val="0"/>
                <w:sz w:val="24"/>
                <w:szCs w:val="24"/>
                <w:highlight w:val="none"/>
              </w:rPr>
              <w:t>实施方案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hint="eastAsia" w:eastAsia="仿宋"/>
                <w:highlight w:val="none"/>
                <w:lang w:val="en-US" w:eastAsia="zh-CN"/>
              </w:rPr>
            </w:pPr>
            <w:r>
              <w:rPr>
                <w:rFonts w:hint="eastAsia" w:ascii="仿宋" w:hAnsi="仿宋" w:eastAsia="仿宋" w:cs="仿宋"/>
                <w:bCs/>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根据</w:t>
            </w:r>
            <w:r>
              <w:rPr>
                <w:rFonts w:hint="eastAsia" w:ascii="仿宋" w:hAnsi="仿宋" w:eastAsia="仿宋" w:cs="仿宋"/>
                <w:kern w:val="0"/>
                <w:sz w:val="24"/>
                <w:szCs w:val="24"/>
                <w:highlight w:val="none"/>
                <w:lang w:val="en-US" w:eastAsia="zh-CN"/>
              </w:rPr>
              <w:t>标段</w:t>
            </w:r>
            <w:r>
              <w:rPr>
                <w:rFonts w:hint="eastAsia" w:ascii="仿宋" w:hAnsi="仿宋" w:eastAsia="仿宋" w:cs="仿宋"/>
                <w:kern w:val="0"/>
                <w:sz w:val="24"/>
                <w:szCs w:val="24"/>
                <w:highlight w:val="none"/>
              </w:rPr>
              <w:t>实际需求，提供完整详细的项目实施方案。内容包含</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w:t>
            </w:r>
            <w:r>
              <w:rPr>
                <w:rFonts w:hint="eastAsia" w:ascii="仿宋" w:hAnsi="仿宋" w:eastAsia="仿宋" w:cs="仿宋"/>
                <w:kern w:val="0"/>
                <w:sz w:val="24"/>
                <w:szCs w:val="24"/>
                <w:highlight w:val="none"/>
                <w:lang w:val="en-US" w:eastAsia="zh-CN"/>
              </w:rPr>
              <w:t>标段</w:t>
            </w:r>
            <w:r>
              <w:rPr>
                <w:rFonts w:hint="eastAsia" w:ascii="仿宋" w:hAnsi="仿宋" w:eastAsia="仿宋" w:cs="仿宋"/>
                <w:kern w:val="0"/>
                <w:sz w:val="24"/>
                <w:szCs w:val="24"/>
                <w:highlight w:val="none"/>
              </w:rPr>
              <w:t>实际情况，实施步骤清晰、合理；</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3、针对性：方案能够紧扣项目实际情况，内容科学合理。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3</w:t>
            </w:r>
            <w:r>
              <w:rPr>
                <w:rFonts w:hint="eastAsia" w:ascii="仿宋" w:hAnsi="仿宋" w:eastAsia="仿宋" w:cs="仿宋"/>
                <w:b/>
                <w:bCs/>
                <w:kern w:val="0"/>
                <w:sz w:val="24"/>
                <w:szCs w:val="24"/>
                <w:highlight w:val="none"/>
              </w:rPr>
              <w:t>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安装验收方案：每完全满足一个评审标准得</w:t>
            </w:r>
            <w:r>
              <w:rPr>
                <w:rFonts w:hint="eastAsia" w:ascii="仿宋" w:hAnsi="仿宋" w:eastAsia="仿宋" w:cs="仿宋"/>
                <w:kern w:val="0"/>
                <w:sz w:val="24"/>
                <w:szCs w:val="24"/>
                <w:highlight w:val="none"/>
                <w:lang w:val="en-US" w:eastAsia="zh-CN"/>
              </w:rPr>
              <w:t>0.5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分；</w:t>
            </w:r>
          </w:p>
          <w:p>
            <w:pPr>
              <w:adjustRightInd w:val="0"/>
              <w:rPr>
                <w:rFonts w:ascii="仿宋" w:hAnsi="仿宋" w:eastAsia="仿宋" w:cs="仿宋"/>
                <w:highlight w:val="none"/>
              </w:rPr>
            </w:pPr>
            <w:r>
              <w:rPr>
                <w:rFonts w:hint="eastAsia" w:ascii="仿宋" w:hAnsi="仿宋" w:eastAsia="仿宋" w:cs="仿宋"/>
                <w:kern w:val="0"/>
                <w:sz w:val="24"/>
                <w:szCs w:val="24"/>
                <w:highlight w:val="none"/>
              </w:rPr>
              <w:t>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应急预案:每完全满足一个评审标准得</w:t>
            </w:r>
            <w:r>
              <w:rPr>
                <w:rFonts w:hint="eastAsia" w:ascii="仿宋" w:hAnsi="仿宋" w:eastAsia="仿宋" w:cs="仿宋"/>
                <w:kern w:val="0"/>
                <w:sz w:val="24"/>
                <w:szCs w:val="24"/>
                <w:highlight w:val="none"/>
                <w:lang w:val="en-US" w:eastAsia="zh-CN"/>
              </w:rPr>
              <w:t>0.5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360" w:lineRule="exact"/>
              <w:jc w:val="center"/>
              <w:textAlignment w:val="auto"/>
              <w:rPr>
                <w:rFonts w:hint="default" w:ascii="仿宋" w:hAnsi="仿宋" w:eastAsia="仿宋" w:cs="仿宋"/>
                <w:kern w:val="0"/>
                <w:sz w:val="24"/>
                <w:szCs w:val="24"/>
                <w:highlight w:val="none"/>
                <w:lang w:val="en-US" w:eastAsia="zh-CN"/>
              </w:rPr>
            </w:pPr>
            <w:bookmarkStart w:id="283" w:name="OLE_LINK26"/>
            <w:r>
              <w:rPr>
                <w:rFonts w:hint="eastAsia" w:ascii="仿宋" w:hAnsi="仿宋" w:eastAsia="仿宋" w:cs="仿宋"/>
                <w:kern w:val="0"/>
                <w:sz w:val="24"/>
                <w:szCs w:val="24"/>
                <w:highlight w:val="none"/>
                <w:lang w:val="en-US" w:eastAsia="zh-CN"/>
              </w:rPr>
              <w:t>质量保证方案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keepLines w:val="0"/>
              <w:pageBreakBefore w:val="0"/>
              <w:widowControl/>
              <w:numPr>
                <w:ilvl w:val="-1"/>
                <w:numId w:val="0"/>
              </w:numPr>
              <w:kinsoku/>
              <w:wordWrap/>
              <w:overflowPunct/>
              <w:topLinePunct w:val="0"/>
              <w:autoSpaceDE/>
              <w:autoSpaceDN/>
              <w:bidi w:val="0"/>
              <w:adjustRightInd/>
              <w:snapToGrid/>
              <w:spacing w:afterLines="0" w:line="400" w:lineRule="exact"/>
              <w:ind w:left="0"/>
              <w:textAlignment w:val="auto"/>
              <w:rPr>
                <w:rFonts w:hint="eastAsia" w:ascii="仿宋" w:hAnsi="仿宋" w:eastAsia="仿宋" w:cs="仿宋"/>
                <w:b/>
                <w:bCs/>
                <w:color w:val="auto"/>
                <w:sz w:val="24"/>
                <w:szCs w:val="24"/>
                <w:highlight w:val="none"/>
              </w:rPr>
            </w:pPr>
            <w:bookmarkStart w:id="284" w:name="OLE_LINK10"/>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评审内容</w:t>
            </w:r>
          </w:p>
          <w:p>
            <w:pPr>
              <w:adjustRightInd/>
              <w:spacing w:afterLines="0" w:line="400" w:lineRule="exact"/>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实际需要，提供质量保证方案。方案内容包含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①产品</w:t>
            </w:r>
            <w:r>
              <w:rPr>
                <w:rFonts w:hint="eastAsia" w:ascii="仿宋" w:hAnsi="仿宋" w:eastAsia="仿宋" w:cs="仿宋"/>
                <w:color w:val="auto"/>
                <w:kern w:val="0"/>
                <w:sz w:val="24"/>
                <w:szCs w:val="24"/>
                <w:highlight w:val="none"/>
                <w:lang w:val="en-US" w:eastAsia="zh-CN"/>
              </w:rPr>
              <w:t>性能保障</w:t>
            </w:r>
            <w:r>
              <w:rPr>
                <w:rFonts w:hint="eastAsia" w:ascii="仿宋" w:hAnsi="仿宋" w:eastAsia="仿宋" w:cs="仿宋"/>
                <w:color w:val="auto"/>
                <w:kern w:val="0"/>
                <w:sz w:val="24"/>
                <w:szCs w:val="24"/>
                <w:highlight w:val="none"/>
              </w:rPr>
              <w:t>②质量管理体系</w:t>
            </w:r>
            <w:r>
              <w:rPr>
                <w:rFonts w:hint="eastAsia" w:ascii="仿宋" w:hAnsi="仿宋" w:eastAsia="仿宋" w:cs="仿宋"/>
                <w:color w:val="auto"/>
                <w:kern w:val="0"/>
                <w:sz w:val="24"/>
                <w:szCs w:val="24"/>
                <w:highlight w:val="none"/>
                <w:lang w:val="en-US" w:eastAsia="zh-CN"/>
              </w:rPr>
              <w:t>及</w:t>
            </w:r>
            <w:r>
              <w:rPr>
                <w:rFonts w:hint="eastAsia" w:ascii="仿宋" w:hAnsi="仿宋" w:eastAsia="仿宋" w:cs="仿宋"/>
                <w:color w:val="auto"/>
                <w:kern w:val="0"/>
                <w:sz w:val="24"/>
                <w:szCs w:val="24"/>
                <w:highlight w:val="none"/>
              </w:rPr>
              <w:t>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p>
          <w:p>
            <w:pPr>
              <w:keepNext w:val="0"/>
              <w:keepLines w:val="0"/>
              <w:pageBreakBefore w:val="0"/>
              <w:widowControl/>
              <w:numPr>
                <w:ilvl w:val="-1"/>
                <w:numId w:val="0"/>
              </w:numPr>
              <w:kinsoku/>
              <w:wordWrap/>
              <w:overflowPunct/>
              <w:topLinePunct w:val="0"/>
              <w:autoSpaceDE/>
              <w:autoSpaceDN/>
              <w:bidi w:val="0"/>
              <w:adjustRightInd/>
              <w:snapToGrid/>
              <w:spacing w:afterLines="0" w:line="400" w:lineRule="exact"/>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二、评审标准</w:t>
            </w:r>
          </w:p>
          <w:p>
            <w:pPr>
              <w:keepNext w:val="0"/>
              <w:keepLines w:val="0"/>
              <w:pageBreakBefore w:val="0"/>
              <w:widowControl/>
              <w:kinsoku/>
              <w:wordWrap/>
              <w:overflowPunct/>
              <w:topLinePunct w:val="0"/>
              <w:bidi w:val="0"/>
              <w:snapToGrid/>
              <w:spacing w:afterLines="0" w:line="40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1、完整性：方案必须全面，对评审内容中的各项要求有详细描述；</w:t>
            </w:r>
          </w:p>
          <w:p>
            <w:pPr>
              <w:keepNext w:val="0"/>
              <w:keepLines w:val="0"/>
              <w:pageBreakBefore w:val="0"/>
              <w:widowControl/>
              <w:kinsoku/>
              <w:wordWrap/>
              <w:overflowPunct/>
              <w:topLinePunct w:val="0"/>
              <w:bidi w:val="0"/>
              <w:snapToGrid/>
              <w:spacing w:afterLines="0" w:line="40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实际情况，提出步骤清晰、合理的方案；</w:t>
            </w:r>
          </w:p>
          <w:p>
            <w:pPr>
              <w:keepNext w:val="0"/>
              <w:keepLines w:val="0"/>
              <w:pageBreakBefore w:val="0"/>
              <w:widowControl/>
              <w:kinsoku/>
              <w:wordWrap/>
              <w:overflowPunct/>
              <w:topLinePunct w:val="0"/>
              <w:bidi w:val="0"/>
              <w:snapToGrid/>
              <w:spacing w:afterLines="0" w:line="400" w:lineRule="exact"/>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实际情况，内容科学合理。</w:t>
            </w:r>
          </w:p>
          <w:p>
            <w:pPr>
              <w:keepNext w:val="0"/>
              <w:keepLines w:val="0"/>
              <w:pageBreakBefore w:val="0"/>
              <w:widowControl/>
              <w:kinsoku/>
              <w:wordWrap/>
              <w:overflowPunct/>
              <w:topLinePunct w:val="0"/>
              <w:bidi w:val="0"/>
              <w:snapToGrid/>
              <w:spacing w:afterLines="0" w:line="400" w:lineRule="exact"/>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三、赋分标准（满分</w:t>
            </w:r>
            <w:r>
              <w:rPr>
                <w:rFonts w:hint="eastAsia" w:ascii="仿宋" w:hAnsi="仿宋" w:eastAsia="仿宋" w:cs="仿宋"/>
                <w:b/>
                <w:bCs/>
                <w:color w:val="auto"/>
                <w:kern w:val="0"/>
                <w:sz w:val="24"/>
                <w:szCs w:val="24"/>
                <w:highlight w:val="none"/>
                <w:lang w:val="en-US" w:eastAsia="zh-CN" w:bidi="ar"/>
              </w:rPr>
              <w:t>3</w:t>
            </w:r>
            <w:r>
              <w:rPr>
                <w:rFonts w:hint="eastAsia" w:ascii="仿宋" w:hAnsi="仿宋" w:eastAsia="仿宋" w:cs="仿宋"/>
                <w:b/>
                <w:bCs/>
                <w:color w:val="auto"/>
                <w:kern w:val="0"/>
                <w:sz w:val="24"/>
                <w:szCs w:val="24"/>
                <w:highlight w:val="none"/>
                <w:lang w:bidi="ar"/>
              </w:rPr>
              <w:t>分）</w:t>
            </w:r>
          </w:p>
          <w:p>
            <w:pPr>
              <w:keepNext w:val="0"/>
              <w:keepLines w:val="0"/>
              <w:pageBreakBefore w:val="0"/>
              <w:widowControl/>
              <w:kinsoku/>
              <w:wordWrap/>
              <w:overflowPunct/>
              <w:topLinePunct w:val="0"/>
              <w:bidi w:val="0"/>
              <w:snapToGrid/>
              <w:spacing w:afterLines="0" w:line="40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kern w:val="0"/>
                <w:sz w:val="24"/>
                <w:szCs w:val="24"/>
                <w:highlight w:val="none"/>
              </w:rPr>
              <w:t>产品</w:t>
            </w:r>
            <w:r>
              <w:rPr>
                <w:rFonts w:hint="eastAsia" w:ascii="仿宋" w:hAnsi="仿宋" w:eastAsia="仿宋" w:cs="仿宋"/>
                <w:color w:val="auto"/>
                <w:kern w:val="0"/>
                <w:sz w:val="24"/>
                <w:szCs w:val="24"/>
                <w:highlight w:val="none"/>
                <w:lang w:val="en-US" w:eastAsia="zh-CN"/>
              </w:rPr>
              <w:t>性能保障</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pPr>
              <w:keepNext w:val="0"/>
              <w:keepLines w:val="0"/>
              <w:pageBreakBefore w:val="0"/>
              <w:widowControl/>
              <w:kinsoku/>
              <w:wordWrap/>
              <w:overflowPunct/>
              <w:topLinePunct w:val="0"/>
              <w:bidi w:val="0"/>
              <w:snapToGrid/>
              <w:spacing w:afterLines="0" w:line="400" w:lineRule="exact"/>
              <w:ind w:left="0" w:leftChars="0"/>
              <w:textAlignment w:val="auto"/>
              <w:rPr>
                <w:rFonts w:hint="eastAsia" w:ascii="仿宋" w:hAnsi="仿宋" w:eastAsia="仿宋" w:cs="仿宋"/>
                <w:color w:val="auto"/>
                <w:kern w:val="0"/>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kern w:val="0"/>
                <w:sz w:val="24"/>
                <w:szCs w:val="24"/>
                <w:highlight w:val="none"/>
              </w:rPr>
              <w:t>质量管理体系</w:t>
            </w:r>
            <w:r>
              <w:rPr>
                <w:rFonts w:hint="eastAsia" w:ascii="仿宋" w:hAnsi="仿宋" w:eastAsia="仿宋" w:cs="仿宋"/>
                <w:color w:val="auto"/>
                <w:kern w:val="0"/>
                <w:sz w:val="24"/>
                <w:szCs w:val="24"/>
                <w:highlight w:val="none"/>
                <w:lang w:val="en-US" w:eastAsia="zh-CN"/>
              </w:rPr>
              <w:t>及</w:t>
            </w:r>
            <w:r>
              <w:rPr>
                <w:rFonts w:hint="eastAsia" w:ascii="仿宋" w:hAnsi="仿宋" w:eastAsia="仿宋" w:cs="仿宋"/>
                <w:color w:val="auto"/>
                <w:kern w:val="0"/>
                <w:sz w:val="24"/>
                <w:szCs w:val="24"/>
                <w:highlight w:val="none"/>
              </w:rPr>
              <w:t>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bookmarkEnd w:id="284"/>
          </w:p>
        </w:tc>
      </w:tr>
      <w:bookmarkEnd w:id="28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highlight w:val="none"/>
              </w:rPr>
            </w:pPr>
            <w:r>
              <w:rPr>
                <w:rFonts w:hint="eastAsia" w:ascii="仿宋" w:hAnsi="仿宋" w:eastAsia="仿宋" w:cs="仿宋"/>
                <w:sz w:val="24"/>
                <w:szCs w:val="24"/>
                <w:highlight w:val="none"/>
                <w:lang w:val="en-US" w:eastAsia="zh-CN"/>
              </w:rPr>
              <w:t>设备保障</w:t>
            </w:r>
            <w:bookmarkEnd w:id="283"/>
          </w:p>
        </w:tc>
        <w:tc>
          <w:tcPr>
            <w:tcW w:w="750"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pacing w:afterLines="0"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7188" w:type="dxa"/>
            <w:tcBorders>
              <w:left w:val="single" w:color="auto" w:sz="4" w:space="0"/>
              <w:right w:val="single" w:color="auto" w:sz="4" w:space="0"/>
            </w:tcBorders>
            <w:noWrap w:val="0"/>
            <w:vAlign w:val="center"/>
          </w:tcPr>
          <w:p>
            <w:pPr>
              <w:spacing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1、投标人提供产品制造商的生产车间图片，得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p>
          <w:p>
            <w:pPr>
              <w:spacing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2、投标人针对本标段提供</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原材料处理设备</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焊接设备</w:t>
            </w:r>
            <w:r>
              <w:rPr>
                <w:rFonts w:hint="eastAsia" w:ascii="仿宋" w:hAnsi="仿宋" w:eastAsia="仿宋" w:cs="仿宋"/>
                <w:color w:val="auto"/>
                <w:sz w:val="24"/>
                <w:szCs w:val="24"/>
                <w:highlight w:val="none"/>
                <w:lang w:eastAsia="zh-CN"/>
              </w:rPr>
              <w:t>③</w:t>
            </w:r>
            <w:r>
              <w:rPr>
                <w:rFonts w:hint="eastAsia" w:ascii="仿宋" w:hAnsi="仿宋" w:eastAsia="仿宋" w:cs="仿宋"/>
                <w:color w:val="auto"/>
                <w:sz w:val="24"/>
                <w:szCs w:val="24"/>
                <w:highlight w:val="none"/>
              </w:rPr>
              <w:t>切割成型设备</w:t>
            </w: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表面处理设备</w:t>
            </w:r>
            <w:r>
              <w:rPr>
                <w:rFonts w:hint="eastAsia" w:ascii="仿宋" w:hAnsi="仿宋" w:eastAsia="仿宋" w:cs="仿宋"/>
                <w:color w:val="auto"/>
                <w:sz w:val="24"/>
                <w:szCs w:val="24"/>
                <w:highlight w:val="none"/>
                <w:lang w:eastAsia="zh-CN"/>
              </w:rPr>
              <w:t>⑤</w:t>
            </w:r>
            <w:r>
              <w:rPr>
                <w:rFonts w:hint="eastAsia" w:ascii="仿宋" w:hAnsi="仿宋" w:eastAsia="仿宋" w:cs="仿宋"/>
                <w:color w:val="auto"/>
                <w:sz w:val="24"/>
                <w:szCs w:val="24"/>
                <w:highlight w:val="none"/>
              </w:rPr>
              <w:t>出厂检测设备</w:t>
            </w:r>
            <w:r>
              <w:rPr>
                <w:rFonts w:hint="eastAsia" w:ascii="仿宋" w:hAnsi="仿宋" w:eastAsia="仿宋" w:cs="仿宋"/>
                <w:color w:val="auto"/>
                <w:sz w:val="24"/>
                <w:szCs w:val="24"/>
                <w:highlight w:val="none"/>
                <w:lang w:eastAsia="zh-CN"/>
              </w:rPr>
              <w:t>⑥</w:t>
            </w:r>
            <w:r>
              <w:rPr>
                <w:rFonts w:hint="eastAsia" w:ascii="仿宋" w:hAnsi="仿宋" w:eastAsia="仿宋" w:cs="仿宋"/>
                <w:color w:val="auto"/>
                <w:sz w:val="24"/>
                <w:szCs w:val="24"/>
                <w:highlight w:val="none"/>
              </w:rPr>
              <w:t>辅助设备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lang w:eastAsia="zh-CN"/>
              </w:rPr>
              <w:t>种设备</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配置</w:t>
            </w:r>
            <w:r>
              <w:rPr>
                <w:rFonts w:hint="eastAsia" w:ascii="仿宋" w:hAnsi="仿宋" w:eastAsia="仿宋" w:cs="仿宋"/>
                <w:color w:val="auto"/>
                <w:sz w:val="24"/>
                <w:szCs w:val="24"/>
                <w:highlight w:val="none"/>
              </w:rPr>
              <w:t>清单</w:t>
            </w:r>
            <w:r>
              <w:rPr>
                <w:rFonts w:hint="eastAsia" w:ascii="仿宋" w:hAnsi="仿宋" w:eastAsia="仿宋" w:cs="仿宋"/>
                <w:color w:val="auto"/>
                <w:sz w:val="24"/>
                <w:szCs w:val="24"/>
                <w:highlight w:val="none"/>
                <w:lang w:eastAsia="zh-CN"/>
              </w:rPr>
              <w:t>。</w:t>
            </w:r>
          </w:p>
          <w:p>
            <w:pPr>
              <w:spacing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赋分依据：配置清单中</w:t>
            </w:r>
            <w:r>
              <w:rPr>
                <w:rFonts w:hint="eastAsia" w:ascii="仿宋" w:hAnsi="仿宋" w:eastAsia="仿宋" w:cs="仿宋"/>
                <w:color w:val="auto"/>
                <w:sz w:val="24"/>
                <w:szCs w:val="24"/>
                <w:highlight w:val="none"/>
              </w:rPr>
              <w:t>，每提供一项设备</w:t>
            </w:r>
            <w:r>
              <w:rPr>
                <w:rFonts w:hint="eastAsia" w:ascii="仿宋" w:hAnsi="仿宋" w:eastAsia="仿宋" w:cs="仿宋"/>
                <w:color w:val="auto"/>
                <w:sz w:val="24"/>
                <w:szCs w:val="24"/>
                <w:highlight w:val="none"/>
                <w:lang w:eastAsia="zh-CN"/>
              </w:rPr>
              <w:t>（同时包含：设备具体名称、图片和台数）</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5分，满</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不提供或缺项不得分。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eastAsia" w:ascii="Calibri Light" w:hAnsi="Calibri Light" w:eastAsia="华文仿宋" w:cs="Calibri Light"/>
                <w:kern w:val="2"/>
                <w:sz w:val="28"/>
                <w:szCs w:val="28"/>
                <w:highlight w:val="none"/>
                <w:lang w:val="en-US" w:eastAsia="zh-CN" w:bidi="ar-SA"/>
              </w:rPr>
            </w:pPr>
            <w:bookmarkStart w:id="285" w:name="OLE_LINK28" w:colFirst="2" w:colLast="2"/>
            <w:bookmarkStart w:id="286" w:name="OLE_LINK34" w:colFirst="2" w:colLast="2"/>
            <w:r>
              <w:rPr>
                <w:rFonts w:hint="eastAsia" w:ascii="仿宋" w:hAnsi="仿宋" w:eastAsia="仿宋" w:cs="仿宋"/>
                <w:sz w:val="24"/>
                <w:szCs w:val="24"/>
                <w:highlight w:val="none"/>
              </w:rPr>
              <w:t>来源渠道</w:t>
            </w:r>
          </w:p>
        </w:tc>
        <w:tc>
          <w:tcPr>
            <w:tcW w:w="750"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0.5</w:t>
            </w:r>
          </w:p>
        </w:tc>
        <w:tc>
          <w:tcPr>
            <w:tcW w:w="7188" w:type="dxa"/>
            <w:tcBorders>
              <w:left w:val="single" w:color="auto" w:sz="4" w:space="0"/>
              <w:right w:val="single" w:color="auto" w:sz="4" w:space="0"/>
            </w:tcBorders>
            <w:noWrap w:val="0"/>
            <w:vAlign w:val="center"/>
          </w:tcPr>
          <w:p>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投标人提供所投</w:t>
            </w:r>
            <w:r>
              <w:rPr>
                <w:rFonts w:hint="eastAsia" w:ascii="仿宋" w:hAnsi="仿宋" w:eastAsia="仿宋" w:cs="仿宋"/>
                <w:sz w:val="24"/>
                <w:szCs w:val="24"/>
                <w:highlight w:val="none"/>
                <w:lang w:val="en-US" w:eastAsia="zh-CN"/>
              </w:rPr>
              <w:t>标段</w:t>
            </w:r>
            <w:r>
              <w:rPr>
                <w:rFonts w:hint="eastAsia" w:ascii="仿宋" w:hAnsi="仿宋" w:eastAsia="仿宋" w:cs="仿宋"/>
                <w:sz w:val="24"/>
                <w:szCs w:val="24"/>
                <w:highlight w:val="none"/>
              </w:rPr>
              <w:t>第四章《采购清单》中</w:t>
            </w:r>
            <w:r>
              <w:rPr>
                <w:rFonts w:hint="eastAsia" w:ascii="仿宋" w:hAnsi="仿宋" w:eastAsia="仿宋" w:cs="仿宋"/>
                <w:sz w:val="24"/>
                <w:szCs w:val="24"/>
                <w:highlight w:val="none"/>
                <w:lang w:val="en-US" w:eastAsia="zh-CN"/>
              </w:rPr>
              <w:t>核心产品</w:t>
            </w:r>
            <w:r>
              <w:rPr>
                <w:rFonts w:hint="eastAsia" w:ascii="仿宋" w:hAnsi="仿宋" w:eastAsia="仿宋" w:cs="仿宋"/>
                <w:sz w:val="24"/>
                <w:szCs w:val="24"/>
                <w:highlight w:val="none"/>
              </w:rPr>
              <w:t>的合法来源渠道证明文件或情况说明，</w:t>
            </w:r>
            <w:r>
              <w:rPr>
                <w:rFonts w:hint="eastAsia" w:ascii="仿宋" w:hAnsi="仿宋" w:eastAsia="仿宋" w:cs="仿宋"/>
                <w:sz w:val="24"/>
                <w:szCs w:val="24"/>
                <w:highlight w:val="none"/>
                <w:lang w:val="en-US" w:eastAsia="zh-CN"/>
              </w:rPr>
              <w:t>得0.5分，</w:t>
            </w:r>
            <w:r>
              <w:rPr>
                <w:rFonts w:hint="eastAsia" w:ascii="仿宋" w:hAnsi="仿宋" w:eastAsia="仿宋" w:cs="仿宋"/>
                <w:sz w:val="24"/>
                <w:szCs w:val="24"/>
                <w:highlight w:val="none"/>
              </w:rPr>
              <w:t>不提供不得分。</w:t>
            </w:r>
            <w:r>
              <w:rPr>
                <w:rFonts w:hint="eastAsia" w:ascii="仿宋" w:hAnsi="仿宋" w:eastAsia="仿宋" w:cs="仿宋"/>
                <w:kern w:val="0"/>
                <w:sz w:val="24"/>
                <w:szCs w:val="24"/>
                <w:highlight w:val="none"/>
              </w:rPr>
              <w:t>投标人可根据自身情况提供以下资料中的任意一种：</w:t>
            </w:r>
          </w:p>
          <w:p>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1、如投标人为所投产品代理商：提供货物的合法来源渠道证明文件（例如：产品制造商授权、销售协议、代理协议等证明文件）</w:t>
            </w:r>
            <w:r>
              <w:rPr>
                <w:rFonts w:hint="eastAsia" w:ascii="仿宋" w:hAnsi="仿宋" w:eastAsia="仿宋" w:cs="仿宋"/>
                <w:sz w:val="24"/>
                <w:szCs w:val="24"/>
                <w:highlight w:val="none"/>
                <w:lang w:eastAsia="zh-CN"/>
              </w:rPr>
              <w:t>。</w:t>
            </w:r>
          </w:p>
          <w:p>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2、如投标人为所投产品的制造商：需提供情况说明（说明产品为制造商自己生产）。</w:t>
            </w:r>
          </w:p>
          <w:p>
            <w:pPr>
              <w:spacing w:afterLines="0" w:line="380" w:lineRule="exac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highlight w:val="none"/>
              </w:rPr>
              <w:t>备注：以加盖投标人公章的证明材料复印件为计分依据。</w:t>
            </w:r>
          </w:p>
        </w:tc>
      </w:tr>
      <w:bookmarkEnd w:id="2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color w:val="000000"/>
                <w:sz w:val="24"/>
                <w:szCs w:val="24"/>
                <w:highlight w:val="none"/>
              </w:rPr>
              <w:t>样品</w:t>
            </w:r>
          </w:p>
        </w:tc>
        <w:tc>
          <w:tcPr>
            <w:tcW w:w="750"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12</w:t>
            </w:r>
          </w:p>
        </w:tc>
        <w:tc>
          <w:tcPr>
            <w:tcW w:w="718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一、评审内容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根据本</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要求，提供以下样品：①4人桌</w:t>
            </w:r>
            <w:r>
              <w:rPr>
                <w:rFonts w:hint="eastAsia" w:ascii="仿宋" w:hAnsi="仿宋" w:eastAsia="仿宋" w:cs="仿宋"/>
                <w:color w:val="auto"/>
                <w:kern w:val="2"/>
                <w:sz w:val="24"/>
                <w:szCs w:val="24"/>
                <w:highlight w:val="none"/>
                <w:vertAlign w:val="baseline"/>
                <w:lang w:val="en-US" w:eastAsia="zh-CN" w:bidi="ar-SA"/>
              </w:rPr>
              <w:t>面材</w:t>
            </w:r>
            <w:r>
              <w:rPr>
                <w:rFonts w:hint="eastAsia" w:ascii="仿宋" w:hAnsi="仿宋" w:eastAsia="仿宋" w:cs="仿宋"/>
                <w:sz w:val="24"/>
                <w:szCs w:val="24"/>
                <w:highlight w:val="none"/>
              </w:rPr>
              <w:t>②4人桌</w:t>
            </w:r>
            <w:r>
              <w:rPr>
                <w:rFonts w:hint="eastAsia" w:ascii="仿宋" w:hAnsi="仿宋" w:eastAsia="仿宋" w:cs="仿宋"/>
                <w:sz w:val="24"/>
                <w:szCs w:val="24"/>
                <w:highlight w:val="none"/>
                <w:u w:val="none"/>
                <w:lang w:val="en-US" w:eastAsia="zh-CN"/>
              </w:rPr>
              <w:t>挡板框架</w:t>
            </w:r>
            <w:r>
              <w:rPr>
                <w:rFonts w:hint="default" w:ascii="仿宋" w:hAnsi="仿宋" w:eastAsia="仿宋" w:cs="仿宋"/>
                <w:sz w:val="24"/>
                <w:szCs w:val="24"/>
                <w:highlight w:val="none"/>
                <w:u w:val="none"/>
                <w:lang w:val="en-US" w:eastAsia="zh-CN"/>
              </w:rPr>
              <w:t>③</w:t>
            </w:r>
            <w:r>
              <w:rPr>
                <w:rFonts w:hint="eastAsia" w:ascii="仿宋" w:hAnsi="仿宋" w:eastAsia="仿宋" w:cs="仿宋"/>
                <w:sz w:val="24"/>
                <w:szCs w:val="24"/>
                <w:highlight w:val="none"/>
              </w:rPr>
              <w:t>4人桌</w:t>
            </w:r>
            <w:r>
              <w:rPr>
                <w:rFonts w:hint="eastAsia" w:ascii="仿宋" w:hAnsi="仿宋" w:eastAsia="仿宋" w:cs="仿宋"/>
                <w:sz w:val="24"/>
                <w:szCs w:val="24"/>
                <w:highlight w:val="none"/>
                <w:u w:val="none"/>
                <w:lang w:val="en-US" w:eastAsia="zh-CN"/>
              </w:rPr>
              <w:t>钢化磨砂玻璃</w:t>
            </w:r>
            <w:r>
              <w:rPr>
                <w:rFonts w:hint="eastAsia" w:ascii="仿宋" w:hAnsi="仿宋" w:eastAsia="仿宋" w:cs="仿宋"/>
                <w:sz w:val="24"/>
                <w:szCs w:val="24"/>
                <w:highlight w:val="none"/>
                <w:lang w:val="en-US" w:eastAsia="zh-CN"/>
              </w:rPr>
              <w:t>④</w:t>
            </w:r>
            <w:r>
              <w:rPr>
                <w:rFonts w:hint="eastAsia" w:ascii="仿宋" w:hAnsi="仿宋" w:eastAsia="仿宋" w:cs="仿宋"/>
                <w:sz w:val="24"/>
                <w:szCs w:val="24"/>
                <w:highlight w:val="none"/>
                <w:lang w:bidi="ar"/>
              </w:rPr>
              <w:t>折叠桌</w:t>
            </w:r>
            <w:r>
              <w:rPr>
                <w:rFonts w:hint="eastAsia" w:ascii="仿宋" w:hAnsi="仿宋" w:eastAsia="仿宋" w:cs="仿宋"/>
                <w:sz w:val="24"/>
                <w:szCs w:val="24"/>
                <w:highlight w:val="none"/>
                <w:lang w:val="en-US" w:eastAsia="zh-CN" w:bidi="ar"/>
              </w:rPr>
              <w:t>面材</w:t>
            </w:r>
            <w:r>
              <w:rPr>
                <w:rFonts w:hint="eastAsia" w:ascii="仿宋" w:hAnsi="仿宋" w:eastAsia="仿宋" w:cs="仿宋"/>
                <w:sz w:val="24"/>
                <w:szCs w:val="24"/>
                <w:highlight w:val="none"/>
                <w:lang w:val="en-US" w:eastAsia="zh-CN"/>
              </w:rPr>
              <w:t>⑤</w:t>
            </w:r>
            <w:r>
              <w:rPr>
                <w:rFonts w:hint="eastAsia" w:ascii="仿宋" w:hAnsi="仿宋" w:eastAsia="仿宋" w:cs="仿宋"/>
                <w:sz w:val="24"/>
                <w:szCs w:val="24"/>
                <w:highlight w:val="none"/>
                <w:lang w:bidi="ar"/>
              </w:rPr>
              <w:t>折叠桌</w:t>
            </w:r>
            <w:r>
              <w:rPr>
                <w:rFonts w:hint="eastAsia" w:ascii="仿宋" w:hAnsi="仿宋" w:eastAsia="仿宋" w:cs="仿宋"/>
                <w:sz w:val="24"/>
                <w:szCs w:val="24"/>
                <w:highlight w:val="none"/>
                <w:lang w:val="en-US" w:eastAsia="zh-CN" w:bidi="ar"/>
              </w:rPr>
              <w:t>钢架</w:t>
            </w:r>
            <w:r>
              <w:rPr>
                <w:rFonts w:hint="eastAsia" w:ascii="仿宋" w:hAnsi="仿宋" w:eastAsia="仿宋" w:cs="仿宋"/>
                <w:sz w:val="24"/>
                <w:szCs w:val="24"/>
                <w:highlight w:val="none"/>
                <w:lang w:val="en-US" w:eastAsia="zh-CN"/>
              </w:rPr>
              <w:t>⑥</w:t>
            </w:r>
            <w:r>
              <w:rPr>
                <w:rFonts w:hint="eastAsia" w:ascii="仿宋" w:hAnsi="仿宋" w:eastAsia="仿宋" w:cs="仿宋"/>
                <w:sz w:val="24"/>
                <w:szCs w:val="24"/>
                <w:highlight w:val="none"/>
                <w:lang w:bidi="ar"/>
              </w:rPr>
              <w:t>六</w:t>
            </w:r>
            <w:r>
              <w:rPr>
                <w:rFonts w:ascii="仿宋" w:hAnsi="仿宋" w:eastAsia="仿宋" w:cs="仿宋"/>
                <w:sz w:val="24"/>
                <w:szCs w:val="24"/>
                <w:highlight w:val="none"/>
                <w:lang w:bidi="ar"/>
              </w:rPr>
              <w:t>人位</w:t>
            </w:r>
            <w:r>
              <w:rPr>
                <w:rFonts w:hint="eastAsia" w:ascii="仿宋" w:hAnsi="仿宋" w:eastAsia="仿宋" w:cs="仿宋"/>
                <w:sz w:val="24"/>
                <w:szCs w:val="24"/>
                <w:highlight w:val="none"/>
                <w:lang w:bidi="ar"/>
              </w:rPr>
              <w:t>六边形桌</w:t>
            </w:r>
            <w:r>
              <w:rPr>
                <w:rFonts w:hint="eastAsia" w:ascii="仿宋" w:hAnsi="仿宋" w:eastAsia="仿宋" w:cs="仿宋"/>
                <w:color w:val="auto"/>
                <w:kern w:val="2"/>
                <w:sz w:val="24"/>
                <w:szCs w:val="24"/>
                <w:highlight w:val="none"/>
                <w:vertAlign w:val="baseline"/>
                <w:lang w:val="en-US" w:eastAsia="zh-CN" w:bidi="ar-SA"/>
              </w:rPr>
              <w:t>桌架桌角</w:t>
            </w:r>
            <w:r>
              <w:rPr>
                <w:rFonts w:hint="eastAsia" w:ascii="仿宋" w:hAnsi="仿宋" w:eastAsia="仿宋" w:cs="仿宋"/>
                <w:sz w:val="24"/>
                <w:szCs w:val="24"/>
                <w:highlight w:val="none"/>
                <w:lang w:val="en-US" w:eastAsia="zh-CN"/>
              </w:rPr>
              <w:t>⑦</w:t>
            </w:r>
            <w:r>
              <w:rPr>
                <w:rFonts w:hint="eastAsia" w:ascii="仿宋" w:hAnsi="仿宋" w:eastAsia="仿宋" w:cs="仿宋"/>
                <w:sz w:val="24"/>
                <w:szCs w:val="24"/>
                <w:highlight w:val="none"/>
                <w:lang w:bidi="ar"/>
              </w:rPr>
              <w:t>实木阅览椅</w:t>
            </w:r>
            <w:r>
              <w:rPr>
                <w:rFonts w:hint="eastAsia" w:ascii="仿宋" w:hAnsi="仿宋" w:eastAsia="仿宋" w:cs="仿宋"/>
                <w:color w:val="auto"/>
                <w:kern w:val="2"/>
                <w:sz w:val="24"/>
                <w:szCs w:val="24"/>
                <w:highlight w:val="none"/>
                <w:vertAlign w:val="baseline"/>
                <w:lang w:val="en-US" w:eastAsia="zh-CN" w:bidi="ar-SA"/>
              </w:rPr>
              <w:t>超纤皮⑧</w:t>
            </w:r>
            <w:r>
              <w:rPr>
                <w:rFonts w:hint="eastAsia" w:ascii="仿宋" w:hAnsi="仿宋" w:eastAsia="仿宋" w:cs="仿宋"/>
                <w:sz w:val="24"/>
                <w:szCs w:val="24"/>
                <w:highlight w:val="none"/>
                <w:lang w:bidi="ar"/>
              </w:rPr>
              <w:t>实木阅览椅</w:t>
            </w:r>
            <w:r>
              <w:rPr>
                <w:rFonts w:hint="eastAsia" w:ascii="仿宋" w:hAnsi="仿宋" w:eastAsia="仿宋" w:cs="仿宋"/>
                <w:sz w:val="24"/>
                <w:szCs w:val="24"/>
                <w:highlight w:val="none"/>
                <w:lang w:val="en-US" w:eastAsia="zh-CN" w:bidi="ar"/>
              </w:rPr>
              <w:t>框架材质</w:t>
            </w:r>
            <w:r>
              <w:rPr>
                <w:rFonts w:hint="eastAsia" w:ascii="仿宋" w:hAnsi="仿宋" w:eastAsia="仿宋" w:cs="仿宋"/>
                <w:sz w:val="24"/>
                <w:szCs w:val="24"/>
                <w:highlight w:val="none"/>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二、评审标准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1、外观设计：所提供样品协调美观，具有非常好的整体性、视觉效果；</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、面料材质：所提供样品面料材质满足符合采购人需求；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、制作工艺：样品制作工艺精细、整洁美观。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三、赋分依据（满分</w:t>
            </w:r>
            <w:r>
              <w:rPr>
                <w:rFonts w:hint="eastAsia" w:ascii="仿宋" w:hAnsi="仿宋" w:eastAsia="仿宋" w:cs="仿宋"/>
                <w:b/>
                <w:bCs/>
                <w:sz w:val="24"/>
                <w:szCs w:val="24"/>
                <w:highlight w:val="none"/>
                <w:lang w:val="en-US" w:eastAsia="zh-CN"/>
              </w:rPr>
              <w:t>12</w:t>
            </w:r>
            <w:r>
              <w:rPr>
                <w:rFonts w:hint="eastAsia" w:ascii="仿宋" w:hAnsi="仿宋" w:eastAsia="仿宋" w:cs="仿宋"/>
                <w:b/>
                <w:bCs/>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①4人桌</w:t>
            </w:r>
            <w:r>
              <w:rPr>
                <w:rFonts w:hint="eastAsia" w:ascii="仿宋" w:hAnsi="仿宋" w:eastAsia="仿宋" w:cs="仿宋"/>
                <w:color w:val="auto"/>
                <w:kern w:val="2"/>
                <w:sz w:val="24"/>
                <w:szCs w:val="24"/>
                <w:highlight w:val="none"/>
                <w:vertAlign w:val="baseline"/>
                <w:lang w:val="en-US" w:eastAsia="zh-CN" w:bidi="ar-SA"/>
              </w:rPr>
              <w:t>面材</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②4人桌</w:t>
            </w:r>
            <w:r>
              <w:rPr>
                <w:rFonts w:hint="eastAsia" w:ascii="仿宋" w:hAnsi="仿宋" w:eastAsia="仿宋" w:cs="仿宋"/>
                <w:sz w:val="24"/>
                <w:szCs w:val="24"/>
                <w:highlight w:val="none"/>
                <w:u w:val="none"/>
                <w:lang w:val="en-US" w:eastAsia="zh-CN"/>
              </w:rPr>
              <w:t>挡板框架</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u w:val="none"/>
                <w:lang w:val="en-US" w:eastAsia="zh-CN"/>
              </w:rPr>
              <w:t>③</w:t>
            </w:r>
            <w:r>
              <w:rPr>
                <w:rFonts w:hint="eastAsia" w:ascii="仿宋" w:hAnsi="仿宋" w:eastAsia="仿宋" w:cs="仿宋"/>
                <w:sz w:val="24"/>
                <w:szCs w:val="24"/>
                <w:highlight w:val="none"/>
              </w:rPr>
              <w:t>4人桌</w:t>
            </w:r>
            <w:r>
              <w:rPr>
                <w:rFonts w:hint="eastAsia" w:ascii="仿宋" w:hAnsi="仿宋" w:eastAsia="仿宋" w:cs="仿宋"/>
                <w:sz w:val="24"/>
                <w:szCs w:val="24"/>
                <w:highlight w:val="none"/>
                <w:u w:val="none"/>
                <w:lang w:val="en-US" w:eastAsia="zh-CN"/>
              </w:rPr>
              <w:t>钢化磨砂玻璃</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④</w:t>
            </w:r>
            <w:r>
              <w:rPr>
                <w:rFonts w:hint="eastAsia" w:ascii="仿宋" w:hAnsi="仿宋" w:eastAsia="仿宋" w:cs="仿宋"/>
                <w:sz w:val="24"/>
                <w:szCs w:val="24"/>
                <w:highlight w:val="none"/>
                <w:lang w:bidi="ar"/>
              </w:rPr>
              <w:t>折叠桌</w:t>
            </w:r>
            <w:r>
              <w:rPr>
                <w:rFonts w:hint="eastAsia" w:ascii="仿宋" w:hAnsi="仿宋" w:eastAsia="仿宋" w:cs="仿宋"/>
                <w:sz w:val="24"/>
                <w:szCs w:val="24"/>
                <w:highlight w:val="none"/>
                <w:lang w:val="en-US" w:eastAsia="zh-CN" w:bidi="ar"/>
              </w:rPr>
              <w:t>面材</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w:t>
            </w:r>
            <w:r>
              <w:rPr>
                <w:rFonts w:hint="eastAsia" w:ascii="仿宋" w:hAnsi="仿宋" w:eastAsia="仿宋" w:cs="仿宋"/>
                <w:sz w:val="24"/>
                <w:szCs w:val="24"/>
                <w:highlight w:val="none"/>
                <w:lang w:bidi="ar"/>
              </w:rPr>
              <w:t>折叠桌</w:t>
            </w:r>
            <w:r>
              <w:rPr>
                <w:rFonts w:hint="eastAsia" w:ascii="仿宋" w:hAnsi="仿宋" w:eastAsia="仿宋" w:cs="仿宋"/>
                <w:sz w:val="24"/>
                <w:szCs w:val="24"/>
                <w:highlight w:val="none"/>
                <w:lang w:val="en-US" w:eastAsia="zh-CN" w:bidi="ar"/>
              </w:rPr>
              <w:t>钢架</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lang w:val="en-US" w:eastAsia="zh-CN"/>
              </w:rPr>
              <w:t>⑥</w:t>
            </w:r>
            <w:r>
              <w:rPr>
                <w:rFonts w:hint="eastAsia" w:ascii="仿宋" w:hAnsi="仿宋" w:eastAsia="仿宋" w:cs="仿宋"/>
                <w:sz w:val="24"/>
                <w:szCs w:val="24"/>
                <w:highlight w:val="none"/>
                <w:lang w:bidi="ar"/>
              </w:rPr>
              <w:t>六</w:t>
            </w:r>
            <w:r>
              <w:rPr>
                <w:rFonts w:ascii="仿宋" w:hAnsi="仿宋" w:eastAsia="仿宋" w:cs="仿宋"/>
                <w:sz w:val="24"/>
                <w:szCs w:val="24"/>
                <w:highlight w:val="none"/>
                <w:lang w:bidi="ar"/>
              </w:rPr>
              <w:t>人位</w:t>
            </w:r>
            <w:r>
              <w:rPr>
                <w:rFonts w:hint="eastAsia" w:ascii="仿宋" w:hAnsi="仿宋" w:eastAsia="仿宋" w:cs="仿宋"/>
                <w:sz w:val="24"/>
                <w:szCs w:val="24"/>
                <w:highlight w:val="none"/>
                <w:lang w:bidi="ar"/>
              </w:rPr>
              <w:t>六边形桌</w:t>
            </w:r>
            <w:r>
              <w:rPr>
                <w:rFonts w:hint="eastAsia" w:ascii="仿宋" w:hAnsi="仿宋" w:eastAsia="仿宋" w:cs="仿宋"/>
                <w:color w:val="auto"/>
                <w:kern w:val="2"/>
                <w:sz w:val="24"/>
                <w:szCs w:val="24"/>
                <w:highlight w:val="none"/>
                <w:vertAlign w:val="baseline"/>
                <w:lang w:val="en-US" w:eastAsia="zh-CN" w:bidi="ar-SA"/>
              </w:rPr>
              <w:t>桌架桌角</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lang w:val="en-US" w:eastAsia="zh-CN"/>
              </w:rPr>
              <w:t>⑦</w:t>
            </w:r>
            <w:r>
              <w:rPr>
                <w:rFonts w:hint="eastAsia" w:ascii="仿宋" w:hAnsi="仿宋" w:eastAsia="仿宋" w:cs="仿宋"/>
                <w:sz w:val="24"/>
                <w:szCs w:val="24"/>
                <w:highlight w:val="none"/>
                <w:lang w:bidi="ar"/>
              </w:rPr>
              <w:t>实木阅览椅</w:t>
            </w:r>
            <w:r>
              <w:rPr>
                <w:rFonts w:hint="eastAsia" w:ascii="仿宋" w:hAnsi="仿宋" w:eastAsia="仿宋" w:cs="仿宋"/>
                <w:color w:val="auto"/>
                <w:kern w:val="2"/>
                <w:sz w:val="24"/>
                <w:szCs w:val="24"/>
                <w:highlight w:val="none"/>
                <w:vertAlign w:val="baseline"/>
                <w:lang w:val="en-US" w:eastAsia="zh-CN" w:bidi="ar-SA"/>
              </w:rPr>
              <w:t>超纤皮</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
                <w:bCs/>
                <w:sz w:val="24"/>
                <w:szCs w:val="24"/>
                <w:highlight w:val="none"/>
              </w:rPr>
            </w:pPr>
            <w:r>
              <w:rPr>
                <w:rFonts w:hint="eastAsia" w:ascii="仿宋" w:hAnsi="仿宋" w:eastAsia="仿宋" w:cs="仿宋"/>
                <w:color w:val="auto"/>
                <w:kern w:val="2"/>
                <w:sz w:val="24"/>
                <w:szCs w:val="24"/>
                <w:highlight w:val="none"/>
                <w:vertAlign w:val="baseline"/>
                <w:lang w:val="en-US" w:eastAsia="zh-CN" w:bidi="ar-SA"/>
              </w:rPr>
              <w:t>⑧</w:t>
            </w:r>
            <w:r>
              <w:rPr>
                <w:rFonts w:hint="eastAsia" w:ascii="仿宋" w:hAnsi="仿宋" w:eastAsia="仿宋" w:cs="仿宋"/>
                <w:sz w:val="24"/>
                <w:szCs w:val="24"/>
                <w:highlight w:val="none"/>
                <w:lang w:bidi="ar"/>
              </w:rPr>
              <w:t>实木阅览椅</w:t>
            </w:r>
            <w:r>
              <w:rPr>
                <w:rFonts w:hint="eastAsia" w:ascii="仿宋" w:hAnsi="仿宋" w:eastAsia="仿宋" w:cs="仿宋"/>
                <w:sz w:val="24"/>
                <w:szCs w:val="24"/>
                <w:highlight w:val="none"/>
                <w:lang w:val="en-US" w:eastAsia="zh-CN" w:bidi="ar"/>
              </w:rPr>
              <w:t>框架材质：</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eastAsia="仿宋"/>
                <w:highlight w:val="none"/>
              </w:rPr>
            </w:pPr>
            <w:r>
              <w:rPr>
                <w:rFonts w:hint="eastAsia" w:ascii="仿宋" w:hAnsi="仿宋" w:eastAsia="仿宋" w:cs="仿宋"/>
                <w:sz w:val="24"/>
                <w:szCs w:val="24"/>
                <w:highlight w:val="none"/>
              </w:rPr>
              <w:t>售后服务方案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color w:val="000000"/>
                <w:kern w:val="0"/>
                <w:sz w:val="24"/>
                <w:szCs w:val="24"/>
                <w:highlight w:val="none"/>
                <w:lang w:val="en-US" w:eastAsia="zh-CN"/>
              </w:rPr>
            </w:pPr>
            <w:r>
              <w:rPr>
                <w:rFonts w:hint="eastAsia" w:ascii="仿宋" w:hAnsi="仿宋" w:eastAsia="仿宋" w:cs="仿宋"/>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实际需求提供售后服务方案。</w:t>
            </w:r>
            <w:r>
              <w:rPr>
                <w:rFonts w:hint="eastAsia" w:ascii="仿宋" w:hAnsi="仿宋" w:eastAsia="仿宋" w:cs="仿宋"/>
                <w:kern w:val="0"/>
                <w:sz w:val="24"/>
                <w:szCs w:val="24"/>
                <w:highlight w:val="none"/>
              </w:rPr>
              <w:t>内容包含</w:t>
            </w:r>
            <w:r>
              <w:rPr>
                <w:rFonts w:hint="eastAsia" w:ascii="仿宋" w:hAnsi="仿宋" w:eastAsia="仿宋" w:cs="仿宋"/>
                <w:kern w:val="0"/>
                <w:sz w:val="24"/>
                <w:szCs w:val="24"/>
                <w:highlight w:val="none"/>
                <w:lang w:eastAsia="zh-CN"/>
              </w:rPr>
              <w:t>：</w:t>
            </w:r>
            <w:r>
              <w:rPr>
                <w:rFonts w:hint="eastAsia" w:ascii="仿宋" w:hAnsi="仿宋" w:eastAsia="仿宋" w:cs="仿宋"/>
                <w:sz w:val="24"/>
                <w:szCs w:val="24"/>
                <w:highlight w:val="none"/>
              </w:rPr>
              <w:t>①售后服务内容及保障措施②响应时间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w:t>
            </w:r>
            <w:r>
              <w:rPr>
                <w:rFonts w:hint="eastAsia" w:ascii="仿宋" w:hAnsi="仿宋" w:eastAsia="仿宋" w:cs="仿宋"/>
                <w:sz w:val="24"/>
                <w:szCs w:val="24"/>
                <w:highlight w:val="none"/>
                <w:lang w:val="en-US" w:eastAsia="zh-CN"/>
              </w:rPr>
              <w:t>方式</w:t>
            </w:r>
            <w:r>
              <w:rPr>
                <w:rFonts w:hint="eastAsia" w:ascii="仿宋" w:hAnsi="仿宋" w:eastAsia="仿宋" w:cs="仿宋"/>
                <w:sz w:val="24"/>
                <w:szCs w:val="24"/>
                <w:highlight w:val="none"/>
              </w:rPr>
              <w:t>。</w:t>
            </w:r>
          </w:p>
          <w:p>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1、完整性：方案须全面，对评审内容中的各项要求描述详细；</w:t>
            </w:r>
          </w:p>
          <w:p>
            <w:pPr>
              <w:keepNext w:val="0"/>
              <w:pageBreakBefore w:val="0"/>
              <w:widowControl w:val="0"/>
              <w:kinsoku/>
              <w:wordWrap/>
              <w:overflowPunct/>
              <w:topLinePunct w:val="0"/>
              <w:autoSpaceDE/>
              <w:autoSpaceDN/>
              <w:bidi w:val="0"/>
              <w:adjustRightInd/>
              <w:spacing w:line="400" w:lineRule="exact"/>
              <w:textAlignment w:val="auto"/>
              <w:rPr>
                <w:rFonts w:ascii="仿宋" w:hAnsi="仿宋" w:eastAsia="仿宋" w:cs="仿宋"/>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rPr>
              <w:t>可实施性：切合本</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实际情况，实施步骤清晰、合理；</w:t>
            </w:r>
          </w:p>
          <w:p>
            <w:pPr>
              <w:keepNext w:val="0"/>
              <w:pageBreakBefore w:val="0"/>
              <w:widowControl w:val="0"/>
              <w:kinsoku/>
              <w:wordWrap/>
              <w:overflowPunct/>
              <w:topLinePunct w:val="0"/>
              <w:bidi w:val="0"/>
              <w:adjustRightInd w:val="0"/>
              <w:spacing w:line="40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bCs/>
                <w:sz w:val="24"/>
                <w:szCs w:val="24"/>
                <w:highlight w:val="none"/>
                <w:lang w:eastAsia="zh-CN"/>
              </w:rPr>
              <w:t>标段</w:t>
            </w:r>
            <w:r>
              <w:rPr>
                <w:rFonts w:hint="eastAsia" w:ascii="仿宋" w:hAnsi="仿宋" w:eastAsia="仿宋" w:cs="仿宋"/>
                <w:bCs/>
                <w:sz w:val="24"/>
                <w:szCs w:val="24"/>
                <w:highlight w:val="none"/>
              </w:rPr>
              <w:t>实际情况，内容科学合理。</w:t>
            </w:r>
          </w:p>
          <w:p>
            <w:pPr>
              <w:keepNext w:val="0"/>
              <w:pageBreakBefore w:val="0"/>
              <w:widowControl w:val="0"/>
              <w:kinsoku/>
              <w:wordWrap/>
              <w:overflowPunct/>
              <w:topLinePunct w:val="0"/>
              <w:bidi w:val="0"/>
              <w:spacing w:line="400" w:lineRule="exact"/>
              <w:textAlignment w:val="auto"/>
              <w:rPr>
                <w:rFonts w:ascii="仿宋" w:hAnsi="仿宋" w:eastAsia="仿宋" w:cs="仿宋"/>
                <w:b/>
                <w:bCs/>
                <w:kern w:val="0"/>
                <w:sz w:val="24"/>
                <w:szCs w:val="24"/>
                <w:highlight w:val="none"/>
              </w:rPr>
            </w:pPr>
            <w:r>
              <w:rPr>
                <w:rFonts w:hint="eastAsia" w:ascii="仿宋" w:hAnsi="仿宋" w:eastAsia="仿宋" w:cs="仿宋"/>
                <w:b/>
                <w:bCs/>
                <w:sz w:val="24"/>
                <w:szCs w:val="24"/>
                <w:highlight w:val="none"/>
              </w:rPr>
              <w:t>三、</w:t>
            </w:r>
            <w:r>
              <w:rPr>
                <w:rFonts w:hint="eastAsia" w:ascii="仿宋" w:hAnsi="仿宋" w:eastAsia="仿宋" w:cs="仿宋"/>
                <w:b/>
                <w:bCs/>
                <w:kern w:val="0"/>
                <w:sz w:val="24"/>
                <w:szCs w:val="24"/>
                <w:highlight w:val="none"/>
              </w:rPr>
              <w:t>赋分依据（满分</w:t>
            </w:r>
            <w:r>
              <w:rPr>
                <w:rFonts w:hint="eastAsia" w:ascii="仿宋" w:hAnsi="仿宋" w:eastAsia="仿宋" w:cs="仿宋"/>
                <w:b/>
                <w:bCs/>
                <w:kern w:val="0"/>
                <w:sz w:val="24"/>
                <w:szCs w:val="24"/>
                <w:highlight w:val="none"/>
                <w:lang w:val="en-US" w:eastAsia="zh-CN"/>
              </w:rPr>
              <w:t>3</w:t>
            </w:r>
            <w:r>
              <w:rPr>
                <w:rFonts w:hint="eastAsia" w:ascii="仿宋" w:hAnsi="仿宋" w:eastAsia="仿宋" w:cs="仿宋"/>
                <w:b/>
                <w:bCs/>
                <w:kern w:val="0"/>
                <w:sz w:val="24"/>
                <w:szCs w:val="24"/>
                <w:highlight w:val="none"/>
              </w:rPr>
              <w:t>分）</w:t>
            </w:r>
          </w:p>
          <w:p>
            <w:pPr>
              <w:keepNext w:val="0"/>
              <w:pageBreakBefore w:val="0"/>
              <w:widowControl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①售后服务内容及保障措施：每完全满足一个评审标准得0.5分，满分1.5分；</w:t>
            </w:r>
          </w:p>
          <w:p>
            <w:pPr>
              <w:keepNext w:val="0"/>
              <w:pageBreakBefore w:val="0"/>
              <w:widowControl w:val="0"/>
              <w:kinsoku/>
              <w:wordWrap/>
              <w:overflowPunct/>
              <w:topLinePunct w:val="0"/>
              <w:autoSpaceDE/>
              <w:autoSpaceDN/>
              <w:bidi w:val="0"/>
              <w:adjustRightInd/>
              <w:spacing w:line="400" w:lineRule="exact"/>
              <w:textAlignment w:val="auto"/>
              <w:rPr>
                <w:rFonts w:eastAsia="仿宋"/>
                <w:highlight w:val="none"/>
              </w:rPr>
            </w:pPr>
            <w:r>
              <w:rPr>
                <w:rFonts w:hint="eastAsia" w:ascii="仿宋" w:hAnsi="仿宋" w:eastAsia="仿宋" w:cs="仿宋"/>
                <w:sz w:val="24"/>
                <w:szCs w:val="24"/>
                <w:highlight w:val="none"/>
              </w:rPr>
              <w:t>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响应方式:每完全满足一个评审标准得</w:t>
            </w:r>
            <w:r>
              <w:rPr>
                <w:rFonts w:ascii="仿宋" w:hAnsi="仿宋" w:eastAsia="仿宋" w:cs="仿宋"/>
                <w:sz w:val="24"/>
                <w:szCs w:val="24"/>
                <w:highlight w:val="none"/>
              </w:rPr>
              <w:t>0.5</w:t>
            </w:r>
            <w:r>
              <w:rPr>
                <w:rFonts w:hint="eastAsia" w:ascii="仿宋" w:hAnsi="仿宋" w:eastAsia="仿宋" w:cs="仿宋"/>
                <w:sz w:val="24"/>
                <w:szCs w:val="24"/>
                <w:highlight w:val="none"/>
              </w:rPr>
              <w:t>分，满分1.5分</w:t>
            </w:r>
            <w:r>
              <w:rPr>
                <w:rFonts w:hint="eastAsia" w:ascii="仿宋" w:hAnsi="仿宋" w:eastAsia="仿宋" w:cs="仿宋"/>
                <w:sz w:val="24"/>
                <w:szCs w:val="24"/>
                <w:highlight w:val="none"/>
                <w:lang w:eastAsia="zh-CN"/>
              </w:rPr>
              <w:t>。</w:t>
            </w:r>
          </w:p>
        </w:tc>
      </w:tr>
      <w:bookmarkEnd w:id="2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sz w:val="24"/>
                <w:szCs w:val="24"/>
                <w:highlight w:val="none"/>
              </w:rPr>
              <w:t>业绩</w:t>
            </w:r>
          </w:p>
        </w:tc>
        <w:tc>
          <w:tcPr>
            <w:tcW w:w="750"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hint="eastAsia" w:eastAsia="华文仿宋"/>
                <w:highlight w:val="none"/>
                <w:lang w:eastAsia="zh-CN"/>
              </w:rPr>
            </w:pPr>
            <w:r>
              <w:rPr>
                <w:rFonts w:hint="eastAsia" w:ascii="仿宋" w:hAnsi="仿宋" w:eastAsia="仿宋" w:cs="仿宋"/>
                <w:sz w:val="24"/>
                <w:szCs w:val="24"/>
                <w:highlight w:val="none"/>
                <w:lang w:val="en-US" w:eastAsia="zh-CN"/>
              </w:rPr>
              <w:t>2</w:t>
            </w:r>
          </w:p>
        </w:tc>
        <w:tc>
          <w:tcPr>
            <w:tcW w:w="7188"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ascii="仿宋" w:hAnsi="仿宋" w:eastAsia="仿宋" w:cs="仿宋"/>
                <w:sz w:val="24"/>
                <w:szCs w:val="24"/>
                <w:highlight w:val="none"/>
              </w:rPr>
              <w:t>提供20</w:t>
            </w:r>
            <w:r>
              <w:rPr>
                <w:rFonts w:hint="eastAsia" w:ascii="仿宋" w:hAnsi="仿宋" w:eastAsia="仿宋" w:cs="仿宋"/>
                <w:sz w:val="24"/>
                <w:szCs w:val="24"/>
                <w:highlight w:val="none"/>
              </w:rPr>
              <w:t>2</w:t>
            </w:r>
            <w:r>
              <w:rPr>
                <w:rFonts w:ascii="仿宋" w:hAnsi="仿宋" w:eastAsia="仿宋" w:cs="仿宋"/>
                <w:sz w:val="24"/>
                <w:szCs w:val="24"/>
                <w:highlight w:val="none"/>
              </w:rPr>
              <w:t>2年1月1日以来</w:t>
            </w:r>
            <w:r>
              <w:rPr>
                <w:rFonts w:hint="eastAsia" w:ascii="仿宋" w:hAnsi="仿宋" w:eastAsia="仿宋" w:cs="仿宋"/>
                <w:sz w:val="24"/>
                <w:szCs w:val="24"/>
                <w:highlight w:val="none"/>
              </w:rPr>
              <w:t>类似</w:t>
            </w:r>
            <w:r>
              <w:rPr>
                <w:rFonts w:ascii="仿宋" w:hAnsi="仿宋" w:eastAsia="仿宋" w:cs="仿宋"/>
                <w:sz w:val="24"/>
                <w:szCs w:val="24"/>
                <w:highlight w:val="none"/>
              </w:rPr>
              <w:t>项目业绩</w:t>
            </w:r>
            <w:r>
              <w:rPr>
                <w:rFonts w:hint="eastAsia" w:ascii="仿宋" w:hAnsi="仿宋" w:eastAsia="仿宋" w:cs="仿宋"/>
                <w:sz w:val="24"/>
                <w:szCs w:val="24"/>
                <w:highlight w:val="none"/>
              </w:rPr>
              <w:t>（</w:t>
            </w:r>
            <w:r>
              <w:rPr>
                <w:rFonts w:ascii="仿宋" w:hAnsi="仿宋" w:eastAsia="仿宋" w:cs="仿宋"/>
                <w:sz w:val="24"/>
                <w:szCs w:val="24"/>
                <w:highlight w:val="none"/>
              </w:rPr>
              <w:t>以合同签订日期为准</w:t>
            </w:r>
            <w:r>
              <w:rPr>
                <w:rFonts w:hint="eastAsia" w:ascii="仿宋" w:hAnsi="仿宋" w:eastAsia="仿宋" w:cs="仿宋"/>
                <w:sz w:val="24"/>
                <w:szCs w:val="24"/>
                <w:highlight w:val="none"/>
              </w:rPr>
              <w:t>）</w:t>
            </w:r>
            <w:r>
              <w:rPr>
                <w:rFonts w:ascii="仿宋" w:hAnsi="仿宋" w:eastAsia="仿宋" w:cs="仿宋"/>
                <w:sz w:val="24"/>
                <w:szCs w:val="24"/>
                <w:highlight w:val="none"/>
              </w:rPr>
              <w:t>，每份合格业绩合同计</w:t>
            </w:r>
            <w:r>
              <w:rPr>
                <w:rFonts w:hint="eastAsia" w:ascii="仿宋" w:hAnsi="仿宋" w:eastAsia="仿宋" w:cs="仿宋"/>
                <w:sz w:val="24"/>
                <w:szCs w:val="24"/>
                <w:highlight w:val="none"/>
                <w:lang w:val="en-US" w:eastAsia="zh-CN"/>
              </w:rPr>
              <w:t>0.5</w:t>
            </w:r>
            <w:r>
              <w:rPr>
                <w:rFonts w:ascii="仿宋" w:hAnsi="仿宋" w:eastAsia="仿宋" w:cs="仿宋"/>
                <w:sz w:val="24"/>
                <w:szCs w:val="24"/>
                <w:highlight w:val="none"/>
              </w:rPr>
              <w:t>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w:t>
            </w:r>
          </w:p>
          <w:p>
            <w:pPr>
              <w:keepNext w:val="0"/>
              <w:pageBreakBefore w:val="0"/>
              <w:kinsoku/>
              <w:wordWrap/>
              <w:overflowPunct/>
              <w:topLinePunct w:val="0"/>
              <w:bidi w:val="0"/>
              <w:spacing w:line="400" w:lineRule="exact"/>
              <w:textAlignment w:val="auto"/>
              <w:rPr>
                <w:rFonts w:ascii="仿宋" w:hAnsi="仿宋" w:eastAsia="仿宋" w:cs="仿宋"/>
                <w:bCs/>
                <w:sz w:val="24"/>
                <w:szCs w:val="24"/>
                <w:highlight w:val="none"/>
              </w:rPr>
            </w:pPr>
            <w:r>
              <w:rPr>
                <w:rFonts w:hint="eastAsia" w:ascii="仿宋" w:hAnsi="仿宋" w:eastAsia="仿宋" w:cs="仿宋"/>
                <w:kern w:val="0"/>
                <w:sz w:val="24"/>
                <w:szCs w:val="24"/>
                <w:highlight w:val="none"/>
              </w:rPr>
              <w:t>备注：需提供业绩完整合同及对应货款发票复印件（任意一张），并加盖投标人公章，以上两种证明材料同时提供方可得分，否则不得分。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ascii="仿宋" w:hAnsi="仿宋" w:eastAsia="仿宋" w:cs="仿宋"/>
                <w:kern w:val="0"/>
                <w:sz w:val="24"/>
                <w:szCs w:val="24"/>
                <w:highlight w:val="none"/>
              </w:rPr>
            </w:pPr>
            <w:bookmarkStart w:id="287" w:name="OLE_LINK29"/>
            <w:r>
              <w:rPr>
                <w:rFonts w:hint="eastAsia" w:ascii="仿宋" w:hAnsi="仿宋" w:eastAsia="仿宋" w:cs="仿宋"/>
                <w:bCs/>
                <w:sz w:val="24"/>
                <w:szCs w:val="24"/>
                <w:highlight w:val="none"/>
              </w:rPr>
              <w:t>环保</w:t>
            </w:r>
            <w:r>
              <w:rPr>
                <w:rFonts w:hint="eastAsia" w:ascii="仿宋" w:hAnsi="仿宋" w:eastAsia="仿宋" w:cs="仿宋"/>
                <w:kern w:val="0"/>
                <w:sz w:val="24"/>
                <w:szCs w:val="24"/>
                <w:highlight w:val="none"/>
              </w:rPr>
              <w:t>产品</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val="en-US" w:eastAsia="zh-CN"/>
              </w:rPr>
              <w:t>1</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投标人所投产品为“环境标志产品政府采购品目清单”内的，需提供该产品经国家确定的认证机构出具的且处于有效期内的中国环境标志产品认证证书，</w:t>
            </w:r>
            <w:r>
              <w:rPr>
                <w:rFonts w:hint="eastAsia" w:ascii="仿宋" w:hAnsi="仿宋" w:eastAsia="仿宋" w:cs="仿宋"/>
                <w:kern w:val="0"/>
                <w:sz w:val="24"/>
                <w:szCs w:val="24"/>
                <w:highlight w:val="none"/>
                <w:lang w:val="en-US" w:eastAsia="zh-CN"/>
              </w:rPr>
              <w:t>每</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val="en-US" w:eastAsia="zh-CN"/>
              </w:rPr>
              <w:t>一个</w:t>
            </w:r>
            <w:r>
              <w:rPr>
                <w:rFonts w:hint="eastAsia" w:ascii="仿宋" w:hAnsi="仿宋" w:eastAsia="仿宋" w:cs="仿宋"/>
                <w:kern w:val="0"/>
                <w:sz w:val="24"/>
                <w:szCs w:val="24"/>
                <w:highlight w:val="none"/>
              </w:rPr>
              <w:t>产品的认证证书得</w:t>
            </w:r>
            <w:r>
              <w:rPr>
                <w:rFonts w:hint="eastAsia" w:ascii="仿宋" w:hAnsi="仿宋" w:eastAsia="仿宋" w:cs="仿宋"/>
                <w:kern w:val="0"/>
                <w:sz w:val="24"/>
                <w:szCs w:val="24"/>
                <w:highlight w:val="none"/>
                <w:lang w:val="en-US" w:eastAsia="zh-CN"/>
              </w:rPr>
              <w:t>0.25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备注：以加盖投标人公章的证明材料为计分依据。</w:t>
            </w:r>
          </w:p>
        </w:tc>
      </w:tr>
      <w:bookmarkEnd w:id="28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autoSpaceDE w:val="0"/>
              <w:autoSpaceDN w:val="0"/>
              <w:bidi w:val="0"/>
              <w:adjustRightInd w:val="0"/>
              <w:spacing w:line="360" w:lineRule="exact"/>
              <w:jc w:val="center"/>
              <w:textAlignment w:val="auto"/>
              <w:rPr>
                <w:rFonts w:ascii="仿宋" w:hAnsi="仿宋" w:eastAsia="仿宋" w:cs="仿宋"/>
                <w:color w:val="000000"/>
                <w:sz w:val="24"/>
                <w:szCs w:val="24"/>
                <w:highlight w:val="none"/>
              </w:rPr>
            </w:pPr>
            <w:r>
              <w:rPr>
                <w:rFonts w:hint="eastAsia" w:ascii="仿宋" w:hAnsi="仿宋" w:eastAsia="仿宋" w:cs="仿宋"/>
                <w:sz w:val="24"/>
                <w:szCs w:val="24"/>
                <w:highlight w:val="none"/>
              </w:rPr>
              <w:t>说明</w:t>
            </w:r>
          </w:p>
        </w:tc>
        <w:tc>
          <w:tcPr>
            <w:tcW w:w="7938" w:type="dxa"/>
            <w:gridSpan w:val="2"/>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left"/>
              <w:textAlignment w:val="auto"/>
              <w:rPr>
                <w:highlight w:val="none"/>
              </w:rPr>
            </w:pPr>
            <w:r>
              <w:rPr>
                <w:rFonts w:hint="eastAsia" w:ascii="仿宋" w:hAnsi="仿宋" w:eastAsia="仿宋" w:cs="仿宋"/>
                <w:color w:val="000000"/>
                <w:sz w:val="24"/>
                <w:szCs w:val="24"/>
                <w:highlight w:val="none"/>
              </w:rPr>
              <w:t>评标委员会成员须按照本评审要素据实打分。</w:t>
            </w:r>
          </w:p>
        </w:tc>
      </w:tr>
    </w:tbl>
    <w:p>
      <w:pPr>
        <w:pStyle w:val="10"/>
        <w:rPr>
          <w:highlight w:val="none"/>
        </w:rPr>
      </w:pPr>
    </w:p>
    <w:p>
      <w:pPr>
        <w:spacing w:before="0" w:after="0" w:line="240" w:lineRule="auto"/>
        <w:jc w:val="left"/>
        <w:rPr>
          <w:rFonts w:hint="eastAsia" w:ascii="华文仿宋" w:hAnsi="华文仿宋" w:cs="华文仿宋"/>
          <w:b/>
          <w:bCs/>
          <w:highlight w:val="none"/>
        </w:rPr>
      </w:pPr>
      <w:bookmarkStart w:id="288" w:name="_Toc495014585"/>
      <w:bookmarkStart w:id="289" w:name="_Toc495012821"/>
      <w:bookmarkStart w:id="290" w:name="_Toc495012771"/>
      <w:bookmarkStart w:id="291" w:name="_Toc424636365"/>
      <w:bookmarkStart w:id="292" w:name="_Toc21068"/>
      <w:bookmarkStart w:id="293" w:name="_Toc495014649"/>
      <w:bookmarkStart w:id="294" w:name="_Toc495014611"/>
      <w:bookmarkStart w:id="295" w:name="_Toc495014920"/>
      <w:bookmarkStart w:id="296" w:name="_Toc445306493"/>
      <w:bookmarkStart w:id="297" w:name="_Toc495014954"/>
      <w:bookmarkStart w:id="298" w:name="_Toc27328"/>
      <w:bookmarkStart w:id="299" w:name="_Toc32235"/>
      <w:r>
        <w:rPr>
          <w:rFonts w:hint="eastAsia" w:ascii="华文仿宋" w:hAnsi="华文仿宋" w:cs="华文仿宋"/>
          <w:b/>
          <w:bCs/>
          <w:highlight w:val="none"/>
        </w:rPr>
        <w:br w:type="page"/>
      </w:r>
    </w:p>
    <w:p>
      <w:pPr>
        <w:spacing w:before="40" w:after="40" w:line="500" w:lineRule="exact"/>
        <w:jc w:val="center"/>
        <w:rPr>
          <w:rFonts w:hint="eastAsia" w:ascii="华文仿宋" w:hAnsi="华文仿宋" w:eastAsia="华文仿宋" w:cs="华文仿宋"/>
          <w:b/>
          <w:bCs/>
          <w:highlight w:val="none"/>
          <w:lang w:eastAsia="zh-CN"/>
        </w:rPr>
      </w:pPr>
      <w:r>
        <w:rPr>
          <w:rFonts w:hint="eastAsia" w:ascii="华文仿宋" w:hAnsi="华文仿宋" w:cs="华文仿宋"/>
          <w:b/>
          <w:bCs/>
          <w:highlight w:val="none"/>
        </w:rPr>
        <w:t>评审要素及分值一览表</w:t>
      </w:r>
      <w:r>
        <w:rPr>
          <w:rFonts w:hint="eastAsia" w:ascii="华文仿宋" w:hAnsi="华文仿宋" w:cs="华文仿宋"/>
          <w:b/>
          <w:bCs/>
          <w:highlight w:val="none"/>
          <w:lang w:eastAsia="zh-CN"/>
        </w:rPr>
        <w:t>（</w:t>
      </w:r>
      <w:r>
        <w:rPr>
          <w:rFonts w:hint="eastAsia" w:ascii="华文仿宋" w:hAnsi="华文仿宋" w:cs="华文仿宋"/>
          <w:b/>
          <w:bCs/>
          <w:highlight w:val="none"/>
          <w:lang w:val="en-US" w:eastAsia="zh-CN"/>
        </w:rPr>
        <w:t>第二标段适用</w:t>
      </w:r>
      <w:r>
        <w:rPr>
          <w:rFonts w:hint="eastAsia" w:ascii="华文仿宋" w:hAnsi="华文仿宋" w:cs="华文仿宋"/>
          <w:b/>
          <w:bCs/>
          <w:highlight w:val="none"/>
          <w:lang w:eastAsia="zh-CN"/>
        </w:rPr>
        <w:t>）</w:t>
      </w:r>
    </w:p>
    <w:tbl>
      <w:tblPr>
        <w:tblStyle w:val="19"/>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7188" w:type="dxa"/>
            <w:tcBorders>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ind w:firstLine="486" w:firstLineChars="200"/>
              <w:jc w:val="center"/>
              <w:textAlignment w:val="auto"/>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投标价格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50</w:t>
            </w:r>
          </w:p>
        </w:tc>
        <w:tc>
          <w:tcPr>
            <w:tcW w:w="7188"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有效投标人的最低报价为评标基准价得</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分，其他各投标人的报价得分按下列公式计算：（评标基准价/投标报价）×</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bookmarkStart w:id="300" w:name="OLE_LINK30" w:colFirst="2" w:colLast="2"/>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参数响应</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w:t>
            </w:r>
          </w:p>
        </w:tc>
        <w:tc>
          <w:tcPr>
            <w:tcW w:w="7188" w:type="dxa"/>
            <w:tcBorders>
              <w:top w:val="single" w:color="auto" w:sz="4" w:space="0"/>
              <w:left w:val="single" w:color="auto" w:sz="4" w:space="0"/>
              <w:bottom w:val="single" w:color="auto" w:sz="4" w:space="0"/>
              <w:right w:val="single" w:color="auto" w:sz="4" w:space="0"/>
            </w:tcBorders>
            <w:noWrap w:val="0"/>
            <w:vAlign w:val="top"/>
          </w:tcPr>
          <w:p>
            <w:pPr>
              <w:rPr>
                <w:highlight w:val="none"/>
              </w:rPr>
            </w:pPr>
            <w:r>
              <w:rPr>
                <w:rFonts w:hint="eastAsia" w:ascii="仿宋" w:hAnsi="仿宋" w:eastAsia="仿宋" w:cs="仿宋"/>
                <w:color w:val="000000"/>
                <w:sz w:val="24"/>
                <w:highlight w:val="none"/>
                <w:lang w:eastAsia="zh-CN"/>
              </w:rPr>
              <w:t>所投产品技术参数清楚、明确并能逐条响应招标文件第四章“技术参数表”中所有</w:t>
            </w:r>
            <w:r>
              <w:rPr>
                <w:rFonts w:hint="eastAsia" w:ascii="仿宋" w:hAnsi="仿宋" w:eastAsia="仿宋" w:cs="仿宋"/>
                <w:color w:val="000000"/>
                <w:sz w:val="24"/>
                <w:szCs w:val="24"/>
                <w:highlight w:val="none"/>
                <w:lang w:eastAsia="zh-CN"/>
              </w:rPr>
              <w:t>▲项（</w:t>
            </w:r>
            <w:r>
              <w:rPr>
                <w:rFonts w:hint="eastAsia" w:ascii="仿宋" w:hAnsi="仿宋" w:eastAsia="仿宋" w:cs="仿宋"/>
                <w:color w:val="000000"/>
                <w:sz w:val="24"/>
                <w:szCs w:val="24"/>
                <w:highlight w:val="none"/>
                <w:lang w:val="en-US" w:eastAsia="zh-CN"/>
              </w:rPr>
              <w:t>23</w:t>
            </w:r>
            <w:r>
              <w:rPr>
                <w:rFonts w:hint="eastAsia" w:ascii="仿宋" w:hAnsi="仿宋" w:eastAsia="仿宋" w:cs="仿宋"/>
                <w:color w:val="000000"/>
                <w:sz w:val="24"/>
                <w:szCs w:val="24"/>
                <w:highlight w:val="none"/>
                <w:lang w:eastAsia="zh-CN"/>
              </w:rPr>
              <w:t>项）</w:t>
            </w:r>
            <w:r>
              <w:rPr>
                <w:rFonts w:hint="eastAsia" w:ascii="仿宋" w:hAnsi="仿宋" w:eastAsia="仿宋" w:cs="仿宋"/>
                <w:bCs/>
                <w:sz w:val="24"/>
                <w:szCs w:val="24"/>
                <w:highlight w:val="none"/>
                <w:lang w:eastAsia="zh-CN"/>
              </w:rPr>
              <w:t>参数</w:t>
            </w:r>
            <w:r>
              <w:rPr>
                <w:rFonts w:hint="eastAsia" w:ascii="仿宋" w:hAnsi="仿宋" w:eastAsia="仿宋" w:cs="仿宋"/>
                <w:color w:val="000000"/>
                <w:sz w:val="24"/>
                <w:highlight w:val="none"/>
                <w:lang w:eastAsia="zh-CN"/>
              </w:rPr>
              <w:t>要求，得</w:t>
            </w:r>
            <w:r>
              <w:rPr>
                <w:rFonts w:hint="eastAsia" w:ascii="仿宋" w:hAnsi="仿宋" w:eastAsia="仿宋" w:cs="仿宋"/>
                <w:color w:val="000000"/>
                <w:sz w:val="24"/>
                <w:highlight w:val="none"/>
                <w:lang w:val="en-US" w:eastAsia="zh-CN"/>
              </w:rPr>
              <w:t>23</w:t>
            </w:r>
            <w:r>
              <w:rPr>
                <w:rFonts w:hint="eastAsia" w:ascii="仿宋" w:hAnsi="仿宋" w:eastAsia="仿宋" w:cs="仿宋"/>
                <w:color w:val="000000"/>
                <w:sz w:val="24"/>
                <w:highlight w:val="none"/>
                <w:lang w:eastAsia="zh-CN"/>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eastAsia="zh-CN" w:bidi="ar"/>
              </w:rPr>
              <w:t>每项负偏离扣</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分，扣完为止。</w:t>
            </w:r>
          </w:p>
          <w:p>
            <w:pPr>
              <w:pStyle w:val="25"/>
              <w:keepNext w:val="0"/>
              <w:pageBreakBefore w:val="0"/>
              <w:widowControl/>
              <w:numPr>
                <w:ilvl w:val="0"/>
                <w:numId w:val="0"/>
              </w:numPr>
              <w:kinsoku/>
              <w:wordWrap/>
              <w:overflowPunct/>
              <w:topLinePunct w:val="0"/>
              <w:autoSpaceDE/>
              <w:autoSpaceDN/>
              <w:bidi w:val="0"/>
              <w:spacing w:line="420" w:lineRule="exact"/>
              <w:jc w:val="both"/>
              <w:textAlignment w:val="auto"/>
              <w:rPr>
                <w:rFonts w:hint="default" w:ascii="仿宋" w:hAnsi="仿宋" w:eastAsia="仿宋" w:cs="仿宋"/>
                <w:szCs w:val="24"/>
                <w:highlight w:val="none"/>
                <w:lang w:val="en-US" w:eastAsia="zh-CN"/>
              </w:rPr>
            </w:pPr>
            <w:r>
              <w:rPr>
                <w:rFonts w:hint="eastAsia" w:ascii="仿宋" w:hAnsi="仿宋" w:eastAsia="仿宋" w:cs="仿宋"/>
                <w:b/>
                <w:bCs/>
                <w:kern w:val="0"/>
                <w:sz w:val="24"/>
                <w:szCs w:val="24"/>
                <w:highlight w:val="none"/>
              </w:rPr>
              <w:t>备注：所有</w:t>
            </w:r>
            <w:r>
              <w:rPr>
                <w:rFonts w:hint="eastAsia" w:ascii="仿宋" w:hAnsi="仿宋" w:eastAsia="仿宋" w:cs="仿宋"/>
                <w:b/>
                <w:bCs/>
                <w:kern w:val="0"/>
                <w:sz w:val="24"/>
                <w:szCs w:val="24"/>
                <w:highlight w:val="none"/>
                <w:lang w:eastAsia="zh-CN"/>
              </w:rPr>
              <w:t>▲项</w:t>
            </w:r>
            <w:r>
              <w:rPr>
                <w:rFonts w:hint="eastAsia" w:ascii="仿宋" w:hAnsi="仿宋" w:eastAsia="仿宋" w:cs="仿宋"/>
                <w:b/>
                <w:bCs/>
                <w:kern w:val="0"/>
                <w:sz w:val="24"/>
                <w:szCs w:val="24"/>
                <w:highlight w:val="none"/>
                <w:lang w:val="en-US" w:eastAsia="zh-CN"/>
              </w:rPr>
              <w:t>需提供</w:t>
            </w:r>
            <w:r>
              <w:rPr>
                <w:rFonts w:hint="eastAsia" w:ascii="仿宋" w:hAnsi="仿宋" w:eastAsia="仿宋" w:cs="仿宋"/>
                <w:b/>
                <w:bCs/>
                <w:kern w:val="0"/>
                <w:sz w:val="24"/>
                <w:szCs w:val="24"/>
                <w:highlight w:val="none"/>
              </w:rPr>
              <w:t>佐证材料，佐证材料例如：国家认可的检测机构出具的检测报告、制造商检验报告、产品彩页、官网功能截图任意一种，不提供或缺漏项不得分。</w:t>
            </w:r>
          </w:p>
        </w:tc>
      </w:tr>
      <w:bookmarkEnd w:id="3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autoSpaceDE/>
              <w:autoSpaceDN/>
              <w:adjustRightInd w:val="0"/>
              <w:spacing w:afterLines="0" w:line="380" w:lineRule="exact"/>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sz w:val="24"/>
                <w:szCs w:val="24"/>
                <w:highlight w:val="none"/>
              </w:rPr>
              <w:t>未标参数响应</w:t>
            </w:r>
          </w:p>
        </w:tc>
        <w:tc>
          <w:tcPr>
            <w:tcW w:w="750" w:type="dxa"/>
            <w:tcBorders>
              <w:left w:val="single" w:color="auto" w:sz="4" w:space="0"/>
              <w:right w:val="single" w:color="auto" w:sz="4" w:space="0"/>
            </w:tcBorders>
            <w:noWrap w:val="0"/>
            <w:vAlign w:val="center"/>
          </w:tcPr>
          <w:p>
            <w:pPr>
              <w:autoSpaceDE/>
              <w:autoSpaceDN/>
              <w:adjustRightInd w:val="0"/>
              <w:spacing w:afterLines="0" w:line="380" w:lineRule="exact"/>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1.5</w:t>
            </w:r>
          </w:p>
        </w:tc>
        <w:tc>
          <w:tcPr>
            <w:tcW w:w="7188" w:type="dxa"/>
            <w:tcBorders>
              <w:left w:val="single" w:color="auto" w:sz="4" w:space="0"/>
              <w:right w:val="single" w:color="auto" w:sz="4" w:space="0"/>
            </w:tcBorders>
            <w:noWrap w:val="0"/>
            <w:vAlign w:val="center"/>
          </w:tcPr>
          <w:p>
            <w:pPr>
              <w:pStyle w:val="25"/>
              <w:autoSpaceDE/>
              <w:autoSpaceDN/>
              <w:spacing w:afterLines="0" w:line="380" w:lineRule="exact"/>
              <w:jc w:val="both"/>
              <w:rPr>
                <w:rFonts w:hint="eastAsia" w:ascii="仿宋" w:hAnsi="仿宋" w:eastAsia="仿宋" w:cs="仿宋"/>
                <w:kern w:val="0"/>
                <w:sz w:val="24"/>
                <w:szCs w:val="24"/>
                <w:highlight w:val="none"/>
                <w:lang w:val="en-US" w:eastAsia="en-US" w:bidi="ar-SA"/>
              </w:rPr>
            </w:pPr>
            <w:r>
              <w:rPr>
                <w:rFonts w:hint="eastAsia" w:ascii="仿宋" w:hAnsi="仿宋" w:eastAsia="仿宋" w:cs="仿宋"/>
                <w:kern w:val="2"/>
                <w:sz w:val="24"/>
                <w:szCs w:val="24"/>
                <w:highlight w:val="none"/>
                <w:lang w:eastAsia="zh-CN"/>
              </w:rPr>
              <w:t>投标人承诺：其他未标注项参数全部满足招标文件要求，</w:t>
            </w:r>
            <w:r>
              <w:rPr>
                <w:rFonts w:hint="eastAsia" w:ascii="仿宋" w:hAnsi="仿宋" w:eastAsia="仿宋" w:cs="仿宋"/>
                <w:b/>
                <w:bCs/>
                <w:kern w:val="2"/>
                <w:sz w:val="24"/>
                <w:szCs w:val="24"/>
                <w:highlight w:val="none"/>
                <w:lang w:val="en-US" w:eastAsia="zh-CN"/>
              </w:rPr>
              <w:t>并在中标验收时能提供承诺参数的佐证材料</w:t>
            </w:r>
            <w:r>
              <w:rPr>
                <w:rFonts w:hint="eastAsia" w:ascii="仿宋" w:hAnsi="仿宋" w:eastAsia="仿宋" w:cs="仿宋"/>
                <w:kern w:val="2"/>
                <w:sz w:val="24"/>
                <w:szCs w:val="24"/>
                <w:highlight w:val="none"/>
                <w:lang w:eastAsia="zh-CN"/>
              </w:rPr>
              <w:t>(需提供承诺函，格式自拟)，得</w:t>
            </w:r>
            <w:r>
              <w:rPr>
                <w:rFonts w:hint="eastAsia" w:ascii="仿宋" w:hAnsi="仿宋" w:eastAsia="仿宋" w:cs="仿宋"/>
                <w:kern w:val="2"/>
                <w:sz w:val="24"/>
                <w:szCs w:val="24"/>
                <w:highlight w:val="none"/>
                <w:lang w:val="en-US" w:eastAsia="zh-CN"/>
              </w:rPr>
              <w:t>1.5</w:t>
            </w:r>
            <w:r>
              <w:rPr>
                <w:rFonts w:hint="eastAsia" w:ascii="仿宋" w:hAnsi="仿宋" w:eastAsia="仿宋" w:cs="仿宋"/>
                <w:kern w:val="2"/>
                <w:sz w:val="24"/>
                <w:szCs w:val="24"/>
                <w:highlight w:val="none"/>
                <w:lang w:eastAsia="zh-CN"/>
              </w:rPr>
              <w:t>分。无承诺不得分。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kern w:val="0"/>
                <w:sz w:val="24"/>
                <w:szCs w:val="24"/>
                <w:highlight w:val="none"/>
              </w:rPr>
              <w:t>实施方案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hint="eastAsia" w:eastAsia="仿宋"/>
                <w:highlight w:val="none"/>
                <w:lang w:val="en-US" w:eastAsia="zh-CN"/>
              </w:rPr>
            </w:pPr>
            <w:r>
              <w:rPr>
                <w:rFonts w:hint="eastAsia" w:ascii="仿宋" w:hAnsi="仿宋" w:eastAsia="仿宋" w:cs="仿宋"/>
                <w:bCs/>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根据</w:t>
            </w:r>
            <w:r>
              <w:rPr>
                <w:rFonts w:hint="eastAsia" w:ascii="仿宋" w:hAnsi="仿宋" w:eastAsia="仿宋" w:cs="仿宋"/>
                <w:kern w:val="0"/>
                <w:sz w:val="24"/>
                <w:szCs w:val="24"/>
                <w:highlight w:val="none"/>
                <w:lang w:eastAsia="zh-CN"/>
              </w:rPr>
              <w:t>标段</w:t>
            </w:r>
            <w:r>
              <w:rPr>
                <w:rFonts w:hint="eastAsia" w:ascii="仿宋" w:hAnsi="仿宋" w:eastAsia="仿宋" w:cs="仿宋"/>
                <w:kern w:val="0"/>
                <w:sz w:val="24"/>
                <w:szCs w:val="24"/>
                <w:highlight w:val="none"/>
              </w:rPr>
              <w:t>实际需求，提供完整详细的</w:t>
            </w:r>
            <w:r>
              <w:rPr>
                <w:rFonts w:hint="eastAsia" w:ascii="仿宋" w:hAnsi="仿宋" w:eastAsia="仿宋" w:cs="仿宋"/>
                <w:kern w:val="0"/>
                <w:sz w:val="24"/>
                <w:szCs w:val="24"/>
                <w:highlight w:val="none"/>
                <w:lang w:eastAsia="zh-CN"/>
              </w:rPr>
              <w:t>标段</w:t>
            </w:r>
            <w:r>
              <w:rPr>
                <w:rFonts w:hint="eastAsia" w:ascii="仿宋" w:hAnsi="仿宋" w:eastAsia="仿宋" w:cs="仿宋"/>
                <w:kern w:val="0"/>
                <w:sz w:val="24"/>
                <w:szCs w:val="24"/>
                <w:highlight w:val="none"/>
              </w:rPr>
              <w:t>实施方案。内容包含</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w:t>
            </w:r>
            <w:r>
              <w:rPr>
                <w:rFonts w:hint="eastAsia" w:ascii="仿宋" w:hAnsi="仿宋" w:eastAsia="仿宋" w:cs="仿宋"/>
                <w:kern w:val="0"/>
                <w:sz w:val="24"/>
                <w:szCs w:val="24"/>
                <w:highlight w:val="none"/>
                <w:lang w:eastAsia="zh-CN"/>
              </w:rPr>
              <w:t>标段</w:t>
            </w:r>
            <w:r>
              <w:rPr>
                <w:rFonts w:hint="eastAsia" w:ascii="仿宋" w:hAnsi="仿宋" w:eastAsia="仿宋" w:cs="仿宋"/>
                <w:kern w:val="0"/>
                <w:sz w:val="24"/>
                <w:szCs w:val="24"/>
                <w:highlight w:val="none"/>
              </w:rPr>
              <w:t>实际情况，实施步骤清晰、合理；</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bCs/>
                <w:sz w:val="24"/>
                <w:szCs w:val="24"/>
                <w:highlight w:val="none"/>
                <w:lang w:eastAsia="zh-CN"/>
              </w:rPr>
              <w:t>标段</w:t>
            </w:r>
            <w:r>
              <w:rPr>
                <w:rFonts w:hint="eastAsia" w:ascii="仿宋" w:hAnsi="仿宋" w:eastAsia="仿宋" w:cs="仿宋"/>
                <w:bCs/>
                <w:sz w:val="24"/>
                <w:szCs w:val="24"/>
                <w:highlight w:val="none"/>
              </w:rPr>
              <w:t>实际情况，内容科学合理。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3</w:t>
            </w:r>
            <w:r>
              <w:rPr>
                <w:rFonts w:hint="eastAsia" w:ascii="仿宋" w:hAnsi="仿宋" w:eastAsia="仿宋" w:cs="仿宋"/>
                <w:b/>
                <w:bCs/>
                <w:kern w:val="0"/>
                <w:sz w:val="24"/>
                <w:szCs w:val="24"/>
                <w:highlight w:val="none"/>
              </w:rPr>
              <w:t>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安装验收方案：每完全满足一个评审标准得</w:t>
            </w:r>
            <w:r>
              <w:rPr>
                <w:rFonts w:hint="eastAsia" w:ascii="仿宋" w:hAnsi="仿宋" w:eastAsia="仿宋" w:cs="仿宋"/>
                <w:kern w:val="0"/>
                <w:sz w:val="24"/>
                <w:szCs w:val="24"/>
                <w:highlight w:val="none"/>
                <w:lang w:val="en-US" w:eastAsia="zh-CN"/>
              </w:rPr>
              <w:t>0.5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分；</w:t>
            </w:r>
          </w:p>
          <w:p>
            <w:pPr>
              <w:adjustRightInd w:val="0"/>
              <w:rPr>
                <w:rFonts w:ascii="仿宋" w:hAnsi="仿宋" w:eastAsia="仿宋" w:cs="仿宋"/>
                <w:highlight w:val="none"/>
              </w:rPr>
            </w:pPr>
            <w:r>
              <w:rPr>
                <w:rFonts w:hint="eastAsia" w:ascii="仿宋" w:hAnsi="仿宋" w:eastAsia="仿宋" w:cs="仿宋"/>
                <w:kern w:val="0"/>
                <w:sz w:val="24"/>
                <w:szCs w:val="24"/>
                <w:highlight w:val="none"/>
              </w:rPr>
              <w:t>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应急预案:每完全满足一个评审标准得</w:t>
            </w:r>
            <w:r>
              <w:rPr>
                <w:rFonts w:hint="eastAsia" w:ascii="仿宋" w:hAnsi="仿宋" w:eastAsia="仿宋" w:cs="仿宋"/>
                <w:kern w:val="0"/>
                <w:sz w:val="24"/>
                <w:szCs w:val="24"/>
                <w:highlight w:val="none"/>
                <w:lang w:val="en-US" w:eastAsia="zh-CN"/>
              </w:rPr>
              <w:t>0.5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36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质量保证方案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keepLines w:val="0"/>
              <w:pageBreakBefore w:val="0"/>
              <w:widowControl/>
              <w:numPr>
                <w:ilvl w:val="-1"/>
                <w:numId w:val="0"/>
              </w:numPr>
              <w:kinsoku/>
              <w:wordWrap/>
              <w:overflowPunct/>
              <w:topLinePunct w:val="0"/>
              <w:autoSpaceDE/>
              <w:autoSpaceDN/>
              <w:bidi w:val="0"/>
              <w:adjustRightInd/>
              <w:snapToGrid/>
              <w:spacing w:afterLines="-2147483648" w:line="240" w:lineRule="auto"/>
              <w:ind w:left="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评审内容</w:t>
            </w:r>
          </w:p>
          <w:p>
            <w:pPr>
              <w:adjustRightInd/>
              <w:spacing w:afterLines="-2147483648" w:line="240" w:lineRule="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实际需要，提供质量保证方案。方案内容包含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①产品</w:t>
            </w:r>
            <w:r>
              <w:rPr>
                <w:rFonts w:hint="eastAsia" w:ascii="仿宋" w:hAnsi="仿宋" w:eastAsia="仿宋" w:cs="仿宋"/>
                <w:color w:val="auto"/>
                <w:kern w:val="0"/>
                <w:sz w:val="24"/>
                <w:szCs w:val="24"/>
                <w:highlight w:val="none"/>
                <w:lang w:val="en-US" w:eastAsia="zh-CN"/>
              </w:rPr>
              <w:t>性能保障</w:t>
            </w:r>
            <w:r>
              <w:rPr>
                <w:rFonts w:hint="eastAsia" w:ascii="仿宋" w:hAnsi="仿宋" w:eastAsia="仿宋" w:cs="仿宋"/>
                <w:color w:val="auto"/>
                <w:kern w:val="0"/>
                <w:sz w:val="24"/>
                <w:szCs w:val="24"/>
                <w:highlight w:val="none"/>
              </w:rPr>
              <w:t>②质量管理体系</w:t>
            </w:r>
            <w:r>
              <w:rPr>
                <w:rFonts w:hint="eastAsia" w:ascii="仿宋" w:hAnsi="仿宋" w:eastAsia="仿宋" w:cs="仿宋"/>
                <w:color w:val="auto"/>
                <w:kern w:val="0"/>
                <w:sz w:val="24"/>
                <w:szCs w:val="24"/>
                <w:highlight w:val="none"/>
                <w:lang w:val="en-US" w:eastAsia="zh-CN"/>
              </w:rPr>
              <w:t>及</w:t>
            </w:r>
            <w:r>
              <w:rPr>
                <w:rFonts w:hint="eastAsia" w:ascii="仿宋" w:hAnsi="仿宋" w:eastAsia="仿宋" w:cs="仿宋"/>
                <w:color w:val="auto"/>
                <w:kern w:val="0"/>
                <w:sz w:val="24"/>
                <w:szCs w:val="24"/>
                <w:highlight w:val="none"/>
              </w:rPr>
              <w:t>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p>
          <w:p>
            <w:pPr>
              <w:keepNext w:val="0"/>
              <w:keepLines w:val="0"/>
              <w:pageBreakBefore w:val="0"/>
              <w:widowControl/>
              <w:numPr>
                <w:ilvl w:val="-1"/>
                <w:numId w:val="0"/>
              </w:numPr>
              <w:kinsoku/>
              <w:wordWrap/>
              <w:overflowPunct/>
              <w:topLinePunct w:val="0"/>
              <w:autoSpaceDE/>
              <w:autoSpaceDN/>
              <w:bidi w:val="0"/>
              <w:adjustRightInd/>
              <w:snapToGrid/>
              <w:spacing w:afterLines="-2147483648" w:line="240" w:lineRule="auto"/>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二、评审标准</w:t>
            </w:r>
          </w:p>
          <w:p>
            <w:pPr>
              <w:keepNext w:val="0"/>
              <w:keepLines w:val="0"/>
              <w:pageBreakBefore w:val="0"/>
              <w:widowControl/>
              <w:kinsoku/>
              <w:wordWrap/>
              <w:overflowPunct/>
              <w:topLinePunct w:val="0"/>
              <w:bidi w:val="0"/>
              <w:snapToGrid/>
              <w:spacing w:afterLines="-2147483648" w:line="240" w:lineRule="auto"/>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1、完整性：方案必须全面，对评审内容中的各项要求有详细描述；</w:t>
            </w:r>
          </w:p>
          <w:p>
            <w:pPr>
              <w:keepNext w:val="0"/>
              <w:keepLines w:val="0"/>
              <w:pageBreakBefore w:val="0"/>
              <w:widowControl/>
              <w:kinsoku/>
              <w:wordWrap/>
              <w:overflowPunct/>
              <w:topLinePunct w:val="0"/>
              <w:bidi w:val="0"/>
              <w:snapToGrid/>
              <w:spacing w:afterLines="-2147483648" w:line="240" w:lineRule="auto"/>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实际情况，提出步骤清晰、合理的方案；</w:t>
            </w:r>
          </w:p>
          <w:p>
            <w:pPr>
              <w:keepNext w:val="0"/>
              <w:keepLines w:val="0"/>
              <w:pageBreakBefore w:val="0"/>
              <w:widowControl/>
              <w:kinsoku/>
              <w:wordWrap/>
              <w:overflowPunct/>
              <w:topLinePunct w:val="0"/>
              <w:bidi w:val="0"/>
              <w:snapToGrid/>
              <w:spacing w:afterLines="-2147483648" w:line="240" w:lineRule="auto"/>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实际情况，内容科学合理。</w:t>
            </w:r>
          </w:p>
          <w:p>
            <w:pPr>
              <w:keepNext w:val="0"/>
              <w:keepLines w:val="0"/>
              <w:pageBreakBefore w:val="0"/>
              <w:widowControl/>
              <w:kinsoku/>
              <w:wordWrap/>
              <w:overflowPunct/>
              <w:topLinePunct w:val="0"/>
              <w:bidi w:val="0"/>
              <w:snapToGrid/>
              <w:spacing w:afterLines="-2147483648" w:line="240" w:lineRule="auto"/>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三、赋分标准（满分</w:t>
            </w:r>
            <w:r>
              <w:rPr>
                <w:rFonts w:hint="eastAsia" w:ascii="仿宋" w:hAnsi="仿宋" w:eastAsia="仿宋" w:cs="仿宋"/>
                <w:b/>
                <w:bCs/>
                <w:color w:val="auto"/>
                <w:kern w:val="0"/>
                <w:sz w:val="24"/>
                <w:szCs w:val="24"/>
                <w:highlight w:val="none"/>
                <w:lang w:val="en-US" w:eastAsia="zh-CN" w:bidi="ar"/>
              </w:rPr>
              <w:t>3</w:t>
            </w:r>
            <w:r>
              <w:rPr>
                <w:rFonts w:hint="eastAsia" w:ascii="仿宋" w:hAnsi="仿宋" w:eastAsia="仿宋" w:cs="仿宋"/>
                <w:b/>
                <w:bCs/>
                <w:color w:val="auto"/>
                <w:kern w:val="0"/>
                <w:sz w:val="24"/>
                <w:szCs w:val="24"/>
                <w:highlight w:val="none"/>
                <w:lang w:bidi="ar"/>
              </w:rPr>
              <w:t>分）</w:t>
            </w:r>
          </w:p>
          <w:p>
            <w:pPr>
              <w:keepNext w:val="0"/>
              <w:keepLines w:val="0"/>
              <w:pageBreakBefore w:val="0"/>
              <w:widowControl/>
              <w:kinsoku/>
              <w:wordWrap/>
              <w:overflowPunct/>
              <w:topLinePunct w:val="0"/>
              <w:bidi w:val="0"/>
              <w:snapToGrid/>
              <w:spacing w:afterLines="-2147483648" w:line="240" w:lineRule="auto"/>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kern w:val="0"/>
                <w:sz w:val="24"/>
                <w:szCs w:val="24"/>
                <w:highlight w:val="none"/>
              </w:rPr>
              <w:t>产品</w:t>
            </w:r>
            <w:r>
              <w:rPr>
                <w:rFonts w:hint="eastAsia" w:ascii="仿宋" w:hAnsi="仿宋" w:eastAsia="仿宋" w:cs="仿宋"/>
                <w:color w:val="auto"/>
                <w:kern w:val="0"/>
                <w:sz w:val="24"/>
                <w:szCs w:val="24"/>
                <w:highlight w:val="none"/>
                <w:lang w:val="en-US" w:eastAsia="zh-CN"/>
              </w:rPr>
              <w:t>性能保障</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pPr>
              <w:keepNext w:val="0"/>
              <w:keepLines w:val="0"/>
              <w:pageBreakBefore w:val="0"/>
              <w:widowControl/>
              <w:kinsoku/>
              <w:wordWrap/>
              <w:overflowPunct/>
              <w:topLinePunct w:val="0"/>
              <w:bidi w:val="0"/>
              <w:snapToGrid/>
              <w:spacing w:afterLines="-2147483648" w:line="240" w:lineRule="auto"/>
              <w:ind w:left="0" w:leftChars="0"/>
              <w:textAlignment w:val="auto"/>
              <w:rPr>
                <w:rFonts w:hint="eastAsia" w:ascii="仿宋" w:hAnsi="仿宋" w:eastAsia="仿宋" w:cs="仿宋"/>
                <w:color w:val="auto"/>
                <w:kern w:val="0"/>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kern w:val="0"/>
                <w:sz w:val="24"/>
                <w:szCs w:val="24"/>
                <w:highlight w:val="none"/>
              </w:rPr>
              <w:t>质量管理体系</w:t>
            </w:r>
            <w:r>
              <w:rPr>
                <w:rFonts w:hint="eastAsia" w:ascii="仿宋" w:hAnsi="仿宋" w:eastAsia="仿宋" w:cs="仿宋"/>
                <w:color w:val="auto"/>
                <w:kern w:val="0"/>
                <w:sz w:val="24"/>
                <w:szCs w:val="24"/>
                <w:highlight w:val="none"/>
                <w:lang w:val="en-US" w:eastAsia="zh-CN"/>
              </w:rPr>
              <w:t>及</w:t>
            </w:r>
            <w:r>
              <w:rPr>
                <w:rFonts w:hint="eastAsia" w:ascii="仿宋" w:hAnsi="仿宋" w:eastAsia="仿宋" w:cs="仿宋"/>
                <w:color w:val="auto"/>
                <w:kern w:val="0"/>
                <w:sz w:val="24"/>
                <w:szCs w:val="24"/>
                <w:highlight w:val="none"/>
              </w:rPr>
              <w:t>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highlight w:val="none"/>
              </w:rPr>
            </w:pPr>
            <w:r>
              <w:rPr>
                <w:rFonts w:hint="eastAsia" w:ascii="仿宋" w:hAnsi="仿宋" w:eastAsia="仿宋" w:cs="仿宋"/>
                <w:sz w:val="24"/>
                <w:szCs w:val="24"/>
                <w:highlight w:val="none"/>
                <w:lang w:val="en-US" w:eastAsia="zh-CN"/>
              </w:rPr>
              <w:t>设备保障</w:t>
            </w:r>
          </w:p>
        </w:tc>
        <w:tc>
          <w:tcPr>
            <w:tcW w:w="750"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pacing w:afterLines="0"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7188" w:type="dxa"/>
            <w:tcBorders>
              <w:left w:val="single" w:color="auto" w:sz="4" w:space="0"/>
              <w:right w:val="single" w:color="auto" w:sz="4" w:space="0"/>
            </w:tcBorders>
            <w:noWrap w:val="0"/>
            <w:vAlign w:val="center"/>
          </w:tcPr>
          <w:p>
            <w:pPr>
              <w:spacing w:afterLines="-2147483648"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1、投标人提供产品制造商的生产车间图片，得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p>
          <w:p>
            <w:pPr>
              <w:spacing w:afterLines="-2147483648"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2、投标人针对本标段提供</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原材料处理设备</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焊接设备</w:t>
            </w:r>
            <w:r>
              <w:rPr>
                <w:rFonts w:hint="eastAsia" w:ascii="仿宋" w:hAnsi="仿宋" w:eastAsia="仿宋" w:cs="仿宋"/>
                <w:color w:val="auto"/>
                <w:sz w:val="24"/>
                <w:szCs w:val="24"/>
                <w:highlight w:val="none"/>
                <w:lang w:eastAsia="zh-CN"/>
              </w:rPr>
              <w:t>③</w:t>
            </w:r>
            <w:r>
              <w:rPr>
                <w:rFonts w:hint="eastAsia" w:ascii="仿宋" w:hAnsi="仿宋" w:eastAsia="仿宋" w:cs="仿宋"/>
                <w:color w:val="auto"/>
                <w:sz w:val="24"/>
                <w:szCs w:val="24"/>
                <w:highlight w:val="none"/>
              </w:rPr>
              <w:t>切割成型设备</w:t>
            </w: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表面处理设备</w:t>
            </w:r>
            <w:r>
              <w:rPr>
                <w:rFonts w:hint="eastAsia" w:ascii="仿宋" w:hAnsi="仿宋" w:eastAsia="仿宋" w:cs="仿宋"/>
                <w:color w:val="auto"/>
                <w:sz w:val="24"/>
                <w:szCs w:val="24"/>
                <w:highlight w:val="none"/>
                <w:lang w:eastAsia="zh-CN"/>
              </w:rPr>
              <w:t>⑤</w:t>
            </w:r>
            <w:r>
              <w:rPr>
                <w:rFonts w:hint="eastAsia" w:ascii="仿宋" w:hAnsi="仿宋" w:eastAsia="仿宋" w:cs="仿宋"/>
                <w:color w:val="auto"/>
                <w:sz w:val="24"/>
                <w:szCs w:val="24"/>
                <w:highlight w:val="none"/>
              </w:rPr>
              <w:t>出厂检测设备</w:t>
            </w:r>
            <w:r>
              <w:rPr>
                <w:rFonts w:hint="eastAsia" w:ascii="仿宋" w:hAnsi="仿宋" w:eastAsia="仿宋" w:cs="仿宋"/>
                <w:color w:val="auto"/>
                <w:sz w:val="24"/>
                <w:szCs w:val="24"/>
                <w:highlight w:val="none"/>
                <w:lang w:eastAsia="zh-CN"/>
              </w:rPr>
              <w:t>⑥</w:t>
            </w:r>
            <w:r>
              <w:rPr>
                <w:rFonts w:hint="eastAsia" w:ascii="仿宋" w:hAnsi="仿宋" w:eastAsia="仿宋" w:cs="仿宋"/>
                <w:color w:val="auto"/>
                <w:sz w:val="24"/>
                <w:szCs w:val="24"/>
                <w:highlight w:val="none"/>
              </w:rPr>
              <w:t>辅助设备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lang w:eastAsia="zh-CN"/>
              </w:rPr>
              <w:t>种设备</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配置</w:t>
            </w:r>
            <w:r>
              <w:rPr>
                <w:rFonts w:hint="eastAsia" w:ascii="仿宋" w:hAnsi="仿宋" w:eastAsia="仿宋" w:cs="仿宋"/>
                <w:color w:val="auto"/>
                <w:sz w:val="24"/>
                <w:szCs w:val="24"/>
                <w:highlight w:val="none"/>
              </w:rPr>
              <w:t>清单</w:t>
            </w:r>
            <w:r>
              <w:rPr>
                <w:rFonts w:hint="eastAsia" w:ascii="仿宋" w:hAnsi="仿宋" w:eastAsia="仿宋" w:cs="仿宋"/>
                <w:color w:val="auto"/>
                <w:sz w:val="24"/>
                <w:szCs w:val="24"/>
                <w:highlight w:val="none"/>
                <w:lang w:eastAsia="zh-CN"/>
              </w:rPr>
              <w:t>。</w:t>
            </w:r>
          </w:p>
          <w:p>
            <w:pPr>
              <w:spacing w:afterLines="-2147483648"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赋分依据：配置清单中</w:t>
            </w:r>
            <w:r>
              <w:rPr>
                <w:rFonts w:hint="eastAsia" w:ascii="仿宋" w:hAnsi="仿宋" w:eastAsia="仿宋" w:cs="仿宋"/>
                <w:color w:val="auto"/>
                <w:sz w:val="24"/>
                <w:szCs w:val="24"/>
                <w:highlight w:val="none"/>
              </w:rPr>
              <w:t>，每提供一项设备</w:t>
            </w:r>
            <w:r>
              <w:rPr>
                <w:rFonts w:hint="eastAsia" w:ascii="仿宋" w:hAnsi="仿宋" w:eastAsia="仿宋" w:cs="仿宋"/>
                <w:color w:val="auto"/>
                <w:sz w:val="24"/>
                <w:szCs w:val="24"/>
                <w:highlight w:val="none"/>
                <w:lang w:eastAsia="zh-CN"/>
              </w:rPr>
              <w:t>（同时包含：设备具体名称、图片和台数）</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5分，满</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不提供或缺项不得分。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eastAsia" w:ascii="Calibri Light" w:hAnsi="Calibri Light" w:eastAsia="华文仿宋" w:cs="Calibri Light"/>
                <w:kern w:val="2"/>
                <w:sz w:val="28"/>
                <w:szCs w:val="28"/>
                <w:highlight w:val="none"/>
                <w:lang w:val="en-US" w:eastAsia="zh-CN" w:bidi="ar-SA"/>
              </w:rPr>
            </w:pPr>
            <w:r>
              <w:rPr>
                <w:rFonts w:hint="eastAsia" w:ascii="仿宋" w:hAnsi="仿宋" w:eastAsia="仿宋" w:cs="仿宋"/>
                <w:sz w:val="24"/>
                <w:szCs w:val="24"/>
                <w:highlight w:val="none"/>
              </w:rPr>
              <w:t>来源渠道</w:t>
            </w:r>
          </w:p>
        </w:tc>
        <w:tc>
          <w:tcPr>
            <w:tcW w:w="750"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w:t>
            </w:r>
          </w:p>
        </w:tc>
        <w:tc>
          <w:tcPr>
            <w:tcW w:w="7188" w:type="dxa"/>
            <w:tcBorders>
              <w:left w:val="single" w:color="auto" w:sz="4" w:space="0"/>
              <w:right w:val="single" w:color="auto" w:sz="4" w:space="0"/>
            </w:tcBorders>
            <w:noWrap w:val="0"/>
            <w:vAlign w:val="center"/>
          </w:tcPr>
          <w:p>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投标人提供所投</w:t>
            </w:r>
            <w:r>
              <w:rPr>
                <w:rFonts w:hint="eastAsia" w:ascii="仿宋" w:hAnsi="仿宋" w:eastAsia="仿宋" w:cs="仿宋"/>
                <w:sz w:val="24"/>
                <w:szCs w:val="24"/>
                <w:highlight w:val="none"/>
                <w:lang w:val="en-US" w:eastAsia="zh-CN"/>
              </w:rPr>
              <w:t>标段</w:t>
            </w:r>
            <w:r>
              <w:rPr>
                <w:rFonts w:hint="eastAsia" w:ascii="仿宋" w:hAnsi="仿宋" w:eastAsia="仿宋" w:cs="仿宋"/>
                <w:sz w:val="24"/>
                <w:szCs w:val="24"/>
                <w:highlight w:val="none"/>
              </w:rPr>
              <w:t>第四章《采购清单》中</w:t>
            </w:r>
            <w:r>
              <w:rPr>
                <w:rFonts w:hint="eastAsia" w:ascii="仿宋" w:hAnsi="仿宋" w:eastAsia="仿宋" w:cs="仿宋"/>
                <w:sz w:val="24"/>
                <w:szCs w:val="24"/>
                <w:highlight w:val="none"/>
                <w:lang w:val="en-US" w:eastAsia="zh-CN"/>
              </w:rPr>
              <w:t>核心产品货物</w:t>
            </w:r>
            <w:r>
              <w:rPr>
                <w:rFonts w:hint="eastAsia" w:ascii="仿宋" w:hAnsi="仿宋" w:eastAsia="仿宋" w:cs="仿宋"/>
                <w:sz w:val="24"/>
                <w:szCs w:val="24"/>
                <w:highlight w:val="none"/>
              </w:rPr>
              <w:t>的合法来源渠道证明文件或情况说明，</w:t>
            </w:r>
            <w:r>
              <w:rPr>
                <w:rFonts w:hint="eastAsia" w:ascii="仿宋" w:hAnsi="仿宋" w:eastAsia="仿宋" w:cs="仿宋"/>
                <w:sz w:val="24"/>
                <w:szCs w:val="24"/>
                <w:highlight w:val="none"/>
                <w:lang w:val="en-US" w:eastAsia="zh-CN"/>
              </w:rPr>
              <w:t>得1分，</w:t>
            </w:r>
            <w:r>
              <w:rPr>
                <w:rFonts w:hint="eastAsia" w:ascii="仿宋" w:hAnsi="仿宋" w:eastAsia="仿宋" w:cs="仿宋"/>
                <w:sz w:val="24"/>
                <w:szCs w:val="24"/>
                <w:highlight w:val="none"/>
              </w:rPr>
              <w:t>不提供不得分。</w:t>
            </w:r>
            <w:r>
              <w:rPr>
                <w:rFonts w:hint="eastAsia" w:ascii="仿宋" w:hAnsi="仿宋" w:eastAsia="仿宋" w:cs="仿宋"/>
                <w:kern w:val="0"/>
                <w:sz w:val="24"/>
                <w:szCs w:val="24"/>
                <w:highlight w:val="none"/>
              </w:rPr>
              <w:t>投标人可根据自身情况提供以下资料中的任意一种：</w:t>
            </w:r>
          </w:p>
          <w:p>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1、如投标人为所投产品代理商：提供货物的合法来源渠道证明文件（例如：产品制造商授权、销售协议、代理协议等证明文件）</w:t>
            </w:r>
            <w:r>
              <w:rPr>
                <w:rFonts w:hint="eastAsia" w:ascii="仿宋" w:hAnsi="仿宋" w:eastAsia="仿宋" w:cs="仿宋"/>
                <w:sz w:val="24"/>
                <w:szCs w:val="24"/>
                <w:highlight w:val="none"/>
                <w:lang w:eastAsia="zh-CN"/>
              </w:rPr>
              <w:t>。</w:t>
            </w:r>
          </w:p>
          <w:p>
            <w:pPr>
              <w:spacing w:afterLines="0" w:line="380" w:lineRule="exact"/>
              <w:rPr>
                <w:rFonts w:ascii="仿宋" w:hAnsi="仿宋" w:eastAsia="仿宋" w:cs="仿宋"/>
                <w:sz w:val="24"/>
                <w:szCs w:val="24"/>
                <w:highlight w:val="none"/>
              </w:rPr>
            </w:pPr>
            <w:r>
              <w:rPr>
                <w:rFonts w:hint="eastAsia" w:ascii="仿宋" w:hAnsi="仿宋" w:eastAsia="仿宋" w:cs="仿宋"/>
                <w:sz w:val="24"/>
                <w:szCs w:val="24"/>
                <w:highlight w:val="none"/>
              </w:rPr>
              <w:t>2、如投标人为所投产品的制造商：需提供情况说明（说明产品为制造商自己生产）。</w:t>
            </w:r>
          </w:p>
          <w:p>
            <w:pPr>
              <w:spacing w:afterLines="0" w:line="380" w:lineRule="exac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highlight w:val="none"/>
              </w:rPr>
              <w:t>备注：以加盖投标人公章的证明材料复印件为计分依据。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color w:val="000000"/>
                <w:sz w:val="24"/>
                <w:szCs w:val="24"/>
                <w:highlight w:val="none"/>
              </w:rPr>
              <w:t>样品</w:t>
            </w:r>
          </w:p>
        </w:tc>
        <w:tc>
          <w:tcPr>
            <w:tcW w:w="750"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10.5</w:t>
            </w:r>
          </w:p>
        </w:tc>
        <w:tc>
          <w:tcPr>
            <w:tcW w:w="718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一、评审内容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根据本</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要求，提供以下样品：①</w:t>
            </w:r>
            <w:r>
              <w:rPr>
                <w:rFonts w:hint="eastAsia" w:ascii="仿宋" w:hAnsi="仿宋" w:eastAsia="仿宋" w:cs="仿宋"/>
                <w:color w:val="000000"/>
                <w:sz w:val="24"/>
                <w:szCs w:val="24"/>
                <w:highlight w:val="none"/>
              </w:rPr>
              <w:t>沙发</w:t>
            </w:r>
            <w:r>
              <w:rPr>
                <w:rFonts w:hint="eastAsia" w:ascii="仿宋" w:hAnsi="仿宋" w:eastAsia="仿宋" w:cs="仿宋"/>
                <w:sz w:val="24"/>
                <w:highlight w:val="none"/>
              </w:rPr>
              <w:t>超纤皮</w:t>
            </w:r>
            <w:r>
              <w:rPr>
                <w:rFonts w:hint="eastAsia" w:ascii="仿宋" w:hAnsi="仿宋" w:eastAsia="仿宋" w:cs="仿宋"/>
                <w:sz w:val="24"/>
                <w:szCs w:val="24"/>
                <w:highlight w:val="none"/>
              </w:rPr>
              <w:t>②</w:t>
            </w:r>
            <w:r>
              <w:rPr>
                <w:rFonts w:hint="eastAsia" w:ascii="仿宋" w:hAnsi="仿宋" w:eastAsia="仿宋" w:cs="仿宋"/>
                <w:color w:val="000000"/>
                <w:sz w:val="24"/>
                <w:szCs w:val="24"/>
                <w:highlight w:val="none"/>
              </w:rPr>
              <w:t>沙发海绵</w:t>
            </w:r>
            <w:r>
              <w:rPr>
                <w:rFonts w:hint="default" w:ascii="仿宋" w:hAnsi="仿宋" w:eastAsia="仿宋" w:cs="仿宋"/>
                <w:sz w:val="24"/>
                <w:szCs w:val="24"/>
                <w:highlight w:val="none"/>
                <w:u w:val="none"/>
                <w:lang w:val="en-US" w:eastAsia="zh-CN"/>
              </w:rPr>
              <w:t>③</w:t>
            </w:r>
            <w:r>
              <w:rPr>
                <w:rFonts w:hint="eastAsia" w:ascii="仿宋" w:hAnsi="仿宋" w:eastAsia="仿宋" w:cs="仿宋"/>
                <w:color w:val="000000"/>
                <w:sz w:val="24"/>
                <w:szCs w:val="24"/>
                <w:highlight w:val="none"/>
              </w:rPr>
              <w:t>沙发</w:t>
            </w:r>
            <w:r>
              <w:rPr>
                <w:rFonts w:hint="eastAsia" w:ascii="仿宋" w:hAnsi="仿宋" w:eastAsia="仿宋" w:cs="仿宋"/>
                <w:sz w:val="24"/>
                <w:highlight w:val="none"/>
              </w:rPr>
              <w:t>框架木材</w:t>
            </w:r>
            <w:r>
              <w:rPr>
                <w:rFonts w:hint="eastAsia" w:ascii="仿宋" w:hAnsi="仿宋" w:eastAsia="仿宋" w:cs="仿宋"/>
                <w:sz w:val="24"/>
                <w:szCs w:val="24"/>
                <w:highlight w:val="none"/>
                <w:lang w:val="en-US" w:eastAsia="zh-CN"/>
              </w:rPr>
              <w:t>④</w:t>
            </w:r>
            <w:r>
              <w:rPr>
                <w:rFonts w:hint="eastAsia" w:ascii="仿宋" w:hAnsi="仿宋" w:eastAsia="仿宋" w:cs="仿宋"/>
                <w:sz w:val="24"/>
                <w:highlight w:val="none"/>
              </w:rPr>
              <w:t>茶几面材</w:t>
            </w:r>
            <w:r>
              <w:rPr>
                <w:rFonts w:hint="eastAsia" w:ascii="仿宋" w:hAnsi="仿宋" w:eastAsia="仿宋" w:cs="仿宋"/>
                <w:sz w:val="24"/>
                <w:szCs w:val="24"/>
                <w:highlight w:val="none"/>
                <w:lang w:val="en-US" w:eastAsia="zh-CN"/>
              </w:rPr>
              <w:t>⑤</w:t>
            </w:r>
            <w:r>
              <w:rPr>
                <w:rFonts w:hint="eastAsia" w:ascii="仿宋" w:hAnsi="仿宋" w:eastAsia="仿宋" w:cs="仿宋"/>
                <w:sz w:val="24"/>
                <w:highlight w:val="none"/>
              </w:rPr>
              <w:t>会客室沙发皮质</w:t>
            </w:r>
            <w:r>
              <w:rPr>
                <w:rFonts w:hint="eastAsia" w:ascii="仿宋" w:hAnsi="仿宋" w:eastAsia="仿宋" w:cs="仿宋"/>
                <w:sz w:val="24"/>
                <w:szCs w:val="24"/>
                <w:highlight w:val="none"/>
                <w:lang w:val="en-US" w:eastAsia="zh-CN"/>
              </w:rPr>
              <w:t>⑥</w:t>
            </w:r>
            <w:r>
              <w:rPr>
                <w:rFonts w:hint="eastAsia" w:ascii="仿宋" w:hAnsi="仿宋" w:eastAsia="仿宋" w:cs="仿宋"/>
                <w:sz w:val="24"/>
                <w:highlight w:val="none"/>
              </w:rPr>
              <w:t>窗帘面料</w:t>
            </w:r>
            <w:r>
              <w:rPr>
                <w:rFonts w:hint="eastAsia" w:ascii="仿宋" w:hAnsi="仿宋" w:eastAsia="仿宋" w:cs="仿宋"/>
                <w:sz w:val="24"/>
                <w:szCs w:val="24"/>
                <w:highlight w:val="none"/>
                <w:lang w:val="en-US" w:eastAsia="zh-CN"/>
              </w:rPr>
              <w:t>⑦</w:t>
            </w:r>
            <w:r>
              <w:rPr>
                <w:rFonts w:hint="eastAsia" w:ascii="仿宋" w:hAnsi="仿宋" w:eastAsia="仿宋" w:cs="仿宋"/>
                <w:sz w:val="24"/>
                <w:highlight w:val="none"/>
              </w:rPr>
              <w:t>窗帘辅材</w:t>
            </w:r>
            <w:r>
              <w:rPr>
                <w:rFonts w:hint="eastAsia" w:ascii="仿宋" w:hAnsi="仿宋" w:eastAsia="仿宋" w:cs="仿宋"/>
                <w:sz w:val="24"/>
                <w:szCs w:val="24"/>
                <w:highlight w:val="none"/>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二、评审标准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1、外观设计：所提供样品协调美观，具有非常好的整体性、视觉效果；</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、面料材质：所提供样品面料材质满足符合采购人需求；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、制作工艺：样品制作工艺精细、整洁美观。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三、赋分依据（满分</w:t>
            </w:r>
            <w:r>
              <w:rPr>
                <w:rFonts w:hint="eastAsia" w:ascii="仿宋" w:hAnsi="仿宋" w:eastAsia="仿宋" w:cs="仿宋"/>
                <w:b/>
                <w:bCs/>
                <w:sz w:val="24"/>
                <w:szCs w:val="24"/>
                <w:highlight w:val="none"/>
                <w:lang w:val="en-US" w:eastAsia="zh-CN"/>
              </w:rPr>
              <w:t>10.5</w:t>
            </w:r>
            <w:r>
              <w:rPr>
                <w:rFonts w:hint="eastAsia" w:ascii="仿宋" w:hAnsi="仿宋" w:eastAsia="仿宋" w:cs="仿宋"/>
                <w:b/>
                <w:bCs/>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①</w:t>
            </w:r>
            <w:r>
              <w:rPr>
                <w:rFonts w:hint="eastAsia" w:ascii="仿宋" w:hAnsi="仿宋" w:eastAsia="仿宋" w:cs="仿宋"/>
                <w:color w:val="000000"/>
                <w:sz w:val="24"/>
                <w:szCs w:val="24"/>
                <w:highlight w:val="none"/>
              </w:rPr>
              <w:t>沙发</w:t>
            </w:r>
            <w:r>
              <w:rPr>
                <w:rFonts w:hint="eastAsia" w:ascii="仿宋" w:hAnsi="仿宋" w:eastAsia="仿宋" w:cs="仿宋"/>
                <w:sz w:val="24"/>
                <w:highlight w:val="none"/>
              </w:rPr>
              <w:t>超纤皮</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②</w:t>
            </w:r>
            <w:r>
              <w:rPr>
                <w:rFonts w:hint="eastAsia" w:ascii="仿宋" w:hAnsi="仿宋" w:eastAsia="仿宋" w:cs="仿宋"/>
                <w:color w:val="000000"/>
                <w:sz w:val="24"/>
                <w:szCs w:val="24"/>
                <w:highlight w:val="none"/>
              </w:rPr>
              <w:t>沙发海绵</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u w:val="none"/>
                <w:lang w:val="en-US" w:eastAsia="zh-CN"/>
              </w:rPr>
              <w:t>③</w:t>
            </w:r>
            <w:r>
              <w:rPr>
                <w:rFonts w:hint="eastAsia" w:ascii="仿宋" w:hAnsi="仿宋" w:eastAsia="仿宋" w:cs="仿宋"/>
                <w:color w:val="000000"/>
                <w:sz w:val="24"/>
                <w:szCs w:val="24"/>
                <w:highlight w:val="none"/>
              </w:rPr>
              <w:t>沙发</w:t>
            </w:r>
            <w:r>
              <w:rPr>
                <w:rFonts w:hint="eastAsia" w:ascii="仿宋" w:hAnsi="仿宋" w:eastAsia="仿宋" w:cs="仿宋"/>
                <w:sz w:val="24"/>
                <w:highlight w:val="none"/>
              </w:rPr>
              <w:t>框架木材</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④</w:t>
            </w:r>
            <w:r>
              <w:rPr>
                <w:rFonts w:hint="eastAsia" w:ascii="仿宋" w:hAnsi="仿宋" w:eastAsia="仿宋" w:cs="仿宋"/>
                <w:sz w:val="24"/>
                <w:highlight w:val="none"/>
              </w:rPr>
              <w:t>茶几面材</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w:t>
            </w:r>
            <w:r>
              <w:rPr>
                <w:rFonts w:hint="eastAsia" w:ascii="仿宋" w:hAnsi="仿宋" w:eastAsia="仿宋" w:cs="仿宋"/>
                <w:sz w:val="24"/>
                <w:highlight w:val="none"/>
              </w:rPr>
              <w:t>会客室沙发皮质</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lang w:val="en-US" w:eastAsia="zh-CN"/>
              </w:rPr>
              <w:t>⑥</w:t>
            </w:r>
            <w:r>
              <w:rPr>
                <w:rFonts w:hint="eastAsia" w:ascii="仿宋" w:hAnsi="仿宋" w:eastAsia="仿宋" w:cs="仿宋"/>
                <w:sz w:val="24"/>
                <w:highlight w:val="none"/>
              </w:rPr>
              <w:t>窗帘面料</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
                <w:bCs/>
                <w:sz w:val="24"/>
                <w:szCs w:val="24"/>
                <w:highlight w:val="none"/>
              </w:rPr>
            </w:pPr>
            <w:r>
              <w:rPr>
                <w:rFonts w:hint="eastAsia" w:ascii="仿宋" w:hAnsi="仿宋" w:eastAsia="仿宋" w:cs="仿宋"/>
                <w:sz w:val="24"/>
                <w:szCs w:val="24"/>
                <w:highlight w:val="none"/>
                <w:lang w:val="en-US" w:eastAsia="zh-CN"/>
              </w:rPr>
              <w:t>⑦</w:t>
            </w:r>
            <w:r>
              <w:rPr>
                <w:rFonts w:hint="eastAsia" w:ascii="仿宋" w:hAnsi="仿宋" w:eastAsia="仿宋" w:cs="仿宋"/>
                <w:sz w:val="24"/>
                <w:highlight w:val="none"/>
              </w:rPr>
              <w:t>窗帘辅材</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eastAsia="仿宋"/>
                <w:highlight w:val="none"/>
              </w:rPr>
            </w:pPr>
            <w:r>
              <w:rPr>
                <w:rFonts w:hint="eastAsia" w:ascii="仿宋" w:hAnsi="仿宋" w:eastAsia="仿宋" w:cs="仿宋"/>
                <w:sz w:val="24"/>
                <w:szCs w:val="24"/>
                <w:highlight w:val="none"/>
              </w:rPr>
              <w:t>售后服务方案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color w:val="000000"/>
                <w:kern w:val="0"/>
                <w:sz w:val="24"/>
                <w:szCs w:val="24"/>
                <w:highlight w:val="none"/>
                <w:lang w:val="en-US" w:eastAsia="zh-CN"/>
              </w:rPr>
            </w:pPr>
            <w:r>
              <w:rPr>
                <w:rFonts w:hint="eastAsia" w:ascii="仿宋" w:hAnsi="仿宋" w:eastAsia="仿宋" w:cs="仿宋"/>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实际需求提供售后服务方案。</w:t>
            </w:r>
            <w:r>
              <w:rPr>
                <w:rFonts w:hint="eastAsia" w:ascii="仿宋" w:hAnsi="仿宋" w:eastAsia="仿宋" w:cs="仿宋"/>
                <w:kern w:val="0"/>
                <w:sz w:val="24"/>
                <w:szCs w:val="24"/>
                <w:highlight w:val="none"/>
              </w:rPr>
              <w:t>内容包含</w:t>
            </w:r>
            <w:r>
              <w:rPr>
                <w:rFonts w:hint="eastAsia" w:ascii="仿宋" w:hAnsi="仿宋" w:eastAsia="仿宋" w:cs="仿宋"/>
                <w:kern w:val="0"/>
                <w:sz w:val="24"/>
                <w:szCs w:val="24"/>
                <w:highlight w:val="none"/>
                <w:lang w:eastAsia="zh-CN"/>
              </w:rPr>
              <w:t>：</w:t>
            </w:r>
            <w:bookmarkStart w:id="301" w:name="OLE_LINK11"/>
            <w:r>
              <w:rPr>
                <w:rFonts w:hint="eastAsia" w:ascii="仿宋" w:hAnsi="仿宋" w:eastAsia="仿宋" w:cs="仿宋"/>
                <w:sz w:val="24"/>
                <w:szCs w:val="24"/>
                <w:highlight w:val="none"/>
              </w:rPr>
              <w:t>①售后服务内容及保障措施②响应时间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w:t>
            </w:r>
            <w:r>
              <w:rPr>
                <w:rFonts w:hint="eastAsia" w:ascii="仿宋" w:hAnsi="仿宋" w:eastAsia="仿宋" w:cs="仿宋"/>
                <w:sz w:val="24"/>
                <w:szCs w:val="24"/>
                <w:highlight w:val="none"/>
                <w:lang w:val="en-US" w:eastAsia="zh-CN"/>
              </w:rPr>
              <w:t>方式</w:t>
            </w:r>
            <w:r>
              <w:rPr>
                <w:rFonts w:hint="eastAsia" w:ascii="仿宋" w:hAnsi="仿宋" w:eastAsia="仿宋" w:cs="仿宋"/>
                <w:sz w:val="24"/>
                <w:szCs w:val="24"/>
                <w:highlight w:val="none"/>
              </w:rPr>
              <w:t>。</w:t>
            </w:r>
            <w:bookmarkEnd w:id="301"/>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1、完整性：方案须全面，对评审内容中的各项要求描述详细；</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rPr>
              <w:t>可实施性：切合本</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实际情况，实施步骤清晰、合理；</w:t>
            </w:r>
          </w:p>
          <w:p>
            <w:pPr>
              <w:keepNext w:val="0"/>
              <w:pageBreakBefore w:val="0"/>
              <w:widowControl/>
              <w:kinsoku/>
              <w:wordWrap/>
              <w:overflowPunct/>
              <w:topLinePunct w:val="0"/>
              <w:bidi w:val="0"/>
              <w:adjustRightInd/>
              <w:spacing w:line="240" w:lineRule="auto"/>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bCs/>
                <w:sz w:val="24"/>
                <w:szCs w:val="24"/>
                <w:highlight w:val="none"/>
                <w:lang w:eastAsia="zh-CN"/>
              </w:rPr>
              <w:t>标段</w:t>
            </w:r>
            <w:r>
              <w:rPr>
                <w:rFonts w:hint="eastAsia" w:ascii="仿宋" w:hAnsi="仿宋" w:eastAsia="仿宋" w:cs="仿宋"/>
                <w:bCs/>
                <w:sz w:val="24"/>
                <w:szCs w:val="24"/>
                <w:highlight w:val="none"/>
              </w:rPr>
              <w:t>实际情况，内容科学合理。</w:t>
            </w:r>
          </w:p>
          <w:p>
            <w:pPr>
              <w:keepNext w:val="0"/>
              <w:pageBreakBefore w:val="0"/>
              <w:widowControl/>
              <w:kinsoku/>
              <w:wordWrap/>
              <w:overflowPunct/>
              <w:topLinePunct w:val="0"/>
              <w:bidi w:val="0"/>
              <w:spacing w:line="240" w:lineRule="auto"/>
              <w:textAlignment w:val="auto"/>
              <w:rPr>
                <w:rFonts w:ascii="仿宋" w:hAnsi="仿宋" w:eastAsia="仿宋" w:cs="仿宋"/>
                <w:b/>
                <w:bCs/>
                <w:kern w:val="0"/>
                <w:sz w:val="24"/>
                <w:szCs w:val="24"/>
                <w:highlight w:val="none"/>
              </w:rPr>
            </w:pPr>
            <w:r>
              <w:rPr>
                <w:rFonts w:hint="eastAsia" w:ascii="仿宋" w:hAnsi="仿宋" w:eastAsia="仿宋" w:cs="仿宋"/>
                <w:b/>
                <w:bCs/>
                <w:sz w:val="24"/>
                <w:szCs w:val="24"/>
                <w:highlight w:val="none"/>
              </w:rPr>
              <w:t>三、</w:t>
            </w:r>
            <w:r>
              <w:rPr>
                <w:rFonts w:hint="eastAsia" w:ascii="仿宋" w:hAnsi="仿宋" w:eastAsia="仿宋" w:cs="仿宋"/>
                <w:b/>
                <w:bCs/>
                <w:kern w:val="0"/>
                <w:sz w:val="24"/>
                <w:szCs w:val="24"/>
                <w:highlight w:val="none"/>
              </w:rPr>
              <w:t>赋分依据（满分</w:t>
            </w:r>
            <w:r>
              <w:rPr>
                <w:rFonts w:hint="eastAsia" w:ascii="仿宋" w:hAnsi="仿宋" w:eastAsia="仿宋" w:cs="仿宋"/>
                <w:b/>
                <w:bCs/>
                <w:kern w:val="0"/>
                <w:sz w:val="24"/>
                <w:szCs w:val="24"/>
                <w:highlight w:val="none"/>
                <w:lang w:val="en-US" w:eastAsia="zh-CN"/>
              </w:rPr>
              <w:t>3</w:t>
            </w:r>
            <w:r>
              <w:rPr>
                <w:rFonts w:hint="eastAsia" w:ascii="仿宋" w:hAnsi="仿宋" w:eastAsia="仿宋" w:cs="仿宋"/>
                <w:b/>
                <w:bCs/>
                <w:kern w:val="0"/>
                <w:sz w:val="24"/>
                <w:szCs w:val="24"/>
                <w:highlight w:val="none"/>
              </w:rPr>
              <w:t>分）</w:t>
            </w:r>
          </w:p>
          <w:p>
            <w:pPr>
              <w:keepNext w:val="0"/>
              <w:pageBreakBefore w:val="0"/>
              <w:widowControl/>
              <w:kinsoku/>
              <w:wordWrap/>
              <w:overflowPunct/>
              <w:topLinePunct w:val="0"/>
              <w:bidi w:val="0"/>
              <w:spacing w:line="24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①售后服务内容及保障措施：每完全满足一个评审标准得0.5分，满分1.5分；</w:t>
            </w:r>
          </w:p>
          <w:p>
            <w:pPr>
              <w:keepNext w:val="0"/>
              <w:pageBreakBefore w:val="0"/>
              <w:widowControl/>
              <w:kinsoku/>
              <w:wordWrap/>
              <w:overflowPunct/>
              <w:topLinePunct w:val="0"/>
              <w:autoSpaceDE/>
              <w:autoSpaceDN/>
              <w:bidi w:val="0"/>
              <w:adjustRightInd/>
              <w:spacing w:line="240" w:lineRule="auto"/>
              <w:textAlignment w:val="auto"/>
              <w:rPr>
                <w:rFonts w:eastAsia="仿宋"/>
                <w:highlight w:val="none"/>
              </w:rPr>
            </w:pPr>
            <w:r>
              <w:rPr>
                <w:rFonts w:hint="eastAsia" w:ascii="仿宋" w:hAnsi="仿宋" w:eastAsia="仿宋" w:cs="仿宋"/>
                <w:sz w:val="24"/>
                <w:szCs w:val="24"/>
                <w:highlight w:val="none"/>
              </w:rPr>
              <w:t>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响应方式:每完全满足一个评审标准得</w:t>
            </w:r>
            <w:r>
              <w:rPr>
                <w:rFonts w:ascii="仿宋" w:hAnsi="仿宋" w:eastAsia="仿宋" w:cs="仿宋"/>
                <w:sz w:val="24"/>
                <w:szCs w:val="24"/>
                <w:highlight w:val="none"/>
              </w:rPr>
              <w:t>0.5</w:t>
            </w:r>
            <w:r>
              <w:rPr>
                <w:rFonts w:hint="eastAsia" w:ascii="仿宋" w:hAnsi="仿宋" w:eastAsia="仿宋" w:cs="仿宋"/>
                <w:sz w:val="24"/>
                <w:szCs w:val="24"/>
                <w:highlight w:val="none"/>
              </w:rPr>
              <w:t>分，满分1.5分</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sz w:val="24"/>
                <w:szCs w:val="24"/>
                <w:highlight w:val="none"/>
              </w:rPr>
              <w:t>业绩</w:t>
            </w:r>
          </w:p>
        </w:tc>
        <w:tc>
          <w:tcPr>
            <w:tcW w:w="750"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hint="default" w:eastAsia="华文仿宋"/>
                <w:highlight w:val="none"/>
                <w:lang w:val="en-US" w:eastAsia="zh-CN"/>
              </w:rPr>
            </w:pPr>
            <w:r>
              <w:rPr>
                <w:rFonts w:hint="eastAsia" w:ascii="仿宋" w:hAnsi="仿宋" w:eastAsia="仿宋" w:cs="仿宋"/>
                <w:sz w:val="24"/>
                <w:szCs w:val="24"/>
                <w:highlight w:val="none"/>
                <w:lang w:val="en-US" w:eastAsia="zh-CN"/>
              </w:rPr>
              <w:t>2</w:t>
            </w:r>
          </w:p>
        </w:tc>
        <w:tc>
          <w:tcPr>
            <w:tcW w:w="7188"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ascii="仿宋" w:hAnsi="仿宋" w:eastAsia="仿宋" w:cs="仿宋"/>
                <w:sz w:val="24"/>
                <w:szCs w:val="24"/>
                <w:highlight w:val="none"/>
              </w:rPr>
              <w:t>提供20</w:t>
            </w:r>
            <w:r>
              <w:rPr>
                <w:rFonts w:hint="eastAsia" w:ascii="仿宋" w:hAnsi="仿宋" w:eastAsia="仿宋" w:cs="仿宋"/>
                <w:sz w:val="24"/>
                <w:szCs w:val="24"/>
                <w:highlight w:val="none"/>
              </w:rPr>
              <w:t>2</w:t>
            </w:r>
            <w:r>
              <w:rPr>
                <w:rFonts w:ascii="仿宋" w:hAnsi="仿宋" w:eastAsia="仿宋" w:cs="仿宋"/>
                <w:sz w:val="24"/>
                <w:szCs w:val="24"/>
                <w:highlight w:val="none"/>
              </w:rPr>
              <w:t>2年1月1日以来</w:t>
            </w:r>
            <w:r>
              <w:rPr>
                <w:rFonts w:hint="eastAsia" w:ascii="仿宋" w:hAnsi="仿宋" w:eastAsia="仿宋" w:cs="仿宋"/>
                <w:sz w:val="24"/>
                <w:szCs w:val="24"/>
                <w:highlight w:val="none"/>
              </w:rPr>
              <w:t>类似</w:t>
            </w:r>
            <w:r>
              <w:rPr>
                <w:rFonts w:ascii="仿宋" w:hAnsi="仿宋" w:eastAsia="仿宋" w:cs="仿宋"/>
                <w:sz w:val="24"/>
                <w:szCs w:val="24"/>
                <w:highlight w:val="none"/>
              </w:rPr>
              <w:t>项目业绩</w:t>
            </w:r>
            <w:r>
              <w:rPr>
                <w:rFonts w:hint="eastAsia" w:ascii="仿宋" w:hAnsi="仿宋" w:eastAsia="仿宋" w:cs="仿宋"/>
                <w:sz w:val="24"/>
                <w:szCs w:val="24"/>
                <w:highlight w:val="none"/>
              </w:rPr>
              <w:t>（</w:t>
            </w:r>
            <w:r>
              <w:rPr>
                <w:rFonts w:ascii="仿宋" w:hAnsi="仿宋" w:eastAsia="仿宋" w:cs="仿宋"/>
                <w:sz w:val="24"/>
                <w:szCs w:val="24"/>
                <w:highlight w:val="none"/>
              </w:rPr>
              <w:t>以合同签订日期为准</w:t>
            </w:r>
            <w:r>
              <w:rPr>
                <w:rFonts w:hint="eastAsia" w:ascii="仿宋" w:hAnsi="仿宋" w:eastAsia="仿宋" w:cs="仿宋"/>
                <w:sz w:val="24"/>
                <w:szCs w:val="24"/>
                <w:highlight w:val="none"/>
              </w:rPr>
              <w:t>）</w:t>
            </w:r>
            <w:r>
              <w:rPr>
                <w:rFonts w:ascii="仿宋" w:hAnsi="仿宋" w:eastAsia="仿宋" w:cs="仿宋"/>
                <w:sz w:val="24"/>
                <w:szCs w:val="24"/>
                <w:highlight w:val="none"/>
              </w:rPr>
              <w:t>，每份合格业绩合同计</w:t>
            </w:r>
            <w:r>
              <w:rPr>
                <w:rFonts w:hint="eastAsia" w:ascii="仿宋" w:hAnsi="仿宋" w:eastAsia="仿宋" w:cs="仿宋"/>
                <w:sz w:val="24"/>
                <w:szCs w:val="24"/>
                <w:highlight w:val="none"/>
                <w:lang w:val="en-US" w:eastAsia="zh-CN"/>
              </w:rPr>
              <w:t>0.5</w:t>
            </w:r>
            <w:r>
              <w:rPr>
                <w:rFonts w:ascii="仿宋" w:hAnsi="仿宋" w:eastAsia="仿宋" w:cs="仿宋"/>
                <w:sz w:val="24"/>
                <w:szCs w:val="24"/>
                <w:highlight w:val="none"/>
              </w:rPr>
              <w:t>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w:t>
            </w:r>
          </w:p>
          <w:p>
            <w:pPr>
              <w:keepNext w:val="0"/>
              <w:pageBreakBefore w:val="0"/>
              <w:kinsoku/>
              <w:wordWrap/>
              <w:overflowPunct/>
              <w:topLinePunct w:val="0"/>
              <w:bidi w:val="0"/>
              <w:spacing w:line="400" w:lineRule="exact"/>
              <w:textAlignment w:val="auto"/>
              <w:rPr>
                <w:rFonts w:ascii="仿宋" w:hAnsi="仿宋" w:eastAsia="仿宋" w:cs="仿宋"/>
                <w:bCs/>
                <w:sz w:val="24"/>
                <w:szCs w:val="24"/>
                <w:highlight w:val="none"/>
              </w:rPr>
            </w:pPr>
            <w:r>
              <w:rPr>
                <w:rFonts w:hint="eastAsia" w:ascii="仿宋" w:hAnsi="仿宋" w:eastAsia="仿宋" w:cs="仿宋"/>
                <w:kern w:val="0"/>
                <w:sz w:val="24"/>
                <w:szCs w:val="24"/>
                <w:highlight w:val="none"/>
              </w:rPr>
              <w:t>备注：需提供业绩完整合同及对应货款发票复印件（任意一张），并加盖投标人公章，以上两种证明材料同时提供方可得分，否则不得分。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环保</w:t>
            </w:r>
            <w:r>
              <w:rPr>
                <w:rFonts w:hint="eastAsia" w:ascii="仿宋" w:hAnsi="仿宋" w:eastAsia="仿宋" w:cs="仿宋"/>
                <w:kern w:val="0"/>
                <w:sz w:val="24"/>
                <w:szCs w:val="24"/>
                <w:highlight w:val="none"/>
              </w:rPr>
              <w:t>产品</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bCs/>
                <w:sz w:val="24"/>
                <w:szCs w:val="24"/>
                <w:highlight w:val="none"/>
                <w:lang w:val="en-US" w:eastAsia="zh-CN"/>
              </w:rPr>
              <w:t>1</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投标人所投产品为“环境标志产品政府采购品目清单”内的，需提供该产品经国家确定的认证机构出具的且处于有效期内的中国环境标志产品认证证书，</w:t>
            </w:r>
            <w:r>
              <w:rPr>
                <w:rFonts w:hint="eastAsia" w:ascii="仿宋" w:hAnsi="仿宋" w:eastAsia="仿宋" w:cs="仿宋"/>
                <w:kern w:val="0"/>
                <w:sz w:val="24"/>
                <w:szCs w:val="24"/>
                <w:highlight w:val="none"/>
                <w:lang w:val="en-US" w:eastAsia="zh-CN"/>
              </w:rPr>
              <w:t>每</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val="en-US" w:eastAsia="zh-CN"/>
              </w:rPr>
              <w:t>一个</w:t>
            </w:r>
            <w:r>
              <w:rPr>
                <w:rFonts w:hint="eastAsia" w:ascii="仿宋" w:hAnsi="仿宋" w:eastAsia="仿宋" w:cs="仿宋"/>
                <w:kern w:val="0"/>
                <w:sz w:val="24"/>
                <w:szCs w:val="24"/>
                <w:highlight w:val="none"/>
              </w:rPr>
              <w:t>产品的认证证书得</w:t>
            </w:r>
            <w:r>
              <w:rPr>
                <w:rFonts w:hint="eastAsia" w:ascii="仿宋" w:hAnsi="仿宋" w:eastAsia="仿宋" w:cs="仿宋"/>
                <w:kern w:val="0"/>
                <w:sz w:val="24"/>
                <w:szCs w:val="24"/>
                <w:highlight w:val="none"/>
                <w:lang w:val="en-US" w:eastAsia="zh-CN"/>
              </w:rPr>
              <w:t>0.25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备注：以加盖投标人公章的证明材料为计分依据。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autoSpaceDE w:val="0"/>
              <w:autoSpaceDN w:val="0"/>
              <w:bidi w:val="0"/>
              <w:adjustRightInd w:val="0"/>
              <w:spacing w:line="360" w:lineRule="exact"/>
              <w:jc w:val="center"/>
              <w:textAlignment w:val="auto"/>
              <w:rPr>
                <w:rFonts w:ascii="仿宋" w:hAnsi="仿宋" w:eastAsia="仿宋" w:cs="仿宋"/>
                <w:color w:val="000000"/>
                <w:sz w:val="24"/>
                <w:szCs w:val="24"/>
                <w:highlight w:val="none"/>
              </w:rPr>
            </w:pPr>
            <w:r>
              <w:rPr>
                <w:rFonts w:hint="eastAsia" w:ascii="仿宋" w:hAnsi="仿宋" w:eastAsia="仿宋" w:cs="仿宋"/>
                <w:sz w:val="24"/>
                <w:szCs w:val="24"/>
                <w:highlight w:val="none"/>
              </w:rPr>
              <w:t>说明</w:t>
            </w:r>
          </w:p>
        </w:tc>
        <w:tc>
          <w:tcPr>
            <w:tcW w:w="7938" w:type="dxa"/>
            <w:gridSpan w:val="2"/>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left"/>
              <w:textAlignment w:val="auto"/>
              <w:rPr>
                <w:highlight w:val="none"/>
              </w:rPr>
            </w:pPr>
            <w:r>
              <w:rPr>
                <w:rFonts w:hint="eastAsia" w:ascii="仿宋" w:hAnsi="仿宋" w:eastAsia="仿宋" w:cs="仿宋"/>
                <w:color w:val="000000"/>
                <w:sz w:val="24"/>
                <w:szCs w:val="24"/>
                <w:highlight w:val="none"/>
              </w:rPr>
              <w:t>评标委员会成员须按照本评审要素据实打分。</w:t>
            </w:r>
          </w:p>
        </w:tc>
      </w:tr>
    </w:tbl>
    <w:p>
      <w:pPr>
        <w:spacing w:before="0" w:after="0" w:line="240" w:lineRule="auto"/>
        <w:jc w:val="left"/>
        <w:rPr>
          <w:rFonts w:hint="eastAsia" w:ascii="华文仿宋" w:hAnsi="华文仿宋" w:cs="华文仿宋"/>
          <w:b/>
          <w:bCs/>
          <w:highlight w:val="none"/>
        </w:rPr>
      </w:pPr>
      <w:r>
        <w:rPr>
          <w:rFonts w:hint="eastAsia" w:ascii="华文仿宋" w:hAnsi="华文仿宋" w:cs="华文仿宋"/>
          <w:b/>
          <w:bCs/>
          <w:highlight w:val="none"/>
        </w:rPr>
        <w:br w:type="page"/>
      </w:r>
    </w:p>
    <w:p>
      <w:pPr>
        <w:spacing w:before="40" w:after="40" w:line="500" w:lineRule="exact"/>
        <w:jc w:val="center"/>
        <w:rPr>
          <w:rFonts w:hint="eastAsia" w:ascii="华文仿宋" w:hAnsi="华文仿宋" w:eastAsia="华文仿宋" w:cs="华文仿宋"/>
          <w:b/>
          <w:bCs/>
          <w:highlight w:val="none"/>
          <w:lang w:eastAsia="zh-CN"/>
        </w:rPr>
      </w:pPr>
      <w:r>
        <w:rPr>
          <w:rFonts w:hint="eastAsia" w:ascii="华文仿宋" w:hAnsi="华文仿宋" w:cs="华文仿宋"/>
          <w:b/>
          <w:bCs/>
          <w:highlight w:val="none"/>
        </w:rPr>
        <w:t>评审要素及分值一览表</w:t>
      </w:r>
      <w:r>
        <w:rPr>
          <w:rFonts w:hint="eastAsia" w:ascii="华文仿宋" w:hAnsi="华文仿宋" w:cs="华文仿宋"/>
          <w:b/>
          <w:bCs/>
          <w:highlight w:val="none"/>
          <w:lang w:eastAsia="zh-CN"/>
        </w:rPr>
        <w:t>（</w:t>
      </w:r>
      <w:r>
        <w:rPr>
          <w:rFonts w:hint="eastAsia" w:ascii="华文仿宋" w:hAnsi="华文仿宋" w:cs="华文仿宋"/>
          <w:b/>
          <w:bCs/>
          <w:highlight w:val="none"/>
          <w:lang w:val="en-US" w:eastAsia="zh-CN"/>
        </w:rPr>
        <w:t>第三标段适用</w:t>
      </w:r>
      <w:r>
        <w:rPr>
          <w:rFonts w:hint="eastAsia" w:ascii="华文仿宋" w:hAnsi="华文仿宋" w:cs="华文仿宋"/>
          <w:b/>
          <w:bCs/>
          <w:highlight w:val="none"/>
          <w:lang w:eastAsia="zh-CN"/>
        </w:rPr>
        <w:t>）</w:t>
      </w:r>
    </w:p>
    <w:tbl>
      <w:tblPr>
        <w:tblStyle w:val="19"/>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jc w:val="center"/>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7188" w:type="dxa"/>
            <w:tcBorders>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adjustRightInd w:val="0"/>
              <w:snapToGrid w:val="0"/>
              <w:spacing w:line="360" w:lineRule="exact"/>
              <w:ind w:firstLine="486" w:firstLineChars="200"/>
              <w:jc w:val="center"/>
              <w:textAlignment w:val="auto"/>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rPr>
              <w:t>投标价格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50</w:t>
            </w:r>
          </w:p>
        </w:tc>
        <w:tc>
          <w:tcPr>
            <w:tcW w:w="7188"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hint="eastAsia" w:ascii="仿宋" w:hAnsi="仿宋" w:eastAsia="仿宋" w:cs="仿宋"/>
                <w:sz w:val="24"/>
                <w:szCs w:val="24"/>
                <w:highlight w:val="none"/>
              </w:rPr>
              <w:t>有效投标人的最低报价为评标基准价得</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分，其他各投标人的报价得分按下列公式计算：（评标基准价/投标报价）×</w:t>
            </w:r>
            <w:r>
              <w:rPr>
                <w:rFonts w:hint="eastAsia" w:ascii="仿宋" w:hAnsi="仿宋" w:eastAsia="仿宋" w:cs="仿宋"/>
                <w:sz w:val="24"/>
                <w:szCs w:val="24"/>
                <w:highlight w:val="none"/>
                <w:lang w:val="en-US" w:eastAsia="zh-CN"/>
              </w:rPr>
              <w:t>50</w:t>
            </w:r>
            <w:r>
              <w:rPr>
                <w:rFonts w:hint="eastAsia" w:ascii="仿宋" w:hAnsi="仿宋" w:eastAsia="仿宋" w:cs="仿宋"/>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参数响应</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w:t>
            </w:r>
          </w:p>
        </w:tc>
        <w:tc>
          <w:tcPr>
            <w:tcW w:w="7188" w:type="dxa"/>
            <w:tcBorders>
              <w:top w:val="single" w:color="auto" w:sz="4" w:space="0"/>
              <w:left w:val="single" w:color="auto" w:sz="4" w:space="0"/>
              <w:bottom w:val="single" w:color="auto" w:sz="4" w:space="0"/>
              <w:right w:val="single" w:color="auto" w:sz="4" w:space="0"/>
            </w:tcBorders>
            <w:noWrap w:val="0"/>
            <w:vAlign w:val="top"/>
          </w:tcPr>
          <w:p>
            <w:pPr>
              <w:rPr>
                <w:highlight w:val="none"/>
              </w:rPr>
            </w:pPr>
            <w:r>
              <w:rPr>
                <w:rFonts w:hint="eastAsia" w:ascii="仿宋" w:hAnsi="仿宋" w:eastAsia="仿宋" w:cs="仿宋"/>
                <w:color w:val="000000"/>
                <w:sz w:val="24"/>
                <w:highlight w:val="none"/>
                <w:lang w:eastAsia="zh-CN"/>
              </w:rPr>
              <w:t>所投产品技术参数清楚、明确并能逐条响应招标文件第四章“技术参数表”中所有</w:t>
            </w:r>
            <w:r>
              <w:rPr>
                <w:rFonts w:hint="eastAsia" w:ascii="仿宋" w:hAnsi="仿宋" w:eastAsia="仿宋" w:cs="仿宋"/>
                <w:color w:val="000000"/>
                <w:sz w:val="24"/>
                <w:szCs w:val="24"/>
                <w:highlight w:val="none"/>
                <w:lang w:eastAsia="zh-CN"/>
              </w:rPr>
              <w:t>▲项（</w:t>
            </w:r>
            <w:r>
              <w:rPr>
                <w:rFonts w:hint="eastAsia" w:ascii="仿宋" w:hAnsi="仿宋" w:eastAsia="仿宋" w:cs="仿宋"/>
                <w:color w:val="000000"/>
                <w:sz w:val="24"/>
                <w:szCs w:val="24"/>
                <w:highlight w:val="none"/>
                <w:lang w:val="en-US" w:eastAsia="zh-CN"/>
              </w:rPr>
              <w:t>14</w:t>
            </w:r>
            <w:r>
              <w:rPr>
                <w:rFonts w:hint="eastAsia" w:ascii="仿宋" w:hAnsi="仿宋" w:eastAsia="仿宋" w:cs="仿宋"/>
                <w:color w:val="000000"/>
                <w:sz w:val="24"/>
                <w:szCs w:val="24"/>
                <w:highlight w:val="none"/>
                <w:lang w:eastAsia="zh-CN"/>
              </w:rPr>
              <w:t>项）</w:t>
            </w:r>
            <w:r>
              <w:rPr>
                <w:rFonts w:hint="eastAsia" w:ascii="仿宋" w:hAnsi="仿宋" w:eastAsia="仿宋" w:cs="仿宋"/>
                <w:bCs/>
                <w:sz w:val="24"/>
                <w:szCs w:val="24"/>
                <w:highlight w:val="none"/>
                <w:lang w:eastAsia="zh-CN"/>
              </w:rPr>
              <w:t>参数</w:t>
            </w:r>
            <w:r>
              <w:rPr>
                <w:rFonts w:hint="eastAsia" w:ascii="仿宋" w:hAnsi="仿宋" w:eastAsia="仿宋" w:cs="仿宋"/>
                <w:color w:val="000000"/>
                <w:sz w:val="24"/>
                <w:highlight w:val="none"/>
                <w:lang w:eastAsia="zh-CN"/>
              </w:rPr>
              <w:t>要求，得</w:t>
            </w:r>
            <w:r>
              <w:rPr>
                <w:rFonts w:hint="eastAsia" w:ascii="仿宋" w:hAnsi="仿宋" w:eastAsia="仿宋" w:cs="仿宋"/>
                <w:color w:val="000000"/>
                <w:sz w:val="24"/>
                <w:highlight w:val="none"/>
                <w:lang w:val="en-US" w:eastAsia="zh-CN"/>
              </w:rPr>
              <w:t>21</w:t>
            </w:r>
            <w:r>
              <w:rPr>
                <w:rFonts w:hint="eastAsia" w:ascii="仿宋" w:hAnsi="仿宋" w:eastAsia="仿宋" w:cs="仿宋"/>
                <w:color w:val="000000"/>
                <w:sz w:val="24"/>
                <w:highlight w:val="none"/>
                <w:lang w:eastAsia="zh-CN"/>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eastAsia="zh-CN" w:bidi="ar"/>
              </w:rPr>
              <w:t>每项负偏离扣</w:t>
            </w:r>
            <w:r>
              <w:rPr>
                <w:rFonts w:hint="eastAsia" w:ascii="仿宋" w:hAnsi="仿宋" w:eastAsia="仿宋" w:cs="仿宋"/>
                <w:color w:val="000000"/>
                <w:sz w:val="24"/>
                <w:szCs w:val="24"/>
                <w:highlight w:val="none"/>
                <w:lang w:val="en-US" w:eastAsia="zh-CN"/>
              </w:rPr>
              <w:t>1.5</w:t>
            </w:r>
            <w:r>
              <w:rPr>
                <w:rFonts w:hint="eastAsia" w:ascii="仿宋" w:hAnsi="仿宋" w:eastAsia="仿宋" w:cs="仿宋"/>
                <w:color w:val="000000"/>
                <w:sz w:val="24"/>
                <w:szCs w:val="24"/>
                <w:highlight w:val="none"/>
                <w:lang w:eastAsia="zh-CN"/>
              </w:rPr>
              <w:t>分，扣完为止。</w:t>
            </w:r>
          </w:p>
          <w:p>
            <w:pPr>
              <w:pStyle w:val="25"/>
              <w:keepNext w:val="0"/>
              <w:pageBreakBefore w:val="0"/>
              <w:widowControl/>
              <w:numPr>
                <w:ilvl w:val="0"/>
                <w:numId w:val="0"/>
              </w:numPr>
              <w:kinsoku/>
              <w:wordWrap/>
              <w:overflowPunct/>
              <w:topLinePunct w:val="0"/>
              <w:autoSpaceDE/>
              <w:autoSpaceDN/>
              <w:bidi w:val="0"/>
              <w:spacing w:line="420" w:lineRule="exact"/>
              <w:jc w:val="both"/>
              <w:textAlignment w:val="auto"/>
              <w:rPr>
                <w:rFonts w:hint="default" w:ascii="仿宋" w:hAnsi="仿宋" w:eastAsia="仿宋" w:cs="仿宋"/>
                <w:szCs w:val="24"/>
                <w:highlight w:val="none"/>
                <w:lang w:val="en-US" w:eastAsia="zh-CN"/>
              </w:rPr>
            </w:pPr>
            <w:r>
              <w:rPr>
                <w:rFonts w:hint="eastAsia" w:ascii="仿宋" w:hAnsi="仿宋" w:eastAsia="仿宋" w:cs="仿宋"/>
                <w:b/>
                <w:bCs/>
                <w:kern w:val="0"/>
                <w:sz w:val="24"/>
                <w:szCs w:val="24"/>
                <w:highlight w:val="none"/>
              </w:rPr>
              <w:t>备注：所有</w:t>
            </w:r>
            <w:r>
              <w:rPr>
                <w:rFonts w:hint="eastAsia" w:ascii="仿宋" w:hAnsi="仿宋" w:eastAsia="仿宋" w:cs="仿宋"/>
                <w:b/>
                <w:bCs/>
                <w:kern w:val="0"/>
                <w:sz w:val="24"/>
                <w:szCs w:val="24"/>
                <w:highlight w:val="none"/>
                <w:lang w:eastAsia="zh-CN"/>
              </w:rPr>
              <w:t>▲项</w:t>
            </w:r>
            <w:r>
              <w:rPr>
                <w:rFonts w:hint="eastAsia" w:ascii="仿宋" w:hAnsi="仿宋" w:eastAsia="仿宋" w:cs="仿宋"/>
                <w:b/>
                <w:bCs/>
                <w:kern w:val="0"/>
                <w:sz w:val="24"/>
                <w:szCs w:val="24"/>
                <w:highlight w:val="none"/>
                <w:lang w:val="en-US" w:eastAsia="zh-CN"/>
              </w:rPr>
              <w:t>需提供</w:t>
            </w:r>
            <w:r>
              <w:rPr>
                <w:rFonts w:hint="eastAsia" w:ascii="仿宋" w:hAnsi="仿宋" w:eastAsia="仿宋" w:cs="仿宋"/>
                <w:b/>
                <w:bCs/>
                <w:kern w:val="0"/>
                <w:sz w:val="24"/>
                <w:szCs w:val="24"/>
                <w:highlight w:val="none"/>
              </w:rPr>
              <w:t>佐证材料，佐证材料例如：国家认可的检测机构出具的检测报告、制造商检验报告、产品彩页、官网功能截图任意一种，不提供或缺漏项不得分。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autoSpaceDE/>
              <w:autoSpaceDN/>
              <w:adjustRightInd w:val="0"/>
              <w:spacing w:afterLines="0" w:line="380" w:lineRule="exact"/>
              <w:jc w:val="center"/>
              <w:rPr>
                <w:rFonts w:hint="eastAsia" w:ascii="仿宋" w:hAnsi="仿宋" w:eastAsia="仿宋" w:cs="仿宋"/>
                <w:kern w:val="0"/>
                <w:sz w:val="24"/>
                <w:szCs w:val="24"/>
                <w:lang w:val="en-US" w:eastAsia="zh-CN" w:bidi="ar-SA"/>
              </w:rPr>
            </w:pPr>
            <w:r>
              <w:rPr>
                <w:rFonts w:hint="eastAsia" w:ascii="仿宋" w:hAnsi="仿宋" w:eastAsia="仿宋" w:cs="仿宋"/>
                <w:sz w:val="24"/>
                <w:szCs w:val="24"/>
              </w:rPr>
              <w:t>未标参数响应</w:t>
            </w:r>
          </w:p>
        </w:tc>
        <w:tc>
          <w:tcPr>
            <w:tcW w:w="750" w:type="dxa"/>
            <w:tcBorders>
              <w:left w:val="single" w:color="auto" w:sz="4" w:space="0"/>
              <w:right w:val="single" w:color="auto" w:sz="4" w:space="0"/>
            </w:tcBorders>
            <w:noWrap w:val="0"/>
            <w:vAlign w:val="center"/>
          </w:tcPr>
          <w:p>
            <w:pPr>
              <w:autoSpaceDE/>
              <w:autoSpaceDN/>
              <w:adjustRightInd w:val="0"/>
              <w:spacing w:afterLines="0" w:line="380" w:lineRule="exact"/>
              <w:jc w:val="center"/>
              <w:rPr>
                <w:rFonts w:hint="default" w:ascii="仿宋" w:hAnsi="仿宋" w:eastAsia="仿宋" w:cs="仿宋"/>
                <w:bCs/>
                <w:kern w:val="2"/>
                <w:sz w:val="24"/>
                <w:szCs w:val="24"/>
                <w:lang w:val="en-US" w:eastAsia="zh-CN" w:bidi="ar-SA"/>
              </w:rPr>
            </w:pPr>
            <w:r>
              <w:rPr>
                <w:rFonts w:hint="eastAsia" w:ascii="仿宋" w:hAnsi="仿宋" w:eastAsia="仿宋" w:cs="仿宋"/>
                <w:bCs/>
                <w:sz w:val="24"/>
                <w:szCs w:val="24"/>
                <w:lang w:val="en-US" w:eastAsia="zh-CN"/>
              </w:rPr>
              <w:t>1.5</w:t>
            </w:r>
          </w:p>
        </w:tc>
        <w:tc>
          <w:tcPr>
            <w:tcW w:w="7188" w:type="dxa"/>
            <w:tcBorders>
              <w:left w:val="single" w:color="auto" w:sz="4" w:space="0"/>
              <w:right w:val="single" w:color="auto" w:sz="4" w:space="0"/>
            </w:tcBorders>
            <w:noWrap w:val="0"/>
            <w:vAlign w:val="center"/>
          </w:tcPr>
          <w:p>
            <w:pPr>
              <w:pStyle w:val="25"/>
              <w:autoSpaceDE/>
              <w:autoSpaceDN/>
              <w:spacing w:afterLines="0" w:line="380" w:lineRule="exact"/>
              <w:jc w:val="both"/>
              <w:rPr>
                <w:rFonts w:hint="eastAsia" w:ascii="仿宋" w:hAnsi="仿宋" w:eastAsia="仿宋" w:cs="仿宋"/>
                <w:kern w:val="0"/>
                <w:sz w:val="24"/>
                <w:szCs w:val="24"/>
                <w:highlight w:val="none"/>
                <w:lang w:val="en-US" w:eastAsia="en-US" w:bidi="ar-SA"/>
              </w:rPr>
            </w:pPr>
            <w:r>
              <w:rPr>
                <w:rFonts w:hint="eastAsia" w:ascii="仿宋" w:hAnsi="仿宋" w:eastAsia="仿宋" w:cs="仿宋"/>
                <w:kern w:val="2"/>
                <w:sz w:val="24"/>
                <w:szCs w:val="24"/>
                <w:lang w:eastAsia="zh-CN"/>
              </w:rPr>
              <w:t>投标人承诺：其他未标注项参数全部满足招标文件要求，</w:t>
            </w:r>
            <w:r>
              <w:rPr>
                <w:rFonts w:hint="eastAsia" w:ascii="仿宋" w:hAnsi="仿宋" w:eastAsia="仿宋" w:cs="仿宋"/>
                <w:b/>
                <w:bCs/>
                <w:kern w:val="2"/>
                <w:sz w:val="24"/>
                <w:szCs w:val="24"/>
                <w:lang w:val="en-US" w:eastAsia="zh-CN"/>
              </w:rPr>
              <w:t>并在中标验收时能提供承诺参数的佐证材料</w:t>
            </w:r>
            <w:r>
              <w:rPr>
                <w:rFonts w:hint="eastAsia" w:ascii="仿宋" w:hAnsi="仿宋" w:eastAsia="仿宋" w:cs="仿宋"/>
                <w:kern w:val="2"/>
                <w:sz w:val="24"/>
                <w:szCs w:val="24"/>
                <w:lang w:eastAsia="zh-CN"/>
              </w:rPr>
              <w:t>(需提供承诺函，格式自拟)，得</w:t>
            </w:r>
            <w:r>
              <w:rPr>
                <w:rFonts w:hint="eastAsia" w:ascii="仿宋" w:hAnsi="仿宋" w:eastAsia="仿宋" w:cs="仿宋"/>
                <w:kern w:val="2"/>
                <w:sz w:val="24"/>
                <w:szCs w:val="24"/>
                <w:lang w:val="en-US" w:eastAsia="zh-CN"/>
              </w:rPr>
              <w:t>1.5</w:t>
            </w:r>
            <w:r>
              <w:rPr>
                <w:rFonts w:hint="eastAsia" w:ascii="仿宋" w:hAnsi="仿宋" w:eastAsia="仿宋" w:cs="仿宋"/>
                <w:kern w:val="2"/>
                <w:sz w:val="24"/>
                <w:szCs w:val="24"/>
                <w:lang w:eastAsia="zh-CN"/>
              </w:rPr>
              <w:t>分。无承诺不得分。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kern w:val="0"/>
                <w:sz w:val="24"/>
                <w:szCs w:val="24"/>
                <w:highlight w:val="none"/>
              </w:rPr>
              <w:t>实施方案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hint="eastAsia" w:eastAsia="仿宋"/>
                <w:highlight w:val="none"/>
                <w:lang w:val="en-US" w:eastAsia="zh-CN"/>
              </w:rPr>
            </w:pPr>
            <w:r>
              <w:rPr>
                <w:rFonts w:hint="eastAsia" w:ascii="仿宋" w:hAnsi="仿宋" w:eastAsia="仿宋" w:cs="仿宋"/>
                <w:bCs/>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根据</w:t>
            </w:r>
            <w:r>
              <w:rPr>
                <w:rFonts w:hint="eastAsia" w:ascii="仿宋" w:hAnsi="仿宋" w:eastAsia="仿宋" w:cs="仿宋"/>
                <w:kern w:val="0"/>
                <w:sz w:val="24"/>
                <w:szCs w:val="24"/>
                <w:highlight w:val="none"/>
                <w:lang w:eastAsia="zh-CN"/>
              </w:rPr>
              <w:t>标段</w:t>
            </w:r>
            <w:r>
              <w:rPr>
                <w:rFonts w:hint="eastAsia" w:ascii="仿宋" w:hAnsi="仿宋" w:eastAsia="仿宋" w:cs="仿宋"/>
                <w:kern w:val="0"/>
                <w:sz w:val="24"/>
                <w:szCs w:val="24"/>
                <w:highlight w:val="none"/>
              </w:rPr>
              <w:t>实际需求，提供完整详细的</w:t>
            </w:r>
            <w:r>
              <w:rPr>
                <w:rFonts w:hint="eastAsia" w:ascii="仿宋" w:hAnsi="仿宋" w:eastAsia="仿宋" w:cs="仿宋"/>
                <w:kern w:val="0"/>
                <w:sz w:val="24"/>
                <w:szCs w:val="24"/>
                <w:highlight w:val="none"/>
                <w:lang w:eastAsia="zh-CN"/>
              </w:rPr>
              <w:t>标段</w:t>
            </w:r>
            <w:r>
              <w:rPr>
                <w:rFonts w:hint="eastAsia" w:ascii="仿宋" w:hAnsi="仿宋" w:eastAsia="仿宋" w:cs="仿宋"/>
                <w:kern w:val="0"/>
                <w:sz w:val="24"/>
                <w:szCs w:val="24"/>
                <w:highlight w:val="none"/>
              </w:rPr>
              <w:t>实施方案。内容包含</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1、完整性：方案须全面，对评审内容中的各项要求有详细描述；</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kern w:val="0"/>
                <w:sz w:val="24"/>
                <w:szCs w:val="24"/>
                <w:highlight w:val="none"/>
              </w:rPr>
              <w:t>可实施性：切合本</w:t>
            </w:r>
            <w:r>
              <w:rPr>
                <w:rFonts w:hint="eastAsia" w:ascii="仿宋" w:hAnsi="仿宋" w:eastAsia="仿宋" w:cs="仿宋"/>
                <w:kern w:val="0"/>
                <w:sz w:val="24"/>
                <w:szCs w:val="24"/>
                <w:highlight w:val="none"/>
                <w:lang w:eastAsia="zh-CN"/>
              </w:rPr>
              <w:t>标段</w:t>
            </w:r>
            <w:r>
              <w:rPr>
                <w:rFonts w:hint="eastAsia" w:ascii="仿宋" w:hAnsi="仿宋" w:eastAsia="仿宋" w:cs="仿宋"/>
                <w:kern w:val="0"/>
                <w:sz w:val="24"/>
                <w:szCs w:val="24"/>
                <w:highlight w:val="none"/>
              </w:rPr>
              <w:t>实际情况，实施步骤清晰、合理；</w:t>
            </w:r>
          </w:p>
          <w:p>
            <w:pPr>
              <w:keepNext w:val="0"/>
              <w:pageBreakBefore w:val="0"/>
              <w:widowControl w:val="0"/>
              <w:kinsoku/>
              <w:wordWrap/>
              <w:overflowPunct/>
              <w:topLinePunct w:val="0"/>
              <w:autoSpaceDE/>
              <w:autoSpaceDN/>
              <w:bidi w:val="0"/>
              <w:adjustRightInd w:val="0"/>
              <w:spacing w:line="420" w:lineRule="exact"/>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bCs/>
                <w:sz w:val="24"/>
                <w:szCs w:val="24"/>
                <w:highlight w:val="none"/>
                <w:lang w:eastAsia="zh-CN"/>
              </w:rPr>
              <w:t>标段</w:t>
            </w:r>
            <w:r>
              <w:rPr>
                <w:rFonts w:hint="eastAsia" w:ascii="仿宋" w:hAnsi="仿宋" w:eastAsia="仿宋" w:cs="仿宋"/>
                <w:bCs/>
                <w:sz w:val="24"/>
                <w:szCs w:val="24"/>
                <w:highlight w:val="none"/>
              </w:rPr>
              <w:t>实际情况，内容科学合理。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3</w:t>
            </w:r>
            <w:r>
              <w:rPr>
                <w:rFonts w:hint="eastAsia" w:ascii="仿宋" w:hAnsi="仿宋" w:eastAsia="仿宋" w:cs="仿宋"/>
                <w:b/>
                <w:bCs/>
                <w:kern w:val="0"/>
                <w:sz w:val="24"/>
                <w:szCs w:val="24"/>
                <w:highlight w:val="none"/>
              </w:rPr>
              <w:t>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①供货运输方</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安装验收方案：每完全满足一个评审标准得</w:t>
            </w:r>
            <w:r>
              <w:rPr>
                <w:rFonts w:hint="eastAsia" w:ascii="仿宋" w:hAnsi="仿宋" w:eastAsia="仿宋" w:cs="仿宋"/>
                <w:kern w:val="0"/>
                <w:sz w:val="24"/>
                <w:szCs w:val="24"/>
                <w:highlight w:val="none"/>
                <w:lang w:val="en-US" w:eastAsia="zh-CN"/>
              </w:rPr>
              <w:t>0.5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分；</w:t>
            </w:r>
          </w:p>
          <w:p>
            <w:pPr>
              <w:adjustRightInd w:val="0"/>
              <w:rPr>
                <w:rFonts w:ascii="仿宋" w:hAnsi="仿宋" w:eastAsia="仿宋" w:cs="仿宋"/>
                <w:highlight w:val="none"/>
              </w:rPr>
            </w:pPr>
            <w:r>
              <w:rPr>
                <w:rFonts w:hint="eastAsia" w:ascii="仿宋" w:hAnsi="仿宋" w:eastAsia="仿宋" w:cs="仿宋"/>
                <w:kern w:val="0"/>
                <w:sz w:val="24"/>
                <w:szCs w:val="24"/>
                <w:highlight w:val="none"/>
              </w:rPr>
              <w:t>②人员配备</w:t>
            </w:r>
            <w:r>
              <w:rPr>
                <w:rFonts w:hint="eastAsia" w:ascii="仿宋" w:hAnsi="仿宋" w:eastAsia="仿宋" w:cs="仿宋"/>
                <w:kern w:val="0"/>
                <w:sz w:val="24"/>
                <w:szCs w:val="24"/>
                <w:highlight w:val="none"/>
                <w:lang w:val="en-US" w:eastAsia="zh-CN"/>
              </w:rPr>
              <w:t>及</w:t>
            </w:r>
            <w:r>
              <w:rPr>
                <w:rFonts w:hint="eastAsia" w:ascii="仿宋" w:hAnsi="仿宋" w:eastAsia="仿宋" w:cs="仿宋"/>
                <w:kern w:val="0"/>
                <w:sz w:val="24"/>
                <w:szCs w:val="24"/>
                <w:highlight w:val="none"/>
              </w:rPr>
              <w:t>应急预案:每完全满足一个评审标准得</w:t>
            </w:r>
            <w:r>
              <w:rPr>
                <w:rFonts w:hint="eastAsia" w:ascii="仿宋" w:hAnsi="仿宋" w:eastAsia="仿宋" w:cs="仿宋"/>
                <w:kern w:val="0"/>
                <w:sz w:val="24"/>
                <w:szCs w:val="24"/>
                <w:highlight w:val="none"/>
                <w:lang w:val="en-US" w:eastAsia="zh-CN"/>
              </w:rPr>
              <w:t>0.5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36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质量保证方案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3</w:t>
            </w:r>
          </w:p>
        </w:tc>
        <w:tc>
          <w:tcPr>
            <w:tcW w:w="7188" w:type="dxa"/>
            <w:tcBorders>
              <w:left w:val="single" w:color="auto" w:sz="4" w:space="0"/>
              <w:right w:val="single" w:color="auto" w:sz="4" w:space="0"/>
            </w:tcBorders>
            <w:noWrap w:val="0"/>
            <w:vAlign w:val="center"/>
          </w:tcPr>
          <w:p>
            <w:pPr>
              <w:keepNext w:val="0"/>
              <w:keepLines w:val="0"/>
              <w:pageBreakBefore w:val="0"/>
              <w:widowControl/>
              <w:numPr>
                <w:ilvl w:val="-1"/>
                <w:numId w:val="0"/>
              </w:numPr>
              <w:kinsoku/>
              <w:wordWrap/>
              <w:overflowPunct/>
              <w:topLinePunct w:val="0"/>
              <w:autoSpaceDE/>
              <w:autoSpaceDN/>
              <w:bidi w:val="0"/>
              <w:adjustRightInd/>
              <w:snapToGrid/>
              <w:spacing w:afterLines="-2147483648" w:line="240" w:lineRule="auto"/>
              <w:ind w:left="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评审内容</w:t>
            </w:r>
          </w:p>
          <w:p>
            <w:pPr>
              <w:adjustRightInd/>
              <w:spacing w:afterLines="-2147483648" w:line="240" w:lineRule="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实际需要，提供质量保证方案。方案内容包含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①产品</w:t>
            </w:r>
            <w:r>
              <w:rPr>
                <w:rFonts w:hint="eastAsia" w:ascii="仿宋" w:hAnsi="仿宋" w:eastAsia="仿宋" w:cs="仿宋"/>
                <w:color w:val="auto"/>
                <w:kern w:val="0"/>
                <w:sz w:val="24"/>
                <w:szCs w:val="24"/>
                <w:highlight w:val="none"/>
                <w:lang w:val="en-US" w:eastAsia="zh-CN"/>
              </w:rPr>
              <w:t>性能保障</w:t>
            </w:r>
            <w:r>
              <w:rPr>
                <w:rFonts w:hint="eastAsia" w:ascii="仿宋" w:hAnsi="仿宋" w:eastAsia="仿宋" w:cs="仿宋"/>
                <w:color w:val="auto"/>
                <w:kern w:val="0"/>
                <w:sz w:val="24"/>
                <w:szCs w:val="24"/>
                <w:highlight w:val="none"/>
              </w:rPr>
              <w:t>②质量管理体系</w:t>
            </w:r>
            <w:r>
              <w:rPr>
                <w:rFonts w:hint="eastAsia" w:ascii="仿宋" w:hAnsi="仿宋" w:eastAsia="仿宋" w:cs="仿宋"/>
                <w:color w:val="auto"/>
                <w:kern w:val="0"/>
                <w:sz w:val="24"/>
                <w:szCs w:val="24"/>
                <w:highlight w:val="none"/>
                <w:lang w:val="en-US" w:eastAsia="zh-CN"/>
              </w:rPr>
              <w:t>及</w:t>
            </w:r>
            <w:r>
              <w:rPr>
                <w:rFonts w:hint="eastAsia" w:ascii="仿宋" w:hAnsi="仿宋" w:eastAsia="仿宋" w:cs="仿宋"/>
                <w:color w:val="auto"/>
                <w:kern w:val="0"/>
                <w:sz w:val="24"/>
                <w:szCs w:val="24"/>
                <w:highlight w:val="none"/>
              </w:rPr>
              <w:t>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p>
          <w:p>
            <w:pPr>
              <w:keepNext w:val="0"/>
              <w:keepLines w:val="0"/>
              <w:pageBreakBefore w:val="0"/>
              <w:widowControl/>
              <w:numPr>
                <w:ilvl w:val="-1"/>
                <w:numId w:val="0"/>
              </w:numPr>
              <w:kinsoku/>
              <w:wordWrap/>
              <w:overflowPunct/>
              <w:topLinePunct w:val="0"/>
              <w:autoSpaceDE/>
              <w:autoSpaceDN/>
              <w:bidi w:val="0"/>
              <w:adjustRightInd/>
              <w:snapToGrid/>
              <w:spacing w:afterLines="-2147483648" w:line="240" w:lineRule="auto"/>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二、评审标准</w:t>
            </w:r>
          </w:p>
          <w:p>
            <w:pPr>
              <w:keepNext w:val="0"/>
              <w:keepLines w:val="0"/>
              <w:pageBreakBefore w:val="0"/>
              <w:widowControl/>
              <w:kinsoku/>
              <w:wordWrap/>
              <w:overflowPunct/>
              <w:topLinePunct w:val="0"/>
              <w:bidi w:val="0"/>
              <w:snapToGrid/>
              <w:spacing w:afterLines="-2147483648" w:line="240" w:lineRule="auto"/>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1、完整性：方案必须全面，对评审内容中的各项要求有详细描述；</w:t>
            </w:r>
          </w:p>
          <w:p>
            <w:pPr>
              <w:keepNext w:val="0"/>
              <w:keepLines w:val="0"/>
              <w:pageBreakBefore w:val="0"/>
              <w:widowControl/>
              <w:kinsoku/>
              <w:wordWrap/>
              <w:overflowPunct/>
              <w:topLinePunct w:val="0"/>
              <w:bidi w:val="0"/>
              <w:snapToGrid/>
              <w:spacing w:afterLines="-2147483648" w:line="240" w:lineRule="auto"/>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2、可实施性：切合本</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实际情况，提出步骤清晰、合理的方案；</w:t>
            </w:r>
          </w:p>
          <w:p>
            <w:pPr>
              <w:keepNext w:val="0"/>
              <w:keepLines w:val="0"/>
              <w:pageBreakBefore w:val="0"/>
              <w:widowControl/>
              <w:kinsoku/>
              <w:wordWrap/>
              <w:overflowPunct/>
              <w:topLinePunct w:val="0"/>
              <w:bidi w:val="0"/>
              <w:snapToGrid/>
              <w:spacing w:afterLines="-2147483648" w:line="240" w:lineRule="auto"/>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3、针对性：方案能够紧扣</w:t>
            </w:r>
            <w:r>
              <w:rPr>
                <w:rFonts w:hint="eastAsia" w:ascii="仿宋" w:hAnsi="仿宋" w:eastAsia="仿宋" w:cs="仿宋"/>
                <w:color w:val="auto"/>
                <w:sz w:val="24"/>
                <w:szCs w:val="24"/>
                <w:highlight w:val="none"/>
                <w:lang w:eastAsia="zh-CN"/>
              </w:rPr>
              <w:t>标段</w:t>
            </w:r>
            <w:r>
              <w:rPr>
                <w:rFonts w:hint="eastAsia" w:ascii="仿宋" w:hAnsi="仿宋" w:eastAsia="仿宋" w:cs="仿宋"/>
                <w:color w:val="auto"/>
                <w:sz w:val="24"/>
                <w:szCs w:val="24"/>
                <w:highlight w:val="none"/>
              </w:rPr>
              <w:t>实际情况，内容科学合理。</w:t>
            </w:r>
          </w:p>
          <w:p>
            <w:pPr>
              <w:keepNext w:val="0"/>
              <w:keepLines w:val="0"/>
              <w:pageBreakBefore w:val="0"/>
              <w:widowControl/>
              <w:kinsoku/>
              <w:wordWrap/>
              <w:overflowPunct/>
              <w:topLinePunct w:val="0"/>
              <w:bidi w:val="0"/>
              <w:snapToGrid/>
              <w:spacing w:afterLines="-2147483648" w:line="240" w:lineRule="auto"/>
              <w:ind w:left="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三、赋分标准（满分</w:t>
            </w:r>
            <w:r>
              <w:rPr>
                <w:rFonts w:hint="eastAsia" w:ascii="仿宋" w:hAnsi="仿宋" w:eastAsia="仿宋" w:cs="仿宋"/>
                <w:b/>
                <w:bCs/>
                <w:color w:val="auto"/>
                <w:kern w:val="0"/>
                <w:sz w:val="24"/>
                <w:szCs w:val="24"/>
                <w:highlight w:val="none"/>
                <w:lang w:val="en-US" w:eastAsia="zh-CN" w:bidi="ar"/>
              </w:rPr>
              <w:t>3</w:t>
            </w:r>
            <w:r>
              <w:rPr>
                <w:rFonts w:hint="eastAsia" w:ascii="仿宋" w:hAnsi="仿宋" w:eastAsia="仿宋" w:cs="仿宋"/>
                <w:b/>
                <w:bCs/>
                <w:color w:val="auto"/>
                <w:kern w:val="0"/>
                <w:sz w:val="24"/>
                <w:szCs w:val="24"/>
                <w:highlight w:val="none"/>
                <w:lang w:bidi="ar"/>
              </w:rPr>
              <w:t>分）</w:t>
            </w:r>
          </w:p>
          <w:p>
            <w:pPr>
              <w:keepNext w:val="0"/>
              <w:keepLines w:val="0"/>
              <w:pageBreakBefore w:val="0"/>
              <w:widowControl/>
              <w:kinsoku/>
              <w:wordWrap/>
              <w:overflowPunct/>
              <w:topLinePunct w:val="0"/>
              <w:bidi w:val="0"/>
              <w:snapToGrid/>
              <w:spacing w:afterLines="-2147483648" w:line="240" w:lineRule="auto"/>
              <w:ind w:lef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kern w:val="0"/>
                <w:sz w:val="24"/>
                <w:szCs w:val="24"/>
                <w:highlight w:val="none"/>
              </w:rPr>
              <w:t>产品</w:t>
            </w:r>
            <w:r>
              <w:rPr>
                <w:rFonts w:hint="eastAsia" w:ascii="仿宋" w:hAnsi="仿宋" w:eastAsia="仿宋" w:cs="仿宋"/>
                <w:color w:val="auto"/>
                <w:kern w:val="0"/>
                <w:sz w:val="24"/>
                <w:szCs w:val="24"/>
                <w:highlight w:val="none"/>
                <w:lang w:val="en-US" w:eastAsia="zh-CN"/>
              </w:rPr>
              <w:t>性能保障</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pPr>
              <w:keepNext w:val="0"/>
              <w:keepLines w:val="0"/>
              <w:pageBreakBefore w:val="0"/>
              <w:widowControl/>
              <w:kinsoku/>
              <w:wordWrap/>
              <w:overflowPunct/>
              <w:topLinePunct w:val="0"/>
              <w:bidi w:val="0"/>
              <w:snapToGrid/>
              <w:spacing w:afterLines="-2147483648" w:line="240" w:lineRule="auto"/>
              <w:ind w:left="0" w:leftChars="0"/>
              <w:textAlignment w:val="auto"/>
              <w:rPr>
                <w:rFonts w:hint="eastAsia" w:ascii="仿宋" w:hAnsi="仿宋" w:eastAsia="仿宋" w:cs="仿宋"/>
                <w:color w:val="auto"/>
                <w:kern w:val="0"/>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kern w:val="0"/>
                <w:sz w:val="24"/>
                <w:szCs w:val="24"/>
                <w:highlight w:val="none"/>
              </w:rPr>
              <w:t>质量管理体系</w:t>
            </w:r>
            <w:r>
              <w:rPr>
                <w:rFonts w:hint="eastAsia" w:ascii="仿宋" w:hAnsi="仿宋" w:eastAsia="仿宋" w:cs="仿宋"/>
                <w:color w:val="auto"/>
                <w:kern w:val="0"/>
                <w:sz w:val="24"/>
                <w:szCs w:val="24"/>
                <w:highlight w:val="none"/>
                <w:lang w:val="en-US" w:eastAsia="zh-CN"/>
              </w:rPr>
              <w:t>及</w:t>
            </w:r>
            <w:r>
              <w:rPr>
                <w:rFonts w:hint="eastAsia" w:ascii="仿宋" w:hAnsi="仿宋" w:eastAsia="仿宋" w:cs="仿宋"/>
                <w:color w:val="auto"/>
                <w:kern w:val="0"/>
                <w:sz w:val="24"/>
                <w:szCs w:val="24"/>
                <w:highlight w:val="none"/>
              </w:rPr>
              <w:t>保</w:t>
            </w:r>
            <w:r>
              <w:rPr>
                <w:rFonts w:hint="eastAsia" w:ascii="仿宋" w:hAnsi="仿宋" w:eastAsia="仿宋" w:cs="仿宋"/>
                <w:color w:val="auto"/>
                <w:kern w:val="0"/>
                <w:sz w:val="24"/>
                <w:szCs w:val="24"/>
                <w:highlight w:val="none"/>
                <w:lang w:val="en-US" w:eastAsia="zh-CN"/>
              </w:rPr>
              <w:t>障</w:t>
            </w:r>
            <w:r>
              <w:rPr>
                <w:rFonts w:hint="eastAsia" w:ascii="仿宋" w:hAnsi="仿宋" w:eastAsia="仿宋" w:cs="仿宋"/>
                <w:color w:val="auto"/>
                <w:kern w:val="0"/>
                <w:sz w:val="24"/>
                <w:szCs w:val="24"/>
                <w:highlight w:val="none"/>
              </w:rPr>
              <w:t>措施</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highlight w:val="none"/>
              </w:rPr>
            </w:pPr>
            <w:r>
              <w:rPr>
                <w:rFonts w:hint="eastAsia" w:ascii="仿宋" w:hAnsi="仿宋" w:eastAsia="仿宋" w:cs="仿宋"/>
                <w:sz w:val="24"/>
                <w:szCs w:val="24"/>
                <w:highlight w:val="none"/>
                <w:lang w:val="en-US" w:eastAsia="zh-CN"/>
              </w:rPr>
              <w:t>设备保障</w:t>
            </w:r>
          </w:p>
        </w:tc>
        <w:tc>
          <w:tcPr>
            <w:tcW w:w="750"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pacing w:afterLines="0"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7188" w:type="dxa"/>
            <w:tcBorders>
              <w:left w:val="single" w:color="auto" w:sz="4" w:space="0"/>
              <w:right w:val="single" w:color="auto" w:sz="4" w:space="0"/>
            </w:tcBorders>
            <w:noWrap w:val="0"/>
            <w:vAlign w:val="center"/>
          </w:tcPr>
          <w:p>
            <w:pPr>
              <w:spacing w:afterLines="-2147483648"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1、投标人提供产品制造商的生产车间图片，得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p>
          <w:p>
            <w:pPr>
              <w:spacing w:afterLines="-2147483648"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2、投标人针对本标段提供</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原材料处理设备</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焊接设备</w:t>
            </w:r>
            <w:r>
              <w:rPr>
                <w:rFonts w:hint="eastAsia" w:ascii="仿宋" w:hAnsi="仿宋" w:eastAsia="仿宋" w:cs="仿宋"/>
                <w:color w:val="auto"/>
                <w:sz w:val="24"/>
                <w:szCs w:val="24"/>
                <w:highlight w:val="none"/>
                <w:lang w:eastAsia="zh-CN"/>
              </w:rPr>
              <w:t>③</w:t>
            </w:r>
            <w:r>
              <w:rPr>
                <w:rFonts w:hint="eastAsia" w:ascii="仿宋" w:hAnsi="仿宋" w:eastAsia="仿宋" w:cs="仿宋"/>
                <w:color w:val="auto"/>
                <w:sz w:val="24"/>
                <w:szCs w:val="24"/>
                <w:highlight w:val="none"/>
              </w:rPr>
              <w:t>切割成型设备</w:t>
            </w: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表面处理设备</w:t>
            </w:r>
            <w:r>
              <w:rPr>
                <w:rFonts w:hint="eastAsia" w:ascii="仿宋" w:hAnsi="仿宋" w:eastAsia="仿宋" w:cs="仿宋"/>
                <w:color w:val="auto"/>
                <w:sz w:val="24"/>
                <w:szCs w:val="24"/>
                <w:highlight w:val="none"/>
                <w:lang w:eastAsia="zh-CN"/>
              </w:rPr>
              <w:t>⑤</w:t>
            </w:r>
            <w:r>
              <w:rPr>
                <w:rFonts w:hint="eastAsia" w:ascii="仿宋" w:hAnsi="仿宋" w:eastAsia="仿宋" w:cs="仿宋"/>
                <w:color w:val="auto"/>
                <w:sz w:val="24"/>
                <w:szCs w:val="24"/>
                <w:highlight w:val="none"/>
              </w:rPr>
              <w:t>出厂检测设备</w:t>
            </w:r>
            <w:r>
              <w:rPr>
                <w:rFonts w:hint="eastAsia" w:ascii="仿宋" w:hAnsi="仿宋" w:eastAsia="仿宋" w:cs="仿宋"/>
                <w:color w:val="auto"/>
                <w:sz w:val="24"/>
                <w:szCs w:val="24"/>
                <w:highlight w:val="none"/>
                <w:lang w:eastAsia="zh-CN"/>
              </w:rPr>
              <w:t>⑥</w:t>
            </w:r>
            <w:r>
              <w:rPr>
                <w:rFonts w:hint="eastAsia" w:ascii="仿宋" w:hAnsi="仿宋" w:eastAsia="仿宋" w:cs="仿宋"/>
                <w:color w:val="auto"/>
                <w:sz w:val="24"/>
                <w:szCs w:val="24"/>
                <w:highlight w:val="none"/>
              </w:rPr>
              <w:t>辅助设备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lang w:eastAsia="zh-CN"/>
              </w:rPr>
              <w:t>种设备</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配置</w:t>
            </w:r>
            <w:r>
              <w:rPr>
                <w:rFonts w:hint="eastAsia" w:ascii="仿宋" w:hAnsi="仿宋" w:eastAsia="仿宋" w:cs="仿宋"/>
                <w:color w:val="auto"/>
                <w:sz w:val="24"/>
                <w:szCs w:val="24"/>
                <w:highlight w:val="none"/>
              </w:rPr>
              <w:t>清单</w:t>
            </w:r>
            <w:r>
              <w:rPr>
                <w:rFonts w:hint="eastAsia" w:ascii="仿宋" w:hAnsi="仿宋" w:eastAsia="仿宋" w:cs="仿宋"/>
                <w:color w:val="auto"/>
                <w:sz w:val="24"/>
                <w:szCs w:val="24"/>
                <w:highlight w:val="none"/>
                <w:lang w:eastAsia="zh-CN"/>
              </w:rPr>
              <w:t>。</w:t>
            </w:r>
          </w:p>
          <w:p>
            <w:pPr>
              <w:spacing w:afterLines="-2147483648"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赋分依据：配置清单中</w:t>
            </w:r>
            <w:r>
              <w:rPr>
                <w:rFonts w:hint="eastAsia" w:ascii="仿宋" w:hAnsi="仿宋" w:eastAsia="仿宋" w:cs="仿宋"/>
                <w:color w:val="auto"/>
                <w:sz w:val="24"/>
                <w:szCs w:val="24"/>
                <w:highlight w:val="none"/>
              </w:rPr>
              <w:t>，每提供一项设备</w:t>
            </w:r>
            <w:r>
              <w:rPr>
                <w:rFonts w:hint="eastAsia" w:ascii="仿宋" w:hAnsi="仿宋" w:eastAsia="仿宋" w:cs="仿宋"/>
                <w:color w:val="auto"/>
                <w:sz w:val="24"/>
                <w:szCs w:val="24"/>
                <w:highlight w:val="none"/>
                <w:lang w:eastAsia="zh-CN"/>
              </w:rPr>
              <w:t>（同时包含：设备具体名称、图片和台数）</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5分，满</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不提供或缺项不得分。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eastAsia" w:ascii="Calibri Light" w:hAnsi="Calibri Light" w:eastAsia="华文仿宋" w:cs="Calibri Light"/>
                <w:kern w:val="2"/>
                <w:sz w:val="28"/>
                <w:szCs w:val="28"/>
                <w:highlight w:val="none"/>
                <w:lang w:val="en-US" w:eastAsia="zh-CN" w:bidi="ar-SA"/>
              </w:rPr>
            </w:pPr>
            <w:r>
              <w:rPr>
                <w:rFonts w:hint="eastAsia" w:ascii="仿宋" w:hAnsi="仿宋" w:eastAsia="仿宋" w:cs="仿宋"/>
                <w:sz w:val="24"/>
                <w:szCs w:val="24"/>
                <w:highlight w:val="none"/>
              </w:rPr>
              <w:t>来源渠道</w:t>
            </w:r>
          </w:p>
        </w:tc>
        <w:tc>
          <w:tcPr>
            <w:tcW w:w="750" w:type="dxa"/>
            <w:tcBorders>
              <w:left w:val="single" w:color="auto" w:sz="4" w:space="0"/>
              <w:right w:val="single" w:color="auto" w:sz="4" w:space="0"/>
            </w:tcBorders>
            <w:noWrap w:val="0"/>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w:t>
            </w:r>
          </w:p>
        </w:tc>
        <w:tc>
          <w:tcPr>
            <w:tcW w:w="7188" w:type="dxa"/>
            <w:tcBorders>
              <w:left w:val="single" w:color="auto" w:sz="4" w:space="0"/>
              <w:right w:val="single" w:color="auto" w:sz="4" w:space="0"/>
            </w:tcBorders>
            <w:noWrap w:val="0"/>
            <w:vAlign w:val="center"/>
          </w:tcPr>
          <w:p>
            <w:pPr>
              <w:spacing w:afterLines="0" w:line="380" w:lineRule="exact"/>
              <w:rPr>
                <w:rFonts w:ascii="仿宋" w:hAnsi="仿宋" w:eastAsia="仿宋" w:cs="仿宋"/>
                <w:sz w:val="24"/>
                <w:szCs w:val="24"/>
              </w:rPr>
            </w:pPr>
            <w:r>
              <w:rPr>
                <w:rFonts w:hint="eastAsia" w:ascii="仿宋" w:hAnsi="仿宋" w:eastAsia="仿宋" w:cs="仿宋"/>
                <w:sz w:val="24"/>
                <w:szCs w:val="24"/>
              </w:rPr>
              <w:t>投标人提供所投</w:t>
            </w:r>
            <w:r>
              <w:rPr>
                <w:rFonts w:hint="eastAsia" w:ascii="仿宋" w:hAnsi="仿宋" w:eastAsia="仿宋" w:cs="仿宋"/>
                <w:sz w:val="24"/>
                <w:szCs w:val="24"/>
                <w:lang w:val="en-US" w:eastAsia="zh-CN"/>
              </w:rPr>
              <w:t>标段</w:t>
            </w:r>
            <w:r>
              <w:rPr>
                <w:rFonts w:hint="eastAsia" w:ascii="仿宋" w:hAnsi="仿宋" w:eastAsia="仿宋" w:cs="仿宋"/>
                <w:sz w:val="24"/>
                <w:szCs w:val="24"/>
              </w:rPr>
              <w:t>第四章《采购清</w:t>
            </w:r>
            <w:r>
              <w:rPr>
                <w:rFonts w:hint="eastAsia" w:ascii="仿宋" w:hAnsi="仿宋" w:eastAsia="仿宋" w:cs="仿宋"/>
                <w:sz w:val="24"/>
                <w:szCs w:val="24"/>
                <w:highlight w:val="none"/>
              </w:rPr>
              <w:t>单》中</w:t>
            </w:r>
            <w:r>
              <w:rPr>
                <w:rFonts w:hint="eastAsia" w:ascii="仿宋" w:hAnsi="仿宋" w:eastAsia="仿宋" w:cs="仿宋"/>
                <w:sz w:val="24"/>
                <w:szCs w:val="24"/>
                <w:highlight w:val="none"/>
                <w:lang w:val="en-US" w:eastAsia="zh-CN"/>
              </w:rPr>
              <w:t>核心产品货物</w:t>
            </w:r>
            <w:r>
              <w:rPr>
                <w:rFonts w:hint="eastAsia" w:ascii="仿宋" w:hAnsi="仿宋" w:eastAsia="仿宋" w:cs="仿宋"/>
                <w:sz w:val="24"/>
                <w:szCs w:val="24"/>
                <w:highlight w:val="none"/>
              </w:rPr>
              <w:t>的合法来源渠道证明文件或情况说明，</w:t>
            </w:r>
            <w:r>
              <w:rPr>
                <w:rFonts w:hint="eastAsia" w:ascii="仿宋" w:hAnsi="仿宋" w:eastAsia="仿宋" w:cs="仿宋"/>
                <w:sz w:val="24"/>
                <w:szCs w:val="24"/>
                <w:lang w:val="en-US" w:eastAsia="zh-CN"/>
              </w:rPr>
              <w:t>得1分，</w:t>
            </w:r>
            <w:r>
              <w:rPr>
                <w:rFonts w:hint="eastAsia" w:ascii="仿宋" w:hAnsi="仿宋" w:eastAsia="仿宋" w:cs="仿宋"/>
                <w:sz w:val="24"/>
                <w:szCs w:val="24"/>
              </w:rPr>
              <w:t>不提供不得分。</w:t>
            </w:r>
            <w:r>
              <w:rPr>
                <w:rFonts w:hint="eastAsia" w:ascii="仿宋" w:hAnsi="仿宋" w:eastAsia="仿宋" w:cs="仿宋"/>
                <w:kern w:val="0"/>
                <w:sz w:val="24"/>
                <w:szCs w:val="24"/>
              </w:rPr>
              <w:t>投标人可根据自身情况提供以下资料中的任意一种：</w:t>
            </w:r>
          </w:p>
          <w:p>
            <w:pPr>
              <w:spacing w:afterLines="0" w:line="380" w:lineRule="exact"/>
              <w:rPr>
                <w:rFonts w:ascii="仿宋" w:hAnsi="仿宋" w:eastAsia="仿宋" w:cs="仿宋"/>
                <w:sz w:val="24"/>
                <w:szCs w:val="24"/>
              </w:rPr>
            </w:pPr>
            <w:r>
              <w:rPr>
                <w:rFonts w:hint="eastAsia" w:ascii="仿宋" w:hAnsi="仿宋" w:eastAsia="仿宋" w:cs="仿宋"/>
                <w:sz w:val="24"/>
                <w:szCs w:val="24"/>
              </w:rPr>
              <w:t>1、如投标人为所投产品代理商：提供货物的合法来源渠道证明文件（例如：产品制造商授权、销售协议、代理协议等证明文件）</w:t>
            </w:r>
            <w:r>
              <w:rPr>
                <w:rFonts w:hint="eastAsia" w:ascii="仿宋" w:hAnsi="仿宋" w:eastAsia="仿宋" w:cs="仿宋"/>
                <w:sz w:val="24"/>
                <w:szCs w:val="24"/>
                <w:lang w:eastAsia="zh-CN"/>
              </w:rPr>
              <w:t>。</w:t>
            </w:r>
          </w:p>
          <w:p>
            <w:pPr>
              <w:spacing w:afterLines="0" w:line="380" w:lineRule="exact"/>
              <w:rPr>
                <w:rFonts w:ascii="仿宋" w:hAnsi="仿宋" w:eastAsia="仿宋" w:cs="仿宋"/>
                <w:sz w:val="24"/>
                <w:szCs w:val="24"/>
              </w:rPr>
            </w:pPr>
            <w:r>
              <w:rPr>
                <w:rFonts w:hint="eastAsia" w:ascii="仿宋" w:hAnsi="仿宋" w:eastAsia="仿宋" w:cs="仿宋"/>
                <w:sz w:val="24"/>
                <w:szCs w:val="24"/>
              </w:rPr>
              <w:t>2、如投标人为所投产品的制造商：需提供情况说明（说明产品为制造商自己生产）。</w:t>
            </w:r>
          </w:p>
          <w:p>
            <w:pPr>
              <w:spacing w:afterLines="0" w:line="380" w:lineRule="exac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rPr>
              <w:t>备注：以加盖投标人公章的证明材料复印件为计分依据。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ascii="仿宋" w:hAnsi="仿宋" w:eastAsia="仿宋" w:cs="仿宋"/>
                <w:sz w:val="24"/>
                <w:szCs w:val="24"/>
                <w:highlight w:val="none"/>
              </w:rPr>
            </w:pPr>
            <w:r>
              <w:rPr>
                <w:rFonts w:hint="eastAsia" w:ascii="仿宋" w:hAnsi="仿宋" w:eastAsia="仿宋" w:cs="仿宋"/>
                <w:color w:val="000000"/>
                <w:sz w:val="24"/>
                <w:szCs w:val="24"/>
                <w:highlight w:val="none"/>
              </w:rPr>
              <w:t>样品</w:t>
            </w:r>
          </w:p>
        </w:tc>
        <w:tc>
          <w:tcPr>
            <w:tcW w:w="750"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10.5</w:t>
            </w:r>
          </w:p>
        </w:tc>
        <w:tc>
          <w:tcPr>
            <w:tcW w:w="718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一、评审内容</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根据本</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要求，提供以下样品：①</w:t>
            </w:r>
            <w:r>
              <w:rPr>
                <w:rFonts w:hint="eastAsia" w:ascii="仿宋" w:hAnsi="仿宋" w:eastAsia="仿宋" w:cs="仿宋"/>
                <w:sz w:val="24"/>
              </w:rPr>
              <w:t>三层双面书柜面板</w:t>
            </w:r>
            <w:r>
              <w:rPr>
                <w:rFonts w:hint="eastAsia" w:ascii="仿宋" w:hAnsi="仿宋" w:eastAsia="仿宋" w:cs="仿宋"/>
                <w:sz w:val="24"/>
                <w:szCs w:val="24"/>
                <w:highlight w:val="none"/>
              </w:rPr>
              <w:t>②</w:t>
            </w:r>
            <w:r>
              <w:rPr>
                <w:rFonts w:hint="eastAsia" w:ascii="仿宋" w:hAnsi="仿宋" w:eastAsia="仿宋" w:cs="仿宋"/>
                <w:sz w:val="24"/>
              </w:rPr>
              <w:t>三层双面书柜</w:t>
            </w:r>
            <w:r>
              <w:rPr>
                <w:rFonts w:hint="eastAsia" w:ascii="仿宋" w:hAnsi="仿宋" w:eastAsia="仿宋" w:cs="仿宋"/>
                <w:sz w:val="24"/>
                <w:lang w:val="en-US" w:eastAsia="zh-CN"/>
              </w:rPr>
              <w:t>层板</w:t>
            </w:r>
            <w:r>
              <w:rPr>
                <w:rFonts w:hint="default" w:ascii="仿宋" w:hAnsi="仿宋" w:eastAsia="仿宋" w:cs="仿宋"/>
                <w:sz w:val="24"/>
                <w:szCs w:val="24"/>
                <w:highlight w:val="none"/>
                <w:u w:val="none"/>
                <w:lang w:val="en-US" w:eastAsia="zh-CN"/>
              </w:rPr>
              <w:t>③</w:t>
            </w:r>
            <w:r>
              <w:rPr>
                <w:rFonts w:hint="eastAsia" w:ascii="仿宋" w:hAnsi="仿宋" w:eastAsia="仿宋" w:cs="仿宋"/>
                <w:sz w:val="24"/>
              </w:rPr>
              <w:t>六层双面书架立柱</w:t>
            </w:r>
            <w:r>
              <w:rPr>
                <w:rFonts w:hint="eastAsia" w:ascii="仿宋" w:hAnsi="仿宋" w:eastAsia="仿宋" w:cs="仿宋"/>
                <w:sz w:val="24"/>
                <w:szCs w:val="24"/>
                <w:highlight w:val="none"/>
                <w:lang w:val="en-US" w:eastAsia="zh-CN"/>
              </w:rPr>
              <w:t>④</w:t>
            </w:r>
            <w:r>
              <w:rPr>
                <w:rFonts w:hint="eastAsia" w:ascii="仿宋" w:hAnsi="仿宋" w:eastAsia="仿宋" w:cs="仿宋"/>
                <w:sz w:val="24"/>
              </w:rPr>
              <w:t>卡座矮书架面板</w:t>
            </w:r>
            <w:r>
              <w:rPr>
                <w:rFonts w:hint="eastAsia" w:ascii="仿宋" w:hAnsi="仿宋" w:eastAsia="仿宋" w:cs="仿宋"/>
                <w:sz w:val="24"/>
                <w:szCs w:val="24"/>
                <w:highlight w:val="none"/>
                <w:lang w:val="en-US" w:eastAsia="zh-CN"/>
              </w:rPr>
              <w:t>⑤</w:t>
            </w:r>
            <w:r>
              <w:rPr>
                <w:rFonts w:hint="eastAsia" w:ascii="仿宋" w:hAnsi="仿宋" w:eastAsia="仿宋" w:cs="仿宋"/>
                <w:sz w:val="24"/>
              </w:rPr>
              <w:t>卡座矮书架超纤皮</w:t>
            </w:r>
            <w:r>
              <w:rPr>
                <w:rFonts w:hint="eastAsia" w:ascii="仿宋" w:hAnsi="仿宋" w:eastAsia="仿宋" w:cs="仿宋"/>
                <w:sz w:val="24"/>
                <w:szCs w:val="24"/>
                <w:highlight w:val="none"/>
                <w:lang w:val="en-US" w:eastAsia="zh-CN"/>
              </w:rPr>
              <w:t>⑥</w:t>
            </w:r>
            <w:r>
              <w:rPr>
                <w:rFonts w:hint="eastAsia" w:ascii="仿宋" w:hAnsi="仿宋" w:eastAsia="仿宋" w:cs="仿宋"/>
                <w:sz w:val="24"/>
              </w:rPr>
              <w:t>定制展示柜柜体材质</w:t>
            </w:r>
            <w:r>
              <w:rPr>
                <w:rFonts w:hint="eastAsia" w:ascii="仿宋" w:hAnsi="仿宋" w:eastAsia="仿宋" w:cs="仿宋"/>
                <w:sz w:val="24"/>
                <w:szCs w:val="24"/>
                <w:highlight w:val="none"/>
                <w:lang w:val="en-US" w:eastAsia="zh-CN"/>
              </w:rPr>
              <w:t>⑦</w:t>
            </w:r>
            <w:r>
              <w:rPr>
                <w:rFonts w:hint="eastAsia" w:ascii="仿宋" w:hAnsi="仿宋" w:eastAsia="仿宋" w:cs="仿宋"/>
                <w:sz w:val="24"/>
              </w:rPr>
              <w:t>定制展示柜玻璃</w:t>
            </w:r>
            <w:r>
              <w:rPr>
                <w:rFonts w:hint="eastAsia" w:ascii="仿宋" w:hAnsi="仿宋" w:eastAsia="仿宋" w:cs="仿宋"/>
                <w:sz w:val="24"/>
                <w:szCs w:val="24"/>
                <w:highlight w:val="none"/>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二、评审标准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1、外观设计：所提供样品协调美观，具有非常好的整体性、视觉效果；</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、面料材质：所提供样品面料材质满足符合采购人需求；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、制作工艺：样品制作工艺精细、整洁美观。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三、赋分依据（满分</w:t>
            </w:r>
            <w:r>
              <w:rPr>
                <w:rFonts w:hint="eastAsia" w:ascii="仿宋" w:hAnsi="仿宋" w:eastAsia="仿宋" w:cs="仿宋"/>
                <w:b/>
                <w:bCs/>
                <w:sz w:val="24"/>
                <w:szCs w:val="24"/>
                <w:highlight w:val="none"/>
                <w:lang w:val="en-US" w:eastAsia="zh-CN"/>
              </w:rPr>
              <w:t>10.5</w:t>
            </w:r>
            <w:r>
              <w:rPr>
                <w:rFonts w:hint="eastAsia" w:ascii="仿宋" w:hAnsi="仿宋" w:eastAsia="仿宋" w:cs="仿宋"/>
                <w:b/>
                <w:bCs/>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①</w:t>
            </w:r>
            <w:r>
              <w:rPr>
                <w:rFonts w:hint="eastAsia" w:ascii="仿宋" w:hAnsi="仿宋" w:eastAsia="仿宋" w:cs="仿宋"/>
                <w:sz w:val="24"/>
              </w:rPr>
              <w:t>三层双面书柜面板</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②</w:t>
            </w:r>
            <w:r>
              <w:rPr>
                <w:rFonts w:hint="eastAsia" w:ascii="仿宋" w:hAnsi="仿宋" w:eastAsia="仿宋" w:cs="仿宋"/>
                <w:sz w:val="24"/>
              </w:rPr>
              <w:t>三层双面书柜</w:t>
            </w:r>
            <w:r>
              <w:rPr>
                <w:rFonts w:hint="eastAsia" w:ascii="仿宋" w:hAnsi="仿宋" w:eastAsia="仿宋" w:cs="仿宋"/>
                <w:sz w:val="24"/>
                <w:lang w:val="en-US" w:eastAsia="zh-CN"/>
              </w:rPr>
              <w:t>层板</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u w:val="none"/>
                <w:lang w:val="en-US" w:eastAsia="zh-CN"/>
              </w:rPr>
              <w:t>③</w:t>
            </w:r>
            <w:r>
              <w:rPr>
                <w:rFonts w:hint="eastAsia" w:ascii="仿宋" w:hAnsi="仿宋" w:eastAsia="仿宋" w:cs="仿宋"/>
                <w:sz w:val="24"/>
              </w:rPr>
              <w:t>六层双面书架立柱</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④</w:t>
            </w:r>
            <w:r>
              <w:rPr>
                <w:rFonts w:hint="eastAsia" w:ascii="仿宋" w:hAnsi="仿宋" w:eastAsia="仿宋" w:cs="仿宋"/>
                <w:sz w:val="24"/>
              </w:rPr>
              <w:t>卡座矮书架面板</w:t>
            </w:r>
            <w:r>
              <w:rPr>
                <w:rFonts w:hint="eastAsia" w:ascii="仿宋" w:hAnsi="仿宋" w:eastAsia="仿宋" w:cs="仿宋"/>
                <w:sz w:val="24"/>
                <w:szCs w:val="24"/>
                <w:highlight w:val="none"/>
              </w:rPr>
              <w:t>：每完全满足一个评审标准得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⑤</w:t>
            </w:r>
            <w:r>
              <w:rPr>
                <w:rFonts w:hint="eastAsia" w:ascii="仿宋" w:hAnsi="仿宋" w:eastAsia="仿宋" w:cs="仿宋"/>
                <w:sz w:val="24"/>
              </w:rPr>
              <w:t>卡座矮书架超纤皮</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sz w:val="24"/>
                <w:szCs w:val="24"/>
                <w:highlight w:val="none"/>
                <w:lang w:val="en-US" w:eastAsia="zh-CN"/>
              </w:rPr>
              <w:t>⑥</w:t>
            </w:r>
            <w:r>
              <w:rPr>
                <w:rFonts w:hint="eastAsia" w:ascii="仿宋" w:hAnsi="仿宋" w:eastAsia="仿宋" w:cs="仿宋"/>
                <w:sz w:val="24"/>
              </w:rPr>
              <w:t>定制展示柜柜体材质</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
                <w:bCs/>
                <w:sz w:val="24"/>
                <w:szCs w:val="24"/>
                <w:highlight w:val="none"/>
              </w:rPr>
            </w:pPr>
            <w:r>
              <w:rPr>
                <w:rFonts w:hint="eastAsia" w:ascii="仿宋" w:hAnsi="仿宋" w:eastAsia="仿宋" w:cs="仿宋"/>
                <w:sz w:val="24"/>
                <w:szCs w:val="24"/>
                <w:highlight w:val="none"/>
                <w:lang w:val="en-US" w:eastAsia="zh-CN"/>
              </w:rPr>
              <w:t>⑦</w:t>
            </w:r>
            <w:r>
              <w:rPr>
                <w:rFonts w:hint="eastAsia" w:ascii="仿宋" w:hAnsi="仿宋" w:eastAsia="仿宋" w:cs="仿宋"/>
                <w:sz w:val="24"/>
              </w:rPr>
              <w:t>定制展示柜玻璃</w:t>
            </w:r>
            <w:r>
              <w:rPr>
                <w:rFonts w:hint="eastAsia" w:ascii="仿宋" w:hAnsi="仿宋" w:eastAsia="仿宋" w:cs="仿宋"/>
                <w:color w:val="auto"/>
                <w:sz w:val="24"/>
                <w:szCs w:val="24"/>
                <w:highlight w:val="none"/>
              </w:rPr>
              <w:t>：每完全满足一个评审标准得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eastAsia="仿宋"/>
                <w:highlight w:val="none"/>
              </w:rPr>
            </w:pPr>
            <w:r>
              <w:rPr>
                <w:rFonts w:hint="eastAsia" w:ascii="仿宋" w:hAnsi="仿宋" w:eastAsia="仿宋" w:cs="仿宋"/>
                <w:sz w:val="24"/>
                <w:szCs w:val="24"/>
                <w:highlight w:val="none"/>
              </w:rPr>
              <w:t>售后服务方案</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color w:val="000000"/>
                <w:kern w:val="0"/>
                <w:sz w:val="24"/>
                <w:szCs w:val="24"/>
                <w:highlight w:val="none"/>
                <w:lang w:val="en-US" w:eastAsia="zh-CN"/>
              </w:rPr>
            </w:pPr>
            <w:r>
              <w:rPr>
                <w:rFonts w:hint="eastAsia" w:ascii="仿宋" w:hAnsi="仿宋" w:eastAsia="仿宋" w:cs="仿宋"/>
                <w:sz w:val="24"/>
                <w:szCs w:val="24"/>
                <w:highlight w:val="none"/>
                <w:lang w:val="en-US" w:eastAsia="zh-CN"/>
              </w:rPr>
              <w:t>4.5</w:t>
            </w:r>
          </w:p>
        </w:tc>
        <w:tc>
          <w:tcPr>
            <w:tcW w:w="7188" w:type="dxa"/>
            <w:tcBorders>
              <w:left w:val="single" w:color="auto" w:sz="4" w:space="0"/>
              <w:right w:val="single" w:color="auto" w:sz="4" w:space="0"/>
            </w:tcBorders>
            <w:noWrap w:val="0"/>
            <w:vAlign w:val="center"/>
          </w:tcPr>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一、评审内容</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实际需求提供售后服务方案。</w:t>
            </w:r>
            <w:r>
              <w:rPr>
                <w:rFonts w:hint="eastAsia" w:ascii="仿宋" w:hAnsi="仿宋" w:eastAsia="仿宋" w:cs="仿宋"/>
                <w:kern w:val="0"/>
                <w:sz w:val="24"/>
                <w:szCs w:val="24"/>
                <w:highlight w:val="none"/>
              </w:rPr>
              <w:t>内容包含</w:t>
            </w:r>
            <w:r>
              <w:rPr>
                <w:rFonts w:hint="eastAsia" w:ascii="仿宋" w:hAnsi="仿宋" w:eastAsia="仿宋" w:cs="仿宋"/>
                <w:kern w:val="0"/>
                <w:sz w:val="24"/>
                <w:szCs w:val="24"/>
                <w:highlight w:val="none"/>
                <w:lang w:eastAsia="zh-CN"/>
              </w:rPr>
              <w:t>：</w:t>
            </w:r>
            <w:r>
              <w:rPr>
                <w:rFonts w:hint="eastAsia" w:ascii="仿宋" w:hAnsi="仿宋" w:eastAsia="仿宋" w:cs="仿宋"/>
                <w:sz w:val="24"/>
                <w:szCs w:val="24"/>
                <w:highlight w:val="none"/>
              </w:rPr>
              <w:t>①售后服务内容及保障措施②响应时间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w:t>
            </w:r>
            <w:r>
              <w:rPr>
                <w:rFonts w:hint="eastAsia" w:ascii="仿宋" w:hAnsi="仿宋" w:eastAsia="仿宋" w:cs="仿宋"/>
                <w:sz w:val="24"/>
                <w:szCs w:val="24"/>
                <w:highlight w:val="none"/>
                <w:lang w:val="en-US" w:eastAsia="zh-CN"/>
              </w:rPr>
              <w:t>方式</w:t>
            </w:r>
            <w:r>
              <w:rPr>
                <w:rFonts w:hint="eastAsia" w:ascii="仿宋" w:hAnsi="仿宋" w:eastAsia="仿宋" w:cs="仿宋"/>
                <w:sz w:val="24"/>
                <w:szCs w:val="24"/>
                <w:highlight w:val="none"/>
              </w:rPr>
              <w:t>。</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二、评审标准</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1、完整性：方案须全面，对评审内容中的各项要求描述详细；</w:t>
            </w:r>
          </w:p>
          <w:p>
            <w:pPr>
              <w:keepNext w:val="0"/>
              <w:pageBreakBefore w:val="0"/>
              <w:widowControl/>
              <w:kinsoku/>
              <w:wordWrap/>
              <w:overflowPunct/>
              <w:topLinePunct w:val="0"/>
              <w:autoSpaceDE/>
              <w:autoSpaceDN/>
              <w:bidi w:val="0"/>
              <w:adjustRightInd/>
              <w:spacing w:line="240" w:lineRule="auto"/>
              <w:textAlignment w:val="auto"/>
              <w:rPr>
                <w:rFonts w:ascii="仿宋" w:hAnsi="仿宋" w:eastAsia="仿宋" w:cs="仿宋"/>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rPr>
              <w:t>可实施性：切合本</w:t>
            </w:r>
            <w:r>
              <w:rPr>
                <w:rFonts w:hint="eastAsia" w:ascii="仿宋" w:hAnsi="仿宋" w:eastAsia="仿宋" w:cs="仿宋"/>
                <w:sz w:val="24"/>
                <w:szCs w:val="24"/>
                <w:highlight w:val="none"/>
                <w:lang w:eastAsia="zh-CN"/>
              </w:rPr>
              <w:t>标段</w:t>
            </w:r>
            <w:r>
              <w:rPr>
                <w:rFonts w:hint="eastAsia" w:ascii="仿宋" w:hAnsi="仿宋" w:eastAsia="仿宋" w:cs="仿宋"/>
                <w:sz w:val="24"/>
                <w:szCs w:val="24"/>
                <w:highlight w:val="none"/>
              </w:rPr>
              <w:t>实际情况，实施步骤清晰、合理；</w:t>
            </w:r>
          </w:p>
          <w:p>
            <w:pPr>
              <w:keepNext w:val="0"/>
              <w:pageBreakBefore w:val="0"/>
              <w:widowControl/>
              <w:kinsoku/>
              <w:wordWrap/>
              <w:overflowPunct/>
              <w:topLinePunct w:val="0"/>
              <w:bidi w:val="0"/>
              <w:adjustRightInd/>
              <w:spacing w:line="240" w:lineRule="auto"/>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bCs/>
                <w:sz w:val="24"/>
                <w:szCs w:val="24"/>
                <w:highlight w:val="none"/>
                <w:lang w:eastAsia="zh-CN"/>
              </w:rPr>
              <w:t>标段</w:t>
            </w:r>
            <w:r>
              <w:rPr>
                <w:rFonts w:hint="eastAsia" w:ascii="仿宋" w:hAnsi="仿宋" w:eastAsia="仿宋" w:cs="仿宋"/>
                <w:bCs/>
                <w:sz w:val="24"/>
                <w:szCs w:val="24"/>
                <w:highlight w:val="none"/>
              </w:rPr>
              <w:t>实际情况，内容科学合理。</w:t>
            </w:r>
          </w:p>
          <w:p>
            <w:pPr>
              <w:keepNext w:val="0"/>
              <w:pageBreakBefore w:val="0"/>
              <w:widowControl/>
              <w:kinsoku/>
              <w:wordWrap/>
              <w:overflowPunct/>
              <w:topLinePunct w:val="0"/>
              <w:bidi w:val="0"/>
              <w:spacing w:line="240" w:lineRule="auto"/>
              <w:textAlignment w:val="auto"/>
              <w:rPr>
                <w:rFonts w:ascii="仿宋" w:hAnsi="仿宋" w:eastAsia="仿宋" w:cs="仿宋"/>
                <w:b/>
                <w:bCs/>
                <w:kern w:val="0"/>
                <w:sz w:val="24"/>
                <w:szCs w:val="24"/>
                <w:highlight w:val="none"/>
              </w:rPr>
            </w:pPr>
            <w:r>
              <w:rPr>
                <w:rFonts w:hint="eastAsia" w:ascii="仿宋" w:hAnsi="仿宋" w:eastAsia="仿宋" w:cs="仿宋"/>
                <w:b/>
                <w:bCs/>
                <w:sz w:val="24"/>
                <w:szCs w:val="24"/>
                <w:highlight w:val="none"/>
              </w:rPr>
              <w:t>三、</w:t>
            </w:r>
            <w:r>
              <w:rPr>
                <w:rFonts w:hint="eastAsia" w:ascii="仿宋" w:hAnsi="仿宋" w:eastAsia="仿宋" w:cs="仿宋"/>
                <w:b/>
                <w:bCs/>
                <w:kern w:val="0"/>
                <w:sz w:val="24"/>
                <w:szCs w:val="24"/>
                <w:highlight w:val="none"/>
              </w:rPr>
              <w:t>赋分依据（满分</w:t>
            </w:r>
            <w:r>
              <w:rPr>
                <w:rFonts w:hint="eastAsia" w:ascii="仿宋" w:hAnsi="仿宋" w:eastAsia="仿宋" w:cs="仿宋"/>
                <w:b/>
                <w:bCs/>
                <w:kern w:val="0"/>
                <w:sz w:val="24"/>
                <w:szCs w:val="24"/>
                <w:highlight w:val="none"/>
                <w:lang w:val="en-US" w:eastAsia="zh-CN"/>
              </w:rPr>
              <w:t>4.5</w:t>
            </w:r>
            <w:r>
              <w:rPr>
                <w:rFonts w:hint="eastAsia" w:ascii="仿宋" w:hAnsi="仿宋" w:eastAsia="仿宋" w:cs="仿宋"/>
                <w:b/>
                <w:bCs/>
                <w:kern w:val="0"/>
                <w:sz w:val="24"/>
                <w:szCs w:val="24"/>
                <w:highlight w:val="none"/>
              </w:rPr>
              <w:t>分）</w:t>
            </w:r>
          </w:p>
          <w:p>
            <w:pPr>
              <w:keepNext w:val="0"/>
              <w:pageBreakBefore w:val="0"/>
              <w:widowControl/>
              <w:kinsoku/>
              <w:wordWrap/>
              <w:overflowPunct/>
              <w:topLinePunct w:val="0"/>
              <w:bidi w:val="0"/>
              <w:spacing w:line="24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①售后服务内容及保障措施：每完全满足一个评审标准得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p>
          <w:p>
            <w:pPr>
              <w:keepNext w:val="0"/>
              <w:pageBreakBefore w:val="0"/>
              <w:widowControl/>
              <w:kinsoku/>
              <w:wordWrap/>
              <w:overflowPunct/>
              <w:topLinePunct w:val="0"/>
              <w:autoSpaceDE/>
              <w:autoSpaceDN/>
              <w:bidi w:val="0"/>
              <w:adjustRightInd/>
              <w:spacing w:line="240" w:lineRule="auto"/>
              <w:textAlignment w:val="auto"/>
              <w:rPr>
                <w:rFonts w:eastAsia="仿宋"/>
                <w:highlight w:val="none"/>
              </w:rPr>
            </w:pPr>
            <w:r>
              <w:rPr>
                <w:rFonts w:hint="eastAsia" w:ascii="仿宋" w:hAnsi="仿宋" w:eastAsia="仿宋" w:cs="仿宋"/>
                <w:sz w:val="24"/>
                <w:szCs w:val="24"/>
                <w:highlight w:val="none"/>
              </w:rPr>
              <w:t>②响应时间</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响应方式:每完全满足一个评审标准得</w:t>
            </w:r>
            <w:r>
              <w:rPr>
                <w:rFonts w:ascii="仿宋" w:hAnsi="仿宋" w:eastAsia="仿宋" w:cs="仿宋"/>
                <w:sz w:val="24"/>
                <w:szCs w:val="24"/>
                <w:highlight w:val="none"/>
              </w:rPr>
              <w:t>0.5</w:t>
            </w:r>
            <w:r>
              <w:rPr>
                <w:rFonts w:hint="eastAsia" w:ascii="仿宋" w:hAnsi="仿宋" w:eastAsia="仿宋" w:cs="仿宋"/>
                <w:sz w:val="24"/>
                <w:szCs w:val="24"/>
                <w:highlight w:val="none"/>
              </w:rPr>
              <w:t>分，满分1.5分</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bidi w:val="0"/>
              <w:adjustRightInd w:val="0"/>
              <w:spacing w:line="360" w:lineRule="exact"/>
              <w:jc w:val="center"/>
              <w:textAlignment w:val="auto"/>
              <w:rPr>
                <w:highlight w:val="none"/>
              </w:rPr>
            </w:pPr>
            <w:r>
              <w:rPr>
                <w:rFonts w:hint="eastAsia" w:ascii="仿宋" w:hAnsi="仿宋" w:eastAsia="仿宋" w:cs="仿宋"/>
                <w:sz w:val="24"/>
                <w:szCs w:val="24"/>
                <w:highlight w:val="none"/>
              </w:rPr>
              <w:t>业绩</w:t>
            </w:r>
          </w:p>
        </w:tc>
        <w:tc>
          <w:tcPr>
            <w:tcW w:w="750"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center"/>
              <w:textAlignment w:val="auto"/>
              <w:rPr>
                <w:rFonts w:hint="default" w:eastAsia="华文仿宋"/>
                <w:highlight w:val="none"/>
                <w:lang w:val="en-US" w:eastAsia="zh-CN"/>
              </w:rPr>
            </w:pPr>
            <w:r>
              <w:rPr>
                <w:rFonts w:hint="eastAsia" w:ascii="仿宋" w:hAnsi="仿宋" w:eastAsia="仿宋" w:cs="仿宋"/>
                <w:sz w:val="24"/>
                <w:szCs w:val="24"/>
                <w:highlight w:val="none"/>
                <w:lang w:val="en-US" w:eastAsia="zh-CN"/>
              </w:rPr>
              <w:t>2.5</w:t>
            </w:r>
          </w:p>
        </w:tc>
        <w:tc>
          <w:tcPr>
            <w:tcW w:w="7188" w:type="dxa"/>
            <w:tcBorders>
              <w:left w:val="single" w:color="auto" w:sz="4" w:space="0"/>
              <w:right w:val="single" w:color="auto" w:sz="4" w:space="0"/>
            </w:tcBorders>
            <w:noWrap w:val="0"/>
            <w:vAlign w:val="center"/>
          </w:tcPr>
          <w:p>
            <w:pPr>
              <w:keepNext w:val="0"/>
              <w:pageBreakBefore w:val="0"/>
              <w:kinsoku/>
              <w:wordWrap/>
              <w:overflowPunct/>
              <w:topLinePunct w:val="0"/>
              <w:bidi w:val="0"/>
              <w:spacing w:line="400" w:lineRule="exact"/>
              <w:textAlignment w:val="auto"/>
              <w:rPr>
                <w:rFonts w:ascii="仿宋" w:hAnsi="仿宋" w:eastAsia="仿宋" w:cs="仿宋"/>
                <w:sz w:val="24"/>
                <w:szCs w:val="24"/>
                <w:highlight w:val="none"/>
              </w:rPr>
            </w:pPr>
            <w:r>
              <w:rPr>
                <w:rFonts w:ascii="仿宋" w:hAnsi="仿宋" w:eastAsia="仿宋" w:cs="仿宋"/>
                <w:sz w:val="24"/>
                <w:szCs w:val="24"/>
                <w:highlight w:val="none"/>
              </w:rPr>
              <w:t>提供20</w:t>
            </w:r>
            <w:r>
              <w:rPr>
                <w:rFonts w:hint="eastAsia" w:ascii="仿宋" w:hAnsi="仿宋" w:eastAsia="仿宋" w:cs="仿宋"/>
                <w:sz w:val="24"/>
                <w:szCs w:val="24"/>
                <w:highlight w:val="none"/>
              </w:rPr>
              <w:t>2</w:t>
            </w:r>
            <w:r>
              <w:rPr>
                <w:rFonts w:ascii="仿宋" w:hAnsi="仿宋" w:eastAsia="仿宋" w:cs="仿宋"/>
                <w:sz w:val="24"/>
                <w:szCs w:val="24"/>
                <w:highlight w:val="none"/>
              </w:rPr>
              <w:t>2年1月1日以来</w:t>
            </w:r>
            <w:r>
              <w:rPr>
                <w:rFonts w:hint="eastAsia" w:ascii="仿宋" w:hAnsi="仿宋" w:eastAsia="仿宋" w:cs="仿宋"/>
                <w:sz w:val="24"/>
                <w:szCs w:val="24"/>
                <w:highlight w:val="none"/>
              </w:rPr>
              <w:t>类似</w:t>
            </w:r>
            <w:r>
              <w:rPr>
                <w:rFonts w:ascii="仿宋" w:hAnsi="仿宋" w:eastAsia="仿宋" w:cs="仿宋"/>
                <w:sz w:val="24"/>
                <w:szCs w:val="24"/>
                <w:highlight w:val="none"/>
              </w:rPr>
              <w:t>项目业绩</w:t>
            </w:r>
            <w:r>
              <w:rPr>
                <w:rFonts w:hint="eastAsia" w:ascii="仿宋" w:hAnsi="仿宋" w:eastAsia="仿宋" w:cs="仿宋"/>
                <w:sz w:val="24"/>
                <w:szCs w:val="24"/>
                <w:highlight w:val="none"/>
              </w:rPr>
              <w:t>（</w:t>
            </w:r>
            <w:r>
              <w:rPr>
                <w:rFonts w:ascii="仿宋" w:hAnsi="仿宋" w:eastAsia="仿宋" w:cs="仿宋"/>
                <w:sz w:val="24"/>
                <w:szCs w:val="24"/>
                <w:highlight w:val="none"/>
              </w:rPr>
              <w:t>以合同签订日期为准</w:t>
            </w:r>
            <w:r>
              <w:rPr>
                <w:rFonts w:hint="eastAsia" w:ascii="仿宋" w:hAnsi="仿宋" w:eastAsia="仿宋" w:cs="仿宋"/>
                <w:sz w:val="24"/>
                <w:szCs w:val="24"/>
                <w:highlight w:val="none"/>
              </w:rPr>
              <w:t>）</w:t>
            </w:r>
            <w:r>
              <w:rPr>
                <w:rFonts w:ascii="仿宋" w:hAnsi="仿宋" w:eastAsia="仿宋" w:cs="仿宋"/>
                <w:sz w:val="24"/>
                <w:szCs w:val="24"/>
                <w:highlight w:val="none"/>
              </w:rPr>
              <w:t>，每份合格业绩合同计</w:t>
            </w:r>
            <w:r>
              <w:rPr>
                <w:rFonts w:hint="eastAsia" w:ascii="仿宋" w:hAnsi="仿宋" w:eastAsia="仿宋" w:cs="仿宋"/>
                <w:sz w:val="24"/>
                <w:szCs w:val="24"/>
                <w:highlight w:val="none"/>
                <w:lang w:val="en-US" w:eastAsia="zh-CN"/>
              </w:rPr>
              <w:t>0.5</w:t>
            </w:r>
            <w:r>
              <w:rPr>
                <w:rFonts w:ascii="仿宋" w:hAnsi="仿宋" w:eastAsia="仿宋" w:cs="仿宋"/>
                <w:sz w:val="24"/>
                <w:szCs w:val="24"/>
                <w:highlight w:val="none"/>
              </w:rPr>
              <w:t>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分。</w:t>
            </w:r>
          </w:p>
          <w:p>
            <w:pPr>
              <w:keepNext w:val="0"/>
              <w:pageBreakBefore w:val="0"/>
              <w:kinsoku/>
              <w:wordWrap/>
              <w:overflowPunct/>
              <w:topLinePunct w:val="0"/>
              <w:bidi w:val="0"/>
              <w:spacing w:line="400" w:lineRule="exact"/>
              <w:textAlignment w:val="auto"/>
              <w:rPr>
                <w:rFonts w:ascii="仿宋" w:hAnsi="仿宋" w:eastAsia="仿宋" w:cs="仿宋"/>
                <w:bCs/>
                <w:sz w:val="24"/>
                <w:szCs w:val="24"/>
                <w:highlight w:val="none"/>
              </w:rPr>
            </w:pPr>
            <w:r>
              <w:rPr>
                <w:rFonts w:hint="eastAsia" w:ascii="仿宋" w:hAnsi="仿宋" w:eastAsia="仿宋" w:cs="仿宋"/>
                <w:kern w:val="0"/>
                <w:sz w:val="24"/>
                <w:szCs w:val="24"/>
                <w:highlight w:val="none"/>
              </w:rPr>
              <w:t>备注：需提供业绩完整合同及对应货款发票复印件（任意一张），并加盖投标人公章，以上两种证明材料同时提供方可得分，否则不得分。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739"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bCs/>
                <w:sz w:val="24"/>
                <w:szCs w:val="24"/>
                <w:highlight w:val="none"/>
              </w:rPr>
              <w:t>环保</w:t>
            </w:r>
            <w:r>
              <w:rPr>
                <w:rFonts w:hint="eastAsia" w:ascii="仿宋" w:hAnsi="仿宋" w:eastAsia="仿宋" w:cs="仿宋"/>
                <w:kern w:val="0"/>
                <w:sz w:val="24"/>
                <w:szCs w:val="24"/>
                <w:highlight w:val="none"/>
              </w:rPr>
              <w:t>产品</w:t>
            </w:r>
          </w:p>
        </w:tc>
        <w:tc>
          <w:tcPr>
            <w:tcW w:w="750" w:type="dxa"/>
            <w:tcBorders>
              <w:left w:val="single" w:color="auto" w:sz="4" w:space="0"/>
              <w:right w:val="single" w:color="auto" w:sz="4" w:space="0"/>
            </w:tcBorders>
            <w:noWrap w:val="0"/>
            <w:vAlign w:val="center"/>
          </w:tcPr>
          <w:p>
            <w:pPr>
              <w:keepNext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bCs/>
                <w:sz w:val="24"/>
                <w:szCs w:val="24"/>
                <w:highlight w:val="none"/>
                <w:lang w:val="en-US" w:eastAsia="zh-CN"/>
              </w:rPr>
              <w:t>1</w:t>
            </w:r>
          </w:p>
        </w:tc>
        <w:tc>
          <w:tcPr>
            <w:tcW w:w="7188" w:type="dxa"/>
            <w:tcBorders>
              <w:left w:val="single" w:color="auto" w:sz="4" w:space="0"/>
              <w:right w:val="single" w:color="auto" w:sz="4" w:space="0"/>
            </w:tcBorders>
            <w:noWrap w:val="0"/>
            <w:vAlign w:val="center"/>
          </w:tcPr>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投标人所投产品为“环境标志产品政府采购品目清单”内的，需提供该产品经国家确定的认证机构出具的且处于有效期内的中国环境标志产品认证证书，</w:t>
            </w:r>
            <w:r>
              <w:rPr>
                <w:rFonts w:hint="eastAsia" w:ascii="仿宋" w:hAnsi="仿宋" w:eastAsia="仿宋" w:cs="仿宋"/>
                <w:kern w:val="0"/>
                <w:sz w:val="24"/>
                <w:szCs w:val="24"/>
                <w:highlight w:val="none"/>
                <w:lang w:val="en-US" w:eastAsia="zh-CN"/>
              </w:rPr>
              <w:t>每</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val="en-US" w:eastAsia="zh-CN"/>
              </w:rPr>
              <w:t>一个</w:t>
            </w:r>
            <w:r>
              <w:rPr>
                <w:rFonts w:hint="eastAsia" w:ascii="仿宋" w:hAnsi="仿宋" w:eastAsia="仿宋" w:cs="仿宋"/>
                <w:kern w:val="0"/>
                <w:sz w:val="24"/>
                <w:szCs w:val="24"/>
                <w:highlight w:val="none"/>
              </w:rPr>
              <w:t>产品的认证证书得</w:t>
            </w:r>
            <w:r>
              <w:rPr>
                <w:rFonts w:hint="eastAsia" w:ascii="仿宋" w:hAnsi="仿宋" w:eastAsia="仿宋" w:cs="仿宋"/>
                <w:kern w:val="0"/>
                <w:sz w:val="24"/>
                <w:szCs w:val="24"/>
                <w:highlight w:val="none"/>
                <w:lang w:val="en-US" w:eastAsia="zh-CN"/>
              </w:rPr>
              <w:t>0.25</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w:t>
            </w:r>
          </w:p>
          <w:p>
            <w:pPr>
              <w:keepNext w:val="0"/>
              <w:pageBreakBefore w:val="0"/>
              <w:widowControl w:val="0"/>
              <w:kinsoku/>
              <w:wordWrap/>
              <w:overflowPunct/>
              <w:topLinePunct w:val="0"/>
              <w:bidi w:val="0"/>
              <w:adjustRightInd w:val="0"/>
              <w:spacing w:line="420" w:lineRule="exac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备注：以加盖投标人公章的证明材料为计分依据。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39" w:type="dxa"/>
            <w:tcBorders>
              <w:left w:val="single" w:color="auto" w:sz="4" w:space="0"/>
              <w:right w:val="single" w:color="auto" w:sz="4" w:space="0"/>
            </w:tcBorders>
            <w:noWrap w:val="0"/>
            <w:vAlign w:val="center"/>
          </w:tcPr>
          <w:p>
            <w:pPr>
              <w:keepNext w:val="0"/>
              <w:pageBreakBefore w:val="0"/>
              <w:kinsoku/>
              <w:wordWrap/>
              <w:overflowPunct/>
              <w:topLinePunct w:val="0"/>
              <w:autoSpaceDE w:val="0"/>
              <w:autoSpaceDN w:val="0"/>
              <w:bidi w:val="0"/>
              <w:adjustRightInd w:val="0"/>
              <w:spacing w:line="360" w:lineRule="exact"/>
              <w:jc w:val="center"/>
              <w:textAlignment w:val="auto"/>
              <w:rPr>
                <w:rFonts w:ascii="仿宋" w:hAnsi="仿宋" w:eastAsia="仿宋" w:cs="仿宋"/>
                <w:color w:val="000000"/>
                <w:sz w:val="24"/>
                <w:szCs w:val="24"/>
                <w:highlight w:val="none"/>
              </w:rPr>
            </w:pPr>
            <w:r>
              <w:rPr>
                <w:rFonts w:hint="eastAsia" w:ascii="仿宋" w:hAnsi="仿宋" w:eastAsia="仿宋" w:cs="仿宋"/>
                <w:sz w:val="24"/>
                <w:szCs w:val="24"/>
                <w:highlight w:val="none"/>
              </w:rPr>
              <w:t>说明</w:t>
            </w:r>
          </w:p>
        </w:tc>
        <w:tc>
          <w:tcPr>
            <w:tcW w:w="7938" w:type="dxa"/>
            <w:gridSpan w:val="2"/>
            <w:tcBorders>
              <w:left w:val="single" w:color="auto" w:sz="4" w:space="0"/>
              <w:right w:val="single" w:color="auto" w:sz="4" w:space="0"/>
            </w:tcBorders>
            <w:noWrap w:val="0"/>
            <w:vAlign w:val="center"/>
          </w:tcPr>
          <w:p>
            <w:pPr>
              <w:keepNext w:val="0"/>
              <w:pageBreakBefore w:val="0"/>
              <w:kinsoku/>
              <w:wordWrap/>
              <w:overflowPunct/>
              <w:topLinePunct w:val="0"/>
              <w:bidi w:val="0"/>
              <w:spacing w:line="360" w:lineRule="exact"/>
              <w:jc w:val="left"/>
              <w:textAlignment w:val="auto"/>
              <w:rPr>
                <w:highlight w:val="none"/>
              </w:rPr>
            </w:pPr>
            <w:r>
              <w:rPr>
                <w:rFonts w:hint="eastAsia" w:ascii="仿宋" w:hAnsi="仿宋" w:eastAsia="仿宋" w:cs="仿宋"/>
                <w:color w:val="000000"/>
                <w:sz w:val="24"/>
                <w:szCs w:val="24"/>
                <w:highlight w:val="none"/>
              </w:rPr>
              <w:t>评标委员会成员须按照本评审要素据实打分。</w:t>
            </w:r>
          </w:p>
        </w:tc>
      </w:tr>
    </w:tbl>
    <w:p>
      <w:pPr>
        <w:pStyle w:val="2"/>
        <w:rPr>
          <w:rFonts w:ascii="黑体" w:hAnsi="黑体" w:eastAsia="黑体" w:cs="Times New Roman"/>
          <w:b w:val="0"/>
          <w:bCs w:val="0"/>
          <w:color w:val="auto"/>
          <w:sz w:val="32"/>
          <w:szCs w:val="32"/>
          <w:highlight w:val="none"/>
        </w:rPr>
      </w:pPr>
      <w:r>
        <w:rPr>
          <w:rFonts w:hint="eastAsia" w:ascii="黑体" w:hAnsi="黑体" w:eastAsia="黑体" w:cs="黑体"/>
          <w:b w:val="0"/>
          <w:bCs w:val="0"/>
          <w:color w:val="auto"/>
          <w:sz w:val="32"/>
          <w:szCs w:val="32"/>
          <w:highlight w:val="none"/>
        </w:rPr>
        <w:br w:type="page"/>
      </w:r>
      <w:bookmarkStart w:id="302" w:name="_Toc3617"/>
      <w:r>
        <w:rPr>
          <w:rFonts w:hint="eastAsia" w:ascii="黑体" w:hAnsi="黑体" w:eastAsia="黑体" w:cs="黑体"/>
          <w:b w:val="0"/>
          <w:bCs w:val="0"/>
          <w:color w:val="auto"/>
          <w:sz w:val="32"/>
          <w:szCs w:val="32"/>
          <w:highlight w:val="none"/>
        </w:rPr>
        <w:t>第四章  招标内容及</w:t>
      </w:r>
      <w:bookmarkEnd w:id="288"/>
      <w:bookmarkEnd w:id="289"/>
      <w:bookmarkEnd w:id="290"/>
      <w:bookmarkEnd w:id="291"/>
      <w:bookmarkEnd w:id="292"/>
      <w:bookmarkEnd w:id="293"/>
      <w:bookmarkEnd w:id="294"/>
      <w:bookmarkEnd w:id="295"/>
      <w:bookmarkEnd w:id="296"/>
      <w:bookmarkEnd w:id="297"/>
      <w:r>
        <w:rPr>
          <w:rFonts w:hint="eastAsia" w:ascii="黑体" w:hAnsi="黑体" w:eastAsia="黑体" w:cs="黑体"/>
          <w:b w:val="0"/>
          <w:bCs w:val="0"/>
          <w:color w:val="auto"/>
          <w:sz w:val="32"/>
          <w:szCs w:val="32"/>
          <w:highlight w:val="none"/>
        </w:rPr>
        <w:t>采购要求</w:t>
      </w:r>
      <w:bookmarkEnd w:id="298"/>
      <w:bookmarkEnd w:id="299"/>
      <w:bookmarkEnd w:id="302"/>
    </w:p>
    <w:p>
      <w:pPr>
        <w:pStyle w:val="3"/>
        <w:spacing w:line="500" w:lineRule="exact"/>
        <w:ind w:firstLine="566" w:firstLineChars="200"/>
        <w:rPr>
          <w:rFonts w:ascii="华文仿宋" w:hAnsi="华文仿宋" w:cs="华文仿宋"/>
          <w:sz w:val="28"/>
          <w:szCs w:val="28"/>
          <w:highlight w:val="none"/>
        </w:rPr>
      </w:pPr>
      <w:bookmarkStart w:id="303" w:name="_Toc31805"/>
      <w:bookmarkStart w:id="304" w:name="_Toc3836"/>
      <w:bookmarkStart w:id="305" w:name="_Toc1887"/>
      <w:bookmarkStart w:id="306" w:name="_Toc27260"/>
      <w:bookmarkStart w:id="307" w:name="_Toc24476"/>
      <w:bookmarkStart w:id="308" w:name="_Toc25170"/>
      <w:bookmarkStart w:id="309" w:name="_Toc20805"/>
      <w:bookmarkStart w:id="310" w:name="_Toc21675"/>
      <w:bookmarkStart w:id="311" w:name="_Toc9919"/>
      <w:bookmarkStart w:id="312" w:name="_Toc24321"/>
      <w:r>
        <w:rPr>
          <w:rFonts w:hint="eastAsia" w:ascii="华文仿宋" w:hAnsi="华文仿宋" w:cs="华文仿宋"/>
          <w:sz w:val="28"/>
          <w:szCs w:val="28"/>
          <w:highlight w:val="none"/>
        </w:rPr>
        <w:t>一、项目概况</w:t>
      </w:r>
      <w:bookmarkEnd w:id="303"/>
      <w:bookmarkEnd w:id="304"/>
      <w:bookmarkEnd w:id="305"/>
      <w:bookmarkEnd w:id="306"/>
      <w:bookmarkEnd w:id="307"/>
      <w:bookmarkEnd w:id="308"/>
      <w:bookmarkEnd w:id="309"/>
      <w:bookmarkEnd w:id="310"/>
      <w:bookmarkEnd w:id="311"/>
      <w:bookmarkEnd w:id="312"/>
      <w:bookmarkStart w:id="313" w:name="_Toc22026"/>
      <w:bookmarkStart w:id="314" w:name="_Toc1490"/>
      <w:bookmarkStart w:id="315" w:name="_Toc26373"/>
      <w:bookmarkStart w:id="316" w:name="_Toc14189"/>
      <w:bookmarkStart w:id="317" w:name="_Toc10521"/>
    </w:p>
    <w:p>
      <w:pPr>
        <w:pStyle w:val="6"/>
        <w:spacing w:line="500" w:lineRule="exact"/>
        <w:ind w:firstLine="566" w:firstLineChars="200"/>
        <w:rPr>
          <w:rFonts w:hint="eastAsia" w:ascii="华文仿宋" w:hAnsi="华文仿宋" w:eastAsia="华文仿宋" w:cs="华文仿宋"/>
          <w:b w:val="0"/>
          <w:bCs w:val="0"/>
          <w:highlight w:val="none"/>
          <w:lang w:eastAsia="zh-CN"/>
        </w:rPr>
      </w:pPr>
      <w:bookmarkStart w:id="318" w:name="OLE_LINK7"/>
      <w:bookmarkStart w:id="319" w:name="OLE_LINK1"/>
      <w:r>
        <w:rPr>
          <w:rFonts w:hint="eastAsia" w:ascii="华文仿宋" w:hAnsi="华文仿宋" w:cs="华文仿宋"/>
          <w:b w:val="0"/>
          <w:bCs w:val="0"/>
          <w:highlight w:val="none"/>
        </w:rPr>
        <w:t>西安石油大学鄠邑校区图书馆6-8层家具</w:t>
      </w:r>
      <w:r>
        <w:rPr>
          <w:rFonts w:ascii="华文仿宋" w:hAnsi="华文仿宋" w:cs="华文仿宋"/>
          <w:b w:val="0"/>
          <w:bCs w:val="0"/>
          <w:highlight w:val="none"/>
        </w:rPr>
        <w:t>购置包含</w:t>
      </w:r>
      <w:r>
        <w:rPr>
          <w:rFonts w:hint="eastAsia" w:ascii="华文仿宋" w:hAnsi="华文仿宋" w:cs="华文仿宋"/>
          <w:b w:val="0"/>
          <w:bCs w:val="0"/>
          <w:highlight w:val="none"/>
        </w:rPr>
        <w:t>桌子</w:t>
      </w:r>
      <w:r>
        <w:rPr>
          <w:rFonts w:ascii="华文仿宋" w:hAnsi="华文仿宋" w:cs="华文仿宋"/>
          <w:b w:val="0"/>
          <w:bCs w:val="0"/>
          <w:highlight w:val="none"/>
        </w:rPr>
        <w:t>、椅子、沙发、茶几、书架等</w:t>
      </w:r>
      <w:r>
        <w:rPr>
          <w:rFonts w:hint="eastAsia" w:ascii="华文仿宋" w:hAnsi="华文仿宋" w:cs="华文仿宋"/>
          <w:b w:val="0"/>
          <w:bCs w:val="0"/>
          <w:highlight w:val="none"/>
        </w:rPr>
        <w:t>家具</w:t>
      </w:r>
      <w:bookmarkEnd w:id="318"/>
      <w:bookmarkEnd w:id="319"/>
      <w:r>
        <w:rPr>
          <w:rFonts w:hint="eastAsia" w:ascii="华文仿宋" w:hAnsi="华文仿宋" w:cs="华文仿宋"/>
          <w:b w:val="0"/>
          <w:bCs w:val="0"/>
          <w:highlight w:val="none"/>
          <w:lang w:eastAsia="zh-CN"/>
        </w:rPr>
        <w:t>。</w:t>
      </w:r>
    </w:p>
    <w:p>
      <w:pPr>
        <w:pStyle w:val="3"/>
        <w:numPr>
          <w:ilvl w:val="0"/>
          <w:numId w:val="3"/>
        </w:numPr>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采购内容</w:t>
      </w:r>
    </w:p>
    <w:p>
      <w:pPr>
        <w:pStyle w:val="5"/>
        <w:numPr>
          <w:ilvl w:val="0"/>
          <w:numId w:val="4"/>
        </w:numPr>
        <w:spacing w:line="500" w:lineRule="exact"/>
        <w:ind w:firstLine="566" w:firstLineChars="200"/>
        <w:outlineLvl w:val="2"/>
        <w:rPr>
          <w:rFonts w:hint="eastAsia"/>
          <w:b/>
          <w:bCs/>
          <w:highlight w:val="none"/>
        </w:rPr>
      </w:pPr>
      <w:r>
        <w:rPr>
          <w:rFonts w:hint="eastAsia" w:ascii="仿宋" w:hAnsi="仿宋" w:eastAsia="仿宋" w:cs="仿宋"/>
          <w:b/>
          <w:bCs/>
          <w:highlight w:val="none"/>
          <w:lang w:val="en-US" w:eastAsia="zh-CN"/>
        </w:rPr>
        <w:t>货物</w:t>
      </w:r>
      <w:r>
        <w:rPr>
          <w:rFonts w:hint="eastAsia"/>
          <w:b/>
          <w:bCs/>
          <w:highlight w:val="none"/>
        </w:rPr>
        <w:t>采购清单</w:t>
      </w:r>
    </w:p>
    <w:p>
      <w:pPr>
        <w:pStyle w:val="13"/>
        <w:numPr>
          <w:ilvl w:val="-1"/>
          <w:numId w:val="0"/>
        </w:numPr>
        <w:ind w:left="0" w:leftChars="0" w:firstLine="566" w:firstLineChars="200"/>
        <w:rPr>
          <w:rFonts w:hint="default" w:eastAsia="华文仿宋"/>
          <w:lang w:val="en-US" w:eastAsia="zh-CN"/>
        </w:rPr>
      </w:pPr>
      <w:r>
        <w:rPr>
          <w:rFonts w:hint="eastAsia"/>
          <w:b/>
          <w:bCs/>
          <w:highlight w:val="none"/>
          <w:lang w:val="en-US" w:eastAsia="zh-CN"/>
        </w:rPr>
        <w:t>1、第一标段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4020"/>
        <w:gridCol w:w="825"/>
        <w:gridCol w:w="118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b/>
                <w:kern w:val="0"/>
              </w:rPr>
            </w:pPr>
            <w:r>
              <w:rPr>
                <w:rFonts w:hint="eastAsia"/>
                <w:b/>
                <w:kern w:val="0"/>
              </w:rPr>
              <w:t>序号</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b/>
                <w:kern w:val="0"/>
              </w:rPr>
            </w:pPr>
            <w:r>
              <w:rPr>
                <w:rFonts w:hint="eastAsia"/>
                <w:b/>
                <w:kern w:val="0"/>
              </w:rPr>
              <w:t>货物名称</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ind w:left="-141" w:leftChars="-50" w:right="-50" w:rightChars="-18"/>
              <w:jc w:val="center"/>
              <w:rPr>
                <w:b/>
                <w:kern w:val="0"/>
              </w:rPr>
            </w:pPr>
            <w:r>
              <w:rPr>
                <w:rFonts w:hint="eastAsia"/>
                <w:b/>
                <w:kern w:val="0"/>
              </w:rPr>
              <w:t>单位</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ind w:left="-36" w:leftChars="-13" w:right="-138" w:rightChars="-49"/>
              <w:jc w:val="center"/>
              <w:rPr>
                <w:b/>
                <w:kern w:val="0"/>
              </w:rPr>
            </w:pPr>
            <w:r>
              <w:rPr>
                <w:rFonts w:hint="eastAsia"/>
                <w:b/>
                <w:kern w:val="0"/>
              </w:rPr>
              <w:t>数量</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b/>
                <w:kern w:val="0"/>
              </w:rPr>
            </w:pPr>
            <w:r>
              <w:rPr>
                <w:rFonts w:hint="eastAsia"/>
                <w:b/>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bCs/>
                <w:kern w:val="0"/>
              </w:rPr>
            </w:pPr>
            <w:r>
              <w:rPr>
                <w:rFonts w:hint="eastAsia"/>
                <w:bCs/>
                <w:kern w:val="0"/>
              </w:rPr>
              <w:t>1</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4人桌</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r>
              <w:rPr>
                <w:rFonts w:hint="eastAsia" w:ascii="仿宋" w:hAnsi="仿宋" w:eastAsia="仿宋" w:cs="仿宋"/>
                <w:bCs/>
                <w:kern w:val="0"/>
                <w:sz w:val="24"/>
                <w:szCs w:val="24"/>
              </w:rPr>
              <w:t>200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 w:hAnsi="仿宋" w:eastAsia="仿宋" w:cs="仿宋"/>
                <w:bCs/>
                <w:kern w:val="0"/>
                <w:sz w:val="24"/>
                <w:szCs w:val="24"/>
                <w:lang w:val="en-US" w:eastAsia="zh-CN"/>
              </w:rPr>
            </w:pPr>
            <w:r>
              <w:rPr>
                <w:rFonts w:hint="eastAsia" w:ascii="仿宋" w:hAnsi="仿宋" w:eastAsia="仿宋" w:cs="仿宋"/>
                <w:b/>
                <w:bCs w:val="0"/>
                <w:kern w:val="0"/>
                <w:sz w:val="24"/>
                <w:szCs w:val="24"/>
                <w:lang w:val="en-US" w:eastAsia="zh-CN"/>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bCs/>
                <w:kern w:val="0"/>
              </w:rPr>
            </w:pPr>
            <w:r>
              <w:rPr>
                <w:rFonts w:hint="eastAsia"/>
                <w:bCs/>
                <w:kern w:val="0"/>
              </w:rPr>
              <w:t>2</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4人</w:t>
            </w:r>
            <w:r>
              <w:rPr>
                <w:bCs/>
                <w:kern w:val="0"/>
              </w:rPr>
              <w:t>阅览桌（</w:t>
            </w:r>
            <w:r>
              <w:rPr>
                <w:rFonts w:hint="eastAsia"/>
                <w:bCs/>
                <w:kern w:val="0"/>
              </w:rPr>
              <w:t>每桌含2个</w:t>
            </w:r>
            <w:r>
              <w:rPr>
                <w:bCs/>
                <w:kern w:val="0"/>
              </w:rPr>
              <w:t>台灯）</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pStyle w:val="27"/>
              <w:spacing w:line="220" w:lineRule="auto"/>
              <w:jc w:val="center"/>
              <w:rPr>
                <w:bCs/>
                <w:kern w:val="0"/>
              </w:rPr>
            </w:pPr>
            <w:r>
              <w:rPr>
                <w:rFonts w:hint="eastAsia"/>
                <w:bCs/>
                <w:kern w:val="0"/>
              </w:rPr>
              <w:t>22</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pStyle w:val="27"/>
              <w:spacing w:line="220" w:lineRule="auto"/>
              <w:jc w:val="center"/>
              <w:rPr>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bCs/>
                <w:kern w:val="0"/>
              </w:rPr>
            </w:pPr>
            <w:r>
              <w:rPr>
                <w:rFonts w:hint="eastAsia"/>
                <w:bCs/>
                <w:kern w:val="0"/>
              </w:rPr>
              <w:t>3</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bCs/>
                <w:kern w:val="0"/>
              </w:rPr>
            </w:pPr>
            <w:r>
              <w:rPr>
                <w:rFonts w:hint="eastAsia"/>
                <w:bCs/>
                <w:kern w:val="0"/>
              </w:rPr>
              <w:t>折叠桌</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r>
              <w:rPr>
                <w:rFonts w:hint="eastAsia" w:ascii="仿宋" w:hAnsi="仿宋" w:eastAsia="仿宋" w:cs="仿宋"/>
                <w:bCs/>
                <w:kern w:val="0"/>
                <w:sz w:val="24"/>
                <w:szCs w:val="24"/>
              </w:rPr>
              <w:t>40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4</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独立</w:t>
            </w:r>
            <w:r>
              <w:rPr>
                <w:bCs/>
                <w:kern w:val="0"/>
              </w:rPr>
              <w:t>阅读桌（</w:t>
            </w:r>
            <w:r>
              <w:rPr>
                <w:rFonts w:hint="eastAsia"/>
                <w:bCs/>
                <w:kern w:val="0"/>
              </w:rPr>
              <w:t>带灯</w:t>
            </w:r>
            <w:r>
              <w:rPr>
                <w:bCs/>
                <w:kern w:val="0"/>
              </w:rPr>
              <w:t>）</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50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5</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六人位</w:t>
            </w:r>
            <w:r>
              <w:rPr>
                <w:bCs/>
                <w:kern w:val="0"/>
              </w:rPr>
              <w:t>六边形桌</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5</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6</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直面桌</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5</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7</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整理室</w:t>
            </w:r>
            <w:r>
              <w:rPr>
                <w:bCs/>
                <w:kern w:val="0"/>
              </w:rPr>
              <w:t>桌子</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张</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22</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8</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整理</w:t>
            </w:r>
            <w:r>
              <w:rPr>
                <w:bCs/>
                <w:kern w:val="0"/>
              </w:rPr>
              <w:t>室椅子</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把</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22</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9</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实木</w:t>
            </w:r>
            <w:r>
              <w:rPr>
                <w:bCs/>
                <w:kern w:val="0"/>
              </w:rPr>
              <w:t>阅览椅</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把</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r>
              <w:rPr>
                <w:rFonts w:ascii="仿宋" w:hAnsi="仿宋" w:eastAsia="仿宋" w:cs="仿宋"/>
                <w:bCs/>
                <w:kern w:val="0"/>
                <w:sz w:val="24"/>
                <w:szCs w:val="24"/>
              </w:rPr>
              <w:t>90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10</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阅览椅</w:t>
            </w:r>
            <w:r>
              <w:rPr>
                <w:bCs/>
                <w:kern w:val="0"/>
              </w:rPr>
              <w:t>（</w:t>
            </w:r>
            <w:r>
              <w:rPr>
                <w:rFonts w:hint="eastAsia"/>
                <w:bCs/>
                <w:kern w:val="0"/>
              </w:rPr>
              <w:t>实木面</w:t>
            </w:r>
            <w:r>
              <w:rPr>
                <w:bCs/>
                <w:kern w:val="0"/>
              </w:rPr>
              <w:t>）</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把</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1000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11</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吧台椅</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把</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300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12</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bCs/>
                <w:kern w:val="0"/>
              </w:rPr>
            </w:pPr>
            <w:r>
              <w:rPr>
                <w:rFonts w:hint="eastAsia"/>
                <w:bCs/>
                <w:kern w:val="0"/>
              </w:rPr>
              <w:t>学习椅</w:t>
            </w:r>
          </w:p>
        </w:tc>
        <w:tc>
          <w:tcPr>
            <w:tcW w:w="825" w:type="dxa"/>
            <w:tcBorders>
              <w:top w:val="single" w:color="auto" w:sz="4" w:space="0"/>
              <w:left w:val="single" w:color="auto" w:sz="4" w:space="0"/>
              <w:bottom w:val="single" w:color="auto" w:sz="4" w:space="0"/>
              <w:right w:val="single" w:color="auto" w:sz="4" w:space="0"/>
            </w:tcBorders>
            <w:noWrap w:val="0"/>
            <w:vAlign w:val="center"/>
          </w:tcPr>
          <w:p>
            <w:pPr>
              <w:pStyle w:val="27"/>
              <w:spacing w:line="180" w:lineRule="auto"/>
              <w:jc w:val="center"/>
              <w:rPr>
                <w:rFonts w:hint="eastAsia"/>
                <w:bCs/>
                <w:kern w:val="0"/>
              </w:rPr>
            </w:pPr>
            <w:r>
              <w:rPr>
                <w:rFonts w:hint="eastAsia"/>
                <w:bCs/>
                <w:kern w:val="0"/>
              </w:rPr>
              <w:t>把</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200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bCs/>
                <w:kern w:val="0"/>
                <w:sz w:val="24"/>
                <w:szCs w:val="24"/>
              </w:rPr>
            </w:pPr>
          </w:p>
        </w:tc>
      </w:tr>
    </w:tbl>
    <w:p>
      <w:pPr>
        <w:pStyle w:val="13"/>
        <w:ind w:left="0" w:leftChars="0" w:firstLine="566" w:firstLineChars="200"/>
        <w:rPr>
          <w:rFonts w:hint="eastAsia" w:ascii="仿宋" w:hAnsi="仿宋" w:eastAsia="仿宋" w:cs="仿宋"/>
          <w:b/>
          <w:bCs/>
          <w:highlight w:val="none"/>
          <w:lang w:eastAsia="zh-CN"/>
        </w:rPr>
      </w:pPr>
      <w:r>
        <w:rPr>
          <w:rFonts w:hint="eastAsia"/>
          <w:b/>
          <w:bCs/>
          <w:highlight w:val="none"/>
          <w:lang w:val="en-US" w:eastAsia="zh-CN"/>
        </w:rPr>
        <w:t>2、第二标段</w:t>
      </w:r>
    </w:p>
    <w:tbl>
      <w:tblPr>
        <w:tblStyle w:val="19"/>
        <w:tblW w:w="44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968"/>
        <w:gridCol w:w="861"/>
        <w:gridCol w:w="1185"/>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18" w:type="pct"/>
            <w:noWrap w:val="0"/>
            <w:vAlign w:val="center"/>
          </w:tcPr>
          <w:p>
            <w:pPr>
              <w:pStyle w:val="27"/>
              <w:spacing w:line="400" w:lineRule="exact"/>
              <w:ind w:left="0" w:leftChars="0"/>
              <w:jc w:val="center"/>
              <w:rPr>
                <w:b/>
                <w:bCs/>
                <w:szCs w:val="20"/>
              </w:rPr>
            </w:pPr>
            <w:r>
              <w:rPr>
                <w:b/>
                <w:bCs/>
                <w:szCs w:val="20"/>
              </w:rPr>
              <w:t>序号</w:t>
            </w:r>
          </w:p>
        </w:tc>
        <w:tc>
          <w:tcPr>
            <w:tcW w:w="2415" w:type="pct"/>
            <w:noWrap w:val="0"/>
            <w:vAlign w:val="center"/>
          </w:tcPr>
          <w:p>
            <w:pPr>
              <w:pStyle w:val="27"/>
              <w:spacing w:line="400" w:lineRule="exact"/>
              <w:jc w:val="center"/>
              <w:rPr>
                <w:b/>
                <w:bCs/>
                <w:szCs w:val="20"/>
              </w:rPr>
            </w:pPr>
            <w:r>
              <w:rPr>
                <w:rFonts w:hint="eastAsia"/>
                <w:b/>
                <w:bCs/>
                <w:szCs w:val="20"/>
              </w:rPr>
              <w:t>货物</w:t>
            </w:r>
            <w:r>
              <w:rPr>
                <w:b/>
                <w:bCs/>
                <w:szCs w:val="20"/>
              </w:rPr>
              <w:t>名称</w:t>
            </w:r>
          </w:p>
        </w:tc>
        <w:tc>
          <w:tcPr>
            <w:tcW w:w="524" w:type="pct"/>
            <w:noWrap w:val="0"/>
            <w:vAlign w:val="center"/>
          </w:tcPr>
          <w:p>
            <w:pPr>
              <w:pStyle w:val="27"/>
              <w:spacing w:line="400" w:lineRule="exact"/>
              <w:jc w:val="center"/>
              <w:rPr>
                <w:b/>
                <w:bCs/>
                <w:szCs w:val="20"/>
              </w:rPr>
            </w:pPr>
            <w:r>
              <w:rPr>
                <w:rFonts w:hint="eastAsia"/>
                <w:b/>
                <w:bCs/>
                <w:szCs w:val="20"/>
              </w:rPr>
              <w:t>单位</w:t>
            </w:r>
          </w:p>
        </w:tc>
        <w:tc>
          <w:tcPr>
            <w:tcW w:w="721" w:type="pct"/>
            <w:noWrap w:val="0"/>
            <w:vAlign w:val="center"/>
          </w:tcPr>
          <w:p>
            <w:pPr>
              <w:pStyle w:val="27"/>
              <w:spacing w:line="400" w:lineRule="exact"/>
              <w:jc w:val="center"/>
              <w:rPr>
                <w:b/>
                <w:bCs/>
                <w:szCs w:val="20"/>
              </w:rPr>
            </w:pPr>
            <w:r>
              <w:rPr>
                <w:b/>
                <w:bCs/>
                <w:szCs w:val="20"/>
              </w:rPr>
              <w:t>数量</w:t>
            </w:r>
          </w:p>
        </w:tc>
        <w:tc>
          <w:tcPr>
            <w:tcW w:w="820" w:type="pct"/>
            <w:noWrap w:val="0"/>
            <w:vAlign w:val="center"/>
          </w:tcPr>
          <w:p>
            <w:pPr>
              <w:pStyle w:val="27"/>
              <w:spacing w:line="400" w:lineRule="exact"/>
              <w:jc w:val="center"/>
              <w:rPr>
                <w:b/>
                <w:bCs/>
                <w:szCs w:val="20"/>
              </w:rPr>
            </w:pPr>
            <w:r>
              <w:rPr>
                <w:b/>
                <w:bCs/>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1" w:lineRule="auto"/>
              <w:jc w:val="center"/>
              <w:rPr>
                <w:szCs w:val="20"/>
              </w:rPr>
            </w:pPr>
            <w:r>
              <w:rPr>
                <w:szCs w:val="20"/>
              </w:rPr>
              <w:t>1</w:t>
            </w:r>
          </w:p>
        </w:tc>
        <w:tc>
          <w:tcPr>
            <w:tcW w:w="2415" w:type="pct"/>
            <w:noWrap w:val="0"/>
            <w:vAlign w:val="center"/>
          </w:tcPr>
          <w:p>
            <w:pPr>
              <w:pStyle w:val="27"/>
              <w:spacing w:line="400" w:lineRule="exact"/>
              <w:jc w:val="center"/>
              <w:rPr>
                <w:szCs w:val="20"/>
              </w:rPr>
            </w:pPr>
            <w:r>
              <w:rPr>
                <w:rFonts w:hint="eastAsia"/>
                <w:szCs w:val="20"/>
              </w:rPr>
              <w:t>组合沙发</w:t>
            </w:r>
          </w:p>
        </w:tc>
        <w:tc>
          <w:tcPr>
            <w:tcW w:w="524" w:type="pct"/>
            <w:noWrap w:val="0"/>
            <w:vAlign w:val="center"/>
          </w:tcPr>
          <w:p>
            <w:pPr>
              <w:pStyle w:val="27"/>
              <w:spacing w:line="181" w:lineRule="auto"/>
              <w:jc w:val="center"/>
              <w:rPr>
                <w:szCs w:val="20"/>
              </w:rPr>
            </w:pPr>
            <w:r>
              <w:rPr>
                <w:rFonts w:hint="eastAsia"/>
                <w:szCs w:val="20"/>
              </w:rPr>
              <w:t>组</w:t>
            </w:r>
          </w:p>
        </w:tc>
        <w:tc>
          <w:tcPr>
            <w:tcW w:w="721" w:type="pct"/>
            <w:noWrap w:val="0"/>
            <w:vAlign w:val="center"/>
          </w:tcPr>
          <w:p>
            <w:pPr>
              <w:pStyle w:val="27"/>
              <w:spacing w:line="181" w:lineRule="auto"/>
              <w:jc w:val="center"/>
              <w:rPr>
                <w:szCs w:val="20"/>
              </w:rPr>
            </w:pPr>
            <w:r>
              <w:rPr>
                <w:rFonts w:hint="eastAsia"/>
                <w:szCs w:val="20"/>
              </w:rPr>
              <w:t>10</w:t>
            </w:r>
          </w:p>
        </w:tc>
        <w:tc>
          <w:tcPr>
            <w:tcW w:w="820" w:type="pct"/>
            <w:noWrap w:val="0"/>
            <w:vAlign w:val="center"/>
          </w:tcPr>
          <w:p>
            <w:pPr>
              <w:pStyle w:val="27"/>
              <w:spacing w:line="222" w:lineRule="auto"/>
              <w:ind w:left="-220" w:leftChars="-78" w:right="-212" w:rightChars="-75"/>
              <w:jc w:val="center"/>
              <w:rPr>
                <w:rFonts w:hint="default" w:eastAsia="仿宋"/>
                <w:b/>
                <w:bCs/>
                <w:szCs w:val="20"/>
                <w:lang w:val="en-US" w:eastAsia="zh-CN"/>
              </w:rPr>
            </w:pPr>
            <w:r>
              <w:rPr>
                <w:rFonts w:hint="eastAsia"/>
                <w:b/>
                <w:bCs/>
                <w:szCs w:val="20"/>
                <w:lang w:val="en-US" w:eastAsia="zh-CN"/>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szCs w:val="20"/>
              </w:rPr>
            </w:pPr>
            <w:r>
              <w:rPr>
                <w:szCs w:val="20"/>
              </w:rPr>
              <w:t>2</w:t>
            </w:r>
          </w:p>
        </w:tc>
        <w:tc>
          <w:tcPr>
            <w:tcW w:w="2415" w:type="pct"/>
            <w:noWrap w:val="0"/>
            <w:vAlign w:val="center"/>
          </w:tcPr>
          <w:p>
            <w:pPr>
              <w:pStyle w:val="27"/>
              <w:spacing w:line="400" w:lineRule="exact"/>
              <w:jc w:val="center"/>
              <w:rPr>
                <w:rFonts w:hint="eastAsia"/>
                <w:szCs w:val="20"/>
              </w:rPr>
            </w:pPr>
            <w:r>
              <w:rPr>
                <w:rFonts w:hint="eastAsia"/>
                <w:szCs w:val="20"/>
              </w:rPr>
              <w:t>双人</w:t>
            </w:r>
            <w:r>
              <w:rPr>
                <w:szCs w:val="20"/>
              </w:rPr>
              <w:t>沙发</w:t>
            </w:r>
          </w:p>
        </w:tc>
        <w:tc>
          <w:tcPr>
            <w:tcW w:w="524" w:type="pct"/>
            <w:noWrap w:val="0"/>
            <w:vAlign w:val="center"/>
          </w:tcPr>
          <w:p>
            <w:pPr>
              <w:pStyle w:val="27"/>
              <w:spacing w:line="181" w:lineRule="auto"/>
              <w:jc w:val="center"/>
              <w:rPr>
                <w:szCs w:val="20"/>
              </w:rPr>
            </w:pPr>
            <w:r>
              <w:rPr>
                <w:rFonts w:hint="eastAsia"/>
                <w:szCs w:val="20"/>
              </w:rPr>
              <w:t>个</w:t>
            </w:r>
          </w:p>
        </w:tc>
        <w:tc>
          <w:tcPr>
            <w:tcW w:w="721" w:type="pct"/>
            <w:noWrap w:val="0"/>
            <w:vAlign w:val="center"/>
          </w:tcPr>
          <w:p>
            <w:pPr>
              <w:pStyle w:val="27"/>
              <w:spacing w:line="181" w:lineRule="auto"/>
              <w:jc w:val="center"/>
              <w:rPr>
                <w:szCs w:val="20"/>
              </w:rPr>
            </w:pPr>
            <w:r>
              <w:rPr>
                <w:rFonts w:hint="eastAsia"/>
                <w:szCs w:val="20"/>
              </w:rPr>
              <w:t>56</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szCs w:val="20"/>
              </w:rPr>
            </w:pPr>
            <w:r>
              <w:rPr>
                <w:szCs w:val="20"/>
              </w:rPr>
              <w:t>3</w:t>
            </w:r>
          </w:p>
        </w:tc>
        <w:tc>
          <w:tcPr>
            <w:tcW w:w="2415" w:type="pct"/>
            <w:noWrap w:val="0"/>
            <w:vAlign w:val="center"/>
          </w:tcPr>
          <w:p>
            <w:pPr>
              <w:pStyle w:val="27"/>
              <w:spacing w:line="400" w:lineRule="exact"/>
              <w:jc w:val="center"/>
              <w:rPr>
                <w:rFonts w:hint="eastAsia"/>
                <w:szCs w:val="20"/>
              </w:rPr>
            </w:pPr>
            <w:r>
              <w:rPr>
                <w:rFonts w:hint="eastAsia"/>
                <w:szCs w:val="20"/>
              </w:rPr>
              <w:t>定制</w:t>
            </w:r>
            <w:r>
              <w:rPr>
                <w:szCs w:val="20"/>
              </w:rPr>
              <w:t>沙发卡座书桌</w:t>
            </w:r>
          </w:p>
        </w:tc>
        <w:tc>
          <w:tcPr>
            <w:tcW w:w="524" w:type="pct"/>
            <w:noWrap w:val="0"/>
            <w:vAlign w:val="center"/>
          </w:tcPr>
          <w:p>
            <w:pPr>
              <w:pStyle w:val="27"/>
              <w:spacing w:line="181" w:lineRule="auto"/>
              <w:jc w:val="center"/>
              <w:rPr>
                <w:szCs w:val="20"/>
              </w:rPr>
            </w:pPr>
            <w:r>
              <w:rPr>
                <w:rFonts w:hint="eastAsia"/>
                <w:szCs w:val="20"/>
              </w:rPr>
              <w:t>组</w:t>
            </w:r>
          </w:p>
        </w:tc>
        <w:tc>
          <w:tcPr>
            <w:tcW w:w="721" w:type="pct"/>
            <w:noWrap w:val="0"/>
            <w:vAlign w:val="center"/>
          </w:tcPr>
          <w:p>
            <w:pPr>
              <w:pStyle w:val="27"/>
              <w:spacing w:line="181" w:lineRule="auto"/>
              <w:jc w:val="center"/>
              <w:rPr>
                <w:szCs w:val="20"/>
              </w:rPr>
            </w:pPr>
            <w:r>
              <w:rPr>
                <w:rFonts w:hint="eastAsia"/>
                <w:szCs w:val="20"/>
              </w:rPr>
              <w:t>3</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szCs w:val="20"/>
              </w:rPr>
            </w:pPr>
            <w:r>
              <w:rPr>
                <w:szCs w:val="20"/>
              </w:rPr>
              <w:t>4</w:t>
            </w:r>
          </w:p>
        </w:tc>
        <w:tc>
          <w:tcPr>
            <w:tcW w:w="2415" w:type="pct"/>
            <w:noWrap w:val="0"/>
            <w:vAlign w:val="center"/>
          </w:tcPr>
          <w:p>
            <w:pPr>
              <w:pStyle w:val="27"/>
              <w:spacing w:line="400" w:lineRule="exact"/>
              <w:jc w:val="center"/>
              <w:rPr>
                <w:rFonts w:hint="eastAsia"/>
              </w:rPr>
            </w:pPr>
            <w:r>
              <w:rPr>
                <w:rFonts w:hint="eastAsia"/>
              </w:rPr>
              <w:t>定制</w:t>
            </w:r>
            <w:r>
              <w:t>书架沙发一体化</w:t>
            </w:r>
          </w:p>
        </w:tc>
        <w:tc>
          <w:tcPr>
            <w:tcW w:w="524" w:type="pct"/>
            <w:noWrap w:val="0"/>
            <w:vAlign w:val="center"/>
          </w:tcPr>
          <w:p>
            <w:pPr>
              <w:pStyle w:val="27"/>
              <w:spacing w:line="180" w:lineRule="auto"/>
              <w:jc w:val="center"/>
              <w:rPr>
                <w:szCs w:val="20"/>
              </w:rPr>
            </w:pPr>
            <w:r>
              <w:rPr>
                <w:rFonts w:hint="eastAsia"/>
                <w:szCs w:val="20"/>
              </w:rPr>
              <w:t>组</w:t>
            </w:r>
          </w:p>
        </w:tc>
        <w:tc>
          <w:tcPr>
            <w:tcW w:w="721" w:type="pct"/>
            <w:noWrap w:val="0"/>
            <w:vAlign w:val="center"/>
          </w:tcPr>
          <w:p>
            <w:pPr>
              <w:pStyle w:val="27"/>
              <w:spacing w:line="180" w:lineRule="auto"/>
              <w:jc w:val="center"/>
              <w:rPr>
                <w:szCs w:val="20"/>
              </w:rPr>
            </w:pPr>
            <w:r>
              <w:rPr>
                <w:rFonts w:hint="eastAsia"/>
                <w:szCs w:val="20"/>
              </w:rPr>
              <w:t>2</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szCs w:val="20"/>
              </w:rPr>
            </w:pPr>
            <w:r>
              <w:rPr>
                <w:rFonts w:hint="eastAsia"/>
                <w:szCs w:val="20"/>
              </w:rPr>
              <w:t>5</w:t>
            </w:r>
          </w:p>
        </w:tc>
        <w:tc>
          <w:tcPr>
            <w:tcW w:w="2415" w:type="pct"/>
            <w:noWrap w:val="0"/>
            <w:vAlign w:val="center"/>
          </w:tcPr>
          <w:p>
            <w:pPr>
              <w:pStyle w:val="27"/>
              <w:spacing w:line="400" w:lineRule="exact"/>
              <w:jc w:val="center"/>
              <w:rPr>
                <w:rFonts w:hint="eastAsia"/>
                <w:szCs w:val="20"/>
              </w:rPr>
            </w:pPr>
            <w:r>
              <w:rPr>
                <w:rFonts w:hint="eastAsia"/>
                <w:szCs w:val="20"/>
              </w:rPr>
              <w:t>高背</w:t>
            </w:r>
            <w:r>
              <w:rPr>
                <w:szCs w:val="20"/>
              </w:rPr>
              <w:t>单人沙发</w:t>
            </w:r>
          </w:p>
        </w:tc>
        <w:tc>
          <w:tcPr>
            <w:tcW w:w="524" w:type="pct"/>
            <w:noWrap w:val="0"/>
            <w:vAlign w:val="center"/>
          </w:tcPr>
          <w:p>
            <w:pPr>
              <w:pStyle w:val="27"/>
              <w:spacing w:line="180" w:lineRule="auto"/>
              <w:jc w:val="center"/>
              <w:rPr>
                <w:szCs w:val="20"/>
              </w:rPr>
            </w:pPr>
            <w:r>
              <w:rPr>
                <w:rFonts w:hint="eastAsia"/>
                <w:szCs w:val="20"/>
              </w:rPr>
              <w:t>个</w:t>
            </w:r>
          </w:p>
        </w:tc>
        <w:tc>
          <w:tcPr>
            <w:tcW w:w="721" w:type="pct"/>
            <w:noWrap w:val="0"/>
            <w:vAlign w:val="center"/>
          </w:tcPr>
          <w:p>
            <w:pPr>
              <w:pStyle w:val="27"/>
              <w:spacing w:line="180" w:lineRule="auto"/>
              <w:jc w:val="center"/>
              <w:rPr>
                <w:szCs w:val="20"/>
              </w:rPr>
            </w:pPr>
            <w:r>
              <w:rPr>
                <w:rFonts w:hint="eastAsia"/>
                <w:szCs w:val="20"/>
              </w:rPr>
              <w:t>80</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szCs w:val="20"/>
              </w:rPr>
            </w:pPr>
            <w:r>
              <w:rPr>
                <w:rFonts w:hint="eastAsia"/>
                <w:szCs w:val="20"/>
              </w:rPr>
              <w:t>6</w:t>
            </w:r>
          </w:p>
        </w:tc>
        <w:tc>
          <w:tcPr>
            <w:tcW w:w="2415" w:type="pct"/>
            <w:noWrap w:val="0"/>
            <w:vAlign w:val="center"/>
          </w:tcPr>
          <w:p>
            <w:pPr>
              <w:pStyle w:val="27"/>
              <w:spacing w:line="400" w:lineRule="exact"/>
              <w:jc w:val="center"/>
              <w:rPr>
                <w:szCs w:val="20"/>
              </w:rPr>
            </w:pPr>
            <w:r>
              <w:rPr>
                <w:rFonts w:hint="eastAsia"/>
                <w:szCs w:val="20"/>
              </w:rPr>
              <w:t>休闲沙发</w:t>
            </w:r>
          </w:p>
        </w:tc>
        <w:tc>
          <w:tcPr>
            <w:tcW w:w="524" w:type="pct"/>
            <w:noWrap w:val="0"/>
            <w:vAlign w:val="center"/>
          </w:tcPr>
          <w:p>
            <w:pPr>
              <w:pStyle w:val="27"/>
              <w:spacing w:line="180" w:lineRule="auto"/>
              <w:jc w:val="center"/>
              <w:rPr>
                <w:szCs w:val="20"/>
              </w:rPr>
            </w:pPr>
            <w:r>
              <w:rPr>
                <w:rFonts w:hint="eastAsia"/>
                <w:szCs w:val="20"/>
              </w:rPr>
              <w:t>个</w:t>
            </w:r>
          </w:p>
        </w:tc>
        <w:tc>
          <w:tcPr>
            <w:tcW w:w="721" w:type="pct"/>
            <w:noWrap w:val="0"/>
            <w:vAlign w:val="center"/>
          </w:tcPr>
          <w:p>
            <w:pPr>
              <w:pStyle w:val="27"/>
              <w:spacing w:line="180" w:lineRule="auto"/>
              <w:jc w:val="center"/>
              <w:rPr>
                <w:szCs w:val="20"/>
              </w:rPr>
            </w:pPr>
            <w:r>
              <w:rPr>
                <w:rFonts w:hint="eastAsia"/>
                <w:szCs w:val="20"/>
              </w:rPr>
              <w:t>120</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7</w:t>
            </w:r>
          </w:p>
        </w:tc>
        <w:tc>
          <w:tcPr>
            <w:tcW w:w="2415" w:type="pct"/>
            <w:noWrap w:val="0"/>
            <w:vAlign w:val="center"/>
          </w:tcPr>
          <w:p>
            <w:pPr>
              <w:pStyle w:val="27"/>
              <w:spacing w:line="400" w:lineRule="exact"/>
              <w:jc w:val="center"/>
              <w:rPr>
                <w:rFonts w:hint="eastAsia"/>
                <w:szCs w:val="20"/>
              </w:rPr>
            </w:pPr>
            <w:r>
              <w:rPr>
                <w:rFonts w:hint="eastAsia"/>
                <w:szCs w:val="20"/>
              </w:rPr>
              <w:t>单人</w:t>
            </w:r>
            <w:r>
              <w:rPr>
                <w:szCs w:val="20"/>
              </w:rPr>
              <w:t>沙发</w:t>
            </w:r>
          </w:p>
        </w:tc>
        <w:tc>
          <w:tcPr>
            <w:tcW w:w="524" w:type="pct"/>
            <w:noWrap w:val="0"/>
            <w:vAlign w:val="center"/>
          </w:tcPr>
          <w:p>
            <w:pPr>
              <w:pStyle w:val="27"/>
              <w:spacing w:line="180" w:lineRule="auto"/>
              <w:jc w:val="center"/>
              <w:rPr>
                <w:rFonts w:hint="eastAsia"/>
                <w:szCs w:val="20"/>
              </w:rPr>
            </w:pPr>
            <w:r>
              <w:rPr>
                <w:rFonts w:hint="eastAsia"/>
                <w:szCs w:val="20"/>
              </w:rPr>
              <w:t>个</w:t>
            </w:r>
          </w:p>
        </w:tc>
        <w:tc>
          <w:tcPr>
            <w:tcW w:w="721" w:type="pct"/>
            <w:noWrap w:val="0"/>
            <w:vAlign w:val="center"/>
          </w:tcPr>
          <w:p>
            <w:pPr>
              <w:pStyle w:val="27"/>
              <w:spacing w:line="180" w:lineRule="auto"/>
              <w:jc w:val="center"/>
              <w:rPr>
                <w:rFonts w:hint="eastAsia"/>
                <w:szCs w:val="20"/>
              </w:rPr>
            </w:pPr>
            <w:r>
              <w:rPr>
                <w:rFonts w:hint="eastAsia"/>
                <w:szCs w:val="20"/>
              </w:rPr>
              <w:t>24</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8</w:t>
            </w:r>
          </w:p>
        </w:tc>
        <w:tc>
          <w:tcPr>
            <w:tcW w:w="2415" w:type="pct"/>
            <w:noWrap w:val="0"/>
            <w:vAlign w:val="center"/>
          </w:tcPr>
          <w:p>
            <w:pPr>
              <w:pStyle w:val="27"/>
              <w:spacing w:line="400" w:lineRule="exact"/>
              <w:jc w:val="center"/>
              <w:rPr>
                <w:rFonts w:hint="eastAsia"/>
                <w:szCs w:val="20"/>
              </w:rPr>
            </w:pPr>
            <w:r>
              <w:rPr>
                <w:rFonts w:hint="eastAsia"/>
                <w:szCs w:val="20"/>
              </w:rPr>
              <w:t>会客室</w:t>
            </w:r>
            <w:r>
              <w:rPr>
                <w:szCs w:val="20"/>
              </w:rPr>
              <w:t>沙发</w:t>
            </w:r>
          </w:p>
        </w:tc>
        <w:tc>
          <w:tcPr>
            <w:tcW w:w="524" w:type="pct"/>
            <w:noWrap w:val="0"/>
            <w:vAlign w:val="center"/>
          </w:tcPr>
          <w:p>
            <w:pPr>
              <w:pStyle w:val="27"/>
              <w:spacing w:line="180" w:lineRule="auto"/>
              <w:jc w:val="center"/>
              <w:rPr>
                <w:rFonts w:hint="eastAsia"/>
                <w:szCs w:val="20"/>
              </w:rPr>
            </w:pPr>
            <w:r>
              <w:rPr>
                <w:rFonts w:hint="eastAsia"/>
                <w:szCs w:val="20"/>
              </w:rPr>
              <w:t>个</w:t>
            </w:r>
          </w:p>
        </w:tc>
        <w:tc>
          <w:tcPr>
            <w:tcW w:w="721" w:type="pct"/>
            <w:noWrap w:val="0"/>
            <w:vAlign w:val="center"/>
          </w:tcPr>
          <w:p>
            <w:pPr>
              <w:pStyle w:val="27"/>
              <w:spacing w:line="180" w:lineRule="auto"/>
              <w:jc w:val="center"/>
              <w:rPr>
                <w:rFonts w:hint="eastAsia"/>
                <w:szCs w:val="20"/>
              </w:rPr>
            </w:pPr>
            <w:r>
              <w:rPr>
                <w:rFonts w:hint="eastAsia"/>
                <w:szCs w:val="20"/>
              </w:rPr>
              <w:t>10</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9</w:t>
            </w:r>
          </w:p>
        </w:tc>
        <w:tc>
          <w:tcPr>
            <w:tcW w:w="2415" w:type="pct"/>
            <w:noWrap w:val="0"/>
            <w:vAlign w:val="center"/>
          </w:tcPr>
          <w:p>
            <w:pPr>
              <w:pStyle w:val="27"/>
              <w:spacing w:line="400" w:lineRule="exact"/>
              <w:jc w:val="center"/>
              <w:rPr>
                <w:rFonts w:hint="eastAsia"/>
                <w:szCs w:val="20"/>
              </w:rPr>
            </w:pPr>
            <w:r>
              <w:rPr>
                <w:rFonts w:hint="eastAsia"/>
                <w:szCs w:val="20"/>
              </w:rPr>
              <w:t>会客室</w:t>
            </w:r>
            <w:r>
              <w:rPr>
                <w:szCs w:val="20"/>
              </w:rPr>
              <w:t>茶几</w:t>
            </w:r>
          </w:p>
        </w:tc>
        <w:tc>
          <w:tcPr>
            <w:tcW w:w="524" w:type="pct"/>
            <w:noWrap w:val="0"/>
            <w:vAlign w:val="center"/>
          </w:tcPr>
          <w:p>
            <w:pPr>
              <w:pStyle w:val="27"/>
              <w:spacing w:line="180" w:lineRule="auto"/>
              <w:jc w:val="center"/>
              <w:rPr>
                <w:rFonts w:hint="eastAsia"/>
                <w:szCs w:val="20"/>
              </w:rPr>
            </w:pPr>
            <w:r>
              <w:rPr>
                <w:rFonts w:hint="eastAsia"/>
                <w:szCs w:val="20"/>
              </w:rPr>
              <w:t>个</w:t>
            </w:r>
          </w:p>
        </w:tc>
        <w:tc>
          <w:tcPr>
            <w:tcW w:w="721" w:type="pct"/>
            <w:noWrap w:val="0"/>
            <w:vAlign w:val="center"/>
          </w:tcPr>
          <w:p>
            <w:pPr>
              <w:pStyle w:val="27"/>
              <w:spacing w:line="180" w:lineRule="auto"/>
              <w:jc w:val="center"/>
              <w:rPr>
                <w:rFonts w:hint="eastAsia"/>
                <w:szCs w:val="20"/>
              </w:rPr>
            </w:pPr>
            <w:r>
              <w:rPr>
                <w:rFonts w:hint="eastAsia"/>
                <w:szCs w:val="20"/>
              </w:rPr>
              <w:t>5</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10</w:t>
            </w:r>
          </w:p>
        </w:tc>
        <w:tc>
          <w:tcPr>
            <w:tcW w:w="2415" w:type="pct"/>
            <w:noWrap w:val="0"/>
            <w:vAlign w:val="center"/>
          </w:tcPr>
          <w:p>
            <w:pPr>
              <w:pStyle w:val="27"/>
              <w:spacing w:line="400" w:lineRule="exact"/>
              <w:jc w:val="center"/>
              <w:rPr>
                <w:rFonts w:hint="eastAsia"/>
                <w:szCs w:val="20"/>
              </w:rPr>
            </w:pPr>
            <w:r>
              <w:rPr>
                <w:rFonts w:hint="eastAsia"/>
                <w:szCs w:val="20"/>
              </w:rPr>
              <w:t>方形</w:t>
            </w:r>
            <w:r>
              <w:rPr>
                <w:szCs w:val="20"/>
              </w:rPr>
              <w:t>茶几</w:t>
            </w:r>
          </w:p>
        </w:tc>
        <w:tc>
          <w:tcPr>
            <w:tcW w:w="524" w:type="pct"/>
            <w:noWrap w:val="0"/>
            <w:vAlign w:val="center"/>
          </w:tcPr>
          <w:p>
            <w:pPr>
              <w:pStyle w:val="27"/>
              <w:spacing w:line="180" w:lineRule="auto"/>
              <w:jc w:val="center"/>
              <w:rPr>
                <w:rFonts w:hint="eastAsia"/>
                <w:szCs w:val="20"/>
              </w:rPr>
            </w:pPr>
            <w:r>
              <w:rPr>
                <w:rFonts w:hint="eastAsia"/>
                <w:szCs w:val="20"/>
              </w:rPr>
              <w:t>个</w:t>
            </w:r>
          </w:p>
        </w:tc>
        <w:tc>
          <w:tcPr>
            <w:tcW w:w="721" w:type="pct"/>
            <w:noWrap w:val="0"/>
            <w:vAlign w:val="center"/>
          </w:tcPr>
          <w:p>
            <w:pPr>
              <w:pStyle w:val="27"/>
              <w:spacing w:line="180" w:lineRule="auto"/>
              <w:jc w:val="center"/>
              <w:rPr>
                <w:rFonts w:hint="eastAsia"/>
                <w:szCs w:val="20"/>
              </w:rPr>
            </w:pPr>
            <w:r>
              <w:rPr>
                <w:rFonts w:hint="eastAsia"/>
                <w:szCs w:val="20"/>
              </w:rPr>
              <w:t>40</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11</w:t>
            </w:r>
          </w:p>
        </w:tc>
        <w:tc>
          <w:tcPr>
            <w:tcW w:w="2415" w:type="pct"/>
            <w:noWrap w:val="0"/>
            <w:vAlign w:val="center"/>
          </w:tcPr>
          <w:p>
            <w:pPr>
              <w:pStyle w:val="27"/>
              <w:spacing w:line="400" w:lineRule="exact"/>
              <w:jc w:val="center"/>
              <w:rPr>
                <w:rFonts w:hint="eastAsia"/>
                <w:szCs w:val="20"/>
              </w:rPr>
            </w:pPr>
            <w:r>
              <w:rPr>
                <w:rFonts w:hint="eastAsia"/>
                <w:szCs w:val="20"/>
              </w:rPr>
              <w:t>长方形</w:t>
            </w:r>
            <w:r>
              <w:rPr>
                <w:szCs w:val="20"/>
              </w:rPr>
              <w:t>茶几</w:t>
            </w:r>
          </w:p>
        </w:tc>
        <w:tc>
          <w:tcPr>
            <w:tcW w:w="524" w:type="pct"/>
            <w:noWrap w:val="0"/>
            <w:vAlign w:val="center"/>
          </w:tcPr>
          <w:p>
            <w:pPr>
              <w:pStyle w:val="27"/>
              <w:spacing w:line="180" w:lineRule="auto"/>
              <w:jc w:val="center"/>
              <w:rPr>
                <w:rFonts w:hint="eastAsia"/>
                <w:szCs w:val="20"/>
              </w:rPr>
            </w:pPr>
            <w:r>
              <w:rPr>
                <w:rFonts w:hint="eastAsia"/>
                <w:szCs w:val="20"/>
              </w:rPr>
              <w:t>个</w:t>
            </w:r>
          </w:p>
        </w:tc>
        <w:tc>
          <w:tcPr>
            <w:tcW w:w="721" w:type="pct"/>
            <w:noWrap w:val="0"/>
            <w:vAlign w:val="center"/>
          </w:tcPr>
          <w:p>
            <w:pPr>
              <w:pStyle w:val="27"/>
              <w:spacing w:line="180" w:lineRule="auto"/>
              <w:jc w:val="center"/>
              <w:rPr>
                <w:rFonts w:hint="eastAsia"/>
                <w:szCs w:val="20"/>
              </w:rPr>
            </w:pPr>
            <w:r>
              <w:rPr>
                <w:rFonts w:hint="eastAsia"/>
                <w:szCs w:val="20"/>
              </w:rPr>
              <w:t>30</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12</w:t>
            </w:r>
          </w:p>
        </w:tc>
        <w:tc>
          <w:tcPr>
            <w:tcW w:w="2415" w:type="pct"/>
            <w:noWrap w:val="0"/>
            <w:vAlign w:val="center"/>
          </w:tcPr>
          <w:p>
            <w:pPr>
              <w:pStyle w:val="27"/>
              <w:spacing w:line="400" w:lineRule="exact"/>
              <w:jc w:val="center"/>
              <w:rPr>
                <w:rFonts w:hint="eastAsia"/>
                <w:szCs w:val="20"/>
              </w:rPr>
            </w:pPr>
            <w:r>
              <w:rPr>
                <w:rFonts w:hint="eastAsia"/>
                <w:szCs w:val="20"/>
              </w:rPr>
              <w:t>圆形</w:t>
            </w:r>
            <w:r>
              <w:rPr>
                <w:szCs w:val="20"/>
              </w:rPr>
              <w:t>茶几</w:t>
            </w:r>
          </w:p>
        </w:tc>
        <w:tc>
          <w:tcPr>
            <w:tcW w:w="524" w:type="pct"/>
            <w:noWrap w:val="0"/>
            <w:vAlign w:val="center"/>
          </w:tcPr>
          <w:p>
            <w:pPr>
              <w:pStyle w:val="27"/>
              <w:spacing w:line="180" w:lineRule="auto"/>
              <w:jc w:val="center"/>
              <w:rPr>
                <w:rFonts w:hint="eastAsia"/>
                <w:szCs w:val="20"/>
              </w:rPr>
            </w:pPr>
            <w:r>
              <w:rPr>
                <w:rFonts w:hint="eastAsia"/>
                <w:szCs w:val="20"/>
              </w:rPr>
              <w:t>个</w:t>
            </w:r>
          </w:p>
        </w:tc>
        <w:tc>
          <w:tcPr>
            <w:tcW w:w="721" w:type="pct"/>
            <w:noWrap w:val="0"/>
            <w:vAlign w:val="center"/>
          </w:tcPr>
          <w:p>
            <w:pPr>
              <w:pStyle w:val="27"/>
              <w:spacing w:line="180" w:lineRule="auto"/>
              <w:jc w:val="center"/>
              <w:rPr>
                <w:rFonts w:hint="eastAsia"/>
                <w:szCs w:val="20"/>
              </w:rPr>
            </w:pPr>
            <w:r>
              <w:rPr>
                <w:rFonts w:hint="eastAsia"/>
                <w:szCs w:val="20"/>
              </w:rPr>
              <w:t>80</w:t>
            </w:r>
          </w:p>
        </w:tc>
        <w:tc>
          <w:tcPr>
            <w:tcW w:w="820" w:type="pct"/>
            <w:noWrap w:val="0"/>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18" w:type="pct"/>
            <w:noWrap w:val="0"/>
            <w:vAlign w:val="center"/>
          </w:tcPr>
          <w:p>
            <w:pPr>
              <w:pStyle w:val="27"/>
              <w:spacing w:line="180" w:lineRule="auto"/>
              <w:jc w:val="center"/>
              <w:rPr>
                <w:rFonts w:hint="eastAsia"/>
                <w:szCs w:val="20"/>
              </w:rPr>
            </w:pPr>
            <w:r>
              <w:rPr>
                <w:rFonts w:hint="eastAsia"/>
                <w:szCs w:val="20"/>
              </w:rPr>
              <w:t>13</w:t>
            </w:r>
          </w:p>
        </w:tc>
        <w:tc>
          <w:tcPr>
            <w:tcW w:w="2415" w:type="pct"/>
            <w:noWrap w:val="0"/>
            <w:vAlign w:val="center"/>
          </w:tcPr>
          <w:p>
            <w:pPr>
              <w:pStyle w:val="27"/>
              <w:spacing w:line="400" w:lineRule="exact"/>
              <w:jc w:val="center"/>
              <w:rPr>
                <w:rFonts w:hint="eastAsia"/>
                <w:szCs w:val="20"/>
              </w:rPr>
            </w:pPr>
            <w:r>
              <w:rPr>
                <w:rFonts w:hint="eastAsia"/>
                <w:szCs w:val="20"/>
              </w:rPr>
              <w:t>窗帘</w:t>
            </w:r>
          </w:p>
        </w:tc>
        <w:tc>
          <w:tcPr>
            <w:tcW w:w="524" w:type="pct"/>
            <w:noWrap w:val="0"/>
            <w:vAlign w:val="center"/>
          </w:tcPr>
          <w:p>
            <w:pPr>
              <w:pStyle w:val="27"/>
              <w:spacing w:line="180" w:lineRule="auto"/>
              <w:jc w:val="center"/>
              <w:rPr>
                <w:rFonts w:hint="eastAsia"/>
                <w:szCs w:val="20"/>
              </w:rPr>
            </w:pPr>
            <w:r>
              <w:rPr>
                <w:rFonts w:hint="eastAsia"/>
                <w:szCs w:val="20"/>
              </w:rPr>
              <w:t>套</w:t>
            </w:r>
          </w:p>
        </w:tc>
        <w:tc>
          <w:tcPr>
            <w:tcW w:w="721" w:type="pct"/>
            <w:noWrap w:val="0"/>
            <w:vAlign w:val="center"/>
          </w:tcPr>
          <w:p>
            <w:pPr>
              <w:pStyle w:val="27"/>
              <w:spacing w:line="180" w:lineRule="auto"/>
              <w:jc w:val="center"/>
              <w:rPr>
                <w:rFonts w:hint="eastAsia"/>
                <w:szCs w:val="20"/>
              </w:rPr>
            </w:pPr>
            <w:r>
              <w:rPr>
                <w:rFonts w:hint="eastAsia"/>
                <w:szCs w:val="20"/>
              </w:rPr>
              <w:t>150</w:t>
            </w:r>
          </w:p>
        </w:tc>
        <w:tc>
          <w:tcPr>
            <w:tcW w:w="820" w:type="pct"/>
            <w:noWrap w:val="0"/>
            <w:vAlign w:val="center"/>
          </w:tcPr>
          <w:p>
            <w:pPr>
              <w:pStyle w:val="27"/>
            </w:pPr>
          </w:p>
        </w:tc>
      </w:tr>
    </w:tbl>
    <w:p>
      <w:pPr>
        <w:pStyle w:val="13"/>
        <w:keepNext w:val="0"/>
        <w:keepLines w:val="0"/>
        <w:pageBreakBefore w:val="0"/>
        <w:widowControl/>
        <w:numPr>
          <w:ilvl w:val="-1"/>
          <w:numId w:val="0"/>
        </w:numPr>
        <w:kinsoku w:val="0"/>
        <w:wordWrap/>
        <w:overflowPunct/>
        <w:topLinePunct w:val="0"/>
        <w:autoSpaceDE w:val="0"/>
        <w:autoSpaceDN w:val="0"/>
        <w:bidi w:val="0"/>
        <w:adjustRightInd w:val="0"/>
        <w:snapToGrid w:val="0"/>
        <w:spacing w:line="500" w:lineRule="exact"/>
        <w:ind w:left="0" w:leftChars="0" w:firstLine="566" w:firstLineChars="200"/>
        <w:jc w:val="both"/>
        <w:textAlignment w:val="baseline"/>
        <w:outlineLvl w:val="2"/>
        <w:rPr>
          <w:rFonts w:hint="eastAsia" w:ascii="仿宋" w:hAnsi="仿宋" w:eastAsia="仿宋" w:cs="仿宋"/>
          <w:b/>
          <w:bCs/>
          <w:highlight w:val="none"/>
          <w:lang w:eastAsia="zh-CN"/>
        </w:rPr>
      </w:pPr>
      <w:r>
        <w:rPr>
          <w:rFonts w:hint="eastAsia"/>
          <w:b/>
          <w:bCs/>
          <w:highlight w:val="none"/>
          <w:lang w:val="en-US" w:eastAsia="zh-CN"/>
        </w:rPr>
        <w:t>3、第三标段</w:t>
      </w:r>
    </w:p>
    <w:tbl>
      <w:tblPr>
        <w:tblStyle w:val="19"/>
        <w:tblW w:w="44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967"/>
        <w:gridCol w:w="853"/>
        <w:gridCol w:w="1209"/>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23" w:type="pct"/>
            <w:noWrap w:val="0"/>
            <w:vAlign w:val="center"/>
          </w:tcPr>
          <w:p>
            <w:pPr>
              <w:pStyle w:val="27"/>
              <w:jc w:val="center"/>
              <w:rPr>
                <w:b/>
                <w:bCs/>
              </w:rPr>
            </w:pPr>
            <w:r>
              <w:rPr>
                <w:b/>
                <w:bCs/>
              </w:rPr>
              <w:t>序号</w:t>
            </w:r>
          </w:p>
        </w:tc>
        <w:tc>
          <w:tcPr>
            <w:tcW w:w="2415" w:type="pct"/>
            <w:noWrap w:val="0"/>
            <w:vAlign w:val="center"/>
          </w:tcPr>
          <w:p>
            <w:pPr>
              <w:pStyle w:val="27"/>
              <w:jc w:val="center"/>
              <w:rPr>
                <w:b/>
                <w:bCs/>
              </w:rPr>
            </w:pPr>
            <w:r>
              <w:rPr>
                <w:b/>
                <w:bCs/>
              </w:rPr>
              <w:t>名称</w:t>
            </w:r>
          </w:p>
        </w:tc>
        <w:tc>
          <w:tcPr>
            <w:tcW w:w="519" w:type="pct"/>
            <w:noWrap w:val="0"/>
            <w:vAlign w:val="center"/>
          </w:tcPr>
          <w:p>
            <w:pPr>
              <w:widowControl/>
              <w:jc w:val="center"/>
              <w:rPr>
                <w:b/>
                <w:bCs/>
                <w:szCs w:val="24"/>
              </w:rPr>
            </w:pPr>
            <w:r>
              <w:rPr>
                <w:rFonts w:hint="eastAsia" w:ascii="仿宋" w:hAnsi="仿宋" w:eastAsia="仿宋" w:cs="仿宋"/>
                <w:b/>
                <w:bCs/>
                <w:sz w:val="24"/>
                <w:szCs w:val="24"/>
              </w:rPr>
              <w:t>单位</w:t>
            </w:r>
          </w:p>
        </w:tc>
        <w:tc>
          <w:tcPr>
            <w:tcW w:w="736" w:type="pct"/>
            <w:noWrap w:val="0"/>
            <w:vAlign w:val="center"/>
          </w:tcPr>
          <w:p>
            <w:pPr>
              <w:pStyle w:val="27"/>
              <w:jc w:val="center"/>
              <w:rPr>
                <w:b/>
                <w:bCs/>
              </w:rPr>
            </w:pPr>
            <w:r>
              <w:rPr>
                <w:b/>
                <w:bCs/>
              </w:rPr>
              <w:t>数量</w:t>
            </w:r>
          </w:p>
        </w:tc>
        <w:tc>
          <w:tcPr>
            <w:tcW w:w="805" w:type="pct"/>
            <w:noWrap w:val="0"/>
            <w:vAlign w:val="center"/>
          </w:tcPr>
          <w:p>
            <w:pPr>
              <w:pStyle w:val="27"/>
              <w:jc w:val="center"/>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pPr>
            <w:r>
              <w:t>1</w:t>
            </w:r>
          </w:p>
        </w:tc>
        <w:tc>
          <w:tcPr>
            <w:tcW w:w="2415" w:type="pct"/>
            <w:noWrap w:val="0"/>
            <w:vAlign w:val="center"/>
          </w:tcPr>
          <w:p>
            <w:pPr>
              <w:pStyle w:val="27"/>
              <w:jc w:val="center"/>
              <w:rPr>
                <w:rFonts w:hint="eastAsia"/>
              </w:rPr>
            </w:pPr>
            <w:r>
              <w:rPr>
                <w:rFonts w:hint="eastAsia"/>
              </w:rPr>
              <w:t>三层</w:t>
            </w:r>
            <w:r>
              <w:t>双面书</w:t>
            </w:r>
            <w:r>
              <w:rPr>
                <w:rFonts w:hint="eastAsia"/>
              </w:rPr>
              <w:t>架</w:t>
            </w:r>
          </w:p>
        </w:tc>
        <w:tc>
          <w:tcPr>
            <w:tcW w:w="519" w:type="pct"/>
            <w:noWrap w:val="0"/>
            <w:vAlign w:val="center"/>
          </w:tcPr>
          <w:p>
            <w:pPr>
              <w:widowControl/>
              <w:jc w:val="center"/>
              <w:rPr>
                <w:sz w:val="24"/>
                <w:szCs w:val="24"/>
              </w:rPr>
            </w:pPr>
            <w:r>
              <w:rPr>
                <w:rFonts w:hint="eastAsia"/>
                <w:sz w:val="24"/>
                <w:szCs w:val="24"/>
              </w:rPr>
              <w:t>节</w:t>
            </w:r>
          </w:p>
        </w:tc>
        <w:tc>
          <w:tcPr>
            <w:tcW w:w="736" w:type="pct"/>
            <w:noWrap w:val="0"/>
            <w:vAlign w:val="center"/>
          </w:tcPr>
          <w:p>
            <w:pPr>
              <w:pStyle w:val="27"/>
              <w:jc w:val="center"/>
            </w:pPr>
            <w:r>
              <w:t>100</w:t>
            </w:r>
          </w:p>
        </w:tc>
        <w:tc>
          <w:tcPr>
            <w:tcW w:w="805" w:type="pct"/>
            <w:noWrap w:val="0"/>
            <w:vAlign w:val="center"/>
          </w:tcPr>
          <w:p>
            <w:pPr>
              <w:pStyle w:val="27"/>
              <w:jc w:val="center"/>
              <w:rPr>
                <w:rFonts w:hint="eastAsia" w:eastAsia="仿宋"/>
                <w:b/>
                <w:bCs/>
                <w:lang w:val="en-US" w:eastAsia="zh-CN"/>
              </w:rPr>
            </w:pPr>
            <w:r>
              <w:rPr>
                <w:rFonts w:hint="eastAsia"/>
                <w:b/>
                <w:bCs/>
                <w:lang w:val="en-US" w:eastAsia="zh-CN"/>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bCs/>
                <w:kern w:val="0"/>
              </w:rPr>
            </w:pPr>
            <w:r>
              <w:rPr>
                <w:bCs/>
                <w:kern w:val="0"/>
              </w:rPr>
              <w:t>2</w:t>
            </w:r>
          </w:p>
        </w:tc>
        <w:tc>
          <w:tcPr>
            <w:tcW w:w="2415" w:type="pct"/>
            <w:noWrap w:val="0"/>
            <w:vAlign w:val="center"/>
          </w:tcPr>
          <w:p>
            <w:pPr>
              <w:pStyle w:val="27"/>
              <w:jc w:val="center"/>
              <w:rPr>
                <w:rFonts w:hint="eastAsia"/>
                <w:bCs/>
                <w:kern w:val="0"/>
              </w:rPr>
            </w:pPr>
            <w:r>
              <w:rPr>
                <w:rFonts w:hint="eastAsia"/>
                <w:bCs/>
                <w:kern w:val="0"/>
              </w:rPr>
              <w:t>六层</w:t>
            </w:r>
            <w:r>
              <w:rPr>
                <w:bCs/>
                <w:kern w:val="0"/>
              </w:rPr>
              <w:t>双面书架</w:t>
            </w:r>
          </w:p>
        </w:tc>
        <w:tc>
          <w:tcPr>
            <w:tcW w:w="519" w:type="pct"/>
            <w:noWrap w:val="0"/>
            <w:vAlign w:val="center"/>
          </w:tcPr>
          <w:p>
            <w:pPr>
              <w:pStyle w:val="27"/>
              <w:jc w:val="center"/>
              <w:rPr>
                <w:bCs/>
                <w:kern w:val="0"/>
              </w:rPr>
            </w:pPr>
            <w:r>
              <w:rPr>
                <w:rFonts w:hint="eastAsia"/>
                <w:bCs/>
                <w:kern w:val="0"/>
              </w:rPr>
              <w:t>节</w:t>
            </w:r>
          </w:p>
        </w:tc>
        <w:tc>
          <w:tcPr>
            <w:tcW w:w="736" w:type="pct"/>
            <w:noWrap w:val="0"/>
            <w:vAlign w:val="center"/>
          </w:tcPr>
          <w:p>
            <w:pPr>
              <w:pStyle w:val="27"/>
              <w:jc w:val="center"/>
              <w:rPr>
                <w:bCs/>
                <w:kern w:val="0"/>
              </w:rPr>
            </w:pPr>
            <w:r>
              <w:rPr>
                <w:rFonts w:hint="eastAsia"/>
                <w:bCs/>
                <w:kern w:val="0"/>
              </w:rPr>
              <w:t>100</w:t>
            </w:r>
          </w:p>
        </w:tc>
        <w:tc>
          <w:tcPr>
            <w:tcW w:w="805" w:type="pct"/>
            <w:noWrap w:val="0"/>
            <w:vAlign w:val="center"/>
          </w:tcPr>
          <w:p>
            <w:pPr>
              <w:pStyle w:val="27"/>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bCs/>
                <w:kern w:val="0"/>
              </w:rPr>
            </w:pPr>
            <w:r>
              <w:rPr>
                <w:rFonts w:hint="eastAsia"/>
                <w:bCs/>
                <w:kern w:val="0"/>
              </w:rPr>
              <w:t>3</w:t>
            </w:r>
          </w:p>
        </w:tc>
        <w:tc>
          <w:tcPr>
            <w:tcW w:w="2415" w:type="pct"/>
            <w:noWrap w:val="0"/>
            <w:vAlign w:val="center"/>
          </w:tcPr>
          <w:p>
            <w:pPr>
              <w:pStyle w:val="27"/>
              <w:jc w:val="center"/>
              <w:rPr>
                <w:rFonts w:hint="eastAsia"/>
                <w:bCs/>
                <w:kern w:val="0"/>
              </w:rPr>
            </w:pPr>
            <w:r>
              <w:rPr>
                <w:rFonts w:hint="eastAsia"/>
                <w:bCs/>
                <w:kern w:val="0"/>
              </w:rPr>
              <w:t>铁质单面</w:t>
            </w:r>
            <w:r>
              <w:rPr>
                <w:bCs/>
                <w:kern w:val="0"/>
              </w:rPr>
              <w:t>书架</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200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jc w:val="center"/>
        </w:trPr>
        <w:tc>
          <w:tcPr>
            <w:tcW w:w="523" w:type="pct"/>
            <w:noWrap w:val="0"/>
            <w:vAlign w:val="center"/>
          </w:tcPr>
          <w:p>
            <w:pPr>
              <w:pStyle w:val="27"/>
              <w:jc w:val="center"/>
              <w:rPr>
                <w:rFonts w:hint="eastAsia"/>
                <w:bCs/>
                <w:kern w:val="0"/>
              </w:rPr>
            </w:pPr>
            <w:r>
              <w:rPr>
                <w:rFonts w:hint="eastAsia"/>
                <w:bCs/>
                <w:kern w:val="0"/>
              </w:rPr>
              <w:t>4</w:t>
            </w:r>
          </w:p>
        </w:tc>
        <w:tc>
          <w:tcPr>
            <w:tcW w:w="2415" w:type="pct"/>
            <w:noWrap w:val="0"/>
            <w:vAlign w:val="center"/>
          </w:tcPr>
          <w:p>
            <w:pPr>
              <w:pStyle w:val="27"/>
              <w:jc w:val="center"/>
              <w:rPr>
                <w:rFonts w:hint="eastAsia"/>
                <w:bCs/>
                <w:kern w:val="0"/>
              </w:rPr>
            </w:pPr>
            <w:r>
              <w:rPr>
                <w:rFonts w:hint="eastAsia"/>
                <w:bCs/>
                <w:kern w:val="0"/>
              </w:rPr>
              <w:t>卡座</w:t>
            </w:r>
            <w:r>
              <w:rPr>
                <w:bCs/>
                <w:kern w:val="0"/>
              </w:rPr>
              <w:t>矮书架</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4</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eastAsia"/>
                <w:bCs/>
                <w:kern w:val="0"/>
              </w:rPr>
            </w:pPr>
            <w:r>
              <w:rPr>
                <w:rFonts w:hint="eastAsia"/>
                <w:bCs/>
                <w:kern w:val="0"/>
              </w:rPr>
              <w:t>5</w:t>
            </w:r>
          </w:p>
        </w:tc>
        <w:tc>
          <w:tcPr>
            <w:tcW w:w="2415" w:type="pct"/>
            <w:noWrap w:val="0"/>
            <w:vAlign w:val="center"/>
          </w:tcPr>
          <w:p>
            <w:pPr>
              <w:pStyle w:val="27"/>
              <w:jc w:val="center"/>
              <w:rPr>
                <w:rFonts w:hint="eastAsia"/>
                <w:bCs/>
                <w:kern w:val="0"/>
                <w:highlight w:val="none"/>
              </w:rPr>
            </w:pPr>
            <w:r>
              <w:rPr>
                <w:rFonts w:hint="eastAsia"/>
                <w:bCs/>
                <w:kern w:val="0"/>
                <w:highlight w:val="none"/>
              </w:rPr>
              <w:t>通体</w:t>
            </w:r>
            <w:r>
              <w:rPr>
                <w:bCs/>
                <w:kern w:val="0"/>
                <w:highlight w:val="none"/>
              </w:rPr>
              <w:t>双面书架</w:t>
            </w:r>
            <w:r>
              <w:rPr>
                <w:rFonts w:hint="eastAsia"/>
                <w:bCs/>
                <w:kern w:val="0"/>
                <w:highlight w:val="none"/>
              </w:rPr>
              <w:t>1</w:t>
            </w:r>
          </w:p>
        </w:tc>
        <w:tc>
          <w:tcPr>
            <w:tcW w:w="519" w:type="pct"/>
            <w:noWrap w:val="0"/>
            <w:vAlign w:val="center"/>
          </w:tcPr>
          <w:p>
            <w:pPr>
              <w:pStyle w:val="27"/>
              <w:jc w:val="center"/>
              <w:rPr>
                <w:rFonts w:hint="eastAsia"/>
                <w:bCs/>
                <w:kern w:val="0"/>
              </w:rPr>
            </w:pPr>
            <w:r>
              <w:rPr>
                <w:rFonts w:hint="eastAsia"/>
                <w:bCs/>
                <w:kern w:val="0"/>
              </w:rPr>
              <w:t>组</w:t>
            </w:r>
          </w:p>
        </w:tc>
        <w:tc>
          <w:tcPr>
            <w:tcW w:w="736" w:type="pct"/>
            <w:noWrap w:val="0"/>
            <w:vAlign w:val="center"/>
          </w:tcPr>
          <w:p>
            <w:pPr>
              <w:pStyle w:val="27"/>
              <w:jc w:val="center"/>
              <w:rPr>
                <w:rFonts w:hint="eastAsia"/>
                <w:bCs/>
                <w:kern w:val="0"/>
              </w:rPr>
            </w:pPr>
            <w:r>
              <w:rPr>
                <w:rFonts w:hint="eastAsia"/>
                <w:bCs/>
                <w:kern w:val="0"/>
              </w:rPr>
              <w:t>3</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eastAsia" w:eastAsia="仿宋"/>
                <w:bCs/>
                <w:kern w:val="0"/>
                <w:lang w:val="en-US" w:eastAsia="zh-CN"/>
              </w:rPr>
            </w:pPr>
            <w:r>
              <w:rPr>
                <w:rFonts w:hint="eastAsia"/>
                <w:bCs/>
                <w:kern w:val="0"/>
                <w:lang w:val="en-US" w:eastAsia="zh-CN"/>
              </w:rPr>
              <w:t>6</w:t>
            </w:r>
          </w:p>
        </w:tc>
        <w:tc>
          <w:tcPr>
            <w:tcW w:w="2415" w:type="pct"/>
            <w:noWrap w:val="0"/>
            <w:vAlign w:val="center"/>
          </w:tcPr>
          <w:p>
            <w:pPr>
              <w:pStyle w:val="27"/>
              <w:jc w:val="center"/>
              <w:rPr>
                <w:rFonts w:hint="eastAsia"/>
                <w:bCs/>
                <w:kern w:val="0"/>
                <w:highlight w:val="none"/>
              </w:rPr>
            </w:pPr>
            <w:r>
              <w:rPr>
                <w:rFonts w:hint="eastAsia"/>
                <w:bCs/>
                <w:kern w:val="0"/>
                <w:highlight w:val="none"/>
              </w:rPr>
              <w:t>通体</w:t>
            </w:r>
            <w:r>
              <w:rPr>
                <w:bCs/>
                <w:kern w:val="0"/>
                <w:highlight w:val="none"/>
              </w:rPr>
              <w:t>双面书架</w:t>
            </w:r>
            <w:r>
              <w:rPr>
                <w:rFonts w:hint="eastAsia"/>
                <w:bCs/>
                <w:kern w:val="0"/>
                <w:highlight w:val="none"/>
              </w:rPr>
              <w:t>2</w:t>
            </w:r>
          </w:p>
        </w:tc>
        <w:tc>
          <w:tcPr>
            <w:tcW w:w="519" w:type="pct"/>
            <w:noWrap w:val="0"/>
            <w:vAlign w:val="center"/>
          </w:tcPr>
          <w:p>
            <w:pPr>
              <w:pStyle w:val="27"/>
              <w:jc w:val="center"/>
              <w:rPr>
                <w:rFonts w:hint="eastAsia"/>
                <w:bCs/>
                <w:kern w:val="0"/>
              </w:rPr>
            </w:pPr>
            <w:r>
              <w:rPr>
                <w:rFonts w:hint="eastAsia"/>
                <w:bCs/>
                <w:kern w:val="0"/>
              </w:rPr>
              <w:t>组</w:t>
            </w:r>
          </w:p>
        </w:tc>
        <w:tc>
          <w:tcPr>
            <w:tcW w:w="736" w:type="pct"/>
            <w:noWrap w:val="0"/>
            <w:vAlign w:val="center"/>
          </w:tcPr>
          <w:p>
            <w:pPr>
              <w:pStyle w:val="27"/>
              <w:jc w:val="center"/>
              <w:rPr>
                <w:rFonts w:hint="eastAsia"/>
                <w:bCs/>
                <w:kern w:val="0"/>
              </w:rPr>
            </w:pPr>
            <w:r>
              <w:rPr>
                <w:rFonts w:hint="eastAsia"/>
                <w:bCs/>
                <w:kern w:val="0"/>
              </w:rPr>
              <w:t>3</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eastAsia"/>
                <w:bCs/>
                <w:kern w:val="0"/>
              </w:rPr>
            </w:pPr>
            <w:r>
              <w:rPr>
                <w:rFonts w:hint="eastAsia"/>
                <w:bCs/>
                <w:kern w:val="0"/>
                <w:lang w:val="en-US" w:eastAsia="zh-CN"/>
              </w:rPr>
              <w:t>7</w:t>
            </w:r>
          </w:p>
        </w:tc>
        <w:tc>
          <w:tcPr>
            <w:tcW w:w="2415" w:type="pct"/>
            <w:noWrap w:val="0"/>
            <w:vAlign w:val="center"/>
          </w:tcPr>
          <w:p>
            <w:pPr>
              <w:pStyle w:val="27"/>
              <w:jc w:val="center"/>
              <w:rPr>
                <w:rFonts w:hint="eastAsia"/>
                <w:bCs/>
                <w:kern w:val="0"/>
              </w:rPr>
            </w:pPr>
            <w:r>
              <w:rPr>
                <w:rFonts w:hint="eastAsia"/>
                <w:bCs/>
                <w:kern w:val="0"/>
              </w:rPr>
              <w:t>模块</w:t>
            </w:r>
            <w:r>
              <w:rPr>
                <w:bCs/>
                <w:kern w:val="0"/>
              </w:rPr>
              <w:t>落地书柜</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10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eastAsia" w:eastAsia="仿宋"/>
                <w:bCs/>
                <w:kern w:val="0"/>
                <w:lang w:eastAsia="zh-CN"/>
              </w:rPr>
            </w:pPr>
            <w:r>
              <w:rPr>
                <w:rFonts w:hint="eastAsia"/>
                <w:bCs/>
                <w:kern w:val="0"/>
                <w:lang w:val="en-US" w:eastAsia="zh-CN"/>
              </w:rPr>
              <w:t>8</w:t>
            </w:r>
          </w:p>
        </w:tc>
        <w:tc>
          <w:tcPr>
            <w:tcW w:w="2415" w:type="pct"/>
            <w:noWrap w:val="0"/>
            <w:vAlign w:val="center"/>
          </w:tcPr>
          <w:p>
            <w:pPr>
              <w:pStyle w:val="27"/>
              <w:jc w:val="center"/>
              <w:rPr>
                <w:rFonts w:hint="eastAsia"/>
                <w:bCs/>
                <w:kern w:val="0"/>
                <w:highlight w:val="none"/>
              </w:rPr>
            </w:pPr>
            <w:r>
              <w:rPr>
                <w:rFonts w:hint="eastAsia"/>
                <w:bCs/>
                <w:kern w:val="0"/>
                <w:highlight w:val="none"/>
              </w:rPr>
              <w:t>定制</w:t>
            </w:r>
            <w:r>
              <w:rPr>
                <w:bCs/>
                <w:kern w:val="0"/>
                <w:highlight w:val="none"/>
              </w:rPr>
              <w:t>新书展示台</w:t>
            </w:r>
            <w:r>
              <w:rPr>
                <w:rFonts w:hint="eastAsia"/>
                <w:bCs/>
                <w:kern w:val="0"/>
                <w:highlight w:val="none"/>
              </w:rPr>
              <w:t>1</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bCs/>
                <w:kern w:val="0"/>
              </w:rPr>
              <w:t>2</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eastAsia" w:eastAsia="仿宋"/>
                <w:bCs/>
                <w:kern w:val="0"/>
                <w:lang w:val="en-US" w:eastAsia="zh-CN"/>
              </w:rPr>
            </w:pPr>
            <w:r>
              <w:rPr>
                <w:rFonts w:hint="eastAsia"/>
                <w:bCs/>
                <w:kern w:val="0"/>
                <w:lang w:val="en-US" w:eastAsia="zh-CN"/>
              </w:rPr>
              <w:t>9</w:t>
            </w:r>
          </w:p>
        </w:tc>
        <w:tc>
          <w:tcPr>
            <w:tcW w:w="2415" w:type="pct"/>
            <w:noWrap w:val="0"/>
            <w:vAlign w:val="center"/>
          </w:tcPr>
          <w:p>
            <w:pPr>
              <w:pStyle w:val="27"/>
              <w:jc w:val="center"/>
              <w:rPr>
                <w:rFonts w:hint="eastAsia"/>
                <w:bCs/>
                <w:kern w:val="0"/>
                <w:highlight w:val="none"/>
              </w:rPr>
            </w:pPr>
            <w:r>
              <w:rPr>
                <w:rFonts w:hint="eastAsia"/>
                <w:bCs/>
                <w:kern w:val="0"/>
                <w:highlight w:val="none"/>
              </w:rPr>
              <w:t>定制</w:t>
            </w:r>
            <w:r>
              <w:rPr>
                <w:bCs/>
                <w:kern w:val="0"/>
                <w:highlight w:val="none"/>
              </w:rPr>
              <w:t>新书展示台</w:t>
            </w:r>
            <w:r>
              <w:rPr>
                <w:rFonts w:hint="eastAsia"/>
                <w:bCs/>
                <w:kern w:val="0"/>
                <w:highlight w:val="none"/>
              </w:rPr>
              <w:t>2</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2</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10</w:t>
            </w:r>
          </w:p>
        </w:tc>
        <w:tc>
          <w:tcPr>
            <w:tcW w:w="2415" w:type="pct"/>
            <w:noWrap w:val="0"/>
            <w:vAlign w:val="center"/>
          </w:tcPr>
          <w:p>
            <w:pPr>
              <w:pStyle w:val="27"/>
              <w:jc w:val="center"/>
              <w:rPr>
                <w:rFonts w:hint="eastAsia"/>
                <w:bCs/>
                <w:kern w:val="0"/>
              </w:rPr>
            </w:pPr>
            <w:r>
              <w:rPr>
                <w:rFonts w:hint="eastAsia"/>
                <w:bCs/>
                <w:kern w:val="0"/>
              </w:rPr>
              <w:t>定制</w:t>
            </w:r>
            <w:r>
              <w:rPr>
                <w:bCs/>
                <w:kern w:val="0"/>
              </w:rPr>
              <w:t>展示柜</w:t>
            </w:r>
          </w:p>
        </w:tc>
        <w:tc>
          <w:tcPr>
            <w:tcW w:w="519" w:type="pct"/>
            <w:noWrap w:val="0"/>
            <w:vAlign w:val="center"/>
          </w:tcPr>
          <w:p>
            <w:pPr>
              <w:pStyle w:val="27"/>
              <w:jc w:val="center"/>
              <w:rPr>
                <w:rFonts w:hint="eastAsia"/>
                <w:bCs/>
                <w:kern w:val="0"/>
              </w:rPr>
            </w:pPr>
            <w:r>
              <w:rPr>
                <w:rFonts w:hint="eastAsia"/>
                <w:bCs/>
                <w:kern w:val="0"/>
              </w:rPr>
              <w:t>组</w:t>
            </w:r>
          </w:p>
        </w:tc>
        <w:tc>
          <w:tcPr>
            <w:tcW w:w="736" w:type="pct"/>
            <w:noWrap w:val="0"/>
            <w:vAlign w:val="center"/>
          </w:tcPr>
          <w:p>
            <w:pPr>
              <w:pStyle w:val="27"/>
              <w:jc w:val="center"/>
              <w:rPr>
                <w:rFonts w:hint="eastAsia"/>
                <w:bCs/>
                <w:kern w:val="0"/>
              </w:rPr>
            </w:pPr>
            <w:r>
              <w:rPr>
                <w:rFonts w:hint="eastAsia"/>
                <w:bCs/>
                <w:kern w:val="0"/>
              </w:rPr>
              <w:t>6</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11</w:t>
            </w:r>
          </w:p>
        </w:tc>
        <w:tc>
          <w:tcPr>
            <w:tcW w:w="2415" w:type="pct"/>
            <w:noWrap w:val="0"/>
            <w:vAlign w:val="center"/>
          </w:tcPr>
          <w:p>
            <w:pPr>
              <w:pStyle w:val="27"/>
              <w:jc w:val="center"/>
              <w:rPr>
                <w:rFonts w:hint="eastAsia"/>
                <w:bCs/>
                <w:kern w:val="0"/>
              </w:rPr>
            </w:pPr>
            <w:r>
              <w:rPr>
                <w:rFonts w:hint="eastAsia"/>
                <w:bCs/>
                <w:kern w:val="0"/>
              </w:rPr>
              <w:t>定制-圆弧展柜</w:t>
            </w:r>
          </w:p>
        </w:tc>
        <w:tc>
          <w:tcPr>
            <w:tcW w:w="519" w:type="pct"/>
            <w:noWrap w:val="0"/>
            <w:vAlign w:val="center"/>
          </w:tcPr>
          <w:p>
            <w:pPr>
              <w:pStyle w:val="27"/>
              <w:jc w:val="center"/>
              <w:rPr>
                <w:rFonts w:hint="eastAsia"/>
                <w:bCs/>
                <w:kern w:val="0"/>
              </w:rPr>
            </w:pPr>
            <w:r>
              <w:rPr>
                <w:rFonts w:hint="eastAsia"/>
                <w:bCs/>
                <w:kern w:val="0"/>
              </w:rPr>
              <w:t>组</w:t>
            </w:r>
          </w:p>
        </w:tc>
        <w:tc>
          <w:tcPr>
            <w:tcW w:w="736" w:type="pct"/>
            <w:noWrap w:val="0"/>
            <w:vAlign w:val="center"/>
          </w:tcPr>
          <w:p>
            <w:pPr>
              <w:pStyle w:val="27"/>
              <w:jc w:val="center"/>
              <w:rPr>
                <w:rFonts w:hint="eastAsia"/>
                <w:bCs/>
                <w:kern w:val="0"/>
              </w:rPr>
            </w:pPr>
            <w:r>
              <w:rPr>
                <w:rFonts w:hint="eastAsia"/>
                <w:bCs/>
                <w:kern w:val="0"/>
              </w:rPr>
              <w:t>9</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12</w:t>
            </w:r>
          </w:p>
        </w:tc>
        <w:tc>
          <w:tcPr>
            <w:tcW w:w="2415" w:type="pct"/>
            <w:noWrap w:val="0"/>
            <w:vAlign w:val="center"/>
          </w:tcPr>
          <w:p>
            <w:pPr>
              <w:pStyle w:val="27"/>
              <w:jc w:val="center"/>
              <w:rPr>
                <w:rFonts w:hint="eastAsia"/>
                <w:bCs/>
                <w:kern w:val="0"/>
              </w:rPr>
            </w:pPr>
            <w:r>
              <w:rPr>
                <w:rFonts w:hint="eastAsia"/>
                <w:bCs/>
                <w:kern w:val="0"/>
              </w:rPr>
              <w:t>储物柜</w:t>
            </w:r>
          </w:p>
        </w:tc>
        <w:tc>
          <w:tcPr>
            <w:tcW w:w="519" w:type="pct"/>
            <w:noWrap w:val="0"/>
            <w:vAlign w:val="center"/>
          </w:tcPr>
          <w:p>
            <w:pPr>
              <w:pStyle w:val="27"/>
              <w:jc w:val="center"/>
              <w:rPr>
                <w:rFonts w:hint="eastAsia"/>
                <w:bCs/>
                <w:kern w:val="0"/>
              </w:rPr>
            </w:pPr>
            <w:r>
              <w:rPr>
                <w:rFonts w:hint="eastAsia"/>
                <w:bCs/>
                <w:kern w:val="0"/>
              </w:rPr>
              <w:t>6节/个</w:t>
            </w:r>
          </w:p>
        </w:tc>
        <w:tc>
          <w:tcPr>
            <w:tcW w:w="736" w:type="pct"/>
            <w:noWrap w:val="0"/>
            <w:vAlign w:val="center"/>
          </w:tcPr>
          <w:p>
            <w:pPr>
              <w:pStyle w:val="27"/>
              <w:jc w:val="center"/>
              <w:rPr>
                <w:rFonts w:hint="eastAsia"/>
                <w:bCs/>
                <w:kern w:val="0"/>
              </w:rPr>
            </w:pPr>
            <w:r>
              <w:rPr>
                <w:rFonts w:hint="eastAsia"/>
                <w:bCs/>
                <w:kern w:val="0"/>
              </w:rPr>
              <w:t>10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13</w:t>
            </w:r>
          </w:p>
        </w:tc>
        <w:tc>
          <w:tcPr>
            <w:tcW w:w="2415" w:type="pct"/>
            <w:noWrap w:val="0"/>
            <w:vAlign w:val="center"/>
          </w:tcPr>
          <w:p>
            <w:pPr>
              <w:pStyle w:val="27"/>
              <w:jc w:val="center"/>
              <w:rPr>
                <w:rFonts w:hint="eastAsia"/>
                <w:bCs/>
                <w:kern w:val="0"/>
              </w:rPr>
            </w:pPr>
            <w:r>
              <w:rPr>
                <w:rFonts w:hint="eastAsia"/>
                <w:bCs/>
                <w:kern w:val="0"/>
              </w:rPr>
              <w:t>双层</w:t>
            </w:r>
            <w:r>
              <w:rPr>
                <w:bCs/>
                <w:kern w:val="0"/>
              </w:rPr>
              <w:t>平底</w:t>
            </w:r>
            <w:r>
              <w:rPr>
                <w:rFonts w:hint="eastAsia"/>
                <w:bCs/>
                <w:kern w:val="0"/>
              </w:rPr>
              <w:t>书车</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60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14</w:t>
            </w:r>
          </w:p>
        </w:tc>
        <w:tc>
          <w:tcPr>
            <w:tcW w:w="2415" w:type="pct"/>
            <w:noWrap w:val="0"/>
            <w:vAlign w:val="center"/>
          </w:tcPr>
          <w:p>
            <w:pPr>
              <w:pStyle w:val="27"/>
              <w:jc w:val="center"/>
              <w:rPr>
                <w:rFonts w:hint="eastAsia"/>
                <w:bCs/>
                <w:kern w:val="0"/>
              </w:rPr>
            </w:pPr>
            <w:r>
              <w:rPr>
                <w:rFonts w:hint="eastAsia"/>
                <w:bCs/>
                <w:kern w:val="0"/>
              </w:rPr>
              <w:t>书立</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500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15</w:t>
            </w:r>
          </w:p>
        </w:tc>
        <w:tc>
          <w:tcPr>
            <w:tcW w:w="2415" w:type="pct"/>
            <w:noWrap w:val="0"/>
            <w:vAlign w:val="center"/>
          </w:tcPr>
          <w:p>
            <w:pPr>
              <w:pStyle w:val="27"/>
              <w:jc w:val="center"/>
              <w:rPr>
                <w:rFonts w:hint="eastAsia"/>
                <w:bCs/>
                <w:kern w:val="0"/>
              </w:rPr>
            </w:pPr>
            <w:r>
              <w:rPr>
                <w:rFonts w:hint="eastAsia"/>
                <w:bCs/>
                <w:kern w:val="0"/>
              </w:rPr>
              <w:t>梯子</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10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16</w:t>
            </w:r>
          </w:p>
        </w:tc>
        <w:tc>
          <w:tcPr>
            <w:tcW w:w="2415" w:type="pct"/>
            <w:noWrap w:val="0"/>
            <w:vAlign w:val="center"/>
          </w:tcPr>
          <w:p>
            <w:pPr>
              <w:pStyle w:val="27"/>
              <w:jc w:val="center"/>
              <w:rPr>
                <w:rFonts w:hint="eastAsia"/>
                <w:bCs/>
                <w:kern w:val="0"/>
              </w:rPr>
            </w:pPr>
            <w:r>
              <w:rPr>
                <w:rFonts w:hint="eastAsia"/>
                <w:bCs/>
                <w:kern w:val="0"/>
              </w:rPr>
              <w:t>专业</w:t>
            </w:r>
            <w:r>
              <w:rPr>
                <w:bCs/>
                <w:kern w:val="0"/>
              </w:rPr>
              <w:t>展架</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100</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17</w:t>
            </w:r>
          </w:p>
        </w:tc>
        <w:tc>
          <w:tcPr>
            <w:tcW w:w="2415" w:type="pct"/>
            <w:noWrap w:val="0"/>
            <w:vAlign w:val="center"/>
          </w:tcPr>
          <w:p>
            <w:pPr>
              <w:pStyle w:val="27"/>
              <w:jc w:val="center"/>
              <w:rPr>
                <w:rFonts w:hint="eastAsia"/>
                <w:bCs/>
                <w:kern w:val="0"/>
              </w:rPr>
            </w:pPr>
            <w:r>
              <w:rPr>
                <w:rFonts w:hint="eastAsia"/>
                <w:bCs/>
                <w:kern w:val="0"/>
              </w:rPr>
              <w:t>展示地台1</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8</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18</w:t>
            </w:r>
          </w:p>
        </w:tc>
        <w:tc>
          <w:tcPr>
            <w:tcW w:w="2415" w:type="pct"/>
            <w:noWrap w:val="0"/>
            <w:vAlign w:val="center"/>
          </w:tcPr>
          <w:p>
            <w:pPr>
              <w:pStyle w:val="27"/>
              <w:jc w:val="center"/>
              <w:rPr>
                <w:rFonts w:hint="eastAsia"/>
                <w:bCs/>
                <w:kern w:val="0"/>
              </w:rPr>
            </w:pPr>
            <w:r>
              <w:rPr>
                <w:rFonts w:hint="eastAsia"/>
                <w:bCs/>
                <w:kern w:val="0"/>
              </w:rPr>
              <w:t>展示地台2</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8</w:t>
            </w:r>
          </w:p>
        </w:tc>
        <w:tc>
          <w:tcPr>
            <w:tcW w:w="805" w:type="pct"/>
            <w:noWrap w:val="0"/>
            <w:vAlign w:val="center"/>
          </w:tcPr>
          <w:p>
            <w:pPr>
              <w:jc w:val="center"/>
              <w:rPr>
                <w:rFonts w:ascii="仿宋" w:hAnsi="仿宋" w:eastAsia="仿宋" w:cs="仿宋"/>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523" w:type="pct"/>
            <w:noWrap w:val="0"/>
            <w:vAlign w:val="center"/>
          </w:tcPr>
          <w:p>
            <w:pPr>
              <w:pStyle w:val="27"/>
              <w:jc w:val="center"/>
              <w:rPr>
                <w:rFonts w:hint="default" w:eastAsia="仿宋"/>
                <w:bCs/>
                <w:kern w:val="0"/>
                <w:lang w:val="en-US" w:eastAsia="zh-CN"/>
              </w:rPr>
            </w:pPr>
            <w:r>
              <w:rPr>
                <w:rFonts w:hint="eastAsia"/>
                <w:bCs/>
                <w:kern w:val="0"/>
                <w:lang w:val="en-US" w:eastAsia="zh-CN"/>
              </w:rPr>
              <w:t>19</w:t>
            </w:r>
          </w:p>
        </w:tc>
        <w:tc>
          <w:tcPr>
            <w:tcW w:w="2415" w:type="pct"/>
            <w:noWrap w:val="0"/>
            <w:vAlign w:val="center"/>
          </w:tcPr>
          <w:p>
            <w:pPr>
              <w:pStyle w:val="27"/>
              <w:jc w:val="center"/>
              <w:rPr>
                <w:rFonts w:hint="eastAsia"/>
                <w:bCs/>
                <w:kern w:val="0"/>
              </w:rPr>
            </w:pPr>
            <w:r>
              <w:rPr>
                <w:rFonts w:hint="eastAsia"/>
                <w:bCs/>
                <w:kern w:val="0"/>
              </w:rPr>
              <w:t>展示地台3</w:t>
            </w:r>
          </w:p>
        </w:tc>
        <w:tc>
          <w:tcPr>
            <w:tcW w:w="519" w:type="pct"/>
            <w:noWrap w:val="0"/>
            <w:vAlign w:val="center"/>
          </w:tcPr>
          <w:p>
            <w:pPr>
              <w:pStyle w:val="27"/>
              <w:jc w:val="center"/>
              <w:rPr>
                <w:rFonts w:hint="eastAsia"/>
                <w:bCs/>
                <w:kern w:val="0"/>
              </w:rPr>
            </w:pPr>
            <w:r>
              <w:rPr>
                <w:rFonts w:hint="eastAsia"/>
                <w:bCs/>
                <w:kern w:val="0"/>
              </w:rPr>
              <w:t>个</w:t>
            </w:r>
          </w:p>
        </w:tc>
        <w:tc>
          <w:tcPr>
            <w:tcW w:w="736" w:type="pct"/>
            <w:noWrap w:val="0"/>
            <w:vAlign w:val="center"/>
          </w:tcPr>
          <w:p>
            <w:pPr>
              <w:pStyle w:val="27"/>
              <w:jc w:val="center"/>
              <w:rPr>
                <w:rFonts w:hint="eastAsia"/>
                <w:bCs/>
                <w:kern w:val="0"/>
              </w:rPr>
            </w:pPr>
            <w:r>
              <w:rPr>
                <w:rFonts w:hint="eastAsia"/>
                <w:bCs/>
                <w:kern w:val="0"/>
              </w:rPr>
              <w:t>8</w:t>
            </w:r>
          </w:p>
        </w:tc>
        <w:tc>
          <w:tcPr>
            <w:tcW w:w="805" w:type="pct"/>
            <w:noWrap w:val="0"/>
            <w:vAlign w:val="center"/>
          </w:tcPr>
          <w:p>
            <w:pPr>
              <w:jc w:val="center"/>
              <w:rPr>
                <w:rFonts w:ascii="仿宋" w:hAnsi="仿宋" w:eastAsia="仿宋" w:cs="仿宋"/>
                <w:bCs/>
                <w:kern w:val="0"/>
                <w:sz w:val="24"/>
                <w:szCs w:val="24"/>
              </w:rPr>
            </w:pPr>
          </w:p>
        </w:tc>
      </w:tr>
    </w:tbl>
    <w:p>
      <w:pPr>
        <w:keepNext w:val="0"/>
        <w:keepLines w:val="0"/>
        <w:pageBreakBefore w:val="0"/>
        <w:widowControl/>
        <w:numPr>
          <w:ilvl w:val="-1"/>
          <w:numId w:val="0"/>
        </w:numPr>
        <w:kinsoku w:val="0"/>
        <w:wordWrap/>
        <w:overflowPunct/>
        <w:topLinePunct w:val="0"/>
        <w:autoSpaceDE w:val="0"/>
        <w:autoSpaceDN w:val="0"/>
        <w:bidi w:val="0"/>
        <w:adjustRightInd w:val="0"/>
        <w:snapToGrid w:val="0"/>
        <w:spacing w:line="500" w:lineRule="exact"/>
        <w:ind w:left="566" w:leftChars="200" w:firstLine="0" w:firstLineChars="0"/>
        <w:jc w:val="both"/>
        <w:textAlignment w:val="baseline"/>
        <w:outlineLvl w:val="2"/>
        <w:rPr>
          <w:rFonts w:hint="eastAsia" w:ascii="仿宋" w:hAnsi="仿宋" w:eastAsia="仿宋" w:cs="仿宋"/>
          <w:b/>
          <w:bCs/>
          <w:kern w:val="2"/>
          <w:sz w:val="28"/>
          <w:szCs w:val="28"/>
          <w:highlight w:val="none"/>
          <w:lang w:val="en-US" w:eastAsia="zh-CN" w:bidi="ar-SA"/>
        </w:rPr>
      </w:pPr>
    </w:p>
    <w:p>
      <w:pPr>
        <w:keepNext w:val="0"/>
        <w:keepLines w:val="0"/>
        <w:pageBreakBefore w:val="0"/>
        <w:widowControl/>
        <w:numPr>
          <w:ilvl w:val="-1"/>
          <w:numId w:val="0"/>
        </w:numPr>
        <w:kinsoku w:val="0"/>
        <w:wordWrap/>
        <w:overflowPunct/>
        <w:topLinePunct w:val="0"/>
        <w:autoSpaceDE w:val="0"/>
        <w:autoSpaceDN w:val="0"/>
        <w:bidi w:val="0"/>
        <w:adjustRightInd w:val="0"/>
        <w:snapToGrid w:val="0"/>
        <w:spacing w:line="500" w:lineRule="exact"/>
        <w:ind w:left="566" w:leftChars="200" w:firstLine="0" w:firstLineChars="0"/>
        <w:jc w:val="both"/>
        <w:textAlignment w:val="baseline"/>
        <w:outlineLvl w:val="2"/>
        <w:rPr>
          <w:rFonts w:hint="eastAsia" w:ascii="仿宋" w:hAnsi="仿宋" w:eastAsia="仿宋" w:cs="仿宋"/>
          <w:b/>
          <w:bCs/>
          <w:kern w:val="2"/>
          <w:sz w:val="28"/>
          <w:szCs w:val="28"/>
          <w:highlight w:val="none"/>
          <w:lang w:val="en-US" w:eastAsia="zh-CN" w:bidi="ar-SA"/>
        </w:rPr>
      </w:pP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00" w:lineRule="exact"/>
        <w:ind w:left="0" w:leftChars="0" w:firstLine="566" w:firstLineChars="200"/>
        <w:jc w:val="both"/>
        <w:textAlignment w:val="baseline"/>
        <w:outlineLvl w:val="2"/>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技术参数表</w:t>
      </w:r>
    </w:p>
    <w:p>
      <w:pPr>
        <w:pStyle w:val="7"/>
        <w:numPr>
          <w:ilvl w:val="-1"/>
          <w:numId w:val="0"/>
        </w:numPr>
        <w:ind w:firstLine="0" w:firstLineChars="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第一标段</w:t>
      </w:r>
    </w:p>
    <w:tbl>
      <w:tblPr>
        <w:tblStyle w:val="19"/>
        <w:tblW w:w="47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349"/>
        <w:gridCol w:w="4889"/>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12" w:type="pct"/>
            <w:noWrap w:val="0"/>
            <w:vAlign w:val="center"/>
          </w:tcPr>
          <w:p>
            <w:pPr>
              <w:spacing w:line="400" w:lineRule="exact"/>
              <w:ind w:left="0" w:leftChars="0" w:right="0" w:rightChars="0"/>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759" w:type="pct"/>
            <w:noWrap w:val="0"/>
            <w:vAlign w:val="center"/>
          </w:tcPr>
          <w:p>
            <w:pPr>
              <w:spacing w:line="400" w:lineRule="exact"/>
              <w:ind w:left="0" w:leftChars="0" w:right="0" w:rightChars="0"/>
              <w:jc w:val="center"/>
              <w:rPr>
                <w:rFonts w:ascii="仿宋" w:hAnsi="仿宋" w:eastAsia="仿宋" w:cs="仿宋"/>
                <w:b/>
                <w:bCs/>
                <w:sz w:val="24"/>
                <w:szCs w:val="24"/>
              </w:rPr>
            </w:pPr>
            <w:r>
              <w:rPr>
                <w:rFonts w:hint="eastAsia" w:ascii="仿宋" w:hAnsi="仿宋" w:eastAsia="仿宋" w:cs="仿宋"/>
                <w:b/>
                <w:bCs/>
                <w:sz w:val="24"/>
                <w:szCs w:val="24"/>
              </w:rPr>
              <w:t>货物名称</w:t>
            </w:r>
          </w:p>
        </w:tc>
        <w:tc>
          <w:tcPr>
            <w:tcW w:w="2754" w:type="pct"/>
            <w:noWrap w:val="0"/>
            <w:vAlign w:val="center"/>
          </w:tcPr>
          <w:p>
            <w:pPr>
              <w:spacing w:line="400" w:lineRule="exact"/>
              <w:jc w:val="center"/>
              <w:rPr>
                <w:rFonts w:ascii="仿宋" w:hAnsi="仿宋" w:eastAsia="仿宋" w:cs="仿宋"/>
                <w:b/>
                <w:bCs/>
                <w:sz w:val="24"/>
                <w:szCs w:val="24"/>
              </w:rPr>
            </w:pPr>
            <w:r>
              <w:rPr>
                <w:rFonts w:hint="eastAsia" w:ascii="仿宋" w:hAnsi="仿宋" w:eastAsia="仿宋" w:cs="仿宋"/>
                <w:b/>
                <w:bCs/>
                <w:sz w:val="24"/>
                <w:szCs w:val="24"/>
              </w:rPr>
              <w:t>技术要求</w:t>
            </w:r>
          </w:p>
        </w:tc>
        <w:tc>
          <w:tcPr>
            <w:tcW w:w="1173" w:type="pct"/>
            <w:noWrap w:val="0"/>
            <w:vAlign w:val="center"/>
          </w:tcPr>
          <w:p>
            <w:pPr>
              <w:spacing w:line="400" w:lineRule="exact"/>
              <w:jc w:val="center"/>
              <w:rPr>
                <w:rFonts w:ascii="仿宋" w:hAnsi="仿宋" w:eastAsia="仿宋" w:cs="仿宋"/>
                <w:b/>
                <w:bCs/>
                <w:sz w:val="24"/>
                <w:szCs w:val="24"/>
              </w:rPr>
            </w:pPr>
            <w:r>
              <w:rPr>
                <w:rFonts w:hint="eastAsia" w:ascii="仿宋" w:hAnsi="仿宋" w:eastAsia="仿宋" w:cs="仿宋"/>
                <w:b/>
                <w:bCs/>
                <w:sz w:val="24"/>
                <w:szCs w:val="24"/>
              </w:rPr>
              <w:t>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312" w:type="pct"/>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w:t>
            </w:r>
          </w:p>
        </w:tc>
        <w:tc>
          <w:tcPr>
            <w:tcW w:w="759"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4人桌</w:t>
            </w:r>
          </w:p>
        </w:tc>
        <w:tc>
          <w:tcPr>
            <w:tcW w:w="2754"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1.规格：W1800*D1200*H750mm。含4组电源模块，每组包括220V、10A的国标五孔插座1个和USB接口2个。插座具有过载保护功能。</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材质：基材不低于E0级的中密度纤维板，厚度不小于30mm；面层采用厚度不小于0.6mm的橡木或同档次实木贴皮，无明显节疤与空洞，无虫蛀，经防腐处理，同色的木质封边；环保水性清漆涂装，无异味，符合国家环保标准，耐磨、耐脏、易清洁；桌上</w:t>
            </w:r>
            <w:r>
              <w:rPr>
                <w:rFonts w:hint="eastAsia" w:ascii="仿宋" w:hAnsi="仿宋" w:eastAsia="仿宋" w:cs="仿宋"/>
                <w:sz w:val="24"/>
                <w:szCs w:val="24"/>
                <w:lang w:val="en-US" w:eastAsia="zh-CN"/>
              </w:rPr>
              <w:t>配有</w:t>
            </w:r>
            <w:r>
              <w:rPr>
                <w:rFonts w:hint="eastAsia" w:ascii="仿宋" w:hAnsi="仿宋" w:eastAsia="仿宋" w:cs="仿宋"/>
                <w:sz w:val="24"/>
                <w:szCs w:val="24"/>
              </w:rPr>
              <w:t>高度不低于450mm、厚度不低于8mm钢化磨砂玻璃铝合金框架挡板；4个LED灯，独立开关，功率不低于10W。</w:t>
            </w:r>
          </w:p>
        </w:tc>
        <w:tc>
          <w:tcPr>
            <w:tcW w:w="1173" w:type="pct"/>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1312" behindDoc="0" locked="0" layoutInCell="1" allowOverlap="1">
                  <wp:simplePos x="0" y="0"/>
                  <wp:positionH relativeFrom="column">
                    <wp:posOffset>246380</wp:posOffset>
                  </wp:positionH>
                  <wp:positionV relativeFrom="paragraph">
                    <wp:posOffset>784225</wp:posOffset>
                  </wp:positionV>
                  <wp:extent cx="1003300" cy="1028700"/>
                  <wp:effectExtent l="0" t="0" r="6350" b="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1003300" cy="1028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312" w:type="pct"/>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4人阅览桌（每桌含2个台灯）</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3.规格：W1800*D1200*H750mm。含2组电源模块，每组包括220V、10A的国标五孔插座1个和USB接口2个。插座具有过载保护功能。</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4.材质：基材不低于E0级的中密度纤维板，厚度不小于30mm；面层采用厚度不小于0.6mm的橡木或同档次实木贴皮，无明显节疤与空洞，无虫蛀，经防腐处理，同色的木制封边；环保水性清漆涂装，无异味，符合国家环保标准，耐磨、耐脏、易清洁；每桌含2个LED护眼灯，功率12W，三段调光。</w:t>
            </w:r>
          </w:p>
        </w:tc>
        <w:tc>
          <w:tcPr>
            <w:tcW w:w="1173" w:type="pct"/>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2336" behindDoc="0" locked="0" layoutInCell="1" allowOverlap="1">
                  <wp:simplePos x="0" y="0"/>
                  <wp:positionH relativeFrom="column">
                    <wp:posOffset>113030</wp:posOffset>
                  </wp:positionH>
                  <wp:positionV relativeFrom="paragraph">
                    <wp:posOffset>596900</wp:posOffset>
                  </wp:positionV>
                  <wp:extent cx="1308735" cy="999490"/>
                  <wp:effectExtent l="0" t="0" r="5715" b="10160"/>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1308735" cy="9994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3</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折叠桌</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5.规格：</w:t>
            </w:r>
            <w:bookmarkStart w:id="320" w:name="OLE_LINK3"/>
            <w:r>
              <w:rPr>
                <w:rFonts w:hint="eastAsia" w:ascii="仿宋" w:hAnsi="仿宋" w:eastAsia="仿宋" w:cs="仿宋"/>
                <w:sz w:val="24"/>
                <w:szCs w:val="24"/>
              </w:rPr>
              <w:t>W1200*D450*H750mm</w:t>
            </w:r>
            <w:bookmarkEnd w:id="320"/>
            <w:r>
              <w:rPr>
                <w:rFonts w:hint="eastAsia" w:ascii="仿宋" w:hAnsi="仿宋" w:eastAsia="仿宋" w:cs="仿宋"/>
                <w:sz w:val="24"/>
                <w:szCs w:val="24"/>
              </w:rPr>
              <w:t>，可折叠。桌面厚度不低于25mm。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▲6.材质：采用不低于E0级的三聚氰胺饰面刨花板。采用PVC封边，厚度不小于1.5mm。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▲7.桌腿：采用优质钢材。</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3360" behindDoc="0" locked="0" layoutInCell="1" allowOverlap="1">
                  <wp:simplePos x="0" y="0"/>
                  <wp:positionH relativeFrom="column">
                    <wp:posOffset>6350</wp:posOffset>
                  </wp:positionH>
                  <wp:positionV relativeFrom="paragraph">
                    <wp:posOffset>187325</wp:posOffset>
                  </wp:positionV>
                  <wp:extent cx="1400810" cy="971550"/>
                  <wp:effectExtent l="0" t="0" r="8890" b="0"/>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rcRect t="19537" b="9402"/>
                          <a:stretch>
                            <a:fillRect/>
                          </a:stretch>
                        </pic:blipFill>
                        <pic:spPr>
                          <a:xfrm>
                            <a:off x="0" y="0"/>
                            <a:ext cx="1400810" cy="971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4</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独立</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阅读桌</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（带灯）</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8.规格：W1000*D600*H750（桌面）+450（挡板）mm（单人位）。每个位置1个220V、10A的五孔插座和2个USB接口。插座具有过载保护功能。</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▲9.材质：采用不低于E0级的三聚氰胺饰面刨花板。采用PVC封边，厚度不小于1.5mm。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 xml:space="preserve">▲10.LED灯光电参数：功率12W/位。               </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2576" behindDoc="0" locked="0" layoutInCell="1" allowOverlap="1">
                  <wp:simplePos x="0" y="0"/>
                  <wp:positionH relativeFrom="column">
                    <wp:posOffset>116840</wp:posOffset>
                  </wp:positionH>
                  <wp:positionV relativeFrom="paragraph">
                    <wp:posOffset>488950</wp:posOffset>
                  </wp:positionV>
                  <wp:extent cx="1094105" cy="957580"/>
                  <wp:effectExtent l="0" t="0" r="10795" b="13970"/>
                  <wp:wrapTopAndBottom/>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1094105" cy="957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六人位</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六边形桌</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11.规格：W1600*H750mm。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▲12.材质：采用不低于E0级的三聚氰胺饰面刨花板。采用PVC封边，厚度不小于1.5mm。桌架、桌脚采用直径38mm圆管，壁厚不小于1.0mm，经防锈、喷塑处理。封边采用1.5mm厚PVC封边条。</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390525</wp:posOffset>
                  </wp:positionV>
                  <wp:extent cx="1350010" cy="835660"/>
                  <wp:effectExtent l="0" t="0" r="2540" b="254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1350010" cy="835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6</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直面桌</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13.规格：W2000*D1000*H750mm。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▲14.材质：采用不低于E0级的三聚氰胺饰面刨花板。采用PVC封边，厚度不小于1.5mm。桌架、桌脚采用直径38mm圆管，壁厚不小于1.0mm，经防锈、喷塑处理。封边采用1.5mm厚PVC封边条。</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0528" behindDoc="0" locked="0" layoutInCell="1" allowOverlap="1">
                  <wp:simplePos x="0" y="0"/>
                  <wp:positionH relativeFrom="column">
                    <wp:posOffset>31115</wp:posOffset>
                  </wp:positionH>
                  <wp:positionV relativeFrom="paragraph">
                    <wp:posOffset>333375</wp:posOffset>
                  </wp:positionV>
                  <wp:extent cx="1285240" cy="833120"/>
                  <wp:effectExtent l="0" t="0" r="10160" b="5080"/>
                  <wp:wrapTopAndBottom/>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5"/>
                          <a:stretch>
                            <a:fillRect/>
                          </a:stretch>
                        </pic:blipFill>
                        <pic:spPr>
                          <a:xfrm>
                            <a:off x="0" y="0"/>
                            <a:ext cx="1285240" cy="833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7</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整理室</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桌子</w:t>
            </w:r>
          </w:p>
        </w:tc>
        <w:tc>
          <w:tcPr>
            <w:tcW w:w="2754" w:type="pct"/>
            <w:noWrap w:val="0"/>
            <w:vAlign w:val="top"/>
          </w:tcPr>
          <w:p>
            <w:pPr>
              <w:tabs>
                <w:tab w:val="left" w:pos="312"/>
              </w:tabs>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15.规格：W1600*D700*H780mm。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16.材质：基材不低于E0级的中密度纤维板，厚度不小于30mm；面层采用厚度不小于0.6mm的橡木或同档次实木贴皮，无明显节疤与空洞，无虫蛀，经防腐处理，同色的木制封边；环保水性清漆涂装，无异味，符合国家环保标准，耐磨、耐脏、易清洁。</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9504" behindDoc="0" locked="0" layoutInCell="1" allowOverlap="1">
                  <wp:simplePos x="0" y="0"/>
                  <wp:positionH relativeFrom="column">
                    <wp:posOffset>220980</wp:posOffset>
                  </wp:positionH>
                  <wp:positionV relativeFrom="paragraph">
                    <wp:posOffset>393700</wp:posOffset>
                  </wp:positionV>
                  <wp:extent cx="850900" cy="930910"/>
                  <wp:effectExtent l="0" t="0" r="6350" b="2540"/>
                  <wp:wrapTopAndBottom/>
                  <wp:docPr id="13" name="图片 7" descr="https://img2.baidu.com/it/u=4125857303,1105239319&amp;fm=253&amp;app=138&amp;f=JPEG?w=800&amp;h=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https://img2.baidu.com/it/u=4125857303,1105239319&amp;fm=253&amp;app=138&amp;f=JPEG?w=800&amp;h=1067"/>
                          <pic:cNvPicPr>
                            <a:picLocks noChangeAspect="1"/>
                          </pic:cNvPicPr>
                        </pic:nvPicPr>
                        <pic:blipFill>
                          <a:blip r:embed="rId16"/>
                          <a:stretch>
                            <a:fillRect/>
                          </a:stretch>
                        </pic:blipFill>
                        <pic:spPr>
                          <a:xfrm>
                            <a:off x="0" y="0"/>
                            <a:ext cx="850900" cy="9309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8</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整理室</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椅子</w:t>
            </w:r>
          </w:p>
        </w:tc>
        <w:tc>
          <w:tcPr>
            <w:tcW w:w="2754"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17.规格：W660*D660*H1140mm。五星脚架，环保PU轮，液压升降杆。</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18.扶手面：需采用环保PU材料。</w:t>
            </w:r>
          </w:p>
        </w:tc>
        <w:tc>
          <w:tcPr>
            <w:tcW w:w="1173" w:type="pct"/>
            <w:noWrap/>
            <w:vAlign w:val="center"/>
          </w:tcPr>
          <w:p>
            <w:pPr>
              <w:spacing w:line="400" w:lineRule="exact"/>
              <w:jc w:val="both"/>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8480" behindDoc="0" locked="0" layoutInCell="1" allowOverlap="1">
                  <wp:simplePos x="0" y="0"/>
                  <wp:positionH relativeFrom="column">
                    <wp:posOffset>268605</wp:posOffset>
                  </wp:positionH>
                  <wp:positionV relativeFrom="paragraph">
                    <wp:posOffset>203200</wp:posOffset>
                  </wp:positionV>
                  <wp:extent cx="772795" cy="601345"/>
                  <wp:effectExtent l="0" t="0" r="8255" b="8255"/>
                  <wp:wrapTopAndBottom/>
                  <wp:docPr id="8" name="图片 8" descr="5b97bdfacd4b2687c723fbe6d94d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b97bdfacd4b2687c723fbe6d94d5fd"/>
                          <pic:cNvPicPr>
                            <a:picLocks noChangeAspect="1"/>
                          </pic:cNvPicPr>
                        </pic:nvPicPr>
                        <pic:blipFill>
                          <a:blip r:embed="rId17"/>
                          <a:stretch>
                            <a:fillRect/>
                          </a:stretch>
                        </pic:blipFill>
                        <pic:spPr>
                          <a:xfrm>
                            <a:off x="0" y="0"/>
                            <a:ext cx="772795" cy="6013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实木</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阅览椅</w:t>
            </w:r>
          </w:p>
        </w:tc>
        <w:tc>
          <w:tcPr>
            <w:tcW w:w="2754" w:type="pct"/>
            <w:noWrap w:val="0"/>
            <w:vAlign w:val="top"/>
          </w:tcPr>
          <w:p>
            <w:pPr>
              <w:pStyle w:val="25"/>
              <w:spacing w:line="400" w:lineRule="exact"/>
              <w:ind w:left="0"/>
              <w:jc w:val="both"/>
              <w:rPr>
                <w:rFonts w:hint="eastAsia" w:ascii="仿宋" w:hAnsi="仿宋" w:eastAsia="仿宋" w:cs="仿宋"/>
                <w:w w:val="105"/>
                <w:sz w:val="24"/>
                <w:szCs w:val="24"/>
                <w:lang w:eastAsia="zh-CN"/>
              </w:rPr>
            </w:pPr>
            <w:r>
              <w:rPr>
                <w:rFonts w:hint="eastAsia" w:ascii="仿宋" w:hAnsi="仿宋" w:eastAsia="仿宋" w:cs="仿宋"/>
                <w:w w:val="105"/>
                <w:sz w:val="24"/>
                <w:szCs w:val="24"/>
                <w:lang w:eastAsia="zh-CN"/>
              </w:rPr>
              <w:t>19.规格：</w:t>
            </w:r>
            <w:r>
              <w:rPr>
                <w:rFonts w:hint="eastAsia" w:ascii="仿宋" w:hAnsi="仿宋" w:eastAsia="仿宋" w:cs="仿宋"/>
                <w:sz w:val="24"/>
                <w:szCs w:val="24"/>
                <w:lang w:eastAsia="zh-CN"/>
              </w:rPr>
              <w:t>W</w:t>
            </w:r>
            <w:r>
              <w:rPr>
                <w:rFonts w:hint="eastAsia" w:ascii="仿宋" w:hAnsi="仿宋" w:eastAsia="仿宋" w:cs="仿宋"/>
                <w:w w:val="105"/>
                <w:sz w:val="24"/>
                <w:szCs w:val="24"/>
                <w:lang w:eastAsia="zh-CN"/>
              </w:rPr>
              <w:t>540*D480*H800mm。</w:t>
            </w:r>
          </w:p>
          <w:p>
            <w:pPr>
              <w:pStyle w:val="25"/>
              <w:spacing w:line="400" w:lineRule="exact"/>
              <w:ind w:left="0"/>
              <w:jc w:val="both"/>
              <w:rPr>
                <w:rFonts w:hint="eastAsia" w:ascii="仿宋" w:hAnsi="仿宋" w:eastAsia="仿宋" w:cs="仿宋"/>
                <w:w w:val="105"/>
                <w:sz w:val="24"/>
                <w:szCs w:val="24"/>
                <w:lang w:eastAsia="zh-CN"/>
              </w:rPr>
            </w:pPr>
            <w:r>
              <w:rPr>
                <w:rFonts w:hint="eastAsia" w:ascii="仿宋" w:hAnsi="仿宋" w:eastAsia="仿宋" w:cs="仿宋"/>
                <w:sz w:val="24"/>
                <w:szCs w:val="24"/>
                <w:lang w:eastAsia="zh-CN"/>
              </w:rPr>
              <w:t>▲</w:t>
            </w:r>
            <w:r>
              <w:rPr>
                <w:rFonts w:hint="eastAsia" w:ascii="仿宋" w:hAnsi="仿宋" w:eastAsia="仿宋" w:cs="仿宋"/>
                <w:w w:val="105"/>
                <w:sz w:val="24"/>
                <w:szCs w:val="24"/>
                <w:lang w:eastAsia="zh-CN"/>
              </w:rPr>
              <w:t>20.材质：选用橡木实木制作，</w:t>
            </w:r>
            <w:r>
              <w:rPr>
                <w:rFonts w:hint="eastAsia" w:ascii="仿宋" w:hAnsi="仿宋" w:eastAsia="仿宋" w:cs="仿宋"/>
                <w:sz w:val="24"/>
                <w:szCs w:val="24"/>
                <w:lang w:eastAsia="zh-CN"/>
              </w:rPr>
              <w:t>木制构件全部经过烘干处理，含水率控制在8%～12%之间。</w:t>
            </w:r>
            <w:r>
              <w:rPr>
                <w:rFonts w:hint="eastAsia" w:ascii="仿宋" w:hAnsi="仿宋" w:eastAsia="仿宋" w:cs="仿宋"/>
                <w:w w:val="105"/>
                <w:sz w:val="24"/>
                <w:szCs w:val="24"/>
                <w:lang w:eastAsia="zh-CN"/>
              </w:rPr>
              <w:t>环保水性漆涂饰。软包采用优质超纤皮，高回弹海绵。</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7456" behindDoc="0" locked="0" layoutInCell="1" allowOverlap="1">
                  <wp:simplePos x="0" y="0"/>
                  <wp:positionH relativeFrom="column">
                    <wp:posOffset>182880</wp:posOffset>
                  </wp:positionH>
                  <wp:positionV relativeFrom="paragraph">
                    <wp:posOffset>231775</wp:posOffset>
                  </wp:positionV>
                  <wp:extent cx="922655" cy="861695"/>
                  <wp:effectExtent l="0" t="0" r="10795" b="1460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922655" cy="861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ascii="仿宋" w:hAnsi="仿宋" w:eastAsia="仿宋" w:cs="仿宋"/>
                <w:sz w:val="24"/>
                <w:szCs w:val="24"/>
              </w:rPr>
              <w:t>10</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阅览椅（实木面）</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21.规格：W560*D590*H815mm。</w:t>
            </w:r>
          </w:p>
          <w:p>
            <w:pPr>
              <w:spacing w:line="400" w:lineRule="exact"/>
              <w:rPr>
                <w:rFonts w:hint="eastAsia" w:ascii="仿宋" w:hAnsi="仿宋" w:eastAsia="仿宋" w:cs="仿宋"/>
                <w:sz w:val="24"/>
                <w:szCs w:val="24"/>
              </w:rPr>
            </w:pPr>
            <w:r>
              <w:rPr>
                <w:rFonts w:hint="eastAsia" w:ascii="仿宋" w:hAnsi="仿宋" w:eastAsia="仿宋" w:cs="仿宋"/>
                <w:sz w:val="24"/>
                <w:szCs w:val="24"/>
              </w:rPr>
              <w:t>▲22.材质：整体采用橡木实木制作，木制构件全部经过烘干处理，含水率控制在8%～12%之间。</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▲23.面层：采用环保水性清漆涂装，无异味，符合国家E1级环保标准，耐磨、耐脏、易清洁。</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6432" behindDoc="0" locked="0" layoutInCell="1" allowOverlap="1">
                  <wp:simplePos x="0" y="0"/>
                  <wp:positionH relativeFrom="column">
                    <wp:posOffset>211455</wp:posOffset>
                  </wp:positionH>
                  <wp:positionV relativeFrom="paragraph">
                    <wp:posOffset>298450</wp:posOffset>
                  </wp:positionV>
                  <wp:extent cx="887730" cy="1121410"/>
                  <wp:effectExtent l="0" t="0" r="7620" b="2540"/>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887730" cy="1121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r>
              <w:rPr>
                <w:rFonts w:ascii="仿宋" w:hAnsi="仿宋" w:eastAsia="仿宋" w:cs="仿宋"/>
                <w:sz w:val="24"/>
                <w:szCs w:val="24"/>
              </w:rPr>
              <w:t>1</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吧台椅</w:t>
            </w:r>
          </w:p>
        </w:tc>
        <w:tc>
          <w:tcPr>
            <w:tcW w:w="2754" w:type="pct"/>
            <w:noWrap w:val="0"/>
            <w:vAlign w:val="top"/>
          </w:tcPr>
          <w:p>
            <w:pPr>
              <w:pStyle w:val="25"/>
              <w:kinsoku w:val="0"/>
              <w:overflowPunct w:val="0"/>
              <w:spacing w:line="400" w:lineRule="exact"/>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24.规格：W540*D540*H700/920mm。</w:t>
            </w:r>
          </w:p>
          <w:p>
            <w:pPr>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▲25.材质：整体选用橡木实木制作，采用出榫开槽实结构，粘合全部AB铁胶，表面经多次打磨环保油漆覆盖。</w:t>
            </w:r>
          </w:p>
          <w:p>
            <w:pPr>
              <w:pStyle w:val="25"/>
              <w:kinsoku/>
              <w:overflowPunct w:val="0"/>
              <w:spacing w:line="400" w:lineRule="exact"/>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▲26.面层：采用环保水性清漆涂装，无异味，符合国家E1级环保标准，耐磨、耐脏、易清洁。</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5408" behindDoc="0" locked="0" layoutInCell="1" allowOverlap="1">
                  <wp:simplePos x="0" y="0"/>
                  <wp:positionH relativeFrom="column">
                    <wp:posOffset>182880</wp:posOffset>
                  </wp:positionH>
                  <wp:positionV relativeFrom="paragraph">
                    <wp:posOffset>403225</wp:posOffset>
                  </wp:positionV>
                  <wp:extent cx="960120" cy="1042035"/>
                  <wp:effectExtent l="0" t="0" r="11430" b="5715"/>
                  <wp:wrapTopAndBottom/>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960120" cy="1042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12"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12</w:t>
            </w:r>
          </w:p>
        </w:tc>
        <w:tc>
          <w:tcPr>
            <w:tcW w:w="759"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学习椅</w:t>
            </w:r>
          </w:p>
        </w:tc>
        <w:tc>
          <w:tcPr>
            <w:tcW w:w="2754"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27.尺寸：W460*D560*H460mm。</w:t>
            </w:r>
          </w:p>
          <w:p>
            <w:pPr>
              <w:snapToGrid w:val="0"/>
              <w:spacing w:line="400" w:lineRule="exact"/>
              <w:jc w:val="both"/>
              <w:rPr>
                <w:rFonts w:hint="eastAsia" w:ascii="仿宋" w:hAnsi="仿宋" w:eastAsia="仿宋" w:cs="仿宋"/>
                <w:sz w:val="24"/>
                <w:szCs w:val="24"/>
              </w:rPr>
            </w:pPr>
            <w:bookmarkStart w:id="321" w:name="OLE_LINK9"/>
            <w:r>
              <w:rPr>
                <w:rFonts w:hint="eastAsia" w:ascii="仿宋" w:hAnsi="仿宋" w:eastAsia="仿宋" w:cs="仿宋"/>
                <w:sz w:val="24"/>
                <w:szCs w:val="24"/>
              </w:rPr>
              <w:t>▲</w:t>
            </w:r>
            <w:bookmarkEnd w:id="321"/>
            <w:r>
              <w:rPr>
                <w:rFonts w:hint="eastAsia" w:ascii="仿宋" w:hAnsi="仿宋" w:eastAsia="仿宋" w:cs="仿宋"/>
                <w:sz w:val="24"/>
                <w:szCs w:val="24"/>
              </w:rPr>
              <w:t>28.材质：整体注塑成型，有内凹式曲面设计；椅架前脚管和后弯管尺寸为φ25mm，壁厚1.5mm圆管材质；钢架表面经静电粉末喷涂，附着力强；脚垫防滑防刮伤地面。</w:t>
            </w:r>
          </w:p>
        </w:tc>
        <w:tc>
          <w:tcPr>
            <w:tcW w:w="1173" w:type="pct"/>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4384" behindDoc="0" locked="0" layoutInCell="1" allowOverlap="1">
                  <wp:simplePos x="0" y="0"/>
                  <wp:positionH relativeFrom="column">
                    <wp:posOffset>230505</wp:posOffset>
                  </wp:positionH>
                  <wp:positionV relativeFrom="paragraph">
                    <wp:posOffset>184150</wp:posOffset>
                  </wp:positionV>
                  <wp:extent cx="842645" cy="899160"/>
                  <wp:effectExtent l="0" t="0" r="14605" b="15240"/>
                  <wp:wrapTopAndBottom/>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1"/>
                          <a:stretch>
                            <a:fillRect/>
                          </a:stretch>
                        </pic:blipFill>
                        <pic:spPr>
                          <a:xfrm>
                            <a:off x="0" y="0"/>
                            <a:ext cx="842645" cy="899160"/>
                          </a:xfrm>
                          <a:prstGeom prst="rect">
                            <a:avLst/>
                          </a:prstGeom>
                          <a:noFill/>
                          <a:ln>
                            <a:noFill/>
                          </a:ln>
                        </pic:spPr>
                      </pic:pic>
                    </a:graphicData>
                  </a:graphic>
                </wp:anchor>
              </w:drawing>
            </w:r>
          </w:p>
        </w:tc>
      </w:tr>
    </w:tbl>
    <w:p>
      <w:pPr>
        <w:ind w:firstLineChars="0"/>
        <w:jc w:val="center"/>
        <w:rPr>
          <w:ins w:id="0" w:author="Sasa" w:date="2025-12-22T10:13:36Z"/>
          <w:rFonts w:hint="eastAsia" w:ascii="仿宋" w:hAnsi="仿宋" w:eastAsia="仿宋" w:cs="仿宋"/>
          <w:b/>
          <w:bCs/>
          <w:kern w:val="2"/>
          <w:sz w:val="28"/>
          <w:szCs w:val="28"/>
          <w:highlight w:val="none"/>
          <w:lang w:val="en-US" w:eastAsia="zh-CN" w:bidi="ar-SA"/>
        </w:rPr>
      </w:pPr>
      <w:ins w:id="1" w:author="Sasa" w:date="2025-12-22T10:13:36Z">
        <w:r>
          <w:rPr>
            <w:rFonts w:hint="eastAsia" w:ascii="仿宋" w:hAnsi="仿宋" w:eastAsia="仿宋" w:cs="仿宋"/>
            <w:b/>
            <w:bCs/>
            <w:kern w:val="2"/>
            <w:sz w:val="28"/>
            <w:szCs w:val="28"/>
            <w:highlight w:val="none"/>
            <w:lang w:val="en-US" w:eastAsia="zh-CN" w:bidi="ar-SA"/>
          </w:rPr>
          <w:br w:type="page"/>
        </w:r>
      </w:ins>
    </w:p>
    <w:p>
      <w:pPr>
        <w:pStyle w:val="7"/>
        <w:numPr>
          <w:ilvl w:val="-1"/>
          <w:numId w:val="0"/>
        </w:numPr>
        <w:spacing w:before="192" w:beforeLines="50" w:afterLines="0" w:line="500" w:lineRule="exact"/>
        <w:ind w:firstLine="0" w:firstLineChars="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第二标段</w:t>
      </w:r>
    </w:p>
    <w:tbl>
      <w:tblPr>
        <w:tblStyle w:val="19"/>
        <w:tblW w:w="4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35"/>
        <w:gridCol w:w="487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32" w:type="pct"/>
            <w:noWrap w:val="0"/>
            <w:vAlign w:val="center"/>
          </w:tcPr>
          <w:p>
            <w:pPr>
              <w:spacing w:line="400" w:lineRule="exact"/>
              <w:jc w:val="center"/>
              <w:rPr>
                <w:rFonts w:ascii="仿宋" w:hAnsi="仿宋" w:eastAsia="仿宋" w:cs="仿宋"/>
                <w:b/>
                <w:bCs/>
                <w:sz w:val="24"/>
                <w:szCs w:val="24"/>
              </w:rPr>
            </w:pPr>
            <w:r>
              <w:rPr>
                <w:rFonts w:ascii="仿宋" w:hAnsi="仿宋" w:eastAsia="仿宋" w:cs="仿宋"/>
                <w:b/>
                <w:bCs/>
                <w:sz w:val="24"/>
                <w:szCs w:val="24"/>
              </w:rPr>
              <w:t>序号</w:t>
            </w:r>
          </w:p>
        </w:tc>
        <w:tc>
          <w:tcPr>
            <w:tcW w:w="747" w:type="pct"/>
            <w:noWrap w:val="0"/>
            <w:vAlign w:val="center"/>
          </w:tcPr>
          <w:p>
            <w:pPr>
              <w:spacing w:line="400" w:lineRule="exact"/>
              <w:jc w:val="center"/>
              <w:rPr>
                <w:rFonts w:ascii="仿宋" w:hAnsi="仿宋" w:eastAsia="仿宋" w:cs="仿宋"/>
                <w:b/>
                <w:bCs/>
                <w:sz w:val="24"/>
                <w:szCs w:val="24"/>
              </w:rPr>
            </w:pPr>
            <w:r>
              <w:rPr>
                <w:rFonts w:hint="eastAsia" w:ascii="仿宋" w:hAnsi="仿宋" w:eastAsia="仿宋" w:cs="仿宋"/>
                <w:b/>
                <w:bCs/>
                <w:sz w:val="24"/>
                <w:szCs w:val="24"/>
              </w:rPr>
              <w:t>货物</w:t>
            </w:r>
            <w:r>
              <w:rPr>
                <w:rFonts w:ascii="仿宋" w:hAnsi="仿宋" w:eastAsia="仿宋" w:cs="仿宋"/>
                <w:b/>
                <w:bCs/>
                <w:sz w:val="24"/>
                <w:szCs w:val="24"/>
              </w:rPr>
              <w:t>名称</w:t>
            </w:r>
          </w:p>
        </w:tc>
        <w:tc>
          <w:tcPr>
            <w:tcW w:w="2730" w:type="pct"/>
            <w:noWrap w:val="0"/>
            <w:vAlign w:val="center"/>
          </w:tcPr>
          <w:p>
            <w:pPr>
              <w:spacing w:line="400" w:lineRule="exact"/>
              <w:jc w:val="center"/>
              <w:rPr>
                <w:rFonts w:ascii="仿宋" w:hAnsi="仿宋" w:eastAsia="仿宋" w:cs="仿宋"/>
                <w:b/>
                <w:bCs/>
                <w:sz w:val="24"/>
                <w:szCs w:val="24"/>
              </w:rPr>
            </w:pPr>
            <w:r>
              <w:rPr>
                <w:rFonts w:ascii="仿宋" w:hAnsi="仿宋" w:eastAsia="仿宋" w:cs="仿宋"/>
                <w:b/>
                <w:bCs/>
                <w:sz w:val="24"/>
                <w:szCs w:val="24"/>
              </w:rPr>
              <w:t>技术要求</w:t>
            </w:r>
          </w:p>
        </w:tc>
        <w:tc>
          <w:tcPr>
            <w:tcW w:w="1190" w:type="pct"/>
            <w:noWrap w:val="0"/>
            <w:vAlign w:val="center"/>
          </w:tcPr>
          <w:p>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32"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组合沙发</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1.规格W3200*D890*H720mm。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▲2.软包材质：优质超纤皮，采用PU高密度一次成型海绵，高回弹海绵，回弹性35~55%。</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▲3.内架：采用优质松木框架，经刨光、干燥、防虫、防潮处理，无结疤、裂纹、虫眼等，木材含水率8%-10%。</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3600" behindDoc="0" locked="0" layoutInCell="1" allowOverlap="1">
                  <wp:simplePos x="0" y="0"/>
                  <wp:positionH relativeFrom="column">
                    <wp:posOffset>5715</wp:posOffset>
                  </wp:positionH>
                  <wp:positionV relativeFrom="paragraph">
                    <wp:posOffset>236855</wp:posOffset>
                  </wp:positionV>
                  <wp:extent cx="1234440" cy="823595"/>
                  <wp:effectExtent l="0" t="0" r="3810" b="14605"/>
                  <wp:wrapTopAndBottom/>
                  <wp:docPr id="39" name="图片 26" descr="558fef1368f4d7a1307a07d0079e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558fef1368f4d7a1307a07d0079ecf8"/>
                          <pic:cNvPicPr>
                            <a:picLocks noChangeAspect="1"/>
                          </pic:cNvPicPr>
                        </pic:nvPicPr>
                        <pic:blipFill>
                          <a:blip r:embed="rId22"/>
                          <a:stretch>
                            <a:fillRect/>
                          </a:stretch>
                        </pic:blipFill>
                        <pic:spPr>
                          <a:xfrm>
                            <a:off x="0" y="0"/>
                            <a:ext cx="1234440" cy="8235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32"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kern w:val="0"/>
                <w:sz w:val="24"/>
                <w:szCs w:val="24"/>
              </w:rPr>
              <w:t>双人沙发</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4.规格：W1700*D950*H700mm。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▲5.软包材质：优质超纤皮，采用PU高密度一次成型海绵，高回弹海绵，回弹性35~55%。</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▲6.内架：采用优质松木框架，经刨光、干燥、防虫、防潮处理，无结疤、裂纹、虫眼等，木材含水率8%-10%。</w:t>
            </w:r>
          </w:p>
        </w:tc>
        <w:tc>
          <w:tcPr>
            <w:tcW w:w="1190"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sz w:val="24"/>
                <w:szCs w:val="24"/>
              </w:rPr>
              <w:drawing>
                <wp:anchor distT="0" distB="0" distL="114300" distR="114300" simplePos="0" relativeHeight="251674624" behindDoc="0" locked="0" layoutInCell="1" allowOverlap="1">
                  <wp:simplePos x="0" y="0"/>
                  <wp:positionH relativeFrom="column">
                    <wp:posOffset>35560</wp:posOffset>
                  </wp:positionH>
                  <wp:positionV relativeFrom="paragraph">
                    <wp:posOffset>250825</wp:posOffset>
                  </wp:positionV>
                  <wp:extent cx="1129665" cy="965200"/>
                  <wp:effectExtent l="0" t="0" r="13335" b="6350"/>
                  <wp:wrapTopAndBottom/>
                  <wp:docPr id="40" name="图片 27" descr="5e7bb1dat8fca38fd3936&amp;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descr="5e7bb1dat8fca38fd3936&amp;6901"/>
                          <pic:cNvPicPr>
                            <a:picLocks noChangeAspect="1"/>
                          </pic:cNvPicPr>
                        </pic:nvPicPr>
                        <pic:blipFill>
                          <a:blip r:embed="rId23"/>
                          <a:stretch>
                            <a:fillRect/>
                          </a:stretch>
                        </pic:blipFill>
                        <pic:spPr>
                          <a:xfrm>
                            <a:off x="0" y="0"/>
                            <a:ext cx="1129665" cy="965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32"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3</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kern w:val="0"/>
                <w:sz w:val="24"/>
                <w:szCs w:val="24"/>
              </w:rPr>
              <w:t>定制沙发卡座书桌</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7.规格：W5250*D1100*H1200mm。一面卡座为6人位，另一面为6人位沙发座。</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▲8.软包材质：优质超纤皮，采用PU高密度一次成型海绵，高回弹海绵，回弹性35~55%。</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▲9.内架：采用优质松木框架，经刨光、干燥、防虫、防潮处理，无结疤、裂纹、虫眼等，木材含水率8%-10%。</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5648" behindDoc="0" locked="0" layoutInCell="1" allowOverlap="1">
                  <wp:simplePos x="0" y="0"/>
                  <wp:positionH relativeFrom="column">
                    <wp:posOffset>85090</wp:posOffset>
                  </wp:positionH>
                  <wp:positionV relativeFrom="paragraph">
                    <wp:posOffset>224155</wp:posOffset>
                  </wp:positionV>
                  <wp:extent cx="1070610" cy="1070610"/>
                  <wp:effectExtent l="0" t="0" r="15240" b="15240"/>
                  <wp:wrapTopAndBottom/>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24"/>
                          <a:srcRect l="8339" b="11111"/>
                          <a:stretch>
                            <a:fillRect/>
                          </a:stretch>
                        </pic:blipFill>
                        <pic:spPr>
                          <a:xfrm>
                            <a:off x="0" y="0"/>
                            <a:ext cx="1070610" cy="1070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332"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4</w:t>
            </w:r>
          </w:p>
        </w:tc>
        <w:tc>
          <w:tcPr>
            <w:tcW w:w="747"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定制书架</w:t>
            </w:r>
          </w:p>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沙发一体化</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▲10.软包材质：优质超纤皮，采用PU高密度一次成型海绵，高回弹海绵，回弹性</w:t>
            </w:r>
            <w:r>
              <w:rPr>
                <w:rFonts w:hint="eastAsia" w:ascii="仿宋" w:hAnsi="仿宋" w:eastAsia="仿宋" w:cs="仿宋"/>
                <w:sz w:val="24"/>
                <w:szCs w:val="24"/>
                <w:lang w:val="en-US" w:eastAsia="zh-CN"/>
              </w:rPr>
              <w:t xml:space="preserve"> </w:t>
            </w:r>
            <w:bookmarkStart w:id="540" w:name="_GoBack"/>
            <w:bookmarkEnd w:id="540"/>
            <w:r>
              <w:rPr>
                <w:rFonts w:hint="eastAsia" w:ascii="仿宋" w:hAnsi="仿宋" w:eastAsia="仿宋" w:cs="仿宋"/>
                <w:sz w:val="24"/>
                <w:szCs w:val="24"/>
              </w:rPr>
              <w:t>5~55%。</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▲11.内架：采用优质松木框架，经刨光、干燥、防虫、防潮处理，无结疤、裂纹、虫眼等，木材含水率8%-10%。</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12.书架材质：采用不低于E0级的三聚氰胺饰面刨花板。采用PVC封边，厚度不小于1.5mm。</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6672" behindDoc="0" locked="0" layoutInCell="1" allowOverlap="1">
                  <wp:simplePos x="0" y="0"/>
                  <wp:positionH relativeFrom="column">
                    <wp:posOffset>36195</wp:posOffset>
                  </wp:positionH>
                  <wp:positionV relativeFrom="paragraph">
                    <wp:posOffset>231775</wp:posOffset>
                  </wp:positionV>
                  <wp:extent cx="1280160" cy="1091565"/>
                  <wp:effectExtent l="0" t="0" r="15240" b="13335"/>
                  <wp:wrapTopAndBottom/>
                  <wp:docPr id="41" name="图片 29" descr="16670ed9e02a01005df4c41a6462e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16670ed9e02a01005df4c41a6462ec14"/>
                          <pic:cNvPicPr>
                            <a:picLocks noChangeAspect="1"/>
                          </pic:cNvPicPr>
                        </pic:nvPicPr>
                        <pic:blipFill>
                          <a:blip r:embed="rId25"/>
                          <a:stretch>
                            <a:fillRect/>
                          </a:stretch>
                        </pic:blipFill>
                        <pic:spPr>
                          <a:xfrm>
                            <a:off x="0" y="0"/>
                            <a:ext cx="1280160" cy="10915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2"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5</w:t>
            </w:r>
          </w:p>
        </w:tc>
        <w:tc>
          <w:tcPr>
            <w:tcW w:w="747"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高背单人</w:t>
            </w:r>
          </w:p>
          <w:p>
            <w:pPr>
              <w:spacing w:line="400" w:lineRule="exact"/>
              <w:jc w:val="center"/>
              <w:rPr>
                <w:rFonts w:hint="eastAsia" w:ascii="仿宋" w:hAnsi="仿宋" w:eastAsia="仿宋" w:cs="仿宋"/>
                <w:sz w:val="24"/>
                <w:szCs w:val="24"/>
              </w:rPr>
            </w:pPr>
            <w:r>
              <w:rPr>
                <w:rFonts w:hint="eastAsia" w:ascii="仿宋" w:hAnsi="仿宋" w:eastAsia="仿宋" w:cs="仿宋"/>
                <w:kern w:val="0"/>
                <w:sz w:val="24"/>
                <w:szCs w:val="24"/>
              </w:rPr>
              <w:t>沙发</w:t>
            </w:r>
          </w:p>
        </w:tc>
        <w:tc>
          <w:tcPr>
            <w:tcW w:w="2730" w:type="pct"/>
            <w:noWrap w:val="0"/>
            <w:vAlign w:val="top"/>
          </w:tcPr>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13.规格：W860*D850*H950mm。</w:t>
            </w:r>
          </w:p>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▲14.软包材质：优质超纤皮，采用PU高密度一次成型海绵，高回弹海绵，回弹性35~55%。</w:t>
            </w:r>
          </w:p>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▲15.内架：采用优质松木框架，经刨光、干燥、防虫、防潮处理，无结疤、裂纹、虫眼等，木材含水率8%-10%。</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7696" behindDoc="0" locked="0" layoutInCell="1" allowOverlap="1">
                  <wp:simplePos x="0" y="0"/>
                  <wp:positionH relativeFrom="column">
                    <wp:posOffset>10795</wp:posOffset>
                  </wp:positionH>
                  <wp:positionV relativeFrom="paragraph">
                    <wp:posOffset>203200</wp:posOffset>
                  </wp:positionV>
                  <wp:extent cx="1233170" cy="984885"/>
                  <wp:effectExtent l="0" t="0" r="5080" b="5715"/>
                  <wp:wrapTopAndBottom/>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26"/>
                          <a:stretch>
                            <a:fillRect/>
                          </a:stretch>
                        </pic:blipFill>
                        <pic:spPr>
                          <a:xfrm>
                            <a:off x="0" y="0"/>
                            <a:ext cx="1233170" cy="984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32"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6</w:t>
            </w:r>
          </w:p>
        </w:tc>
        <w:tc>
          <w:tcPr>
            <w:tcW w:w="747"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休闲沙发</w:t>
            </w:r>
          </w:p>
        </w:tc>
        <w:tc>
          <w:tcPr>
            <w:tcW w:w="2730" w:type="pct"/>
            <w:noWrap w:val="0"/>
            <w:vAlign w:val="top"/>
          </w:tcPr>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16.规格：W860*D850*H700mm。</w:t>
            </w:r>
          </w:p>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▲17.软包材质：优质超纤皮，采用PU高密度一次成型海绵，高回弹海绵，回弹性35~55%。</w:t>
            </w:r>
          </w:p>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▲18.内架：采用优质松木框架，经刨光、干燥、防虫、防潮处理，无结疤、裂纹、虫眼等，木材含水率8%-10%。</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8720" behindDoc="0" locked="0" layoutInCell="1" allowOverlap="1">
                  <wp:simplePos x="0" y="0"/>
                  <wp:positionH relativeFrom="column">
                    <wp:posOffset>37465</wp:posOffset>
                  </wp:positionH>
                  <wp:positionV relativeFrom="paragraph">
                    <wp:posOffset>252095</wp:posOffset>
                  </wp:positionV>
                  <wp:extent cx="1143000" cy="1042670"/>
                  <wp:effectExtent l="0" t="0" r="0" b="5080"/>
                  <wp:wrapTopAndBottom/>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27"/>
                          <a:stretch>
                            <a:fillRect/>
                          </a:stretch>
                        </pic:blipFill>
                        <pic:spPr>
                          <a:xfrm>
                            <a:off x="0" y="0"/>
                            <a:ext cx="1143000" cy="1042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32" w:type="pct"/>
            <w:noWrap w:val="0"/>
            <w:vAlign w:val="center"/>
          </w:tcPr>
          <w:p>
            <w:pPr>
              <w:spacing w:line="400" w:lineRule="exact"/>
              <w:jc w:val="center"/>
              <w:rPr>
                <w:rFonts w:ascii="仿宋" w:hAnsi="仿宋" w:eastAsia="仿宋" w:cs="仿宋"/>
                <w:sz w:val="24"/>
                <w:szCs w:val="24"/>
              </w:rPr>
            </w:pPr>
            <w:r>
              <w:rPr>
                <w:rFonts w:ascii="仿宋" w:hAnsi="仿宋" w:eastAsia="仿宋" w:cs="仿宋"/>
                <w:sz w:val="24"/>
                <w:szCs w:val="24"/>
              </w:rPr>
              <w:t>7</w:t>
            </w:r>
          </w:p>
        </w:tc>
        <w:tc>
          <w:tcPr>
            <w:tcW w:w="747"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sz w:val="24"/>
                <w:szCs w:val="24"/>
              </w:rPr>
              <w:t>单人沙发</w:t>
            </w:r>
          </w:p>
        </w:tc>
        <w:tc>
          <w:tcPr>
            <w:tcW w:w="2730" w:type="pct"/>
            <w:noWrap w:val="0"/>
            <w:vAlign w:val="top"/>
          </w:tcPr>
          <w:p>
            <w:pPr>
              <w:snapToGrid w:val="0"/>
              <w:spacing w:line="400" w:lineRule="exact"/>
              <w:jc w:val="both"/>
              <w:rPr>
                <w:rFonts w:hint="eastAsia" w:ascii="仿宋" w:hAnsi="仿宋" w:eastAsia="仿宋" w:cs="仿宋"/>
                <w:color w:val="FF0000"/>
                <w:sz w:val="24"/>
                <w:szCs w:val="24"/>
              </w:rPr>
            </w:pPr>
            <w:r>
              <w:rPr>
                <w:rFonts w:hint="eastAsia" w:ascii="仿宋" w:hAnsi="仿宋" w:eastAsia="仿宋" w:cs="仿宋"/>
                <w:sz w:val="24"/>
                <w:szCs w:val="24"/>
              </w:rPr>
              <w:t>19.规格：W1080*D880*H900mm。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▲20.软包材质：优质超纤皮，采用PU高密度一次成型海绵，高回弹海绵，回弹性35~55%。</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▲21.内架：采用优质松木框架，经刨光、干燥、防虫、防潮处理，无结疤、裂纹、虫眼等，木材含水率8%-10%。</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9744" behindDoc="0" locked="0" layoutInCell="1" allowOverlap="1">
                  <wp:simplePos x="0" y="0"/>
                  <wp:positionH relativeFrom="column">
                    <wp:posOffset>113665</wp:posOffset>
                  </wp:positionH>
                  <wp:positionV relativeFrom="paragraph">
                    <wp:posOffset>154305</wp:posOffset>
                  </wp:positionV>
                  <wp:extent cx="1138555" cy="793750"/>
                  <wp:effectExtent l="0" t="0" r="4445" b="6350"/>
                  <wp:wrapTopAndBottom/>
                  <wp:docPr id="38" name="图片 32" descr="1bda0a37-c429-4f21-a9d9-c71027955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1bda0a37-c429-4f21-a9d9-c7102795594a"/>
                          <pic:cNvPicPr>
                            <a:picLocks noChangeAspect="1"/>
                          </pic:cNvPicPr>
                        </pic:nvPicPr>
                        <pic:blipFill>
                          <a:blip r:embed="rId28"/>
                          <a:stretch>
                            <a:fillRect/>
                          </a:stretch>
                        </pic:blipFill>
                        <pic:spPr>
                          <a:xfrm>
                            <a:off x="0" y="0"/>
                            <a:ext cx="1138555" cy="793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32"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8</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会客室</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沙发</w:t>
            </w:r>
          </w:p>
        </w:tc>
        <w:tc>
          <w:tcPr>
            <w:tcW w:w="2730" w:type="pct"/>
            <w:noWrap w:val="0"/>
            <w:vAlign w:val="top"/>
          </w:tcPr>
          <w:p>
            <w:pPr>
              <w:snapToGrid w:val="0"/>
              <w:spacing w:line="400" w:lineRule="exact"/>
              <w:jc w:val="left"/>
              <w:rPr>
                <w:rFonts w:hint="eastAsia" w:ascii="仿宋" w:hAnsi="仿宋" w:eastAsia="仿宋" w:cs="仿宋"/>
                <w:sz w:val="24"/>
                <w:szCs w:val="24"/>
              </w:rPr>
            </w:pPr>
            <w:r>
              <w:rPr>
                <w:rFonts w:hint="eastAsia" w:ascii="仿宋" w:hAnsi="仿宋" w:eastAsia="仿宋" w:cs="仿宋"/>
                <w:kern w:val="0"/>
                <w:sz w:val="24"/>
                <w:szCs w:val="24"/>
              </w:rPr>
              <w:t>22.规格：</w:t>
            </w:r>
            <w:r>
              <w:rPr>
                <w:rFonts w:hint="eastAsia" w:ascii="仿宋" w:hAnsi="仿宋" w:eastAsia="仿宋" w:cs="仿宋"/>
                <w:sz w:val="24"/>
                <w:szCs w:val="24"/>
              </w:rPr>
              <w:t>W1080*D880*H900mm。</w:t>
            </w:r>
          </w:p>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▲23.软包材质：采用优质牛皮面料，不含甲醛，防潮、防污、阻燃处理，透气性好；采用PU高密度一次成型海绵，回弹性35~55%。</w:t>
            </w:r>
          </w:p>
          <w:p>
            <w:pPr>
              <w:spacing w:line="400" w:lineRule="exact"/>
              <w:rPr>
                <w:rFonts w:hint="eastAsia" w:ascii="仿宋" w:hAnsi="仿宋" w:eastAsia="仿宋" w:cs="仿宋"/>
                <w:sz w:val="24"/>
                <w:szCs w:val="24"/>
              </w:rPr>
            </w:pPr>
            <w:r>
              <w:rPr>
                <w:rFonts w:hint="eastAsia" w:ascii="仿宋" w:hAnsi="仿宋" w:eastAsia="仿宋" w:cs="仿宋"/>
                <w:sz w:val="24"/>
                <w:szCs w:val="24"/>
              </w:rPr>
              <w:t>▲24.材质：内架采用优质松木，外架采用橡木，经刨光、干燥、防虫、防潮处理，无结疤、裂纹、虫眼等，木材含水率8%-10%，外表涂饰环保水性漆。</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80768" behindDoc="0" locked="0" layoutInCell="1" allowOverlap="1">
                  <wp:simplePos x="0" y="0"/>
                  <wp:positionH relativeFrom="column">
                    <wp:posOffset>95250</wp:posOffset>
                  </wp:positionH>
                  <wp:positionV relativeFrom="paragraph">
                    <wp:posOffset>360680</wp:posOffset>
                  </wp:positionV>
                  <wp:extent cx="1146175" cy="1010920"/>
                  <wp:effectExtent l="0" t="0" r="15875" b="17780"/>
                  <wp:wrapTopAndBottom/>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29"/>
                          <a:stretch>
                            <a:fillRect/>
                          </a:stretch>
                        </pic:blipFill>
                        <pic:spPr>
                          <a:xfrm>
                            <a:off x="0" y="0"/>
                            <a:ext cx="1146175" cy="10109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32"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会客室</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茶几</w:t>
            </w:r>
          </w:p>
        </w:tc>
        <w:tc>
          <w:tcPr>
            <w:tcW w:w="2730" w:type="pct"/>
            <w:noWrap w:val="0"/>
            <w:vAlign w:val="top"/>
          </w:tcPr>
          <w:p>
            <w:pPr>
              <w:snapToGrid w:val="0"/>
              <w:spacing w:line="400" w:lineRule="exact"/>
              <w:jc w:val="left"/>
              <w:rPr>
                <w:rFonts w:hint="eastAsia" w:ascii="仿宋" w:hAnsi="仿宋" w:eastAsia="仿宋" w:cs="仿宋"/>
                <w:sz w:val="24"/>
                <w:szCs w:val="24"/>
              </w:rPr>
            </w:pPr>
            <w:r>
              <w:rPr>
                <w:rFonts w:hint="eastAsia" w:ascii="仿宋" w:hAnsi="仿宋" w:eastAsia="仿宋" w:cs="仿宋"/>
                <w:sz w:val="24"/>
                <w:szCs w:val="24"/>
              </w:rPr>
              <w:t>25.规格：W680*D480*H550mm。</w:t>
            </w:r>
          </w:p>
          <w:p>
            <w:pPr>
              <w:spacing w:line="400" w:lineRule="exact"/>
              <w:rPr>
                <w:rFonts w:hint="eastAsia" w:ascii="仿宋" w:hAnsi="仿宋" w:eastAsia="仿宋" w:cs="仿宋"/>
                <w:sz w:val="24"/>
                <w:szCs w:val="24"/>
              </w:rPr>
            </w:pPr>
            <w:r>
              <w:rPr>
                <w:rFonts w:hint="eastAsia" w:ascii="仿宋" w:hAnsi="仿宋" w:eastAsia="仿宋" w:cs="仿宋"/>
                <w:sz w:val="24"/>
                <w:szCs w:val="24"/>
              </w:rPr>
              <w:t>▲26.材质：内架采用优质松木，外架采用橡木，经刨光、干燥、防虫、防潮处理，无结疤、裂纹、虫眼等，木材含水率8%-10%，外表涂饰环保水性漆，颜色与会客室沙发配套。</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81792" behindDoc="0" locked="0" layoutInCell="1" allowOverlap="1">
                  <wp:simplePos x="0" y="0"/>
                  <wp:positionH relativeFrom="column">
                    <wp:posOffset>269875</wp:posOffset>
                  </wp:positionH>
                  <wp:positionV relativeFrom="paragraph">
                    <wp:posOffset>136525</wp:posOffset>
                  </wp:positionV>
                  <wp:extent cx="810895" cy="833120"/>
                  <wp:effectExtent l="0" t="0" r="8255" b="5080"/>
                  <wp:wrapTopAndBottom/>
                  <wp:docPr id="36" name="图片 34" descr="8773138853a7997b835eb73409c5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8773138853a7997b835eb73409c5d7d"/>
                          <pic:cNvPicPr>
                            <a:picLocks noChangeAspect="1"/>
                          </pic:cNvPicPr>
                        </pic:nvPicPr>
                        <pic:blipFill>
                          <a:blip r:embed="rId30"/>
                          <a:stretch>
                            <a:fillRect/>
                          </a:stretch>
                        </pic:blipFill>
                        <pic:spPr>
                          <a:xfrm>
                            <a:off x="0" y="0"/>
                            <a:ext cx="810895" cy="833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32"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10</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kern w:val="0"/>
                <w:sz w:val="24"/>
                <w:szCs w:val="24"/>
              </w:rPr>
              <w:t>方形茶几</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27.规格：W800*D800*H600mm。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▲28.材质：基材不低于E0级的中密度纤维板，厚度不小于30mm；面层采用厚度不小于0.6mm的橡木或同档次实木贴皮，无明显节疤与空洞，无虫蛀，经防腐处理，同色的木质封边；环保水性清漆涂装，无异味。</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82816" behindDoc="0" locked="0" layoutInCell="1" allowOverlap="1">
                  <wp:simplePos x="0" y="0"/>
                  <wp:positionH relativeFrom="column">
                    <wp:posOffset>180340</wp:posOffset>
                  </wp:positionH>
                  <wp:positionV relativeFrom="paragraph">
                    <wp:posOffset>217805</wp:posOffset>
                  </wp:positionV>
                  <wp:extent cx="966470" cy="966470"/>
                  <wp:effectExtent l="0" t="0" r="5080" b="5080"/>
                  <wp:wrapTopAndBottom/>
                  <wp:docPr id="33" name="图片 35" descr="afe140c12ec0966b9b1b4af664af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afe140c12ec0966b9b1b4af664af7b8"/>
                          <pic:cNvPicPr>
                            <a:picLocks noChangeAspect="1"/>
                          </pic:cNvPicPr>
                        </pic:nvPicPr>
                        <pic:blipFill>
                          <a:blip r:embed="rId31"/>
                          <a:stretch>
                            <a:fillRect/>
                          </a:stretch>
                        </pic:blipFill>
                        <pic:spPr>
                          <a:xfrm>
                            <a:off x="0" y="0"/>
                            <a:ext cx="966470" cy="9664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32"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11</w:t>
            </w:r>
          </w:p>
        </w:tc>
        <w:tc>
          <w:tcPr>
            <w:tcW w:w="747"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长方形</w:t>
            </w:r>
          </w:p>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茶几</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29.规格：W1200*D800*H600mm。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▲30.材质：基材不低于E0级的中密度纤维板，厚度不小于30mm；面层采用厚度不小于0.6mm的橡木或同档次实木贴皮，无明显节疤与空洞，无虫蛀，经防腐处理，同色的木质封边；环保水性清漆涂装，无异味。</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83840" behindDoc="0" locked="0" layoutInCell="1" allowOverlap="1">
                  <wp:simplePos x="0" y="0"/>
                  <wp:positionH relativeFrom="column">
                    <wp:posOffset>138430</wp:posOffset>
                  </wp:positionH>
                  <wp:positionV relativeFrom="paragraph">
                    <wp:posOffset>351155</wp:posOffset>
                  </wp:positionV>
                  <wp:extent cx="1070610" cy="764540"/>
                  <wp:effectExtent l="0" t="0" r="15240" b="16510"/>
                  <wp:wrapTopAndBottom/>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pic:cNvPicPr>
                        </pic:nvPicPr>
                        <pic:blipFill>
                          <a:blip r:embed="rId32"/>
                          <a:stretch>
                            <a:fillRect/>
                          </a:stretch>
                        </pic:blipFill>
                        <pic:spPr>
                          <a:xfrm>
                            <a:off x="0" y="0"/>
                            <a:ext cx="1070610" cy="764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332" w:type="pct"/>
            <w:noWrap w:val="0"/>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12</w:t>
            </w:r>
          </w:p>
        </w:tc>
        <w:tc>
          <w:tcPr>
            <w:tcW w:w="747" w:type="pct"/>
            <w:noWrap w:val="0"/>
            <w:vAlign w:val="center"/>
          </w:tcPr>
          <w:p>
            <w:pPr>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圆形茶几</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31.规格：W800*D800*H720mm。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▲32.材质：基材不低于E0级的中密度纤维板，厚度不小于30mm；面层采用厚度不小于0.6mm的橡木或同档次实木贴皮，无明显节疤与空洞，无虫蛀，经防腐处理，同色的木质封边；环保水性清漆涂装，无异味。</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84864" behindDoc="0" locked="0" layoutInCell="1" allowOverlap="1">
                  <wp:simplePos x="0" y="0"/>
                  <wp:positionH relativeFrom="column">
                    <wp:posOffset>288925</wp:posOffset>
                  </wp:positionH>
                  <wp:positionV relativeFrom="paragraph">
                    <wp:posOffset>332105</wp:posOffset>
                  </wp:positionV>
                  <wp:extent cx="825500" cy="803910"/>
                  <wp:effectExtent l="0" t="0" r="12700" b="15240"/>
                  <wp:wrapTopAndBottom/>
                  <wp:docPr id="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pic:cNvPicPr>
                            <a:picLocks noChangeAspect="1"/>
                          </pic:cNvPicPr>
                        </pic:nvPicPr>
                        <pic:blipFill>
                          <a:blip r:embed="rId33"/>
                          <a:stretch>
                            <a:fillRect/>
                          </a:stretch>
                        </pic:blipFill>
                        <pic:spPr>
                          <a:xfrm>
                            <a:off x="0" y="0"/>
                            <a:ext cx="825500" cy="8039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32" w:type="pct"/>
            <w:noWrap w:val="0"/>
            <w:vAlign w:val="center"/>
          </w:tcPr>
          <w:p>
            <w:pPr>
              <w:spacing w:line="400" w:lineRule="exact"/>
              <w:jc w:val="center"/>
              <w:rPr>
                <w:rFonts w:hint="eastAsia" w:ascii="仿宋" w:hAnsi="仿宋" w:eastAsia="仿宋" w:cs="仿宋"/>
                <w:sz w:val="24"/>
                <w:szCs w:val="24"/>
              </w:rPr>
            </w:pPr>
            <w:r>
              <w:rPr>
                <w:rFonts w:ascii="仿宋" w:hAnsi="仿宋" w:eastAsia="仿宋" w:cs="仿宋"/>
                <w:sz w:val="24"/>
                <w:szCs w:val="24"/>
              </w:rPr>
              <w:t>13</w:t>
            </w:r>
          </w:p>
        </w:tc>
        <w:tc>
          <w:tcPr>
            <w:tcW w:w="747"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窗帘</w:t>
            </w:r>
          </w:p>
        </w:tc>
        <w:tc>
          <w:tcPr>
            <w:tcW w:w="2730" w:type="pct"/>
            <w:noWrap w:val="0"/>
            <w:vAlign w:val="top"/>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33.规格：</w:t>
            </w:r>
            <w:bookmarkStart w:id="322" w:name="OLE_LINK17"/>
            <w:r>
              <w:rPr>
                <w:rFonts w:hint="eastAsia" w:ascii="仿宋" w:hAnsi="仿宋" w:eastAsia="仿宋" w:cs="仿宋"/>
                <w:sz w:val="24"/>
                <w:szCs w:val="24"/>
              </w:rPr>
              <w:t>D1900*H3300mm</w:t>
            </w:r>
            <w:bookmarkEnd w:id="322"/>
            <w:r>
              <w:rPr>
                <w:rFonts w:hint="eastAsia" w:ascii="仿宋" w:hAnsi="仿宋" w:eastAsia="仿宋" w:cs="仿宋"/>
                <w:sz w:val="24"/>
                <w:szCs w:val="24"/>
              </w:rPr>
              <w:t>。</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▲34.面料：采用阳光面料，约30％聚酯成分，70％PVC成分。面料厚度：1.02mm±5%。抗拉强度：经向≥1730dsN/5cm,纬向≥1280daN±5%。透光系数：1%。紫外线穿透系数：1%。</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▲35.制头和尾塞：材质为优质钢架，制尾管塞加有金属芯轴，芯轴轴套为金属件，其表面镀硬铬。</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▲36.卷管：采用高强度铝合金材质，直径30mm，管材壁厚2.0mm，抗弯曲能力性能强，表面阳极氧化处理。</w:t>
            </w:r>
          </w:p>
          <w:p>
            <w:pPr>
              <w:spacing w:line="400" w:lineRule="exact"/>
              <w:rPr>
                <w:rFonts w:hint="eastAsia" w:ascii="仿宋" w:hAnsi="仿宋" w:eastAsia="仿宋" w:cs="仿宋"/>
                <w:sz w:val="24"/>
                <w:szCs w:val="24"/>
              </w:rPr>
            </w:pPr>
            <w:r>
              <w:rPr>
                <w:rFonts w:hint="eastAsia" w:ascii="仿宋" w:hAnsi="仿宋" w:eastAsia="仿宋" w:cs="仿宋"/>
                <w:sz w:val="24"/>
                <w:szCs w:val="24"/>
              </w:rPr>
              <w:t>36.拉珠线：拉绳采用高强聚酯纤维制作而成；拉珠采用POM工程塑料，拉珠直径3mm，拉绳直径1.2mm。</w:t>
            </w:r>
          </w:p>
        </w:tc>
        <w:tc>
          <w:tcPr>
            <w:tcW w:w="1190"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85888" behindDoc="0" locked="0" layoutInCell="1" allowOverlap="1">
                  <wp:simplePos x="0" y="0"/>
                  <wp:positionH relativeFrom="column">
                    <wp:posOffset>102870</wp:posOffset>
                  </wp:positionH>
                  <wp:positionV relativeFrom="paragraph">
                    <wp:posOffset>517525</wp:posOffset>
                  </wp:positionV>
                  <wp:extent cx="1188720" cy="1023620"/>
                  <wp:effectExtent l="0" t="0" r="11430" b="5080"/>
                  <wp:wrapTopAndBottom/>
                  <wp:docPr id="3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pic:cNvPicPr>
                            <a:picLocks noChangeAspect="1"/>
                          </pic:cNvPicPr>
                        </pic:nvPicPr>
                        <pic:blipFill>
                          <a:blip r:embed="rId34"/>
                          <a:stretch>
                            <a:fillRect/>
                          </a:stretch>
                        </pic:blipFill>
                        <pic:spPr>
                          <a:xfrm>
                            <a:off x="0" y="0"/>
                            <a:ext cx="1188720" cy="1023620"/>
                          </a:xfrm>
                          <a:prstGeom prst="rect">
                            <a:avLst/>
                          </a:prstGeom>
                          <a:noFill/>
                          <a:ln>
                            <a:noFill/>
                          </a:ln>
                        </pic:spPr>
                      </pic:pic>
                    </a:graphicData>
                  </a:graphic>
                </wp:anchor>
              </w:drawing>
            </w:r>
          </w:p>
        </w:tc>
      </w:tr>
    </w:tbl>
    <w:p>
      <w:pPr>
        <w:numPr>
          <w:ilvl w:val="-1"/>
          <w:numId w:val="0"/>
        </w:numPr>
        <w:ind w:firstLine="0" w:firstLineChars="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pPr>
        <w:pStyle w:val="7"/>
        <w:numPr>
          <w:ilvl w:val="-1"/>
          <w:numId w:val="0"/>
        </w:numPr>
        <w:spacing w:before="192" w:beforeLines="50" w:afterLines="0" w:line="500" w:lineRule="exact"/>
        <w:ind w:firstLine="0" w:firstLineChars="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第三标段</w:t>
      </w:r>
    </w:p>
    <w:tbl>
      <w:tblPr>
        <w:tblStyle w:val="19"/>
        <w:tblW w:w="48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320"/>
        <w:gridCol w:w="4879"/>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42" w:type="pct"/>
            <w:noWrap w:val="0"/>
            <w:vAlign w:val="center"/>
          </w:tcPr>
          <w:p>
            <w:pPr>
              <w:ind w:left="0" w:leftChars="0" w:right="0" w:rightChars="0"/>
              <w:jc w:val="center"/>
              <w:rPr>
                <w:rFonts w:ascii="仿宋" w:hAnsi="仿宋" w:eastAsia="仿宋" w:cs="仿宋"/>
                <w:b/>
                <w:bCs/>
                <w:sz w:val="24"/>
                <w:szCs w:val="24"/>
              </w:rPr>
            </w:pPr>
            <w:r>
              <w:rPr>
                <w:rFonts w:ascii="仿宋" w:hAnsi="仿宋" w:eastAsia="仿宋" w:cs="仿宋"/>
                <w:b/>
                <w:bCs/>
                <w:sz w:val="24"/>
                <w:szCs w:val="24"/>
              </w:rPr>
              <w:t>序号</w:t>
            </w:r>
          </w:p>
        </w:tc>
        <w:tc>
          <w:tcPr>
            <w:tcW w:w="738" w:type="pct"/>
            <w:noWrap w:val="0"/>
            <w:vAlign w:val="center"/>
          </w:tcPr>
          <w:p>
            <w:pPr>
              <w:jc w:val="center"/>
              <w:rPr>
                <w:rFonts w:ascii="仿宋" w:hAnsi="仿宋" w:eastAsia="仿宋" w:cs="仿宋"/>
                <w:b/>
                <w:bCs/>
                <w:sz w:val="24"/>
                <w:szCs w:val="24"/>
              </w:rPr>
            </w:pPr>
            <w:r>
              <w:rPr>
                <w:rFonts w:hint="eastAsia" w:ascii="仿宋" w:hAnsi="仿宋" w:eastAsia="仿宋" w:cs="仿宋"/>
                <w:b/>
                <w:bCs/>
                <w:sz w:val="24"/>
                <w:szCs w:val="24"/>
              </w:rPr>
              <w:t>货物</w:t>
            </w:r>
            <w:r>
              <w:rPr>
                <w:rFonts w:ascii="仿宋" w:hAnsi="仿宋" w:eastAsia="仿宋" w:cs="仿宋"/>
                <w:b/>
                <w:bCs/>
                <w:sz w:val="24"/>
                <w:szCs w:val="24"/>
              </w:rPr>
              <w:t>名称</w:t>
            </w:r>
          </w:p>
        </w:tc>
        <w:tc>
          <w:tcPr>
            <w:tcW w:w="2727" w:type="pct"/>
            <w:noWrap w:val="0"/>
            <w:vAlign w:val="center"/>
          </w:tcPr>
          <w:p>
            <w:pPr>
              <w:jc w:val="both"/>
              <w:rPr>
                <w:rFonts w:ascii="仿宋" w:hAnsi="仿宋" w:eastAsia="仿宋" w:cs="仿宋"/>
                <w:b/>
                <w:bCs/>
                <w:sz w:val="24"/>
                <w:szCs w:val="24"/>
              </w:rPr>
            </w:pPr>
            <w:r>
              <w:rPr>
                <w:rFonts w:ascii="仿宋" w:hAnsi="仿宋" w:eastAsia="仿宋" w:cs="仿宋"/>
                <w:b/>
                <w:bCs/>
                <w:sz w:val="24"/>
                <w:szCs w:val="24"/>
              </w:rPr>
              <w:t>技术要求</w:t>
            </w:r>
          </w:p>
        </w:tc>
        <w:tc>
          <w:tcPr>
            <w:tcW w:w="1191" w:type="pct"/>
            <w:noWrap w:val="0"/>
            <w:vAlign w:val="center"/>
          </w:tcPr>
          <w:p>
            <w:pPr>
              <w:jc w:val="center"/>
              <w:rPr>
                <w:rFonts w:ascii="仿宋" w:hAnsi="仿宋" w:eastAsia="仿宋"/>
                <w:b/>
                <w:bCs/>
                <w:sz w:val="24"/>
                <w:szCs w:val="24"/>
              </w:rPr>
            </w:pPr>
            <w:r>
              <w:rPr>
                <w:rFonts w:hint="eastAsia" w:ascii="仿宋" w:hAnsi="仿宋" w:eastAsia="仿宋"/>
                <w:b/>
                <w:bCs/>
                <w:sz w:val="24"/>
                <w:szCs w:val="24"/>
              </w:rPr>
              <w:t>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42" w:type="pct"/>
            <w:noWrap w:val="0"/>
            <w:vAlign w:val="center"/>
          </w:tcPr>
          <w:p>
            <w:pPr>
              <w:spacing w:line="280" w:lineRule="exact"/>
              <w:jc w:val="center"/>
              <w:rPr>
                <w:rFonts w:ascii="仿宋" w:hAnsi="仿宋" w:eastAsia="仿宋" w:cs="仿宋"/>
                <w:sz w:val="24"/>
                <w:szCs w:val="24"/>
              </w:rPr>
            </w:pPr>
            <w:r>
              <w:rPr>
                <w:rFonts w:ascii="仿宋" w:hAnsi="仿宋" w:eastAsia="仿宋" w:cs="仿宋"/>
                <w:sz w:val="24"/>
                <w:szCs w:val="24"/>
              </w:rPr>
              <w:t>1</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三层双面书柜</w:t>
            </w:r>
          </w:p>
        </w:tc>
        <w:tc>
          <w:tcPr>
            <w:tcW w:w="2727" w:type="pct"/>
            <w:noWrap w:val="0"/>
            <w:vAlign w:val="center"/>
          </w:tcPr>
          <w:p>
            <w:pPr>
              <w:snapToGrid w:val="0"/>
              <w:spacing w:line="400" w:lineRule="exact"/>
              <w:jc w:val="both"/>
              <w:rPr>
                <w:rFonts w:hint="eastAsia" w:ascii="仿宋" w:hAnsi="仿宋" w:eastAsia="仿宋" w:cs="仿宋"/>
                <w:sz w:val="24"/>
                <w:szCs w:val="24"/>
              </w:rPr>
            </w:pPr>
            <w:bookmarkStart w:id="323" w:name="OLE_LINK6"/>
            <w:r>
              <w:rPr>
                <w:rFonts w:hint="eastAsia" w:ascii="仿宋" w:hAnsi="仿宋" w:eastAsia="仿宋" w:cs="仿宋"/>
                <w:sz w:val="24"/>
                <w:szCs w:val="24"/>
              </w:rPr>
              <w:t>1.规格：W920*D500*H1200mm。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2.结构：柜体为三层双面书柜，层板、立板厚度≥30mm。</w:t>
            </w:r>
          </w:p>
          <w:p>
            <w:pPr>
              <w:widowControl/>
              <w:snapToGrid w:val="0"/>
              <w:spacing w:line="4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color w:val="000000"/>
                <w:kern w:val="0"/>
                <w:sz w:val="24"/>
                <w:szCs w:val="24"/>
              </w:rPr>
              <w:t>3.材质：</w:t>
            </w:r>
            <w:r>
              <w:rPr>
                <w:rFonts w:hint="eastAsia" w:ascii="仿宋" w:hAnsi="仿宋" w:eastAsia="仿宋" w:cs="仿宋"/>
                <w:sz w:val="24"/>
                <w:szCs w:val="24"/>
              </w:rPr>
              <w:t>采用不低于E0级的三聚氰胺饰面刨花板。采用PVC封边，厚度不小于1.5mm。</w:t>
            </w:r>
            <w:bookmarkEnd w:id="323"/>
          </w:p>
        </w:tc>
        <w:tc>
          <w:tcPr>
            <w:tcW w:w="1191" w:type="pct"/>
            <w:noWrap w:val="0"/>
            <w:vAlign w:val="center"/>
          </w:tcPr>
          <w:p>
            <w:pPr>
              <w:rPr>
                <w:rFonts w:ascii="仿宋" w:hAnsi="仿宋" w:eastAsia="仿宋" w:cs="仿宋"/>
                <w:sz w:val="24"/>
                <w:szCs w:val="24"/>
              </w:rPr>
            </w:pPr>
            <w:r>
              <w:rPr>
                <w:rFonts w:ascii="仿宋" w:hAnsi="仿宋" w:eastAsia="仿宋" w:cs="仿宋"/>
                <w:sz w:val="24"/>
                <w:szCs w:val="24"/>
              </w:rPr>
              <w:drawing>
                <wp:anchor distT="0" distB="0" distL="114300" distR="114300" simplePos="0" relativeHeight="251686912" behindDoc="0" locked="0" layoutInCell="1" allowOverlap="1">
                  <wp:simplePos x="0" y="0"/>
                  <wp:positionH relativeFrom="column">
                    <wp:posOffset>123825</wp:posOffset>
                  </wp:positionH>
                  <wp:positionV relativeFrom="paragraph">
                    <wp:posOffset>241300</wp:posOffset>
                  </wp:positionV>
                  <wp:extent cx="950595" cy="881380"/>
                  <wp:effectExtent l="0" t="0" r="1905" b="13970"/>
                  <wp:wrapTopAndBottom/>
                  <wp:docPr id="53" name="图片 39" descr="293905ddb8df95a6230f245a312a1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9" descr="293905ddb8df95a6230f245a312a119f"/>
                          <pic:cNvPicPr>
                            <a:picLocks noChangeAspect="1"/>
                          </pic:cNvPicPr>
                        </pic:nvPicPr>
                        <pic:blipFill>
                          <a:blip r:embed="rId35"/>
                          <a:stretch>
                            <a:fillRect/>
                          </a:stretch>
                        </pic:blipFill>
                        <pic:spPr>
                          <a:xfrm>
                            <a:off x="0" y="0"/>
                            <a:ext cx="950595" cy="881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2</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六层双面书架</w:t>
            </w:r>
          </w:p>
        </w:tc>
        <w:tc>
          <w:tcPr>
            <w:tcW w:w="2727" w:type="pct"/>
            <w:noWrap w:val="0"/>
            <w:vAlign w:val="center"/>
          </w:tcPr>
          <w:p>
            <w:pPr>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4.规格：W920*D500*H2400mm。</w:t>
            </w:r>
          </w:p>
          <w:p>
            <w:pPr>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5.结构：柜体为六层双面书架，立柱及立板采用优质钢架，表面喷涂、防锈处理，每层承载力大于60kg。</w:t>
            </w:r>
          </w:p>
          <w:p>
            <w:pPr>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▲6.材质：外框采用不低于E0级的三聚氰胺饰面刨花板。采用PVC封边，厚度不小于1.5mm。</w:t>
            </w:r>
          </w:p>
        </w:tc>
        <w:tc>
          <w:tcPr>
            <w:tcW w:w="1191" w:type="pct"/>
            <w:noWrap w:val="0"/>
            <w:vAlign w:val="center"/>
          </w:tcPr>
          <w:p>
            <w:pPr>
              <w:rPr>
                <w:szCs w:val="28"/>
              </w:rPr>
            </w:pPr>
            <w:r>
              <w:rPr>
                <w:szCs w:val="28"/>
              </w:rPr>
              <w:drawing>
                <wp:anchor distT="0" distB="0" distL="114300" distR="114300" simplePos="0" relativeHeight="251687936" behindDoc="0" locked="0" layoutInCell="1" allowOverlap="1">
                  <wp:simplePos x="0" y="0"/>
                  <wp:positionH relativeFrom="column">
                    <wp:posOffset>104775</wp:posOffset>
                  </wp:positionH>
                  <wp:positionV relativeFrom="paragraph">
                    <wp:posOffset>252730</wp:posOffset>
                  </wp:positionV>
                  <wp:extent cx="1024255" cy="776605"/>
                  <wp:effectExtent l="0" t="0" r="4445" b="4445"/>
                  <wp:wrapTopAndBottom/>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6"/>
                          <a:srcRect r="7100"/>
                          <a:stretch>
                            <a:fillRect/>
                          </a:stretch>
                        </pic:blipFill>
                        <pic:spPr>
                          <a:xfrm>
                            <a:off x="0" y="0"/>
                            <a:ext cx="1024255" cy="7766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ascii="仿宋" w:hAnsi="仿宋" w:eastAsia="仿宋" w:cs="仿宋"/>
                <w:sz w:val="24"/>
                <w:szCs w:val="24"/>
              </w:rPr>
              <w:t>3</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铁质单面书架</w:t>
            </w:r>
          </w:p>
        </w:tc>
        <w:tc>
          <w:tcPr>
            <w:tcW w:w="2727" w:type="pct"/>
            <w:noWrap w:val="0"/>
            <w:vAlign w:val="center"/>
          </w:tcPr>
          <w:p>
            <w:pPr>
              <w:jc w:val="both"/>
              <w:rPr>
                <w:rFonts w:hint="eastAsia" w:ascii="仿宋" w:hAnsi="仿宋" w:eastAsia="仿宋" w:cs="仿宋"/>
                <w:sz w:val="24"/>
                <w:szCs w:val="24"/>
              </w:rPr>
            </w:pPr>
            <w:r>
              <w:rPr>
                <w:rFonts w:hint="eastAsia" w:ascii="仿宋" w:hAnsi="仿宋" w:eastAsia="仿宋" w:cs="仿宋"/>
                <w:sz w:val="24"/>
                <w:szCs w:val="24"/>
              </w:rPr>
              <w:t>7.规格：W1000*D450*H2000mm。</w:t>
            </w:r>
          </w:p>
          <w:p>
            <w:pPr>
              <w:jc w:val="both"/>
              <w:rPr>
                <w:rFonts w:hint="eastAsia" w:ascii="仿宋" w:hAnsi="仿宋" w:eastAsia="仿宋" w:cs="仿宋"/>
                <w:sz w:val="24"/>
                <w:szCs w:val="24"/>
              </w:rPr>
            </w:pPr>
            <w:r>
              <w:rPr>
                <w:rFonts w:hint="eastAsia" w:ascii="仿宋" w:hAnsi="仿宋" w:eastAsia="仿宋" w:cs="仿宋"/>
                <w:sz w:val="24"/>
                <w:szCs w:val="24"/>
              </w:rPr>
              <w:t>▲8.材质：采用优质钢架，表面喷涂、防锈处理，每层承载力大于60kg。</w:t>
            </w:r>
          </w:p>
        </w:tc>
        <w:tc>
          <w:tcPr>
            <w:tcW w:w="1191" w:type="pct"/>
            <w:noWrap w:val="0"/>
            <w:vAlign w:val="center"/>
          </w:tcPr>
          <w:p>
            <w:pPr>
              <w:tabs>
                <w:tab w:val="center" w:pos="957"/>
              </w:tabs>
              <w:ind w:left="-240" w:leftChars="-85" w:right="130"/>
              <w:jc w:val="both"/>
              <w:rPr>
                <w:rFonts w:ascii="等线" w:hAnsi="等线" w:eastAsia="等线" w:cs="等线"/>
                <w:color w:val="FF0000"/>
                <w:sz w:val="24"/>
                <w:szCs w:val="24"/>
              </w:rPr>
            </w:pPr>
            <w:r>
              <w:drawing>
                <wp:anchor distT="0" distB="0" distL="114300" distR="114300" simplePos="0" relativeHeight="251688960" behindDoc="0" locked="0" layoutInCell="1" allowOverlap="1">
                  <wp:simplePos x="0" y="0"/>
                  <wp:positionH relativeFrom="column">
                    <wp:posOffset>51435</wp:posOffset>
                  </wp:positionH>
                  <wp:positionV relativeFrom="paragraph">
                    <wp:posOffset>155575</wp:posOffset>
                  </wp:positionV>
                  <wp:extent cx="1132840" cy="1009650"/>
                  <wp:effectExtent l="0" t="0" r="10160" b="0"/>
                  <wp:wrapTopAndBottom/>
                  <wp:docPr id="48" name="图片 41" descr="176282858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1762828580428"/>
                          <pic:cNvPicPr>
                            <a:picLocks noChangeAspect="1"/>
                          </pic:cNvPicPr>
                        </pic:nvPicPr>
                        <pic:blipFill>
                          <a:blip r:embed="rId37"/>
                          <a:stretch>
                            <a:fillRect/>
                          </a:stretch>
                        </pic:blipFill>
                        <pic:spPr>
                          <a:xfrm>
                            <a:off x="0" y="0"/>
                            <a:ext cx="1132840" cy="1009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4</w:t>
            </w:r>
          </w:p>
        </w:tc>
        <w:tc>
          <w:tcPr>
            <w:tcW w:w="738" w:type="pct"/>
            <w:noWrap w:val="0"/>
            <w:vAlign w:val="center"/>
          </w:tcPr>
          <w:p>
            <w:pPr>
              <w:spacing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卡座</w:t>
            </w:r>
          </w:p>
          <w:p>
            <w:pPr>
              <w:spacing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矮书架</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9.规格：W4200*D1100*H800mm。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▲10.书架材质：采用不低于E0级的三聚氰胺饰面刨花板。采用PVC封边，厚度不小于1.5mm。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▲11.软包材质：优质超纤皮，采用PU高密度一次成型海绵，高回弹海绵，回弹性35~55%。</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▲12.内架：采用优质松木框架，经刨光、干燥、防虫、防潮处理，无结疤、裂纹、虫眼等，木材含水率8%-10%。</w:t>
            </w:r>
          </w:p>
        </w:tc>
        <w:tc>
          <w:tcPr>
            <w:tcW w:w="1191" w:type="pct"/>
            <w:noWrap w:val="0"/>
            <w:vAlign w:val="center"/>
          </w:tcPr>
          <w:p>
            <w:pPr>
              <w:ind w:left="-240" w:leftChars="-85" w:right="130"/>
              <w:jc w:val="center"/>
            </w:pPr>
            <w:r>
              <w:rPr>
                <w:szCs w:val="28"/>
              </w:rPr>
              <w:drawing>
                <wp:anchor distT="0" distB="0" distL="114300" distR="114300" simplePos="0" relativeHeight="251689984" behindDoc="0" locked="0" layoutInCell="1" allowOverlap="1">
                  <wp:simplePos x="0" y="0"/>
                  <wp:positionH relativeFrom="column">
                    <wp:posOffset>-24765</wp:posOffset>
                  </wp:positionH>
                  <wp:positionV relativeFrom="paragraph">
                    <wp:posOffset>607695</wp:posOffset>
                  </wp:positionV>
                  <wp:extent cx="1173480" cy="824865"/>
                  <wp:effectExtent l="0" t="0" r="7620" b="13335"/>
                  <wp:wrapTopAndBottom/>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38"/>
                          <a:stretch>
                            <a:fillRect/>
                          </a:stretch>
                        </pic:blipFill>
                        <pic:spPr>
                          <a:xfrm>
                            <a:off x="0" y="0"/>
                            <a:ext cx="1173480"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5</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通体双面书架</w:t>
            </w:r>
          </w:p>
        </w:tc>
        <w:tc>
          <w:tcPr>
            <w:tcW w:w="2727" w:type="pct"/>
            <w:noWrap w:val="0"/>
            <w:vAlign w:val="center"/>
          </w:tcPr>
          <w:p>
            <w:pPr>
              <w:numPr>
                <w:ilvl w:val="0"/>
                <w:numId w:val="5"/>
              </w:num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规格：</w:t>
            </w:r>
          </w:p>
          <w:p>
            <w:pPr>
              <w:numPr>
                <w:ilvl w:val="-1"/>
                <w:numId w:val="0"/>
              </w:num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①通体双面书架1</w:t>
            </w:r>
            <w:r>
              <w:rPr>
                <w:rFonts w:hint="eastAsia" w:ascii="仿宋" w:hAnsi="仿宋" w:eastAsia="仿宋" w:cs="仿宋"/>
                <w:sz w:val="24"/>
                <w:szCs w:val="24"/>
                <w:lang w:eastAsia="zh-CN"/>
              </w:rPr>
              <w:t>：</w:t>
            </w:r>
            <w:r>
              <w:rPr>
                <w:rFonts w:hint="eastAsia" w:ascii="仿宋" w:hAnsi="仿宋" w:eastAsia="仿宋" w:cs="仿宋"/>
                <w:sz w:val="24"/>
                <w:szCs w:val="24"/>
              </w:rPr>
              <w:t>W3420*D765*H2700mm；</w:t>
            </w:r>
          </w:p>
          <w:p>
            <w:pPr>
              <w:numPr>
                <w:ilvl w:val="0"/>
                <w:numId w:val="0"/>
              </w:num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②</w:t>
            </w:r>
            <w:r>
              <w:rPr>
                <w:rFonts w:hint="eastAsia" w:ascii="仿宋" w:hAnsi="仿宋" w:eastAsia="仿宋" w:cs="仿宋"/>
                <w:bCs w:val="0"/>
                <w:kern w:val="2"/>
                <w:sz w:val="24"/>
                <w:szCs w:val="24"/>
              </w:rPr>
              <w:t>通体双面书架2</w:t>
            </w:r>
            <w:r>
              <w:rPr>
                <w:rFonts w:hint="eastAsia" w:ascii="仿宋" w:hAnsi="仿宋" w:eastAsia="仿宋" w:cs="仿宋"/>
                <w:bCs w:val="0"/>
                <w:kern w:val="2"/>
                <w:sz w:val="24"/>
                <w:szCs w:val="24"/>
                <w:lang w:eastAsia="zh-CN"/>
              </w:rPr>
              <w:t>：</w:t>
            </w:r>
            <w:r>
              <w:rPr>
                <w:rFonts w:hint="eastAsia" w:ascii="仿宋" w:hAnsi="仿宋" w:eastAsia="仿宋" w:cs="仿宋"/>
                <w:sz w:val="24"/>
                <w:szCs w:val="24"/>
              </w:rPr>
              <w:t>W5220*D765*H2700mm</w:t>
            </w:r>
          </w:p>
          <w:p>
            <w:pPr>
              <w:widowControl/>
              <w:snapToGrid w:val="0"/>
              <w:spacing w:line="4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▲14.材质：采用不低于E0级的三聚氰胺饰面刨花板。采用PVC封边，厚度不小于1.5mm。</w:t>
            </w:r>
            <w:r>
              <w:rPr>
                <w:rFonts w:hint="eastAsia" w:ascii="仿宋" w:hAnsi="仿宋" w:eastAsia="仿宋" w:cs="仿宋"/>
                <w:color w:val="000000"/>
                <w:kern w:val="0"/>
                <w:sz w:val="24"/>
                <w:szCs w:val="24"/>
              </w:rPr>
              <w:t>层板、立板厚度≥30mm。</w:t>
            </w:r>
          </w:p>
        </w:tc>
        <w:tc>
          <w:tcPr>
            <w:tcW w:w="1191" w:type="pct"/>
            <w:noWrap w:val="0"/>
            <w:vAlign w:val="center"/>
          </w:tcPr>
          <w:p>
            <w:pPr>
              <w:ind w:left="-240" w:leftChars="-85" w:right="130"/>
              <w:jc w:val="center"/>
            </w:pPr>
            <w:r>
              <w:drawing>
                <wp:anchor distT="0" distB="0" distL="114300" distR="114300" simplePos="0" relativeHeight="251691008" behindDoc="0" locked="0" layoutInCell="1" allowOverlap="1">
                  <wp:simplePos x="0" y="0"/>
                  <wp:positionH relativeFrom="column">
                    <wp:posOffset>38100</wp:posOffset>
                  </wp:positionH>
                  <wp:positionV relativeFrom="paragraph">
                    <wp:posOffset>250825</wp:posOffset>
                  </wp:positionV>
                  <wp:extent cx="1085850" cy="829310"/>
                  <wp:effectExtent l="0" t="0" r="0" b="8890"/>
                  <wp:wrapTopAndBottom/>
                  <wp:docPr id="54" name="图片 43" descr="c279fd47-0357-4895-83e5-5e8828c81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descr="c279fd47-0357-4895-83e5-5e8828c815fe"/>
                          <pic:cNvPicPr>
                            <a:picLocks noChangeAspect="1"/>
                          </pic:cNvPicPr>
                        </pic:nvPicPr>
                        <pic:blipFill>
                          <a:blip r:embed="rId39"/>
                          <a:stretch>
                            <a:fillRect/>
                          </a:stretch>
                        </pic:blipFill>
                        <pic:spPr>
                          <a:xfrm>
                            <a:off x="0" y="0"/>
                            <a:ext cx="1085850" cy="829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6</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模块落地书柜</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15.规格：W760*D430*H820mm。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▲16.材质：采用不低于E0级的三聚氰胺饰面刨花板。采用PVC封边，厚度不小于1.5mm。</w:t>
            </w:r>
            <w:r>
              <w:rPr>
                <w:rFonts w:hint="eastAsia" w:ascii="仿宋" w:hAnsi="仿宋" w:eastAsia="仿宋" w:cs="仿宋"/>
                <w:color w:val="000000"/>
                <w:kern w:val="0"/>
                <w:sz w:val="24"/>
                <w:szCs w:val="24"/>
              </w:rPr>
              <w:t>层板、立板厚度≥30mm，</w:t>
            </w:r>
            <w:r>
              <w:rPr>
                <w:rFonts w:hint="eastAsia" w:ascii="仿宋" w:hAnsi="仿宋" w:eastAsia="仿宋" w:cs="仿宋"/>
                <w:sz w:val="24"/>
                <w:szCs w:val="24"/>
              </w:rPr>
              <w:t>黑胡桃</w:t>
            </w:r>
            <w:r>
              <w:rPr>
                <w:rFonts w:hint="eastAsia" w:ascii="仿宋" w:hAnsi="仿宋" w:eastAsia="仿宋" w:cs="仿宋"/>
                <w:color w:val="000000"/>
                <w:kern w:val="0"/>
                <w:sz w:val="24"/>
                <w:szCs w:val="24"/>
              </w:rPr>
              <w:t>色。</w:t>
            </w:r>
          </w:p>
        </w:tc>
        <w:tc>
          <w:tcPr>
            <w:tcW w:w="1191" w:type="pct"/>
            <w:noWrap w:val="0"/>
            <w:vAlign w:val="center"/>
          </w:tcPr>
          <w:p>
            <w:pPr>
              <w:ind w:left="-240" w:leftChars="-85" w:right="130"/>
              <w:jc w:val="center"/>
            </w:pPr>
            <w:r>
              <w:drawing>
                <wp:anchor distT="0" distB="0" distL="114300" distR="114300" simplePos="0" relativeHeight="251692032" behindDoc="0" locked="0" layoutInCell="1" allowOverlap="1">
                  <wp:simplePos x="0" y="0"/>
                  <wp:positionH relativeFrom="column">
                    <wp:posOffset>60960</wp:posOffset>
                  </wp:positionH>
                  <wp:positionV relativeFrom="paragraph">
                    <wp:posOffset>193675</wp:posOffset>
                  </wp:positionV>
                  <wp:extent cx="1117600" cy="629920"/>
                  <wp:effectExtent l="0" t="0" r="6350" b="17780"/>
                  <wp:wrapTopAndBottom/>
                  <wp:docPr id="55" name="图片 44" descr="176282205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1762822050939"/>
                          <pic:cNvPicPr>
                            <a:picLocks noChangeAspect="1"/>
                          </pic:cNvPicPr>
                        </pic:nvPicPr>
                        <pic:blipFill>
                          <a:blip r:embed="rId40"/>
                          <a:stretch>
                            <a:fillRect/>
                          </a:stretch>
                        </pic:blipFill>
                        <pic:spPr>
                          <a:xfrm>
                            <a:off x="0" y="0"/>
                            <a:ext cx="1117600" cy="6299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7</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定制新书展示台</w:t>
            </w:r>
          </w:p>
        </w:tc>
        <w:tc>
          <w:tcPr>
            <w:tcW w:w="2727" w:type="pct"/>
            <w:noWrap w:val="0"/>
            <w:vAlign w:val="center"/>
          </w:tcPr>
          <w:p>
            <w:pPr>
              <w:numPr>
                <w:ilvl w:val="0"/>
                <w:numId w:val="6"/>
              </w:numPr>
              <w:snapToGrid w:val="0"/>
              <w:spacing w:line="400" w:lineRule="exact"/>
              <w:jc w:val="both"/>
              <w:rPr>
                <w:rFonts w:hint="eastAsia" w:ascii="仿宋" w:hAnsi="仿宋" w:eastAsia="仿宋" w:cs="仿宋"/>
                <w:sz w:val="24"/>
                <w:szCs w:val="24"/>
                <w:lang w:bidi="ar"/>
              </w:rPr>
            </w:pPr>
            <w:r>
              <w:rPr>
                <w:rFonts w:hint="eastAsia" w:ascii="仿宋" w:hAnsi="仿宋" w:eastAsia="仿宋" w:cs="仿宋"/>
                <w:sz w:val="24"/>
                <w:szCs w:val="24"/>
                <w:lang w:bidi="ar"/>
              </w:rPr>
              <w:t>规格：</w:t>
            </w:r>
          </w:p>
          <w:p>
            <w:pPr>
              <w:numPr>
                <w:ilvl w:val="-1"/>
                <w:numId w:val="0"/>
              </w:num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lang w:bidi="ar"/>
              </w:rPr>
              <w:t>①定制新书展示台1</w:t>
            </w:r>
            <w:r>
              <w:rPr>
                <w:rFonts w:hint="eastAsia" w:ascii="仿宋" w:hAnsi="仿宋" w:eastAsia="仿宋" w:cs="仿宋"/>
                <w:sz w:val="24"/>
                <w:szCs w:val="24"/>
                <w:lang w:eastAsia="zh-CN" w:bidi="ar"/>
              </w:rPr>
              <w:t>：</w:t>
            </w:r>
            <w:r>
              <w:rPr>
                <w:rFonts w:hint="eastAsia" w:ascii="仿宋" w:hAnsi="仿宋" w:eastAsia="仿宋" w:cs="仿宋"/>
                <w:sz w:val="24"/>
                <w:szCs w:val="24"/>
                <w:lang w:bidi="ar"/>
              </w:rPr>
              <w:t>W2400*D1400*H1000mm；②定制新书展示台2</w:t>
            </w:r>
            <w:r>
              <w:rPr>
                <w:rFonts w:hint="eastAsia" w:ascii="仿宋" w:hAnsi="仿宋" w:eastAsia="仿宋" w:cs="仿宋"/>
                <w:sz w:val="24"/>
                <w:szCs w:val="24"/>
                <w:lang w:eastAsia="zh-CN" w:bidi="ar"/>
              </w:rPr>
              <w:t>：</w:t>
            </w:r>
            <w:r>
              <w:rPr>
                <w:rFonts w:hint="eastAsia" w:ascii="仿宋" w:hAnsi="仿宋" w:eastAsia="仿宋" w:cs="仿宋"/>
                <w:sz w:val="24"/>
                <w:szCs w:val="24"/>
                <w:lang w:bidi="ar"/>
              </w:rPr>
              <w:t>直径1500*H1200mm。</w:t>
            </w:r>
          </w:p>
          <w:p>
            <w:pPr>
              <w:jc w:val="both"/>
              <w:rPr>
                <w:rFonts w:hint="eastAsia" w:ascii="仿宋" w:hAnsi="仿宋" w:eastAsia="仿宋" w:cs="仿宋"/>
                <w:color w:val="000000"/>
                <w:kern w:val="0"/>
                <w:sz w:val="24"/>
                <w:szCs w:val="24"/>
                <w:lang w:bidi="ar"/>
              </w:rPr>
            </w:pPr>
            <w:r>
              <w:rPr>
                <w:rFonts w:hint="eastAsia" w:ascii="仿宋" w:hAnsi="仿宋" w:eastAsia="仿宋" w:cs="仿宋"/>
                <w:sz w:val="24"/>
                <w:szCs w:val="24"/>
              </w:rPr>
              <w:t>▲18</w:t>
            </w:r>
            <w:r>
              <w:rPr>
                <w:rFonts w:hint="eastAsia" w:ascii="仿宋" w:hAnsi="仿宋" w:eastAsia="仿宋" w:cs="仿宋"/>
                <w:color w:val="000000"/>
                <w:kern w:val="0"/>
                <w:sz w:val="24"/>
                <w:szCs w:val="24"/>
                <w:lang w:bidi="ar"/>
              </w:rPr>
              <w:t>.材质：</w:t>
            </w:r>
            <w:r>
              <w:rPr>
                <w:rFonts w:hint="eastAsia" w:ascii="仿宋" w:hAnsi="仿宋" w:eastAsia="仿宋" w:cs="仿宋"/>
                <w:sz w:val="24"/>
                <w:szCs w:val="24"/>
              </w:rPr>
              <w:t>采用不低于E0级的三聚氰胺饰面刨花板。采用PVC封边，厚度不小于1.5mm。</w:t>
            </w:r>
          </w:p>
        </w:tc>
        <w:tc>
          <w:tcPr>
            <w:tcW w:w="1191" w:type="pct"/>
            <w:noWrap w:val="0"/>
            <w:vAlign w:val="center"/>
          </w:tcPr>
          <w:p>
            <w:pPr>
              <w:ind w:left="-240" w:leftChars="-85" w:right="130"/>
              <w:jc w:val="center"/>
            </w:pPr>
            <w:r>
              <w:drawing>
                <wp:anchor distT="0" distB="0" distL="114300" distR="114300" simplePos="0" relativeHeight="251693056" behindDoc="0" locked="0" layoutInCell="1" allowOverlap="1">
                  <wp:simplePos x="0" y="0"/>
                  <wp:positionH relativeFrom="column">
                    <wp:posOffset>133350</wp:posOffset>
                  </wp:positionH>
                  <wp:positionV relativeFrom="paragraph">
                    <wp:posOffset>375285</wp:posOffset>
                  </wp:positionV>
                  <wp:extent cx="993140" cy="564515"/>
                  <wp:effectExtent l="0" t="0" r="16510" b="6985"/>
                  <wp:wrapTopAndBottom/>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41"/>
                          <a:stretch>
                            <a:fillRect/>
                          </a:stretch>
                        </pic:blipFill>
                        <pic:spPr>
                          <a:xfrm>
                            <a:off x="0" y="0"/>
                            <a:ext cx="993140" cy="564515"/>
                          </a:xfrm>
                          <a:prstGeom prst="rect">
                            <a:avLst/>
                          </a:prstGeom>
                          <a:noFill/>
                          <a:ln>
                            <a:noFill/>
                          </a:ln>
                        </pic:spPr>
                      </pic:pic>
                    </a:graphicData>
                  </a:graphic>
                </wp:anchor>
              </w:drawing>
            </w:r>
          </w:p>
          <w:p>
            <w:pPr>
              <w:pStyle w:val="7"/>
              <w:jc w:val="center"/>
              <w:rPr>
                <w:rFonts w:hint="eastAsia"/>
              </w:rPr>
            </w:pPr>
            <w:r>
              <w:drawing>
                <wp:inline distT="0" distB="0" distL="114300" distR="114300">
                  <wp:extent cx="994410" cy="723900"/>
                  <wp:effectExtent l="0" t="0" r="15240" b="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42"/>
                          <a:stretch>
                            <a:fillRect/>
                          </a:stretch>
                        </pic:blipFill>
                        <pic:spPr>
                          <a:xfrm>
                            <a:off x="0" y="0"/>
                            <a:ext cx="994410" cy="723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8</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定制</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展示柜</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19.规格：W3000*D450*H1050mm。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20.结构：下方为全封闭柜体，上方为玻璃材质。</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▲21.材质：下方柜体材质采用优质橡木实木，含水率8%-12%，符合GB/T 3324-2017实木家具标准，表面工艺采用环保水性优质漆面；上方采用5mm厚钢化清玻璃，透光率≥90%，无自爆风险，边缘倒角处理，防刮防磕碰；配备静音磁吸合页，柜体底部预留10cm防潮脚架；内置LED感应灯；层板承重≥30kg，防阻燃。</w:t>
            </w:r>
          </w:p>
        </w:tc>
        <w:tc>
          <w:tcPr>
            <w:tcW w:w="1191" w:type="pct"/>
            <w:noWrap w:val="0"/>
            <w:vAlign w:val="center"/>
          </w:tcPr>
          <w:p>
            <w:pPr>
              <w:ind w:left="-240" w:leftChars="-85" w:right="130"/>
              <w:jc w:val="center"/>
            </w:pPr>
            <w:r>
              <w:drawing>
                <wp:anchor distT="0" distB="0" distL="114300" distR="114300" simplePos="0" relativeHeight="251694080" behindDoc="0" locked="0" layoutInCell="1" allowOverlap="1">
                  <wp:simplePos x="0" y="0"/>
                  <wp:positionH relativeFrom="column">
                    <wp:posOffset>-9525</wp:posOffset>
                  </wp:positionH>
                  <wp:positionV relativeFrom="paragraph">
                    <wp:posOffset>129540</wp:posOffset>
                  </wp:positionV>
                  <wp:extent cx="1174750" cy="655320"/>
                  <wp:effectExtent l="0" t="0" r="6350" b="11430"/>
                  <wp:wrapTopAndBottom/>
                  <wp:docPr id="60" name="图片 47" descr="176274488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 descr="1762744882473"/>
                          <pic:cNvPicPr>
                            <a:picLocks noChangeAspect="1"/>
                          </pic:cNvPicPr>
                        </pic:nvPicPr>
                        <pic:blipFill>
                          <a:blip r:embed="rId43"/>
                          <a:stretch>
                            <a:fillRect/>
                          </a:stretch>
                        </pic:blipFill>
                        <pic:spPr>
                          <a:xfrm>
                            <a:off x="0" y="0"/>
                            <a:ext cx="1174750" cy="655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9</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定制-圆弧展柜</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22.规格:W1120*D720*H750mm。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23.结构：上方为展示架，下方为柜体。</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▲24.材质：下方柜体材质采用优质橡木实木，含水率8%-12%，符合GB/T 3324-2017实木家具标准，表面工艺采用环保水性优质漆面；柜体底部预留10cm防潮脚架。</w:t>
            </w:r>
          </w:p>
        </w:tc>
        <w:tc>
          <w:tcPr>
            <w:tcW w:w="1191" w:type="pct"/>
            <w:noWrap w:val="0"/>
            <w:vAlign w:val="center"/>
          </w:tcPr>
          <w:p>
            <w:pPr>
              <w:ind w:left="-240" w:leftChars="-85" w:right="130"/>
              <w:jc w:val="center"/>
            </w:pPr>
            <w:r>
              <w:drawing>
                <wp:anchor distT="0" distB="0" distL="114300" distR="114300" simplePos="0" relativeHeight="251695104" behindDoc="0" locked="0" layoutInCell="1" allowOverlap="1">
                  <wp:simplePos x="0" y="0"/>
                  <wp:positionH relativeFrom="column">
                    <wp:posOffset>32385</wp:posOffset>
                  </wp:positionH>
                  <wp:positionV relativeFrom="paragraph">
                    <wp:posOffset>284480</wp:posOffset>
                  </wp:positionV>
                  <wp:extent cx="1268730" cy="755650"/>
                  <wp:effectExtent l="0" t="0" r="7620" b="6350"/>
                  <wp:wrapTopAndBottom/>
                  <wp:docPr id="49" name="图片 48" descr="176274490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1762744904857"/>
                          <pic:cNvPicPr>
                            <a:picLocks noChangeAspect="1"/>
                          </pic:cNvPicPr>
                        </pic:nvPicPr>
                        <pic:blipFill>
                          <a:blip r:embed="rId44"/>
                          <a:stretch>
                            <a:fillRect/>
                          </a:stretch>
                        </pic:blipFill>
                        <pic:spPr>
                          <a:xfrm>
                            <a:off x="0" y="0"/>
                            <a:ext cx="1268730"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ascii="仿宋" w:hAnsi="仿宋" w:eastAsia="仿宋" w:cs="仿宋"/>
                <w:sz w:val="24"/>
                <w:szCs w:val="24"/>
              </w:rPr>
            </w:pPr>
            <w:r>
              <w:rPr>
                <w:rFonts w:hint="eastAsia" w:ascii="仿宋" w:hAnsi="仿宋" w:eastAsia="仿宋" w:cs="仿宋"/>
                <w:sz w:val="24"/>
                <w:szCs w:val="24"/>
              </w:rPr>
              <w:t>10</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储物柜</w:t>
            </w:r>
          </w:p>
        </w:tc>
        <w:tc>
          <w:tcPr>
            <w:tcW w:w="2727" w:type="pct"/>
            <w:noWrap w:val="0"/>
            <w:vAlign w:val="center"/>
          </w:tcPr>
          <w:p>
            <w:pPr>
              <w:snapToGrid w:val="0"/>
              <w:spacing w:line="400" w:lineRule="exact"/>
              <w:jc w:val="both"/>
              <w:rPr>
                <w:rFonts w:hint="eastAsia" w:ascii="仿宋" w:hAnsi="仿宋" w:eastAsia="仿宋" w:cs="仿宋"/>
                <w:sz w:val="24"/>
                <w:szCs w:val="24"/>
                <w:lang w:bidi="ar"/>
              </w:rPr>
            </w:pPr>
            <w:r>
              <w:rPr>
                <w:rFonts w:hint="eastAsia" w:ascii="仿宋" w:hAnsi="仿宋" w:eastAsia="仿宋" w:cs="仿宋"/>
                <w:sz w:val="24"/>
                <w:szCs w:val="24"/>
                <w:lang w:bidi="ar"/>
              </w:rPr>
              <w:t>25.规格：W800*D460*H1800mm。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▲26</w:t>
            </w:r>
            <w:r>
              <w:rPr>
                <w:rFonts w:hint="eastAsia" w:ascii="仿宋" w:hAnsi="仿宋" w:eastAsia="仿宋" w:cs="仿宋"/>
                <w:sz w:val="24"/>
                <w:szCs w:val="24"/>
                <w:lang w:bidi="ar"/>
              </w:rPr>
              <w:t>.钢材：采用优质一级冷轧钢板，钢板厚度≥1.2mm。表面经除油、除锈、磷化处理后，做喷塑涂饰。</w:t>
            </w:r>
          </w:p>
        </w:tc>
        <w:tc>
          <w:tcPr>
            <w:tcW w:w="1191" w:type="pct"/>
            <w:noWrap w:val="0"/>
            <w:vAlign w:val="center"/>
          </w:tcPr>
          <w:p>
            <w:pPr>
              <w:ind w:left="-240" w:leftChars="-85" w:right="130"/>
              <w:jc w:val="center"/>
            </w:pPr>
            <w:r>
              <w:drawing>
                <wp:anchor distT="0" distB="0" distL="114300" distR="114300" simplePos="0" relativeHeight="251696128" behindDoc="0" locked="0" layoutInCell="1" allowOverlap="1">
                  <wp:simplePos x="0" y="0"/>
                  <wp:positionH relativeFrom="column">
                    <wp:posOffset>222885</wp:posOffset>
                  </wp:positionH>
                  <wp:positionV relativeFrom="paragraph">
                    <wp:posOffset>79375</wp:posOffset>
                  </wp:positionV>
                  <wp:extent cx="792480" cy="1063625"/>
                  <wp:effectExtent l="0" t="0" r="7620" b="3175"/>
                  <wp:wrapTopAndBottom/>
                  <wp:docPr id="56" name="图片 49" descr="6b5e3bdf-7f6e-49b7-a282-1a7e007bb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descr="6b5e3bdf-7f6e-49b7-a282-1a7e007bbcbb"/>
                          <pic:cNvPicPr>
                            <a:picLocks noChangeAspect="1"/>
                          </pic:cNvPicPr>
                        </pic:nvPicPr>
                        <pic:blipFill>
                          <a:blip r:embed="rId45"/>
                          <a:stretch>
                            <a:fillRect/>
                          </a:stretch>
                        </pic:blipFill>
                        <pic:spPr>
                          <a:xfrm>
                            <a:off x="0" y="0"/>
                            <a:ext cx="792480" cy="1063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11</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双层平底</w:t>
            </w:r>
          </w:p>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书车</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27.规格：</w:t>
            </w:r>
            <w:r>
              <w:rPr>
                <w:rFonts w:hint="eastAsia" w:ascii="仿宋" w:hAnsi="仿宋" w:eastAsia="仿宋" w:cs="仿宋"/>
                <w:sz w:val="24"/>
                <w:szCs w:val="24"/>
              </w:rPr>
              <w:t>W800*D360*H900mm。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28.材质：钢件部分采用1.2mm厚一级冷轧板，钢质部分采用乳化剂和碱性助剂，磷酸除锈、锌系薄膜型磷化、钝化亚光热固性环氧聚酯粉末。各种配件安装牢固，结合处无崩茬或松动；涂层表面平整光滑，色泽均匀一致。滚轮采用高强度万向静音滑轮。</w:t>
            </w:r>
          </w:p>
        </w:tc>
        <w:tc>
          <w:tcPr>
            <w:tcW w:w="1191" w:type="pct"/>
            <w:noWrap w:val="0"/>
            <w:vAlign w:val="center"/>
          </w:tcPr>
          <w:p>
            <w:pPr>
              <w:ind w:left="-240" w:leftChars="-85" w:right="130"/>
              <w:jc w:val="center"/>
            </w:pPr>
            <w:r>
              <w:drawing>
                <wp:anchor distT="0" distB="0" distL="114300" distR="114300" simplePos="0" relativeHeight="251697152" behindDoc="0" locked="0" layoutInCell="1" allowOverlap="1">
                  <wp:simplePos x="0" y="0"/>
                  <wp:positionH relativeFrom="column">
                    <wp:posOffset>108585</wp:posOffset>
                  </wp:positionH>
                  <wp:positionV relativeFrom="paragraph">
                    <wp:posOffset>338455</wp:posOffset>
                  </wp:positionV>
                  <wp:extent cx="1029970" cy="1049655"/>
                  <wp:effectExtent l="0" t="0" r="17780" b="17145"/>
                  <wp:wrapTopAndBottom/>
                  <wp:docPr id="50" name="图片 50" descr="https://t15.baidu.com/it/u=3726418546,277368180&amp;fm=224&amp;app=112&amp;f=JPEG?w=50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s://t15.baidu.com/it/u=3726418546,277368180&amp;fm=224&amp;app=112&amp;f=JPEG?w=500&amp;h=500"/>
                          <pic:cNvPicPr>
                            <a:picLocks noChangeAspect="1"/>
                          </pic:cNvPicPr>
                        </pic:nvPicPr>
                        <pic:blipFill>
                          <a:blip r:embed="rId46"/>
                          <a:stretch>
                            <a:fillRect/>
                          </a:stretch>
                        </pic:blipFill>
                        <pic:spPr>
                          <a:xfrm>
                            <a:off x="0" y="0"/>
                            <a:ext cx="1029970" cy="1049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12</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书立</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29.规格：</w:t>
            </w:r>
            <w:bookmarkStart w:id="324" w:name="OLE_LINK25"/>
            <w:r>
              <w:rPr>
                <w:rFonts w:hint="eastAsia" w:ascii="仿宋" w:hAnsi="仿宋" w:eastAsia="仿宋" w:cs="仿宋"/>
                <w:sz w:val="24"/>
                <w:szCs w:val="24"/>
              </w:rPr>
              <w:t>W170*D138*H230mm</w:t>
            </w:r>
            <w:bookmarkEnd w:id="324"/>
            <w:r>
              <w:rPr>
                <w:rFonts w:hint="eastAsia" w:ascii="仿宋" w:hAnsi="仿宋" w:eastAsia="仿宋" w:cs="仿宋"/>
                <w:sz w:val="24"/>
                <w:szCs w:val="24"/>
              </w:rPr>
              <w:t>。</w:t>
            </w:r>
          </w:p>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▲30.材质：整体为T型结构。钢件部分采用1.2mm厚一级冷轧板，表面经乳化剂和碱性助剂，磷酸除锈、锌系薄膜型磷化、钝化，亚光热固性环氧聚酯粉末。</w:t>
            </w:r>
          </w:p>
        </w:tc>
        <w:tc>
          <w:tcPr>
            <w:tcW w:w="1191" w:type="pct"/>
            <w:noWrap w:val="0"/>
            <w:vAlign w:val="center"/>
          </w:tcPr>
          <w:p>
            <w:pPr>
              <w:ind w:left="-240" w:leftChars="-85" w:right="130"/>
              <w:jc w:val="center"/>
            </w:pPr>
            <w:r>
              <w:rPr>
                <w:rFonts w:ascii="宋体" w:hAnsi="等线" w:cs="等线"/>
                <w:sz w:val="24"/>
              </w:rPr>
              <w:drawing>
                <wp:anchor distT="0" distB="0" distL="114300" distR="114300" simplePos="0" relativeHeight="251698176" behindDoc="0" locked="0" layoutInCell="1" allowOverlap="1">
                  <wp:simplePos x="0" y="0"/>
                  <wp:positionH relativeFrom="column">
                    <wp:posOffset>213360</wp:posOffset>
                  </wp:positionH>
                  <wp:positionV relativeFrom="paragraph">
                    <wp:posOffset>193675</wp:posOffset>
                  </wp:positionV>
                  <wp:extent cx="776605" cy="644525"/>
                  <wp:effectExtent l="0" t="0" r="4445" b="3175"/>
                  <wp:wrapTopAndBottom/>
                  <wp:docPr id="51" name="图片 51" descr="172949250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29492505455"/>
                          <pic:cNvPicPr>
                            <a:picLocks noChangeAspect="1"/>
                          </pic:cNvPicPr>
                        </pic:nvPicPr>
                        <pic:blipFill>
                          <a:blip r:embed="rId47"/>
                          <a:stretch>
                            <a:fillRect/>
                          </a:stretch>
                        </pic:blipFill>
                        <pic:spPr>
                          <a:xfrm>
                            <a:off x="0" y="0"/>
                            <a:ext cx="776605" cy="644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13</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梯子</w:t>
            </w:r>
          </w:p>
        </w:tc>
        <w:tc>
          <w:tcPr>
            <w:tcW w:w="2727" w:type="pct"/>
            <w:noWrap w:val="0"/>
            <w:vAlign w:val="center"/>
          </w:tcPr>
          <w:p>
            <w:pPr>
              <w:snapToGrid w:val="0"/>
              <w:spacing w:line="400" w:lineRule="exact"/>
              <w:jc w:val="both"/>
              <w:rPr>
                <w:rFonts w:hint="eastAsia" w:ascii="仿宋" w:hAnsi="仿宋" w:eastAsia="仿宋" w:cs="仿宋"/>
                <w:kern w:val="0"/>
                <w:sz w:val="24"/>
                <w:szCs w:val="24"/>
              </w:rPr>
            </w:pPr>
            <w:r>
              <w:rPr>
                <w:rFonts w:hint="eastAsia" w:ascii="仿宋" w:hAnsi="仿宋" w:eastAsia="仿宋" w:cs="仿宋"/>
                <w:kern w:val="0"/>
                <w:sz w:val="24"/>
                <w:szCs w:val="24"/>
              </w:rPr>
              <w:t>31.规格：</w:t>
            </w:r>
            <w:r>
              <w:rPr>
                <w:rFonts w:hint="eastAsia" w:ascii="仿宋" w:hAnsi="仿宋" w:eastAsia="仿宋" w:cs="仿宋"/>
                <w:sz w:val="24"/>
                <w:szCs w:val="24"/>
                <w:lang w:bidi="ar"/>
              </w:rPr>
              <w:t>W1620*D600*H2500mm。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32.常规型承受力大于200kg。连接件喷涂牢固平整无锈蚀。</w:t>
            </w:r>
          </w:p>
        </w:tc>
        <w:tc>
          <w:tcPr>
            <w:tcW w:w="1191" w:type="pct"/>
            <w:noWrap w:val="0"/>
            <w:vAlign w:val="center"/>
          </w:tcPr>
          <w:p>
            <w:pPr>
              <w:ind w:left="-240" w:leftChars="-85" w:right="130"/>
              <w:jc w:val="both"/>
            </w:pPr>
            <w:r>
              <w:drawing>
                <wp:anchor distT="0" distB="0" distL="114300" distR="114300" simplePos="0" relativeHeight="251699200" behindDoc="0" locked="0" layoutInCell="1" allowOverlap="1">
                  <wp:simplePos x="0" y="0"/>
                  <wp:positionH relativeFrom="column">
                    <wp:posOffset>327660</wp:posOffset>
                  </wp:positionH>
                  <wp:positionV relativeFrom="paragraph">
                    <wp:posOffset>88900</wp:posOffset>
                  </wp:positionV>
                  <wp:extent cx="485140" cy="861060"/>
                  <wp:effectExtent l="0" t="0" r="10160" b="15240"/>
                  <wp:wrapTopAndBottom/>
                  <wp:docPr id="52" name="图片 52" descr="daf07426-40ac-4272-a3ba-c2b6a1c8a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af07426-40ac-4272-a3ba-c2b6a1c8a774"/>
                          <pic:cNvPicPr>
                            <a:picLocks noChangeAspect="1"/>
                          </pic:cNvPicPr>
                        </pic:nvPicPr>
                        <pic:blipFill>
                          <a:blip r:embed="rId48"/>
                          <a:stretch>
                            <a:fillRect/>
                          </a:stretch>
                        </pic:blipFill>
                        <pic:spPr>
                          <a:xfrm>
                            <a:off x="0" y="0"/>
                            <a:ext cx="485140" cy="8610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14</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专业展架</w:t>
            </w:r>
          </w:p>
        </w:tc>
        <w:tc>
          <w:tcPr>
            <w:tcW w:w="2727" w:type="pct"/>
            <w:noWrap w:val="0"/>
            <w:vAlign w:val="center"/>
          </w:tcPr>
          <w:p>
            <w:pPr>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33.规格：W1000*H2500mm。</w:t>
            </w:r>
          </w:p>
          <w:p>
            <w:pPr>
              <w:snapToGrid w:val="0"/>
              <w:spacing w:line="400" w:lineRule="exact"/>
              <w:jc w:val="both"/>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rPr>
              <w:t>34.材质：铝合金+挂画钩，白色，底部安装优质万向轮。</w:t>
            </w:r>
          </w:p>
        </w:tc>
        <w:tc>
          <w:tcPr>
            <w:tcW w:w="1191" w:type="pct"/>
            <w:noWrap w:val="0"/>
            <w:vAlign w:val="center"/>
          </w:tcPr>
          <w:p>
            <w:pPr>
              <w:ind w:left="-240" w:leftChars="-85" w:right="130"/>
              <w:jc w:val="both"/>
            </w:pPr>
            <w:r>
              <w:drawing>
                <wp:anchor distT="0" distB="0" distL="114300" distR="114300" simplePos="0" relativeHeight="251700224" behindDoc="0" locked="0" layoutInCell="1" allowOverlap="1">
                  <wp:simplePos x="0" y="0"/>
                  <wp:positionH relativeFrom="column">
                    <wp:posOffset>175260</wp:posOffset>
                  </wp:positionH>
                  <wp:positionV relativeFrom="paragraph">
                    <wp:posOffset>155575</wp:posOffset>
                  </wp:positionV>
                  <wp:extent cx="892175" cy="911225"/>
                  <wp:effectExtent l="0" t="0" r="3175" b="3175"/>
                  <wp:wrapTopAndBottom/>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49"/>
                          <a:stretch>
                            <a:fillRect/>
                          </a:stretch>
                        </pic:blipFill>
                        <pic:spPr>
                          <a:xfrm>
                            <a:off x="0" y="0"/>
                            <a:ext cx="892175" cy="911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15</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展示地台1</w:t>
            </w:r>
          </w:p>
        </w:tc>
        <w:tc>
          <w:tcPr>
            <w:tcW w:w="2727" w:type="pct"/>
            <w:noWrap w:val="0"/>
            <w:vAlign w:val="center"/>
          </w:tcPr>
          <w:p>
            <w:pPr>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35.规格：</w:t>
            </w:r>
            <w:bookmarkStart w:id="325" w:name="OLE_LINK27"/>
            <w:r>
              <w:rPr>
                <w:rFonts w:hint="eastAsia" w:ascii="仿宋" w:hAnsi="仿宋" w:eastAsia="仿宋" w:cs="仿宋"/>
                <w:color w:val="000000"/>
                <w:kern w:val="0"/>
                <w:sz w:val="24"/>
                <w:szCs w:val="24"/>
              </w:rPr>
              <w:t>W500*D500*H1000mm</w:t>
            </w:r>
            <w:bookmarkEnd w:id="325"/>
            <w:r>
              <w:rPr>
                <w:rFonts w:hint="eastAsia" w:ascii="仿宋" w:hAnsi="仿宋" w:eastAsia="仿宋" w:cs="仿宋"/>
                <w:color w:val="000000"/>
                <w:kern w:val="0"/>
                <w:sz w:val="24"/>
                <w:szCs w:val="24"/>
              </w:rPr>
              <w:t>。</w:t>
            </w:r>
          </w:p>
          <w:p>
            <w:pPr>
              <w:widowControl/>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36.材质：</w:t>
            </w:r>
            <w:r>
              <w:rPr>
                <w:rFonts w:hint="eastAsia" w:ascii="仿宋" w:hAnsi="仿宋" w:eastAsia="仿宋" w:cs="仿宋"/>
                <w:sz w:val="24"/>
                <w:szCs w:val="24"/>
              </w:rPr>
              <w:t>采用不低于E0级的</w:t>
            </w:r>
            <w:r>
              <w:rPr>
                <w:rFonts w:hint="eastAsia" w:ascii="仿宋" w:hAnsi="仿宋" w:eastAsia="仿宋" w:cs="仿宋"/>
                <w:color w:val="000000"/>
                <w:kern w:val="0"/>
                <w:sz w:val="24"/>
                <w:szCs w:val="24"/>
              </w:rPr>
              <w:t>刨花板，烤漆，白色。</w:t>
            </w:r>
          </w:p>
        </w:tc>
        <w:tc>
          <w:tcPr>
            <w:tcW w:w="1191" w:type="pct"/>
            <w:noWrap w:val="0"/>
            <w:vAlign w:val="center"/>
          </w:tcPr>
          <w:p>
            <w:pPr>
              <w:ind w:left="-240" w:leftChars="-85" w:right="130"/>
              <w:jc w:val="both"/>
            </w:pPr>
            <w:r>
              <w:drawing>
                <wp:anchor distT="0" distB="0" distL="114300" distR="114300" simplePos="0" relativeHeight="251701248" behindDoc="0" locked="0" layoutInCell="1" allowOverlap="1">
                  <wp:simplePos x="0" y="0"/>
                  <wp:positionH relativeFrom="column">
                    <wp:posOffset>146685</wp:posOffset>
                  </wp:positionH>
                  <wp:positionV relativeFrom="paragraph">
                    <wp:posOffset>155575</wp:posOffset>
                  </wp:positionV>
                  <wp:extent cx="880110" cy="826135"/>
                  <wp:effectExtent l="0" t="0" r="15240" b="12065"/>
                  <wp:wrapTopAndBottom/>
                  <wp:docPr id="58" name="图片 54" descr="17628218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descr="1762821810746"/>
                          <pic:cNvPicPr>
                            <a:picLocks noChangeAspect="1"/>
                          </pic:cNvPicPr>
                        </pic:nvPicPr>
                        <pic:blipFill>
                          <a:blip r:embed="rId50"/>
                          <a:stretch>
                            <a:fillRect/>
                          </a:stretch>
                        </pic:blipFill>
                        <pic:spPr>
                          <a:xfrm>
                            <a:off x="0" y="0"/>
                            <a:ext cx="880110" cy="826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16</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展示地台2</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37.规格：W500*D500*H800mm。</w:t>
            </w:r>
          </w:p>
          <w:p>
            <w:pPr>
              <w:widowControl/>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38.材质：</w:t>
            </w:r>
            <w:r>
              <w:rPr>
                <w:rFonts w:hint="eastAsia" w:ascii="仿宋" w:hAnsi="仿宋" w:eastAsia="仿宋" w:cs="仿宋"/>
                <w:sz w:val="24"/>
                <w:szCs w:val="24"/>
              </w:rPr>
              <w:t>采用不低于E0级的</w:t>
            </w:r>
            <w:r>
              <w:rPr>
                <w:rFonts w:hint="eastAsia" w:ascii="仿宋" w:hAnsi="仿宋" w:eastAsia="仿宋" w:cs="仿宋"/>
                <w:color w:val="000000"/>
                <w:kern w:val="0"/>
                <w:sz w:val="24"/>
                <w:szCs w:val="24"/>
              </w:rPr>
              <w:t>刨花板，烤漆，白色。</w:t>
            </w:r>
          </w:p>
        </w:tc>
        <w:tc>
          <w:tcPr>
            <w:tcW w:w="1191" w:type="pct"/>
            <w:noWrap w:val="0"/>
            <w:vAlign w:val="center"/>
          </w:tcPr>
          <w:p>
            <w:pPr>
              <w:ind w:left="-240" w:leftChars="-85" w:right="130"/>
              <w:jc w:val="both"/>
            </w:pPr>
            <w:r>
              <w:drawing>
                <wp:anchor distT="0" distB="0" distL="114300" distR="114300" simplePos="0" relativeHeight="251702272" behindDoc="0" locked="0" layoutInCell="1" allowOverlap="1">
                  <wp:simplePos x="0" y="0"/>
                  <wp:positionH relativeFrom="column">
                    <wp:posOffset>194310</wp:posOffset>
                  </wp:positionH>
                  <wp:positionV relativeFrom="paragraph">
                    <wp:posOffset>241300</wp:posOffset>
                  </wp:positionV>
                  <wp:extent cx="833755" cy="783590"/>
                  <wp:effectExtent l="0" t="0" r="4445" b="16510"/>
                  <wp:wrapTopAndBottom/>
                  <wp:docPr id="59" name="图片 55" descr="17628218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5" descr="1762821810746"/>
                          <pic:cNvPicPr>
                            <a:picLocks noChangeAspect="1"/>
                          </pic:cNvPicPr>
                        </pic:nvPicPr>
                        <pic:blipFill>
                          <a:blip r:embed="rId50"/>
                          <a:stretch>
                            <a:fillRect/>
                          </a:stretch>
                        </pic:blipFill>
                        <pic:spPr>
                          <a:xfrm>
                            <a:off x="0" y="0"/>
                            <a:ext cx="833755" cy="783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42" w:type="pct"/>
            <w:noWrap w:val="0"/>
            <w:vAlign w:val="center"/>
          </w:tcPr>
          <w:p>
            <w:pPr>
              <w:spacing w:line="280" w:lineRule="exact"/>
              <w:jc w:val="center"/>
              <w:rPr>
                <w:rFonts w:hint="eastAsia" w:ascii="仿宋" w:hAnsi="仿宋" w:eastAsia="仿宋" w:cs="仿宋"/>
                <w:sz w:val="24"/>
                <w:szCs w:val="24"/>
              </w:rPr>
            </w:pPr>
            <w:r>
              <w:rPr>
                <w:rFonts w:hint="eastAsia" w:ascii="仿宋" w:hAnsi="仿宋" w:eastAsia="仿宋" w:cs="仿宋"/>
                <w:sz w:val="24"/>
                <w:szCs w:val="24"/>
              </w:rPr>
              <w:t>17</w:t>
            </w:r>
          </w:p>
        </w:tc>
        <w:tc>
          <w:tcPr>
            <w:tcW w:w="738" w:type="pct"/>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展示地台3</w:t>
            </w:r>
          </w:p>
        </w:tc>
        <w:tc>
          <w:tcPr>
            <w:tcW w:w="2727" w:type="pct"/>
            <w:noWrap w:val="0"/>
            <w:vAlign w:val="center"/>
          </w:tcPr>
          <w:p>
            <w:pPr>
              <w:snapToGrid w:val="0"/>
              <w:spacing w:line="400" w:lineRule="exact"/>
              <w:jc w:val="both"/>
              <w:rPr>
                <w:rFonts w:hint="eastAsia" w:ascii="仿宋" w:hAnsi="仿宋" w:eastAsia="仿宋" w:cs="仿宋"/>
                <w:sz w:val="24"/>
                <w:szCs w:val="24"/>
              </w:rPr>
            </w:pPr>
            <w:r>
              <w:rPr>
                <w:rFonts w:hint="eastAsia" w:ascii="仿宋" w:hAnsi="仿宋" w:eastAsia="仿宋" w:cs="仿宋"/>
                <w:sz w:val="24"/>
                <w:szCs w:val="24"/>
              </w:rPr>
              <w:t>39.规格：W500*D500*H600mm。</w:t>
            </w:r>
          </w:p>
          <w:p>
            <w:pPr>
              <w:snapToGrid w:val="0"/>
              <w:spacing w:line="40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rPr>
              <w:t>40.材质：</w:t>
            </w:r>
            <w:r>
              <w:rPr>
                <w:rFonts w:hint="eastAsia" w:ascii="仿宋" w:hAnsi="仿宋" w:eastAsia="仿宋" w:cs="仿宋"/>
                <w:sz w:val="24"/>
                <w:szCs w:val="24"/>
              </w:rPr>
              <w:t>采用不低于E0级的</w:t>
            </w:r>
            <w:r>
              <w:rPr>
                <w:rFonts w:hint="eastAsia" w:ascii="仿宋" w:hAnsi="仿宋" w:eastAsia="仿宋" w:cs="仿宋"/>
                <w:color w:val="000000"/>
                <w:kern w:val="0"/>
                <w:sz w:val="24"/>
                <w:szCs w:val="24"/>
              </w:rPr>
              <w:t>刨花板，烤漆，白色。</w:t>
            </w:r>
          </w:p>
        </w:tc>
        <w:tc>
          <w:tcPr>
            <w:tcW w:w="1191" w:type="pct"/>
            <w:noWrap w:val="0"/>
            <w:vAlign w:val="center"/>
          </w:tcPr>
          <w:p>
            <w:pPr>
              <w:ind w:left="-240" w:leftChars="-85" w:right="130"/>
              <w:jc w:val="both"/>
            </w:pPr>
            <w:r>
              <w:drawing>
                <wp:anchor distT="0" distB="0" distL="114300" distR="114300" simplePos="0" relativeHeight="251703296" behindDoc="0" locked="0" layoutInCell="1" allowOverlap="1">
                  <wp:simplePos x="0" y="0"/>
                  <wp:positionH relativeFrom="column">
                    <wp:posOffset>185420</wp:posOffset>
                  </wp:positionH>
                  <wp:positionV relativeFrom="paragraph">
                    <wp:posOffset>212725</wp:posOffset>
                  </wp:positionV>
                  <wp:extent cx="880745" cy="827405"/>
                  <wp:effectExtent l="0" t="0" r="14605" b="10795"/>
                  <wp:wrapTopAndBottom/>
                  <wp:docPr id="61" name="图片 56" descr="17628218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descr="1762821810746"/>
                          <pic:cNvPicPr>
                            <a:picLocks noChangeAspect="1"/>
                          </pic:cNvPicPr>
                        </pic:nvPicPr>
                        <pic:blipFill>
                          <a:blip r:embed="rId50"/>
                          <a:stretch>
                            <a:fillRect/>
                          </a:stretch>
                        </pic:blipFill>
                        <pic:spPr>
                          <a:xfrm>
                            <a:off x="0" y="0"/>
                            <a:ext cx="880745" cy="827405"/>
                          </a:xfrm>
                          <a:prstGeom prst="rect">
                            <a:avLst/>
                          </a:prstGeom>
                          <a:noFill/>
                          <a:ln>
                            <a:noFill/>
                          </a:ln>
                        </pic:spPr>
                      </pic:pic>
                    </a:graphicData>
                  </a:graphic>
                </wp:anchor>
              </w:drawing>
            </w:r>
          </w:p>
        </w:tc>
      </w:tr>
    </w:tbl>
    <w:p>
      <w:pPr>
        <w:pStyle w:val="1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66" w:firstLineChars="200"/>
        <w:jc w:val="both"/>
        <w:outlineLvl w:val="1"/>
        <w:rPr>
          <w:rFonts w:hint="eastAsia" w:ascii="仿宋" w:hAnsi="仿宋" w:eastAsia="仿宋" w:cs="仿宋"/>
          <w:b/>
          <w:bCs/>
          <w:sz w:val="28"/>
          <w:szCs w:val="28"/>
          <w:highlight w:val="none"/>
        </w:rPr>
      </w:pPr>
      <w:r>
        <w:rPr>
          <w:rFonts w:hint="eastAsia" w:ascii="仿宋" w:hAnsi="仿宋" w:eastAsia="仿宋" w:cs="仿宋"/>
          <w:sz w:val="28"/>
          <w:szCs w:val="28"/>
          <w:highlight w:val="none"/>
        </w:rPr>
        <w:t>▲</w:t>
      </w:r>
      <w:r>
        <w:rPr>
          <w:rFonts w:hint="eastAsia" w:ascii="仿宋" w:hAnsi="仿宋" w:eastAsia="仿宋" w:cs="仿宋"/>
          <w:b/>
          <w:bCs/>
          <w:sz w:val="28"/>
          <w:szCs w:val="28"/>
          <w:highlight w:val="none"/>
        </w:rPr>
        <w:t>三、样品要求</w:t>
      </w:r>
    </w:p>
    <w:p>
      <w:pPr>
        <w:adjustRightInd w:val="0"/>
        <w:snapToGrid w:val="0"/>
        <w:spacing w:line="500" w:lineRule="exact"/>
        <w:ind w:firstLine="566" w:firstLineChars="200"/>
        <w:jc w:val="center"/>
        <w:outlineLvl w:val="2"/>
        <w:rPr>
          <w:rFonts w:ascii="仿宋" w:hAnsi="仿宋" w:eastAsia="仿宋" w:cs="仿宋"/>
          <w:b/>
          <w:kern w:val="0"/>
        </w:rPr>
      </w:pPr>
      <w:r>
        <w:rPr>
          <w:rFonts w:hint="eastAsia" w:ascii="仿宋" w:hAnsi="仿宋" w:eastAsia="仿宋" w:cs="仿宋"/>
          <w:b/>
          <w:bCs/>
          <w:kern w:val="0"/>
        </w:rPr>
        <w:t>第一标段</w:t>
      </w:r>
    </w:p>
    <w:tbl>
      <w:tblPr>
        <w:tblStyle w:val="19"/>
        <w:tblW w:w="8583" w:type="dxa"/>
        <w:jc w:val="center"/>
        <w:tblLayout w:type="fixed"/>
        <w:tblCellMar>
          <w:top w:w="0" w:type="dxa"/>
          <w:left w:w="108" w:type="dxa"/>
          <w:bottom w:w="0" w:type="dxa"/>
          <w:right w:w="108" w:type="dxa"/>
        </w:tblCellMar>
      </w:tblPr>
      <w:tblGrid>
        <w:gridCol w:w="770"/>
        <w:gridCol w:w="1955"/>
        <w:gridCol w:w="1746"/>
        <w:gridCol w:w="3212"/>
        <w:gridCol w:w="900"/>
      </w:tblGrid>
      <w:tr>
        <w:tblPrEx>
          <w:tblCellMar>
            <w:top w:w="0" w:type="dxa"/>
            <w:left w:w="108" w:type="dxa"/>
            <w:bottom w:w="0" w:type="dxa"/>
            <w:right w:w="108" w:type="dxa"/>
          </w:tblCellMar>
        </w:tblPrEx>
        <w:trPr>
          <w:trHeight w:val="621"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b/>
                <w:bCs/>
                <w:sz w:val="24"/>
                <w:szCs w:val="24"/>
              </w:rPr>
            </w:pPr>
            <w:r>
              <w:rPr>
                <w:rFonts w:hint="eastAsia" w:ascii="仿宋" w:hAnsi="仿宋" w:eastAsia="仿宋" w:cs="仿宋"/>
                <w:b/>
                <w:bCs/>
                <w:sz w:val="24"/>
                <w:szCs w:val="24"/>
                <w:lang w:bidi="ar"/>
              </w:rPr>
              <w:t>序号</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b/>
                <w:bCs/>
                <w:sz w:val="24"/>
                <w:szCs w:val="24"/>
              </w:rPr>
            </w:pPr>
            <w:r>
              <w:rPr>
                <w:rFonts w:hint="eastAsia" w:ascii="仿宋" w:hAnsi="仿宋" w:eastAsia="仿宋" w:cs="仿宋"/>
                <w:b/>
                <w:bCs/>
                <w:sz w:val="24"/>
                <w:szCs w:val="24"/>
              </w:rPr>
              <w:t>货物名称</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b/>
                <w:bCs/>
                <w:sz w:val="24"/>
                <w:szCs w:val="24"/>
              </w:rPr>
            </w:pPr>
            <w:r>
              <w:rPr>
                <w:rFonts w:hint="eastAsia" w:ascii="仿宋" w:hAnsi="仿宋" w:eastAsia="仿宋" w:cs="仿宋"/>
                <w:b/>
                <w:bCs/>
                <w:sz w:val="24"/>
                <w:szCs w:val="24"/>
              </w:rPr>
              <w:t>样品名称</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b/>
                <w:bCs/>
                <w:sz w:val="24"/>
                <w:szCs w:val="24"/>
                <w:lang w:bidi="ar"/>
              </w:rPr>
            </w:pPr>
            <w:r>
              <w:rPr>
                <w:rFonts w:hint="eastAsia" w:ascii="仿宋" w:hAnsi="仿宋" w:eastAsia="仿宋" w:cs="仿宋"/>
                <w:b/>
                <w:bCs/>
                <w:sz w:val="24"/>
                <w:szCs w:val="24"/>
              </w:rPr>
              <w:t>规格尺寸</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b/>
                <w:bCs/>
                <w:sz w:val="24"/>
                <w:szCs w:val="24"/>
                <w:lang w:bidi="ar"/>
              </w:rPr>
            </w:pPr>
            <w:r>
              <w:rPr>
                <w:rFonts w:hint="eastAsia" w:ascii="仿宋" w:hAnsi="仿宋" w:eastAsia="仿宋" w:cs="仿宋"/>
                <w:b/>
                <w:bCs/>
                <w:sz w:val="24"/>
                <w:szCs w:val="24"/>
              </w:rPr>
              <w:t>数量</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ascii="仿宋" w:hAnsi="仿宋" w:eastAsia="仿宋" w:cs="仿宋"/>
                <w:sz w:val="24"/>
                <w:szCs w:val="24"/>
              </w:rPr>
            </w:pPr>
            <w:r>
              <w:rPr>
                <w:rFonts w:hint="eastAsia" w:ascii="仿宋" w:hAnsi="仿宋" w:eastAsia="仿宋" w:cs="仿宋"/>
                <w:sz w:val="24"/>
                <w:szCs w:val="24"/>
                <w:lang w:bidi="ar"/>
              </w:rPr>
              <w:t>1</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4人桌</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面材</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jc w:val="center"/>
              <w:rPr>
                <w:rFonts w:hint="eastAsia" w:ascii="仿宋" w:hAnsi="仿宋" w:eastAsia="仿宋" w:cs="仿宋"/>
                <w:sz w:val="24"/>
              </w:rPr>
            </w:pPr>
            <w:r>
              <w:rPr>
                <w:rFonts w:hint="eastAsia" w:ascii="仿宋" w:hAnsi="仿宋" w:eastAsia="仿宋" w:cs="仿宋"/>
                <w:sz w:val="24"/>
              </w:rPr>
              <w:t>200mm*200mm</w:t>
            </w:r>
          </w:p>
          <w:p>
            <w:pPr>
              <w:snapToGrid w:val="0"/>
              <w:spacing w:line="400" w:lineRule="exact"/>
              <w:jc w:val="center"/>
              <w:rPr>
                <w:rFonts w:hint="eastAsia" w:ascii="仿宋" w:hAnsi="仿宋" w:eastAsia="仿宋" w:cs="仿宋"/>
                <w:color w:val="FF0000"/>
              </w:rPr>
            </w:pPr>
            <w:r>
              <w:rPr>
                <w:rFonts w:hint="eastAsia" w:ascii="仿宋" w:hAnsi="仿宋" w:eastAsia="仿宋" w:cs="仿宋"/>
                <w:sz w:val="24"/>
              </w:rPr>
              <w:t>（三边封边，留一边不封边）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仿宋" w:hAnsi="仿宋" w:eastAsia="仿宋" w:cs="仿宋"/>
                <w:sz w:val="24"/>
                <w:szCs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ascii="仿宋" w:hAnsi="仿宋" w:eastAsia="仿宋" w:cs="仿宋"/>
                <w:sz w:val="24"/>
                <w:szCs w:val="24"/>
              </w:rPr>
            </w:pPr>
            <w:r>
              <w:rPr>
                <w:rFonts w:hint="eastAsia" w:ascii="仿宋" w:hAnsi="仿宋" w:eastAsia="仿宋" w:cs="仿宋"/>
                <w:sz w:val="24"/>
                <w:szCs w:val="24"/>
                <w:lang w:bidi="ar"/>
              </w:rPr>
              <w:t>2</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4人桌</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挡板框架</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16" w:leftChars="6"/>
              <w:jc w:val="center"/>
              <w:rPr>
                <w:rFonts w:hint="eastAsia" w:ascii="仿宋" w:hAnsi="仿宋" w:eastAsia="仿宋" w:cs="仿宋"/>
              </w:rPr>
            </w:pPr>
            <w:r>
              <w:rPr>
                <w:rFonts w:hint="eastAsia" w:ascii="仿宋" w:hAnsi="仿宋" w:eastAsia="仿宋" w:cs="仿宋"/>
                <w:sz w:val="24"/>
              </w:rPr>
              <w:t>长</w:t>
            </w:r>
            <w:r>
              <w:rPr>
                <w:rFonts w:ascii="仿宋" w:hAnsi="仿宋" w:eastAsia="仿宋" w:cs="仿宋"/>
                <w:sz w:val="24"/>
              </w:rPr>
              <w:t>200mm</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仿宋" w:hAnsi="仿宋" w:eastAsia="仿宋" w:cs="仿宋"/>
                <w:sz w:val="24"/>
                <w:szCs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ascii="仿宋" w:hAnsi="仿宋" w:eastAsia="仿宋" w:cs="仿宋"/>
                <w:sz w:val="24"/>
                <w:szCs w:val="24"/>
              </w:rPr>
            </w:pPr>
            <w:r>
              <w:rPr>
                <w:rFonts w:hint="eastAsia" w:ascii="仿宋" w:hAnsi="仿宋" w:eastAsia="仿宋" w:cs="仿宋"/>
                <w:sz w:val="24"/>
                <w:szCs w:val="24"/>
                <w:lang w:bidi="ar"/>
              </w:rPr>
              <w:t>3</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4人桌</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钢化磨砂玻璃</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lang w:bidi="ar"/>
              </w:rPr>
            </w:pPr>
            <w:r>
              <w:rPr>
                <w:rFonts w:ascii="仿宋" w:hAnsi="仿宋" w:eastAsia="仿宋" w:cs="仿宋"/>
                <w:sz w:val="24"/>
              </w:rPr>
              <w:t>200mm*200mm</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仿宋" w:hAnsi="仿宋" w:eastAsia="仿宋" w:cs="仿宋"/>
                <w:sz w:val="24"/>
                <w:szCs w:val="24"/>
                <w:lang w:bidi="ar"/>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ascii="仿宋" w:hAnsi="仿宋" w:eastAsia="仿宋" w:cs="仿宋"/>
                <w:sz w:val="24"/>
                <w:szCs w:val="24"/>
              </w:rPr>
            </w:pPr>
            <w:r>
              <w:rPr>
                <w:rFonts w:hint="eastAsia" w:ascii="仿宋" w:hAnsi="仿宋" w:eastAsia="仿宋" w:cs="仿宋"/>
                <w:sz w:val="24"/>
                <w:szCs w:val="24"/>
                <w:lang w:bidi="ar"/>
              </w:rPr>
              <w:t>4</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lang w:bidi="ar"/>
              </w:rPr>
            </w:pPr>
            <w:r>
              <w:rPr>
                <w:rFonts w:hint="eastAsia" w:ascii="仿宋" w:hAnsi="仿宋" w:eastAsia="仿宋" w:cs="仿宋"/>
                <w:sz w:val="24"/>
                <w:szCs w:val="24"/>
                <w:lang w:bidi="ar"/>
              </w:rPr>
              <w:t>折叠桌</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color w:val="FF0000"/>
                <w:sz w:val="24"/>
                <w:szCs w:val="24"/>
                <w:lang w:bidi="ar"/>
              </w:rPr>
            </w:pPr>
            <w:r>
              <w:rPr>
                <w:rFonts w:hint="eastAsia" w:ascii="仿宋" w:hAnsi="仿宋" w:eastAsia="仿宋" w:cs="仿宋"/>
                <w:sz w:val="24"/>
                <w:szCs w:val="24"/>
              </w:rPr>
              <w:t>面材</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jc w:val="center"/>
              <w:rPr>
                <w:rFonts w:hint="eastAsia" w:ascii="仿宋" w:hAnsi="仿宋" w:eastAsia="仿宋" w:cs="仿宋"/>
                <w:sz w:val="24"/>
              </w:rPr>
            </w:pPr>
            <w:r>
              <w:rPr>
                <w:rFonts w:hint="eastAsia" w:ascii="仿宋" w:hAnsi="仿宋" w:eastAsia="仿宋" w:cs="仿宋"/>
                <w:sz w:val="24"/>
              </w:rPr>
              <w:t>200mm*200mm</w:t>
            </w:r>
          </w:p>
          <w:p>
            <w:pPr>
              <w:snapToGrid w:val="0"/>
              <w:spacing w:line="400" w:lineRule="exact"/>
              <w:jc w:val="center"/>
              <w:rPr>
                <w:rFonts w:hint="eastAsia" w:ascii="仿宋" w:hAnsi="仿宋" w:eastAsia="仿宋" w:cs="仿宋"/>
              </w:rPr>
            </w:pPr>
            <w:r>
              <w:rPr>
                <w:rFonts w:hint="eastAsia" w:ascii="仿宋" w:hAnsi="仿宋" w:eastAsia="仿宋" w:cs="仿宋"/>
                <w:sz w:val="24"/>
              </w:rPr>
              <w:t>（三边封边，留一边不封边）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仿宋" w:hAnsi="仿宋" w:eastAsia="仿宋" w:cs="仿宋"/>
                <w:sz w:val="24"/>
                <w:szCs w:val="24"/>
                <w:lang w:bidi="ar"/>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ascii="仿宋" w:hAnsi="仿宋" w:eastAsia="仿宋" w:cs="仿宋"/>
                <w:sz w:val="24"/>
                <w:szCs w:val="24"/>
                <w:lang w:bidi="ar"/>
              </w:rPr>
            </w:pPr>
            <w:r>
              <w:rPr>
                <w:rFonts w:hint="eastAsia" w:ascii="仿宋" w:hAnsi="仿宋" w:eastAsia="仿宋" w:cs="仿宋"/>
                <w:sz w:val="24"/>
                <w:szCs w:val="24"/>
                <w:lang w:bidi="ar"/>
              </w:rPr>
              <w:t>5</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lang w:bidi="ar"/>
              </w:rPr>
            </w:pPr>
            <w:r>
              <w:rPr>
                <w:rFonts w:hint="eastAsia" w:ascii="仿宋" w:hAnsi="仿宋" w:eastAsia="仿宋" w:cs="仿宋"/>
                <w:sz w:val="24"/>
                <w:szCs w:val="24"/>
                <w:lang w:bidi="ar"/>
              </w:rPr>
              <w:t>折叠桌</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钢架</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长</w:t>
            </w:r>
            <w:r>
              <w:rPr>
                <w:rFonts w:ascii="仿宋" w:hAnsi="仿宋" w:eastAsia="仿宋" w:cs="仿宋"/>
                <w:sz w:val="24"/>
              </w:rPr>
              <w:t>200mm</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1个</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ascii="仿宋" w:hAnsi="仿宋" w:eastAsia="仿宋" w:cs="仿宋"/>
                <w:sz w:val="24"/>
                <w:szCs w:val="24"/>
                <w:lang w:bidi="ar"/>
              </w:rPr>
            </w:pPr>
            <w:r>
              <w:rPr>
                <w:rFonts w:hint="eastAsia" w:ascii="仿宋" w:hAnsi="仿宋" w:eastAsia="仿宋" w:cs="仿宋"/>
                <w:sz w:val="24"/>
                <w:szCs w:val="24"/>
                <w:lang w:bidi="ar"/>
              </w:rPr>
              <w:t>6</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lang w:bidi="ar"/>
              </w:rPr>
            </w:pPr>
            <w:r>
              <w:rPr>
                <w:rFonts w:hint="eastAsia" w:ascii="仿宋" w:hAnsi="仿宋" w:eastAsia="仿宋" w:cs="仿宋"/>
                <w:sz w:val="24"/>
                <w:szCs w:val="24"/>
                <w:lang w:bidi="ar"/>
              </w:rPr>
              <w:t>六</w:t>
            </w:r>
            <w:r>
              <w:rPr>
                <w:rFonts w:ascii="仿宋" w:hAnsi="仿宋" w:eastAsia="仿宋" w:cs="仿宋"/>
                <w:sz w:val="24"/>
                <w:szCs w:val="24"/>
                <w:lang w:bidi="ar"/>
              </w:rPr>
              <w:t>人位</w:t>
            </w:r>
            <w:r>
              <w:rPr>
                <w:rFonts w:hint="eastAsia" w:ascii="仿宋" w:hAnsi="仿宋" w:eastAsia="仿宋" w:cs="仿宋"/>
                <w:sz w:val="24"/>
                <w:szCs w:val="24"/>
                <w:lang w:bidi="ar"/>
              </w:rPr>
              <w:t>六边形桌</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lang w:bidi="ar"/>
              </w:rPr>
              <w:t>桌架桌脚</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长</w:t>
            </w:r>
            <w:r>
              <w:rPr>
                <w:rFonts w:ascii="仿宋" w:hAnsi="仿宋" w:eastAsia="仿宋" w:cs="仿宋"/>
                <w:sz w:val="24"/>
              </w:rPr>
              <w:t>200mm</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仿宋" w:hAnsi="仿宋" w:eastAsia="仿宋" w:cs="仿宋"/>
                <w:sz w:val="24"/>
              </w:rPr>
            </w:pPr>
            <w:r>
              <w:rPr>
                <w:rFonts w:hint="eastAsia" w:ascii="仿宋" w:hAnsi="仿宋" w:eastAsia="仿宋" w:cs="仿宋"/>
                <w:sz w:val="24"/>
              </w:rPr>
              <w:t>1个</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hint="eastAsia" w:ascii="仿宋" w:hAnsi="仿宋" w:eastAsia="仿宋" w:cs="仿宋"/>
                <w:sz w:val="24"/>
                <w:szCs w:val="24"/>
                <w:lang w:bidi="ar"/>
              </w:rPr>
            </w:pPr>
            <w:r>
              <w:rPr>
                <w:rFonts w:hint="eastAsia" w:ascii="仿宋" w:hAnsi="仿宋" w:eastAsia="仿宋" w:cs="仿宋"/>
                <w:sz w:val="24"/>
                <w:szCs w:val="24"/>
                <w:lang w:bidi="ar"/>
              </w:rPr>
              <w:t>7</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lang w:bidi="ar"/>
              </w:rPr>
            </w:pPr>
            <w:r>
              <w:rPr>
                <w:rFonts w:hint="eastAsia" w:ascii="仿宋" w:hAnsi="仿宋" w:eastAsia="仿宋" w:cs="仿宋"/>
                <w:sz w:val="24"/>
                <w:szCs w:val="24"/>
                <w:lang w:bidi="ar"/>
              </w:rPr>
              <w:t>实木阅览椅</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超纤皮</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ascii="仿宋" w:hAnsi="仿宋" w:eastAsia="仿宋" w:cs="仿宋"/>
                <w:sz w:val="24"/>
              </w:rPr>
              <w:t>200mm*200mm</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7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ottom"/>
              <w:rPr>
                <w:rFonts w:hint="eastAsia" w:ascii="仿宋" w:hAnsi="仿宋" w:eastAsia="仿宋" w:cs="仿宋"/>
                <w:sz w:val="24"/>
                <w:szCs w:val="24"/>
                <w:lang w:bidi="ar"/>
              </w:rPr>
            </w:pPr>
            <w:r>
              <w:rPr>
                <w:rFonts w:hint="eastAsia" w:ascii="仿宋" w:hAnsi="仿宋" w:eastAsia="仿宋" w:cs="仿宋"/>
                <w:sz w:val="24"/>
                <w:szCs w:val="24"/>
                <w:lang w:bidi="ar"/>
              </w:rPr>
              <w:t>8</w:t>
            </w:r>
          </w:p>
        </w:tc>
        <w:tc>
          <w:tcPr>
            <w:tcW w:w="1955"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lang w:bidi="ar"/>
              </w:rPr>
            </w:pPr>
            <w:r>
              <w:rPr>
                <w:rFonts w:hint="eastAsia" w:ascii="仿宋" w:hAnsi="仿宋" w:eastAsia="仿宋" w:cs="仿宋"/>
                <w:sz w:val="24"/>
                <w:szCs w:val="24"/>
                <w:lang w:bidi="ar"/>
              </w:rPr>
              <w:t>实木阅览椅</w:t>
            </w:r>
          </w:p>
        </w:tc>
        <w:tc>
          <w:tcPr>
            <w:tcW w:w="1746"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框架材质</w:t>
            </w:r>
          </w:p>
        </w:tc>
        <w:tc>
          <w:tcPr>
            <w:tcW w:w="321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长</w:t>
            </w:r>
            <w:r>
              <w:rPr>
                <w:rFonts w:ascii="仿宋" w:hAnsi="仿宋" w:eastAsia="仿宋" w:cs="仿宋"/>
                <w:sz w:val="24"/>
              </w:rPr>
              <w:t>200mm</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1块</w:t>
            </w:r>
          </w:p>
        </w:tc>
      </w:tr>
    </w:tbl>
    <w:p>
      <w:pPr>
        <w:jc w:val="left"/>
        <w:rPr>
          <w:rFonts w:ascii="仿宋" w:hAnsi="仿宋" w:eastAsia="仿宋" w:cs="仿宋"/>
          <w:b/>
          <w:kern w:val="0"/>
        </w:rPr>
      </w:pPr>
    </w:p>
    <w:p>
      <w:pPr>
        <w:ind w:firstLine="0" w:firstLineChars="0"/>
        <w:jc w:val="left"/>
        <w:rPr>
          <w:ins w:id="2" w:author="Sasa" w:date="2025-12-22T10:16:51Z"/>
          <w:rFonts w:hint="eastAsia" w:ascii="仿宋" w:hAnsi="仿宋" w:eastAsia="仿宋" w:cs="仿宋"/>
          <w:b/>
          <w:kern w:val="0"/>
        </w:rPr>
      </w:pPr>
      <w:r>
        <w:rPr>
          <w:rFonts w:hint="eastAsia" w:ascii="仿宋" w:hAnsi="仿宋" w:eastAsia="仿宋" w:cs="仿宋"/>
          <w:b/>
          <w:kern w:val="0"/>
        </w:rPr>
        <w:br w:type="page"/>
      </w:r>
    </w:p>
    <w:p>
      <w:pPr>
        <w:ind w:firstLine="566" w:firstLineChars="200"/>
        <w:jc w:val="center"/>
        <w:rPr>
          <w:rFonts w:ascii="仿宋" w:hAnsi="仿宋" w:eastAsia="仿宋" w:cs="仿宋"/>
          <w:b/>
          <w:kern w:val="0"/>
        </w:rPr>
      </w:pPr>
      <w:r>
        <w:rPr>
          <w:rFonts w:hint="eastAsia" w:ascii="仿宋" w:hAnsi="仿宋" w:eastAsia="仿宋" w:cs="仿宋"/>
          <w:b/>
          <w:kern w:val="0"/>
        </w:rPr>
        <w:t>第二标段</w:t>
      </w:r>
    </w:p>
    <w:tbl>
      <w:tblPr>
        <w:tblStyle w:val="19"/>
        <w:tblW w:w="8532" w:type="dxa"/>
        <w:jc w:val="center"/>
        <w:tblLayout w:type="fixed"/>
        <w:tblCellMar>
          <w:top w:w="0" w:type="dxa"/>
          <w:left w:w="108" w:type="dxa"/>
          <w:bottom w:w="0" w:type="dxa"/>
          <w:right w:w="108" w:type="dxa"/>
        </w:tblCellMar>
      </w:tblPr>
      <w:tblGrid>
        <w:gridCol w:w="753"/>
        <w:gridCol w:w="2011"/>
        <w:gridCol w:w="1593"/>
        <w:gridCol w:w="3182"/>
        <w:gridCol w:w="993"/>
      </w:tblGrid>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序号</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货物名称</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样品名称</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b/>
                <w:bCs/>
                <w:sz w:val="24"/>
              </w:rPr>
            </w:pPr>
            <w:r>
              <w:rPr>
                <w:rFonts w:hint="eastAsia" w:ascii="仿宋" w:hAnsi="仿宋" w:eastAsia="仿宋" w:cs="仿宋"/>
                <w:b/>
                <w:bCs/>
                <w:sz w:val="24"/>
              </w:rPr>
              <w:t>规格尺寸</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数量</w:t>
            </w:r>
          </w:p>
        </w:tc>
      </w:tr>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1</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color w:val="000000"/>
                <w:sz w:val="24"/>
                <w:szCs w:val="24"/>
              </w:rPr>
              <w:t>沙发</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超纤皮</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2</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color w:val="000000"/>
                <w:sz w:val="24"/>
                <w:szCs w:val="24"/>
              </w:rPr>
              <w:t>沙发</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color w:val="000000"/>
                <w:sz w:val="24"/>
                <w:szCs w:val="24"/>
              </w:rPr>
              <w:t>海绵</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3</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沙发</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框架木材</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200mm</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861"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hint="eastAsia" w:ascii="仿宋" w:hAnsi="仿宋" w:eastAsia="仿宋" w:cs="仿宋"/>
                <w:sz w:val="24"/>
              </w:rPr>
            </w:pPr>
            <w:r>
              <w:rPr>
                <w:rFonts w:hint="eastAsia" w:ascii="仿宋" w:hAnsi="仿宋" w:eastAsia="仿宋" w:cs="仿宋"/>
                <w:sz w:val="24"/>
              </w:rPr>
              <w:t>4</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茶几</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面材</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napToGrid/>
              <w:spacing w:line="400" w:lineRule="exact"/>
              <w:jc w:val="center"/>
              <w:rPr>
                <w:rFonts w:hint="eastAsia" w:ascii="仿宋" w:hAnsi="仿宋" w:eastAsia="仿宋" w:cs="仿宋"/>
                <w:sz w:val="24"/>
              </w:rPr>
            </w:pPr>
            <w:r>
              <w:rPr>
                <w:rFonts w:hint="eastAsia" w:ascii="仿宋" w:hAnsi="仿宋" w:eastAsia="仿宋" w:cs="仿宋"/>
                <w:sz w:val="24"/>
              </w:rPr>
              <w:t>200mm*200mm</w:t>
            </w:r>
          </w:p>
          <w:p>
            <w:pPr>
              <w:snapToGrid/>
              <w:spacing w:line="400" w:lineRule="exact"/>
              <w:jc w:val="center"/>
              <w:rPr>
                <w:rFonts w:hint="eastAsia" w:ascii="仿宋" w:hAnsi="仿宋" w:eastAsia="仿宋" w:cs="仿宋"/>
                <w:sz w:val="24"/>
              </w:rPr>
            </w:pPr>
            <w:r>
              <w:rPr>
                <w:rFonts w:hint="eastAsia" w:ascii="仿宋" w:hAnsi="仿宋" w:eastAsia="仿宋" w:cs="仿宋"/>
                <w:sz w:val="24"/>
              </w:rPr>
              <w:t>（三边封边，留一边不封边）</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5</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会客室沙发</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皮质</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hint="eastAsia"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6</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窗帘</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面料</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hint="eastAsia"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exact"/>
          <w:jc w:val="center"/>
        </w:trPr>
        <w:tc>
          <w:tcPr>
            <w:tcW w:w="75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sz w:val="24"/>
              </w:rPr>
            </w:pPr>
            <w:r>
              <w:rPr>
                <w:rFonts w:hint="eastAsia" w:ascii="仿宋" w:hAnsi="仿宋" w:eastAsia="仿宋" w:cs="仿宋"/>
                <w:sz w:val="24"/>
              </w:rPr>
              <w:t>7</w:t>
            </w:r>
          </w:p>
        </w:tc>
        <w:tc>
          <w:tcPr>
            <w:tcW w:w="2011"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窗帘</w:t>
            </w:r>
          </w:p>
        </w:tc>
        <w:tc>
          <w:tcPr>
            <w:tcW w:w="15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辅材</w:t>
            </w:r>
          </w:p>
        </w:tc>
        <w:tc>
          <w:tcPr>
            <w:tcW w:w="3182"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ind w:left="0" w:leftChars="0"/>
              <w:jc w:val="center"/>
              <w:rPr>
                <w:rFonts w:ascii="仿宋" w:hAnsi="仿宋" w:eastAsia="仿宋" w:cs="仿宋"/>
                <w:color w:val="000000"/>
                <w:sz w:val="24"/>
                <w:szCs w:val="24"/>
              </w:rPr>
            </w:pPr>
            <w:r>
              <w:rPr>
                <w:rFonts w:hint="eastAsia" w:ascii="仿宋" w:hAnsi="仿宋" w:eastAsia="仿宋" w:cs="仿宋"/>
                <w:color w:val="000000"/>
                <w:sz w:val="24"/>
                <w:szCs w:val="24"/>
              </w:rPr>
              <w:t>制头、尾塞、卷管、拉绳</w:t>
            </w:r>
          </w:p>
        </w:tc>
        <w:tc>
          <w:tcPr>
            <w:tcW w:w="993"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1套</w:t>
            </w:r>
          </w:p>
        </w:tc>
      </w:tr>
    </w:tbl>
    <w:p>
      <w:pPr>
        <w:adjustRightInd w:val="0"/>
        <w:snapToGrid w:val="0"/>
        <w:spacing w:line="500" w:lineRule="exact"/>
        <w:ind w:firstLine="566" w:firstLineChars="200"/>
        <w:jc w:val="center"/>
        <w:outlineLvl w:val="2"/>
        <w:rPr>
          <w:rFonts w:hint="eastAsia" w:ascii="仿宋" w:hAnsi="仿宋" w:eastAsia="仿宋" w:cs="仿宋"/>
          <w:b/>
          <w:kern w:val="0"/>
        </w:rPr>
      </w:pPr>
    </w:p>
    <w:p>
      <w:pPr>
        <w:adjustRightInd w:val="0"/>
        <w:snapToGrid w:val="0"/>
        <w:spacing w:line="500" w:lineRule="exact"/>
        <w:ind w:firstLine="566" w:firstLineChars="200"/>
        <w:jc w:val="center"/>
        <w:outlineLvl w:val="2"/>
        <w:rPr>
          <w:rFonts w:ascii="仿宋" w:hAnsi="仿宋" w:eastAsia="仿宋" w:cs="仿宋"/>
          <w:b/>
          <w:kern w:val="0"/>
        </w:rPr>
      </w:pPr>
      <w:r>
        <w:rPr>
          <w:rFonts w:hint="eastAsia" w:ascii="仿宋" w:hAnsi="仿宋" w:eastAsia="仿宋" w:cs="仿宋"/>
          <w:b/>
          <w:kern w:val="0"/>
        </w:rPr>
        <w:t>第三标段</w:t>
      </w:r>
    </w:p>
    <w:tbl>
      <w:tblPr>
        <w:tblStyle w:val="19"/>
        <w:tblW w:w="8504" w:type="dxa"/>
        <w:jc w:val="center"/>
        <w:tblLayout w:type="fixed"/>
        <w:tblCellMar>
          <w:top w:w="0" w:type="dxa"/>
          <w:left w:w="108" w:type="dxa"/>
          <w:bottom w:w="0" w:type="dxa"/>
          <w:right w:w="108" w:type="dxa"/>
        </w:tblCellMar>
      </w:tblPr>
      <w:tblGrid>
        <w:gridCol w:w="800"/>
        <w:gridCol w:w="1977"/>
        <w:gridCol w:w="1610"/>
        <w:gridCol w:w="3167"/>
        <w:gridCol w:w="950"/>
      </w:tblGrid>
      <w:tr>
        <w:tblPrEx>
          <w:tblCellMar>
            <w:top w:w="0" w:type="dxa"/>
            <w:left w:w="108" w:type="dxa"/>
            <w:bottom w:w="0" w:type="dxa"/>
            <w:right w:w="108" w:type="dxa"/>
          </w:tblCellMar>
        </w:tblPrEx>
        <w:trPr>
          <w:trHeight w:val="645" w:hRule="exac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b/>
                <w:bCs/>
                <w:sz w:val="24"/>
              </w:rPr>
            </w:pPr>
            <w:r>
              <w:rPr>
                <w:rFonts w:hint="eastAsia" w:ascii="仿宋" w:hAnsi="仿宋" w:eastAsia="仿宋" w:cs="仿宋"/>
                <w:b/>
                <w:bCs/>
                <w:sz w:val="24"/>
              </w:rPr>
              <w:t>货物名称</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b/>
                <w:bCs/>
                <w:sz w:val="24"/>
              </w:rPr>
            </w:pPr>
            <w:r>
              <w:rPr>
                <w:rFonts w:hint="eastAsia" w:ascii="仿宋" w:hAnsi="仿宋" w:eastAsia="仿宋" w:cs="仿宋"/>
                <w:b/>
                <w:bCs/>
                <w:sz w:val="24"/>
              </w:rPr>
              <w:t>样品名称</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b/>
                <w:bCs/>
                <w:sz w:val="24"/>
              </w:rPr>
            </w:pPr>
            <w:r>
              <w:rPr>
                <w:rFonts w:hint="eastAsia" w:ascii="仿宋" w:hAnsi="仿宋" w:eastAsia="仿宋" w:cs="仿宋"/>
                <w:b/>
                <w:bCs/>
                <w:sz w:val="24"/>
              </w:rPr>
              <w:t>规格尺寸</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b/>
                <w:bCs/>
                <w:sz w:val="24"/>
              </w:rPr>
            </w:pPr>
            <w:r>
              <w:rPr>
                <w:rFonts w:hint="eastAsia" w:ascii="仿宋" w:hAnsi="仿宋" w:eastAsia="仿宋" w:cs="仿宋"/>
                <w:b/>
                <w:bCs/>
                <w:sz w:val="24"/>
              </w:rPr>
              <w:t>数量</w:t>
            </w:r>
          </w:p>
        </w:tc>
      </w:tr>
      <w:tr>
        <w:tblPrEx>
          <w:tblCellMar>
            <w:top w:w="0" w:type="dxa"/>
            <w:left w:w="108" w:type="dxa"/>
            <w:bottom w:w="0" w:type="dxa"/>
            <w:right w:w="108" w:type="dxa"/>
          </w:tblCellMar>
        </w:tblPrEx>
        <w:trPr>
          <w:trHeight w:val="708"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1</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三层双面书柜</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面板</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jc w:val="center"/>
              <w:rPr>
                <w:rFonts w:hint="eastAsia" w:ascii="仿宋" w:hAnsi="仿宋" w:eastAsia="仿宋" w:cs="仿宋"/>
                <w:sz w:val="24"/>
              </w:rPr>
            </w:pPr>
            <w:r>
              <w:rPr>
                <w:rFonts w:hint="eastAsia" w:ascii="仿宋" w:hAnsi="仿宋" w:eastAsia="仿宋" w:cs="仿宋"/>
                <w:sz w:val="24"/>
              </w:rPr>
              <w:t>200mm*200mm</w:t>
            </w:r>
          </w:p>
          <w:p>
            <w:pPr>
              <w:snapToGrid w:val="0"/>
              <w:spacing w:line="400" w:lineRule="exact"/>
              <w:jc w:val="center"/>
              <w:rPr>
                <w:rFonts w:hint="eastAsia" w:ascii="仿宋" w:hAnsi="仿宋" w:eastAsia="仿宋" w:cs="仿宋"/>
              </w:rPr>
            </w:pPr>
            <w:r>
              <w:rPr>
                <w:rFonts w:hint="eastAsia" w:ascii="仿宋" w:hAnsi="仿宋" w:eastAsia="仿宋" w:cs="仿宋"/>
                <w:sz w:val="24"/>
              </w:rPr>
              <w:t>（三边封边，留一边不封边）</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2</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三层双面书柜</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层板</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jc w:val="center"/>
              <w:rPr>
                <w:rFonts w:hint="eastAsia" w:ascii="仿宋" w:hAnsi="仿宋" w:eastAsia="仿宋" w:cs="仿宋"/>
                <w:sz w:val="24"/>
              </w:rPr>
            </w:pPr>
            <w:r>
              <w:rPr>
                <w:rFonts w:hint="eastAsia" w:ascii="仿宋" w:hAnsi="仿宋" w:eastAsia="仿宋" w:cs="仿宋"/>
                <w:sz w:val="24"/>
              </w:rPr>
              <w:t>200mm*200mm</w:t>
            </w:r>
          </w:p>
          <w:p>
            <w:pPr>
              <w:snapToGrid w:val="0"/>
              <w:spacing w:line="400" w:lineRule="exact"/>
              <w:jc w:val="center"/>
              <w:rPr>
                <w:rFonts w:hint="eastAsia" w:ascii="仿宋" w:hAnsi="仿宋" w:eastAsia="仿宋" w:cs="仿宋"/>
              </w:rPr>
            </w:pPr>
            <w:r>
              <w:rPr>
                <w:rFonts w:hint="eastAsia" w:ascii="仿宋" w:hAnsi="仿宋" w:eastAsia="仿宋" w:cs="仿宋"/>
                <w:sz w:val="24"/>
              </w:rPr>
              <w:t>（三边封边，留一边不封边）</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ascii="仿宋" w:hAnsi="仿宋" w:eastAsia="仿宋" w:cs="仿宋"/>
                <w:sz w:val="24"/>
              </w:rPr>
              <w:t>3</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六层双面书架</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立柱</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200mm</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ascii="仿宋" w:hAnsi="仿宋" w:eastAsia="仿宋" w:cs="仿宋"/>
                <w:sz w:val="24"/>
              </w:rPr>
              <w:t>4</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卡座矮书架</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面板</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jc w:val="center"/>
              <w:rPr>
                <w:rFonts w:hint="eastAsia" w:ascii="仿宋" w:hAnsi="仿宋" w:eastAsia="仿宋" w:cs="仿宋"/>
                <w:sz w:val="24"/>
              </w:rPr>
            </w:pPr>
            <w:r>
              <w:rPr>
                <w:rFonts w:hint="eastAsia" w:ascii="仿宋" w:hAnsi="仿宋" w:eastAsia="仿宋" w:cs="仿宋"/>
                <w:sz w:val="24"/>
              </w:rPr>
              <w:t>200mm*200mm</w:t>
            </w:r>
          </w:p>
          <w:p>
            <w:pPr>
              <w:snapToGrid w:val="0"/>
              <w:spacing w:line="400" w:lineRule="exact"/>
              <w:jc w:val="center"/>
              <w:rPr>
                <w:rFonts w:hint="eastAsia" w:ascii="仿宋" w:hAnsi="仿宋" w:eastAsia="仿宋" w:cs="仿宋"/>
              </w:rPr>
            </w:pPr>
            <w:r>
              <w:rPr>
                <w:rFonts w:hint="eastAsia" w:ascii="仿宋" w:hAnsi="仿宋" w:eastAsia="仿宋" w:cs="仿宋"/>
                <w:sz w:val="24"/>
              </w:rPr>
              <w:t>（三边封边，留一边不封边）</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ascii="仿宋" w:hAnsi="仿宋" w:eastAsia="仿宋" w:cs="仿宋"/>
                <w:sz w:val="24"/>
              </w:rPr>
              <w:t>5</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卡座矮书架</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超纤皮</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sz w:val="24"/>
              </w:rPr>
            </w:pPr>
            <w:r>
              <w:rPr>
                <w:rFonts w:ascii="仿宋" w:hAnsi="仿宋" w:eastAsia="仿宋" w:cs="仿宋"/>
                <w:sz w:val="24"/>
              </w:rPr>
              <w:t>6</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定制展示柜</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柜体材质</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1块</w:t>
            </w:r>
          </w:p>
        </w:tc>
      </w:tr>
      <w:tr>
        <w:tblPrEx>
          <w:tblCellMar>
            <w:top w:w="0" w:type="dxa"/>
            <w:left w:w="108" w:type="dxa"/>
            <w:bottom w:w="0" w:type="dxa"/>
            <w:right w:w="108" w:type="dxa"/>
          </w:tblCellMar>
        </w:tblPrEx>
        <w:trPr>
          <w:trHeight w:val="567" w:hRule="atLeast"/>
          <w:jc w:val="center"/>
        </w:trPr>
        <w:tc>
          <w:tcPr>
            <w:tcW w:w="80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7</w:t>
            </w:r>
          </w:p>
        </w:tc>
        <w:tc>
          <w:tcPr>
            <w:tcW w:w="197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定制展示柜</w:t>
            </w:r>
          </w:p>
        </w:tc>
        <w:tc>
          <w:tcPr>
            <w:tcW w:w="16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玻璃</w:t>
            </w:r>
          </w:p>
        </w:tc>
        <w:tc>
          <w:tcPr>
            <w:tcW w:w="316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color w:val="000000"/>
                <w:sz w:val="24"/>
                <w:szCs w:val="24"/>
              </w:rPr>
              <w:t>200mm</w:t>
            </w:r>
            <w:r>
              <w:rPr>
                <w:rFonts w:ascii="仿宋" w:hAnsi="仿宋" w:eastAsia="仿宋" w:cs="仿宋"/>
                <w:color w:val="000000"/>
                <w:sz w:val="24"/>
                <w:szCs w:val="24"/>
              </w:rPr>
              <w:t>*</w:t>
            </w:r>
            <w:r>
              <w:rPr>
                <w:rFonts w:hint="eastAsia" w:ascii="仿宋" w:hAnsi="仿宋" w:eastAsia="仿宋" w:cs="仿宋"/>
                <w:color w:val="000000"/>
                <w:sz w:val="24"/>
                <w:szCs w:val="24"/>
              </w:rPr>
              <w:t>200mm</w:t>
            </w:r>
          </w:p>
        </w:tc>
        <w:tc>
          <w:tcPr>
            <w:tcW w:w="9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sz w:val="24"/>
              </w:rPr>
            </w:pPr>
            <w:r>
              <w:rPr>
                <w:rFonts w:hint="eastAsia" w:ascii="仿宋" w:hAnsi="仿宋" w:eastAsia="仿宋" w:cs="仿宋"/>
                <w:sz w:val="24"/>
              </w:rPr>
              <w:t>1块</w:t>
            </w:r>
          </w:p>
        </w:tc>
      </w:tr>
    </w:tbl>
    <w:p>
      <w:pPr>
        <w:pStyle w:val="1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6" w:firstLineChars="200"/>
        <w:jc w:val="both"/>
        <w:outlineLvl w:val="1"/>
        <w:rPr>
          <w:rFonts w:ascii="仿宋" w:hAnsi="仿宋" w:eastAsia="仿宋" w:cs="仿宋"/>
          <w:b/>
          <w:bCs/>
          <w:highlight w:val="yellow"/>
        </w:rPr>
      </w:pPr>
      <w:r>
        <w:rPr>
          <w:rFonts w:hint="eastAsia" w:ascii="华文仿宋" w:hAnsi="华文仿宋" w:cs="华文仿宋"/>
          <w:b/>
          <w:bCs/>
          <w:sz w:val="24"/>
          <w:szCs w:val="24"/>
        </w:rPr>
        <w:t>备注：各标段投标人提交的所有样品须满足以上数量和尺寸（长宽允许有±5mm的偏差）要求，样品详细参数按照《技术参数表》要求提供，否则在评审时将影响样品得分。</w:t>
      </w:r>
    </w:p>
    <w:p>
      <w:pPr>
        <w:kinsoku w:val="0"/>
        <w:autoSpaceDE w:val="0"/>
        <w:autoSpaceDN w:val="0"/>
        <w:adjustRightInd w:val="0"/>
        <w:snapToGrid w:val="0"/>
        <w:spacing w:line="500" w:lineRule="exact"/>
        <w:ind w:firstLine="566" w:firstLineChars="200"/>
        <w:textAlignment w:val="baseline"/>
        <w:outlineLvl w:val="1"/>
        <w:rPr>
          <w:rFonts w:ascii="华文仿宋" w:hAnsi="华文仿宋" w:cs="华文仿宋"/>
          <w:b/>
          <w:bCs/>
          <w:highlight w:val="none"/>
        </w:rPr>
      </w:pPr>
      <w:r>
        <w:rPr>
          <w:rFonts w:hint="eastAsia" w:ascii="华文仿宋" w:hAnsi="华文仿宋" w:cs="华文仿宋"/>
          <w:b/>
          <w:bCs/>
          <w:highlight w:val="none"/>
        </w:rPr>
        <w:t>四、其他要求</w:t>
      </w:r>
    </w:p>
    <w:p>
      <w:pPr>
        <w:pStyle w:val="5"/>
        <w:spacing w:line="500" w:lineRule="exact"/>
        <w:ind w:firstLine="566" w:firstLineChars="200"/>
        <w:rPr>
          <w:rFonts w:ascii="华文仿宋" w:hAnsi="华文仿宋" w:cs="华文仿宋"/>
          <w:b/>
          <w:bCs/>
        </w:rPr>
      </w:pPr>
      <w:r>
        <w:rPr>
          <w:rFonts w:hint="eastAsia" w:ascii="华文仿宋" w:hAnsi="华文仿宋" w:cs="华文仿宋"/>
        </w:rPr>
        <w:t>▲</w:t>
      </w:r>
      <w:r>
        <w:rPr>
          <w:rFonts w:hint="eastAsia" w:ascii="华文仿宋" w:hAnsi="华文仿宋" w:cs="华文仿宋"/>
          <w:b/>
          <w:bCs/>
        </w:rPr>
        <w:t>（一）实施要求</w:t>
      </w:r>
    </w:p>
    <w:p>
      <w:pPr>
        <w:pStyle w:val="5"/>
        <w:spacing w:line="500" w:lineRule="exact"/>
        <w:ind w:firstLine="566" w:firstLineChars="200"/>
        <w:rPr>
          <w:rFonts w:ascii="华文仿宋" w:hAnsi="华文仿宋" w:cs="华文仿宋"/>
          <w:bCs/>
          <w:snapToGrid w:val="0"/>
          <w:kern w:val="0"/>
        </w:rPr>
      </w:pPr>
      <w:r>
        <w:rPr>
          <w:rFonts w:hint="eastAsia" w:ascii="华文仿宋" w:hAnsi="华文仿宋" w:cs="华文仿宋"/>
          <w:bCs/>
          <w:snapToGrid w:val="0"/>
          <w:kern w:val="0"/>
        </w:rPr>
        <w:t>针对</w:t>
      </w:r>
      <w:r>
        <w:rPr>
          <w:rFonts w:hint="eastAsia" w:ascii="华文仿宋" w:hAnsi="华文仿宋" w:cs="华文仿宋"/>
          <w:bCs/>
          <w:snapToGrid w:val="0"/>
          <w:kern w:val="0"/>
          <w:highlight w:val="none"/>
          <w:lang w:val="en-US" w:eastAsia="zh-CN"/>
        </w:rPr>
        <w:t>标段</w:t>
      </w:r>
      <w:r>
        <w:rPr>
          <w:rFonts w:hint="eastAsia" w:ascii="华文仿宋" w:hAnsi="华文仿宋" w:cs="华文仿宋"/>
          <w:bCs/>
          <w:snapToGrid w:val="0"/>
          <w:kern w:val="0"/>
          <w:highlight w:val="none"/>
        </w:rPr>
        <w:t>提供</w:t>
      </w:r>
      <w:r>
        <w:rPr>
          <w:rFonts w:hint="eastAsia" w:ascii="华文仿宋" w:hAnsi="华文仿宋" w:cs="华文仿宋"/>
          <w:bCs/>
          <w:snapToGrid w:val="0"/>
          <w:kern w:val="0"/>
        </w:rPr>
        <w:t>实施方案，方案内容包</w:t>
      </w:r>
      <w:r>
        <w:rPr>
          <w:rFonts w:hint="eastAsia" w:ascii="华文仿宋" w:hAnsi="华文仿宋" w:cs="华文仿宋"/>
          <w:bCs/>
          <w:snapToGrid w:val="0"/>
          <w:kern w:val="0"/>
          <w:lang w:eastAsia="zh-CN"/>
        </w:rPr>
        <w:t>含：</w:t>
      </w:r>
      <w:r>
        <w:rPr>
          <w:rFonts w:hint="eastAsia" w:ascii="华文仿宋" w:hAnsi="华文仿宋" w:cs="华文仿宋"/>
          <w:bCs/>
          <w:snapToGrid w:val="0"/>
          <w:kern w:val="0"/>
        </w:rPr>
        <w:t>①供货运输方</w:t>
      </w:r>
      <w:r>
        <w:rPr>
          <w:rFonts w:hint="eastAsia" w:ascii="华文仿宋" w:hAnsi="华文仿宋" w:cs="华文仿宋"/>
          <w:bCs/>
          <w:snapToGrid w:val="0"/>
          <w:kern w:val="0"/>
          <w:lang w:val="en-US" w:eastAsia="zh-CN"/>
        </w:rPr>
        <w:t>及</w:t>
      </w:r>
      <w:r>
        <w:rPr>
          <w:rFonts w:hint="eastAsia" w:ascii="华文仿宋" w:hAnsi="华文仿宋" w:cs="华文仿宋"/>
          <w:bCs/>
          <w:snapToGrid w:val="0"/>
          <w:kern w:val="0"/>
        </w:rPr>
        <w:t>安装验收方案②人员配备</w:t>
      </w:r>
      <w:r>
        <w:rPr>
          <w:rFonts w:hint="eastAsia" w:ascii="华文仿宋" w:hAnsi="华文仿宋" w:cs="华文仿宋"/>
          <w:bCs/>
          <w:snapToGrid w:val="0"/>
          <w:kern w:val="0"/>
          <w:lang w:val="en-US" w:eastAsia="zh-CN"/>
        </w:rPr>
        <w:t>及</w:t>
      </w:r>
      <w:r>
        <w:rPr>
          <w:rFonts w:hint="eastAsia" w:ascii="华文仿宋" w:hAnsi="华文仿宋" w:cs="华文仿宋"/>
          <w:bCs/>
          <w:snapToGrid w:val="0"/>
          <w:kern w:val="0"/>
        </w:rPr>
        <w:t>应急预案。</w:t>
      </w:r>
    </w:p>
    <w:p>
      <w:pPr>
        <w:pStyle w:val="5"/>
        <w:spacing w:line="500" w:lineRule="exact"/>
        <w:ind w:firstLine="566" w:firstLineChars="200"/>
        <w:rPr>
          <w:rFonts w:ascii="华文仿宋" w:hAnsi="华文仿宋" w:cs="华文仿宋"/>
          <w:b/>
          <w:bCs/>
        </w:rPr>
      </w:pPr>
      <w:r>
        <w:rPr>
          <w:rFonts w:hint="eastAsia" w:ascii="华文仿宋" w:hAnsi="华文仿宋" w:cs="华文仿宋"/>
        </w:rPr>
        <w:t>▲</w:t>
      </w:r>
      <w:r>
        <w:rPr>
          <w:rFonts w:hint="eastAsia" w:ascii="华文仿宋" w:hAnsi="华文仿宋" w:cs="华文仿宋"/>
          <w:b/>
          <w:bCs/>
        </w:rPr>
        <w:t>（二）质量保证方案</w:t>
      </w:r>
    </w:p>
    <w:p>
      <w:pPr>
        <w:pStyle w:val="5"/>
        <w:spacing w:line="500" w:lineRule="exact"/>
        <w:ind w:firstLine="566" w:firstLineChars="200"/>
        <w:rPr>
          <w:rFonts w:ascii="华文仿宋" w:hAnsi="华文仿宋" w:cs="华文仿宋"/>
          <w:bCs/>
          <w:snapToGrid w:val="0"/>
          <w:kern w:val="0"/>
        </w:rPr>
      </w:pPr>
      <w:r>
        <w:rPr>
          <w:rFonts w:hint="eastAsia" w:ascii="华文仿宋" w:hAnsi="华文仿宋" w:cs="华文仿宋"/>
          <w:bCs/>
          <w:snapToGrid w:val="0"/>
          <w:kern w:val="0"/>
        </w:rPr>
        <w:t>根据</w:t>
      </w:r>
      <w:r>
        <w:rPr>
          <w:rFonts w:hint="eastAsia" w:ascii="华文仿宋" w:hAnsi="华文仿宋" w:cs="华文仿宋"/>
          <w:bCs/>
          <w:snapToGrid w:val="0"/>
          <w:kern w:val="0"/>
          <w:highlight w:val="none"/>
          <w:lang w:val="en-US" w:eastAsia="zh-CN"/>
        </w:rPr>
        <w:t>标段</w:t>
      </w:r>
      <w:r>
        <w:rPr>
          <w:rFonts w:hint="eastAsia" w:ascii="华文仿宋" w:hAnsi="华文仿宋" w:cs="华文仿宋"/>
          <w:bCs/>
          <w:snapToGrid w:val="0"/>
          <w:kern w:val="0"/>
          <w:highlight w:val="none"/>
        </w:rPr>
        <w:t>实</w:t>
      </w:r>
      <w:r>
        <w:rPr>
          <w:rFonts w:hint="eastAsia" w:ascii="华文仿宋" w:hAnsi="华文仿宋" w:cs="华文仿宋"/>
          <w:bCs/>
          <w:snapToGrid w:val="0"/>
          <w:kern w:val="0"/>
        </w:rPr>
        <w:t>际需要，提供质量保证方案。方案内容包含</w:t>
      </w:r>
      <w:r>
        <w:rPr>
          <w:rFonts w:hint="eastAsia" w:ascii="华文仿宋" w:hAnsi="华文仿宋" w:cs="华文仿宋"/>
          <w:bCs/>
          <w:snapToGrid w:val="0"/>
          <w:kern w:val="0"/>
          <w:lang w:eastAsia="zh-CN"/>
        </w:rPr>
        <w:t>：</w:t>
      </w:r>
      <w:r>
        <w:rPr>
          <w:rFonts w:hint="eastAsia" w:ascii="华文仿宋" w:hAnsi="华文仿宋" w:cs="华文仿宋"/>
          <w:bCs/>
          <w:snapToGrid w:val="0"/>
          <w:kern w:val="0"/>
        </w:rPr>
        <w:t>①产品性能②质量管理体系及保证措施。</w:t>
      </w:r>
    </w:p>
    <w:p>
      <w:pPr>
        <w:pStyle w:val="5"/>
        <w:spacing w:line="500" w:lineRule="exact"/>
        <w:ind w:firstLine="566" w:firstLineChars="200"/>
        <w:rPr>
          <w:rFonts w:ascii="华文仿宋" w:hAnsi="华文仿宋" w:cs="华文仿宋"/>
          <w:b/>
          <w:bCs/>
        </w:rPr>
      </w:pPr>
      <w:r>
        <w:rPr>
          <w:rFonts w:hint="eastAsia" w:ascii="华文仿宋" w:hAnsi="华文仿宋" w:cs="华文仿宋"/>
        </w:rPr>
        <w:t>▲</w:t>
      </w:r>
      <w:r>
        <w:rPr>
          <w:rFonts w:hint="eastAsia" w:ascii="华文仿宋" w:hAnsi="华文仿宋" w:cs="华文仿宋"/>
          <w:b/>
          <w:bCs/>
        </w:rPr>
        <w:t>（三）设备保障</w:t>
      </w:r>
    </w:p>
    <w:p>
      <w:pPr>
        <w:pStyle w:val="5"/>
        <w:spacing w:line="500" w:lineRule="exact"/>
        <w:ind w:firstLine="566" w:firstLineChars="200"/>
        <w:rPr>
          <w:rFonts w:ascii="华文仿宋" w:hAnsi="华文仿宋" w:cs="华文仿宋"/>
        </w:rPr>
      </w:pPr>
      <w:r>
        <w:rPr>
          <w:rFonts w:hint="eastAsia" w:ascii="华文仿宋" w:hAnsi="华文仿宋" w:cs="华文仿宋"/>
        </w:rPr>
        <w:t>投标人提供产品制造商的生产车间和相关生产设备、出厂检测设备的清单、图片。</w:t>
      </w:r>
    </w:p>
    <w:p>
      <w:pPr>
        <w:pStyle w:val="5"/>
        <w:spacing w:line="500" w:lineRule="exact"/>
        <w:ind w:firstLine="566" w:firstLineChars="200"/>
        <w:jc w:val="left"/>
        <w:rPr>
          <w:rFonts w:ascii="华文仿宋" w:hAnsi="华文仿宋" w:cs="华文仿宋"/>
          <w:b/>
          <w:bCs/>
        </w:rPr>
      </w:pPr>
      <w:r>
        <w:rPr>
          <w:rFonts w:hint="eastAsia" w:ascii="华文仿宋" w:hAnsi="华文仿宋" w:cs="华文仿宋"/>
          <w:b/>
          <w:bCs/>
        </w:rPr>
        <w:t>（四）</w:t>
      </w:r>
      <w:r>
        <w:rPr>
          <w:rFonts w:hint="eastAsia" w:ascii="华文仿宋" w:hAnsi="华文仿宋" w:cs="华文仿宋"/>
          <w:b/>
          <w:bCs/>
          <w:snapToGrid w:val="0"/>
          <w:kern w:val="0"/>
        </w:rPr>
        <w:t>售后服务方案</w:t>
      </w:r>
    </w:p>
    <w:p>
      <w:pPr>
        <w:pStyle w:val="5"/>
        <w:spacing w:line="500" w:lineRule="exact"/>
        <w:ind w:firstLine="566" w:firstLineChars="200"/>
        <w:jc w:val="left"/>
        <w:rPr>
          <w:rFonts w:ascii="华文仿宋" w:hAnsi="华文仿宋" w:cs="华文仿宋"/>
        </w:rPr>
      </w:pPr>
      <w:r>
        <w:rPr>
          <w:rFonts w:hint="eastAsia" w:ascii="华文仿宋" w:hAnsi="华文仿宋" w:cs="华文仿宋"/>
        </w:rPr>
        <w:t>▲1、根据</w:t>
      </w:r>
      <w:r>
        <w:rPr>
          <w:rFonts w:hint="eastAsia" w:ascii="华文仿宋" w:hAnsi="华文仿宋" w:cs="华文仿宋"/>
          <w:lang w:eastAsia="zh-CN"/>
        </w:rPr>
        <w:t>标段</w:t>
      </w:r>
      <w:r>
        <w:rPr>
          <w:rFonts w:hint="eastAsia" w:ascii="华文仿宋" w:hAnsi="华文仿宋" w:cs="华文仿宋"/>
        </w:rPr>
        <w:t>实际需求，提供针对本项目的售后服务方案，内容包含：①售后服务内容及保障措施②响应时间</w:t>
      </w:r>
      <w:r>
        <w:rPr>
          <w:rFonts w:hint="eastAsia" w:ascii="华文仿宋" w:hAnsi="华文仿宋" w:cs="华文仿宋"/>
          <w:lang w:val="en-US" w:eastAsia="zh-CN"/>
        </w:rPr>
        <w:t>及</w:t>
      </w:r>
      <w:r>
        <w:rPr>
          <w:rFonts w:hint="eastAsia" w:ascii="华文仿宋" w:hAnsi="华文仿宋" w:cs="华文仿宋"/>
        </w:rPr>
        <w:t>响应</w:t>
      </w:r>
      <w:r>
        <w:rPr>
          <w:rFonts w:hint="eastAsia" w:ascii="华文仿宋" w:hAnsi="华文仿宋" w:cs="华文仿宋"/>
          <w:lang w:val="en-US" w:eastAsia="zh-CN"/>
        </w:rPr>
        <w:t>方式</w:t>
      </w:r>
      <w:r>
        <w:rPr>
          <w:rFonts w:hint="eastAsia" w:ascii="华文仿宋" w:hAnsi="华文仿宋" w:cs="华文仿宋"/>
        </w:rPr>
        <w:t>。</w:t>
      </w:r>
    </w:p>
    <w:p>
      <w:pPr>
        <w:pStyle w:val="5"/>
        <w:spacing w:line="500" w:lineRule="exact"/>
        <w:ind w:firstLine="566" w:firstLineChars="200"/>
        <w:jc w:val="left"/>
        <w:rPr>
          <w:rFonts w:ascii="华文仿宋" w:hAnsi="华文仿宋" w:cs="华文仿宋"/>
          <w:highlight w:val="none"/>
        </w:rPr>
      </w:pPr>
      <w:r>
        <w:rPr>
          <w:rFonts w:hint="eastAsia" w:ascii="华文仿宋" w:hAnsi="华文仿宋" w:cs="华文仿宋"/>
        </w:rPr>
        <w:t>2、投标人提供的产品</w:t>
      </w:r>
      <w:r>
        <w:rPr>
          <w:rFonts w:ascii="华文仿宋" w:hAnsi="华文仿宋" w:cs="华文仿宋"/>
        </w:rPr>
        <w:t>及</w:t>
      </w:r>
      <w:r>
        <w:rPr>
          <w:rFonts w:hint="eastAsia" w:ascii="华文仿宋" w:hAnsi="华文仿宋" w:cs="华文仿宋"/>
        </w:rPr>
        <w:t>设备质保期限三年（从安装完成经采购人验收合格之日算起）</w:t>
      </w:r>
      <w:r>
        <w:rPr>
          <w:rFonts w:hint="eastAsia" w:ascii="华文仿宋" w:hAnsi="华文仿宋" w:cs="华文仿宋"/>
          <w:lang w:eastAsia="zh-CN"/>
        </w:rPr>
        <w:t>，</w:t>
      </w:r>
      <w:r>
        <w:rPr>
          <w:rFonts w:hint="eastAsia" w:ascii="华文仿宋" w:hAnsi="华文仿宋" w:cs="华文仿宋"/>
          <w:highlight w:val="none"/>
        </w:rPr>
        <w:t>终身维护。质保期内中标</w:t>
      </w:r>
      <w:r>
        <w:rPr>
          <w:rFonts w:hint="eastAsia" w:ascii="华文仿宋" w:hAnsi="华文仿宋" w:cs="华文仿宋"/>
          <w:highlight w:val="none"/>
          <w:lang w:val="en-US" w:eastAsia="zh-CN"/>
        </w:rPr>
        <w:t>人</w:t>
      </w:r>
      <w:r>
        <w:rPr>
          <w:rFonts w:hint="eastAsia" w:ascii="华文仿宋" w:hAnsi="华文仿宋" w:cs="华文仿宋"/>
          <w:highlight w:val="none"/>
        </w:rPr>
        <w:t>接到采购人反映电话后，2小时内响应，24小时内派技术人员到现场，72小时解决问题，如出现超过72小时未维修好，中标</w:t>
      </w:r>
      <w:r>
        <w:rPr>
          <w:rFonts w:hint="eastAsia" w:ascii="华文仿宋" w:hAnsi="华文仿宋" w:cs="华文仿宋"/>
          <w:highlight w:val="none"/>
          <w:lang w:val="en-US" w:eastAsia="zh-CN"/>
        </w:rPr>
        <w:t>人</w:t>
      </w:r>
      <w:r>
        <w:rPr>
          <w:rFonts w:hint="eastAsia" w:ascii="华文仿宋" w:hAnsi="华文仿宋" w:cs="华文仿宋"/>
          <w:highlight w:val="none"/>
        </w:rPr>
        <w:t>应向采购人提供同类新产品替代，以保证采购人的正常使用。质保期外，中标人只收取材料费。</w:t>
      </w:r>
    </w:p>
    <w:p>
      <w:pPr>
        <w:pStyle w:val="5"/>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lang w:val="en-US" w:eastAsia="zh-CN"/>
        </w:rPr>
        <w:t>3</w:t>
      </w:r>
      <w:r>
        <w:rPr>
          <w:rFonts w:hint="eastAsia" w:ascii="华文仿宋" w:hAnsi="华文仿宋" w:cs="华文仿宋"/>
          <w:highlight w:val="none"/>
        </w:rPr>
        <w:t>、</w:t>
      </w:r>
      <w:r>
        <w:rPr>
          <w:rFonts w:hint="eastAsia" w:ascii="华文仿宋" w:hAnsi="华文仿宋" w:cs="华文仿宋"/>
          <w:highlight w:val="none"/>
          <w:lang w:val="en-US" w:eastAsia="zh-CN"/>
        </w:rPr>
        <w:t>产品</w:t>
      </w:r>
      <w:r>
        <w:rPr>
          <w:rFonts w:hint="eastAsia" w:ascii="华文仿宋" w:hAnsi="华文仿宋" w:cs="华文仿宋"/>
          <w:highlight w:val="none"/>
        </w:rPr>
        <w:t>正式使用后，定期回访用户，当</w:t>
      </w:r>
      <w:r>
        <w:rPr>
          <w:rFonts w:hint="eastAsia" w:ascii="华文仿宋" w:hAnsi="华文仿宋" w:cs="华文仿宋"/>
          <w:highlight w:val="none"/>
          <w:lang w:val="en-US" w:eastAsia="zh-CN"/>
        </w:rPr>
        <w:t>产品</w:t>
      </w:r>
      <w:r>
        <w:rPr>
          <w:rFonts w:hint="eastAsia" w:ascii="华文仿宋" w:hAnsi="华文仿宋" w:cs="华文仿宋"/>
          <w:highlight w:val="none"/>
        </w:rPr>
        <w:t>出现重大缺陷问题而影响到采购人实际应用时需及时响应并派人到现场解决。</w:t>
      </w:r>
    </w:p>
    <w:p>
      <w:pPr>
        <w:pStyle w:val="3"/>
        <w:spacing w:line="500" w:lineRule="exact"/>
        <w:ind w:firstLine="566" w:firstLineChars="200"/>
        <w:jc w:val="left"/>
        <w:rPr>
          <w:rFonts w:ascii="华文仿宋" w:hAnsi="华文仿宋" w:cs="华文仿宋"/>
          <w:sz w:val="28"/>
          <w:szCs w:val="28"/>
          <w:highlight w:val="none"/>
        </w:rPr>
      </w:pPr>
      <w:r>
        <w:rPr>
          <w:rFonts w:ascii="华文仿宋" w:hAnsi="华文仿宋" w:eastAsia="华文仿宋" w:cs="华文仿宋"/>
          <w:sz w:val="28"/>
          <w:szCs w:val="28"/>
          <w:highlight w:val="none"/>
        </w:rPr>
        <w:t>▲</w:t>
      </w:r>
      <w:r>
        <w:rPr>
          <w:rFonts w:hint="eastAsia" w:ascii="华文仿宋" w:hAnsi="华文仿宋" w:cs="华文仿宋"/>
          <w:sz w:val="28"/>
          <w:szCs w:val="28"/>
          <w:highlight w:val="none"/>
          <w:lang w:val="en-US" w:eastAsia="zh-CN"/>
        </w:rPr>
        <w:t>五</w:t>
      </w:r>
      <w:r>
        <w:rPr>
          <w:rFonts w:ascii="华文仿宋" w:hAnsi="华文仿宋" w:cs="华文仿宋"/>
          <w:sz w:val="28"/>
          <w:szCs w:val="28"/>
          <w:highlight w:val="none"/>
        </w:rPr>
        <w:t>、环境标志产品</w:t>
      </w:r>
    </w:p>
    <w:p>
      <w:pPr>
        <w:pStyle w:val="5"/>
        <w:spacing w:line="500" w:lineRule="exact"/>
        <w:ind w:firstLine="566" w:firstLineChars="200"/>
        <w:jc w:val="left"/>
        <w:rPr>
          <w:rFonts w:ascii="华文仿宋" w:hAnsi="华文仿宋" w:cs="华文仿宋"/>
        </w:rPr>
      </w:pPr>
      <w:r>
        <w:rPr>
          <w:rFonts w:hint="eastAsia" w:ascii="华文仿宋" w:hAnsi="华文仿宋" w:cs="华文仿宋"/>
          <w:highlight w:val="none"/>
        </w:rPr>
        <w:t>投标人所投产品为“环境标志产品政府采购品目清单”内的，应提供该产品的中国环境标志产品认证证</w:t>
      </w:r>
      <w:r>
        <w:rPr>
          <w:rFonts w:hint="eastAsia" w:ascii="华文仿宋" w:hAnsi="华文仿宋" w:cs="华文仿宋"/>
        </w:rPr>
        <w:t>书。中国环境标志产品认证证书需由国家确定的认证机构出具且处于有效期内。</w:t>
      </w:r>
    </w:p>
    <w:p>
      <w:pPr>
        <w:pStyle w:val="3"/>
        <w:spacing w:line="500" w:lineRule="exact"/>
        <w:ind w:firstLine="566" w:firstLineChars="200"/>
        <w:jc w:val="left"/>
        <w:rPr>
          <w:rFonts w:ascii="华文仿宋" w:hAnsi="华文仿宋" w:cs="华文仿宋"/>
          <w:sz w:val="28"/>
          <w:szCs w:val="28"/>
        </w:rPr>
      </w:pPr>
      <w:r>
        <w:rPr>
          <w:rFonts w:ascii="华文仿宋" w:hAnsi="华文仿宋" w:cs="华文仿宋"/>
          <w:sz w:val="28"/>
          <w:szCs w:val="28"/>
        </w:rPr>
        <w:t>★</w:t>
      </w:r>
      <w:r>
        <w:rPr>
          <w:rFonts w:hint="eastAsia" w:ascii="华文仿宋" w:hAnsi="华文仿宋" w:cs="华文仿宋"/>
          <w:sz w:val="28"/>
          <w:szCs w:val="28"/>
          <w:lang w:val="en-US" w:eastAsia="zh-CN"/>
        </w:rPr>
        <w:t>六</w:t>
      </w:r>
      <w:r>
        <w:rPr>
          <w:rFonts w:ascii="华文仿宋" w:hAnsi="华文仿宋" w:cs="华文仿宋"/>
          <w:sz w:val="28"/>
          <w:szCs w:val="28"/>
        </w:rPr>
        <w:t>、实质性条款要求（以下条款须提供承诺函，未提供承诺函的视为无效投标）（第一、二、三标段均适用）</w:t>
      </w:r>
    </w:p>
    <w:p>
      <w:pPr>
        <w:spacing w:line="500" w:lineRule="exact"/>
        <w:ind w:firstLine="566" w:firstLineChars="200"/>
        <w:jc w:val="left"/>
        <w:textAlignment w:val="baseline"/>
        <w:rPr>
          <w:rFonts w:ascii="华文仿宋" w:hAnsi="华文仿宋" w:cs="华文仿宋"/>
          <w:b/>
          <w:bCs/>
        </w:rPr>
      </w:pPr>
      <w:r>
        <w:rPr>
          <w:rFonts w:hint="eastAsia" w:ascii="华文仿宋" w:hAnsi="华文仿宋" w:cs="华文仿宋"/>
          <w:b/>
          <w:bCs/>
          <w:lang w:eastAsia="zh-CN"/>
        </w:rPr>
        <w:t>（一）</w:t>
      </w:r>
      <w:r>
        <w:rPr>
          <w:rFonts w:hint="eastAsia" w:ascii="华文仿宋" w:hAnsi="华文仿宋" w:cs="华文仿宋"/>
          <w:b/>
          <w:bCs/>
          <w:spacing w:val="-4"/>
        </w:rPr>
        <w:t>投标人须承诺：完全满足本</w:t>
      </w:r>
      <w:r>
        <w:rPr>
          <w:rFonts w:hint="eastAsia" w:ascii="华文仿宋" w:hAnsi="华文仿宋" w:cs="华文仿宋"/>
          <w:b/>
          <w:bCs/>
          <w:spacing w:val="-4"/>
          <w:lang w:eastAsia="zh-CN"/>
        </w:rPr>
        <w:t>标段</w:t>
      </w:r>
      <w:r>
        <w:rPr>
          <w:rFonts w:hint="eastAsia" w:ascii="华文仿宋" w:hAnsi="华文仿宋" w:cs="华文仿宋"/>
          <w:b/>
          <w:bCs/>
          <w:spacing w:val="-4"/>
        </w:rPr>
        <w:t>全部采购货物数量要求</w:t>
      </w:r>
    </w:p>
    <w:p>
      <w:pPr>
        <w:widowControl w:val="0"/>
        <w:spacing w:line="500" w:lineRule="exact"/>
        <w:ind w:left="0" w:leftChars="0" w:firstLine="566" w:firstLineChars="200"/>
        <w:jc w:val="left"/>
        <w:textAlignment w:val="baseline"/>
        <w:rPr>
          <w:rFonts w:hint="default" w:ascii="华文仿宋" w:hAnsi="华文仿宋" w:eastAsia="华文仿宋" w:cs="华文仿宋"/>
          <w:b/>
          <w:bCs/>
          <w:sz w:val="28"/>
          <w:szCs w:val="28"/>
          <w:highlight w:val="none"/>
          <w:lang w:val="en-US" w:eastAsia="zh-CN"/>
        </w:rPr>
      </w:pPr>
      <w:r>
        <w:rPr>
          <w:rFonts w:hint="eastAsia" w:ascii="华文仿宋" w:hAnsi="华文仿宋" w:cs="华文仿宋"/>
          <w:b/>
          <w:bCs/>
          <w:lang w:eastAsia="zh-CN"/>
        </w:rPr>
        <w:t>（二）</w:t>
      </w:r>
      <w:r>
        <w:rPr>
          <w:rFonts w:hint="eastAsia" w:ascii="华文仿宋" w:hAnsi="华文仿宋" w:cs="华文仿宋"/>
          <w:b/>
          <w:bCs/>
          <w:spacing w:val="-4"/>
        </w:rPr>
        <w:t>投标人须承诺：所投产品出厂检测合格、全新、未启封过，无假货。</w:t>
      </w:r>
      <w:bookmarkEnd w:id="313"/>
      <w:bookmarkEnd w:id="314"/>
      <w:bookmarkEnd w:id="315"/>
      <w:bookmarkEnd w:id="316"/>
      <w:bookmarkEnd w:id="317"/>
      <w:bookmarkStart w:id="326" w:name="_Toc29744"/>
      <w:bookmarkStart w:id="327" w:name="_Toc12738"/>
    </w:p>
    <w:p>
      <w:pPr>
        <w:ind w:left="0" w:leftChars="0"/>
        <w:rPr>
          <w:rFonts w:hint="eastAsia" w:ascii="宋体" w:hAnsi="宋体" w:eastAsia="宋体" w:cs="宋体"/>
          <w:b/>
          <w:bCs/>
          <w:sz w:val="21"/>
          <w:szCs w:val="21"/>
          <w:highlight w:val="none"/>
        </w:rPr>
      </w:pPr>
    </w:p>
    <w:p>
      <w:pPr>
        <w:spacing w:line="400" w:lineRule="exact"/>
        <w:ind w:left="0" w:leftChars="0"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w:t>
      </w:r>
    </w:p>
    <w:p>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（1）“★”内容项为实质性条款，投标人应在第六章“投标文件构成及格式”中的“技术服务偏差表”处逐条响应“★”内容项，未逐条响应、有缺漏将被视为无效投标；</w:t>
      </w:r>
    </w:p>
    <w:p>
      <w:pPr>
        <w:spacing w:line="4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（2）根据招标文件要求，若“★”内容项须附相关证明材料，则投标人应将相关证明材料附至第六章“技术服务偏差表”（二）其他材料，如未按要求提供相关证明材料，将被视为无效投标；</w:t>
      </w:r>
    </w:p>
    <w:p>
      <w:pPr>
        <w:spacing w:line="400" w:lineRule="exact"/>
        <w:ind w:firstLine="426"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内容项为重要要求，投标人未达到这些要求或未响应将影响评分。</w:t>
      </w:r>
    </w:p>
    <w:p>
      <w:pPr>
        <w:spacing w:line="320" w:lineRule="exact"/>
        <w:rPr>
          <w:highlight w:val="none"/>
        </w:rPr>
        <w:sectPr>
          <w:headerReference r:id="rId7" w:type="default"/>
          <w:footerReference r:id="rId8" w:type="default"/>
          <w:pgSz w:w="11906" w:h="16838"/>
          <w:pgMar w:top="1417" w:right="1417" w:bottom="1417" w:left="1417" w:header="907" w:footer="794" w:gutter="0"/>
          <w:pgNumType w:start="1" w:chapStyle="1"/>
          <w:cols w:space="720" w:num="1"/>
          <w:docGrid w:type="linesAndChars" w:linePitch="381" w:charSpace="704"/>
        </w:sectPr>
      </w:pPr>
    </w:p>
    <w:bookmarkEnd w:id="326"/>
    <w:bookmarkEnd w:id="327"/>
    <w:p>
      <w:pPr>
        <w:jc w:val="center"/>
        <w:outlineLvl w:val="0"/>
        <w:rPr>
          <w:sz w:val="32"/>
          <w:szCs w:val="32"/>
          <w:highlight w:val="none"/>
        </w:rPr>
      </w:pPr>
      <w:bookmarkStart w:id="328" w:name="_Toc15519"/>
      <w:bookmarkStart w:id="329" w:name="_Toc22019"/>
      <w:bookmarkStart w:id="330" w:name="_Toc20880"/>
      <w:bookmarkStart w:id="331" w:name="_Toc15480"/>
      <w:bookmarkStart w:id="332" w:name="_Toc14437"/>
      <w:r>
        <w:rPr>
          <w:rFonts w:hint="eastAsia" w:ascii="黑体" w:hAnsi="黑体" w:eastAsia="黑体" w:cs="黑体"/>
          <w:sz w:val="32"/>
          <w:szCs w:val="32"/>
          <w:highlight w:val="none"/>
        </w:rPr>
        <w:t>第五章  合同基本条款</w:t>
      </w:r>
    </w:p>
    <w:p>
      <w:pPr>
        <w:pStyle w:val="3"/>
        <w:spacing w:line="500" w:lineRule="exact"/>
        <w:ind w:firstLine="566" w:firstLineChars="200"/>
        <w:rPr>
          <w:rFonts w:ascii="Calibri Light" w:hAnsi="Calibri Light"/>
          <w:sz w:val="28"/>
          <w:szCs w:val="28"/>
          <w:highlight w:val="none"/>
        </w:rPr>
      </w:pPr>
      <w:bookmarkStart w:id="333" w:name="_Toc25553"/>
      <w:bookmarkStart w:id="334" w:name="_Toc14082139"/>
      <w:bookmarkStart w:id="335" w:name="_Toc4166"/>
      <w:bookmarkStart w:id="336" w:name="_Toc8274"/>
      <w:bookmarkStart w:id="337" w:name="_Toc9085"/>
      <w:bookmarkStart w:id="338" w:name="_Toc8760"/>
      <w:bookmarkStart w:id="339" w:name="_Toc35871572"/>
      <w:bookmarkStart w:id="340" w:name="_Toc12594"/>
      <w:bookmarkStart w:id="341" w:name="_Toc4288"/>
      <w:bookmarkStart w:id="342" w:name="_Toc30955"/>
      <w:bookmarkStart w:id="343" w:name="_Toc23541"/>
      <w:r>
        <w:rPr>
          <w:rFonts w:ascii="Calibri Light" w:hAnsi="Calibri Light"/>
          <w:sz w:val="28"/>
          <w:szCs w:val="28"/>
          <w:highlight w:val="none"/>
        </w:rPr>
        <w:t>一、</w:t>
      </w:r>
      <w:r>
        <w:rPr>
          <w:rFonts w:hint="eastAsia" w:ascii="Calibri Light" w:hAnsi="Calibri Light"/>
          <w:sz w:val="28"/>
          <w:szCs w:val="28"/>
          <w:highlight w:val="none"/>
        </w:rPr>
        <w:t>交货</w:t>
      </w:r>
      <w:r>
        <w:rPr>
          <w:rFonts w:ascii="Calibri Light" w:hAnsi="Calibri Light"/>
          <w:sz w:val="28"/>
          <w:szCs w:val="28"/>
          <w:highlight w:val="none"/>
        </w:rPr>
        <w:t>条件</w:t>
      </w:r>
      <w:bookmarkEnd w:id="333"/>
      <w:bookmarkEnd w:id="334"/>
      <w:bookmarkEnd w:id="335"/>
      <w:bookmarkEnd w:id="336"/>
      <w:bookmarkEnd w:id="337"/>
      <w:bookmarkEnd w:id="338"/>
      <w:bookmarkEnd w:id="339"/>
    </w:p>
    <w:p>
      <w:pPr>
        <w:spacing w:line="500" w:lineRule="exact"/>
        <w:ind w:firstLine="566" w:firstLineChars="200"/>
        <w:rPr>
          <w:rFonts w:ascii="华文仿宋" w:hAnsi="华文仿宋" w:cs="华文仿宋"/>
          <w:sz w:val="24"/>
          <w:szCs w:val="24"/>
          <w:highlight w:val="none"/>
        </w:rPr>
      </w:pPr>
      <w:r>
        <w:rPr>
          <w:rFonts w:hint="eastAsia" w:ascii="华文仿宋" w:hAnsi="华文仿宋" w:cs="华文仿宋"/>
          <w:highlight w:val="none"/>
        </w:rPr>
        <w:t>（一）交货地点：西安石油大学鄠邑校区指定地点</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（二）交货时间：</w:t>
      </w:r>
      <w:bookmarkStart w:id="344" w:name="_Toc21445"/>
      <w:bookmarkStart w:id="345" w:name="_Toc11302"/>
      <w:r>
        <w:rPr>
          <w:rFonts w:hint="eastAsia" w:ascii="华文仿宋" w:hAnsi="华文仿宋" w:cs="华文仿宋"/>
          <w:highlight w:val="none"/>
          <w:lang w:val="en-US" w:eastAsia="zh-CN"/>
        </w:rPr>
        <w:t>合同签订后30日以内</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（三）质保期：</w:t>
      </w:r>
      <w:r>
        <w:rPr>
          <w:rFonts w:hint="eastAsia" w:ascii="华文仿宋" w:hAnsi="华文仿宋" w:cs="华文仿宋"/>
          <w:highlight w:val="none"/>
          <w:lang w:val="en-US" w:eastAsia="zh-CN"/>
        </w:rPr>
        <w:t>三</w:t>
      </w:r>
      <w:r>
        <w:rPr>
          <w:rFonts w:hint="eastAsia" w:ascii="华文仿宋" w:hAnsi="华文仿宋" w:cs="华文仿宋"/>
          <w:highlight w:val="none"/>
        </w:rPr>
        <w:t>年</w:t>
      </w:r>
    </w:p>
    <w:p>
      <w:pPr>
        <w:spacing w:line="500" w:lineRule="exact"/>
        <w:ind w:firstLine="566" w:firstLineChars="200"/>
        <w:outlineLvl w:val="1"/>
        <w:rPr>
          <w:rFonts w:ascii="华文仿宋" w:hAnsi="华文仿宋" w:cs="华文仿宋"/>
          <w:b/>
          <w:bCs/>
          <w:highlight w:val="none"/>
        </w:rPr>
      </w:pPr>
      <w:r>
        <w:rPr>
          <w:rFonts w:hint="eastAsia" w:ascii="华文仿宋" w:hAnsi="华文仿宋" w:cs="华文仿宋"/>
          <w:b/>
          <w:bCs/>
          <w:highlight w:val="none"/>
        </w:rPr>
        <w:t>二、合同价款</w:t>
      </w:r>
      <w:bookmarkEnd w:id="344"/>
      <w:bookmarkEnd w:id="345"/>
    </w:p>
    <w:p>
      <w:pPr>
        <w:spacing w:line="500" w:lineRule="exact"/>
        <w:ind w:firstLine="566" w:firstLineChars="200"/>
        <w:outlineLvl w:val="9"/>
        <w:rPr>
          <w:rFonts w:ascii="华文仿宋" w:hAnsi="华文仿宋" w:cs="华文仿宋"/>
          <w:b w:val="0"/>
          <w:bCs w:val="0"/>
          <w:sz w:val="28"/>
          <w:szCs w:val="28"/>
          <w:highlight w:val="none"/>
        </w:rPr>
      </w:pPr>
      <w:bookmarkStart w:id="346" w:name="_Toc22625"/>
      <w:bookmarkStart w:id="347" w:name="_Toc107"/>
      <w:r>
        <w:rPr>
          <w:rFonts w:hint="eastAsia" w:ascii="华文仿宋" w:hAnsi="华文仿宋" w:cs="华文仿宋"/>
          <w:b w:val="0"/>
          <w:bCs w:val="0"/>
          <w:sz w:val="28"/>
          <w:szCs w:val="28"/>
          <w:highlight w:val="none"/>
        </w:rPr>
        <w:t>合同总价一次性包死，不受市场价格变化因素的影响。</w:t>
      </w:r>
    </w:p>
    <w:p>
      <w:pPr>
        <w:pStyle w:val="3"/>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rPr>
        <w:t>三、款项结算</w:t>
      </w:r>
      <w:bookmarkEnd w:id="346"/>
    </w:p>
    <w:p>
      <w:pPr>
        <w:pStyle w:val="28"/>
        <w:spacing w:line="500" w:lineRule="exact"/>
        <w:ind w:firstLine="567"/>
        <w:rPr>
          <w:rFonts w:ascii="华文仿宋" w:hAnsi="华文仿宋" w:cs="华文仿宋"/>
          <w:highlight w:val="none"/>
        </w:rPr>
      </w:pPr>
      <w:r>
        <w:rPr>
          <w:rFonts w:hint="eastAsia" w:ascii="华文仿宋" w:hAnsi="华文仿宋" w:cs="华文仿宋"/>
          <w:highlight w:val="none"/>
        </w:rPr>
        <w:t>（一）支付方式：银行转账</w:t>
      </w:r>
    </w:p>
    <w:p>
      <w:pPr>
        <w:pStyle w:val="28"/>
        <w:spacing w:line="500" w:lineRule="exact"/>
        <w:ind w:firstLine="567"/>
        <w:rPr>
          <w:rFonts w:ascii="华文仿宋" w:hAnsi="华文仿宋" w:cs="华文仿宋"/>
          <w:highlight w:val="none"/>
        </w:rPr>
      </w:pPr>
      <w:r>
        <w:rPr>
          <w:rFonts w:hint="eastAsia" w:ascii="华文仿宋" w:hAnsi="华文仿宋" w:cs="华文仿宋"/>
          <w:highlight w:val="none"/>
        </w:rPr>
        <w:t>（二）货币单位：人民币</w:t>
      </w:r>
    </w:p>
    <w:p>
      <w:pPr>
        <w:keepNext/>
        <w:keepLines/>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（三）结算方式：</w:t>
      </w:r>
      <w:bookmarkStart w:id="348" w:name="_Toc18191"/>
      <w:bookmarkStart w:id="349" w:name="_Toc8545"/>
      <w:bookmarkStart w:id="350" w:name="_Toc21822"/>
      <w:bookmarkStart w:id="351" w:name="_Toc8934"/>
      <w:bookmarkStart w:id="352" w:name="_Toc11640"/>
      <w:bookmarkStart w:id="353" w:name="_Toc16040"/>
      <w:bookmarkStart w:id="354" w:name="_Toc23738"/>
    </w:p>
    <w:p>
      <w:pPr>
        <w:spacing w:line="500" w:lineRule="exact"/>
        <w:ind w:firstLine="566" w:firstLineChars="200"/>
        <w:rPr>
          <w:rFonts w:hint="eastAsia" w:ascii="华文仿宋" w:hAnsi="华文仿宋" w:cs="华文仿宋"/>
          <w:highlight w:val="none"/>
        </w:rPr>
      </w:pPr>
      <w:r>
        <w:rPr>
          <w:rFonts w:hint="eastAsia" w:ascii="仿宋" w:hAnsi="仿宋" w:eastAsia="仿宋" w:cs="仿宋"/>
          <w:color w:val="auto"/>
          <w:sz w:val="28"/>
          <w:szCs w:val="28"/>
          <w:highlight w:val="none"/>
          <w:u w:val="none"/>
        </w:rPr>
        <w:t>合同签订后5</w:t>
      </w:r>
      <w:r>
        <w:rPr>
          <w:rFonts w:hint="eastAsia" w:ascii="仿宋" w:hAnsi="仿宋" w:eastAsia="仿宋" w:cs="仿宋"/>
          <w:color w:val="auto"/>
          <w:sz w:val="28"/>
          <w:szCs w:val="28"/>
          <w:highlight w:val="none"/>
          <w:u w:val="none"/>
          <w:lang w:val="en-US" w:eastAsia="zh-CN"/>
        </w:rPr>
        <w:t>个工作</w:t>
      </w:r>
      <w:r>
        <w:rPr>
          <w:rFonts w:hint="eastAsia" w:ascii="仿宋" w:hAnsi="仿宋" w:eastAsia="仿宋" w:cs="仿宋"/>
          <w:color w:val="auto"/>
          <w:sz w:val="28"/>
          <w:szCs w:val="28"/>
          <w:highlight w:val="none"/>
          <w:u w:val="none"/>
        </w:rPr>
        <w:t>日内，采购人支付合同价款40%的预付款，且在自验收合格之日起</w:t>
      </w:r>
      <w:r>
        <w:rPr>
          <w:rFonts w:hint="eastAsia" w:ascii="仿宋" w:hAnsi="仿宋" w:eastAsia="仿宋" w:cs="仿宋"/>
          <w:color w:val="auto"/>
          <w:sz w:val="28"/>
          <w:szCs w:val="28"/>
          <w:highlight w:val="none"/>
          <w:u w:val="none"/>
          <w:lang w:val="en-US" w:eastAsia="zh-CN"/>
        </w:rPr>
        <w:t>10个工作</w:t>
      </w:r>
      <w:r>
        <w:rPr>
          <w:rFonts w:hint="eastAsia" w:ascii="仿宋" w:hAnsi="仿宋" w:eastAsia="仿宋" w:cs="仿宋"/>
          <w:color w:val="auto"/>
          <w:sz w:val="28"/>
          <w:szCs w:val="28"/>
          <w:highlight w:val="none"/>
          <w:u w:val="none"/>
        </w:rPr>
        <w:t>日内支付剩余款项。</w:t>
      </w:r>
    </w:p>
    <w:p>
      <w:pPr>
        <w:pStyle w:val="5"/>
        <w:spacing w:line="500" w:lineRule="exact"/>
        <w:ind w:firstLine="566" w:firstLineChars="200"/>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（四）履约保证金</w:t>
      </w:r>
    </w:p>
    <w:p>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1、履约保证金的收取合同签订前，</w:t>
      </w:r>
      <w:r>
        <w:rPr>
          <w:rFonts w:hint="eastAsia" w:ascii="仿宋" w:hAnsi="仿宋" w:eastAsia="仿宋" w:cs="仿宋"/>
          <w:b w:val="0"/>
          <w:bCs w:val="0"/>
          <w:color w:val="auto"/>
          <w:sz w:val="28"/>
          <w:szCs w:val="28"/>
          <w:highlight w:val="none"/>
          <w:lang w:val="en-US" w:eastAsia="zh-CN"/>
        </w:rPr>
        <w:t>成交供应商</w:t>
      </w:r>
      <w:r>
        <w:rPr>
          <w:rFonts w:hint="eastAsia" w:ascii="仿宋" w:hAnsi="仿宋" w:eastAsia="仿宋" w:cs="仿宋"/>
          <w:b w:val="0"/>
          <w:bCs w:val="0"/>
          <w:color w:val="auto"/>
          <w:sz w:val="28"/>
          <w:szCs w:val="28"/>
          <w:highlight w:val="none"/>
        </w:rPr>
        <w:t>须向采购人交纳履约保证金(履约保证金应采取支票、本票、汇票、保函等非现金形式提交)，履约保证金的数额为</w:t>
      </w:r>
      <w:r>
        <w:rPr>
          <w:rFonts w:hint="eastAsia" w:ascii="仿宋" w:hAnsi="仿宋" w:eastAsia="仿宋" w:cs="仿宋"/>
          <w:b w:val="0"/>
          <w:bCs w:val="0"/>
          <w:color w:val="auto"/>
          <w:sz w:val="28"/>
          <w:szCs w:val="28"/>
          <w:highlight w:val="none"/>
          <w:lang w:val="en-US" w:eastAsia="zh-CN"/>
        </w:rPr>
        <w:t>合同金额的3%（取整）</w:t>
      </w:r>
      <w:r>
        <w:rPr>
          <w:rFonts w:hint="eastAsia" w:ascii="仿宋" w:hAnsi="仿宋" w:eastAsia="仿宋" w:cs="仿宋"/>
          <w:b w:val="0"/>
          <w:bCs w:val="0"/>
          <w:color w:val="auto"/>
          <w:sz w:val="28"/>
          <w:szCs w:val="28"/>
          <w:highlight w:val="none"/>
        </w:rPr>
        <w:t>。</w:t>
      </w:r>
    </w:p>
    <w:p>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2、退还时间及方式</w:t>
      </w:r>
    </w:p>
    <w:p>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(1)退还时间：</w:t>
      </w:r>
      <w:r>
        <w:rPr>
          <w:rFonts w:hint="eastAsia" w:ascii="仿宋" w:hAnsi="仿宋" w:eastAsia="仿宋" w:cs="仿宋"/>
          <w:b w:val="0"/>
          <w:bCs w:val="0"/>
          <w:color w:val="auto"/>
          <w:sz w:val="28"/>
          <w:szCs w:val="28"/>
          <w:highlight w:val="none"/>
          <w:lang w:val="en-US" w:eastAsia="zh-CN"/>
        </w:rPr>
        <w:t>货物安装调试验收合格</w:t>
      </w:r>
      <w:r>
        <w:rPr>
          <w:rFonts w:hint="eastAsia" w:ascii="仿宋" w:hAnsi="仿宋" w:eastAsia="仿宋" w:cs="仿宋"/>
          <w:b w:val="0"/>
          <w:bCs w:val="0"/>
          <w:color w:val="auto"/>
          <w:sz w:val="28"/>
          <w:szCs w:val="28"/>
          <w:highlight w:val="none"/>
        </w:rPr>
        <w:t>后，采购人在10个工作日内，全额无息退还履约保证金。</w:t>
      </w:r>
    </w:p>
    <w:p>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color w:val="000000"/>
          <w:highlight w:val="none"/>
        </w:rPr>
        <w:t>退还方式：按照原方式退回</w:t>
      </w:r>
    </w:p>
    <w:p>
      <w:pPr>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3、不予退还的情形和逾期退还的违约责任由采购人与</w:t>
      </w:r>
      <w:r>
        <w:rPr>
          <w:rFonts w:hint="eastAsia" w:ascii="仿宋" w:hAnsi="仿宋" w:eastAsia="仿宋" w:cs="仿宋"/>
          <w:b w:val="0"/>
          <w:bCs w:val="0"/>
          <w:color w:val="auto"/>
          <w:sz w:val="28"/>
          <w:szCs w:val="28"/>
          <w:highlight w:val="none"/>
          <w:lang w:eastAsia="zh-CN"/>
        </w:rPr>
        <w:t>成交供应商投</w:t>
      </w:r>
      <w:r>
        <w:rPr>
          <w:rFonts w:hint="eastAsia" w:ascii="仿宋" w:hAnsi="仿宋" w:eastAsia="仿宋" w:cs="仿宋"/>
          <w:b w:val="0"/>
          <w:bCs w:val="0"/>
          <w:color w:val="auto"/>
          <w:sz w:val="28"/>
          <w:szCs w:val="28"/>
          <w:highlight w:val="none"/>
        </w:rPr>
        <w:t>在政府采购合同中进一步明确。</w:t>
      </w:r>
    </w:p>
    <w:p>
      <w:pPr>
        <w:widowControl w:val="0"/>
        <w:spacing w:line="400" w:lineRule="exact"/>
        <w:ind w:firstLine="426" w:firstLineChars="200"/>
        <w:rPr>
          <w:rFonts w:hint="eastAsia" w:ascii="华文仿宋" w:hAnsi="华文仿宋" w:cs="华文仿宋"/>
          <w:highlight w:val="none"/>
        </w:rPr>
      </w:pPr>
      <w:r>
        <w:rPr>
          <w:rFonts w:hint="eastAsia" w:ascii="宋体" w:hAnsi="宋体" w:eastAsia="宋体" w:cs="宋体"/>
          <w:b w:val="0"/>
          <w:bCs w:val="0"/>
          <w:color w:val="auto"/>
          <w:sz w:val="21"/>
          <w:szCs w:val="21"/>
          <w:highlight w:val="none"/>
        </w:rPr>
        <w:t>备注:履约保证金的相关事宜，按照《陕西省财政厅关于进一步加大政府采购支持中小企业力度的通知》(陕财办采〔2022〕5号)的有关规定执行。</w:t>
      </w:r>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四、在签订合同前，中标人应按照招标文件第四章《招标内容及采购要求》中所有承诺事项要求落实，如未在规定时限内按要求完成所承诺事项的，则视为主动放弃中标资格。</w:t>
      </w:r>
      <w:bookmarkEnd w:id="348"/>
    </w:p>
    <w:p>
      <w:pPr>
        <w:pStyle w:val="3"/>
        <w:spacing w:line="500" w:lineRule="exact"/>
        <w:ind w:firstLine="566" w:firstLineChars="200"/>
        <w:jc w:val="left"/>
        <w:rPr>
          <w:rFonts w:ascii="华文仿宋" w:hAnsi="华文仿宋" w:cs="华文仿宋"/>
          <w:sz w:val="28"/>
          <w:szCs w:val="28"/>
          <w:highlight w:val="none"/>
        </w:rPr>
      </w:pPr>
      <w:bookmarkStart w:id="355" w:name="_Toc27799"/>
      <w:r>
        <w:rPr>
          <w:rFonts w:hint="eastAsia" w:ascii="华文仿宋" w:hAnsi="华文仿宋" w:cs="华文仿宋"/>
          <w:sz w:val="28"/>
          <w:szCs w:val="28"/>
          <w:highlight w:val="none"/>
        </w:rPr>
        <w:t>五、运输</w:t>
      </w:r>
    </w:p>
    <w:p>
      <w:pPr>
        <w:spacing w:line="500" w:lineRule="exact"/>
        <w:ind w:firstLine="566" w:firstLineChars="200"/>
        <w:jc w:val="left"/>
        <w:outlineLvl w:val="9"/>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（一）运输由中标人负责，运杂费已包含在合同总价内。</w:t>
      </w:r>
    </w:p>
    <w:p>
      <w:pPr>
        <w:spacing w:line="500" w:lineRule="exact"/>
        <w:ind w:firstLine="566" w:firstLineChars="200"/>
        <w:jc w:val="left"/>
        <w:outlineLvl w:val="9"/>
        <w:rPr>
          <w:rFonts w:ascii="华文仿宋" w:hAnsi="华文仿宋" w:cs="华文仿宋"/>
          <w:b w:val="0"/>
          <w:bCs w:val="0"/>
          <w:sz w:val="28"/>
          <w:szCs w:val="28"/>
          <w:highlight w:val="none"/>
        </w:rPr>
      </w:pPr>
      <w:r>
        <w:rPr>
          <w:rFonts w:hint="eastAsia" w:ascii="华文仿宋" w:hAnsi="华文仿宋" w:cs="华文仿宋"/>
          <w:b w:val="0"/>
          <w:bCs w:val="0"/>
          <w:sz w:val="28"/>
          <w:szCs w:val="28"/>
          <w:highlight w:val="none"/>
        </w:rPr>
        <w:t>（二）运输方式由中标人自行选择，包装必须符合国家标准行业标准，满足航空、铁路或公路运输以及货物装卸要求，保证采购人收到的是无任何损伤的货物，否则，因此造成的损失由中标人自行承担。同时，中标人必须保证如期交付，不得断货，否则，因断货造成的损失由中标人负责赔偿。</w:t>
      </w:r>
    </w:p>
    <w:p>
      <w:pPr>
        <w:pStyle w:val="28"/>
        <w:widowControl w:val="0"/>
        <w:spacing w:line="500" w:lineRule="exact"/>
        <w:ind w:firstLine="567"/>
        <w:outlineLvl w:val="9"/>
        <w:rPr>
          <w:rFonts w:ascii="华文仿宋" w:hAnsi="华文仿宋" w:cs="华文仿宋"/>
          <w:highlight w:val="none"/>
        </w:rPr>
      </w:pPr>
      <w:r>
        <w:rPr>
          <w:rFonts w:hint="eastAsia" w:ascii="华文仿宋" w:hAnsi="华文仿宋" w:cs="华文仿宋"/>
          <w:highlight w:val="none"/>
        </w:rPr>
        <w:t>（三）除合同另有规定外，中标人提供的全部货物，均应按标准保护措施进行包装。包装应适应于远距离运输、防潮、防震、防锈和防野蛮装卸，以确保货物安全无损运抵项目现场。</w:t>
      </w:r>
    </w:p>
    <w:p>
      <w:pPr>
        <w:pStyle w:val="28"/>
        <w:widowControl w:val="0"/>
        <w:spacing w:line="500" w:lineRule="exact"/>
        <w:ind w:firstLine="567"/>
        <w:outlineLvl w:val="9"/>
        <w:rPr>
          <w:rFonts w:ascii="华文仿宋" w:hAnsi="华文仿宋" w:cs="华文仿宋"/>
          <w:highlight w:val="none"/>
        </w:rPr>
      </w:pPr>
      <w:r>
        <w:rPr>
          <w:rFonts w:hint="eastAsia" w:ascii="华文仿宋" w:hAnsi="华文仿宋" w:cs="华文仿宋"/>
          <w:highlight w:val="none"/>
        </w:rPr>
        <w:t>（四）中标人提供的产品及相关快递服务的包装要求，按照《商品包装政府采购需求标准（试行）》、《快递包装政府采购需求标准（试行）》执行。</w:t>
      </w:r>
    </w:p>
    <w:bookmarkEnd w:id="347"/>
    <w:bookmarkEnd w:id="349"/>
    <w:bookmarkEnd w:id="350"/>
    <w:bookmarkEnd w:id="351"/>
    <w:bookmarkEnd w:id="352"/>
    <w:bookmarkEnd w:id="353"/>
    <w:bookmarkEnd w:id="354"/>
    <w:bookmarkEnd w:id="355"/>
    <w:p>
      <w:pPr>
        <w:pStyle w:val="3"/>
        <w:spacing w:line="500" w:lineRule="exact"/>
        <w:ind w:firstLine="566" w:firstLineChars="200"/>
        <w:rPr>
          <w:rFonts w:hint="eastAsia" w:ascii="华文仿宋" w:hAnsi="华文仿宋" w:cs="华文仿宋"/>
          <w:sz w:val="28"/>
          <w:szCs w:val="28"/>
          <w:highlight w:val="none"/>
          <w:lang w:val="en-US" w:eastAsia="zh-CN"/>
        </w:rPr>
      </w:pPr>
      <w:bookmarkStart w:id="356" w:name="_Toc25497"/>
      <w:bookmarkStart w:id="357" w:name="_Toc29437"/>
      <w:bookmarkStart w:id="358" w:name="_Toc597"/>
      <w:bookmarkStart w:id="359" w:name="_Toc24576"/>
      <w:bookmarkStart w:id="360" w:name="_Toc4397"/>
      <w:bookmarkStart w:id="361" w:name="_Toc1078"/>
      <w:r>
        <w:rPr>
          <w:rFonts w:hint="eastAsia" w:ascii="华文仿宋" w:hAnsi="华文仿宋" w:cs="华文仿宋"/>
          <w:sz w:val="28"/>
          <w:szCs w:val="28"/>
          <w:highlight w:val="none"/>
          <w:lang w:val="en-US" w:eastAsia="zh-CN"/>
        </w:rPr>
        <w:t>六、产品保修期（三包期）内，修理、更换、退货要求</w:t>
      </w:r>
    </w:p>
    <w:p>
      <w:pPr>
        <w:pStyle w:val="3"/>
        <w:spacing w:line="500" w:lineRule="exact"/>
        <w:ind w:firstLine="566" w:firstLineChars="200"/>
        <w:rPr>
          <w:rFonts w:hint="eastAsia" w:ascii="华文仿宋" w:hAnsi="华文仿宋" w:cs="华文仿宋"/>
          <w:b w:val="0"/>
          <w:bCs w:val="0"/>
          <w:sz w:val="28"/>
          <w:szCs w:val="28"/>
          <w:highlight w:val="none"/>
          <w:lang w:val="en-US" w:eastAsia="zh-CN"/>
        </w:rPr>
      </w:pPr>
      <w:r>
        <w:rPr>
          <w:rFonts w:hint="eastAsia" w:ascii="华文仿宋" w:hAnsi="华文仿宋" w:cs="华文仿宋"/>
          <w:b w:val="0"/>
          <w:bCs w:val="0"/>
          <w:sz w:val="28"/>
          <w:szCs w:val="28"/>
          <w:highlight w:val="none"/>
          <w:lang w:val="en-US" w:eastAsia="zh-CN"/>
        </w:rPr>
        <w:t>（一）中标人提供的产品及设备质保期限三年（从安装完成经采购人验收合格之日算起），终身维护。质保期内中标人接到采购人反映电话后，2小时内响应，24小时内派技术人员到现场，72小时解决问题，如出现超过72小时未维修好，中标人应向采购人提供同类新产品替代，以保证采购人的正常使用。质保期外，中标人只收取材料费。</w:t>
      </w:r>
    </w:p>
    <w:p>
      <w:pPr>
        <w:pStyle w:val="3"/>
        <w:spacing w:line="500" w:lineRule="exact"/>
        <w:ind w:firstLine="566" w:firstLineChars="200"/>
        <w:rPr>
          <w:rFonts w:hint="eastAsia" w:ascii="华文仿宋" w:hAnsi="华文仿宋" w:cs="华文仿宋"/>
          <w:b w:val="0"/>
          <w:bCs w:val="0"/>
          <w:sz w:val="28"/>
          <w:szCs w:val="28"/>
          <w:highlight w:val="none"/>
          <w:lang w:val="en-US" w:eastAsia="zh-CN"/>
        </w:rPr>
      </w:pPr>
      <w:r>
        <w:rPr>
          <w:rFonts w:hint="eastAsia" w:ascii="华文仿宋" w:hAnsi="华文仿宋" w:cs="华文仿宋"/>
          <w:b w:val="0"/>
          <w:bCs w:val="0"/>
          <w:sz w:val="28"/>
          <w:szCs w:val="28"/>
          <w:highlight w:val="none"/>
          <w:lang w:val="en-US" w:eastAsia="zh-CN"/>
        </w:rPr>
        <w:t>（二）安装调试后，中标人免费为采购人提供现场操作培训，通过培训使用户人员了解设备工作原理，熟悉设备的安装及使用、维护方法，掌握各种设备的初始化及故障诊断、定位和排除技能。</w:t>
      </w:r>
    </w:p>
    <w:p>
      <w:pPr>
        <w:pStyle w:val="3"/>
        <w:spacing w:line="500" w:lineRule="exact"/>
        <w:ind w:firstLine="566" w:firstLineChars="200"/>
        <w:rPr>
          <w:rFonts w:hint="eastAsia" w:ascii="华文仿宋" w:hAnsi="华文仿宋" w:cs="华文仿宋"/>
          <w:b w:val="0"/>
          <w:bCs w:val="0"/>
          <w:sz w:val="28"/>
          <w:szCs w:val="28"/>
          <w:highlight w:val="none"/>
          <w:lang w:val="en-US" w:eastAsia="zh-CN"/>
        </w:rPr>
      </w:pPr>
      <w:r>
        <w:rPr>
          <w:rFonts w:hint="eastAsia" w:ascii="华文仿宋" w:hAnsi="华文仿宋" w:cs="华文仿宋"/>
          <w:b w:val="0"/>
          <w:bCs w:val="0"/>
          <w:sz w:val="28"/>
          <w:szCs w:val="28"/>
          <w:highlight w:val="none"/>
          <w:lang w:val="en-US" w:eastAsia="zh-CN"/>
        </w:rPr>
        <w:t>（三）设备正式使用后，定期回访，当设备出现重大缺陷问题而影响到采购人实际应用时需及时响应并派人到现场解决。</w:t>
      </w:r>
    </w:p>
    <w:p>
      <w:pPr>
        <w:pStyle w:val="3"/>
        <w:spacing w:line="500" w:lineRule="exact"/>
        <w:ind w:firstLine="566" w:firstLineChars="200"/>
        <w:rPr>
          <w:rFonts w:ascii="华文仿宋" w:hAnsi="华文仿宋" w:cs="华文仿宋"/>
          <w:sz w:val="28"/>
          <w:szCs w:val="28"/>
          <w:highlight w:val="none"/>
        </w:rPr>
      </w:pPr>
      <w:r>
        <w:rPr>
          <w:rStyle w:val="29"/>
          <w:rFonts w:hint="eastAsia"/>
          <w:b/>
          <w:bCs/>
          <w:sz w:val="28"/>
          <w:szCs w:val="28"/>
          <w:highlight w:val="none"/>
          <w:lang w:val="en-US" w:eastAsia="zh-CN"/>
        </w:rPr>
        <w:t>七</w:t>
      </w:r>
      <w:r>
        <w:rPr>
          <w:rStyle w:val="29"/>
          <w:rFonts w:hint="eastAsia"/>
          <w:b/>
          <w:bCs/>
          <w:sz w:val="28"/>
          <w:szCs w:val="28"/>
          <w:highlight w:val="none"/>
        </w:rPr>
        <w:t>、</w:t>
      </w:r>
      <w:r>
        <w:rPr>
          <w:rFonts w:hint="eastAsia" w:ascii="华文仿宋" w:hAnsi="华文仿宋" w:cs="华文仿宋"/>
          <w:sz w:val="28"/>
          <w:szCs w:val="28"/>
          <w:highlight w:val="none"/>
        </w:rPr>
        <w:t>验收</w:t>
      </w:r>
    </w:p>
    <w:bookmarkEnd w:id="340"/>
    <w:bookmarkEnd w:id="341"/>
    <w:bookmarkEnd w:id="342"/>
    <w:bookmarkEnd w:id="343"/>
    <w:bookmarkEnd w:id="356"/>
    <w:bookmarkEnd w:id="357"/>
    <w:bookmarkEnd w:id="358"/>
    <w:bookmarkEnd w:id="359"/>
    <w:bookmarkEnd w:id="360"/>
    <w:bookmarkEnd w:id="361"/>
    <w:p>
      <w:pPr>
        <w:spacing w:line="500" w:lineRule="exact"/>
        <w:ind w:firstLine="566" w:firstLineChars="200"/>
        <w:rPr>
          <w:rFonts w:ascii="华文仿宋" w:hAnsi="华文仿宋" w:cs="华文仿宋"/>
          <w:highlight w:val="none"/>
        </w:rPr>
      </w:pPr>
      <w:bookmarkStart w:id="362" w:name="_Toc13224"/>
      <w:bookmarkStart w:id="363" w:name="_Toc32352"/>
      <w:bookmarkStart w:id="364" w:name="_Toc27590"/>
      <w:r>
        <w:rPr>
          <w:rFonts w:hint="eastAsia" w:ascii="华文仿宋" w:hAnsi="华文仿宋" w:cs="华文仿宋"/>
          <w:highlight w:val="none"/>
        </w:rPr>
        <w:t>中标人货物经过双方检验认可后，签署验收报告，产品保修期自验收合格之日起算，由中标人提供产品保修文件。</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当满足以下条件时，采购人才向中标人签发货物验收报告：</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（1）中标人已按照合同规定提供了全部产品及完整的技术资料。</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（2）货物符合招标文件和投标文件技术规格要求，性能满足要求。</w:t>
      </w:r>
    </w:p>
    <w:p>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（3）货物具备产品合格证。</w:t>
      </w:r>
    </w:p>
    <w:p>
      <w:pPr>
        <w:spacing w:line="500" w:lineRule="exact"/>
        <w:ind w:firstLine="566" w:firstLineChars="200"/>
        <w:rPr>
          <w:rFonts w:hint="eastAsia" w:ascii="华文仿宋" w:hAnsi="华文仿宋" w:cs="华文仿宋"/>
          <w:highlight w:val="none"/>
        </w:rPr>
      </w:pPr>
      <w:r>
        <w:rPr>
          <w:rFonts w:hint="eastAsia" w:ascii="华文仿宋" w:hAnsi="华文仿宋" w:cs="华文仿宋"/>
          <w:highlight w:val="none"/>
        </w:rPr>
        <w:t>（4）</w:t>
      </w:r>
      <w:r>
        <w:rPr>
          <w:rFonts w:hint="eastAsia" w:ascii="仿宋" w:hAnsi="仿宋" w:eastAsia="仿宋" w:cs="仿宋"/>
          <w:szCs w:val="24"/>
          <w:u w:val="none"/>
        </w:rPr>
        <w:t>购买方进行破坏性验收</w:t>
      </w:r>
      <w:r>
        <w:rPr>
          <w:rFonts w:hint="eastAsia" w:ascii="仿宋" w:hAnsi="仿宋" w:eastAsia="仿宋" w:cs="仿宋"/>
          <w:szCs w:val="24"/>
          <w:u w:val="none"/>
          <w:lang w:eastAsia="zh-CN"/>
        </w:rPr>
        <w:t>。</w:t>
      </w:r>
      <w:r>
        <w:rPr>
          <w:rFonts w:hint="eastAsia" w:ascii="仿宋" w:hAnsi="仿宋" w:eastAsia="仿宋" w:cs="仿宋"/>
          <w:szCs w:val="24"/>
          <w:u w:val="none"/>
        </w:rPr>
        <w:t>（随机抽一套）</w:t>
      </w:r>
    </w:p>
    <w:bookmarkEnd w:id="362"/>
    <w:bookmarkEnd w:id="363"/>
    <w:bookmarkEnd w:id="364"/>
    <w:p>
      <w:pPr>
        <w:pStyle w:val="3"/>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八</w:t>
      </w:r>
      <w:r>
        <w:rPr>
          <w:rFonts w:hint="eastAsia" w:ascii="华文仿宋" w:hAnsi="华文仿宋" w:cs="华文仿宋"/>
          <w:sz w:val="28"/>
          <w:szCs w:val="28"/>
          <w:highlight w:val="none"/>
        </w:rPr>
        <w:t>、违约责任</w:t>
      </w:r>
    </w:p>
    <w:p>
      <w:pPr>
        <w:spacing w:line="500" w:lineRule="exact"/>
        <w:ind w:firstLine="566" w:firstLineChars="200"/>
        <w:outlineLvl w:val="9"/>
        <w:rPr>
          <w:rFonts w:ascii="华文仿宋" w:hAnsi="华文仿宋" w:cs="华文仿宋"/>
          <w:highlight w:val="none"/>
        </w:rPr>
      </w:pPr>
      <w:r>
        <w:rPr>
          <w:rFonts w:hint="eastAsia" w:ascii="华文仿宋" w:hAnsi="华文仿宋" w:cs="华文仿宋"/>
          <w:highlight w:val="none"/>
        </w:rPr>
        <w:t>（一）按</w:t>
      </w:r>
      <w:r>
        <w:rPr>
          <w:rFonts w:hint="eastAsia" w:ascii="华文仿宋" w:hAnsi="华文仿宋" w:cs="华文仿宋"/>
          <w:color w:val="000000"/>
          <w:highlight w:val="none"/>
        </w:rPr>
        <w:t>《中华人民共和国民法典》</w:t>
      </w:r>
      <w:r>
        <w:rPr>
          <w:rFonts w:hint="eastAsia" w:ascii="华文仿宋" w:hAnsi="华文仿宋" w:cs="华文仿宋"/>
          <w:highlight w:val="none"/>
        </w:rPr>
        <w:t>中的相关条款执行。</w:t>
      </w:r>
    </w:p>
    <w:p>
      <w:pPr>
        <w:spacing w:line="500" w:lineRule="exact"/>
        <w:ind w:firstLine="566" w:firstLineChars="200"/>
        <w:outlineLvl w:val="9"/>
        <w:rPr>
          <w:rFonts w:ascii="华文仿宋" w:hAnsi="华文仿宋" w:cs="华文仿宋"/>
          <w:highlight w:val="none"/>
        </w:rPr>
      </w:pPr>
      <w:r>
        <w:rPr>
          <w:rFonts w:hint="eastAsia" w:ascii="华文仿宋" w:hAnsi="华文仿宋" w:cs="华文仿宋"/>
          <w:highlight w:val="none"/>
        </w:rPr>
        <w:t>（二）中标人未按合同约定的交货日期交货的，每逾期一日，向采购人支付逾期交付货物价款的</w:t>
      </w:r>
      <w:r>
        <w:rPr>
          <w:rFonts w:hint="eastAsia" w:ascii="华文仿宋" w:hAnsi="华文仿宋" w:cs="华文仿宋"/>
          <w:highlight w:val="none"/>
          <w:u w:val="single"/>
          <w:lang w:val="en-US" w:eastAsia="zh-CN"/>
        </w:rPr>
        <w:t>0.03</w:t>
      </w:r>
      <w:r>
        <w:rPr>
          <w:rFonts w:ascii="华文仿宋" w:hAnsi="华文仿宋" w:cs="华文仿宋"/>
          <w:highlight w:val="none"/>
          <w:u w:val="single"/>
        </w:rPr>
        <w:t>%</w:t>
      </w:r>
      <w:r>
        <w:rPr>
          <w:rFonts w:hint="eastAsia" w:ascii="华文仿宋" w:hAnsi="华文仿宋" w:cs="华文仿宋"/>
          <w:highlight w:val="none"/>
        </w:rPr>
        <w:t>的违约金，但不超过合同总金额的</w:t>
      </w:r>
      <w:r>
        <w:rPr>
          <w:rFonts w:ascii="华文仿宋" w:hAnsi="华文仿宋" w:cs="华文仿宋"/>
          <w:highlight w:val="none"/>
        </w:rPr>
        <w:t>10%。中标</w:t>
      </w:r>
      <w:r>
        <w:rPr>
          <w:rFonts w:hint="eastAsia" w:ascii="华文仿宋" w:hAnsi="华文仿宋" w:cs="华文仿宋"/>
          <w:highlight w:val="none"/>
        </w:rPr>
        <w:t>人</w:t>
      </w:r>
      <w:r>
        <w:rPr>
          <w:rFonts w:ascii="华文仿宋" w:hAnsi="华文仿宋" w:cs="华文仿宋"/>
          <w:highlight w:val="none"/>
        </w:rPr>
        <w:t>支付逾期交货违约金并不免除其交货的责任。</w:t>
      </w:r>
    </w:p>
    <w:p>
      <w:pPr>
        <w:spacing w:line="500" w:lineRule="exact"/>
        <w:ind w:firstLine="566" w:firstLineChars="200"/>
        <w:outlineLvl w:val="9"/>
        <w:rPr>
          <w:rFonts w:hint="eastAsia" w:ascii="华文仿宋" w:hAnsi="华文仿宋" w:cs="华文仿宋"/>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三</w:t>
      </w:r>
      <w:r>
        <w:rPr>
          <w:rFonts w:hint="eastAsia" w:ascii="华文仿宋" w:hAnsi="华文仿宋" w:cs="华文仿宋"/>
          <w:highlight w:val="none"/>
        </w:rPr>
        <w:t>）如中标人在政府采购合同规定的交货日期后</w:t>
      </w:r>
      <w:r>
        <w:rPr>
          <w:rFonts w:ascii="华文仿宋" w:hAnsi="华文仿宋" w:cs="华文仿宋"/>
          <w:highlight w:val="none"/>
        </w:rPr>
        <w:t>10</w:t>
      </w:r>
      <w:r>
        <w:rPr>
          <w:rFonts w:hint="eastAsia" w:ascii="华文仿宋" w:hAnsi="华文仿宋" w:cs="华文仿宋"/>
          <w:highlight w:val="none"/>
        </w:rPr>
        <w:t>天内仍未能交货，则视为中标人不能交货，采购人有权解除政府采购合同，中标人除退还已收取的货款外，还应向采购人偿付政府采购合同总金额</w:t>
      </w:r>
      <w:r>
        <w:rPr>
          <w:rFonts w:hint="eastAsia" w:ascii="华文仿宋" w:hAnsi="华文仿宋" w:cs="华文仿宋"/>
          <w:highlight w:val="none"/>
          <w:u w:val="single"/>
        </w:rPr>
        <w:t>10%</w:t>
      </w:r>
      <w:r>
        <w:rPr>
          <w:rFonts w:hint="eastAsia" w:ascii="华文仿宋" w:hAnsi="华文仿宋" w:cs="华文仿宋"/>
          <w:highlight w:val="none"/>
        </w:rPr>
        <w:t>的违约金。</w:t>
      </w:r>
    </w:p>
    <w:p>
      <w:pPr>
        <w:spacing w:line="500" w:lineRule="exact"/>
        <w:ind w:firstLine="566" w:firstLineChars="200"/>
        <w:outlineLvl w:val="9"/>
        <w:rPr>
          <w:rFonts w:ascii="华文仿宋" w:hAnsi="华文仿宋" w:eastAsia="仿宋" w:cs="华文仿宋"/>
          <w:szCs w:val="22"/>
          <w:highlight w:val="none"/>
        </w:rPr>
      </w:pPr>
      <w:r>
        <w:rPr>
          <w:rFonts w:hint="eastAsia" w:ascii="华文仿宋" w:hAnsi="华文仿宋" w:cs="华文仿宋"/>
          <w:highlight w:val="none"/>
        </w:rPr>
        <w:t>（</w:t>
      </w:r>
      <w:r>
        <w:rPr>
          <w:rFonts w:hint="eastAsia" w:ascii="华文仿宋" w:hAnsi="华文仿宋" w:cs="华文仿宋"/>
          <w:highlight w:val="none"/>
          <w:lang w:val="en-US" w:eastAsia="zh-CN"/>
        </w:rPr>
        <w:t>四</w:t>
      </w:r>
      <w:r>
        <w:rPr>
          <w:rFonts w:hint="eastAsia" w:ascii="华文仿宋" w:hAnsi="华文仿宋" w:cs="华文仿宋"/>
          <w:highlight w:val="none"/>
        </w:rPr>
        <w:t>）</w:t>
      </w:r>
      <w:bookmarkStart w:id="365" w:name="_Toc5100"/>
      <w:bookmarkStart w:id="366" w:name="_Toc14133"/>
      <w:bookmarkStart w:id="367" w:name="_Toc11262"/>
      <w:bookmarkStart w:id="368" w:name="_Toc956"/>
      <w:r>
        <w:rPr>
          <w:rFonts w:hint="eastAsia" w:ascii="华文仿宋" w:hAnsi="华文仿宋" w:cs="华文仿宋"/>
          <w:highlight w:val="none"/>
        </w:rPr>
        <w:t>中标供应商所交付货物及伴随的工程或服务不符合其投标承诺，存在偷工减料、以次充好情形的，采购人要求更换一次后仍不符合约定的，采购人有权解除政府采购合同，没收履约保证金，并将有关情况上报政府采购监管部门处理。</w:t>
      </w:r>
    </w:p>
    <w:p>
      <w:pPr>
        <w:pStyle w:val="3"/>
        <w:keepNext w:val="0"/>
        <w:widowControl w:val="0"/>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九</w:t>
      </w:r>
      <w:r>
        <w:rPr>
          <w:rFonts w:hint="eastAsia" w:ascii="华文仿宋" w:hAnsi="华文仿宋" w:cs="华文仿宋"/>
          <w:sz w:val="28"/>
          <w:szCs w:val="28"/>
          <w:highlight w:val="none"/>
        </w:rPr>
        <w:t>、争议解决</w:t>
      </w:r>
      <w:bookmarkEnd w:id="365"/>
      <w:bookmarkEnd w:id="366"/>
      <w:bookmarkEnd w:id="367"/>
      <w:bookmarkEnd w:id="368"/>
    </w:p>
    <w:p>
      <w:pPr>
        <w:spacing w:line="500" w:lineRule="exact"/>
        <w:ind w:firstLine="566" w:firstLineChars="200"/>
        <w:rPr>
          <w:rFonts w:ascii="华文仿宋" w:hAnsi="华文仿宋" w:cs="华文仿宋"/>
          <w:b/>
          <w:bCs/>
          <w:highlight w:val="none"/>
        </w:rPr>
      </w:pPr>
      <w:r>
        <w:rPr>
          <w:rFonts w:hint="eastAsia" w:ascii="华文仿宋" w:hAnsi="华文仿宋" w:cs="华文仿宋"/>
          <w:highlight w:val="none"/>
        </w:rPr>
        <w:t>执行本合同中产生纠纷，由采购人与中标人双方协商解决；协商不成，向有管辖权的人民法院提起诉讼。</w:t>
      </w:r>
    </w:p>
    <w:p>
      <w:pPr>
        <w:pStyle w:val="3"/>
        <w:keepNext w:val="0"/>
        <w:keepLines w:val="0"/>
        <w:widowControl w:val="0"/>
        <w:numPr>
          <w:ilvl w:val="0"/>
          <w:numId w:val="0"/>
        </w:numPr>
        <w:spacing w:line="500" w:lineRule="exact"/>
        <w:ind w:firstLine="566" w:firstLineChars="200"/>
        <w:rPr>
          <w:rFonts w:hint="eastAsia" w:ascii="仿宋" w:hAnsi="仿宋" w:eastAsia="仿宋" w:cs="仿宋"/>
          <w:sz w:val="28"/>
          <w:szCs w:val="28"/>
          <w:highlight w:val="none"/>
        </w:rPr>
      </w:pPr>
      <w:bookmarkStart w:id="369" w:name="_Toc780"/>
      <w:bookmarkStart w:id="370" w:name="_Toc20997"/>
      <w:bookmarkStart w:id="371" w:name="_Toc18805"/>
      <w:bookmarkStart w:id="372" w:name="_Toc526"/>
      <w:bookmarkStart w:id="373" w:name="_Toc2376"/>
      <w:bookmarkStart w:id="374" w:name="_Toc2214"/>
      <w:bookmarkStart w:id="375" w:name="_Toc7237"/>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采购人及中标人的权利和义务</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甲方：采购人 乙方：中标人</w:t>
      </w:r>
      <w:r>
        <w:rPr>
          <w:rFonts w:hint="eastAsia" w:ascii="仿宋" w:hAnsi="仿宋" w:eastAsia="仿宋" w:cs="仿宋"/>
          <w:sz w:val="28"/>
          <w:szCs w:val="28"/>
          <w:highlight w:val="none"/>
          <w:lang w:eastAsia="zh-CN"/>
        </w:rPr>
        <w:t>）</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（一）甲方的权利和义务</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1、甲方有权要求乙方供货的项目内容符合招标文件相关规范，提供一套符合甲方采购需求的样品，作为在交付验收时，能够通过甲方验收。</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2、甲方有权要求乙方配合甲方完成所采购项目内容的预验收工作以及正式验收工作。</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3、甲方有权要求乙方提供的产品所涉及的第三方权利进行免责。</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4、甲方有权对采购的产品及设备进行抽检，抽检发现甲醛等有害物超标的将由乙方负责所有家具的除甲醛等有害物服务，抽检费用、除甲醛等有害物费用等产生的费用由乙方全部承担。</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5、因乙方原因供货延误，给甲方造成损失或被第三方要求索赔的，乙方应全额承担。</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6、甲方有义务及时确认样品，如因样品确认时间延误，工期顺延。</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7、甲方确认样品，乙方下单生产后，甲方不得无故更改货品的颜色、尺寸及取消己定之货物，如甲方确需必须更改，所造成的损失由甲方承担。</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8、甲方有义务保证按合同所规定的内容及时间支付乙方相关费用。</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（二）乙方的权利和义务</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1、乙方应按本合同的规定按时供货，并保证产品质量符合招标要求。</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2、乙方有义务配合甲方参与项目的验收工作，并确保所供货物符合本项目国家现行标准。</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3、乙方产品进场时应充分了解甲方的现场各项管理标准文件，并在进场后全面服从甲方的管理制度、管理细则等。</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4、遵守货物安装施工的有关规定，做好施工现场安全管理；协助甲方做好施工现场的安全保卫、防火防盗工作，确保施工顺利进行；接受甲方现场管理人员的监督和检查，保证施工质量和安全文明施工。</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5、按甲方指定地点将货物码放整齐，及时清运过程中产生的垃圾，保持现场整洁。</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6、遵守国家对施工现场交通、市容和施工噪音的管理规定。</w:t>
      </w:r>
    </w:p>
    <w:p>
      <w:pPr>
        <w:pStyle w:val="5"/>
        <w:widowControl w:val="0"/>
        <w:numPr>
          <w:ilvl w:val="0"/>
          <w:numId w:val="0"/>
        </w:numPr>
        <w:spacing w:line="500" w:lineRule="exact"/>
        <w:ind w:firstLine="566" w:firstLineChars="200"/>
        <w:rPr>
          <w:rFonts w:hint="eastAsia" w:ascii="华文仿宋" w:hAnsi="华文仿宋" w:cs="华文仿宋"/>
          <w:sz w:val="28"/>
          <w:szCs w:val="28"/>
          <w:highlight w:val="none"/>
          <w:lang w:val="en-US" w:eastAsia="zh-CN"/>
        </w:rPr>
      </w:pPr>
      <w:r>
        <w:rPr>
          <w:rFonts w:hint="eastAsia" w:ascii="华文仿宋" w:hAnsi="华文仿宋" w:cs="华文仿宋"/>
          <w:sz w:val="28"/>
          <w:szCs w:val="28"/>
          <w:highlight w:val="none"/>
          <w:lang w:val="en-US" w:eastAsia="zh-CN"/>
        </w:rPr>
        <w:t>7、乙方需随家具装箱提供制造商的设备检验、测试报告、设备检验合格证书、质量保证书和保修书等证明文件。</w:t>
      </w:r>
    </w:p>
    <w:p>
      <w:pPr>
        <w:pStyle w:val="3"/>
        <w:spacing w:line="500" w:lineRule="exact"/>
        <w:ind w:firstLine="566" w:firstLineChars="200"/>
        <w:rPr>
          <w:rFonts w:ascii="华文仿宋" w:hAnsi="华文仿宋" w:cs="华文仿宋"/>
          <w:sz w:val="28"/>
          <w:szCs w:val="28"/>
          <w:highlight w:val="none"/>
        </w:rPr>
      </w:pPr>
      <w:r>
        <w:rPr>
          <w:rFonts w:hint="eastAsia" w:ascii="华文仿宋" w:hAnsi="华文仿宋" w:cs="华文仿宋"/>
          <w:sz w:val="28"/>
          <w:szCs w:val="28"/>
          <w:highlight w:val="none"/>
          <w:lang w:val="en-US" w:eastAsia="zh-CN"/>
        </w:rPr>
        <w:t>十一</w:t>
      </w:r>
      <w:r>
        <w:rPr>
          <w:rFonts w:hint="eastAsia" w:ascii="华文仿宋" w:hAnsi="华文仿宋" w:cs="华文仿宋"/>
          <w:sz w:val="28"/>
          <w:szCs w:val="28"/>
          <w:highlight w:val="none"/>
        </w:rPr>
        <w:t>、合同生效及其他</w:t>
      </w:r>
      <w:bookmarkEnd w:id="369"/>
      <w:bookmarkEnd w:id="370"/>
      <w:bookmarkEnd w:id="371"/>
      <w:bookmarkEnd w:id="372"/>
      <w:bookmarkEnd w:id="373"/>
      <w:bookmarkEnd w:id="374"/>
      <w:bookmarkEnd w:id="375"/>
    </w:p>
    <w:p>
      <w:pPr>
        <w:spacing w:line="500" w:lineRule="exact"/>
        <w:ind w:firstLine="566" w:firstLineChars="200"/>
        <w:rPr>
          <w:rFonts w:ascii="华文仿宋" w:cs="Times New Roman"/>
          <w:highlight w:val="none"/>
        </w:rPr>
      </w:pPr>
      <w:r>
        <w:rPr>
          <w:rFonts w:hint="eastAsia" w:ascii="仿宋" w:hAnsi="仿宋" w:eastAsia="仿宋" w:cs="仿宋"/>
          <w:highlight w:val="none"/>
        </w:rPr>
        <w:t>（</w:t>
      </w:r>
      <w:r>
        <w:rPr>
          <w:rFonts w:hint="eastAsia" w:ascii="仿宋" w:hAnsi="仿宋" w:eastAsia="仿宋" w:cs="仿宋"/>
          <w:highlight w:val="none"/>
          <w:lang w:eastAsia="zh-CN"/>
        </w:rPr>
        <w:t>一</w:t>
      </w:r>
      <w:r>
        <w:rPr>
          <w:rFonts w:hint="eastAsia" w:ascii="仿宋" w:hAnsi="仿宋" w:eastAsia="仿宋" w:cs="仿宋"/>
          <w:highlight w:val="none"/>
        </w:rPr>
        <w:t>）</w:t>
      </w:r>
      <w:r>
        <w:rPr>
          <w:rFonts w:hint="eastAsia" w:ascii="华文仿宋" w:hAnsi="华文仿宋" w:cs="华文仿宋"/>
          <w:highlight w:val="none"/>
        </w:rPr>
        <w:t>本合同自签订之日起生效。</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二</w:t>
      </w:r>
      <w:r>
        <w:rPr>
          <w:rFonts w:hint="eastAsia" w:ascii="华文仿宋" w:hAnsi="华文仿宋" w:cs="华文仿宋"/>
          <w:highlight w:val="none"/>
          <w:lang w:eastAsia="zh-CN"/>
        </w:rPr>
        <w:t>）</w:t>
      </w:r>
      <w:r>
        <w:rPr>
          <w:rFonts w:hint="eastAsia" w:ascii="华文仿宋" w:hAnsi="华文仿宋" w:cs="华文仿宋"/>
          <w:highlight w:val="none"/>
        </w:rPr>
        <w:t>合同份数由采购人和中标人具体商定。</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lang w:eastAsia="zh-CN"/>
        </w:rPr>
        <w:t>（</w:t>
      </w:r>
      <w:r>
        <w:rPr>
          <w:rFonts w:hint="eastAsia" w:ascii="华文仿宋" w:hAnsi="华文仿宋" w:cs="华文仿宋"/>
          <w:highlight w:val="none"/>
          <w:lang w:val="en-US" w:eastAsia="zh-CN"/>
        </w:rPr>
        <w:t>三</w:t>
      </w:r>
      <w:r>
        <w:rPr>
          <w:rFonts w:hint="eastAsia" w:ascii="华文仿宋" w:hAnsi="华文仿宋" w:cs="华文仿宋"/>
          <w:highlight w:val="none"/>
          <w:lang w:eastAsia="zh-CN"/>
        </w:rPr>
        <w:t>）</w:t>
      </w:r>
      <w:r>
        <w:rPr>
          <w:rFonts w:hint="eastAsia" w:ascii="华文仿宋" w:hAnsi="华文仿宋" w:cs="华文仿宋"/>
          <w:highlight w:val="none"/>
        </w:rPr>
        <w:t>未尽事宜由双方在签订合同时具体明确。</w:t>
      </w:r>
    </w:p>
    <w:bookmarkEnd w:id="328"/>
    <w:bookmarkEnd w:id="329"/>
    <w:bookmarkEnd w:id="330"/>
    <w:bookmarkEnd w:id="331"/>
    <w:bookmarkEnd w:id="332"/>
    <w:p>
      <w:pPr>
        <w:spacing w:line="500" w:lineRule="exact"/>
        <w:ind w:firstLine="566" w:firstLineChars="200"/>
        <w:jc w:val="center"/>
        <w:rPr>
          <w:rFonts w:ascii="黑体" w:hAnsi="黑体" w:eastAsia="黑体" w:cs="Times New Roman"/>
          <w:b w:val="0"/>
          <w:bCs w:val="0"/>
          <w:color w:val="auto"/>
          <w:sz w:val="32"/>
          <w:szCs w:val="32"/>
          <w:highlight w:val="none"/>
        </w:rPr>
      </w:pPr>
      <w:bookmarkStart w:id="376" w:name="_Toc13809"/>
      <w:bookmarkStart w:id="377" w:name="_Toc445306495"/>
      <w:bookmarkStart w:id="378" w:name="_Toc495014956"/>
      <w:bookmarkStart w:id="379" w:name="_Toc495012773"/>
      <w:bookmarkStart w:id="380" w:name="_Toc495012823"/>
      <w:bookmarkStart w:id="381" w:name="_Toc3151"/>
      <w:bookmarkStart w:id="382" w:name="_Toc27349"/>
      <w:bookmarkStart w:id="383" w:name="_Toc495014587"/>
      <w:bookmarkStart w:id="384" w:name="_Toc495014651"/>
      <w:bookmarkStart w:id="385" w:name="_Toc495014613"/>
      <w:bookmarkStart w:id="386" w:name="_Toc5554"/>
      <w:bookmarkStart w:id="387" w:name="_Toc495014922"/>
      <w:r>
        <w:rPr>
          <w:rFonts w:hint="eastAsia" w:ascii="黑体" w:hAnsi="黑体" w:eastAsia="黑体" w:cs="黑体"/>
          <w:highlight w:val="none"/>
        </w:rPr>
        <w:br w:type="page"/>
      </w:r>
      <w:r>
        <w:rPr>
          <w:rFonts w:hint="eastAsia" w:ascii="黑体" w:hAnsi="黑体" w:eastAsia="黑体" w:cs="黑体"/>
          <w:b w:val="0"/>
          <w:bCs w:val="0"/>
          <w:color w:val="auto"/>
          <w:sz w:val="32"/>
          <w:szCs w:val="32"/>
          <w:highlight w:val="none"/>
        </w:rPr>
        <w:t>第六章  投标文件构成及格式</w:t>
      </w:r>
      <w:bookmarkEnd w:id="376"/>
      <w:bookmarkEnd w:id="377"/>
      <w:bookmarkEnd w:id="378"/>
      <w:bookmarkEnd w:id="379"/>
      <w:bookmarkEnd w:id="380"/>
      <w:bookmarkEnd w:id="381"/>
      <w:bookmarkEnd w:id="382"/>
      <w:bookmarkEnd w:id="383"/>
      <w:bookmarkEnd w:id="384"/>
      <w:bookmarkEnd w:id="385"/>
      <w:bookmarkEnd w:id="386"/>
      <w:bookmarkEnd w:id="387"/>
    </w:p>
    <w:p>
      <w:pPr>
        <w:rPr>
          <w:rFonts w:cs="Times New Roman"/>
          <w:highlight w:val="none"/>
        </w:rPr>
      </w:pPr>
    </w:p>
    <w:p>
      <w:pPr>
        <w:rPr>
          <w:rFonts w:cs="Times New Roman"/>
          <w:highlight w:val="none"/>
        </w:rPr>
      </w:pPr>
    </w:p>
    <w:tbl>
      <w:tblPr>
        <w:tblStyle w:val="19"/>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noWrap w:val="0"/>
            <w:vAlign w:val="top"/>
          </w:tcPr>
          <w:p>
            <w:pPr>
              <w:spacing w:before="120"/>
              <w:rPr>
                <w:rFonts w:ascii="仿宋" w:hAnsi="仿宋" w:eastAsia="仿宋" w:cs="仿宋"/>
                <w:sz w:val="24"/>
                <w:szCs w:val="24"/>
                <w:highlight w:val="none"/>
              </w:rPr>
            </w:pPr>
            <w:r>
              <w:rPr>
                <w:rFonts w:hint="eastAsia" w:ascii="仿宋" w:hAnsi="仿宋" w:eastAsia="仿宋" w:cs="仿宋"/>
                <w:sz w:val="24"/>
                <w:szCs w:val="24"/>
                <w:highlight w:val="none"/>
              </w:rPr>
              <w:t>注释：</w:t>
            </w:r>
          </w:p>
          <w:p>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、本章分为三部分，是为方便投标人制作投标文件设计。第一、二部分应按要求或给定格式选择填报。</w:t>
            </w:r>
          </w:p>
          <w:p>
            <w:pPr>
              <w:spacing w:before="120" w:line="420" w:lineRule="exact"/>
              <w:ind w:firstLine="486" w:firstLineChars="200"/>
              <w:jc w:val="left"/>
              <w:rPr>
                <w:rFonts w:ascii="仿宋" w:hAnsi="仿宋" w:eastAsia="仿宋" w:cs="Times New Roman"/>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、第三部分投标方案格式仅供参考，投标人应根据项目特点，结合本次招标要求，对有关表格进行补充或修改，但不得对实质性文件的相关条款作出变动。</w:t>
            </w:r>
          </w:p>
        </w:tc>
      </w:tr>
    </w:tbl>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p>
    <w:p>
      <w:pPr>
        <w:pStyle w:val="28"/>
        <w:spacing w:line="240" w:lineRule="auto"/>
        <w:ind w:firstLine="0" w:firstLineChars="0"/>
        <w:rPr>
          <w:rFonts w:ascii="黑体" w:hAnsi="黑体" w:eastAsia="黑体" w:cs="Times New Roman"/>
          <w:highlight w:val="none"/>
        </w:rPr>
      </w:pPr>
      <w:r>
        <w:rPr>
          <w:rFonts w:hint="eastAsia" w:ascii="黑体" w:hAnsi="黑体" w:eastAsia="黑体" w:cs="黑体"/>
          <w:highlight w:val="none"/>
        </w:rPr>
        <w:t>封面格式</w:t>
      </w:r>
    </w:p>
    <w:p>
      <w:pPr>
        <w:pStyle w:val="28"/>
        <w:spacing w:line="240" w:lineRule="auto"/>
        <w:ind w:firstLine="253" w:firstLineChars="70"/>
        <w:jc w:val="center"/>
        <w:rPr>
          <w:rFonts w:cs="Times New Roman"/>
          <w:sz w:val="36"/>
          <w:szCs w:val="36"/>
          <w:highlight w:val="none"/>
        </w:rPr>
      </w:pPr>
    </w:p>
    <w:p>
      <w:pPr>
        <w:spacing w:line="240" w:lineRule="auto"/>
        <w:jc w:val="center"/>
        <w:rPr>
          <w:rFonts w:cs="Times New Roman"/>
          <w:sz w:val="36"/>
          <w:szCs w:val="36"/>
          <w:highlight w:val="none"/>
        </w:rPr>
      </w:pPr>
      <w:r>
        <w:rPr>
          <w:rFonts w:hint="eastAsia" w:ascii="华文中宋" w:hAnsi="华文中宋" w:eastAsia="华文中宋" w:cs="华文中宋"/>
          <w:sz w:val="60"/>
          <w:szCs w:val="60"/>
          <w:highlight w:val="none"/>
        </w:rPr>
        <w:t>陕西省政府采购货物项目</w:t>
      </w:r>
    </w:p>
    <w:p>
      <w:pPr>
        <w:spacing w:line="500" w:lineRule="exact"/>
        <w:ind w:right="11"/>
        <w:rPr>
          <w:rFonts w:cs="Times New Roman"/>
          <w:highlight w:val="none"/>
          <w:u w:val="single"/>
        </w:rPr>
      </w:pPr>
    </w:p>
    <w:p>
      <w:pPr>
        <w:pStyle w:val="28"/>
        <w:spacing w:line="240" w:lineRule="auto"/>
        <w:ind w:firstLine="0" w:firstLineChars="0"/>
        <w:jc w:val="center"/>
        <w:rPr>
          <w:rFonts w:ascii="华文中宋" w:hAnsi="华文中宋" w:eastAsia="华文中宋" w:cs="Times New Roman"/>
          <w:sz w:val="96"/>
          <w:szCs w:val="96"/>
          <w:highlight w:val="none"/>
        </w:rPr>
      </w:pPr>
      <w:r>
        <w:rPr>
          <w:rFonts w:hint="eastAsia" w:ascii="华文中宋" w:hAnsi="华文中宋" w:eastAsia="华文中宋" w:cs="华文中宋"/>
          <w:spacing w:val="323"/>
          <w:kern w:val="0"/>
          <w:sz w:val="96"/>
          <w:szCs w:val="96"/>
          <w:highlight w:val="none"/>
        </w:rPr>
        <w:t>投标文</w:t>
      </w:r>
      <w:r>
        <w:rPr>
          <w:rFonts w:hint="eastAsia" w:ascii="华文中宋" w:hAnsi="华文中宋" w:eastAsia="华文中宋" w:cs="华文中宋"/>
          <w:kern w:val="0"/>
          <w:sz w:val="96"/>
          <w:szCs w:val="96"/>
          <w:highlight w:val="none"/>
        </w:rPr>
        <w:t>件</w:t>
      </w:r>
    </w:p>
    <w:p>
      <w:pPr>
        <w:pStyle w:val="28"/>
        <w:spacing w:line="240" w:lineRule="auto"/>
        <w:ind w:firstLine="0" w:firstLineChars="0"/>
        <w:jc w:val="center"/>
        <w:rPr>
          <w:rFonts w:cs="Times New Roman"/>
          <w:sz w:val="36"/>
          <w:szCs w:val="36"/>
          <w:highlight w:val="none"/>
        </w:rPr>
      </w:pPr>
    </w:p>
    <w:p>
      <w:pPr>
        <w:pStyle w:val="28"/>
        <w:spacing w:line="240" w:lineRule="auto"/>
        <w:ind w:firstLine="0" w:firstLineChars="0"/>
        <w:jc w:val="center"/>
        <w:rPr>
          <w:rFonts w:cs="Times New Roman"/>
          <w:sz w:val="36"/>
          <w:szCs w:val="36"/>
          <w:highlight w:val="none"/>
        </w:rPr>
      </w:pPr>
    </w:p>
    <w:p>
      <w:pPr>
        <w:pStyle w:val="28"/>
        <w:spacing w:line="240" w:lineRule="auto"/>
        <w:ind w:firstLine="0" w:firstLineChars="0"/>
        <w:jc w:val="center"/>
        <w:rPr>
          <w:rFonts w:cs="Times New Roman"/>
          <w:sz w:val="36"/>
          <w:szCs w:val="36"/>
          <w:highlight w:val="none"/>
        </w:rPr>
      </w:pPr>
    </w:p>
    <w:p>
      <w:pPr>
        <w:pStyle w:val="28"/>
        <w:spacing w:line="240" w:lineRule="auto"/>
        <w:ind w:firstLine="0" w:firstLineChars="0"/>
        <w:jc w:val="center"/>
        <w:rPr>
          <w:rFonts w:cs="Times New Roman"/>
          <w:sz w:val="36"/>
          <w:szCs w:val="36"/>
          <w:highlight w:val="none"/>
        </w:rPr>
      </w:pPr>
    </w:p>
    <w:p>
      <w:pPr>
        <w:pStyle w:val="28"/>
        <w:spacing w:line="240" w:lineRule="auto"/>
        <w:ind w:firstLine="0" w:firstLineChars="0"/>
        <w:jc w:val="center"/>
        <w:rPr>
          <w:rFonts w:cs="Times New Roman"/>
          <w:sz w:val="36"/>
          <w:szCs w:val="36"/>
          <w:highlight w:val="none"/>
        </w:rPr>
      </w:pPr>
    </w:p>
    <w:p>
      <w:pPr>
        <w:pStyle w:val="28"/>
        <w:spacing w:line="240" w:lineRule="auto"/>
        <w:ind w:firstLine="0" w:firstLineChars="0"/>
        <w:jc w:val="center"/>
        <w:rPr>
          <w:rFonts w:cs="Times New Roman"/>
          <w:sz w:val="36"/>
          <w:szCs w:val="36"/>
          <w:highlight w:val="none"/>
        </w:rPr>
      </w:pPr>
    </w:p>
    <w:p>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项目名称：</w:t>
      </w:r>
      <w:r>
        <w:rPr>
          <w:rFonts w:hint="eastAsia" w:ascii="仿宋" w:hAnsi="仿宋" w:eastAsia="仿宋" w:cs="仿宋"/>
          <w:sz w:val="36"/>
          <w:szCs w:val="36"/>
          <w:highlight w:val="none"/>
          <w:u w:val="single"/>
        </w:rPr>
        <w:t xml:space="preserve">                </w:t>
      </w:r>
    </w:p>
    <w:p>
      <w:pPr>
        <w:pStyle w:val="28"/>
        <w:spacing w:line="240" w:lineRule="auto"/>
        <w:ind w:firstLine="1815" w:firstLineChars="500"/>
        <w:jc w:val="left"/>
        <w:rPr>
          <w:rFonts w:hint="eastAsia" w:ascii="仿宋" w:hAnsi="仿宋" w:eastAsia="仿宋" w:cs="仿宋"/>
          <w:sz w:val="36"/>
          <w:szCs w:val="36"/>
          <w:highlight w:val="none"/>
          <w:u w:val="single"/>
        </w:rPr>
      </w:pPr>
      <w:r>
        <w:rPr>
          <w:rFonts w:hint="eastAsia" w:ascii="仿宋" w:hAnsi="仿宋" w:eastAsia="仿宋" w:cs="仿宋"/>
          <w:sz w:val="36"/>
          <w:szCs w:val="36"/>
          <w:highlight w:val="none"/>
        </w:rPr>
        <w:t>项目编号：</w:t>
      </w:r>
      <w:r>
        <w:rPr>
          <w:rFonts w:hint="eastAsia" w:ascii="仿宋" w:hAnsi="仿宋" w:eastAsia="仿宋" w:cs="仿宋"/>
          <w:sz w:val="36"/>
          <w:szCs w:val="36"/>
          <w:highlight w:val="none"/>
          <w:u w:val="single"/>
        </w:rPr>
        <w:t xml:space="preserve">                </w:t>
      </w:r>
    </w:p>
    <w:p>
      <w:pPr>
        <w:pStyle w:val="28"/>
        <w:spacing w:line="240" w:lineRule="auto"/>
        <w:ind w:firstLine="1815" w:firstLineChars="500"/>
        <w:jc w:val="left"/>
        <w:rPr>
          <w:rFonts w:hint="eastAsia" w:ascii="仿宋" w:hAnsi="仿宋" w:eastAsia="仿宋" w:cs="仿宋"/>
          <w:sz w:val="36"/>
          <w:szCs w:val="36"/>
          <w:highlight w:val="none"/>
          <w:u w:val="single"/>
          <w:lang w:val="en-US" w:eastAsia="zh-CN"/>
        </w:rPr>
      </w:pPr>
      <w:r>
        <w:rPr>
          <w:rFonts w:hint="eastAsia" w:ascii="仿宋" w:hAnsi="仿宋" w:eastAsia="仿宋" w:cs="仿宋"/>
          <w:sz w:val="36"/>
          <w:szCs w:val="36"/>
          <w:highlight w:val="none"/>
          <w:u w:val="none"/>
          <w:lang w:val="en-US" w:eastAsia="zh-CN"/>
        </w:rPr>
        <w:t>标段名称：</w:t>
      </w:r>
      <w:r>
        <w:rPr>
          <w:rFonts w:hint="eastAsia" w:ascii="仿宋" w:hAnsi="仿宋" w:eastAsia="仿宋" w:cs="仿宋"/>
          <w:sz w:val="36"/>
          <w:szCs w:val="36"/>
          <w:highlight w:val="none"/>
          <w:u w:val="single"/>
          <w:lang w:val="en-US" w:eastAsia="zh-CN"/>
        </w:rPr>
        <w:t xml:space="preserve">                </w:t>
      </w:r>
    </w:p>
    <w:p>
      <w:pPr>
        <w:pStyle w:val="28"/>
        <w:spacing w:line="240" w:lineRule="auto"/>
        <w:ind w:firstLine="1815" w:firstLineChars="500"/>
        <w:jc w:val="left"/>
        <w:rPr>
          <w:rFonts w:hint="default" w:ascii="仿宋" w:hAnsi="仿宋" w:eastAsia="仿宋" w:cs="仿宋"/>
          <w:sz w:val="36"/>
          <w:szCs w:val="36"/>
          <w:highlight w:val="none"/>
          <w:u w:val="single"/>
          <w:lang w:val="en-US" w:eastAsia="zh-CN"/>
        </w:rPr>
      </w:pPr>
      <w:r>
        <w:rPr>
          <w:rFonts w:hint="eastAsia" w:ascii="仿宋" w:hAnsi="仿宋" w:eastAsia="仿宋" w:cs="仿宋"/>
          <w:sz w:val="36"/>
          <w:szCs w:val="36"/>
          <w:highlight w:val="none"/>
          <w:u w:val="none"/>
          <w:lang w:val="en-US" w:eastAsia="zh-CN"/>
        </w:rPr>
        <w:t>标段编号：</w:t>
      </w:r>
      <w:r>
        <w:rPr>
          <w:rFonts w:hint="eastAsia" w:ascii="仿宋" w:hAnsi="仿宋" w:eastAsia="仿宋" w:cs="仿宋"/>
          <w:sz w:val="36"/>
          <w:szCs w:val="36"/>
          <w:highlight w:val="none"/>
          <w:u w:val="single"/>
          <w:lang w:val="en-US" w:eastAsia="zh-CN"/>
        </w:rPr>
        <w:t xml:space="preserve">                </w:t>
      </w:r>
    </w:p>
    <w:p>
      <w:pPr>
        <w:pStyle w:val="2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lang w:val="en-US" w:eastAsia="zh-CN"/>
        </w:rPr>
        <w:t>投</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标</w:t>
      </w:r>
      <w:r>
        <w:rPr>
          <w:rFonts w:hint="eastAsia" w:ascii="仿宋" w:hAnsi="仿宋" w:eastAsia="仿宋" w:cs="仿宋"/>
          <w:sz w:val="36"/>
          <w:szCs w:val="36"/>
          <w:highlight w:val="none"/>
        </w:rPr>
        <w:t xml:space="preserve"> </w:t>
      </w:r>
      <w:r>
        <w:rPr>
          <w:rFonts w:hint="eastAsia" w:ascii="仿宋" w:hAnsi="仿宋" w:eastAsia="仿宋" w:cs="仿宋"/>
          <w:sz w:val="36"/>
          <w:szCs w:val="36"/>
          <w:highlight w:val="none"/>
          <w:lang w:val="en-US" w:eastAsia="zh-CN"/>
        </w:rPr>
        <w:t>人</w:t>
      </w:r>
      <w:r>
        <w:rPr>
          <w:rFonts w:hint="eastAsia" w:ascii="仿宋" w:hAnsi="仿宋" w:eastAsia="仿宋" w:cs="仿宋"/>
          <w:sz w:val="36"/>
          <w:szCs w:val="36"/>
          <w:highlight w:val="none"/>
        </w:rPr>
        <w:t>：</w:t>
      </w:r>
      <w:r>
        <w:rPr>
          <w:rFonts w:hint="eastAsia" w:ascii="仿宋" w:hAnsi="仿宋" w:eastAsia="仿宋" w:cs="仿宋"/>
          <w:sz w:val="36"/>
          <w:szCs w:val="36"/>
          <w:highlight w:val="none"/>
          <w:u w:val="single"/>
        </w:rPr>
        <w:t xml:space="preserve">（公章）        </w:t>
      </w:r>
    </w:p>
    <w:p>
      <w:pPr>
        <w:pStyle w:val="28"/>
        <w:spacing w:line="240" w:lineRule="auto"/>
        <w:ind w:firstLine="1815" w:firstLineChars="500"/>
        <w:rPr>
          <w:rFonts w:ascii="仿宋" w:hAnsi="仿宋" w:eastAsia="仿宋" w:cs="仿宋"/>
          <w:sz w:val="36"/>
          <w:szCs w:val="36"/>
          <w:highlight w:val="none"/>
          <w:u w:val="single"/>
        </w:rPr>
      </w:pPr>
      <w:r>
        <w:rPr>
          <w:rFonts w:hint="eastAsia" w:ascii="仿宋" w:hAnsi="仿宋" w:eastAsia="仿宋" w:cs="仿宋"/>
          <w:sz w:val="36"/>
          <w:szCs w:val="36"/>
          <w:highlight w:val="none"/>
        </w:rPr>
        <w:t>时　  间：</w:t>
      </w:r>
      <w:r>
        <w:rPr>
          <w:rFonts w:hint="eastAsia" w:ascii="仿宋" w:hAnsi="仿宋" w:eastAsia="仿宋" w:cs="仿宋"/>
          <w:sz w:val="36"/>
          <w:szCs w:val="36"/>
          <w:highlight w:val="none"/>
          <w:u w:val="single"/>
        </w:rPr>
        <w:t xml:space="preserve">                </w:t>
      </w:r>
    </w:p>
    <w:p>
      <w:pPr>
        <w:tabs>
          <w:tab w:val="right" w:leader="hyphen" w:pos="8504"/>
        </w:tabs>
        <w:spacing w:line="500" w:lineRule="exact"/>
        <w:ind w:left="0" w:leftChars="0" w:right="849" w:rightChars="300" w:firstLine="0" w:firstLineChars="0"/>
        <w:jc w:val="both"/>
        <w:rPr>
          <w:rFonts w:ascii="黑体" w:hAnsi="黑体" w:eastAsia="黑体" w:cs="黑体"/>
          <w:sz w:val="36"/>
          <w:szCs w:val="36"/>
          <w:highlight w:val="none"/>
        </w:rPr>
      </w:pPr>
    </w:p>
    <w:p>
      <w:pPr>
        <w:tabs>
          <w:tab w:val="right" w:leader="hyphen" w:pos="8504"/>
        </w:tabs>
        <w:spacing w:line="500" w:lineRule="exact"/>
        <w:ind w:left="2381" w:leftChars="200" w:right="849" w:rightChars="300" w:hanging="1815" w:hangingChars="500"/>
        <w:jc w:val="center"/>
        <w:rPr>
          <w:rFonts w:ascii="黑体" w:hAnsi="黑体" w:eastAsia="黑体" w:cs="黑体"/>
          <w:sz w:val="36"/>
          <w:szCs w:val="36"/>
          <w:highlight w:val="none"/>
        </w:rPr>
      </w:pPr>
      <w:r>
        <w:rPr>
          <w:rFonts w:hint="eastAsia" w:ascii="黑体" w:hAnsi="黑体" w:eastAsia="黑体" w:cs="黑体"/>
          <w:sz w:val="36"/>
          <w:szCs w:val="36"/>
          <w:highlight w:val="none"/>
        </w:rPr>
        <w:br w:type="page"/>
      </w:r>
      <w:r>
        <w:rPr>
          <w:rFonts w:hint="eastAsia" w:ascii="黑体" w:hAnsi="黑体" w:eastAsia="黑体" w:cs="黑体"/>
          <w:sz w:val="36"/>
          <w:szCs w:val="36"/>
          <w:highlight w:val="none"/>
        </w:rPr>
        <w:t>目  录</w:t>
      </w:r>
    </w:p>
    <w:p>
      <w:pPr>
        <w:tabs>
          <w:tab w:val="right" w:leader="hyphen" w:pos="8504"/>
        </w:tabs>
        <w:spacing w:line="500" w:lineRule="exact"/>
        <w:ind w:left="1981" w:leftChars="200" w:right="849" w:rightChars="300" w:hanging="1415" w:hangingChars="500"/>
        <w:rPr>
          <w:rFonts w:ascii="黑体" w:hAnsi="黑体" w:eastAsia="黑体" w:cs="黑体"/>
          <w:highlight w:val="none"/>
        </w:rPr>
      </w:pPr>
      <w:r>
        <w:rPr>
          <w:rFonts w:hint="eastAsia" w:ascii="黑体" w:hAnsi="黑体" w:eastAsia="黑体" w:cs="黑体"/>
          <w:highlight w:val="none"/>
        </w:rPr>
        <w:t>第一部分  资格证明文件</w:t>
      </w:r>
      <w:r>
        <w:rPr>
          <w:rFonts w:ascii="黑体" w:hAnsi="黑体" w:eastAsia="黑体" w:cs="Times New Roman"/>
          <w:highlight w:val="none"/>
        </w:rPr>
        <w:tab/>
      </w:r>
      <w:r>
        <w:rPr>
          <w:rFonts w:ascii="黑体" w:hAnsi="黑体" w:eastAsia="黑体" w:cs="黑体"/>
          <w:highlight w:val="none"/>
        </w:rPr>
        <w:t>X</w:t>
      </w:r>
    </w:p>
    <w:p>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一、营业执照等主体资格证明文件</w:t>
      </w:r>
      <w:r>
        <w:rPr>
          <w:rFonts w:cs="Times New Roman"/>
          <w:highlight w:val="none"/>
        </w:rPr>
        <w:tab/>
      </w:r>
      <w:r>
        <w:rPr>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二、财务状况报告</w:t>
      </w:r>
      <w:r>
        <w:rPr>
          <w:rFonts w:cs="Times New Roman"/>
          <w:highlight w:val="none"/>
        </w:rPr>
        <w:tab/>
      </w:r>
      <w:r>
        <w:rPr>
          <w:highlight w:val="none"/>
        </w:rPr>
        <w:t>X</w:t>
      </w:r>
    </w:p>
    <w:p>
      <w:pPr>
        <w:tabs>
          <w:tab w:val="right" w:leader="hyphen" w:pos="8504"/>
        </w:tabs>
        <w:spacing w:line="500" w:lineRule="exact"/>
        <w:ind w:right="849" w:rightChars="300" w:firstLine="1415" w:firstLineChars="500"/>
        <w:rPr>
          <w:highlight w:val="none"/>
        </w:rPr>
      </w:pPr>
      <w:r>
        <w:rPr>
          <w:rFonts w:hint="eastAsia" w:ascii="华文仿宋" w:hAnsi="华文仿宋" w:cs="华文仿宋"/>
          <w:highlight w:val="none"/>
        </w:rPr>
        <w:t>三、社保缴纳证明</w:t>
      </w:r>
      <w:r>
        <w:rPr>
          <w:rFonts w:cs="Times New Roman"/>
          <w:highlight w:val="none"/>
        </w:rPr>
        <w:tab/>
      </w:r>
      <w:r>
        <w:rPr>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四、税收缴纳证明</w:t>
      </w:r>
      <w:r>
        <w:rPr>
          <w:rFonts w:cs="Times New Roman"/>
          <w:highlight w:val="none"/>
        </w:rPr>
        <w:tab/>
      </w:r>
      <w:r>
        <w:rPr>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五、信用记录</w:t>
      </w:r>
      <w:r>
        <w:rPr>
          <w:rFonts w:cs="Times New Roman"/>
          <w:highlight w:val="none"/>
        </w:rPr>
        <w:tab/>
      </w:r>
      <w:r>
        <w:rPr>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六、控股管理关系</w:t>
      </w:r>
      <w:r>
        <w:rPr>
          <w:rFonts w:cs="Times New Roman"/>
          <w:highlight w:val="none"/>
        </w:rPr>
        <w:tab/>
      </w:r>
      <w:r>
        <w:rPr>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七、书面声明</w:t>
      </w:r>
      <w:r>
        <w:rPr>
          <w:rFonts w:cs="Times New Roman"/>
          <w:highlight w:val="none"/>
        </w:rPr>
        <w:tab/>
      </w:r>
      <w:r>
        <w:rPr>
          <w:highlight w:val="none"/>
        </w:rPr>
        <w:t>X</w:t>
      </w:r>
    </w:p>
    <w:p>
      <w:pPr>
        <w:tabs>
          <w:tab w:val="right" w:leader="hyphen" w:pos="8504"/>
        </w:tabs>
        <w:spacing w:line="500" w:lineRule="exact"/>
        <w:ind w:left="1981" w:leftChars="200" w:right="849" w:rightChars="300" w:hanging="1415" w:hangingChars="500"/>
        <w:rPr>
          <w:rFonts w:ascii="华文仿宋" w:hAnsi="华文仿宋" w:cs="华文仿宋"/>
          <w:highlight w:val="none"/>
        </w:rPr>
      </w:pPr>
      <w:r>
        <w:rPr>
          <w:rFonts w:hint="eastAsia" w:ascii="华文仿宋" w:hAnsi="华文仿宋" w:cs="华文仿宋"/>
          <w:highlight w:val="none"/>
        </w:rPr>
        <w:t>　　  八、法定代表人授权委托书</w:t>
      </w:r>
      <w:r>
        <w:rPr>
          <w:rFonts w:cs="Times New Roman"/>
          <w:highlight w:val="none"/>
        </w:rPr>
        <w:tab/>
      </w:r>
      <w:r>
        <w:rPr>
          <w:highlight w:val="none"/>
        </w:rPr>
        <w:t>X</w:t>
      </w:r>
    </w:p>
    <w:p>
      <w:pPr>
        <w:widowControl w:val="0"/>
        <w:tabs>
          <w:tab w:val="right" w:leader="hyphen" w:pos="8504"/>
        </w:tabs>
        <w:spacing w:line="480" w:lineRule="exact"/>
        <w:ind w:left="1734" w:leftChars="513" w:right="849" w:rightChars="300" w:hanging="283" w:hangingChars="100"/>
        <w:rPr>
          <w:rFonts w:ascii="华文仿宋" w:hAnsi="华文仿宋" w:cs="华文仿宋"/>
          <w:highlight w:val="none"/>
        </w:rPr>
      </w:pPr>
      <w:r>
        <w:rPr>
          <w:rFonts w:hint="eastAsia" w:ascii="仿宋" w:hAnsi="仿宋" w:eastAsia="仿宋" w:cs="仿宋"/>
          <w:highlight w:val="none"/>
        </w:rPr>
        <w:t>九、落实政府采购政策须满足的资格要求</w:t>
      </w:r>
      <w:r>
        <w:rPr>
          <w:rFonts w:hint="eastAsia" w:ascii="仿宋" w:hAnsi="仿宋" w:eastAsia="仿宋" w:cs="仿宋"/>
          <w:highlight w:val="none"/>
        </w:rPr>
        <w:tab/>
      </w:r>
      <w:r>
        <w:rPr>
          <w:rFonts w:hint="eastAsia" w:ascii="仿宋" w:hAnsi="仿宋" w:eastAsia="仿宋" w:cs="仿宋"/>
          <w:highlight w:val="none"/>
        </w:rPr>
        <w:t>X</w:t>
      </w:r>
    </w:p>
    <w:p>
      <w:pPr>
        <w:tabs>
          <w:tab w:val="right" w:leader="hyphen" w:pos="8504"/>
        </w:tabs>
        <w:spacing w:line="500" w:lineRule="exact"/>
        <w:ind w:left="1734" w:leftChars="513" w:right="849" w:rightChars="300" w:hanging="283" w:hangingChars="100"/>
        <w:rPr>
          <w:highlight w:val="none"/>
        </w:rPr>
      </w:pPr>
      <w:r>
        <w:rPr>
          <w:rFonts w:hint="eastAsia" w:ascii="华文仿宋" w:hAnsi="华文仿宋" w:cs="华文仿宋"/>
          <w:highlight w:val="none"/>
        </w:rPr>
        <w:t>十、本项目不接受联合体投标，不允许分包</w:t>
      </w:r>
      <w:r>
        <w:rPr>
          <w:rFonts w:cs="Times New Roman"/>
          <w:highlight w:val="none"/>
        </w:rPr>
        <w:tab/>
      </w:r>
      <w:r>
        <w:rPr>
          <w:highlight w:val="none"/>
        </w:rPr>
        <w:t>X</w:t>
      </w:r>
    </w:p>
    <w:p>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黑体" w:hAnsi="黑体" w:eastAsia="黑体" w:cs="黑体"/>
          <w:highlight w:val="none"/>
        </w:rPr>
        <w:t>第二部分  符合性证明文件</w:t>
      </w:r>
      <w:r>
        <w:rPr>
          <w:rFonts w:ascii="黑体" w:hAnsi="黑体" w:eastAsia="黑体" w:cs="Times New Roman"/>
          <w:highlight w:val="none"/>
        </w:rPr>
        <w:tab/>
      </w:r>
      <w:r>
        <w:rPr>
          <w:rFonts w:ascii="黑体" w:hAnsi="黑体" w:eastAsia="黑体" w:cs="黑体"/>
          <w:highlight w:val="none"/>
        </w:rPr>
        <w:t>X</w:t>
      </w:r>
    </w:p>
    <w:p>
      <w:pPr>
        <w:tabs>
          <w:tab w:val="right" w:leader="hyphen" w:pos="8504"/>
        </w:tabs>
        <w:spacing w:line="500" w:lineRule="exact"/>
        <w:ind w:right="849" w:rightChars="300" w:firstLine="1415" w:firstLineChars="500"/>
        <w:rPr>
          <w:rFonts w:ascii="华文仿宋" w:hAnsi="华文仿宋" w:cs="华文仿宋"/>
          <w:highlight w:val="none"/>
        </w:rPr>
      </w:pPr>
      <w:r>
        <w:rPr>
          <w:rFonts w:hint="eastAsia" w:ascii="华文仿宋" w:hAnsi="华文仿宋" w:cs="华文仿宋"/>
          <w:highlight w:val="none"/>
        </w:rPr>
        <w:t>一、投标函格式</w:t>
      </w:r>
      <w:r>
        <w:rPr>
          <w:rFonts w:cs="Times New Roman"/>
          <w:highlight w:val="none"/>
        </w:rPr>
        <w:tab/>
      </w:r>
      <w:r>
        <w:rPr>
          <w:highlight w:val="none"/>
        </w:rPr>
        <w:t>X</w:t>
      </w:r>
    </w:p>
    <w:p>
      <w:pPr>
        <w:tabs>
          <w:tab w:val="right" w:leader="hyphen" w:pos="8504"/>
        </w:tabs>
        <w:spacing w:line="500" w:lineRule="exact"/>
        <w:ind w:left="1981" w:leftChars="500" w:right="849" w:rightChars="300" w:hanging="566" w:hangingChars="200"/>
        <w:rPr>
          <w:rFonts w:ascii="华文仿宋" w:cs="Times New Roman"/>
          <w:highlight w:val="none"/>
        </w:rPr>
      </w:pPr>
      <w:r>
        <w:rPr>
          <w:rFonts w:hint="eastAsia" w:ascii="华文仿宋" w:hAnsi="华文仿宋" w:cs="华文仿宋"/>
          <w:highlight w:val="none"/>
        </w:rPr>
        <w:t>二、开标一览表</w:t>
      </w:r>
      <w:r>
        <w:rPr>
          <w:rFonts w:cs="Times New Roman"/>
          <w:highlight w:val="none"/>
        </w:rPr>
        <w:tab/>
      </w:r>
      <w:r>
        <w:rPr>
          <w:highlight w:val="none"/>
        </w:rPr>
        <w:t>X</w:t>
      </w:r>
    </w:p>
    <w:p>
      <w:pPr>
        <w:tabs>
          <w:tab w:val="right" w:leader="hyphen" w:pos="8504"/>
        </w:tabs>
        <w:spacing w:line="500" w:lineRule="exact"/>
        <w:ind w:left="1981" w:leftChars="200" w:right="849" w:rightChars="300" w:hanging="1415" w:hangingChars="500"/>
        <w:rPr>
          <w:rFonts w:ascii="华文仿宋" w:cs="Times New Roman"/>
          <w:highlight w:val="none"/>
        </w:rPr>
      </w:pPr>
      <w:r>
        <w:rPr>
          <w:rFonts w:hint="eastAsia" w:ascii="华文仿宋" w:hAnsi="华文仿宋" w:cs="华文仿宋"/>
          <w:highlight w:val="none"/>
        </w:rPr>
        <w:t>　　　    分项报价表</w:t>
      </w:r>
      <w:r>
        <w:rPr>
          <w:rFonts w:cs="Times New Roman"/>
          <w:highlight w:val="none"/>
        </w:rPr>
        <w:tab/>
      </w:r>
      <w:r>
        <w:rPr>
          <w:highlight w:val="none"/>
        </w:rPr>
        <w:t>X</w:t>
      </w:r>
    </w:p>
    <w:p>
      <w:pPr>
        <w:tabs>
          <w:tab w:val="right" w:leader="hyphen" w:pos="8504"/>
        </w:tabs>
        <w:spacing w:line="500" w:lineRule="exact"/>
        <w:ind w:left="1415" w:right="849" w:rightChars="300"/>
        <w:rPr>
          <w:highlight w:val="none"/>
        </w:rPr>
      </w:pPr>
      <w:r>
        <w:rPr>
          <w:rFonts w:hint="eastAsia" w:ascii="华文仿宋" w:hAnsi="华文仿宋" w:cs="华文仿宋"/>
          <w:highlight w:val="none"/>
        </w:rPr>
        <w:t>三、</w:t>
      </w:r>
      <w:r>
        <w:rPr>
          <w:rFonts w:hint="eastAsia" w:ascii="华文仿宋" w:hAnsi="华文仿宋" w:cs="华文仿宋"/>
          <w:highlight w:val="none"/>
          <w:lang w:eastAsia="zh-CN"/>
        </w:rPr>
        <w:t>投标人</w:t>
      </w:r>
      <w:r>
        <w:rPr>
          <w:rFonts w:hint="eastAsia" w:ascii="华文仿宋" w:hAnsi="华文仿宋" w:cs="华文仿宋"/>
          <w:highlight w:val="none"/>
        </w:rPr>
        <w:t>承诺书</w:t>
      </w:r>
      <w:r>
        <w:rPr>
          <w:rFonts w:cs="Times New Roman"/>
          <w:highlight w:val="none"/>
        </w:rPr>
        <w:tab/>
      </w:r>
      <w:r>
        <w:rPr>
          <w:highlight w:val="none"/>
        </w:rPr>
        <w:t>X</w:t>
      </w:r>
    </w:p>
    <w:p>
      <w:pPr>
        <w:tabs>
          <w:tab w:val="right" w:leader="hyphen" w:pos="8504"/>
        </w:tabs>
        <w:spacing w:line="500" w:lineRule="exact"/>
        <w:ind w:right="849" w:rightChars="300" w:firstLine="1981" w:firstLineChars="700"/>
        <w:rPr>
          <w:rFonts w:ascii="华文仿宋" w:hAnsi="华文仿宋" w:cs="华文仿宋"/>
          <w:highlight w:val="none"/>
        </w:rPr>
      </w:pPr>
      <w:r>
        <w:rPr>
          <w:rFonts w:hint="eastAsia" w:ascii="华文仿宋" w:hAnsi="华文仿宋" w:cs="华文仿宋"/>
          <w:highlight w:val="none"/>
        </w:rPr>
        <w:t>（一）质量安全责任承诺书</w:t>
      </w:r>
      <w:r>
        <w:rPr>
          <w:rFonts w:hint="eastAsia" w:ascii="华文仿宋" w:hAnsi="华文仿宋" w:cs="华文仿宋"/>
          <w:highlight w:val="none"/>
        </w:rPr>
        <w:tab/>
      </w:r>
      <w:r>
        <w:rPr>
          <w:highlight w:val="none"/>
        </w:rPr>
        <w:t>X</w:t>
      </w:r>
    </w:p>
    <w:p>
      <w:pPr>
        <w:tabs>
          <w:tab w:val="right" w:leader="hyphen" w:pos="8504"/>
        </w:tabs>
        <w:spacing w:line="500" w:lineRule="exact"/>
        <w:ind w:right="849" w:rightChars="300" w:firstLine="1981" w:firstLineChars="700"/>
        <w:rPr>
          <w:highlight w:val="none"/>
        </w:rPr>
      </w:pPr>
      <w:r>
        <w:rPr>
          <w:rFonts w:hint="eastAsia" w:ascii="华文仿宋" w:hAnsi="华文仿宋" w:cs="华文仿宋"/>
          <w:highlight w:val="none"/>
        </w:rPr>
        <w:t>（二）拒绝政府采购领域商业贿赂承诺书</w:t>
      </w:r>
      <w:r>
        <w:rPr>
          <w:rFonts w:hint="eastAsia" w:ascii="华文仿宋" w:hAnsi="华文仿宋" w:cs="华文仿宋"/>
          <w:highlight w:val="none"/>
        </w:rPr>
        <w:tab/>
      </w:r>
      <w:r>
        <w:rPr>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四、技术服务偏差表</w:t>
      </w:r>
      <w:r>
        <w:rPr>
          <w:rFonts w:cs="Times New Roman"/>
          <w:highlight w:val="none"/>
        </w:rPr>
        <w:tab/>
      </w:r>
      <w:r>
        <w:rPr>
          <w:highlight w:val="none"/>
        </w:rPr>
        <w:t>X</w:t>
      </w:r>
    </w:p>
    <w:p>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（一）实质性条款响应表</w:t>
      </w:r>
      <w:r>
        <w:rPr>
          <w:rFonts w:cs="Times New Roman"/>
          <w:highlight w:val="none"/>
        </w:rPr>
        <w:tab/>
      </w:r>
      <w:r>
        <w:rPr>
          <w:highlight w:val="none"/>
        </w:rPr>
        <w:t>X</w:t>
      </w:r>
    </w:p>
    <w:p>
      <w:pPr>
        <w:tabs>
          <w:tab w:val="right" w:leader="hyphen" w:pos="8504"/>
        </w:tabs>
        <w:spacing w:line="500" w:lineRule="exact"/>
        <w:ind w:right="849" w:rightChars="300" w:firstLine="1981" w:firstLineChars="700"/>
        <w:rPr>
          <w:rFonts w:ascii="华文仿宋" w:cs="Times New Roman"/>
          <w:highlight w:val="none"/>
        </w:rPr>
      </w:pPr>
      <w:r>
        <w:rPr>
          <w:rFonts w:hint="eastAsia" w:ascii="华文仿宋" w:hAnsi="华文仿宋" w:cs="华文仿宋"/>
          <w:highlight w:val="none"/>
        </w:rPr>
        <w:t>（二）其他资料</w:t>
      </w:r>
      <w:r>
        <w:rPr>
          <w:rFonts w:cs="Times New Roman"/>
          <w:highlight w:val="none"/>
        </w:rPr>
        <w:tab/>
      </w:r>
      <w:r>
        <w:rPr>
          <w:highlight w:val="none"/>
        </w:rPr>
        <w:t>X</w:t>
      </w:r>
    </w:p>
    <w:p>
      <w:pPr>
        <w:tabs>
          <w:tab w:val="right" w:leader="hyphen" w:pos="8504"/>
        </w:tabs>
        <w:spacing w:line="500" w:lineRule="exact"/>
        <w:ind w:left="1981" w:leftChars="500" w:right="849" w:rightChars="300" w:hanging="566" w:hangingChars="200"/>
        <w:rPr>
          <w:highlight w:val="none"/>
        </w:rPr>
      </w:pPr>
      <w:r>
        <w:rPr>
          <w:rFonts w:hint="eastAsia" w:ascii="华文仿宋" w:hAnsi="华文仿宋" w:cs="华文仿宋"/>
          <w:highlight w:val="none"/>
        </w:rPr>
        <w:t>五、合同条款响应</w:t>
      </w:r>
      <w:r>
        <w:rPr>
          <w:rFonts w:cs="Times New Roman"/>
          <w:highlight w:val="none"/>
        </w:rPr>
        <w:tab/>
      </w:r>
      <w:r>
        <w:rPr>
          <w:highlight w:val="none"/>
        </w:rPr>
        <w:t>X</w:t>
      </w:r>
    </w:p>
    <w:p>
      <w:pPr>
        <w:tabs>
          <w:tab w:val="right" w:leader="hyphen" w:pos="8504"/>
        </w:tabs>
        <w:spacing w:line="500" w:lineRule="exact"/>
        <w:ind w:right="849" w:rightChars="300" w:firstLine="566" w:firstLineChars="200"/>
        <w:rPr>
          <w:rFonts w:ascii="黑体" w:hAnsi="黑体" w:eastAsia="黑体" w:cs="黑体"/>
          <w:highlight w:val="none"/>
        </w:rPr>
      </w:pPr>
      <w:r>
        <w:rPr>
          <w:rFonts w:hint="eastAsia" w:ascii="黑体" w:hAnsi="黑体" w:eastAsia="黑体" w:cs="黑体"/>
          <w:highlight w:val="none"/>
        </w:rPr>
        <w:t>第三部分  投标方案</w:t>
      </w:r>
      <w:r>
        <w:rPr>
          <w:rFonts w:ascii="黑体" w:hAnsi="黑体" w:eastAsia="黑体" w:cs="Times New Roman"/>
          <w:highlight w:val="none"/>
        </w:rPr>
        <w:tab/>
      </w:r>
      <w:r>
        <w:rPr>
          <w:rFonts w:ascii="黑体" w:hAnsi="黑体" w:eastAsia="黑体" w:cs="黑体"/>
          <w:highlight w:val="none"/>
        </w:rPr>
        <w:t>X</w:t>
      </w:r>
    </w:p>
    <w:p>
      <w:p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一、投标人概况</w:t>
      </w:r>
      <w:r>
        <w:rPr>
          <w:rFonts w:cs="Times New Roman"/>
          <w:highlight w:val="none"/>
        </w:rPr>
        <w:tab/>
      </w:r>
      <w:r>
        <w:rPr>
          <w:highlight w:val="none"/>
        </w:rPr>
        <w:t>X</w:t>
      </w:r>
    </w:p>
    <w:p>
      <w:pPr>
        <w:numPr>
          <w:ilvl w:val="0"/>
          <w:numId w:val="7"/>
        </w:numPr>
        <w:tabs>
          <w:tab w:val="right" w:leader="hyphen" w:pos="8504"/>
        </w:tabs>
        <w:spacing w:line="500" w:lineRule="exact"/>
        <w:ind w:right="849" w:rightChars="300" w:firstLine="1415" w:firstLineChars="500"/>
        <w:rPr>
          <w:rFonts w:ascii="华文仿宋" w:cs="Times New Roman"/>
          <w:highlight w:val="none"/>
        </w:rPr>
      </w:pPr>
      <w:r>
        <w:rPr>
          <w:rFonts w:hint="eastAsia" w:cs="Times New Roman"/>
          <w:highlight w:val="none"/>
        </w:rPr>
        <w:t>投标方案</w:t>
      </w:r>
      <w:r>
        <w:rPr>
          <w:rFonts w:cs="Times New Roman"/>
          <w:highlight w:val="none"/>
        </w:rPr>
        <w:tab/>
      </w:r>
      <w:r>
        <w:rPr>
          <w:highlight w:val="none"/>
        </w:rPr>
        <w:t>X</w:t>
      </w:r>
    </w:p>
    <w:p>
      <w:pPr>
        <w:numPr>
          <w:ilvl w:val="0"/>
          <w:numId w:val="7"/>
        </w:numPr>
        <w:tabs>
          <w:tab w:val="right" w:leader="hyphen" w:pos="8504"/>
        </w:tabs>
        <w:spacing w:line="500" w:lineRule="exact"/>
        <w:ind w:right="849" w:rightChars="300" w:firstLine="1415" w:firstLineChars="500"/>
        <w:rPr>
          <w:rFonts w:ascii="华文仿宋" w:cs="Times New Roman"/>
          <w:highlight w:val="none"/>
        </w:rPr>
      </w:pPr>
      <w:r>
        <w:rPr>
          <w:rFonts w:hint="eastAsia" w:ascii="华文仿宋" w:hAnsi="华文仿宋" w:cs="华文仿宋"/>
          <w:highlight w:val="none"/>
        </w:rPr>
        <w:t>参考样表</w:t>
      </w:r>
      <w:r>
        <w:rPr>
          <w:rFonts w:cs="Times New Roman"/>
          <w:highlight w:val="none"/>
        </w:rPr>
        <w:tab/>
      </w:r>
      <w:r>
        <w:rPr>
          <w:highlight w:val="none"/>
        </w:rPr>
        <w:t>X</w:t>
      </w:r>
    </w:p>
    <w:p>
      <w:pPr>
        <w:pStyle w:val="30"/>
        <w:rPr>
          <w:rFonts w:ascii="黑体" w:hAnsi="黑体" w:eastAsia="黑体" w:cs="Times New Roman"/>
          <w:b w:val="0"/>
          <w:bCs w:val="0"/>
          <w:highlight w:val="none"/>
        </w:rPr>
      </w:pPr>
      <w:bookmarkStart w:id="388" w:name="_Toc27546"/>
      <w:bookmarkStart w:id="389" w:name="_Toc12653"/>
      <w:bookmarkStart w:id="390" w:name="_Toc6003"/>
      <w:r>
        <w:rPr>
          <w:rFonts w:hint="eastAsia" w:ascii="黑体" w:hAnsi="黑体" w:eastAsia="黑体" w:cs="黑体"/>
          <w:b w:val="0"/>
          <w:bCs w:val="0"/>
          <w:highlight w:val="none"/>
        </w:rPr>
        <w:t>第一部分  资格证明文件</w:t>
      </w:r>
      <w:bookmarkEnd w:id="388"/>
      <w:bookmarkEnd w:id="389"/>
      <w:bookmarkEnd w:id="390"/>
    </w:p>
    <w:p>
      <w:pPr>
        <w:spacing w:line="500" w:lineRule="exact"/>
        <w:ind w:firstLine="566" w:firstLineChars="200"/>
        <w:rPr>
          <w:rFonts w:ascii="仿宋" w:hAnsi="仿宋" w:eastAsia="仿宋" w:cs="仿宋"/>
          <w:highlight w:val="none"/>
        </w:rPr>
      </w:pPr>
      <w:r>
        <w:rPr>
          <w:rFonts w:hint="eastAsia" w:cs="华文仿宋"/>
          <w:highlight w:val="none"/>
        </w:rPr>
        <w:t>投标人应按照招标文件第一章第十项所列“</w:t>
      </w:r>
      <w:r>
        <w:rPr>
          <w:rFonts w:hint="eastAsia" w:cs="华文仿宋"/>
          <w:highlight w:val="none"/>
          <w:lang w:eastAsia="zh-CN"/>
        </w:rPr>
        <w:t>投标人</w:t>
      </w:r>
      <w:r>
        <w:rPr>
          <w:rFonts w:hint="eastAsia" w:cs="华文仿宋"/>
          <w:highlight w:val="none"/>
        </w:rPr>
        <w:t>资格要求”逐一提供全部资格证明文件。缺少其中任何一项，其投标文件将被视为无效文件。其中，</w:t>
      </w:r>
      <w:r>
        <w:rPr>
          <w:rFonts w:hint="eastAsia" w:ascii="仿宋" w:hAnsi="仿宋" w:eastAsia="仿宋" w:cs="仿宋"/>
          <w:highlight w:val="none"/>
        </w:rPr>
        <w:t>《</w:t>
      </w:r>
      <w:r>
        <w:rPr>
          <w:rFonts w:hint="eastAsia" w:ascii="仿宋" w:hAnsi="仿宋" w:eastAsia="仿宋" w:cs="仿宋"/>
          <w:highlight w:val="none"/>
          <w:lang w:eastAsia="zh-CN"/>
        </w:rPr>
        <w:t>投标人</w:t>
      </w:r>
      <w:r>
        <w:rPr>
          <w:rFonts w:hint="eastAsia" w:ascii="仿宋" w:hAnsi="仿宋" w:eastAsia="仿宋" w:cs="仿宋"/>
          <w:highlight w:val="none"/>
        </w:rPr>
        <w:t>信用记录书面声明函》《控股管理关系》《法定代表人授权委托书》《书面声明》《残疾人福利性单位声明函》</w:t>
      </w:r>
      <w:r>
        <w:rPr>
          <w:rFonts w:hint="eastAsia"/>
          <w:highlight w:val="none"/>
        </w:rPr>
        <w:t>《非联合体不分包投标声明》</w:t>
      </w:r>
      <w:r>
        <w:rPr>
          <w:rFonts w:hint="eastAsia" w:ascii="仿宋" w:hAnsi="仿宋" w:eastAsia="仿宋" w:cs="仿宋"/>
          <w:highlight w:val="none"/>
        </w:rPr>
        <w:t>须按下文给定格式填写。</w:t>
      </w:r>
      <w:r>
        <w:rPr>
          <w:rFonts w:hint="eastAsia"/>
          <w:highlight w:val="none"/>
        </w:rPr>
        <w:t>特别说明，法定代表人亲自参加投标的，可不提供法定代表人授权委托书，但须提供其本人身份证（正反面）复印件。</w:t>
      </w:r>
    </w:p>
    <w:p>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一、营业执照等主体资格证明文件</w:t>
      </w:r>
    </w:p>
    <w:p>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二、财务状况报告</w:t>
      </w:r>
    </w:p>
    <w:p>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三、社保缴纳证明</w:t>
      </w:r>
    </w:p>
    <w:p>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四、税收缴纳证明</w:t>
      </w:r>
    </w:p>
    <w:p>
      <w:pPr>
        <w:spacing w:line="500" w:lineRule="exact"/>
        <w:ind w:firstLine="562"/>
        <w:outlineLvl w:val="2"/>
        <w:rPr>
          <w:rFonts w:ascii="仿宋" w:hAnsi="仿宋" w:eastAsia="仿宋" w:cs="Times New Roman"/>
          <w:b/>
          <w:bCs/>
          <w:highlight w:val="none"/>
        </w:rPr>
      </w:pPr>
      <w:r>
        <w:rPr>
          <w:rFonts w:hint="eastAsia" w:ascii="仿宋" w:hAnsi="仿宋" w:eastAsia="仿宋" w:cs="仿宋"/>
          <w:b/>
          <w:bCs/>
          <w:highlight w:val="none"/>
        </w:rPr>
        <w:t>五、信用记录</w:t>
      </w:r>
    </w:p>
    <w:p>
      <w:pPr>
        <w:pStyle w:val="31"/>
        <w:jc w:val="center"/>
        <w:outlineLvl w:val="9"/>
        <w:rPr>
          <w:rFonts w:cs="Times New Roman"/>
          <w:sz w:val="30"/>
          <w:szCs w:val="30"/>
          <w:highlight w:val="none"/>
        </w:rPr>
      </w:pPr>
      <w:bookmarkStart w:id="391" w:name="_Toc528596084"/>
      <w:bookmarkStart w:id="392" w:name="_Toc9011"/>
      <w:bookmarkStart w:id="393" w:name="_Toc726"/>
      <w:bookmarkStart w:id="394" w:name="_Toc22518"/>
    </w:p>
    <w:p>
      <w:pPr>
        <w:rPr>
          <w:highlight w:val="none"/>
        </w:rPr>
      </w:pPr>
    </w:p>
    <w:p>
      <w:pPr>
        <w:pStyle w:val="31"/>
        <w:jc w:val="center"/>
        <w:outlineLvl w:val="9"/>
        <w:rPr>
          <w:rFonts w:cs="Times New Roman"/>
          <w:sz w:val="30"/>
          <w:szCs w:val="30"/>
          <w:highlight w:val="none"/>
        </w:rPr>
      </w:pPr>
      <w:bookmarkStart w:id="395" w:name="_Toc28054"/>
      <w:bookmarkStart w:id="396" w:name="_Toc17411"/>
      <w:bookmarkStart w:id="397" w:name="_Toc2990"/>
      <w:bookmarkStart w:id="398" w:name="_Toc2275"/>
      <w:bookmarkStart w:id="399" w:name="_Toc28966"/>
      <w:bookmarkStart w:id="400" w:name="_Toc19115"/>
      <w:bookmarkStart w:id="401" w:name="_Toc6424"/>
      <w:bookmarkStart w:id="402" w:name="_Toc17677"/>
      <w:bookmarkStart w:id="403" w:name="_Toc28457"/>
      <w:bookmarkStart w:id="404" w:name="_Toc4199"/>
      <w:bookmarkStart w:id="405" w:name="_Toc18549"/>
      <w:r>
        <w:rPr>
          <w:rFonts w:hint="eastAsia" w:cs="华文仿宋"/>
          <w:sz w:val="30"/>
          <w:szCs w:val="30"/>
          <w:highlight w:val="none"/>
          <w:lang w:eastAsia="zh-CN"/>
        </w:rPr>
        <w:t>投标人</w:t>
      </w:r>
      <w:r>
        <w:rPr>
          <w:rFonts w:hint="eastAsia" w:cs="华文仿宋"/>
          <w:sz w:val="30"/>
          <w:szCs w:val="30"/>
          <w:highlight w:val="none"/>
        </w:rPr>
        <w:t>信用记录书面声明函</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Fonts w:hint="eastAsia" w:cs="华文仿宋"/>
          <w:sz w:val="30"/>
          <w:szCs w:val="30"/>
          <w:highlight w:val="none"/>
        </w:rPr>
        <w:t>（格式）</w:t>
      </w:r>
    </w:p>
    <w:p>
      <w:pPr>
        <w:spacing w:line="500" w:lineRule="exact"/>
        <w:rPr>
          <w:rFonts w:ascii="仿宋" w:hAnsi="仿宋" w:cs="Times New Roman"/>
          <w:highlight w:val="none"/>
        </w:rPr>
      </w:pPr>
      <w:r>
        <w:rPr>
          <w:rFonts w:hint="eastAsia" w:ascii="仿宋" w:hAnsi="仿宋" w:cs="仿宋"/>
          <w:highlight w:val="none"/>
        </w:rPr>
        <w:t>陕西省省级单位政府采购中心</w:t>
      </w:r>
      <w:r>
        <w:rPr>
          <w:rFonts w:hint="eastAsia" w:ascii="仿宋" w:hAnsi="仿宋" w:cs="华文仿宋"/>
          <w:highlight w:val="none"/>
        </w:rPr>
        <w:t>：</w:t>
      </w:r>
    </w:p>
    <w:p>
      <w:pPr>
        <w:spacing w:line="500" w:lineRule="exact"/>
        <w:ind w:right="11" w:firstLine="566" w:firstLineChars="200"/>
        <w:rPr>
          <w:rFonts w:ascii="仿宋" w:hAnsi="仿宋" w:cs="Times New Roman"/>
          <w:highlight w:val="none"/>
        </w:rPr>
      </w:pPr>
      <w:r>
        <w:rPr>
          <w:rFonts w:hint="eastAsia" w:ascii="仿宋" w:hAnsi="仿宋" w:cs="华文仿宋"/>
          <w:highlight w:val="none"/>
        </w:rPr>
        <w:t>我方作为《</w:t>
      </w:r>
      <w:r>
        <w:rPr>
          <w:rFonts w:hint="eastAsia" w:ascii="仿宋" w:hAnsi="仿宋" w:cs="华文仿宋"/>
          <w:highlight w:val="none"/>
          <w:u w:val="single"/>
        </w:rPr>
        <w:t>项目名称</w:t>
      </w:r>
      <w:r>
        <w:rPr>
          <w:rFonts w:hint="eastAsia" w:ascii="仿宋" w:hAnsi="仿宋" w:cs="华文仿宋"/>
          <w:highlight w:val="none"/>
        </w:rPr>
        <w:t>》（项目编号：</w:t>
      </w:r>
      <w:r>
        <w:rPr>
          <w:rFonts w:hint="eastAsia" w:ascii="仿宋" w:hAnsi="仿宋" w:cs="华文仿宋"/>
          <w:highlight w:val="none"/>
          <w:u w:val="single"/>
        </w:rPr>
        <w:t xml:space="preserve">         </w:t>
      </w:r>
      <w:r>
        <w:rPr>
          <w:rFonts w:hint="eastAsia" w:ascii="仿宋" w:hAnsi="仿宋" w:cs="华文仿宋"/>
          <w:highlight w:val="none"/>
        </w:rPr>
        <w:t>）第</w:t>
      </w:r>
      <w:r>
        <w:rPr>
          <w:rFonts w:hint="eastAsia" w:ascii="仿宋" w:hAnsi="仿宋" w:cs="华文仿宋"/>
          <w:highlight w:val="none"/>
          <w:u w:val="single"/>
        </w:rPr>
        <w:t xml:space="preserve">  </w:t>
      </w:r>
      <w:r>
        <w:rPr>
          <w:rFonts w:hint="eastAsia" w:ascii="仿宋" w:hAnsi="仿宋" w:cs="华文仿宋"/>
          <w:highlight w:val="none"/>
        </w:rPr>
        <w:t>标段的投标人，在此郑重声明：</w:t>
      </w:r>
    </w:p>
    <w:p>
      <w:pPr>
        <w:spacing w:line="500" w:lineRule="exact"/>
        <w:ind w:firstLine="566" w:firstLineChars="200"/>
        <w:rPr>
          <w:rFonts w:ascii="仿宋" w:hAnsi="仿宋" w:cs="Times New Roman"/>
          <w:highlight w:val="none"/>
        </w:rPr>
      </w:pPr>
      <w:r>
        <w:rPr>
          <w:rFonts w:ascii="仿宋" w:hAnsi="仿宋"/>
          <w:highlight w:val="none"/>
        </w:rPr>
        <w:t>1</w:t>
      </w:r>
      <w:r>
        <w:rPr>
          <w:rFonts w:hint="eastAsia" w:ascii="仿宋" w:hAnsi="仿宋" w:cs="华文仿宋"/>
          <w:highlight w:val="none"/>
        </w:rPr>
        <w:t>、在参加本次政府采购活动前</w:t>
      </w:r>
      <w:r>
        <w:rPr>
          <w:rFonts w:ascii="仿宋" w:hAnsi="仿宋" w:cs="仿宋"/>
          <w:highlight w:val="none"/>
        </w:rPr>
        <w:t>3</w:t>
      </w:r>
      <w:r>
        <w:rPr>
          <w:rFonts w:hint="eastAsia" w:ascii="仿宋" w:hAnsi="仿宋" w:cs="华文仿宋"/>
          <w:highlight w:val="none"/>
        </w:rPr>
        <w:t>年内的经营活动中</w:t>
      </w:r>
      <w:r>
        <w:rPr>
          <w:rFonts w:ascii="仿宋" w:hAnsi="仿宋"/>
          <w:highlight w:val="none"/>
        </w:rPr>
        <w:t>____</w:t>
      </w:r>
      <w:r>
        <w:rPr>
          <w:rFonts w:hint="eastAsia" w:ascii="仿宋" w:hAnsi="仿宋" w:cs="华文仿宋"/>
          <w:highlight w:val="none"/>
        </w:rPr>
        <w:t>（填“没有”或“有”）重大违法记录。</w:t>
      </w:r>
      <w:r>
        <w:rPr>
          <w:rFonts w:hint="eastAsia" w:ascii="仿宋" w:hAnsi="仿宋" w:cs="华文仿宋"/>
          <w:b/>
          <w:bCs/>
          <w:highlight w:val="none"/>
          <w:lang w:eastAsia="zh-CN"/>
        </w:rPr>
        <w:t>投标人</w:t>
      </w:r>
      <w:r>
        <w:rPr>
          <w:rFonts w:hint="eastAsia" w:ascii="仿宋" w:hAnsi="仿宋" w:cs="华文仿宋"/>
          <w:b/>
          <w:bCs/>
          <w:highlight w:val="none"/>
        </w:rPr>
        <w:t>在参加政府采购活动前</w:t>
      </w:r>
      <w:r>
        <w:rPr>
          <w:rFonts w:ascii="仿宋" w:hAnsi="仿宋" w:cs="仿宋"/>
          <w:b/>
          <w:bCs/>
          <w:highlight w:val="none"/>
        </w:rPr>
        <w:t>3</w:t>
      </w:r>
      <w:r>
        <w:rPr>
          <w:rFonts w:hint="eastAsia" w:ascii="仿宋" w:hAnsi="仿宋" w:cs="华文仿宋"/>
          <w:b/>
          <w:bCs/>
          <w:highlight w:val="none"/>
        </w:rPr>
        <w:t>年内因违法经营被禁止在一定期限内参加政府采购活动，期限届满的，可以参加政府采购活动，但应提供期限届满的证明材料。</w:t>
      </w:r>
    </w:p>
    <w:p>
      <w:pPr>
        <w:spacing w:line="500" w:lineRule="exact"/>
        <w:ind w:firstLine="566" w:firstLineChars="200"/>
        <w:rPr>
          <w:rFonts w:ascii="仿宋" w:hAnsi="仿宋" w:cs="Times New Roman"/>
          <w:highlight w:val="none"/>
        </w:rPr>
      </w:pPr>
      <w:r>
        <w:rPr>
          <w:rFonts w:ascii="仿宋" w:hAnsi="仿宋"/>
          <w:highlight w:val="none"/>
        </w:rPr>
        <w:t>2</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（填“未被列入”或“被列入”）失信被执行人名单。</w:t>
      </w:r>
    </w:p>
    <w:p>
      <w:pPr>
        <w:widowControl w:val="0"/>
        <w:spacing w:line="500" w:lineRule="exact"/>
        <w:ind w:firstLine="566" w:firstLineChars="200"/>
        <w:rPr>
          <w:rFonts w:ascii="仿宋" w:hAnsi="仿宋" w:cs="Times New Roman"/>
          <w:highlight w:val="none"/>
        </w:rPr>
      </w:pPr>
      <w:r>
        <w:rPr>
          <w:rFonts w:ascii="仿宋" w:hAnsi="仿宋"/>
          <w:highlight w:val="none"/>
        </w:rPr>
        <w:t>3</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（填“未被列入”或“被列入”）重大税收违法案件当事人名单。</w:t>
      </w:r>
    </w:p>
    <w:p>
      <w:pPr>
        <w:widowControl w:val="0"/>
        <w:spacing w:line="500" w:lineRule="exact"/>
        <w:ind w:firstLine="566" w:firstLineChars="200"/>
        <w:rPr>
          <w:rFonts w:ascii="仿宋" w:hAnsi="仿宋" w:cs="Times New Roman"/>
          <w:highlight w:val="none"/>
        </w:rPr>
      </w:pPr>
      <w:r>
        <w:rPr>
          <w:rFonts w:ascii="仿宋" w:hAnsi="仿宋"/>
          <w:highlight w:val="none"/>
        </w:rPr>
        <w:t>4</w:t>
      </w:r>
      <w:r>
        <w:rPr>
          <w:rFonts w:hint="eastAsia" w:ascii="仿宋" w:hAnsi="仿宋" w:cs="华文仿宋"/>
          <w:highlight w:val="none"/>
        </w:rPr>
        <w:t>、我方</w:t>
      </w:r>
      <w:r>
        <w:rPr>
          <w:rFonts w:ascii="仿宋" w:hAnsi="仿宋"/>
          <w:highlight w:val="none"/>
        </w:rPr>
        <w:t>______</w:t>
      </w:r>
      <w:r>
        <w:rPr>
          <w:rFonts w:hint="eastAsia" w:ascii="仿宋" w:hAnsi="仿宋" w:cs="华文仿宋"/>
          <w:highlight w:val="none"/>
        </w:rPr>
        <w:t>（填“未被列入”或“被列入”）政府采购严重违法失信行为记录名单。</w:t>
      </w:r>
    </w:p>
    <w:p>
      <w:pPr>
        <w:spacing w:line="500" w:lineRule="exact"/>
        <w:ind w:firstLine="566" w:firstLineChars="200"/>
        <w:rPr>
          <w:rFonts w:cs="Times New Roman"/>
          <w:highlight w:val="none"/>
        </w:rPr>
      </w:pPr>
      <w:r>
        <w:rPr>
          <w:rFonts w:hint="eastAsia" w:cs="华文仿宋"/>
          <w:highlight w:val="none"/>
        </w:rPr>
        <w:t>如有不实，我方将无条件地退出本项目的采购活动，并遵照《政府采购法》有关“提供虚假材料的规定”接受处罚。</w:t>
      </w:r>
    </w:p>
    <w:p>
      <w:pPr>
        <w:spacing w:line="500" w:lineRule="exact"/>
        <w:ind w:firstLine="566" w:firstLineChars="200"/>
        <w:rPr>
          <w:rFonts w:cs="Times New Roman"/>
          <w:highlight w:val="none"/>
        </w:rPr>
      </w:pPr>
      <w:r>
        <w:rPr>
          <w:rFonts w:hint="eastAsia" w:cs="华文仿宋"/>
          <w:highlight w:val="none"/>
        </w:rPr>
        <w:t>特此声明。</w:t>
      </w:r>
    </w:p>
    <w:p>
      <w:pPr>
        <w:spacing w:line="500" w:lineRule="exact"/>
        <w:ind w:firstLine="4811" w:firstLineChars="17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pPr>
        <w:spacing w:line="500" w:lineRule="exact"/>
        <w:ind w:firstLine="5094" w:firstLineChars="1800"/>
        <w:rPr>
          <w:rFonts w:cs="Times New Roman"/>
          <w:highlight w:val="none"/>
        </w:rPr>
      </w:pPr>
      <w:r>
        <w:rPr>
          <w:rFonts w:hint="eastAsia" w:cs="华文仿宋"/>
          <w:highlight w:val="none"/>
        </w:rPr>
        <w:t>日期：　　年　月　日</w:t>
      </w:r>
    </w:p>
    <w:p>
      <w:pPr>
        <w:spacing w:line="500" w:lineRule="exact"/>
        <w:ind w:firstLine="426" w:firstLineChars="200"/>
        <w:rPr>
          <w:rFonts w:ascii="宋体" w:hAnsi="宋体" w:eastAsia="宋体" w:cs="Times New Roman"/>
          <w:sz w:val="21"/>
          <w:szCs w:val="21"/>
          <w:highlight w:val="none"/>
        </w:rPr>
      </w:pPr>
    </w:p>
    <w:p>
      <w:pPr>
        <w:pStyle w:val="17"/>
        <w:ind w:firstLine="213"/>
        <w:rPr>
          <w:highlight w:val="none"/>
        </w:rPr>
      </w:pPr>
      <w:r>
        <w:rPr>
          <w:rFonts w:hint="eastAsia" w:ascii="宋体" w:hAnsi="宋体" w:eastAsia="宋体" w:cs="宋体"/>
          <w:sz w:val="21"/>
          <w:szCs w:val="21"/>
          <w:highlight w:val="none"/>
        </w:rPr>
        <w:t>备注：项目不分标段的，第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pPr>
        <w:pStyle w:val="17"/>
        <w:ind w:firstLine="183"/>
        <w:rPr>
          <w:highlight w:val="none"/>
        </w:rPr>
      </w:pPr>
    </w:p>
    <w:p>
      <w:pPr>
        <w:pStyle w:val="17"/>
        <w:ind w:firstLine="183"/>
        <w:rPr>
          <w:highlight w:val="none"/>
        </w:rPr>
      </w:pPr>
    </w:p>
    <w:p>
      <w:pPr>
        <w:pStyle w:val="31"/>
        <w:outlineLvl w:val="9"/>
        <w:rPr>
          <w:rFonts w:cs="Times New Roman"/>
          <w:sz w:val="28"/>
          <w:szCs w:val="28"/>
          <w:highlight w:val="none"/>
        </w:rPr>
      </w:pPr>
      <w:bookmarkStart w:id="406" w:name="_Toc9550"/>
      <w:bookmarkStart w:id="407" w:name="_Toc29757"/>
    </w:p>
    <w:p>
      <w:pPr>
        <w:pStyle w:val="24"/>
        <w:ind w:firstLine="0" w:firstLineChars="0"/>
        <w:rPr>
          <w:rFonts w:cs="Times New Roman"/>
          <w:highlight w:val="none"/>
        </w:rPr>
      </w:pPr>
    </w:p>
    <w:p>
      <w:pPr>
        <w:pStyle w:val="24"/>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24"/>
        <w:ind w:firstLine="0" w:firstLineChars="0"/>
        <w:rPr>
          <w:rFonts w:cs="Times New Roman"/>
          <w:highlight w:val="none"/>
        </w:rPr>
      </w:pPr>
    </w:p>
    <w:p>
      <w:pPr>
        <w:pStyle w:val="17"/>
        <w:ind w:firstLine="366" w:firstLineChars="200"/>
        <w:outlineLvl w:val="2"/>
        <w:rPr>
          <w:rFonts w:ascii="仿宋" w:hAnsi="仿宋" w:eastAsia="仿宋" w:cs="仿宋"/>
          <w:b/>
          <w:bCs/>
          <w:sz w:val="30"/>
          <w:szCs w:val="30"/>
          <w:highlight w:val="none"/>
        </w:rPr>
      </w:pPr>
      <w:r>
        <w:rPr>
          <w:rFonts w:cs="Times New Roman"/>
          <w:highlight w:val="none"/>
        </w:rPr>
        <w:br w:type="page"/>
      </w:r>
      <w:bookmarkStart w:id="408" w:name="_Toc14054"/>
      <w:bookmarkStart w:id="409" w:name="_Toc14266"/>
      <w:bookmarkStart w:id="410" w:name="_Toc5613"/>
      <w:bookmarkStart w:id="411" w:name="_Toc24508"/>
      <w:bookmarkStart w:id="412" w:name="_Toc3475"/>
      <w:bookmarkStart w:id="413" w:name="_Toc6319"/>
      <w:bookmarkStart w:id="414" w:name="_Toc28599"/>
      <w:bookmarkStart w:id="415" w:name="_Toc13686"/>
      <w:bookmarkStart w:id="416" w:name="_Toc27767"/>
      <w:r>
        <w:rPr>
          <w:rFonts w:hint="eastAsia" w:ascii="仿宋" w:hAnsi="仿宋" w:eastAsia="仿宋" w:cs="仿宋"/>
          <w:b/>
          <w:bCs/>
          <w:sz w:val="30"/>
          <w:szCs w:val="30"/>
          <w:highlight w:val="none"/>
        </w:rPr>
        <w:t>六、控股管理关系</w:t>
      </w:r>
      <w:bookmarkEnd w:id="408"/>
      <w:bookmarkEnd w:id="409"/>
      <w:bookmarkEnd w:id="410"/>
      <w:bookmarkEnd w:id="411"/>
      <w:bookmarkEnd w:id="412"/>
      <w:bookmarkEnd w:id="413"/>
    </w:p>
    <w:p>
      <w:pPr>
        <w:pStyle w:val="17"/>
        <w:ind w:firstLine="0" w:firstLineChars="0"/>
        <w:jc w:val="center"/>
        <w:rPr>
          <w:rFonts w:ascii="仿宋" w:hAnsi="仿宋" w:eastAsia="仿宋" w:cs="仿宋"/>
          <w:b/>
          <w:bCs/>
          <w:sz w:val="30"/>
          <w:szCs w:val="30"/>
          <w:highlight w:val="none"/>
        </w:rPr>
      </w:pPr>
      <w:bookmarkStart w:id="417" w:name="OLE_LINK15"/>
      <w:bookmarkStart w:id="418" w:name="_Toc952"/>
      <w:bookmarkStart w:id="419" w:name="_Toc21260"/>
      <w:bookmarkStart w:id="420" w:name="_Toc26760"/>
      <w:bookmarkStart w:id="421" w:name="_Toc10651"/>
      <w:bookmarkStart w:id="422" w:name="_Toc22023"/>
      <w:bookmarkStart w:id="423" w:name="_Toc15131"/>
      <w:bookmarkStart w:id="424" w:name="_Toc12979"/>
      <w:bookmarkStart w:id="425" w:name="_Toc27526"/>
      <w:bookmarkStart w:id="426" w:name="_Toc27988"/>
      <w:r>
        <w:rPr>
          <w:rFonts w:hint="eastAsia" w:ascii="仿宋" w:hAnsi="仿宋" w:eastAsia="仿宋" w:cs="仿宋"/>
          <w:b/>
          <w:bCs/>
          <w:sz w:val="30"/>
          <w:szCs w:val="30"/>
          <w:highlight w:val="none"/>
        </w:rPr>
        <w:t>控股管理关系</w:t>
      </w:r>
      <w:bookmarkEnd w:id="417"/>
      <w:r>
        <w:rPr>
          <w:rFonts w:hint="eastAsia" w:ascii="仿宋" w:hAnsi="仿宋" w:eastAsia="仿宋" w:cs="仿宋"/>
          <w:b/>
          <w:bCs/>
          <w:sz w:val="30"/>
          <w:szCs w:val="30"/>
          <w:highlight w:val="none"/>
        </w:rPr>
        <w:t>（格式）</w:t>
      </w:r>
      <w:bookmarkEnd w:id="418"/>
      <w:bookmarkEnd w:id="419"/>
      <w:bookmarkEnd w:id="420"/>
    </w:p>
    <w:p>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pPr>
        <w:spacing w:line="500" w:lineRule="exact"/>
        <w:ind w:firstLine="566" w:firstLineChars="200"/>
        <w:rPr>
          <w:rFonts w:ascii="仿宋" w:hAnsi="仿宋" w:eastAsia="仿宋" w:cs="仿宋"/>
          <w:b/>
          <w:bCs/>
          <w:sz w:val="30"/>
          <w:szCs w:val="30"/>
          <w:highlight w:val="none"/>
        </w:rPr>
      </w:pPr>
      <w:r>
        <w:rPr>
          <w:rFonts w:hint="eastAsia" w:ascii="仿宋" w:hAnsi="仿宋" w:eastAsia="仿宋" w:cs="仿宋"/>
          <w:highlight w:val="none"/>
        </w:rPr>
        <w:t>我方与以下投标人存在直接控股、管理关系：</w:t>
      </w: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存在直接控股、管理关系的相关投标人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855" w:type="dxa"/>
            <w:tcBorders>
              <w:right w:val="single" w:color="auto" w:sz="4" w:space="0"/>
            </w:tcBorders>
            <w:noWrap/>
            <w:vAlign w:val="center"/>
          </w:tcPr>
          <w:p>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直接控股股东名称及出资比例</w:t>
            </w: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直接管理关系单位</w:t>
            </w:r>
          </w:p>
          <w:p>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名称</w:t>
            </w: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highlight w:val="none"/>
              </w:rPr>
            </w:pPr>
            <w:r>
              <w:rPr>
                <w:rFonts w:hint="eastAsia" w:ascii="宋体" w:hAnsi="宋体" w:cs="宋体"/>
                <w:color w:val="000000"/>
                <w:kern w:val="0"/>
                <w:sz w:val="24"/>
                <w:highlight w:val="none"/>
              </w:rPr>
              <w:t>……</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highlight w:val="none"/>
              </w:rPr>
            </w:pPr>
          </w:p>
        </w:tc>
      </w:tr>
    </w:tbl>
    <w:p>
      <w:pPr>
        <w:spacing w:line="500" w:lineRule="exact"/>
        <w:ind w:firstLine="4528" w:firstLineChars="1600"/>
        <w:rPr>
          <w:rFonts w:ascii="仿宋" w:hAnsi="仿宋" w:eastAsia="仿宋" w:cs="仿宋"/>
          <w:highlight w:val="none"/>
        </w:rPr>
      </w:pPr>
    </w:p>
    <w:p>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 xml:space="preserve">投标人： </w:t>
      </w:r>
      <w:r>
        <w:rPr>
          <w:rFonts w:hint="eastAsia" w:ascii="仿宋" w:hAnsi="仿宋" w:eastAsia="仿宋" w:cs="仿宋"/>
          <w:highlight w:val="none"/>
          <w:u w:val="single"/>
        </w:rPr>
        <w:t>名称</w:t>
      </w:r>
      <w:r>
        <w:rPr>
          <w:rFonts w:hint="eastAsia" w:ascii="仿宋" w:hAnsi="仿宋" w:eastAsia="仿宋" w:cs="仿宋"/>
          <w:highlight w:val="none"/>
        </w:rPr>
        <w:t>（加盖公章）</w:t>
      </w:r>
    </w:p>
    <w:p>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pPr>
        <w:pStyle w:val="5"/>
        <w:rPr>
          <w:rFonts w:ascii="仿宋" w:hAnsi="仿宋" w:eastAsia="仿宋" w:cs="仿宋"/>
          <w:highlight w:val="none"/>
        </w:rPr>
      </w:pPr>
    </w:p>
    <w:p>
      <w:pPr>
        <w:pStyle w:val="17"/>
        <w:wordWrap w:val="0"/>
        <w:spacing w:line="5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w:t>
      </w:r>
    </w:p>
    <w:p>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2、管理关系：是指不具有出资持股关系的其他单位之间存在的管理与被管理关系，如一些上下级关系的事业单位和团体组织。</w:t>
      </w:r>
    </w:p>
    <w:p>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3、本表所指的控股、管理关系仅限于直接控股、直接管理关系，不包括间接的控股或管理关系。公司实际控制人与公司之间的关系不属于本表所指的直接控股关系。</w:t>
      </w:r>
    </w:p>
    <w:p>
      <w:pPr>
        <w:pStyle w:val="17"/>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4、投标人如不存在直接控股股东的，则在“直接控股股东名称及出资比例”处填写“无”或“/”。投标人不存在直接管理关系的，则在“直接管理关系单位名称”中填“无”或“/”。</w:t>
      </w:r>
    </w:p>
    <w:bookmarkEnd w:id="421"/>
    <w:bookmarkEnd w:id="422"/>
    <w:bookmarkEnd w:id="423"/>
    <w:bookmarkEnd w:id="424"/>
    <w:bookmarkEnd w:id="425"/>
    <w:bookmarkEnd w:id="426"/>
    <w:p>
      <w:pPr>
        <w:spacing w:line="240" w:lineRule="auto"/>
        <w:ind w:firstLine="0" w:firstLineChars="0"/>
        <w:outlineLvl w:val="9"/>
        <w:rPr>
          <w:rFonts w:ascii="仿宋" w:hAnsi="仿宋" w:eastAsia="仿宋" w:cs="仿宋"/>
          <w:b/>
          <w:bCs/>
          <w:sz w:val="30"/>
          <w:szCs w:val="30"/>
          <w:highlight w:val="none"/>
        </w:rPr>
      </w:pPr>
      <w:r>
        <w:rPr>
          <w:rFonts w:ascii="仿宋" w:hAnsi="仿宋" w:eastAsia="仿宋" w:cs="仿宋"/>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七、书面声明</w:t>
      </w:r>
    </w:p>
    <w:p>
      <w:pPr>
        <w:spacing w:line="500" w:lineRule="exact"/>
        <w:jc w:val="center"/>
        <w:rPr>
          <w:rFonts w:ascii="仿宋" w:hAnsi="仿宋" w:eastAsia="仿宋" w:cs="仿宋"/>
          <w:b/>
          <w:bCs/>
          <w:sz w:val="30"/>
          <w:szCs w:val="30"/>
          <w:highlight w:val="none"/>
        </w:rPr>
      </w:pPr>
      <w:r>
        <w:rPr>
          <w:rFonts w:hint="eastAsia" w:ascii="仿宋" w:hAnsi="仿宋" w:eastAsia="仿宋" w:cs="仿宋"/>
          <w:b/>
          <w:bCs/>
          <w:sz w:val="30"/>
          <w:szCs w:val="30"/>
          <w:highlight w:val="none"/>
        </w:rPr>
        <w:t>书面声明</w:t>
      </w:r>
      <w:r>
        <w:rPr>
          <w:rFonts w:hint="eastAsia" w:cs="华文仿宋"/>
          <w:b/>
          <w:bCs/>
          <w:sz w:val="30"/>
          <w:szCs w:val="30"/>
          <w:highlight w:val="none"/>
        </w:rPr>
        <w:t>（格式）</w:t>
      </w:r>
    </w:p>
    <w:p>
      <w:pPr>
        <w:spacing w:line="500" w:lineRule="exact"/>
        <w:rPr>
          <w:rFonts w:ascii="仿宋" w:hAnsi="仿宋" w:eastAsia="仿宋" w:cs="仿宋"/>
          <w:highlight w:val="none"/>
        </w:rPr>
      </w:pPr>
      <w:r>
        <w:rPr>
          <w:rFonts w:hint="eastAsia" w:ascii="仿宋" w:hAnsi="仿宋" w:eastAsia="仿宋" w:cs="仿宋"/>
          <w:highlight w:val="none"/>
        </w:rPr>
        <w:t>陕西省省级单位政府采购中心：</w:t>
      </w:r>
    </w:p>
    <w:p>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我方作为</w:t>
      </w:r>
      <w:r>
        <w:rPr>
          <w:rFonts w:hint="eastAsia" w:ascii="仿宋" w:hAnsi="仿宋" w:eastAsia="仿宋" w:cs="仿宋"/>
          <w:highlight w:val="none"/>
          <w:u w:val="single"/>
        </w:rPr>
        <w:t xml:space="preserve"> 项目名称 </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w:t>
      </w:r>
      <w:r>
        <w:rPr>
          <w:rFonts w:hint="eastAsia" w:ascii="仿宋" w:hAnsi="仿宋" w:eastAsia="仿宋" w:cs="仿宋"/>
          <w:highlight w:val="none"/>
          <w:u w:val="single"/>
        </w:rPr>
        <w:t xml:space="preserve">   </w:t>
      </w:r>
      <w:r>
        <w:rPr>
          <w:rFonts w:hint="eastAsia" w:ascii="仿宋" w:hAnsi="仿宋" w:eastAsia="仿宋" w:cs="仿宋"/>
          <w:highlight w:val="none"/>
        </w:rPr>
        <w:t>标段的投标人，在此郑重声明：</w:t>
      </w:r>
    </w:p>
    <w:p>
      <w:pPr>
        <w:numPr>
          <w:ilvl w:val="0"/>
          <w:numId w:val="8"/>
        </w:numPr>
        <w:spacing w:line="500" w:lineRule="exact"/>
        <w:ind w:firstLine="566" w:firstLineChars="200"/>
        <w:rPr>
          <w:rFonts w:ascii="仿宋" w:hAnsi="仿宋" w:eastAsia="仿宋" w:cs="仿宋"/>
          <w:highlight w:val="none"/>
        </w:rPr>
      </w:pPr>
      <w:r>
        <w:rPr>
          <w:rFonts w:hint="eastAsia" w:ascii="仿宋" w:hAnsi="仿宋" w:eastAsia="仿宋" w:cs="仿宋"/>
          <w:highlight w:val="none"/>
        </w:rPr>
        <w:t>我方具备履行合同所必须的设备和专业技术能力。</w:t>
      </w:r>
    </w:p>
    <w:p>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2、我方未为本项目提供整体设计、规范编制或者项目管理、监理、检测等服务。</w:t>
      </w:r>
    </w:p>
    <w:p>
      <w:pPr>
        <w:spacing w:line="500" w:lineRule="exact"/>
        <w:ind w:firstLine="566" w:firstLineChars="200"/>
        <w:rPr>
          <w:rFonts w:ascii="仿宋" w:hAnsi="仿宋" w:eastAsia="仿宋" w:cs="仿宋"/>
          <w:highlight w:val="none"/>
        </w:rPr>
      </w:pPr>
      <w:r>
        <w:rPr>
          <w:rFonts w:hint="eastAsia" w:ascii="仿宋" w:hAnsi="仿宋" w:eastAsia="仿宋" w:cs="仿宋"/>
          <w:highlight w:val="none"/>
        </w:rPr>
        <w:t>如有不实，我方将无条件地退出本项目的采购活动，并遵照《政府采购法》有关“提供虚假材料的规定”接受处罚。</w:t>
      </w:r>
    </w:p>
    <w:p>
      <w:pPr>
        <w:spacing w:line="500" w:lineRule="exact"/>
        <w:rPr>
          <w:rFonts w:ascii="仿宋" w:hAnsi="仿宋" w:eastAsia="仿宋" w:cs="仿宋"/>
          <w:highlight w:val="none"/>
        </w:rPr>
      </w:pPr>
      <w:r>
        <w:rPr>
          <w:rFonts w:hint="eastAsia" w:ascii="仿宋" w:hAnsi="仿宋" w:eastAsia="仿宋" w:cs="仿宋"/>
          <w:highlight w:val="none"/>
        </w:rPr>
        <w:t>特此声明。</w:t>
      </w:r>
    </w:p>
    <w:p>
      <w:pPr>
        <w:spacing w:line="500" w:lineRule="exact"/>
        <w:ind w:firstLine="4528" w:firstLineChars="1600"/>
        <w:rPr>
          <w:rFonts w:ascii="仿宋" w:hAnsi="仿宋" w:eastAsia="仿宋" w:cs="仿宋"/>
          <w:highlight w:val="none"/>
        </w:rPr>
      </w:pPr>
      <w:r>
        <w:rPr>
          <w:rFonts w:hint="eastAsia" w:cs="华文仿宋"/>
          <w:color w:val="000000"/>
          <w:highlight w:val="none"/>
        </w:rPr>
        <w:t>投标人</w:t>
      </w:r>
      <w:r>
        <w:rPr>
          <w:rFonts w:hint="eastAsia" w:ascii="仿宋" w:hAnsi="仿宋" w:eastAsia="仿宋" w:cs="仿宋"/>
          <w:highlight w:val="none"/>
        </w:rPr>
        <w:t xml:space="preserve">： </w:t>
      </w:r>
      <w:r>
        <w:rPr>
          <w:rFonts w:hint="eastAsia" w:ascii="仿宋" w:hAnsi="仿宋" w:eastAsia="仿宋" w:cs="仿宋"/>
          <w:highlight w:val="none"/>
          <w:u w:val="single"/>
        </w:rPr>
        <w:t>名称</w:t>
      </w:r>
      <w:r>
        <w:rPr>
          <w:rFonts w:hint="eastAsia" w:ascii="仿宋" w:hAnsi="仿宋" w:eastAsia="仿宋" w:cs="仿宋"/>
          <w:highlight w:val="none"/>
        </w:rPr>
        <w:t>（加盖公章）</w:t>
      </w:r>
    </w:p>
    <w:p>
      <w:pPr>
        <w:spacing w:line="500" w:lineRule="exact"/>
        <w:ind w:firstLine="4528" w:firstLineChars="1600"/>
        <w:rPr>
          <w:rFonts w:ascii="仿宋" w:hAnsi="仿宋" w:eastAsia="仿宋" w:cs="仿宋"/>
          <w:highlight w:val="none"/>
        </w:rPr>
      </w:pPr>
      <w:r>
        <w:rPr>
          <w:rFonts w:hint="eastAsia" w:ascii="仿宋" w:hAnsi="仿宋" w:eastAsia="仿宋" w:cs="仿宋"/>
          <w:highlight w:val="none"/>
        </w:rPr>
        <w:t>日期：  年  月  日</w:t>
      </w:r>
    </w:p>
    <w:p>
      <w:pPr>
        <w:pStyle w:val="5"/>
        <w:rPr>
          <w:rFonts w:ascii="仿宋" w:hAnsi="仿宋" w:eastAsia="仿宋" w:cs="仿宋"/>
          <w:highlight w:val="none"/>
        </w:rPr>
      </w:pPr>
    </w:p>
    <w:p>
      <w:pPr>
        <w:pStyle w:val="5"/>
        <w:rPr>
          <w:rFonts w:ascii="仿宋" w:hAnsi="仿宋" w:eastAsia="仿宋" w:cs="仿宋"/>
          <w:highlight w:val="none"/>
        </w:rPr>
      </w:pPr>
    </w:p>
    <w:p>
      <w:pPr>
        <w:spacing w:line="500" w:lineRule="exact"/>
        <w:rPr>
          <w:rFonts w:ascii="仿宋" w:hAnsi="仿宋" w:eastAsia="宋体" w:cs="仿宋"/>
          <w:b/>
          <w:bCs/>
          <w:sz w:val="30"/>
          <w:szCs w:val="30"/>
          <w:highlight w:val="none"/>
        </w:rPr>
      </w:pPr>
      <w:r>
        <w:rPr>
          <w:rFonts w:hint="eastAsia" w:ascii="宋体" w:hAnsi="宋体" w:eastAsia="宋体" w:cs="宋体"/>
          <w:sz w:val="21"/>
          <w:szCs w:val="21"/>
          <w:highlight w:val="none"/>
        </w:rPr>
        <w:t>备注：项目不分标段的，第</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 xml:space="preserve">标段空白处填写“/”。 </w:t>
      </w:r>
    </w:p>
    <w:p>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pPr>
        <w:tabs>
          <w:tab w:val="right" w:pos="9070"/>
        </w:tabs>
        <w:spacing w:line="500" w:lineRule="exact"/>
        <w:rPr>
          <w:rFonts w:ascii="仿宋" w:hAnsi="仿宋" w:eastAsia="仿宋" w:cs="仿宋"/>
          <w:bCs/>
          <w:highlight w:val="none"/>
        </w:rPr>
      </w:pPr>
      <w:r>
        <w:rPr>
          <w:rFonts w:hint="eastAsia" w:ascii="仿宋" w:hAnsi="仿宋" w:eastAsia="仿宋" w:cs="仿宋"/>
          <w:bCs/>
          <w:highlight w:val="none"/>
        </w:rPr>
        <w:tab/>
      </w:r>
    </w:p>
    <w:p>
      <w:pPr>
        <w:pStyle w:val="31"/>
        <w:spacing w:line="500" w:lineRule="exact"/>
        <w:ind w:firstLine="646" w:firstLineChars="200"/>
        <w:rPr>
          <w:rFonts w:cs="Times New Roman"/>
          <w:highlight w:val="none"/>
        </w:rPr>
      </w:pPr>
      <w:r>
        <w:rPr>
          <w:rFonts w:hint="eastAsia" w:ascii="仿宋" w:hAnsi="仿宋" w:eastAsia="仿宋" w:cs="仿宋"/>
          <w:highlight w:val="none"/>
        </w:rPr>
        <w:br w:type="page"/>
      </w:r>
      <w:bookmarkStart w:id="427" w:name="_Toc24934"/>
      <w:bookmarkStart w:id="428" w:name="_Toc29668"/>
      <w:bookmarkStart w:id="429" w:name="_Toc28669"/>
      <w:bookmarkStart w:id="430" w:name="_Toc22384"/>
      <w:bookmarkStart w:id="431" w:name="_Toc21964"/>
      <w:bookmarkStart w:id="432" w:name="_Toc4405"/>
      <w:r>
        <w:rPr>
          <w:rFonts w:hint="eastAsia" w:cs="华文仿宋"/>
          <w:sz w:val="30"/>
          <w:szCs w:val="30"/>
          <w:highlight w:val="none"/>
        </w:rPr>
        <w:t>八、法定代表人授权委托书</w:t>
      </w:r>
      <w:bookmarkEnd w:id="427"/>
      <w:bookmarkEnd w:id="428"/>
      <w:bookmarkEnd w:id="429"/>
      <w:bookmarkEnd w:id="430"/>
      <w:bookmarkEnd w:id="431"/>
      <w:bookmarkEnd w:id="432"/>
    </w:p>
    <w:p>
      <w:pPr>
        <w:pStyle w:val="31"/>
        <w:jc w:val="center"/>
        <w:outlineLvl w:val="9"/>
        <w:rPr>
          <w:rFonts w:cs="Times New Roman"/>
          <w:sz w:val="30"/>
          <w:szCs w:val="30"/>
          <w:highlight w:val="none"/>
        </w:rPr>
      </w:pPr>
      <w:bookmarkStart w:id="433" w:name="_Toc17482"/>
      <w:bookmarkStart w:id="434" w:name="_Toc12408"/>
      <w:bookmarkStart w:id="435" w:name="_Toc13312"/>
      <w:bookmarkStart w:id="436" w:name="_Toc1535"/>
      <w:bookmarkStart w:id="437" w:name="_Toc16636"/>
      <w:bookmarkStart w:id="438" w:name="_Toc7695"/>
      <w:r>
        <w:rPr>
          <w:rFonts w:hint="eastAsia" w:cs="华文仿宋"/>
          <w:sz w:val="30"/>
          <w:szCs w:val="30"/>
          <w:highlight w:val="none"/>
        </w:rPr>
        <w:t>法定代表人授权委托书</w:t>
      </w:r>
      <w:bookmarkEnd w:id="433"/>
      <w:bookmarkEnd w:id="434"/>
      <w:bookmarkEnd w:id="435"/>
      <w:r>
        <w:rPr>
          <w:rFonts w:hint="eastAsia" w:cs="华文仿宋"/>
          <w:sz w:val="30"/>
          <w:szCs w:val="30"/>
          <w:highlight w:val="none"/>
        </w:rPr>
        <w:t>（格式）</w:t>
      </w:r>
      <w:bookmarkEnd w:id="436"/>
      <w:bookmarkEnd w:id="437"/>
      <w:bookmarkEnd w:id="438"/>
    </w:p>
    <w:p>
      <w:pPr>
        <w:snapToGrid w:val="0"/>
        <w:spacing w:after="190" w:afterLines="50" w:line="500" w:lineRule="exact"/>
        <w:rPr>
          <w:rFonts w:ascii="华文仿宋" w:hAnsi="华文仿宋" w:cs="华文仿宋"/>
          <w:highlight w:val="none"/>
        </w:rPr>
      </w:pPr>
      <w:r>
        <w:rPr>
          <w:rFonts w:hint="eastAsia" w:ascii="华文仿宋" w:hAnsi="华文仿宋" w:cs="华文仿宋"/>
          <w:highlight w:val="none"/>
        </w:rPr>
        <w:t>陕西省省级单位政府采购中心：</w:t>
      </w:r>
    </w:p>
    <w:p>
      <w:pPr>
        <w:spacing w:line="460" w:lineRule="exact"/>
        <w:ind w:right="11" w:firstLine="566" w:firstLineChars="200"/>
        <w:rPr>
          <w:rFonts w:cs="Times New Roman"/>
          <w:highlight w:val="none"/>
        </w:rPr>
      </w:pPr>
      <w:r>
        <w:rPr>
          <w:rFonts w:hint="eastAsia" w:cs="华文仿宋"/>
          <w:highlight w:val="none"/>
        </w:rPr>
        <w:t>现委派（</w:t>
      </w:r>
      <w:r>
        <w:rPr>
          <w:rFonts w:hint="eastAsia" w:cs="华文仿宋"/>
          <w:highlight w:val="none"/>
          <w:u w:val="single"/>
        </w:rPr>
        <w:t>被授权代表姓名</w:t>
      </w:r>
      <w:r>
        <w:rPr>
          <w:rFonts w:hint="eastAsia" w:cs="华文仿宋"/>
          <w:highlight w:val="none"/>
        </w:rPr>
        <w:t>）（身份证号：</w:t>
      </w:r>
      <w:r>
        <w:rPr>
          <w:rFonts w:hint="eastAsia" w:cs="华文仿宋"/>
          <w:highlight w:val="none"/>
          <w:u w:val="single"/>
        </w:rPr>
        <w:t xml:space="preserve">    </w:t>
      </w:r>
      <w:r>
        <w:rPr>
          <w:rFonts w:hint="eastAsia" w:cs="华文仿宋"/>
          <w:highlight w:val="none"/>
        </w:rPr>
        <w:t xml:space="preserve"> ）为本公司的被授权代表，参加贵中心组织的</w:t>
      </w:r>
      <w:r>
        <w:rPr>
          <w:highlight w:val="none"/>
          <w:u w:val="single"/>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7950" cy="1619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2.75pt;width:8.5pt;mso-position-horizontal:center;mso-position-horizontal-relative:margin;mso-wrap-style:none;z-index:251660288;mso-width-relative:page;mso-height-relative:page;" filled="f" stroked="f" coordsize="21600,21600" o:gfxdata="UEsDBAoAAAAAAIdO4kAAAAAAAAAAAAAAAAAEAAAAZHJzL1BLAwQUAAAACACHTuJAsQp1TdEAAAAD&#10;AQAADwAAAGRycy9kb3ducmV2LnhtbE2PwU7DMBBE70j8g7VI3KjTQgGFOJVaNRyRaDhwdOMlSWuv&#10;I9tNw9+z5QKXkUazmnlbrCZnxYgh9p4UzGcZCKTGm55aBR91dfcMIiZNRltPqOAbI6zK66tC58af&#10;6R3HXWoFl1DMtYIupSGXMjYdOh1nfkDi7MsHpxPb0EoT9JnLnZWLLHuUTvfEC50ecNNhc9ydnIJN&#10;VddhxBjsJ75W94e39QNuJ6Vub+bZC4iEU/o7hgs+o0PJTHt/IhOFVcCPpF+9ZE/s9goWyyXIspD/&#10;2csfUEsDBBQAAAAIAIdO4kBZCAdU1AEAAIUDAAAOAAAAZHJzL2Uyb0RvYy54bWytU8Fu1DAQvSP1&#10;Hyzfu0m26kKjzVbQqggJAVLhA7yOvbFkeyzbu8nyAfAHnLhw73ftdzB2stsWboiLM54Zv5n3ZrK8&#10;HowmO+GDAtvQalZSIiyHVtlNQ798vjt/RUmIzLZMgxUN3YtAr1dnL5a9q8UcOtCt8ARBbKh719Au&#10;RlcXReCdMCzMwAmLQQnesIhXvylaz3pEN7qYl+Wi6MG3zgMXIaD3dgzSVcaXUvD4UcogItENxd5i&#10;Pn0+1+ksVktWbzxzneJTG+wfujBMWSx6grplkZGtV39BGcU9BJBxxsEUIKXiInNANlX5B5v7jjmR&#10;uaA4wZ1kCv8Pln/YffJEtTg7SiwzOKLDj++Hnw+HX99IleTpXagx695hXhzewJBSJ39AZ2I9SG/S&#10;F/kQjKPQ+5O4YoiEp0fly6tLjHAMVYvqan6ZUIrHx86H+FaAIcloqMfZZUnZ7n2IY+oxJdWycKe0&#10;Rj+rtSV9QxcXCP8sguDaJo/ImzDBJEJj48mKw3qY2Kyh3SNJ3GYs34H/SkmPm9FQi6tLiX5nUfi0&#10;REfDH4310WCW48OGRkpG8yaOy7Z1Xm06xK1yi8G93kYkkHmlNsbaqEe64KyzMtNepmV6es9Zj3/P&#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xCnVN0QAAAAMBAAAPAAAAAAAAAAEAIAAAACIAAABk&#10;cnMvZG93bnJldi54bWxQSwECFAAUAAAACACHTuJAWQgHVNQBAACFAwAADgAAAAAAAAABACAAAAAg&#10;AQAAZHJzL2Uyb0RvYy54bWxQSwUGAAAAAAYABgBZAQAAZgUAAAAA&#10;">
                <v:fill on="f" focussize="0,0"/>
                <v:stroke on="f" weight="0.5pt"/>
                <v:imagedata o:title=""/>
                <o:lock v:ext="edit" aspectratio="f"/>
                <v:textbox inset="0mm,0mm,0mm,0mm" style="mso-fit-shape-to-text:t;">
                  <w:txbxContent>
                    <w:p/>
                  </w:txbxContent>
                </v:textbox>
              </v:shape>
            </w:pict>
          </mc:Fallback>
        </mc:AlternateContent>
      </w:r>
      <w:r>
        <w:rPr>
          <w:rFonts w:hint="eastAsia" w:cs="华文仿宋"/>
          <w:highlight w:val="none"/>
          <w:u w:val="single"/>
        </w:rPr>
        <w:t>《</w:t>
      </w:r>
      <w:r>
        <w:rPr>
          <w:rFonts w:hint="eastAsia" w:ascii="华文仿宋" w:hAnsi="华文仿宋" w:cs="华文仿宋"/>
          <w:highlight w:val="none"/>
          <w:u w:val="single"/>
        </w:rPr>
        <w:t>项目名称</w:t>
      </w:r>
      <w:r>
        <w:rPr>
          <w:rFonts w:hint="eastAsia" w:cs="华文仿宋"/>
          <w:highlight w:val="none"/>
          <w:u w:val="single"/>
        </w:rPr>
        <w:t>》</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w:t>
      </w:r>
      <w:r>
        <w:rPr>
          <w:rFonts w:hint="eastAsia" w:cs="华文仿宋"/>
          <w:highlight w:val="none"/>
        </w:rPr>
        <w:t>政府采购活动，就该项目的投标及合同的执行和完成，以本公司的名义处理一切与之有关的事宜。本授权自开标之日起生效，有效期与投标文件有效期一致。</w:t>
      </w:r>
    </w:p>
    <w:p>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被授权代表姓名：</w:t>
      </w:r>
      <w:r>
        <w:rPr>
          <w:rFonts w:ascii="华文仿宋" w:hAnsi="华文仿宋" w:cs="华文仿宋"/>
          <w:highlight w:val="none"/>
        </w:rPr>
        <w:t>______</w:t>
      </w:r>
      <w:r>
        <w:rPr>
          <w:rFonts w:hint="eastAsia" w:ascii="华文仿宋" w:hAnsi="华文仿宋" w:cs="华文仿宋"/>
          <w:highlight w:val="none"/>
        </w:rPr>
        <w:t xml:space="preserve">       性别：</w:t>
      </w:r>
      <w:r>
        <w:rPr>
          <w:rFonts w:ascii="华文仿宋" w:hAnsi="华文仿宋" w:cs="华文仿宋"/>
          <w:highlight w:val="none"/>
        </w:rPr>
        <w:t>________________</w:t>
      </w:r>
    </w:p>
    <w:p>
      <w:pPr>
        <w:tabs>
          <w:tab w:val="left" w:pos="5245"/>
        </w:tabs>
        <w:snapToGrid w:val="0"/>
        <w:ind w:firstLine="566" w:firstLineChars="200"/>
        <w:rPr>
          <w:rFonts w:ascii="华文仿宋" w:cs="Times New Roman"/>
          <w:highlight w:val="none"/>
        </w:rPr>
      </w:pPr>
      <w:r>
        <w:rPr>
          <w:rFonts w:hint="eastAsia" w:ascii="华文仿宋" w:hAnsi="华文仿宋" w:cs="华文仿宋"/>
          <w:highlight w:val="none"/>
        </w:rPr>
        <w:t>电话：</w:t>
      </w:r>
      <w:r>
        <w:rPr>
          <w:rFonts w:ascii="华文仿宋" w:hAnsi="华文仿宋" w:cs="华文仿宋"/>
          <w:highlight w:val="none"/>
        </w:rPr>
        <w:t>__________</w:t>
      </w:r>
      <w:r>
        <w:rPr>
          <w:rFonts w:hint="eastAsia" w:ascii="华文仿宋" w:hAnsi="华文仿宋" w:cs="华文仿宋"/>
          <w:highlight w:val="none"/>
        </w:rPr>
        <w:t>通讯地址：</w:t>
      </w:r>
      <w:r>
        <w:rPr>
          <w:rFonts w:ascii="华文仿宋" w:hAnsi="华文仿宋" w:cs="华文仿宋"/>
          <w:highlight w:val="none"/>
        </w:rPr>
        <w:t>______________</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noWrap w:val="0"/>
            <w:vAlign w:val="center"/>
          </w:tcPr>
          <w:p>
            <w:pPr>
              <w:snapToGrid w:val="0"/>
              <w:jc w:val="center"/>
              <w:rPr>
                <w:rFonts w:cs="Times New Roman"/>
                <w:highlight w:val="none"/>
              </w:rPr>
            </w:pPr>
            <w:r>
              <w:rPr>
                <w:rFonts w:hint="eastAsia" w:cs="华文仿宋"/>
                <w:highlight w:val="none"/>
              </w:rPr>
              <w:t>法定代表人身份证复印件</w:t>
            </w:r>
          </w:p>
          <w:p>
            <w:pPr>
              <w:snapToGrid w:val="0"/>
              <w:jc w:val="center"/>
              <w:rPr>
                <w:rFonts w:cs="Times New Roman"/>
                <w:highlight w:val="none"/>
              </w:rPr>
            </w:pPr>
            <w:r>
              <w:rPr>
                <w:rFonts w:hint="eastAsia" w:cs="华文仿宋"/>
                <w:highlight w:val="none"/>
              </w:rPr>
              <w:t>（有人像面）</w:t>
            </w:r>
          </w:p>
        </w:tc>
        <w:tc>
          <w:tcPr>
            <w:tcW w:w="4098" w:type="dxa"/>
            <w:noWrap w:val="0"/>
            <w:vAlign w:val="center"/>
          </w:tcPr>
          <w:p>
            <w:pPr>
              <w:snapToGrid w:val="0"/>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pPr>
              <w:snapToGrid w:val="0"/>
              <w:jc w:val="center"/>
              <w:rPr>
                <w:rFonts w:cs="Times New Roman"/>
                <w:highlight w:val="none"/>
              </w:rPr>
            </w:pPr>
            <w:r>
              <w:rPr>
                <w:rFonts w:hint="eastAsia" w:cs="华文仿宋"/>
                <w:highlight w:val="none"/>
              </w:rPr>
              <w:t>（有人像面）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pPr>
              <w:jc w:val="center"/>
              <w:rPr>
                <w:rFonts w:cs="Times New Roman"/>
                <w:highlight w:val="none"/>
              </w:rPr>
            </w:pPr>
            <w:r>
              <w:rPr>
                <w:rFonts w:hint="eastAsia" w:cs="华文仿宋"/>
                <w:highlight w:val="none"/>
              </w:rPr>
              <w:t>法定代表人身份证复印件</w:t>
            </w:r>
          </w:p>
          <w:p>
            <w:pPr>
              <w:jc w:val="center"/>
              <w:rPr>
                <w:rFonts w:cs="Times New Roman"/>
                <w:highlight w:val="none"/>
              </w:rPr>
            </w:pPr>
            <w:r>
              <w:rPr>
                <w:rFonts w:hint="eastAsia" w:cs="华文仿宋"/>
                <w:highlight w:val="none"/>
              </w:rPr>
              <w:t>（有国徽面）</w:t>
            </w:r>
          </w:p>
        </w:tc>
        <w:tc>
          <w:tcPr>
            <w:tcW w:w="4098" w:type="dxa"/>
            <w:noWrap w:val="0"/>
            <w:vAlign w:val="center"/>
          </w:tcPr>
          <w:p>
            <w:pPr>
              <w:jc w:val="center"/>
              <w:rPr>
                <w:rFonts w:cs="Times New Roman"/>
                <w:highlight w:val="none"/>
              </w:rPr>
            </w:pPr>
            <w:r>
              <w:rPr>
                <w:rFonts w:hint="eastAsia" w:ascii="华文仿宋" w:hAnsi="华文仿宋" w:cs="华文仿宋"/>
                <w:highlight w:val="none"/>
              </w:rPr>
              <w:t>被</w:t>
            </w:r>
            <w:r>
              <w:rPr>
                <w:rFonts w:hint="eastAsia" w:cs="华文仿宋"/>
                <w:highlight w:val="none"/>
              </w:rPr>
              <w:t>授权代表身份证复印件</w:t>
            </w:r>
          </w:p>
          <w:p>
            <w:pPr>
              <w:jc w:val="center"/>
              <w:rPr>
                <w:rFonts w:cs="Times New Roman"/>
                <w:highlight w:val="none"/>
              </w:rPr>
            </w:pPr>
            <w:r>
              <w:rPr>
                <w:rFonts w:hint="eastAsia" w:cs="华文仿宋"/>
                <w:highlight w:val="none"/>
              </w:rPr>
              <w:t>（有国徽面）</w:t>
            </w:r>
          </w:p>
        </w:tc>
      </w:tr>
    </w:tbl>
    <w:p>
      <w:pPr>
        <w:tabs>
          <w:tab w:val="right" w:pos="8931"/>
        </w:tabs>
        <w:ind w:firstLine="566" w:firstLineChars="2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       法定代表人：（</w:t>
      </w:r>
      <w:r>
        <w:rPr>
          <w:rFonts w:hint="eastAsia" w:ascii="仿宋" w:hAnsi="仿宋" w:eastAsia="仿宋" w:cs="仿宋"/>
          <w:highlight w:val="none"/>
        </w:rPr>
        <w:t>签字或</w:t>
      </w:r>
      <w:r>
        <w:rPr>
          <w:rFonts w:hint="eastAsia" w:cs="华文仿宋"/>
          <w:highlight w:val="none"/>
        </w:rPr>
        <w:t>盖章）</w:t>
      </w:r>
    </w:p>
    <w:p>
      <w:pPr>
        <w:spacing w:line="440" w:lineRule="exact"/>
        <w:ind w:firstLine="5789" w:firstLineChars="2046"/>
        <w:rPr>
          <w:rFonts w:cs="Times New Roman"/>
          <w:highlight w:val="none"/>
        </w:rPr>
      </w:pPr>
      <w:r>
        <w:rPr>
          <w:rFonts w:hint="eastAsia" w:cs="华文仿宋"/>
          <w:highlight w:val="none"/>
        </w:rPr>
        <w:t>日期：　年　月　日</w:t>
      </w:r>
    </w:p>
    <w:p>
      <w:pPr>
        <w:spacing w:line="340" w:lineRule="exact"/>
        <w:rPr>
          <w:rFonts w:ascii="宋体" w:hAnsi="宋体" w:eastAsia="宋体" w:cs="Times New Roman"/>
          <w:sz w:val="21"/>
          <w:szCs w:val="21"/>
          <w:highlight w:val="none"/>
        </w:rPr>
      </w:pPr>
      <w:r>
        <w:rPr>
          <w:rFonts w:hint="eastAsia" w:ascii="宋体" w:hAnsi="宋体" w:eastAsia="宋体" w:cs="宋体"/>
          <w:sz w:val="21"/>
          <w:szCs w:val="21"/>
          <w:highlight w:val="none"/>
        </w:rPr>
        <w:t>备注：</w:t>
      </w: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pPr>
        <w:pStyle w:val="17"/>
        <w:spacing w:line="340" w:lineRule="exact"/>
        <w:ind w:firstLine="639" w:firstLineChars="300"/>
        <w:rPr>
          <w:rFonts w:ascii="宋体" w:hAnsi="宋体" w:eastAsia="宋体"/>
          <w:color w:val="000000"/>
          <w:sz w:val="21"/>
          <w:szCs w:val="21"/>
          <w:highlight w:val="none"/>
        </w:rPr>
      </w:pPr>
      <w:r>
        <w:rPr>
          <w:rFonts w:ascii="宋体" w:hAnsi="宋体" w:eastAsia="宋体" w:cs="宋体"/>
          <w:b/>
          <w:bCs/>
          <w:color w:val="000000"/>
          <w:sz w:val="21"/>
          <w:szCs w:val="21"/>
          <w:highlight w:val="none"/>
        </w:rPr>
        <w:t>2</w:t>
      </w:r>
      <w:r>
        <w:rPr>
          <w:rFonts w:hint="eastAsia" w:ascii="宋体" w:hAnsi="宋体" w:eastAsia="宋体" w:cs="宋体"/>
          <w:b/>
          <w:bCs/>
          <w:color w:val="000000"/>
          <w:sz w:val="21"/>
          <w:szCs w:val="21"/>
          <w:highlight w:val="none"/>
        </w:rPr>
        <w:t>、法定代表人亲自参加投标的，无需提供该委托授权书，但须提供法定代表人本人身份证（正反面）复印件，并在复印件中注明联系方式。</w:t>
      </w:r>
    </w:p>
    <w:p>
      <w:pPr>
        <w:pStyle w:val="17"/>
        <w:spacing w:line="340" w:lineRule="exact"/>
        <w:ind w:firstLine="639" w:firstLineChars="300"/>
        <w:rPr>
          <w:rFonts w:ascii="宋体" w:hAnsi="宋体" w:eastAsia="宋体" w:cs="宋体"/>
          <w:sz w:val="21"/>
          <w:szCs w:val="21"/>
          <w:highlight w:val="none"/>
        </w:rPr>
      </w:pPr>
      <w:r>
        <w:rPr>
          <w:rFonts w:ascii="宋体" w:hAnsi="宋体" w:eastAsia="宋体" w:cs="宋体"/>
          <w:sz w:val="21"/>
          <w:szCs w:val="21"/>
          <w:highlight w:val="none"/>
        </w:rPr>
        <w:t>3</w:t>
      </w:r>
      <w:r>
        <w:rPr>
          <w:rFonts w:hint="eastAsia" w:ascii="宋体" w:hAnsi="宋体" w:eastAsia="宋体" w:cs="宋体"/>
          <w:sz w:val="21"/>
          <w:szCs w:val="21"/>
          <w:highlight w:val="none"/>
        </w:rPr>
        <w:t>、法定代表人签字或盖章可采用纸质签字或盖章后，上传至电子投标文件，也可使用法定代表人</w:t>
      </w:r>
      <w:r>
        <w:rPr>
          <w:rFonts w:ascii="宋体" w:hAnsi="宋体" w:eastAsia="宋体" w:cs="宋体"/>
          <w:sz w:val="21"/>
          <w:szCs w:val="21"/>
          <w:highlight w:val="none"/>
        </w:rPr>
        <w:t>CA</w:t>
      </w:r>
      <w:r>
        <w:rPr>
          <w:rFonts w:hint="eastAsia" w:ascii="宋体" w:hAnsi="宋体" w:eastAsia="宋体" w:cs="宋体"/>
          <w:sz w:val="21"/>
          <w:szCs w:val="21"/>
          <w:highlight w:val="none"/>
        </w:rPr>
        <w:t>锁在电子投标文件制作软件中签章。</w:t>
      </w:r>
    </w:p>
    <w:p>
      <w:pPr>
        <w:pStyle w:val="17"/>
        <w:spacing w:line="340" w:lineRule="exact"/>
        <w:ind w:firstLine="639" w:firstLineChars="300"/>
        <w:rPr>
          <w:rFonts w:ascii="宋体" w:hAnsi="宋体" w:eastAsia="宋体"/>
          <w:sz w:val="21"/>
          <w:szCs w:val="21"/>
          <w:highlight w:val="none"/>
        </w:rPr>
      </w:pPr>
      <w:r>
        <w:rPr>
          <w:rFonts w:hint="eastAsia" w:ascii="宋体" w:hAnsi="宋体" w:eastAsia="宋体" w:cs="宋体"/>
          <w:sz w:val="21"/>
          <w:szCs w:val="21"/>
          <w:highlight w:val="none"/>
        </w:rPr>
        <w:t>4、法人的分支机构参与投标时，除提供《法定代表人授权委托书》外，还须同时提供法人给分支机构出具的授权书。授权书附此处。</w:t>
      </w:r>
    </w:p>
    <w:bookmarkEnd w:id="406"/>
    <w:bookmarkEnd w:id="407"/>
    <w:bookmarkEnd w:id="414"/>
    <w:bookmarkEnd w:id="415"/>
    <w:bookmarkEnd w:id="416"/>
    <w:p>
      <w:pPr>
        <w:spacing w:line="340" w:lineRule="exact"/>
        <w:rPr>
          <w:rFonts w:ascii="仿宋" w:hAnsi="仿宋" w:eastAsia="仿宋" w:cs="仿宋"/>
          <w:sz w:val="30"/>
          <w:szCs w:val="30"/>
          <w:highlight w:val="none"/>
        </w:rPr>
      </w:pPr>
      <w:bookmarkStart w:id="439" w:name="_Toc2556"/>
      <w:bookmarkStart w:id="440" w:name="_Toc7264"/>
      <w:bookmarkStart w:id="441" w:name="_Toc5624"/>
      <w:bookmarkStart w:id="442" w:name="_Toc14776"/>
      <w:r>
        <w:rPr>
          <w:rFonts w:hint="eastAsia" w:cs="华文仿宋"/>
          <w:highlight w:val="none"/>
        </w:rPr>
        <w:br w:type="page"/>
      </w:r>
      <w:bookmarkStart w:id="443" w:name="_Toc20173"/>
      <w:bookmarkStart w:id="444" w:name="_Toc15120"/>
      <w:bookmarkStart w:id="445" w:name="_Toc3866"/>
      <w:bookmarkStart w:id="446" w:name="_Toc1763"/>
      <w:bookmarkStart w:id="447" w:name="_Toc9402"/>
      <w:r>
        <w:rPr>
          <w:rFonts w:hint="eastAsia" w:ascii="仿宋" w:hAnsi="仿宋" w:eastAsia="仿宋" w:cs="仿宋"/>
          <w:sz w:val="30"/>
          <w:szCs w:val="30"/>
          <w:highlight w:val="none"/>
          <w:lang w:val="en-US" w:eastAsia="zh-CN"/>
        </w:rPr>
        <w:t xml:space="preserve">    </w:t>
      </w:r>
      <w:r>
        <w:rPr>
          <w:rFonts w:hint="eastAsia" w:ascii="Calibri Light" w:hAnsi="Calibri Light" w:eastAsia="华文仿宋" w:cs="华文仿宋"/>
          <w:b/>
          <w:bCs/>
          <w:sz w:val="30"/>
          <w:szCs w:val="30"/>
          <w:highlight w:val="none"/>
        </w:rPr>
        <w:t>九、</w:t>
      </w:r>
      <w:bookmarkEnd w:id="443"/>
      <w:r>
        <w:rPr>
          <w:rFonts w:hint="eastAsia" w:ascii="Calibri Light" w:hAnsi="Calibri Light" w:eastAsia="华文仿宋" w:cs="华文仿宋"/>
          <w:b/>
          <w:bCs/>
          <w:sz w:val="30"/>
          <w:szCs w:val="30"/>
          <w:highlight w:val="none"/>
        </w:rPr>
        <w:t>落实政府采购政策须满足的资格要求</w:t>
      </w:r>
      <w:bookmarkEnd w:id="444"/>
    </w:p>
    <w:p>
      <w:pPr>
        <w:pStyle w:val="31"/>
        <w:keepNext w:val="0"/>
        <w:keepLines w:val="0"/>
        <w:widowControl w:val="0"/>
        <w:spacing w:line="500" w:lineRule="exact"/>
        <w:ind w:firstLine="566" w:firstLineChars="200"/>
        <w:jc w:val="both"/>
        <w:outlineLvl w:val="9"/>
        <w:rPr>
          <w:rFonts w:ascii="仿宋" w:hAnsi="仿宋" w:eastAsia="仿宋" w:cs="仿宋"/>
          <w:b w:val="0"/>
          <w:bCs w:val="0"/>
          <w:sz w:val="28"/>
          <w:szCs w:val="28"/>
          <w:highlight w:val="none"/>
        </w:rPr>
      </w:pPr>
      <w:bookmarkStart w:id="448" w:name="_Toc10056"/>
      <w:r>
        <w:rPr>
          <w:rFonts w:hint="eastAsia" w:ascii="仿宋" w:hAnsi="仿宋" w:eastAsia="仿宋" w:cs="仿宋"/>
          <w:sz w:val="28"/>
          <w:szCs w:val="28"/>
          <w:highlight w:val="none"/>
        </w:rPr>
        <w:t>本项目为专门面向中小企业项目，投标人所投产品的制造商应为中型、小型、微型企业或监狱企业或残疾人福利性单位。</w:t>
      </w:r>
      <w:r>
        <w:rPr>
          <w:rFonts w:hint="eastAsia" w:ascii="仿宋" w:hAnsi="仿宋" w:eastAsia="仿宋" w:cs="仿宋"/>
          <w:b w:val="0"/>
          <w:bCs w:val="0"/>
          <w:sz w:val="28"/>
          <w:szCs w:val="28"/>
          <w:highlight w:val="none"/>
        </w:rPr>
        <w:t>投标人所投产品的制造商为中小企业的，提供《中小企业声明函》，且中小企业的划分标准所属行业为</w:t>
      </w:r>
      <w:r>
        <w:rPr>
          <w:rFonts w:hint="eastAsia" w:ascii="仿宋" w:hAnsi="仿宋" w:eastAsia="仿宋" w:cs="仿宋"/>
          <w:sz w:val="28"/>
          <w:szCs w:val="28"/>
          <w:highlight w:val="none"/>
        </w:rPr>
        <w:t>工业</w:t>
      </w:r>
      <w:r>
        <w:rPr>
          <w:rFonts w:hint="eastAsia" w:ascii="仿宋" w:hAnsi="仿宋" w:eastAsia="仿宋" w:cs="仿宋"/>
          <w:b w:val="0"/>
          <w:bCs w:val="0"/>
          <w:sz w:val="28"/>
          <w:szCs w:val="28"/>
          <w:highlight w:val="none"/>
        </w:rPr>
        <w:t>；投标人所投产品的制造商为监狱企业的，应提供监狱企业的证明文件；投标人所投产品的制造商为残疾人福利性单位的，应提供《残疾人福利性单位声明函》。</w:t>
      </w:r>
      <w:bookmarkEnd w:id="448"/>
    </w:p>
    <w:p>
      <w:pPr>
        <w:widowControl w:val="0"/>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特别提醒：中标人的《中小企业声明函》或《残疾人福利性单位声明函》或监狱企业证明文件将随中标结果公告一同公布，接受社会监督。</w:t>
      </w:r>
    </w:p>
    <w:p>
      <w:pPr>
        <w:pStyle w:val="5"/>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各投标人可根据企业从业人员、营业收入、资产总额等指标，按照招标文件约定的采购标的对应的中小企业划分标准所属行业和《中小企业划型标准规定》（工信部联企业〔2011〕300号）进行自测，判断是否属于中型、小型还是微型企业。也可在微信小程序中搜索中小企业规模类型自测小程序进行测算。</w:t>
      </w:r>
    </w:p>
    <w:p>
      <w:pPr>
        <w:widowControl w:val="0"/>
        <w:jc w:val="left"/>
        <w:rPr>
          <w:rFonts w:ascii="仿宋" w:hAnsi="仿宋" w:eastAsia="仿宋" w:cs="仿宋"/>
          <w:b/>
          <w:kern w:val="0"/>
          <w:highlight w:val="none"/>
        </w:rPr>
      </w:pPr>
      <w:r>
        <w:rPr>
          <w:rFonts w:hint="eastAsia" w:ascii="仿宋" w:hAnsi="仿宋" w:eastAsia="仿宋" w:cs="仿宋"/>
          <w:b/>
          <w:kern w:val="0"/>
          <w:highlight w:val="none"/>
        </w:rPr>
        <w:br w:type="page"/>
      </w:r>
    </w:p>
    <w:p>
      <w:pPr>
        <w:jc w:val="center"/>
        <w:rPr>
          <w:highlight w:val="none"/>
        </w:rPr>
      </w:pPr>
      <w:r>
        <w:rPr>
          <w:rFonts w:hint="eastAsia" w:ascii="华文仿宋" w:hAnsi="华文仿宋" w:cs="华文仿宋"/>
          <w:b/>
          <w:color w:val="000000"/>
          <w:kern w:val="0"/>
          <w:highlight w:val="none"/>
        </w:rPr>
        <w:t>中小企业声明函</w:t>
      </w:r>
    </w:p>
    <w:p>
      <w:pPr>
        <w:spacing w:line="500" w:lineRule="exact"/>
        <w:ind w:firstLine="566" w:firstLineChars="200"/>
        <w:jc w:val="left"/>
        <w:rPr>
          <w:rFonts w:ascii="华文仿宋" w:hAnsi="华文仿宋" w:cs="华文仿宋"/>
          <w:highlight w:val="none"/>
        </w:rPr>
      </w:pPr>
      <w:r>
        <w:rPr>
          <w:rFonts w:hint="eastAsia" w:ascii="华文仿宋" w:hAnsi="华文仿宋" w:cs="华文仿宋"/>
          <w:kern w:val="0"/>
          <w:highlight w:val="none"/>
        </w:rPr>
        <w:t>本公司郑重声明，根据《政府采购促进中小企业发展管理办法》（财库</w:t>
      </w:r>
      <w:r>
        <w:rPr>
          <w:rFonts w:hint="eastAsia" w:ascii="仿宋" w:hAnsi="仿宋" w:eastAsia="仿宋" w:cs="仿宋"/>
          <w:kern w:val="0"/>
          <w:highlight w:val="none"/>
        </w:rPr>
        <w:t>﹝2020﹞46</w:t>
      </w:r>
      <w:r>
        <w:rPr>
          <w:rFonts w:hint="eastAsia" w:ascii="华文仿宋" w:hAnsi="华文仿宋" w:cs="华文仿宋"/>
          <w:kern w:val="0"/>
          <w:highlight w:val="none"/>
        </w:rPr>
        <w:t>号）的规定，本公司参加陕西省省级单位政府采购中心组织的</w:t>
      </w:r>
      <w:r>
        <w:rPr>
          <w:rFonts w:hint="eastAsia" w:ascii="华文仿宋" w:hAnsi="华文仿宋" w:cs="华文仿宋"/>
          <w:iCs/>
          <w:kern w:val="0"/>
          <w:highlight w:val="none"/>
          <w:u w:val="single"/>
        </w:rPr>
        <w:t>（项目名称</w:t>
      </w:r>
      <w:r>
        <w:rPr>
          <w:rFonts w:hint="eastAsia" w:ascii="华文仿宋" w:hAnsi="华文仿宋" w:cs="华文仿宋"/>
          <w:iCs/>
          <w:kern w:val="0"/>
          <w:highlight w:val="none"/>
          <w:u w:val="none"/>
        </w:rPr>
        <w:t>）</w:t>
      </w:r>
      <w:r>
        <w:rPr>
          <w:rFonts w:hint="eastAsia" w:ascii="华文仿宋" w:hAnsi="华文仿宋" w:cs="华文仿宋"/>
          <w:iCs/>
          <w:kern w:val="0"/>
          <w:highlight w:val="none"/>
          <w:u w:val="none"/>
          <w:lang w:val="en-US" w:eastAsia="zh-CN"/>
        </w:rPr>
        <w:t>第</w:t>
      </w:r>
      <w:r>
        <w:rPr>
          <w:rFonts w:hint="eastAsia" w:ascii="华文仿宋" w:hAnsi="华文仿宋" w:cs="华文仿宋"/>
          <w:iCs/>
          <w:kern w:val="0"/>
          <w:highlight w:val="none"/>
          <w:u w:val="single"/>
          <w:lang w:val="en-US" w:eastAsia="zh-CN"/>
        </w:rPr>
        <w:t xml:space="preserve">   </w:t>
      </w:r>
      <w:r>
        <w:rPr>
          <w:rFonts w:hint="eastAsia" w:ascii="华文仿宋" w:hAnsi="华文仿宋" w:cs="华文仿宋"/>
          <w:iCs/>
          <w:kern w:val="0"/>
          <w:highlight w:val="none"/>
          <w:u w:val="none"/>
          <w:lang w:val="en-US" w:eastAsia="zh-CN"/>
        </w:rPr>
        <w:t>标段</w:t>
      </w:r>
      <w:r>
        <w:rPr>
          <w:rFonts w:hint="eastAsia" w:ascii="华文仿宋" w:hAnsi="华文仿宋" w:cs="华文仿宋"/>
          <w:kern w:val="0"/>
          <w:highlight w:val="none"/>
        </w:rPr>
        <w:t>采购活动，提供的货物全部由符合政策要求的中小企业</w:t>
      </w:r>
      <w:r>
        <w:rPr>
          <w:rFonts w:hint="eastAsia" w:ascii="华文仿宋" w:hAnsi="华文仿宋" w:cs="华文仿宋"/>
          <w:color w:val="000000"/>
          <w:kern w:val="0"/>
          <w:highlight w:val="none"/>
        </w:rPr>
        <w:t>制造</w:t>
      </w:r>
      <w:r>
        <w:rPr>
          <w:rFonts w:hint="eastAsia" w:ascii="华文仿宋" w:hAnsi="华文仿宋" w:cs="华文仿宋"/>
          <w:kern w:val="0"/>
          <w:highlight w:val="none"/>
        </w:rPr>
        <w:t>。相关企业的具体情况如下：</w:t>
      </w:r>
    </w:p>
    <w:p>
      <w:pPr>
        <w:spacing w:line="480" w:lineRule="exact"/>
        <w:ind w:firstLine="566" w:firstLineChars="200"/>
        <w:jc w:val="left"/>
        <w:rPr>
          <w:rFonts w:ascii="华文仿宋" w:hAnsi="华文仿宋" w:cs="华文仿宋"/>
          <w:color w:val="000000"/>
          <w:kern w:val="0"/>
          <w:highlight w:val="none"/>
        </w:rPr>
      </w:pPr>
      <w:r>
        <w:rPr>
          <w:rFonts w:hint="eastAsia" w:ascii="华文仿宋" w:hAnsi="华文仿宋" w:cs="华文仿宋"/>
          <w:color w:val="000000"/>
          <w:kern w:val="0"/>
          <w:highlight w:val="none"/>
        </w:rPr>
        <w:t>1、</w:t>
      </w:r>
      <w:r>
        <w:rPr>
          <w:rFonts w:hint="eastAsia" w:ascii="华文仿宋" w:hAnsi="华文仿宋" w:cs="华文仿宋"/>
          <w:color w:val="000000"/>
          <w:kern w:val="0"/>
          <w:highlight w:val="none"/>
          <w:u w:val="single"/>
        </w:rPr>
        <w:t>（标的名称）</w:t>
      </w:r>
      <w:r>
        <w:rPr>
          <w:rFonts w:hint="eastAsia" w:ascii="华文仿宋" w:hAnsi="华文仿宋" w:cs="华文仿宋"/>
          <w:color w:val="000000"/>
          <w:kern w:val="0"/>
          <w:highlight w:val="none"/>
        </w:rPr>
        <w:t>，属于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（招标文件中明确的所属行业）；制造商为</w:t>
      </w:r>
      <w:r>
        <w:rPr>
          <w:rFonts w:hint="eastAsia" w:ascii="华文仿宋" w:hAnsi="华文仿宋" w:cs="华文仿宋"/>
          <w:color w:val="000000"/>
          <w:kern w:val="0"/>
          <w:highlight w:val="none"/>
          <w:u w:val="single"/>
        </w:rPr>
        <w:t>（企业名称）</w:t>
      </w:r>
      <w:r>
        <w:rPr>
          <w:rFonts w:hint="eastAsia" w:ascii="华文仿宋" w:hAnsi="华文仿宋" w:cs="华文仿宋"/>
          <w:color w:val="000000"/>
          <w:kern w:val="0"/>
          <w:highlight w:val="none"/>
        </w:rPr>
        <w:t>，从业人员</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人，营业收入为</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万元，资产总额为</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万元，属于</w:t>
      </w:r>
      <w:r>
        <w:rPr>
          <w:rFonts w:hint="eastAsia" w:ascii="华文仿宋" w:hAnsi="华文仿宋" w:cs="华文仿宋"/>
          <w:color w:val="000000"/>
          <w:highlight w:val="none"/>
          <w:u w:val="single"/>
        </w:rPr>
        <w:t xml:space="preserve">      </w:t>
      </w:r>
      <w:r>
        <w:rPr>
          <w:rFonts w:hint="eastAsia" w:ascii="华文仿宋" w:hAnsi="华文仿宋" w:cs="华文仿宋"/>
          <w:color w:val="000000"/>
          <w:kern w:val="0"/>
          <w:highlight w:val="none"/>
        </w:rPr>
        <w:t>（中型企业、小型企业、微型企业）。</w:t>
      </w:r>
    </w:p>
    <w:p>
      <w:pPr>
        <w:spacing w:line="480" w:lineRule="exact"/>
        <w:ind w:firstLine="566" w:firstLineChars="200"/>
        <w:jc w:val="left"/>
        <w:rPr>
          <w:rFonts w:ascii="华文仿宋" w:hAnsi="华文仿宋" w:cs="华文仿宋"/>
          <w:color w:val="000000"/>
          <w:kern w:val="0"/>
          <w:highlight w:val="none"/>
        </w:rPr>
      </w:pPr>
      <w:r>
        <w:rPr>
          <w:rFonts w:hint="eastAsia" w:ascii="华文仿宋" w:hAnsi="华文仿宋" w:cs="华文仿宋"/>
          <w:color w:val="000000"/>
          <w:kern w:val="0"/>
          <w:highlight w:val="none"/>
        </w:rPr>
        <w:t>2、</w:t>
      </w:r>
      <w:r>
        <w:rPr>
          <w:rFonts w:hint="eastAsia" w:ascii="华文仿宋" w:hAnsi="华文仿宋" w:cs="华文仿宋"/>
          <w:color w:val="000000"/>
          <w:kern w:val="0"/>
          <w:highlight w:val="none"/>
          <w:u w:val="single"/>
        </w:rPr>
        <w:t>（标的名称）</w:t>
      </w:r>
      <w:r>
        <w:rPr>
          <w:rFonts w:hint="eastAsia" w:ascii="华文仿宋" w:hAnsi="华文仿宋" w:cs="华文仿宋"/>
          <w:color w:val="000000"/>
          <w:kern w:val="0"/>
          <w:highlight w:val="none"/>
        </w:rPr>
        <w:t>，属于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招标文件中明确的所属行业）；制造商为</w:t>
      </w:r>
      <w:r>
        <w:rPr>
          <w:rFonts w:hint="eastAsia" w:ascii="华文仿宋" w:hAnsi="华文仿宋" w:cs="华文仿宋"/>
          <w:color w:val="000000"/>
          <w:kern w:val="0"/>
          <w:highlight w:val="none"/>
          <w:u w:val="single"/>
        </w:rPr>
        <w:t>（企业名称）</w:t>
      </w:r>
      <w:r>
        <w:rPr>
          <w:rFonts w:hint="eastAsia" w:ascii="华文仿宋" w:hAnsi="华文仿宋" w:cs="华文仿宋"/>
          <w:color w:val="000000"/>
          <w:kern w:val="0"/>
          <w:highlight w:val="none"/>
        </w:rPr>
        <w:t>，从业人员</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人，营业收入为</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万元，资产总额为</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万元，属于</w:t>
      </w:r>
      <w:r>
        <w:rPr>
          <w:rFonts w:hint="eastAsia" w:ascii="华文仿宋" w:hAnsi="华文仿宋" w:cs="华文仿宋"/>
          <w:color w:val="000000"/>
          <w:kern w:val="0"/>
          <w:highlight w:val="none"/>
          <w:u w:val="single"/>
        </w:rPr>
        <w:t xml:space="preserve">       </w:t>
      </w:r>
      <w:r>
        <w:rPr>
          <w:rFonts w:hint="eastAsia" w:ascii="华文仿宋" w:hAnsi="华文仿宋" w:cs="华文仿宋"/>
          <w:color w:val="000000"/>
          <w:kern w:val="0"/>
          <w:highlight w:val="none"/>
        </w:rPr>
        <w:t>（中型企业、小型企业、微型企业）。</w:t>
      </w:r>
    </w:p>
    <w:p>
      <w:pPr>
        <w:pStyle w:val="10"/>
        <w:spacing w:line="480" w:lineRule="exact"/>
        <w:ind w:firstLine="566" w:firstLineChars="200"/>
        <w:rPr>
          <w:rFonts w:ascii="华文仿宋" w:hAnsi="华文仿宋" w:eastAsia="华文仿宋" w:cs="华文仿宋"/>
          <w:color w:val="000000"/>
          <w:sz w:val="28"/>
          <w:szCs w:val="28"/>
          <w:highlight w:val="none"/>
        </w:rPr>
      </w:pPr>
      <w:r>
        <w:rPr>
          <w:rFonts w:hint="eastAsia" w:ascii="华文仿宋" w:hAnsi="华文仿宋" w:eastAsia="华文仿宋" w:cs="华文仿宋"/>
          <w:color w:val="000000"/>
          <w:sz w:val="28"/>
          <w:szCs w:val="28"/>
          <w:highlight w:val="none"/>
        </w:rPr>
        <w:t>3、....</w:t>
      </w:r>
    </w:p>
    <w:p>
      <w:pPr>
        <w:spacing w:line="480" w:lineRule="exact"/>
        <w:ind w:firstLine="566" w:firstLineChars="200"/>
        <w:jc w:val="left"/>
        <w:rPr>
          <w:rFonts w:ascii="华文仿宋" w:hAnsi="华文仿宋" w:cs="华文仿宋"/>
          <w:kern w:val="0"/>
          <w:highlight w:val="none"/>
        </w:rPr>
      </w:pPr>
      <w:r>
        <w:rPr>
          <w:rFonts w:hint="eastAsia" w:ascii="华文仿宋" w:hAnsi="华文仿宋" w:cs="华文仿宋"/>
          <w:kern w:val="0"/>
          <w:highlight w:val="none"/>
        </w:rPr>
        <w:t>以上企业，不属于大企业的分支机构，不存在控股股东为大企业的情形，也不存在与大企业的负责人为同一人的情形。</w:t>
      </w:r>
    </w:p>
    <w:p>
      <w:pPr>
        <w:spacing w:line="480" w:lineRule="exact"/>
        <w:ind w:firstLine="566" w:firstLineChars="200"/>
        <w:jc w:val="left"/>
        <w:rPr>
          <w:rFonts w:ascii="华文仿宋" w:hAnsi="华文仿宋" w:cs="华文仿宋"/>
          <w:highlight w:val="none"/>
        </w:rPr>
      </w:pPr>
      <w:r>
        <w:rPr>
          <w:rFonts w:hint="eastAsia" w:ascii="华文仿宋" w:hAnsi="华文仿宋" w:cs="华文仿宋"/>
          <w:kern w:val="0"/>
          <w:highlight w:val="none"/>
        </w:rPr>
        <w:t>本企业对上述声明内容的真实性负责。如有虚假，将依法承担相应责任。</w:t>
      </w:r>
    </w:p>
    <w:p>
      <w:pPr>
        <w:spacing w:line="500" w:lineRule="exact"/>
        <w:rPr>
          <w:rFonts w:ascii="华文仿宋" w:hAnsi="华文仿宋" w:cs="华文仿宋"/>
          <w:kern w:val="0"/>
          <w:highlight w:val="none"/>
        </w:rPr>
      </w:pPr>
      <w:r>
        <w:rPr>
          <w:rFonts w:hint="eastAsia" w:ascii="华文仿宋" w:hAnsi="华文仿宋" w:cs="华文仿宋"/>
          <w:highlight w:val="none"/>
        </w:rPr>
        <w:t xml:space="preserve">                                     投标人</w:t>
      </w:r>
      <w:r>
        <w:rPr>
          <w:rFonts w:hint="eastAsia" w:ascii="华文仿宋" w:hAnsi="华文仿宋" w:cs="华文仿宋"/>
          <w:kern w:val="0"/>
          <w:highlight w:val="none"/>
        </w:rPr>
        <w:t>：</w:t>
      </w:r>
      <w:r>
        <w:rPr>
          <w:rFonts w:hint="eastAsia" w:ascii="华文仿宋" w:hAnsi="华文仿宋" w:cs="华文仿宋"/>
          <w:kern w:val="0"/>
          <w:highlight w:val="none"/>
          <w:u w:val="single"/>
        </w:rPr>
        <w:t>名称</w:t>
      </w:r>
      <w:r>
        <w:rPr>
          <w:rFonts w:hint="eastAsia" w:ascii="华文仿宋" w:hAnsi="华文仿宋" w:cs="华文仿宋"/>
          <w:kern w:val="0"/>
          <w:highlight w:val="none"/>
        </w:rPr>
        <w:t>（加盖公章）</w:t>
      </w:r>
    </w:p>
    <w:p>
      <w:pPr>
        <w:spacing w:line="500" w:lineRule="exact"/>
        <w:ind w:firstLine="566" w:firstLineChars="200"/>
        <w:jc w:val="center"/>
        <w:rPr>
          <w:rFonts w:ascii="华文仿宋" w:hAnsi="华文仿宋" w:cs="华文仿宋"/>
          <w:kern w:val="0"/>
          <w:highlight w:val="none"/>
        </w:rPr>
      </w:pPr>
      <w:r>
        <w:rPr>
          <w:rFonts w:hint="eastAsia" w:ascii="华文仿宋" w:hAnsi="华文仿宋" w:cs="华文仿宋"/>
          <w:kern w:val="0"/>
          <w:highlight w:val="none"/>
        </w:rPr>
        <w:t xml:space="preserve">                              日期：    年  月  日</w:t>
      </w:r>
    </w:p>
    <w:p>
      <w:pPr>
        <w:widowControl w:val="0"/>
        <w:ind w:firstLine="426" w:firstLineChars="200"/>
        <w:rPr>
          <w:sz w:val="21"/>
          <w:szCs w:val="21"/>
          <w:highlight w:val="none"/>
        </w:rPr>
      </w:pPr>
      <w:r>
        <w:rPr>
          <w:rFonts w:hint="eastAsia" w:ascii="宋体" w:hAnsi="宋体" w:eastAsia="宋体" w:cs="宋体"/>
          <w:b w:val="0"/>
          <w:bCs w:val="0"/>
          <w:kern w:val="0"/>
          <w:sz w:val="21"/>
          <w:szCs w:val="21"/>
          <w:highlight w:val="none"/>
        </w:rPr>
        <w:t>备注：</w:t>
      </w:r>
      <w:r>
        <w:rPr>
          <w:rFonts w:hint="eastAsia" w:ascii="宋体" w:hAnsi="宋体" w:eastAsia="宋体" w:cs="宋体"/>
          <w:kern w:val="0"/>
          <w:sz w:val="21"/>
          <w:szCs w:val="21"/>
          <w:highlight w:val="none"/>
        </w:rPr>
        <w:t>1、填写前请认真阅读《工业和信息化部、国家统计局、国家发展和改革委员会、财政</w:t>
      </w:r>
    </w:p>
    <w:p>
      <w:pPr>
        <w:widowControl w:val="0"/>
        <w:rPr>
          <w:sz w:val="21"/>
          <w:szCs w:val="21"/>
          <w:highlight w:val="none"/>
        </w:rPr>
      </w:pPr>
      <w:r>
        <w:rPr>
          <w:rFonts w:hint="eastAsia" w:ascii="宋体" w:hAnsi="宋体" w:eastAsia="宋体" w:cs="宋体"/>
          <w:kern w:val="0"/>
          <w:sz w:val="21"/>
          <w:szCs w:val="21"/>
          <w:highlight w:val="none"/>
        </w:rPr>
        <w:t>部关于印发中小企业划型标准规定的通知》（工信部联企业[2011]300号）和财政部、工业和信息化部关于印发《政府采购促进中小企业发展管理办法》的通知(财库[2020]46号)相关规定。</w:t>
      </w:r>
    </w:p>
    <w:p>
      <w:pPr>
        <w:widowControl w:val="0"/>
        <w:ind w:firstLine="426" w:firstLineChars="200"/>
        <w:rPr>
          <w:sz w:val="21"/>
          <w:szCs w:val="21"/>
          <w:highlight w:val="none"/>
        </w:rPr>
      </w:pPr>
      <w:r>
        <w:rPr>
          <w:rFonts w:hint="eastAsia" w:ascii="宋体" w:hAnsi="宋体" w:eastAsia="宋体" w:cs="宋体"/>
          <w:kern w:val="0"/>
          <w:sz w:val="21"/>
          <w:szCs w:val="21"/>
          <w:highlight w:val="none"/>
        </w:rPr>
        <w:t>2、从业人员、营业收入、资产总额填报上一年度数据，无上一年度数据的新成立企业可不填</w:t>
      </w:r>
    </w:p>
    <w:p>
      <w:pPr>
        <w:widowControl w:val="0"/>
        <w:rPr>
          <w:rFonts w:ascii="宋体" w:hAnsi="宋体" w:eastAsia="宋体" w:cs="宋体"/>
          <w:kern w:val="0"/>
          <w:sz w:val="21"/>
          <w:szCs w:val="21"/>
          <w:highlight w:val="none"/>
        </w:rPr>
      </w:pPr>
      <w:r>
        <w:rPr>
          <w:rFonts w:hint="eastAsia" w:ascii="宋体" w:hAnsi="宋体" w:eastAsia="宋体" w:cs="宋体"/>
          <w:kern w:val="0"/>
          <w:sz w:val="21"/>
          <w:szCs w:val="21"/>
          <w:highlight w:val="none"/>
        </w:rPr>
        <w:t>报。</w:t>
      </w:r>
    </w:p>
    <w:p>
      <w:pPr>
        <w:pStyle w:val="17"/>
        <w:widowControl w:val="0"/>
        <w:spacing w:line="36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3、请各投标人按照招标文件第四章《</w:t>
      </w:r>
      <w:r>
        <w:rPr>
          <w:rFonts w:hint="eastAsia" w:ascii="宋体" w:hAnsi="宋体" w:eastAsia="宋体" w:cs="宋体"/>
          <w:b/>
          <w:bCs/>
          <w:sz w:val="21"/>
          <w:szCs w:val="21"/>
          <w:highlight w:val="none"/>
          <w:lang w:val="en-US" w:eastAsia="zh-CN"/>
        </w:rPr>
        <w:t>货物</w:t>
      </w:r>
      <w:r>
        <w:rPr>
          <w:rFonts w:hint="eastAsia" w:ascii="宋体" w:hAnsi="宋体" w:eastAsia="宋体" w:cs="宋体"/>
          <w:b/>
          <w:bCs/>
          <w:sz w:val="21"/>
          <w:szCs w:val="21"/>
          <w:highlight w:val="none"/>
        </w:rPr>
        <w:t>采购清单》中</w:t>
      </w:r>
      <w:r>
        <w:rPr>
          <w:rFonts w:hint="eastAsia" w:ascii="宋体" w:hAnsi="宋体" w:eastAsia="宋体" w:cs="宋体"/>
          <w:b/>
          <w:bCs/>
          <w:sz w:val="21"/>
          <w:szCs w:val="21"/>
          <w:highlight w:val="none"/>
          <w:lang w:val="en-US" w:eastAsia="zh-CN"/>
        </w:rPr>
        <w:t>各标段</w:t>
      </w:r>
      <w:r>
        <w:rPr>
          <w:rFonts w:hint="eastAsia" w:ascii="宋体" w:hAnsi="宋体" w:eastAsia="宋体" w:cs="宋体"/>
          <w:b/>
          <w:bCs/>
          <w:sz w:val="21"/>
          <w:szCs w:val="21"/>
          <w:highlight w:val="none"/>
        </w:rPr>
        <w:t>实际采购货物清单（</w:t>
      </w:r>
      <w:r>
        <w:rPr>
          <w:rFonts w:hint="eastAsia" w:ascii="宋体" w:hAnsi="宋体" w:eastAsia="宋体" w:cs="宋体"/>
          <w:b/>
          <w:bCs/>
          <w:sz w:val="21"/>
          <w:szCs w:val="21"/>
          <w:highlight w:val="none"/>
          <w:lang w:val="en-US" w:eastAsia="zh-CN"/>
        </w:rPr>
        <w:t>第一标段11项、第二标段11项、第三标段19</w:t>
      </w:r>
      <w:r>
        <w:rPr>
          <w:rFonts w:hint="eastAsia" w:ascii="宋体" w:hAnsi="宋体" w:eastAsia="宋体" w:cs="宋体"/>
          <w:b/>
          <w:bCs/>
          <w:sz w:val="21"/>
          <w:szCs w:val="21"/>
          <w:highlight w:val="none"/>
        </w:rPr>
        <w:t>项）对应的标的数量，按标的数量填写，可自行向下延续序号。</w:t>
      </w:r>
    </w:p>
    <w:p>
      <w:pPr>
        <w:widowControl w:val="0"/>
        <w:ind w:firstLine="426" w:firstLineChars="200"/>
        <w:rPr>
          <w:sz w:val="21"/>
          <w:szCs w:val="21"/>
          <w:highlight w:val="none"/>
        </w:rPr>
      </w:pPr>
      <w:r>
        <w:rPr>
          <w:rFonts w:hint="eastAsia" w:ascii="宋体" w:hAnsi="宋体" w:eastAsia="宋体" w:cs="宋体"/>
          <w:sz w:val="21"/>
          <w:szCs w:val="21"/>
          <w:highlight w:val="none"/>
        </w:rPr>
        <w:t>4、</w:t>
      </w:r>
      <w:r>
        <w:rPr>
          <w:rFonts w:hint="eastAsia" w:ascii="宋体" w:hAnsi="宋体" w:eastAsia="宋体" w:cs="宋体"/>
          <w:kern w:val="0"/>
          <w:sz w:val="21"/>
          <w:szCs w:val="21"/>
          <w:highlight w:val="none"/>
        </w:rPr>
        <w:t>根据《工业和信息化部、国家统计局、国家发展和改革委员会、财政部关于印发中小企业</w:t>
      </w:r>
    </w:p>
    <w:p>
      <w:pPr>
        <w:widowControl w:val="0"/>
        <w:rPr>
          <w:sz w:val="21"/>
          <w:szCs w:val="21"/>
          <w:highlight w:val="none"/>
        </w:rPr>
      </w:pPr>
      <w:r>
        <w:rPr>
          <w:rFonts w:hint="eastAsia" w:ascii="宋体" w:hAnsi="宋体" w:eastAsia="宋体" w:cs="宋体"/>
          <w:kern w:val="0"/>
          <w:sz w:val="21"/>
          <w:szCs w:val="21"/>
          <w:highlight w:val="none"/>
        </w:rPr>
        <w:t>划型标准规定的通知》（工信部联企业[2011]300号），本项目所属行业中小企业划型标准具体如</w:t>
      </w:r>
    </w:p>
    <w:p>
      <w:pPr>
        <w:widowControl w:val="0"/>
        <w:tabs>
          <w:tab w:val="left" w:pos="5670"/>
        </w:tabs>
        <w:jc w:val="left"/>
        <w:rPr>
          <w:highlight w:val="none"/>
        </w:rPr>
      </w:pPr>
      <w:r>
        <w:rPr>
          <w:rFonts w:hint="eastAsia" w:ascii="宋体" w:hAnsi="宋体" w:eastAsia="宋体" w:cs="宋体"/>
          <w:kern w:val="0"/>
          <w:sz w:val="21"/>
          <w:szCs w:val="21"/>
          <w:highlight w:val="none"/>
        </w:rPr>
        <w:t>下：</w:t>
      </w:r>
      <w:r>
        <w:rPr>
          <w:rFonts w:hint="eastAsia" w:ascii="宋体" w:hAnsi="宋体" w:eastAsia="宋体" w:cs="宋体"/>
          <w:sz w:val="21"/>
          <w:szCs w:val="21"/>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val="0"/>
        <w:tabs>
          <w:tab w:val="left" w:pos="5670"/>
        </w:tabs>
        <w:spacing w:line="500" w:lineRule="exact"/>
        <w:jc w:val="center"/>
        <w:rPr>
          <w:rFonts w:ascii="仿宋" w:hAnsi="仿宋" w:eastAsia="仿宋" w:cs="仿宋"/>
          <w:highlight w:val="none"/>
        </w:rPr>
      </w:pPr>
      <w:r>
        <w:rPr>
          <w:rFonts w:hint="eastAsia" w:ascii="仿宋" w:hAnsi="仿宋" w:eastAsia="仿宋" w:cs="仿宋"/>
          <w:b/>
          <w:bCs/>
          <w:highlight w:val="none"/>
        </w:rPr>
        <w:br w:type="page"/>
      </w:r>
      <w:r>
        <w:rPr>
          <w:rFonts w:hint="eastAsia" w:ascii="仿宋" w:hAnsi="仿宋" w:eastAsia="仿宋" w:cs="仿宋"/>
          <w:b/>
          <w:bCs/>
          <w:highlight w:val="none"/>
        </w:rPr>
        <w:t>监狱企业证明函</w:t>
      </w:r>
    </w:p>
    <w:p>
      <w:pPr>
        <w:widowControl w:val="0"/>
        <w:tabs>
          <w:tab w:val="left" w:pos="5670"/>
        </w:tabs>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监狱企业参加政府采购活动时，应当提供由省级以上监狱管理局、戒毒管理局（含新疆生产建设兵团）出具的属于监狱企业的证明文件。</w:t>
      </w:r>
    </w:p>
    <w:p>
      <w:pPr>
        <w:pStyle w:val="17"/>
        <w:widowControl w:val="0"/>
        <w:spacing w:after="190"/>
        <w:ind w:firstLine="639" w:firstLineChars="300"/>
        <w:rPr>
          <w:rFonts w:ascii="仿宋" w:hAnsi="仿宋" w:eastAsia="仿宋" w:cs="仿宋"/>
          <w:sz w:val="21"/>
          <w:szCs w:val="21"/>
          <w:highlight w:val="none"/>
        </w:rPr>
      </w:pPr>
    </w:p>
    <w:p>
      <w:pPr>
        <w:widowControl w:val="0"/>
        <w:tabs>
          <w:tab w:val="left" w:pos="5670"/>
        </w:tabs>
        <w:spacing w:before="0" w:beforeLines="0" w:line="500" w:lineRule="exact"/>
        <w:ind w:firstLine="426" w:firstLineChars="200"/>
        <w:jc w:val="center"/>
        <w:rPr>
          <w:rFonts w:ascii="仿宋" w:hAnsi="仿宋" w:eastAsia="仿宋" w:cs="仿宋"/>
          <w:b/>
          <w:sz w:val="30"/>
          <w:szCs w:val="30"/>
          <w:highlight w:val="none"/>
        </w:rPr>
      </w:pPr>
      <w:r>
        <w:rPr>
          <w:rFonts w:hint="eastAsia" w:ascii="仿宋" w:hAnsi="仿宋" w:eastAsia="仿宋" w:cs="仿宋"/>
          <w:sz w:val="21"/>
          <w:szCs w:val="21"/>
          <w:highlight w:val="none"/>
        </w:rPr>
        <w:br w:type="page"/>
      </w:r>
      <w:r>
        <w:rPr>
          <w:rFonts w:hint="eastAsia" w:ascii="仿宋" w:hAnsi="仿宋" w:eastAsia="仿宋" w:cs="仿宋"/>
          <w:b/>
          <w:sz w:val="30"/>
          <w:szCs w:val="30"/>
          <w:highlight w:val="none"/>
        </w:rPr>
        <w:t>残疾人福利性单位声明函（格式）</w:t>
      </w:r>
    </w:p>
    <w:p>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highlight w:val="none"/>
          <w:u w:val="single"/>
        </w:rPr>
        <w:t>（项目名称）</w:t>
      </w: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）第___标段采购活动提供本单位制造的货物（由本单位承担工程/提供服务），或者提供其他残疾人福利性单位制造的货物（不包括使用非残疾人福利性单位注册商标的货物）。</w:t>
      </w:r>
    </w:p>
    <w:p>
      <w:pPr>
        <w:widowControl w:val="0"/>
        <w:spacing w:line="500" w:lineRule="exact"/>
        <w:ind w:firstLine="566" w:firstLineChars="200"/>
        <w:jc w:val="left"/>
        <w:rPr>
          <w:rFonts w:ascii="仿宋" w:hAnsi="仿宋" w:eastAsia="仿宋" w:cs="仿宋"/>
          <w:highlight w:val="none"/>
        </w:rPr>
      </w:pPr>
      <w:r>
        <w:rPr>
          <w:rFonts w:hint="eastAsia" w:ascii="仿宋" w:hAnsi="仿宋" w:eastAsia="仿宋" w:cs="仿宋"/>
          <w:highlight w:val="none"/>
        </w:rPr>
        <w:t>本单位对上述声明的真实性负责。如有虚假，将依法承担相应责任。</w:t>
      </w:r>
    </w:p>
    <w:p>
      <w:pPr>
        <w:widowControl w:val="0"/>
        <w:spacing w:line="500" w:lineRule="exact"/>
        <w:ind w:firstLine="566" w:firstLineChars="200"/>
        <w:jc w:val="left"/>
        <w:rPr>
          <w:rFonts w:ascii="仿宋" w:hAnsi="仿宋" w:eastAsia="仿宋" w:cs="仿宋"/>
          <w:highlight w:val="none"/>
        </w:rPr>
      </w:pPr>
    </w:p>
    <w:p>
      <w:pPr>
        <w:widowControl w:val="0"/>
        <w:spacing w:line="500" w:lineRule="exact"/>
        <w:ind w:firstLine="5094" w:firstLineChars="1800"/>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pPr>
        <w:widowControl w:val="0"/>
        <w:tabs>
          <w:tab w:val="left" w:pos="5670"/>
        </w:tabs>
        <w:spacing w:line="500" w:lineRule="exact"/>
        <w:ind w:firstLine="5377" w:firstLineChars="1900"/>
        <w:jc w:val="left"/>
        <w:rPr>
          <w:rFonts w:ascii="仿宋" w:hAnsi="仿宋" w:eastAsia="仿宋" w:cs="仿宋"/>
          <w:highlight w:val="none"/>
        </w:rPr>
      </w:pPr>
      <w:r>
        <w:rPr>
          <w:rFonts w:hint="eastAsia" w:ascii="仿宋" w:hAnsi="仿宋" w:eastAsia="仿宋" w:cs="仿宋"/>
          <w:highlight w:val="none"/>
        </w:rPr>
        <w:t>日期：　　年　月　日</w:t>
      </w:r>
    </w:p>
    <w:p>
      <w:pPr>
        <w:widowControl w:val="0"/>
        <w:tabs>
          <w:tab w:val="left" w:pos="5670"/>
        </w:tabs>
        <w:spacing w:line="240" w:lineRule="auto"/>
        <w:ind w:firstLine="566"/>
        <w:jc w:val="left"/>
        <w:rPr>
          <w:rFonts w:ascii="宋体" w:hAnsi="宋体" w:eastAsia="宋体" w:cs="宋体"/>
          <w:b/>
          <w:bCs/>
          <w:sz w:val="21"/>
          <w:szCs w:val="21"/>
          <w:highlight w:val="none"/>
        </w:rPr>
      </w:pPr>
    </w:p>
    <w:p>
      <w:pPr>
        <w:widowControl w:val="0"/>
        <w:tabs>
          <w:tab w:val="left" w:pos="5670"/>
        </w:tabs>
        <w:spacing w:line="240" w:lineRule="auto"/>
        <w:ind w:firstLine="566"/>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备注：非残疾人福利性单位不用填写此表。</w:t>
      </w:r>
    </w:p>
    <w:p>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项目不分标段的，第___标段空白处填写“/”。</w:t>
      </w:r>
    </w:p>
    <w:p>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根据《财政部 民政部 中国残疾人联合会关于促进残疾人就业政府采购政策的通知》（财库〔2017〕141号）的规定：</w:t>
      </w:r>
    </w:p>
    <w:p>
      <w:pPr>
        <w:widowControl w:val="0"/>
        <w:tabs>
          <w:tab w:val="left" w:pos="5670"/>
        </w:tabs>
        <w:spacing w:line="240" w:lineRule="auto"/>
        <w:ind w:firstLine="566"/>
        <w:jc w:val="left"/>
        <w:rPr>
          <w:rFonts w:ascii="宋体" w:hAnsi="宋体" w:eastAsia="宋体" w:cs="宋体"/>
          <w:sz w:val="21"/>
          <w:szCs w:val="21"/>
          <w:highlight w:val="none"/>
        </w:rPr>
      </w:pPr>
      <w:r>
        <w:rPr>
          <w:rFonts w:hint="eastAsia" w:ascii="宋体" w:hAnsi="宋体" w:eastAsia="宋体" w:cs="宋体"/>
          <w:sz w:val="21"/>
          <w:szCs w:val="21"/>
          <w:highlight w:val="none"/>
        </w:rPr>
        <w:t>一、享受政府采购支持政策的残疾人福利性单位应当同时满足以下条件：</w:t>
      </w:r>
    </w:p>
    <w:p>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（一）安置的残疾人占本单位在职职工人数的比例不低于</w:t>
      </w:r>
      <w:r>
        <w:rPr>
          <w:rFonts w:hint="eastAsia" w:ascii="仿宋" w:hAnsi="仿宋" w:cs="仿宋"/>
          <w:sz w:val="21"/>
          <w:szCs w:val="21"/>
          <w:highlight w:val="none"/>
        </w:rPr>
        <w:t>25</w:t>
      </w:r>
      <w:r>
        <w:rPr>
          <w:rFonts w:hint="eastAsia" w:ascii="宋体" w:hAnsi="宋体" w:eastAsia="宋体" w:cs="宋体"/>
          <w:sz w:val="21"/>
          <w:szCs w:val="21"/>
          <w:highlight w:val="none"/>
        </w:rPr>
        <w:t>%（含</w:t>
      </w:r>
      <w:r>
        <w:rPr>
          <w:rFonts w:hint="eastAsia" w:ascii="仿宋" w:hAnsi="仿宋" w:cs="仿宋"/>
          <w:sz w:val="21"/>
          <w:szCs w:val="21"/>
          <w:highlight w:val="none"/>
        </w:rPr>
        <w:t>25</w:t>
      </w:r>
      <w:r>
        <w:rPr>
          <w:rFonts w:hint="eastAsia" w:ascii="宋体" w:hAnsi="宋体" w:eastAsia="宋体" w:cs="宋体"/>
          <w:sz w:val="21"/>
          <w:szCs w:val="21"/>
          <w:highlight w:val="none"/>
        </w:rPr>
        <w:t>%），并且安置的残疾人人数不少于10人（含10人）；</w:t>
      </w:r>
    </w:p>
    <w:p>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（二）依法与安置的每位残疾人签订了一年以上（含一年）的劳动合同或服务协议；</w:t>
      </w:r>
    </w:p>
    <w:p>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（三）为安置的每位残疾人按月足额缴纳了基本养老保险、基本医疗保险、失业保险、工伤保险和生育保险等社会保险费；</w:t>
      </w:r>
    </w:p>
    <w:p>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（四）通过银行等金融机构向安置的每位残疾人，按月支付了不低于单位所在区县适用的经省级人民政府批准的月最低工资标准的工资；</w:t>
      </w:r>
    </w:p>
    <w:p>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（五）提供本单位制造的货物、承担的工程或者服务（以下简称产品），或者提供其他残疾人福利性单位制造的货物（不包括使用非残疾人福利性单位注册商标的货物）。</w:t>
      </w:r>
    </w:p>
    <w:p>
      <w:pPr>
        <w:widowControl w:val="0"/>
        <w:tabs>
          <w:tab w:val="left" w:pos="5670"/>
        </w:tabs>
        <w:spacing w:line="240" w:lineRule="auto"/>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240" w:lineRule="auto"/>
        <w:ind w:firstLine="426" w:firstLineChars="200"/>
        <w:outlineLvl w:val="9"/>
        <w:rPr>
          <w:rFonts w:cs="华文仿宋"/>
          <w:b/>
          <w:bCs/>
          <w:sz w:val="30"/>
          <w:szCs w:val="30"/>
          <w:highlight w:val="none"/>
        </w:rPr>
      </w:pPr>
      <w:r>
        <w:rPr>
          <w:rFonts w:hint="eastAsia" w:ascii="宋体" w:hAnsi="宋体" w:eastAsia="宋体" w:cs="宋体"/>
          <w:sz w:val="21"/>
          <w:szCs w:val="21"/>
          <w:highlight w:val="none"/>
        </w:rPr>
        <w:t>二、中标</w:t>
      </w:r>
      <w:r>
        <w:rPr>
          <w:rFonts w:hint="eastAsia" w:ascii="宋体" w:hAnsi="宋体" w:eastAsia="宋体" w:cs="宋体"/>
          <w:sz w:val="21"/>
          <w:szCs w:val="21"/>
          <w:highlight w:val="none"/>
          <w:lang w:val="en-US" w:eastAsia="zh-CN"/>
        </w:rPr>
        <w:t>人</w:t>
      </w:r>
      <w:r>
        <w:rPr>
          <w:rFonts w:hint="eastAsia" w:ascii="宋体" w:hAnsi="宋体" w:eastAsia="宋体" w:cs="宋体"/>
          <w:sz w:val="21"/>
          <w:szCs w:val="21"/>
          <w:highlight w:val="none"/>
        </w:rPr>
        <w:t>为残疾人福利性单位的，采购人或者其委托的采购代理机构应当随中标结果同时公告其《残疾人福利性单位声明函》，接受社会监督。</w:t>
      </w:r>
      <w:r>
        <w:rPr>
          <w:rFonts w:hint="eastAsia" w:cs="华文仿宋"/>
          <w:b/>
          <w:bCs/>
          <w:sz w:val="30"/>
          <w:szCs w:val="30"/>
          <w:highlight w:val="none"/>
        </w:rPr>
        <w:br w:type="page"/>
      </w:r>
      <w:r>
        <w:rPr>
          <w:rFonts w:hint="eastAsia" w:cs="华文仿宋"/>
          <w:b/>
          <w:bCs/>
          <w:sz w:val="30"/>
          <w:szCs w:val="30"/>
          <w:highlight w:val="none"/>
          <w:lang w:val="en-US" w:eastAsia="zh-CN"/>
        </w:rPr>
        <w:t xml:space="preserve">    </w:t>
      </w:r>
      <w:r>
        <w:rPr>
          <w:rFonts w:hint="eastAsia" w:cs="华文仿宋"/>
          <w:b/>
          <w:bCs/>
          <w:sz w:val="30"/>
          <w:szCs w:val="30"/>
          <w:highlight w:val="none"/>
        </w:rPr>
        <w:t>十、本项目不接受联合体投标，不允许分包</w:t>
      </w:r>
      <w:bookmarkEnd w:id="439"/>
      <w:bookmarkEnd w:id="440"/>
      <w:bookmarkEnd w:id="441"/>
      <w:bookmarkEnd w:id="445"/>
      <w:bookmarkEnd w:id="446"/>
      <w:bookmarkEnd w:id="447"/>
    </w:p>
    <w:p>
      <w:pPr>
        <w:pStyle w:val="5"/>
        <w:jc w:val="center"/>
        <w:rPr>
          <w:rFonts w:ascii="华文仿宋" w:hAnsi="华文仿宋" w:cs="华文仿宋"/>
          <w:b/>
          <w:bCs/>
          <w:highlight w:val="none"/>
        </w:rPr>
      </w:pPr>
      <w:r>
        <w:rPr>
          <w:rFonts w:hint="eastAsia" w:ascii="华文仿宋" w:hAnsi="华文仿宋" w:cs="华文仿宋"/>
          <w:b/>
          <w:bCs/>
          <w:highlight w:val="none"/>
        </w:rPr>
        <w:t>非联合体不分包投标声明（格式）</w:t>
      </w:r>
    </w:p>
    <w:p>
      <w:pPr>
        <w:spacing w:line="500" w:lineRule="exact"/>
        <w:ind w:firstLine="566" w:firstLineChars="200"/>
        <w:rPr>
          <w:rFonts w:ascii="华文仿宋" w:hAnsi="华文仿宋" w:cs="华文仿宋"/>
          <w:highlight w:val="none"/>
        </w:rPr>
      </w:pP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本单位郑重声明，参加陕西省省级单位政府采购中心的</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标段采购活动，为非联合体投标，本项目实施过程由本单位独立承担。</w:t>
      </w:r>
    </w:p>
    <w:p>
      <w:pPr>
        <w:spacing w:line="500" w:lineRule="exact"/>
        <w:ind w:firstLine="566" w:firstLineChars="200"/>
        <w:jc w:val="left"/>
        <w:rPr>
          <w:rFonts w:ascii="华文仿宋" w:hAnsi="华文仿宋" w:cs="华文仿宋"/>
          <w:highlight w:val="none"/>
        </w:rPr>
      </w:pPr>
      <w:r>
        <w:rPr>
          <w:rFonts w:hint="eastAsia" w:ascii="华文仿宋" w:hAnsi="华文仿宋" w:cs="华文仿宋"/>
          <w:highlight w:val="none"/>
        </w:rPr>
        <w:t>本单位对上述声明的真实性负责。如有虚假，将依法承担相应责任。</w:t>
      </w:r>
    </w:p>
    <w:p>
      <w:pPr>
        <w:spacing w:line="500" w:lineRule="exact"/>
        <w:ind w:firstLine="566" w:firstLineChars="200"/>
        <w:jc w:val="left"/>
        <w:rPr>
          <w:rFonts w:ascii="华文仿宋" w:hAnsi="华文仿宋" w:cs="华文仿宋"/>
          <w:highlight w:val="none"/>
        </w:rPr>
      </w:pPr>
    </w:p>
    <w:p>
      <w:pPr>
        <w:pStyle w:val="5"/>
        <w:rPr>
          <w:rFonts w:ascii="华文仿宋" w:hAnsi="华文仿宋" w:cs="华文仿宋"/>
          <w:highlight w:val="none"/>
        </w:rPr>
      </w:pPr>
    </w:p>
    <w:p>
      <w:pPr>
        <w:spacing w:line="500" w:lineRule="exact"/>
        <w:ind w:firstLine="5094" w:firstLineChars="1800"/>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pPr>
        <w:tabs>
          <w:tab w:val="left" w:pos="5670"/>
        </w:tabs>
        <w:spacing w:line="500" w:lineRule="exact"/>
        <w:ind w:firstLine="5377" w:firstLineChars="1900"/>
        <w:jc w:val="left"/>
        <w:rPr>
          <w:rFonts w:ascii="华文仿宋" w:hAnsi="华文仿宋" w:cs="华文仿宋"/>
          <w:highlight w:val="none"/>
        </w:rPr>
      </w:pPr>
      <w:r>
        <w:rPr>
          <w:rFonts w:hint="eastAsia" w:ascii="华文仿宋" w:hAnsi="华文仿宋" w:cs="华文仿宋"/>
          <w:highlight w:val="none"/>
        </w:rPr>
        <w:t>日期：　　年　月　日</w:t>
      </w:r>
    </w:p>
    <w:p>
      <w:pPr>
        <w:pStyle w:val="17"/>
        <w:ind w:firstLine="183"/>
        <w:rPr>
          <w:rFonts w:ascii="华文仿宋"/>
          <w:highlight w:val="none"/>
        </w:rPr>
      </w:pPr>
    </w:p>
    <w:p>
      <w:pPr>
        <w:rPr>
          <w:rFonts w:ascii="华文仿宋" w:cs="Times New Roman"/>
          <w:highlight w:val="none"/>
        </w:rPr>
      </w:pPr>
      <w:r>
        <w:rPr>
          <w:rFonts w:hint="eastAsia" w:ascii="宋体" w:hAnsi="宋体" w:eastAsia="宋体" w:cs="宋体"/>
          <w:sz w:val="21"/>
          <w:szCs w:val="21"/>
          <w:highlight w:val="none"/>
        </w:rPr>
        <w:t>备注：项目不分标段的，第___标段空白处填写“/”。</w:t>
      </w: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183"/>
        <w:rPr>
          <w:rFonts w:ascii="华文仿宋"/>
          <w:highlight w:val="none"/>
        </w:rPr>
      </w:pPr>
    </w:p>
    <w:p>
      <w:pPr>
        <w:pStyle w:val="17"/>
        <w:ind w:firstLine="0" w:firstLineChars="0"/>
        <w:rPr>
          <w:rFonts w:ascii="华文仿宋"/>
          <w:highlight w:val="none"/>
        </w:rPr>
      </w:pPr>
    </w:p>
    <w:p>
      <w:pPr>
        <w:pStyle w:val="30"/>
        <w:spacing w:line="500" w:lineRule="exact"/>
        <w:rPr>
          <w:rFonts w:ascii="黑体" w:hAnsi="黑体" w:eastAsia="黑体" w:cs="Times New Roman"/>
          <w:b w:val="0"/>
          <w:bCs w:val="0"/>
          <w:highlight w:val="none"/>
        </w:rPr>
      </w:pPr>
      <w:bookmarkStart w:id="449" w:name="_Toc25329"/>
      <w:bookmarkStart w:id="450" w:name="_Toc23551"/>
      <w:r>
        <w:rPr>
          <w:rFonts w:hint="eastAsia" w:ascii="黑体" w:hAnsi="黑体" w:eastAsia="黑体" w:cs="黑体"/>
          <w:b w:val="0"/>
          <w:bCs w:val="0"/>
          <w:highlight w:val="none"/>
        </w:rPr>
        <w:t>第二部分  符合性证明文件</w:t>
      </w:r>
      <w:bookmarkEnd w:id="442"/>
      <w:bookmarkEnd w:id="449"/>
      <w:bookmarkEnd w:id="450"/>
    </w:p>
    <w:p>
      <w:pPr>
        <w:pStyle w:val="30"/>
        <w:spacing w:line="500" w:lineRule="exact"/>
        <w:ind w:firstLine="606" w:firstLineChars="200"/>
        <w:jc w:val="both"/>
        <w:outlineLvl w:val="2"/>
        <w:rPr>
          <w:rFonts w:hint="eastAsia" w:ascii="Calibri Light" w:hAnsi="Calibri Light" w:eastAsia="华文仿宋" w:cs="华文仿宋"/>
          <w:sz w:val="30"/>
          <w:szCs w:val="30"/>
          <w:highlight w:val="none"/>
        </w:rPr>
      </w:pPr>
      <w:bookmarkStart w:id="451" w:name="_Toc4366"/>
      <w:bookmarkStart w:id="452" w:name="_Toc17687"/>
      <w:bookmarkStart w:id="453" w:name="_Toc31044"/>
      <w:bookmarkStart w:id="454" w:name="_Toc26252"/>
      <w:bookmarkStart w:id="455" w:name="_Toc32108"/>
      <w:bookmarkStart w:id="456" w:name="_Toc5204"/>
      <w:bookmarkStart w:id="457" w:name="_Toc9124"/>
      <w:bookmarkStart w:id="458" w:name="_Toc26064"/>
      <w:bookmarkStart w:id="459" w:name="_Toc30709"/>
      <w:bookmarkStart w:id="460" w:name="_Toc30414"/>
      <w:bookmarkStart w:id="461" w:name="_Toc16590"/>
      <w:bookmarkStart w:id="462" w:name="_Toc1167"/>
      <w:bookmarkStart w:id="463" w:name="_Toc23035"/>
      <w:bookmarkStart w:id="464" w:name="_Toc4834"/>
      <w:r>
        <w:rPr>
          <w:rFonts w:hint="eastAsia" w:ascii="Calibri Light" w:hAnsi="Calibri Light" w:eastAsia="华文仿宋" w:cs="华文仿宋"/>
          <w:sz w:val="30"/>
          <w:szCs w:val="30"/>
          <w:highlight w:val="none"/>
        </w:rPr>
        <w:t>一、投标函格式</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30"/>
        <w:spacing w:line="500" w:lineRule="exact"/>
        <w:outlineLvl w:val="9"/>
        <w:rPr>
          <w:rFonts w:ascii="黑体" w:hAnsi="黑体" w:eastAsia="黑体" w:cs="Times New Roman"/>
          <w:b w:val="0"/>
          <w:bCs w:val="0"/>
          <w:highlight w:val="none"/>
        </w:rPr>
      </w:pPr>
      <w:bookmarkStart w:id="465" w:name="_Toc30597"/>
      <w:bookmarkStart w:id="466" w:name="_Toc16759"/>
      <w:bookmarkStart w:id="467" w:name="_Toc21850"/>
      <w:bookmarkStart w:id="468" w:name="_Toc20547"/>
      <w:bookmarkStart w:id="469" w:name="_Toc16608"/>
      <w:bookmarkStart w:id="470" w:name="_Toc17151"/>
      <w:bookmarkStart w:id="471" w:name="_Toc23615"/>
      <w:bookmarkStart w:id="472" w:name="_Toc18782"/>
      <w:bookmarkStart w:id="473" w:name="_Toc23313"/>
      <w:bookmarkStart w:id="474" w:name="_Toc29087"/>
      <w:bookmarkStart w:id="475" w:name="_Toc12334"/>
      <w:bookmarkStart w:id="476" w:name="_Toc2848"/>
      <w:bookmarkStart w:id="477" w:name="_Toc6798"/>
      <w:bookmarkStart w:id="478" w:name="_Toc528596088"/>
      <w:bookmarkStart w:id="479" w:name="_Toc19672"/>
      <w:bookmarkStart w:id="480" w:name="_Toc18135"/>
      <w:bookmarkStart w:id="481" w:name="_Toc5467"/>
      <w:r>
        <w:rPr>
          <w:rFonts w:hint="eastAsia" w:ascii="黑体" w:hAnsi="黑体" w:eastAsia="黑体" w:cs="黑体"/>
          <w:b w:val="0"/>
          <w:bCs w:val="0"/>
          <w:highlight w:val="none"/>
        </w:rPr>
        <w:t>投标函</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28"/>
        <w:spacing w:line="500" w:lineRule="exact"/>
        <w:ind w:firstLine="0" w:firstLineChars="0"/>
        <w:rPr>
          <w:rFonts w:ascii="仿宋" w:hAnsi="仿宋" w:eastAsia="仿宋" w:cs="Times New Roman"/>
          <w:highlight w:val="none"/>
          <w:lang w:val="zh-CN"/>
        </w:rPr>
      </w:pPr>
      <w:r>
        <w:rPr>
          <w:rFonts w:hint="eastAsia" w:ascii="仿宋" w:hAnsi="仿宋" w:eastAsia="仿宋" w:cs="仿宋"/>
          <w:highlight w:val="none"/>
        </w:rPr>
        <w:t>陕西省省级单位政府采购中心</w:t>
      </w:r>
      <w:r>
        <w:rPr>
          <w:rFonts w:hint="eastAsia" w:ascii="仿宋" w:hAnsi="仿宋" w:eastAsia="仿宋" w:cs="仿宋"/>
          <w:highlight w:val="none"/>
          <w:lang w:val="zh-CN"/>
        </w:rPr>
        <w:t>：</w:t>
      </w:r>
    </w:p>
    <w:p>
      <w:pPr>
        <w:spacing w:line="500" w:lineRule="exact"/>
        <w:ind w:right="11" w:firstLine="566" w:firstLineChars="200"/>
        <w:rPr>
          <w:rFonts w:ascii="仿宋" w:hAnsi="仿宋" w:eastAsia="仿宋" w:cs="Times New Roman"/>
          <w:highlight w:val="none"/>
        </w:rPr>
      </w:pPr>
      <w:r>
        <w:rPr>
          <w:rFonts w:hint="eastAsia" w:ascii="仿宋" w:hAnsi="仿宋" w:eastAsia="仿宋" w:cs="仿宋"/>
          <w:highlight w:val="none"/>
        </w:rPr>
        <w:t>我方收到贵中心发布的</w:t>
      </w:r>
      <w:r>
        <w:rPr>
          <w:rFonts w:hint="eastAsia" w:ascii="华文仿宋" w:hAnsi="华文仿宋" w:cs="华文仿宋"/>
          <w:highlight w:val="none"/>
        </w:rPr>
        <w:t>《</w:t>
      </w:r>
      <w:r>
        <w:rPr>
          <w:rFonts w:hint="eastAsia" w:ascii="华文仿宋" w:hAnsi="华文仿宋" w:cs="华文仿宋"/>
          <w:highlight w:val="none"/>
          <w:u w:val="single"/>
        </w:rPr>
        <w:t>项目名称</w:t>
      </w:r>
      <w:r>
        <w:rPr>
          <w:rFonts w:hint="eastAsia" w:ascii="华文仿宋" w:hAnsi="华文仿宋" w:cs="华文仿宋"/>
          <w:highlight w:val="none"/>
        </w:rPr>
        <w:t>》（项目编号：</w:t>
      </w:r>
      <w:r>
        <w:rPr>
          <w:rFonts w:hint="eastAsia" w:ascii="华文仿宋" w:hAnsi="华文仿宋" w:cs="华文仿宋"/>
          <w:highlight w:val="none"/>
          <w:u w:val="single"/>
        </w:rPr>
        <w:t xml:space="preserve">        </w:t>
      </w:r>
      <w:r>
        <w:rPr>
          <w:rFonts w:hint="eastAsia" w:ascii="华文仿宋" w:hAnsi="华文仿宋" w:cs="华文仿宋"/>
          <w:highlight w:val="none"/>
        </w:rPr>
        <w:t>）第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标段招标文件，经详细研究，我方决定参加该项目第</w:t>
      </w:r>
      <w:r>
        <w:rPr>
          <w:rFonts w:hint="eastAsia" w:ascii="华文仿宋" w:hAnsi="华文仿宋" w:cs="华文仿宋"/>
          <w:highlight w:val="none"/>
          <w:u w:val="single"/>
        </w:rPr>
        <w:t xml:space="preserve">   </w:t>
      </w:r>
      <w:r>
        <w:rPr>
          <w:rFonts w:hint="eastAsia" w:ascii="华文仿宋" w:hAnsi="华文仿宋" w:cs="华文仿宋"/>
          <w:highlight w:val="none"/>
        </w:rPr>
        <w:t>标段招标活动。为</w:t>
      </w:r>
      <w:r>
        <w:rPr>
          <w:rFonts w:hint="eastAsia" w:ascii="仿宋" w:hAnsi="仿宋" w:eastAsia="仿宋" w:cs="仿宋"/>
          <w:highlight w:val="none"/>
        </w:rPr>
        <w:t>此，我方郑重声明以下诸点，并负法律责任。</w:t>
      </w:r>
    </w:p>
    <w:p>
      <w:pPr>
        <w:pStyle w:val="28"/>
        <w:spacing w:line="500" w:lineRule="exact"/>
        <w:ind w:firstLine="567"/>
        <w:rPr>
          <w:rFonts w:cs="Times New Roman"/>
          <w:highlight w:val="none"/>
        </w:rPr>
      </w:pPr>
      <w:r>
        <w:rPr>
          <w:rFonts w:hint="eastAsia" w:cs="华文仿宋"/>
          <w:highlight w:val="none"/>
        </w:rPr>
        <w:t>一、我方已详细阅读了招标文件，完全理解并同意招标文件的所有事项及内容。</w:t>
      </w:r>
    </w:p>
    <w:p>
      <w:pPr>
        <w:pStyle w:val="28"/>
        <w:spacing w:line="500" w:lineRule="exact"/>
        <w:ind w:firstLine="567"/>
        <w:rPr>
          <w:rFonts w:ascii="仿宋" w:hAnsi="仿宋" w:eastAsia="仿宋" w:cs="仿宋"/>
          <w:highlight w:val="none"/>
        </w:rPr>
      </w:pPr>
      <w:r>
        <w:rPr>
          <w:rFonts w:hint="eastAsia" w:ascii="仿宋" w:hAnsi="仿宋" w:eastAsia="仿宋" w:cs="仿宋"/>
          <w:highlight w:val="none"/>
        </w:rPr>
        <w:t>二、我方已悉知并关注了贵方在政府采购信息发布媒体（详见招标文件第二章第三条中的“招标文件的修改、澄清”）上发布的关于本项目的有关变更公告（包括但不限于对招标文件做出的修改或澄清、答疑纪要，以及项目暂停、重启、延期、终止等）。</w:t>
      </w:r>
    </w:p>
    <w:p>
      <w:pPr>
        <w:pStyle w:val="28"/>
        <w:spacing w:line="500" w:lineRule="exact"/>
        <w:ind w:firstLine="567"/>
        <w:rPr>
          <w:rFonts w:ascii="仿宋" w:hAnsi="仿宋" w:eastAsia="仿宋" w:cs="仿宋"/>
          <w:highlight w:val="none"/>
        </w:rPr>
      </w:pPr>
      <w:r>
        <w:rPr>
          <w:rFonts w:hint="eastAsia" w:ascii="仿宋" w:hAnsi="仿宋" w:eastAsia="仿宋" w:cs="仿宋"/>
          <w:highlight w:val="none"/>
        </w:rPr>
        <w:t>三、我方同意向贵方提供与本投标有关的任何证明材料，保证所提交的证明材料真实、合法、有效。我方理解最低价不是中标的唯一条件，并尊重评标委员会的评审结果。</w:t>
      </w:r>
    </w:p>
    <w:p>
      <w:pPr>
        <w:pStyle w:val="28"/>
        <w:spacing w:line="500" w:lineRule="exact"/>
        <w:ind w:firstLine="567"/>
        <w:rPr>
          <w:rFonts w:ascii="仿宋" w:hAnsi="仿宋" w:eastAsia="仿宋" w:cs="仿宋"/>
          <w:highlight w:val="none"/>
        </w:rPr>
      </w:pPr>
      <w:r>
        <w:rPr>
          <w:rFonts w:hint="eastAsia" w:ascii="仿宋" w:hAnsi="仿宋" w:eastAsia="仿宋" w:cs="仿宋"/>
          <w:highlight w:val="none"/>
        </w:rPr>
        <w:t>四、我方愿意按照招标文件中的一切要求，完成本项目合同责任和义务。</w:t>
      </w:r>
    </w:p>
    <w:p>
      <w:pPr>
        <w:pStyle w:val="28"/>
        <w:spacing w:line="500" w:lineRule="exact"/>
        <w:ind w:firstLine="567"/>
        <w:rPr>
          <w:rFonts w:ascii="仿宋" w:hAnsi="仿宋" w:eastAsia="仿宋" w:cs="仿宋"/>
          <w:highlight w:val="none"/>
        </w:rPr>
      </w:pPr>
      <w:r>
        <w:rPr>
          <w:rFonts w:hint="eastAsia" w:ascii="仿宋" w:hAnsi="仿宋" w:eastAsia="仿宋" w:cs="仿宋"/>
          <w:highlight w:val="none"/>
        </w:rPr>
        <w:t>五、按招标文件的规定，完成本项目采购内容并验收合格的投标报价以开标一览表为准。</w:t>
      </w:r>
    </w:p>
    <w:p>
      <w:pPr>
        <w:pStyle w:val="16"/>
        <w:wordWrap w:val="0"/>
        <w:spacing w:beforeAutospacing="0" w:afterAutospacing="0" w:line="500" w:lineRule="exact"/>
        <w:ind w:firstLine="566" w:firstLineChars="200"/>
        <w:rPr>
          <w:rFonts w:cs="Times New Roman"/>
          <w:kern w:val="2"/>
          <w:sz w:val="28"/>
          <w:szCs w:val="28"/>
          <w:highlight w:val="none"/>
        </w:rPr>
      </w:pPr>
      <w:r>
        <w:rPr>
          <w:rFonts w:hint="eastAsia" w:cs="华文仿宋"/>
          <w:kern w:val="2"/>
          <w:sz w:val="28"/>
          <w:szCs w:val="28"/>
          <w:highlight w:val="none"/>
        </w:rPr>
        <w:t>六、我方提交的</w:t>
      </w:r>
      <w:r>
        <w:rPr>
          <w:rFonts w:hint="eastAsia" w:cs="华文仿宋"/>
          <w:b/>
          <w:bCs/>
          <w:kern w:val="2"/>
          <w:sz w:val="28"/>
          <w:szCs w:val="28"/>
          <w:highlight w:val="none"/>
        </w:rPr>
        <w:t>电子投标文件</w:t>
      </w:r>
      <w:r>
        <w:rPr>
          <w:rFonts w:hint="eastAsia" w:cs="华文仿宋"/>
          <w:b/>
          <w:bCs/>
          <w:kern w:val="2"/>
          <w:sz w:val="28"/>
          <w:szCs w:val="28"/>
          <w:highlight w:val="none"/>
          <w:u w:val="single"/>
        </w:rPr>
        <w:t>1</w:t>
      </w:r>
      <w:r>
        <w:rPr>
          <w:rFonts w:hint="eastAsia" w:cs="华文仿宋"/>
          <w:b/>
          <w:bCs/>
          <w:kern w:val="2"/>
          <w:sz w:val="28"/>
          <w:szCs w:val="28"/>
          <w:highlight w:val="none"/>
        </w:rPr>
        <w:t>份</w:t>
      </w:r>
      <w:r>
        <w:rPr>
          <w:rFonts w:hint="eastAsia" w:cs="华文仿宋"/>
          <w:kern w:val="2"/>
          <w:sz w:val="28"/>
          <w:szCs w:val="28"/>
          <w:highlight w:val="none"/>
        </w:rPr>
        <w:t>。</w:t>
      </w:r>
    </w:p>
    <w:p>
      <w:pPr>
        <w:pStyle w:val="28"/>
        <w:spacing w:line="500" w:lineRule="exact"/>
        <w:ind w:firstLine="567"/>
        <w:rPr>
          <w:rFonts w:cs="Times New Roman"/>
          <w:highlight w:val="none"/>
        </w:rPr>
      </w:pPr>
      <w:r>
        <w:rPr>
          <w:rFonts w:hint="eastAsia" w:cs="华文仿宋"/>
          <w:highlight w:val="none"/>
        </w:rPr>
        <w:t>七、开标后在规定的投标有效期内撤回投标，我们愿接受政府采购的有关处罚决定。</w:t>
      </w:r>
    </w:p>
    <w:p>
      <w:pPr>
        <w:autoSpaceDE w:val="0"/>
        <w:autoSpaceDN w:val="0"/>
        <w:adjustRightInd w:val="0"/>
        <w:spacing w:line="500" w:lineRule="exact"/>
        <w:ind w:firstLine="566" w:firstLineChars="200"/>
        <w:rPr>
          <w:rFonts w:cs="Times New Roman"/>
          <w:highlight w:val="none"/>
        </w:rPr>
      </w:pPr>
      <w:r>
        <w:rPr>
          <w:rFonts w:hint="eastAsia" w:cs="华文仿宋"/>
          <w:highlight w:val="none"/>
        </w:rPr>
        <w:t>八、我方的投标文件在开标之日起</w:t>
      </w:r>
      <w:r>
        <w:rPr>
          <w:rFonts w:hint="eastAsia" w:ascii="仿宋" w:hAnsi="仿宋" w:eastAsia="仿宋" w:cs="仿宋"/>
          <w:b/>
          <w:bCs/>
          <w:highlight w:val="none"/>
          <w:u w:val="single"/>
        </w:rPr>
        <w:t>90</w:t>
      </w:r>
      <w:r>
        <w:rPr>
          <w:rFonts w:hint="eastAsia" w:cs="华文仿宋"/>
          <w:highlight w:val="none"/>
        </w:rPr>
        <w:t>个日历日内有效，如中标，延长至合同执行完毕时止。</w:t>
      </w:r>
    </w:p>
    <w:p>
      <w:pPr>
        <w:pStyle w:val="28"/>
        <w:spacing w:line="500" w:lineRule="exact"/>
        <w:ind w:firstLine="567"/>
        <w:rPr>
          <w:rFonts w:cs="Times New Roman"/>
          <w:highlight w:val="none"/>
        </w:rPr>
      </w:pPr>
      <w:r>
        <w:rPr>
          <w:rFonts w:hint="eastAsia" w:cs="华文仿宋"/>
          <w:highlight w:val="none"/>
        </w:rPr>
        <w:t>九、所有关于此次招标活动的函电，请按下列地址联系：</w:t>
      </w:r>
    </w:p>
    <w:p>
      <w:pPr>
        <w:pStyle w:val="28"/>
        <w:spacing w:line="500" w:lineRule="exact"/>
        <w:ind w:firstLine="567"/>
        <w:rPr>
          <w:rFonts w:cs="Times New Roman"/>
          <w:highlight w:val="none"/>
        </w:rPr>
      </w:pPr>
    </w:p>
    <w:p>
      <w:pPr>
        <w:pStyle w:val="28"/>
        <w:spacing w:line="500" w:lineRule="exact"/>
        <w:ind w:firstLine="567"/>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pPr>
        <w:pStyle w:val="28"/>
        <w:spacing w:line="500" w:lineRule="exact"/>
        <w:ind w:firstLine="567"/>
        <w:rPr>
          <w:rFonts w:cs="Times New Roman"/>
          <w:highlight w:val="none"/>
        </w:rPr>
      </w:pPr>
      <w:r>
        <w:rPr>
          <w:rFonts w:hint="eastAsia" w:cs="华文仿宋"/>
          <w:highlight w:val="none"/>
        </w:rPr>
        <w:t>地址：</w:t>
      </w:r>
    </w:p>
    <w:p>
      <w:pPr>
        <w:pStyle w:val="28"/>
        <w:spacing w:line="500" w:lineRule="exact"/>
        <w:ind w:firstLine="567"/>
        <w:rPr>
          <w:rFonts w:cs="Times New Roman"/>
          <w:highlight w:val="none"/>
        </w:rPr>
      </w:pPr>
      <w:r>
        <w:rPr>
          <w:rFonts w:hint="eastAsia" w:cs="华文仿宋"/>
          <w:highlight w:val="none"/>
        </w:rPr>
        <w:t>开户银行：</w:t>
      </w:r>
    </w:p>
    <w:p>
      <w:pPr>
        <w:pStyle w:val="28"/>
        <w:spacing w:line="500" w:lineRule="exact"/>
        <w:ind w:firstLine="567"/>
        <w:rPr>
          <w:rFonts w:cs="Times New Roman"/>
          <w:highlight w:val="none"/>
        </w:rPr>
      </w:pPr>
      <w:r>
        <w:rPr>
          <w:rFonts w:hint="eastAsia" w:cs="华文仿宋"/>
          <w:highlight w:val="none"/>
        </w:rPr>
        <w:t>账号：</w:t>
      </w:r>
    </w:p>
    <w:p>
      <w:pPr>
        <w:pStyle w:val="28"/>
        <w:spacing w:line="500" w:lineRule="exact"/>
        <w:ind w:firstLine="567"/>
        <w:rPr>
          <w:rFonts w:cs="Times New Roman"/>
          <w:highlight w:val="none"/>
        </w:rPr>
      </w:pPr>
      <w:r>
        <w:rPr>
          <w:rFonts w:hint="eastAsia" w:cs="华文仿宋"/>
          <w:highlight w:val="none"/>
        </w:rPr>
        <w:t>电话：</w:t>
      </w:r>
    </w:p>
    <w:p>
      <w:pPr>
        <w:pStyle w:val="28"/>
        <w:spacing w:line="500" w:lineRule="exact"/>
        <w:ind w:firstLine="567"/>
        <w:rPr>
          <w:rFonts w:cs="Times New Roman"/>
          <w:highlight w:val="none"/>
        </w:rPr>
      </w:pPr>
      <w:r>
        <w:rPr>
          <w:rFonts w:hint="eastAsia" w:cs="华文仿宋"/>
          <w:highlight w:val="none"/>
        </w:rPr>
        <w:t>传真：</w:t>
      </w:r>
    </w:p>
    <w:p>
      <w:pPr>
        <w:pStyle w:val="28"/>
        <w:spacing w:line="500" w:lineRule="exact"/>
        <w:ind w:firstLine="567"/>
        <w:rPr>
          <w:rFonts w:cs="Times New Roman"/>
          <w:highlight w:val="none"/>
        </w:rPr>
      </w:pPr>
      <w:r>
        <w:rPr>
          <w:rFonts w:hint="eastAsia" w:cs="华文仿宋"/>
          <w:highlight w:val="none"/>
        </w:rPr>
        <w:t>邮编：</w:t>
      </w:r>
    </w:p>
    <w:p>
      <w:pPr>
        <w:pStyle w:val="28"/>
        <w:spacing w:line="500" w:lineRule="exact"/>
        <w:ind w:firstLine="567"/>
        <w:rPr>
          <w:rFonts w:cs="Times New Roman"/>
          <w:highlight w:val="none"/>
        </w:rPr>
      </w:pPr>
      <w:r>
        <w:rPr>
          <w:rFonts w:hint="eastAsia" w:cs="华文仿宋"/>
          <w:highlight w:val="none"/>
        </w:rPr>
        <w:t>电子邮箱：</w:t>
      </w:r>
    </w:p>
    <w:p>
      <w:pPr>
        <w:pStyle w:val="28"/>
        <w:spacing w:line="500" w:lineRule="exact"/>
        <w:ind w:firstLine="567"/>
        <w:rPr>
          <w:rFonts w:cs="Times New Roman"/>
          <w:highlight w:val="none"/>
        </w:rPr>
      </w:pPr>
      <w:r>
        <w:rPr>
          <w:rFonts w:hint="eastAsia" w:cs="华文仿宋"/>
          <w:highlight w:val="none"/>
        </w:rPr>
        <w:t>日期：　　年　月　日</w:t>
      </w:r>
    </w:p>
    <w:p>
      <w:pPr>
        <w:pStyle w:val="28"/>
        <w:ind w:firstLine="0" w:firstLineChars="0"/>
        <w:rPr>
          <w:rFonts w:cs="Times New Roman"/>
          <w:sz w:val="36"/>
          <w:szCs w:val="36"/>
          <w:highlight w:val="none"/>
        </w:rPr>
      </w:pPr>
    </w:p>
    <w:p>
      <w:pPr>
        <w:pStyle w:val="28"/>
        <w:ind w:firstLine="0" w:firstLineChars="0"/>
        <w:rPr>
          <w:rFonts w:cs="Times New Roman"/>
          <w:sz w:val="36"/>
          <w:szCs w:val="36"/>
          <w:highlight w:val="none"/>
        </w:rPr>
      </w:pPr>
    </w:p>
    <w:p>
      <w:pPr>
        <w:pStyle w:val="28"/>
        <w:ind w:firstLine="0" w:firstLineChars="0"/>
        <w:rPr>
          <w:rFonts w:cs="Times New Roman"/>
          <w:sz w:val="36"/>
          <w:szCs w:val="36"/>
          <w:highlight w:val="none"/>
        </w:rPr>
      </w:pPr>
    </w:p>
    <w:p>
      <w:pPr>
        <w:pStyle w:val="28"/>
        <w:ind w:firstLine="426"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pPr>
        <w:pStyle w:val="28"/>
        <w:ind w:firstLine="426" w:firstLineChars="200"/>
        <w:rPr>
          <w:rFonts w:ascii="宋体" w:hAnsi="宋体" w:eastAsia="宋体" w:cs="Times New Roman"/>
          <w:sz w:val="21"/>
          <w:szCs w:val="21"/>
          <w:highlight w:val="none"/>
        </w:rPr>
      </w:pPr>
      <w:r>
        <w:rPr>
          <w:rFonts w:ascii="宋体" w:hAnsi="宋体" w:eastAsia="宋体" w:cs="宋体"/>
          <w:sz w:val="21"/>
          <w:szCs w:val="21"/>
          <w:highlight w:val="none"/>
        </w:rPr>
        <w:t>1</w:t>
      </w:r>
      <w:r>
        <w:rPr>
          <w:rFonts w:hint="eastAsia" w:ascii="宋体" w:hAnsi="宋体" w:eastAsia="宋体" w:cs="宋体"/>
          <w:sz w:val="21"/>
          <w:szCs w:val="21"/>
          <w:highlight w:val="none"/>
        </w:rPr>
        <w:t>、项目不分标段的，第</w:t>
      </w:r>
      <w:r>
        <w:rPr>
          <w:rFonts w:ascii="宋体" w:hAnsi="宋体" w:eastAsia="宋体" w:cs="宋体"/>
          <w:sz w:val="21"/>
          <w:szCs w:val="21"/>
          <w:highlight w:val="none"/>
        </w:rPr>
        <w:t>___</w:t>
      </w:r>
      <w:r>
        <w:rPr>
          <w:rFonts w:hint="eastAsia" w:ascii="宋体" w:hAnsi="宋体" w:eastAsia="宋体" w:cs="宋体"/>
          <w:sz w:val="21"/>
          <w:szCs w:val="21"/>
          <w:highlight w:val="none"/>
        </w:rPr>
        <w:t>标段空白处填写“</w:t>
      </w:r>
      <w:r>
        <w:rPr>
          <w:rFonts w:ascii="宋体" w:hAnsi="宋体" w:eastAsia="宋体" w:cs="宋体"/>
          <w:sz w:val="21"/>
          <w:szCs w:val="21"/>
          <w:highlight w:val="none"/>
        </w:rPr>
        <w:t>/</w:t>
      </w:r>
      <w:r>
        <w:rPr>
          <w:rFonts w:hint="eastAsia" w:ascii="宋体" w:hAnsi="宋体" w:eastAsia="宋体" w:cs="宋体"/>
          <w:sz w:val="21"/>
          <w:szCs w:val="21"/>
          <w:highlight w:val="none"/>
        </w:rPr>
        <w:t>”。</w:t>
      </w:r>
    </w:p>
    <w:p>
      <w:pPr>
        <w:pStyle w:val="28"/>
        <w:ind w:firstLine="426" w:firstLineChars="200"/>
        <w:rPr>
          <w:rFonts w:ascii="宋体" w:hAnsi="宋体" w:eastAsia="宋体" w:cs="Times New Roman"/>
          <w:sz w:val="21"/>
          <w:szCs w:val="21"/>
          <w:highlight w:val="none"/>
        </w:rPr>
      </w:pPr>
      <w:r>
        <w:rPr>
          <w:rFonts w:ascii="宋体" w:hAnsi="宋体" w:eastAsia="宋体" w:cs="宋体"/>
          <w:sz w:val="21"/>
          <w:szCs w:val="21"/>
          <w:highlight w:val="none"/>
        </w:rPr>
        <w:t>2</w:t>
      </w:r>
      <w:r>
        <w:rPr>
          <w:rFonts w:hint="eastAsia" w:ascii="宋体" w:hAnsi="宋体" w:eastAsia="宋体" w:cs="宋体"/>
          <w:sz w:val="21"/>
          <w:szCs w:val="21"/>
          <w:highlight w:val="none"/>
        </w:rPr>
        <w:t>、除可填报项目外，对本投标函的任何实质性内容修改将被视为非实质性响应，在评审时将其视为无效响应。</w:t>
      </w:r>
    </w:p>
    <w:p>
      <w:pPr>
        <w:pStyle w:val="28"/>
        <w:ind w:firstLine="0" w:firstLineChars="0"/>
        <w:rPr>
          <w:rFonts w:ascii="宋体" w:hAnsi="宋体" w:eastAsia="宋体" w:cs="Times New Roman"/>
          <w:b/>
          <w:bCs/>
          <w:sz w:val="21"/>
          <w:szCs w:val="21"/>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pStyle w:val="28"/>
        <w:ind w:firstLine="0" w:firstLineChars="0"/>
        <w:rPr>
          <w:rFonts w:ascii="黑体" w:hAnsi="黑体" w:eastAsia="黑体" w:cs="Times New Roman"/>
          <w:sz w:val="32"/>
          <w:szCs w:val="32"/>
          <w:highlight w:val="none"/>
        </w:rPr>
      </w:pPr>
    </w:p>
    <w:p>
      <w:pPr>
        <w:rPr>
          <w:rFonts w:ascii="仿宋" w:hAnsi="仿宋" w:eastAsia="仿宋" w:cs="Times New Roman"/>
          <w:highlight w:val="none"/>
        </w:rPr>
      </w:pPr>
      <w:bookmarkStart w:id="482" w:name="_Toc27965"/>
      <w:bookmarkStart w:id="483" w:name="_Toc6674"/>
      <w:bookmarkStart w:id="484" w:name="_Toc5710"/>
      <w:bookmarkStart w:id="485" w:name="_Toc28261"/>
      <w:bookmarkStart w:id="486" w:name="_Toc8061"/>
      <w:bookmarkStart w:id="487" w:name="_Toc28380"/>
      <w:bookmarkStart w:id="488" w:name="_Toc26017"/>
      <w:bookmarkStart w:id="489" w:name="_Toc940"/>
      <w:bookmarkStart w:id="490" w:name="_Toc28620"/>
      <w:bookmarkStart w:id="491" w:name="_Toc6164"/>
      <w:bookmarkStart w:id="492" w:name="_Toc23720"/>
      <w:bookmarkStart w:id="493" w:name="_Toc15271"/>
      <w:bookmarkStart w:id="494" w:name="_Toc14393"/>
      <w:bookmarkStart w:id="495" w:name="_Toc28505"/>
      <w:r>
        <w:rPr>
          <w:rFonts w:hint="eastAsia" w:ascii="仿宋" w:hAnsi="仿宋" w:eastAsia="仿宋" w:cs="仿宋"/>
          <w:highlight w:val="none"/>
        </w:rPr>
        <w:br w:type="page"/>
      </w:r>
      <w:r>
        <w:rPr>
          <w:rFonts w:hint="eastAsia" w:ascii="仿宋" w:hAnsi="仿宋" w:eastAsia="仿宋" w:cs="仿宋"/>
          <w:sz w:val="30"/>
          <w:szCs w:val="30"/>
          <w:highlight w:val="none"/>
          <w:lang w:val="en-US" w:eastAsia="zh-CN"/>
        </w:rPr>
        <w:t xml:space="preserve">   </w:t>
      </w:r>
      <w:r>
        <w:rPr>
          <w:rFonts w:hint="eastAsia" w:ascii="仿宋" w:hAnsi="仿宋" w:eastAsia="仿宋" w:cs="仿宋"/>
          <w:b/>
          <w:bCs/>
          <w:sz w:val="32"/>
          <w:szCs w:val="32"/>
          <w:highlight w:val="none"/>
          <w:lang w:val="en-US" w:eastAsia="zh-CN"/>
        </w:rPr>
        <w:t xml:space="preserve"> </w:t>
      </w:r>
      <w:r>
        <w:rPr>
          <w:rFonts w:hint="eastAsia" w:ascii="Calibri Light" w:hAnsi="Calibri Light" w:eastAsia="华文仿宋" w:cs="华文仿宋"/>
          <w:b/>
          <w:bCs/>
          <w:sz w:val="30"/>
          <w:szCs w:val="30"/>
          <w:highlight w:val="none"/>
        </w:rPr>
        <w:t>二、开标一览表</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spacing w:line="600" w:lineRule="exact"/>
        <w:ind w:firstLine="566" w:firstLineChars="200"/>
        <w:jc w:val="left"/>
        <w:rPr>
          <w:rFonts w:ascii="华文仿宋" w:hAnsi="华文仿宋" w:cs="华文仿宋"/>
          <w:highlight w:val="none"/>
        </w:rPr>
      </w:pPr>
      <w:r>
        <w:rPr>
          <w:rFonts w:hint="eastAsia" w:ascii="华文仿宋" w:hAnsi="华文仿宋" w:cs="华文仿宋"/>
          <w:highlight w:val="none"/>
        </w:rPr>
        <w:t>项目编号：</w:t>
      </w:r>
    </w:p>
    <w:p>
      <w:pPr>
        <w:spacing w:line="600" w:lineRule="exact"/>
        <w:ind w:firstLine="566" w:firstLineChars="200"/>
        <w:jc w:val="left"/>
        <w:rPr>
          <w:rFonts w:hint="eastAsia" w:ascii="华文仿宋" w:hAnsi="华文仿宋" w:cs="华文仿宋"/>
          <w:highlight w:val="none"/>
        </w:rPr>
      </w:pPr>
      <w:r>
        <w:rPr>
          <w:rFonts w:hint="eastAsia" w:ascii="华文仿宋" w:hAnsi="华文仿宋" w:cs="华文仿宋"/>
          <w:highlight w:val="none"/>
        </w:rPr>
        <w:t>项目名称：</w:t>
      </w:r>
    </w:p>
    <w:p>
      <w:pPr>
        <w:spacing w:line="600" w:lineRule="exact"/>
        <w:ind w:firstLine="566" w:firstLineChars="200"/>
        <w:jc w:val="left"/>
        <w:rPr>
          <w:rFonts w:hint="eastAsia" w:ascii="华文仿宋" w:hAnsi="华文仿宋" w:cs="华文仿宋"/>
          <w:highlight w:val="none"/>
          <w:lang w:val="en-US" w:eastAsia="zh-CN"/>
        </w:rPr>
      </w:pPr>
      <w:r>
        <w:rPr>
          <w:rFonts w:hint="eastAsia" w:ascii="华文仿宋" w:hAnsi="华文仿宋" w:cs="华文仿宋"/>
          <w:highlight w:val="none"/>
          <w:lang w:val="en-US" w:eastAsia="zh-CN"/>
        </w:rPr>
        <w:t>标段编号：</w:t>
      </w:r>
    </w:p>
    <w:p>
      <w:pPr>
        <w:spacing w:line="600" w:lineRule="exact"/>
        <w:ind w:firstLine="566" w:firstLineChars="200"/>
        <w:jc w:val="left"/>
        <w:rPr>
          <w:rFonts w:hint="eastAsia" w:ascii="华文仿宋" w:hAnsi="华文仿宋" w:cs="华文仿宋"/>
          <w:highlight w:val="none"/>
          <w:lang w:val="en-US" w:eastAsia="zh-CN"/>
        </w:rPr>
      </w:pPr>
      <w:r>
        <w:rPr>
          <w:rFonts w:hint="eastAsia" w:ascii="华文仿宋" w:hAnsi="华文仿宋" w:cs="华文仿宋"/>
          <w:highlight w:val="none"/>
          <w:lang w:val="en-US" w:eastAsia="zh-CN"/>
        </w:rPr>
        <w:t>标段名称：</w:t>
      </w:r>
    </w:p>
    <w:p>
      <w:pPr>
        <w:spacing w:line="440" w:lineRule="exact"/>
        <w:ind w:right="560"/>
        <w:jc w:val="right"/>
        <w:rPr>
          <w:rFonts w:ascii="仿宋" w:hAnsi="仿宋" w:eastAsia="仿宋" w:cs="Times New Roman"/>
          <w:sz w:val="24"/>
          <w:szCs w:val="24"/>
          <w:highlight w:val="none"/>
        </w:rPr>
      </w:pPr>
    </w:p>
    <w:tbl>
      <w:tblPr>
        <w:tblStyle w:val="1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865"/>
        <w:gridCol w:w="5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865" w:type="dxa"/>
            <w:noWrap w:val="0"/>
            <w:vAlign w:val="center"/>
          </w:tcPr>
          <w:p>
            <w:pPr>
              <w:autoSpaceDE w:val="0"/>
              <w:autoSpaceDN w:val="0"/>
              <w:ind w:firstLine="849" w:firstLineChars="300"/>
              <w:jc w:val="center"/>
              <w:rPr>
                <w:rFonts w:hint="eastAsia" w:ascii="宋体" w:eastAsia="宋体" w:cs="Times New Roman"/>
                <w:highlight w:val="none"/>
                <w:lang w:eastAsia="zh-CN"/>
              </w:rPr>
            </w:pPr>
            <w:r>
              <w:rPr>
                <w:rFonts w:hint="eastAsia" w:ascii="宋体" w:hAnsi="宋体" w:eastAsia="华文仿宋" w:cs="华文仿宋"/>
                <w:kern w:val="0"/>
                <w:highlight w:val="none"/>
                <w:lang w:val="zh-CN" w:eastAsia="zh-CN"/>
              </w:rPr>
              <w:t>标题</w:t>
            </w:r>
          </w:p>
        </w:tc>
        <w:tc>
          <w:tcPr>
            <w:tcW w:w="5752" w:type="dxa"/>
            <w:noWrap w:val="0"/>
            <w:vAlign w:val="center"/>
          </w:tcPr>
          <w:p>
            <w:pPr>
              <w:autoSpaceDE w:val="0"/>
              <w:autoSpaceDN w:val="0"/>
              <w:spacing w:line="360" w:lineRule="auto"/>
              <w:jc w:val="center"/>
              <w:rPr>
                <w:rFonts w:ascii="宋体" w:eastAsia="宋体" w:cs="Times New Roman"/>
                <w:kern w:val="0"/>
                <w:highlight w:val="none"/>
                <w:lang w:val="zh-CN"/>
              </w:rPr>
            </w:pPr>
            <w:r>
              <w:rPr>
                <w:rFonts w:hint="eastAsia" w:ascii="宋体" w:hAnsi="宋体" w:cs="华文仿宋"/>
                <w:kern w:val="0"/>
                <w:highlight w:val="none"/>
                <w:lang w:val="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865" w:type="dxa"/>
            <w:noWrap w:val="0"/>
            <w:vAlign w:val="center"/>
          </w:tcPr>
          <w:p>
            <w:pPr>
              <w:pStyle w:val="5"/>
              <w:spacing w:line="360" w:lineRule="auto"/>
              <w:ind w:firstLine="0"/>
              <w:jc w:val="center"/>
              <w:rPr>
                <w:rFonts w:ascii="宋体" w:eastAsia="宋体" w:cs="Times New Roman"/>
                <w:highlight w:val="none"/>
              </w:rPr>
            </w:pPr>
            <w:r>
              <w:rPr>
                <w:rFonts w:hint="eastAsia" w:ascii="宋体" w:hAnsi="宋体" w:cs="华文仿宋"/>
                <w:highlight w:val="none"/>
              </w:rPr>
              <w:t>投标报价</w:t>
            </w:r>
          </w:p>
        </w:tc>
        <w:tc>
          <w:tcPr>
            <w:tcW w:w="5752" w:type="dxa"/>
            <w:noWrap w:val="0"/>
            <w:vAlign w:val="center"/>
          </w:tcPr>
          <w:p>
            <w:pPr>
              <w:autoSpaceDE w:val="0"/>
              <w:autoSpaceDN w:val="0"/>
              <w:spacing w:line="360" w:lineRule="auto"/>
              <w:rPr>
                <w:rFonts w:ascii="宋体" w:hAnsi="宋体" w:cs="华文仿宋"/>
                <w:kern w:val="0"/>
                <w:highlight w:val="none"/>
                <w:lang w:val="zh-CN"/>
              </w:rPr>
            </w:pPr>
          </w:p>
          <w:p>
            <w:pPr>
              <w:autoSpaceDE w:val="0"/>
              <w:autoSpaceDN w:val="0"/>
              <w:spacing w:line="360" w:lineRule="auto"/>
              <w:rPr>
                <w:rFonts w:ascii="宋体" w:eastAsia="宋体" w:cs="Times New Roman"/>
                <w:kern w:val="0"/>
                <w:highlight w:val="none"/>
                <w:lang w:val="zh-CN"/>
              </w:rPr>
            </w:pPr>
            <w:r>
              <w:rPr>
                <w:rFonts w:hint="eastAsia" w:ascii="宋体" w:hAnsi="宋体" w:cs="华文仿宋"/>
                <w:kern w:val="0"/>
                <w:highlight w:val="none"/>
                <w:lang w:val="zh-CN"/>
              </w:rPr>
              <w:t>小写：</w:t>
            </w:r>
          </w:p>
          <w:p>
            <w:pPr>
              <w:autoSpaceDE w:val="0"/>
              <w:autoSpaceDN w:val="0"/>
              <w:spacing w:line="360" w:lineRule="auto"/>
              <w:ind w:firstLine="0" w:firstLineChars="0"/>
              <w:jc w:val="right"/>
              <w:rPr>
                <w:rFonts w:ascii="宋体" w:eastAsia="宋体" w:cs="Times New Roman"/>
                <w:kern w:val="0"/>
                <w:highlight w:val="none"/>
                <w:lang w:val="zh-CN"/>
              </w:rPr>
            </w:pPr>
            <w:r>
              <w:rPr>
                <w:rFonts w:hint="eastAsia" w:ascii="仿宋" w:hAnsi="仿宋" w:eastAsia="仿宋" w:cs="仿宋"/>
                <w:sz w:val="24"/>
                <w:szCs w:val="24"/>
                <w:highlight w:val="none"/>
              </w:rPr>
              <w:t>单位：元</w:t>
            </w:r>
            <w:r>
              <w:rPr>
                <w:rFonts w:hint="eastAsia" w:ascii="仿宋" w:hAnsi="仿宋" w:eastAsia="仿宋" w:cs="仿宋"/>
                <w:sz w:val="24"/>
                <w:szCs w:val="24"/>
                <w:highlight w:val="none"/>
                <w:lang w:eastAsia="zh-CN"/>
              </w:rPr>
              <w:t>（报价最多保留至小数点后两位）</w:t>
            </w:r>
          </w:p>
        </w:tc>
      </w:tr>
    </w:tbl>
    <w:p>
      <w:pPr>
        <w:autoSpaceDE w:val="0"/>
        <w:autoSpaceDN w:val="0"/>
        <w:spacing w:line="240" w:lineRule="auto"/>
        <w:ind w:firstLine="213" w:firstLineChars="100"/>
        <w:rPr>
          <w:rFonts w:ascii="宋体" w:hAnsi="宋体" w:eastAsia="宋体" w:cs="Times New Roman"/>
          <w:sz w:val="21"/>
          <w:szCs w:val="21"/>
          <w:highlight w:val="none"/>
        </w:rPr>
      </w:pPr>
      <w:r>
        <w:rPr>
          <w:rFonts w:hint="eastAsia" w:ascii="宋体" w:hAnsi="宋体" w:eastAsia="宋体" w:cs="宋体"/>
          <w:kern w:val="0"/>
          <w:sz w:val="21"/>
          <w:szCs w:val="21"/>
          <w:highlight w:val="none"/>
        </w:rPr>
        <w:t>备注</w:t>
      </w:r>
      <w:r>
        <w:rPr>
          <w:rFonts w:hint="eastAsia" w:ascii="宋体" w:hAnsi="宋体" w:eastAsia="宋体" w:cs="宋体"/>
          <w:kern w:val="0"/>
          <w:sz w:val="21"/>
          <w:szCs w:val="21"/>
          <w:highlight w:val="none"/>
          <w:lang w:val="zh-CN"/>
        </w:rPr>
        <w:t>：“投标报价”为</w:t>
      </w:r>
      <w:r>
        <w:rPr>
          <w:rFonts w:hint="eastAsia" w:ascii="宋体" w:hAnsi="宋体" w:eastAsia="宋体" w:cs="宋体"/>
          <w:kern w:val="0"/>
          <w:sz w:val="21"/>
          <w:szCs w:val="21"/>
          <w:highlight w:val="none"/>
        </w:rPr>
        <w:t>投标总价</w:t>
      </w:r>
      <w:r>
        <w:rPr>
          <w:rFonts w:hint="eastAsia" w:ascii="宋体" w:hAnsi="宋体" w:eastAsia="宋体" w:cs="宋体"/>
          <w:kern w:val="0"/>
          <w:sz w:val="21"/>
          <w:szCs w:val="21"/>
          <w:highlight w:val="none"/>
          <w:lang w:val="zh-CN"/>
        </w:rPr>
        <w:t>。</w:t>
      </w:r>
      <w:bookmarkStart w:id="496" w:name="_Toc29740_WPSOffice_Level2"/>
      <w:bookmarkStart w:id="497" w:name="_Toc25597_WPSOffice_Level2"/>
      <w:bookmarkStart w:id="498" w:name="_Toc31114"/>
      <w:bookmarkStart w:id="499" w:name="_Toc29232"/>
      <w:bookmarkStart w:id="500" w:name="_Toc24699_WPSOffice_Level2"/>
      <w:bookmarkStart w:id="501" w:name="_Toc8006"/>
      <w:bookmarkStart w:id="502" w:name="_Toc26334"/>
      <w:bookmarkStart w:id="503" w:name="_Toc5592"/>
      <w:r>
        <w:rPr>
          <w:rFonts w:hint="eastAsia" w:ascii="宋体" w:hAnsi="宋体" w:eastAsia="宋体" w:cs="宋体"/>
          <w:kern w:val="0"/>
          <w:sz w:val="21"/>
          <w:szCs w:val="21"/>
          <w:highlight w:val="none"/>
          <w:lang w:val="zh-CN"/>
        </w:rPr>
        <w:t>投标</w:t>
      </w:r>
      <w:r>
        <w:rPr>
          <w:rFonts w:ascii="宋体" w:hAnsi="宋体" w:eastAsia="宋体" w:cs="宋体"/>
          <w:kern w:val="0"/>
          <w:sz w:val="21"/>
          <w:szCs w:val="21"/>
          <w:highlight w:val="none"/>
          <w:lang w:val="zh-CN"/>
        </w:rPr>
        <w:t>报价必须包括</w:t>
      </w:r>
      <w:r>
        <w:rPr>
          <w:rFonts w:hint="eastAsia" w:ascii="宋体" w:hAnsi="宋体" w:eastAsia="宋体" w:cs="宋体"/>
          <w:kern w:val="0"/>
          <w:sz w:val="21"/>
          <w:szCs w:val="21"/>
          <w:highlight w:val="none"/>
          <w:lang w:val="zh-CN"/>
        </w:rPr>
        <w:t>本项目所需</w:t>
      </w:r>
      <w:r>
        <w:rPr>
          <w:rFonts w:ascii="宋体" w:hAnsi="宋体" w:eastAsia="宋体" w:cs="宋体"/>
          <w:kern w:val="0"/>
          <w:sz w:val="21"/>
          <w:szCs w:val="21"/>
          <w:highlight w:val="none"/>
          <w:lang w:val="zh-CN"/>
        </w:rPr>
        <w:t>全部费用</w:t>
      </w:r>
      <w:r>
        <w:rPr>
          <w:rFonts w:hint="eastAsia" w:ascii="宋体" w:hAnsi="宋体" w:eastAsia="宋体" w:cs="宋体"/>
          <w:color w:val="000000"/>
          <w:kern w:val="0"/>
          <w:sz w:val="21"/>
          <w:szCs w:val="21"/>
          <w:highlight w:val="none"/>
          <w:lang w:val="zh-CN"/>
        </w:rPr>
        <w:t>。</w:t>
      </w:r>
    </w:p>
    <w:bookmarkEnd w:id="496"/>
    <w:bookmarkEnd w:id="497"/>
    <w:bookmarkEnd w:id="498"/>
    <w:bookmarkEnd w:id="499"/>
    <w:bookmarkEnd w:id="500"/>
    <w:bookmarkEnd w:id="501"/>
    <w:bookmarkEnd w:id="502"/>
    <w:p>
      <w:pPr>
        <w:autoSpaceDE w:val="0"/>
        <w:autoSpaceDN w:val="0"/>
        <w:spacing w:before="190" w:beforeLines="50" w:line="500" w:lineRule="exact"/>
        <w:ind w:firstLine="5377" w:firstLineChars="1900"/>
        <w:rPr>
          <w:rFonts w:ascii="华文仿宋" w:hAnsi="华文仿宋" w:cs="华文仿宋"/>
          <w:highlight w:val="none"/>
        </w:rPr>
      </w:pPr>
    </w:p>
    <w:p>
      <w:pPr>
        <w:autoSpaceDE w:val="0"/>
        <w:autoSpaceDN w:val="0"/>
        <w:spacing w:before="190" w:beforeLines="50" w:line="500" w:lineRule="exact"/>
        <w:ind w:firstLine="5377" w:firstLineChars="1900"/>
        <w:rPr>
          <w:rFonts w:ascii="华文仿宋" w:cs="Times New Roman"/>
          <w:highlight w:val="none"/>
        </w:rPr>
      </w:pPr>
      <w:r>
        <w:rPr>
          <w:rFonts w:hint="eastAsia" w:cs="华文仿宋"/>
          <w:color w:val="000000"/>
          <w:highlight w:val="none"/>
        </w:rPr>
        <w:t>投标人</w:t>
      </w:r>
      <w:r>
        <w:rPr>
          <w:rFonts w:hint="eastAsia" w:ascii="华文仿宋" w:hAnsi="华文仿宋" w:cs="华文仿宋"/>
          <w:highlight w:val="none"/>
        </w:rPr>
        <w:t>：</w:t>
      </w:r>
      <w:r>
        <w:rPr>
          <w:rFonts w:hint="eastAsia" w:ascii="华文仿宋" w:hAnsi="华文仿宋" w:cs="华文仿宋"/>
          <w:highlight w:val="none"/>
          <w:u w:val="single"/>
        </w:rPr>
        <w:t>名称</w:t>
      </w:r>
      <w:r>
        <w:rPr>
          <w:rFonts w:hint="eastAsia" w:ascii="华文仿宋" w:hAnsi="华文仿宋" w:cs="华文仿宋"/>
          <w:highlight w:val="none"/>
        </w:rPr>
        <w:t>（加盖公章）</w:t>
      </w:r>
    </w:p>
    <w:p>
      <w:pPr>
        <w:spacing w:line="500" w:lineRule="exact"/>
        <w:ind w:firstLine="5660" w:firstLineChars="2000"/>
        <w:rPr>
          <w:rFonts w:cs="Times New Roman"/>
          <w:highlight w:val="none"/>
        </w:rPr>
      </w:pPr>
      <w:r>
        <w:rPr>
          <w:rFonts w:hint="eastAsia" w:cs="华文仿宋"/>
          <w:highlight w:val="none"/>
        </w:rPr>
        <w:t>日期：　年　月　日</w:t>
      </w:r>
    </w:p>
    <w:p>
      <w:pPr>
        <w:spacing w:after="190" w:afterLines="50" w:line="500" w:lineRule="exact"/>
        <w:jc w:val="center"/>
        <w:rPr>
          <w:rFonts w:ascii="华文仿宋" w:hAnsi="华文仿宋" w:cs="华文仿宋"/>
          <w:b/>
          <w:highlight w:val="none"/>
        </w:rPr>
        <w:sectPr>
          <w:pgSz w:w="11906" w:h="16838"/>
          <w:pgMar w:top="1417" w:right="1417" w:bottom="1417" w:left="1417" w:header="850" w:footer="794" w:gutter="0"/>
          <w:pgNumType w:chapStyle="1"/>
          <w:cols w:space="720" w:num="1"/>
          <w:docGrid w:type="linesAndChars" w:linePitch="381" w:charSpace="704"/>
        </w:sectPr>
      </w:pPr>
    </w:p>
    <w:p>
      <w:pPr>
        <w:spacing w:after="190" w:afterLines="50" w:line="500" w:lineRule="exact"/>
        <w:jc w:val="center"/>
        <w:rPr>
          <w:rFonts w:hint="eastAsia" w:ascii="华文仿宋" w:hAnsi="华文仿宋" w:eastAsia="华文仿宋" w:cs="华文仿宋"/>
          <w:b/>
          <w:highlight w:val="none"/>
          <w:lang w:val="en-US" w:eastAsia="zh-CN"/>
        </w:rPr>
      </w:pPr>
      <w:r>
        <w:rPr>
          <w:rFonts w:hint="eastAsia" w:ascii="华文仿宋" w:hAnsi="华文仿宋" w:cs="华文仿宋"/>
          <w:b/>
          <w:highlight w:val="none"/>
        </w:rPr>
        <w:t>分项报价表</w:t>
      </w:r>
      <w:r>
        <w:rPr>
          <w:rFonts w:hint="eastAsia" w:ascii="华文仿宋" w:hAnsi="华文仿宋" w:cs="华文仿宋"/>
          <w:b/>
          <w:highlight w:val="none"/>
          <w:u w:val="none"/>
          <w:lang w:eastAsia="zh-CN"/>
        </w:rPr>
        <w:t>（</w:t>
      </w:r>
      <w:r>
        <w:rPr>
          <w:rFonts w:hint="eastAsia" w:ascii="华文仿宋" w:hAnsi="华文仿宋" w:cs="华文仿宋"/>
          <w:b/>
          <w:highlight w:val="none"/>
          <w:u w:val="none"/>
          <w:lang w:val="en-US" w:eastAsia="zh-CN"/>
        </w:rPr>
        <w:t>第</w:t>
      </w:r>
      <w:r>
        <w:rPr>
          <w:rFonts w:hint="eastAsia" w:ascii="华文仿宋" w:hAnsi="华文仿宋" w:cs="华文仿宋"/>
          <w:b/>
          <w:highlight w:val="none"/>
          <w:u w:val="single"/>
          <w:lang w:val="en-US" w:eastAsia="zh-CN"/>
        </w:rPr>
        <w:t xml:space="preserve">   </w:t>
      </w:r>
      <w:r>
        <w:rPr>
          <w:rFonts w:hint="eastAsia" w:ascii="华文仿宋" w:hAnsi="华文仿宋" w:cs="华文仿宋"/>
          <w:b/>
          <w:highlight w:val="none"/>
          <w:u w:val="none"/>
          <w:lang w:val="en-US" w:eastAsia="zh-CN"/>
        </w:rPr>
        <w:t>标段</w:t>
      </w:r>
      <w:r>
        <w:rPr>
          <w:rFonts w:hint="eastAsia" w:ascii="华文仿宋" w:hAnsi="华文仿宋" w:cs="华文仿宋"/>
          <w:b/>
          <w:highlight w:val="none"/>
          <w:lang w:eastAsia="zh-CN"/>
        </w:rPr>
        <w:t>）</w:t>
      </w:r>
    </w:p>
    <w:tbl>
      <w:tblPr>
        <w:tblStyle w:val="19"/>
        <w:tblW w:w="9124" w:type="dxa"/>
        <w:jc w:val="center"/>
        <w:tblLayout w:type="fixed"/>
        <w:tblCellMar>
          <w:top w:w="0" w:type="dxa"/>
          <w:left w:w="28" w:type="dxa"/>
          <w:bottom w:w="0" w:type="dxa"/>
          <w:right w:w="28" w:type="dxa"/>
        </w:tblCellMar>
      </w:tblPr>
      <w:tblGrid>
        <w:gridCol w:w="430"/>
        <w:gridCol w:w="1281"/>
        <w:gridCol w:w="495"/>
        <w:gridCol w:w="495"/>
        <w:gridCol w:w="1305"/>
        <w:gridCol w:w="1755"/>
        <w:gridCol w:w="1080"/>
        <w:gridCol w:w="975"/>
        <w:gridCol w:w="1308"/>
      </w:tblGrid>
      <w:tr>
        <w:tblPrEx>
          <w:tblCellMar>
            <w:top w:w="0" w:type="dxa"/>
            <w:left w:w="28" w:type="dxa"/>
            <w:bottom w:w="0" w:type="dxa"/>
            <w:right w:w="28" w:type="dxa"/>
          </w:tblCellMar>
        </w:tblPrEx>
        <w:trPr>
          <w:trHeight w:val="1274" w:hRule="atLeast"/>
          <w:jc w:val="center"/>
        </w:trPr>
        <w:tc>
          <w:tcPr>
            <w:tcW w:w="430" w:type="dxa"/>
            <w:tcBorders>
              <w:top w:val="single" w:color="000000" w:sz="8"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序号</w:t>
            </w:r>
          </w:p>
        </w:tc>
        <w:tc>
          <w:tcPr>
            <w:tcW w:w="1281"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产品名称</w:t>
            </w:r>
          </w:p>
        </w:tc>
        <w:tc>
          <w:tcPr>
            <w:tcW w:w="990" w:type="dxa"/>
            <w:gridSpan w:val="2"/>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品牌</w:t>
            </w:r>
          </w:p>
        </w:tc>
        <w:tc>
          <w:tcPr>
            <w:tcW w:w="1305"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规格型号</w:t>
            </w:r>
          </w:p>
        </w:tc>
        <w:tc>
          <w:tcPr>
            <w:tcW w:w="1755"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制造商</w:t>
            </w:r>
          </w:p>
        </w:tc>
        <w:tc>
          <w:tcPr>
            <w:tcW w:w="1080"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lang w:val="zh-CN"/>
              </w:rPr>
              <w:t>数量</w:t>
            </w:r>
          </w:p>
        </w:tc>
        <w:tc>
          <w:tcPr>
            <w:tcW w:w="975" w:type="dxa"/>
            <w:tcBorders>
              <w:top w:val="single" w:color="000000" w:sz="8"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zh-CN"/>
              </w:rPr>
              <w:t>单价</w:t>
            </w:r>
          </w:p>
        </w:tc>
        <w:tc>
          <w:tcPr>
            <w:tcW w:w="1308" w:type="dxa"/>
            <w:tcBorders>
              <w:top w:val="single" w:color="000000" w:sz="8"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b/>
                <w:bCs/>
                <w:kern w:val="0"/>
                <w:sz w:val="21"/>
                <w:szCs w:val="21"/>
                <w:highlight w:val="none"/>
              </w:rPr>
            </w:pPr>
          </w:p>
          <w:p>
            <w:pPr>
              <w:autoSpaceDE w:val="0"/>
              <w:autoSpaceDN w:val="0"/>
              <w:spacing w:line="240" w:lineRule="auto"/>
              <w:jc w:val="center"/>
              <w:rPr>
                <w:rFonts w:ascii="宋体" w:hAnsi="宋体" w:eastAsia="宋体" w:cs="宋体"/>
                <w:b/>
                <w:bCs/>
                <w:kern w:val="0"/>
                <w:sz w:val="21"/>
                <w:szCs w:val="21"/>
                <w:highlight w:val="none"/>
                <w:lang w:val="zh-CN"/>
              </w:rPr>
            </w:pPr>
            <w:r>
              <w:rPr>
                <w:rFonts w:hint="eastAsia" w:ascii="宋体" w:hAnsi="宋体" w:eastAsia="宋体" w:cs="宋体"/>
                <w:b/>
                <w:bCs/>
                <w:kern w:val="0"/>
                <w:sz w:val="21"/>
                <w:szCs w:val="21"/>
                <w:highlight w:val="none"/>
              </w:rPr>
              <w:t>金额</w:t>
            </w:r>
          </w:p>
          <w:p>
            <w:pPr>
              <w:autoSpaceDE w:val="0"/>
              <w:autoSpaceDN w:val="0"/>
              <w:spacing w:line="240" w:lineRule="auto"/>
              <w:jc w:val="center"/>
              <w:rPr>
                <w:rFonts w:ascii="宋体" w:hAnsi="宋体" w:eastAsia="宋体" w:cs="宋体"/>
                <w:b/>
                <w:bCs/>
                <w:sz w:val="21"/>
                <w:szCs w:val="21"/>
                <w:highlight w:val="none"/>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1</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2</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r>
              <w:rPr>
                <w:rFonts w:hint="eastAsia" w:ascii="宋体" w:hAnsi="宋体" w:eastAsia="宋体" w:cs="宋体"/>
                <w:kern w:val="0"/>
                <w:sz w:val="21"/>
                <w:szCs w:val="21"/>
                <w:highlight w:val="none"/>
              </w:rPr>
              <w:t>3</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lang w:val="zh-CN"/>
              </w:rPr>
              <w:t>…</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highlight w:val="none"/>
                <w:lang w:val="zh-CN"/>
              </w:rPr>
            </w:pPr>
          </w:p>
        </w:tc>
      </w:tr>
      <w:tr>
        <w:tblPrEx>
          <w:tblCellMar>
            <w:top w:w="0" w:type="dxa"/>
            <w:left w:w="28" w:type="dxa"/>
            <w:bottom w:w="0" w:type="dxa"/>
            <w:right w:w="28" w:type="dxa"/>
          </w:tblCellMar>
        </w:tblPrEx>
        <w:trPr>
          <w:trHeight w:val="546" w:hRule="atLeast"/>
          <w:jc w:val="center"/>
        </w:trPr>
        <w:tc>
          <w:tcPr>
            <w:tcW w:w="9124" w:type="dxa"/>
            <w:gridSpan w:val="9"/>
            <w:tcBorders>
              <w:top w:val="single" w:color="000000" w:sz="6" w:space="0"/>
              <w:left w:val="single" w:color="000000" w:sz="8" w:space="0"/>
              <w:bottom w:val="single" w:color="000000" w:sz="6" w:space="0"/>
              <w:right w:val="single" w:color="000000" w:sz="8" w:space="0"/>
            </w:tcBorders>
            <w:noWrap w:val="0"/>
            <w:vAlign w:val="center"/>
          </w:tcPr>
          <w:p>
            <w:pPr>
              <w:autoSpaceDE w:val="0"/>
              <w:autoSpaceDN w:val="0"/>
              <w:spacing w:line="240" w:lineRule="auto"/>
              <w:jc w:val="left"/>
              <w:rPr>
                <w:rFonts w:ascii="宋体" w:hAnsi="宋体" w:eastAsia="宋体" w:cs="宋体"/>
                <w:kern w:val="0"/>
                <w:sz w:val="21"/>
                <w:szCs w:val="21"/>
                <w:highlight w:val="none"/>
                <w:lang w:val="zh-CN"/>
              </w:rPr>
            </w:pPr>
            <w:r>
              <w:rPr>
                <w:rFonts w:hint="eastAsia" w:ascii="仿宋" w:hAnsi="仿宋" w:eastAsia="仿宋" w:cs="仿宋"/>
                <w:b/>
                <w:bCs/>
                <w:kern w:val="0"/>
                <w:sz w:val="24"/>
                <w:szCs w:val="24"/>
                <w:highlight w:val="none"/>
                <w:lang w:val="zh-CN"/>
              </w:rPr>
              <w:t>合计（元）：</w:t>
            </w:r>
          </w:p>
        </w:tc>
      </w:tr>
      <w:tr>
        <w:tblPrEx>
          <w:tblCellMar>
            <w:top w:w="0" w:type="dxa"/>
            <w:left w:w="28" w:type="dxa"/>
            <w:bottom w:w="0" w:type="dxa"/>
            <w:right w:w="28" w:type="dxa"/>
          </w:tblCellMar>
        </w:tblPrEx>
        <w:trPr>
          <w:trHeight w:val="1341" w:hRule="atLeast"/>
          <w:jc w:val="center"/>
        </w:trPr>
        <w:tc>
          <w:tcPr>
            <w:tcW w:w="2206" w:type="dxa"/>
            <w:gridSpan w:val="3"/>
            <w:tcBorders>
              <w:top w:val="single" w:color="000000" w:sz="6" w:space="0"/>
              <w:left w:val="single" w:color="000000" w:sz="8" w:space="0"/>
              <w:bottom w:val="single" w:color="000000" w:sz="6" w:space="0"/>
              <w:right w:val="single" w:color="000000" w:sz="8" w:space="0"/>
            </w:tcBorders>
            <w:noWrap w:val="0"/>
            <w:vAlign w:val="center"/>
          </w:tcPr>
          <w:p>
            <w:pPr>
              <w:pStyle w:val="30"/>
              <w:widowControl w:val="0"/>
              <w:rPr>
                <w:rFonts w:ascii="仿宋" w:hAnsi="仿宋" w:eastAsia="仿宋" w:cs="仿宋"/>
                <w:b w:val="0"/>
                <w:bCs w:val="0"/>
                <w:sz w:val="24"/>
                <w:szCs w:val="24"/>
                <w:highlight w:val="none"/>
              </w:rPr>
            </w:pPr>
            <w:bookmarkStart w:id="504" w:name="_Toc24829"/>
            <w:bookmarkStart w:id="505" w:name="_Toc18134"/>
            <w:bookmarkStart w:id="506" w:name="_Toc24143"/>
            <w:r>
              <w:rPr>
                <w:rFonts w:hint="eastAsia" w:ascii="仿宋" w:hAnsi="仿宋" w:eastAsia="仿宋" w:cs="仿宋"/>
                <w:sz w:val="24"/>
                <w:szCs w:val="24"/>
                <w:highlight w:val="none"/>
              </w:rPr>
              <w:t>投标报价</w:t>
            </w:r>
            <w:bookmarkEnd w:id="504"/>
            <w:bookmarkEnd w:id="505"/>
            <w:bookmarkEnd w:id="506"/>
          </w:p>
        </w:tc>
        <w:tc>
          <w:tcPr>
            <w:tcW w:w="6918" w:type="dxa"/>
            <w:gridSpan w:val="6"/>
            <w:tcBorders>
              <w:top w:val="single" w:color="000000" w:sz="6" w:space="0"/>
              <w:left w:val="single" w:color="000000" w:sz="6" w:space="0"/>
              <w:bottom w:val="single" w:color="000000" w:sz="6" w:space="0"/>
              <w:right w:val="single" w:color="000000" w:sz="8" w:space="0"/>
            </w:tcBorders>
            <w:noWrap w:val="0"/>
            <w:vAlign w:val="top"/>
          </w:tcPr>
          <w:p>
            <w:pPr>
              <w:widowControl w:val="0"/>
              <w:autoSpaceDE w:val="0"/>
              <w:autoSpaceDN w:val="0"/>
              <w:spacing w:line="240" w:lineRule="auto"/>
              <w:rPr>
                <w:rFonts w:ascii="仿宋" w:hAnsi="仿宋" w:eastAsia="仿宋" w:cs="Times New Roman"/>
                <w:sz w:val="24"/>
                <w:szCs w:val="24"/>
                <w:highlight w:val="none"/>
                <w:lang w:val="zh-CN"/>
              </w:rPr>
            </w:pPr>
          </w:p>
          <w:p>
            <w:pPr>
              <w:pStyle w:val="17"/>
              <w:spacing w:after="160"/>
              <w:ind w:firstLine="0" w:firstLineChars="0"/>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小写：</w:t>
            </w:r>
          </w:p>
          <w:p>
            <w:pPr>
              <w:pStyle w:val="30"/>
              <w:widowControl w:val="0"/>
              <w:ind w:firstLine="487"/>
              <w:jc w:val="right"/>
              <w:rPr>
                <w:rFonts w:ascii="宋体" w:hAnsi="宋体" w:eastAsia="宋体" w:cs="宋体"/>
                <w:kern w:val="0"/>
                <w:sz w:val="21"/>
                <w:szCs w:val="21"/>
                <w:highlight w:val="none"/>
                <w:lang w:val="zh-CN"/>
              </w:rPr>
            </w:pPr>
            <w:bookmarkStart w:id="507" w:name="_Toc15006"/>
            <w:bookmarkStart w:id="508" w:name="_Toc15730"/>
            <w:bookmarkStart w:id="509" w:name="_Toc28189"/>
            <w:r>
              <w:rPr>
                <w:rFonts w:hint="eastAsia" w:ascii="仿宋" w:hAnsi="仿宋" w:eastAsia="仿宋" w:cs="仿宋"/>
                <w:b w:val="0"/>
                <w:bCs w:val="0"/>
                <w:sz w:val="24"/>
                <w:szCs w:val="24"/>
                <w:highlight w:val="none"/>
              </w:rPr>
              <w:t>单位：元（</w:t>
            </w:r>
            <w:r>
              <w:rPr>
                <w:rFonts w:hint="eastAsia" w:ascii="仿宋" w:hAnsi="仿宋" w:eastAsia="仿宋" w:cs="仿宋"/>
                <w:b w:val="0"/>
                <w:bCs w:val="0"/>
                <w:sz w:val="24"/>
                <w:szCs w:val="24"/>
                <w:highlight w:val="none"/>
                <w:lang w:eastAsia="zh-CN"/>
              </w:rPr>
              <w:t>报价最多保留至小数点后两位</w:t>
            </w:r>
            <w:r>
              <w:rPr>
                <w:rFonts w:hint="eastAsia" w:ascii="仿宋" w:hAnsi="仿宋" w:eastAsia="仿宋" w:cs="仿宋"/>
                <w:b w:val="0"/>
                <w:bCs w:val="0"/>
                <w:sz w:val="24"/>
                <w:szCs w:val="24"/>
                <w:highlight w:val="none"/>
              </w:rPr>
              <w:t>）</w:t>
            </w:r>
            <w:bookmarkEnd w:id="507"/>
            <w:bookmarkEnd w:id="508"/>
            <w:bookmarkEnd w:id="509"/>
          </w:p>
        </w:tc>
      </w:tr>
    </w:tbl>
    <w:p>
      <w:pPr>
        <w:tabs>
          <w:tab w:val="right" w:pos="9072"/>
        </w:tabs>
        <w:ind w:firstLine="426" w:firstLineChars="200"/>
        <w:rPr>
          <w:rFonts w:ascii="宋体" w:hAnsi="宋体" w:eastAsia="宋体" w:cs="宋体"/>
          <w:sz w:val="21"/>
          <w:szCs w:val="21"/>
          <w:highlight w:val="none"/>
        </w:rPr>
      </w:pPr>
    </w:p>
    <w:p>
      <w:pPr>
        <w:tabs>
          <w:tab w:val="right" w:pos="9072"/>
        </w:tabs>
        <w:ind w:firstLine="426" w:firstLineChars="200"/>
        <w:rPr>
          <w:rFonts w:ascii="宋体" w:hAnsi="宋体" w:eastAsia="宋体" w:cs="Times New Roman"/>
          <w:sz w:val="21"/>
          <w:szCs w:val="21"/>
          <w:highlight w:val="none"/>
        </w:rPr>
      </w:pPr>
      <w:r>
        <w:rPr>
          <w:rFonts w:hint="eastAsia" w:ascii="宋体" w:hAnsi="宋体" w:eastAsia="宋体" w:cs="宋体"/>
          <w:sz w:val="21"/>
          <w:szCs w:val="21"/>
          <w:highlight w:val="none"/>
        </w:rPr>
        <w:t>备注：1、本表“投标报价”金额应与“开标一览表”中的“投标报价”一致；</w:t>
      </w:r>
    </w:p>
    <w:p>
      <w:pPr>
        <w:tabs>
          <w:tab w:val="right" w:pos="9072"/>
        </w:tabs>
        <w:ind w:firstLine="1065" w:firstLineChars="500"/>
        <w:rPr>
          <w:rFonts w:ascii="华文仿宋" w:cs="Times New Roman"/>
          <w:sz w:val="24"/>
          <w:szCs w:val="24"/>
          <w:highlight w:val="none"/>
        </w:rPr>
      </w:pPr>
      <w:r>
        <w:rPr>
          <w:rFonts w:hint="eastAsia" w:ascii="宋体" w:hAnsi="宋体" w:eastAsia="宋体" w:cs="宋体"/>
          <w:sz w:val="21"/>
          <w:szCs w:val="21"/>
          <w:highlight w:val="none"/>
        </w:rPr>
        <w:t>2、本表为样表，仅供参考，投标人根据项目实际需求进行填写。</w:t>
      </w:r>
    </w:p>
    <w:p>
      <w:pPr>
        <w:tabs>
          <w:tab w:val="right" w:pos="9072"/>
        </w:tabs>
        <w:ind w:firstLine="1981" w:firstLineChars="700"/>
        <w:rPr>
          <w:rFonts w:eastAsia="宋体"/>
          <w:color w:val="0000FF"/>
          <w:highlight w:val="none"/>
        </w:rPr>
      </w:pPr>
    </w:p>
    <w:p>
      <w:pPr>
        <w:spacing w:line="500" w:lineRule="exact"/>
        <w:ind w:firstLine="4811" w:firstLineChars="1700"/>
        <w:jc w:val="right"/>
        <w:rPr>
          <w:rFonts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rPr>
        <w:t>名称</w:t>
      </w:r>
      <w:r>
        <w:rPr>
          <w:rFonts w:hint="eastAsia" w:ascii="仿宋" w:hAnsi="仿宋" w:eastAsia="仿宋" w:cs="仿宋"/>
          <w:highlight w:val="none"/>
        </w:rPr>
        <w:t>（加盖公章）</w:t>
      </w:r>
    </w:p>
    <w:p>
      <w:pPr>
        <w:pStyle w:val="7"/>
        <w:spacing w:after="190"/>
        <w:ind w:firstLine="5660" w:firstLineChars="2000"/>
        <w:rPr>
          <w:rFonts w:cs="Times New Roman"/>
          <w:color w:val="auto"/>
          <w:highlight w:val="none"/>
        </w:rPr>
        <w:sectPr>
          <w:pgSz w:w="11906" w:h="16838"/>
          <w:pgMar w:top="1304" w:right="1417" w:bottom="1304" w:left="1417" w:header="850" w:footer="992" w:gutter="0"/>
          <w:pgNumType w:chapStyle="1"/>
          <w:cols w:space="720" w:num="1"/>
          <w:docGrid w:type="linesAndChars" w:linePitch="381" w:charSpace="704"/>
        </w:sectPr>
      </w:pPr>
      <w:r>
        <w:rPr>
          <w:rFonts w:hint="eastAsia" w:ascii="仿宋" w:hAnsi="仿宋" w:eastAsia="仿宋" w:cs="仿宋"/>
          <w:color w:val="auto"/>
          <w:sz w:val="28"/>
          <w:szCs w:val="28"/>
          <w:highlight w:val="none"/>
        </w:rPr>
        <w:t>日期：　　年　月　日</w:t>
      </w:r>
    </w:p>
    <w:bookmarkEnd w:id="503"/>
    <w:p>
      <w:pPr>
        <w:pStyle w:val="30"/>
        <w:spacing w:line="500" w:lineRule="exact"/>
        <w:ind w:firstLine="606" w:firstLineChars="200"/>
        <w:jc w:val="left"/>
        <w:outlineLvl w:val="2"/>
        <w:rPr>
          <w:rFonts w:ascii="仿宋" w:hAnsi="仿宋" w:eastAsia="仿宋" w:cs="Times New Roman"/>
          <w:sz w:val="30"/>
          <w:szCs w:val="30"/>
          <w:highlight w:val="none"/>
        </w:rPr>
      </w:pPr>
      <w:bookmarkStart w:id="510" w:name="_Toc9028"/>
      <w:bookmarkStart w:id="511" w:name="_Toc27481"/>
      <w:bookmarkStart w:id="512" w:name="_Toc10991"/>
      <w:bookmarkStart w:id="513" w:name="_Toc15442"/>
      <w:bookmarkStart w:id="514" w:name="_Toc30708"/>
      <w:bookmarkStart w:id="515" w:name="_Toc27127"/>
      <w:bookmarkStart w:id="516" w:name="_Toc4946"/>
      <w:bookmarkStart w:id="517" w:name="_Toc21044"/>
      <w:bookmarkStart w:id="518" w:name="_Toc2012"/>
      <w:bookmarkStart w:id="519" w:name="_Toc32030"/>
      <w:bookmarkStart w:id="520" w:name="_Toc6005"/>
      <w:r>
        <w:rPr>
          <w:rFonts w:hint="eastAsia" w:ascii="仿宋" w:hAnsi="仿宋" w:eastAsia="仿宋" w:cs="仿宋"/>
          <w:sz w:val="30"/>
          <w:szCs w:val="30"/>
          <w:highlight w:val="none"/>
        </w:rPr>
        <w:t>三、</w:t>
      </w:r>
      <w:r>
        <w:rPr>
          <w:rFonts w:hint="eastAsia" w:ascii="仿宋" w:hAnsi="仿宋" w:eastAsia="仿宋" w:cs="仿宋"/>
          <w:sz w:val="30"/>
          <w:szCs w:val="30"/>
          <w:highlight w:val="none"/>
          <w:lang w:eastAsia="zh-CN"/>
        </w:rPr>
        <w:t>投标人</w:t>
      </w:r>
      <w:r>
        <w:rPr>
          <w:rFonts w:hint="eastAsia" w:ascii="仿宋" w:hAnsi="仿宋" w:eastAsia="仿宋" w:cs="仿宋"/>
          <w:sz w:val="30"/>
          <w:szCs w:val="30"/>
          <w:highlight w:val="none"/>
        </w:rPr>
        <w:t>承诺书</w:t>
      </w:r>
      <w:bookmarkEnd w:id="510"/>
      <w:bookmarkEnd w:id="511"/>
      <w:bookmarkEnd w:id="512"/>
      <w:bookmarkEnd w:id="513"/>
      <w:bookmarkEnd w:id="514"/>
      <w:bookmarkEnd w:id="515"/>
      <w:bookmarkEnd w:id="516"/>
      <w:bookmarkEnd w:id="517"/>
      <w:bookmarkEnd w:id="518"/>
      <w:bookmarkEnd w:id="519"/>
      <w:bookmarkEnd w:id="520"/>
    </w:p>
    <w:p>
      <w:pPr>
        <w:spacing w:line="500" w:lineRule="exact"/>
        <w:ind w:firstLine="566" w:firstLineChars="200"/>
        <w:rPr>
          <w:rFonts w:cs="Times New Roman"/>
          <w:highlight w:val="none"/>
        </w:rPr>
      </w:pPr>
      <w:r>
        <w:rPr>
          <w:rFonts w:hint="eastAsia" w:cs="华文仿宋"/>
          <w:highlight w:val="none"/>
        </w:rPr>
        <w:t>未签署下列承诺书的，其责任由投标人自行承担。</w:t>
      </w:r>
    </w:p>
    <w:p>
      <w:pPr>
        <w:spacing w:line="500" w:lineRule="exact"/>
        <w:ind w:firstLine="566" w:firstLineChars="200"/>
        <w:rPr>
          <w:rFonts w:cs="Times New Roman"/>
          <w:b/>
          <w:bCs/>
          <w:highlight w:val="none"/>
        </w:rPr>
      </w:pPr>
      <w:r>
        <w:rPr>
          <w:rFonts w:hint="eastAsia" w:cs="华文仿宋"/>
          <w:b/>
          <w:bCs/>
          <w:highlight w:val="none"/>
        </w:rPr>
        <w:t>（一）质量安全责任承诺书</w:t>
      </w:r>
    </w:p>
    <w:p>
      <w:pPr>
        <w:spacing w:line="500" w:lineRule="exact"/>
        <w:ind w:firstLine="566" w:firstLineChars="200"/>
        <w:rPr>
          <w:rFonts w:cs="Times New Roman"/>
          <w:highlight w:val="none"/>
        </w:rPr>
      </w:pPr>
      <w:r>
        <w:rPr>
          <w:rFonts w:hint="eastAsia" w:cs="华文仿宋"/>
          <w:highlight w:val="none"/>
        </w:rPr>
        <w:t>为保证本采购项目顺利进行，作为投标人，现郑重承诺：</w:t>
      </w:r>
    </w:p>
    <w:p>
      <w:pPr>
        <w:spacing w:line="500" w:lineRule="exact"/>
        <w:ind w:firstLine="566" w:firstLineChars="200"/>
        <w:rPr>
          <w:rFonts w:cs="Times New Roman"/>
          <w:highlight w:val="none"/>
        </w:rPr>
      </w:pPr>
      <w:r>
        <w:rPr>
          <w:highlight w:val="none"/>
        </w:rPr>
        <w:t>1</w:t>
      </w:r>
      <w:r>
        <w:rPr>
          <w:rFonts w:hint="eastAsia" w:cs="华文仿宋"/>
          <w:highlight w:val="none"/>
        </w:rPr>
        <w:t>、我方投标产品的生产（包括设计、制造、安装、改造、维修等）、投入使用的材料等均完全符合国家现行质量、安全、环保标准和要求。</w:t>
      </w:r>
    </w:p>
    <w:p>
      <w:pPr>
        <w:spacing w:line="500" w:lineRule="exact"/>
        <w:ind w:firstLine="566" w:firstLineChars="200"/>
        <w:rPr>
          <w:rFonts w:cs="Times New Roman"/>
          <w:highlight w:val="none"/>
        </w:rPr>
      </w:pPr>
      <w:r>
        <w:rPr>
          <w:highlight w:val="none"/>
        </w:rPr>
        <w:t>2</w:t>
      </w:r>
      <w:r>
        <w:rPr>
          <w:rFonts w:hint="eastAsia" w:cs="华文仿宋"/>
          <w:highlight w:val="none"/>
        </w:rPr>
        <w:t>、我方将严格按照国家现行相关储存、运输、安装调试技术标准及规范、服务标准及规范、施工标准及规范，在规定的时限内，保质、保量完成项目全部内容，并向采购人交付合格产品。</w:t>
      </w:r>
    </w:p>
    <w:p>
      <w:pPr>
        <w:spacing w:line="500" w:lineRule="exact"/>
        <w:ind w:firstLine="566" w:firstLineChars="200"/>
        <w:rPr>
          <w:rFonts w:cs="Times New Roman"/>
          <w:highlight w:val="none"/>
        </w:rPr>
      </w:pPr>
      <w:r>
        <w:rPr>
          <w:highlight w:val="none"/>
        </w:rPr>
        <w:t>3</w:t>
      </w:r>
      <w:r>
        <w:rPr>
          <w:rFonts w:hint="eastAsia" w:cs="华文仿宋"/>
          <w:highlight w:val="none"/>
        </w:rPr>
        <w:t>、对于因产品生产质量以及储存、运输、安装调试、服务、施工等过程中产生的任何安全事故，我方承担全部责任。</w:t>
      </w:r>
    </w:p>
    <w:p>
      <w:pPr>
        <w:spacing w:line="500" w:lineRule="exact"/>
        <w:ind w:firstLine="566" w:firstLineChars="200"/>
        <w:rPr>
          <w:rFonts w:cs="Times New Roman"/>
          <w:highlight w:val="none"/>
        </w:rPr>
      </w:pPr>
      <w:r>
        <w:rPr>
          <w:highlight w:val="none"/>
        </w:rPr>
        <w:t>4</w:t>
      </w:r>
      <w:r>
        <w:rPr>
          <w:rFonts w:hint="eastAsia" w:cs="华文仿宋"/>
          <w:highlight w:val="none"/>
        </w:rPr>
        <w:t>、我方提供的货物、工程、服务等符合现行的国家、行业、地区、企业标准及要求，标准不一致的，以更为严格的为准，我方对提供的货物、工程、服务等的质量、安全、环保等承担全部责任。</w:t>
      </w:r>
    </w:p>
    <w:p>
      <w:pPr>
        <w:spacing w:line="500" w:lineRule="exact"/>
        <w:ind w:firstLine="566" w:firstLineChars="200"/>
        <w:rPr>
          <w:rFonts w:cs="Times New Roman"/>
          <w:highlight w:val="none"/>
        </w:rPr>
      </w:pPr>
    </w:p>
    <w:p>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pPr>
        <w:spacing w:line="500" w:lineRule="exact"/>
        <w:ind w:firstLine="5377" w:firstLineChars="1900"/>
        <w:rPr>
          <w:rFonts w:cs="Times New Roman"/>
          <w:highlight w:val="none"/>
        </w:rPr>
      </w:pPr>
      <w:r>
        <w:rPr>
          <w:rFonts w:hint="eastAsia" w:cs="华文仿宋"/>
          <w:highlight w:val="none"/>
        </w:rPr>
        <w:t>日期：　年　月　日</w:t>
      </w:r>
    </w:p>
    <w:p>
      <w:pPr>
        <w:spacing w:line="500" w:lineRule="exact"/>
        <w:rPr>
          <w:rFonts w:cs="Times New Roman"/>
          <w:highlight w:val="none"/>
        </w:rPr>
      </w:pPr>
    </w:p>
    <w:p>
      <w:pPr>
        <w:spacing w:line="500" w:lineRule="exact"/>
        <w:rPr>
          <w:rFonts w:cs="Times New Roman"/>
          <w:highlight w:val="none"/>
        </w:rPr>
      </w:pPr>
    </w:p>
    <w:p>
      <w:pPr>
        <w:spacing w:line="500" w:lineRule="exact"/>
        <w:rPr>
          <w:rFonts w:cs="Times New Roman"/>
          <w:highlight w:val="none"/>
        </w:rPr>
      </w:pPr>
    </w:p>
    <w:p>
      <w:pPr>
        <w:spacing w:line="500" w:lineRule="exact"/>
        <w:rPr>
          <w:rFonts w:cs="Times New Roman"/>
          <w:highlight w:val="none"/>
        </w:rPr>
      </w:pPr>
    </w:p>
    <w:p>
      <w:pPr>
        <w:spacing w:line="500" w:lineRule="exact"/>
        <w:rPr>
          <w:rFonts w:cs="Times New Roman"/>
          <w:highlight w:val="none"/>
        </w:rPr>
      </w:pPr>
    </w:p>
    <w:p>
      <w:pPr>
        <w:pStyle w:val="17"/>
        <w:ind w:firstLine="183"/>
        <w:rPr>
          <w:highlight w:val="none"/>
        </w:rPr>
      </w:pPr>
    </w:p>
    <w:p>
      <w:pPr>
        <w:pStyle w:val="17"/>
        <w:ind w:firstLine="183"/>
        <w:rPr>
          <w:highlight w:val="none"/>
        </w:rPr>
      </w:pPr>
    </w:p>
    <w:p>
      <w:pPr>
        <w:spacing w:line="500" w:lineRule="exact"/>
        <w:rPr>
          <w:rFonts w:cs="Times New Roman"/>
          <w:highlight w:val="none"/>
        </w:rPr>
      </w:pPr>
    </w:p>
    <w:p>
      <w:pPr>
        <w:pStyle w:val="17"/>
        <w:ind w:firstLine="183"/>
        <w:rPr>
          <w:highlight w:val="none"/>
        </w:rPr>
      </w:pPr>
    </w:p>
    <w:p>
      <w:pPr>
        <w:spacing w:before="190" w:beforeLines="50" w:line="500" w:lineRule="exact"/>
        <w:ind w:firstLine="566" w:firstLineChars="200"/>
        <w:rPr>
          <w:rFonts w:cs="Times New Roman"/>
          <w:b/>
          <w:bCs/>
          <w:highlight w:val="none"/>
        </w:rPr>
      </w:pPr>
    </w:p>
    <w:p>
      <w:pPr>
        <w:spacing w:before="190" w:beforeLines="50" w:line="500" w:lineRule="exact"/>
        <w:ind w:firstLine="566" w:firstLineChars="200"/>
        <w:rPr>
          <w:rFonts w:cs="Times New Roman"/>
          <w:b/>
          <w:bCs/>
          <w:highlight w:val="none"/>
        </w:rPr>
      </w:pPr>
      <w:r>
        <w:rPr>
          <w:rFonts w:hint="eastAsia" w:cs="华文仿宋"/>
          <w:b/>
          <w:bCs/>
          <w:highlight w:val="none"/>
        </w:rPr>
        <w:t>（二）拒绝政府采购领域商业贿赂承诺书</w:t>
      </w:r>
    </w:p>
    <w:p>
      <w:pPr>
        <w:overflowPunct w:val="0"/>
        <w:topLinePunct/>
        <w:spacing w:line="440" w:lineRule="exact"/>
        <w:jc w:val="center"/>
        <w:rPr>
          <w:rFonts w:cs="Times New Roman"/>
          <w:highlight w:val="none"/>
        </w:rPr>
      </w:pPr>
      <w:r>
        <w:rPr>
          <w:rFonts w:hint="eastAsia" w:cs="华文仿宋"/>
          <w:highlight w:val="none"/>
        </w:rPr>
        <w:t>（执行陕财办采管</w:t>
      </w:r>
      <w:r>
        <w:rPr>
          <w:rFonts w:ascii="仿宋" w:hAnsi="仿宋" w:eastAsia="仿宋" w:cs="仿宋"/>
          <w:highlight w:val="none"/>
        </w:rPr>
        <w:t>[2006]21</w:t>
      </w:r>
      <w:r>
        <w:rPr>
          <w:rFonts w:hint="eastAsia" w:cs="华文仿宋"/>
          <w:highlight w:val="none"/>
        </w:rPr>
        <w:t>号文件）</w:t>
      </w:r>
    </w:p>
    <w:p>
      <w:pPr>
        <w:spacing w:line="500" w:lineRule="exact"/>
        <w:ind w:firstLine="566" w:firstLineChars="200"/>
        <w:rPr>
          <w:rFonts w:cs="Times New Roman"/>
          <w:highlight w:val="none"/>
        </w:rPr>
      </w:pPr>
      <w:r>
        <w:rPr>
          <w:rFonts w:hint="eastAsia" w:cs="华文仿宋"/>
          <w:highlight w:val="none"/>
        </w:rPr>
        <w:t>为响应党中央、国务院关于治理政府采购领域商业贿赂行为的号召，我公司在此庄严承诺：</w:t>
      </w:r>
    </w:p>
    <w:p>
      <w:pPr>
        <w:spacing w:line="500" w:lineRule="exact"/>
        <w:ind w:firstLine="566" w:firstLineChars="200"/>
        <w:rPr>
          <w:rFonts w:cs="Times New Roman"/>
          <w:highlight w:val="none"/>
        </w:rPr>
      </w:pPr>
      <w:r>
        <w:rPr>
          <w:highlight w:val="none"/>
        </w:rPr>
        <w:t>1</w:t>
      </w:r>
      <w:r>
        <w:rPr>
          <w:rFonts w:hint="eastAsia" w:cs="华文仿宋"/>
          <w:highlight w:val="none"/>
        </w:rPr>
        <w:t>、在参与政府采购活动中遵纪守法、诚信经营、公平竞标。</w:t>
      </w:r>
    </w:p>
    <w:p>
      <w:pPr>
        <w:spacing w:line="500" w:lineRule="exact"/>
        <w:ind w:firstLine="566" w:firstLineChars="200"/>
        <w:rPr>
          <w:rFonts w:cs="Times New Roman"/>
          <w:highlight w:val="none"/>
        </w:rPr>
      </w:pPr>
      <w:r>
        <w:rPr>
          <w:highlight w:val="none"/>
        </w:rPr>
        <w:t>2</w:t>
      </w:r>
      <w:r>
        <w:rPr>
          <w:rFonts w:hint="eastAsia" w:cs="华文仿宋"/>
          <w:highlight w:val="none"/>
        </w:rPr>
        <w:t>、不向政府采购人、采购代理机构和政府采购评审专家进行任何形式的商业贿赂以谋取交易机会。</w:t>
      </w:r>
    </w:p>
    <w:p>
      <w:pPr>
        <w:spacing w:line="500" w:lineRule="exact"/>
        <w:ind w:firstLine="566" w:firstLineChars="200"/>
        <w:rPr>
          <w:rFonts w:cs="Times New Roman"/>
          <w:highlight w:val="none"/>
        </w:rPr>
      </w:pPr>
      <w:r>
        <w:rPr>
          <w:highlight w:val="none"/>
        </w:rPr>
        <w:t>3</w:t>
      </w:r>
      <w:r>
        <w:rPr>
          <w:rFonts w:hint="eastAsia" w:cs="华文仿宋"/>
          <w:highlight w:val="none"/>
        </w:rPr>
        <w:t>、不向政府采购代理机构和采购人提供虚假资质文件或采用虚假应标方式参与政府采购市场竞争并谋取中标、成交。</w:t>
      </w:r>
    </w:p>
    <w:p>
      <w:pPr>
        <w:spacing w:line="500" w:lineRule="exact"/>
        <w:ind w:firstLine="566" w:firstLineChars="200"/>
        <w:rPr>
          <w:rFonts w:cs="Times New Roman"/>
          <w:highlight w:val="none"/>
        </w:rPr>
      </w:pPr>
      <w:r>
        <w:rPr>
          <w:highlight w:val="none"/>
        </w:rPr>
        <w:t>4</w:t>
      </w:r>
      <w:r>
        <w:rPr>
          <w:rFonts w:hint="eastAsia" w:cs="华文仿宋"/>
          <w:highlight w:val="none"/>
        </w:rPr>
        <w:t>、不采取“围标、陪标”等商业欺诈手段获得政府采购定单。</w:t>
      </w:r>
    </w:p>
    <w:p>
      <w:pPr>
        <w:spacing w:line="500" w:lineRule="exact"/>
        <w:ind w:firstLine="566" w:firstLineChars="200"/>
        <w:rPr>
          <w:rFonts w:cs="Times New Roman"/>
          <w:highlight w:val="none"/>
        </w:rPr>
      </w:pPr>
      <w:r>
        <w:rPr>
          <w:highlight w:val="none"/>
        </w:rPr>
        <w:t>5</w:t>
      </w:r>
      <w:r>
        <w:rPr>
          <w:rFonts w:hint="eastAsia" w:cs="华文仿宋"/>
          <w:highlight w:val="none"/>
        </w:rPr>
        <w:t>、不采取不正当手段诋毁、排挤其他</w:t>
      </w:r>
      <w:r>
        <w:rPr>
          <w:rFonts w:hint="eastAsia" w:cs="华文仿宋"/>
          <w:highlight w:val="none"/>
          <w:lang w:eastAsia="zh-CN"/>
        </w:rPr>
        <w:t>投标人</w:t>
      </w:r>
      <w:r>
        <w:rPr>
          <w:rFonts w:hint="eastAsia" w:cs="华文仿宋"/>
          <w:highlight w:val="none"/>
        </w:rPr>
        <w:t>。</w:t>
      </w:r>
    </w:p>
    <w:p>
      <w:pPr>
        <w:spacing w:line="500" w:lineRule="exact"/>
        <w:ind w:firstLine="566" w:firstLineChars="200"/>
        <w:rPr>
          <w:rFonts w:cs="Times New Roman"/>
          <w:highlight w:val="none"/>
        </w:rPr>
      </w:pPr>
      <w:r>
        <w:rPr>
          <w:highlight w:val="none"/>
        </w:rPr>
        <w:t>6</w:t>
      </w:r>
      <w:r>
        <w:rPr>
          <w:rFonts w:hint="eastAsia" w:cs="华文仿宋"/>
          <w:highlight w:val="none"/>
        </w:rPr>
        <w:t>、不在提供商品和服务时“偷梁换柱、以次充好”损害采购人的合法权益。</w:t>
      </w:r>
    </w:p>
    <w:p>
      <w:pPr>
        <w:spacing w:line="500" w:lineRule="exact"/>
        <w:ind w:firstLine="566" w:firstLineChars="200"/>
        <w:rPr>
          <w:rFonts w:cs="Times New Roman"/>
          <w:highlight w:val="none"/>
        </w:rPr>
      </w:pPr>
      <w:r>
        <w:rPr>
          <w:highlight w:val="none"/>
        </w:rPr>
        <w:t>7</w:t>
      </w:r>
      <w:r>
        <w:rPr>
          <w:rFonts w:hint="eastAsia" w:cs="华文仿宋"/>
          <w:highlight w:val="none"/>
        </w:rPr>
        <w:t>、不与采购人、采购代理机构政府采购评审专家或其它</w:t>
      </w:r>
      <w:r>
        <w:rPr>
          <w:rFonts w:hint="eastAsia" w:cs="华文仿宋"/>
          <w:highlight w:val="none"/>
          <w:lang w:eastAsia="zh-CN"/>
        </w:rPr>
        <w:t>投标人</w:t>
      </w:r>
      <w:r>
        <w:rPr>
          <w:rFonts w:hint="eastAsia" w:cs="华文仿宋"/>
          <w:highlight w:val="none"/>
        </w:rPr>
        <w:t>恶意串通，进行质疑和投诉，维护政府采购市场秩序。</w:t>
      </w:r>
    </w:p>
    <w:p>
      <w:pPr>
        <w:spacing w:line="500" w:lineRule="exact"/>
        <w:ind w:firstLine="566" w:firstLineChars="200"/>
        <w:rPr>
          <w:rFonts w:cs="Times New Roman"/>
          <w:highlight w:val="none"/>
        </w:rPr>
      </w:pPr>
      <w:r>
        <w:rPr>
          <w:highlight w:val="none"/>
        </w:rPr>
        <w:t>8</w:t>
      </w:r>
      <w:r>
        <w:rPr>
          <w:rFonts w:hint="eastAsia" w:cs="华文仿宋"/>
          <w:highlight w:val="none"/>
        </w:rPr>
        <w:t>、尊重和接受政府采购监督管理部门的监督和政府采购代理机构招标采购要求，承担因违约行为给采购人造成的损失。</w:t>
      </w:r>
    </w:p>
    <w:p>
      <w:pPr>
        <w:spacing w:line="500" w:lineRule="exact"/>
        <w:ind w:firstLine="566" w:firstLineChars="200"/>
        <w:rPr>
          <w:rFonts w:cs="Times New Roman"/>
          <w:highlight w:val="none"/>
        </w:rPr>
      </w:pPr>
      <w:r>
        <w:rPr>
          <w:highlight w:val="none"/>
        </w:rPr>
        <w:t>9</w:t>
      </w:r>
      <w:r>
        <w:rPr>
          <w:rFonts w:hint="eastAsia" w:cs="华文仿宋"/>
          <w:highlight w:val="none"/>
        </w:rPr>
        <w:t>、不发生其他有悖于政府采购公开、公平、公正和诚信原则的行为。</w:t>
      </w:r>
    </w:p>
    <w:p>
      <w:pPr>
        <w:spacing w:line="500" w:lineRule="exact"/>
        <w:rPr>
          <w:rFonts w:cs="Times New Roman"/>
          <w:highlight w:val="none"/>
        </w:rPr>
      </w:pPr>
    </w:p>
    <w:p>
      <w:pPr>
        <w:spacing w:line="500" w:lineRule="exact"/>
        <w:ind w:firstLine="5094" w:firstLineChars="1800"/>
        <w:rPr>
          <w:rFonts w:cs="Times New Roman"/>
          <w:highlight w:val="none"/>
        </w:rPr>
      </w:pPr>
      <w:r>
        <w:rPr>
          <w:rFonts w:hint="eastAsia" w:cs="华文仿宋"/>
          <w:color w:val="000000"/>
          <w:highlight w:val="none"/>
        </w:rPr>
        <w:t>投标人</w:t>
      </w:r>
      <w:r>
        <w:rPr>
          <w:rFonts w:hint="eastAsia" w:cs="华文仿宋"/>
          <w:highlight w:val="none"/>
        </w:rPr>
        <w:t>：</w:t>
      </w:r>
      <w:r>
        <w:rPr>
          <w:rFonts w:hint="eastAsia" w:cs="华文仿宋"/>
          <w:highlight w:val="none"/>
          <w:u w:val="single"/>
        </w:rPr>
        <w:t>名称</w:t>
      </w:r>
      <w:r>
        <w:rPr>
          <w:rFonts w:hint="eastAsia" w:cs="华文仿宋"/>
          <w:highlight w:val="none"/>
        </w:rPr>
        <w:t>（加盖公章）</w:t>
      </w:r>
    </w:p>
    <w:p>
      <w:pPr>
        <w:spacing w:line="500" w:lineRule="exact"/>
        <w:ind w:firstLine="5377" w:firstLineChars="1900"/>
        <w:rPr>
          <w:rFonts w:cs="Times New Roman"/>
          <w:highlight w:val="none"/>
        </w:rPr>
      </w:pPr>
      <w:r>
        <w:rPr>
          <w:rFonts w:hint="eastAsia" w:cs="华文仿宋"/>
          <w:highlight w:val="none"/>
        </w:rPr>
        <w:t>日期：　年　月　日</w:t>
      </w:r>
    </w:p>
    <w:p>
      <w:pPr>
        <w:keepNext w:val="0"/>
        <w:keepLines w:val="0"/>
        <w:pageBreakBefore w:val="0"/>
        <w:widowControl/>
        <w:kinsoku/>
        <w:wordWrap/>
        <w:overflowPunct/>
        <w:topLinePunct w:val="0"/>
        <w:autoSpaceDE/>
        <w:autoSpaceDN/>
        <w:bidi w:val="0"/>
        <w:adjustRightInd/>
        <w:snapToGrid/>
        <w:spacing w:line="500" w:lineRule="exact"/>
        <w:ind w:firstLine="566" w:firstLineChars="200"/>
        <w:jc w:val="left"/>
        <w:textAlignment w:val="auto"/>
        <w:outlineLvl w:val="2"/>
        <w:rPr>
          <w:rFonts w:ascii="华文仿宋" w:hAnsi="华文仿宋" w:cs="华文仿宋"/>
          <w:b/>
          <w:bCs/>
          <w:sz w:val="32"/>
          <w:szCs w:val="32"/>
          <w:highlight w:val="none"/>
        </w:rPr>
      </w:pPr>
      <w:r>
        <w:rPr>
          <w:rFonts w:cs="Times New Roman"/>
          <w:highlight w:val="none"/>
        </w:rPr>
        <w:br w:type="page"/>
      </w:r>
      <w:r>
        <w:rPr>
          <w:rFonts w:hint="eastAsia" w:ascii="仿宋" w:hAnsi="仿宋" w:eastAsia="仿宋" w:cs="仿宋"/>
          <w:b/>
          <w:bCs/>
          <w:sz w:val="30"/>
          <w:szCs w:val="30"/>
          <w:highlight w:val="none"/>
        </w:rPr>
        <w:t>四、技术服务偏差表</w:t>
      </w:r>
    </w:p>
    <w:p>
      <w:pPr>
        <w:spacing w:line="500" w:lineRule="exact"/>
        <w:ind w:firstLine="566" w:firstLineChars="200"/>
        <w:rPr>
          <w:rFonts w:ascii="仿宋" w:hAnsi="仿宋" w:eastAsia="仿宋" w:cs="仿宋"/>
          <w:b/>
          <w:bCs/>
          <w:highlight w:val="none"/>
        </w:rPr>
      </w:pPr>
      <w:r>
        <w:rPr>
          <w:rFonts w:hint="eastAsia" w:ascii="华文仿宋" w:hAnsi="华文仿宋" w:cs="华文仿宋"/>
          <w:b/>
          <w:bCs/>
          <w:highlight w:val="none"/>
        </w:rPr>
        <w:t>（一）实质性条款响应表</w:t>
      </w:r>
    </w:p>
    <w:tbl>
      <w:tblPr>
        <w:tblStyle w:val="19"/>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71"/>
        <w:gridCol w:w="311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171"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招标文件实质性条款</w:t>
            </w:r>
          </w:p>
        </w:tc>
        <w:tc>
          <w:tcPr>
            <w:tcW w:w="3115"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投标文件响应条款</w:t>
            </w:r>
          </w:p>
        </w:tc>
        <w:tc>
          <w:tcPr>
            <w:tcW w:w="1685"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是否完全响应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3</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4</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5</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6</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rPr>
                <w:rFonts w:ascii="仿宋" w:hAnsi="仿宋" w:eastAsia="仿宋" w:cs="仿宋"/>
                <w:b/>
                <w:bCs/>
                <w:sz w:val="32"/>
                <w:szCs w:val="32"/>
                <w:highlight w:val="none"/>
              </w:rPr>
            </w:pPr>
            <w:r>
              <w:rPr>
                <w:rFonts w:hint="eastAsia" w:ascii="仿宋" w:hAnsi="仿宋" w:eastAsia="仿宋" w:cs="仿宋"/>
                <w:b/>
                <w:bCs/>
                <w:sz w:val="32"/>
                <w:szCs w:val="32"/>
                <w:highlight w:val="none"/>
              </w:rPr>
              <w:t>……</w:t>
            </w:r>
          </w:p>
        </w:tc>
        <w:tc>
          <w:tcPr>
            <w:tcW w:w="3171" w:type="dxa"/>
            <w:noWrap w:val="0"/>
            <w:vAlign w:val="center"/>
          </w:tcPr>
          <w:p>
            <w:pPr>
              <w:spacing w:line="500" w:lineRule="exact"/>
              <w:rPr>
                <w:rFonts w:ascii="仿宋" w:hAnsi="仿宋" w:eastAsia="仿宋" w:cs="仿宋"/>
                <w:b/>
                <w:bCs/>
                <w:sz w:val="32"/>
                <w:szCs w:val="32"/>
                <w:highlight w:val="none"/>
              </w:rPr>
            </w:pPr>
          </w:p>
        </w:tc>
        <w:tc>
          <w:tcPr>
            <w:tcW w:w="3115" w:type="dxa"/>
            <w:noWrap w:val="0"/>
            <w:vAlign w:val="center"/>
          </w:tcPr>
          <w:p>
            <w:pPr>
              <w:spacing w:line="500" w:lineRule="exact"/>
              <w:rPr>
                <w:rFonts w:ascii="仿宋" w:hAnsi="仿宋" w:eastAsia="仿宋" w:cs="仿宋"/>
                <w:b/>
                <w:bCs/>
                <w:sz w:val="32"/>
                <w:szCs w:val="32"/>
                <w:highlight w:val="none"/>
              </w:rPr>
            </w:pPr>
          </w:p>
        </w:tc>
        <w:tc>
          <w:tcPr>
            <w:tcW w:w="1685" w:type="dxa"/>
            <w:noWrap w:val="0"/>
            <w:vAlign w:val="center"/>
          </w:tcPr>
          <w:p>
            <w:pPr>
              <w:spacing w:line="500" w:lineRule="exact"/>
              <w:rPr>
                <w:rFonts w:ascii="仿宋" w:hAnsi="仿宋" w:eastAsia="仿宋" w:cs="仿宋"/>
                <w:b/>
                <w:bCs/>
                <w:sz w:val="32"/>
                <w:szCs w:val="32"/>
                <w:highlight w:val="none"/>
              </w:rPr>
            </w:pPr>
          </w:p>
        </w:tc>
      </w:tr>
    </w:tbl>
    <w:p>
      <w:pPr>
        <w:spacing w:line="500" w:lineRule="exact"/>
        <w:rPr>
          <w:rFonts w:ascii="宋体" w:hAnsi="宋体" w:eastAsia="宋体" w:cs="宋体"/>
          <w:b/>
          <w:bCs/>
          <w:sz w:val="21"/>
          <w:szCs w:val="21"/>
          <w:highlight w:val="none"/>
        </w:rPr>
      </w:pPr>
      <w:r>
        <w:rPr>
          <w:rFonts w:hint="eastAsia" w:ascii="宋体" w:hAnsi="宋体" w:eastAsia="宋体" w:cs="宋体"/>
          <w:b/>
          <w:bCs/>
          <w:sz w:val="21"/>
          <w:szCs w:val="21"/>
          <w:highlight w:val="none"/>
        </w:rPr>
        <w:t>备注：</w:t>
      </w:r>
    </w:p>
    <w:p>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1、上表填写以第四章“招标内容及采购要求”中“★”内容项为基本响应要求，须逐条响应，未逐条响应、有缺漏将被视为无效投标。</w:t>
      </w:r>
    </w:p>
    <w:p>
      <w:pPr>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2、“是否完全响应”一栏根据“投标文件响应条款”与招标文件逐项对照的结果填写，填写“是”或者“否”（如填写“否”将被视为无效投标）。</w:t>
      </w:r>
    </w:p>
    <w:p>
      <w:pPr>
        <w:spacing w:line="500" w:lineRule="exact"/>
        <w:rPr>
          <w:rFonts w:ascii="宋体" w:hAnsi="宋体" w:eastAsia="宋体" w:cs="宋体"/>
          <w:b/>
          <w:bCs/>
          <w:sz w:val="21"/>
          <w:szCs w:val="21"/>
          <w:highlight w:val="none"/>
        </w:rPr>
      </w:pPr>
    </w:p>
    <w:p>
      <w:pPr>
        <w:spacing w:line="500" w:lineRule="exact"/>
        <w:jc w:val="right"/>
        <w:rPr>
          <w:rFonts w:ascii="华文仿宋" w:hAnsi="华文仿宋" w:cs="华文仿宋"/>
          <w:highlight w:val="none"/>
        </w:rPr>
      </w:pPr>
      <w:r>
        <w:rPr>
          <w:rFonts w:hint="eastAsia" w:cs="华文仿宋"/>
          <w:color w:val="000000"/>
          <w:highlight w:val="none"/>
        </w:rPr>
        <w:t>投标人</w:t>
      </w:r>
      <w:r>
        <w:rPr>
          <w:rFonts w:hint="eastAsia" w:ascii="华文仿宋" w:hAnsi="华文仿宋" w:cs="华文仿宋"/>
          <w:highlight w:val="none"/>
        </w:rPr>
        <w:t>：名称（加盖公章）</w:t>
      </w:r>
    </w:p>
    <w:p>
      <w:pPr>
        <w:spacing w:line="500" w:lineRule="exact"/>
        <w:jc w:val="right"/>
        <w:rPr>
          <w:rFonts w:ascii="宋体" w:hAnsi="宋体" w:eastAsia="宋体" w:cs="宋体"/>
          <w:sz w:val="21"/>
          <w:szCs w:val="21"/>
          <w:highlight w:val="none"/>
        </w:rPr>
      </w:pPr>
      <w:r>
        <w:rPr>
          <w:rFonts w:hint="eastAsia" w:ascii="华文仿宋" w:hAnsi="华文仿宋" w:cs="华文仿宋"/>
          <w:highlight w:val="none"/>
        </w:rPr>
        <w:t>日期：　年　月　日</w:t>
      </w:r>
      <w:r>
        <w:rPr>
          <w:rFonts w:hint="eastAsia" w:ascii="宋体" w:hAnsi="宋体" w:eastAsia="宋体" w:cs="宋体"/>
          <w:sz w:val="21"/>
          <w:szCs w:val="21"/>
          <w:highlight w:val="none"/>
        </w:rPr>
        <w:tab/>
      </w:r>
    </w:p>
    <w:p>
      <w:pPr>
        <w:spacing w:line="500" w:lineRule="exact"/>
        <w:rPr>
          <w:rFonts w:ascii="宋体" w:hAnsi="宋体" w:eastAsia="宋体" w:cs="宋体"/>
          <w:b/>
          <w:bCs/>
          <w:sz w:val="21"/>
          <w:szCs w:val="21"/>
          <w:highlight w:val="none"/>
        </w:rPr>
      </w:pPr>
    </w:p>
    <w:p>
      <w:pPr>
        <w:spacing w:line="500" w:lineRule="exact"/>
        <w:rPr>
          <w:rFonts w:ascii="仿宋" w:hAnsi="仿宋" w:eastAsia="仿宋" w:cs="仿宋"/>
          <w:b/>
          <w:bCs/>
          <w:sz w:val="32"/>
          <w:szCs w:val="32"/>
          <w:highlight w:val="none"/>
        </w:rPr>
      </w:pPr>
    </w:p>
    <w:p>
      <w:pPr>
        <w:spacing w:line="500" w:lineRule="exact"/>
        <w:ind w:firstLine="566" w:firstLineChars="200"/>
        <w:rPr>
          <w:rFonts w:ascii="仿宋" w:hAnsi="仿宋" w:eastAsia="仿宋" w:cs="仿宋"/>
          <w:b/>
          <w:bCs/>
          <w:highlight w:val="none"/>
        </w:rPr>
      </w:pPr>
      <w:r>
        <w:rPr>
          <w:rFonts w:hint="eastAsia" w:ascii="仿宋" w:hAnsi="仿宋" w:eastAsia="仿宋" w:cs="仿宋"/>
          <w:b/>
          <w:bCs/>
          <w:highlight w:val="none"/>
        </w:rPr>
        <w:t>（二）其他材料</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根据招标文件要求，若“★”内容项须附相关证明材料，则投标人应将相关证明材料附至此处，如未按要求提供相关证明材料，将被视为无效投标。</w:t>
      </w:r>
    </w:p>
    <w:p>
      <w:pPr>
        <w:spacing w:line="500" w:lineRule="exact"/>
        <w:ind w:firstLine="0" w:firstLineChars="0"/>
        <w:outlineLvl w:val="9"/>
        <w:rPr>
          <w:rFonts w:ascii="仿宋" w:hAnsi="仿宋" w:eastAsia="仿宋" w:cs="Times New Roman"/>
          <w:b/>
          <w:bCs/>
          <w:sz w:val="30"/>
          <w:szCs w:val="30"/>
          <w:highlight w:val="none"/>
        </w:rPr>
      </w:pPr>
      <w:r>
        <w:rPr>
          <w:rFonts w:hint="eastAsia" w:ascii="宋体" w:hAnsi="宋体" w:eastAsia="宋体" w:cs="宋体"/>
          <w:b/>
          <w:bCs/>
          <w:sz w:val="21"/>
          <w:szCs w:val="21"/>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五、合同条款响应</w:t>
      </w:r>
    </w:p>
    <w:p>
      <w:pPr>
        <w:spacing w:line="500" w:lineRule="exact"/>
        <w:ind w:firstLine="566" w:firstLineChars="200"/>
        <w:rPr>
          <w:rFonts w:cs="Times New Roman"/>
          <w:highlight w:val="none"/>
        </w:rPr>
      </w:pPr>
      <w:r>
        <w:rPr>
          <w:rFonts w:hint="eastAsia" w:cs="华文仿宋"/>
          <w:highlight w:val="none"/>
        </w:rPr>
        <w:t>完全理解并接受招标文件中“合同基本条款”要求。</w:t>
      </w:r>
    </w:p>
    <w:p>
      <w:pPr>
        <w:spacing w:line="500" w:lineRule="exact"/>
        <w:ind w:firstLine="4811" w:firstLineChars="1700"/>
        <w:rPr>
          <w:rFonts w:ascii="仿宋" w:hAnsi="仿宋" w:eastAsia="仿宋" w:cs="Times New Roman"/>
          <w:highlight w:val="none"/>
        </w:rPr>
      </w:pPr>
    </w:p>
    <w:p>
      <w:pPr>
        <w:pStyle w:val="7"/>
        <w:spacing w:after="190"/>
        <w:rPr>
          <w:rFonts w:cs="Times New Roman"/>
          <w:color w:val="auto"/>
          <w:highlight w:val="none"/>
        </w:rPr>
      </w:pPr>
    </w:p>
    <w:p>
      <w:pPr>
        <w:pStyle w:val="7"/>
        <w:spacing w:afterLines="0" w:line="500" w:lineRule="exact"/>
        <w:ind w:firstLine="5377" w:firstLineChars="1900"/>
        <w:rPr>
          <w:rFonts w:ascii="仿宋" w:hAnsi="仿宋" w:eastAsia="仿宋" w:cs="Times New Roman"/>
          <w:color w:val="auto"/>
          <w:highlight w:val="none"/>
        </w:rPr>
      </w:pPr>
      <w:r>
        <w:rPr>
          <w:rFonts w:hint="eastAsia" w:ascii="华文仿宋" w:hAnsi="华文仿宋" w:cs="华文仿宋"/>
          <w:color w:val="auto"/>
          <w:sz w:val="28"/>
          <w:szCs w:val="28"/>
          <w:highlight w:val="none"/>
        </w:rPr>
        <w:t>投标人：</w:t>
      </w:r>
      <w:r>
        <w:rPr>
          <w:rFonts w:hint="eastAsia" w:ascii="华文仿宋" w:hAnsi="华文仿宋" w:cs="华文仿宋"/>
          <w:color w:val="auto"/>
          <w:sz w:val="28"/>
          <w:szCs w:val="28"/>
          <w:highlight w:val="none"/>
          <w:u w:val="single"/>
        </w:rPr>
        <w:t>名称</w:t>
      </w:r>
      <w:r>
        <w:rPr>
          <w:rFonts w:hint="eastAsia" w:ascii="华文仿宋" w:hAnsi="华文仿宋" w:cs="华文仿宋"/>
          <w:color w:val="auto"/>
          <w:sz w:val="28"/>
          <w:szCs w:val="28"/>
          <w:highlight w:val="none"/>
        </w:rPr>
        <w:t>（加盖公章）</w:t>
      </w:r>
      <w:r>
        <w:rPr>
          <w:rFonts w:ascii="仿宋" w:hAnsi="仿宋" w:eastAsia="仿宋" w:cs="Times New Roman"/>
          <w:color w:val="auto"/>
          <w:highlight w:val="none"/>
        </w:rPr>
        <w:tab/>
      </w:r>
    </w:p>
    <w:p>
      <w:pPr>
        <w:pStyle w:val="17"/>
        <w:spacing w:line="500" w:lineRule="exact"/>
        <w:ind w:firstLine="5660" w:firstLineChars="2000"/>
        <w:rPr>
          <w:rFonts w:ascii="华文仿宋"/>
          <w:sz w:val="28"/>
          <w:szCs w:val="28"/>
          <w:highlight w:val="none"/>
        </w:rPr>
      </w:pPr>
      <w:r>
        <w:rPr>
          <w:rFonts w:hint="eastAsia" w:ascii="华文仿宋" w:hAnsi="华文仿宋" w:cs="华文仿宋"/>
          <w:sz w:val="28"/>
          <w:szCs w:val="28"/>
          <w:highlight w:val="none"/>
        </w:rPr>
        <w:t>日期：　年　月　日</w:t>
      </w: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17"/>
        <w:ind w:firstLine="183"/>
        <w:rPr>
          <w:rFonts w:ascii="仿宋" w:hAnsi="仿宋" w:eastAsia="仿宋"/>
          <w:highlight w:val="none"/>
        </w:rPr>
      </w:pPr>
    </w:p>
    <w:p>
      <w:pPr>
        <w:pStyle w:val="30"/>
        <w:spacing w:line="500" w:lineRule="exact"/>
        <w:rPr>
          <w:rFonts w:hint="eastAsia" w:ascii="黑体" w:hAnsi="黑体" w:eastAsia="黑体" w:cs="黑体"/>
          <w:b w:val="0"/>
          <w:bCs w:val="0"/>
          <w:highlight w:val="none"/>
        </w:rPr>
      </w:pPr>
      <w:r>
        <w:rPr>
          <w:rFonts w:ascii="仿宋" w:hAnsi="仿宋" w:eastAsia="仿宋"/>
          <w:highlight w:val="none"/>
        </w:rPr>
        <w:br w:type="page"/>
      </w:r>
      <w:bookmarkStart w:id="521" w:name="_Toc13676"/>
      <w:bookmarkStart w:id="522" w:name="_Toc26612"/>
      <w:bookmarkStart w:id="523" w:name="_Toc20524"/>
      <w:r>
        <w:rPr>
          <w:rFonts w:hint="eastAsia" w:ascii="黑体" w:hAnsi="黑体" w:eastAsia="黑体" w:cs="黑体"/>
          <w:b w:val="0"/>
          <w:bCs w:val="0"/>
          <w:highlight w:val="none"/>
        </w:rPr>
        <w:t>第三部分  投标方案</w:t>
      </w:r>
      <w:bookmarkEnd w:id="521"/>
      <w:bookmarkEnd w:id="522"/>
      <w:bookmarkEnd w:id="523"/>
    </w:p>
    <w:p>
      <w:pPr>
        <w:pStyle w:val="30"/>
        <w:ind w:firstLine="569"/>
        <w:jc w:val="both"/>
        <w:outlineLvl w:val="2"/>
        <w:rPr>
          <w:rFonts w:ascii="仿宋" w:hAnsi="仿宋" w:eastAsia="仿宋" w:cs="Times New Roman"/>
          <w:sz w:val="28"/>
          <w:szCs w:val="28"/>
          <w:highlight w:val="none"/>
        </w:rPr>
      </w:pPr>
      <w:bookmarkStart w:id="524" w:name="_Toc11480"/>
      <w:bookmarkStart w:id="525" w:name="_Toc30676"/>
      <w:bookmarkStart w:id="526" w:name="_Toc21184"/>
      <w:bookmarkStart w:id="527" w:name="_Toc23944"/>
      <w:bookmarkStart w:id="528" w:name="_Toc11877"/>
      <w:bookmarkStart w:id="529" w:name="_Toc26478"/>
      <w:bookmarkStart w:id="530" w:name="_Toc32512"/>
      <w:bookmarkStart w:id="531" w:name="_Toc5596"/>
      <w:bookmarkStart w:id="532" w:name="_Toc9535"/>
      <w:bookmarkStart w:id="533" w:name="_Toc4666"/>
      <w:bookmarkStart w:id="534" w:name="_Toc7814"/>
      <w:bookmarkStart w:id="535" w:name="_Toc59"/>
      <w:bookmarkStart w:id="536" w:name="_Toc31882"/>
      <w:bookmarkStart w:id="537" w:name="_Toc22123"/>
      <w:bookmarkStart w:id="538" w:name="_Toc9795"/>
      <w:r>
        <w:rPr>
          <w:rFonts w:hint="eastAsia" w:ascii="仿宋" w:hAnsi="仿宋" w:eastAsia="仿宋" w:cs="仿宋"/>
          <w:sz w:val="30"/>
          <w:szCs w:val="30"/>
          <w:highlight w:val="none"/>
        </w:rPr>
        <w:t>一、投标人概况</w:t>
      </w:r>
      <w:r>
        <w:rPr>
          <w:rFonts w:hint="eastAsia" w:ascii="仿宋" w:hAnsi="仿宋" w:eastAsia="仿宋" w:cs="仿宋"/>
          <w:sz w:val="28"/>
          <w:szCs w:val="28"/>
          <w:highlight w:val="none"/>
        </w:rPr>
        <w:t xml:space="preserve"> </w:t>
      </w:r>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Pr>
        <w:spacing w:line="500" w:lineRule="exact"/>
        <w:ind w:firstLine="566" w:firstLineChars="200"/>
        <w:jc w:val="left"/>
        <w:rPr>
          <w:rFonts w:cs="华文仿宋"/>
          <w:b/>
          <w:bCs/>
          <w:highlight w:val="none"/>
        </w:rPr>
      </w:pPr>
      <w:r>
        <w:rPr>
          <w:rFonts w:hint="eastAsia" w:cs="华文仿宋"/>
          <w:highlight w:val="none"/>
        </w:rPr>
        <w:t>包括但不限于成立时间、经营范围、股权变更、总公司分公司分布及经营状况、管理制度、人员配备、用户评价、正在实施的项目，评优获奖情况</w:t>
      </w:r>
      <w:r>
        <w:rPr>
          <w:rFonts w:hint="eastAsia" w:cs="华文仿宋"/>
          <w:b/>
          <w:bCs/>
          <w:highlight w:val="none"/>
        </w:rPr>
        <w:t>，</w:t>
      </w:r>
      <w:r>
        <w:rPr>
          <w:rFonts w:hint="eastAsia" w:cs="华文仿宋"/>
          <w:highlight w:val="none"/>
        </w:rPr>
        <w:t>以及投标人认为有利于中标的其他情况说明。</w:t>
      </w:r>
    </w:p>
    <w:p>
      <w:pPr>
        <w:spacing w:line="500" w:lineRule="exact"/>
        <w:rPr>
          <w:rFonts w:cs="Times New Roman"/>
          <w:b/>
          <w:bCs/>
          <w:highlight w:val="none"/>
        </w:rPr>
      </w:pPr>
    </w:p>
    <w:p>
      <w:pPr>
        <w:rPr>
          <w:rFonts w:ascii="华文仿宋" w:cs="Times New Roman"/>
          <w:color w:val="000000"/>
          <w:highlight w:val="none"/>
        </w:rPr>
      </w:pPr>
      <w:r>
        <w:rPr>
          <w:rFonts w:hint="eastAsia" w:ascii="仿宋" w:hAnsi="仿宋" w:eastAsia="仿宋" w:cs="仿宋"/>
          <w:sz w:val="30"/>
          <w:szCs w:val="30"/>
          <w:highlight w:val="none"/>
        </w:rPr>
        <w:br w:type="page"/>
      </w:r>
      <w:r>
        <w:rPr>
          <w:rFonts w:hint="eastAsia" w:ascii="仿宋" w:hAnsi="仿宋" w:eastAsia="仿宋" w:cs="仿宋"/>
          <w:sz w:val="30"/>
          <w:szCs w:val="30"/>
          <w:highlight w:val="none"/>
          <w:lang w:val="en-US" w:eastAsia="zh-CN"/>
        </w:rPr>
        <w:t xml:space="preserve">    </w:t>
      </w:r>
      <w:r>
        <w:rPr>
          <w:rFonts w:hint="eastAsia" w:ascii="仿宋" w:hAnsi="仿宋" w:eastAsia="仿宋" w:cs="仿宋"/>
          <w:b/>
          <w:bCs/>
          <w:sz w:val="30"/>
          <w:szCs w:val="30"/>
          <w:highlight w:val="none"/>
        </w:rPr>
        <w:t>二、</w:t>
      </w:r>
      <w:bookmarkStart w:id="539" w:name="_Toc13262"/>
      <w:r>
        <w:rPr>
          <w:rFonts w:hint="eastAsia" w:ascii="仿宋" w:hAnsi="仿宋" w:eastAsia="仿宋" w:cs="仿宋"/>
          <w:b/>
          <w:bCs/>
          <w:color w:val="000000"/>
          <w:sz w:val="30"/>
          <w:szCs w:val="30"/>
          <w:highlight w:val="none"/>
        </w:rPr>
        <w:t>投标方案</w:t>
      </w:r>
      <w:bookmarkEnd w:id="539"/>
    </w:p>
    <w:p>
      <w:pPr>
        <w:spacing w:line="500" w:lineRule="exact"/>
        <w:ind w:firstLine="566" w:firstLineChars="200"/>
        <w:rPr>
          <w:rFonts w:ascii="华文仿宋" w:hAnsi="华文仿宋" w:cs="华文仿宋"/>
          <w:b/>
          <w:bCs/>
          <w:color w:val="000000"/>
          <w:sz w:val="32"/>
          <w:szCs w:val="32"/>
          <w:highlight w:val="none"/>
        </w:rPr>
      </w:pPr>
      <w:r>
        <w:rPr>
          <w:rFonts w:hint="eastAsia" w:cs="华文仿宋"/>
          <w:color w:val="000000"/>
          <w:highlight w:val="none"/>
        </w:rPr>
        <w:t>参照招标文件第二章第八项《组织评标》各条款的要求，结合第四章《招标内容及采购要求》中“</w:t>
      </w:r>
      <w:r>
        <w:rPr>
          <w:rFonts w:hint="eastAsia" w:cs="华文仿宋"/>
          <w:highlight w:val="none"/>
        </w:rPr>
        <w:t>技术参数表</w:t>
      </w:r>
      <w:r>
        <w:rPr>
          <w:rFonts w:hint="eastAsia" w:cs="华文仿宋"/>
          <w:color w:val="000000"/>
          <w:highlight w:val="none"/>
        </w:rPr>
        <w:t>”填写下表。</w:t>
      </w:r>
    </w:p>
    <w:p>
      <w:pPr>
        <w:spacing w:line="500" w:lineRule="exact"/>
        <w:ind w:firstLine="566" w:firstLineChars="200"/>
        <w:rPr>
          <w:rFonts w:ascii="仿宋" w:hAnsi="仿宋" w:eastAsia="仿宋" w:cs="Calibri"/>
          <w:b/>
          <w:sz w:val="32"/>
          <w:szCs w:val="32"/>
          <w:highlight w:val="none"/>
        </w:rPr>
      </w:pPr>
      <w:r>
        <w:rPr>
          <w:rFonts w:hint="eastAsia" w:ascii="仿宋" w:hAnsi="仿宋" w:eastAsia="仿宋" w:cs="Calibri"/>
          <w:b/>
          <w:highlight w:val="none"/>
        </w:rPr>
        <w:t>（一）</w:t>
      </w:r>
      <w:r>
        <w:rPr>
          <w:rFonts w:ascii="仿宋" w:hAnsi="仿宋" w:eastAsia="仿宋" w:cs="Calibri"/>
          <w:b/>
          <w:highlight w:val="none"/>
        </w:rPr>
        <w:t>技术</w:t>
      </w:r>
      <w:r>
        <w:rPr>
          <w:rFonts w:hint="eastAsia" w:ascii="仿宋" w:hAnsi="仿宋" w:eastAsia="仿宋" w:cs="Calibri"/>
          <w:b/>
          <w:highlight w:val="none"/>
        </w:rPr>
        <w:t>参数响应表</w:t>
      </w:r>
    </w:p>
    <w:tbl>
      <w:tblPr>
        <w:tblStyle w:val="19"/>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5"/>
        <w:gridCol w:w="2580"/>
        <w:gridCol w:w="1220"/>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8" w:type="dxa"/>
            <w:noWrap w:val="0"/>
            <w:vAlign w:val="center"/>
          </w:tcPr>
          <w:p>
            <w:pPr>
              <w:spacing w:line="500" w:lineRule="exact"/>
              <w:jc w:val="center"/>
              <w:rPr>
                <w:rFonts w:ascii="仿宋" w:hAnsi="仿宋" w:eastAsia="仿宋"/>
                <w:b/>
                <w:sz w:val="24"/>
                <w:szCs w:val="24"/>
                <w:highlight w:val="none"/>
              </w:rPr>
            </w:pPr>
            <w:r>
              <w:rPr>
                <w:rFonts w:ascii="仿宋" w:hAnsi="仿宋" w:eastAsia="仿宋"/>
                <w:b/>
                <w:sz w:val="24"/>
                <w:szCs w:val="24"/>
                <w:highlight w:val="none"/>
              </w:rPr>
              <w:t>序号</w:t>
            </w:r>
          </w:p>
        </w:tc>
        <w:tc>
          <w:tcPr>
            <w:tcW w:w="2475" w:type="dxa"/>
            <w:noWrap w:val="0"/>
            <w:vAlign w:val="center"/>
          </w:tcPr>
          <w:p>
            <w:pPr>
              <w:spacing w:line="500" w:lineRule="exact"/>
              <w:jc w:val="center"/>
              <w:rPr>
                <w:rFonts w:ascii="仿宋" w:hAnsi="仿宋" w:eastAsia="仿宋"/>
                <w:b/>
                <w:sz w:val="24"/>
                <w:szCs w:val="24"/>
                <w:highlight w:val="none"/>
              </w:rPr>
            </w:pPr>
            <w:r>
              <w:rPr>
                <w:rFonts w:ascii="仿宋" w:hAnsi="仿宋" w:eastAsia="仿宋"/>
                <w:b/>
                <w:sz w:val="24"/>
                <w:szCs w:val="24"/>
                <w:highlight w:val="none"/>
              </w:rPr>
              <w:t>招标文件</w:t>
            </w:r>
            <w:r>
              <w:rPr>
                <w:rFonts w:hint="eastAsia" w:ascii="仿宋" w:hAnsi="仿宋" w:eastAsia="仿宋"/>
                <w:b/>
                <w:sz w:val="24"/>
                <w:szCs w:val="24"/>
                <w:highlight w:val="none"/>
              </w:rPr>
              <w:t>要求</w:t>
            </w:r>
          </w:p>
        </w:tc>
        <w:tc>
          <w:tcPr>
            <w:tcW w:w="2580" w:type="dxa"/>
            <w:noWrap w:val="0"/>
            <w:vAlign w:val="center"/>
          </w:tcPr>
          <w:p>
            <w:pPr>
              <w:spacing w:line="500" w:lineRule="exact"/>
              <w:jc w:val="center"/>
              <w:rPr>
                <w:rFonts w:ascii="仿宋" w:hAnsi="仿宋" w:eastAsia="仿宋"/>
                <w:b/>
                <w:sz w:val="24"/>
                <w:szCs w:val="24"/>
                <w:highlight w:val="none"/>
              </w:rPr>
            </w:pPr>
            <w:r>
              <w:rPr>
                <w:rFonts w:ascii="仿宋" w:hAnsi="仿宋" w:eastAsia="仿宋"/>
                <w:b/>
                <w:sz w:val="24"/>
                <w:szCs w:val="24"/>
                <w:highlight w:val="none"/>
              </w:rPr>
              <w:t>投标文件</w:t>
            </w:r>
            <w:r>
              <w:rPr>
                <w:rFonts w:hint="eastAsia" w:ascii="仿宋" w:hAnsi="仿宋" w:eastAsia="仿宋"/>
                <w:b/>
                <w:sz w:val="24"/>
                <w:szCs w:val="24"/>
                <w:highlight w:val="none"/>
              </w:rPr>
              <w:t>响应</w:t>
            </w:r>
            <w:r>
              <w:rPr>
                <w:rFonts w:ascii="仿宋" w:hAnsi="仿宋" w:eastAsia="仿宋"/>
                <w:b/>
                <w:sz w:val="24"/>
                <w:szCs w:val="24"/>
                <w:highlight w:val="none"/>
              </w:rPr>
              <w:t>条款</w:t>
            </w:r>
          </w:p>
        </w:tc>
        <w:tc>
          <w:tcPr>
            <w:tcW w:w="1220" w:type="dxa"/>
            <w:noWrap w:val="0"/>
            <w:vAlign w:val="center"/>
          </w:tcPr>
          <w:p>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偏离程度</w:t>
            </w:r>
          </w:p>
        </w:tc>
        <w:tc>
          <w:tcPr>
            <w:tcW w:w="1686" w:type="dxa"/>
            <w:noWrap w:val="0"/>
            <w:vAlign w:val="center"/>
          </w:tcPr>
          <w:p>
            <w:pPr>
              <w:spacing w:line="500" w:lineRule="exact"/>
              <w:jc w:val="center"/>
              <w:rPr>
                <w:rFonts w:ascii="仿宋" w:hAnsi="仿宋" w:eastAsia="仿宋"/>
                <w:b/>
                <w:sz w:val="24"/>
                <w:szCs w:val="24"/>
                <w:highlight w:val="none"/>
              </w:rPr>
            </w:pPr>
            <w:r>
              <w:rPr>
                <w:rFonts w:hint="eastAsia" w:ascii="仿宋" w:hAnsi="仿宋" w:eastAsia="仿宋"/>
                <w:b/>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1</w:t>
            </w:r>
          </w:p>
        </w:tc>
        <w:tc>
          <w:tcPr>
            <w:tcW w:w="2475" w:type="dxa"/>
            <w:noWrap w:val="0"/>
            <w:vAlign w:val="center"/>
          </w:tcPr>
          <w:p>
            <w:pPr>
              <w:spacing w:line="500" w:lineRule="exact"/>
              <w:rPr>
                <w:rFonts w:ascii="仿宋" w:hAnsi="仿宋" w:eastAsia="仿宋"/>
                <w:sz w:val="24"/>
                <w:szCs w:val="24"/>
                <w:highlight w:val="none"/>
              </w:rPr>
            </w:pPr>
          </w:p>
        </w:tc>
        <w:tc>
          <w:tcPr>
            <w:tcW w:w="2580" w:type="dxa"/>
            <w:noWrap w:val="0"/>
            <w:vAlign w:val="center"/>
          </w:tcPr>
          <w:p>
            <w:pPr>
              <w:spacing w:line="500" w:lineRule="exact"/>
              <w:rPr>
                <w:rFonts w:ascii="仿宋" w:hAnsi="仿宋" w:eastAsia="仿宋"/>
                <w:sz w:val="24"/>
                <w:szCs w:val="24"/>
                <w:highlight w:val="none"/>
              </w:rPr>
            </w:pPr>
          </w:p>
        </w:tc>
        <w:tc>
          <w:tcPr>
            <w:tcW w:w="1220" w:type="dxa"/>
            <w:noWrap w:val="0"/>
            <w:vAlign w:val="center"/>
          </w:tcPr>
          <w:p>
            <w:pPr>
              <w:spacing w:line="500" w:lineRule="exact"/>
              <w:rPr>
                <w:rFonts w:ascii="仿宋" w:hAnsi="仿宋" w:eastAsia="仿宋"/>
                <w:sz w:val="24"/>
                <w:szCs w:val="24"/>
                <w:highlight w:val="none"/>
              </w:rPr>
            </w:pPr>
          </w:p>
        </w:tc>
        <w:tc>
          <w:tcPr>
            <w:tcW w:w="1686" w:type="dxa"/>
            <w:noWrap w:val="0"/>
            <w:vAlign w:val="center"/>
          </w:tcPr>
          <w:p>
            <w:pPr>
              <w:spacing w:line="500" w:lineRule="exact"/>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2</w:t>
            </w:r>
          </w:p>
        </w:tc>
        <w:tc>
          <w:tcPr>
            <w:tcW w:w="2475" w:type="dxa"/>
            <w:noWrap w:val="0"/>
            <w:vAlign w:val="center"/>
          </w:tcPr>
          <w:p>
            <w:pPr>
              <w:spacing w:line="500" w:lineRule="exact"/>
              <w:rPr>
                <w:rFonts w:ascii="仿宋" w:hAnsi="仿宋" w:eastAsia="仿宋"/>
                <w:sz w:val="24"/>
                <w:szCs w:val="24"/>
                <w:highlight w:val="none"/>
              </w:rPr>
            </w:pPr>
          </w:p>
        </w:tc>
        <w:tc>
          <w:tcPr>
            <w:tcW w:w="2580" w:type="dxa"/>
            <w:noWrap w:val="0"/>
            <w:vAlign w:val="center"/>
          </w:tcPr>
          <w:p>
            <w:pPr>
              <w:spacing w:line="500" w:lineRule="exact"/>
              <w:rPr>
                <w:rFonts w:ascii="仿宋" w:hAnsi="仿宋" w:eastAsia="仿宋"/>
                <w:sz w:val="24"/>
                <w:szCs w:val="24"/>
                <w:highlight w:val="none"/>
              </w:rPr>
            </w:pPr>
          </w:p>
        </w:tc>
        <w:tc>
          <w:tcPr>
            <w:tcW w:w="1220" w:type="dxa"/>
            <w:noWrap w:val="0"/>
            <w:vAlign w:val="center"/>
          </w:tcPr>
          <w:p>
            <w:pPr>
              <w:spacing w:line="500" w:lineRule="exact"/>
              <w:rPr>
                <w:rFonts w:ascii="仿宋" w:hAnsi="仿宋" w:eastAsia="仿宋"/>
                <w:sz w:val="24"/>
                <w:szCs w:val="24"/>
                <w:highlight w:val="none"/>
              </w:rPr>
            </w:pPr>
          </w:p>
        </w:tc>
        <w:tc>
          <w:tcPr>
            <w:tcW w:w="1686" w:type="dxa"/>
            <w:noWrap w:val="0"/>
            <w:vAlign w:val="center"/>
          </w:tcPr>
          <w:p>
            <w:pPr>
              <w:spacing w:line="500" w:lineRule="exact"/>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jc w:val="center"/>
              <w:rPr>
                <w:rFonts w:ascii="仿宋" w:hAnsi="仿宋" w:eastAsia="仿宋"/>
                <w:sz w:val="24"/>
                <w:szCs w:val="24"/>
                <w:highlight w:val="none"/>
              </w:rPr>
            </w:pPr>
            <w:r>
              <w:rPr>
                <w:rFonts w:hint="eastAsia" w:ascii="仿宋" w:hAnsi="仿宋" w:eastAsia="仿宋"/>
                <w:sz w:val="24"/>
                <w:szCs w:val="24"/>
                <w:highlight w:val="none"/>
              </w:rPr>
              <w:t>3</w:t>
            </w:r>
          </w:p>
        </w:tc>
        <w:tc>
          <w:tcPr>
            <w:tcW w:w="2475" w:type="dxa"/>
            <w:noWrap w:val="0"/>
            <w:vAlign w:val="center"/>
          </w:tcPr>
          <w:p>
            <w:pPr>
              <w:spacing w:line="500" w:lineRule="exact"/>
              <w:rPr>
                <w:rFonts w:ascii="仿宋" w:hAnsi="仿宋" w:eastAsia="仿宋"/>
                <w:sz w:val="24"/>
                <w:szCs w:val="24"/>
                <w:highlight w:val="none"/>
              </w:rPr>
            </w:pPr>
          </w:p>
        </w:tc>
        <w:tc>
          <w:tcPr>
            <w:tcW w:w="2580" w:type="dxa"/>
            <w:noWrap w:val="0"/>
            <w:vAlign w:val="center"/>
          </w:tcPr>
          <w:p>
            <w:pPr>
              <w:spacing w:line="500" w:lineRule="exact"/>
              <w:rPr>
                <w:rFonts w:ascii="仿宋" w:hAnsi="仿宋" w:eastAsia="仿宋"/>
                <w:sz w:val="24"/>
                <w:szCs w:val="24"/>
                <w:highlight w:val="none"/>
              </w:rPr>
            </w:pPr>
          </w:p>
        </w:tc>
        <w:tc>
          <w:tcPr>
            <w:tcW w:w="1220" w:type="dxa"/>
            <w:noWrap w:val="0"/>
            <w:vAlign w:val="center"/>
          </w:tcPr>
          <w:p>
            <w:pPr>
              <w:spacing w:line="500" w:lineRule="exact"/>
              <w:rPr>
                <w:rFonts w:ascii="仿宋" w:hAnsi="仿宋" w:eastAsia="仿宋"/>
                <w:sz w:val="24"/>
                <w:szCs w:val="24"/>
                <w:highlight w:val="none"/>
              </w:rPr>
            </w:pPr>
          </w:p>
        </w:tc>
        <w:tc>
          <w:tcPr>
            <w:tcW w:w="1686" w:type="dxa"/>
            <w:noWrap w:val="0"/>
            <w:vAlign w:val="center"/>
          </w:tcPr>
          <w:p>
            <w:pPr>
              <w:spacing w:line="500" w:lineRule="exact"/>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rPr>
                <w:rFonts w:ascii="仿宋" w:hAnsi="仿宋" w:eastAsia="仿宋"/>
                <w:sz w:val="24"/>
                <w:szCs w:val="24"/>
                <w:highlight w:val="none"/>
              </w:rPr>
            </w:pPr>
            <w:r>
              <w:rPr>
                <w:rFonts w:hint="eastAsia" w:ascii="仿宋" w:hAnsi="仿宋" w:eastAsia="仿宋"/>
                <w:sz w:val="24"/>
                <w:szCs w:val="24"/>
                <w:highlight w:val="none"/>
              </w:rPr>
              <w:t>……</w:t>
            </w:r>
          </w:p>
        </w:tc>
        <w:tc>
          <w:tcPr>
            <w:tcW w:w="2475" w:type="dxa"/>
            <w:noWrap w:val="0"/>
            <w:vAlign w:val="center"/>
          </w:tcPr>
          <w:p>
            <w:pPr>
              <w:spacing w:line="500" w:lineRule="exact"/>
              <w:rPr>
                <w:rFonts w:ascii="仿宋" w:hAnsi="仿宋" w:eastAsia="仿宋"/>
                <w:sz w:val="24"/>
                <w:szCs w:val="24"/>
                <w:highlight w:val="none"/>
              </w:rPr>
            </w:pPr>
          </w:p>
        </w:tc>
        <w:tc>
          <w:tcPr>
            <w:tcW w:w="2580" w:type="dxa"/>
            <w:noWrap w:val="0"/>
            <w:vAlign w:val="center"/>
          </w:tcPr>
          <w:p>
            <w:pPr>
              <w:spacing w:line="500" w:lineRule="exact"/>
              <w:rPr>
                <w:rFonts w:ascii="仿宋" w:hAnsi="仿宋" w:eastAsia="仿宋"/>
                <w:sz w:val="24"/>
                <w:szCs w:val="24"/>
                <w:highlight w:val="none"/>
              </w:rPr>
            </w:pPr>
          </w:p>
        </w:tc>
        <w:tc>
          <w:tcPr>
            <w:tcW w:w="1220" w:type="dxa"/>
            <w:noWrap w:val="0"/>
            <w:vAlign w:val="center"/>
          </w:tcPr>
          <w:p>
            <w:pPr>
              <w:spacing w:line="500" w:lineRule="exact"/>
              <w:rPr>
                <w:rFonts w:ascii="仿宋" w:hAnsi="仿宋" w:eastAsia="仿宋"/>
                <w:sz w:val="24"/>
                <w:szCs w:val="24"/>
                <w:highlight w:val="none"/>
              </w:rPr>
            </w:pPr>
          </w:p>
        </w:tc>
        <w:tc>
          <w:tcPr>
            <w:tcW w:w="1686" w:type="dxa"/>
            <w:noWrap w:val="0"/>
            <w:vAlign w:val="center"/>
          </w:tcPr>
          <w:p>
            <w:pPr>
              <w:spacing w:line="500" w:lineRule="exact"/>
              <w:rPr>
                <w:rFonts w:ascii="仿宋" w:hAnsi="仿宋" w:eastAsia="仿宋"/>
                <w:sz w:val="24"/>
                <w:szCs w:val="24"/>
                <w:highlight w:val="none"/>
              </w:rPr>
            </w:pPr>
          </w:p>
        </w:tc>
      </w:tr>
    </w:tbl>
    <w:p>
      <w:pPr>
        <w:widowControl w:val="0"/>
        <w:spacing w:line="500" w:lineRule="exact"/>
        <w:ind w:firstLine="426" w:firstLineChars="200"/>
        <w:jc w:val="left"/>
        <w:rPr>
          <w:rFonts w:ascii="宋体" w:hAnsi="宋体" w:eastAsia="宋体" w:cs="宋体"/>
          <w:sz w:val="21"/>
          <w:szCs w:val="21"/>
          <w:highlight w:val="none"/>
        </w:rPr>
      </w:pPr>
      <w:r>
        <w:rPr>
          <w:rFonts w:hint="eastAsia" w:ascii="宋体" w:hAnsi="宋体" w:eastAsia="宋体" w:cs="宋体"/>
          <w:sz w:val="21"/>
          <w:szCs w:val="21"/>
          <w:highlight w:val="none"/>
        </w:rPr>
        <w:t>备注：</w:t>
      </w:r>
    </w:p>
    <w:p>
      <w:pPr>
        <w:widowControl w:val="0"/>
        <w:ind w:firstLine="426" w:firstLineChars="200"/>
        <w:jc w:val="left"/>
        <w:rPr>
          <w:rFonts w:ascii="宋体" w:hAnsi="宋体" w:eastAsia="宋体" w:cs="宋体"/>
          <w:b/>
          <w:bCs/>
          <w:sz w:val="21"/>
          <w:szCs w:val="21"/>
          <w:highlight w:val="none"/>
        </w:rPr>
      </w:pPr>
      <w:r>
        <w:rPr>
          <w:rFonts w:hint="eastAsia" w:ascii="宋体" w:hAnsi="宋体" w:eastAsia="宋体" w:cs="宋体"/>
          <w:b/>
          <w:bCs/>
          <w:sz w:val="21"/>
          <w:szCs w:val="21"/>
          <w:highlight w:val="none"/>
        </w:rPr>
        <w:t>1、填写此表时以第四章“招标内容及采购要求”中“技术参数表”</w:t>
      </w:r>
      <w:r>
        <w:rPr>
          <w:rFonts w:hint="eastAsia" w:ascii="宋体" w:hAnsi="宋体" w:eastAsia="宋体" w:cs="宋体"/>
          <w:b/>
          <w:bCs/>
          <w:sz w:val="21"/>
          <w:szCs w:val="21"/>
          <w:highlight w:val="none"/>
          <w:lang w:val="en-US" w:eastAsia="zh-CN"/>
        </w:rPr>
        <w:t>中“</w:t>
      </w:r>
      <w:r>
        <w:rPr>
          <w:rFonts w:hint="eastAsia" w:ascii="仿宋" w:hAnsi="仿宋" w:eastAsia="仿宋" w:cs="仿宋"/>
          <w:color w:val="000000"/>
          <w:sz w:val="24"/>
          <w:szCs w:val="24"/>
          <w:highlight w:val="none"/>
          <w:lang w:eastAsia="zh-CN"/>
        </w:rPr>
        <w:t>▲</w:t>
      </w:r>
      <w:r>
        <w:rPr>
          <w:rFonts w:hint="eastAsia" w:ascii="宋体" w:hAnsi="宋体" w:eastAsia="宋体" w:cs="宋体"/>
          <w:b/>
          <w:bCs/>
          <w:sz w:val="21"/>
          <w:szCs w:val="21"/>
          <w:highlight w:val="none"/>
          <w:lang w:val="en-US" w:eastAsia="zh-CN"/>
        </w:rPr>
        <w:t>”项</w:t>
      </w:r>
      <w:r>
        <w:rPr>
          <w:rFonts w:hint="eastAsia" w:ascii="宋体" w:hAnsi="宋体" w:eastAsia="宋体" w:cs="宋体"/>
          <w:b/>
          <w:bCs/>
          <w:sz w:val="21"/>
          <w:szCs w:val="21"/>
          <w:highlight w:val="none"/>
        </w:rPr>
        <w:t>为基本响应要求，如未按要求响应，将影响评分。</w:t>
      </w:r>
    </w:p>
    <w:p>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2、“投标文件响应条款”必须与投标文件中提供的证明材料的响应情况相一致，若不一致，将影响评分。</w:t>
      </w:r>
    </w:p>
    <w:p>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3、“偏离程度”满足招标文件要求的填写“0”，无需填写“偏离简述”；超出招标文件要求的填写“+”，不满足招标文件要求的填写“-”；“+”或“-”均须在“偏离简述”做出详细说明。</w:t>
      </w:r>
    </w:p>
    <w:p>
      <w:pPr>
        <w:pStyle w:val="7"/>
        <w:spacing w:afterLines="0" w:line="500" w:lineRule="exact"/>
        <w:ind w:firstLine="5377" w:firstLineChars="1900"/>
        <w:jc w:val="right"/>
        <w:rPr>
          <w:rFonts w:ascii="华文仿宋" w:hAnsi="华文仿宋" w:cs="华文仿宋"/>
          <w:sz w:val="28"/>
          <w:szCs w:val="28"/>
          <w:highlight w:val="none"/>
        </w:rPr>
      </w:pPr>
    </w:p>
    <w:p>
      <w:pPr>
        <w:pStyle w:val="7"/>
        <w:spacing w:afterLines="0" w:line="500" w:lineRule="exact"/>
        <w:ind w:firstLine="5377" w:firstLineChars="1900"/>
        <w:jc w:val="right"/>
        <w:rPr>
          <w:rFonts w:ascii="华文仿宋" w:hAnsi="华文仿宋" w:cs="华文仿宋"/>
          <w:sz w:val="28"/>
          <w:szCs w:val="28"/>
          <w:highlight w:val="none"/>
        </w:rPr>
      </w:pPr>
      <w:r>
        <w:rPr>
          <w:rFonts w:hint="eastAsia" w:ascii="华文仿宋" w:hAnsi="华文仿宋" w:cs="华文仿宋"/>
          <w:sz w:val="28"/>
          <w:szCs w:val="28"/>
          <w:highlight w:val="none"/>
        </w:rPr>
        <w:t>投标人：</w:t>
      </w:r>
      <w:r>
        <w:rPr>
          <w:rFonts w:hint="eastAsia" w:ascii="华文仿宋" w:hAnsi="华文仿宋" w:cs="华文仿宋"/>
          <w:sz w:val="28"/>
          <w:szCs w:val="28"/>
          <w:highlight w:val="none"/>
          <w:u w:val="single"/>
        </w:rPr>
        <w:t>名称</w:t>
      </w:r>
      <w:r>
        <w:rPr>
          <w:rFonts w:hint="eastAsia" w:ascii="华文仿宋" w:hAnsi="华文仿宋" w:cs="华文仿宋"/>
          <w:sz w:val="28"/>
          <w:szCs w:val="28"/>
          <w:highlight w:val="none"/>
        </w:rPr>
        <w:t>（加盖公章）</w:t>
      </w:r>
    </w:p>
    <w:p>
      <w:pPr>
        <w:pStyle w:val="7"/>
        <w:spacing w:afterLines="0" w:line="500" w:lineRule="exact"/>
        <w:jc w:val="center"/>
        <w:rPr>
          <w:highlight w:val="none"/>
        </w:rPr>
      </w:pPr>
      <w:r>
        <w:rPr>
          <w:rFonts w:hint="eastAsia" w:ascii="华文仿宋" w:hAnsi="华文仿宋" w:cs="华文仿宋"/>
          <w:sz w:val="28"/>
          <w:szCs w:val="28"/>
          <w:highlight w:val="none"/>
        </w:rPr>
        <w:t xml:space="preserve">                                      日期：　年　月　日</w:t>
      </w:r>
      <w:r>
        <w:rPr>
          <w:rFonts w:ascii="仿宋" w:hAnsi="仿宋" w:eastAsia="仿宋" w:cs="Times New Roman"/>
          <w:highlight w:val="none"/>
        </w:rPr>
        <w:tab/>
      </w:r>
    </w:p>
    <w:p>
      <w:pPr>
        <w:spacing w:line="500" w:lineRule="exact"/>
        <w:ind w:firstLine="566" w:firstLineChars="200"/>
        <w:rPr>
          <w:rFonts w:ascii="仿宋" w:hAnsi="仿宋" w:eastAsia="仿宋" w:cs="Calibri"/>
          <w:b/>
          <w:highlight w:val="none"/>
        </w:rPr>
      </w:pPr>
    </w:p>
    <w:p>
      <w:pPr>
        <w:spacing w:line="500" w:lineRule="exact"/>
        <w:ind w:firstLine="566" w:firstLineChars="200"/>
        <w:rPr>
          <w:rFonts w:ascii="仿宋" w:hAnsi="仿宋" w:eastAsia="仿宋" w:cs="Calibri"/>
          <w:b/>
          <w:highlight w:val="none"/>
        </w:rPr>
      </w:pPr>
      <w:r>
        <w:rPr>
          <w:rFonts w:hint="eastAsia" w:ascii="仿宋" w:hAnsi="仿宋" w:eastAsia="仿宋" w:cs="Calibri"/>
          <w:b/>
          <w:highlight w:val="none"/>
        </w:rPr>
        <w:t>（二）其他材料</w:t>
      </w:r>
    </w:p>
    <w:p>
      <w:pPr>
        <w:widowControl w:val="0"/>
        <w:spacing w:line="500" w:lineRule="exact"/>
        <w:ind w:firstLine="566" w:firstLineChars="200"/>
        <w:rPr>
          <w:highlight w:val="none"/>
        </w:rPr>
      </w:pPr>
      <w:r>
        <w:rPr>
          <w:rFonts w:hint="eastAsia" w:ascii="华文仿宋" w:hAnsi="华文仿宋" w:cs="华文仿宋"/>
          <w:highlight w:val="none"/>
        </w:rPr>
        <w:t>根据招标文件要求，若第三章《评审要素及分值一览表》中“</w:t>
      </w:r>
      <w:r>
        <w:rPr>
          <w:rFonts w:hint="eastAsia" w:ascii="华文仿宋" w:hAnsi="华文仿宋" w:cs="华文仿宋"/>
          <w:highlight w:val="none"/>
          <w:lang w:val="en-US" w:eastAsia="zh-CN"/>
        </w:rPr>
        <w:t>技术</w:t>
      </w:r>
      <w:r>
        <w:rPr>
          <w:rFonts w:hint="eastAsia" w:ascii="华文仿宋" w:hAnsi="华文仿宋" w:cs="华文仿宋"/>
          <w:highlight w:val="none"/>
        </w:rPr>
        <w:t>参数响应</w:t>
      </w:r>
      <w:r>
        <w:rPr>
          <w:rFonts w:hint="eastAsia" w:ascii="华文仿宋" w:hAnsi="华文仿宋" w:cs="华文仿宋"/>
          <w:b/>
          <w:bCs/>
          <w:highlight w:val="none"/>
        </w:rPr>
        <w:t>”</w:t>
      </w:r>
      <w:r>
        <w:rPr>
          <w:rFonts w:hint="eastAsia" w:ascii="华文仿宋" w:hAnsi="华文仿宋" w:cs="华文仿宋"/>
          <w:highlight w:val="none"/>
        </w:rPr>
        <w:t>及第四章《技术参数表》中内容须附相关证明材料，则投标人应将相关证明材料附至此处，如未按要求提供相关证明材料，将影响评分。</w:t>
      </w:r>
    </w:p>
    <w:p>
      <w:pPr>
        <w:ind w:firstLine="0" w:firstLineChars="0"/>
        <w:jc w:val="left"/>
        <w:rPr>
          <w:rFonts w:ascii="仿宋" w:hAnsi="仿宋" w:eastAsia="仿宋" w:cs="仿宋"/>
          <w:b/>
          <w:bCs/>
          <w:sz w:val="30"/>
          <w:szCs w:val="30"/>
          <w:highlight w:val="none"/>
        </w:rPr>
      </w:pPr>
      <w:r>
        <w:rPr>
          <w:rFonts w:hint="eastAsia" w:ascii="宋体" w:hAnsi="宋体" w:eastAsia="宋体" w:cs="宋体"/>
          <w:sz w:val="21"/>
          <w:szCs w:val="21"/>
          <w:highlight w:val="none"/>
        </w:rPr>
        <w:br w:type="page"/>
      </w:r>
      <w:r>
        <w:rPr>
          <w:rFonts w:hint="eastAsia" w:ascii="仿宋" w:hAnsi="仿宋" w:eastAsia="仿宋" w:cs="仿宋"/>
          <w:b/>
          <w:bCs/>
          <w:sz w:val="30"/>
          <w:szCs w:val="30"/>
          <w:highlight w:val="none"/>
          <w:lang w:val="en-US" w:eastAsia="zh-CN"/>
        </w:rPr>
        <w:t xml:space="preserve">    </w:t>
      </w:r>
      <w:r>
        <w:rPr>
          <w:rFonts w:hint="eastAsia" w:ascii="仿宋" w:hAnsi="仿宋" w:eastAsia="仿宋" w:cs="仿宋"/>
          <w:b/>
          <w:bCs/>
          <w:sz w:val="30"/>
          <w:szCs w:val="30"/>
          <w:highlight w:val="none"/>
        </w:rPr>
        <w:t>三、参考样表</w:t>
      </w:r>
    </w:p>
    <w:p>
      <w:pPr>
        <w:spacing w:line="500" w:lineRule="exact"/>
        <w:ind w:firstLine="566" w:firstLineChars="200"/>
        <w:jc w:val="center"/>
        <w:rPr>
          <w:rFonts w:ascii="华文仿宋" w:cs="Times New Roman"/>
          <w:b/>
          <w:bCs/>
          <w:highlight w:val="none"/>
        </w:rPr>
      </w:pPr>
      <w:r>
        <w:rPr>
          <w:rFonts w:hint="eastAsia" w:ascii="华文仿宋" w:hAnsi="华文仿宋" w:cs="华文仿宋"/>
          <w:b/>
          <w:bCs/>
          <w:highlight w:val="none"/>
        </w:rPr>
        <w:t>业绩合同样表（仅供参考）</w:t>
      </w:r>
    </w:p>
    <w:tbl>
      <w:tblPr>
        <w:tblStyle w:val="1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pPr>
              <w:widowControl w:val="0"/>
              <w:adjustRightInd w:val="0"/>
              <w:snapToGrid w:val="0"/>
              <w:spacing w:line="440" w:lineRule="exact"/>
              <w:jc w:val="center"/>
              <w:rPr>
                <w:rFonts w:ascii="宋体" w:cs="Times New Roman"/>
                <w:b/>
                <w:bCs/>
                <w:sz w:val="24"/>
                <w:szCs w:val="24"/>
                <w:highlight w:val="none"/>
              </w:rPr>
            </w:pPr>
            <w:r>
              <w:rPr>
                <w:rFonts w:hint="eastAsia" w:ascii="宋体" w:cs="华文仿宋"/>
                <w:b/>
                <w:bCs/>
                <w:sz w:val="24"/>
                <w:szCs w:val="24"/>
                <w:highlight w:val="none"/>
              </w:rPr>
              <w:t>序号</w:t>
            </w:r>
          </w:p>
        </w:tc>
        <w:tc>
          <w:tcPr>
            <w:tcW w:w="1736" w:type="dxa"/>
            <w:noWrap w:val="0"/>
            <w:vAlign w:val="center"/>
          </w:tcPr>
          <w:p>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采购单位名称</w:t>
            </w:r>
          </w:p>
        </w:tc>
        <w:tc>
          <w:tcPr>
            <w:tcW w:w="1701" w:type="dxa"/>
            <w:noWrap w:val="0"/>
            <w:vAlign w:val="center"/>
          </w:tcPr>
          <w:p>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合同名称</w:t>
            </w:r>
          </w:p>
        </w:tc>
        <w:tc>
          <w:tcPr>
            <w:tcW w:w="2557" w:type="dxa"/>
            <w:noWrap w:val="0"/>
            <w:vAlign w:val="center"/>
          </w:tcPr>
          <w:p>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合同起止时间</w:t>
            </w:r>
          </w:p>
        </w:tc>
        <w:tc>
          <w:tcPr>
            <w:tcW w:w="1984" w:type="dxa"/>
            <w:noWrap w:val="0"/>
            <w:vAlign w:val="center"/>
          </w:tcPr>
          <w:p>
            <w:pPr>
              <w:jc w:val="center"/>
              <w:rPr>
                <w:rFonts w:ascii="仿宋" w:hAnsi="仿宋" w:eastAsia="仿宋" w:cs="Times New Roman"/>
                <w:b/>
                <w:bCs/>
                <w:sz w:val="24"/>
                <w:szCs w:val="24"/>
                <w:highlight w:val="none"/>
              </w:rPr>
            </w:pPr>
            <w:r>
              <w:rPr>
                <w:rFonts w:hint="eastAsia" w:ascii="仿宋" w:hAnsi="仿宋" w:eastAsia="仿宋" w:cs="仿宋"/>
                <w:b/>
                <w:bCs/>
                <w:sz w:val="24"/>
                <w:szCs w:val="24"/>
                <w:highlight w:val="none"/>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pPr>
              <w:widowControl w:val="0"/>
              <w:spacing w:line="440" w:lineRule="exact"/>
              <w:jc w:val="center"/>
              <w:rPr>
                <w:rFonts w:ascii="宋体" w:eastAsia="宋体" w:cs="Times New Roman"/>
                <w:sz w:val="24"/>
                <w:szCs w:val="24"/>
                <w:highlight w:val="none"/>
              </w:rPr>
            </w:pPr>
            <w:r>
              <w:rPr>
                <w:rFonts w:hint="eastAsia" w:ascii="宋体" w:eastAsia="宋体" w:cs="Times New Roman"/>
                <w:sz w:val="24"/>
                <w:szCs w:val="24"/>
                <w:highlight w:val="none"/>
              </w:rPr>
              <w:t>1</w:t>
            </w:r>
          </w:p>
        </w:tc>
        <w:tc>
          <w:tcPr>
            <w:tcW w:w="1736" w:type="dxa"/>
            <w:noWrap w:val="0"/>
            <w:vAlign w:val="center"/>
          </w:tcPr>
          <w:p>
            <w:pPr>
              <w:widowControl w:val="0"/>
              <w:spacing w:line="440" w:lineRule="exact"/>
              <w:jc w:val="center"/>
              <w:rPr>
                <w:rFonts w:ascii="宋体" w:eastAsia="宋体" w:cs="Times New Roman"/>
                <w:sz w:val="24"/>
                <w:szCs w:val="24"/>
                <w:highlight w:val="none"/>
              </w:rPr>
            </w:pPr>
          </w:p>
        </w:tc>
        <w:tc>
          <w:tcPr>
            <w:tcW w:w="1701" w:type="dxa"/>
            <w:noWrap w:val="0"/>
            <w:vAlign w:val="center"/>
          </w:tcPr>
          <w:p>
            <w:pPr>
              <w:widowControl w:val="0"/>
              <w:spacing w:line="440" w:lineRule="exact"/>
              <w:jc w:val="center"/>
              <w:rPr>
                <w:rFonts w:ascii="宋体" w:eastAsia="宋体" w:cs="Times New Roman"/>
                <w:sz w:val="24"/>
                <w:szCs w:val="24"/>
                <w:highlight w:val="none"/>
              </w:rPr>
            </w:pPr>
          </w:p>
        </w:tc>
        <w:tc>
          <w:tcPr>
            <w:tcW w:w="2557" w:type="dxa"/>
            <w:noWrap w:val="0"/>
            <w:vAlign w:val="center"/>
          </w:tcPr>
          <w:p>
            <w:pPr>
              <w:widowControl w:val="0"/>
              <w:spacing w:line="440" w:lineRule="exact"/>
              <w:jc w:val="center"/>
              <w:rPr>
                <w:rFonts w:ascii="宋体" w:eastAsia="宋体" w:cs="Times New Roman"/>
                <w:sz w:val="24"/>
                <w:szCs w:val="24"/>
                <w:highlight w:val="none"/>
              </w:rPr>
            </w:pPr>
          </w:p>
        </w:tc>
        <w:tc>
          <w:tcPr>
            <w:tcW w:w="1984" w:type="dxa"/>
            <w:noWrap w:val="0"/>
            <w:vAlign w:val="center"/>
          </w:tcPr>
          <w:p>
            <w:pPr>
              <w:widowControl w:val="0"/>
              <w:spacing w:line="440" w:lineRule="exact"/>
              <w:jc w:val="center"/>
              <w:rPr>
                <w:rFonts w:asci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noWrap w:val="0"/>
            <w:vAlign w:val="center"/>
          </w:tcPr>
          <w:p>
            <w:pPr>
              <w:widowControl w:val="0"/>
              <w:spacing w:line="440" w:lineRule="exact"/>
              <w:jc w:val="center"/>
              <w:rPr>
                <w:rFonts w:ascii="宋体" w:eastAsia="宋体" w:cs="Times New Roman"/>
                <w:sz w:val="24"/>
                <w:szCs w:val="24"/>
                <w:highlight w:val="none"/>
              </w:rPr>
            </w:pPr>
            <w:r>
              <w:rPr>
                <w:rFonts w:hint="eastAsia" w:ascii="宋体" w:eastAsia="宋体" w:cs="宋体"/>
                <w:sz w:val="24"/>
                <w:szCs w:val="24"/>
                <w:highlight w:val="none"/>
              </w:rPr>
              <w:t>……</w:t>
            </w:r>
          </w:p>
        </w:tc>
        <w:tc>
          <w:tcPr>
            <w:tcW w:w="1736" w:type="dxa"/>
            <w:noWrap w:val="0"/>
            <w:vAlign w:val="center"/>
          </w:tcPr>
          <w:p>
            <w:pPr>
              <w:widowControl w:val="0"/>
              <w:spacing w:line="440" w:lineRule="exact"/>
              <w:jc w:val="center"/>
              <w:rPr>
                <w:rFonts w:ascii="宋体" w:eastAsia="宋体" w:cs="Times New Roman"/>
                <w:sz w:val="24"/>
                <w:szCs w:val="24"/>
                <w:highlight w:val="none"/>
              </w:rPr>
            </w:pPr>
          </w:p>
        </w:tc>
        <w:tc>
          <w:tcPr>
            <w:tcW w:w="1701" w:type="dxa"/>
            <w:noWrap w:val="0"/>
            <w:vAlign w:val="center"/>
          </w:tcPr>
          <w:p>
            <w:pPr>
              <w:widowControl w:val="0"/>
              <w:spacing w:line="440" w:lineRule="exact"/>
              <w:jc w:val="center"/>
              <w:rPr>
                <w:rFonts w:ascii="宋体" w:eastAsia="宋体" w:cs="Times New Roman"/>
                <w:sz w:val="24"/>
                <w:szCs w:val="24"/>
                <w:highlight w:val="none"/>
              </w:rPr>
            </w:pPr>
          </w:p>
        </w:tc>
        <w:tc>
          <w:tcPr>
            <w:tcW w:w="2557" w:type="dxa"/>
            <w:noWrap w:val="0"/>
            <w:vAlign w:val="center"/>
          </w:tcPr>
          <w:p>
            <w:pPr>
              <w:widowControl w:val="0"/>
              <w:spacing w:line="440" w:lineRule="exact"/>
              <w:jc w:val="center"/>
              <w:rPr>
                <w:rFonts w:ascii="宋体" w:eastAsia="宋体" w:cs="Times New Roman"/>
                <w:sz w:val="24"/>
                <w:szCs w:val="24"/>
                <w:highlight w:val="none"/>
              </w:rPr>
            </w:pPr>
          </w:p>
        </w:tc>
        <w:tc>
          <w:tcPr>
            <w:tcW w:w="1984" w:type="dxa"/>
            <w:noWrap w:val="0"/>
            <w:vAlign w:val="center"/>
          </w:tcPr>
          <w:p>
            <w:pPr>
              <w:widowControl w:val="0"/>
              <w:spacing w:line="440" w:lineRule="exact"/>
              <w:jc w:val="center"/>
              <w:rPr>
                <w:rFonts w:asci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noWrap w:val="0"/>
            <w:vAlign w:val="center"/>
          </w:tcPr>
          <w:p>
            <w:pPr>
              <w:widowControl w:val="0"/>
              <w:spacing w:line="440" w:lineRule="exact"/>
              <w:jc w:val="left"/>
              <w:rPr>
                <w:rFonts w:ascii="宋体" w:eastAsia="宋体" w:cs="Times New Roman"/>
                <w:sz w:val="24"/>
                <w:szCs w:val="24"/>
                <w:highlight w:val="none"/>
              </w:rPr>
            </w:pPr>
            <w:r>
              <w:rPr>
                <w:rFonts w:hint="eastAsia" w:ascii="仿宋" w:hAnsi="仿宋" w:eastAsia="仿宋" w:cs="仿宋"/>
                <w:b/>
                <w:bCs/>
                <w:sz w:val="24"/>
                <w:szCs w:val="24"/>
                <w:highlight w:val="none"/>
              </w:rPr>
              <w:t>数量合计（个）</w:t>
            </w:r>
            <w:r>
              <w:rPr>
                <w:rFonts w:hint="eastAsia" w:ascii="宋体" w:hAnsi="宋体" w:cs="华文仿宋"/>
                <w:sz w:val="24"/>
                <w:szCs w:val="24"/>
                <w:highlight w:val="none"/>
              </w:rPr>
              <w:t>：</w:t>
            </w:r>
          </w:p>
        </w:tc>
      </w:tr>
    </w:tbl>
    <w:p>
      <w:pPr>
        <w:rPr>
          <w:highlight w:val="none"/>
        </w:rPr>
      </w:pPr>
    </w:p>
    <w:p>
      <w:pPr>
        <w:rPr>
          <w:highlight w:val="none"/>
        </w:rPr>
      </w:pPr>
    </w:p>
    <w:sectPr>
      <w:pgSz w:w="11906" w:h="16838"/>
      <w:pgMar w:top="1417" w:right="1418" w:bottom="1417" w:left="1418" w:header="851" w:footer="794" w:gutter="0"/>
      <w:pgNumType w:chapStyle="1"/>
      <w:cols w:space="720" w:num="1"/>
      <w:docGrid w:type="linesAndChars" w:linePitch="381" w:char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3D346F-C35D-46D8-961D-01CCAEE0B6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5274BBD-1A79-4E76-A7E4-0C07853B0B52}"/>
  </w:font>
  <w:font w:name="Calibri Light">
    <w:panose1 w:val="020F0302020204030204"/>
    <w:charset w:val="00"/>
    <w:family w:val="swiss"/>
    <w:pitch w:val="default"/>
    <w:sig w:usb0="E4002EFF" w:usb1="C000247B" w:usb2="00000009" w:usb3="00000000" w:csb0="200001FF" w:csb1="00000000"/>
    <w:embedRegular r:id="rId3" w:fontKey="{626CA408-2D83-4071-99B0-B99F34065C4B}"/>
  </w:font>
  <w:font w:name="华文仿宋">
    <w:panose1 w:val="02010600040101010101"/>
    <w:charset w:val="86"/>
    <w:family w:val="auto"/>
    <w:pitch w:val="default"/>
    <w:sig w:usb0="00000000" w:usb1="00000000" w:usb2="00000000" w:usb3="00000000" w:csb0="00000000" w:csb1="00000000"/>
    <w:embedRegular r:id="rId4" w:fontKey="{931D1F8D-86D0-460F-BC7C-8DA2EF9A9792}"/>
  </w:font>
  <w:font w:name="仿宋">
    <w:panose1 w:val="02010609060101010101"/>
    <w:charset w:val="86"/>
    <w:family w:val="modern"/>
    <w:pitch w:val="default"/>
    <w:sig w:usb0="800002BF" w:usb1="38CF7CFA" w:usb2="00000016" w:usb3="00000000" w:csb0="00040001" w:csb1="00000000"/>
    <w:embedRegular r:id="rId5" w:fontKey="{0FA83147-1148-4D53-8A1C-55DF879FD7D9}"/>
  </w:font>
  <w:font w:name="楷体_GB2312">
    <w:altName w:val="楷体"/>
    <w:panose1 w:val="00000000000000000000"/>
    <w:charset w:val="86"/>
    <w:family w:val="modern"/>
    <w:pitch w:val="default"/>
    <w:sig w:usb0="00000000" w:usb1="00000000" w:usb2="00000016" w:usb3="00000000" w:csb0="00040001" w:csb1="00000000"/>
  </w:font>
  <w:font w:name="华文中宋">
    <w:panose1 w:val="02010600040101010101"/>
    <w:charset w:val="86"/>
    <w:family w:val="auto"/>
    <w:pitch w:val="default"/>
    <w:sig w:usb0="00000000" w:usb1="00000000" w:usb2="00000000" w:usb3="00000000" w:csb0="00000000" w:csb1="00000000"/>
    <w:embedRegular r:id="rId6" w:fontKey="{B99BA147-9F12-405D-89BF-0362969E9092}"/>
  </w:font>
  <w:font w:name="等线">
    <w:panose1 w:val="02010600030101010101"/>
    <w:charset w:val="86"/>
    <w:family w:val="auto"/>
    <w:pitch w:val="default"/>
    <w:sig w:usb0="A00002BF" w:usb1="38CF7CFA" w:usb2="00000016" w:usb3="00000000" w:csb0="0004000F" w:csb1="00000000"/>
    <w:embedRegular r:id="rId7" w:fontKey="{4FA5AF59-B80E-41A9-B09C-872D0C40A7C1}"/>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1"/>
        <w:szCs w:val="21"/>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1"/>
        <w:szCs w:val="21"/>
      </w:rP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425"/>
        <w:tab w:val="right" w:pos="10489"/>
        <w:tab w:val="clear" w:pos="4153"/>
        <w:tab w:val="clear" w:pos="8306"/>
      </w:tabs>
      <w:rPr>
        <w:rFonts w:asci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67</w:t>
                          </w:r>
                          <w:r>
                            <w:rPr>
                              <w:rFonts w:hint="eastAsia" w:ascii="仿宋" w:hAnsi="仿宋" w:eastAsia="仿宋" w:cs="仿宋"/>
                            </w:rP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fill on="f" focussize="0,0"/>
              <v:stroke on="f" weight="0.5pt"/>
              <v:imagedata o:title=""/>
              <o:lock v:ext="edit" aspectratio="f"/>
              <v:textbox inset="0mm,0mm,0mm,0mm" style="mso-fit-shape-to-text:t;">
                <w:txbxContent>
                  <w:p>
                    <w:pPr>
                      <w:pStyle w:val="10"/>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67</w:t>
                    </w:r>
                    <w:r>
                      <w:rPr>
                        <w:rFonts w:hint="eastAsia" w:ascii="仿宋" w:hAnsi="仿宋" w:eastAsia="仿宋" w:cs="仿宋"/>
                      </w:rPr>
                      <w:fldChar w:fldCharType="end"/>
                    </w:r>
                    <w:r>
                      <w:t>页</w:t>
                    </w:r>
                  </w:p>
                </w:txbxContent>
              </v:textbox>
            </v:shape>
          </w:pict>
        </mc:Fallback>
      </mc:AlternateContent>
    </w:r>
    <w:r>
      <w:rPr>
        <w:rFonts w:hint="eastAsia" w:ascii="宋体"/>
      </w:rPr>
      <w:tab/>
    </w:r>
  </w:p>
  <w:p>
    <w:pPr>
      <w:pStyle w:val="10"/>
      <w:tabs>
        <w:tab w:val="center" w:pos="7002"/>
        <w:tab w:val="right" w:pos="15421"/>
        <w:tab w:val="clear" w:pos="4153"/>
        <w:tab w:val="clear" w:pos="8306"/>
      </w:tabs>
      <w:ind w:right="-2"/>
      <w:jc w:val="both"/>
      <w:rPr>
        <w:rFonts w:ascii="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rPr>
        <w:rFonts w:ascii="宋体"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sz w:val="21"/>
        <w:szCs w:val="21"/>
        <w:lang w:eastAsia="zh-CN"/>
      </w:rPr>
    </w:pPr>
    <w:r>
      <w:rPr>
        <w:rFonts w:hint="eastAsia" w:eastAsia="宋体"/>
        <w:sz w:val="21"/>
        <w:szCs w:val="21"/>
        <w:lang w:eastAsia="zh-CN"/>
      </w:rPr>
      <w:t>西安石油大学图书馆家具采购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FB5049"/>
    <w:multiLevelType w:val="singleLevel"/>
    <w:tmpl w:val="96FB5049"/>
    <w:lvl w:ilvl="0" w:tentative="0">
      <w:start w:val="13"/>
      <w:numFmt w:val="decimal"/>
      <w:lvlText w:val="%1."/>
      <w:lvlJc w:val="left"/>
      <w:pPr>
        <w:tabs>
          <w:tab w:val="left" w:pos="312"/>
        </w:tabs>
      </w:pPr>
    </w:lvl>
  </w:abstractNum>
  <w:abstractNum w:abstractNumId="1">
    <w:nsid w:val="E1E5AEB2"/>
    <w:multiLevelType w:val="singleLevel"/>
    <w:tmpl w:val="E1E5AEB2"/>
    <w:lvl w:ilvl="0" w:tentative="0">
      <w:start w:val="2"/>
      <w:numFmt w:val="chineseCounting"/>
      <w:suff w:val="nothing"/>
      <w:lvlText w:val="%1、"/>
      <w:lvlJc w:val="left"/>
      <w:rPr>
        <w:rFonts w:hint="eastAsia"/>
      </w:rPr>
    </w:lvl>
  </w:abstractNum>
  <w:abstractNum w:abstractNumId="2">
    <w:nsid w:val="E9B7D9A8"/>
    <w:multiLevelType w:val="singleLevel"/>
    <w:tmpl w:val="E9B7D9A8"/>
    <w:lvl w:ilvl="0" w:tentative="0">
      <w:start w:val="17"/>
      <w:numFmt w:val="decimal"/>
      <w:lvlText w:val="%1."/>
      <w:lvlJc w:val="left"/>
      <w:pPr>
        <w:tabs>
          <w:tab w:val="left" w:pos="312"/>
        </w:tabs>
      </w:pPr>
    </w:lvl>
  </w:abstractNum>
  <w:abstractNum w:abstractNumId="3">
    <w:nsid w:val="F1859649"/>
    <w:multiLevelType w:val="singleLevel"/>
    <w:tmpl w:val="F1859649"/>
    <w:lvl w:ilvl="0" w:tentative="0">
      <w:start w:val="1"/>
      <w:numFmt w:val="decimal"/>
      <w:suff w:val="nothing"/>
      <w:lvlText w:val="%1、"/>
      <w:lvlJc w:val="left"/>
    </w:lvl>
  </w:abstractNum>
  <w:abstractNum w:abstractNumId="4">
    <w:nsid w:val="49BBF4A3"/>
    <w:multiLevelType w:val="singleLevel"/>
    <w:tmpl w:val="49BBF4A3"/>
    <w:lvl w:ilvl="0" w:tentative="0">
      <w:start w:val="1"/>
      <w:numFmt w:val="chineseCounting"/>
      <w:suff w:val="nothing"/>
      <w:lvlText w:val="%1、"/>
      <w:lvlJc w:val="left"/>
      <w:rPr>
        <w:rFonts w:hint="eastAsia" w:ascii="华文仿宋" w:hAnsi="华文仿宋" w:eastAsia="华文仿宋" w:cs="华文仿宋"/>
        <w:b/>
        <w:bCs/>
        <w:sz w:val="28"/>
        <w:szCs w:val="28"/>
      </w:rPr>
    </w:lvl>
  </w:abstractNum>
  <w:abstractNum w:abstractNumId="5">
    <w:nsid w:val="5CC125A1"/>
    <w:multiLevelType w:val="singleLevel"/>
    <w:tmpl w:val="5CC125A1"/>
    <w:lvl w:ilvl="0" w:tentative="0">
      <w:start w:val="2"/>
      <w:numFmt w:val="decimal"/>
      <w:suff w:val="nothing"/>
      <w:lvlText w:val="%1、"/>
      <w:lvlJc w:val="left"/>
      <w:rPr>
        <w:rFonts w:hint="default" w:ascii="华文仿宋" w:hAnsi="华文仿宋" w:eastAsia="华文仿宋" w:cs="华文仿宋"/>
      </w:rPr>
    </w:lvl>
  </w:abstractNum>
  <w:abstractNum w:abstractNumId="6">
    <w:nsid w:val="78394A02"/>
    <w:multiLevelType w:val="singleLevel"/>
    <w:tmpl w:val="78394A02"/>
    <w:lvl w:ilvl="0" w:tentative="0">
      <w:start w:val="2"/>
      <w:numFmt w:val="chineseCounting"/>
      <w:suff w:val="nothing"/>
      <w:lvlText w:val="%1、"/>
      <w:lvlJc w:val="left"/>
      <w:rPr>
        <w:rFonts w:hint="eastAsia"/>
      </w:rPr>
    </w:lvl>
  </w:abstractNum>
  <w:abstractNum w:abstractNumId="7">
    <w:nsid w:val="79413D1E"/>
    <w:multiLevelType w:val="singleLevel"/>
    <w:tmpl w:val="79413D1E"/>
    <w:lvl w:ilvl="0" w:tentative="0">
      <w:start w:val="1"/>
      <w:numFmt w:val="chineseCounting"/>
      <w:suff w:val="nothing"/>
      <w:lvlText w:val="（%1）"/>
      <w:lvlJc w:val="left"/>
      <w:rPr>
        <w:rFonts w:hint="eastAsia"/>
      </w:rPr>
    </w:lvl>
  </w:abstractNum>
  <w:num w:numId="1">
    <w:abstractNumId w:val="4"/>
  </w:num>
  <w:num w:numId="2">
    <w:abstractNumId w:val="5"/>
  </w:num>
  <w:num w:numId="3">
    <w:abstractNumId w:val="6"/>
  </w:num>
  <w:num w:numId="4">
    <w:abstractNumId w:val="7"/>
  </w:num>
  <w:num w:numId="5">
    <w:abstractNumId w:val="0"/>
  </w:num>
  <w:num w:numId="6">
    <w:abstractNumId w:val="2"/>
  </w:num>
  <w:num w:numId="7">
    <w:abstractNumId w:val="1"/>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asa">
    <w15:presenceInfo w15:providerId="None" w15:userId="S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4M2I0NTg5YjQ3MTFiNzc5NjhkNGZkNmY5NzIyNDQifQ=="/>
  </w:docVars>
  <w:rsids>
    <w:rsidRoot w:val="58B14A28"/>
    <w:rsid w:val="006E6810"/>
    <w:rsid w:val="00960C8B"/>
    <w:rsid w:val="00E9070B"/>
    <w:rsid w:val="027F4D04"/>
    <w:rsid w:val="02F841E8"/>
    <w:rsid w:val="089808CE"/>
    <w:rsid w:val="0AFF4C34"/>
    <w:rsid w:val="0B433BA5"/>
    <w:rsid w:val="0BF9426F"/>
    <w:rsid w:val="0CEB6397"/>
    <w:rsid w:val="0E407C43"/>
    <w:rsid w:val="10577AFE"/>
    <w:rsid w:val="1155029F"/>
    <w:rsid w:val="126D6927"/>
    <w:rsid w:val="12D2623E"/>
    <w:rsid w:val="145F4995"/>
    <w:rsid w:val="1475537F"/>
    <w:rsid w:val="168D7598"/>
    <w:rsid w:val="16A06BC0"/>
    <w:rsid w:val="1CFE5E97"/>
    <w:rsid w:val="21BC6F83"/>
    <w:rsid w:val="24741D97"/>
    <w:rsid w:val="248A3369"/>
    <w:rsid w:val="25FA451E"/>
    <w:rsid w:val="2650433B"/>
    <w:rsid w:val="26926505"/>
    <w:rsid w:val="291E6775"/>
    <w:rsid w:val="29557060"/>
    <w:rsid w:val="29613FA7"/>
    <w:rsid w:val="29625E03"/>
    <w:rsid w:val="2CA945A8"/>
    <w:rsid w:val="2D23445B"/>
    <w:rsid w:val="2DEB0B85"/>
    <w:rsid w:val="2F6812FB"/>
    <w:rsid w:val="30330D58"/>
    <w:rsid w:val="305C2AA5"/>
    <w:rsid w:val="31D10823"/>
    <w:rsid w:val="31DD71CE"/>
    <w:rsid w:val="32B83797"/>
    <w:rsid w:val="338A5133"/>
    <w:rsid w:val="35822989"/>
    <w:rsid w:val="375D64F5"/>
    <w:rsid w:val="3CD24055"/>
    <w:rsid w:val="3DD1570D"/>
    <w:rsid w:val="3F6D2E24"/>
    <w:rsid w:val="3FDA2F9E"/>
    <w:rsid w:val="40610FCA"/>
    <w:rsid w:val="413E130B"/>
    <w:rsid w:val="440A7BCA"/>
    <w:rsid w:val="447C2876"/>
    <w:rsid w:val="48B60321"/>
    <w:rsid w:val="49C10EDE"/>
    <w:rsid w:val="4A9D47AC"/>
    <w:rsid w:val="4BFA24C4"/>
    <w:rsid w:val="4BFE0015"/>
    <w:rsid w:val="4F1B24A1"/>
    <w:rsid w:val="4F27260F"/>
    <w:rsid w:val="4FED442E"/>
    <w:rsid w:val="5076286F"/>
    <w:rsid w:val="50B2258E"/>
    <w:rsid w:val="51A96C75"/>
    <w:rsid w:val="51E657D3"/>
    <w:rsid w:val="521B1410"/>
    <w:rsid w:val="540957A8"/>
    <w:rsid w:val="56B61ABA"/>
    <w:rsid w:val="571728EA"/>
    <w:rsid w:val="58B14A28"/>
    <w:rsid w:val="5EAA7669"/>
    <w:rsid w:val="5EDF45D6"/>
    <w:rsid w:val="5FAE5456"/>
    <w:rsid w:val="60017F0B"/>
    <w:rsid w:val="6025537D"/>
    <w:rsid w:val="60714E01"/>
    <w:rsid w:val="61076234"/>
    <w:rsid w:val="61362261"/>
    <w:rsid w:val="61636CE5"/>
    <w:rsid w:val="64994927"/>
    <w:rsid w:val="65717652"/>
    <w:rsid w:val="65CD2ADA"/>
    <w:rsid w:val="67D042E8"/>
    <w:rsid w:val="6CB322FE"/>
    <w:rsid w:val="706510B7"/>
    <w:rsid w:val="709C23D5"/>
    <w:rsid w:val="71B35ADF"/>
    <w:rsid w:val="72C54453"/>
    <w:rsid w:val="7356486E"/>
    <w:rsid w:val="748D0748"/>
    <w:rsid w:val="7532738D"/>
    <w:rsid w:val="7B0D2972"/>
    <w:rsid w:val="7C0814C8"/>
    <w:rsid w:val="7D31303F"/>
    <w:rsid w:val="7ECF3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2">
    <w:name w:val="heading 1"/>
    <w:basedOn w:val="1"/>
    <w:next w:val="1"/>
    <w:qFormat/>
    <w:uiPriority w:val="99"/>
    <w:pPr>
      <w:keepNext/>
      <w:keepLines/>
      <w:spacing w:line="240" w:lineRule="auto"/>
      <w:jc w:val="center"/>
      <w:outlineLvl w:val="0"/>
    </w:pPr>
    <w:rPr>
      <w:rFonts w:eastAsia="仿宋"/>
      <w:b/>
      <w:bCs/>
      <w:color w:val="000000"/>
      <w:kern w:val="44"/>
      <w:sz w:val="36"/>
      <w:szCs w:val="36"/>
    </w:rPr>
  </w:style>
  <w:style w:type="paragraph" w:styleId="3">
    <w:name w:val="heading 2"/>
    <w:basedOn w:val="1"/>
    <w:next w:val="1"/>
    <w:link w:val="29"/>
    <w:qFormat/>
    <w:uiPriority w:val="99"/>
    <w:pPr>
      <w:keepNext/>
      <w:keepLines/>
      <w:spacing w:line="240" w:lineRule="auto"/>
      <w:outlineLvl w:val="1"/>
    </w:pPr>
    <w:rPr>
      <w:rFonts w:ascii="Calibri" w:hAnsi="Calibri" w:cs="Calibri"/>
      <w:b/>
      <w:bCs/>
      <w:sz w:val="32"/>
      <w:szCs w:val="32"/>
    </w:rPr>
  </w:style>
  <w:style w:type="paragraph" w:styleId="4">
    <w:name w:val="heading 3"/>
    <w:basedOn w:val="1"/>
    <w:next w:val="1"/>
    <w:qFormat/>
    <w:uiPriority w:val="99"/>
    <w:pPr>
      <w:keepNext/>
      <w:keepLines/>
      <w:spacing w:line="400" w:lineRule="atLeast"/>
      <w:jc w:val="center"/>
      <w:outlineLvl w:val="2"/>
    </w:pPr>
    <w:rPr>
      <w:b/>
      <w:bCs/>
      <w:sz w:val="32"/>
      <w:szCs w:val="32"/>
      <w:u w:val="double"/>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99"/>
    <w:pPr>
      <w:ind w:firstLine="420"/>
    </w:pPr>
  </w:style>
  <w:style w:type="paragraph" w:styleId="6">
    <w:name w:val="annotation text"/>
    <w:basedOn w:val="1"/>
    <w:qFormat/>
    <w:uiPriority w:val="0"/>
    <w:pPr>
      <w:jc w:val="left"/>
    </w:pPr>
  </w:style>
  <w:style w:type="paragraph" w:styleId="7">
    <w:name w:val="Body Text"/>
    <w:basedOn w:val="1"/>
    <w:next w:val="1"/>
    <w:qFormat/>
    <w:uiPriority w:val="99"/>
    <w:pPr>
      <w:spacing w:afterLines="50" w:line="360" w:lineRule="auto"/>
    </w:pPr>
    <w:rPr>
      <w:rFonts w:ascii="宋体" w:hAnsi="宋体" w:cs="宋体"/>
      <w:color w:val="000000"/>
      <w:sz w:val="24"/>
      <w:szCs w:val="24"/>
    </w:rPr>
  </w:style>
  <w:style w:type="paragraph" w:styleId="8">
    <w:name w:val="Body Text Indent"/>
    <w:basedOn w:val="1"/>
    <w:next w:val="9"/>
    <w:unhideWhenUsed/>
    <w:qFormat/>
    <w:uiPriority w:val="99"/>
    <w:pPr>
      <w:spacing w:after="120"/>
      <w:ind w:left="420" w:leftChars="200"/>
    </w:pPr>
  </w:style>
  <w:style w:type="paragraph" w:styleId="9">
    <w:name w:val="envelope return"/>
    <w:basedOn w:val="1"/>
    <w:unhideWhenUsed/>
    <w:qFormat/>
    <w:uiPriority w:val="0"/>
    <w:pPr>
      <w:snapToGrid w:val="0"/>
    </w:pPr>
    <w:rPr>
      <w:rFonts w:ascii="Arial" w:hAnsi="Arial"/>
    </w:rPr>
  </w:style>
  <w:style w:type="paragraph" w:styleId="10">
    <w:name w:val="footer"/>
    <w:basedOn w:val="1"/>
    <w:qFormat/>
    <w:uiPriority w:val="99"/>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18"/>
    </w:rPr>
  </w:style>
  <w:style w:type="paragraph" w:styleId="11">
    <w:name w:val="header"/>
    <w:basedOn w:val="1"/>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paragraph" w:styleId="12">
    <w:name w:val="toc 1"/>
    <w:basedOn w:val="1"/>
    <w:next w:val="1"/>
    <w:semiHidden/>
    <w:qFormat/>
    <w:uiPriority w:val="99"/>
  </w:style>
  <w:style w:type="paragraph" w:styleId="13">
    <w:name w:val="toc 4"/>
    <w:basedOn w:val="1"/>
    <w:next w:val="1"/>
    <w:unhideWhenUsed/>
    <w:qFormat/>
    <w:uiPriority w:val="39"/>
    <w:pPr>
      <w:spacing w:line="240" w:lineRule="auto"/>
      <w:ind w:left="1260" w:leftChars="600"/>
    </w:pPr>
  </w:style>
  <w:style w:type="paragraph" w:styleId="14">
    <w:name w:val="toc 2"/>
    <w:basedOn w:val="1"/>
    <w:next w:val="1"/>
    <w:semiHidden/>
    <w:qFormat/>
    <w:uiPriority w:val="99"/>
    <w:pPr>
      <w:ind w:left="420" w:leftChars="200"/>
    </w:pPr>
  </w:style>
  <w:style w:type="paragraph" w:styleId="15">
    <w:name w:val="HTML Preformatted"/>
    <w:basedOn w:val="1"/>
    <w:qFormat/>
    <w:uiPriority w:val="99"/>
    <w:pPr>
      <w:jc w:val="left"/>
    </w:pPr>
    <w:rPr>
      <w:rFonts w:ascii="Arial" w:hAnsi="Arial" w:cs="Arial"/>
      <w:kern w:val="0"/>
      <w:sz w:val="24"/>
      <w:szCs w:val="24"/>
    </w:rPr>
  </w:style>
  <w:style w:type="paragraph" w:styleId="16">
    <w:name w:val="Normal (Web)"/>
    <w:basedOn w:val="1"/>
    <w:qFormat/>
    <w:uiPriority w:val="99"/>
    <w:pPr>
      <w:spacing w:beforeAutospacing="1" w:afterAutospacing="1"/>
      <w:jc w:val="left"/>
    </w:pPr>
    <w:rPr>
      <w:kern w:val="0"/>
      <w:sz w:val="24"/>
      <w:szCs w:val="24"/>
    </w:rPr>
  </w:style>
  <w:style w:type="paragraph" w:styleId="17">
    <w:name w:val="Body Text First Indent"/>
    <w:basedOn w:val="7"/>
    <w:next w:val="18"/>
    <w:qFormat/>
    <w:uiPriority w:val="99"/>
    <w:pPr>
      <w:spacing w:afterLines="0" w:line="240" w:lineRule="auto"/>
      <w:ind w:firstLine="420" w:firstLineChars="100"/>
    </w:pPr>
    <w:rPr>
      <w:rFonts w:ascii="Times New Roman" w:hAnsi="Times New Roman" w:cs="Times New Roman"/>
      <w:color w:val="auto"/>
      <w:sz w:val="18"/>
      <w:szCs w:val="18"/>
    </w:rPr>
  </w:style>
  <w:style w:type="paragraph" w:styleId="18">
    <w:name w:val="Body Text First Indent 2"/>
    <w:basedOn w:val="8"/>
    <w:next w:val="1"/>
    <w:qFormat/>
    <w:uiPriority w:val="0"/>
    <w:pPr>
      <w:tabs>
        <w:tab w:val="left" w:pos="0"/>
      </w:tabs>
      <w:spacing w:line="240" w:lineRule="auto"/>
      <w:ind w:firstLine="420" w:firstLineChars="200"/>
    </w:pPr>
    <w:rPr>
      <w:rFonts w:eastAsia="楷体_GB2312"/>
      <w:b/>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qFormat/>
    <w:uiPriority w:val="99"/>
    <w:rPr>
      <w:color w:val="000000"/>
      <w:sz w:val="18"/>
      <w:szCs w:val="18"/>
      <w:u w:val="none"/>
    </w:rPr>
  </w:style>
  <w:style w:type="paragraph" w:customStyle="1" w:styleId="24">
    <w:name w:val="正文（缩进 4 字符）"/>
    <w:basedOn w:val="1"/>
    <w:qFormat/>
    <w:uiPriority w:val="99"/>
    <w:pPr>
      <w:ind w:firstLine="1134" w:firstLineChars="400"/>
    </w:pPr>
  </w:style>
  <w:style w:type="paragraph" w:customStyle="1" w:styleId="25">
    <w:name w:val="Table Paragraph"/>
    <w:basedOn w:val="1"/>
    <w:qFormat/>
    <w:uiPriority w:val="99"/>
    <w:pPr>
      <w:autoSpaceDE w:val="0"/>
      <w:autoSpaceDN w:val="0"/>
      <w:jc w:val="left"/>
    </w:pPr>
    <w:rPr>
      <w:rFonts w:ascii="宋体" w:hAnsi="宋体" w:cs="宋体"/>
      <w:kern w:val="0"/>
      <w:sz w:val="22"/>
      <w:szCs w:val="22"/>
      <w:lang w:eastAsia="en-US"/>
    </w:rPr>
  </w:style>
  <w:style w:type="paragraph" w:customStyle="1" w:styleId="26">
    <w:name w:val="null3"/>
    <w:qFormat/>
    <w:uiPriority w:val="0"/>
    <w:rPr>
      <w:rFonts w:hint="eastAsia" w:ascii="Calibri" w:hAnsi="Calibri" w:eastAsia="宋体" w:cs="Times New Roman"/>
      <w:lang w:val="en-US" w:eastAsia="zh-Hans" w:bidi="ar-SA"/>
    </w:rPr>
  </w:style>
  <w:style w:type="paragraph" w:customStyle="1" w:styleId="27">
    <w:name w:val="Table Text"/>
    <w:basedOn w:val="1"/>
    <w:semiHidden/>
    <w:qFormat/>
    <w:uiPriority w:val="0"/>
    <w:rPr>
      <w:rFonts w:ascii="仿宋" w:hAnsi="仿宋" w:eastAsia="仿宋" w:cs="仿宋"/>
      <w:sz w:val="24"/>
      <w:szCs w:val="24"/>
      <w:lang w:eastAsia="en-US"/>
    </w:rPr>
  </w:style>
  <w:style w:type="paragraph" w:customStyle="1" w:styleId="28">
    <w:name w:val="正文（缩进 2 字符）"/>
    <w:basedOn w:val="1"/>
    <w:qFormat/>
    <w:uiPriority w:val="99"/>
    <w:pPr>
      <w:ind w:firstLine="200" w:firstLineChars="200"/>
    </w:pPr>
  </w:style>
  <w:style w:type="character" w:customStyle="1" w:styleId="29">
    <w:name w:val="标题 2 Char"/>
    <w:link w:val="3"/>
    <w:qFormat/>
    <w:uiPriority w:val="9"/>
    <w:rPr>
      <w:rFonts w:ascii="Calibri" w:hAnsi="Calibri" w:cs="Calibri"/>
      <w:b/>
      <w:bCs/>
      <w:sz w:val="32"/>
      <w:szCs w:val="32"/>
    </w:rPr>
  </w:style>
  <w:style w:type="paragraph" w:customStyle="1" w:styleId="30">
    <w:name w:val="标题 2（投标文件）"/>
    <w:basedOn w:val="3"/>
    <w:qFormat/>
    <w:uiPriority w:val="99"/>
    <w:pPr>
      <w:jc w:val="center"/>
    </w:pPr>
  </w:style>
  <w:style w:type="paragraph" w:customStyle="1" w:styleId="31">
    <w:name w:val="标题 3（投标文件）"/>
    <w:basedOn w:val="4"/>
    <w:qFormat/>
    <w:uiPriority w:val="99"/>
    <w:pPr>
      <w:jc w:val="left"/>
    </w:pPr>
    <w:rPr>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4" Type="http://schemas.microsoft.com/office/2011/relationships/people" Target="people.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20690</Words>
  <Characters>21566</Characters>
  <Lines>0</Lines>
  <Paragraphs>0</Paragraphs>
  <TotalTime>295</TotalTime>
  <ScaleCrop>false</ScaleCrop>
  <LinksUpToDate>false</LinksUpToDate>
  <CharactersWithSpaces>21641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2025-10-14T07:29:00Z</dcterms:created>
  <dc:creator>Administrator</dc:creator>
  <cp:lastModifiedBy>HP</cp:lastModifiedBy>
  <dcterms:modified xsi:type="dcterms:W3CDTF">2026-01-23T16:24:50Z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ICV">
    <vt:lpwstr>441F63C95AF444EE98010E6DA3C53678_13</vt:lpwstr>
  </property>
  <property fmtid="{D5CDD505-2E9C-101B-9397-08002B2CF9AE}" pid="4" name="KSOTemplateDocerSaveRecord">
    <vt:lpwstr>eyJoZGlkIjoiODUwMmQ4ZDdjMjQ4YTA1OGU5ODgyODQ2MDc3ZmIyNWYiLCJ1c2VySWQiOiI3ODQwODcxNzYifQ==</vt:lpwstr>
  </property>
</Properties>
</file>